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D14345" w:rsidRDefault="000D23C2" w:rsidP="00ED3784">
      <w:pPr>
        <w:pStyle w:val="Cov-Title"/>
      </w:pPr>
      <w:r>
        <w:t>2016/</w:t>
      </w:r>
      <w:r w:rsidR="00912A4D">
        <w:t>17</w:t>
      </w:r>
      <w:r w:rsidR="0017533B" w:rsidRPr="0017533B">
        <w:t xml:space="preserve"> </w:t>
      </w:r>
      <w:r w:rsidR="00912A4D">
        <w:t>BACCALAUREATE AND BEYOND (B&amp;B</w:t>
      </w:r>
      <w:proofErr w:type="gramStart"/>
      <w:r w:rsidR="00912A4D">
        <w:t>:16</w:t>
      </w:r>
      <w:proofErr w:type="gramEnd"/>
      <w:r w:rsidR="00912A4D">
        <w:t xml:space="preserve">/17) </w:t>
      </w:r>
      <w:r w:rsidR="006F6A7D">
        <w:t>MAIN STUDY</w:t>
      </w:r>
    </w:p>
    <w:p w:rsidR="00912A4D" w:rsidRDefault="00912A4D" w:rsidP="00912A4D">
      <w:pPr>
        <w:pStyle w:val="Cov-Title"/>
        <w:jc w:val="left"/>
      </w:pPr>
    </w:p>
    <w:p w:rsidR="00E84DB5" w:rsidRPr="00CD167A" w:rsidRDefault="00912A4D" w:rsidP="00912A4D">
      <w:pPr>
        <w:pStyle w:val="Cov-Date"/>
      </w:pPr>
      <w:r>
        <w:tab/>
      </w:r>
      <w:r>
        <w:tab/>
      </w:r>
      <w:r>
        <w:tab/>
      </w:r>
    </w:p>
    <w:p w:rsidR="00091671" w:rsidRPr="00CD167A" w:rsidRDefault="00091671" w:rsidP="00091671">
      <w:pPr>
        <w:pStyle w:val="Cov-Subtitle"/>
      </w:pPr>
    </w:p>
    <w:p w:rsidR="00091671" w:rsidRPr="00CD167A" w:rsidRDefault="00091671" w:rsidP="00091671">
      <w:pPr>
        <w:pStyle w:val="Cov-Subtitle"/>
      </w:pPr>
    </w:p>
    <w:p w:rsidR="00E84DB5" w:rsidRPr="00CD167A" w:rsidRDefault="00E84DB5" w:rsidP="0079416A">
      <w:pPr>
        <w:pStyle w:val="Cov-Subtitle"/>
        <w:rPr>
          <w:b/>
          <w:bCs/>
        </w:rPr>
      </w:pPr>
      <w:r w:rsidRPr="0079416A">
        <w:t xml:space="preserve">Supporting Statement </w:t>
      </w:r>
      <w:r w:rsidR="007943E4">
        <w:t xml:space="preserve">Part </w:t>
      </w:r>
      <w:proofErr w:type="gramStart"/>
      <w:r w:rsidR="007943E4">
        <w:t>A</w:t>
      </w:r>
      <w:proofErr w:type="gramEnd"/>
      <w:r w:rsidR="0079416A">
        <w:br/>
      </w:r>
      <w:r w:rsidRPr="00A25DF8">
        <w:rPr>
          <w:highlight w:val="yellow"/>
        </w:rPr>
        <w:br/>
      </w:r>
      <w:r w:rsidR="0079416A" w:rsidRPr="0079416A">
        <w:t>(</w:t>
      </w:r>
      <w:r w:rsidR="00CC6A88">
        <w:t>OMB # 1850-0926</w:t>
      </w:r>
      <w:r w:rsidR="007943E4" w:rsidRPr="00D424ED">
        <w:t xml:space="preserve"> </w:t>
      </w:r>
      <w:r w:rsidR="00ED3784">
        <w:t>v.3</w:t>
      </w:r>
      <w:r w:rsidR="0079416A" w:rsidRPr="0079416A">
        <w:t>)</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363BC6" w:rsidRDefault="0079416A" w:rsidP="0079416A">
      <w:pPr>
        <w:pStyle w:val="Cov-Address"/>
        <w:rPr>
          <w:b/>
        </w:rPr>
      </w:pPr>
      <w:r w:rsidRPr="00363BC6">
        <w:rPr>
          <w:b/>
        </w:rPr>
        <w:t>Submitted by</w:t>
      </w:r>
    </w:p>
    <w:p w:rsidR="00363BC6" w:rsidRPr="00363BC6" w:rsidRDefault="0079416A" w:rsidP="0079416A">
      <w:pPr>
        <w:pStyle w:val="Cov-Address"/>
        <w:rPr>
          <w:b/>
        </w:rPr>
      </w:pPr>
      <w:r w:rsidRPr="00363BC6">
        <w:rPr>
          <w:b/>
        </w:rPr>
        <w:t>National Center for Education Statistics</w:t>
      </w:r>
    </w:p>
    <w:p w:rsidR="00363BC6" w:rsidRDefault="0079416A" w:rsidP="0079416A">
      <w:pPr>
        <w:pStyle w:val="Cov-Address"/>
        <w:rPr>
          <w:b/>
          <w:bCs/>
        </w:rPr>
      </w:pPr>
      <w:r w:rsidRPr="00363BC6">
        <w:rPr>
          <w:b/>
        </w:rPr>
        <w:t>U.S. Department of Education</w:t>
      </w: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B17FAF" w:rsidRDefault="00B17FAF" w:rsidP="0079416A">
      <w:pPr>
        <w:pStyle w:val="Cov-Address"/>
        <w:rPr>
          <w:b/>
          <w:bCs/>
        </w:rPr>
      </w:pPr>
    </w:p>
    <w:p w:rsidR="00EC43B0" w:rsidRDefault="00EC43B0"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363BC6" w:rsidRDefault="00363BC6" w:rsidP="0079416A">
      <w:pPr>
        <w:pStyle w:val="Cov-Address"/>
        <w:rPr>
          <w:b/>
          <w:bCs/>
        </w:rPr>
      </w:pPr>
    </w:p>
    <w:p w:rsidR="0079416A" w:rsidRDefault="00EC43B0" w:rsidP="0079416A">
      <w:pPr>
        <w:pStyle w:val="Cov-Address"/>
        <w:rPr>
          <w:b/>
          <w:bCs/>
        </w:rPr>
      </w:pPr>
      <w:r>
        <w:rPr>
          <w:b/>
          <w:bCs/>
        </w:rPr>
        <w:t>April</w:t>
      </w:r>
      <w:r w:rsidR="00DE2328">
        <w:rPr>
          <w:b/>
          <w:bCs/>
        </w:rPr>
        <w:t xml:space="preserve"> </w:t>
      </w:r>
      <w:r w:rsidR="008076B6">
        <w:rPr>
          <w:b/>
          <w:bCs/>
        </w:rPr>
        <w:t>2017</w:t>
      </w:r>
    </w:p>
    <w:p w:rsidR="00B17FAF" w:rsidRDefault="00B17FAF" w:rsidP="0079416A">
      <w:pPr>
        <w:pStyle w:val="Cov-Address"/>
        <w:rPr>
          <w:b/>
          <w:bCs/>
        </w:rPr>
      </w:pPr>
    </w:p>
    <w:bookmarkEnd w:id="0"/>
    <w:bookmarkEnd w:id="1"/>
    <w:bookmarkEnd w:id="2"/>
    <w:bookmarkEnd w:id="3"/>
    <w:p w:rsidR="00B943D1" w:rsidRPr="005F5ED6" w:rsidRDefault="00B943D1" w:rsidP="005F5ED6"/>
    <w:p w:rsidR="005F5ED6" w:rsidRDefault="005F5ED6" w:rsidP="005F5ED6">
      <w:r>
        <w:br w:type="page"/>
      </w:r>
    </w:p>
    <w:p w:rsidR="00A6118C" w:rsidRPr="00CD167A" w:rsidRDefault="0087411A" w:rsidP="002C7FD8">
      <w:pPr>
        <w:pStyle w:val="TOCHeading"/>
        <w:spacing w:after="120"/>
      </w:pPr>
      <w:r w:rsidRPr="00CD167A">
        <w:lastRenderedPageBreak/>
        <w:t>Contents</w:t>
      </w:r>
    </w:p>
    <w:p w:rsidR="0028522A" w:rsidRDefault="00507AD8" w:rsidP="00EC43B0">
      <w:pPr>
        <w:pStyle w:val="TOC1"/>
        <w:spacing w:before="0" w:after="60"/>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28522A">
        <w:t>A.</w:t>
      </w:r>
      <w:r w:rsidR="0028522A">
        <w:rPr>
          <w:rFonts w:asciiTheme="minorHAnsi" w:eastAsiaTheme="minorEastAsia" w:hAnsiTheme="minorHAnsi" w:cstheme="minorBidi"/>
          <w:b w:val="0"/>
          <w:bCs w:val="0"/>
          <w:szCs w:val="22"/>
        </w:rPr>
        <w:tab/>
      </w:r>
      <w:r w:rsidR="0028522A">
        <w:t>Justification</w:t>
      </w:r>
      <w:r w:rsidR="0028522A">
        <w:tab/>
      </w:r>
      <w:r w:rsidR="0028522A">
        <w:fldChar w:fldCharType="begin"/>
      </w:r>
      <w:r w:rsidR="0028522A">
        <w:instrText xml:space="preserve"> PAGEREF _Toc477621544 \h </w:instrText>
      </w:r>
      <w:r w:rsidR="0028522A">
        <w:fldChar w:fldCharType="separate"/>
      </w:r>
      <w:r w:rsidR="00E11398">
        <w:t>3</w:t>
      </w:r>
      <w:r w:rsidR="0028522A">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_Toc477621545 \h </w:instrText>
      </w:r>
      <w:r>
        <w:fldChar w:fldCharType="separate"/>
      </w:r>
      <w:r w:rsidR="00E11398">
        <w:t>3</w:t>
      </w:r>
      <w:r>
        <w:fldChar w:fldCharType="end"/>
      </w:r>
    </w:p>
    <w:p w:rsidR="0028522A" w:rsidRDefault="0028522A" w:rsidP="00EC43B0">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_Toc477621546 \h </w:instrText>
      </w:r>
      <w:r>
        <w:fldChar w:fldCharType="separate"/>
      </w:r>
      <w:r w:rsidR="00E11398">
        <w:t>3</w:t>
      </w:r>
      <w:r>
        <w:fldChar w:fldCharType="end"/>
      </w:r>
    </w:p>
    <w:p w:rsidR="0028522A" w:rsidRDefault="0028522A" w:rsidP="00EC43B0">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_Toc477621547 \h </w:instrText>
      </w:r>
      <w:r>
        <w:fldChar w:fldCharType="separate"/>
      </w:r>
      <w:r w:rsidR="00E11398">
        <w:t>4</w:t>
      </w:r>
      <w:r>
        <w:fldChar w:fldCharType="end"/>
      </w:r>
    </w:p>
    <w:p w:rsidR="0028522A" w:rsidRDefault="0028522A" w:rsidP="00EC43B0">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fldChar w:fldCharType="begin"/>
      </w:r>
      <w:r>
        <w:instrText xml:space="preserve"> PAGEREF _Toc477621548 \h </w:instrText>
      </w:r>
      <w:r>
        <w:fldChar w:fldCharType="separate"/>
      </w:r>
      <w:r w:rsidR="00E11398">
        <w:t>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_Toc477621549 \h </w:instrText>
      </w:r>
      <w:r>
        <w:fldChar w:fldCharType="separate"/>
      </w:r>
      <w:r w:rsidR="00E11398">
        <w:t>6</w:t>
      </w:r>
      <w:r>
        <w:fldChar w:fldCharType="end"/>
      </w:r>
    </w:p>
    <w:p w:rsidR="0028522A" w:rsidRDefault="0028522A" w:rsidP="00EC43B0">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B&amp;B:16/17 Purposes</w:t>
      </w:r>
      <w:r>
        <w:tab/>
      </w:r>
      <w:r>
        <w:fldChar w:fldCharType="begin"/>
      </w:r>
      <w:r>
        <w:instrText xml:space="preserve"> PAGEREF _Toc477621550 \h </w:instrText>
      </w:r>
      <w:r>
        <w:fldChar w:fldCharType="separate"/>
      </w:r>
      <w:r w:rsidR="00E11398">
        <w:t>6</w:t>
      </w:r>
      <w:r>
        <w:fldChar w:fldCharType="end"/>
      </w:r>
    </w:p>
    <w:p w:rsidR="0028522A" w:rsidRDefault="0028522A" w:rsidP="00EC43B0">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B&amp;B:16/17 Research and Policy Issues</w:t>
      </w:r>
      <w:r>
        <w:tab/>
      </w:r>
      <w:r>
        <w:fldChar w:fldCharType="begin"/>
      </w:r>
      <w:r>
        <w:instrText xml:space="preserve"> PAGEREF _Toc477621551 \h </w:instrText>
      </w:r>
      <w:r>
        <w:fldChar w:fldCharType="separate"/>
      </w:r>
      <w:r w:rsidR="00E11398">
        <w:t>6</w:t>
      </w:r>
      <w:r>
        <w:fldChar w:fldCharType="end"/>
      </w:r>
    </w:p>
    <w:p w:rsidR="0028522A" w:rsidRDefault="0028522A" w:rsidP="00EC43B0">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B&amp;B:16/17</w:t>
      </w:r>
      <w:r>
        <w:tab/>
      </w:r>
      <w:r>
        <w:fldChar w:fldCharType="begin"/>
      </w:r>
      <w:r>
        <w:instrText xml:space="preserve"> PAGEREF _Toc477621552 \h </w:instrText>
      </w:r>
      <w:r>
        <w:fldChar w:fldCharType="separate"/>
      </w:r>
      <w:r w:rsidR="00E11398">
        <w:t>8</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_Toc477621553 \h </w:instrText>
      </w:r>
      <w:r>
        <w:fldChar w:fldCharType="separate"/>
      </w:r>
      <w:r w:rsidR="00E11398">
        <w:t>8</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_Toc477621554 \h </w:instrText>
      </w:r>
      <w:r>
        <w:fldChar w:fldCharType="separate"/>
      </w:r>
      <w:r w:rsidR="00E11398">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_Toc477621555 \h </w:instrText>
      </w:r>
      <w:r>
        <w:fldChar w:fldCharType="separate"/>
      </w:r>
      <w:r w:rsidR="00E11398">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_Toc477621556 \h </w:instrText>
      </w:r>
      <w:r>
        <w:fldChar w:fldCharType="separate"/>
      </w:r>
      <w:r w:rsidR="00E11398">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_Toc477621557 \h </w:instrText>
      </w:r>
      <w:r>
        <w:fldChar w:fldCharType="separate"/>
      </w:r>
      <w:r w:rsidR="00E11398">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_Toc477621558 \h </w:instrText>
      </w:r>
      <w:r>
        <w:fldChar w:fldCharType="separate"/>
      </w:r>
      <w:r w:rsidR="00E11398">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_Toc477621559 \h </w:instrText>
      </w:r>
      <w:r>
        <w:fldChar w:fldCharType="separate"/>
      </w:r>
      <w:r w:rsidR="00E11398">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_Toc477621560 \h </w:instrText>
      </w:r>
      <w:r>
        <w:fldChar w:fldCharType="separate"/>
      </w:r>
      <w:r w:rsidR="00E11398">
        <w:t>11</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_Toc477621561 \h </w:instrText>
      </w:r>
      <w:r>
        <w:fldChar w:fldCharType="separate"/>
      </w:r>
      <w:r w:rsidR="00E11398">
        <w:t>12</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_Toc477621562 \h </w:instrText>
      </w:r>
      <w:r>
        <w:fldChar w:fldCharType="separate"/>
      </w:r>
      <w:r w:rsidR="00E11398">
        <w:t>14</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_Toc477621563 \h </w:instrText>
      </w:r>
      <w:r>
        <w:fldChar w:fldCharType="separate"/>
      </w:r>
      <w:r w:rsidR="00E11398">
        <w:t>15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_Toc477621564 \h </w:instrText>
      </w:r>
      <w:r>
        <w:fldChar w:fldCharType="separate"/>
      </w:r>
      <w:r w:rsidR="00E11398">
        <w:t>15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_Toc477621565 \h </w:instrText>
      </w:r>
      <w:r>
        <w:fldChar w:fldCharType="separate"/>
      </w:r>
      <w:r w:rsidR="00E11398">
        <w:t>16</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_Toc477621566 \h </w:instrText>
      </w:r>
      <w:r>
        <w:fldChar w:fldCharType="separate"/>
      </w:r>
      <w:r w:rsidR="00E11398">
        <w:t>16</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_Toc477621567 \h </w:instrText>
      </w:r>
      <w:r>
        <w:fldChar w:fldCharType="separate"/>
      </w:r>
      <w:r w:rsidR="00E11398">
        <w:t>17</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_Toc477621568 \h </w:instrText>
      </w:r>
      <w:r>
        <w:fldChar w:fldCharType="separate"/>
      </w:r>
      <w:r w:rsidR="00E11398">
        <w:t>17</w:t>
      </w:r>
      <w:r>
        <w:fldChar w:fldCharType="end"/>
      </w:r>
    </w:p>
    <w:p w:rsidR="00D15F40" w:rsidRPr="002C7FD8" w:rsidRDefault="00507AD8" w:rsidP="00774E8E">
      <w:pPr>
        <w:keepNext/>
        <w:tabs>
          <w:tab w:val="right" w:pos="9360"/>
        </w:tabs>
        <w:ind w:left="360" w:hanging="360"/>
        <w:rPr>
          <w:rFonts w:cs="Arial"/>
          <w:b/>
          <w:bCs/>
          <w:noProof/>
          <w:sz w:val="22"/>
          <w:szCs w:val="22"/>
        </w:rPr>
      </w:pPr>
      <w:r w:rsidRPr="002C7FD8">
        <w:rPr>
          <w:rFonts w:cs="Arial"/>
          <w:b/>
          <w:bCs/>
          <w:noProof/>
          <w:sz w:val="22"/>
          <w:szCs w:val="22"/>
        </w:rPr>
        <w:fldChar w:fldCharType="end"/>
      </w:r>
    </w:p>
    <w:p w:rsidR="00D15F40" w:rsidRDefault="00D15F40" w:rsidP="00EC43B0">
      <w:pPr>
        <w:pStyle w:val="TOC1"/>
        <w:spacing w:before="0" w:after="6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rsidR="0035340C" w:rsidRPr="0035340C" w:rsidRDefault="0035340C" w:rsidP="00EC43B0">
      <w:pPr>
        <w:pStyle w:val="TOC1"/>
        <w:spacing w:before="0" w:after="60"/>
        <w:rPr>
          <w:szCs w:val="22"/>
        </w:rPr>
      </w:pPr>
      <w:r w:rsidRPr="0035340C">
        <w:rPr>
          <w:szCs w:val="22"/>
        </w:rPr>
        <w:t>C.</w:t>
      </w:r>
      <w:r w:rsidRPr="0035340C">
        <w:rPr>
          <w:szCs w:val="22"/>
        </w:rPr>
        <w:tab/>
      </w:r>
      <w:r w:rsidR="003741A3">
        <w:rPr>
          <w:szCs w:val="22"/>
        </w:rPr>
        <w:t>References</w:t>
      </w:r>
    </w:p>
    <w:p w:rsidR="00504C42" w:rsidRPr="002C7FD8" w:rsidRDefault="00504C42" w:rsidP="00EC43B0">
      <w:pPr>
        <w:keepLines/>
        <w:tabs>
          <w:tab w:val="right" w:pos="9360"/>
        </w:tabs>
        <w:spacing w:after="60"/>
        <w:ind w:left="1260" w:hanging="1260"/>
        <w:rPr>
          <w:rFonts w:cs="Arial"/>
          <w:b/>
          <w:bCs/>
          <w:noProof/>
          <w:sz w:val="22"/>
          <w:szCs w:val="22"/>
        </w:rPr>
      </w:pPr>
      <w:r w:rsidRPr="002C7FD8">
        <w:rPr>
          <w:rFonts w:cs="Arial"/>
          <w:b/>
          <w:bCs/>
          <w:noProof/>
          <w:sz w:val="22"/>
          <w:szCs w:val="22"/>
        </w:rPr>
        <w:t>Appendixes</w:t>
      </w:r>
    </w:p>
    <w:p w:rsidR="003D6D30" w:rsidRDefault="003D6D30" w:rsidP="00EC43B0">
      <w:pPr>
        <w:keepLines/>
        <w:numPr>
          <w:ilvl w:val="0"/>
          <w:numId w:val="7"/>
        </w:numPr>
        <w:spacing w:after="60"/>
        <w:rPr>
          <w:sz w:val="22"/>
          <w:szCs w:val="22"/>
        </w:rPr>
      </w:pPr>
      <w:r>
        <w:rPr>
          <w:sz w:val="22"/>
          <w:szCs w:val="22"/>
        </w:rPr>
        <w:t xml:space="preserve">Technical Review Panel </w:t>
      </w:r>
      <w:r w:rsidR="009B11C7">
        <w:rPr>
          <w:sz w:val="22"/>
          <w:szCs w:val="22"/>
        </w:rPr>
        <w:t xml:space="preserve">(TRP) </w:t>
      </w:r>
      <w:r>
        <w:rPr>
          <w:sz w:val="22"/>
          <w:szCs w:val="22"/>
        </w:rPr>
        <w:t>Members</w:t>
      </w:r>
    </w:p>
    <w:p w:rsidR="003D6D30" w:rsidRDefault="00D9575B" w:rsidP="00EC43B0">
      <w:pPr>
        <w:keepLines/>
        <w:numPr>
          <w:ilvl w:val="0"/>
          <w:numId w:val="7"/>
        </w:numPr>
        <w:spacing w:after="60"/>
        <w:rPr>
          <w:sz w:val="22"/>
          <w:szCs w:val="22"/>
        </w:rPr>
      </w:pPr>
      <w:r>
        <w:rPr>
          <w:sz w:val="22"/>
          <w:szCs w:val="22"/>
        </w:rPr>
        <w:t>Confidentiality for Administrative Record Matching</w:t>
      </w:r>
    </w:p>
    <w:p w:rsidR="00774E8E" w:rsidRDefault="006F7B54" w:rsidP="00EC43B0">
      <w:pPr>
        <w:keepLines/>
        <w:numPr>
          <w:ilvl w:val="0"/>
          <w:numId w:val="7"/>
        </w:numPr>
        <w:spacing w:after="60"/>
        <w:rPr>
          <w:sz w:val="22"/>
          <w:szCs w:val="22"/>
        </w:rPr>
      </w:pPr>
      <w:r>
        <w:rPr>
          <w:sz w:val="22"/>
          <w:szCs w:val="22"/>
        </w:rPr>
        <w:t>Results of Field Test Experiments</w:t>
      </w:r>
    </w:p>
    <w:p w:rsidR="006B4D76" w:rsidRDefault="006B4D76" w:rsidP="00EC43B0">
      <w:pPr>
        <w:keepLines/>
        <w:numPr>
          <w:ilvl w:val="0"/>
          <w:numId w:val="7"/>
        </w:numPr>
        <w:spacing w:after="60"/>
        <w:rPr>
          <w:sz w:val="22"/>
          <w:szCs w:val="22"/>
        </w:rPr>
      </w:pPr>
      <w:r>
        <w:rPr>
          <w:sz w:val="22"/>
          <w:szCs w:val="22"/>
        </w:rPr>
        <w:t>Cognitive Testing Report</w:t>
      </w:r>
    </w:p>
    <w:p w:rsidR="00D14345" w:rsidRDefault="00877CF7" w:rsidP="00EC43B0">
      <w:pPr>
        <w:keepLines/>
        <w:numPr>
          <w:ilvl w:val="0"/>
          <w:numId w:val="7"/>
        </w:numPr>
        <w:spacing w:after="60"/>
        <w:rPr>
          <w:sz w:val="22"/>
          <w:szCs w:val="22"/>
        </w:rPr>
      </w:pPr>
      <w:r>
        <w:rPr>
          <w:sz w:val="22"/>
          <w:szCs w:val="22"/>
        </w:rPr>
        <w:t>Sample Member</w:t>
      </w:r>
      <w:r w:rsidR="00D9575B">
        <w:rPr>
          <w:sz w:val="22"/>
          <w:szCs w:val="22"/>
        </w:rPr>
        <w:t xml:space="preserve"> Communication Materials</w:t>
      </w:r>
    </w:p>
    <w:p w:rsidR="00774E8E" w:rsidRDefault="00A25936" w:rsidP="00EC43B0">
      <w:pPr>
        <w:pStyle w:val="TOC2"/>
        <w:numPr>
          <w:ilvl w:val="0"/>
          <w:numId w:val="7"/>
        </w:numPr>
        <w:spacing w:before="0" w:after="60"/>
        <w:rPr>
          <w:szCs w:val="22"/>
        </w:rPr>
      </w:pPr>
      <w:r w:rsidRPr="004B2992">
        <w:rPr>
          <w:szCs w:val="22"/>
        </w:rPr>
        <w:t>Student Interview Facsimile</w:t>
      </w:r>
      <w:r w:rsidR="00CF46E2">
        <w:rPr>
          <w:szCs w:val="22"/>
        </w:rPr>
        <w:t xml:space="preserve">, Including </w:t>
      </w:r>
      <w:r w:rsidR="00214B46">
        <w:rPr>
          <w:szCs w:val="22"/>
        </w:rPr>
        <w:t>El</w:t>
      </w:r>
      <w:r w:rsidR="00F8372B">
        <w:rPr>
          <w:szCs w:val="22"/>
        </w:rPr>
        <w:t>i</w:t>
      </w:r>
      <w:r w:rsidR="00214B46">
        <w:rPr>
          <w:szCs w:val="22"/>
        </w:rPr>
        <w:t xml:space="preserve">gibility Screener with Address Update, and </w:t>
      </w:r>
      <w:r w:rsidR="00CF46E2">
        <w:rPr>
          <w:szCs w:val="22"/>
        </w:rPr>
        <w:t xml:space="preserve">Abbreviated </w:t>
      </w:r>
      <w:r w:rsidR="00385D7C">
        <w:rPr>
          <w:szCs w:val="22"/>
        </w:rPr>
        <w:t>Interview</w:t>
      </w:r>
    </w:p>
    <w:p w:rsidR="00D9575B" w:rsidRDefault="00D9575B" w:rsidP="00774E8E">
      <w:pPr>
        <w:keepNext/>
        <w:tabs>
          <w:tab w:val="right" w:pos="10620"/>
        </w:tabs>
        <w:ind w:left="360" w:hanging="360"/>
        <w:rPr>
          <w:b/>
          <w:bCs/>
          <w:sz w:val="22"/>
          <w:szCs w:val="22"/>
        </w:rPr>
      </w:pPr>
    </w:p>
    <w:p w:rsidR="0087411A" w:rsidRPr="002C7FD8" w:rsidRDefault="00724957" w:rsidP="00EC43B0">
      <w:pPr>
        <w:keepNext/>
        <w:tabs>
          <w:tab w:val="right" w:pos="10620"/>
        </w:tabs>
        <w:spacing w:after="60"/>
        <w:ind w:left="360" w:hanging="360"/>
        <w:rPr>
          <w:b/>
          <w:bCs/>
          <w:sz w:val="22"/>
          <w:szCs w:val="22"/>
        </w:rPr>
      </w:pPr>
      <w:r w:rsidRPr="002C7FD8">
        <w:rPr>
          <w:b/>
          <w:bCs/>
          <w:sz w:val="22"/>
          <w:szCs w:val="22"/>
        </w:rPr>
        <w:t>Tables</w:t>
      </w:r>
      <w:r w:rsidR="00D14345">
        <w:rPr>
          <w:b/>
          <w:bCs/>
          <w:sz w:val="22"/>
          <w:szCs w:val="22"/>
        </w:rPr>
        <w:t xml:space="preserve"> </w:t>
      </w:r>
      <w:r w:rsidR="00E27E91" w:rsidRPr="002C7FD8">
        <w:rPr>
          <w:b/>
          <w:bCs/>
          <w:sz w:val="22"/>
          <w:szCs w:val="22"/>
        </w:rPr>
        <w:t>Page</w:t>
      </w:r>
    </w:p>
    <w:p w:rsidR="000F7F52" w:rsidRDefault="0087411A" w:rsidP="00EC43B0">
      <w:pPr>
        <w:pStyle w:val="TOC5"/>
        <w:spacing w:before="0" w:after="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0F7F52">
        <w:t>Table 1. Chronology of NPSAS and its longitudinal components</w:t>
      </w:r>
      <w:r w:rsidR="000F7F52">
        <w:tab/>
      </w:r>
      <w:r w:rsidR="000F7F52">
        <w:fldChar w:fldCharType="begin"/>
      </w:r>
      <w:r w:rsidR="000F7F52">
        <w:instrText xml:space="preserve"> PAGEREF _Toc474244119 \h </w:instrText>
      </w:r>
      <w:r w:rsidR="000F7F52">
        <w:fldChar w:fldCharType="separate"/>
      </w:r>
      <w:r w:rsidR="00E11398">
        <w:t>5</w:t>
      </w:r>
      <w:r w:rsidR="000F7F52">
        <w:fldChar w:fldCharType="end"/>
      </w:r>
    </w:p>
    <w:p w:rsidR="000F7F52" w:rsidRDefault="000F7F52" w:rsidP="00EC43B0">
      <w:pPr>
        <w:pStyle w:val="TOC5"/>
        <w:spacing w:before="0" w:after="60"/>
        <w:rPr>
          <w:rFonts w:asciiTheme="minorHAnsi" w:eastAsiaTheme="minorEastAsia" w:hAnsiTheme="minorHAnsi" w:cstheme="minorBidi"/>
          <w:szCs w:val="22"/>
        </w:rPr>
      </w:pPr>
      <w:r>
        <w:t>Table 2. Distribu</w:t>
      </w:r>
      <w:r w:rsidR="0028522A">
        <w:t xml:space="preserve">tion of incentive amounts for </w:t>
      </w:r>
      <w:r>
        <w:t xml:space="preserve">the B&amp;B:16/17 </w:t>
      </w:r>
      <w:r w:rsidR="0028522A">
        <w:t>data collection</w:t>
      </w:r>
      <w:r>
        <w:tab/>
      </w:r>
      <w:r w:rsidR="005069CE">
        <w:t>12</w:t>
      </w:r>
    </w:p>
    <w:p w:rsidR="000F7F52" w:rsidRDefault="000F7F52" w:rsidP="00EC43B0">
      <w:pPr>
        <w:pStyle w:val="TOC5"/>
        <w:spacing w:before="0" w:after="60"/>
        <w:rPr>
          <w:rFonts w:asciiTheme="minorHAnsi" w:eastAsiaTheme="minorEastAsia" w:hAnsiTheme="minorHAnsi" w:cstheme="minorBidi"/>
          <w:szCs w:val="22"/>
        </w:rPr>
      </w:pPr>
      <w:r>
        <w:t>Tabl</w:t>
      </w:r>
      <w:r w:rsidR="00266BF4">
        <w:t>e 3. Maximum estimated burden</w:t>
      </w:r>
      <w:r>
        <w:t xml:space="preserve"> to respondents in B&amp;B:16/17</w:t>
      </w:r>
      <w:r>
        <w:tab/>
      </w:r>
      <w:r>
        <w:fldChar w:fldCharType="begin"/>
      </w:r>
      <w:r>
        <w:instrText xml:space="preserve"> PAGEREF _Toc474244121 \h </w:instrText>
      </w:r>
      <w:r>
        <w:fldChar w:fldCharType="separate"/>
      </w:r>
      <w:r w:rsidR="00E11398">
        <w:t>15</w:t>
      </w:r>
      <w:r>
        <w:fldChar w:fldCharType="end"/>
      </w:r>
    </w:p>
    <w:p w:rsidR="000F7F52" w:rsidRDefault="000F7F52" w:rsidP="00EC43B0">
      <w:pPr>
        <w:pStyle w:val="TOC5"/>
        <w:spacing w:before="0" w:after="60"/>
        <w:rPr>
          <w:rFonts w:asciiTheme="minorHAnsi" w:eastAsiaTheme="minorEastAsia" w:hAnsiTheme="minorHAnsi" w:cstheme="minorBidi"/>
          <w:szCs w:val="22"/>
        </w:rPr>
      </w:pPr>
      <w:r>
        <w:t xml:space="preserve">Table 4. Costs to NCES for the B&amp;B:16/17 field test and </w:t>
      </w:r>
      <w:r w:rsidR="00FC53D8">
        <w:t>main study</w:t>
      </w:r>
      <w:r>
        <w:tab/>
      </w:r>
      <w:r>
        <w:fldChar w:fldCharType="begin"/>
      </w:r>
      <w:r>
        <w:instrText xml:space="preserve"> PAGEREF _Toc474244122 \h </w:instrText>
      </w:r>
      <w:r>
        <w:fldChar w:fldCharType="separate"/>
      </w:r>
      <w:r w:rsidR="00E11398">
        <w:t>15</w:t>
      </w:r>
      <w:r>
        <w:fldChar w:fldCharType="end"/>
      </w:r>
    </w:p>
    <w:p w:rsidR="000F7F52" w:rsidRDefault="000F7F52" w:rsidP="00EC43B0">
      <w:pPr>
        <w:pStyle w:val="TOC5"/>
        <w:spacing w:before="0" w:after="60"/>
        <w:rPr>
          <w:rFonts w:asciiTheme="minorHAnsi" w:eastAsiaTheme="minorEastAsia" w:hAnsiTheme="minorHAnsi" w:cstheme="minorBidi"/>
          <w:szCs w:val="22"/>
        </w:rPr>
      </w:pPr>
      <w:r w:rsidRPr="003769E1">
        <w:rPr>
          <w:rFonts w:eastAsia="MS Mincho"/>
        </w:rPr>
        <w:t>Table 5. Contract costs for B&amp;B:16/17</w:t>
      </w:r>
      <w:r>
        <w:tab/>
      </w:r>
      <w:r>
        <w:fldChar w:fldCharType="begin"/>
      </w:r>
      <w:r>
        <w:instrText xml:space="preserve"> PAGEREF _Toc474244123 \h </w:instrText>
      </w:r>
      <w:r>
        <w:fldChar w:fldCharType="separate"/>
      </w:r>
      <w:r w:rsidR="00E11398">
        <w:t>15</w:t>
      </w:r>
      <w:r>
        <w:fldChar w:fldCharType="end"/>
      </w:r>
    </w:p>
    <w:p w:rsidR="000F7F52" w:rsidRDefault="000F7F52" w:rsidP="00EC43B0">
      <w:pPr>
        <w:pStyle w:val="TOC5"/>
        <w:spacing w:before="0" w:after="60"/>
        <w:rPr>
          <w:rFonts w:asciiTheme="minorHAnsi" w:eastAsiaTheme="minorEastAsia" w:hAnsiTheme="minorHAnsi" w:cstheme="minorBidi"/>
          <w:szCs w:val="22"/>
        </w:rPr>
      </w:pPr>
      <w:r w:rsidRPr="003769E1">
        <w:rPr>
          <w:rFonts w:eastAsia="MS Mincho"/>
        </w:rPr>
        <w:t>Table 6. Operational schedule for B&amp;B:16/17</w:t>
      </w:r>
      <w:r>
        <w:tab/>
      </w:r>
      <w:r>
        <w:fldChar w:fldCharType="begin"/>
      </w:r>
      <w:r>
        <w:instrText xml:space="preserve"> PAGEREF _Toc474244124 \h </w:instrText>
      </w:r>
      <w:r>
        <w:fldChar w:fldCharType="separate"/>
      </w:r>
      <w:r w:rsidR="00E11398">
        <w:t>16</w:t>
      </w:r>
      <w:r>
        <w:fldChar w:fldCharType="end"/>
      </w:r>
    </w:p>
    <w:p w:rsidR="0028522A" w:rsidRDefault="0087411A" w:rsidP="00EC43B0">
      <w:pPr>
        <w:pStyle w:val="TOC5"/>
        <w:tabs>
          <w:tab w:val="clear" w:pos="9360"/>
          <w:tab w:val="right" w:leader="dot" w:pos="10620"/>
        </w:tabs>
        <w:spacing w:before="0" w:after="60"/>
        <w:ind w:left="720" w:right="0" w:hanging="360"/>
        <w:rPr>
          <w:rFonts w:cs="Arial"/>
          <w:b/>
          <w:bCs/>
          <w:szCs w:val="22"/>
        </w:rPr>
      </w:pPr>
      <w:r w:rsidRPr="002C7FD8">
        <w:rPr>
          <w:rFonts w:cs="Arial"/>
          <w:b/>
          <w:bCs/>
          <w:szCs w:val="22"/>
        </w:rPr>
        <w:fldChar w:fldCharType="end"/>
      </w:r>
      <w:bookmarkStart w:id="4" w:name="_Toc418171228"/>
      <w:bookmarkStart w:id="5" w:name="_Toc99781028"/>
      <w:bookmarkStart w:id="6" w:name="_Toc115671404"/>
      <w:bookmarkStart w:id="7" w:name="_Toc383113357"/>
      <w:bookmarkStart w:id="8" w:name="_Toc418171229"/>
      <w:bookmarkEnd w:id="4"/>
    </w:p>
    <w:p w:rsidR="00091671" w:rsidRPr="00CD167A" w:rsidRDefault="00462551" w:rsidP="00975A2B">
      <w:pPr>
        <w:pStyle w:val="Heading1"/>
        <w:spacing w:line="23" w:lineRule="atLeast"/>
      </w:pPr>
      <w:bookmarkStart w:id="9" w:name="_Toc477621544"/>
      <w:r w:rsidRPr="00CD167A">
        <w:lastRenderedPageBreak/>
        <w:t>Justification</w:t>
      </w:r>
      <w:bookmarkEnd w:id="5"/>
      <w:bookmarkEnd w:id="6"/>
      <w:bookmarkEnd w:id="7"/>
      <w:bookmarkEnd w:id="8"/>
      <w:bookmarkEnd w:id="9"/>
    </w:p>
    <w:p w:rsidR="002D2120" w:rsidRPr="00CD167A" w:rsidRDefault="00091671" w:rsidP="00975A2B">
      <w:pPr>
        <w:pStyle w:val="Heading2"/>
        <w:spacing w:before="0" w:line="23" w:lineRule="atLeast"/>
        <w:ind w:left="1094" w:hanging="547"/>
      </w:pPr>
      <w:bookmarkStart w:id="10" w:name="_Toc99781029"/>
      <w:bookmarkStart w:id="11" w:name="_Toc115671405"/>
      <w:bookmarkStart w:id="12" w:name="_Toc383113358"/>
      <w:bookmarkStart w:id="13" w:name="_Toc477621545"/>
      <w:r w:rsidRPr="00CD167A">
        <w:t xml:space="preserve">Circumstances Making Collection of Information </w:t>
      </w:r>
      <w:bookmarkStart w:id="14" w:name="_Toc99781030"/>
      <w:bookmarkEnd w:id="10"/>
      <w:r w:rsidR="00462551" w:rsidRPr="00CD167A">
        <w:t>Necessary</w:t>
      </w:r>
      <w:bookmarkEnd w:id="11"/>
      <w:bookmarkEnd w:id="12"/>
      <w:bookmarkEnd w:id="13"/>
    </w:p>
    <w:p w:rsidR="00091671" w:rsidRPr="00A869C5" w:rsidRDefault="00091671" w:rsidP="00975A2B">
      <w:pPr>
        <w:pStyle w:val="Heading3"/>
        <w:spacing w:before="0" w:line="23" w:lineRule="atLeast"/>
      </w:pPr>
      <w:bookmarkStart w:id="15" w:name="_Toc115671406"/>
      <w:bookmarkStart w:id="16" w:name="_Toc383113359"/>
      <w:bookmarkStart w:id="17" w:name="_Toc477621546"/>
      <w:r w:rsidRPr="00A869C5">
        <w:t>Purpose of this Submission</w:t>
      </w:r>
      <w:bookmarkEnd w:id="14"/>
      <w:bookmarkEnd w:id="15"/>
      <w:bookmarkEnd w:id="16"/>
      <w:bookmarkEnd w:id="17"/>
    </w:p>
    <w:p w:rsidR="006C6B85" w:rsidRPr="00FC70EB" w:rsidRDefault="006C6B85" w:rsidP="00B21ADD">
      <w:pPr>
        <w:pStyle w:val="BodyText"/>
        <w:ind w:firstLine="0"/>
      </w:pPr>
      <w:r w:rsidRPr="00FC70EB">
        <w:t xml:space="preserve">This </w:t>
      </w:r>
      <w:r>
        <w:t xml:space="preserve">request is for the </w:t>
      </w:r>
      <w:r w:rsidRPr="00FC70EB">
        <w:t>National Center for Education Statistics (NCES), within the Institute of Education Sciences (IES), part of the U.S. Department of Education</w:t>
      </w:r>
      <w:r>
        <w:t>, to conduct the 2016/</w:t>
      </w:r>
      <w:r w:rsidRPr="00FC70EB">
        <w:t>1</w:t>
      </w:r>
      <w:r>
        <w:t xml:space="preserve">7 </w:t>
      </w:r>
      <w:r w:rsidRPr="00FC70EB">
        <w:t>Baccalaureate and Beyond Longitudinal Study (</w:t>
      </w:r>
      <w:r w:rsidRPr="00FC70EB">
        <w:rPr>
          <w:iCs/>
        </w:rPr>
        <w:t>B&amp;B:</w:t>
      </w:r>
      <w:r>
        <w:rPr>
          <w:iCs/>
        </w:rPr>
        <w:t>16/17</w:t>
      </w:r>
      <w:r w:rsidRPr="00FC70EB">
        <w:t>)</w:t>
      </w:r>
      <w:r w:rsidR="00B21ADD">
        <w:t xml:space="preserve"> </w:t>
      </w:r>
      <w:r w:rsidR="00AA446A">
        <w:t xml:space="preserve">and </w:t>
      </w:r>
      <w:r w:rsidR="00AA446A" w:rsidRPr="00AA446A">
        <w:t>B&amp;B:16/20 field test study</w:t>
      </w:r>
      <w:r w:rsidR="00AA446A" w:rsidRPr="00AA446A">
        <w:t xml:space="preserve"> panel maintenance activities</w:t>
      </w:r>
      <w:r>
        <w:rPr>
          <w:iCs/>
        </w:rPr>
        <w:t xml:space="preserve">. </w:t>
      </w:r>
      <w:r w:rsidRPr="00FC70EB">
        <w:t>This submission covers B&amp;B</w:t>
      </w:r>
      <w:proofErr w:type="gramStart"/>
      <w:r w:rsidRPr="00FC70EB">
        <w:t>:</w:t>
      </w:r>
      <w:r>
        <w:t>16</w:t>
      </w:r>
      <w:proofErr w:type="gramEnd"/>
      <w:r>
        <w:t>/17</w:t>
      </w:r>
      <w:r w:rsidRPr="00FC70EB">
        <w:t xml:space="preserve"> </w:t>
      </w:r>
      <w:r w:rsidR="0083689E">
        <w:t>main study recruitment,</w:t>
      </w:r>
      <w:bookmarkStart w:id="18" w:name="_GoBack"/>
      <w:bookmarkEnd w:id="18"/>
      <w:r w:rsidRPr="00FC70EB">
        <w:t xml:space="preserve"> </w:t>
      </w:r>
      <w:r w:rsidR="00DA3B66">
        <w:t>administering</w:t>
      </w:r>
      <w:r>
        <w:t xml:space="preserve"> the </w:t>
      </w:r>
      <w:r w:rsidR="00FF12AE">
        <w:t xml:space="preserve">eligibility screener and </w:t>
      </w:r>
      <w:r w:rsidRPr="00FC70EB">
        <w:t>student survey</w:t>
      </w:r>
      <w:r w:rsidR="00FF12AE">
        <w:t>,</w:t>
      </w:r>
      <w:r w:rsidRPr="00FC70EB">
        <w:t xml:space="preserve"> and matching data to administrative </w:t>
      </w:r>
      <w:r>
        <w:t>records</w:t>
      </w:r>
      <w:r w:rsidRPr="00FC70EB">
        <w:t xml:space="preserve">. </w:t>
      </w:r>
      <w:r w:rsidR="00774E8E">
        <w:t>T</w:t>
      </w:r>
      <w:r w:rsidR="009A1083" w:rsidRPr="00FC70EB">
        <w:t xml:space="preserve">he </w:t>
      </w:r>
      <w:r w:rsidR="0083689E">
        <w:t>main study materials</w:t>
      </w:r>
      <w:r w:rsidR="009A1083">
        <w:t xml:space="preserve"> </w:t>
      </w:r>
      <w:proofErr w:type="gramStart"/>
      <w:r w:rsidR="009A1083">
        <w:t xml:space="preserve">are </w:t>
      </w:r>
      <w:r w:rsidR="009A1083" w:rsidRPr="00FC70EB">
        <w:t>based</w:t>
      </w:r>
      <w:proofErr w:type="gramEnd"/>
      <w:r w:rsidR="009A1083" w:rsidRPr="00FC70EB">
        <w:t xml:space="preserve"> on the field test materials</w:t>
      </w:r>
      <w:r w:rsidR="00774E8E">
        <w:t xml:space="preserve"> approved in May 2016 </w:t>
      </w:r>
      <w:r w:rsidR="00DA3B66">
        <w:t>and</w:t>
      </w:r>
      <w:r w:rsidR="00774E8E">
        <w:t xml:space="preserve"> revis</w:t>
      </w:r>
      <w:r w:rsidR="00DA3B66">
        <w:t>ed</w:t>
      </w:r>
      <w:r w:rsidR="00774E8E">
        <w:t xml:space="preserve"> in June 2016 (OMB# 1850-0926 v.1-2)</w:t>
      </w:r>
      <w:r w:rsidR="00A1262B">
        <w:t xml:space="preserve">. </w:t>
      </w:r>
      <w:r w:rsidR="00AA446A">
        <w:t xml:space="preserve">An experiment </w:t>
      </w:r>
      <w:proofErr w:type="gramStart"/>
      <w:r w:rsidR="00AA446A">
        <w:t>has been added</w:t>
      </w:r>
      <w:proofErr w:type="gramEnd"/>
      <w:r w:rsidR="00AA446A">
        <w:t xml:space="preserve"> to</w:t>
      </w:r>
      <w:r w:rsidR="00F91BA3">
        <w:t xml:space="preserve"> the </w:t>
      </w:r>
      <w:r w:rsidR="00DA3B66">
        <w:t>main study</w:t>
      </w:r>
      <w:r w:rsidR="00F91BA3">
        <w:t xml:space="preserve"> </w:t>
      </w:r>
      <w:r w:rsidR="00774E8E">
        <w:t>to test different versions and p</w:t>
      </w:r>
      <w:r w:rsidR="00FA63E9">
        <w:t xml:space="preserve">lacement of </w:t>
      </w:r>
      <w:r w:rsidR="00786405">
        <w:t>the</w:t>
      </w:r>
      <w:r w:rsidR="00EC1474">
        <w:t xml:space="preserve"> </w:t>
      </w:r>
      <w:r w:rsidR="00774E8E">
        <w:t>c</w:t>
      </w:r>
      <w:r w:rsidR="00EC1474">
        <w:t xml:space="preserve">onfidentiality </w:t>
      </w:r>
      <w:r w:rsidR="00774E8E">
        <w:t xml:space="preserve">pledge cited in recruitment materials </w:t>
      </w:r>
      <w:r w:rsidR="009E2908">
        <w:t xml:space="preserve">sent to sample members </w:t>
      </w:r>
      <w:r w:rsidR="00774E8E">
        <w:t>and on the survey instrument</w:t>
      </w:r>
      <w:r w:rsidR="00A1262B">
        <w:t xml:space="preserve">. </w:t>
      </w:r>
      <w:r w:rsidRPr="005C33C6">
        <w:t>As part of this submission, NCES is publishing a notice in the Federal Register allowing a 30-day public comment period on the final details of the B&amp;B</w:t>
      </w:r>
      <w:proofErr w:type="gramStart"/>
      <w:r w:rsidRPr="005C33C6">
        <w:t>:16</w:t>
      </w:r>
      <w:proofErr w:type="gramEnd"/>
      <w:r w:rsidRPr="005C33C6">
        <w:t xml:space="preserve">/17 </w:t>
      </w:r>
      <w:r w:rsidR="00DA3B66">
        <w:t>main</w:t>
      </w:r>
      <w:r w:rsidRPr="005C33C6">
        <w:t xml:space="preserve"> study</w:t>
      </w:r>
      <w:r>
        <w:t>.</w:t>
      </w:r>
    </w:p>
    <w:p w:rsidR="006C6B85" w:rsidRDefault="006C6B85" w:rsidP="006C6B85">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proofErr w:type="gramStart"/>
      <w:r>
        <w:rPr>
          <w:rFonts w:ascii="Garamond" w:hAnsi="Garamond"/>
        </w:rPr>
        <w:t>school teachers</w:t>
      </w:r>
      <w:proofErr w:type="gramEnd"/>
      <w:r>
        <w:rPr>
          <w:rFonts w:ascii="Garamond" w:hAnsi="Garamond"/>
        </w:rPr>
        <w:t xml:space="preserve">. The B&amp;B-eligible cohort </w:t>
      </w:r>
      <w:proofErr w:type="gramStart"/>
      <w:r>
        <w:rPr>
          <w:rFonts w:ascii="Garamond" w:hAnsi="Garamond"/>
        </w:rPr>
        <w:t>is initially identified</w:t>
      </w:r>
      <w:proofErr w:type="gramEnd"/>
      <w:r>
        <w:rPr>
          <w:rFonts w:ascii="Garamond" w:hAnsi="Garamond"/>
        </w:rPr>
        <w:t xml:space="preserve"> in the National Postsecondary Study Aid Study (NPSAS). </w:t>
      </w:r>
      <w:r w:rsidRPr="00FC70EB">
        <w:rPr>
          <w:rFonts w:ascii="Garamond" w:hAnsi="Garamond"/>
        </w:rPr>
        <w:t>The first cohort (B&amp;B</w:t>
      </w:r>
      <w:proofErr w:type="gramStart"/>
      <w:r w:rsidRPr="00FC70EB">
        <w:rPr>
          <w:rFonts w:ascii="Garamond" w:hAnsi="Garamond"/>
        </w:rPr>
        <w:t>:93</w:t>
      </w:r>
      <w:proofErr w:type="gramEnd"/>
      <w:r w:rsidRPr="00FC70EB">
        <w:rPr>
          <w:rFonts w:ascii="Garamond" w:hAnsi="Garamond"/>
        </w:rPr>
        <w:t xml:space="preserve">)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proofErr w:type="gramStart"/>
      <w:r>
        <w:rPr>
          <w:rFonts w:ascii="Garamond" w:hAnsi="Garamond"/>
        </w:rPr>
        <w:t>:93</w:t>
      </w:r>
      <w:proofErr w:type="gramEnd"/>
      <w:r>
        <w:rPr>
          <w:rFonts w:ascii="Garamond" w:hAnsi="Garamond"/>
        </w:rPr>
        <w:t xml:space="preserve"> provided the base-year data</w:t>
      </w:r>
      <w:r w:rsidRPr="00FC70EB">
        <w:rPr>
          <w:rFonts w:ascii="Garamond" w:hAnsi="Garamond"/>
        </w:rPr>
        <w:t xml:space="preserve"> and students were interviewed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w:t>
      </w:r>
      <w:proofErr w:type="gramStart"/>
      <w:r w:rsidRPr="00FC70EB">
        <w:rPr>
          <w:rFonts w:ascii="Garamond" w:hAnsi="Garamond"/>
        </w:rPr>
        <w:t>:93</w:t>
      </w:r>
      <w:proofErr w:type="gramEnd"/>
      <w:r w:rsidRPr="00FC70EB">
        <w:rPr>
          <w:rFonts w:ascii="Garamond" w:hAnsi="Garamond"/>
        </w:rPr>
        <w:t xml:space="preserve"> cohort was surveyed again in 1997 and 2003. The second cohort (B&amp;B</w:t>
      </w:r>
      <w:proofErr w:type="gramStart"/>
      <w:r w:rsidRPr="00FC70EB">
        <w:rPr>
          <w:rFonts w:ascii="Garamond" w:hAnsi="Garamond"/>
        </w:rPr>
        <w:t>:2000</w:t>
      </w:r>
      <w:proofErr w:type="gramEnd"/>
      <w:r w:rsidRPr="00FC70EB">
        <w:rPr>
          <w:rFonts w:ascii="Garamond" w:hAnsi="Garamond"/>
        </w:rPr>
        <w:t>)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w:t>
      </w:r>
      <w:proofErr w:type="gramStart"/>
      <w:r w:rsidRPr="00FC70EB">
        <w:rPr>
          <w:rFonts w:ascii="Garamond" w:hAnsi="Garamond"/>
        </w:rPr>
        <w:t>:08</w:t>
      </w:r>
      <w:proofErr w:type="gramEnd"/>
      <w:r w:rsidRPr="00FC70EB">
        <w:rPr>
          <w:rFonts w:ascii="Garamond" w:hAnsi="Garamond"/>
        </w:rPr>
        <w:t>) was selected from NPSAS:2008</w:t>
      </w:r>
      <w:r>
        <w:rPr>
          <w:rFonts w:ascii="Garamond" w:hAnsi="Garamond"/>
        </w:rPr>
        <w:t>,</w:t>
      </w:r>
      <w:r w:rsidRPr="00FC70EB">
        <w:rPr>
          <w:rFonts w:ascii="Garamond" w:hAnsi="Garamond"/>
        </w:rPr>
        <w:t xml:space="preserve"> which became the base year for follow-up interviews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The B&amp;B</w:t>
      </w:r>
      <w:proofErr w:type="gramStart"/>
      <w:r w:rsidRPr="00FC70EB">
        <w:rPr>
          <w:rFonts w:ascii="Garamond" w:hAnsi="Garamond"/>
        </w:rPr>
        <w:t>:93</w:t>
      </w:r>
      <w:proofErr w:type="gramEnd"/>
      <w:r w:rsidRPr="00FC70EB">
        <w:rPr>
          <w:rFonts w:ascii="Garamond" w:hAnsi="Garamond"/>
        </w:rPr>
        <w:t xml:space="preserve"> and B&amp;B:08 cohorts included transcript collections. </w:t>
      </w:r>
      <w:r>
        <w:rPr>
          <w:rFonts w:ascii="Garamond" w:hAnsi="Garamond"/>
        </w:rPr>
        <w:t xml:space="preserve">Please note that the </w:t>
      </w:r>
      <w:r w:rsidR="004A14EC">
        <w:rPr>
          <w:rFonts w:ascii="Garamond" w:hAnsi="Garamond"/>
        </w:rPr>
        <w:t>B&amp;B</w:t>
      </w:r>
      <w:proofErr w:type="gramStart"/>
      <w:r w:rsidR="004A14EC">
        <w:rPr>
          <w:rFonts w:ascii="Garamond" w:hAnsi="Garamond"/>
        </w:rPr>
        <w:t>:08</w:t>
      </w:r>
      <w:proofErr w:type="gramEnd"/>
      <w:r w:rsidR="004A14EC">
        <w:rPr>
          <w:rFonts w:ascii="Garamond" w:hAnsi="Garamond"/>
        </w:rPr>
        <w:t xml:space="preserve">/18 </w:t>
      </w:r>
      <w:r>
        <w:rPr>
          <w:rFonts w:ascii="Garamond" w:hAnsi="Garamond"/>
        </w:rPr>
        <w:t xml:space="preserve">field test and the </w:t>
      </w:r>
      <w:r w:rsidR="004A14EC">
        <w:rPr>
          <w:rFonts w:ascii="Garamond" w:hAnsi="Garamond"/>
        </w:rPr>
        <w:t xml:space="preserve">B&amp;B:16/17 main study </w:t>
      </w:r>
      <w:r>
        <w:rPr>
          <w:rFonts w:ascii="Garamond" w:hAnsi="Garamond"/>
        </w:rPr>
        <w:t xml:space="preserve">will be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B&amp;B cohorts prior to B&amp;B</w:t>
      </w:r>
      <w:proofErr w:type="gramStart"/>
      <w:r w:rsidRPr="00335EE5">
        <w:rPr>
          <w:rFonts w:ascii="Garamond" w:hAnsi="Garamond"/>
        </w:rPr>
        <w:t>:16</w:t>
      </w:r>
      <w:proofErr w:type="gramEnd"/>
      <w:r w:rsidRPr="00335EE5">
        <w:rPr>
          <w:rFonts w:ascii="Garamond" w:hAnsi="Garamond"/>
        </w:rPr>
        <w:t xml:space="preserve">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RDefault="00E42514" w:rsidP="00EC43B0">
      <w:pPr>
        <w:widowControl w:val="0"/>
        <w:spacing w:after="120" w:line="23" w:lineRule="atLeast"/>
      </w:pPr>
      <w:r w:rsidRPr="00DD7320">
        <w:t>The differences</w:t>
      </w:r>
      <w:r w:rsidRPr="00244E8A">
        <w:t xml:space="preserve"> between </w:t>
      </w:r>
      <w:r w:rsidR="009F19C0">
        <w:t>th</w:t>
      </w:r>
      <w:r w:rsidR="007124B0">
        <w:t>e</w:t>
      </w:r>
      <w:r w:rsidRPr="00244E8A">
        <w:t xml:space="preserve"> study designs a</w:t>
      </w:r>
      <w:r w:rsidR="00EF729A">
        <w:t xml:space="preserve">pproved for the </w:t>
      </w:r>
      <w:r w:rsidR="006C6B85">
        <w:t>B&amp;B</w:t>
      </w:r>
      <w:proofErr w:type="gramStart"/>
      <w:r w:rsidR="006C6B85">
        <w:t>:16</w:t>
      </w:r>
      <w:proofErr w:type="gramEnd"/>
      <w:r w:rsidR="006C6B85">
        <w:t xml:space="preserve">/17 </w:t>
      </w:r>
      <w:r w:rsidR="00EF729A">
        <w:t xml:space="preserve">field test and </w:t>
      </w:r>
      <w:r w:rsidR="005D63EF">
        <w:t>for B&amp;B:08</w:t>
      </w:r>
      <w:r w:rsidR="001A42B3">
        <w:t xml:space="preserve"> cohort </w:t>
      </w:r>
      <w:r w:rsidR="004A14EC">
        <w:t>versus</w:t>
      </w:r>
      <w:r w:rsidR="009F19C0" w:rsidRPr="00244E8A">
        <w:t xml:space="preserve"> the B&amp;B:16/17 </w:t>
      </w:r>
      <w:r w:rsidR="004A14EC">
        <w:t>main</w:t>
      </w:r>
      <w:r w:rsidR="009F19C0" w:rsidRPr="00244E8A">
        <w:t xml:space="preserve"> study </w:t>
      </w:r>
      <w:r w:rsidR="004A14EC" w:rsidRPr="00244E8A">
        <w:t xml:space="preserve">plans </w:t>
      </w:r>
      <w:r>
        <w:t>are minimal and intended to build upon information gained in th</w:t>
      </w:r>
      <w:r w:rsidR="004A14EC">
        <w:t>e</w:t>
      </w:r>
      <w:r>
        <w:t xml:space="preserve"> </w:t>
      </w:r>
      <w:r w:rsidR="006C6B85">
        <w:t xml:space="preserve">earlier </w:t>
      </w:r>
      <w:r>
        <w:t xml:space="preserve">collections. </w:t>
      </w:r>
      <w:r w:rsidRPr="00214071">
        <w:t>The B&amp;B</w:t>
      </w:r>
      <w:proofErr w:type="gramStart"/>
      <w:r w:rsidRPr="00214071">
        <w:t>:16</w:t>
      </w:r>
      <w:proofErr w:type="gramEnd"/>
      <w:r w:rsidRPr="00214071">
        <w:t xml:space="preserve">/17 </w:t>
      </w:r>
      <w:r w:rsidR="004A14EC">
        <w:t>main</w:t>
      </w:r>
      <w:r w:rsidRPr="00214071">
        <w:t xml:space="preserve"> study will continue to focus data collection </w:t>
      </w:r>
      <w:r w:rsidR="004607AC">
        <w:t xml:space="preserve">interventions </w:t>
      </w:r>
      <w:r w:rsidRPr="00214071">
        <w:t xml:space="preserve">on the B&amp;B-eligible </w:t>
      </w:r>
      <w:r w:rsidR="009B32B8" w:rsidRPr="00214071">
        <w:t>NPSAS:16</w:t>
      </w:r>
      <w:r w:rsidR="009B32B8">
        <w:t xml:space="preserve"> </w:t>
      </w:r>
      <w:r w:rsidRPr="00214071">
        <w:t>(</w:t>
      </w:r>
      <w:r w:rsidR="009B32B8" w:rsidRPr="00214071">
        <w:t>base-year</w:t>
      </w:r>
      <w:r w:rsidRPr="00214071">
        <w:t xml:space="preserve">) interview </w:t>
      </w:r>
      <w:proofErr w:type="spellStart"/>
      <w:r w:rsidRPr="00214071">
        <w:t>nonrespondent</w:t>
      </w:r>
      <w:proofErr w:type="spellEnd"/>
      <w:r w:rsidRPr="00214071">
        <w:t xml:space="preserve"> sample, as they have proved the most </w:t>
      </w:r>
      <w:r w:rsidR="00443E73">
        <w:t>challenging</w:t>
      </w:r>
      <w:r w:rsidRPr="00214071">
        <w:t xml:space="preserve"> to encourage to participate in the B&amp;B follow-up surveys. </w:t>
      </w:r>
      <w:proofErr w:type="gramStart"/>
      <w:r w:rsidRPr="00214071">
        <w:t xml:space="preserve">Part B of this submission describes </w:t>
      </w:r>
      <w:r w:rsidR="005D63EF">
        <w:t>the main study</w:t>
      </w:r>
      <w:r w:rsidRPr="00214071">
        <w:t xml:space="preserve"> design that </w:t>
      </w:r>
      <w:r w:rsidR="009B32B8">
        <w:t>employ</w:t>
      </w:r>
      <w:r w:rsidR="00530CED">
        <w:t>s</w:t>
      </w:r>
      <w:r w:rsidRPr="00214071">
        <w:t xml:space="preserve"> a variation of protocols for </w:t>
      </w:r>
      <w:r w:rsidR="009B32B8">
        <w:t xml:space="preserve">five groups of </w:t>
      </w:r>
      <w:r w:rsidRPr="00214071">
        <w:t>NPSAS study members</w:t>
      </w:r>
      <w:r w:rsidR="009B32B8">
        <w:t>:</w:t>
      </w:r>
      <w:r w:rsidR="006C6B85">
        <w:t xml:space="preserve"> 1</w:t>
      </w:r>
      <w:r w:rsidR="006C6B85" w:rsidRPr="00214071">
        <w:t xml:space="preserve">) </w:t>
      </w:r>
      <w:r w:rsidR="009B32B8">
        <w:t>NPSAS:16</w:t>
      </w:r>
      <w:r w:rsidR="006C6B85" w:rsidRPr="00214071">
        <w:t xml:space="preserve"> interview </w:t>
      </w:r>
      <w:r w:rsidR="006C6B85">
        <w:t xml:space="preserve">early </w:t>
      </w:r>
      <w:r w:rsidR="006C6B85" w:rsidRPr="00214071">
        <w:t>respondents</w:t>
      </w:r>
      <w:r w:rsidR="006C6B85">
        <w:t xml:space="preserve"> (completed the base-year interview within the first three weeks of data collection),</w:t>
      </w:r>
      <w:r w:rsidR="006C6B85" w:rsidRPr="006C6B85">
        <w:t xml:space="preserve"> </w:t>
      </w:r>
      <w:r w:rsidR="006C6B85">
        <w:t>2</w:t>
      </w:r>
      <w:r w:rsidR="006C6B85" w:rsidRPr="00214071">
        <w:t xml:space="preserve">) </w:t>
      </w:r>
      <w:r w:rsidR="009B32B8">
        <w:t xml:space="preserve">NPSAS:16 </w:t>
      </w:r>
      <w:r w:rsidR="006C6B85" w:rsidRPr="00214071">
        <w:t>interview</w:t>
      </w:r>
      <w:r w:rsidR="006C6B85">
        <w:t xml:space="preserve"> late</w:t>
      </w:r>
      <w:r w:rsidR="006C6B85" w:rsidRPr="00214071">
        <w:t xml:space="preserve"> </w:t>
      </w:r>
      <w:r w:rsidR="006C6B85" w:rsidRPr="00E2300E">
        <w:t xml:space="preserve">respondents, 3) </w:t>
      </w:r>
      <w:r w:rsidR="009B32B8" w:rsidRPr="00E2300E">
        <w:t xml:space="preserve">NPSAS:16 abbreviated interview respondents, 4) </w:t>
      </w:r>
      <w:r w:rsidR="006C6B85" w:rsidRPr="00E2300E">
        <w:t>located</w:t>
      </w:r>
      <w:r w:rsidR="00530CED" w:rsidRPr="005D63EF">
        <w:rPr>
          <w:rStyle w:val="FootnoteReference"/>
          <w:sz w:val="24"/>
          <w:szCs w:val="24"/>
        </w:rPr>
        <w:footnoteReference w:id="2"/>
      </w:r>
      <w:r w:rsidR="006C6B85" w:rsidRPr="00E2300E">
        <w:t xml:space="preserve"> </w:t>
      </w:r>
      <w:r w:rsidR="009B32B8" w:rsidRPr="00E2300E">
        <w:t xml:space="preserve">sample members who did not complete the NPSAS:16 </w:t>
      </w:r>
      <w:r w:rsidR="006C6B85" w:rsidRPr="00E2300E">
        <w:t>interview, and</w:t>
      </w:r>
      <w:r w:rsidRPr="00E2300E">
        <w:t xml:space="preserve"> </w:t>
      </w:r>
      <w:r w:rsidR="009B32B8" w:rsidRPr="00E2300E">
        <w:t>5</w:t>
      </w:r>
      <w:r w:rsidRPr="00E2300E">
        <w:t xml:space="preserve">) non-located </w:t>
      </w:r>
      <w:r w:rsidR="009B32B8" w:rsidRPr="00E2300E">
        <w:t xml:space="preserve">sample members who did not complete the NPSAS:16 </w:t>
      </w:r>
      <w:r w:rsidRPr="00E2300E">
        <w:t>interview</w:t>
      </w:r>
      <w:r w:rsidRPr="00652C56">
        <w:t>.</w:t>
      </w:r>
      <w:proofErr w:type="gramEnd"/>
      <w:r w:rsidRPr="00652C56">
        <w:t xml:space="preserve"> </w:t>
      </w:r>
      <w:r w:rsidR="003A50DF" w:rsidRPr="00652C56">
        <w:t>NPSAS</w:t>
      </w:r>
      <w:proofErr w:type="gramStart"/>
      <w:r w:rsidR="00530CED" w:rsidRPr="00652C56">
        <w:t>:16</w:t>
      </w:r>
      <w:proofErr w:type="gramEnd"/>
      <w:r w:rsidR="003A50DF" w:rsidRPr="00652C56">
        <w:t xml:space="preserve"> </w:t>
      </w:r>
      <w:r w:rsidR="00530CED" w:rsidRPr="00652C56">
        <w:t xml:space="preserve">sample members who did not have sufficient data to be study members (NPSAS:16 </w:t>
      </w:r>
      <w:r w:rsidR="003A50DF" w:rsidRPr="00652C56">
        <w:t>n</w:t>
      </w:r>
      <w:r w:rsidRPr="00652C56">
        <w:t>on-study members</w:t>
      </w:r>
      <w:r w:rsidR="00530CED" w:rsidRPr="00652C56">
        <w:t>)</w:t>
      </w:r>
      <w:r w:rsidRPr="00652C56">
        <w:t xml:space="preserve"> will </w:t>
      </w:r>
      <w:r w:rsidR="000F1593" w:rsidRPr="00652C56">
        <w:t xml:space="preserve">have the opportunity to complete the eligibility screener, described below, but will not be pursued as part of </w:t>
      </w:r>
      <w:r w:rsidRPr="00652C56">
        <w:t xml:space="preserve">B&amp;B:16/17 </w:t>
      </w:r>
      <w:r w:rsidR="000F1593" w:rsidRPr="00652C56">
        <w:t>data collection efforts</w:t>
      </w:r>
      <w:r w:rsidR="003A50DF" w:rsidRPr="00652C56">
        <w:t>.</w:t>
      </w:r>
      <w:r w:rsidR="00E410AB" w:rsidRPr="005D63EF">
        <w:rPr>
          <w:rStyle w:val="FootnoteReference"/>
          <w:sz w:val="24"/>
          <w:szCs w:val="24"/>
        </w:rPr>
        <w:footnoteReference w:id="3"/>
      </w:r>
    </w:p>
    <w:p w:rsidR="00774E8E" w:rsidRDefault="00B76574" w:rsidP="006F6A7D">
      <w:pPr>
        <w:widowControl w:val="0"/>
        <w:spacing w:after="120" w:line="23" w:lineRule="atLeast"/>
      </w:pPr>
      <w:r>
        <w:t>As stated above, most of t</w:t>
      </w:r>
      <w:r w:rsidR="00E42514">
        <w:t xml:space="preserve">he data collection strategies to be employed </w:t>
      </w:r>
      <w:r>
        <w:t>for the B&amp;B</w:t>
      </w:r>
      <w:proofErr w:type="gramStart"/>
      <w:r>
        <w:t>:16</w:t>
      </w:r>
      <w:proofErr w:type="gramEnd"/>
      <w:r>
        <w:t xml:space="preserve">/17 </w:t>
      </w:r>
      <w:r w:rsidR="005D63EF">
        <w:t>main study</w:t>
      </w:r>
      <w:r>
        <w:t xml:space="preserve"> have been used in prior studies</w:t>
      </w:r>
      <w:r w:rsidR="00A1262B">
        <w:t xml:space="preserve">. </w:t>
      </w:r>
      <w:r w:rsidR="00655D95">
        <w:t>They</w:t>
      </w:r>
      <w:r>
        <w:t xml:space="preserve"> </w:t>
      </w:r>
      <w:r w:rsidR="00E42514">
        <w:t>include an aggressive, default</w:t>
      </w:r>
      <w:r w:rsidR="00D4399E">
        <w:t>,</w:t>
      </w:r>
      <w:r w:rsidR="00E42514">
        <w:t xml:space="preserve"> or relaxed data collection protocol </w:t>
      </w:r>
      <w:r w:rsidR="00655D95">
        <w:t xml:space="preserve">depending on </w:t>
      </w:r>
      <w:r w:rsidR="005D63EF">
        <w:t xml:space="preserve">the </w:t>
      </w:r>
      <w:r w:rsidR="00E42514">
        <w:t xml:space="preserve">group; </w:t>
      </w:r>
      <w:r w:rsidR="008C5395">
        <w:t>a $30</w:t>
      </w:r>
      <w:r w:rsidR="008C5395" w:rsidRPr="004707DB">
        <w:t xml:space="preserve"> </w:t>
      </w:r>
      <w:r w:rsidR="008C5395">
        <w:t xml:space="preserve">promised incentive </w:t>
      </w:r>
      <w:r w:rsidR="008C5395" w:rsidRPr="004707DB">
        <w:t xml:space="preserve">for </w:t>
      </w:r>
      <w:r w:rsidR="008C5395">
        <w:t xml:space="preserve">NPSAS:16 interview </w:t>
      </w:r>
      <w:r w:rsidR="008C5395" w:rsidRPr="004707DB">
        <w:t>respon</w:t>
      </w:r>
      <w:r w:rsidR="008C5395">
        <w:t xml:space="preserve">dents and </w:t>
      </w:r>
      <w:r w:rsidR="00E42514">
        <w:t xml:space="preserve">up to $55 for </w:t>
      </w:r>
      <w:r w:rsidR="008C5395">
        <w:t xml:space="preserve">NPSAS:16 </w:t>
      </w:r>
      <w:r w:rsidR="00E42514">
        <w:t xml:space="preserve">interview </w:t>
      </w:r>
      <w:proofErr w:type="spellStart"/>
      <w:r w:rsidR="00E42514">
        <w:t>nonrespondents</w:t>
      </w:r>
      <w:proofErr w:type="spellEnd"/>
      <w:r w:rsidR="00E42514">
        <w:t xml:space="preserve"> (paid by check or PayPal);</w:t>
      </w:r>
      <w:r w:rsidR="00E42514" w:rsidRPr="004707DB">
        <w:t xml:space="preserve"> survey completion via web</w:t>
      </w:r>
      <w:r w:rsidR="008C5395">
        <w:t>, including mobile devices,</w:t>
      </w:r>
      <w:r w:rsidR="00E42514" w:rsidRPr="004707DB">
        <w:t xml:space="preserve"> or Computer-Assiste</w:t>
      </w:r>
      <w:r w:rsidR="00E42514">
        <w:t>d Telephone Interviewing (CATI); locating and tracing efforts;</w:t>
      </w:r>
      <w:r w:rsidR="00E42514" w:rsidRPr="004707DB">
        <w:t xml:space="preserve"> </w:t>
      </w:r>
      <w:r w:rsidR="00E42514">
        <w:t xml:space="preserve">and </w:t>
      </w:r>
      <w:r w:rsidR="00E42514" w:rsidRPr="004707DB">
        <w:t>the offer of an abbreviated interview</w:t>
      </w:r>
      <w:r w:rsidR="00E42514">
        <w:t xml:space="preserve">. </w:t>
      </w:r>
      <w:r w:rsidR="00E42514">
        <w:lastRenderedPageBreak/>
        <w:t>Both the B&amp;B</w:t>
      </w:r>
      <w:proofErr w:type="gramStart"/>
      <w:r w:rsidR="00E42514">
        <w:t>:08</w:t>
      </w:r>
      <w:proofErr w:type="gramEnd"/>
      <w:r w:rsidR="00E42514">
        <w:t xml:space="preserve">/18 and B&amp;B:16/17 studies are requesting </w:t>
      </w:r>
      <w:r w:rsidR="00C85CE6">
        <w:t xml:space="preserve">that </w:t>
      </w:r>
      <w:r w:rsidR="00644C6C">
        <w:t>sample members</w:t>
      </w:r>
      <w:r w:rsidR="00C85CE6">
        <w:t xml:space="preserve"> </w:t>
      </w:r>
      <w:r w:rsidR="00E42514" w:rsidRPr="00E63D4E">
        <w:t xml:space="preserve">upload </w:t>
      </w:r>
      <w:r w:rsidR="009B34FB">
        <w:t>résumé</w:t>
      </w:r>
      <w:r w:rsidR="00E42514" w:rsidRPr="00E63D4E">
        <w:t>s to a secure NCES server.</w:t>
      </w:r>
      <w:r w:rsidR="008A4DE9">
        <w:t xml:space="preserve"> </w:t>
      </w:r>
      <w:r w:rsidR="009B34FB">
        <w:t>Résumé</w:t>
      </w:r>
      <w:r w:rsidR="008A4DE9">
        <w:t xml:space="preserve">s </w:t>
      </w:r>
      <w:proofErr w:type="gramStart"/>
      <w:r w:rsidR="008A4DE9">
        <w:t>are intended</w:t>
      </w:r>
      <w:proofErr w:type="gramEnd"/>
      <w:r w:rsidR="008A4DE9">
        <w:t xml:space="preserve"> to aid in determining data quality collected through the survey by looking for inconsistencies between interview responses and employment information, and </w:t>
      </w:r>
      <w:r w:rsidR="005D63EF">
        <w:t xml:space="preserve">to </w:t>
      </w:r>
      <w:r w:rsidR="008A4DE9">
        <w:t xml:space="preserve">aid in imputations by potentially providing additional information about respondents’ employment and education histories. As an alternative data source, </w:t>
      </w:r>
      <w:r w:rsidR="009B34FB">
        <w:t>r</w:t>
      </w:r>
      <w:r w:rsidR="009B34FB" w:rsidRPr="00B9747A">
        <w:t>ésumé</w:t>
      </w:r>
      <w:r w:rsidR="009B34FB">
        <w:t xml:space="preserve">s </w:t>
      </w:r>
      <w:r w:rsidR="008A4DE9">
        <w:t>may increase efficiency and reduce participant burden in future B&amp;B</w:t>
      </w:r>
      <w:proofErr w:type="gramStart"/>
      <w:r w:rsidR="008A4DE9">
        <w:t>:16</w:t>
      </w:r>
      <w:proofErr w:type="gramEnd"/>
      <w:r w:rsidR="008A4DE9">
        <w:t xml:space="preserve"> cohort data collections</w:t>
      </w:r>
      <w:r w:rsidR="00A1262B">
        <w:t xml:space="preserve">. </w:t>
      </w:r>
      <w:r w:rsidR="008A4DE9">
        <w:t>B&amp;B</w:t>
      </w:r>
      <w:proofErr w:type="gramStart"/>
      <w:r w:rsidR="008A4DE9">
        <w:t>:16</w:t>
      </w:r>
      <w:proofErr w:type="gramEnd"/>
      <w:r w:rsidR="008A4DE9">
        <w:t xml:space="preserve">/17 will not offer incentives for </w:t>
      </w:r>
      <w:r w:rsidR="009B34FB">
        <w:t>résumé</w:t>
      </w:r>
      <w:r w:rsidR="008A4DE9">
        <w:t xml:space="preserve"> uploads</w:t>
      </w:r>
      <w:r w:rsidR="00FA547F">
        <w:t>.</w:t>
      </w:r>
    </w:p>
    <w:p w:rsidR="00DA23A5" w:rsidRDefault="00D53E95" w:rsidP="00EC43B0">
      <w:pPr>
        <w:spacing w:after="120" w:line="23" w:lineRule="atLeast"/>
      </w:pPr>
      <w:r>
        <w:t xml:space="preserve">Unique to this </w:t>
      </w:r>
      <w:r w:rsidR="00644C6C">
        <w:t>B&amp;B</w:t>
      </w:r>
      <w:proofErr w:type="gramStart"/>
      <w:r w:rsidR="00644C6C">
        <w:t>:16</w:t>
      </w:r>
      <w:proofErr w:type="gramEnd"/>
      <w:r w:rsidR="00644C6C">
        <w:t xml:space="preserve">/17 </w:t>
      </w:r>
      <w:r w:rsidR="005D63EF">
        <w:t>main study</w:t>
      </w:r>
      <w:r>
        <w:t xml:space="preserve"> is </w:t>
      </w:r>
      <w:r w:rsidR="00655D95">
        <w:t xml:space="preserve">inclusion of </w:t>
      </w:r>
      <w:r>
        <w:t>a short</w:t>
      </w:r>
      <w:r w:rsidR="00B76574">
        <w:t xml:space="preserve"> </w:t>
      </w:r>
      <w:r w:rsidR="009A1083">
        <w:t xml:space="preserve">eligibility screener and </w:t>
      </w:r>
      <w:r w:rsidR="00B76574">
        <w:t>address update</w:t>
      </w:r>
      <w:r w:rsidR="00500FC2">
        <w:t>,</w:t>
      </w:r>
      <w:r>
        <w:t xml:space="preserve"> </w:t>
      </w:r>
      <w:r w:rsidR="00B76574">
        <w:t xml:space="preserve">administered prior to the start of data collection to </w:t>
      </w:r>
      <w:r w:rsidR="00511000">
        <w:t xml:space="preserve">screen-out ineligible sample members at an early stage, </w:t>
      </w:r>
      <w:r w:rsidR="004F05DD">
        <w:t xml:space="preserve">facilitate locating efforts, </w:t>
      </w:r>
      <w:r w:rsidR="00B76574">
        <w:t xml:space="preserve">and </w:t>
      </w:r>
      <w:r w:rsidR="00644C6C">
        <w:t xml:space="preserve">help focus </w:t>
      </w:r>
      <w:r w:rsidR="00511000">
        <w:t xml:space="preserve">data collection efforts on hard-to-reach and potentially-eligible sample members. </w:t>
      </w:r>
      <w:r w:rsidR="00B76574">
        <w:t>S</w:t>
      </w:r>
      <w:r>
        <w:t xml:space="preserve">ample members </w:t>
      </w:r>
      <w:r w:rsidR="00A965AC">
        <w:t>who are prior round (NPSAS</w:t>
      </w:r>
      <w:proofErr w:type="gramStart"/>
      <w:r w:rsidR="00A965AC">
        <w:t>:16</w:t>
      </w:r>
      <w:proofErr w:type="gramEnd"/>
      <w:r w:rsidR="00A965AC">
        <w:t xml:space="preserve">) </w:t>
      </w:r>
      <w:proofErr w:type="spellStart"/>
      <w:r w:rsidR="00A965AC">
        <w:t>nonrespondents</w:t>
      </w:r>
      <w:proofErr w:type="spellEnd"/>
      <w:r w:rsidR="00A965AC">
        <w:t xml:space="preserve"> </w:t>
      </w:r>
      <w:r>
        <w:t>will be offered a $10 promised incentive</w:t>
      </w:r>
      <w:r w:rsidR="003327EC">
        <w:t xml:space="preserve"> (</w:t>
      </w:r>
      <w:r w:rsidR="003327EC" w:rsidRPr="004707DB">
        <w:t>paid by check or PayPal)</w:t>
      </w:r>
      <w:r>
        <w:t xml:space="preserve"> for completion</w:t>
      </w:r>
      <w:r w:rsidR="00500FC2">
        <w:t xml:space="preserve"> of the screener/address update</w:t>
      </w:r>
      <w:r>
        <w:t xml:space="preserve">. </w:t>
      </w:r>
      <w:r w:rsidR="00500FC2">
        <w:t xml:space="preserve">As part of </w:t>
      </w:r>
      <w:r w:rsidR="00BD1C99">
        <w:t>the B&amp;B</w:t>
      </w:r>
      <w:proofErr w:type="gramStart"/>
      <w:r w:rsidR="00BD1C99">
        <w:t>:08</w:t>
      </w:r>
      <w:proofErr w:type="gramEnd"/>
      <w:r w:rsidR="00BD1C99">
        <w:t xml:space="preserve">/12 </w:t>
      </w:r>
      <w:r w:rsidR="00FC53D8">
        <w:t>main study</w:t>
      </w:r>
      <w:r w:rsidR="00BD1C99">
        <w:t xml:space="preserve"> data collection, sample members were offered a $10 incentive to update their contact information</w:t>
      </w:r>
      <w:r w:rsidR="00DA23A5">
        <w:t xml:space="preserve"> only</w:t>
      </w:r>
      <w:r w:rsidR="00BD1C99">
        <w:t>; 42% of sample members provided an update and</w:t>
      </w:r>
      <w:r w:rsidR="00500FC2">
        <w:t>,</w:t>
      </w:r>
      <w:r w:rsidR="00BD1C99">
        <w:t xml:space="preserve"> of those, 99.9% participated in the study</w:t>
      </w:r>
      <w:r w:rsidR="00FA547F">
        <w:t xml:space="preserve">. </w:t>
      </w:r>
      <w:r w:rsidR="00BD1C99">
        <w:t>While i</w:t>
      </w:r>
      <w:r w:rsidR="00B76574">
        <w:t xml:space="preserve">ncluding </w:t>
      </w:r>
      <w:r w:rsidR="00DA23A5">
        <w:t xml:space="preserve">the </w:t>
      </w:r>
      <w:r w:rsidR="00B76574">
        <w:t xml:space="preserve">eligibility screener in what is </w:t>
      </w:r>
      <w:r w:rsidR="00655D95">
        <w:t xml:space="preserve">typically </w:t>
      </w:r>
      <w:r w:rsidR="00B76574">
        <w:t xml:space="preserve">a panel maintenance </w:t>
      </w:r>
      <w:r w:rsidR="00655D95">
        <w:t xml:space="preserve">activity </w:t>
      </w:r>
      <w:r w:rsidR="00BD1C99">
        <w:t xml:space="preserve">will be </w:t>
      </w:r>
      <w:r w:rsidR="00655D95">
        <w:t xml:space="preserve">new, the questions </w:t>
      </w:r>
      <w:r w:rsidR="00DA23A5">
        <w:t xml:space="preserve">themselves </w:t>
      </w:r>
      <w:r w:rsidR="00655D95">
        <w:t>are not new. All items in the screener were included in the eligibility section of B&amp;B</w:t>
      </w:r>
      <w:proofErr w:type="gramStart"/>
      <w:r w:rsidR="00655D95">
        <w:t>:16</w:t>
      </w:r>
      <w:proofErr w:type="gramEnd"/>
      <w:r w:rsidR="00655D95">
        <w:t>/17 field test interview.</w:t>
      </w:r>
    </w:p>
    <w:p w:rsidR="00D53E95" w:rsidRDefault="001066B6" w:rsidP="00EC43B0">
      <w:pPr>
        <w:spacing w:after="120" w:line="23" w:lineRule="atLeast"/>
        <w:rPr>
          <w:szCs w:val="24"/>
        </w:rPr>
      </w:pPr>
      <w:r>
        <w:rPr>
          <w:spacing w:val="-3"/>
          <w:kern w:val="20"/>
        </w:rPr>
        <w:t xml:space="preserve">Another unique feature of </w:t>
      </w:r>
      <w:r w:rsidR="00092F8F">
        <w:rPr>
          <w:spacing w:val="-3"/>
          <w:kern w:val="20"/>
        </w:rPr>
        <w:t>t</w:t>
      </w:r>
      <w:r w:rsidR="00184CFD">
        <w:rPr>
          <w:spacing w:val="-3"/>
          <w:kern w:val="20"/>
        </w:rPr>
        <w:t>he B&amp;B</w:t>
      </w:r>
      <w:proofErr w:type="gramStart"/>
      <w:r w:rsidR="00184CFD">
        <w:rPr>
          <w:spacing w:val="-3"/>
          <w:kern w:val="20"/>
        </w:rPr>
        <w:t>:16</w:t>
      </w:r>
      <w:proofErr w:type="gramEnd"/>
      <w:r w:rsidR="00184CFD">
        <w:rPr>
          <w:spacing w:val="-3"/>
          <w:kern w:val="20"/>
        </w:rPr>
        <w:t xml:space="preserve">/17 </w:t>
      </w:r>
      <w:r w:rsidR="00BC31CA">
        <w:rPr>
          <w:spacing w:val="-3"/>
          <w:kern w:val="20"/>
        </w:rPr>
        <w:t>main study</w:t>
      </w:r>
      <w:r w:rsidR="00184CFD">
        <w:rPr>
          <w:spacing w:val="-3"/>
          <w:kern w:val="20"/>
        </w:rPr>
        <w:t xml:space="preserve"> </w:t>
      </w:r>
      <w:r>
        <w:rPr>
          <w:spacing w:val="-3"/>
          <w:kern w:val="20"/>
        </w:rPr>
        <w:t xml:space="preserve">is the introduction of </w:t>
      </w:r>
      <w:r w:rsidR="00E54403">
        <w:rPr>
          <w:spacing w:val="-3"/>
          <w:kern w:val="20"/>
        </w:rPr>
        <w:t>“</w:t>
      </w:r>
      <w:r w:rsidR="00184CFD">
        <w:rPr>
          <w:spacing w:val="-3"/>
          <w:kern w:val="20"/>
        </w:rPr>
        <w:t>mode tailoring</w:t>
      </w:r>
      <w:r w:rsidR="00E54403">
        <w:rPr>
          <w:spacing w:val="-3"/>
          <w:kern w:val="20"/>
        </w:rPr>
        <w:t>”</w:t>
      </w:r>
      <w:r>
        <w:rPr>
          <w:spacing w:val="-3"/>
          <w:kern w:val="20"/>
        </w:rPr>
        <w:t xml:space="preserve"> during the first 3 weeks of data collection</w:t>
      </w:r>
      <w:r w:rsidR="00A1262B">
        <w:rPr>
          <w:spacing w:val="-3"/>
          <w:kern w:val="20"/>
        </w:rPr>
        <w:t xml:space="preserve">. </w:t>
      </w:r>
      <w:r w:rsidR="00184CFD">
        <w:t>NPSAS</w:t>
      </w:r>
      <w:proofErr w:type="gramStart"/>
      <w:r w:rsidR="00184CFD">
        <w:t>:16</w:t>
      </w:r>
      <w:proofErr w:type="gramEnd"/>
      <w:r w:rsidR="00184CFD" w:rsidRPr="006C716C">
        <w:t xml:space="preserve"> interview </w:t>
      </w:r>
      <w:r w:rsidR="00184CFD">
        <w:t xml:space="preserve">completion </w:t>
      </w:r>
      <w:r w:rsidR="00184CFD" w:rsidRPr="006C716C">
        <w:t xml:space="preserve">mode </w:t>
      </w:r>
      <w:r w:rsidR="00E54403">
        <w:t xml:space="preserve">will be used </w:t>
      </w:r>
      <w:r w:rsidR="00184CFD" w:rsidRPr="006C716C">
        <w:t xml:space="preserve">as an indicator for individual mode preference, </w:t>
      </w:r>
      <w:r w:rsidR="00E54403">
        <w:t xml:space="preserve">and will be the mode used </w:t>
      </w:r>
      <w:r w:rsidR="00184CFD">
        <w:t>to</w:t>
      </w:r>
      <w:r w:rsidR="00184CFD" w:rsidRPr="006C716C">
        <w:t xml:space="preserve"> </w:t>
      </w:r>
      <w:r>
        <w:t xml:space="preserve">first </w:t>
      </w:r>
      <w:r w:rsidR="00184CFD">
        <w:t>approach</w:t>
      </w:r>
      <w:r w:rsidR="00184CFD" w:rsidRPr="006C716C">
        <w:t xml:space="preserve"> </w:t>
      </w:r>
      <w:r>
        <w:t xml:space="preserve">NPSAS:16 </w:t>
      </w:r>
      <w:r w:rsidR="005D63EF">
        <w:t>main study</w:t>
      </w:r>
      <w:r>
        <w:t xml:space="preserve"> interview </w:t>
      </w:r>
      <w:r w:rsidR="00184CFD" w:rsidRPr="006C716C">
        <w:t>respondents</w:t>
      </w:r>
      <w:r w:rsidR="00E54403">
        <w:t xml:space="preserve"> early in data collection</w:t>
      </w:r>
      <w:r w:rsidR="007B124C">
        <w:t>. Part B provides more details on the</w:t>
      </w:r>
      <w:r w:rsidR="00184CFD">
        <w:t xml:space="preserve"> eligibility screener</w:t>
      </w:r>
      <w:r w:rsidR="007B124C">
        <w:t>,</w:t>
      </w:r>
      <w:r w:rsidR="00184CFD">
        <w:t xml:space="preserve"> address update</w:t>
      </w:r>
      <w:r w:rsidR="007B124C">
        <w:t>,</w:t>
      </w:r>
      <w:r w:rsidR="00184CFD">
        <w:t xml:space="preserve"> and mode tailoring</w:t>
      </w:r>
      <w:r w:rsidR="007B124C">
        <w:t>, as well as on</w:t>
      </w:r>
      <w:r w:rsidR="002E53AC">
        <w:t xml:space="preserve"> t</w:t>
      </w:r>
      <w:r w:rsidR="00786405">
        <w:t xml:space="preserve">he </w:t>
      </w:r>
      <w:r w:rsidR="00EC1474">
        <w:t xml:space="preserve">Confidentiality Pledge </w:t>
      </w:r>
      <w:r w:rsidR="00786405">
        <w:t>experiment</w:t>
      </w:r>
      <w:r w:rsidR="00EC1474">
        <w:t>,</w:t>
      </w:r>
      <w:r w:rsidR="00786405">
        <w:t xml:space="preserve"> </w:t>
      </w:r>
      <w:r w:rsidR="002E53AC">
        <w:t xml:space="preserve">which </w:t>
      </w:r>
      <w:r w:rsidR="00786405">
        <w:t xml:space="preserve">will </w:t>
      </w:r>
      <w:r w:rsidR="00EC1474">
        <w:t>present</w:t>
      </w:r>
      <w:r w:rsidR="00786405">
        <w:t xml:space="preserve"> variations of </w:t>
      </w:r>
      <w:r w:rsidR="00EC1474">
        <w:t xml:space="preserve">pledge </w:t>
      </w:r>
      <w:r w:rsidR="00786405">
        <w:t>wording</w:t>
      </w:r>
      <w:r w:rsidR="00B63EA8">
        <w:t xml:space="preserve"> and placement</w:t>
      </w:r>
      <w:r w:rsidR="00786405">
        <w:t xml:space="preserve"> to </w:t>
      </w:r>
      <w:proofErr w:type="gramStart"/>
      <w:r w:rsidR="00BC31CA">
        <w:t>6</w:t>
      </w:r>
      <w:proofErr w:type="gramEnd"/>
      <w:r w:rsidR="00786405">
        <w:t xml:space="preserve"> </w:t>
      </w:r>
      <w:r w:rsidR="007B124C">
        <w:t xml:space="preserve">randomly selected </w:t>
      </w:r>
      <w:r w:rsidR="00786405">
        <w:t>groups</w:t>
      </w:r>
      <w:r w:rsidR="002E53AC">
        <w:t>.</w:t>
      </w:r>
    </w:p>
    <w:p w:rsidR="00774E8E" w:rsidRDefault="00923010" w:rsidP="00EC43B0">
      <w:pPr>
        <w:spacing w:after="120" w:line="23" w:lineRule="atLeast"/>
      </w:pPr>
      <w:r>
        <w:t xml:space="preserve">The </w:t>
      </w:r>
      <w:r w:rsidR="002E571B">
        <w:t>B&amp;B</w:t>
      </w:r>
      <w:proofErr w:type="gramStart"/>
      <w:r w:rsidR="002E571B">
        <w:t>:16</w:t>
      </w:r>
      <w:proofErr w:type="gramEnd"/>
      <w:r w:rsidR="002E571B">
        <w:t xml:space="preserve">/17 </w:t>
      </w:r>
      <w:r w:rsidR="007B124C">
        <w:t>main study</w:t>
      </w:r>
      <w:r w:rsidR="002E571B">
        <w:t xml:space="preserve"> survey remain</w:t>
      </w:r>
      <w:r>
        <w:t>s</w:t>
      </w:r>
      <w:r w:rsidR="002E571B">
        <w:t xml:space="preserve"> </w:t>
      </w:r>
      <w:r>
        <w:t xml:space="preserve">largely </w:t>
      </w:r>
      <w:r w:rsidR="002E571B">
        <w:t>unchanged from the field test</w:t>
      </w:r>
      <w:r w:rsidR="002E571B" w:rsidRPr="00F17CDB">
        <w:t xml:space="preserve">, </w:t>
      </w:r>
      <w:r>
        <w:t xml:space="preserve">except for </w:t>
      </w:r>
      <w:r w:rsidR="002E571B">
        <w:t xml:space="preserve">some </w:t>
      </w:r>
      <w:r>
        <w:t xml:space="preserve">item-level revisions </w:t>
      </w:r>
      <w:r w:rsidR="002E571B" w:rsidRPr="00F17CDB">
        <w:t xml:space="preserve">based on </w:t>
      </w:r>
      <w:r w:rsidR="00FF3C03">
        <w:t xml:space="preserve">results of the </w:t>
      </w:r>
      <w:r w:rsidR="002E571B">
        <w:t xml:space="preserve">field test </w:t>
      </w:r>
      <w:r w:rsidR="00FF3C03">
        <w:t xml:space="preserve">and </w:t>
      </w:r>
      <w:r w:rsidR="002E571B">
        <w:t xml:space="preserve">cognitive interviews, and </w:t>
      </w:r>
      <w:r w:rsidR="00CD1B61">
        <w:t xml:space="preserve">based on </w:t>
      </w:r>
      <w:r w:rsidR="002E571B" w:rsidRPr="00F17CDB">
        <w:t xml:space="preserve">feedback from the </w:t>
      </w:r>
      <w:r w:rsidR="002E571B">
        <w:t xml:space="preserve">second </w:t>
      </w:r>
      <w:r w:rsidR="0046794D">
        <w:t xml:space="preserve">meeting of the </w:t>
      </w:r>
      <w:r w:rsidR="002E571B" w:rsidRPr="00F17CDB">
        <w:t>B&amp;B:16/17 Technical Review Panel (TRP)</w:t>
      </w:r>
      <w:r w:rsidR="0046794D">
        <w:t>,</w:t>
      </w:r>
      <w:r w:rsidR="002E571B" w:rsidRPr="00F17CDB">
        <w:t xml:space="preserve"> conducted </w:t>
      </w:r>
      <w:r w:rsidR="002E571B">
        <w:t>in December 2016</w:t>
      </w:r>
      <w:r w:rsidR="00A1262B">
        <w:t xml:space="preserve">. </w:t>
      </w:r>
      <w:r w:rsidR="008A6A9E">
        <w:t xml:space="preserve">To minimize the additional respondent burden of the newly added items, </w:t>
      </w:r>
      <w:r w:rsidR="002E571B">
        <w:t xml:space="preserve">several survey questions </w:t>
      </w:r>
      <w:proofErr w:type="gramStart"/>
      <w:r w:rsidR="008A6A9E">
        <w:t>were</w:t>
      </w:r>
      <w:r w:rsidR="002E571B">
        <w:t xml:space="preserve"> revised or removed</w:t>
      </w:r>
      <w:proofErr w:type="gramEnd"/>
      <w:r w:rsidR="00995AC7">
        <w:t xml:space="preserve"> based on recommendations from the TRP</w:t>
      </w:r>
      <w:r w:rsidR="00A1262B">
        <w:t xml:space="preserve">. </w:t>
      </w:r>
      <w:r w:rsidR="00FF3C03">
        <w:t xml:space="preserve">During data collection, we will also monitor the willingness of sample members to </w:t>
      </w:r>
      <w:r w:rsidR="00FF3C03" w:rsidRPr="004707DB">
        <w:t xml:space="preserve">upload a recent </w:t>
      </w:r>
      <w:r w:rsidR="00FF3C03">
        <w:t>résumé</w:t>
      </w:r>
      <w:r w:rsidR="00FF3C03" w:rsidRPr="004707DB">
        <w:t xml:space="preserve"> </w:t>
      </w:r>
      <w:r w:rsidR="00FF3C03">
        <w:t>that can</w:t>
      </w:r>
      <w:r w:rsidR="00FF3C03" w:rsidRPr="004707DB">
        <w:t xml:space="preserve"> supplement the employment history captured in the full interview</w:t>
      </w:r>
      <w:r w:rsidR="00A1262B">
        <w:t xml:space="preserve">. </w:t>
      </w:r>
      <w:r w:rsidR="002E571B">
        <w:t>Appendix F provides detail on these changes.</w:t>
      </w:r>
    </w:p>
    <w:p w:rsidR="002E571B" w:rsidRPr="00FC70EB" w:rsidRDefault="002E571B" w:rsidP="00EC43B0">
      <w:pPr>
        <w:pStyle w:val="BodyText"/>
        <w:spacing w:before="0" w:line="23" w:lineRule="atLeast"/>
        <w:ind w:firstLine="0"/>
      </w:pPr>
      <w:r w:rsidRPr="002F600C">
        <w:t>This submission includes the following appendixes:</w:t>
      </w:r>
    </w:p>
    <w:p w:rsidR="002E571B" w:rsidRPr="00FC70EB" w:rsidRDefault="002E571B" w:rsidP="002E571B">
      <w:pPr>
        <w:pStyle w:val="bulletround"/>
        <w:keepLines/>
        <w:numPr>
          <w:ilvl w:val="0"/>
          <w:numId w:val="6"/>
        </w:numPr>
        <w:tabs>
          <w:tab w:val="clear" w:pos="1440"/>
          <w:tab w:val="num" w:pos="540"/>
        </w:tabs>
        <w:spacing w:before="0"/>
        <w:ind w:left="540" w:hanging="270"/>
      </w:pPr>
      <w:r w:rsidRPr="00FC70EB">
        <w:t>A membership list of the TRP for the student data collection component of B&amp;B:</w:t>
      </w:r>
      <w:r>
        <w:t>16/17</w:t>
      </w:r>
      <w:r w:rsidRPr="00FC70EB">
        <w:t xml:space="preserve"> (appendix A);</w:t>
      </w:r>
    </w:p>
    <w:p w:rsidR="002E571B" w:rsidRPr="00FC70EB" w:rsidRDefault="002E571B" w:rsidP="002E571B">
      <w:pPr>
        <w:pStyle w:val="bulletround"/>
        <w:keepLines/>
        <w:numPr>
          <w:ilvl w:val="0"/>
          <w:numId w:val="6"/>
        </w:numPr>
        <w:tabs>
          <w:tab w:val="clear" w:pos="1440"/>
          <w:tab w:val="num" w:pos="540"/>
        </w:tabs>
        <w:spacing w:before="0"/>
        <w:ind w:left="540" w:hanging="270"/>
      </w:pPr>
      <w:r w:rsidRPr="00FC70EB">
        <w:t xml:space="preserve">A description of the confidentiality procedures in place for the </w:t>
      </w:r>
      <w:r>
        <w:t xml:space="preserve">student interview and </w:t>
      </w:r>
      <w:r w:rsidRPr="00FC70EB">
        <w:t>administrative record matching (appendix B);</w:t>
      </w:r>
    </w:p>
    <w:p w:rsidR="00774E8E" w:rsidRDefault="002E571B" w:rsidP="002E571B">
      <w:pPr>
        <w:pStyle w:val="bulletround"/>
        <w:keepLines/>
        <w:numPr>
          <w:ilvl w:val="0"/>
          <w:numId w:val="6"/>
        </w:numPr>
        <w:tabs>
          <w:tab w:val="clear" w:pos="1440"/>
          <w:tab w:val="num" w:pos="540"/>
        </w:tabs>
        <w:spacing w:before="0"/>
        <w:ind w:left="540" w:hanging="270"/>
      </w:pPr>
      <w:r>
        <w:t>Results from experiments in the B&amp;B:16/17 field test (appendix C);</w:t>
      </w:r>
    </w:p>
    <w:p w:rsidR="00774E8E" w:rsidRDefault="002E571B" w:rsidP="002E571B">
      <w:pPr>
        <w:pStyle w:val="bulletround"/>
        <w:keepLines/>
        <w:numPr>
          <w:ilvl w:val="0"/>
          <w:numId w:val="6"/>
        </w:numPr>
        <w:tabs>
          <w:tab w:val="clear" w:pos="1440"/>
          <w:tab w:val="num" w:pos="540"/>
        </w:tabs>
        <w:spacing w:before="0"/>
        <w:ind w:left="540" w:hanging="270"/>
      </w:pPr>
      <w:r>
        <w:t>The cognitive testing final report (appendix D);</w:t>
      </w:r>
    </w:p>
    <w:p w:rsidR="002E571B" w:rsidRDefault="002E571B" w:rsidP="002E571B">
      <w:pPr>
        <w:pStyle w:val="bulletround"/>
        <w:keepLines/>
        <w:numPr>
          <w:ilvl w:val="0"/>
          <w:numId w:val="6"/>
        </w:numPr>
        <w:tabs>
          <w:tab w:val="clear" w:pos="1440"/>
          <w:tab w:val="num" w:pos="540"/>
        </w:tabs>
        <w:spacing w:before="0"/>
        <w:ind w:left="540" w:hanging="270"/>
      </w:pPr>
      <w:r w:rsidRPr="00FC70EB">
        <w:t>Contacting materials for sample members selected for participation i</w:t>
      </w:r>
      <w:r>
        <w:t>n the student survey (appendix E</w:t>
      </w:r>
      <w:r w:rsidRPr="00FC70EB">
        <w:t xml:space="preserve">); </w:t>
      </w:r>
      <w:r w:rsidR="000E5DAD">
        <w:t>and</w:t>
      </w:r>
    </w:p>
    <w:p w:rsidR="002E571B" w:rsidRDefault="002E571B" w:rsidP="002E571B">
      <w:pPr>
        <w:pStyle w:val="bulletround"/>
        <w:keepLines/>
        <w:numPr>
          <w:ilvl w:val="0"/>
          <w:numId w:val="6"/>
        </w:numPr>
        <w:tabs>
          <w:tab w:val="clear" w:pos="1440"/>
          <w:tab w:val="num" w:pos="540"/>
        </w:tabs>
        <w:spacing w:before="0" w:line="280" w:lineRule="atLeast"/>
        <w:ind w:left="540" w:hanging="270"/>
      </w:pPr>
      <w:r w:rsidRPr="00FC70EB">
        <w:t>A facsimile for the B&amp;B</w:t>
      </w:r>
      <w:proofErr w:type="gramStart"/>
      <w:r w:rsidRPr="00FC70EB">
        <w:t>:</w:t>
      </w:r>
      <w:r>
        <w:t>16</w:t>
      </w:r>
      <w:proofErr w:type="gramEnd"/>
      <w:r>
        <w:t xml:space="preserve">/17 </w:t>
      </w:r>
      <w:r w:rsidR="00FC53D8">
        <w:t>main study</w:t>
      </w:r>
      <w:r>
        <w:t xml:space="preserve"> </w:t>
      </w:r>
      <w:r w:rsidRPr="00FC70EB">
        <w:t xml:space="preserve">interview, including items in </w:t>
      </w:r>
      <w:r w:rsidR="00366A32">
        <w:t xml:space="preserve">eligibility screener with address update, and </w:t>
      </w:r>
      <w:r w:rsidRPr="00FC70EB">
        <w:t>the abbreviated interv</w:t>
      </w:r>
      <w:r>
        <w:t>iew (appendix F</w:t>
      </w:r>
      <w:r w:rsidRPr="00FC70EB">
        <w:t>)</w:t>
      </w:r>
      <w:r>
        <w:t>.</w:t>
      </w:r>
    </w:p>
    <w:p w:rsidR="00FF5E5F" w:rsidRPr="00F901D2" w:rsidRDefault="009574B7" w:rsidP="009574B7">
      <w:pPr>
        <w:pStyle w:val="bulletround"/>
        <w:keepLines/>
        <w:numPr>
          <w:ilvl w:val="0"/>
          <w:numId w:val="0"/>
        </w:numPr>
        <w:tabs>
          <w:tab w:val="left" w:pos="1730"/>
        </w:tabs>
        <w:spacing w:before="0" w:line="280" w:lineRule="atLeast"/>
      </w:pPr>
      <w:r>
        <w:tab/>
      </w:r>
    </w:p>
    <w:p w:rsidR="00835CAB" w:rsidRDefault="00835CAB" w:rsidP="00975A2B">
      <w:pPr>
        <w:pStyle w:val="Heading3"/>
        <w:spacing w:before="0" w:line="23" w:lineRule="atLeast"/>
      </w:pPr>
      <w:bookmarkStart w:id="19" w:name="_Toc383113360"/>
      <w:bookmarkStart w:id="20" w:name="_Toc477621547"/>
      <w:r>
        <w:t>Legislative Authorization</w:t>
      </w:r>
      <w:bookmarkEnd w:id="19"/>
      <w:bookmarkEnd w:id="20"/>
    </w:p>
    <w:p w:rsidR="00387546" w:rsidRPr="00B107F4" w:rsidRDefault="00387546" w:rsidP="001D7F5D">
      <w:pPr>
        <w:pStyle w:val="BodyText"/>
        <w:spacing w:before="0" w:line="23" w:lineRule="atLeast"/>
        <w:ind w:firstLine="0"/>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00423F1C" w:rsidRPr="00B107F4">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gher Education Opportunity Act of 2008 (</w:t>
      </w:r>
      <w:r w:rsidR="00423F1C" w:rsidRPr="00B107F4">
        <w:rPr>
          <w:spacing w:val="-3"/>
        </w:rPr>
        <w:t>HEOA</w:t>
      </w:r>
      <w:r w:rsidR="00423F1C">
        <w:rPr>
          <w:spacing w:val="-3"/>
        </w:rPr>
        <w:t xml:space="preserve">, </w:t>
      </w:r>
      <w:r w:rsidRPr="00B107F4">
        <w:rPr>
          <w:spacing w:val="-3"/>
        </w:rPr>
        <w:t xml:space="preserve">20 U.S.C. </w:t>
      </w:r>
      <w:r w:rsidR="002F600C">
        <w:rPr>
          <w:spacing w:val="-3"/>
        </w:rPr>
        <w:t>§</w:t>
      </w:r>
      <w:r w:rsidRPr="00B107F4">
        <w:rPr>
          <w:spacing w:val="-3"/>
        </w:rPr>
        <w:t>1015(a</w:t>
      </w:r>
      <w:proofErr w:type="gramStart"/>
      <w:r w:rsidRPr="00B107F4">
        <w:rPr>
          <w:spacing w:val="-3"/>
        </w:rPr>
        <w:t>)(</w:t>
      </w:r>
      <w:proofErr w:type="gramEnd"/>
      <w:r w:rsidRPr="00B107F4">
        <w:rPr>
          <w:spacing w:val="-3"/>
        </w:rPr>
        <w:t>k)</w:t>
      </w:r>
      <w:r w:rsidR="00423F1C">
        <w:rPr>
          <w:spacing w:val="-3"/>
        </w:rPr>
        <w:t>)</w:t>
      </w:r>
      <w:r w:rsidRPr="00B107F4">
        <w:rPr>
          <w:spacing w:val="-3"/>
        </w:rPr>
        <w:t>:</w:t>
      </w:r>
    </w:p>
    <w:p w:rsidR="00387546" w:rsidRPr="00B107F4" w:rsidRDefault="00387546" w:rsidP="00037DD3">
      <w:pPr>
        <w:pStyle w:val="BodyText"/>
        <w:spacing w:before="0" w:after="0"/>
        <w:ind w:left="720" w:firstLine="0"/>
        <w:rPr>
          <w:sz w:val="20"/>
        </w:rPr>
      </w:pPr>
      <w:r w:rsidRPr="00B107F4">
        <w:rPr>
          <w:sz w:val="20"/>
        </w:rPr>
        <w:t xml:space="preserve"> “Student aid recipient survey</w:t>
      </w:r>
    </w:p>
    <w:p w:rsidR="00387546" w:rsidRPr="00B107F4" w:rsidRDefault="00387546" w:rsidP="00037DD3">
      <w:pPr>
        <w:pStyle w:val="BodyText"/>
        <w:spacing w:before="0" w:after="0"/>
        <w:ind w:left="1080" w:hanging="270"/>
        <w:rPr>
          <w:sz w:val="20"/>
        </w:rPr>
      </w:pPr>
      <w:r w:rsidRPr="00B107F4">
        <w:rPr>
          <w:sz w:val="20"/>
        </w:rPr>
        <w:t xml:space="preserve">(1) Survey </w:t>
      </w:r>
      <w:proofErr w:type="gramStart"/>
      <w:r w:rsidRPr="00B107F4">
        <w:rPr>
          <w:sz w:val="20"/>
        </w:rPr>
        <w:t>required:</w:t>
      </w:r>
      <w:proofErr w:type="gramEnd"/>
      <w:r w:rsidRPr="00B107F4">
        <w:rPr>
          <w:sz w:val="20"/>
        </w:rPr>
        <w:t xml:space="preserve"> The Secretary, acting through the Commissioner for Education Statistics, shall conduct, on a State-by-State basis, a survey of recipients of Federal student financial aid under subchapter IV of this chapter and part C of subchapter I of chapter 34 of title 42—</w:t>
      </w:r>
    </w:p>
    <w:p w:rsidR="00387546" w:rsidRPr="00B107F4" w:rsidRDefault="00387546" w:rsidP="00037DD3">
      <w:pPr>
        <w:pStyle w:val="BodyText"/>
        <w:spacing w:before="0" w:after="0"/>
        <w:ind w:left="1440" w:hanging="360"/>
        <w:rPr>
          <w:sz w:val="20"/>
        </w:rPr>
      </w:pPr>
      <w:r w:rsidRPr="00B107F4">
        <w:rPr>
          <w:sz w:val="20"/>
        </w:rPr>
        <w:t xml:space="preserve">(A) </w:t>
      </w:r>
      <w:proofErr w:type="gramStart"/>
      <w:r w:rsidRPr="00B107F4">
        <w:rPr>
          <w:sz w:val="20"/>
        </w:rPr>
        <w:t>to</w:t>
      </w:r>
      <w:proofErr w:type="gramEnd"/>
      <w:r w:rsidRPr="00B107F4">
        <w:rPr>
          <w:sz w:val="20"/>
        </w:rPr>
        <w:t xml:space="preserve"> identify the population of students receiving such Federal student financial aid;</w:t>
      </w:r>
    </w:p>
    <w:p w:rsidR="00387546" w:rsidRPr="00B107F4" w:rsidRDefault="00387546" w:rsidP="00037DD3">
      <w:pPr>
        <w:pStyle w:val="BodyText"/>
        <w:spacing w:before="0" w:after="0"/>
        <w:ind w:left="1440" w:hanging="360"/>
        <w:rPr>
          <w:sz w:val="20"/>
        </w:rPr>
      </w:pPr>
      <w:r w:rsidRPr="00B107F4">
        <w:rPr>
          <w:sz w:val="20"/>
        </w:rPr>
        <w:lastRenderedPageBreak/>
        <w:t xml:space="preserve">(B) </w:t>
      </w:r>
      <w:proofErr w:type="gramStart"/>
      <w:r w:rsidRPr="00B107F4">
        <w:rPr>
          <w:sz w:val="20"/>
        </w:rPr>
        <w:t>to</w:t>
      </w:r>
      <w:proofErr w:type="gramEnd"/>
      <w:r w:rsidRPr="00B107F4">
        <w:rPr>
          <w:sz w:val="20"/>
        </w:rPr>
        <w:t xml:space="preserve"> describe the income distribution and other socioeconomic characteristics of recipients of such Federal student financial aid;</w:t>
      </w:r>
    </w:p>
    <w:p w:rsidR="00387546" w:rsidRPr="00B107F4" w:rsidRDefault="00387546" w:rsidP="00037DD3">
      <w:pPr>
        <w:pStyle w:val="BodyText"/>
        <w:spacing w:before="0" w:after="0"/>
        <w:ind w:left="1440" w:hanging="360"/>
        <w:rPr>
          <w:sz w:val="20"/>
        </w:rPr>
      </w:pPr>
      <w:r w:rsidRPr="00B107F4">
        <w:rPr>
          <w:sz w:val="20"/>
        </w:rPr>
        <w:t xml:space="preserve">(C) </w:t>
      </w:r>
      <w:proofErr w:type="gramStart"/>
      <w:r w:rsidRPr="00B107F4">
        <w:rPr>
          <w:sz w:val="20"/>
        </w:rPr>
        <w:t>to</w:t>
      </w:r>
      <w:proofErr w:type="gramEnd"/>
      <w:r w:rsidRPr="00B107F4">
        <w:rPr>
          <w:sz w:val="20"/>
        </w:rPr>
        <w:t xml:space="preserve"> describe the combinations of aid from Federal, State, and private sources received by such recipients from all income categories;</w:t>
      </w:r>
    </w:p>
    <w:p w:rsidR="00387546" w:rsidRPr="00B107F4" w:rsidRDefault="00387546" w:rsidP="00037DD3">
      <w:pPr>
        <w:pStyle w:val="BodyText"/>
        <w:spacing w:before="0" w:after="0"/>
        <w:ind w:left="1440" w:hanging="360"/>
        <w:rPr>
          <w:sz w:val="20"/>
        </w:rPr>
      </w:pPr>
      <w:r w:rsidRPr="00B107F4">
        <w:rPr>
          <w:sz w:val="20"/>
        </w:rPr>
        <w:t xml:space="preserve">(D) </w:t>
      </w:r>
      <w:proofErr w:type="gramStart"/>
      <w:r w:rsidRPr="00B107F4">
        <w:rPr>
          <w:sz w:val="20"/>
        </w:rPr>
        <w:t>to</w:t>
      </w:r>
      <w:proofErr w:type="gramEnd"/>
      <w:r w:rsidRPr="00B107F4">
        <w:rPr>
          <w:sz w:val="20"/>
        </w:rPr>
        <w:t xml:space="preserve"> describe the—</w:t>
      </w:r>
    </w:p>
    <w:p w:rsidR="00387546" w:rsidRPr="00B107F4" w:rsidRDefault="00387546" w:rsidP="00037DD3">
      <w:pPr>
        <w:pStyle w:val="BodyText"/>
        <w:spacing w:before="0" w:after="0"/>
        <w:ind w:left="1440" w:firstLine="0"/>
        <w:rPr>
          <w:sz w:val="20"/>
        </w:rPr>
      </w:pPr>
      <w:r w:rsidRPr="00B107F4">
        <w:rPr>
          <w:sz w:val="20"/>
        </w:rPr>
        <w:t>(</w:t>
      </w:r>
      <w:proofErr w:type="spellStart"/>
      <w:r w:rsidRPr="00B107F4">
        <w:rPr>
          <w:sz w:val="20"/>
        </w:rPr>
        <w:t>i</w:t>
      </w:r>
      <w:proofErr w:type="spellEnd"/>
      <w:r w:rsidRPr="00B107F4">
        <w:rPr>
          <w:sz w:val="20"/>
        </w:rPr>
        <w:t xml:space="preserve">) </w:t>
      </w:r>
      <w:proofErr w:type="gramStart"/>
      <w:r w:rsidRPr="00B107F4">
        <w:rPr>
          <w:sz w:val="20"/>
        </w:rPr>
        <w:t>debt</w:t>
      </w:r>
      <w:proofErr w:type="gramEnd"/>
      <w:r w:rsidRPr="00B107F4">
        <w:rPr>
          <w:sz w:val="20"/>
        </w:rPr>
        <w:t xml:space="preserve"> burden of such loan recipients, and their capacity to repay their education debts; and</w:t>
      </w:r>
    </w:p>
    <w:p w:rsidR="00387546" w:rsidRPr="00B107F4" w:rsidRDefault="00387546" w:rsidP="00037DD3">
      <w:pPr>
        <w:pStyle w:val="BodyText"/>
        <w:spacing w:before="0" w:after="0"/>
        <w:ind w:left="1440" w:firstLine="0"/>
        <w:rPr>
          <w:spacing w:val="-2"/>
          <w:sz w:val="20"/>
        </w:rPr>
      </w:pPr>
      <w:r w:rsidRPr="00B107F4">
        <w:rPr>
          <w:sz w:val="20"/>
        </w:rPr>
        <w:t xml:space="preserve">(ii) </w:t>
      </w:r>
      <w:proofErr w:type="gramStart"/>
      <w:r w:rsidRPr="00B107F4">
        <w:rPr>
          <w:spacing w:val="-2"/>
          <w:sz w:val="20"/>
        </w:rPr>
        <w:t>the</w:t>
      </w:r>
      <w:proofErr w:type="gramEnd"/>
      <w:r w:rsidRPr="00B107F4">
        <w:rPr>
          <w:spacing w:val="-2"/>
          <w:sz w:val="20"/>
        </w:rPr>
        <w:t xml:space="preserve"> impact of such debt burden on the recipients’ course of study and post-graduation plans;</w:t>
      </w:r>
    </w:p>
    <w:p w:rsidR="00387546" w:rsidRPr="00B107F4" w:rsidRDefault="00387546" w:rsidP="00037DD3">
      <w:pPr>
        <w:pStyle w:val="BodyText"/>
        <w:spacing w:before="0" w:after="0"/>
        <w:ind w:left="1440" w:hanging="360"/>
        <w:rPr>
          <w:sz w:val="20"/>
        </w:rPr>
      </w:pPr>
      <w:r w:rsidRPr="00B107F4">
        <w:rPr>
          <w:sz w:val="20"/>
        </w:rPr>
        <w:t xml:space="preserve">(E) </w:t>
      </w:r>
      <w:proofErr w:type="gramStart"/>
      <w:r w:rsidRPr="00B107F4">
        <w:rPr>
          <w:sz w:val="20"/>
        </w:rPr>
        <w:t>to</w:t>
      </w:r>
      <w:proofErr w:type="gramEnd"/>
      <w:r w:rsidRPr="00B107F4">
        <w:rPr>
          <w:sz w:val="20"/>
        </w:rPr>
        <w:t xml:space="preserve"> describe the impact of the cost of attendance of postsecondary education in the determination by students of what institution of higher education to attend; and</w:t>
      </w:r>
    </w:p>
    <w:p w:rsidR="00387546" w:rsidRPr="00B107F4" w:rsidRDefault="00387546" w:rsidP="00037DD3">
      <w:pPr>
        <w:pStyle w:val="BodyText"/>
        <w:spacing w:before="0" w:after="0"/>
        <w:ind w:left="1440" w:hanging="360"/>
        <w:rPr>
          <w:sz w:val="20"/>
        </w:rPr>
      </w:pPr>
      <w:r w:rsidRPr="00B107F4">
        <w:rPr>
          <w:sz w:val="20"/>
        </w:rPr>
        <w:t xml:space="preserve">(F) </w:t>
      </w:r>
      <w:proofErr w:type="gramStart"/>
      <w:r w:rsidRPr="00B107F4">
        <w:rPr>
          <w:sz w:val="20"/>
        </w:rPr>
        <w:t>to</w:t>
      </w:r>
      <w:proofErr w:type="gramEnd"/>
      <w:r w:rsidRPr="00B107F4">
        <w:rPr>
          <w:sz w:val="20"/>
        </w:rPr>
        <w:t xml:space="preserve"> describe how the costs of textbooks and other instructional materials affect the costs of postsecondary education for students.</w:t>
      </w:r>
    </w:p>
    <w:p w:rsidR="00387546" w:rsidRPr="00B107F4" w:rsidRDefault="00387546" w:rsidP="00037DD3">
      <w:pPr>
        <w:pStyle w:val="BodyText"/>
        <w:spacing w:before="0" w:after="0"/>
        <w:ind w:left="1080" w:hanging="270"/>
        <w:rPr>
          <w:sz w:val="20"/>
        </w:rPr>
      </w:pPr>
      <w:r w:rsidRPr="00B107F4">
        <w:rPr>
          <w:sz w:val="20"/>
        </w:rPr>
        <w:t xml:space="preserve">(2) Frequency: The survey </w:t>
      </w:r>
      <w:proofErr w:type="gramStart"/>
      <w:r w:rsidRPr="00B107F4">
        <w:rPr>
          <w:sz w:val="20"/>
        </w:rPr>
        <w:t>shall be conducted</w:t>
      </w:r>
      <w:proofErr w:type="gramEnd"/>
      <w:r w:rsidRPr="00B107F4">
        <w:rPr>
          <w:sz w:val="20"/>
        </w:rPr>
        <w:t xml:space="preserve"> on a regular cycle and not less often than once every four years.</w:t>
      </w:r>
    </w:p>
    <w:p w:rsidR="00387546" w:rsidRPr="00B107F4" w:rsidRDefault="00387546" w:rsidP="00037DD3">
      <w:pPr>
        <w:pStyle w:val="BodyText"/>
        <w:spacing w:before="0" w:after="0"/>
        <w:ind w:left="108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RDefault="00387546" w:rsidP="00037DD3">
      <w:pPr>
        <w:pStyle w:val="BodyText"/>
        <w:spacing w:before="0" w:after="0"/>
        <w:ind w:left="1080" w:hanging="270"/>
        <w:rPr>
          <w:sz w:val="20"/>
        </w:rPr>
      </w:pPr>
      <w:r w:rsidRPr="00B107F4">
        <w:rPr>
          <w:sz w:val="20"/>
        </w:rPr>
        <w:t>(4) Dissemination: The Commissioner for Education Statistics shall disseminate to the public, in printed and electronic form, the information resulting from the survey.”</w:t>
      </w:r>
    </w:p>
    <w:p w:rsidR="00975A2B" w:rsidRPr="00387546" w:rsidRDefault="00975A2B" w:rsidP="00387546">
      <w:pPr>
        <w:pStyle w:val="BodyText"/>
        <w:spacing w:before="0" w:after="0" w:line="280" w:lineRule="atLeast"/>
        <w:ind w:left="1080" w:hanging="270"/>
        <w:rPr>
          <w:sz w:val="20"/>
        </w:rPr>
      </w:pPr>
    </w:p>
    <w:p w:rsidR="00835CAB" w:rsidRDefault="00835CAB" w:rsidP="00975A2B">
      <w:pPr>
        <w:pStyle w:val="Heading3"/>
        <w:spacing w:before="0" w:line="23" w:lineRule="atLeast"/>
      </w:pPr>
      <w:bookmarkStart w:id="21" w:name="_Toc383113362"/>
      <w:bookmarkStart w:id="22" w:name="_Toc477621548"/>
      <w:r>
        <w:t>Prior and Related Studies</w:t>
      </w:r>
      <w:bookmarkEnd w:id="21"/>
      <w:bookmarkEnd w:id="22"/>
    </w:p>
    <w:p w:rsidR="00D14345" w:rsidRDefault="00F26672" w:rsidP="001646B0">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Three 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proofErr w:type="gramStart"/>
      <w:r w:rsidR="001646B0">
        <w:rPr>
          <w:szCs w:val="24"/>
        </w:rPr>
        <w:t>are identified</w:t>
      </w:r>
      <w:proofErr w:type="gramEnd"/>
      <w:r w:rsidR="001646B0">
        <w:rPr>
          <w:szCs w:val="24"/>
        </w:rPr>
        <w:t xml:space="preserve"> in</w:t>
      </w:r>
      <w:r w:rsidRPr="00F26672">
        <w:rPr>
          <w:szCs w:val="24"/>
        </w:rPr>
        <w:t xml:space="preserve"> NPSAS, a nationally representative trend study of postsecondary students designed to determine how students and their families pay for postsecondary education. B&amp;B</w:t>
      </w:r>
      <w:proofErr w:type="gramStart"/>
      <w:r w:rsidRPr="00F26672">
        <w:rPr>
          <w:szCs w:val="24"/>
        </w:rPr>
        <w:t>:16</w:t>
      </w:r>
      <w:proofErr w:type="gramEnd"/>
      <w:r w:rsidRPr="00F26672">
        <w:rPr>
          <w:szCs w:val="24"/>
        </w:rPr>
        <w:t>/17 is the first follow-up of a panel of baccalaureate degree recipients identified in NPSAS:16, and part of the fourth cohort (B&amp;B:16) of the B&amp;B series. The current cohort contains students who earned their bachelor’s degrees in 2015–16. For the B&amp;B</w:t>
      </w:r>
      <w:proofErr w:type="gramStart"/>
      <w:r w:rsidRPr="00F26672">
        <w:rPr>
          <w:szCs w:val="24"/>
        </w:rPr>
        <w:t>:16</w:t>
      </w:r>
      <w:proofErr w:type="gramEnd"/>
      <w:r w:rsidRPr="00F26672">
        <w:rPr>
          <w:szCs w:val="24"/>
        </w:rPr>
        <w:t>/17 field test, students earned their bachelor’s degrees in 2014-2015 and were identified in the NPSAS:16 field test conducted in 2015.</w:t>
      </w:r>
    </w:p>
    <w:p w:rsidR="00F26672" w:rsidRPr="00F26672" w:rsidRDefault="0070095B" w:rsidP="00975A2B">
      <w:pPr>
        <w:spacing w:after="120" w:line="23" w:lineRule="atLeast"/>
        <w:rPr>
          <w:szCs w:val="24"/>
        </w:rPr>
      </w:pPr>
      <w:r>
        <w:rPr>
          <w:szCs w:val="24"/>
        </w:rPr>
        <w:t>Table 1 presents t</w:t>
      </w:r>
      <w:r w:rsidR="00F26672" w:rsidRP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00F26672" w:rsidRPr="00F26672">
        <w:rPr>
          <w:szCs w:val="24"/>
        </w:rPr>
        <w:t>. Similar to the first and most recent B&amp;B series, additional follow-up studies with the B&amp;B</w:t>
      </w:r>
      <w:proofErr w:type="gramStart"/>
      <w:r w:rsidR="00F26672" w:rsidRPr="00F26672">
        <w:rPr>
          <w:szCs w:val="24"/>
        </w:rPr>
        <w:t>:16</w:t>
      </w:r>
      <w:proofErr w:type="gramEnd"/>
      <w:r w:rsidR="00F26672" w:rsidRPr="00F26672">
        <w:rPr>
          <w:szCs w:val="24"/>
        </w:rPr>
        <w:t xml:space="preserve"> cohort may be conducted 4 and 10 years after bachelor’s degree receipt (contingent upon </w:t>
      </w:r>
      <w:r w:rsidR="00D50BA1">
        <w:rPr>
          <w:szCs w:val="24"/>
        </w:rPr>
        <w:t>funding</w:t>
      </w:r>
      <w:r w:rsidR="00F26672" w:rsidRPr="00F26672">
        <w:rPr>
          <w:szCs w:val="24"/>
        </w:rPr>
        <w:t xml:space="preserve">). For all studies, full-scale </w:t>
      </w:r>
      <w:r w:rsidR="00FC53D8">
        <w:rPr>
          <w:szCs w:val="24"/>
        </w:rPr>
        <w:t xml:space="preserve">(main study) </w:t>
      </w:r>
      <w:r w:rsidR="00F26672" w:rsidRPr="00F26672">
        <w:rPr>
          <w:szCs w:val="24"/>
        </w:rPr>
        <w:t xml:space="preserve">data collection </w:t>
      </w:r>
      <w:proofErr w:type="gramStart"/>
      <w:r w:rsidR="00F26672" w:rsidRPr="00F26672">
        <w:rPr>
          <w:szCs w:val="24"/>
        </w:rPr>
        <w:t>was preceded</w:t>
      </w:r>
      <w:proofErr w:type="gramEnd"/>
      <w:r w:rsidR="00F26672" w:rsidRPr="00F26672">
        <w:rPr>
          <w:szCs w:val="24"/>
        </w:rPr>
        <w:t xml:space="preserve"> by a field test data collection one year earlier in order to test methods and procedures planned for the </w:t>
      </w:r>
      <w:r w:rsidR="00FC53D8">
        <w:rPr>
          <w:szCs w:val="24"/>
        </w:rPr>
        <w:t>main study</w:t>
      </w:r>
      <w:r w:rsidR="00F26672" w:rsidRPr="00F26672">
        <w:rPr>
          <w:szCs w:val="24"/>
        </w:rPr>
        <w:t>.</w:t>
      </w:r>
    </w:p>
    <w:p w:rsidR="00265E39" w:rsidRDefault="002D09D2" w:rsidP="00ED436E">
      <w:pPr>
        <w:pStyle w:val="TableTitle"/>
      </w:pPr>
      <w:bookmarkStart w:id="23" w:name="_Toc381969977"/>
      <w:bookmarkStart w:id="24" w:name="_Toc474244119"/>
      <w:proofErr w:type="gramStart"/>
      <w:r>
        <w:t>Table 1.</w:t>
      </w:r>
      <w:proofErr w:type="gramEnd"/>
      <w:r w:rsidR="005F3E77">
        <w:t xml:space="preserve"> </w:t>
      </w:r>
      <w:r w:rsidR="00265E39" w:rsidRPr="00265E39">
        <w:t>Chronology of NPSAS and its longitudinal components</w:t>
      </w:r>
      <w:bookmarkEnd w:id="23"/>
      <w:bookmarkEnd w:id="24"/>
    </w:p>
    <w:tbl>
      <w:tblPr>
        <w:tblStyle w:val="GridTable1Light"/>
        <w:tblW w:w="5000" w:type="pct"/>
        <w:tblLook w:val="01E0" w:firstRow="1" w:lastRow="1" w:firstColumn="1" w:lastColumn="1" w:noHBand="0" w:noVBand="0"/>
      </w:tblPr>
      <w:tblGrid>
        <w:gridCol w:w="2330"/>
        <w:gridCol w:w="2220"/>
        <w:gridCol w:w="2497"/>
        <w:gridCol w:w="3681"/>
      </w:tblGrid>
      <w:tr w:rsidR="00265E39" w:rsidRPr="00E42B0E" w:rsidTr="00CD6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65E39" w:rsidRPr="00E42B0E" w:rsidRDefault="00265E39" w:rsidP="00ED436E">
            <w:pPr>
              <w:pStyle w:val="Tabletext"/>
              <w:keepNext/>
            </w:pPr>
            <w:r w:rsidRPr="00E42B0E">
              <w:t>Base year</w:t>
            </w:r>
          </w:p>
        </w:tc>
        <w:tc>
          <w:tcPr>
            <w:tcW w:w="2160" w:type="dxa"/>
          </w:tcPr>
          <w:p w:rsidR="00265E39" w:rsidRPr="00E42B0E" w:rsidRDefault="00265E39" w:rsidP="00ED436E">
            <w:pPr>
              <w:pStyle w:val="Tabletext"/>
              <w:keepNex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rsidR="00265E39" w:rsidRPr="00E42B0E" w:rsidRDefault="00265E39" w:rsidP="00ED436E">
            <w:pPr>
              <w:pStyle w:val="Tabletext"/>
              <w:keepNext/>
              <w:cnfStyle w:val="100000000000" w:firstRow="1" w:lastRow="0" w:firstColumn="0" w:lastColumn="0" w:oddVBand="0" w:evenVBand="0" w:oddHBand="0" w:evenHBand="0" w:firstRowFirstColumn="0" w:firstRowLastColumn="0" w:lastRowFirstColumn="0" w:lastRowLastColumn="0"/>
            </w:pPr>
            <w:r w:rsidRPr="00E42B0E">
              <w:t>Second follow-up</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E42B0E" w:rsidRDefault="00265E39" w:rsidP="00ED436E">
            <w:pPr>
              <w:pStyle w:val="Tabletext"/>
              <w:keepNext/>
            </w:pPr>
            <w:r w:rsidRPr="00E42B0E">
              <w:t>Third follow-up</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NPSAS:90</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BPS:90/92</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BPS:90/94</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NPSAS:93</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B&amp;B:93/94</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B&amp;B:93/97</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B&amp;B:93/03</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NPSAS:96</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BPS:96/98</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BPS:96/01</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AA6176" w:rsidP="00ED436E">
            <w:pPr>
              <w:pStyle w:val="Tabletext"/>
              <w:keepNext/>
              <w:rPr>
                <w:b w:val="0"/>
              </w:rPr>
            </w:pPr>
            <w:r w:rsidRPr="005069CE">
              <w:rPr>
                <w:b w:val="0"/>
              </w:rPr>
              <w:t>Administrative data matching only</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NPSAS:2000</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B&amp;B:2000/01</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NPSAS:04</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BPS:04/06</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BPS:04/09</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AA6176" w:rsidP="00ED436E">
            <w:pPr>
              <w:pStyle w:val="Tabletext"/>
              <w:keepNext/>
              <w:rPr>
                <w:b w:val="0"/>
              </w:rPr>
            </w:pPr>
            <w:r w:rsidRPr="005069CE">
              <w:rPr>
                <w:b w:val="0"/>
              </w:rPr>
              <w:t>Administrative data matching only</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NPSAS:08</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B&amp;B:08/09</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B&amp;B:08/12</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B84886" w:rsidP="00ED436E">
            <w:pPr>
              <w:pStyle w:val="Tabletext"/>
              <w:keepNext/>
              <w:rPr>
                <w:b w:val="0"/>
              </w:rPr>
            </w:pPr>
            <w:r w:rsidRPr="005069CE">
              <w:rPr>
                <w:b w:val="0"/>
              </w:rPr>
              <w:t xml:space="preserve">B&amp;B:08/18 </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NPSAS:12</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BPS:12/14</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BPS:12/17</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NPSAS:16</w:t>
            </w:r>
          </w:p>
        </w:tc>
        <w:tc>
          <w:tcPr>
            <w:tcW w:w="2160" w:type="dxa"/>
          </w:tcPr>
          <w:p w:rsidR="00265E39" w:rsidRPr="005069CE" w:rsidRDefault="00265E39" w:rsidP="00ED436E">
            <w:pPr>
              <w:pStyle w:val="Tabletext"/>
              <w:keepNext/>
              <w:cnfStyle w:val="010000000000" w:firstRow="0" w:lastRow="1" w:firstColumn="0" w:lastColumn="0" w:oddVBand="0" w:evenVBand="0" w:oddHBand="0" w:evenHBand="0" w:firstRowFirstColumn="0" w:firstRowLastColumn="0" w:lastRowFirstColumn="0" w:lastRowLastColumn="0"/>
              <w:rPr>
                <w:b w:val="0"/>
              </w:rPr>
            </w:pPr>
            <w:r w:rsidRPr="005069CE">
              <w:rPr>
                <w:b w:val="0"/>
              </w:rPr>
              <w:t>B&amp;B:16/17</w:t>
            </w:r>
          </w:p>
        </w:tc>
        <w:tc>
          <w:tcPr>
            <w:tcW w:w="2430" w:type="dxa"/>
          </w:tcPr>
          <w:p w:rsidR="00265E39" w:rsidRPr="005069CE" w:rsidRDefault="00265E39" w:rsidP="00ED436E">
            <w:pPr>
              <w:pStyle w:val="Tabletext"/>
              <w:keepNext/>
              <w:cnfStyle w:val="010000000000" w:firstRow="0" w:lastRow="1" w:firstColumn="0" w:lastColumn="0" w:oddVBand="0" w:evenVBand="0" w:oddHBand="0" w:evenHBand="0" w:firstRowFirstColumn="0" w:firstRowLastColumn="0" w:lastRowFirstColumn="0" w:lastRowLastColumn="0"/>
              <w:rPr>
                <w:b w:val="0"/>
              </w:rPr>
            </w:pPr>
            <w:r w:rsidRPr="005069CE">
              <w:rPr>
                <w:b w:val="0"/>
              </w:rPr>
              <w:t>B&amp;B:16/20 (anticipated)</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p>
        </w:tc>
      </w:tr>
    </w:tbl>
    <w:p w:rsidR="00265E39" w:rsidRDefault="00265E39" w:rsidP="00ED436E">
      <w:pPr>
        <w:pStyle w:val="Tablenotes"/>
        <w:keepNext/>
      </w:pPr>
      <w:r>
        <w:t>— Not applicable.</w:t>
      </w:r>
    </w:p>
    <w:p w:rsidR="00265E39" w:rsidRDefault="00265E39" w:rsidP="00ED436E">
      <w:pPr>
        <w:pStyle w:val="Tablenotes"/>
        <w:keepNext/>
        <w:spacing w:after="240"/>
      </w:pPr>
      <w:r>
        <w:t>NOTE: BPS = Beginning Postsecondary Students; B&amp;B = Baccalaureate and Beyond.</w:t>
      </w:r>
    </w:p>
    <w:p w:rsidR="00265E39" w:rsidRDefault="00265E39" w:rsidP="00CE1E4F">
      <w:pPr>
        <w:pStyle w:val="BodyText"/>
        <w:keepNext/>
        <w:ind w:firstLine="0"/>
      </w:pPr>
      <w:r>
        <w:t>The seven major issues addressed in these Sample Surveys Division studies are:</w:t>
      </w:r>
    </w:p>
    <w:p w:rsidR="00265E39" w:rsidRDefault="00265E39" w:rsidP="00AF0ECE">
      <w:pPr>
        <w:pStyle w:val="ListBullet2"/>
        <w:spacing w:before="0"/>
      </w:pPr>
      <w:r>
        <w:t>Undergraduate access/choice of institution;</w:t>
      </w:r>
    </w:p>
    <w:p w:rsidR="00265E39" w:rsidRDefault="00265E39" w:rsidP="00AF0ECE">
      <w:pPr>
        <w:pStyle w:val="ListBullet2"/>
        <w:spacing w:before="0"/>
      </w:pPr>
      <w:r>
        <w:t>Persistence;</w:t>
      </w:r>
    </w:p>
    <w:p w:rsidR="00265E39" w:rsidRDefault="00265E39" w:rsidP="00AF0ECE">
      <w:pPr>
        <w:pStyle w:val="ListBullet2"/>
        <w:spacing w:before="0"/>
      </w:pPr>
      <w:r>
        <w:t>Progress/curriculum;</w:t>
      </w:r>
    </w:p>
    <w:p w:rsidR="00265E39" w:rsidRDefault="00265E39" w:rsidP="00AF0ECE">
      <w:pPr>
        <w:pStyle w:val="ListBullet2"/>
        <w:spacing w:before="0"/>
      </w:pPr>
      <w:r>
        <w:t>Attainment/outcome assessment;</w:t>
      </w:r>
    </w:p>
    <w:p w:rsidR="00265E39" w:rsidRDefault="00265E39" w:rsidP="00AF0ECE">
      <w:pPr>
        <w:pStyle w:val="ListBullet2"/>
        <w:spacing w:before="0"/>
      </w:pPr>
      <w:r>
        <w:t>Financial aid and student debt;</w:t>
      </w:r>
    </w:p>
    <w:p w:rsidR="005F3E77" w:rsidRDefault="00265E39" w:rsidP="00AF0ECE">
      <w:pPr>
        <w:pStyle w:val="ListBullet2"/>
        <w:spacing w:before="0"/>
      </w:pPr>
      <w:r>
        <w:t>Access to graduate programs; and</w:t>
      </w:r>
    </w:p>
    <w:p w:rsidR="00265E39" w:rsidRDefault="00265E39" w:rsidP="00AF0ECE">
      <w:pPr>
        <w:pStyle w:val="ListBullet2"/>
        <w:spacing w:before="0"/>
      </w:pPr>
      <w:proofErr w:type="gramStart"/>
      <w:r>
        <w:t>Benefits of postsecondary education to individuals and society.</w:t>
      </w:r>
      <w:proofErr w:type="gramEnd"/>
    </w:p>
    <w:p w:rsidR="007345DF" w:rsidRDefault="007345DF" w:rsidP="007345DF">
      <w:pPr>
        <w:pStyle w:val="ListBullet2"/>
        <w:numPr>
          <w:ilvl w:val="0"/>
          <w:numId w:val="0"/>
        </w:numPr>
        <w:spacing w:before="0"/>
        <w:ind w:left="1080"/>
      </w:pPr>
    </w:p>
    <w:p w:rsidR="00265E39" w:rsidRDefault="00265E39" w:rsidP="00975A2B">
      <w:pPr>
        <w:pStyle w:val="Heading2"/>
        <w:spacing w:before="0" w:line="23" w:lineRule="atLeast"/>
      </w:pPr>
      <w:bookmarkStart w:id="25" w:name="_Toc383113363"/>
      <w:bookmarkStart w:id="26" w:name="_Toc477621549"/>
      <w:r>
        <w:t>Purposes and Uses of the Data</w:t>
      </w:r>
      <w:bookmarkEnd w:id="25"/>
      <w:bookmarkEnd w:id="26"/>
    </w:p>
    <w:p w:rsidR="00147166" w:rsidRPr="00120D11" w:rsidRDefault="00147166" w:rsidP="00975A2B">
      <w:pPr>
        <w:spacing w:after="120" w:line="23" w:lineRule="atLeast"/>
        <w:rPr>
          <w:rFonts w:cstheme="majorBidi"/>
        </w:rPr>
      </w:pPr>
      <w:r w:rsidRPr="00120D11">
        <w:rPr>
          <w:rFonts w:cstheme="majorBidi"/>
        </w:rPr>
        <w:t>This section provides information on the purposes of B&amp;B</w:t>
      </w:r>
      <w:proofErr w:type="gramStart"/>
      <w:r w:rsidRPr="00120D11">
        <w:rPr>
          <w:rFonts w:cstheme="majorBidi"/>
        </w:rPr>
        <w:t>:16</w:t>
      </w:r>
      <w:proofErr w:type="gramEnd"/>
      <w:r w:rsidRPr="00120D11">
        <w:rPr>
          <w:rFonts w:cstheme="majorBidi"/>
        </w:rPr>
        <w:t>/17 and an overview of the primary research issues it addresses.</w:t>
      </w:r>
    </w:p>
    <w:p w:rsidR="00265E39" w:rsidRDefault="004D2386" w:rsidP="00975A2B">
      <w:pPr>
        <w:pStyle w:val="Heading3"/>
        <w:spacing w:before="0" w:line="23" w:lineRule="atLeast"/>
      </w:pPr>
      <w:bookmarkStart w:id="27" w:name="_Toc383113364"/>
      <w:bookmarkStart w:id="28" w:name="_Toc477621550"/>
      <w:r>
        <w:t>B&amp;B</w:t>
      </w:r>
      <w:proofErr w:type="gramStart"/>
      <w:r>
        <w:t>:16</w:t>
      </w:r>
      <w:proofErr w:type="gramEnd"/>
      <w:r>
        <w:t>/17</w:t>
      </w:r>
      <w:r w:rsidR="00265E39">
        <w:t xml:space="preserve"> Purposes</w:t>
      </w:r>
      <w:bookmarkEnd w:id="27"/>
      <w:bookmarkEnd w:id="28"/>
    </w:p>
    <w:p w:rsidR="001559BB" w:rsidRPr="00120D11" w:rsidRDefault="001559BB" w:rsidP="00704080">
      <w:pPr>
        <w:pStyle w:val="BodyText"/>
        <w:spacing w:before="0" w:line="23" w:lineRule="atLeast"/>
        <w:ind w:firstLine="0"/>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proofErr w:type="spellStart"/>
      <w:r w:rsidR="00684E48">
        <w:t>postbaccalaureate</w:t>
      </w:r>
      <w:proofErr w:type="spellEnd"/>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rsidRPr="009B665F">
        <w:t xml:space="preserve">as well as </w:t>
      </w:r>
      <w:r w:rsidRPr="009B665F">
        <w:t>the experiences of those who have begun careers in education of students through the 12</w:t>
      </w:r>
      <w:r w:rsidRPr="009B665F">
        <w:rPr>
          <w:vertAlign w:val="superscript"/>
        </w:rPr>
        <w:t>th</w:t>
      </w:r>
      <w:r w:rsidRPr="009B665F">
        <w:t xml:space="preserve"> grade.</w:t>
      </w:r>
      <w:r w:rsidRPr="00120D11">
        <w:t xml:space="preserve"> Since</w:t>
      </w:r>
      <w:r w:rsidR="00A103A6">
        <w:t xml:space="preserve"> graduating from college in 2015-16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004D2386" w:rsidRPr="00EE6252" w:rsidRDefault="001559BB" w:rsidP="00362906">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 xml:space="preserve">both traditional-age and non-traditional-age </w:t>
      </w:r>
      <w:proofErr w:type="gramStart"/>
      <w:r w:rsidRPr="00120D11">
        <w:t>college</w:t>
      </w:r>
      <w:proofErr w:type="gramEnd"/>
      <w:r w:rsidRPr="00120D11">
        <w:t xml:space="preserv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w:t>
      </w:r>
      <w:proofErr w:type="gramStart"/>
      <w:r w:rsidRPr="00120D11">
        <w:rPr>
          <w:rFonts w:cstheme="majorBidi"/>
        </w:rPr>
        <w:t>are presented</w:t>
      </w:r>
      <w:proofErr w:type="gramEnd"/>
      <w:r w:rsidRPr="00120D11">
        <w:rPr>
          <w:rFonts w:cstheme="majorBidi"/>
        </w:rPr>
        <w:t xml:space="preserve">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w:t>
      </w:r>
      <w:proofErr w:type="gramStart"/>
      <w:r w:rsidR="002B543D">
        <w:rPr>
          <w:rFonts w:cstheme="majorBidi"/>
        </w:rPr>
        <w:t xml:space="preserve">can also </w:t>
      </w:r>
      <w:r w:rsidRPr="00120D11">
        <w:rPr>
          <w:rFonts w:cstheme="majorBidi"/>
        </w:rPr>
        <w:t>be used</w:t>
      </w:r>
      <w:proofErr w:type="gramEnd"/>
      <w:r w:rsidRPr="00120D11">
        <w:rPr>
          <w:rFonts w:cstheme="majorBidi"/>
        </w:rPr>
        <w:t xml:space="preserve"> to calculate statistics with </w:t>
      </w:r>
      <w:proofErr w:type="spellStart"/>
      <w:r w:rsidRPr="00120D11">
        <w:rPr>
          <w:rFonts w:cstheme="majorBidi"/>
        </w:rPr>
        <w:t>PowerStats</w:t>
      </w:r>
      <w:proofErr w:type="spellEnd"/>
      <w:r w:rsidRPr="00120D11">
        <w:rPr>
          <w:rFonts w:cstheme="majorBidi"/>
        </w:rPr>
        <w:t xml:space="preserve">, </w:t>
      </w:r>
      <w:proofErr w:type="spellStart"/>
      <w:r w:rsidRPr="00120D11">
        <w:rPr>
          <w:rFonts w:cstheme="majorBidi"/>
        </w:rPr>
        <w:t>QuickStats</w:t>
      </w:r>
      <w:proofErr w:type="spellEnd"/>
      <w:r w:rsidRPr="00120D11">
        <w:rPr>
          <w:rFonts w:cstheme="majorBidi"/>
        </w:rPr>
        <w:t xml:space="preserve">, and </w:t>
      </w:r>
      <w:proofErr w:type="spellStart"/>
      <w:r w:rsidRPr="00120D11">
        <w:rPr>
          <w:rFonts w:cstheme="majorBidi"/>
        </w:rPr>
        <w:t>TrendStats</w:t>
      </w:r>
      <w:proofErr w:type="spellEnd"/>
      <w:r w:rsidRPr="00120D11">
        <w:rPr>
          <w:rFonts w:cstheme="majorBidi"/>
        </w:rPr>
        <w:t xml:space="preserve">, web-based software applications available to the public at </w:t>
      </w:r>
      <w:hyperlink r:id="rId9" w:history="1">
        <w:r w:rsidRPr="00120D11">
          <w:rPr>
            <w:rStyle w:val="Hyperlink"/>
            <w:rFonts w:cstheme="majorBidi"/>
            <w:color w:val="000000"/>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rsidR="00265E39" w:rsidRDefault="004D2386" w:rsidP="00975A2B">
      <w:pPr>
        <w:pStyle w:val="Heading3"/>
        <w:spacing w:before="0" w:line="23" w:lineRule="atLeast"/>
      </w:pPr>
      <w:bookmarkStart w:id="29" w:name="_Toc383113365"/>
      <w:bookmarkStart w:id="30" w:name="_Toc477621551"/>
      <w:r>
        <w:t>B&amp;B</w:t>
      </w:r>
      <w:proofErr w:type="gramStart"/>
      <w:r>
        <w:t>:16</w:t>
      </w:r>
      <w:proofErr w:type="gramEnd"/>
      <w:r>
        <w:t>/17</w:t>
      </w:r>
      <w:r w:rsidR="00265E39">
        <w:t xml:space="preserve"> Research and Policy Issues</w:t>
      </w:r>
      <w:bookmarkEnd w:id="29"/>
      <w:bookmarkEnd w:id="30"/>
    </w:p>
    <w:p w:rsidR="00D14345" w:rsidRDefault="00B25100" w:rsidP="00975A2B">
      <w:pPr>
        <w:spacing w:after="120" w:line="23" w:lineRule="atLeast"/>
        <w:rPr>
          <w:szCs w:val="24"/>
        </w:rPr>
      </w:pPr>
      <w:r w:rsidRPr="00B25100">
        <w:rPr>
          <w:szCs w:val="24"/>
        </w:rPr>
        <w:t xml:space="preserve">The B&amp;B:16/17 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year following graduation.</w:t>
      </w:r>
    </w:p>
    <w:p w:rsidR="00B25100" w:rsidRPr="00B25100" w:rsidRDefault="00B25100" w:rsidP="007A28EF">
      <w:pPr>
        <w:spacing w:after="120" w:line="23" w:lineRule="atLeast"/>
        <w:rPr>
          <w:szCs w:val="24"/>
        </w:rPr>
      </w:pPr>
      <w:proofErr w:type="gramStart"/>
      <w:r w:rsidRPr="00B25100">
        <w:rPr>
          <w:b/>
          <w:szCs w:val="24"/>
        </w:rPr>
        <w:t>Education debt and loan repayment.</w:t>
      </w:r>
      <w:proofErr w:type="gramEnd"/>
      <w:r w:rsidRPr="00B25100">
        <w:rPr>
          <w:b/>
          <w:szCs w:val="24"/>
        </w:rPr>
        <w:t xml:space="preserve">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 xml:space="preserve">e education </w:t>
      </w:r>
      <w:proofErr w:type="gramStart"/>
      <w:r w:rsidR="00CE343A">
        <w:rPr>
          <w:szCs w:val="24"/>
        </w:rPr>
        <w:t>is predicated</w:t>
      </w:r>
      <w:proofErr w:type="gramEnd"/>
      <w:r w:rsidR="00CE343A">
        <w:rPr>
          <w:szCs w:val="24"/>
        </w:rPr>
        <w:t xml:space="preserve"> upon</w:t>
      </w:r>
      <w:r w:rsidRPr="00B25100">
        <w:rPr>
          <w:szCs w:val="24"/>
        </w:rPr>
        <w:t xml:space="preserve"> the assumption that future employment will allow </w:t>
      </w:r>
      <w:r w:rsidR="00F71795">
        <w:rPr>
          <w:szCs w:val="24"/>
        </w:rPr>
        <w:t>for repayment of debt</w:t>
      </w:r>
      <w:r w:rsidRPr="00B25100">
        <w:rPr>
          <w:szCs w:val="24"/>
        </w:rPr>
        <w:t>. B&amp;B</w:t>
      </w:r>
      <w:proofErr w:type="gramStart"/>
      <w:r w:rsidRPr="00B25100">
        <w:rPr>
          <w:szCs w:val="24"/>
        </w:rPr>
        <w:t>:16</w:t>
      </w:r>
      <w:proofErr w:type="gramEnd"/>
      <w:r w:rsidRPr="00B25100">
        <w:rPr>
          <w:szCs w:val="24"/>
        </w:rPr>
        <w:t>/17 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proofErr w:type="spellStart"/>
      <w:r w:rsidR="00684E48">
        <w:rPr>
          <w:szCs w:val="24"/>
        </w:rPr>
        <w:t>postbaccalaureate</w:t>
      </w:r>
      <w:proofErr w:type="spellEnd"/>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00D930A9" w:rsidRPr="00D930A9" w:rsidRDefault="00D930A9" w:rsidP="007A28EF">
      <w:pPr>
        <w:pStyle w:val="BodyText"/>
        <w:spacing w:before="0" w:line="23" w:lineRule="atLeast"/>
        <w:ind w:firstLine="0"/>
      </w:pPr>
      <w:proofErr w:type="gramStart"/>
      <w:r>
        <w:rPr>
          <w:b/>
        </w:rPr>
        <w:t>Science, technology, engineering, and mathematics.</w:t>
      </w:r>
      <w:proofErr w:type="gramEnd"/>
      <w:r>
        <w:rPr>
          <w:b/>
        </w:rPr>
        <w:t xml:space="preserve">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RDefault="00CE5585" w:rsidP="007A28EF">
      <w:pPr>
        <w:spacing w:after="120" w:line="23" w:lineRule="atLeast"/>
        <w:rPr>
          <w:szCs w:val="24"/>
        </w:rPr>
      </w:pPr>
      <w:proofErr w:type="gramStart"/>
      <w:r>
        <w:rPr>
          <w:b/>
          <w:szCs w:val="24"/>
        </w:rPr>
        <w:t>The p</w:t>
      </w:r>
      <w:r w:rsidR="00B25100" w:rsidRPr="00B25100">
        <w:rPr>
          <w:b/>
          <w:szCs w:val="24"/>
        </w:rPr>
        <w:t>re</w:t>
      </w:r>
      <w:r>
        <w:rPr>
          <w:b/>
          <w:szCs w:val="24"/>
        </w:rPr>
        <w:t>-</w:t>
      </w:r>
      <w:r w:rsidR="00B25100" w:rsidRPr="00B25100">
        <w:rPr>
          <w:b/>
          <w:szCs w:val="24"/>
        </w:rPr>
        <w:t>kindergarten-12</w:t>
      </w:r>
      <w:r w:rsidR="00B25100" w:rsidRPr="00B25100">
        <w:rPr>
          <w:b/>
          <w:szCs w:val="24"/>
          <w:vertAlign w:val="superscript"/>
        </w:rPr>
        <w:t>th</w:t>
      </w:r>
      <w:r w:rsidR="00B25100" w:rsidRPr="00B25100">
        <w:rPr>
          <w:b/>
          <w:szCs w:val="24"/>
        </w:rPr>
        <w:t xml:space="preserve"> (pre</w:t>
      </w:r>
      <w:r w:rsidR="00576B9D">
        <w:rPr>
          <w:b/>
          <w:szCs w:val="24"/>
        </w:rPr>
        <w:t>-</w:t>
      </w:r>
      <w:r w:rsidR="00B25100" w:rsidRPr="00B25100">
        <w:rPr>
          <w:b/>
          <w:szCs w:val="24"/>
        </w:rPr>
        <w:t>K-12) grade teacher.</w:t>
      </w:r>
      <w:proofErr w:type="gramEnd"/>
      <w:r w:rsidR="00B25100" w:rsidRPr="00B25100">
        <w:rPr>
          <w:b/>
          <w:szCs w:val="24"/>
        </w:rPr>
        <w:t xml:space="preserve"> </w:t>
      </w:r>
      <w:r w:rsidR="00B25100" w:rsidRPr="00B25100">
        <w:rPr>
          <w:szCs w:val="24"/>
        </w:rPr>
        <w:t>B&amp;B cohorts have historically focused on kindergarten-12</w:t>
      </w:r>
      <w:r w:rsidR="00303A2C">
        <w:rPr>
          <w:szCs w:val="24"/>
        </w:rPr>
        <w:t>th</w:t>
      </w:r>
      <w:r w:rsidR="00B25100" w:rsidRPr="00B25100">
        <w:rPr>
          <w:szCs w:val="24"/>
        </w:rPr>
        <w:t xml:space="preserve"> grade </w:t>
      </w:r>
      <w:r w:rsidR="009A492D">
        <w:rPr>
          <w:szCs w:val="24"/>
        </w:rPr>
        <w:t xml:space="preserve">(K-12) </w:t>
      </w:r>
      <w:r w:rsidR="00B25100" w:rsidRPr="00B25100">
        <w:rPr>
          <w:szCs w:val="24"/>
        </w:rPr>
        <w:t>teacher recruitment and retention as important is</w:t>
      </w:r>
      <w:r w:rsidR="00817ADF">
        <w:rPr>
          <w:szCs w:val="24"/>
        </w:rPr>
        <w:t xml:space="preserve">sues for education policymakers. </w:t>
      </w:r>
      <w:r w:rsidR="00B25100" w:rsidRP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00F23823" w:rsidRPr="00B25100">
        <w:rPr>
          <w:szCs w:val="24"/>
        </w:rPr>
        <w:t xml:space="preserve">ecause some states are raising </w:t>
      </w:r>
      <w:r w:rsidR="00F23823" w:rsidRPr="00B25100">
        <w:rPr>
          <w:szCs w:val="24"/>
        </w:rPr>
        <w:lastRenderedPageBreak/>
        <w:t>certific</w:t>
      </w:r>
      <w:r w:rsidR="00F23823">
        <w:rPr>
          <w:szCs w:val="24"/>
        </w:rPr>
        <w:t>ation and degree requirements to teach pre-</w:t>
      </w:r>
      <w:r w:rsidR="00F23823" w:rsidRPr="00B25100">
        <w:rPr>
          <w:szCs w:val="24"/>
        </w:rPr>
        <w:t>K</w:t>
      </w:r>
      <w:r w:rsidR="002B0272">
        <w:rPr>
          <w:szCs w:val="24"/>
        </w:rPr>
        <w:t xml:space="preserve">, </w:t>
      </w:r>
      <w:r w:rsidR="00D0784A">
        <w:rPr>
          <w:szCs w:val="24"/>
        </w:rPr>
        <w:t xml:space="preserve">and in response to a recommendation made by </w:t>
      </w:r>
      <w:r w:rsidR="002B0272">
        <w:rPr>
          <w:szCs w:val="24"/>
        </w:rPr>
        <w:t>the B&amp;B</w:t>
      </w:r>
      <w:proofErr w:type="gramStart"/>
      <w:r w:rsidR="002B0272">
        <w:rPr>
          <w:szCs w:val="24"/>
        </w:rPr>
        <w:t>:16</w:t>
      </w:r>
      <w:proofErr w:type="gramEnd"/>
      <w:r w:rsidR="002B0272">
        <w:rPr>
          <w:szCs w:val="24"/>
        </w:rPr>
        <w:t>/17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00B25100" w:rsidRPr="00B25100">
        <w:rPr>
          <w:szCs w:val="24"/>
        </w:rPr>
        <w:t>K) teachers</w:t>
      </w:r>
      <w:r w:rsidR="00125A27">
        <w:rPr>
          <w:szCs w:val="24"/>
        </w:rPr>
        <w:t xml:space="preserve"> </w:t>
      </w:r>
      <w:r w:rsidR="00D0784A">
        <w:rPr>
          <w:szCs w:val="24"/>
        </w:rPr>
        <w:t xml:space="preserve">will also </w:t>
      </w:r>
      <w:r w:rsidR="00125A27">
        <w:rPr>
          <w:szCs w:val="24"/>
        </w:rPr>
        <w:t>be included</w:t>
      </w:r>
      <w:r w:rsidR="00B25100" w:rsidRPr="00B25100">
        <w:rPr>
          <w:szCs w:val="24"/>
        </w:rPr>
        <w:t xml:space="preserve"> in the definition of “teachers” studied by B&amp;B:16/17</w:t>
      </w:r>
      <w:r w:rsidR="00A1262B">
        <w:rPr>
          <w:szCs w:val="24"/>
        </w:rPr>
        <w:t xml:space="preserve">. </w:t>
      </w:r>
      <w:r w:rsidR="00B25100" w:rsidRPr="00B25100">
        <w:rPr>
          <w:szCs w:val="24"/>
        </w:rPr>
        <w:t>B&amp;B</w:t>
      </w:r>
      <w:proofErr w:type="gramStart"/>
      <w:r w:rsidR="009A492D">
        <w:rPr>
          <w:szCs w:val="24"/>
        </w:rPr>
        <w:t>:16</w:t>
      </w:r>
      <w:proofErr w:type="gramEnd"/>
      <w:r w:rsidR="009A492D">
        <w:rPr>
          <w:szCs w:val="24"/>
        </w:rPr>
        <w:t>/17</w:t>
      </w:r>
      <w:r w:rsidR="00B25100" w:rsidRPr="00B25100">
        <w:rPr>
          <w:szCs w:val="24"/>
        </w:rPr>
        <w:t xml:space="preserve">’s unique </w:t>
      </w:r>
      <w:r w:rsidR="009A492D">
        <w:rPr>
          <w:szCs w:val="24"/>
        </w:rPr>
        <w:t>focus on</w:t>
      </w:r>
      <w:r w:rsidR="00B25100" w:rsidRPr="00B25100">
        <w:rPr>
          <w:szCs w:val="24"/>
        </w:rPr>
        <w:t xml:space="preserve"> pre</w:t>
      </w:r>
      <w:r w:rsidR="00576B9D">
        <w:rPr>
          <w:szCs w:val="24"/>
        </w:rPr>
        <w:t>-</w:t>
      </w:r>
      <w:r w:rsidR="00B25100" w:rsidRPr="00B25100">
        <w:rPr>
          <w:szCs w:val="24"/>
        </w:rPr>
        <w:t>K–12 teach</w:t>
      </w:r>
      <w:r w:rsidR="009A492D">
        <w:rPr>
          <w:szCs w:val="24"/>
        </w:rPr>
        <w:t>ers will allow</w:t>
      </w:r>
      <w:r w:rsidR="00B25100" w:rsidRPr="00B25100">
        <w:rPr>
          <w:szCs w:val="24"/>
        </w:rPr>
        <w:t xml:space="preserve"> researchers to compare teachers with their similarly</w:t>
      </w:r>
      <w:r w:rsidR="00251C29">
        <w:rPr>
          <w:szCs w:val="24"/>
        </w:rPr>
        <w:t>-</w:t>
      </w:r>
      <w:r w:rsidR="00B25100" w:rsidRPr="00B25100">
        <w:rPr>
          <w:szCs w:val="24"/>
        </w:rPr>
        <w:t>educated</w:t>
      </w:r>
      <w:r w:rsidR="00CA1317">
        <w:rPr>
          <w:szCs w:val="24"/>
        </w:rPr>
        <w:t>,</w:t>
      </w:r>
      <w:r w:rsidR="00B25100" w:rsidRPr="00B25100">
        <w:rPr>
          <w:szCs w:val="24"/>
        </w:rPr>
        <w:t xml:space="preserve"> </w:t>
      </w:r>
      <w:r w:rsidR="009A492D">
        <w:rPr>
          <w:szCs w:val="24"/>
        </w:rPr>
        <w:t xml:space="preserve">non-teacher </w:t>
      </w:r>
      <w:r w:rsidR="00B25100" w:rsidRPr="00B25100">
        <w:rPr>
          <w:szCs w:val="24"/>
        </w:rPr>
        <w:t xml:space="preserve">peers </w:t>
      </w:r>
      <w:r w:rsidR="009A492D">
        <w:rPr>
          <w:szCs w:val="24"/>
        </w:rPr>
        <w:t xml:space="preserve">in terms of </w:t>
      </w:r>
      <w:r w:rsidR="00B25100" w:rsidRPr="00B25100">
        <w:rPr>
          <w:szCs w:val="24"/>
        </w:rPr>
        <w:t>career paths, workplace satisfaction, and salaries.</w:t>
      </w:r>
    </w:p>
    <w:p w:rsidR="00B25100" w:rsidRPr="00B25100" w:rsidRDefault="00B25100" w:rsidP="009F6283">
      <w:pPr>
        <w:spacing w:after="120" w:line="23" w:lineRule="atLeast"/>
        <w:rPr>
          <w:szCs w:val="24"/>
        </w:rPr>
      </w:pPr>
      <w:proofErr w:type="gramStart"/>
      <w:r w:rsidRPr="00B25100">
        <w:rPr>
          <w:b/>
          <w:szCs w:val="24"/>
        </w:rPr>
        <w:t>Labor market outcomes.</w:t>
      </w:r>
      <w:proofErr w:type="gramEnd"/>
      <w:r w:rsidRPr="00B25100">
        <w:rPr>
          <w:b/>
          <w:szCs w:val="24"/>
        </w:rPr>
        <w:t xml:space="preserve"> </w:t>
      </w:r>
      <w:r w:rsidR="00103FC4">
        <w:rPr>
          <w:szCs w:val="24"/>
        </w:rPr>
        <w:t>Finally, the B&amp;B</w:t>
      </w:r>
      <w:proofErr w:type="gramStart"/>
      <w:r w:rsidR="00103FC4">
        <w:rPr>
          <w:szCs w:val="24"/>
        </w:rPr>
        <w:t>:16</w:t>
      </w:r>
      <w:proofErr w:type="gramEnd"/>
      <w:r w:rsidR="00D317ED">
        <w:rPr>
          <w:szCs w:val="24"/>
        </w:rPr>
        <w:t>/17</w:t>
      </w:r>
      <w:r w:rsidR="00103FC4">
        <w:rPr>
          <w:szCs w:val="24"/>
        </w:rPr>
        <w:t xml:space="preserve"> 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one year after graduating</w:t>
      </w:r>
      <w:r w:rsidRPr="00B25100">
        <w:rPr>
          <w:szCs w:val="24"/>
        </w:rPr>
        <w:t xml:space="preserve">. The </w:t>
      </w:r>
      <w:r w:rsidR="00D317ED">
        <w:rPr>
          <w:szCs w:val="24"/>
        </w:rPr>
        <w:t xml:space="preserve">B&amp;B:16/17 </w:t>
      </w:r>
      <w:r w:rsidRPr="00B25100">
        <w:rPr>
          <w:szCs w:val="24"/>
        </w:rPr>
        <w:t xml:space="preserve">data will allow </w:t>
      </w:r>
      <w:r w:rsidR="00D317ED">
        <w:rPr>
          <w:szCs w:val="24"/>
        </w:rPr>
        <w:t>researchers to examine</w:t>
      </w:r>
      <w:r w:rsidRPr="00B25100">
        <w:rPr>
          <w:szCs w:val="24"/>
        </w:rPr>
        <w:t xml:space="preserve"> employment and wages as well as un</w:t>
      </w:r>
      <w:r w:rsidR="008C1929" w:rsidRPr="008C1929">
        <w:rPr>
          <w:szCs w:val="24"/>
        </w:rPr>
        <w:t xml:space="preserve"> </w:t>
      </w:r>
      <w:r w:rsidR="008C1929" w:rsidRPr="00B25100">
        <w:rPr>
          <w:szCs w:val="24"/>
        </w:rPr>
        <w:t xml:space="preserve">employment </w:t>
      </w:r>
      <w:r w:rsidRPr="00B25100">
        <w:rPr>
          <w:szCs w:val="24"/>
        </w:rPr>
        <w:t>and under-employment, job satisfaction, job search behavior, and the value of the bachelor’s degree in finding employment.</w:t>
      </w:r>
    </w:p>
    <w:p w:rsidR="00B25100" w:rsidRPr="00B25100" w:rsidRDefault="00B25100" w:rsidP="00975A2B">
      <w:pPr>
        <w:spacing w:after="120" w:line="23" w:lineRule="atLeast"/>
        <w:rPr>
          <w:szCs w:val="24"/>
        </w:rPr>
      </w:pPr>
      <w:r w:rsidRPr="00B25100">
        <w:rPr>
          <w:szCs w:val="24"/>
        </w:rPr>
        <w:t xml:space="preserve">Some of the primary research and policy issues to be addressed </w:t>
      </w:r>
      <w:r w:rsidR="004F33DD" w:rsidRPr="00B25100">
        <w:rPr>
          <w:szCs w:val="24"/>
        </w:rPr>
        <w:t>with</w:t>
      </w:r>
      <w:r w:rsidRPr="00B25100">
        <w:rPr>
          <w:szCs w:val="24"/>
        </w:rPr>
        <w:t xml:space="preserve"> B&amp;B</w:t>
      </w:r>
      <w:proofErr w:type="gramStart"/>
      <w:r w:rsidRPr="00B25100">
        <w:rPr>
          <w:szCs w:val="24"/>
        </w:rPr>
        <w:t>:16</w:t>
      </w:r>
      <w:proofErr w:type="gramEnd"/>
      <w:r w:rsidRPr="00B25100">
        <w:rPr>
          <w:szCs w:val="24"/>
        </w:rPr>
        <w:t>/17 data will be:</w:t>
      </w:r>
    </w:p>
    <w:p w:rsidR="00D14345" w:rsidRDefault="00B25100" w:rsidP="00EC43B0">
      <w:pPr>
        <w:keepNext/>
        <w:numPr>
          <w:ilvl w:val="0"/>
          <w:numId w:val="9"/>
        </w:numPr>
        <w:spacing w:before="120" w:after="120"/>
        <w:ind w:left="450"/>
        <w:rPr>
          <w:bCs/>
          <w:szCs w:val="24"/>
        </w:rPr>
      </w:pPr>
      <w:r w:rsidRPr="00B25100">
        <w:rPr>
          <w:bCs/>
          <w:szCs w:val="24"/>
        </w:rPr>
        <w:t>Debt and finances;</w:t>
      </w:r>
    </w:p>
    <w:p w:rsidR="00B25100" w:rsidRPr="00B25100" w:rsidRDefault="00B25100" w:rsidP="00EC43B0">
      <w:pPr>
        <w:numPr>
          <w:ilvl w:val="0"/>
          <w:numId w:val="10"/>
        </w:numPr>
        <w:ind w:left="900"/>
        <w:rPr>
          <w:rFonts w:cs="Arial"/>
          <w:szCs w:val="24"/>
        </w:rPr>
      </w:pPr>
      <w:proofErr w:type="gramStart"/>
      <w:r w:rsidRPr="00B25100">
        <w:rPr>
          <w:rFonts w:cs="Arial"/>
          <w:szCs w:val="24"/>
        </w:rPr>
        <w:t>How much do bachelor’s degree recipients owe on undergraduate student loans 1 year after college?</w:t>
      </w:r>
      <w:proofErr w:type="gramEnd"/>
      <w:r w:rsidRPr="00B25100">
        <w:rPr>
          <w:rFonts w:cs="Arial"/>
          <w:szCs w:val="24"/>
        </w:rPr>
        <w:t xml:space="preserve"> What is the status of the loans?</w:t>
      </w:r>
    </w:p>
    <w:p w:rsidR="00B25100" w:rsidRPr="00B25100" w:rsidRDefault="00B25100" w:rsidP="00EC43B0">
      <w:pPr>
        <w:numPr>
          <w:ilvl w:val="0"/>
          <w:numId w:val="10"/>
        </w:numPr>
        <w:ind w:left="900"/>
        <w:rPr>
          <w:rFonts w:cs="Arial"/>
          <w:szCs w:val="24"/>
        </w:rPr>
      </w:pPr>
      <w:r w:rsidRPr="00B25100">
        <w:rPr>
          <w:rFonts w:cs="Arial"/>
          <w:szCs w:val="24"/>
        </w:rPr>
        <w:t>If in repayment, what are the monthly payments? Are parents helping to repay the loan?</w:t>
      </w:r>
    </w:p>
    <w:p w:rsidR="00B25100" w:rsidRPr="00B25100" w:rsidRDefault="00B25100" w:rsidP="00EC43B0">
      <w:pPr>
        <w:numPr>
          <w:ilvl w:val="0"/>
          <w:numId w:val="10"/>
        </w:numPr>
        <w:ind w:left="900"/>
        <w:rPr>
          <w:rFonts w:cs="Arial"/>
          <w:szCs w:val="24"/>
        </w:rPr>
      </w:pPr>
      <w:r w:rsidRPr="00B25100">
        <w:rPr>
          <w:rFonts w:cs="Arial"/>
          <w:szCs w:val="24"/>
        </w:rPr>
        <w:t>Has student loan debt influenced career or graduate school plans?</w:t>
      </w:r>
    </w:p>
    <w:p w:rsidR="00D14345" w:rsidRDefault="00B25100" w:rsidP="00EC43B0">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004F33DD" w:rsidRPr="00B25100">
        <w:rPr>
          <w:rFonts w:cs="Arial"/>
          <w:szCs w:val="24"/>
        </w:rPr>
        <w:t>period</w:t>
      </w:r>
      <w:r w:rsidRPr="00B25100">
        <w:rPr>
          <w:rFonts w:cs="Arial"/>
          <w:szCs w:val="24"/>
        </w:rPr>
        <w:t xml:space="preserve"> without the loans?</w:t>
      </w:r>
    </w:p>
    <w:p w:rsidR="00B25100" w:rsidRPr="00B25100" w:rsidRDefault="00B25100" w:rsidP="00EC43B0">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00B25100" w:rsidRPr="00B25100" w:rsidRDefault="00B25100" w:rsidP="00EC43B0">
      <w:pPr>
        <w:numPr>
          <w:ilvl w:val="0"/>
          <w:numId w:val="10"/>
        </w:numPr>
        <w:ind w:left="900"/>
        <w:rPr>
          <w:rFonts w:cs="Arial"/>
          <w:szCs w:val="24"/>
        </w:rPr>
      </w:pPr>
      <w:r w:rsidRPr="00B25100">
        <w:rPr>
          <w:rFonts w:cs="Arial"/>
          <w:szCs w:val="24"/>
        </w:rPr>
        <w:t>Do they own or make payments on a home or a car?</w:t>
      </w:r>
    </w:p>
    <w:p w:rsidR="00D14345" w:rsidRDefault="00B25100" w:rsidP="00EC43B0">
      <w:pPr>
        <w:numPr>
          <w:ilvl w:val="0"/>
          <w:numId w:val="10"/>
        </w:numPr>
        <w:ind w:left="900"/>
        <w:rPr>
          <w:rFonts w:cs="Arial"/>
          <w:szCs w:val="24"/>
        </w:rPr>
      </w:pPr>
      <w:r w:rsidRPr="00B25100">
        <w:rPr>
          <w:rFonts w:cs="Arial"/>
          <w:szCs w:val="24"/>
        </w:rPr>
        <w:t>What are their monthly payments for housing, auto loans, and credit cards?</w:t>
      </w:r>
    </w:p>
    <w:p w:rsidR="00B25100" w:rsidRPr="00B25100" w:rsidRDefault="00B25100" w:rsidP="00EC43B0">
      <w:pPr>
        <w:numPr>
          <w:ilvl w:val="0"/>
          <w:numId w:val="10"/>
        </w:numPr>
        <w:ind w:left="900"/>
        <w:rPr>
          <w:rFonts w:cs="Arial"/>
          <w:szCs w:val="24"/>
        </w:rPr>
      </w:pPr>
      <w:r w:rsidRPr="00B25100">
        <w:rPr>
          <w:rFonts w:cs="Arial"/>
          <w:szCs w:val="24"/>
        </w:rPr>
        <w:t>What is the total debt burden (monthly payments as percent of income) including student loans?</w:t>
      </w:r>
    </w:p>
    <w:p w:rsidR="00B25100" w:rsidRPr="00B25100" w:rsidRDefault="00B25100" w:rsidP="00EC43B0">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00B25100" w:rsidRPr="003F23F6" w:rsidRDefault="00684E48" w:rsidP="00EC43B0">
      <w:pPr>
        <w:keepNext/>
        <w:numPr>
          <w:ilvl w:val="0"/>
          <w:numId w:val="9"/>
        </w:numPr>
        <w:spacing w:before="120" w:after="120"/>
        <w:ind w:left="450"/>
        <w:rPr>
          <w:bCs/>
          <w:szCs w:val="24"/>
        </w:rPr>
      </w:pPr>
      <w:proofErr w:type="spellStart"/>
      <w:r w:rsidRPr="003F23F6">
        <w:rPr>
          <w:bCs/>
          <w:szCs w:val="24"/>
        </w:rPr>
        <w:t>Postbaccalaureate</w:t>
      </w:r>
      <w:proofErr w:type="spellEnd"/>
      <w:r w:rsidR="00B25100" w:rsidRPr="003F23F6">
        <w:rPr>
          <w:bCs/>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1 year of completing a bachelor’s </w:t>
      </w:r>
      <w:proofErr w:type="gramStart"/>
      <w:r w:rsidRPr="003F23F6">
        <w:rPr>
          <w:rFonts w:cs="Arial"/>
          <w:szCs w:val="24"/>
        </w:rPr>
        <w:t>degree?</w:t>
      </w:r>
      <w:proofErr w:type="gramEnd"/>
      <w:r w:rsidRPr="003F23F6">
        <w:rPr>
          <w:rFonts w:cs="Arial"/>
          <w:szCs w:val="24"/>
        </w:rPr>
        <w:t xml:space="preserve"> What factors are associated with </w:t>
      </w:r>
      <w:proofErr w:type="spellStart"/>
      <w:r w:rsidR="00684E48" w:rsidRPr="002D282A">
        <w:rPr>
          <w:rFonts w:cs="Arial"/>
          <w:szCs w:val="24"/>
        </w:rPr>
        <w:t>postbaccalaureate</w:t>
      </w:r>
      <w:proofErr w:type="spellEnd"/>
      <w:r w:rsidRPr="002D282A">
        <w:rPr>
          <w:rFonts w:cs="Arial"/>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What are their reasons for continuing their education?</w:t>
      </w:r>
    </w:p>
    <w:p w:rsidR="003F23F6" w:rsidRPr="003F23F6" w:rsidRDefault="003F23F6" w:rsidP="00EC43B0">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002B795B" w:rsidRPr="002D282A" w:rsidRDefault="002B795B" w:rsidP="00EC43B0">
      <w:pPr>
        <w:numPr>
          <w:ilvl w:val="0"/>
          <w:numId w:val="10"/>
        </w:numPr>
        <w:ind w:left="900"/>
        <w:rPr>
          <w:rFonts w:cs="Arial"/>
          <w:szCs w:val="24"/>
        </w:rPr>
      </w:pPr>
      <w:r w:rsidRPr="002D282A">
        <w:rPr>
          <w:rFonts w:cs="Arial"/>
          <w:szCs w:val="24"/>
        </w:rPr>
        <w:t xml:space="preserve">How are they financing their </w:t>
      </w:r>
      <w:proofErr w:type="spellStart"/>
      <w:r w:rsidR="00684E48" w:rsidRPr="002D282A">
        <w:rPr>
          <w:rFonts w:cs="Arial"/>
          <w:szCs w:val="24"/>
        </w:rPr>
        <w:t>postbaccalaureate</w:t>
      </w:r>
      <w:proofErr w:type="spellEnd"/>
      <w:r w:rsidRPr="002D282A">
        <w:rPr>
          <w:rFonts w:cs="Arial"/>
          <w:szCs w:val="24"/>
        </w:rPr>
        <w:t xml:space="preserve"> education?</w:t>
      </w:r>
    </w:p>
    <w:p w:rsidR="00B25100" w:rsidRPr="002D282A" w:rsidRDefault="00B25100" w:rsidP="00EC43B0">
      <w:pPr>
        <w:numPr>
          <w:ilvl w:val="0"/>
          <w:numId w:val="10"/>
        </w:numPr>
        <w:ind w:left="900"/>
        <w:rPr>
          <w:rFonts w:cs="Arial"/>
          <w:szCs w:val="24"/>
        </w:rPr>
      </w:pPr>
      <w:r w:rsidRPr="002D282A">
        <w:rPr>
          <w:rFonts w:cs="Arial"/>
          <w:szCs w:val="24"/>
        </w:rPr>
        <w:t>What institutions do they attend and why?</w:t>
      </w:r>
    </w:p>
    <w:p w:rsidR="00B25100" w:rsidRPr="002D282A" w:rsidRDefault="00B25100" w:rsidP="00EC43B0">
      <w:pPr>
        <w:numPr>
          <w:ilvl w:val="0"/>
          <w:numId w:val="10"/>
        </w:numPr>
        <w:ind w:left="900"/>
        <w:rPr>
          <w:rFonts w:cs="Arial"/>
          <w:szCs w:val="24"/>
        </w:rPr>
      </w:pPr>
      <w:r w:rsidRPr="002D282A">
        <w:rPr>
          <w:rFonts w:cs="Arial"/>
          <w:szCs w:val="24"/>
        </w:rPr>
        <w:t>What types of programs do they pursue?</w:t>
      </w:r>
    </w:p>
    <w:p w:rsidR="00B836EA" w:rsidRDefault="00B836EA" w:rsidP="00EC43B0">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RDefault="00B836EA" w:rsidP="00EC43B0">
      <w:pPr>
        <w:pStyle w:val="bulletround"/>
        <w:numPr>
          <w:ilvl w:val="0"/>
          <w:numId w:val="10"/>
        </w:numPr>
        <w:spacing w:before="0"/>
        <w:ind w:left="900"/>
      </w:pPr>
      <w:r>
        <w:t xml:space="preserve">What paths do </w:t>
      </w:r>
      <w:r w:rsidRPr="003811A9">
        <w:t>college</w:t>
      </w:r>
      <w:r>
        <w:t xml:space="preserve"> graduates with bachelor’s degrees in STEM fields take after graduation? What </w:t>
      </w:r>
      <w:proofErr w:type="gramStart"/>
      <w:r>
        <w:t>percentage obtain</w:t>
      </w:r>
      <w:proofErr w:type="gramEnd"/>
      <w:r>
        <w:t xml:space="preserve"> employment or enroll in further education</w:t>
      </w:r>
      <w:r w:rsidRPr="00D80944">
        <w:t xml:space="preserve"> </w:t>
      </w:r>
      <w:r>
        <w:t xml:space="preserve">in STEM fields? What percentage of graduates who received a non-STEM bachelor’s degree </w:t>
      </w:r>
      <w:proofErr w:type="gramStart"/>
      <w:r>
        <w:t>are</w:t>
      </w:r>
      <w:proofErr w:type="gramEnd"/>
      <w:r>
        <w:t xml:space="preserve"> employed in STEM occupations?</w:t>
      </w:r>
    </w:p>
    <w:p w:rsidR="00B25100" w:rsidRPr="00B25100" w:rsidRDefault="00B25100" w:rsidP="00EC43B0">
      <w:pPr>
        <w:numPr>
          <w:ilvl w:val="0"/>
          <w:numId w:val="10"/>
        </w:numPr>
        <w:ind w:left="900"/>
        <w:rPr>
          <w:rFonts w:cs="Arial"/>
          <w:szCs w:val="24"/>
        </w:rPr>
      </w:pPr>
      <w:r w:rsidRPr="00B25100">
        <w:rPr>
          <w:rFonts w:cs="Arial"/>
          <w:szCs w:val="24"/>
        </w:rPr>
        <w:t xml:space="preserve">How </w:t>
      </w:r>
      <w:proofErr w:type="gramStart"/>
      <w:r w:rsidRPr="00B25100">
        <w:rPr>
          <w:rFonts w:cs="Arial"/>
          <w:szCs w:val="24"/>
        </w:rPr>
        <w:t xml:space="preserve">are </w:t>
      </w:r>
      <w:proofErr w:type="spellStart"/>
      <w:r w:rsidR="00684E48">
        <w:rPr>
          <w:rFonts w:cs="Arial"/>
          <w:szCs w:val="24"/>
        </w:rPr>
        <w:t>postbaccalaureate</w:t>
      </w:r>
      <w:proofErr w:type="spellEnd"/>
      <w:r w:rsidRPr="00B25100">
        <w:rPr>
          <w:rFonts w:cs="Arial"/>
          <w:szCs w:val="24"/>
        </w:rPr>
        <w:t xml:space="preserve"> enrollment patterns related</w:t>
      </w:r>
      <w:proofErr w:type="gramEnd"/>
      <w:r w:rsidRPr="00B25100">
        <w:rPr>
          <w:rFonts w:cs="Arial"/>
          <w:szCs w:val="24"/>
        </w:rPr>
        <w:t xml:space="preserve"> to demographic characteristics, undergraduate enrollment histories, undergraduate academic performance, and financial factors?</w:t>
      </w:r>
    </w:p>
    <w:p w:rsidR="00B25100" w:rsidRPr="00B25100" w:rsidRDefault="00B25100" w:rsidP="00EC43B0">
      <w:pPr>
        <w:numPr>
          <w:ilvl w:val="0"/>
          <w:numId w:val="10"/>
        </w:numPr>
        <w:ind w:left="900"/>
        <w:rPr>
          <w:rFonts w:cs="Arial"/>
          <w:szCs w:val="24"/>
        </w:rPr>
      </w:pPr>
      <w:r w:rsidRPr="00B25100">
        <w:rPr>
          <w:rFonts w:cs="Arial"/>
          <w:szCs w:val="24"/>
        </w:rPr>
        <w:t xml:space="preserve">Among those without </w:t>
      </w:r>
      <w:proofErr w:type="spellStart"/>
      <w:r w:rsidR="00684E48">
        <w:rPr>
          <w:rFonts w:cs="Arial"/>
          <w:szCs w:val="24"/>
        </w:rPr>
        <w:t>postbaccalaureate</w:t>
      </w:r>
      <w:proofErr w:type="spellEnd"/>
      <w:r w:rsidRPr="00B25100">
        <w:rPr>
          <w:rFonts w:cs="Arial"/>
          <w:szCs w:val="24"/>
        </w:rPr>
        <w:t xml:space="preserve"> enrollment, what are their reasons for delaying further education or not planning to attend at all?</w:t>
      </w:r>
    </w:p>
    <w:p w:rsidR="00B25100" w:rsidRPr="00B25100" w:rsidRDefault="00B25100" w:rsidP="00EC43B0">
      <w:pPr>
        <w:numPr>
          <w:ilvl w:val="0"/>
          <w:numId w:val="10"/>
        </w:numPr>
        <w:ind w:left="900"/>
        <w:rPr>
          <w:rFonts w:cs="Arial"/>
          <w:szCs w:val="24"/>
        </w:rPr>
      </w:pPr>
      <w:r w:rsidRPr="00B25100">
        <w:rPr>
          <w:rFonts w:cs="Arial"/>
          <w:szCs w:val="24"/>
        </w:rPr>
        <w:t xml:space="preserve">What percentage </w:t>
      </w:r>
      <w:proofErr w:type="gramStart"/>
      <w:r w:rsidRPr="00B25100">
        <w:rPr>
          <w:rFonts w:cs="Arial"/>
          <w:szCs w:val="24"/>
        </w:rPr>
        <w:t>are continuing education</w:t>
      </w:r>
      <w:proofErr w:type="gramEnd"/>
      <w:r w:rsidRPr="00B25100">
        <w:rPr>
          <w:rFonts w:cs="Arial"/>
          <w:szCs w:val="24"/>
        </w:rPr>
        <w:t xml:space="preserve"> in undergraduate, vocational, or non</w:t>
      </w:r>
      <w:r w:rsidR="00251C29">
        <w:rPr>
          <w:rFonts w:cs="Arial"/>
          <w:szCs w:val="24"/>
        </w:rPr>
        <w:t>-</w:t>
      </w:r>
      <w:r w:rsidRPr="00B25100">
        <w:rPr>
          <w:rFonts w:cs="Arial"/>
          <w:szCs w:val="24"/>
        </w:rPr>
        <w:t>degree programs?</w:t>
      </w:r>
    </w:p>
    <w:p w:rsidR="00B25100" w:rsidRPr="00B25100" w:rsidRDefault="00B25100" w:rsidP="00EC43B0">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00B25100" w:rsidRPr="00B25100" w:rsidRDefault="00B25100" w:rsidP="00EC43B0">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00B25100" w:rsidRPr="00B25100" w:rsidRDefault="00B25100" w:rsidP="00EC43B0">
      <w:pPr>
        <w:numPr>
          <w:ilvl w:val="0"/>
          <w:numId w:val="10"/>
        </w:numPr>
        <w:ind w:left="900"/>
        <w:rPr>
          <w:rFonts w:cs="Arial"/>
          <w:szCs w:val="24"/>
        </w:rPr>
      </w:pPr>
      <w:r w:rsidRPr="00B25100">
        <w:rPr>
          <w:rFonts w:cs="Arial"/>
          <w:szCs w:val="24"/>
        </w:rPr>
        <w:t xml:space="preserve">What percentage of college graduates </w:t>
      </w:r>
      <w:proofErr w:type="gramStart"/>
      <w:r w:rsidRPr="00B25100">
        <w:rPr>
          <w:rFonts w:cs="Arial"/>
          <w:szCs w:val="24"/>
        </w:rPr>
        <w:t>were employed</w:t>
      </w:r>
      <w:proofErr w:type="gramEnd"/>
      <w:r w:rsidRPr="00B25100">
        <w:rPr>
          <w:rFonts w:cs="Arial"/>
          <w:szCs w:val="24"/>
        </w:rPr>
        <w:t xml:space="preserve"> as a teacher within a year of receiving a bachelor’s degree? What percentage taught throughout the period?</w:t>
      </w:r>
    </w:p>
    <w:p w:rsidR="00B25100" w:rsidRPr="00B25100" w:rsidRDefault="00B25100" w:rsidP="00EC43B0">
      <w:pPr>
        <w:numPr>
          <w:ilvl w:val="0"/>
          <w:numId w:val="10"/>
        </w:numPr>
        <w:ind w:left="900"/>
        <w:rPr>
          <w:rFonts w:cs="Arial"/>
          <w:szCs w:val="24"/>
        </w:rPr>
      </w:pPr>
      <w:r w:rsidRPr="00B25100">
        <w:rPr>
          <w:rFonts w:cs="Arial"/>
          <w:szCs w:val="24"/>
        </w:rPr>
        <w:lastRenderedPageBreak/>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00B25100" w:rsidRPr="00B25100" w:rsidRDefault="00B25100" w:rsidP="00EC43B0">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00B25100" w:rsidRPr="00B25100" w:rsidRDefault="00B25100" w:rsidP="00EC43B0">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00B25100" w:rsidRPr="00B25100" w:rsidRDefault="00B25100" w:rsidP="00EC43B0">
      <w:pPr>
        <w:numPr>
          <w:ilvl w:val="0"/>
          <w:numId w:val="10"/>
        </w:numPr>
        <w:ind w:left="900"/>
        <w:rPr>
          <w:rFonts w:cs="Arial"/>
          <w:szCs w:val="24"/>
        </w:rPr>
      </w:pPr>
      <w:proofErr w:type="gramStart"/>
      <w:r w:rsidRPr="00B25100">
        <w:rPr>
          <w:rFonts w:cs="Arial"/>
          <w:szCs w:val="24"/>
        </w:rPr>
        <w:t>Do those who entered teaching feel that they were well prepared?</w:t>
      </w:r>
      <w:proofErr w:type="gramEnd"/>
    </w:p>
    <w:p w:rsidR="00B25100" w:rsidRPr="00B25100" w:rsidRDefault="00B25100" w:rsidP="00EC43B0">
      <w:pPr>
        <w:numPr>
          <w:ilvl w:val="0"/>
          <w:numId w:val="10"/>
        </w:numPr>
        <w:ind w:left="900"/>
        <w:rPr>
          <w:rFonts w:cs="Arial"/>
          <w:szCs w:val="24"/>
        </w:rPr>
      </w:pPr>
      <w:r w:rsidRPr="00B25100">
        <w:rPr>
          <w:rFonts w:cs="Arial"/>
          <w:szCs w:val="24"/>
        </w:rPr>
        <w:t>What type of teaching position did they hold during the first year, and how effective was the school in assisting them</w:t>
      </w:r>
      <w:r w:rsidR="00F73EF3">
        <w:rPr>
          <w:rFonts w:cs="Arial"/>
          <w:szCs w:val="24"/>
        </w:rPr>
        <w:t xml:space="preserve"> to teach</w:t>
      </w:r>
      <w:r w:rsidRPr="00B25100">
        <w:rPr>
          <w:rFonts w:cs="Arial"/>
          <w:szCs w:val="24"/>
        </w:rPr>
        <w:t>?</w:t>
      </w:r>
    </w:p>
    <w:p w:rsidR="00B25100" w:rsidRPr="00B25100" w:rsidRDefault="00B25100" w:rsidP="00EC43B0">
      <w:pPr>
        <w:numPr>
          <w:ilvl w:val="0"/>
          <w:numId w:val="10"/>
        </w:numPr>
        <w:ind w:left="900"/>
        <w:rPr>
          <w:rFonts w:cs="Arial"/>
          <w:szCs w:val="24"/>
        </w:rPr>
      </w:pPr>
      <w:r w:rsidRPr="00B25100">
        <w:rPr>
          <w:rFonts w:cs="Arial"/>
          <w:szCs w:val="24"/>
        </w:rPr>
        <w:t>With which aspects of teaching during the first year were they satisfied or dissatisfied?</w:t>
      </w:r>
    </w:p>
    <w:p w:rsidR="00D14345" w:rsidRDefault="00B25100" w:rsidP="00EC43B0">
      <w:pPr>
        <w:keepNext/>
        <w:numPr>
          <w:ilvl w:val="0"/>
          <w:numId w:val="9"/>
        </w:numPr>
        <w:spacing w:before="120" w:after="120"/>
        <w:ind w:left="450"/>
        <w:rPr>
          <w:bCs/>
          <w:szCs w:val="24"/>
        </w:rPr>
      </w:pPr>
      <w:r w:rsidRPr="00B25100">
        <w:rPr>
          <w:bCs/>
          <w:szCs w:val="24"/>
        </w:rPr>
        <w:t>Labor market outcomes;</w:t>
      </w:r>
    </w:p>
    <w:p w:rsidR="00B25100" w:rsidRPr="00B25100" w:rsidRDefault="00B25100" w:rsidP="00EC43B0">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1 year of graduation?</w:t>
      </w:r>
    </w:p>
    <w:p w:rsidR="00B25100" w:rsidRPr="00B25100" w:rsidRDefault="00B25100" w:rsidP="00EC43B0">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 xml:space="preserve">different majors in finding career-related employment? What is the relationship between graduates’ majors and the occupations and industries in which they </w:t>
      </w:r>
      <w:proofErr w:type="gramStart"/>
      <w:r w:rsidRPr="00B25100">
        <w:rPr>
          <w:rFonts w:cs="Arial"/>
          <w:szCs w:val="24"/>
        </w:rPr>
        <w:t>become employed</w:t>
      </w:r>
      <w:proofErr w:type="gramEnd"/>
      <w:r w:rsidRPr="00B25100">
        <w:rPr>
          <w:rFonts w:cs="Arial"/>
          <w:szCs w:val="24"/>
        </w:rPr>
        <w:t>?</w:t>
      </w:r>
    </w:p>
    <w:p w:rsidR="00D14345" w:rsidRDefault="00B25100" w:rsidP="00EC43B0">
      <w:pPr>
        <w:numPr>
          <w:ilvl w:val="0"/>
          <w:numId w:val="10"/>
        </w:numPr>
        <w:ind w:left="900"/>
        <w:rPr>
          <w:rFonts w:cs="Arial"/>
          <w:szCs w:val="24"/>
        </w:rPr>
      </w:pPr>
      <w:r w:rsidRPr="00B25100">
        <w:rPr>
          <w:rFonts w:cs="Arial"/>
          <w:szCs w:val="24"/>
        </w:rPr>
        <w:t>What were their employment statuses in the months following graduation?</w:t>
      </w:r>
    </w:p>
    <w:p w:rsidR="00B25100" w:rsidRPr="00B25100" w:rsidRDefault="00B25100" w:rsidP="00EC43B0">
      <w:pPr>
        <w:numPr>
          <w:ilvl w:val="0"/>
          <w:numId w:val="10"/>
        </w:numPr>
        <w:ind w:left="900"/>
        <w:rPr>
          <w:rFonts w:cs="Arial"/>
          <w:szCs w:val="24"/>
        </w:rPr>
      </w:pPr>
      <w:r w:rsidRPr="00B25100">
        <w:rPr>
          <w:rFonts w:cs="Arial"/>
          <w:szCs w:val="24"/>
        </w:rPr>
        <w:t>What are the characteristics of the jobs held post-graduation?</w:t>
      </w:r>
    </w:p>
    <w:p w:rsidR="00B25100" w:rsidRPr="00B25100" w:rsidRDefault="00B25100" w:rsidP="00EC43B0">
      <w:pPr>
        <w:numPr>
          <w:ilvl w:val="0"/>
          <w:numId w:val="10"/>
        </w:numPr>
        <w:ind w:left="900"/>
        <w:rPr>
          <w:rFonts w:cs="Arial"/>
          <w:szCs w:val="24"/>
        </w:rPr>
      </w:pPr>
      <w:r w:rsidRPr="00B25100">
        <w:rPr>
          <w:rFonts w:cs="Arial"/>
          <w:szCs w:val="24"/>
        </w:rPr>
        <w:t>What percentage are employed full-time and part-time, in temporary or permanent positions?</w:t>
      </w:r>
    </w:p>
    <w:p w:rsidR="00B25100" w:rsidRPr="00B25100" w:rsidRDefault="00B25100" w:rsidP="00EC43B0">
      <w:pPr>
        <w:numPr>
          <w:ilvl w:val="0"/>
          <w:numId w:val="10"/>
        </w:numPr>
        <w:ind w:left="900"/>
        <w:rPr>
          <w:rFonts w:cs="Arial"/>
          <w:szCs w:val="24"/>
        </w:rPr>
      </w:pPr>
      <w:r w:rsidRPr="00B25100">
        <w:rPr>
          <w:rFonts w:cs="Arial"/>
          <w:szCs w:val="24"/>
        </w:rPr>
        <w:t>What is the annual income and what are the monthly wages across all jobs held?</w:t>
      </w:r>
    </w:p>
    <w:p w:rsidR="00B25100" w:rsidRPr="00B25100" w:rsidRDefault="00B25100" w:rsidP="00EC43B0">
      <w:pPr>
        <w:numPr>
          <w:ilvl w:val="0"/>
          <w:numId w:val="10"/>
        </w:numPr>
        <w:ind w:left="900"/>
        <w:rPr>
          <w:rFonts w:cs="Arial"/>
          <w:szCs w:val="24"/>
        </w:rPr>
      </w:pPr>
      <w:r w:rsidRPr="00B25100">
        <w:rPr>
          <w:rFonts w:cs="Arial"/>
          <w:szCs w:val="24"/>
        </w:rPr>
        <w:t xml:space="preserve">What </w:t>
      </w:r>
      <w:proofErr w:type="gramStart"/>
      <w:r w:rsidRPr="00B25100">
        <w:rPr>
          <w:rFonts w:cs="Arial"/>
          <w:szCs w:val="24"/>
        </w:rPr>
        <w:t>percentage have</w:t>
      </w:r>
      <w:proofErr w:type="gramEnd"/>
      <w:r w:rsidRPr="00B25100">
        <w:rPr>
          <w:rFonts w:cs="Arial"/>
          <w:szCs w:val="24"/>
        </w:rPr>
        <w:t xml:space="preserve"> participated in job-related training programs?</w:t>
      </w:r>
    </w:p>
    <w:p w:rsidR="00B25100" w:rsidRPr="00B25100" w:rsidRDefault="00B25100" w:rsidP="00EC43B0">
      <w:pPr>
        <w:numPr>
          <w:ilvl w:val="0"/>
          <w:numId w:val="10"/>
        </w:numPr>
        <w:ind w:left="900"/>
        <w:rPr>
          <w:rFonts w:cs="Arial"/>
          <w:szCs w:val="24"/>
        </w:rPr>
      </w:pPr>
      <w:r w:rsidRPr="00B25100">
        <w:rPr>
          <w:rFonts w:cs="Arial"/>
          <w:szCs w:val="24"/>
        </w:rPr>
        <w:t>How do the B&amp;B</w:t>
      </w:r>
      <w:proofErr w:type="gramStart"/>
      <w:r w:rsidRPr="00B25100">
        <w:rPr>
          <w:rFonts w:cs="Arial"/>
          <w:szCs w:val="24"/>
        </w:rPr>
        <w:t>:16</w:t>
      </w:r>
      <w:proofErr w:type="gramEnd"/>
      <w:r w:rsidRPr="00B25100">
        <w:rPr>
          <w:rFonts w:cs="Arial"/>
          <w:szCs w:val="24"/>
        </w:rPr>
        <w:t xml:space="preserve"> cohort’s labor market outcomes a year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00B25100" w:rsidRPr="00B25100" w:rsidRDefault="00B25100" w:rsidP="00B25100">
      <w:pPr>
        <w:spacing w:before="120" w:after="120"/>
        <w:rPr>
          <w:szCs w:val="24"/>
        </w:rPr>
      </w:pPr>
      <w:r w:rsidRPr="00B25100">
        <w:rPr>
          <w:szCs w:val="24"/>
        </w:rPr>
        <w:t xml:space="preserve">Answers to these and other questions are vital </w:t>
      </w:r>
      <w:r w:rsidR="00F457DC">
        <w:rPr>
          <w:szCs w:val="24"/>
        </w:rPr>
        <w:t>to</w:t>
      </w:r>
      <w:r w:rsidR="00F457DC" w:rsidRPr="00B25100">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00BD3BFA" w:rsidRPr="001850A1" w:rsidRDefault="00BD3BFA" w:rsidP="00BD3BFA">
      <w:pPr>
        <w:pStyle w:val="Heading3"/>
      </w:pPr>
      <w:bookmarkStart w:id="31" w:name="_Toc269214214"/>
      <w:bookmarkStart w:id="32" w:name="_Toc399514832"/>
      <w:bookmarkStart w:id="33" w:name="_Toc400100547"/>
      <w:bookmarkStart w:id="34" w:name="_Toc477621552"/>
      <w:r w:rsidRPr="001850A1">
        <w:t xml:space="preserve">Study Design for </w:t>
      </w:r>
      <w:bookmarkEnd w:id="31"/>
      <w:bookmarkEnd w:id="32"/>
      <w:bookmarkEnd w:id="33"/>
      <w:r w:rsidR="00DD2754" w:rsidRPr="001850A1">
        <w:t>B&amp;B</w:t>
      </w:r>
      <w:proofErr w:type="gramStart"/>
      <w:r w:rsidR="00DD2754" w:rsidRPr="001850A1">
        <w:t>:16</w:t>
      </w:r>
      <w:proofErr w:type="gramEnd"/>
      <w:r w:rsidR="00DD2754" w:rsidRPr="001850A1">
        <w:t>/17</w:t>
      </w:r>
      <w:bookmarkEnd w:id="34"/>
    </w:p>
    <w:p w:rsidR="00774E8E" w:rsidRDefault="008B753F" w:rsidP="007642E1">
      <w:pPr>
        <w:pStyle w:val="BodyText"/>
        <w:ind w:firstLine="0"/>
      </w:pPr>
      <w:r>
        <w:t>Data collection for B&amp;B</w:t>
      </w:r>
      <w:proofErr w:type="gramStart"/>
      <w:r>
        <w:t>:16</w:t>
      </w:r>
      <w:proofErr w:type="gramEnd"/>
      <w:r>
        <w:t xml:space="preserve">/17 will consist of a sample member survey and administrative data matching. </w:t>
      </w:r>
      <w:bookmarkStart w:id="35" w:name="_Toc152499720"/>
      <w:r w:rsidR="00491A42" w:rsidRPr="005C26EF">
        <w:t xml:space="preserve">The </w:t>
      </w:r>
      <w:r w:rsidR="009F6283">
        <w:t xml:space="preserve">respondent </w:t>
      </w:r>
      <w:r w:rsidR="00491A42" w:rsidRPr="005C26EF">
        <w:t xml:space="preserve">universe for the B&amp;B </w:t>
      </w:r>
      <w:r w:rsidR="00FC53D8">
        <w:t xml:space="preserve">main </w:t>
      </w:r>
      <w:r w:rsidR="00491A42" w:rsidRPr="005C26EF">
        <w:t xml:space="preserve">study consists of all persons who </w:t>
      </w:r>
      <w:r w:rsidR="00491A42">
        <w:t xml:space="preserve">completed requirements for the bachelor’s degree </w:t>
      </w:r>
      <w:r w:rsidR="00491A42" w:rsidRPr="005C26EF">
        <w:t>during the 20</w:t>
      </w:r>
      <w:r w:rsidR="00491A42">
        <w:t>15–16</w:t>
      </w:r>
      <w:r w:rsidR="00491A42" w:rsidRPr="005C26EF">
        <w:t xml:space="preserve"> academic </w:t>
      </w:r>
      <w:proofErr w:type="gramStart"/>
      <w:r w:rsidR="00491A42" w:rsidRPr="005C26EF">
        <w:t>year</w:t>
      </w:r>
      <w:proofErr w:type="gramEnd"/>
      <w:r w:rsidR="00491A42">
        <w:t xml:space="preserve">, and received their degree by June 30, 2017. These </w:t>
      </w:r>
      <w:r w:rsidR="00447CC4">
        <w:t xml:space="preserve">sample members </w:t>
      </w:r>
      <w:proofErr w:type="gramStart"/>
      <w:r w:rsidR="00491A42">
        <w:t>will be surveyed</w:t>
      </w:r>
      <w:proofErr w:type="gramEnd"/>
      <w:r w:rsidR="00491A42">
        <w:t xml:space="preserve"> for B&amp;B in 2017. </w:t>
      </w:r>
      <w:r w:rsidR="00491A42" w:rsidRPr="005C26EF">
        <w:t xml:space="preserve">For the </w:t>
      </w:r>
      <w:r w:rsidR="00491A42">
        <w:t xml:space="preserve">B&amp;B </w:t>
      </w:r>
      <w:r w:rsidR="00491A42" w:rsidRPr="005C26EF">
        <w:t xml:space="preserve">field </w:t>
      </w:r>
      <w:r w:rsidR="0041493F">
        <w:t>test, the respondent universe was</w:t>
      </w:r>
      <w:r w:rsidR="00491A42" w:rsidRPr="005C26EF">
        <w:t xml:space="preserve"> the sam</w:t>
      </w:r>
      <w:r w:rsidR="0041493F">
        <w:t>e except that the survey year was</w:t>
      </w:r>
      <w:r w:rsidR="00491A42" w:rsidRPr="005C26EF">
        <w:t xml:space="preserve"> 20</w:t>
      </w:r>
      <w:r w:rsidR="00491A42">
        <w:t>16</w:t>
      </w:r>
      <w:r w:rsidR="00121B48">
        <w:t>,</w:t>
      </w:r>
      <w:r w:rsidR="00491A42">
        <w:t xml:space="preserve"> and </w:t>
      </w:r>
      <w:r w:rsidR="00D84B63">
        <w:t>sample members</w:t>
      </w:r>
      <w:r w:rsidR="00491A42">
        <w:t xml:space="preserve"> completed their bachelor’s degree in</w:t>
      </w:r>
      <w:r w:rsidR="00491A42" w:rsidRPr="005C26EF">
        <w:t xml:space="preserve"> the 20</w:t>
      </w:r>
      <w:r w:rsidR="00491A42">
        <w:t>14–15</w:t>
      </w:r>
      <w:r w:rsidR="00491A42" w:rsidRPr="005C26EF">
        <w:t xml:space="preserve"> academic </w:t>
      </w:r>
      <w:proofErr w:type="gramStart"/>
      <w:r w:rsidR="00491A42" w:rsidRPr="005C26EF">
        <w:t>year</w:t>
      </w:r>
      <w:proofErr w:type="gramEnd"/>
      <w:r w:rsidR="00491A42">
        <w:t xml:space="preserve"> and received their degree by June 30, 2016. </w:t>
      </w:r>
      <w:r w:rsidR="008054AB" w:rsidRPr="004B2992">
        <w:t xml:space="preserve">Data from </w:t>
      </w:r>
      <w:r w:rsidR="00CD6729">
        <w:t>sample members</w:t>
      </w:r>
      <w:r w:rsidR="007642E1">
        <w:t xml:space="preserve"> will be collected via an online </w:t>
      </w:r>
      <w:r w:rsidR="00E714E1">
        <w:t xml:space="preserve">eligibility </w:t>
      </w:r>
      <w:r w:rsidR="006B462F">
        <w:t xml:space="preserve">screener </w:t>
      </w:r>
      <w:r w:rsidR="008054AB" w:rsidRPr="004B2992">
        <w:t>survey</w:t>
      </w:r>
      <w:r w:rsidR="006B462F">
        <w:t xml:space="preserve"> </w:t>
      </w:r>
      <w:r w:rsidR="00E714E1">
        <w:t xml:space="preserve">with an address </w:t>
      </w:r>
      <w:proofErr w:type="gramStart"/>
      <w:r w:rsidR="00E714E1">
        <w:t>update,</w:t>
      </w:r>
      <w:proofErr w:type="gramEnd"/>
      <w:r w:rsidR="00D0558D">
        <w:t xml:space="preserve"> </w:t>
      </w:r>
      <w:r w:rsidR="006B462F">
        <w:t>and a main survey</w:t>
      </w:r>
      <w:r w:rsidR="005C7725">
        <w:t xml:space="preserve"> with a request for </w:t>
      </w:r>
      <w:r w:rsidR="009B34FB">
        <w:t>résumé</w:t>
      </w:r>
      <w:r w:rsidR="005C7725">
        <w:t xml:space="preserve"> upload</w:t>
      </w:r>
      <w:r w:rsidR="008054AB" w:rsidRPr="004B2992">
        <w:t xml:space="preserve"> on the Internet or through web-based CATI.</w:t>
      </w:r>
    </w:p>
    <w:bookmarkEnd w:id="35"/>
    <w:p w:rsidR="005D5BD4" w:rsidRPr="00E444AD" w:rsidRDefault="006D75EF" w:rsidP="002627E2">
      <w:pPr>
        <w:pStyle w:val="BodyText"/>
        <w:keepNext/>
        <w:keepLines/>
        <w:ind w:firstLine="0"/>
        <w:rPr>
          <w:b/>
          <w:bCs/>
        </w:rPr>
      </w:pPr>
      <w:proofErr w:type="gramStart"/>
      <w:r>
        <w:t>In addition to the survey, a</w:t>
      </w:r>
      <w:r w:rsidR="0094716E">
        <w:t>dministrative data matching for</w:t>
      </w:r>
      <w:r w:rsidR="009A3440">
        <w:t xml:space="preserve"> the B&amp;B:16/17</w:t>
      </w:r>
      <w:r w:rsidR="009A3440" w:rsidRPr="004B2992">
        <w:t xml:space="preserve"> student sample will be </w:t>
      </w:r>
      <w:r>
        <w:t>conducted with several</w:t>
      </w:r>
      <w:r w:rsidR="005D5BD4">
        <w:t xml:space="preserve"> sources</w:t>
      </w:r>
      <w:r w:rsidR="00AA0319">
        <w:t>,</w:t>
      </w:r>
      <w:r w:rsidR="005D5BD4">
        <w:t xml:space="preserve"> </w:t>
      </w:r>
      <w:r w:rsidR="00AA0319">
        <w:t xml:space="preserve">including: </w:t>
      </w:r>
      <w:r w:rsidR="005D5BD4" w:rsidRPr="004B2992">
        <w:t>the National Student Loan Data System</w:t>
      </w:r>
      <w:r w:rsidR="005D5BD4">
        <w:t xml:space="preserve"> (NSLDS), </w:t>
      </w:r>
      <w:r w:rsidR="00BD3BFA" w:rsidRPr="004B2992">
        <w:t xml:space="preserve">containing </w:t>
      </w:r>
      <w:r w:rsidR="0005560F">
        <w:t>federal</w:t>
      </w:r>
      <w:r w:rsidR="00AA0319">
        <w:t xml:space="preserve"> loan and grant files;</w:t>
      </w:r>
      <w:r w:rsidR="00BD3BFA" w:rsidRPr="004B2992">
        <w:t xml:space="preserve"> </w:t>
      </w:r>
      <w:r w:rsidR="00AA0319">
        <w:t>th</w:t>
      </w:r>
      <w:r w:rsidR="008A7178">
        <w:t>e</w:t>
      </w:r>
      <w:r w:rsidR="00AA0319">
        <w:t xml:space="preserve"> </w:t>
      </w:r>
      <w:r w:rsidR="005D5BD4" w:rsidRPr="004B2992">
        <w:t>Central Processing System (CPS), which houses and processes data contained in the Free Application for Federal Student Aid (FAFSA) forms</w:t>
      </w:r>
      <w:r w:rsidR="00AA0319">
        <w:t>;</w:t>
      </w:r>
      <w:r w:rsidR="005D5BD4">
        <w:t xml:space="preserve"> </w:t>
      </w:r>
      <w:r w:rsidR="00BD3BFA" w:rsidRPr="004B2992">
        <w:t>the Nation</w:t>
      </w:r>
      <w:r w:rsidR="008A7178">
        <w:t>al Student Clearinghouse (NSC)</w:t>
      </w:r>
      <w:r>
        <w:t xml:space="preserve"> which provides enrollment and degree verification</w:t>
      </w:r>
      <w:r w:rsidR="008A7178">
        <w:t xml:space="preserve">; </w:t>
      </w:r>
      <w:r w:rsidR="00BD3BFA" w:rsidRPr="004B2992">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w:t>
      </w:r>
      <w:proofErr w:type="gramEnd"/>
      <w:r w:rsidR="002E6B7F">
        <w:t xml:space="preserve"> T</w:t>
      </w:r>
      <w:r w:rsidR="00E444AD" w:rsidRPr="004B2992">
        <w:t xml:space="preserve">hese data </w:t>
      </w:r>
      <w:proofErr w:type="gramStart"/>
      <w:r w:rsidR="00E444AD" w:rsidRPr="004B2992">
        <w:t>will be obtained</w:t>
      </w:r>
      <w:proofErr w:type="gramEnd"/>
      <w:r w:rsidR="00E444AD" w:rsidRPr="004B2992">
        <w:t xml:space="preserve"> through file matching/downloading. </w:t>
      </w:r>
      <w:r w:rsidR="00C43DD0" w:rsidRPr="00C43DD0">
        <w:t xml:space="preserve">A description of the confidentiality procedures in place for administrative record matching </w:t>
      </w:r>
      <w:proofErr w:type="gramStart"/>
      <w:r w:rsidR="00C43DD0" w:rsidRPr="00C43DD0">
        <w:t>is provided</w:t>
      </w:r>
      <w:proofErr w:type="gramEnd"/>
      <w:r w:rsidR="00C43DD0" w:rsidRPr="00C43DD0">
        <w:t xml:space="preserve"> in a</w:t>
      </w:r>
      <w:r w:rsidR="00C43DD0">
        <w:t>ppendix B</w:t>
      </w:r>
      <w:r w:rsidR="00C43DD0" w:rsidRPr="00C43DD0">
        <w:t>.</w:t>
      </w:r>
    </w:p>
    <w:p w:rsidR="00265E39" w:rsidRPr="00A869C5" w:rsidRDefault="00265E39" w:rsidP="00283B46">
      <w:pPr>
        <w:pStyle w:val="Heading2"/>
      </w:pPr>
      <w:bookmarkStart w:id="36" w:name="_Toc383113366"/>
      <w:bookmarkStart w:id="37" w:name="_Toc477621553"/>
      <w:r w:rsidRPr="00A869C5">
        <w:t>Use of Information Technology</w:t>
      </w:r>
      <w:bookmarkEnd w:id="36"/>
      <w:bookmarkEnd w:id="37"/>
    </w:p>
    <w:p w:rsidR="00B83B16" w:rsidRDefault="00B83B16" w:rsidP="00312737">
      <w:pPr>
        <w:pStyle w:val="BodyText"/>
        <w:ind w:firstLine="0"/>
      </w:pPr>
      <w:bookmarkStart w:id="38" w:name="_Toc437171354"/>
      <w:bookmarkStart w:id="39" w:name="_Toc437174760"/>
      <w:proofErr w:type="gramStart"/>
      <w:r w:rsidRPr="00CE2E76">
        <w:t xml:space="preserve">To improve efficiency, the B&amp;B:16/17 </w:t>
      </w:r>
      <w:r w:rsidR="00312737">
        <w:t xml:space="preserve">eligibility screener and address update, and the </w:t>
      </w:r>
      <w:r w:rsidRPr="00CE2E76">
        <w:t>student interview</w:t>
      </w:r>
      <w:r w:rsidR="00312737">
        <w:t>,</w:t>
      </w:r>
      <w:r w:rsidRPr="00CE2E76">
        <w:t xml:space="preserve"> will use web-based questionnaires across two </w:t>
      </w:r>
      <w:r w:rsidR="004227BC">
        <w:t xml:space="preserve">electronic </w:t>
      </w:r>
      <w:r w:rsidRPr="00CE2E76">
        <w:t>modes of data collection, a self-administered survey, which is mobile-friendly to allow completion on a tablet or smartphone</w:t>
      </w:r>
      <w:r w:rsidR="004227BC">
        <w:t xml:space="preserve"> (i</w:t>
      </w:r>
      <w:r w:rsidR="00F405ED" w:rsidRPr="00F405ED">
        <w:t>n the B&amp;B:16/17</w:t>
      </w:r>
      <w:r w:rsidRPr="00F405ED">
        <w:t xml:space="preserve"> </w:t>
      </w:r>
      <w:r w:rsidR="00F405ED" w:rsidRPr="00F405ED">
        <w:t>field test, 63</w:t>
      </w:r>
      <w:r w:rsidRPr="00F405ED">
        <w:t xml:space="preserve">% of surveys </w:t>
      </w:r>
      <w:r w:rsidR="00C50FE3" w:rsidRPr="00F405ED">
        <w:t xml:space="preserve">were </w:t>
      </w:r>
      <w:r w:rsidRPr="00F405ED">
        <w:t>completed</w:t>
      </w:r>
      <w:r w:rsidR="00F405ED" w:rsidRPr="00F405ED">
        <w:t xml:space="preserve"> on a personal computer and 29</w:t>
      </w:r>
      <w:r w:rsidRPr="00F405ED">
        <w:t>% on a handheld device</w:t>
      </w:r>
      <w:bookmarkEnd w:id="38"/>
      <w:bookmarkEnd w:id="39"/>
      <w:r w:rsidR="004227BC">
        <w:t>), and computer-assisted telephone interviewing (CATI).</w:t>
      </w:r>
      <w:proofErr w:type="gramEnd"/>
      <w:r w:rsidR="004227BC">
        <w:t xml:space="preserve"> </w:t>
      </w:r>
      <w:r w:rsidR="0099189A">
        <w:t>The screener and survey will both be available through a study website that reside</w:t>
      </w:r>
      <w:r w:rsidR="008C1929">
        <w:t>s</w:t>
      </w:r>
      <w:r w:rsidR="0099189A">
        <w:t xml:space="preserve"> on NCES servers.</w:t>
      </w:r>
    </w:p>
    <w:p w:rsidR="00DF1DED" w:rsidRDefault="00DF1DED" w:rsidP="000803F9">
      <w:pPr>
        <w:pStyle w:val="BodyText"/>
        <w:ind w:firstLine="0"/>
      </w:pPr>
      <w:r w:rsidRPr="00232F7E">
        <w:lastRenderedPageBreak/>
        <w:t xml:space="preserve">After completion of the student interview, participants </w:t>
      </w:r>
      <w:proofErr w:type="gramStart"/>
      <w:r w:rsidRPr="00232F7E">
        <w:t>will be offered</w:t>
      </w:r>
      <w:proofErr w:type="gramEnd"/>
      <w:r w:rsidRPr="00232F7E">
        <w:t xml:space="preserve"> the opportunity to upload a </w:t>
      </w:r>
      <w:r w:rsidR="009B34FB">
        <w:t>résumé</w:t>
      </w:r>
      <w:r w:rsidRPr="00232F7E">
        <w:t xml:space="preserve"> to the same secure NCES server. </w:t>
      </w:r>
      <w:r w:rsidR="009B34FB">
        <w:t>Résumé</w:t>
      </w:r>
      <w:r w:rsidRPr="00232F7E">
        <w:t xml:space="preserve"> collection for </w:t>
      </w:r>
      <w:r w:rsidR="004C4D31">
        <w:t xml:space="preserve">the </w:t>
      </w:r>
      <w:r>
        <w:t>B&amp;B</w:t>
      </w:r>
      <w:proofErr w:type="gramStart"/>
      <w:r>
        <w:t>:16</w:t>
      </w:r>
      <w:proofErr w:type="gramEnd"/>
      <w:r>
        <w:t xml:space="preserve">/17 </w:t>
      </w:r>
      <w:r w:rsidR="00FC53D8">
        <w:t>main</w:t>
      </w:r>
      <w:r>
        <w:t xml:space="preserve"> study</w:t>
      </w:r>
      <w:r w:rsidRPr="00232F7E">
        <w:t xml:space="preserve"> is designed to </w:t>
      </w:r>
      <w:r w:rsidR="00BF456E">
        <w:t xml:space="preserve">aid in determining data quality collected through the survey by looking for inconsistencies between the interview responses and </w:t>
      </w:r>
      <w:r w:rsidR="009B34FB">
        <w:t>résumé</w:t>
      </w:r>
      <w:r w:rsidR="00BF456E">
        <w:t xml:space="preserve">s, and will aid in imputations by potentially providing additional information about respondents’ employment </w:t>
      </w:r>
      <w:r w:rsidR="00175323">
        <w:t>and education</w:t>
      </w:r>
      <w:r w:rsidR="000803F9">
        <w:t xml:space="preserve"> histories</w:t>
      </w:r>
      <w:r>
        <w:t>.</w:t>
      </w:r>
    </w:p>
    <w:p w:rsidR="00265E39" w:rsidRDefault="00265E39" w:rsidP="00283B46">
      <w:pPr>
        <w:pStyle w:val="Heading2"/>
      </w:pPr>
      <w:bookmarkStart w:id="40" w:name="_Toc383113367"/>
      <w:bookmarkStart w:id="41" w:name="_Toc477621554"/>
      <w:r>
        <w:t>Efforts to Identify Duplication</w:t>
      </w:r>
      <w:bookmarkEnd w:id="40"/>
      <w:bookmarkEnd w:id="41"/>
    </w:p>
    <w:p w:rsidR="00D14345" w:rsidRDefault="00696D8D" w:rsidP="005C1BBF">
      <w:pPr>
        <w:pStyle w:val="BodyText"/>
        <w:ind w:firstLine="0"/>
      </w:pPr>
      <w:r w:rsidRPr="00696D8D">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w:t>
      </w:r>
      <w:proofErr w:type="gramStart"/>
      <w:r w:rsidRPr="00696D8D">
        <w:t>is kept</w:t>
      </w:r>
      <w:proofErr w:type="gramEnd"/>
      <w:r w:rsidRPr="00696D8D">
        <w:t xml:space="preserve"> up-to-date on each other’s studies pertaining to postsecondary students and institutions. </w:t>
      </w:r>
      <w:proofErr w:type="gramStart"/>
      <w:r w:rsidRPr="00696D8D">
        <w:t xml:space="preserve">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w:t>
      </w:r>
      <w:proofErr w:type="gramEnd"/>
      <w:r w:rsidRPr="00696D8D">
        <w:t xml:space="preserve">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RDefault="002D282A" w:rsidP="002D282A">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teachers, </w:t>
      </w:r>
      <w:r>
        <w:rPr>
          <w:rFonts w:ascii="Garamond" w:hAnsi="Garamond" w:cstheme="majorBidi"/>
        </w:rPr>
        <w:t>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is adding pre-kindergarten to the definition of teachers included in the survey</w:t>
      </w:r>
      <w:r w:rsidRPr="00CE2E76">
        <w:rPr>
          <w:rFonts w:ascii="Garamond" w:hAnsi="Garamond" w:cstheme="majorBidi"/>
        </w:rPr>
        <w:t>.</w:t>
      </w:r>
    </w:p>
    <w:p w:rsidR="005F3E77" w:rsidRDefault="00265E39" w:rsidP="00283B46">
      <w:pPr>
        <w:pStyle w:val="Heading2"/>
      </w:pPr>
      <w:bookmarkStart w:id="42" w:name="_Toc383113368"/>
      <w:bookmarkStart w:id="43" w:name="_Toc477621555"/>
      <w:r>
        <w:t>Method Used to Minimize Burden on Small Businesses</w:t>
      </w:r>
      <w:bookmarkEnd w:id="42"/>
      <w:bookmarkEnd w:id="43"/>
    </w:p>
    <w:p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w:t>
      </w:r>
      <w:proofErr w:type="gramStart"/>
      <w:r w:rsidRPr="00CE2E76">
        <w:rPr>
          <w:rFonts w:ascii="Garamond" w:hAnsi="Garamond"/>
        </w:rPr>
        <w:t>:16</w:t>
      </w:r>
      <w:proofErr w:type="gramEnd"/>
      <w:r w:rsidRPr="00CE2E76">
        <w:rPr>
          <w:rFonts w:ascii="Garamond" w:hAnsi="Garamond"/>
        </w:rPr>
        <w:t>/17 interviews are individuals and the data collection activities will not involve burden to small businesses.</w:t>
      </w:r>
    </w:p>
    <w:p w:rsidR="00265E39" w:rsidRDefault="00265E39" w:rsidP="00283B46">
      <w:pPr>
        <w:pStyle w:val="Heading2"/>
      </w:pPr>
      <w:bookmarkStart w:id="44" w:name="_Toc383113369"/>
      <w:bookmarkStart w:id="45" w:name="_Toc477621556"/>
      <w:r>
        <w:t>Frequency of Data Collection</w:t>
      </w:r>
      <w:bookmarkEnd w:id="44"/>
      <w:bookmarkEnd w:id="45"/>
    </w:p>
    <w:p w:rsidR="00D14345" w:rsidRDefault="00F10DFA" w:rsidP="00A1739E">
      <w:pPr>
        <w:spacing w:before="120" w:after="120"/>
      </w:pPr>
      <w:r w:rsidRPr="00CE2E76">
        <w:t>A new B&amp;B cohort has been created about every eight years since the first set of studies was initiated with NPSAS</w:t>
      </w:r>
      <w:proofErr w:type="gramStart"/>
      <w:r w:rsidRPr="00CE2E76">
        <w:t>:93</w:t>
      </w:r>
      <w:proofErr w:type="gramEnd"/>
      <w:r w:rsidRPr="00CE2E76">
        <w:t>. B&amp;B</w:t>
      </w:r>
      <w:proofErr w:type="gramStart"/>
      <w:r w:rsidRPr="00CE2E76">
        <w:t>:93</w:t>
      </w:r>
      <w:proofErr w:type="gramEnd"/>
      <w:r w:rsidRPr="00CE2E76">
        <w:t xml:space="preserve"> and B&amp;B:08 </w:t>
      </w:r>
      <w:r w:rsidR="00A1739E">
        <w:t>are</w:t>
      </w:r>
      <w:r w:rsidRPr="00CE2E76">
        <w:t xml:space="preserve"> the two cohorts </w:t>
      </w:r>
      <w:r w:rsidR="00A1739E">
        <w:t>for</w:t>
      </w:r>
      <w:r w:rsidRPr="00CE2E76">
        <w:t xml:space="preserve"> which college transcript data were collected. The current B&amp;B study, B&amp;B</w:t>
      </w:r>
      <w:proofErr w:type="gramStart"/>
      <w:r w:rsidRPr="00CE2E76">
        <w:t>:16</w:t>
      </w:r>
      <w:proofErr w:type="gramEnd"/>
      <w:r w:rsidRPr="00CE2E76">
        <w:t>/17, will be conducted 1 year after the base-year NPSAS:16 data collection. Though not currently contracted, at least one additional follow-up study of the B&amp;B</w:t>
      </w:r>
      <w:proofErr w:type="gramStart"/>
      <w:r w:rsidRPr="00CE2E76">
        <w:t>:16</w:t>
      </w:r>
      <w:proofErr w:type="gramEnd"/>
      <w:r w:rsidRPr="00CE2E76">
        <w:t xml:space="preserve"> cohort is anticipated in 2020.</w:t>
      </w:r>
    </w:p>
    <w:p w:rsidR="00F10DFA" w:rsidRPr="00CE2E76" w:rsidRDefault="00F10DFA" w:rsidP="007409C4">
      <w:pPr>
        <w:pStyle w:val="BodyText1"/>
        <w:spacing w:line="23" w:lineRule="atLeast"/>
        <w:ind w:firstLine="0"/>
        <w:rPr>
          <w:rFonts w:ascii="Garamond" w:hAnsi="Garamond"/>
        </w:rPr>
      </w:pPr>
      <w:r w:rsidRPr="00CE2E76">
        <w:rPr>
          <w:rFonts w:ascii="Garamond" w:hAnsi="Garamond"/>
        </w:rPr>
        <w:t xml:space="preserve">NPSAS and its longitudinal spin-off studies, BPS and B&amp;B, </w:t>
      </w:r>
      <w:proofErr w:type="gramStart"/>
      <w:r w:rsidRPr="00CE2E76">
        <w:rPr>
          <w:rFonts w:ascii="Garamond" w:hAnsi="Garamond"/>
        </w:rPr>
        <w:t>are conducted</w:t>
      </w:r>
      <w:proofErr w:type="gramEnd"/>
      <w:r w:rsidRPr="00CE2E76">
        <w:rPr>
          <w:rFonts w:ascii="Garamond" w:hAnsi="Garamond"/>
        </w:rPr>
        <w:t xml:space="preserve">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proofErr w:type="gramStart"/>
      <w:r w:rsidR="00C97D39">
        <w:rPr>
          <w:rFonts w:ascii="Garamond" w:hAnsi="Garamond"/>
        </w:rPr>
        <w:t>can</w:t>
      </w:r>
      <w:r w:rsidRPr="00CE2E76">
        <w:rPr>
          <w:rFonts w:ascii="Garamond" w:hAnsi="Garamond"/>
        </w:rPr>
        <w:t xml:space="preserve"> be compared</w:t>
      </w:r>
      <w:proofErr w:type="gramEnd"/>
      <w:r w:rsidRPr="00CE2E76">
        <w:rPr>
          <w:rFonts w:ascii="Garamond" w:hAnsi="Garamond"/>
        </w:rPr>
        <w:t xml:space="preserve"> over time to determine the effects of changes in federal policy and programs.</w:t>
      </w:r>
    </w:p>
    <w:p w:rsidR="00265E39" w:rsidRDefault="00265E39" w:rsidP="00283B46">
      <w:pPr>
        <w:pStyle w:val="Heading2"/>
      </w:pPr>
      <w:bookmarkStart w:id="46" w:name="_Toc383113370"/>
      <w:bookmarkStart w:id="47" w:name="_Toc477621557"/>
      <w:r>
        <w:lastRenderedPageBreak/>
        <w:t>Special Circumstances of Data Collection</w:t>
      </w:r>
      <w:bookmarkEnd w:id="46"/>
      <w:bookmarkEnd w:id="47"/>
    </w:p>
    <w:p w:rsidR="005F3E77" w:rsidRDefault="00265E39" w:rsidP="00FC38A6">
      <w:pPr>
        <w:pStyle w:val="BodyText"/>
        <w:ind w:firstLine="0"/>
      </w:pPr>
      <w:r>
        <w:t xml:space="preserve">No special circumstances of data collection </w:t>
      </w:r>
      <w:proofErr w:type="gramStart"/>
      <w:r>
        <w:t>are anticipated</w:t>
      </w:r>
      <w:proofErr w:type="gramEnd"/>
      <w:r>
        <w:t>.</w:t>
      </w:r>
    </w:p>
    <w:p w:rsidR="005F3E77" w:rsidRDefault="00265E39" w:rsidP="00283B46">
      <w:pPr>
        <w:pStyle w:val="Heading2"/>
      </w:pPr>
      <w:bookmarkStart w:id="48" w:name="_Toc383113371"/>
      <w:bookmarkStart w:id="49" w:name="_Toc477621558"/>
      <w:r>
        <w:t xml:space="preserve">Consultants </w:t>
      </w:r>
      <w:proofErr w:type="gramStart"/>
      <w:r>
        <w:t>Outside</w:t>
      </w:r>
      <w:proofErr w:type="gramEnd"/>
      <w:r>
        <w:t xml:space="preserve"> the Agency</w:t>
      </w:r>
      <w:bookmarkEnd w:id="48"/>
      <w:bookmarkEnd w:id="49"/>
    </w:p>
    <w:p w:rsidR="00F2179D" w:rsidRPr="00963F57" w:rsidRDefault="00F2179D" w:rsidP="00F2179D">
      <w:pPr>
        <w:pStyle w:val="BodyText"/>
        <w:ind w:firstLine="0"/>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w:t>
      </w:r>
      <w:proofErr w:type="gramStart"/>
      <w:r w:rsidR="008C4370">
        <w:t>see also</w:t>
      </w:r>
      <w:proofErr w:type="gramEnd"/>
      <w:r w:rsidR="008C4370">
        <w:t xml:space="preserve"> section A.4 of this document)</w:t>
      </w:r>
      <w:r w:rsidRPr="00963F57">
        <w:t>.</w:t>
      </w:r>
    </w:p>
    <w:p w:rsidR="00F2179D" w:rsidRDefault="00F2179D" w:rsidP="00F67A9A">
      <w:pPr>
        <w:pStyle w:val="BodyText"/>
        <w:ind w:firstLine="0"/>
      </w:pPr>
      <w:r w:rsidRPr="00963F57">
        <w:t xml:space="preserve">Previous B&amp;B implementations have benefited from </w:t>
      </w:r>
      <w:r w:rsidR="008C703C">
        <w:t>TRP</w:t>
      </w:r>
      <w:r w:rsidR="00FA6F5D">
        <w:t>s</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latest TRP</w:t>
      </w:r>
      <w:r w:rsidR="00FA6F5D" w:rsidRPr="00963F57">
        <w:t xml:space="preserve"> meeting was held </w:t>
      </w:r>
      <w:r w:rsidR="00FA6F5D">
        <w:t xml:space="preserve">in December 2016 </w:t>
      </w:r>
      <w:r w:rsidR="00FA6F5D" w:rsidRPr="00963F57">
        <w:t>to inform the B&amp;B</w:t>
      </w:r>
      <w:proofErr w:type="gramStart"/>
      <w:r w:rsidR="00FA6F5D" w:rsidRPr="00963F57">
        <w:t>:16</w:t>
      </w:r>
      <w:proofErr w:type="gramEnd"/>
      <w:r w:rsidR="00FA6F5D" w:rsidRPr="00963F57">
        <w:t xml:space="preserve">/17 </w:t>
      </w:r>
      <w:r w:rsidR="00FA6F5D">
        <w:t>data collection, during which plans for the</w:t>
      </w:r>
      <w:r w:rsidR="00FA6F5D" w:rsidRPr="00963F57">
        <w:t xml:space="preserve"> 2017 </w:t>
      </w:r>
      <w:r w:rsidR="00FA6F5D">
        <w:t>main</w:t>
      </w:r>
      <w:r w:rsidR="00FA6F5D" w:rsidRPr="00963F57">
        <w:t xml:space="preserve"> study design were presented and discussed.</w:t>
      </w:r>
      <w:r w:rsidR="00FA6F5D">
        <w:t xml:space="preserve"> </w:t>
      </w:r>
      <w:r w:rsidR="0056246D">
        <w:t>A</w:t>
      </w:r>
      <w:r w:rsidRPr="00963F57">
        <w:t xml:space="preserve"> list of the </w:t>
      </w:r>
      <w:r w:rsidR="00FA6F5D">
        <w:t xml:space="preserve">B&amp;B </w:t>
      </w:r>
      <w:r w:rsidRPr="00963F57">
        <w:t>TRP mem</w:t>
      </w:r>
      <w:r w:rsidR="00FA6F5D">
        <w:t xml:space="preserve">bers </w:t>
      </w:r>
      <w:proofErr w:type="gramStart"/>
      <w:r w:rsidR="00FA6F5D">
        <w:t>is provided</w:t>
      </w:r>
      <w:proofErr w:type="gramEnd"/>
      <w:r w:rsidR="00FA6F5D">
        <w:t xml:space="preserve"> in appendix A.</w:t>
      </w:r>
    </w:p>
    <w:p w:rsidR="00265E39" w:rsidRPr="00E575F6" w:rsidRDefault="00265E39" w:rsidP="00283B46">
      <w:pPr>
        <w:pStyle w:val="Heading2"/>
      </w:pPr>
      <w:bookmarkStart w:id="50" w:name="_Toc383113372"/>
      <w:bookmarkStart w:id="51" w:name="_Toc477621559"/>
      <w:r w:rsidRPr="00E575F6">
        <w:t>Provision of Payments or Gifts to Respondents</w:t>
      </w:r>
      <w:bookmarkEnd w:id="50"/>
      <w:bookmarkEnd w:id="51"/>
    </w:p>
    <w:p w:rsidR="00774E8E" w:rsidRDefault="00C24298" w:rsidP="0079798E">
      <w:pPr>
        <w:pStyle w:val="BodyText"/>
        <w:ind w:firstLine="0"/>
      </w:pPr>
      <w:r w:rsidRPr="00803E1D">
        <w:t xml:space="preserve">The use of incentives </w:t>
      </w:r>
      <w:r w:rsidR="00B845FB">
        <w:t>in B&amp;B</w:t>
      </w:r>
      <w:r w:rsidR="00A4018A">
        <w:t xml:space="preserve"> </w:t>
      </w:r>
      <w:r w:rsidRPr="00803E1D">
        <w:t>provide</w:t>
      </w:r>
      <w:r w:rsidR="00B845FB">
        <w:t>s</w:t>
      </w:r>
      <w:r w:rsidRPr="00803E1D">
        <w:t xml:space="preserve"> significant advantages to the government in terms of increased overall student response rates, timely data collection, and </w:t>
      </w:r>
      <w:r w:rsidR="00D11980">
        <w:t xml:space="preserve">reduction of </w:t>
      </w:r>
      <w:r w:rsidR="006A3068" w:rsidRPr="00803E1D">
        <w:t>bias-inducing nonresponse</w:t>
      </w:r>
      <w:r w:rsidR="00FA547F">
        <w:t xml:space="preserve">. </w:t>
      </w:r>
      <w:r w:rsidRPr="00803E1D">
        <w:t>In addition, the use of incentives may also result in d</w:t>
      </w:r>
      <w:r w:rsidR="009E28D2">
        <w:t xml:space="preserve">ecreased data collection costs. Therefore, </w:t>
      </w:r>
      <w:r w:rsidR="00A54756">
        <w:t>NPSAS</w:t>
      </w:r>
      <w:proofErr w:type="gramStart"/>
      <w:r w:rsidR="00A54756">
        <w:t>:16</w:t>
      </w:r>
      <w:proofErr w:type="gramEnd"/>
      <w:r w:rsidR="00A54756">
        <w:t xml:space="preserve"> study members </w:t>
      </w:r>
      <w:r w:rsidR="001565B4">
        <w:t xml:space="preserve">selected for participation </w:t>
      </w:r>
      <w:r w:rsidR="009E28D2">
        <w:t xml:space="preserve">in the B&amp;B:16/17 </w:t>
      </w:r>
      <w:r w:rsidR="00FC53D8">
        <w:t>main</w:t>
      </w:r>
      <w:r w:rsidR="0079798E">
        <w:t xml:space="preserve"> study</w:t>
      </w:r>
      <w:r w:rsidRPr="00803E1D">
        <w:t xml:space="preserve"> will be offered monetary incentive</w:t>
      </w:r>
      <w:r w:rsidR="00A54756">
        <w:t>s at two points in the data collection</w:t>
      </w:r>
      <w:r w:rsidR="00322185">
        <w:t xml:space="preserve">. </w:t>
      </w:r>
      <w:r w:rsidR="00A54756">
        <w:t xml:space="preserve">First, prior to the start of main data collection, </w:t>
      </w:r>
      <w:r w:rsidR="00A965AC">
        <w:t>NPSAS</w:t>
      </w:r>
      <w:proofErr w:type="gramStart"/>
      <w:r w:rsidR="00A965AC">
        <w:t>:16</w:t>
      </w:r>
      <w:proofErr w:type="gramEnd"/>
      <w:r w:rsidR="00A965AC">
        <w:t xml:space="preserve"> </w:t>
      </w:r>
      <w:proofErr w:type="spellStart"/>
      <w:r w:rsidR="00A965AC">
        <w:t>nonrespondents</w:t>
      </w:r>
      <w:proofErr w:type="spellEnd"/>
      <w:r w:rsidR="00A965AC">
        <w:t xml:space="preserve"> </w:t>
      </w:r>
      <w:r w:rsidR="00A54756">
        <w:t xml:space="preserve">will be offered </w:t>
      </w:r>
      <w:r w:rsidR="001565B4">
        <w:t xml:space="preserve">a $10 </w:t>
      </w:r>
      <w:r w:rsidR="00A54756">
        <w:t xml:space="preserve">incentive to </w:t>
      </w:r>
      <w:r w:rsidR="006550CC">
        <w:t>complete the eligibility screen</w:t>
      </w:r>
      <w:r w:rsidR="000557CD">
        <w:t>er</w:t>
      </w:r>
      <w:r w:rsidR="006550CC">
        <w:t xml:space="preserve"> and </w:t>
      </w:r>
      <w:r w:rsidR="00A54756">
        <w:t>update contact information</w:t>
      </w:r>
      <w:r w:rsidR="00A1262B">
        <w:t xml:space="preserve">. </w:t>
      </w:r>
      <w:r w:rsidR="00A54756">
        <w:t xml:space="preserve">As described </w:t>
      </w:r>
      <w:r w:rsidR="00B845FB">
        <w:t>in sections 1.a and 2.c of this document</w:t>
      </w:r>
      <w:r w:rsidR="00A54756">
        <w:t xml:space="preserve">, the </w:t>
      </w:r>
      <w:r w:rsidR="000557CD">
        <w:t xml:space="preserve">screener </w:t>
      </w:r>
      <w:r w:rsidR="00A54756">
        <w:t>will evaluate their eligibility for the B&amp;B</w:t>
      </w:r>
      <w:proofErr w:type="gramStart"/>
      <w:r w:rsidR="00A54756">
        <w:t>:16</w:t>
      </w:r>
      <w:proofErr w:type="gramEnd"/>
      <w:r w:rsidR="00A54756">
        <w:t xml:space="preserve"> cohort, confirming that they completed all requirements for the bachelor’s degree by June 30, 2016 and recei</w:t>
      </w:r>
      <w:r w:rsidR="00A4018A">
        <w:t>ved the degree by June 30, 2017</w:t>
      </w:r>
      <w:r w:rsidR="00FA547F">
        <w:t>.</w:t>
      </w:r>
    </w:p>
    <w:p w:rsidR="001565B4" w:rsidRDefault="001565B4" w:rsidP="00795DB8">
      <w:pPr>
        <w:pStyle w:val="BodyText"/>
        <w:ind w:firstLine="0"/>
      </w:pPr>
      <w:r>
        <w:t>Second, f</w:t>
      </w:r>
      <w:r w:rsidR="00A14A3D">
        <w:t>or completing the B&amp;B</w:t>
      </w:r>
      <w:proofErr w:type="gramStart"/>
      <w:r w:rsidR="00A14A3D">
        <w:t>:16</w:t>
      </w:r>
      <w:proofErr w:type="gramEnd"/>
      <w:r w:rsidR="00A14A3D">
        <w:t xml:space="preserve">/17 interview, </w:t>
      </w:r>
      <w:r>
        <w:t xml:space="preserve">sample members will be offered one of </w:t>
      </w:r>
      <w:r w:rsidR="00A4018A">
        <w:t xml:space="preserve">three </w:t>
      </w:r>
      <w:r>
        <w:t>incentive amounts:</w:t>
      </w:r>
    </w:p>
    <w:p w:rsidR="00A4018A" w:rsidRDefault="001565B4" w:rsidP="00FD21EE">
      <w:pPr>
        <w:pStyle w:val="BodyText"/>
        <w:numPr>
          <w:ilvl w:val="0"/>
          <w:numId w:val="14"/>
        </w:numPr>
      </w:pPr>
      <w:r>
        <w:t xml:space="preserve">Sample members who </w:t>
      </w:r>
      <w:r w:rsidR="00A4018A">
        <w:t>completed the full base-year interview – the majority of the sample – will be offered $30</w:t>
      </w:r>
      <w:r w:rsidR="00B845FB">
        <w:t xml:space="preserve"> (the baseline incentive offered in B&amp;B studies)</w:t>
      </w:r>
      <w:r w:rsidR="00A4018A">
        <w:t>;</w:t>
      </w:r>
    </w:p>
    <w:p w:rsidR="00774E8E" w:rsidRDefault="00A4018A" w:rsidP="00FD21EE">
      <w:pPr>
        <w:pStyle w:val="BodyText"/>
        <w:numPr>
          <w:ilvl w:val="0"/>
          <w:numId w:val="14"/>
        </w:numPr>
      </w:pPr>
      <w:r>
        <w:t>Those who completed only the abbreviated interview in NPSAS:16 and those who were located but not interviewed during NPSAS:16 will be offered $50; and</w:t>
      </w:r>
    </w:p>
    <w:p w:rsidR="001565B4" w:rsidRDefault="00A4018A" w:rsidP="00FD21EE">
      <w:pPr>
        <w:pStyle w:val="BodyText"/>
        <w:numPr>
          <w:ilvl w:val="0"/>
          <w:numId w:val="14"/>
        </w:numPr>
      </w:pPr>
      <w:r>
        <w:t xml:space="preserve">Those who were neither </w:t>
      </w:r>
      <w:r w:rsidR="00337B17">
        <w:t xml:space="preserve">located </w:t>
      </w:r>
      <w:r>
        <w:t xml:space="preserve">nor interviewed during </w:t>
      </w:r>
      <w:r w:rsidR="00FF11DA">
        <w:t>NPSAS</w:t>
      </w:r>
      <w:proofErr w:type="gramStart"/>
      <w:r w:rsidR="00FF11DA">
        <w:t>:1</w:t>
      </w:r>
      <w:r w:rsidR="001565B4">
        <w:t>6</w:t>
      </w:r>
      <w:proofErr w:type="gramEnd"/>
      <w:r w:rsidR="001565B4">
        <w:t xml:space="preserve"> </w:t>
      </w:r>
      <w:r w:rsidR="00A14A3D">
        <w:t>will be offered $55</w:t>
      </w:r>
      <w:r>
        <w:t>.</w:t>
      </w:r>
    </w:p>
    <w:p w:rsidR="00774E8E" w:rsidRDefault="00B845FB" w:rsidP="00FD21EE">
      <w:pPr>
        <w:pStyle w:val="BodyText"/>
        <w:ind w:firstLine="0"/>
      </w:pPr>
      <w:r>
        <w:t>To encourage participation, s</w:t>
      </w:r>
      <w:r w:rsidR="006A3068">
        <w:t>ample members who completed the full NPSAS</w:t>
      </w:r>
      <w:proofErr w:type="gramStart"/>
      <w:r w:rsidR="006A3068">
        <w:t>:16</w:t>
      </w:r>
      <w:proofErr w:type="gramEnd"/>
      <w:r w:rsidR="006A3068">
        <w:t xml:space="preserve"> interview, but did so only after repeated contacts, can increase their incentive offer by $5 for completing the B&amp;B:16/17 interview within the first 3 weeks of data collection (an “early bird” incentive for $35 total)</w:t>
      </w:r>
      <w:r w:rsidR="00A1262B">
        <w:t xml:space="preserve">. </w:t>
      </w:r>
      <w:r w:rsidR="006A3068">
        <w:t>Similarly, those who were located during NPSAS</w:t>
      </w:r>
      <w:proofErr w:type="gramStart"/>
      <w:r w:rsidR="006A3068">
        <w:t>:16</w:t>
      </w:r>
      <w:proofErr w:type="gramEnd"/>
      <w:r w:rsidR="006A3068">
        <w:t>, but not interviewed, and those who completed only the abbreviated interview will also be able to add $5 to their incentive for an early response ($55 total)</w:t>
      </w:r>
      <w:r w:rsidR="00A1262B">
        <w:t xml:space="preserve">. </w:t>
      </w:r>
      <w:r w:rsidR="006A3068">
        <w:t xml:space="preserve">Incentives </w:t>
      </w:r>
      <w:r w:rsidR="006A3068" w:rsidRPr="00803E1D">
        <w:t xml:space="preserve">will be </w:t>
      </w:r>
      <w:r w:rsidR="00C744DF">
        <w:t>provided through</w:t>
      </w:r>
      <w:r w:rsidR="006A3068" w:rsidRPr="00803E1D">
        <w:t xml:space="preserve"> the sample member’s choice of </w:t>
      </w:r>
      <w:r w:rsidR="006A3068">
        <w:t xml:space="preserve">either </w:t>
      </w:r>
      <w:r w:rsidR="006A3068" w:rsidRPr="00803E1D">
        <w:t>check or PayPal</w:t>
      </w:r>
      <w:r w:rsidR="00C744DF">
        <w:t xml:space="preserve"> (</w:t>
      </w:r>
      <w:r w:rsidR="006A3068" w:rsidRPr="00F50CC4">
        <w:t xml:space="preserve">about 38% of </w:t>
      </w:r>
      <w:r w:rsidR="00C744DF">
        <w:t>B</w:t>
      </w:r>
      <w:r w:rsidR="00C744DF" w:rsidRPr="00F50CC4">
        <w:t>&amp;B</w:t>
      </w:r>
      <w:proofErr w:type="gramStart"/>
      <w:r w:rsidR="00C744DF" w:rsidRPr="00F50CC4">
        <w:t>:16</w:t>
      </w:r>
      <w:proofErr w:type="gramEnd"/>
      <w:r w:rsidR="00C744DF" w:rsidRPr="00F50CC4">
        <w:t xml:space="preserve">/17 field test </w:t>
      </w:r>
      <w:r w:rsidR="006A3068" w:rsidRPr="00F50CC4">
        <w:t xml:space="preserve">respondents </w:t>
      </w:r>
      <w:r w:rsidR="00C744DF">
        <w:t>chose</w:t>
      </w:r>
      <w:r w:rsidR="006A3068" w:rsidRPr="00F50CC4">
        <w:t xml:space="preserve"> PayPal</w:t>
      </w:r>
      <w:r w:rsidR="00C744DF">
        <w:t xml:space="preserve"> – </w:t>
      </w:r>
      <w:r w:rsidR="00C744DF" w:rsidRPr="00803E1D">
        <w:t>an online money transfer service</w:t>
      </w:r>
      <w:r w:rsidR="006A3068" w:rsidRPr="00F50CC4">
        <w:t>)</w:t>
      </w:r>
      <w:r w:rsidR="006A3068" w:rsidRPr="00803E1D">
        <w:t>.</w:t>
      </w:r>
      <w:r w:rsidR="00C24298" w:rsidRPr="00803E1D">
        <w:t xml:space="preserve"> </w:t>
      </w:r>
      <w:r w:rsidR="006A3068">
        <w:t>The incentive amounts being offered during B&amp;B</w:t>
      </w:r>
      <w:proofErr w:type="gramStart"/>
      <w:r w:rsidR="006A3068">
        <w:t>:16</w:t>
      </w:r>
      <w:proofErr w:type="gramEnd"/>
      <w:r w:rsidR="006A3068">
        <w:t xml:space="preserve">/17 are consistent with those </w:t>
      </w:r>
      <w:r w:rsidR="00582707">
        <w:t>approved in previous B&amp;B and NPSAS collections. During the B&amp;B</w:t>
      </w:r>
      <w:proofErr w:type="gramStart"/>
      <w:r w:rsidR="00582707">
        <w:t>:08</w:t>
      </w:r>
      <w:proofErr w:type="gramEnd"/>
      <w:r w:rsidR="00582707">
        <w:t xml:space="preserve">/12 </w:t>
      </w:r>
      <w:r w:rsidR="00FC53D8">
        <w:t>main</w:t>
      </w:r>
      <w:r w:rsidR="00582707">
        <w:t xml:space="preserve"> study, base-year </w:t>
      </w:r>
      <w:proofErr w:type="spellStart"/>
      <w:r w:rsidR="00582707">
        <w:t>nonrespondents</w:t>
      </w:r>
      <w:proofErr w:type="spellEnd"/>
      <w:r w:rsidR="00582707">
        <w:t xml:space="preserve"> were offered a base incentive of $55. NPSAS</w:t>
      </w:r>
      <w:proofErr w:type="gramStart"/>
      <w:r w:rsidR="00582707">
        <w:t>:16</w:t>
      </w:r>
      <w:proofErr w:type="gramEnd"/>
      <w:r w:rsidR="00582707">
        <w:t xml:space="preserve"> </w:t>
      </w:r>
      <w:r w:rsidR="006A3068">
        <w:t xml:space="preserve">offered </w:t>
      </w:r>
      <w:r w:rsidR="00582707">
        <w:t xml:space="preserve">$30 for </w:t>
      </w:r>
      <w:r w:rsidR="006A3068">
        <w:t>completion of the full interview</w:t>
      </w:r>
      <w:r w:rsidR="00582707">
        <w:t>.</w:t>
      </w:r>
    </w:p>
    <w:p w:rsidR="00D14345" w:rsidRDefault="00C24298" w:rsidP="008128E4">
      <w:pPr>
        <w:pStyle w:val="BodyText"/>
        <w:ind w:firstLine="0"/>
      </w:pPr>
      <w:r w:rsidRPr="00803E1D">
        <w:t xml:space="preserve">Table 2 shows the distribution of the incentive amounts </w:t>
      </w:r>
      <w:r w:rsidR="003B1B8C">
        <w:t xml:space="preserve">possible throughout </w:t>
      </w:r>
      <w:r w:rsidRPr="00803E1D">
        <w:t xml:space="preserve">the </w:t>
      </w:r>
      <w:r w:rsidR="003B1B8C">
        <w:t xml:space="preserve">entire </w:t>
      </w:r>
      <w:r w:rsidRPr="00803E1D">
        <w:t>B&amp;B</w:t>
      </w:r>
      <w:proofErr w:type="gramStart"/>
      <w:r w:rsidRPr="00803E1D">
        <w:t>:16</w:t>
      </w:r>
      <w:proofErr w:type="gramEnd"/>
      <w:r w:rsidRPr="00803E1D">
        <w:t xml:space="preserve">/17 </w:t>
      </w:r>
      <w:r w:rsidR="00FC53D8">
        <w:t>main study</w:t>
      </w:r>
      <w:r w:rsidR="003B1B8C">
        <w:t xml:space="preserve"> data collection</w:t>
      </w:r>
      <w:r w:rsidRPr="00803E1D">
        <w:t>.</w:t>
      </w:r>
      <w:r w:rsidR="005E524C">
        <w:t xml:space="preserve"> More information regarding the </w:t>
      </w:r>
      <w:r w:rsidR="003B1B8C">
        <w:t xml:space="preserve">use </w:t>
      </w:r>
      <w:r w:rsidR="005E524C">
        <w:t xml:space="preserve">of incentives </w:t>
      </w:r>
      <w:proofErr w:type="gramStart"/>
      <w:r w:rsidR="00420A4A">
        <w:t xml:space="preserve">is </w:t>
      </w:r>
      <w:r w:rsidR="00D85A83">
        <w:t>provided</w:t>
      </w:r>
      <w:proofErr w:type="gramEnd"/>
      <w:r w:rsidR="00D85A83">
        <w:t xml:space="preserve"> in </w:t>
      </w:r>
      <w:r w:rsidR="00EB70CE">
        <w:t xml:space="preserve">the Supporting Statement </w:t>
      </w:r>
      <w:r w:rsidR="00D85A83">
        <w:t>Part B</w:t>
      </w:r>
      <w:r w:rsidR="00EB70CE">
        <w:t xml:space="preserve"> of this submission</w:t>
      </w:r>
      <w:r w:rsidR="005E524C">
        <w:t>.</w:t>
      </w:r>
    </w:p>
    <w:p w:rsidR="001742E9" w:rsidRDefault="001742E9" w:rsidP="007418A0">
      <w:pPr>
        <w:pStyle w:val="TableTitle"/>
      </w:pPr>
      <w:bookmarkStart w:id="52" w:name="_Toc474244120"/>
      <w:proofErr w:type="gramStart"/>
      <w:r>
        <w:lastRenderedPageBreak/>
        <w:t>Table 2.</w:t>
      </w:r>
      <w:proofErr w:type="gramEnd"/>
      <w:r>
        <w:t xml:space="preserve"> Distribution of incentive amounts </w:t>
      </w:r>
      <w:r w:rsidR="00F10516">
        <w:t xml:space="preserve">for </w:t>
      </w:r>
      <w:r>
        <w:t>the B&amp;B</w:t>
      </w:r>
      <w:proofErr w:type="gramStart"/>
      <w:r>
        <w:t>:16</w:t>
      </w:r>
      <w:proofErr w:type="gramEnd"/>
      <w:r>
        <w:t xml:space="preserve">/17 </w:t>
      </w:r>
      <w:r w:rsidR="00C744DF">
        <w:t xml:space="preserve">main study </w:t>
      </w:r>
      <w:r w:rsidR="00F10516">
        <w:t>data collection</w:t>
      </w:r>
    </w:p>
    <w:tbl>
      <w:tblPr>
        <w:tblStyle w:val="GridTable1Light"/>
        <w:tblW w:w="5000" w:type="pct"/>
        <w:tblLook w:val="04A0" w:firstRow="1" w:lastRow="0" w:firstColumn="1" w:lastColumn="0" w:noHBand="0" w:noVBand="1"/>
      </w:tblPr>
      <w:tblGrid>
        <w:gridCol w:w="3553"/>
        <w:gridCol w:w="1648"/>
        <w:gridCol w:w="1358"/>
        <w:gridCol w:w="1648"/>
        <w:gridCol w:w="1358"/>
        <w:gridCol w:w="1163"/>
      </w:tblGrid>
      <w:tr w:rsidR="00F10516" w:rsidTr="00266BF4">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656" w:type="pct"/>
            <w:vMerge w:val="restart"/>
            <w:vAlign w:val="center"/>
            <w:hideMark/>
          </w:tcPr>
          <w:p w:rsidR="001742E9" w:rsidRPr="000557CD" w:rsidRDefault="001742E9" w:rsidP="007418A0">
            <w:pPr>
              <w:keepNext/>
              <w:rPr>
                <w:rFonts w:ascii="Arial" w:hAnsi="Arial" w:cs="Arial"/>
                <w:b w:val="0"/>
                <w:bCs w:val="0"/>
                <w:sz w:val="16"/>
                <w:szCs w:val="16"/>
              </w:rPr>
            </w:pPr>
            <w:r w:rsidRPr="000557CD">
              <w:rPr>
                <w:rFonts w:ascii="Arial" w:hAnsi="Arial" w:cs="Arial"/>
                <w:sz w:val="16"/>
                <w:szCs w:val="16"/>
              </w:rPr>
              <w:t>Type of B&amp;B:16/17 response</w:t>
            </w:r>
          </w:p>
        </w:tc>
        <w:tc>
          <w:tcPr>
            <w:tcW w:w="1401" w:type="pct"/>
            <w:gridSpan w:val="2"/>
            <w:vAlign w:val="center"/>
          </w:tcPr>
          <w:p w:rsidR="001742E9" w:rsidRPr="000557CD" w:rsidRDefault="001742E9" w:rsidP="007418A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557CD">
              <w:rPr>
                <w:rFonts w:ascii="Arial" w:hAnsi="Arial" w:cs="Arial"/>
                <w:sz w:val="16"/>
                <w:szCs w:val="16"/>
              </w:rPr>
              <w:t>Full interview respondents</w:t>
            </w:r>
          </w:p>
        </w:tc>
        <w:tc>
          <w:tcPr>
            <w:tcW w:w="768" w:type="pct"/>
            <w:vMerge w:val="restart"/>
            <w:vAlign w:val="center"/>
          </w:tcPr>
          <w:p w:rsidR="001742E9" w:rsidRPr="000557CD" w:rsidRDefault="001742E9" w:rsidP="007418A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557CD">
              <w:rPr>
                <w:rFonts w:ascii="Arial" w:hAnsi="Arial" w:cs="Arial"/>
                <w:sz w:val="16"/>
                <w:szCs w:val="16"/>
              </w:rPr>
              <w:t>Abbreviated</w:t>
            </w:r>
          </w:p>
          <w:p w:rsidR="001742E9" w:rsidRPr="000557CD" w:rsidRDefault="001742E9" w:rsidP="007418A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557CD">
              <w:rPr>
                <w:rFonts w:ascii="Arial" w:hAnsi="Arial" w:cs="Arial"/>
                <w:sz w:val="16"/>
                <w:szCs w:val="16"/>
              </w:rPr>
              <w:t>interview respondents</w:t>
            </w:r>
          </w:p>
        </w:tc>
        <w:tc>
          <w:tcPr>
            <w:tcW w:w="1175" w:type="pct"/>
            <w:gridSpan w:val="2"/>
            <w:vAlign w:val="center"/>
          </w:tcPr>
          <w:p w:rsidR="001742E9" w:rsidRPr="000557CD" w:rsidRDefault="001742E9" w:rsidP="007418A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557CD">
              <w:rPr>
                <w:rFonts w:ascii="Arial" w:hAnsi="Arial" w:cs="Arial"/>
                <w:sz w:val="16"/>
                <w:szCs w:val="16"/>
              </w:rPr>
              <w:t>Interview</w:t>
            </w:r>
          </w:p>
          <w:p w:rsidR="001742E9" w:rsidRPr="000557CD" w:rsidRDefault="00A504BF" w:rsidP="007418A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557CD">
              <w:rPr>
                <w:rFonts w:ascii="Arial" w:hAnsi="Arial" w:cs="Arial"/>
                <w:sz w:val="16"/>
                <w:szCs w:val="16"/>
              </w:rPr>
              <w:t>non</w:t>
            </w:r>
            <w:r w:rsidR="001742E9" w:rsidRPr="000557CD">
              <w:rPr>
                <w:rFonts w:ascii="Arial" w:hAnsi="Arial" w:cs="Arial"/>
                <w:sz w:val="16"/>
                <w:szCs w:val="16"/>
              </w:rPr>
              <w:t>respondents</w:t>
            </w:r>
            <w:proofErr w:type="spellEnd"/>
          </w:p>
        </w:tc>
      </w:tr>
      <w:tr w:rsidR="00F10516" w:rsidTr="00266BF4">
        <w:trPr>
          <w:trHeight w:val="429"/>
        </w:trPr>
        <w:tc>
          <w:tcPr>
            <w:cnfStyle w:val="001000000000" w:firstRow="0" w:lastRow="0" w:firstColumn="1" w:lastColumn="0" w:oddVBand="0" w:evenVBand="0" w:oddHBand="0" w:evenHBand="0" w:firstRowFirstColumn="0" w:firstRowLastColumn="0" w:lastRowFirstColumn="0" w:lastRowLastColumn="0"/>
            <w:tcW w:w="1656" w:type="pct"/>
            <w:vMerge/>
            <w:vAlign w:val="center"/>
          </w:tcPr>
          <w:p w:rsidR="001742E9" w:rsidRPr="000557CD" w:rsidRDefault="001742E9" w:rsidP="007418A0">
            <w:pPr>
              <w:keepNext/>
              <w:rPr>
                <w:rFonts w:ascii="Arial" w:hAnsi="Arial" w:cs="Arial"/>
                <w:b w:val="0"/>
                <w:bCs w:val="0"/>
                <w:sz w:val="16"/>
                <w:szCs w:val="16"/>
              </w:rPr>
            </w:pPr>
          </w:p>
        </w:tc>
        <w:tc>
          <w:tcPr>
            <w:tcW w:w="768" w:type="pct"/>
            <w:vAlign w:val="center"/>
          </w:tcPr>
          <w:p w:rsidR="001742E9" w:rsidRPr="000557CD" w:rsidRDefault="000557CD" w:rsidP="007418A0">
            <w:pPr>
              <w:keepNex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57CD">
              <w:rPr>
                <w:rFonts w:ascii="Arial" w:hAnsi="Arial" w:cs="Arial"/>
                <w:b/>
                <w:sz w:val="16"/>
                <w:szCs w:val="16"/>
              </w:rPr>
              <w:t>R</w:t>
            </w:r>
            <w:r w:rsidR="001742E9" w:rsidRPr="000557CD">
              <w:rPr>
                <w:rFonts w:ascii="Arial" w:hAnsi="Arial" w:cs="Arial"/>
                <w:b/>
                <w:sz w:val="16"/>
                <w:szCs w:val="16"/>
              </w:rPr>
              <w:t>esponded early</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57CD">
              <w:rPr>
                <w:rFonts w:ascii="Arial" w:hAnsi="Arial" w:cs="Arial"/>
                <w:b/>
                <w:sz w:val="16"/>
                <w:szCs w:val="16"/>
              </w:rPr>
              <w:t>Responded late</w:t>
            </w:r>
          </w:p>
        </w:tc>
        <w:tc>
          <w:tcPr>
            <w:tcW w:w="768" w:type="pct"/>
            <w:vMerge/>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57CD">
              <w:rPr>
                <w:rFonts w:ascii="Arial" w:hAnsi="Arial" w:cs="Arial"/>
                <w:b/>
                <w:sz w:val="16"/>
                <w:szCs w:val="16"/>
              </w:rPr>
              <w:t>Located</w:t>
            </w:r>
          </w:p>
        </w:tc>
        <w:tc>
          <w:tcPr>
            <w:tcW w:w="542"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57CD">
              <w:rPr>
                <w:rFonts w:ascii="Arial" w:hAnsi="Arial" w:cs="Arial"/>
                <w:b/>
                <w:sz w:val="16"/>
                <w:szCs w:val="16"/>
              </w:rPr>
              <w:t>Not located</w:t>
            </w:r>
          </w:p>
        </w:tc>
      </w:tr>
      <w:tr w:rsidR="00F10516" w:rsidTr="00266BF4">
        <w:trPr>
          <w:trHeight w:val="269"/>
        </w:trPr>
        <w:tc>
          <w:tcPr>
            <w:cnfStyle w:val="001000000000" w:firstRow="0" w:lastRow="0" w:firstColumn="1" w:lastColumn="0" w:oddVBand="0" w:evenVBand="0" w:oddHBand="0" w:evenHBand="0" w:firstRowFirstColumn="0" w:firstRowLastColumn="0" w:lastRowFirstColumn="0" w:lastRowLastColumn="0"/>
            <w:tcW w:w="1656" w:type="pct"/>
            <w:vAlign w:val="center"/>
            <w:hideMark/>
          </w:tcPr>
          <w:p w:rsidR="001742E9" w:rsidRPr="000557CD" w:rsidRDefault="001742E9" w:rsidP="007418A0">
            <w:pPr>
              <w:keepNext/>
              <w:rPr>
                <w:rFonts w:ascii="Arial" w:hAnsi="Arial" w:cs="Arial"/>
                <w:bCs w:val="0"/>
                <w:sz w:val="16"/>
                <w:szCs w:val="16"/>
              </w:rPr>
            </w:pPr>
            <w:r w:rsidRPr="000557CD">
              <w:rPr>
                <w:rFonts w:ascii="Arial" w:hAnsi="Arial" w:cs="Arial"/>
                <w:sz w:val="16"/>
                <w:szCs w:val="16"/>
              </w:rPr>
              <w:t>Address update with eligibility screener</w:t>
            </w:r>
          </w:p>
        </w:tc>
        <w:tc>
          <w:tcPr>
            <w:tcW w:w="768" w:type="pct"/>
            <w:vAlign w:val="center"/>
            <w:hideMark/>
          </w:tcPr>
          <w:p w:rsidR="001742E9" w:rsidRPr="000557CD" w:rsidRDefault="00A965AC"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w:t>
            </w:r>
          </w:p>
        </w:tc>
        <w:tc>
          <w:tcPr>
            <w:tcW w:w="633" w:type="pct"/>
            <w:vAlign w:val="center"/>
            <w:hideMark/>
          </w:tcPr>
          <w:p w:rsidR="001742E9" w:rsidRPr="000557CD" w:rsidRDefault="00A965AC"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w:t>
            </w:r>
          </w:p>
        </w:tc>
        <w:tc>
          <w:tcPr>
            <w:tcW w:w="768" w:type="pct"/>
            <w:vAlign w:val="center"/>
          </w:tcPr>
          <w:p w:rsidR="001742E9" w:rsidRPr="000557CD" w:rsidRDefault="00A965AC"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$10</w:t>
            </w:r>
          </w:p>
        </w:tc>
        <w:tc>
          <w:tcPr>
            <w:tcW w:w="542"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$10</w:t>
            </w:r>
          </w:p>
        </w:tc>
      </w:tr>
      <w:tr w:rsidR="00F10516" w:rsidTr="00266BF4">
        <w:trPr>
          <w:trHeight w:val="359"/>
        </w:trPr>
        <w:tc>
          <w:tcPr>
            <w:cnfStyle w:val="001000000000" w:firstRow="0" w:lastRow="0" w:firstColumn="1" w:lastColumn="0" w:oddVBand="0" w:evenVBand="0" w:oddHBand="0" w:evenHBand="0" w:firstRowFirstColumn="0" w:firstRowLastColumn="0" w:lastRowFirstColumn="0" w:lastRowLastColumn="0"/>
            <w:tcW w:w="1656" w:type="pct"/>
            <w:vAlign w:val="center"/>
            <w:hideMark/>
          </w:tcPr>
          <w:p w:rsidR="001742E9" w:rsidRPr="000557CD" w:rsidRDefault="001742E9" w:rsidP="007418A0">
            <w:pPr>
              <w:keepNext/>
              <w:rPr>
                <w:rFonts w:ascii="Arial" w:hAnsi="Arial" w:cs="Arial"/>
                <w:bCs w:val="0"/>
                <w:sz w:val="16"/>
                <w:szCs w:val="16"/>
              </w:rPr>
            </w:pPr>
            <w:r w:rsidRPr="000557CD">
              <w:rPr>
                <w:rFonts w:ascii="Arial" w:hAnsi="Arial" w:cs="Arial"/>
                <w:sz w:val="16"/>
                <w:szCs w:val="16"/>
              </w:rPr>
              <w:t>Full survey</w:t>
            </w:r>
          </w:p>
        </w:tc>
        <w:tc>
          <w:tcPr>
            <w:tcW w:w="768" w:type="pct"/>
            <w:vAlign w:val="center"/>
            <w:hideMark/>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$30</w:t>
            </w:r>
          </w:p>
        </w:tc>
        <w:tc>
          <w:tcPr>
            <w:tcW w:w="633" w:type="pct"/>
            <w:vAlign w:val="center"/>
            <w:hideMark/>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$30</w:t>
            </w:r>
          </w:p>
        </w:tc>
        <w:tc>
          <w:tcPr>
            <w:tcW w:w="768"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$50</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$50</w:t>
            </w:r>
          </w:p>
        </w:tc>
        <w:tc>
          <w:tcPr>
            <w:tcW w:w="542"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$55</w:t>
            </w:r>
          </w:p>
        </w:tc>
      </w:tr>
      <w:tr w:rsidR="00F10516" w:rsidTr="00266BF4">
        <w:trPr>
          <w:trHeight w:val="242"/>
        </w:trPr>
        <w:tc>
          <w:tcPr>
            <w:cnfStyle w:val="001000000000" w:firstRow="0" w:lastRow="0" w:firstColumn="1" w:lastColumn="0" w:oddVBand="0" w:evenVBand="0" w:oddHBand="0" w:evenHBand="0" w:firstRowFirstColumn="0" w:firstRowLastColumn="0" w:lastRowFirstColumn="0" w:lastRowLastColumn="0"/>
            <w:tcW w:w="1656" w:type="pct"/>
            <w:vAlign w:val="center"/>
            <w:hideMark/>
          </w:tcPr>
          <w:p w:rsidR="001742E9" w:rsidRPr="000557CD" w:rsidRDefault="00774E8E" w:rsidP="007418A0">
            <w:pPr>
              <w:keepNext/>
              <w:rPr>
                <w:rFonts w:ascii="Arial" w:hAnsi="Arial" w:cs="Arial"/>
                <w:sz w:val="16"/>
                <w:szCs w:val="16"/>
              </w:rPr>
            </w:pPr>
            <w:r>
              <w:rPr>
                <w:rFonts w:ascii="Arial" w:hAnsi="Arial" w:cs="Arial"/>
                <w:sz w:val="16"/>
                <w:szCs w:val="16"/>
              </w:rPr>
              <w:t xml:space="preserve"> </w:t>
            </w:r>
            <w:r w:rsidR="001742E9" w:rsidRPr="000557CD">
              <w:rPr>
                <w:rFonts w:ascii="Arial" w:hAnsi="Arial" w:cs="Arial"/>
                <w:sz w:val="16"/>
                <w:szCs w:val="16"/>
              </w:rPr>
              <w:t>Plus early bird incentive</w:t>
            </w:r>
          </w:p>
        </w:tc>
        <w:tc>
          <w:tcPr>
            <w:tcW w:w="768" w:type="pct"/>
            <w:vAlign w:val="center"/>
            <w:hideMark/>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w:t>
            </w:r>
          </w:p>
        </w:tc>
        <w:tc>
          <w:tcPr>
            <w:tcW w:w="768"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w:t>
            </w:r>
          </w:p>
        </w:tc>
        <w:tc>
          <w:tcPr>
            <w:tcW w:w="542"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w:t>
            </w:r>
          </w:p>
        </w:tc>
      </w:tr>
      <w:tr w:rsidR="00F10516" w:rsidTr="00266BF4">
        <w:trPr>
          <w:trHeight w:val="350"/>
        </w:trPr>
        <w:tc>
          <w:tcPr>
            <w:cnfStyle w:val="001000000000" w:firstRow="0" w:lastRow="0" w:firstColumn="1" w:lastColumn="0" w:oddVBand="0" w:evenVBand="0" w:oddHBand="0" w:evenHBand="0" w:firstRowFirstColumn="0" w:firstRowLastColumn="0" w:lastRowFirstColumn="0" w:lastRowLastColumn="0"/>
            <w:tcW w:w="1656" w:type="pct"/>
            <w:vAlign w:val="center"/>
            <w:hideMark/>
          </w:tcPr>
          <w:p w:rsidR="00F10516" w:rsidRPr="00C744DF" w:rsidRDefault="00F10516" w:rsidP="007418A0">
            <w:pPr>
              <w:keepNext/>
              <w:jc w:val="right"/>
              <w:rPr>
                <w:rFonts w:ascii="Arial" w:hAnsi="Arial" w:cs="Arial"/>
                <w:bCs w:val="0"/>
                <w:i/>
                <w:sz w:val="16"/>
                <w:szCs w:val="16"/>
              </w:rPr>
            </w:pPr>
            <w:r w:rsidRPr="00C744DF">
              <w:rPr>
                <w:rFonts w:ascii="Arial" w:hAnsi="Arial" w:cs="Arial"/>
                <w:i/>
                <w:sz w:val="16"/>
                <w:szCs w:val="16"/>
              </w:rPr>
              <w:t>Total potential incentive</w:t>
            </w:r>
            <w:r w:rsidR="00C744DF" w:rsidRPr="00C744DF">
              <w:rPr>
                <w:rFonts w:ascii="Arial" w:hAnsi="Arial" w:cs="Arial"/>
                <w:i/>
                <w:sz w:val="16"/>
                <w:szCs w:val="16"/>
              </w:rPr>
              <w:t xml:space="preserve"> </w:t>
            </w:r>
          </w:p>
          <w:p w:rsidR="001742E9" w:rsidRPr="00C744DF" w:rsidRDefault="001742E9" w:rsidP="007418A0">
            <w:pPr>
              <w:keepNext/>
              <w:jc w:val="right"/>
              <w:rPr>
                <w:rFonts w:ascii="Arial" w:hAnsi="Arial" w:cs="Arial"/>
                <w:bCs w:val="0"/>
                <w:i/>
                <w:sz w:val="16"/>
                <w:szCs w:val="16"/>
              </w:rPr>
            </w:pPr>
            <w:r w:rsidRPr="00C744DF">
              <w:rPr>
                <w:rFonts w:ascii="Arial" w:hAnsi="Arial" w:cs="Arial"/>
                <w:i/>
                <w:sz w:val="16"/>
                <w:szCs w:val="16"/>
              </w:rPr>
              <w:t>for full interview</w:t>
            </w:r>
          </w:p>
        </w:tc>
        <w:tc>
          <w:tcPr>
            <w:tcW w:w="768" w:type="pct"/>
            <w:vAlign w:val="center"/>
            <w:hideMark/>
          </w:tcPr>
          <w:p w:rsidR="001742E9" w:rsidRPr="00C744DF"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4DF">
              <w:rPr>
                <w:rFonts w:ascii="Arial" w:hAnsi="Arial" w:cs="Arial"/>
                <w:i/>
                <w:sz w:val="16"/>
                <w:szCs w:val="16"/>
              </w:rPr>
              <w:t>$35</w:t>
            </w:r>
          </w:p>
        </w:tc>
        <w:tc>
          <w:tcPr>
            <w:tcW w:w="633" w:type="pct"/>
            <w:vAlign w:val="center"/>
            <w:hideMark/>
          </w:tcPr>
          <w:p w:rsidR="001742E9" w:rsidRPr="00C744DF"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4DF">
              <w:rPr>
                <w:rFonts w:ascii="Arial" w:hAnsi="Arial" w:cs="Arial"/>
                <w:i/>
                <w:sz w:val="16"/>
                <w:szCs w:val="16"/>
              </w:rPr>
              <w:t>$30</w:t>
            </w:r>
          </w:p>
        </w:tc>
        <w:tc>
          <w:tcPr>
            <w:tcW w:w="768" w:type="pct"/>
            <w:vAlign w:val="center"/>
          </w:tcPr>
          <w:p w:rsidR="001742E9" w:rsidRPr="00C744DF"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4DF">
              <w:rPr>
                <w:rFonts w:ascii="Arial" w:hAnsi="Arial" w:cs="Arial"/>
                <w:i/>
                <w:sz w:val="16"/>
                <w:szCs w:val="16"/>
              </w:rPr>
              <w:t>$55</w:t>
            </w:r>
          </w:p>
        </w:tc>
        <w:tc>
          <w:tcPr>
            <w:tcW w:w="633" w:type="pct"/>
            <w:vAlign w:val="center"/>
          </w:tcPr>
          <w:p w:rsidR="001742E9" w:rsidRPr="00C744DF"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4DF">
              <w:rPr>
                <w:rFonts w:ascii="Arial" w:hAnsi="Arial" w:cs="Arial"/>
                <w:i/>
                <w:sz w:val="16"/>
                <w:szCs w:val="16"/>
              </w:rPr>
              <w:t>$55</w:t>
            </w:r>
          </w:p>
        </w:tc>
        <w:tc>
          <w:tcPr>
            <w:tcW w:w="542" w:type="pct"/>
            <w:vAlign w:val="center"/>
          </w:tcPr>
          <w:p w:rsidR="001742E9" w:rsidRPr="00C744DF"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4DF">
              <w:rPr>
                <w:rFonts w:ascii="Arial" w:hAnsi="Arial" w:cs="Arial"/>
                <w:i/>
                <w:sz w:val="16"/>
                <w:szCs w:val="16"/>
              </w:rPr>
              <w:t>$55</w:t>
            </w:r>
          </w:p>
        </w:tc>
      </w:tr>
      <w:tr w:rsidR="00F10516" w:rsidTr="00266BF4">
        <w:trPr>
          <w:trHeight w:val="350"/>
        </w:trPr>
        <w:tc>
          <w:tcPr>
            <w:cnfStyle w:val="001000000000" w:firstRow="0" w:lastRow="0" w:firstColumn="1" w:lastColumn="0" w:oddVBand="0" w:evenVBand="0" w:oddHBand="0" w:evenHBand="0" w:firstRowFirstColumn="0" w:firstRowLastColumn="0" w:lastRowFirstColumn="0" w:lastRowLastColumn="0"/>
            <w:tcW w:w="1656" w:type="pct"/>
            <w:vAlign w:val="center"/>
            <w:hideMark/>
          </w:tcPr>
          <w:p w:rsidR="001742E9" w:rsidRPr="000557CD" w:rsidRDefault="001742E9" w:rsidP="007418A0">
            <w:pPr>
              <w:keepNext/>
              <w:rPr>
                <w:rFonts w:ascii="Arial" w:hAnsi="Arial" w:cs="Arial"/>
                <w:bCs w:val="0"/>
                <w:sz w:val="16"/>
                <w:szCs w:val="16"/>
              </w:rPr>
            </w:pPr>
            <w:r w:rsidRPr="000557CD">
              <w:rPr>
                <w:rFonts w:ascii="Arial" w:hAnsi="Arial" w:cs="Arial"/>
                <w:sz w:val="16"/>
                <w:szCs w:val="16"/>
              </w:rPr>
              <w:t>Abbreviated survey</w:t>
            </w:r>
          </w:p>
        </w:tc>
        <w:tc>
          <w:tcPr>
            <w:tcW w:w="768" w:type="pct"/>
            <w:vAlign w:val="center"/>
            <w:hideMark/>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$30</w:t>
            </w:r>
          </w:p>
        </w:tc>
        <w:tc>
          <w:tcPr>
            <w:tcW w:w="633" w:type="pct"/>
            <w:vAlign w:val="center"/>
            <w:hideMark/>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$30</w:t>
            </w:r>
          </w:p>
        </w:tc>
        <w:tc>
          <w:tcPr>
            <w:tcW w:w="768"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$50</w:t>
            </w:r>
          </w:p>
        </w:tc>
        <w:tc>
          <w:tcPr>
            <w:tcW w:w="633"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$50</w:t>
            </w:r>
          </w:p>
        </w:tc>
        <w:tc>
          <w:tcPr>
            <w:tcW w:w="542" w:type="pct"/>
            <w:vAlign w:val="center"/>
          </w:tcPr>
          <w:p w:rsidR="001742E9" w:rsidRPr="000557CD" w:rsidRDefault="001742E9" w:rsidP="007418A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57CD">
              <w:rPr>
                <w:rFonts w:ascii="Arial" w:hAnsi="Arial" w:cs="Arial"/>
                <w:sz w:val="16"/>
                <w:szCs w:val="16"/>
              </w:rPr>
              <w:t>$55</w:t>
            </w:r>
          </w:p>
        </w:tc>
      </w:tr>
    </w:tbl>
    <w:p w:rsidR="001742E9" w:rsidRPr="00AC5476" w:rsidRDefault="001742E9" w:rsidP="007418A0">
      <w:pPr>
        <w:keepNext/>
      </w:pPr>
    </w:p>
    <w:p w:rsidR="00541C26" w:rsidRPr="00541C26" w:rsidRDefault="00AC5476" w:rsidP="00541C26">
      <w:pPr>
        <w:pStyle w:val="NormalWeb"/>
        <w:spacing w:after="120" w:line="276" w:lineRule="auto"/>
        <w:rPr>
          <w:rFonts w:ascii="Garamond" w:hAnsi="Garamond"/>
          <w:color w:val="000000"/>
        </w:rPr>
      </w:pPr>
      <w:r w:rsidRPr="00541C26">
        <w:rPr>
          <w:rFonts w:ascii="Garamond" w:hAnsi="Garamond"/>
          <w:color w:val="000000"/>
        </w:rPr>
        <w:t>Prior to the start of data collection, B&amp;B</w:t>
      </w:r>
      <w:proofErr w:type="gramStart"/>
      <w:r w:rsidRPr="00541C26">
        <w:rPr>
          <w:rFonts w:ascii="Garamond" w:hAnsi="Garamond"/>
          <w:color w:val="000000"/>
        </w:rPr>
        <w:t>:16</w:t>
      </w:r>
      <w:proofErr w:type="gramEnd"/>
      <w:r w:rsidRPr="00541C26">
        <w:rPr>
          <w:rFonts w:ascii="Garamond" w:hAnsi="Garamond"/>
          <w:color w:val="000000"/>
        </w:rPr>
        <w:t xml:space="preserve">/17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w:t>
      </w:r>
      <w:proofErr w:type="gramStart"/>
      <w:r w:rsidRPr="00541C26">
        <w:rPr>
          <w:rFonts w:ascii="Garamond" w:hAnsi="Garamond"/>
          <w:color w:val="000000"/>
        </w:rPr>
        <w:t>are prohibited</w:t>
      </w:r>
      <w:proofErr w:type="gramEnd"/>
      <w:r w:rsidRPr="00541C26">
        <w:rPr>
          <w:rFonts w:ascii="Garamond" w:hAnsi="Garamond"/>
          <w:color w:val="000000"/>
        </w:rPr>
        <w:t xml:space="preserve"> from conducting trade or financial transactions with those on the list (</w:t>
      </w:r>
      <w:hyperlink r:id="rId10" w:tgtFrame="_blank" w:history="1">
        <w:r w:rsidRPr="00541C26">
          <w:rPr>
            <w:rStyle w:val="Hyperlink"/>
            <w:rFonts w:ascii="Garamond" w:hAnsi="Garamond"/>
          </w:rPr>
          <w:t>https://www.treasury.gov/resource-center/sanctions/Pages/default.aspx</w:t>
        </w:r>
      </w:hyperlink>
      <w:r w:rsidRPr="00541C26">
        <w:rPr>
          <w:rFonts w:ascii="Garamond" w:hAnsi="Garamond"/>
          <w:color w:val="000000"/>
        </w:rPr>
        <w:t>).</w:t>
      </w:r>
      <w:r w:rsidR="00C744DF">
        <w:rPr>
          <w:rFonts w:ascii="Garamond" w:hAnsi="Garamond"/>
          <w:color w:val="000000"/>
        </w:rPr>
        <w:t xml:space="preserve"> </w:t>
      </w:r>
      <w:r w:rsidRPr="00541C26">
        <w:rPr>
          <w:rFonts w:ascii="Garamond" w:hAnsi="Garamond"/>
        </w:rPr>
        <w:t xml:space="preserve">In order to determine if there are any B&amp;B:16/17 sample members to whom NCES cannot offer an </w:t>
      </w:r>
      <w:r w:rsidRPr="00541C26">
        <w:rPr>
          <w:rFonts w:ascii="Garamond" w:hAnsi="Garamond"/>
          <w:color w:val="000000"/>
        </w:rPr>
        <w:t xml:space="preserve">incentive, the sample members will be matched to the SDN using the </w:t>
      </w:r>
      <w:proofErr w:type="spellStart"/>
      <w:r w:rsidRPr="00541C26">
        <w:rPr>
          <w:rFonts w:ascii="Garamond" w:hAnsi="Garamond"/>
          <w:color w:val="000000"/>
        </w:rPr>
        <w:t>Jaro</w:t>
      </w:r>
      <w:proofErr w:type="spellEnd"/>
      <w:r w:rsidRPr="00541C26">
        <w:rPr>
          <w:rFonts w:ascii="Garamond" w:hAnsi="Garamond"/>
          <w:color w:val="000000"/>
        </w:rPr>
        <w:t>-Winkler and Soundex algorithms recommended by OFAC. To avoid over-matching, B&amp;B staff will review the cases based on full name, date of birth, and address. </w:t>
      </w:r>
      <w:r w:rsidR="00C744DF">
        <w:rPr>
          <w:rFonts w:ascii="Garamond" w:hAnsi="Garamond"/>
          <w:color w:val="000000"/>
        </w:rPr>
        <w:t>The small number of i</w:t>
      </w:r>
      <w:r w:rsidRPr="00541C26">
        <w:rPr>
          <w:rFonts w:ascii="Garamond" w:hAnsi="Garamond"/>
          <w:color w:val="000000"/>
        </w:rPr>
        <w:t xml:space="preserve">ndividuals </w:t>
      </w:r>
      <w:r w:rsidR="00C744DF">
        <w:rPr>
          <w:rFonts w:ascii="Garamond" w:hAnsi="Garamond"/>
          <w:color w:val="000000"/>
        </w:rPr>
        <w:t xml:space="preserve">that NCES anticipates to not be able to </w:t>
      </w:r>
      <w:proofErr w:type="gramStart"/>
      <w:r w:rsidR="00C744DF">
        <w:rPr>
          <w:rFonts w:ascii="Garamond" w:hAnsi="Garamond"/>
          <w:color w:val="000000"/>
        </w:rPr>
        <w:t>confirm</w:t>
      </w:r>
      <w:proofErr w:type="gramEnd"/>
      <w:r w:rsidR="00C744DF">
        <w:rPr>
          <w:rFonts w:ascii="Garamond" w:hAnsi="Garamond"/>
          <w:color w:val="000000"/>
        </w:rPr>
        <w:t xml:space="preserve"> as not matching </w:t>
      </w:r>
      <w:r w:rsidRPr="00541C26">
        <w:rPr>
          <w:rFonts w:ascii="Garamond" w:hAnsi="Garamond"/>
          <w:color w:val="000000"/>
        </w:rPr>
        <w:t>the SDN list will receive a survey request</w:t>
      </w:r>
      <w:r w:rsidR="00C744DF">
        <w:rPr>
          <w:rFonts w:ascii="Garamond" w:hAnsi="Garamond"/>
          <w:color w:val="000000"/>
        </w:rPr>
        <w:t xml:space="preserve"> without an incentive offer</w:t>
      </w:r>
      <w:r w:rsidRPr="00541C26">
        <w:rPr>
          <w:rFonts w:ascii="Garamond" w:hAnsi="Garamond"/>
          <w:color w:val="000000"/>
        </w:rPr>
        <w:t>.</w:t>
      </w:r>
    </w:p>
    <w:p w:rsidR="00265E39" w:rsidRDefault="00265E39" w:rsidP="00283B46">
      <w:pPr>
        <w:pStyle w:val="Heading2"/>
      </w:pPr>
      <w:bookmarkStart w:id="53" w:name="_Toc383113373"/>
      <w:bookmarkStart w:id="54" w:name="_Toc477621560"/>
      <w:bookmarkEnd w:id="52"/>
      <w:r>
        <w:t>Assurance of Confidentiality</w:t>
      </w:r>
      <w:bookmarkEnd w:id="53"/>
      <w:bookmarkEnd w:id="54"/>
    </w:p>
    <w:p w:rsidR="00D26990" w:rsidRDefault="00D26990" w:rsidP="00D26990">
      <w:pPr>
        <w:pStyle w:val="BodyText"/>
        <w:ind w:firstLine="0"/>
      </w:pPr>
      <w:r w:rsidRPr="0089535D">
        <w:t xml:space="preserve">NCES assures participating individuals that all information collected under B&amp;B may be used only for statistical purposes and may not be disclosed, or used, in identifiable form for any other purpose except as required by </w:t>
      </w:r>
      <w:r w:rsidRPr="000E55FE">
        <w:t xml:space="preserve">law </w:t>
      </w:r>
      <w:r>
        <w:t>(</w:t>
      </w:r>
      <w:r w:rsidRPr="000E55FE">
        <w:t>20 U.S.C. §9573 and 6 U.S.C. §151).</w:t>
      </w:r>
    </w:p>
    <w:p w:rsidR="00D26990" w:rsidRPr="0089535D" w:rsidRDefault="00B21ADD" w:rsidP="00D26990">
      <w:pPr>
        <w:pStyle w:val="BodyText"/>
        <w:ind w:firstLine="0"/>
      </w:pPr>
      <w:r w:rsidRPr="00B21ADD">
        <w:t>The primary contractor for this study is RTI International (Contract# ED-IES-13-C-0070).</w:t>
      </w:r>
      <w:r>
        <w:t xml:space="preserve"> </w:t>
      </w:r>
      <w:r w:rsidR="00D26990">
        <w:t>D</w:t>
      </w:r>
      <w:r w:rsidR="00D26990" w:rsidRPr="0089535D">
        <w:t xml:space="preserve">ata security and confidentiality protection procedures </w:t>
      </w:r>
      <w:r w:rsidR="00D26990">
        <w:t>have been put in place for B&amp;B</w:t>
      </w:r>
      <w:proofErr w:type="gramStart"/>
      <w:r w:rsidR="00D26990">
        <w:t>:16</w:t>
      </w:r>
      <w:proofErr w:type="gramEnd"/>
      <w:r w:rsidR="00D26990">
        <w:t xml:space="preserve">/17 </w:t>
      </w:r>
      <w:r w:rsidR="00D26990" w:rsidRPr="0089535D">
        <w:t>to ensure that RTI and its subcontractors comply with all privacy requirements, including:</w:t>
      </w:r>
    </w:p>
    <w:p w:rsidR="00D26990" w:rsidRPr="000E55FE" w:rsidRDefault="00D26990" w:rsidP="000E7586">
      <w:pPr>
        <w:pStyle w:val="bulletround"/>
        <w:keepLines/>
        <w:numPr>
          <w:ilvl w:val="0"/>
          <w:numId w:val="15"/>
        </w:numPr>
        <w:tabs>
          <w:tab w:val="clear" w:pos="1440"/>
          <w:tab w:val="num" w:pos="720"/>
        </w:tabs>
        <w:spacing w:before="0" w:after="60"/>
        <w:ind w:left="720"/>
      </w:pPr>
      <w:r w:rsidRPr="000E55FE">
        <w:t xml:space="preserve">The </w:t>
      </w:r>
      <w:r w:rsidR="000E7586">
        <w:t>s</w:t>
      </w:r>
      <w:r w:rsidRPr="000E55FE">
        <w:t xml:space="preserve">tatement of </w:t>
      </w:r>
      <w:r w:rsidR="000E7586">
        <w:t>w</w:t>
      </w:r>
      <w:r w:rsidRPr="000E55FE">
        <w:t>ork of this contract;</w:t>
      </w:r>
    </w:p>
    <w:p w:rsidR="000E7586" w:rsidRPr="000E55FE" w:rsidRDefault="000E7586" w:rsidP="000E7586">
      <w:pPr>
        <w:pStyle w:val="bulletround"/>
        <w:keepLines/>
        <w:numPr>
          <w:ilvl w:val="0"/>
          <w:numId w:val="15"/>
        </w:numPr>
        <w:tabs>
          <w:tab w:val="clear" w:pos="1440"/>
          <w:tab w:val="num" w:pos="720"/>
        </w:tabs>
        <w:spacing w:before="0" w:after="60"/>
        <w:ind w:left="720"/>
      </w:pPr>
      <w:r w:rsidRPr="00D26990">
        <w:rPr>
          <w:i/>
        </w:rPr>
        <w:t>Family Educational and Privacy Act (FERPA) of 1974</w:t>
      </w:r>
      <w:r w:rsidRPr="000E7586">
        <w:t xml:space="preserve"> (</w:t>
      </w:r>
      <w:r w:rsidRPr="000E55FE">
        <w:t>20 U.S.C. §1232(g)</w:t>
      </w:r>
      <w:r>
        <w:t>)</w:t>
      </w:r>
      <w:r w:rsidRPr="000E55FE">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szCs w:val="24"/>
        </w:rPr>
        <w:t>Confidential Infor</w:t>
      </w:r>
      <w:r w:rsidR="000E7586">
        <w:rPr>
          <w:i/>
          <w:szCs w:val="24"/>
        </w:rPr>
        <w:t>mation Protect and Statistical E</w:t>
      </w:r>
      <w:r w:rsidRPr="000E55FE">
        <w:rPr>
          <w:i/>
          <w:szCs w:val="24"/>
        </w:rPr>
        <w:t>fficiency Act of 2002</w:t>
      </w:r>
      <w:r w:rsidRPr="000E55FE">
        <w:rPr>
          <w:szCs w:val="24"/>
        </w:rPr>
        <w:t>;</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i/>
          <w:iCs/>
          <w:szCs w:val="24"/>
        </w:rPr>
        <w:t>E-Government Act of 2002</w:t>
      </w:r>
      <w:r w:rsidRPr="000E55FE">
        <w:rPr>
          <w:iCs/>
          <w:szCs w:val="24"/>
        </w:rPr>
        <w:t>, Title V, Subtitle A;</w:t>
      </w:r>
    </w:p>
    <w:p w:rsidR="00774E8E" w:rsidRDefault="00D26990" w:rsidP="000E7586">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lastRenderedPageBreak/>
        <w:t>NCES Statistical Standards; and</w:t>
      </w:r>
    </w:p>
    <w:p w:rsidR="00D26990" w:rsidRDefault="00D26990" w:rsidP="00EC43B0">
      <w:pPr>
        <w:pStyle w:val="ListParagraph"/>
        <w:numPr>
          <w:ilvl w:val="0"/>
          <w:numId w:val="15"/>
        </w:numPr>
        <w:tabs>
          <w:tab w:val="clear" w:pos="1440"/>
          <w:tab w:val="num" w:pos="720"/>
        </w:tabs>
        <w:spacing w:after="60"/>
        <w:ind w:left="720"/>
        <w:contextualSpacing w:val="0"/>
        <w:rPr>
          <w:szCs w:val="24"/>
        </w:rPr>
      </w:pPr>
      <w:r w:rsidRPr="000E55FE">
        <w:rPr>
          <w:szCs w:val="24"/>
        </w:rPr>
        <w:t xml:space="preserve">All new legislation that </w:t>
      </w:r>
      <w:proofErr w:type="gramStart"/>
      <w:r w:rsidRPr="000E55FE">
        <w:rPr>
          <w:szCs w:val="24"/>
        </w:rPr>
        <w:t>impacts</w:t>
      </w:r>
      <w:proofErr w:type="gramEnd"/>
      <w:r w:rsidRPr="000E55FE">
        <w:rPr>
          <w:szCs w:val="24"/>
        </w:rPr>
        <w:t xml:space="preserve"> the data collected through the contract for this study.</w:t>
      </w:r>
    </w:p>
    <w:p w:rsidR="00D26990" w:rsidRDefault="000E7586" w:rsidP="00D26990">
      <w:pPr>
        <w:pStyle w:val="BodyText"/>
        <w:ind w:firstLine="0"/>
      </w:pPr>
      <w:proofErr w:type="gramStart"/>
      <w:r>
        <w:t xml:space="preserve">Furthermore, </w:t>
      </w:r>
      <w:r w:rsidR="00D26990" w:rsidRPr="00B3574B">
        <w:t>RTI</w:t>
      </w:r>
      <w:r w:rsidR="00D26990"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w:t>
      </w:r>
      <w:proofErr w:type="gramEnd"/>
      <w:r w:rsidR="00D26990" w:rsidRPr="000E55FE">
        <w:t xml:space="preserve"> All data products and publications will also adhere to the revised NCES Statistical Standards, as described at the website: </w:t>
      </w:r>
      <w:hyperlink r:id="rId11" w:history="1">
        <w:r w:rsidR="00D26990" w:rsidRPr="0028202A">
          <w:rPr>
            <w:rStyle w:val="Hyperlink"/>
          </w:rPr>
          <w:t>http://nces.ed.gov/statprog/2012/</w:t>
        </w:r>
      </w:hyperlink>
      <w:r w:rsidR="00D26990" w:rsidRPr="000E55FE">
        <w:t>.</w:t>
      </w:r>
    </w:p>
    <w:p w:rsidR="00D26990" w:rsidRDefault="00D26990" w:rsidP="00D26990">
      <w:pPr>
        <w:pStyle w:val="BodyText"/>
        <w:ind w:firstLine="0"/>
      </w:pPr>
      <w:bookmarkStart w:id="55" w:name="_Toc383113374"/>
      <w:bookmarkStart w:id="56" w:name="_Toc477621561"/>
      <w:r w:rsidRPr="00B3574B">
        <w:t>The B&amp;B</w:t>
      </w:r>
      <w:proofErr w:type="gramStart"/>
      <w:r w:rsidRPr="00B3574B">
        <w:t>:</w:t>
      </w:r>
      <w:r>
        <w:t>16</w:t>
      </w:r>
      <w:proofErr w:type="gramEnd"/>
      <w:r>
        <w:t>/17</w:t>
      </w:r>
      <w:r w:rsidRPr="00B3574B">
        <w:t xml:space="preserve"> procedures for maintaining confidentiality include</w:t>
      </w:r>
      <w:r w:rsidR="00867124">
        <w:t>:</w:t>
      </w:r>
      <w:r w:rsidRPr="00B3574B">
        <w:t xml:space="preserv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t xml:space="preserve">16/17 </w:t>
      </w:r>
      <w:r w:rsidRPr="00B3574B">
        <w:t>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D26990" w:rsidRDefault="00867124" w:rsidP="00D26990">
      <w:pPr>
        <w:pStyle w:val="BodyText"/>
        <w:ind w:firstLine="0"/>
      </w:pPr>
      <w:r>
        <w:t>B&amp;B</w:t>
      </w:r>
      <w:proofErr w:type="gramStart"/>
      <w:r>
        <w:t>:16</w:t>
      </w:r>
      <w:proofErr w:type="gramEnd"/>
      <w:r>
        <w:t>/17 also utilizes</w:t>
      </w:r>
      <w:r w:rsidR="00D26990">
        <w:t xml:space="preserve"> security measures to protect the web survey from unauthorized access in the form of security questions based on data previously collected on </w:t>
      </w:r>
      <w:r>
        <w:t>NPSAS:16</w:t>
      </w:r>
      <w:r w:rsidR="00D26990">
        <w:t xml:space="preserve"> participants. These questions take </w:t>
      </w:r>
      <w:r>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xml:space="preserve">) and will be required to answer correctly before beginning (or resuming) the survey. The web survey </w:t>
      </w:r>
      <w:proofErr w:type="gramStart"/>
      <w:r w:rsidR="00D26990">
        <w:t>will also be programmed</w:t>
      </w:r>
      <w:proofErr w:type="gramEnd"/>
      <w:r w:rsidR="00D26990">
        <w:t xml:space="preserve"> to prevent backtracking to areas of the survey with personally identifiable information (PII). This measure </w:t>
      </w:r>
      <w:proofErr w:type="gramStart"/>
      <w:r w:rsidR="00D26990">
        <w:t>is intended</w:t>
      </w:r>
      <w:proofErr w:type="gramEnd"/>
      <w:r w:rsidR="00D26990">
        <w:t xml:space="preserve"> to prevent unauthorized access to PII within in-progress surveys.</w:t>
      </w:r>
    </w:p>
    <w:p w:rsidR="00D26990" w:rsidRDefault="00867124" w:rsidP="00D26990">
      <w:pPr>
        <w:pStyle w:val="BodyText"/>
        <w:ind w:firstLine="0"/>
      </w:pPr>
      <w:r>
        <w:t>With regards to B&amp;B</w:t>
      </w:r>
      <w:proofErr w:type="gramStart"/>
      <w:r>
        <w:t>:16</w:t>
      </w:r>
      <w:proofErr w:type="gramEnd"/>
      <w:r>
        <w:t>/17</w:t>
      </w:r>
      <w:r w:rsidR="00D26990">
        <w:t xml:space="preserve"> respondents be</w:t>
      </w:r>
      <w:r>
        <w:t>ing</w:t>
      </w:r>
      <w:r w:rsidR="00D26990">
        <w:t xml:space="preserve"> asked to upload current resumes</w:t>
      </w:r>
      <w:r>
        <w:t>, t</w:t>
      </w:r>
      <w:r w:rsidR="00D26990">
        <w:t xml:space="preserve">he resulting files will be stored on secure NCES servers. Respondents will not have access to the file location beyond uploading their own document. Resume files will be downloaded to RTI’s ESN on a daily basis at the same time and through the same process by which survey data are downloaded. As an alternative data source, resumes are being considered for employment and education data verification purposes and as possible means to increase </w:t>
      </w:r>
      <w:r>
        <w:t xml:space="preserve">data submission </w:t>
      </w:r>
      <w:r w:rsidR="00D26990">
        <w:t>efficiency and reduce participant burden.</w:t>
      </w:r>
    </w:p>
    <w:p w:rsidR="00D26990" w:rsidRDefault="00867124" w:rsidP="00D26990">
      <w:pPr>
        <w:pStyle w:val="BodyText"/>
        <w:ind w:firstLine="0"/>
      </w:pPr>
      <w:r>
        <w:t xml:space="preserve">Additionally, </w:t>
      </w:r>
      <w:r w:rsidR="00D26990" w:rsidRPr="00B3574B">
        <w:t xml:space="preserve">security measures </w:t>
      </w:r>
      <w:proofErr w:type="gramStart"/>
      <w:r>
        <w:t>have been put</w:t>
      </w:r>
      <w:proofErr w:type="gramEnd"/>
      <w:r>
        <w:t xml:space="preserve"> </w:t>
      </w:r>
      <w:r w:rsidR="00D26990" w:rsidRPr="00B3574B">
        <w:t xml:space="preserve">in place to protect data during file matching procedures </w:t>
      </w:r>
      <w:r>
        <w:t>(see</w:t>
      </w:r>
      <w:r w:rsidR="00D26990" w:rsidRPr="00B3574B">
        <w:t xml:space="preserve"> section </w:t>
      </w:r>
      <w:r w:rsidR="002045D9">
        <w:t>A.</w:t>
      </w:r>
      <w:r w:rsidR="00D26990" w:rsidRPr="00B3574B">
        <w:t>3</w:t>
      </w:r>
      <w:r>
        <w:t>)</w:t>
      </w:r>
      <w:r w:rsidR="00D26990" w:rsidRPr="00B3574B">
        <w:t xml:space="preserve">. NCES has a secure data transfer system, which uses Secure Socket Layer </w:t>
      </w:r>
      <w:r w:rsidR="00D26990">
        <w:t xml:space="preserve">(SSL) </w:t>
      </w:r>
      <w:r w:rsidR="00D26990" w:rsidRPr="00B3574B">
        <w:t xml:space="preserve">technology, allowing the transfer of encrypted data over the Internet. The NCES secure server </w:t>
      </w:r>
      <w:proofErr w:type="gramStart"/>
      <w:r w:rsidR="00D26990" w:rsidRPr="00B3574B">
        <w:t>will be used</w:t>
      </w:r>
      <w:proofErr w:type="gramEnd"/>
      <w:r w:rsidR="00D26990" w:rsidRPr="00B3574B">
        <w:t xml:space="preserve"> for all administrative data sources with the exception of the NSC, which has its own secure FTP site. All data transfers </w:t>
      </w:r>
      <w:proofErr w:type="gramStart"/>
      <w:r w:rsidR="00D26990" w:rsidRPr="00B3574B">
        <w:t>will be encrypted</w:t>
      </w:r>
      <w:proofErr w:type="gramEnd"/>
      <w:r w:rsidR="00D26990" w:rsidRPr="00B3574B">
        <w:t>.</w:t>
      </w:r>
    </w:p>
    <w:p w:rsidR="00D26990" w:rsidRDefault="00D26990" w:rsidP="00D26990">
      <w:pPr>
        <w:pStyle w:val="BodyText"/>
        <w:spacing w:before="0"/>
        <w:ind w:firstLine="0"/>
      </w:pPr>
      <w:r w:rsidRPr="00B3574B">
        <w:t xml:space="preserve">The Department has established a policy regarding the personnel security screening requirements for all contractor employees and their subcontractors. The contractor must comply with these personnel </w:t>
      </w:r>
      <w:proofErr w:type="gramStart"/>
      <w:r w:rsidRPr="00B3574B">
        <w:t>security screening</w:t>
      </w:r>
      <w:proofErr w:type="gramEnd"/>
      <w:r w:rsidRPr="00B3574B">
        <w:t xml:space="preserve"> requirements throughout the life of the contract. Each person working on the contract must complete the requirements for a “Contractor Security Screening.” Depending on the risk level assigned to each person’s position, a follow-up background investigation by the Department will occur.</w:t>
      </w:r>
    </w:p>
    <w:p w:rsidR="00D26990" w:rsidRPr="00A111F9" w:rsidRDefault="00D26990" w:rsidP="00D26990">
      <w:pPr>
        <w:spacing w:after="120"/>
        <w:rPr>
          <w:szCs w:val="24"/>
        </w:rPr>
      </w:pPr>
      <w:r>
        <w:t xml:space="preserve">B&amp;B:16/17 and other NCES postsecondary studies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National Student Clearinghouse (NSC). These NCES studies also obtain data from institution student records and admissions test scores from ACT and The College Board.</w:t>
      </w:r>
      <w:r w:rsidR="00947033">
        <w:t xml:space="preserve"> </w:t>
      </w:r>
      <w:proofErr w:type="gramStart"/>
      <w:r w:rsidRPr="00A111F9">
        <w:rPr>
          <w:szCs w:val="24"/>
        </w:rPr>
        <w:t>The Family Educational Rights and Privacy Act (FERPA</w:t>
      </w:r>
      <w:r w:rsidR="00947033">
        <w:rPr>
          <w:szCs w:val="24"/>
        </w:rPr>
        <w:t xml:space="preserve">, </w:t>
      </w:r>
      <w:r w:rsidRPr="00A111F9">
        <w:rPr>
          <w:szCs w:val="24"/>
        </w:rPr>
        <w:t xml:space="preserve">34 CFR Part 99) allows the disclosure of personally identifiable information from students’ education records without prior consent for the purposes of </w:t>
      </w:r>
      <w:r>
        <w:rPr>
          <w:szCs w:val="24"/>
        </w:rPr>
        <w:t>B&amp;B:16/17</w:t>
      </w:r>
      <w:r w:rsidRPr="00A111F9">
        <w:rPr>
          <w:szCs w:val="24"/>
        </w:rPr>
        <w:t xml:space="preserve"> according to the following excerpts: 34 CFR </w:t>
      </w:r>
      <w:r w:rsidR="002F600C">
        <w:rPr>
          <w:szCs w:val="24"/>
        </w:rPr>
        <w:t>§</w:t>
      </w:r>
      <w:r w:rsidRPr="00A111F9">
        <w:rPr>
          <w:szCs w:val="24"/>
        </w:rPr>
        <w:t xml:space="preserve">99.31 asks, “Under what conditions is prior consent not required to disclose information?” and explains in 34 CFR </w:t>
      </w:r>
      <w:r w:rsidR="002F600C">
        <w:rPr>
          <w:szCs w:val="24"/>
        </w:rPr>
        <w:t>§</w:t>
      </w:r>
      <w:r w:rsidRPr="00A111F9">
        <w:rPr>
          <w:szCs w:val="24"/>
        </w:rPr>
        <w:t>99.31(a) that “An educational agency or institution may disclose personally identifiable information from an education record of a student without the consent required by §99.30 if the disclosure meets one or more” of several conditions.</w:t>
      </w:r>
      <w:proofErr w:type="gramEnd"/>
      <w:r w:rsidRPr="00A111F9">
        <w:rPr>
          <w:szCs w:val="24"/>
        </w:rPr>
        <w:t xml:space="preserve"> These conditions include, at 34 CFR </w:t>
      </w:r>
      <w:r w:rsidR="002F600C">
        <w:rPr>
          <w:szCs w:val="24"/>
        </w:rPr>
        <w:t>§</w:t>
      </w:r>
      <w:r w:rsidRPr="00A111F9">
        <w:rPr>
          <w:szCs w:val="24"/>
        </w:rPr>
        <w:t>99.31(a</w:t>
      </w:r>
      <w:proofErr w:type="gramStart"/>
      <w:r w:rsidRPr="00A111F9">
        <w:rPr>
          <w:szCs w:val="24"/>
        </w:rPr>
        <w:t>)(</w:t>
      </w:r>
      <w:proofErr w:type="gramEnd"/>
      <w:r w:rsidRPr="00A111F9">
        <w:rPr>
          <w:szCs w:val="24"/>
        </w:rPr>
        <w:t>3):</w:t>
      </w:r>
    </w:p>
    <w:p w:rsidR="00D26990" w:rsidRPr="00A111F9" w:rsidRDefault="00D26990" w:rsidP="00D26990">
      <w:pPr>
        <w:spacing w:after="120"/>
        <w:rPr>
          <w:rFonts w:eastAsiaTheme="minorHAnsi"/>
          <w:szCs w:val="24"/>
        </w:rPr>
      </w:pPr>
      <w:r w:rsidRPr="00A111F9">
        <w:rPr>
          <w:rFonts w:eastAsiaTheme="minorHAnsi"/>
          <w:szCs w:val="24"/>
        </w:rPr>
        <w:t>The disclosure is, subject to the requirements of §99.35, to authorized representatives of--</w:t>
      </w:r>
    </w:p>
    <w:p w:rsidR="00D26990" w:rsidRPr="00A111F9" w:rsidRDefault="00D26990" w:rsidP="00D26990">
      <w:pPr>
        <w:spacing w:after="120"/>
        <w:ind w:left="360"/>
        <w:contextualSpacing/>
        <w:rPr>
          <w:rFonts w:eastAsiaTheme="minorHAnsi"/>
          <w:szCs w:val="24"/>
        </w:rPr>
      </w:pPr>
      <w:r w:rsidRPr="00A111F9">
        <w:rPr>
          <w:rFonts w:eastAsiaTheme="minorHAnsi"/>
          <w:szCs w:val="24"/>
        </w:rPr>
        <w:lastRenderedPageBreak/>
        <w:t>(</w:t>
      </w:r>
      <w:proofErr w:type="spellStart"/>
      <w:r w:rsidRPr="00A111F9">
        <w:rPr>
          <w:rFonts w:eastAsiaTheme="minorHAnsi"/>
          <w:szCs w:val="24"/>
        </w:rPr>
        <w:t>i</w:t>
      </w:r>
      <w:proofErr w:type="spellEnd"/>
      <w:r w:rsidRPr="00A111F9">
        <w:rPr>
          <w:rFonts w:eastAsiaTheme="minorHAnsi"/>
          <w:szCs w:val="24"/>
        </w:rPr>
        <w:t>) The Comptroller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 The Attorney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(iii) The Secretary; or</w:t>
      </w:r>
    </w:p>
    <w:p w:rsidR="00774E8E" w:rsidRDefault="00D26990" w:rsidP="00947033">
      <w:pPr>
        <w:spacing w:after="120"/>
        <w:ind w:left="360"/>
        <w:rPr>
          <w:rFonts w:eastAsiaTheme="minorHAnsi"/>
          <w:szCs w:val="24"/>
        </w:rPr>
      </w:pPr>
      <w:proofErr w:type="gramStart"/>
      <w:r w:rsidRPr="00A111F9">
        <w:rPr>
          <w:rFonts w:eastAsiaTheme="minorHAnsi"/>
          <w:szCs w:val="24"/>
        </w:rPr>
        <w:t>(iv) State</w:t>
      </w:r>
      <w:proofErr w:type="gramEnd"/>
      <w:r w:rsidRPr="00A111F9">
        <w:rPr>
          <w:rFonts w:eastAsiaTheme="minorHAnsi"/>
          <w:szCs w:val="24"/>
        </w:rPr>
        <w:t xml:space="preserve"> and local educational authorities.</w:t>
      </w:r>
    </w:p>
    <w:p w:rsidR="00D26990" w:rsidRPr="00A111F9" w:rsidRDefault="00D26990" w:rsidP="00947033">
      <w:pPr>
        <w:spacing w:after="120"/>
        <w:rPr>
          <w:szCs w:val="24"/>
        </w:rPr>
      </w:pPr>
      <w:r>
        <w:rPr>
          <w:szCs w:val="24"/>
        </w:rPr>
        <w:t>B&amp;B</w:t>
      </w:r>
      <w:proofErr w:type="gramStart"/>
      <w:r>
        <w:rPr>
          <w:szCs w:val="24"/>
        </w:rPr>
        <w:t>:16</w:t>
      </w:r>
      <w:proofErr w:type="gramEnd"/>
      <w:r>
        <w:rPr>
          <w:szCs w:val="24"/>
        </w:rPr>
        <w:t xml:space="preserve">/17 </w:t>
      </w:r>
      <w:r w:rsidRPr="00A111F9">
        <w:rPr>
          <w:szCs w:val="24"/>
        </w:rPr>
        <w:t xml:space="preserve">is collecting data under the Secretary’s authority. Specifically, NCES, as an authorized representative of the Secretary of Education, is collecting this information </w:t>
      </w:r>
      <w:proofErr w:type="gramStart"/>
      <w:r w:rsidRPr="00A111F9">
        <w:rPr>
          <w:szCs w:val="24"/>
        </w:rPr>
        <w:t>for the purpose of</w:t>
      </w:r>
      <w:proofErr w:type="gramEnd"/>
      <w:r w:rsidRPr="00A111F9">
        <w:rPr>
          <w:szCs w:val="24"/>
        </w:rPr>
        <w:t xml:space="preserve"> evaluating a federally supported education program. Any personally identifiable information </w:t>
      </w:r>
      <w:proofErr w:type="gramStart"/>
      <w:r w:rsidRPr="00A111F9">
        <w:rPr>
          <w:szCs w:val="24"/>
        </w:rPr>
        <w:t>is collected</w:t>
      </w:r>
      <w:proofErr w:type="gramEnd"/>
      <w:r w:rsidRPr="00A111F9">
        <w:rPr>
          <w:szCs w:val="24"/>
        </w:rPr>
        <w:t xml:space="preserve"> with adherence to the security protocol detailed in 34 CFR </w:t>
      </w:r>
      <w:r w:rsidR="002F600C">
        <w:rPr>
          <w:szCs w:val="24"/>
        </w:rPr>
        <w:t>§</w:t>
      </w:r>
      <w:r w:rsidRPr="00A111F9">
        <w:rPr>
          <w:szCs w:val="24"/>
        </w:rPr>
        <w:t>99.35:</w:t>
      </w:r>
    </w:p>
    <w:p w:rsidR="00D26990" w:rsidRPr="00A111F9" w:rsidRDefault="00D26990" w:rsidP="00D26990">
      <w:pPr>
        <w:spacing w:after="120"/>
        <w:ind w:left="360"/>
        <w:rPr>
          <w:rFonts w:eastAsiaTheme="minorHAnsi"/>
          <w:szCs w:val="24"/>
        </w:rPr>
      </w:pPr>
      <w:r w:rsidRPr="00A111F9">
        <w:rPr>
          <w:rFonts w:eastAsiaTheme="minorHAnsi"/>
          <w:szCs w:val="24"/>
        </w:rPr>
        <w:t>(a)(1) Authorized representatives of the officials or agencies headed by officials listed in §99.31(a</w:t>
      </w:r>
      <w:proofErr w:type="gramStart"/>
      <w:r w:rsidRPr="00A111F9">
        <w:rPr>
          <w:rFonts w:eastAsiaTheme="minorHAnsi"/>
          <w:szCs w:val="24"/>
        </w:rPr>
        <w:t>)(</w:t>
      </w:r>
      <w:proofErr w:type="gramEnd"/>
      <w:r w:rsidRPr="00A111F9">
        <w:rPr>
          <w:rFonts w:eastAsiaTheme="minorHAnsi"/>
          <w:szCs w:val="24"/>
        </w:rPr>
        <w:t>3) may have access to education records in connection with an audit or evaluation of Federal or State supported education programs, or for the enforcement of or compliance with Federal legal requirements that relate to those programs.</w:t>
      </w:r>
    </w:p>
    <w:p w:rsidR="00D26990" w:rsidRPr="00A111F9" w:rsidRDefault="00D26990" w:rsidP="00D26990">
      <w:pPr>
        <w:spacing w:after="120"/>
        <w:ind w:left="360"/>
        <w:rPr>
          <w:rFonts w:eastAsiaTheme="minorHAnsi"/>
          <w:szCs w:val="24"/>
        </w:rPr>
      </w:pPr>
      <w:r w:rsidRPr="00A111F9">
        <w:rPr>
          <w:rFonts w:eastAsiaTheme="minorHAnsi"/>
          <w:szCs w:val="24"/>
        </w:rPr>
        <w:t>(2) The State or local educational authority or agency headed by an official listed in §99.31(a</w:t>
      </w:r>
      <w:proofErr w:type="gramStart"/>
      <w:r w:rsidRPr="00A111F9">
        <w:rPr>
          <w:rFonts w:eastAsiaTheme="minorHAnsi"/>
          <w:szCs w:val="24"/>
        </w:rPr>
        <w:t>)(</w:t>
      </w:r>
      <w:proofErr w:type="gramEnd"/>
      <w:r w:rsidRPr="00A111F9">
        <w:rPr>
          <w:rFonts w:eastAsiaTheme="minorHAnsi"/>
          <w:szCs w:val="24"/>
        </w:rPr>
        <w:t>3) is responsible for using reasonable methods to ensure to the greatest extent practicable that any entity or individual designated as its authorized representative—</w:t>
      </w:r>
    </w:p>
    <w:p w:rsidR="00D26990" w:rsidRPr="00A111F9" w:rsidRDefault="00D26990" w:rsidP="00D26990">
      <w:pPr>
        <w:spacing w:after="120"/>
        <w:ind w:left="360"/>
        <w:rPr>
          <w:rFonts w:eastAsiaTheme="minorHAnsi"/>
          <w:szCs w:val="24"/>
        </w:rPr>
      </w:pPr>
      <w:r w:rsidRPr="00A111F9">
        <w:rPr>
          <w:rFonts w:eastAsiaTheme="minorHAnsi"/>
          <w:szCs w:val="24"/>
        </w:rPr>
        <w:t>(</w:t>
      </w:r>
      <w:proofErr w:type="spellStart"/>
      <w:r w:rsidRPr="00A111F9">
        <w:rPr>
          <w:rFonts w:eastAsiaTheme="minorHAnsi"/>
          <w:szCs w:val="24"/>
        </w:rPr>
        <w:t>i</w:t>
      </w:r>
      <w:proofErr w:type="spellEnd"/>
      <w:r w:rsidRPr="00A111F9">
        <w:rPr>
          <w:rFonts w:eastAsiaTheme="minorHAnsi"/>
          <w:szCs w:val="24"/>
        </w:rPr>
        <w:t>) Uses personally identifiable information only to carry out an audit or evaluation of Federal- or State-supported education programs, or for the enforcement of or compliance with Federal legal requirements related to these programs</w:t>
      </w:r>
      <w:proofErr w:type="gramStart"/>
      <w:r w:rsidRPr="00A111F9">
        <w:rPr>
          <w:rFonts w:eastAsiaTheme="minorHAnsi"/>
          <w:szCs w:val="24"/>
        </w:rPr>
        <w:t>;</w:t>
      </w:r>
      <w:proofErr w:type="gramEnd"/>
    </w:p>
    <w:p w:rsidR="00D26990" w:rsidRPr="00A111F9" w:rsidRDefault="00D26990" w:rsidP="00D26990">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rsidR="00D26990" w:rsidRPr="00A111F9" w:rsidRDefault="00D26990" w:rsidP="00D26990">
      <w:pPr>
        <w:spacing w:after="120"/>
        <w:ind w:left="360"/>
        <w:rPr>
          <w:rFonts w:eastAsiaTheme="minorHAnsi"/>
          <w:szCs w:val="24"/>
        </w:rPr>
      </w:pPr>
      <w:proofErr w:type="gramStart"/>
      <w:r w:rsidRPr="00A111F9">
        <w:rPr>
          <w:rFonts w:eastAsiaTheme="minorHAnsi"/>
          <w:szCs w:val="24"/>
        </w:rPr>
        <w:t>(iii) Destroys the personally identifiable information in accordance with the requirements of paragraphs (b) and (c) of this section.</w:t>
      </w:r>
      <w:proofErr w:type="gramEnd"/>
    </w:p>
    <w:p w:rsidR="00D26990" w:rsidRPr="00A111F9" w:rsidRDefault="00D26990" w:rsidP="00D26990">
      <w:pPr>
        <w:spacing w:after="120"/>
        <w:ind w:left="360"/>
        <w:rPr>
          <w:rFonts w:eastAsiaTheme="minorHAnsi"/>
          <w:szCs w:val="24"/>
        </w:rPr>
      </w:pPr>
      <w:r w:rsidRPr="00A111F9">
        <w:rPr>
          <w:rFonts w:eastAsiaTheme="minorHAnsi"/>
          <w:szCs w:val="24"/>
        </w:rPr>
        <w:t xml:space="preserve">(b) Information that </w:t>
      </w:r>
      <w:proofErr w:type="gramStart"/>
      <w:r w:rsidRPr="00A111F9">
        <w:rPr>
          <w:rFonts w:eastAsiaTheme="minorHAnsi"/>
          <w:szCs w:val="24"/>
        </w:rPr>
        <w:t>is collected</w:t>
      </w:r>
      <w:proofErr w:type="gramEnd"/>
      <w:r w:rsidRPr="00A111F9">
        <w:rPr>
          <w:rFonts w:eastAsiaTheme="minorHAnsi"/>
          <w:szCs w:val="24"/>
        </w:rPr>
        <w:t xml:space="preserve"> under paragraph (a) of this section must—</w:t>
      </w:r>
    </w:p>
    <w:p w:rsidR="00D26990" w:rsidRPr="00A111F9" w:rsidRDefault="00D26990" w:rsidP="00D26990">
      <w:pPr>
        <w:spacing w:after="120"/>
        <w:ind w:left="360"/>
        <w:rPr>
          <w:rFonts w:eastAsiaTheme="minorHAnsi"/>
          <w:szCs w:val="24"/>
        </w:rPr>
      </w:pPr>
      <w:proofErr w:type="gramStart"/>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rsidR="00D26990" w:rsidRPr="00A111F9" w:rsidRDefault="00D26990" w:rsidP="00D26990">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rsidR="00D26990" w:rsidRPr="00A111F9" w:rsidRDefault="00D26990" w:rsidP="00D26990">
      <w:pPr>
        <w:spacing w:after="120"/>
        <w:ind w:left="360"/>
        <w:rPr>
          <w:rFonts w:eastAsiaTheme="minorHAnsi"/>
          <w:szCs w:val="24"/>
        </w:rPr>
      </w:pPr>
      <w:r w:rsidRPr="00A111F9">
        <w:rPr>
          <w:rFonts w:eastAsiaTheme="minorHAnsi"/>
          <w:szCs w:val="24"/>
        </w:rPr>
        <w:t>(c) Paragraph (b) of this section does not apply if:</w:t>
      </w:r>
    </w:p>
    <w:p w:rsidR="00D26990" w:rsidRPr="00A111F9" w:rsidRDefault="00D26990" w:rsidP="00D26990">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rsidR="00D26990" w:rsidRPr="00B3574B" w:rsidRDefault="00D26990" w:rsidP="00D26990">
      <w:pPr>
        <w:pStyle w:val="BodyText"/>
        <w:ind w:firstLine="360"/>
      </w:pPr>
      <w:proofErr w:type="gramStart"/>
      <w:r w:rsidRPr="00A111F9">
        <w:rPr>
          <w:rFonts w:eastAsiaTheme="minorHAnsi"/>
          <w:szCs w:val="24"/>
        </w:rPr>
        <w:t>(2) The collection of personally identifiable information is specifically authorized by Federal law</w:t>
      </w:r>
      <w:proofErr w:type="gramEnd"/>
      <w:r w:rsidRPr="00A111F9">
        <w:rPr>
          <w:rFonts w:eastAsiaTheme="minorHAnsi"/>
          <w:szCs w:val="24"/>
        </w:rPr>
        <w:t>.</w:t>
      </w:r>
    </w:p>
    <w:p w:rsidR="00D26990" w:rsidRPr="00EE449E" w:rsidRDefault="00D26990" w:rsidP="00D26990">
      <w:pPr>
        <w:pStyle w:val="BodyText"/>
        <w:ind w:firstLine="0"/>
      </w:pPr>
      <w:r w:rsidRPr="00EE449E">
        <w:t>Additionally, the study, including the administrative data linkage, qualifies for a 45 CFR Part 46 waiver of consent based on the following factors:</w:t>
      </w:r>
    </w:p>
    <w:p w:rsidR="00D26990" w:rsidRPr="00EE449E" w:rsidRDefault="00D26990" w:rsidP="00947033">
      <w:pPr>
        <w:pStyle w:val="bulletround"/>
        <w:keepLines/>
        <w:numPr>
          <w:ilvl w:val="0"/>
          <w:numId w:val="6"/>
        </w:numPr>
        <w:tabs>
          <w:tab w:val="clear" w:pos="1440"/>
          <w:tab w:val="num" w:pos="720"/>
        </w:tabs>
        <w:ind w:left="720" w:hanging="27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t>Social Security Numbers (</w:t>
      </w:r>
      <w:r w:rsidRPr="00EE449E">
        <w:t>SSNs</w:t>
      </w:r>
      <w:r>
        <w:t>)</w:t>
      </w:r>
      <w:r w:rsidRPr="00EE449E">
        <w:t xml:space="preserve">, even though these numbers </w:t>
      </w:r>
      <w:proofErr w:type="gramStart"/>
      <w:r w:rsidRPr="00EE449E">
        <w:t>are used</w:t>
      </w:r>
      <w:proofErr w:type="gramEnd"/>
      <w:r w:rsidRPr="00EE449E">
        <w:t xml:space="preserve"> for the linkage. Data will undergo disclosure avoidance analysis and disclosure treatment steps </w:t>
      </w:r>
      <w:proofErr w:type="gramStart"/>
      <w:r w:rsidRPr="00EE449E">
        <w:t>to further reduce</w:t>
      </w:r>
      <w:proofErr w:type="gramEnd"/>
      <w:r w:rsidRPr="00EE449E">
        <w:t xml:space="preserve"> the risk.</w:t>
      </w:r>
    </w:p>
    <w:p w:rsidR="00D26990" w:rsidRPr="00EE449E" w:rsidRDefault="00D26990" w:rsidP="00947033">
      <w:pPr>
        <w:pStyle w:val="bulletround"/>
        <w:keepLines/>
        <w:numPr>
          <w:ilvl w:val="0"/>
          <w:numId w:val="6"/>
        </w:numPr>
        <w:tabs>
          <w:tab w:val="clear" w:pos="1440"/>
          <w:tab w:val="num" w:pos="720"/>
        </w:tabs>
        <w:spacing w:before="0"/>
        <w:ind w:left="720" w:hanging="270"/>
      </w:pPr>
      <w:r w:rsidRPr="00EE449E">
        <w:t xml:space="preserve">The waiver will not affect the rights and welfare of the subjects. The voluntary nature of the study </w:t>
      </w:r>
      <w:proofErr w:type="gramStart"/>
      <w:r w:rsidRPr="00EE449E">
        <w:t>is emphasized</w:t>
      </w:r>
      <w:proofErr w:type="gramEnd"/>
      <w:r w:rsidRPr="00EE449E">
        <w:t xml:space="preserve"> to sample members. Public-use and restricted-use data are only used for research purposes and lack direct </w:t>
      </w:r>
      <w:proofErr w:type="gramStart"/>
      <w:r w:rsidRPr="00EE449E">
        <w:t>individually-identifying</w:t>
      </w:r>
      <w:proofErr w:type="gramEnd"/>
      <w:r w:rsidRPr="00EE449E">
        <w:t xml:space="preserve"> information. The data </w:t>
      </w:r>
      <w:proofErr w:type="gramStart"/>
      <w:r w:rsidRPr="00EE449E">
        <w:t>are further protected</w:t>
      </w:r>
      <w:proofErr w:type="gramEnd"/>
      <w:r w:rsidRPr="00EE449E">
        <w:t xml:space="preserve"> through disclosure avoidance procedures approved by the NCES Disclosure Review Board.</w:t>
      </w:r>
    </w:p>
    <w:p w:rsidR="00D26990" w:rsidRPr="00EE449E" w:rsidRDefault="00D26990" w:rsidP="00947033">
      <w:pPr>
        <w:pStyle w:val="bulletround"/>
        <w:widowControl w:val="0"/>
        <w:numPr>
          <w:ilvl w:val="0"/>
          <w:numId w:val="6"/>
        </w:numPr>
        <w:tabs>
          <w:tab w:val="clear" w:pos="1440"/>
          <w:tab w:val="num" w:pos="720"/>
        </w:tabs>
        <w:spacing w:before="0" w:after="100" w:afterAutospacing="1"/>
        <w:ind w:left="720" w:hanging="274"/>
      </w:pPr>
      <w:r w:rsidRPr="00EE449E">
        <w:t xml:space="preserve">Whenever appropriate, subjects </w:t>
      </w:r>
      <w:proofErr w:type="gramStart"/>
      <w:r w:rsidRPr="00EE449E">
        <w:t>will be provided</w:t>
      </w:r>
      <w:proofErr w:type="gramEnd"/>
      <w:r w:rsidRPr="00EE449E">
        <w:t xml:space="preserve"> with additional pertinent information after they have participated. For each round of the study, information about prior rounds and the nature of the study </w:t>
      </w:r>
      <w:proofErr w:type="gramStart"/>
      <w:r w:rsidRPr="00EE449E">
        <w:t xml:space="preserve">is </w:t>
      </w:r>
      <w:r w:rsidRPr="00EE449E">
        <w:lastRenderedPageBreak/>
        <w:t>made</w:t>
      </w:r>
      <w:proofErr w:type="gramEnd"/>
      <w:r w:rsidRPr="00EE449E">
        <w:t xml:space="preserve"> available to sample members.</w:t>
      </w:r>
    </w:p>
    <w:p w:rsidR="00D26990" w:rsidRDefault="00D26990" w:rsidP="00947033">
      <w:pPr>
        <w:pStyle w:val="bulletround"/>
        <w:widowControl w:val="0"/>
        <w:numPr>
          <w:ilvl w:val="0"/>
          <w:numId w:val="6"/>
        </w:numPr>
        <w:tabs>
          <w:tab w:val="clear" w:pos="1440"/>
          <w:tab w:val="num" w:pos="720"/>
        </w:tabs>
        <w:spacing w:before="0" w:after="100" w:afterAutospacing="1"/>
        <w:ind w:left="720" w:hanging="274"/>
      </w:pPr>
      <w:r w:rsidRPr="00EE449E">
        <w:t xml:space="preserve">The study </w:t>
      </w:r>
      <w:proofErr w:type="gramStart"/>
      <w:r w:rsidRPr="00EE449E">
        <w:t>cannot be conducted</w:t>
      </w:r>
      <w:proofErr w:type="gramEnd"/>
      <w:r w:rsidRPr="00EE449E">
        <w:t xml:space="preserve"> practicably without the waiver. To obtain written consent from sample members, multiple forms would have to </w:t>
      </w:r>
      <w:proofErr w:type="gramStart"/>
      <w:r w:rsidRPr="00EE449E">
        <w:t>be sent</w:t>
      </w:r>
      <w:proofErr w:type="gramEnd"/>
      <w:r w:rsidRPr="00EE449E">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EE449E">
        <w:t>would be jeopardized</w:t>
      </w:r>
      <w:proofErr w:type="gramEnd"/>
      <w:r w:rsidRPr="00EE449E">
        <w:t xml:space="preserve"> from a nonresponse bias perspective.</w:t>
      </w:r>
    </w:p>
    <w:p w:rsidR="00D26990" w:rsidRPr="004B2992" w:rsidRDefault="00D26990" w:rsidP="00947033">
      <w:pPr>
        <w:pStyle w:val="bulletround"/>
        <w:keepLines/>
        <w:numPr>
          <w:ilvl w:val="0"/>
          <w:numId w:val="6"/>
        </w:numPr>
        <w:tabs>
          <w:tab w:val="clear" w:pos="1440"/>
          <w:tab w:val="num" w:pos="720"/>
        </w:tabs>
        <w:spacing w:before="0" w:after="120"/>
        <w:ind w:left="720" w:hanging="274"/>
      </w:pPr>
      <w:r w:rsidRPr="00EE449E">
        <w:t xml:space="preserve">The potential knowledge from the study is important enough to justify the waiver. These linked data for </w:t>
      </w:r>
      <w:r>
        <w:t>B&amp;B</w:t>
      </w:r>
      <w:proofErr w:type="gramStart"/>
      <w:r>
        <w:t>:16</w:t>
      </w:r>
      <w:proofErr w:type="gramEnd"/>
      <w:r>
        <w:t>/17</w:t>
      </w:r>
      <w:r w:rsidRPr="00EE449E">
        <w:t xml:space="preserve"> will provide invaluable data to researchers and education policy makers about the federal financial aid that students have received related to their persistence in and graduation from postsecon</w:t>
      </w:r>
      <w:r>
        <w:t xml:space="preserve">dary education. Rather than relying on </w:t>
      </w:r>
      <w:r w:rsidRPr="00EE449E">
        <w:t>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rsidR="00265E39" w:rsidRDefault="00265E39" w:rsidP="00AE647A">
      <w:pPr>
        <w:pStyle w:val="Heading2"/>
      </w:pPr>
      <w:r>
        <w:t>Sensitive Questions</w:t>
      </w:r>
      <w:bookmarkEnd w:id="55"/>
      <w:bookmarkEnd w:id="56"/>
    </w:p>
    <w:p w:rsidR="00C904B5" w:rsidRPr="00F74252" w:rsidRDefault="00C904B5" w:rsidP="00C904B5">
      <w:pPr>
        <w:pStyle w:val="BodyText1"/>
        <w:spacing w:line="23" w:lineRule="atLeast"/>
        <w:ind w:firstLine="0"/>
        <w:rPr>
          <w:rFonts w:ascii="Garamond" w:hAnsi="Garamond"/>
        </w:rPr>
      </w:pPr>
      <w:bookmarkStart w:id="57" w:name="_Toc383113375"/>
      <w:r w:rsidRPr="00F74252">
        <w:rPr>
          <w:rFonts w:ascii="Garamond" w:hAnsi="Garamond"/>
        </w:rPr>
        <w:t>The B&amp;B</w:t>
      </w:r>
      <w:proofErr w:type="gramStart"/>
      <w:r w:rsidRPr="00F74252">
        <w:rPr>
          <w:rFonts w:ascii="Garamond" w:hAnsi="Garamond"/>
        </w:rPr>
        <w:t>:16</w:t>
      </w:r>
      <w:proofErr w:type="gramEnd"/>
      <w:r w:rsidRPr="00F74252">
        <w:rPr>
          <w:rFonts w:ascii="Garamond" w:hAnsi="Garamond"/>
        </w:rPr>
        <w:t xml:space="preserve">/17 interview collects information about earnings, assets, and marital and family status. Regulations governing the administration of these questions require (a) clear documentation of the need for such information as it relates to the primary purpose of the study, (b) provisions </w:t>
      </w:r>
      <w:proofErr w:type="gramStart"/>
      <w:r w:rsidRPr="00F74252">
        <w:rPr>
          <w:rFonts w:ascii="Garamond" w:hAnsi="Garamond"/>
        </w:rPr>
        <w:t>to clearly inform</w:t>
      </w:r>
      <w:proofErr w:type="gramEnd"/>
      <w:r w:rsidRPr="00F74252">
        <w:rPr>
          <w:rFonts w:ascii="Garamond" w:hAnsi="Garamond"/>
        </w:rPr>
        <w:t xml:space="preserve"> sample members of the voluntary nature of participation in the study, as well as assurances that their responses will be treated confidentially.</w:t>
      </w:r>
    </w:p>
    <w:p w:rsidR="00C904B5" w:rsidRPr="00F74252" w:rsidRDefault="00C904B5" w:rsidP="00C904B5">
      <w:pPr>
        <w:pStyle w:val="BodyText1"/>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Several procedures have been implemented (see section A.10) to provide assurances to sample members about the voluntary nature of participation in the study as well as the confidentiality provisions for survey responses.</w:t>
      </w:r>
    </w:p>
    <w:p w:rsidR="00C904B5" w:rsidRPr="00F74252" w:rsidRDefault="00C904B5" w:rsidP="00C904B5">
      <w:pPr>
        <w:pStyle w:val="BodyText"/>
        <w:ind w:firstLine="0"/>
      </w:pPr>
      <w:r w:rsidRPr="00F74252">
        <w:t xml:space="preserve">Social Security Numbers (SSNs) </w:t>
      </w:r>
      <w:proofErr w:type="gramStart"/>
      <w:r w:rsidRPr="00F74252">
        <w:t>will be needed</w:t>
      </w:r>
      <w:proofErr w:type="gramEnd"/>
      <w:r w:rsidRPr="00F74252">
        <w:t xml:space="preserve">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005F3E77" w:rsidRPr="00CE3AA1" w:rsidRDefault="00265E39" w:rsidP="0003260E">
      <w:pPr>
        <w:pStyle w:val="Heading2"/>
        <w:spacing w:before="0"/>
        <w:ind w:left="1094" w:hanging="547"/>
      </w:pPr>
      <w:bookmarkStart w:id="58" w:name="_Toc477621562"/>
      <w:r w:rsidRPr="00CE3AA1">
        <w:t>Estimates of Response Burden</w:t>
      </w:r>
      <w:bookmarkEnd w:id="57"/>
      <w:bookmarkEnd w:id="58"/>
    </w:p>
    <w:p w:rsidR="00080B23" w:rsidRDefault="009C34BE" w:rsidP="00F75CF0">
      <w:pPr>
        <w:pStyle w:val="BodyText"/>
        <w:ind w:firstLine="0"/>
      </w:pPr>
      <w:bookmarkStart w:id="59" w:name="_Toc255888148"/>
      <w:bookmarkStart w:id="60" w:name="_Toc381969978"/>
      <w:r w:rsidRPr="00F74252">
        <w:t xml:space="preserve">Table 3 provides the projected estimates for response burden for </w:t>
      </w:r>
      <w:r w:rsidR="00457427">
        <w:t xml:space="preserve">the </w:t>
      </w:r>
      <w:r w:rsidRPr="00F74252">
        <w:t>B&amp;B</w:t>
      </w:r>
      <w:proofErr w:type="gramStart"/>
      <w:r w:rsidRPr="00F74252">
        <w:t>:16</w:t>
      </w:r>
      <w:proofErr w:type="gramEnd"/>
      <w:r w:rsidRPr="00F74252">
        <w:t xml:space="preserve">/17 </w:t>
      </w:r>
      <w:r w:rsidR="00CD1B61">
        <w:t>main</w:t>
      </w:r>
      <w:r w:rsidRPr="00F74252">
        <w:t xml:space="preserve"> study, based on experiences from </w:t>
      </w:r>
      <w:r w:rsidR="00943EE1">
        <w:t xml:space="preserve">the B&amp;B:16/17 field test and from </w:t>
      </w:r>
      <w:r w:rsidRPr="00F74252">
        <w:t xml:space="preserve">prior rounds of NPSAS and B&amp;B. </w:t>
      </w:r>
      <w:r w:rsidR="00CD1B61">
        <w:t>In</w:t>
      </w:r>
      <w:r w:rsidRPr="00F74252">
        <w:t xml:space="preserve"> the </w:t>
      </w:r>
      <w:r w:rsidR="00CD1B61">
        <w:t>main</w:t>
      </w:r>
      <w:r w:rsidR="00457427">
        <w:t xml:space="preserve"> study</w:t>
      </w:r>
      <w:r w:rsidRPr="00F74252">
        <w:t xml:space="preserve">, we expect the </w:t>
      </w:r>
      <w:r w:rsidR="00457427">
        <w:t>eligibility screener with</w:t>
      </w:r>
      <w:r w:rsidR="0091649A">
        <w:t xml:space="preserve"> address update </w:t>
      </w:r>
      <w:r w:rsidR="00C57727">
        <w:t xml:space="preserve">to require approximately </w:t>
      </w:r>
      <w:r w:rsidR="000936A1">
        <w:t>10</w:t>
      </w:r>
      <w:r w:rsidR="0091649A">
        <w:t xml:space="preserve"> minutes, </w:t>
      </w:r>
      <w:r w:rsidR="000936A1">
        <w:t xml:space="preserve">the </w:t>
      </w:r>
      <w:r w:rsidR="00224EF7">
        <w:t>full</w:t>
      </w:r>
      <w:r w:rsidRPr="00F74252">
        <w:t xml:space="preserve"> </w:t>
      </w:r>
      <w:r w:rsidR="00CD1B61">
        <w:t xml:space="preserve">survey </w:t>
      </w:r>
      <w:r w:rsidRPr="00F74252">
        <w:t>interview</w:t>
      </w:r>
      <w:r w:rsidR="0091649A">
        <w:t xml:space="preserve"> </w:t>
      </w:r>
      <w:r w:rsidR="0091649A" w:rsidRPr="00F74252">
        <w:t>approximately</w:t>
      </w:r>
      <w:r w:rsidR="00457427">
        <w:t xml:space="preserve"> 30</w:t>
      </w:r>
      <w:r w:rsidRPr="00F74252">
        <w:t xml:space="preserve"> minutes</w:t>
      </w:r>
      <w:r w:rsidR="00A15EA9">
        <w:t xml:space="preserve"> (</w:t>
      </w:r>
      <w:r w:rsidR="00CD1B61" w:rsidRPr="00CD1B61">
        <w:t>or 35 minutes if a résumé is uploaded</w:t>
      </w:r>
      <w:r w:rsidR="00A15EA9">
        <w:t>)</w:t>
      </w:r>
      <w:r w:rsidR="00CD1B61">
        <w:t xml:space="preserve">, </w:t>
      </w:r>
      <w:r w:rsidR="000936A1">
        <w:t>and the ab</w:t>
      </w:r>
      <w:r w:rsidR="00224EF7">
        <w:t>breviated interview approximately 10 minutes</w:t>
      </w:r>
      <w:r w:rsidR="00A15EA9" w:rsidRPr="00A15EA9">
        <w:t xml:space="preserve"> </w:t>
      </w:r>
      <w:r w:rsidR="00A15EA9">
        <w:t>to complete</w:t>
      </w:r>
      <w:r w:rsidR="004060B6">
        <w:t xml:space="preserve">. </w:t>
      </w:r>
      <w:r w:rsidR="0091649A">
        <w:t xml:space="preserve">This request also includes </w:t>
      </w:r>
      <w:r w:rsidR="00D0117B">
        <w:t>panel maintenance activit</w:t>
      </w:r>
      <w:r w:rsidR="00224EF7">
        <w:t>ies for the anticipated B&amp;B</w:t>
      </w:r>
      <w:proofErr w:type="gramStart"/>
      <w:r w:rsidR="00224EF7">
        <w:t>:16</w:t>
      </w:r>
      <w:proofErr w:type="gramEnd"/>
      <w:r w:rsidR="00224EF7">
        <w:t>/20 field test study</w:t>
      </w:r>
      <w:r w:rsidR="0091649A">
        <w:t xml:space="preserve">. </w:t>
      </w:r>
      <w:r w:rsidRPr="00F74252">
        <w:t xml:space="preserve">For the </w:t>
      </w:r>
      <w:r w:rsidR="00224EF7">
        <w:t xml:space="preserve">B&amp;B:16/17 </w:t>
      </w:r>
      <w:r w:rsidR="00FC53D8">
        <w:t>main</w:t>
      </w:r>
      <w:r w:rsidR="00224EF7">
        <w:t xml:space="preserve"> study</w:t>
      </w:r>
      <w:r w:rsidRPr="00F74252">
        <w:t>, estimating an a</w:t>
      </w:r>
      <w:r w:rsidR="0025534B">
        <w:t>verage hourly rate of $21</w:t>
      </w:r>
      <w:r w:rsidR="009920C6" w:rsidRPr="00CD1B61">
        <w:rPr>
          <w:rStyle w:val="FootnoteReference"/>
          <w:sz w:val="24"/>
          <w:szCs w:val="24"/>
        </w:rPr>
        <w:footnoteReference w:id="4"/>
      </w:r>
      <w:r w:rsidRPr="00F74252">
        <w:t xml:space="preserve"> for participating </w:t>
      </w:r>
      <w:r w:rsidR="006F7762">
        <w:t>sample members</w:t>
      </w:r>
      <w:r w:rsidRPr="00F74252">
        <w:t xml:space="preserve">, the </w:t>
      </w:r>
      <w:r w:rsidR="00D401CD">
        <w:t>9</w:t>
      </w:r>
      <w:r w:rsidR="00224EF7">
        <w:t>,</w:t>
      </w:r>
      <w:r w:rsidR="00266BF4">
        <w:t>812</w:t>
      </w:r>
      <w:r w:rsidRPr="00F74252">
        <w:t xml:space="preserve"> total </w:t>
      </w:r>
      <w:r w:rsidR="00224EF7">
        <w:t>sample member</w:t>
      </w:r>
      <w:r w:rsidR="00BB4974">
        <w:t xml:space="preserve"> </w:t>
      </w:r>
      <w:r w:rsidRPr="00F74252">
        <w:t xml:space="preserve">burden hours </w:t>
      </w:r>
      <w:r w:rsidR="00BB4974">
        <w:t>translate to a</w:t>
      </w:r>
      <w:r w:rsidR="00266BF4">
        <w:t>n estimated respondent burden time</w:t>
      </w:r>
      <w:r w:rsidR="00BB4974">
        <w:t xml:space="preserve"> </w:t>
      </w:r>
      <w:r w:rsidRPr="00F74252">
        <w:t xml:space="preserve">cost </w:t>
      </w:r>
      <w:r w:rsidR="00BB4974">
        <w:t>of</w:t>
      </w:r>
      <w:r w:rsidRPr="00F74252">
        <w:t xml:space="preserve"> </w:t>
      </w:r>
      <w:r w:rsidR="009920C6">
        <w:t>approximately</w:t>
      </w:r>
      <w:r w:rsidRPr="00F74252">
        <w:t xml:space="preserve"> </w:t>
      </w:r>
      <w:r w:rsidR="00213858" w:rsidRPr="00213858">
        <w:t>$2</w:t>
      </w:r>
      <w:r w:rsidR="00CA66A2">
        <w:t>0</w:t>
      </w:r>
      <w:r w:rsidR="00266BF4">
        <w:t>6</w:t>
      </w:r>
      <w:r w:rsidR="00CA66A2">
        <w:t>,</w:t>
      </w:r>
      <w:r w:rsidR="00266BF4">
        <w:t>052</w:t>
      </w:r>
      <w:r w:rsidR="0091649A">
        <w:t>.</w:t>
      </w:r>
    </w:p>
    <w:p w:rsidR="007912D1" w:rsidRPr="007176DD" w:rsidRDefault="007912D1" w:rsidP="00ED436E">
      <w:pPr>
        <w:pStyle w:val="TableTitle"/>
      </w:pPr>
      <w:bookmarkStart w:id="61" w:name="_Toc474244121"/>
      <w:proofErr w:type="gramStart"/>
      <w:r w:rsidRPr="007176DD">
        <w:lastRenderedPageBreak/>
        <w:t xml:space="preserve">Table </w:t>
      </w:r>
      <w:r>
        <w:t>3</w:t>
      </w:r>
      <w:r w:rsidRPr="007176DD">
        <w:t>.</w:t>
      </w:r>
      <w:proofErr w:type="gramEnd"/>
      <w:r w:rsidRPr="007176DD">
        <w:t xml:space="preserve"> </w:t>
      </w:r>
      <w:r>
        <w:t>Maximum estimated burden to respondents in B&amp;B</w:t>
      </w:r>
      <w:proofErr w:type="gramStart"/>
      <w:r>
        <w:t>:16</w:t>
      </w:r>
      <w:proofErr w:type="gramEnd"/>
      <w:r>
        <w:t>/17</w:t>
      </w:r>
      <w:r w:rsidRPr="007176DD">
        <w:t xml:space="preserve"> </w:t>
      </w:r>
    </w:p>
    <w:tbl>
      <w:tblPr>
        <w:tblStyle w:val="GridTable1Light"/>
        <w:tblW w:w="0" w:type="auto"/>
        <w:tblLayout w:type="fixed"/>
        <w:tblLook w:val="04A0" w:firstRow="1" w:lastRow="0" w:firstColumn="1" w:lastColumn="0" w:noHBand="0" w:noVBand="1"/>
      </w:tblPr>
      <w:tblGrid>
        <w:gridCol w:w="3528"/>
        <w:gridCol w:w="810"/>
        <w:gridCol w:w="990"/>
        <w:gridCol w:w="990"/>
        <w:gridCol w:w="1260"/>
        <w:gridCol w:w="1080"/>
        <w:gridCol w:w="1298"/>
        <w:gridCol w:w="772"/>
      </w:tblGrid>
      <w:tr w:rsidR="00EC43B0" w:rsidTr="00EC43B0">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528" w:type="dxa"/>
            <w:noWrap/>
            <w:vAlign w:val="bottom"/>
            <w:hideMark/>
          </w:tcPr>
          <w:p w:rsidR="007912D1" w:rsidRPr="00044167" w:rsidRDefault="007912D1" w:rsidP="00044167">
            <w:pPr>
              <w:keepNext/>
              <w:rPr>
                <w:rFonts w:ascii="Arial" w:hAnsi="Arial" w:cs="Arial"/>
                <w:bCs w:val="0"/>
                <w:color w:val="000000"/>
                <w:sz w:val="16"/>
                <w:szCs w:val="16"/>
              </w:rPr>
            </w:pPr>
            <w:r w:rsidRPr="00044167">
              <w:rPr>
                <w:rFonts w:ascii="Arial" w:hAnsi="Arial" w:cs="Arial"/>
                <w:bCs w:val="0"/>
                <w:color w:val="000000"/>
                <w:sz w:val="16"/>
                <w:szCs w:val="16"/>
              </w:rPr>
              <w:t>Data collection activity</w:t>
            </w:r>
          </w:p>
        </w:tc>
        <w:tc>
          <w:tcPr>
            <w:tcW w:w="81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Sample</w:t>
            </w:r>
          </w:p>
        </w:tc>
        <w:tc>
          <w:tcPr>
            <w:tcW w:w="99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w:t>
            </w:r>
          </w:p>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eligible</w:t>
            </w:r>
          </w:p>
        </w:tc>
        <w:tc>
          <w:tcPr>
            <w:tcW w:w="990" w:type="dxa"/>
            <w:vAlign w:val="bottom"/>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response rate</w:t>
            </w:r>
          </w:p>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(percent)</w:t>
            </w:r>
          </w:p>
        </w:tc>
        <w:tc>
          <w:tcPr>
            <w:tcW w:w="126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number of respondents*</w:t>
            </w:r>
          </w:p>
        </w:tc>
        <w:tc>
          <w:tcPr>
            <w:tcW w:w="1080" w:type="dxa"/>
            <w:vAlign w:val="bottom"/>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number of responses</w:t>
            </w:r>
          </w:p>
        </w:tc>
        <w:tc>
          <w:tcPr>
            <w:tcW w:w="1298"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Average time burden per response</w:t>
            </w:r>
            <w:r w:rsidRPr="00044167">
              <w:rPr>
                <w:rFonts w:ascii="Arial" w:hAnsi="Arial" w:cs="Arial"/>
                <w:bCs w:val="0"/>
                <w:color w:val="000000"/>
                <w:sz w:val="16"/>
                <w:szCs w:val="16"/>
                <w:vertAlign w:val="superscript"/>
              </w:rPr>
              <w:t xml:space="preserve"> </w:t>
            </w:r>
            <w:r w:rsidRPr="00044167">
              <w:rPr>
                <w:rFonts w:ascii="Arial" w:hAnsi="Arial" w:cs="Arial"/>
                <w:bCs w:val="0"/>
                <w:color w:val="000000"/>
                <w:sz w:val="16"/>
                <w:szCs w:val="16"/>
              </w:rPr>
              <w:t>(minutes)</w:t>
            </w:r>
          </w:p>
        </w:tc>
        <w:tc>
          <w:tcPr>
            <w:tcW w:w="772" w:type="dxa"/>
            <w:vAlign w:val="bottom"/>
            <w:hideMark/>
          </w:tcPr>
          <w:p w:rsidR="007912D1" w:rsidRPr="00044167" w:rsidRDefault="007912D1" w:rsidP="00044167">
            <w:pPr>
              <w:keepNext/>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Total time burden (hours)</w:t>
            </w:r>
          </w:p>
        </w:tc>
      </w:tr>
      <w:tr w:rsidR="00EC43B0"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FC53D8" w:rsidP="00044167">
            <w:pPr>
              <w:keepNext/>
              <w:rPr>
                <w:rFonts w:ascii="Arial" w:hAnsi="Arial" w:cs="Arial"/>
                <w:bCs w:val="0"/>
                <w:color w:val="000000"/>
                <w:sz w:val="16"/>
                <w:szCs w:val="16"/>
              </w:rPr>
            </w:pPr>
            <w:r>
              <w:rPr>
                <w:rFonts w:ascii="Arial" w:hAnsi="Arial" w:cs="Arial"/>
                <w:bCs w:val="0"/>
                <w:color w:val="000000"/>
                <w:sz w:val="16"/>
                <w:szCs w:val="16"/>
              </w:rPr>
              <w:t>Main</w:t>
            </w:r>
            <w:r w:rsidR="007912D1" w:rsidRPr="00044167">
              <w:rPr>
                <w:rFonts w:ascii="Arial" w:hAnsi="Arial" w:cs="Arial"/>
                <w:bCs w:val="0"/>
                <w:color w:val="000000"/>
                <w:sz w:val="16"/>
                <w:szCs w:val="16"/>
              </w:rPr>
              <w:t xml:space="preserve"> study </w:t>
            </w:r>
          </w:p>
        </w:tc>
        <w:tc>
          <w:tcPr>
            <w:tcW w:w="810" w:type="dxa"/>
            <w:noWrap/>
            <w:vAlign w:val="center"/>
          </w:tcPr>
          <w:p w:rsidR="007912D1" w:rsidRPr="00044167" w:rsidRDefault="007912D1" w:rsidP="0004416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9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26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080" w:type="dxa"/>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298"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772"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hideMark/>
          </w:tcPr>
          <w:p w:rsidR="007912D1" w:rsidRPr="00044167" w:rsidRDefault="007912D1" w:rsidP="00044167">
            <w:pPr>
              <w:keepNext/>
              <w:rPr>
                <w:rFonts w:ascii="Arial" w:hAnsi="Arial" w:cs="Arial"/>
                <w:sz w:val="16"/>
                <w:szCs w:val="16"/>
              </w:rPr>
            </w:pPr>
            <w:r w:rsidRPr="00044167">
              <w:rPr>
                <w:rFonts w:ascii="Arial" w:hAnsi="Arial" w:cs="Arial"/>
                <w:sz w:val="16"/>
                <w:szCs w:val="16"/>
              </w:rPr>
              <w:t>Eligibility screener with address update</w:t>
            </w:r>
          </w:p>
        </w:tc>
        <w:tc>
          <w:tcPr>
            <w:tcW w:w="810" w:type="dxa"/>
            <w:vAlign w:val="center"/>
            <w:hideMark/>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8,262</w:t>
            </w:r>
          </w:p>
        </w:tc>
        <w:tc>
          <w:tcPr>
            <w:tcW w:w="990" w:type="dxa"/>
            <w:noWrap/>
            <w:vAlign w:val="center"/>
            <w:hideMark/>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20</w:t>
            </w:r>
          </w:p>
        </w:tc>
        <w:tc>
          <w:tcPr>
            <w:tcW w:w="1260" w:type="dxa"/>
            <w:vAlign w:val="center"/>
          </w:tcPr>
          <w:p w:rsidR="007912D1" w:rsidRPr="00044167" w:rsidRDefault="004C3A5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w:t>
            </w:r>
            <w:r w:rsidR="00F44F21" w:rsidRPr="00044167">
              <w:rPr>
                <w:rFonts w:ascii="Arial" w:hAnsi="Arial" w:cs="Arial"/>
                <w:sz w:val="16"/>
                <w:szCs w:val="16"/>
              </w:rPr>
              <w:t>652</w:t>
            </w:r>
          </w:p>
        </w:tc>
        <w:tc>
          <w:tcPr>
            <w:tcW w:w="1080" w:type="dxa"/>
            <w:vAlign w:val="center"/>
          </w:tcPr>
          <w:p w:rsidR="007912D1" w:rsidRPr="00044167" w:rsidRDefault="004C3A5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w:t>
            </w:r>
            <w:r w:rsidR="00F44F21" w:rsidRPr="00044167">
              <w:rPr>
                <w:rFonts w:ascii="Arial" w:hAnsi="Arial" w:cs="Arial"/>
                <w:sz w:val="16"/>
                <w:szCs w:val="16"/>
              </w:rPr>
              <w:t>,652</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10</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276</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884970" w:rsidRPr="00044167" w:rsidRDefault="00884970" w:rsidP="00044167">
            <w:pPr>
              <w:keepNext/>
              <w:rPr>
                <w:rFonts w:ascii="Arial" w:hAnsi="Arial" w:cs="Arial"/>
                <w:sz w:val="16"/>
                <w:szCs w:val="16"/>
              </w:rPr>
            </w:pPr>
            <w:r w:rsidRPr="00044167">
              <w:rPr>
                <w:rFonts w:ascii="Arial" w:hAnsi="Arial" w:cs="Arial"/>
                <w:sz w:val="16"/>
                <w:szCs w:val="16"/>
              </w:rPr>
              <w:t>Full interview</w:t>
            </w:r>
          </w:p>
        </w:tc>
        <w:tc>
          <w:tcPr>
            <w:tcW w:w="810"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884970" w:rsidRPr="00044167" w:rsidRDefault="00884970"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884970" w:rsidRPr="00044167" w:rsidRDefault="00884970"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68</w:t>
            </w:r>
          </w:p>
        </w:tc>
        <w:tc>
          <w:tcPr>
            <w:tcW w:w="1260" w:type="dxa"/>
            <w:vAlign w:val="center"/>
          </w:tcPr>
          <w:p w:rsidR="00884970"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16,050</w:t>
            </w:r>
          </w:p>
        </w:tc>
        <w:tc>
          <w:tcPr>
            <w:tcW w:w="1080"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16,050</w:t>
            </w:r>
          </w:p>
        </w:tc>
        <w:tc>
          <w:tcPr>
            <w:tcW w:w="1298" w:type="dxa"/>
            <w:vAlign w:val="center"/>
          </w:tcPr>
          <w:p w:rsidR="00884970" w:rsidRPr="00044167" w:rsidRDefault="00884970"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30</w:t>
            </w:r>
          </w:p>
        </w:tc>
        <w:tc>
          <w:tcPr>
            <w:tcW w:w="772"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8,025</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 xml:space="preserve">Full interview with </w:t>
            </w:r>
            <w:r w:rsidR="009B34FB" w:rsidRPr="00044167">
              <w:rPr>
                <w:rFonts w:ascii="Arial" w:hAnsi="Arial" w:cs="Arial"/>
                <w:sz w:val="16"/>
                <w:szCs w:val="16"/>
              </w:rPr>
              <w:t>résumé</w:t>
            </w:r>
            <w:r w:rsidRPr="00044167">
              <w:rPr>
                <w:rFonts w:ascii="Arial" w:hAnsi="Arial" w:cs="Arial"/>
                <w:sz w:val="16"/>
                <w:szCs w:val="16"/>
              </w:rPr>
              <w:t xml:space="preserve"> upload</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 xml:space="preserve">7 </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1,652</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1,652</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35</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964</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Abbreviated interview</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9</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2,125</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2,125</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10</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355</w:t>
            </w:r>
          </w:p>
        </w:tc>
      </w:tr>
      <w:tr w:rsidR="00EC43B0"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 xml:space="preserve">Abbreviated interview with </w:t>
            </w:r>
            <w:r w:rsidR="009B34FB" w:rsidRPr="00044167">
              <w:rPr>
                <w:rFonts w:ascii="Arial" w:hAnsi="Arial" w:cs="Arial"/>
                <w:sz w:val="16"/>
                <w:szCs w:val="16"/>
              </w:rPr>
              <w:t>résumé</w:t>
            </w:r>
            <w:r w:rsidRPr="00044167">
              <w:rPr>
                <w:rFonts w:ascii="Arial" w:hAnsi="Arial" w:cs="Arial"/>
                <w:sz w:val="16"/>
                <w:szCs w:val="16"/>
              </w:rPr>
              <w:t xml:space="preserve"> upload</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708</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708</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15</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177</w:t>
            </w:r>
          </w:p>
        </w:tc>
      </w:tr>
      <w:tr w:rsidR="00EC43B0" w:rsidRPr="00266BF4"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hideMark/>
          </w:tcPr>
          <w:p w:rsidR="007912D1" w:rsidRPr="00266BF4" w:rsidRDefault="007912D1" w:rsidP="00044167">
            <w:pPr>
              <w:keepNext/>
              <w:rPr>
                <w:rFonts w:ascii="Arial" w:hAnsi="Arial" w:cs="Arial"/>
                <w:bCs w:val="0"/>
                <w:i/>
                <w:sz w:val="16"/>
                <w:szCs w:val="16"/>
              </w:rPr>
            </w:pPr>
            <w:r w:rsidRPr="00266BF4">
              <w:rPr>
                <w:rFonts w:ascii="Arial" w:hAnsi="Arial" w:cs="Arial"/>
                <w:bCs w:val="0"/>
                <w:i/>
                <w:sz w:val="16"/>
                <w:szCs w:val="16"/>
              </w:rPr>
              <w:t xml:space="preserve">Total for B&amp;B:16/17 </w:t>
            </w:r>
            <w:r w:rsidR="00FC53D8" w:rsidRPr="00266BF4">
              <w:rPr>
                <w:rFonts w:ascii="Arial" w:hAnsi="Arial" w:cs="Arial"/>
                <w:bCs w:val="0"/>
                <w:i/>
                <w:sz w:val="16"/>
                <w:szCs w:val="16"/>
              </w:rPr>
              <w:t>main study</w:t>
            </w:r>
          </w:p>
        </w:tc>
        <w:tc>
          <w:tcPr>
            <w:tcW w:w="810" w:type="dxa"/>
            <w:noWrap/>
            <w:vAlign w:val="center"/>
            <w:hideMark/>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990" w:type="dxa"/>
            <w:noWrap/>
            <w:vAlign w:val="center"/>
            <w:hideMark/>
          </w:tcPr>
          <w:p w:rsidR="007912D1" w:rsidRPr="00266BF4" w:rsidRDefault="00774E8E" w:rsidP="00044167">
            <w:pPr>
              <w:keepNext/>
              <w:ind w:right="72"/>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990" w:type="dxa"/>
            <w:vAlign w:val="center"/>
          </w:tcPr>
          <w:p w:rsidR="007912D1" w:rsidRPr="00266BF4"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1260" w:type="dxa"/>
            <w:vAlign w:val="center"/>
          </w:tcPr>
          <w:p w:rsidR="007912D1" w:rsidRPr="00266BF4"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20,535</w:t>
            </w:r>
          </w:p>
        </w:tc>
        <w:tc>
          <w:tcPr>
            <w:tcW w:w="1080" w:type="dxa"/>
            <w:vAlign w:val="center"/>
          </w:tcPr>
          <w:p w:rsidR="007912D1" w:rsidRPr="00266BF4" w:rsidRDefault="00F44F21" w:rsidP="00577953">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266BF4">
              <w:rPr>
                <w:rFonts w:ascii="Arial" w:hAnsi="Arial" w:cs="Arial"/>
                <w:bCs/>
                <w:i/>
                <w:sz w:val="16"/>
                <w:szCs w:val="16"/>
              </w:rPr>
              <w:t>22,</w:t>
            </w:r>
            <w:r w:rsidR="00577953" w:rsidRPr="00266BF4">
              <w:rPr>
                <w:rFonts w:ascii="Arial" w:hAnsi="Arial" w:cs="Arial"/>
                <w:bCs/>
                <w:i/>
                <w:sz w:val="16"/>
                <w:szCs w:val="16"/>
              </w:rPr>
              <w:t>187</w:t>
            </w:r>
          </w:p>
        </w:tc>
        <w:tc>
          <w:tcPr>
            <w:tcW w:w="1298" w:type="dxa"/>
            <w:noWrap/>
            <w:vAlign w:val="center"/>
          </w:tcPr>
          <w:p w:rsidR="007912D1" w:rsidRPr="00266BF4"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772" w:type="dxa"/>
            <w:noWrap/>
            <w:vAlign w:val="center"/>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r w:rsidR="00F44F21" w:rsidRPr="00266BF4">
              <w:rPr>
                <w:rFonts w:ascii="Arial" w:hAnsi="Arial" w:cs="Arial"/>
                <w:bCs/>
                <w:i/>
                <w:sz w:val="16"/>
                <w:szCs w:val="16"/>
              </w:rPr>
              <w:t>9,797</w:t>
            </w:r>
          </w:p>
        </w:tc>
      </w:tr>
      <w:tr w:rsidR="00EC43B0" w:rsidRPr="001B611A"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266BF4">
            <w:pPr>
              <w:keepNext/>
              <w:ind w:left="360" w:hanging="360"/>
              <w:rPr>
                <w:rFonts w:ascii="Arial" w:hAnsi="Arial" w:cs="Arial"/>
                <w:bCs w:val="0"/>
                <w:sz w:val="16"/>
                <w:szCs w:val="16"/>
              </w:rPr>
            </w:pPr>
            <w:r w:rsidRPr="00044167">
              <w:rPr>
                <w:rFonts w:ascii="Arial" w:hAnsi="Arial" w:cs="Arial"/>
                <w:bCs w:val="0"/>
                <w:sz w:val="16"/>
                <w:szCs w:val="16"/>
              </w:rPr>
              <w:t>Panel maintenance for B&amp;B:16/20 field test (anticipated)</w:t>
            </w:r>
          </w:p>
        </w:tc>
        <w:tc>
          <w:tcPr>
            <w:tcW w:w="81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1,959</w:t>
            </w:r>
          </w:p>
        </w:tc>
        <w:tc>
          <w:tcPr>
            <w:tcW w:w="99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15</w:t>
            </w:r>
          </w:p>
        </w:tc>
        <w:tc>
          <w:tcPr>
            <w:tcW w:w="126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294</w:t>
            </w:r>
          </w:p>
        </w:tc>
        <w:tc>
          <w:tcPr>
            <w:tcW w:w="1080" w:type="dxa"/>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294</w:t>
            </w:r>
          </w:p>
        </w:tc>
        <w:tc>
          <w:tcPr>
            <w:tcW w:w="1298"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w:t>
            </w:r>
          </w:p>
        </w:tc>
        <w:tc>
          <w:tcPr>
            <w:tcW w:w="772"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15</w:t>
            </w:r>
          </w:p>
        </w:tc>
      </w:tr>
      <w:tr w:rsidR="00EC43B0" w:rsidRPr="00266BF4"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266BF4" w:rsidRDefault="007912D1" w:rsidP="00044167">
            <w:pPr>
              <w:keepNext/>
              <w:rPr>
                <w:rFonts w:ascii="Arial" w:hAnsi="Arial" w:cs="Arial"/>
                <w:bCs w:val="0"/>
                <w:color w:val="000000"/>
                <w:sz w:val="16"/>
                <w:szCs w:val="16"/>
              </w:rPr>
            </w:pPr>
            <w:r w:rsidRPr="00266BF4">
              <w:rPr>
                <w:rFonts w:ascii="Arial" w:hAnsi="Arial" w:cs="Arial"/>
                <w:bCs w:val="0"/>
                <w:color w:val="000000"/>
                <w:sz w:val="16"/>
                <w:szCs w:val="16"/>
              </w:rPr>
              <w:t>Total in this request</w:t>
            </w:r>
          </w:p>
        </w:tc>
        <w:tc>
          <w:tcPr>
            <w:tcW w:w="810" w:type="dxa"/>
            <w:noWrap/>
            <w:vAlign w:val="center"/>
          </w:tcPr>
          <w:p w:rsidR="007912D1" w:rsidRPr="00266BF4"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990" w:type="dxa"/>
            <w:noWrap/>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990" w:type="dxa"/>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w:t>
            </w:r>
          </w:p>
        </w:tc>
        <w:tc>
          <w:tcPr>
            <w:tcW w:w="1260" w:type="dxa"/>
            <w:vAlign w:val="center"/>
          </w:tcPr>
          <w:p w:rsidR="007912D1" w:rsidRPr="00266BF4" w:rsidRDefault="00F44F2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20,829</w:t>
            </w:r>
          </w:p>
        </w:tc>
        <w:tc>
          <w:tcPr>
            <w:tcW w:w="1080" w:type="dxa"/>
            <w:vAlign w:val="center"/>
          </w:tcPr>
          <w:p w:rsidR="007912D1" w:rsidRPr="00266BF4"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22,481</w:t>
            </w:r>
          </w:p>
        </w:tc>
        <w:tc>
          <w:tcPr>
            <w:tcW w:w="1298" w:type="dxa"/>
            <w:noWrap/>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772" w:type="dxa"/>
            <w:noWrap/>
            <w:vAlign w:val="center"/>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 xml:space="preserve"> </w:t>
            </w:r>
            <w:r w:rsidR="00F44F21" w:rsidRPr="00266BF4">
              <w:rPr>
                <w:rFonts w:ascii="Arial" w:hAnsi="Arial" w:cs="Arial"/>
                <w:b/>
                <w:bCs/>
                <w:color w:val="000000"/>
                <w:sz w:val="16"/>
                <w:szCs w:val="16"/>
              </w:rPr>
              <w:t>9,812</w:t>
            </w:r>
          </w:p>
        </w:tc>
      </w:tr>
    </w:tbl>
    <w:p w:rsidR="007912D1" w:rsidRPr="0013311B" w:rsidRDefault="007912D1" w:rsidP="00ED436E">
      <w:pPr>
        <w:pStyle w:val="Tablenotes"/>
        <w:keepNext/>
        <w:rPr>
          <w:rFonts w:cs="Arial"/>
          <w:color w:val="000000" w:themeColor="text1"/>
          <w:szCs w:val="16"/>
        </w:rPr>
      </w:pPr>
      <w:r w:rsidRPr="0013311B">
        <w:rPr>
          <w:rFonts w:cs="Arial"/>
          <w:color w:val="000000" w:themeColor="text1"/>
          <w:szCs w:val="16"/>
        </w:rPr>
        <w:t xml:space="preserve">* </w:t>
      </w:r>
      <w:r>
        <w:rPr>
          <w:rFonts w:cs="Arial"/>
          <w:color w:val="000000" w:themeColor="text1"/>
          <w:szCs w:val="16"/>
        </w:rPr>
        <w:t>Respondent totals do not include d</w:t>
      </w:r>
      <w:r w:rsidRPr="0013311B">
        <w:rPr>
          <w:rFonts w:cs="Arial"/>
          <w:color w:val="000000" w:themeColor="text1"/>
          <w:szCs w:val="16"/>
        </w:rPr>
        <w:t xml:space="preserve">uplicative counts of </w:t>
      </w:r>
      <w:r>
        <w:rPr>
          <w:rFonts w:cs="Arial"/>
          <w:color w:val="000000" w:themeColor="text1"/>
          <w:szCs w:val="16"/>
        </w:rPr>
        <w:t>individuals</w:t>
      </w:r>
      <w:r w:rsidRPr="0013311B">
        <w:rPr>
          <w:rFonts w:cs="Arial"/>
          <w:color w:val="000000" w:themeColor="text1"/>
          <w:szCs w:val="16"/>
        </w:rPr>
        <w:t>.</w:t>
      </w:r>
      <w:r w:rsidR="00D923D1">
        <w:rPr>
          <w:rFonts w:cs="Arial"/>
          <w:color w:val="000000" w:themeColor="text1"/>
          <w:szCs w:val="16"/>
        </w:rPr>
        <w:t xml:space="preserve">Specifically, those who received the eligibilty screener are removed from the total since </w:t>
      </w:r>
      <w:r w:rsidR="002D085C">
        <w:rPr>
          <w:rFonts w:cs="Arial"/>
          <w:color w:val="000000" w:themeColor="text1"/>
          <w:szCs w:val="16"/>
        </w:rPr>
        <w:t xml:space="preserve">most will respond to the </w:t>
      </w:r>
      <w:r w:rsidR="00D923D1">
        <w:rPr>
          <w:rFonts w:cs="Arial"/>
          <w:color w:val="000000" w:themeColor="text1"/>
          <w:szCs w:val="16"/>
        </w:rPr>
        <w:t>full or abbreviated interview.</w:t>
      </w:r>
    </w:p>
    <w:bookmarkEnd w:id="59"/>
    <w:bookmarkEnd w:id="60"/>
    <w:bookmarkEnd w:id="61"/>
    <w:p w:rsidR="007912D1" w:rsidRPr="0013311B" w:rsidRDefault="007912D1" w:rsidP="00FF2806">
      <w:pPr>
        <w:pStyle w:val="Tablenotes"/>
        <w:rPr>
          <w:color w:val="000000" w:themeColor="text1"/>
        </w:rPr>
      </w:pPr>
    </w:p>
    <w:p w:rsidR="000C1256" w:rsidRPr="00F12AB8" w:rsidRDefault="000C1256" w:rsidP="0003260E">
      <w:pPr>
        <w:pStyle w:val="Heading2"/>
        <w:spacing w:before="120"/>
        <w:ind w:left="1094" w:hanging="547"/>
      </w:pPr>
      <w:bookmarkStart w:id="62" w:name="_Toc251941754"/>
      <w:bookmarkStart w:id="63" w:name="_Toc251941845"/>
      <w:bookmarkStart w:id="64" w:name="_Toc251949052"/>
      <w:bookmarkStart w:id="65" w:name="_Toc255888264"/>
      <w:bookmarkStart w:id="66" w:name="_Toc380505268"/>
      <w:bookmarkStart w:id="67" w:name="_Toc383113376"/>
      <w:bookmarkStart w:id="68" w:name="_Toc477621563"/>
      <w:bookmarkEnd w:id="62"/>
      <w:bookmarkEnd w:id="63"/>
      <w:bookmarkEnd w:id="64"/>
      <w:r w:rsidRPr="00F12AB8">
        <w:t>Estimates of Cost</w:t>
      </w:r>
      <w:bookmarkEnd w:id="65"/>
      <w:bookmarkEnd w:id="66"/>
      <w:bookmarkEnd w:id="67"/>
      <w:bookmarkEnd w:id="68"/>
    </w:p>
    <w:p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rsidR="000C1256" w:rsidRPr="00B7083D" w:rsidRDefault="000C1256" w:rsidP="0003260E">
      <w:pPr>
        <w:pStyle w:val="Heading2"/>
        <w:spacing w:before="120"/>
        <w:ind w:left="1094" w:hanging="547"/>
      </w:pPr>
      <w:bookmarkStart w:id="69" w:name="_Toc255888265"/>
      <w:bookmarkStart w:id="70" w:name="_Toc380505269"/>
      <w:bookmarkStart w:id="71" w:name="_Toc383113377"/>
      <w:bookmarkStart w:id="72" w:name="_Toc477621564"/>
      <w:r w:rsidRPr="00B7083D">
        <w:t>Cost</w:t>
      </w:r>
      <w:r w:rsidR="0051174A">
        <w:t>s</w:t>
      </w:r>
      <w:r w:rsidRPr="00B7083D">
        <w:t xml:space="preserve"> to Federal Government</w:t>
      </w:r>
      <w:bookmarkEnd w:id="69"/>
      <w:bookmarkEnd w:id="70"/>
      <w:bookmarkEnd w:id="71"/>
      <w:bookmarkEnd w:id="72"/>
    </w:p>
    <w:p w:rsidR="009920C6" w:rsidRDefault="000C1256" w:rsidP="00EC43B0">
      <w:pPr>
        <w:pStyle w:val="BodyText"/>
        <w:widowControl w:val="0"/>
        <w:ind w:firstLine="0"/>
      </w:pPr>
      <w:r w:rsidRPr="00F12AB8">
        <w:t xml:space="preserve">A summary of estimated costs to the federal government for </w:t>
      </w:r>
      <w:r w:rsidR="002630E7">
        <w:t>B&amp;B</w:t>
      </w:r>
      <w:proofErr w:type="gramStart"/>
      <w:r w:rsidR="002630E7">
        <w:t>:16</w:t>
      </w:r>
      <w:proofErr w:type="gramEnd"/>
      <w:r w:rsidR="002630E7">
        <w:t>/17</w:t>
      </w:r>
      <w:r w:rsidR="0003260E">
        <w:t xml:space="preserve"> are</w:t>
      </w:r>
      <w:r w:rsidRPr="00F12AB8">
        <w:t xml:space="preserve"> shown in table </w:t>
      </w:r>
      <w:r w:rsidR="0021087B">
        <w:t>4</w:t>
      </w:r>
      <w:r w:rsidRPr="00F12AB8">
        <w:t>.</w:t>
      </w:r>
      <w:r w:rsidR="009920C6">
        <w:t xml:space="preserve"> </w:t>
      </w:r>
      <w:r w:rsidR="009920C6" w:rsidRPr="00F12AB8">
        <w:t xml:space="preserve">Included in the </w:t>
      </w:r>
      <w:r w:rsidR="009920C6">
        <w:t xml:space="preserve">cost </w:t>
      </w:r>
      <w:r w:rsidR="009920C6" w:rsidRPr="00F12AB8">
        <w:t>estimates are staff time, reproduction, postage, and telephone costs associated with the management, data collection, analysis, and reporting for which clearance is requested</w:t>
      </w:r>
      <w:r w:rsidR="009920C6">
        <w:t xml:space="preserve"> (costs shown are for the entire field test and </w:t>
      </w:r>
      <w:r w:rsidR="00FC53D8">
        <w:t>main study</w:t>
      </w:r>
      <w:r w:rsidR="009920C6">
        <w:t xml:space="preserv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rsidR="00060503" w:rsidRPr="00F12AB8" w:rsidRDefault="00FF2806" w:rsidP="00EA25E1">
      <w:pPr>
        <w:pStyle w:val="TableTitle"/>
        <w:spacing w:before="0"/>
      </w:pPr>
      <w:bookmarkStart w:id="73" w:name="_Toc474244122"/>
      <w:proofErr w:type="gramStart"/>
      <w:r>
        <w:t>Table 4</w:t>
      </w:r>
      <w:r w:rsidR="00060503">
        <w:t>.</w:t>
      </w:r>
      <w:proofErr w:type="gramEnd"/>
      <w:r w:rsidR="005F3E77">
        <w:t xml:space="preserve"> </w:t>
      </w:r>
      <w:r w:rsidR="009920C6">
        <w:t>C</w:t>
      </w:r>
      <w:r w:rsidR="00060503" w:rsidRPr="00F12AB8">
        <w:t xml:space="preserve">osts to </w:t>
      </w:r>
      <w:r w:rsidR="00060503">
        <w:t>N</w:t>
      </w:r>
      <w:r w:rsidR="00060503" w:rsidRPr="00F12AB8">
        <w:t xml:space="preserve">CES for the </w:t>
      </w:r>
      <w:r w:rsidR="002630E7">
        <w:t>B&amp;B</w:t>
      </w:r>
      <w:proofErr w:type="gramStart"/>
      <w:r w:rsidR="002630E7">
        <w:t>:16</w:t>
      </w:r>
      <w:proofErr w:type="gramEnd"/>
      <w:r w:rsidR="002630E7">
        <w:t>/17</w:t>
      </w:r>
      <w:r w:rsidR="00060503" w:rsidRPr="00F12AB8">
        <w:t xml:space="preserve"> field test and </w:t>
      </w:r>
      <w:r w:rsidR="00FC53D8">
        <w:t>main study</w:t>
      </w:r>
      <w:bookmarkEnd w:id="73"/>
      <w:r w:rsidR="00D14345">
        <w:t xml:space="preserve"> </w:t>
      </w:r>
    </w:p>
    <w:tbl>
      <w:tblPr>
        <w:tblStyle w:val="TableGrid"/>
        <w:tblW w:w="4991" w:type="pct"/>
        <w:tblLook w:val="0620" w:firstRow="1" w:lastRow="0" w:firstColumn="0" w:lastColumn="0" w:noHBand="1" w:noVBand="1"/>
      </w:tblPr>
      <w:tblGrid>
        <w:gridCol w:w="5364"/>
        <w:gridCol w:w="5345"/>
      </w:tblGrid>
      <w:tr w:rsidR="00060503" w:rsidRPr="00493467" w:rsidTr="00EA25E1">
        <w:trPr>
          <w:cnfStyle w:val="100000000000" w:firstRow="1" w:lastRow="0" w:firstColumn="0" w:lastColumn="0" w:oddVBand="0" w:evenVBand="0" w:oddHBand="0" w:evenHBand="0" w:firstRowFirstColumn="0" w:firstRowLastColumn="0" w:lastRowFirstColumn="0" w:lastRowLastColumn="0"/>
        </w:trPr>
        <w:tc>
          <w:tcPr>
            <w:tcW w:w="5220" w:type="dxa"/>
          </w:tcPr>
          <w:p w:rsidR="00060503" w:rsidRPr="00493467" w:rsidRDefault="002630E7" w:rsidP="00CF7CA4">
            <w:pPr>
              <w:pStyle w:val="Tableheading"/>
              <w:keepNext/>
              <w:spacing w:before="0" w:after="0"/>
              <w:jc w:val="left"/>
              <w:rPr>
                <w:szCs w:val="18"/>
              </w:rPr>
            </w:pPr>
            <w:r>
              <w:rPr>
                <w:szCs w:val="18"/>
              </w:rPr>
              <w:t>B&amp;B:16/17</w:t>
            </w:r>
            <w:r w:rsidR="00060503" w:rsidRPr="00493467">
              <w:rPr>
                <w:szCs w:val="18"/>
              </w:rPr>
              <w:t xml:space="preserve"> implementations</w:t>
            </w:r>
          </w:p>
        </w:tc>
        <w:tc>
          <w:tcPr>
            <w:tcW w:w="5201" w:type="dxa"/>
          </w:tcPr>
          <w:p w:rsidR="00060503" w:rsidRPr="00493467" w:rsidRDefault="00060503" w:rsidP="00CF7CA4">
            <w:pPr>
              <w:pStyle w:val="Tableheading"/>
              <w:keepNext/>
              <w:spacing w:before="0" w:after="0"/>
              <w:rPr>
                <w:szCs w:val="18"/>
              </w:rPr>
            </w:pPr>
            <w:r w:rsidRPr="00493467">
              <w:rPr>
                <w:szCs w:val="18"/>
              </w:rPr>
              <w:t>Costs to NCES</w:t>
            </w: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Field test</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2630E7" w:rsidP="00B7083D">
            <w:pPr>
              <w:pStyle w:val="Tablebody"/>
              <w:spacing w:before="0" w:after="0"/>
              <w:jc w:val="right"/>
              <w:rPr>
                <w:szCs w:val="18"/>
              </w:rPr>
            </w:pPr>
            <w:r>
              <w:rPr>
                <w:rFonts w:cs="Arial"/>
                <w:szCs w:val="18"/>
              </w:rPr>
              <w:t>$</w:t>
            </w:r>
            <w:r w:rsidR="00B7083D">
              <w:rPr>
                <w:rFonts w:cs="Arial"/>
                <w:szCs w:val="18"/>
              </w:rPr>
              <w:t>110,000</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CF7CA4">
            <w:pPr>
              <w:pStyle w:val="Tablebody"/>
              <w:spacing w:before="0" w:after="0"/>
              <w:jc w:val="right"/>
              <w:rPr>
                <w:szCs w:val="18"/>
              </w:rPr>
            </w:pPr>
            <w:r>
              <w:rPr>
                <w:szCs w:val="18"/>
              </w:rPr>
              <w:t>$2,612,513</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493467" w:rsidRDefault="00BF3F79" w:rsidP="00CF7CA4">
            <w:pPr>
              <w:pStyle w:val="Tablebody"/>
              <w:spacing w:before="0" w:after="0"/>
              <w:jc w:val="right"/>
              <w:rPr>
                <w:szCs w:val="18"/>
              </w:rPr>
            </w:pPr>
            <w:r>
              <w:rPr>
                <w:rFonts w:cs="Arial"/>
                <w:szCs w:val="18"/>
              </w:rPr>
              <w:t>$2,722,513</w:t>
            </w:r>
            <w:r w:rsidR="00060503" w:rsidRPr="00493467">
              <w:rPr>
                <w:rFonts w:cs="Arial"/>
                <w:szCs w:val="18"/>
              </w:rPr>
              <w:t xml:space="preserve"> </w:t>
            </w:r>
          </w:p>
        </w:tc>
      </w:tr>
      <w:tr w:rsidR="00060503" w:rsidRPr="00493467" w:rsidTr="00EA25E1">
        <w:trPr>
          <w:trHeight w:hRule="exact" w:val="43"/>
        </w:trPr>
        <w:tc>
          <w:tcPr>
            <w:tcW w:w="5220" w:type="dxa"/>
          </w:tcPr>
          <w:p w:rsidR="00060503" w:rsidRPr="00493467" w:rsidRDefault="00060503" w:rsidP="00CF7CA4">
            <w:pPr>
              <w:pStyle w:val="Tabletext"/>
              <w:keepNext/>
              <w:spacing w:before="0" w:after="0"/>
              <w:rPr>
                <w:szCs w:val="18"/>
              </w:rPr>
            </w:pP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9920C6" w:rsidRDefault="00FC53D8" w:rsidP="00CF7CA4">
            <w:pPr>
              <w:pStyle w:val="Tabletext"/>
              <w:keepNext/>
              <w:spacing w:before="0" w:after="0"/>
              <w:rPr>
                <w:b/>
                <w:szCs w:val="18"/>
              </w:rPr>
            </w:pPr>
            <w:r>
              <w:rPr>
                <w:b/>
                <w:szCs w:val="18"/>
              </w:rPr>
              <w:t>Main</w:t>
            </w:r>
            <w:r w:rsidR="00060503" w:rsidRPr="009920C6">
              <w:rPr>
                <w:b/>
                <w:szCs w:val="18"/>
              </w:rPr>
              <w:t xml:space="preserve"> study</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B7083D" w:rsidP="00CF7CA4">
            <w:pPr>
              <w:pStyle w:val="Tablebody"/>
              <w:spacing w:before="0" w:after="0"/>
              <w:jc w:val="right"/>
              <w:rPr>
                <w:szCs w:val="18"/>
              </w:rPr>
            </w:pPr>
            <w:r>
              <w:rPr>
                <w:rFonts w:cs="Arial"/>
                <w:szCs w:val="18"/>
              </w:rPr>
              <w:t>$330,000</w:t>
            </w:r>
            <w:r w:rsidR="00D14345">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CF7CA4">
            <w:pPr>
              <w:pStyle w:val="Tablebody"/>
              <w:spacing w:before="0" w:after="0"/>
              <w:jc w:val="right"/>
              <w:rPr>
                <w:szCs w:val="18"/>
              </w:rPr>
            </w:pPr>
            <w:r>
              <w:rPr>
                <w:rFonts w:cs="Arial"/>
                <w:szCs w:val="18"/>
              </w:rPr>
              <w:t>$5,098,245</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F70316" w:rsidRDefault="00BF3F79" w:rsidP="00BF3F79">
            <w:pPr>
              <w:jc w:val="right"/>
              <w:rPr>
                <w:rFonts w:ascii="Arial" w:hAnsi="Arial" w:cs="Arial"/>
                <w:color w:val="000000"/>
                <w:sz w:val="18"/>
                <w:szCs w:val="18"/>
              </w:rPr>
            </w:pPr>
            <w:r w:rsidRPr="00F70316">
              <w:rPr>
                <w:rFonts w:ascii="Arial" w:hAnsi="Arial" w:cs="Arial"/>
                <w:color w:val="000000"/>
                <w:sz w:val="18"/>
                <w:szCs w:val="18"/>
              </w:rPr>
              <w:t>$5,428,245</w:t>
            </w:r>
            <w:r w:rsidR="00060503" w:rsidRPr="00F70316">
              <w:rPr>
                <w:rFonts w:ascii="Arial" w:hAnsi="Arial" w:cs="Arial"/>
                <w:sz w:val="18"/>
                <w:szCs w:val="18"/>
              </w:rPr>
              <w:t xml:space="preserve"> </w:t>
            </w:r>
          </w:p>
        </w:tc>
      </w:tr>
    </w:tbl>
    <w:p w:rsidR="00060503" w:rsidRDefault="00060503" w:rsidP="00C1305E">
      <w:pPr>
        <w:pStyle w:val="Tablenotes"/>
        <w:spacing w:after="120"/>
        <w:rPr>
          <w:sz w:val="15"/>
          <w:szCs w:val="15"/>
        </w:rPr>
      </w:pPr>
      <w:r w:rsidRPr="00580990">
        <w:rPr>
          <w:sz w:val="15"/>
          <w:szCs w:val="15"/>
        </w:rPr>
        <w:t>NOTE: Costs presented here do not include base fee.</w:t>
      </w:r>
    </w:p>
    <w:p w:rsidR="009920C6" w:rsidRPr="005448CA" w:rsidRDefault="009920C6" w:rsidP="009920C6">
      <w:pPr>
        <w:pStyle w:val="TableTitle"/>
        <w:rPr>
          <w:rFonts w:eastAsia="MS Mincho"/>
        </w:rPr>
      </w:pPr>
      <w:bookmarkStart w:id="74" w:name="_Toc474244123"/>
      <w:proofErr w:type="gramStart"/>
      <w:r w:rsidRPr="005448CA">
        <w:rPr>
          <w:rFonts w:eastAsia="MS Mincho"/>
        </w:rPr>
        <w:t>Table 5.</w:t>
      </w:r>
      <w:proofErr w:type="gramEnd"/>
      <w:r w:rsidRPr="005448CA">
        <w:rPr>
          <w:rFonts w:eastAsia="MS Mincho"/>
        </w:rPr>
        <w:t xml:space="preserve"> Contract costs for B&amp;B</w:t>
      </w:r>
      <w:proofErr w:type="gramStart"/>
      <w:r w:rsidRPr="005448CA">
        <w:rPr>
          <w:rFonts w:eastAsia="MS Mincho"/>
        </w:rPr>
        <w:t>:16</w:t>
      </w:r>
      <w:proofErr w:type="gramEnd"/>
      <w:r w:rsidRPr="005448CA">
        <w:rPr>
          <w:rFonts w:eastAsia="MS Mincho"/>
        </w:rPr>
        <w:t>/17</w:t>
      </w:r>
      <w:bookmarkEnd w:id="74"/>
      <w:r w:rsidRPr="005448CA">
        <w:rPr>
          <w:rFonts w:eastAsia="MS Mincho"/>
        </w:rPr>
        <w:t xml:space="preserve"> </w:t>
      </w:r>
    </w:p>
    <w:tbl>
      <w:tblPr>
        <w:tblStyle w:val="TableGrid3"/>
        <w:tblW w:w="5000" w:type="pct"/>
        <w:tblLook w:val="04A0" w:firstRow="1" w:lastRow="0" w:firstColumn="1" w:lastColumn="0" w:noHBand="0" w:noVBand="1"/>
      </w:tblPr>
      <w:tblGrid>
        <w:gridCol w:w="1023"/>
        <w:gridCol w:w="7132"/>
        <w:gridCol w:w="2573"/>
      </w:tblGrid>
      <w:tr w:rsidR="002D085C" w:rsidRPr="005448CA" w:rsidTr="002D085C">
        <w:trPr>
          <w:cantSplit/>
          <w:tblHeader/>
        </w:trPr>
        <w:tc>
          <w:tcPr>
            <w:tcW w:w="7936" w:type="dxa"/>
            <w:gridSpan w:val="2"/>
          </w:tcPr>
          <w:p w:rsidR="002D085C" w:rsidRPr="00266BF4" w:rsidRDefault="002D085C" w:rsidP="00262AD7">
            <w:pPr>
              <w:rPr>
                <w:rFonts w:ascii="Arial" w:eastAsia="Calibri" w:hAnsi="Arial" w:cs="Arial"/>
                <w:b/>
                <w:bCs/>
                <w:sz w:val="18"/>
                <w:szCs w:val="18"/>
              </w:rPr>
            </w:pPr>
            <w:r w:rsidRPr="00266BF4">
              <w:rPr>
                <w:rFonts w:ascii="Arial" w:eastAsia="Calibri" w:hAnsi="Arial" w:cs="Arial"/>
                <w:b/>
                <w:bCs/>
                <w:sz w:val="18"/>
                <w:szCs w:val="18"/>
              </w:rPr>
              <w:t>Study area and task</w:t>
            </w:r>
          </w:p>
        </w:tc>
        <w:tc>
          <w:tcPr>
            <w:tcW w:w="2504" w:type="dxa"/>
          </w:tcPr>
          <w:p w:rsidR="002D085C" w:rsidRPr="00266BF4" w:rsidRDefault="002D085C" w:rsidP="00262AD7">
            <w:pPr>
              <w:rPr>
                <w:rFonts w:ascii="Arial" w:eastAsia="Calibri" w:hAnsi="Arial" w:cs="Arial"/>
                <w:b/>
                <w:bCs/>
                <w:sz w:val="18"/>
                <w:szCs w:val="18"/>
              </w:rPr>
            </w:pPr>
            <w:r w:rsidRPr="00266BF4">
              <w:rPr>
                <w:rFonts w:ascii="Arial" w:eastAsia="Calibri" w:hAnsi="Arial" w:cs="Arial"/>
                <w:b/>
                <w:bCs/>
                <w:sz w:val="18"/>
                <w:szCs w:val="18"/>
              </w:rPr>
              <w:t>Budgeted amount</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110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Initial meeting</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 xml:space="preserve">$18,094 </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120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Schedules</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21,862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130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Project management</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179,606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140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Study monitoring plan</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281,336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150</w:t>
            </w:r>
          </w:p>
        </w:tc>
        <w:tc>
          <w:tcPr>
            <w:tcW w:w="6941" w:type="dxa"/>
          </w:tcPr>
          <w:p w:rsidR="002D085C" w:rsidRPr="00266BF4" w:rsidRDefault="002D085C" w:rsidP="008751E4">
            <w:pPr>
              <w:widowControl w:val="0"/>
              <w:ind w:left="317" w:hanging="317"/>
              <w:rPr>
                <w:rFonts w:ascii="Arial" w:eastAsia="Calibri" w:hAnsi="Arial" w:cs="Arial"/>
                <w:sz w:val="18"/>
                <w:szCs w:val="18"/>
              </w:rPr>
            </w:pPr>
            <w:r w:rsidRPr="00266BF4">
              <w:rPr>
                <w:rFonts w:ascii="Arial" w:eastAsia="Calibri" w:hAnsi="Arial" w:cs="Arial"/>
                <w:sz w:val="18"/>
                <w:szCs w:val="18"/>
              </w:rPr>
              <w:t>Technical review panels (TRPs)</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385,131</w:t>
            </w:r>
          </w:p>
        </w:tc>
      </w:tr>
      <w:tr w:rsidR="002D085C" w:rsidRPr="000231EE" w:rsidTr="002D085C">
        <w:trPr>
          <w:cantSplit/>
          <w:trHeight w:val="251"/>
        </w:trPr>
        <w:tc>
          <w:tcPr>
            <w:tcW w:w="10440" w:type="dxa"/>
            <w:gridSpan w:val="3"/>
          </w:tcPr>
          <w:p w:rsidR="002D085C" w:rsidRPr="00266BF4" w:rsidRDefault="002D085C" w:rsidP="00262AD7">
            <w:pPr>
              <w:widowControl w:val="0"/>
              <w:ind w:left="317" w:hanging="317"/>
              <w:rPr>
                <w:rFonts w:ascii="Arial" w:eastAsia="Calibri" w:hAnsi="Arial" w:cs="Arial"/>
                <w:b/>
                <w:bCs/>
                <w:sz w:val="18"/>
                <w:szCs w:val="18"/>
              </w:rPr>
            </w:pPr>
            <w:r w:rsidRPr="00266BF4">
              <w:rPr>
                <w:rFonts w:ascii="Arial" w:eastAsia="Calibri" w:hAnsi="Arial" w:cs="Arial"/>
                <w:b/>
                <w:bCs/>
                <w:sz w:val="18"/>
                <w:szCs w:val="18"/>
              </w:rPr>
              <w:t>Field test data collection</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310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Sampling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58,708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OMB forms clearance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47,151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321</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Instrument development</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765,018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Training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168,166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Tracing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42,738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Student data collection</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439,418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Student data processing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288,961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333</w:t>
            </w:r>
          </w:p>
        </w:tc>
        <w:tc>
          <w:tcPr>
            <w:tcW w:w="6941" w:type="dxa"/>
          </w:tcPr>
          <w:p w:rsidR="002D085C" w:rsidRPr="00266BF4" w:rsidRDefault="002D085C" w:rsidP="00262AD7">
            <w:pPr>
              <w:widowControl w:val="0"/>
              <w:rPr>
                <w:rFonts w:ascii="Arial" w:eastAsia="Calibri" w:hAnsi="Arial" w:cs="Arial"/>
                <w:sz w:val="18"/>
                <w:szCs w:val="18"/>
              </w:rPr>
            </w:pPr>
            <w:r w:rsidRPr="00266BF4">
              <w:rPr>
                <w:rFonts w:ascii="Arial" w:eastAsia="Calibri" w:hAnsi="Arial" w:cs="Arial"/>
                <w:sz w:val="18"/>
                <w:szCs w:val="18"/>
              </w:rPr>
              <w:t>NSLDS file merge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9,428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Other systems file merge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73,404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Develop data collection materials</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106,938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340</w:t>
            </w:r>
          </w:p>
        </w:tc>
        <w:tc>
          <w:tcPr>
            <w:tcW w:w="6941" w:type="dxa"/>
          </w:tcPr>
          <w:p w:rsidR="002D085C" w:rsidRPr="00266BF4" w:rsidRDefault="002D085C" w:rsidP="008751E4">
            <w:pPr>
              <w:widowControl w:val="0"/>
              <w:ind w:left="317" w:hanging="317"/>
              <w:rPr>
                <w:rFonts w:ascii="Arial" w:eastAsia="Calibri" w:hAnsi="Arial" w:cs="Arial"/>
                <w:sz w:val="18"/>
                <w:szCs w:val="18"/>
              </w:rPr>
            </w:pPr>
            <w:r w:rsidRPr="00266BF4">
              <w:rPr>
                <w:rFonts w:ascii="Arial" w:eastAsia="Calibri" w:hAnsi="Arial" w:cs="Arial"/>
                <w:sz w:val="18"/>
                <w:szCs w:val="18"/>
              </w:rPr>
              <w:t>Methodology memorandum</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159,190</w:t>
            </w:r>
          </w:p>
        </w:tc>
      </w:tr>
      <w:tr w:rsidR="002D085C" w:rsidRPr="000231EE" w:rsidTr="002D085C">
        <w:trPr>
          <w:cantSplit/>
        </w:trPr>
        <w:tc>
          <w:tcPr>
            <w:tcW w:w="10440" w:type="dxa"/>
            <w:gridSpan w:val="3"/>
          </w:tcPr>
          <w:p w:rsidR="002D085C" w:rsidRPr="00266BF4" w:rsidRDefault="00FC53D8" w:rsidP="00266BF4">
            <w:pPr>
              <w:keepNext/>
              <w:widowControl w:val="0"/>
              <w:ind w:left="317" w:hanging="317"/>
              <w:rPr>
                <w:rFonts w:ascii="Arial" w:eastAsia="Calibri" w:hAnsi="Arial" w:cs="Arial"/>
                <w:b/>
                <w:bCs/>
                <w:sz w:val="18"/>
                <w:szCs w:val="18"/>
              </w:rPr>
            </w:pPr>
            <w:r w:rsidRPr="00266BF4">
              <w:rPr>
                <w:rFonts w:ascii="Arial" w:eastAsia="Calibri" w:hAnsi="Arial" w:cs="Arial"/>
                <w:b/>
                <w:bCs/>
                <w:sz w:val="18"/>
                <w:szCs w:val="18"/>
              </w:rPr>
              <w:lastRenderedPageBreak/>
              <w:t>Main study</w:t>
            </w:r>
            <w:r w:rsidR="002D085C" w:rsidRPr="00266BF4">
              <w:rPr>
                <w:rFonts w:ascii="Arial" w:eastAsia="Calibri" w:hAnsi="Arial" w:cs="Arial"/>
                <w:b/>
                <w:bCs/>
                <w:sz w:val="18"/>
                <w:szCs w:val="18"/>
              </w:rPr>
              <w:t xml:space="preserve"> data collection</w:t>
            </w:r>
          </w:p>
        </w:tc>
      </w:tr>
      <w:tr w:rsidR="002D085C" w:rsidRPr="000231EE" w:rsidTr="002D085C">
        <w:trPr>
          <w:cantSplit/>
        </w:trPr>
        <w:tc>
          <w:tcPr>
            <w:tcW w:w="995" w:type="dxa"/>
          </w:tcPr>
          <w:p w:rsidR="002D085C" w:rsidRPr="00266BF4" w:rsidRDefault="002D085C" w:rsidP="00266BF4">
            <w:pPr>
              <w:keepNext/>
              <w:widowControl w:val="0"/>
              <w:ind w:left="317" w:hanging="317"/>
              <w:rPr>
                <w:rFonts w:ascii="Arial" w:eastAsia="Calibri" w:hAnsi="Arial" w:cs="Arial"/>
                <w:bCs/>
                <w:sz w:val="18"/>
                <w:szCs w:val="18"/>
              </w:rPr>
            </w:pPr>
            <w:r w:rsidRPr="00266BF4">
              <w:rPr>
                <w:rFonts w:ascii="Arial" w:eastAsia="Calibri" w:hAnsi="Arial" w:cs="Arial"/>
                <w:bCs/>
                <w:sz w:val="18"/>
                <w:szCs w:val="18"/>
              </w:rPr>
              <w:t>410</w:t>
            </w:r>
          </w:p>
        </w:tc>
        <w:tc>
          <w:tcPr>
            <w:tcW w:w="6941" w:type="dxa"/>
          </w:tcPr>
          <w:p w:rsidR="002D085C" w:rsidRPr="00266BF4" w:rsidRDefault="002D085C" w:rsidP="00266BF4">
            <w:pPr>
              <w:keepNext/>
              <w:widowControl w:val="0"/>
              <w:ind w:left="317" w:hanging="317"/>
              <w:rPr>
                <w:rFonts w:ascii="Arial" w:eastAsia="Calibri" w:hAnsi="Arial" w:cs="Arial"/>
                <w:bCs/>
                <w:sz w:val="18"/>
                <w:szCs w:val="18"/>
              </w:rPr>
            </w:pPr>
            <w:r w:rsidRPr="00266BF4">
              <w:rPr>
                <w:rFonts w:ascii="Arial" w:eastAsia="Calibri" w:hAnsi="Arial" w:cs="Arial"/>
                <w:bCs/>
                <w:sz w:val="18"/>
                <w:szCs w:val="18"/>
              </w:rPr>
              <w:t>Sampling</w:t>
            </w:r>
          </w:p>
        </w:tc>
        <w:tc>
          <w:tcPr>
            <w:tcW w:w="2504" w:type="dxa"/>
          </w:tcPr>
          <w:p w:rsidR="002D085C" w:rsidRPr="00266BF4" w:rsidRDefault="002D085C" w:rsidP="00266BF4">
            <w:pPr>
              <w:keepNext/>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58,184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420</w:t>
            </w:r>
          </w:p>
        </w:tc>
        <w:tc>
          <w:tcPr>
            <w:tcW w:w="6941"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OMB forms clearance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51,501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421</w:t>
            </w:r>
          </w:p>
        </w:tc>
        <w:tc>
          <w:tcPr>
            <w:tcW w:w="6941"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Instrument development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716,622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Training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185,942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Tracing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139,058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Data collection</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1,376,534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Interview data processing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896,424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NSLDS file merge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23,235</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Other systems file merge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134,197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Develop data collection materials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81,686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436</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Weighting, imputation, and nonresponse bias analysis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217,847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437</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Data disclosure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24,547</w:t>
            </w:r>
          </w:p>
        </w:tc>
      </w:tr>
      <w:tr w:rsidR="002D085C" w:rsidRPr="000231EE" w:rsidTr="002D085C">
        <w:trPr>
          <w:cantSplit/>
        </w:trPr>
        <w:tc>
          <w:tcPr>
            <w:tcW w:w="10440" w:type="dxa"/>
            <w:gridSpan w:val="3"/>
          </w:tcPr>
          <w:p w:rsidR="002D085C" w:rsidRPr="00266BF4" w:rsidRDefault="002D085C" w:rsidP="00262AD7">
            <w:pPr>
              <w:widowControl w:val="0"/>
              <w:ind w:left="317" w:hanging="317"/>
              <w:rPr>
                <w:rFonts w:ascii="Arial" w:eastAsia="Calibri" w:hAnsi="Arial" w:cs="Arial"/>
                <w:b/>
                <w:sz w:val="18"/>
                <w:szCs w:val="18"/>
              </w:rPr>
            </w:pPr>
            <w:r w:rsidRPr="00266BF4">
              <w:rPr>
                <w:rFonts w:ascii="Arial" w:eastAsia="Calibri" w:hAnsi="Arial" w:cs="Arial"/>
                <w:b/>
                <w:sz w:val="18"/>
                <w:szCs w:val="18"/>
              </w:rPr>
              <w:t>Reporting</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511</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Report prospectus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54,583</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Draft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253,862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Review-quality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151,932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Public-ready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83,075</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Respond to professional judgment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20,757</w:t>
            </w:r>
          </w:p>
        </w:tc>
      </w:tr>
      <w:tr w:rsidR="002D085C" w:rsidRPr="000231EE" w:rsidTr="002D085C">
        <w:trPr>
          <w:cantSplit/>
        </w:trPr>
        <w:tc>
          <w:tcPr>
            <w:tcW w:w="995" w:type="dxa"/>
          </w:tcPr>
          <w:p w:rsidR="002D085C" w:rsidRPr="00266BF4" w:rsidRDefault="002D085C" w:rsidP="00262AD7">
            <w:pPr>
              <w:widowControl w:val="0"/>
              <w:rPr>
                <w:rFonts w:ascii="Arial" w:eastAsia="Calibri" w:hAnsi="Arial" w:cs="Arial"/>
                <w:sz w:val="18"/>
                <w:szCs w:val="18"/>
              </w:rPr>
            </w:pPr>
            <w:r w:rsidRPr="00266BF4">
              <w:rPr>
                <w:rFonts w:ascii="Arial" w:eastAsia="Calibri" w:hAnsi="Arial" w:cs="Arial"/>
                <w:sz w:val="18"/>
                <w:szCs w:val="18"/>
              </w:rPr>
              <w:t>520</w:t>
            </w:r>
          </w:p>
        </w:tc>
        <w:tc>
          <w:tcPr>
            <w:tcW w:w="6941" w:type="dxa"/>
          </w:tcPr>
          <w:p w:rsidR="002D085C" w:rsidRPr="00266BF4" w:rsidRDefault="002D085C" w:rsidP="00262AD7">
            <w:pPr>
              <w:widowControl w:val="0"/>
              <w:ind w:left="317" w:hanging="317"/>
              <w:rPr>
                <w:rFonts w:ascii="Arial" w:eastAsia="Calibri" w:hAnsi="Arial" w:cs="Arial"/>
                <w:sz w:val="18"/>
                <w:szCs w:val="18"/>
              </w:rPr>
            </w:pPr>
            <w:proofErr w:type="spellStart"/>
            <w:r w:rsidRPr="00266BF4">
              <w:rPr>
                <w:rFonts w:ascii="Arial" w:eastAsia="Calibri" w:hAnsi="Arial" w:cs="Arial"/>
                <w:sz w:val="18"/>
                <w:szCs w:val="18"/>
              </w:rPr>
              <w:t>Datalab</w:t>
            </w:r>
            <w:proofErr w:type="spellEnd"/>
            <w:r w:rsidRPr="00266BF4">
              <w:rPr>
                <w:rFonts w:ascii="Arial" w:eastAsia="Calibri" w:hAnsi="Arial" w:cs="Arial"/>
                <w:sz w:val="18"/>
                <w:szCs w:val="18"/>
              </w:rPr>
              <w:t>/</w:t>
            </w:r>
            <w:proofErr w:type="spellStart"/>
            <w:r w:rsidRPr="00266BF4">
              <w:rPr>
                <w:rFonts w:ascii="Arial" w:eastAsia="Calibri" w:hAnsi="Arial" w:cs="Arial"/>
                <w:sz w:val="18"/>
                <w:szCs w:val="18"/>
              </w:rPr>
              <w:t>WebVTS</w:t>
            </w:r>
            <w:proofErr w:type="spellEnd"/>
            <w:r w:rsidRPr="00266BF4">
              <w:rPr>
                <w:rFonts w:ascii="Arial" w:eastAsia="Calibri" w:hAnsi="Arial" w:cs="Arial"/>
                <w:sz w:val="18"/>
                <w:szCs w:val="18"/>
              </w:rPr>
              <w:t xml:space="preserve"> tools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130,557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530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Restricted-use data files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65,066</w:t>
            </w:r>
          </w:p>
        </w:tc>
      </w:tr>
      <w:tr w:rsidR="002D085C" w:rsidRPr="000231EE" w:rsidTr="002D085C">
        <w:trPr>
          <w:cantSplit/>
        </w:trPr>
        <w:tc>
          <w:tcPr>
            <w:tcW w:w="7936" w:type="dxa"/>
            <w:gridSpan w:val="2"/>
          </w:tcPr>
          <w:p w:rsidR="002D085C" w:rsidRPr="00266BF4" w:rsidRDefault="002D085C" w:rsidP="00262AD7">
            <w:pPr>
              <w:widowControl w:val="0"/>
              <w:ind w:left="317" w:hanging="317"/>
              <w:rPr>
                <w:rFonts w:ascii="Arial" w:eastAsia="Calibri" w:hAnsi="Arial" w:cs="Arial"/>
                <w:b/>
                <w:sz w:val="18"/>
                <w:szCs w:val="18"/>
              </w:rPr>
            </w:pPr>
            <w:r w:rsidRPr="00266BF4">
              <w:rPr>
                <w:rFonts w:ascii="Arial" w:eastAsia="Calibri" w:hAnsi="Arial" w:cs="Arial"/>
                <w:b/>
                <w:sz w:val="18"/>
                <w:szCs w:val="18"/>
              </w:rPr>
              <w:t>Total</w:t>
            </w:r>
          </w:p>
        </w:tc>
        <w:tc>
          <w:tcPr>
            <w:tcW w:w="2504" w:type="dxa"/>
          </w:tcPr>
          <w:p w:rsidR="002D085C" w:rsidRPr="00266BF4" w:rsidRDefault="002D085C" w:rsidP="00262AD7">
            <w:pPr>
              <w:widowControl w:val="0"/>
              <w:jc w:val="right"/>
              <w:rPr>
                <w:rFonts w:ascii="Arial" w:eastAsia="Calibri" w:hAnsi="Arial" w:cs="Arial"/>
                <w:b/>
                <w:bCs/>
                <w:color w:val="000000"/>
                <w:sz w:val="18"/>
                <w:szCs w:val="18"/>
              </w:rPr>
            </w:pPr>
            <w:r w:rsidRPr="00266BF4">
              <w:rPr>
                <w:rFonts w:ascii="Arial" w:eastAsia="Calibri" w:hAnsi="Arial" w:cs="Arial"/>
                <w:b/>
                <w:bCs/>
                <w:color w:val="000000"/>
                <w:sz w:val="18"/>
                <w:szCs w:val="18"/>
              </w:rPr>
              <w:t>$7,710,760</w:t>
            </w:r>
          </w:p>
        </w:tc>
      </w:tr>
    </w:tbl>
    <w:p w:rsidR="009920C6" w:rsidRDefault="009920C6" w:rsidP="00E11398">
      <w:pPr>
        <w:pStyle w:val="Tablenotes"/>
        <w:rPr>
          <w:sz w:val="15"/>
          <w:szCs w:val="15"/>
        </w:rPr>
      </w:pPr>
    </w:p>
    <w:p w:rsidR="00545695" w:rsidRPr="00CE3AA1" w:rsidRDefault="00545695" w:rsidP="00545695">
      <w:pPr>
        <w:pStyle w:val="Heading2"/>
      </w:pPr>
      <w:bookmarkStart w:id="75" w:name="_Toc251941758"/>
      <w:bookmarkStart w:id="76" w:name="_Toc251941849"/>
      <w:bookmarkStart w:id="77" w:name="_Toc251949056"/>
      <w:bookmarkStart w:id="78" w:name="_Toc477621565"/>
      <w:bookmarkEnd w:id="75"/>
      <w:bookmarkEnd w:id="76"/>
      <w:bookmarkEnd w:id="77"/>
      <w:r w:rsidRPr="00CE3AA1">
        <w:t>Reasons for Changes in Response Burden and Costs</w:t>
      </w:r>
      <w:bookmarkEnd w:id="78"/>
    </w:p>
    <w:p w:rsidR="00774E8E" w:rsidRDefault="00E11398" w:rsidP="00714F83">
      <w:pPr>
        <w:pStyle w:val="BodyText"/>
        <w:ind w:firstLine="0"/>
        <w:rPr>
          <w:spacing w:val="-3"/>
          <w:kern w:val="20"/>
        </w:rPr>
      </w:pPr>
      <w:r w:rsidRPr="00E11398">
        <w:rPr>
          <w:spacing w:val="-3"/>
          <w:kern w:val="20"/>
        </w:rPr>
        <w:t>The apparent increase in burden is due to the fact that the previous approval was for the B&amp;B</w:t>
      </w:r>
      <w:proofErr w:type="gramStart"/>
      <w:r w:rsidRPr="00E11398">
        <w:rPr>
          <w:spacing w:val="-3"/>
          <w:kern w:val="20"/>
        </w:rPr>
        <w:t>:16</w:t>
      </w:r>
      <w:proofErr w:type="gramEnd"/>
      <w:r w:rsidRPr="00E11398">
        <w:rPr>
          <w:spacing w:val="-3"/>
          <w:kern w:val="20"/>
        </w:rPr>
        <w:t>/17 field test, while this request is for the B&amp;B:16/17 main study recruitment and data collection</w:t>
      </w:r>
      <w:r>
        <w:rPr>
          <w:spacing w:val="-3"/>
          <w:kern w:val="20"/>
        </w:rPr>
        <w:t xml:space="preserve">, and </w:t>
      </w:r>
      <w:r w:rsidR="00714F83">
        <w:rPr>
          <w:spacing w:val="-3"/>
          <w:kern w:val="20"/>
        </w:rPr>
        <w:t xml:space="preserve">for </w:t>
      </w:r>
      <w:r>
        <w:rPr>
          <w:spacing w:val="-3"/>
          <w:kern w:val="20"/>
        </w:rPr>
        <w:t xml:space="preserve">B&amp;B:16/20 field test </w:t>
      </w:r>
      <w:r w:rsidR="00714F83">
        <w:rPr>
          <w:spacing w:val="-3"/>
          <w:kern w:val="20"/>
        </w:rPr>
        <w:t>pa</w:t>
      </w:r>
      <w:r w:rsidR="005F69A4">
        <w:rPr>
          <w:spacing w:val="-3"/>
          <w:kern w:val="20"/>
        </w:rPr>
        <w:t>nel maintenance</w:t>
      </w:r>
      <w:r w:rsidR="00714F83">
        <w:rPr>
          <w:spacing w:val="-3"/>
          <w:kern w:val="20"/>
        </w:rPr>
        <w:t>.</w:t>
      </w:r>
    </w:p>
    <w:p w:rsidR="00545695" w:rsidRPr="00AC222F" w:rsidRDefault="00545695" w:rsidP="00545695">
      <w:pPr>
        <w:pStyle w:val="Heading2"/>
      </w:pPr>
      <w:bookmarkStart w:id="79" w:name="_Toc477621566"/>
      <w:r w:rsidRPr="00AC222F">
        <w:t>Publication Plans and Time Schedule</w:t>
      </w:r>
      <w:bookmarkEnd w:id="79"/>
    </w:p>
    <w:p w:rsidR="00135CDC" w:rsidRPr="00C003BF" w:rsidRDefault="00384964" w:rsidP="00384964">
      <w:pPr>
        <w:pStyle w:val="BodyText"/>
        <w:ind w:firstLine="0"/>
        <w:rPr>
          <w:spacing w:val="-3"/>
          <w:kern w:val="20"/>
        </w:rPr>
      </w:pPr>
      <w:r w:rsidRPr="00C003BF">
        <w:rPr>
          <w:spacing w:val="-3"/>
          <w:kern w:val="20"/>
        </w:rPr>
        <w:t>The operational schedule for the B&amp;B</w:t>
      </w:r>
      <w:proofErr w:type="gramStart"/>
      <w:r w:rsidRPr="00C003BF">
        <w:rPr>
          <w:spacing w:val="-3"/>
          <w:kern w:val="20"/>
        </w:rPr>
        <w:t>:16</w:t>
      </w:r>
      <w:proofErr w:type="gramEnd"/>
      <w:r w:rsidRPr="00C003BF">
        <w:rPr>
          <w:spacing w:val="-3"/>
          <w:kern w:val="20"/>
        </w:rPr>
        <w:t xml:space="preserve">/17 </w:t>
      </w:r>
      <w:r w:rsidR="00FC53D8">
        <w:rPr>
          <w:spacing w:val="-3"/>
          <w:kern w:val="20"/>
        </w:rPr>
        <w:t>main</w:t>
      </w:r>
      <w:r w:rsidRPr="00C003BF">
        <w:rPr>
          <w:spacing w:val="-3"/>
          <w:kern w:val="20"/>
        </w:rPr>
        <w:t xml:space="preserve"> study is shown in table 6. </w:t>
      </w:r>
      <w:r w:rsidR="00135CDC" w:rsidRPr="00135CDC">
        <w:rPr>
          <w:spacing w:val="-3"/>
          <w:kern w:val="20"/>
        </w:rPr>
        <w:t xml:space="preserve">The contract for </w:t>
      </w:r>
      <w:r w:rsidR="00135CDC" w:rsidRPr="00C003BF">
        <w:rPr>
          <w:spacing w:val="-3"/>
          <w:kern w:val="20"/>
        </w:rPr>
        <w:t>B&amp;B</w:t>
      </w:r>
      <w:proofErr w:type="gramStart"/>
      <w:r w:rsidR="00135CDC" w:rsidRPr="00C003BF">
        <w:rPr>
          <w:spacing w:val="-3"/>
          <w:kern w:val="20"/>
        </w:rPr>
        <w:t>:16</w:t>
      </w:r>
      <w:proofErr w:type="gramEnd"/>
      <w:r w:rsidR="00135CDC" w:rsidRPr="00C003BF">
        <w:rPr>
          <w:spacing w:val="-3"/>
          <w:kern w:val="20"/>
        </w:rPr>
        <w:t xml:space="preserve">/17 </w:t>
      </w:r>
      <w:r w:rsidR="00135CDC" w:rsidRP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00384964" w:rsidRPr="00C003BF" w:rsidRDefault="00384964" w:rsidP="00E11398">
      <w:pPr>
        <w:pStyle w:val="bulletround"/>
        <w:keepLines/>
        <w:numPr>
          <w:ilvl w:val="0"/>
          <w:numId w:val="6"/>
        </w:numPr>
        <w:tabs>
          <w:tab w:val="clear" w:pos="1440"/>
          <w:tab w:val="num" w:pos="630"/>
        </w:tabs>
        <w:spacing w:before="0"/>
        <w:ind w:left="630" w:hanging="270"/>
      </w:pPr>
      <w:r w:rsidRPr="00C003BF">
        <w:t>Descriptive summaries of significant findings for dissemination to a broad audience;</w:t>
      </w:r>
    </w:p>
    <w:p w:rsidR="00384964" w:rsidRPr="00C003BF" w:rsidRDefault="00384964" w:rsidP="00E11398">
      <w:pPr>
        <w:pStyle w:val="bulletround"/>
        <w:keepLines/>
        <w:numPr>
          <w:ilvl w:val="0"/>
          <w:numId w:val="6"/>
        </w:numPr>
        <w:tabs>
          <w:tab w:val="clear" w:pos="1440"/>
          <w:tab w:val="num" w:pos="630"/>
        </w:tabs>
        <w:spacing w:before="0"/>
        <w:ind w:left="630" w:right="-43" w:hanging="270"/>
        <w:rPr>
          <w:spacing w:val="-4"/>
          <w:kern w:val="20"/>
        </w:rPr>
      </w:pPr>
      <w:r w:rsidRPr="00C003BF">
        <w:rPr>
          <w:spacing w:val="-4"/>
          <w:kern w:val="20"/>
        </w:rPr>
        <w:t xml:space="preserve">Detailed data file documentation describing all aspects of the </w:t>
      </w:r>
      <w:r w:rsidR="00FC53D8">
        <w:rPr>
          <w:spacing w:val="-4"/>
          <w:kern w:val="20"/>
        </w:rPr>
        <w:t>main</w:t>
      </w:r>
      <w:r w:rsidRPr="00C003BF">
        <w:rPr>
          <w:spacing w:val="-4"/>
          <w:kern w:val="20"/>
        </w:rPr>
        <w:t xml:space="preserve"> study design and data collection procedures, including an appendix summarizing the methodological findings from the field test;</w:t>
      </w:r>
    </w:p>
    <w:p w:rsidR="00384964" w:rsidRPr="00C003BF" w:rsidRDefault="00384964" w:rsidP="00E11398">
      <w:pPr>
        <w:pStyle w:val="bulletround"/>
        <w:keepLines/>
        <w:numPr>
          <w:ilvl w:val="0"/>
          <w:numId w:val="6"/>
        </w:numPr>
        <w:tabs>
          <w:tab w:val="clear" w:pos="1440"/>
          <w:tab w:val="num" w:pos="630"/>
        </w:tabs>
        <w:spacing w:before="0"/>
        <w:ind w:left="630" w:hanging="270"/>
        <w:rPr>
          <w:spacing w:val="-2"/>
        </w:rPr>
      </w:pPr>
      <w:r w:rsidRPr="00C003BF">
        <w:rPr>
          <w:spacing w:val="-2"/>
        </w:rPr>
        <w:t xml:space="preserve">Complete data files and documentation for research data users in the form of both a restricted-file; </w:t>
      </w:r>
      <w:proofErr w:type="spellStart"/>
      <w:r w:rsidRPr="00C003BF">
        <w:rPr>
          <w:spacing w:val="-2"/>
        </w:rPr>
        <w:t>QuickStats</w:t>
      </w:r>
      <w:proofErr w:type="spellEnd"/>
      <w:r w:rsidRPr="00C003BF">
        <w:rPr>
          <w:spacing w:val="-2"/>
        </w:rPr>
        <w:t xml:space="preserve">, a public-use data analysis system in which users create their own tables and charts using pre-defined categories from a subset of variables; </w:t>
      </w:r>
      <w:r w:rsidRPr="00C003BF">
        <w:rPr>
          <w:color w:val="000000"/>
          <w:spacing w:val="-2"/>
        </w:rPr>
        <w:t xml:space="preserve">and </w:t>
      </w:r>
      <w:proofErr w:type="spellStart"/>
      <w:r w:rsidRPr="00C003BF">
        <w:rPr>
          <w:color w:val="000000"/>
          <w:spacing w:val="-2"/>
        </w:rPr>
        <w:t>PowerStats</w:t>
      </w:r>
      <w:proofErr w:type="spellEnd"/>
      <w:r w:rsidRPr="00C003BF">
        <w:rPr>
          <w:color w:val="000000"/>
          <w:spacing w:val="-2"/>
        </w:rPr>
        <w:t>, which allows users to create their own tables and charts using all of the variables, in addition to conducting regression analysis</w:t>
      </w:r>
      <w:r w:rsidRPr="00C003BF">
        <w:rPr>
          <w:spacing w:val="-2"/>
        </w:rPr>
        <w:t xml:space="preserve">, and is the basis for </w:t>
      </w:r>
      <w:proofErr w:type="spellStart"/>
      <w:r w:rsidRPr="00C003BF">
        <w:rPr>
          <w:spacing w:val="-2"/>
        </w:rPr>
        <w:t>TrendStats</w:t>
      </w:r>
      <w:proofErr w:type="spellEnd"/>
      <w:r w:rsidRPr="00C003BF">
        <w:rPr>
          <w:spacing w:val="-2"/>
        </w:rPr>
        <w:t>, which allows users to analyze data across B&amp;B administrations with optional automatic inflation adjustments for dollar values;</w:t>
      </w:r>
      <w:r w:rsidR="00135CDC">
        <w:rPr>
          <w:spacing w:val="-2"/>
        </w:rPr>
        <w:t xml:space="preserve"> and</w:t>
      </w:r>
    </w:p>
    <w:p w:rsidR="00D14345" w:rsidRDefault="00384964" w:rsidP="00E11398">
      <w:pPr>
        <w:pStyle w:val="bulletround"/>
        <w:keepLines/>
        <w:numPr>
          <w:ilvl w:val="0"/>
          <w:numId w:val="6"/>
        </w:numPr>
        <w:tabs>
          <w:tab w:val="clear" w:pos="1440"/>
          <w:tab w:val="num" w:pos="630"/>
        </w:tabs>
        <w:spacing w:before="0"/>
        <w:ind w:left="630" w:hanging="270"/>
        <w:rPr>
          <w:spacing w:val="-2"/>
        </w:rPr>
      </w:pPr>
      <w:proofErr w:type="gramStart"/>
      <w:r w:rsidRPr="00C003BF">
        <w:rPr>
          <w:spacing w:val="-2"/>
        </w:rPr>
        <w:t>Special tabulations of issues of interest to the higher education community, as determined by NCES.</w:t>
      </w:r>
      <w:proofErr w:type="gramEnd"/>
    </w:p>
    <w:p w:rsidR="00EA25E1" w:rsidRPr="005448CA" w:rsidRDefault="00EA25E1" w:rsidP="00EA25E1">
      <w:pPr>
        <w:pStyle w:val="TableTitle"/>
        <w:rPr>
          <w:rFonts w:eastAsia="MS Mincho"/>
        </w:rPr>
      </w:pPr>
      <w:bookmarkStart w:id="80" w:name="_Toc474244124"/>
      <w:bookmarkStart w:id="81" w:name="_Toc399516874"/>
      <w:bookmarkStart w:id="82" w:name="_Toc399516964"/>
      <w:bookmarkStart w:id="83" w:name="_Toc399517372"/>
      <w:bookmarkStart w:id="84" w:name="_Toc399522413"/>
      <w:proofErr w:type="gramStart"/>
      <w:r w:rsidRPr="005448CA">
        <w:rPr>
          <w:rFonts w:eastAsia="MS Mincho"/>
        </w:rPr>
        <w:t>Table 6.</w:t>
      </w:r>
      <w:proofErr w:type="gramEnd"/>
      <w:r w:rsidRPr="005448CA">
        <w:rPr>
          <w:rFonts w:eastAsia="MS Mincho"/>
        </w:rPr>
        <w:t xml:space="preserve"> Operational schedule for B&amp;B</w:t>
      </w:r>
      <w:proofErr w:type="gramStart"/>
      <w:r w:rsidRPr="005448CA">
        <w:rPr>
          <w:rFonts w:eastAsia="MS Mincho"/>
        </w:rPr>
        <w:t>:16</w:t>
      </w:r>
      <w:proofErr w:type="gramEnd"/>
      <w:r w:rsidRPr="005448CA">
        <w:rPr>
          <w:rFonts w:eastAsia="MS Mincho"/>
        </w:rPr>
        <w:t>/17</w:t>
      </w:r>
      <w:bookmarkEnd w:id="80"/>
      <w:r w:rsidRPr="005448CA">
        <w:rPr>
          <w:rFonts w:eastAsia="MS Mincho"/>
        </w:rPr>
        <w:t xml:space="preserve"> </w:t>
      </w:r>
      <w:bookmarkEnd w:id="81"/>
      <w:bookmarkEnd w:id="82"/>
      <w:bookmarkEnd w:id="83"/>
      <w:bookmarkEnd w:id="84"/>
    </w:p>
    <w:tbl>
      <w:tblPr>
        <w:tblW w:w="5000" w:type="pct"/>
        <w:tblBorders>
          <w:top w:val="single" w:sz="12" w:space="0" w:color="auto"/>
          <w:bottom w:val="single" w:sz="12" w:space="0" w:color="auto"/>
        </w:tblBorders>
        <w:tblLook w:val="01E0" w:firstRow="1" w:lastRow="1" w:firstColumn="1" w:lastColumn="1" w:noHBand="0" w:noVBand="0"/>
      </w:tblPr>
      <w:tblGrid>
        <w:gridCol w:w="6472"/>
        <w:gridCol w:w="2055"/>
        <w:gridCol w:w="2201"/>
      </w:tblGrid>
      <w:tr w:rsidR="00EA25E1" w:rsidRPr="005448CA" w:rsidTr="0038389F">
        <w:trPr>
          <w:cantSplit/>
        </w:trPr>
        <w:tc>
          <w:tcPr>
            <w:tcW w:w="6298"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rPr>
                <w:rFonts w:ascii="Arial" w:hAnsi="Arial" w:cs="Arial"/>
                <w:b/>
                <w:bCs/>
                <w:sz w:val="20"/>
                <w:szCs w:val="16"/>
              </w:rPr>
            </w:pPr>
            <w:r w:rsidRPr="005448CA">
              <w:rPr>
                <w:rFonts w:ascii="Arial" w:hAnsi="Arial" w:cs="Arial"/>
                <w:b/>
                <w:bCs/>
                <w:sz w:val="20"/>
                <w:szCs w:val="16"/>
              </w:rPr>
              <w:t>B&amp;B:16/17 activity</w:t>
            </w:r>
          </w:p>
        </w:tc>
        <w:tc>
          <w:tcPr>
            <w:tcW w:w="2000"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Start date</w:t>
            </w:r>
          </w:p>
        </w:tc>
        <w:tc>
          <w:tcPr>
            <w:tcW w:w="2142"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End date</w:t>
            </w:r>
          </w:p>
        </w:tc>
      </w:tr>
      <w:tr w:rsidR="00EA25E1" w:rsidRPr="005448CA" w:rsidTr="0038389F">
        <w:trPr>
          <w:cantSplit/>
        </w:trPr>
        <w:tc>
          <w:tcPr>
            <w:tcW w:w="6298" w:type="dxa"/>
            <w:vAlign w:val="bottom"/>
          </w:tcPr>
          <w:p w:rsidR="00EA25E1" w:rsidRPr="005448CA" w:rsidRDefault="00FC53D8" w:rsidP="00037DD3">
            <w:pPr>
              <w:keepNext/>
              <w:spacing w:before="60" w:after="20" w:line="180" w:lineRule="atLeast"/>
              <w:ind w:left="317" w:hanging="317"/>
              <w:rPr>
                <w:rFonts w:ascii="Arial" w:hAnsi="Arial" w:cs="Arial"/>
                <w:sz w:val="20"/>
                <w:szCs w:val="16"/>
              </w:rPr>
            </w:pPr>
            <w:r>
              <w:rPr>
                <w:rFonts w:ascii="Arial" w:hAnsi="Arial" w:cs="Arial"/>
                <w:sz w:val="20"/>
                <w:szCs w:val="16"/>
              </w:rPr>
              <w:t>Main</w:t>
            </w:r>
            <w:r w:rsidR="00EA25E1" w:rsidRPr="005448CA">
              <w:rPr>
                <w:rFonts w:ascii="Arial" w:hAnsi="Arial" w:cs="Arial"/>
                <w:sz w:val="20"/>
                <w:szCs w:val="16"/>
              </w:rPr>
              <w:t xml:space="preserve"> study</w:t>
            </w:r>
          </w:p>
        </w:tc>
        <w:tc>
          <w:tcPr>
            <w:tcW w:w="2000" w:type="dxa"/>
            <w:vAlign w:val="bottom"/>
          </w:tcPr>
          <w:p w:rsidR="00EA25E1" w:rsidRPr="005448CA" w:rsidRDefault="00EA25E1" w:rsidP="00037DD3">
            <w:pPr>
              <w:keepNext/>
              <w:spacing w:before="60" w:after="20" w:line="180" w:lineRule="atLeast"/>
              <w:ind w:left="317" w:hanging="317"/>
              <w:jc w:val="right"/>
              <w:rPr>
                <w:rFonts w:ascii="Arial" w:hAnsi="Arial" w:cs="Arial"/>
                <w:sz w:val="20"/>
                <w:szCs w:val="16"/>
              </w:rPr>
            </w:pPr>
          </w:p>
        </w:tc>
        <w:tc>
          <w:tcPr>
            <w:tcW w:w="2142" w:type="dxa"/>
            <w:vAlign w:val="bottom"/>
          </w:tcPr>
          <w:p w:rsidR="00EA25E1" w:rsidRPr="005448CA" w:rsidRDefault="00EA25E1" w:rsidP="00037DD3">
            <w:pPr>
              <w:keepNext/>
              <w:spacing w:before="60" w:after="20" w:line="180" w:lineRule="atLeast"/>
              <w:ind w:left="317" w:hanging="317"/>
              <w:jc w:val="right"/>
              <w:rPr>
                <w:rFonts w:ascii="Arial" w:hAnsi="Arial" w:cs="Arial"/>
                <w:sz w:val="20"/>
                <w:szCs w:val="16"/>
              </w:rPr>
            </w:pP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Select student sample</w:t>
            </w:r>
          </w:p>
        </w:tc>
        <w:tc>
          <w:tcPr>
            <w:tcW w:w="2000"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15, 2016</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April 27, 2017</w:t>
            </w:r>
          </w:p>
        </w:tc>
      </w:tr>
      <w:tr w:rsidR="003A7CEC" w:rsidRPr="005448CA" w:rsidTr="0038389F">
        <w:trPr>
          <w:cantSplit/>
        </w:trPr>
        <w:tc>
          <w:tcPr>
            <w:tcW w:w="6298" w:type="dxa"/>
            <w:vAlign w:val="bottom"/>
          </w:tcPr>
          <w:p w:rsidR="003A7CEC" w:rsidRPr="005448CA" w:rsidRDefault="00BB4267" w:rsidP="00037DD3">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Eligibility screener with address update</w:t>
            </w:r>
          </w:p>
        </w:tc>
        <w:tc>
          <w:tcPr>
            <w:tcW w:w="2000" w:type="dxa"/>
            <w:vAlign w:val="bottom"/>
          </w:tcPr>
          <w:p w:rsidR="003A7CEC" w:rsidRPr="005448CA" w:rsidRDefault="00633CF6"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24</w:t>
            </w:r>
            <w:r w:rsidR="00AA0D16">
              <w:rPr>
                <w:rFonts w:ascii="Arial" w:hAnsi="Arial" w:cs="Arial"/>
                <w:sz w:val="20"/>
                <w:szCs w:val="16"/>
              </w:rPr>
              <w:t>, 2017</w:t>
            </w:r>
          </w:p>
        </w:tc>
        <w:tc>
          <w:tcPr>
            <w:tcW w:w="2142" w:type="dxa"/>
            <w:vAlign w:val="bottom"/>
          </w:tcPr>
          <w:p w:rsidR="003A7CEC" w:rsidRPr="005448CA" w:rsidRDefault="00156AD6" w:rsidP="00633CF6">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August 2</w:t>
            </w:r>
            <w:r w:rsidR="00633CF6">
              <w:rPr>
                <w:rFonts w:ascii="Arial" w:hAnsi="Arial" w:cs="Arial"/>
                <w:sz w:val="20"/>
                <w:szCs w:val="16"/>
              </w:rPr>
              <w:t>8</w:t>
            </w:r>
            <w:r w:rsidR="003A7CEC">
              <w:rPr>
                <w:rFonts w:ascii="Arial" w:hAnsi="Arial" w:cs="Arial"/>
                <w:sz w:val="20"/>
                <w:szCs w:val="16"/>
              </w:rPr>
              <w:t>, 2017</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Self-administered web-based data collection</w:t>
            </w:r>
          </w:p>
        </w:tc>
        <w:tc>
          <w:tcPr>
            <w:tcW w:w="2000" w:type="dxa"/>
            <w:vAlign w:val="bottom"/>
          </w:tcPr>
          <w:p w:rsidR="00EA25E1" w:rsidRPr="005448CA" w:rsidRDefault="00EA25E1" w:rsidP="00633CF6">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 xml:space="preserve">July </w:t>
            </w:r>
            <w:r w:rsidR="00633CF6">
              <w:rPr>
                <w:rFonts w:ascii="Arial" w:hAnsi="Arial" w:cs="Arial"/>
                <w:sz w:val="20"/>
                <w:szCs w:val="16"/>
              </w:rPr>
              <w:t>24</w:t>
            </w:r>
            <w:r w:rsidRPr="005448CA">
              <w:rPr>
                <w:rFonts w:ascii="Arial" w:hAnsi="Arial" w:cs="Arial"/>
                <w:sz w:val="20"/>
                <w:szCs w:val="16"/>
              </w:rPr>
              <w:t>, 2017</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M</w:t>
            </w:r>
            <w:r w:rsidR="00633CF6">
              <w:rPr>
                <w:rFonts w:ascii="Arial" w:hAnsi="Arial" w:cs="Arial"/>
                <w:sz w:val="20"/>
                <w:szCs w:val="16"/>
              </w:rPr>
              <w:t>ar. 23</w:t>
            </w:r>
            <w:r w:rsidRPr="005448CA">
              <w:rPr>
                <w:rFonts w:ascii="Arial" w:hAnsi="Arial" w:cs="Arial"/>
                <w:sz w:val="20"/>
                <w:szCs w:val="16"/>
              </w:rPr>
              <w:t>, 2018</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Conduct telephone interviews of students</w:t>
            </w:r>
          </w:p>
        </w:tc>
        <w:tc>
          <w:tcPr>
            <w:tcW w:w="2000" w:type="dxa"/>
            <w:vAlign w:val="bottom"/>
          </w:tcPr>
          <w:p w:rsidR="00EA25E1" w:rsidRPr="005448CA" w:rsidRDefault="00C33B73" w:rsidP="00633CF6">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 xml:space="preserve">July </w:t>
            </w:r>
            <w:r w:rsidR="00633CF6">
              <w:rPr>
                <w:rFonts w:ascii="Arial" w:hAnsi="Arial" w:cs="Arial"/>
                <w:sz w:val="20"/>
                <w:szCs w:val="16"/>
              </w:rPr>
              <w:t>24</w:t>
            </w:r>
            <w:r w:rsidR="00EA25E1" w:rsidRPr="005448CA">
              <w:rPr>
                <w:rFonts w:ascii="Arial" w:hAnsi="Arial" w:cs="Arial"/>
                <w:sz w:val="20"/>
                <w:szCs w:val="16"/>
              </w:rPr>
              <w:t>, 2017</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M</w:t>
            </w:r>
            <w:r w:rsidR="00633CF6">
              <w:rPr>
                <w:rFonts w:ascii="Arial" w:hAnsi="Arial" w:cs="Arial"/>
                <w:sz w:val="20"/>
                <w:szCs w:val="16"/>
              </w:rPr>
              <w:t>ar. 23</w:t>
            </w:r>
            <w:r w:rsidRPr="005448CA">
              <w:rPr>
                <w:rFonts w:ascii="Arial" w:hAnsi="Arial" w:cs="Arial"/>
                <w:sz w:val="20"/>
                <w:szCs w:val="16"/>
              </w:rPr>
              <w:t>, 2018</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Process data, construct data files</w:t>
            </w:r>
          </w:p>
        </w:tc>
        <w:tc>
          <w:tcPr>
            <w:tcW w:w="2000" w:type="dxa"/>
            <w:vAlign w:val="bottom"/>
          </w:tcPr>
          <w:p w:rsidR="00EA25E1" w:rsidRPr="005448CA" w:rsidRDefault="00EA25E1" w:rsidP="00633CF6">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 xml:space="preserve">July </w:t>
            </w:r>
            <w:r w:rsidR="00633CF6">
              <w:rPr>
                <w:rFonts w:ascii="Arial" w:hAnsi="Arial" w:cs="Arial"/>
                <w:sz w:val="20"/>
                <w:szCs w:val="16"/>
              </w:rPr>
              <w:t>24</w:t>
            </w:r>
            <w:r w:rsidRPr="005448CA">
              <w:rPr>
                <w:rFonts w:ascii="Arial" w:hAnsi="Arial" w:cs="Arial"/>
                <w:sz w:val="20"/>
                <w:szCs w:val="16"/>
              </w:rPr>
              <w:t>, 2017</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S</w:t>
            </w:r>
            <w:r w:rsidR="00633CF6">
              <w:rPr>
                <w:rFonts w:ascii="Arial" w:hAnsi="Arial" w:cs="Arial"/>
                <w:sz w:val="20"/>
                <w:szCs w:val="16"/>
              </w:rPr>
              <w:t>ept. 21</w:t>
            </w:r>
            <w:r w:rsidRPr="005448CA">
              <w:rPr>
                <w:rFonts w:ascii="Arial" w:hAnsi="Arial" w:cs="Arial"/>
                <w:sz w:val="20"/>
                <w:szCs w:val="16"/>
              </w:rPr>
              <w:t>, 2018</w:t>
            </w:r>
          </w:p>
        </w:tc>
      </w:tr>
      <w:tr w:rsidR="00EA25E1" w:rsidRPr="005448CA" w:rsidTr="009F72EA">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Prepare/update reports</w:t>
            </w:r>
          </w:p>
        </w:tc>
        <w:tc>
          <w:tcPr>
            <w:tcW w:w="2000"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Jan. 8, 2018</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 2019</w:t>
            </w:r>
          </w:p>
        </w:tc>
      </w:tr>
      <w:tr w:rsidR="009F72EA" w:rsidRPr="005448CA" w:rsidTr="0038389F">
        <w:trPr>
          <w:cantSplit/>
        </w:trPr>
        <w:tc>
          <w:tcPr>
            <w:tcW w:w="6298" w:type="dxa"/>
            <w:tcBorders>
              <w:bottom w:val="single" w:sz="12" w:space="0" w:color="auto"/>
            </w:tcBorders>
            <w:vAlign w:val="bottom"/>
          </w:tcPr>
          <w:p w:rsidR="009F72EA" w:rsidRPr="005448CA" w:rsidRDefault="009F72EA" w:rsidP="005D7D84">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Panel maintenance for B&amp;B:16/20</w:t>
            </w:r>
            <w:r w:rsidR="005D7D84">
              <w:rPr>
                <w:rFonts w:ascii="Arial" w:hAnsi="Arial" w:cs="Arial"/>
                <w:kern w:val="2"/>
                <w:sz w:val="20"/>
                <w:szCs w:val="16"/>
              </w:rPr>
              <w:t xml:space="preserve"> </w:t>
            </w:r>
            <w:r w:rsidR="00643921">
              <w:rPr>
                <w:rFonts w:ascii="Arial" w:hAnsi="Arial" w:cs="Arial"/>
                <w:kern w:val="2"/>
                <w:sz w:val="20"/>
                <w:szCs w:val="16"/>
              </w:rPr>
              <w:t xml:space="preserve">field test </w:t>
            </w:r>
            <w:r w:rsidR="005D7D84">
              <w:rPr>
                <w:rFonts w:ascii="Arial" w:hAnsi="Arial" w:cs="Arial"/>
                <w:kern w:val="2"/>
                <w:sz w:val="20"/>
                <w:szCs w:val="16"/>
              </w:rPr>
              <w:t>(anticipated)</w:t>
            </w:r>
            <w:r>
              <w:rPr>
                <w:rFonts w:ascii="Arial" w:hAnsi="Arial" w:cs="Arial"/>
                <w:kern w:val="2"/>
                <w:sz w:val="20"/>
                <w:szCs w:val="16"/>
              </w:rPr>
              <w:t xml:space="preserve"> </w:t>
            </w:r>
          </w:p>
        </w:tc>
        <w:tc>
          <w:tcPr>
            <w:tcW w:w="2000" w:type="dxa"/>
            <w:tcBorders>
              <w:bottom w:val="single" w:sz="12" w:space="0" w:color="auto"/>
            </w:tcBorders>
            <w:vAlign w:val="bottom"/>
          </w:tcPr>
          <w:p w:rsidR="009F72EA" w:rsidRPr="005448CA" w:rsidRDefault="005C0543"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Oct. 1, 2018</w:t>
            </w:r>
          </w:p>
        </w:tc>
        <w:tc>
          <w:tcPr>
            <w:tcW w:w="2142" w:type="dxa"/>
            <w:tcBorders>
              <w:bottom w:val="single" w:sz="12" w:space="0" w:color="auto"/>
            </w:tcBorders>
            <w:vAlign w:val="bottom"/>
          </w:tcPr>
          <w:p w:rsidR="009F72EA" w:rsidRPr="005448CA" w:rsidRDefault="00454C2A"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Feb. 1, 2019</w:t>
            </w:r>
          </w:p>
        </w:tc>
      </w:tr>
    </w:tbl>
    <w:p w:rsidR="00EA25E1" w:rsidRPr="005448CA" w:rsidRDefault="00EA25E1" w:rsidP="00EA25E1">
      <w:pPr>
        <w:rPr>
          <w:rFonts w:ascii="Times New Roman" w:hAnsi="Times New Roman"/>
          <w:sz w:val="10"/>
          <w:szCs w:val="24"/>
        </w:rPr>
      </w:pPr>
    </w:p>
    <w:p w:rsidR="00545695" w:rsidRPr="00F12AB8" w:rsidRDefault="00545695" w:rsidP="00545695">
      <w:pPr>
        <w:pStyle w:val="Heading2"/>
      </w:pPr>
      <w:bookmarkStart w:id="85" w:name="_Toc477621567"/>
      <w:r w:rsidRPr="00F12AB8">
        <w:lastRenderedPageBreak/>
        <w:t>Approval to Not Display Expiration Date for OMB Approval</w:t>
      </w:r>
      <w:bookmarkEnd w:id="85"/>
    </w:p>
    <w:p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rsidR="00545695" w:rsidRPr="00F12AB8" w:rsidRDefault="00545695" w:rsidP="00545695">
      <w:pPr>
        <w:pStyle w:val="Heading2"/>
      </w:pPr>
      <w:bookmarkStart w:id="86" w:name="_Toc477621568"/>
      <w:r w:rsidRPr="00F12AB8">
        <w:t>Exceptions to Certification for Paperwork Reduction Act Submissions</w:t>
      </w:r>
      <w:bookmarkEnd w:id="86"/>
    </w:p>
    <w:p w:rsidR="008B68A4" w:rsidRDefault="00545695" w:rsidP="008B68A4">
      <w:pPr>
        <w:pStyle w:val="BodyText"/>
        <w:ind w:firstLine="0"/>
      </w:pPr>
      <w:r w:rsidRPr="00F12AB8">
        <w:t xml:space="preserve">There are no exceptions to the certification statement identified in the Certification for Paperwork Reduction </w:t>
      </w:r>
      <w:r>
        <w:t>Act Submissions of OMB Form 83-I</w:t>
      </w:r>
      <w:r w:rsidRPr="00F12AB8">
        <w:t>.</w:t>
      </w:r>
    </w:p>
    <w:sectPr w:rsidR="008B68A4" w:rsidSect="00EC43B0">
      <w:footerReference w:type="default" r:id="rId12"/>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4D" w:rsidRDefault="00F75F4D">
      <w:r>
        <w:separator/>
      </w:r>
    </w:p>
  </w:endnote>
  <w:endnote w:type="continuationSeparator" w:id="0">
    <w:p w:rsidR="00F75F4D" w:rsidRDefault="00F75F4D">
      <w:r>
        <w:continuationSeparator/>
      </w:r>
    </w:p>
  </w:endnote>
  <w:endnote w:type="continuationNotice" w:id="1">
    <w:p w:rsidR="00F75F4D" w:rsidRDefault="00F75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822031"/>
      <w:docPartObj>
        <w:docPartGallery w:val="Page Numbers (Bottom of Page)"/>
        <w:docPartUnique/>
      </w:docPartObj>
    </w:sdtPr>
    <w:sdtEndPr>
      <w:rPr>
        <w:noProof/>
      </w:rPr>
    </w:sdtEndPr>
    <w:sdtContent>
      <w:p w:rsidR="00B21ADD" w:rsidRDefault="00B21ADD" w:rsidP="00EC43B0">
        <w:pPr>
          <w:pStyle w:val="Footer"/>
        </w:pPr>
        <w:r>
          <w:fldChar w:fldCharType="begin"/>
        </w:r>
        <w:r>
          <w:instrText xml:space="preserve"> PAGE   \* MERGEFORMAT </w:instrText>
        </w:r>
        <w:r>
          <w:fldChar w:fldCharType="separate"/>
        </w:r>
        <w:r w:rsidR="00AA446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4D" w:rsidRDefault="00F75F4D">
      <w:r>
        <w:separator/>
      </w:r>
    </w:p>
  </w:footnote>
  <w:footnote w:type="continuationSeparator" w:id="0">
    <w:p w:rsidR="00F75F4D" w:rsidRDefault="00F75F4D">
      <w:r>
        <w:continuationSeparator/>
      </w:r>
    </w:p>
  </w:footnote>
  <w:footnote w:type="continuationNotice" w:id="1">
    <w:p w:rsidR="00F75F4D" w:rsidRDefault="00F75F4D"/>
  </w:footnote>
  <w:footnote w:id="2">
    <w:p w:rsidR="00B21ADD" w:rsidRPr="00EC43B0" w:rsidRDefault="00B21ADD" w:rsidP="00EC43B0">
      <w:pPr>
        <w:rPr>
          <w:rFonts w:ascii="Calibri" w:hAnsi="Calibri"/>
          <w:sz w:val="20"/>
        </w:rPr>
      </w:pPr>
      <w:r>
        <w:rPr>
          <w:rStyle w:val="FootnoteReference"/>
        </w:rPr>
        <w:footnoteRef/>
      </w:r>
      <w:r>
        <w:t xml:space="preserve"> </w:t>
      </w:r>
      <w:r w:rsidRPr="00DD5576">
        <w:rPr>
          <w:sz w:val="20"/>
        </w:rPr>
        <w:t xml:space="preserve">A sample member </w:t>
      </w:r>
      <w:proofErr w:type="gramStart"/>
      <w:r w:rsidRPr="00DD5576">
        <w:rPr>
          <w:sz w:val="20"/>
        </w:rPr>
        <w:t>is considered</w:t>
      </w:r>
      <w:proofErr w:type="gramEnd"/>
      <w:r w:rsidRPr="00DD5576">
        <w:rPr>
          <w:sz w:val="20"/>
        </w:rPr>
        <w:t xml:space="preserve"> located if he or she meets any of the following criteria: final ineligible; completes the survey or verifies his or her identity via the survey; </w:t>
      </w:r>
      <w:r>
        <w:rPr>
          <w:sz w:val="20"/>
        </w:rPr>
        <w:t xml:space="preserve">is </w:t>
      </w:r>
      <w:r w:rsidRPr="00DD5576">
        <w:rPr>
          <w:sz w:val="20"/>
        </w:rPr>
        <w:t xml:space="preserve">assigned any final status via telephone efforts (e.g., unavailable for duration of study, incarcerated, deceased, etc.); </w:t>
      </w:r>
      <w:r>
        <w:rPr>
          <w:sz w:val="20"/>
        </w:rPr>
        <w:t xml:space="preserve">or is a </w:t>
      </w:r>
      <w:r w:rsidRPr="00DD5576">
        <w:rPr>
          <w:sz w:val="20"/>
        </w:rPr>
        <w:t xml:space="preserve">pending or final refusal. Additionally, if, through telephone efforts, an answering machine confirming the sample member’s name is reached, or a household member of the sample member confirms the contacting information, then the sample member is considered located. When intensive tracing efforts are able to confirm contacting information for a sample member, then the case </w:t>
      </w:r>
      <w:proofErr w:type="gramStart"/>
      <w:r w:rsidRPr="00DD5576">
        <w:rPr>
          <w:sz w:val="20"/>
        </w:rPr>
        <w:t>is also considered</w:t>
      </w:r>
      <w:proofErr w:type="gramEnd"/>
      <w:r w:rsidRPr="00DD5576">
        <w:rPr>
          <w:sz w:val="20"/>
        </w:rPr>
        <w:t xml:space="preserve"> located.</w:t>
      </w:r>
    </w:p>
  </w:footnote>
  <w:footnote w:id="3">
    <w:p w:rsidR="00B21ADD" w:rsidRDefault="00B21ADD">
      <w:pPr>
        <w:pStyle w:val="FootnoteText"/>
      </w:pPr>
      <w:r>
        <w:rPr>
          <w:rStyle w:val="FootnoteReference"/>
        </w:rPr>
        <w:footnoteRef/>
      </w:r>
      <w:r>
        <w:t xml:space="preserve"> NPSAS</w:t>
      </w:r>
      <w:proofErr w:type="gramStart"/>
      <w:r>
        <w:t>:16</w:t>
      </w:r>
      <w:proofErr w:type="gramEnd"/>
      <w:r>
        <w:t xml:space="preserve"> non-study members who are determined ineligible during the screening process will be excluded from the B&amp;B:16/17 sample. Because too little information is available for them, those determined eligible will be included in the B&amp;B</w:t>
      </w:r>
      <w:proofErr w:type="gramStart"/>
      <w:r>
        <w:t>:16</w:t>
      </w:r>
      <w:proofErr w:type="gramEnd"/>
      <w:r>
        <w:t>/17 sample, but excluded from the data collection.</w:t>
      </w:r>
    </w:p>
  </w:footnote>
  <w:footnote w:id="4">
    <w:p w:rsidR="00B21ADD" w:rsidRPr="00947033" w:rsidRDefault="00B21ADD" w:rsidP="00947033">
      <w:pPr>
        <w:rPr>
          <w:sz w:val="18"/>
          <w:szCs w:val="18"/>
        </w:rPr>
      </w:pPr>
      <w:r w:rsidRPr="00947033">
        <w:rPr>
          <w:rStyle w:val="FootnoteReference"/>
          <w:rFonts w:ascii="Garamond" w:hAnsi="Garamond"/>
          <w:sz w:val="18"/>
        </w:rPr>
        <w:footnoteRef/>
      </w:r>
      <w:r w:rsidRPr="00947033">
        <w:rPr>
          <w:sz w:val="18"/>
          <w:szCs w:val="18"/>
        </w:rPr>
        <w:t xml:space="preserve"> </w:t>
      </w:r>
      <w:proofErr w:type="gramStart"/>
      <w:r w:rsidRPr="00947033">
        <w:rPr>
          <w:sz w:val="18"/>
          <w:szCs w:val="18"/>
        </w:rPr>
        <w:t xml:space="preserve">The estimated average student hourly rate was obtained by </w:t>
      </w:r>
      <w:r w:rsidR="00266BF4">
        <w:rPr>
          <w:sz w:val="18"/>
          <w:szCs w:val="18"/>
        </w:rPr>
        <w:t>multiplying</w:t>
      </w:r>
      <w:r w:rsidRPr="00947033">
        <w:rPr>
          <w:sz w:val="18"/>
          <w:szCs w:val="18"/>
        </w:rPr>
        <w:t xml:space="preserve"> the average salary of the class of 2015, according to the National Association of Colleges and Employers (</w:t>
      </w:r>
      <w:hyperlink r:id="rId1" w:history="1">
        <w:r w:rsidRPr="00947033">
          <w:rPr>
            <w:sz w:val="18"/>
            <w:szCs w:val="18"/>
          </w:rPr>
          <w:t>http://www.naceweb.org/job-market/compensation/overall-starting-salary-for-class-of-2015-graduates-up-4-3-percent/</w:t>
        </w:r>
      </w:hyperlink>
      <w:r w:rsidR="00266BF4">
        <w:rPr>
          <w:sz w:val="18"/>
          <w:szCs w:val="18"/>
        </w:rPr>
        <w:t>)</w:t>
      </w:r>
      <w:r w:rsidRPr="00947033">
        <w:rPr>
          <w:sz w:val="18"/>
          <w:szCs w:val="18"/>
        </w:rPr>
        <w:t xml:space="preserve"> by an 89% employment rate in 2015 for adults with a bachelor’s degree or higher, aged 20-24 years, from </w:t>
      </w:r>
      <w:r w:rsidRPr="00947033">
        <w:rPr>
          <w:i/>
          <w:iCs/>
          <w:sz w:val="18"/>
          <w:szCs w:val="18"/>
        </w:rPr>
        <w:t>The Condition of Education, 2016</w:t>
      </w:r>
      <w:r w:rsidRPr="00947033">
        <w:rPr>
          <w:sz w:val="18"/>
          <w:szCs w:val="18"/>
        </w:rPr>
        <w:t xml:space="preserve">: </w:t>
      </w:r>
      <w:hyperlink r:id="rId2" w:history="1">
        <w:r w:rsidRPr="00947033">
          <w:rPr>
            <w:sz w:val="18"/>
            <w:szCs w:val="18"/>
          </w:rPr>
          <w:t>https://nces.ed.gov/programs/coe/indicator_cbc.asp</w:t>
        </w:r>
      </w:hyperlink>
      <w:r w:rsidRPr="00947033">
        <w:rPr>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3"/>
  </w:num>
  <w:num w:numId="8">
    <w:abstractNumId w:val="0"/>
  </w:num>
  <w:num w:numId="9">
    <w:abstractNumId w:val="1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1"/>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4E58"/>
    <w:rsid w:val="00015CD5"/>
    <w:rsid w:val="00016217"/>
    <w:rsid w:val="000164D7"/>
    <w:rsid w:val="00021831"/>
    <w:rsid w:val="00021E4C"/>
    <w:rsid w:val="000231EE"/>
    <w:rsid w:val="00027461"/>
    <w:rsid w:val="000278B0"/>
    <w:rsid w:val="0003250A"/>
    <w:rsid w:val="0003260E"/>
    <w:rsid w:val="000333DA"/>
    <w:rsid w:val="00034B40"/>
    <w:rsid w:val="00036511"/>
    <w:rsid w:val="00037DD3"/>
    <w:rsid w:val="00037F2C"/>
    <w:rsid w:val="00040851"/>
    <w:rsid w:val="000411CC"/>
    <w:rsid w:val="00041240"/>
    <w:rsid w:val="00044167"/>
    <w:rsid w:val="00044904"/>
    <w:rsid w:val="00044B51"/>
    <w:rsid w:val="00046A7C"/>
    <w:rsid w:val="00046D25"/>
    <w:rsid w:val="00046FE1"/>
    <w:rsid w:val="00051A47"/>
    <w:rsid w:val="0005221B"/>
    <w:rsid w:val="00053C21"/>
    <w:rsid w:val="0005436E"/>
    <w:rsid w:val="00054868"/>
    <w:rsid w:val="00054E68"/>
    <w:rsid w:val="0005560F"/>
    <w:rsid w:val="000557CD"/>
    <w:rsid w:val="0005697B"/>
    <w:rsid w:val="00060503"/>
    <w:rsid w:val="00060898"/>
    <w:rsid w:val="00061737"/>
    <w:rsid w:val="00062DC3"/>
    <w:rsid w:val="00062EF6"/>
    <w:rsid w:val="000644F2"/>
    <w:rsid w:val="00065490"/>
    <w:rsid w:val="000668B2"/>
    <w:rsid w:val="00066DB4"/>
    <w:rsid w:val="000675AA"/>
    <w:rsid w:val="00070BF7"/>
    <w:rsid w:val="00072666"/>
    <w:rsid w:val="00072AFB"/>
    <w:rsid w:val="00072D1A"/>
    <w:rsid w:val="00072E26"/>
    <w:rsid w:val="00073C6B"/>
    <w:rsid w:val="000775AB"/>
    <w:rsid w:val="0007780A"/>
    <w:rsid w:val="000803F9"/>
    <w:rsid w:val="00080B23"/>
    <w:rsid w:val="00080F70"/>
    <w:rsid w:val="000819BD"/>
    <w:rsid w:val="0008295E"/>
    <w:rsid w:val="00082C42"/>
    <w:rsid w:val="000844A0"/>
    <w:rsid w:val="00085AD0"/>
    <w:rsid w:val="0008668A"/>
    <w:rsid w:val="0009020F"/>
    <w:rsid w:val="000907DE"/>
    <w:rsid w:val="00091671"/>
    <w:rsid w:val="00092AA2"/>
    <w:rsid w:val="00092F8F"/>
    <w:rsid w:val="000936A1"/>
    <w:rsid w:val="00093971"/>
    <w:rsid w:val="00093F25"/>
    <w:rsid w:val="000A250C"/>
    <w:rsid w:val="000A2F88"/>
    <w:rsid w:val="000A3901"/>
    <w:rsid w:val="000A524F"/>
    <w:rsid w:val="000A5792"/>
    <w:rsid w:val="000A5CE0"/>
    <w:rsid w:val="000A73B3"/>
    <w:rsid w:val="000B03CB"/>
    <w:rsid w:val="000B505B"/>
    <w:rsid w:val="000B5864"/>
    <w:rsid w:val="000B6275"/>
    <w:rsid w:val="000B677C"/>
    <w:rsid w:val="000B6E64"/>
    <w:rsid w:val="000B7888"/>
    <w:rsid w:val="000B7AC2"/>
    <w:rsid w:val="000C0281"/>
    <w:rsid w:val="000C1256"/>
    <w:rsid w:val="000C128C"/>
    <w:rsid w:val="000C3189"/>
    <w:rsid w:val="000C341B"/>
    <w:rsid w:val="000C464A"/>
    <w:rsid w:val="000C477F"/>
    <w:rsid w:val="000C63EA"/>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2CAB"/>
    <w:rsid w:val="000F38FB"/>
    <w:rsid w:val="000F3CA1"/>
    <w:rsid w:val="000F7F52"/>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2AD3"/>
    <w:rsid w:val="00152FDD"/>
    <w:rsid w:val="00153442"/>
    <w:rsid w:val="001535E2"/>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1A91"/>
    <w:rsid w:val="001742E9"/>
    <w:rsid w:val="00175323"/>
    <w:rsid w:val="0017533B"/>
    <w:rsid w:val="0017561E"/>
    <w:rsid w:val="0017649E"/>
    <w:rsid w:val="00176538"/>
    <w:rsid w:val="001766E1"/>
    <w:rsid w:val="00176A41"/>
    <w:rsid w:val="001775C0"/>
    <w:rsid w:val="00177C15"/>
    <w:rsid w:val="00177F97"/>
    <w:rsid w:val="0018048C"/>
    <w:rsid w:val="00181EEA"/>
    <w:rsid w:val="00183736"/>
    <w:rsid w:val="00184CFD"/>
    <w:rsid w:val="00184EAB"/>
    <w:rsid w:val="001850A1"/>
    <w:rsid w:val="00187FAD"/>
    <w:rsid w:val="00187FDD"/>
    <w:rsid w:val="001904CA"/>
    <w:rsid w:val="001924FF"/>
    <w:rsid w:val="00193DCC"/>
    <w:rsid w:val="00193DD9"/>
    <w:rsid w:val="00195334"/>
    <w:rsid w:val="00195FE1"/>
    <w:rsid w:val="00197B8E"/>
    <w:rsid w:val="00197CB9"/>
    <w:rsid w:val="001A01D2"/>
    <w:rsid w:val="001A054D"/>
    <w:rsid w:val="001A1405"/>
    <w:rsid w:val="001A3332"/>
    <w:rsid w:val="001A3511"/>
    <w:rsid w:val="001A42B3"/>
    <w:rsid w:val="001A6144"/>
    <w:rsid w:val="001A6277"/>
    <w:rsid w:val="001A65A2"/>
    <w:rsid w:val="001A6C33"/>
    <w:rsid w:val="001A6F28"/>
    <w:rsid w:val="001A736E"/>
    <w:rsid w:val="001A74ED"/>
    <w:rsid w:val="001B1986"/>
    <w:rsid w:val="001B2C31"/>
    <w:rsid w:val="001B337C"/>
    <w:rsid w:val="001B4BAF"/>
    <w:rsid w:val="001B5343"/>
    <w:rsid w:val="001B5431"/>
    <w:rsid w:val="001B5A56"/>
    <w:rsid w:val="001B611A"/>
    <w:rsid w:val="001B74D0"/>
    <w:rsid w:val="001B792F"/>
    <w:rsid w:val="001C14FE"/>
    <w:rsid w:val="001C1F96"/>
    <w:rsid w:val="001C3516"/>
    <w:rsid w:val="001C3BFB"/>
    <w:rsid w:val="001C4CDA"/>
    <w:rsid w:val="001C5C35"/>
    <w:rsid w:val="001C6283"/>
    <w:rsid w:val="001C7770"/>
    <w:rsid w:val="001C7BE3"/>
    <w:rsid w:val="001D0669"/>
    <w:rsid w:val="001D0838"/>
    <w:rsid w:val="001D0896"/>
    <w:rsid w:val="001D3DC6"/>
    <w:rsid w:val="001D4486"/>
    <w:rsid w:val="001D4B0E"/>
    <w:rsid w:val="001D6928"/>
    <w:rsid w:val="001D6CFC"/>
    <w:rsid w:val="001D70EA"/>
    <w:rsid w:val="001D7A8B"/>
    <w:rsid w:val="001D7F5D"/>
    <w:rsid w:val="001D7F88"/>
    <w:rsid w:val="001E0B3D"/>
    <w:rsid w:val="001E1754"/>
    <w:rsid w:val="001E2639"/>
    <w:rsid w:val="001E35E4"/>
    <w:rsid w:val="001E39A7"/>
    <w:rsid w:val="001E3CCA"/>
    <w:rsid w:val="001E4A80"/>
    <w:rsid w:val="001E520C"/>
    <w:rsid w:val="001E7A49"/>
    <w:rsid w:val="001F196C"/>
    <w:rsid w:val="001F277F"/>
    <w:rsid w:val="001F4877"/>
    <w:rsid w:val="001F4CF6"/>
    <w:rsid w:val="001F4E16"/>
    <w:rsid w:val="001F51C6"/>
    <w:rsid w:val="001F5506"/>
    <w:rsid w:val="001F624A"/>
    <w:rsid w:val="002012F3"/>
    <w:rsid w:val="00201C31"/>
    <w:rsid w:val="00201EEE"/>
    <w:rsid w:val="00202AC1"/>
    <w:rsid w:val="0020455C"/>
    <w:rsid w:val="002045D9"/>
    <w:rsid w:val="00206DB2"/>
    <w:rsid w:val="00207311"/>
    <w:rsid w:val="002079FE"/>
    <w:rsid w:val="0021087B"/>
    <w:rsid w:val="002136DD"/>
    <w:rsid w:val="00213858"/>
    <w:rsid w:val="00214B46"/>
    <w:rsid w:val="00214BB6"/>
    <w:rsid w:val="00214F7E"/>
    <w:rsid w:val="00221DEF"/>
    <w:rsid w:val="00223EBC"/>
    <w:rsid w:val="002241E3"/>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4AEE"/>
    <w:rsid w:val="00254CED"/>
    <w:rsid w:val="00255253"/>
    <w:rsid w:val="0025534B"/>
    <w:rsid w:val="00261E20"/>
    <w:rsid w:val="002627E2"/>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8DC"/>
    <w:rsid w:val="00275919"/>
    <w:rsid w:val="002764D4"/>
    <w:rsid w:val="00277039"/>
    <w:rsid w:val="00280124"/>
    <w:rsid w:val="002805B3"/>
    <w:rsid w:val="00282514"/>
    <w:rsid w:val="002834E4"/>
    <w:rsid w:val="00283B46"/>
    <w:rsid w:val="0028476A"/>
    <w:rsid w:val="0028522A"/>
    <w:rsid w:val="00286C3F"/>
    <w:rsid w:val="0029035C"/>
    <w:rsid w:val="00290396"/>
    <w:rsid w:val="00290FA2"/>
    <w:rsid w:val="002919C1"/>
    <w:rsid w:val="00292162"/>
    <w:rsid w:val="0029229C"/>
    <w:rsid w:val="002936F5"/>
    <w:rsid w:val="002963CF"/>
    <w:rsid w:val="00296B80"/>
    <w:rsid w:val="00296F54"/>
    <w:rsid w:val="00297E36"/>
    <w:rsid w:val="002A29DE"/>
    <w:rsid w:val="002A2B44"/>
    <w:rsid w:val="002A6C43"/>
    <w:rsid w:val="002B0272"/>
    <w:rsid w:val="002B0F88"/>
    <w:rsid w:val="002B2827"/>
    <w:rsid w:val="002B377D"/>
    <w:rsid w:val="002B543D"/>
    <w:rsid w:val="002B5DF4"/>
    <w:rsid w:val="002B6121"/>
    <w:rsid w:val="002B6D11"/>
    <w:rsid w:val="002B795B"/>
    <w:rsid w:val="002C0158"/>
    <w:rsid w:val="002C0A0F"/>
    <w:rsid w:val="002C1F7E"/>
    <w:rsid w:val="002C2033"/>
    <w:rsid w:val="002C3915"/>
    <w:rsid w:val="002C4962"/>
    <w:rsid w:val="002C4CA0"/>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C5E"/>
    <w:rsid w:val="0031465E"/>
    <w:rsid w:val="003150F2"/>
    <w:rsid w:val="00315729"/>
    <w:rsid w:val="00315BDB"/>
    <w:rsid w:val="003176BC"/>
    <w:rsid w:val="00317D07"/>
    <w:rsid w:val="003200EE"/>
    <w:rsid w:val="003204B2"/>
    <w:rsid w:val="00320AA8"/>
    <w:rsid w:val="003212F5"/>
    <w:rsid w:val="003218E2"/>
    <w:rsid w:val="00321E4F"/>
    <w:rsid w:val="00322185"/>
    <w:rsid w:val="0032258C"/>
    <w:rsid w:val="00323A50"/>
    <w:rsid w:val="003247F6"/>
    <w:rsid w:val="0032544F"/>
    <w:rsid w:val="00325AE6"/>
    <w:rsid w:val="00327717"/>
    <w:rsid w:val="003301DA"/>
    <w:rsid w:val="003313E2"/>
    <w:rsid w:val="003327EC"/>
    <w:rsid w:val="00332C07"/>
    <w:rsid w:val="00333448"/>
    <w:rsid w:val="0033426E"/>
    <w:rsid w:val="00334BA3"/>
    <w:rsid w:val="00335DA5"/>
    <w:rsid w:val="003371F3"/>
    <w:rsid w:val="00337B17"/>
    <w:rsid w:val="00337CEA"/>
    <w:rsid w:val="00340D19"/>
    <w:rsid w:val="00341B34"/>
    <w:rsid w:val="00342CBB"/>
    <w:rsid w:val="00343C7B"/>
    <w:rsid w:val="00344DF7"/>
    <w:rsid w:val="00345125"/>
    <w:rsid w:val="00346809"/>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73A2"/>
    <w:rsid w:val="0036792C"/>
    <w:rsid w:val="00370E12"/>
    <w:rsid w:val="003712B0"/>
    <w:rsid w:val="003721E4"/>
    <w:rsid w:val="00372576"/>
    <w:rsid w:val="003741A3"/>
    <w:rsid w:val="003762C5"/>
    <w:rsid w:val="003767DE"/>
    <w:rsid w:val="00376C3B"/>
    <w:rsid w:val="0037768A"/>
    <w:rsid w:val="0038211A"/>
    <w:rsid w:val="0038389F"/>
    <w:rsid w:val="00383B17"/>
    <w:rsid w:val="00384964"/>
    <w:rsid w:val="00385D7C"/>
    <w:rsid w:val="00385F2F"/>
    <w:rsid w:val="00386221"/>
    <w:rsid w:val="00386B82"/>
    <w:rsid w:val="00387262"/>
    <w:rsid w:val="00387546"/>
    <w:rsid w:val="003924DC"/>
    <w:rsid w:val="0039385A"/>
    <w:rsid w:val="00394C8C"/>
    <w:rsid w:val="0039579D"/>
    <w:rsid w:val="00395F0D"/>
    <w:rsid w:val="00396375"/>
    <w:rsid w:val="00396F06"/>
    <w:rsid w:val="0039795C"/>
    <w:rsid w:val="003A0A95"/>
    <w:rsid w:val="003A0F8E"/>
    <w:rsid w:val="003A24EE"/>
    <w:rsid w:val="003A35E7"/>
    <w:rsid w:val="003A50DF"/>
    <w:rsid w:val="003A6093"/>
    <w:rsid w:val="003A7CEC"/>
    <w:rsid w:val="003B0207"/>
    <w:rsid w:val="003B0C51"/>
    <w:rsid w:val="003B1B8C"/>
    <w:rsid w:val="003B1D5C"/>
    <w:rsid w:val="003B4512"/>
    <w:rsid w:val="003B459D"/>
    <w:rsid w:val="003B4C17"/>
    <w:rsid w:val="003B794A"/>
    <w:rsid w:val="003B7AAC"/>
    <w:rsid w:val="003C0FCB"/>
    <w:rsid w:val="003C1400"/>
    <w:rsid w:val="003C42F0"/>
    <w:rsid w:val="003C499F"/>
    <w:rsid w:val="003C643C"/>
    <w:rsid w:val="003C6D2B"/>
    <w:rsid w:val="003C7C54"/>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955"/>
    <w:rsid w:val="003E068C"/>
    <w:rsid w:val="003E3004"/>
    <w:rsid w:val="003E3659"/>
    <w:rsid w:val="003E52FC"/>
    <w:rsid w:val="003E58FD"/>
    <w:rsid w:val="003E6A0E"/>
    <w:rsid w:val="003F0391"/>
    <w:rsid w:val="003F0D1A"/>
    <w:rsid w:val="003F1F6C"/>
    <w:rsid w:val="003F23F6"/>
    <w:rsid w:val="003F2EAE"/>
    <w:rsid w:val="003F3DAA"/>
    <w:rsid w:val="003F48E3"/>
    <w:rsid w:val="003F54AB"/>
    <w:rsid w:val="003F753B"/>
    <w:rsid w:val="003F7B81"/>
    <w:rsid w:val="004001D5"/>
    <w:rsid w:val="004004C5"/>
    <w:rsid w:val="00400AB0"/>
    <w:rsid w:val="00401030"/>
    <w:rsid w:val="00402041"/>
    <w:rsid w:val="004027BC"/>
    <w:rsid w:val="00403065"/>
    <w:rsid w:val="004047AD"/>
    <w:rsid w:val="00405AC6"/>
    <w:rsid w:val="00406082"/>
    <w:rsid w:val="004060B6"/>
    <w:rsid w:val="004069B5"/>
    <w:rsid w:val="004075A4"/>
    <w:rsid w:val="00410BDD"/>
    <w:rsid w:val="00410E7A"/>
    <w:rsid w:val="00411AFC"/>
    <w:rsid w:val="004133D4"/>
    <w:rsid w:val="00413E37"/>
    <w:rsid w:val="00413EEF"/>
    <w:rsid w:val="0041493F"/>
    <w:rsid w:val="00415D09"/>
    <w:rsid w:val="0041703F"/>
    <w:rsid w:val="00420432"/>
    <w:rsid w:val="004205D1"/>
    <w:rsid w:val="00420A4A"/>
    <w:rsid w:val="00421684"/>
    <w:rsid w:val="004216F1"/>
    <w:rsid w:val="00421D77"/>
    <w:rsid w:val="004227BC"/>
    <w:rsid w:val="004229D7"/>
    <w:rsid w:val="0042325B"/>
    <w:rsid w:val="00423329"/>
    <w:rsid w:val="00423F1C"/>
    <w:rsid w:val="004272F5"/>
    <w:rsid w:val="00432214"/>
    <w:rsid w:val="00432AFB"/>
    <w:rsid w:val="0043377D"/>
    <w:rsid w:val="00434CCA"/>
    <w:rsid w:val="004360A5"/>
    <w:rsid w:val="004360EC"/>
    <w:rsid w:val="0043671D"/>
    <w:rsid w:val="004401A6"/>
    <w:rsid w:val="004405DF"/>
    <w:rsid w:val="00440D84"/>
    <w:rsid w:val="0044156B"/>
    <w:rsid w:val="00442247"/>
    <w:rsid w:val="004425B7"/>
    <w:rsid w:val="00442849"/>
    <w:rsid w:val="00442DA4"/>
    <w:rsid w:val="00443340"/>
    <w:rsid w:val="00443E73"/>
    <w:rsid w:val="00444155"/>
    <w:rsid w:val="004444C2"/>
    <w:rsid w:val="0044533A"/>
    <w:rsid w:val="0044586A"/>
    <w:rsid w:val="00446BB7"/>
    <w:rsid w:val="004478B3"/>
    <w:rsid w:val="004479A9"/>
    <w:rsid w:val="00447CC4"/>
    <w:rsid w:val="004504A1"/>
    <w:rsid w:val="00450EBB"/>
    <w:rsid w:val="00451B9B"/>
    <w:rsid w:val="00451CE4"/>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5384"/>
    <w:rsid w:val="004755B7"/>
    <w:rsid w:val="00475771"/>
    <w:rsid w:val="00475E2C"/>
    <w:rsid w:val="00476660"/>
    <w:rsid w:val="00477A4D"/>
    <w:rsid w:val="00477CEE"/>
    <w:rsid w:val="00477D4F"/>
    <w:rsid w:val="00477E52"/>
    <w:rsid w:val="00480AB4"/>
    <w:rsid w:val="00480AF9"/>
    <w:rsid w:val="00483875"/>
    <w:rsid w:val="00484818"/>
    <w:rsid w:val="00484EE6"/>
    <w:rsid w:val="004860F7"/>
    <w:rsid w:val="00490177"/>
    <w:rsid w:val="00491817"/>
    <w:rsid w:val="00491A42"/>
    <w:rsid w:val="00491D0A"/>
    <w:rsid w:val="00492066"/>
    <w:rsid w:val="00493467"/>
    <w:rsid w:val="004956A8"/>
    <w:rsid w:val="00495820"/>
    <w:rsid w:val="004962CA"/>
    <w:rsid w:val="004A00B2"/>
    <w:rsid w:val="004A0420"/>
    <w:rsid w:val="004A0799"/>
    <w:rsid w:val="004A0819"/>
    <w:rsid w:val="004A14EC"/>
    <w:rsid w:val="004A1629"/>
    <w:rsid w:val="004A3070"/>
    <w:rsid w:val="004A393C"/>
    <w:rsid w:val="004A4195"/>
    <w:rsid w:val="004A4668"/>
    <w:rsid w:val="004A4EA9"/>
    <w:rsid w:val="004A5199"/>
    <w:rsid w:val="004A6A13"/>
    <w:rsid w:val="004A7197"/>
    <w:rsid w:val="004A79EC"/>
    <w:rsid w:val="004B0844"/>
    <w:rsid w:val="004B1367"/>
    <w:rsid w:val="004B217A"/>
    <w:rsid w:val="004B2788"/>
    <w:rsid w:val="004B4240"/>
    <w:rsid w:val="004B4667"/>
    <w:rsid w:val="004B48F9"/>
    <w:rsid w:val="004B5AE3"/>
    <w:rsid w:val="004B6916"/>
    <w:rsid w:val="004B70C8"/>
    <w:rsid w:val="004B7367"/>
    <w:rsid w:val="004B77B2"/>
    <w:rsid w:val="004B7A2A"/>
    <w:rsid w:val="004C0191"/>
    <w:rsid w:val="004C1098"/>
    <w:rsid w:val="004C33F3"/>
    <w:rsid w:val="004C3A51"/>
    <w:rsid w:val="004C4D31"/>
    <w:rsid w:val="004C6729"/>
    <w:rsid w:val="004C7173"/>
    <w:rsid w:val="004D0448"/>
    <w:rsid w:val="004D0DC7"/>
    <w:rsid w:val="004D1B5D"/>
    <w:rsid w:val="004D1F30"/>
    <w:rsid w:val="004D2386"/>
    <w:rsid w:val="004D2554"/>
    <w:rsid w:val="004D2C3A"/>
    <w:rsid w:val="004D2C4C"/>
    <w:rsid w:val="004D424D"/>
    <w:rsid w:val="004D569E"/>
    <w:rsid w:val="004D586F"/>
    <w:rsid w:val="004D6131"/>
    <w:rsid w:val="004D687F"/>
    <w:rsid w:val="004E14C4"/>
    <w:rsid w:val="004E303C"/>
    <w:rsid w:val="004E4D80"/>
    <w:rsid w:val="004E6678"/>
    <w:rsid w:val="004E6B92"/>
    <w:rsid w:val="004F05DD"/>
    <w:rsid w:val="004F33DD"/>
    <w:rsid w:val="004F3826"/>
    <w:rsid w:val="004F4E2F"/>
    <w:rsid w:val="004F7DFB"/>
    <w:rsid w:val="00500DE4"/>
    <w:rsid w:val="00500FC2"/>
    <w:rsid w:val="005014BA"/>
    <w:rsid w:val="005015C4"/>
    <w:rsid w:val="00502505"/>
    <w:rsid w:val="00503E1F"/>
    <w:rsid w:val="00504561"/>
    <w:rsid w:val="00504C42"/>
    <w:rsid w:val="005056EE"/>
    <w:rsid w:val="005069CE"/>
    <w:rsid w:val="00507AD8"/>
    <w:rsid w:val="00511000"/>
    <w:rsid w:val="0051174A"/>
    <w:rsid w:val="0051244B"/>
    <w:rsid w:val="0051695F"/>
    <w:rsid w:val="00516BDE"/>
    <w:rsid w:val="00521DD2"/>
    <w:rsid w:val="00522FCE"/>
    <w:rsid w:val="00525253"/>
    <w:rsid w:val="00526757"/>
    <w:rsid w:val="005270FE"/>
    <w:rsid w:val="005274C5"/>
    <w:rsid w:val="00530CED"/>
    <w:rsid w:val="00530D1F"/>
    <w:rsid w:val="00532F5B"/>
    <w:rsid w:val="005340CE"/>
    <w:rsid w:val="00535419"/>
    <w:rsid w:val="005377C3"/>
    <w:rsid w:val="005400D8"/>
    <w:rsid w:val="005404D4"/>
    <w:rsid w:val="0054084B"/>
    <w:rsid w:val="00541926"/>
    <w:rsid w:val="00541C26"/>
    <w:rsid w:val="005430A2"/>
    <w:rsid w:val="00543157"/>
    <w:rsid w:val="005434B9"/>
    <w:rsid w:val="005448CA"/>
    <w:rsid w:val="00544C5F"/>
    <w:rsid w:val="00545695"/>
    <w:rsid w:val="00546F45"/>
    <w:rsid w:val="005470F9"/>
    <w:rsid w:val="00547169"/>
    <w:rsid w:val="00547A9C"/>
    <w:rsid w:val="00551B44"/>
    <w:rsid w:val="0055274E"/>
    <w:rsid w:val="005530A6"/>
    <w:rsid w:val="005552A1"/>
    <w:rsid w:val="00556734"/>
    <w:rsid w:val="00556AE1"/>
    <w:rsid w:val="00556E81"/>
    <w:rsid w:val="00560779"/>
    <w:rsid w:val="005612B4"/>
    <w:rsid w:val="00561429"/>
    <w:rsid w:val="0056246D"/>
    <w:rsid w:val="00563D9B"/>
    <w:rsid w:val="00563E36"/>
    <w:rsid w:val="00564FCB"/>
    <w:rsid w:val="00567029"/>
    <w:rsid w:val="00567A22"/>
    <w:rsid w:val="005708A4"/>
    <w:rsid w:val="0057182C"/>
    <w:rsid w:val="0057214D"/>
    <w:rsid w:val="005721C3"/>
    <w:rsid w:val="005738AC"/>
    <w:rsid w:val="00573932"/>
    <w:rsid w:val="00574070"/>
    <w:rsid w:val="00576B9D"/>
    <w:rsid w:val="00577953"/>
    <w:rsid w:val="00580990"/>
    <w:rsid w:val="0058255F"/>
    <w:rsid w:val="0058264B"/>
    <w:rsid w:val="00582707"/>
    <w:rsid w:val="00583307"/>
    <w:rsid w:val="005847E3"/>
    <w:rsid w:val="00584E84"/>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A1495"/>
    <w:rsid w:val="005A202A"/>
    <w:rsid w:val="005A20AF"/>
    <w:rsid w:val="005A21F2"/>
    <w:rsid w:val="005A51AB"/>
    <w:rsid w:val="005A5837"/>
    <w:rsid w:val="005A6619"/>
    <w:rsid w:val="005A6E16"/>
    <w:rsid w:val="005A706A"/>
    <w:rsid w:val="005B009B"/>
    <w:rsid w:val="005B0875"/>
    <w:rsid w:val="005B1B38"/>
    <w:rsid w:val="005B1EA5"/>
    <w:rsid w:val="005B238B"/>
    <w:rsid w:val="005B2651"/>
    <w:rsid w:val="005B3EB9"/>
    <w:rsid w:val="005B61E6"/>
    <w:rsid w:val="005C0543"/>
    <w:rsid w:val="005C1772"/>
    <w:rsid w:val="005C1BBF"/>
    <w:rsid w:val="005C3809"/>
    <w:rsid w:val="005C4DAE"/>
    <w:rsid w:val="005C5765"/>
    <w:rsid w:val="005C5909"/>
    <w:rsid w:val="005C5AA1"/>
    <w:rsid w:val="005C6C98"/>
    <w:rsid w:val="005C6FFD"/>
    <w:rsid w:val="005C7499"/>
    <w:rsid w:val="005C7725"/>
    <w:rsid w:val="005C79E2"/>
    <w:rsid w:val="005D0313"/>
    <w:rsid w:val="005D1CDF"/>
    <w:rsid w:val="005D1D38"/>
    <w:rsid w:val="005D4A1B"/>
    <w:rsid w:val="005D5413"/>
    <w:rsid w:val="005D5BD4"/>
    <w:rsid w:val="005D63EF"/>
    <w:rsid w:val="005D657B"/>
    <w:rsid w:val="005D7D84"/>
    <w:rsid w:val="005E0B4E"/>
    <w:rsid w:val="005E1DE2"/>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524"/>
    <w:rsid w:val="00611ACA"/>
    <w:rsid w:val="00616CC9"/>
    <w:rsid w:val="006221FD"/>
    <w:rsid w:val="00624EA2"/>
    <w:rsid w:val="00625759"/>
    <w:rsid w:val="006265FE"/>
    <w:rsid w:val="00626A70"/>
    <w:rsid w:val="00626D57"/>
    <w:rsid w:val="0062709C"/>
    <w:rsid w:val="00627E7F"/>
    <w:rsid w:val="00630577"/>
    <w:rsid w:val="0063081A"/>
    <w:rsid w:val="00633912"/>
    <w:rsid w:val="00633CF6"/>
    <w:rsid w:val="0063401E"/>
    <w:rsid w:val="00634930"/>
    <w:rsid w:val="006355D9"/>
    <w:rsid w:val="00636567"/>
    <w:rsid w:val="00636ADA"/>
    <w:rsid w:val="00636C40"/>
    <w:rsid w:val="00637143"/>
    <w:rsid w:val="006410F5"/>
    <w:rsid w:val="006413C6"/>
    <w:rsid w:val="0064155A"/>
    <w:rsid w:val="00641D86"/>
    <w:rsid w:val="00643921"/>
    <w:rsid w:val="00644C6C"/>
    <w:rsid w:val="0064503E"/>
    <w:rsid w:val="00645751"/>
    <w:rsid w:val="006465AF"/>
    <w:rsid w:val="00646789"/>
    <w:rsid w:val="00646E15"/>
    <w:rsid w:val="006473A5"/>
    <w:rsid w:val="0065177B"/>
    <w:rsid w:val="00652C56"/>
    <w:rsid w:val="006550CC"/>
    <w:rsid w:val="00655598"/>
    <w:rsid w:val="00655D95"/>
    <w:rsid w:val="0065705B"/>
    <w:rsid w:val="00660E93"/>
    <w:rsid w:val="00660EFD"/>
    <w:rsid w:val="00661934"/>
    <w:rsid w:val="006637B0"/>
    <w:rsid w:val="00663BB6"/>
    <w:rsid w:val="00663D7D"/>
    <w:rsid w:val="00666B93"/>
    <w:rsid w:val="00667EE8"/>
    <w:rsid w:val="00672DBF"/>
    <w:rsid w:val="00672F77"/>
    <w:rsid w:val="00675429"/>
    <w:rsid w:val="0067606F"/>
    <w:rsid w:val="006761BC"/>
    <w:rsid w:val="006768EE"/>
    <w:rsid w:val="00680375"/>
    <w:rsid w:val="00682089"/>
    <w:rsid w:val="00684088"/>
    <w:rsid w:val="00684E48"/>
    <w:rsid w:val="006854C2"/>
    <w:rsid w:val="0068577B"/>
    <w:rsid w:val="00687372"/>
    <w:rsid w:val="006908B5"/>
    <w:rsid w:val="00691BEA"/>
    <w:rsid w:val="0069301B"/>
    <w:rsid w:val="006941D0"/>
    <w:rsid w:val="00694B2F"/>
    <w:rsid w:val="0069585B"/>
    <w:rsid w:val="00695D66"/>
    <w:rsid w:val="00696D8D"/>
    <w:rsid w:val="00697931"/>
    <w:rsid w:val="00697D72"/>
    <w:rsid w:val="006A3068"/>
    <w:rsid w:val="006A36C5"/>
    <w:rsid w:val="006A3D34"/>
    <w:rsid w:val="006A50C9"/>
    <w:rsid w:val="006A5999"/>
    <w:rsid w:val="006A5B20"/>
    <w:rsid w:val="006A5B53"/>
    <w:rsid w:val="006A6131"/>
    <w:rsid w:val="006A73C4"/>
    <w:rsid w:val="006B0940"/>
    <w:rsid w:val="006B1B55"/>
    <w:rsid w:val="006B3B6C"/>
    <w:rsid w:val="006B3D24"/>
    <w:rsid w:val="006B462F"/>
    <w:rsid w:val="006B4D76"/>
    <w:rsid w:val="006B6586"/>
    <w:rsid w:val="006B6961"/>
    <w:rsid w:val="006B6C74"/>
    <w:rsid w:val="006C35A6"/>
    <w:rsid w:val="006C365E"/>
    <w:rsid w:val="006C3F79"/>
    <w:rsid w:val="006C4EA9"/>
    <w:rsid w:val="006C53DB"/>
    <w:rsid w:val="006C64DE"/>
    <w:rsid w:val="006C6B85"/>
    <w:rsid w:val="006D1EA5"/>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773A"/>
    <w:rsid w:val="00720771"/>
    <w:rsid w:val="00721B5B"/>
    <w:rsid w:val="00722887"/>
    <w:rsid w:val="0072315A"/>
    <w:rsid w:val="007237D0"/>
    <w:rsid w:val="00723D79"/>
    <w:rsid w:val="00724957"/>
    <w:rsid w:val="00724B53"/>
    <w:rsid w:val="00725634"/>
    <w:rsid w:val="00725FB4"/>
    <w:rsid w:val="0072644A"/>
    <w:rsid w:val="00727B8D"/>
    <w:rsid w:val="00727DEC"/>
    <w:rsid w:val="00731381"/>
    <w:rsid w:val="00731E49"/>
    <w:rsid w:val="007341D1"/>
    <w:rsid w:val="007345DF"/>
    <w:rsid w:val="00734CEE"/>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50522"/>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10E6"/>
    <w:rsid w:val="007837FE"/>
    <w:rsid w:val="00783A96"/>
    <w:rsid w:val="007842C0"/>
    <w:rsid w:val="00786405"/>
    <w:rsid w:val="00787BF6"/>
    <w:rsid w:val="007912D1"/>
    <w:rsid w:val="00791536"/>
    <w:rsid w:val="00791545"/>
    <w:rsid w:val="0079416A"/>
    <w:rsid w:val="007943E4"/>
    <w:rsid w:val="007946D7"/>
    <w:rsid w:val="00795DB8"/>
    <w:rsid w:val="00796800"/>
    <w:rsid w:val="00796866"/>
    <w:rsid w:val="0079798E"/>
    <w:rsid w:val="007A094F"/>
    <w:rsid w:val="007A118E"/>
    <w:rsid w:val="007A28EF"/>
    <w:rsid w:val="007A3DD2"/>
    <w:rsid w:val="007A4AA9"/>
    <w:rsid w:val="007A59C5"/>
    <w:rsid w:val="007A5D60"/>
    <w:rsid w:val="007A6ECE"/>
    <w:rsid w:val="007A7409"/>
    <w:rsid w:val="007B04D4"/>
    <w:rsid w:val="007B08BC"/>
    <w:rsid w:val="007B124C"/>
    <w:rsid w:val="007B1CE1"/>
    <w:rsid w:val="007B25CA"/>
    <w:rsid w:val="007B2916"/>
    <w:rsid w:val="007B5DCC"/>
    <w:rsid w:val="007B661F"/>
    <w:rsid w:val="007B7F63"/>
    <w:rsid w:val="007C0B8D"/>
    <w:rsid w:val="007C4145"/>
    <w:rsid w:val="007C4A27"/>
    <w:rsid w:val="007C6B2E"/>
    <w:rsid w:val="007C78D1"/>
    <w:rsid w:val="007D039A"/>
    <w:rsid w:val="007D0553"/>
    <w:rsid w:val="007D13E7"/>
    <w:rsid w:val="007D1856"/>
    <w:rsid w:val="007D3B3B"/>
    <w:rsid w:val="007D6559"/>
    <w:rsid w:val="007D6E4D"/>
    <w:rsid w:val="007D7861"/>
    <w:rsid w:val="007E1958"/>
    <w:rsid w:val="007E2C7E"/>
    <w:rsid w:val="007E300B"/>
    <w:rsid w:val="007E3EE5"/>
    <w:rsid w:val="007E434D"/>
    <w:rsid w:val="007E5F04"/>
    <w:rsid w:val="007E7CC1"/>
    <w:rsid w:val="007E7DC0"/>
    <w:rsid w:val="007E7FFB"/>
    <w:rsid w:val="007F004B"/>
    <w:rsid w:val="007F00DA"/>
    <w:rsid w:val="007F0559"/>
    <w:rsid w:val="007F110B"/>
    <w:rsid w:val="007F135A"/>
    <w:rsid w:val="007F3DCD"/>
    <w:rsid w:val="007F4CA0"/>
    <w:rsid w:val="007F5E21"/>
    <w:rsid w:val="007F768A"/>
    <w:rsid w:val="007F78CE"/>
    <w:rsid w:val="007F7AE0"/>
    <w:rsid w:val="00800542"/>
    <w:rsid w:val="00800627"/>
    <w:rsid w:val="008028E4"/>
    <w:rsid w:val="00802FFF"/>
    <w:rsid w:val="00804077"/>
    <w:rsid w:val="00804B2B"/>
    <w:rsid w:val="00804F46"/>
    <w:rsid w:val="008054AB"/>
    <w:rsid w:val="00805A33"/>
    <w:rsid w:val="008072EF"/>
    <w:rsid w:val="008076B6"/>
    <w:rsid w:val="00810352"/>
    <w:rsid w:val="008108F5"/>
    <w:rsid w:val="0081100B"/>
    <w:rsid w:val="0081161A"/>
    <w:rsid w:val="008123E1"/>
    <w:rsid w:val="008128E4"/>
    <w:rsid w:val="008136F9"/>
    <w:rsid w:val="00815B90"/>
    <w:rsid w:val="008172BC"/>
    <w:rsid w:val="00817ADF"/>
    <w:rsid w:val="008200E5"/>
    <w:rsid w:val="0082018E"/>
    <w:rsid w:val="0082122E"/>
    <w:rsid w:val="00821757"/>
    <w:rsid w:val="00821B58"/>
    <w:rsid w:val="00821BB0"/>
    <w:rsid w:val="00822C4E"/>
    <w:rsid w:val="00823614"/>
    <w:rsid w:val="00823B85"/>
    <w:rsid w:val="00824245"/>
    <w:rsid w:val="00824363"/>
    <w:rsid w:val="0082532E"/>
    <w:rsid w:val="008258C7"/>
    <w:rsid w:val="00827196"/>
    <w:rsid w:val="008323CC"/>
    <w:rsid w:val="00833918"/>
    <w:rsid w:val="00835AF2"/>
    <w:rsid w:val="00835CAB"/>
    <w:rsid w:val="00836365"/>
    <w:rsid w:val="0083689E"/>
    <w:rsid w:val="00836E1D"/>
    <w:rsid w:val="00837051"/>
    <w:rsid w:val="008376C1"/>
    <w:rsid w:val="00837ACF"/>
    <w:rsid w:val="00841C63"/>
    <w:rsid w:val="008423CB"/>
    <w:rsid w:val="00842DE4"/>
    <w:rsid w:val="0084364D"/>
    <w:rsid w:val="00844C2B"/>
    <w:rsid w:val="008459B3"/>
    <w:rsid w:val="008463E8"/>
    <w:rsid w:val="00846E99"/>
    <w:rsid w:val="0085035D"/>
    <w:rsid w:val="0085122A"/>
    <w:rsid w:val="00851274"/>
    <w:rsid w:val="00855464"/>
    <w:rsid w:val="008557D8"/>
    <w:rsid w:val="00855B8D"/>
    <w:rsid w:val="00856FC2"/>
    <w:rsid w:val="0085770A"/>
    <w:rsid w:val="00860701"/>
    <w:rsid w:val="00860A77"/>
    <w:rsid w:val="00861495"/>
    <w:rsid w:val="00861BB6"/>
    <w:rsid w:val="00861E55"/>
    <w:rsid w:val="00862771"/>
    <w:rsid w:val="00863648"/>
    <w:rsid w:val="0086526C"/>
    <w:rsid w:val="00865FCC"/>
    <w:rsid w:val="00867124"/>
    <w:rsid w:val="00870FCE"/>
    <w:rsid w:val="008717D5"/>
    <w:rsid w:val="008722A5"/>
    <w:rsid w:val="00872BA1"/>
    <w:rsid w:val="00872F70"/>
    <w:rsid w:val="0087411A"/>
    <w:rsid w:val="00875089"/>
    <w:rsid w:val="008751E4"/>
    <w:rsid w:val="008757B7"/>
    <w:rsid w:val="00876C2B"/>
    <w:rsid w:val="00877629"/>
    <w:rsid w:val="00877CF7"/>
    <w:rsid w:val="00881612"/>
    <w:rsid w:val="00881E16"/>
    <w:rsid w:val="00884970"/>
    <w:rsid w:val="00885414"/>
    <w:rsid w:val="00887BB8"/>
    <w:rsid w:val="00895660"/>
    <w:rsid w:val="0089797A"/>
    <w:rsid w:val="008A14AA"/>
    <w:rsid w:val="008A1AD0"/>
    <w:rsid w:val="008A211A"/>
    <w:rsid w:val="008A2FD9"/>
    <w:rsid w:val="008A4380"/>
    <w:rsid w:val="008A4DE9"/>
    <w:rsid w:val="008A54D9"/>
    <w:rsid w:val="008A6A9E"/>
    <w:rsid w:val="008A7178"/>
    <w:rsid w:val="008A781F"/>
    <w:rsid w:val="008B0173"/>
    <w:rsid w:val="008B62C9"/>
    <w:rsid w:val="008B68A4"/>
    <w:rsid w:val="008B753F"/>
    <w:rsid w:val="008C08F5"/>
    <w:rsid w:val="008C146F"/>
    <w:rsid w:val="008C1929"/>
    <w:rsid w:val="008C26B8"/>
    <w:rsid w:val="008C3C8A"/>
    <w:rsid w:val="008C4370"/>
    <w:rsid w:val="008C511D"/>
    <w:rsid w:val="008C5395"/>
    <w:rsid w:val="008C703C"/>
    <w:rsid w:val="008C7BB6"/>
    <w:rsid w:val="008D0590"/>
    <w:rsid w:val="008D312F"/>
    <w:rsid w:val="008D3621"/>
    <w:rsid w:val="008D38BB"/>
    <w:rsid w:val="008D42B6"/>
    <w:rsid w:val="008D4642"/>
    <w:rsid w:val="008D4B00"/>
    <w:rsid w:val="008D60D7"/>
    <w:rsid w:val="008D7F38"/>
    <w:rsid w:val="008E0EF3"/>
    <w:rsid w:val="008E156A"/>
    <w:rsid w:val="008E1D76"/>
    <w:rsid w:val="008E1F65"/>
    <w:rsid w:val="008E36CE"/>
    <w:rsid w:val="008E397C"/>
    <w:rsid w:val="008E3CC5"/>
    <w:rsid w:val="008E6106"/>
    <w:rsid w:val="008E6B5D"/>
    <w:rsid w:val="008F39E6"/>
    <w:rsid w:val="008F3ADE"/>
    <w:rsid w:val="008F7FC8"/>
    <w:rsid w:val="00900D7F"/>
    <w:rsid w:val="0090205B"/>
    <w:rsid w:val="00904C41"/>
    <w:rsid w:val="00904D8A"/>
    <w:rsid w:val="00904DE3"/>
    <w:rsid w:val="00905421"/>
    <w:rsid w:val="009064C5"/>
    <w:rsid w:val="009066E0"/>
    <w:rsid w:val="00906985"/>
    <w:rsid w:val="009070E2"/>
    <w:rsid w:val="00910DEE"/>
    <w:rsid w:val="009110CA"/>
    <w:rsid w:val="00912A4D"/>
    <w:rsid w:val="0091487E"/>
    <w:rsid w:val="0091649A"/>
    <w:rsid w:val="00917CA6"/>
    <w:rsid w:val="0092048C"/>
    <w:rsid w:val="00923010"/>
    <w:rsid w:val="0092469C"/>
    <w:rsid w:val="00925301"/>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5DF6"/>
    <w:rsid w:val="00946421"/>
    <w:rsid w:val="0094690E"/>
    <w:rsid w:val="00947033"/>
    <w:rsid w:val="0094716E"/>
    <w:rsid w:val="0094727E"/>
    <w:rsid w:val="00950257"/>
    <w:rsid w:val="0095153D"/>
    <w:rsid w:val="00952C21"/>
    <w:rsid w:val="009547F7"/>
    <w:rsid w:val="00954DFD"/>
    <w:rsid w:val="00955681"/>
    <w:rsid w:val="00956126"/>
    <w:rsid w:val="00956137"/>
    <w:rsid w:val="00956809"/>
    <w:rsid w:val="00956C66"/>
    <w:rsid w:val="009574B7"/>
    <w:rsid w:val="00960585"/>
    <w:rsid w:val="00962C03"/>
    <w:rsid w:val="009658F9"/>
    <w:rsid w:val="009664F0"/>
    <w:rsid w:val="009667E8"/>
    <w:rsid w:val="00966FC8"/>
    <w:rsid w:val="00966FFE"/>
    <w:rsid w:val="009671B7"/>
    <w:rsid w:val="009709D0"/>
    <w:rsid w:val="00971736"/>
    <w:rsid w:val="00971978"/>
    <w:rsid w:val="00975A2B"/>
    <w:rsid w:val="00975AC3"/>
    <w:rsid w:val="00976AA7"/>
    <w:rsid w:val="00977346"/>
    <w:rsid w:val="00981331"/>
    <w:rsid w:val="0098183C"/>
    <w:rsid w:val="00982FB4"/>
    <w:rsid w:val="009837ED"/>
    <w:rsid w:val="0099189A"/>
    <w:rsid w:val="009920C6"/>
    <w:rsid w:val="0099288C"/>
    <w:rsid w:val="009932A5"/>
    <w:rsid w:val="00994AF3"/>
    <w:rsid w:val="00994B2E"/>
    <w:rsid w:val="00994E24"/>
    <w:rsid w:val="00995AC7"/>
    <w:rsid w:val="00995F49"/>
    <w:rsid w:val="0099777A"/>
    <w:rsid w:val="009A0433"/>
    <w:rsid w:val="009A0CCF"/>
    <w:rsid w:val="009A0E58"/>
    <w:rsid w:val="009A1083"/>
    <w:rsid w:val="009A3440"/>
    <w:rsid w:val="009A361E"/>
    <w:rsid w:val="009A4194"/>
    <w:rsid w:val="009A4348"/>
    <w:rsid w:val="009A492D"/>
    <w:rsid w:val="009A5AB1"/>
    <w:rsid w:val="009A7D36"/>
    <w:rsid w:val="009B11C7"/>
    <w:rsid w:val="009B12A1"/>
    <w:rsid w:val="009B2FA4"/>
    <w:rsid w:val="009B32B8"/>
    <w:rsid w:val="009B34FB"/>
    <w:rsid w:val="009B4B64"/>
    <w:rsid w:val="009B606B"/>
    <w:rsid w:val="009B632D"/>
    <w:rsid w:val="009B665F"/>
    <w:rsid w:val="009C1282"/>
    <w:rsid w:val="009C1306"/>
    <w:rsid w:val="009C151E"/>
    <w:rsid w:val="009C23B5"/>
    <w:rsid w:val="009C34BE"/>
    <w:rsid w:val="009C46BF"/>
    <w:rsid w:val="009D076D"/>
    <w:rsid w:val="009D144C"/>
    <w:rsid w:val="009D18EF"/>
    <w:rsid w:val="009D3D07"/>
    <w:rsid w:val="009D505F"/>
    <w:rsid w:val="009D5E72"/>
    <w:rsid w:val="009D707B"/>
    <w:rsid w:val="009D720A"/>
    <w:rsid w:val="009D767A"/>
    <w:rsid w:val="009D7A27"/>
    <w:rsid w:val="009E225F"/>
    <w:rsid w:val="009E28D2"/>
    <w:rsid w:val="009E2908"/>
    <w:rsid w:val="009E4534"/>
    <w:rsid w:val="009E6949"/>
    <w:rsid w:val="009E6B72"/>
    <w:rsid w:val="009F1793"/>
    <w:rsid w:val="009F19C0"/>
    <w:rsid w:val="009F1E75"/>
    <w:rsid w:val="009F4286"/>
    <w:rsid w:val="009F4812"/>
    <w:rsid w:val="009F6283"/>
    <w:rsid w:val="009F6418"/>
    <w:rsid w:val="009F6731"/>
    <w:rsid w:val="009F6CA9"/>
    <w:rsid w:val="009F72EA"/>
    <w:rsid w:val="009F775C"/>
    <w:rsid w:val="009F7DD3"/>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505A"/>
    <w:rsid w:val="00A15231"/>
    <w:rsid w:val="00A15753"/>
    <w:rsid w:val="00A15EA9"/>
    <w:rsid w:val="00A162ED"/>
    <w:rsid w:val="00A17214"/>
    <w:rsid w:val="00A1739E"/>
    <w:rsid w:val="00A20ED3"/>
    <w:rsid w:val="00A211A0"/>
    <w:rsid w:val="00A216A3"/>
    <w:rsid w:val="00A22B53"/>
    <w:rsid w:val="00A24099"/>
    <w:rsid w:val="00A244C6"/>
    <w:rsid w:val="00A25936"/>
    <w:rsid w:val="00A25DF8"/>
    <w:rsid w:val="00A26182"/>
    <w:rsid w:val="00A268E6"/>
    <w:rsid w:val="00A27B2B"/>
    <w:rsid w:val="00A30217"/>
    <w:rsid w:val="00A30947"/>
    <w:rsid w:val="00A30F28"/>
    <w:rsid w:val="00A310FD"/>
    <w:rsid w:val="00A31FFD"/>
    <w:rsid w:val="00A326D2"/>
    <w:rsid w:val="00A33D55"/>
    <w:rsid w:val="00A34335"/>
    <w:rsid w:val="00A3459F"/>
    <w:rsid w:val="00A34AC5"/>
    <w:rsid w:val="00A34E27"/>
    <w:rsid w:val="00A351C7"/>
    <w:rsid w:val="00A35782"/>
    <w:rsid w:val="00A35F68"/>
    <w:rsid w:val="00A36CDB"/>
    <w:rsid w:val="00A3751B"/>
    <w:rsid w:val="00A4018A"/>
    <w:rsid w:val="00A4144C"/>
    <w:rsid w:val="00A41535"/>
    <w:rsid w:val="00A41CDB"/>
    <w:rsid w:val="00A427DF"/>
    <w:rsid w:val="00A428E0"/>
    <w:rsid w:val="00A44C18"/>
    <w:rsid w:val="00A44E32"/>
    <w:rsid w:val="00A45298"/>
    <w:rsid w:val="00A47C22"/>
    <w:rsid w:val="00A504BF"/>
    <w:rsid w:val="00A51956"/>
    <w:rsid w:val="00A51D31"/>
    <w:rsid w:val="00A52545"/>
    <w:rsid w:val="00A52550"/>
    <w:rsid w:val="00A5329E"/>
    <w:rsid w:val="00A53785"/>
    <w:rsid w:val="00A542F4"/>
    <w:rsid w:val="00A544D7"/>
    <w:rsid w:val="00A54756"/>
    <w:rsid w:val="00A54EA0"/>
    <w:rsid w:val="00A55ADB"/>
    <w:rsid w:val="00A56A71"/>
    <w:rsid w:val="00A60547"/>
    <w:rsid w:val="00A6112E"/>
    <w:rsid w:val="00A6118C"/>
    <w:rsid w:val="00A62D74"/>
    <w:rsid w:val="00A641A0"/>
    <w:rsid w:val="00A65292"/>
    <w:rsid w:val="00A65752"/>
    <w:rsid w:val="00A659B5"/>
    <w:rsid w:val="00A6616F"/>
    <w:rsid w:val="00A66807"/>
    <w:rsid w:val="00A704B9"/>
    <w:rsid w:val="00A711CC"/>
    <w:rsid w:val="00A7218A"/>
    <w:rsid w:val="00A72A95"/>
    <w:rsid w:val="00A72E9E"/>
    <w:rsid w:val="00A745AC"/>
    <w:rsid w:val="00A75380"/>
    <w:rsid w:val="00A75C76"/>
    <w:rsid w:val="00A8013E"/>
    <w:rsid w:val="00A81C04"/>
    <w:rsid w:val="00A82EFE"/>
    <w:rsid w:val="00A85DA7"/>
    <w:rsid w:val="00A869C5"/>
    <w:rsid w:val="00A86C55"/>
    <w:rsid w:val="00A87E96"/>
    <w:rsid w:val="00A90704"/>
    <w:rsid w:val="00A91BB2"/>
    <w:rsid w:val="00A92197"/>
    <w:rsid w:val="00A92277"/>
    <w:rsid w:val="00A94704"/>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6176"/>
    <w:rsid w:val="00AA635F"/>
    <w:rsid w:val="00AA6611"/>
    <w:rsid w:val="00AA67BC"/>
    <w:rsid w:val="00AA76C4"/>
    <w:rsid w:val="00AB0A3A"/>
    <w:rsid w:val="00AB0F1D"/>
    <w:rsid w:val="00AB141B"/>
    <w:rsid w:val="00AB2205"/>
    <w:rsid w:val="00AB56EF"/>
    <w:rsid w:val="00AB5EA0"/>
    <w:rsid w:val="00AB7C9A"/>
    <w:rsid w:val="00AC0C96"/>
    <w:rsid w:val="00AC1115"/>
    <w:rsid w:val="00AC155E"/>
    <w:rsid w:val="00AC222F"/>
    <w:rsid w:val="00AC2536"/>
    <w:rsid w:val="00AC359D"/>
    <w:rsid w:val="00AC38A9"/>
    <w:rsid w:val="00AC3C27"/>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45AD"/>
    <w:rsid w:val="00AF4700"/>
    <w:rsid w:val="00AF4E9D"/>
    <w:rsid w:val="00AF5497"/>
    <w:rsid w:val="00AF7494"/>
    <w:rsid w:val="00B0014C"/>
    <w:rsid w:val="00B00E2D"/>
    <w:rsid w:val="00B00F7A"/>
    <w:rsid w:val="00B0370E"/>
    <w:rsid w:val="00B03979"/>
    <w:rsid w:val="00B03987"/>
    <w:rsid w:val="00B03DED"/>
    <w:rsid w:val="00B056BB"/>
    <w:rsid w:val="00B069D5"/>
    <w:rsid w:val="00B07317"/>
    <w:rsid w:val="00B13A65"/>
    <w:rsid w:val="00B14241"/>
    <w:rsid w:val="00B16580"/>
    <w:rsid w:val="00B17FAF"/>
    <w:rsid w:val="00B2012F"/>
    <w:rsid w:val="00B2106B"/>
    <w:rsid w:val="00B219A5"/>
    <w:rsid w:val="00B21ADD"/>
    <w:rsid w:val="00B22D2E"/>
    <w:rsid w:val="00B233BE"/>
    <w:rsid w:val="00B23DCD"/>
    <w:rsid w:val="00B244F5"/>
    <w:rsid w:val="00B25100"/>
    <w:rsid w:val="00B25B9A"/>
    <w:rsid w:val="00B25DE0"/>
    <w:rsid w:val="00B31324"/>
    <w:rsid w:val="00B32847"/>
    <w:rsid w:val="00B32888"/>
    <w:rsid w:val="00B33CFD"/>
    <w:rsid w:val="00B34621"/>
    <w:rsid w:val="00B36077"/>
    <w:rsid w:val="00B36A0A"/>
    <w:rsid w:val="00B400E3"/>
    <w:rsid w:val="00B40F2B"/>
    <w:rsid w:val="00B4215D"/>
    <w:rsid w:val="00B42711"/>
    <w:rsid w:val="00B437E8"/>
    <w:rsid w:val="00B4410C"/>
    <w:rsid w:val="00B45486"/>
    <w:rsid w:val="00B470C3"/>
    <w:rsid w:val="00B47513"/>
    <w:rsid w:val="00B52689"/>
    <w:rsid w:val="00B53FB3"/>
    <w:rsid w:val="00B54BBA"/>
    <w:rsid w:val="00B55C1E"/>
    <w:rsid w:val="00B56A98"/>
    <w:rsid w:val="00B57CAF"/>
    <w:rsid w:val="00B606CD"/>
    <w:rsid w:val="00B60ADF"/>
    <w:rsid w:val="00B628EE"/>
    <w:rsid w:val="00B63EA8"/>
    <w:rsid w:val="00B669A1"/>
    <w:rsid w:val="00B6755E"/>
    <w:rsid w:val="00B677B3"/>
    <w:rsid w:val="00B67B5C"/>
    <w:rsid w:val="00B7083D"/>
    <w:rsid w:val="00B71854"/>
    <w:rsid w:val="00B71B7D"/>
    <w:rsid w:val="00B71CD6"/>
    <w:rsid w:val="00B720A6"/>
    <w:rsid w:val="00B7259C"/>
    <w:rsid w:val="00B73A60"/>
    <w:rsid w:val="00B741D2"/>
    <w:rsid w:val="00B751E3"/>
    <w:rsid w:val="00B76574"/>
    <w:rsid w:val="00B77D9A"/>
    <w:rsid w:val="00B81A20"/>
    <w:rsid w:val="00B836EA"/>
    <w:rsid w:val="00B8388D"/>
    <w:rsid w:val="00B83B16"/>
    <w:rsid w:val="00B845FB"/>
    <w:rsid w:val="00B84886"/>
    <w:rsid w:val="00B85083"/>
    <w:rsid w:val="00B85245"/>
    <w:rsid w:val="00B87B37"/>
    <w:rsid w:val="00B87D3F"/>
    <w:rsid w:val="00B90EC4"/>
    <w:rsid w:val="00B926E1"/>
    <w:rsid w:val="00B92A79"/>
    <w:rsid w:val="00B943D1"/>
    <w:rsid w:val="00B95951"/>
    <w:rsid w:val="00B96307"/>
    <w:rsid w:val="00B97669"/>
    <w:rsid w:val="00B978B3"/>
    <w:rsid w:val="00BA0128"/>
    <w:rsid w:val="00BA064E"/>
    <w:rsid w:val="00BA09F7"/>
    <w:rsid w:val="00BA0B41"/>
    <w:rsid w:val="00BA0E39"/>
    <w:rsid w:val="00BA1797"/>
    <w:rsid w:val="00BA18F9"/>
    <w:rsid w:val="00BA1A6A"/>
    <w:rsid w:val="00BA2CC5"/>
    <w:rsid w:val="00BA4531"/>
    <w:rsid w:val="00BA4756"/>
    <w:rsid w:val="00BA482E"/>
    <w:rsid w:val="00BA5A12"/>
    <w:rsid w:val="00BA7741"/>
    <w:rsid w:val="00BB0395"/>
    <w:rsid w:val="00BB14A0"/>
    <w:rsid w:val="00BB1720"/>
    <w:rsid w:val="00BB3044"/>
    <w:rsid w:val="00BB3C87"/>
    <w:rsid w:val="00BB4267"/>
    <w:rsid w:val="00BB4974"/>
    <w:rsid w:val="00BB5975"/>
    <w:rsid w:val="00BB7763"/>
    <w:rsid w:val="00BB7C97"/>
    <w:rsid w:val="00BC05A8"/>
    <w:rsid w:val="00BC1F88"/>
    <w:rsid w:val="00BC31CA"/>
    <w:rsid w:val="00BC52CE"/>
    <w:rsid w:val="00BC53CC"/>
    <w:rsid w:val="00BC59BC"/>
    <w:rsid w:val="00BC5C56"/>
    <w:rsid w:val="00BC64A1"/>
    <w:rsid w:val="00BD0087"/>
    <w:rsid w:val="00BD1C99"/>
    <w:rsid w:val="00BD2496"/>
    <w:rsid w:val="00BD3BFA"/>
    <w:rsid w:val="00BD3E7E"/>
    <w:rsid w:val="00BD4245"/>
    <w:rsid w:val="00BD52E8"/>
    <w:rsid w:val="00BD62D7"/>
    <w:rsid w:val="00BD662B"/>
    <w:rsid w:val="00BD6D96"/>
    <w:rsid w:val="00BE0D88"/>
    <w:rsid w:val="00BE1BE1"/>
    <w:rsid w:val="00BE27BA"/>
    <w:rsid w:val="00BE28D7"/>
    <w:rsid w:val="00BE38E5"/>
    <w:rsid w:val="00BE3E5B"/>
    <w:rsid w:val="00BE505D"/>
    <w:rsid w:val="00BE627B"/>
    <w:rsid w:val="00BE6EA0"/>
    <w:rsid w:val="00BE7EE6"/>
    <w:rsid w:val="00BF00AC"/>
    <w:rsid w:val="00BF2DA4"/>
    <w:rsid w:val="00BF3609"/>
    <w:rsid w:val="00BF3EFC"/>
    <w:rsid w:val="00BF3F79"/>
    <w:rsid w:val="00BF456E"/>
    <w:rsid w:val="00BF468E"/>
    <w:rsid w:val="00BF486C"/>
    <w:rsid w:val="00BF5716"/>
    <w:rsid w:val="00BF5CB4"/>
    <w:rsid w:val="00BF69EC"/>
    <w:rsid w:val="00BF6B26"/>
    <w:rsid w:val="00BF7DC8"/>
    <w:rsid w:val="00C01068"/>
    <w:rsid w:val="00C01ACC"/>
    <w:rsid w:val="00C01BF8"/>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4298"/>
    <w:rsid w:val="00C25284"/>
    <w:rsid w:val="00C2640C"/>
    <w:rsid w:val="00C26828"/>
    <w:rsid w:val="00C26F3E"/>
    <w:rsid w:val="00C2728C"/>
    <w:rsid w:val="00C27EAA"/>
    <w:rsid w:val="00C30728"/>
    <w:rsid w:val="00C33B73"/>
    <w:rsid w:val="00C36122"/>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D35"/>
    <w:rsid w:val="00C54ECA"/>
    <w:rsid w:val="00C5534F"/>
    <w:rsid w:val="00C55451"/>
    <w:rsid w:val="00C568D3"/>
    <w:rsid w:val="00C56970"/>
    <w:rsid w:val="00C569BD"/>
    <w:rsid w:val="00C56EC8"/>
    <w:rsid w:val="00C57727"/>
    <w:rsid w:val="00C60377"/>
    <w:rsid w:val="00C61AD1"/>
    <w:rsid w:val="00C6251A"/>
    <w:rsid w:val="00C63563"/>
    <w:rsid w:val="00C65702"/>
    <w:rsid w:val="00C66BFE"/>
    <w:rsid w:val="00C71B75"/>
    <w:rsid w:val="00C71E99"/>
    <w:rsid w:val="00C7229C"/>
    <w:rsid w:val="00C72EDB"/>
    <w:rsid w:val="00C72F5F"/>
    <w:rsid w:val="00C744DF"/>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4F15"/>
    <w:rsid w:val="00CB6206"/>
    <w:rsid w:val="00CC0258"/>
    <w:rsid w:val="00CC135B"/>
    <w:rsid w:val="00CC1365"/>
    <w:rsid w:val="00CC2F5C"/>
    <w:rsid w:val="00CC30F8"/>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E4D"/>
    <w:rsid w:val="00CE1E4F"/>
    <w:rsid w:val="00CE31FC"/>
    <w:rsid w:val="00CE343A"/>
    <w:rsid w:val="00CE3AA1"/>
    <w:rsid w:val="00CE3CC7"/>
    <w:rsid w:val="00CE4E50"/>
    <w:rsid w:val="00CE5585"/>
    <w:rsid w:val="00CE618D"/>
    <w:rsid w:val="00CE7387"/>
    <w:rsid w:val="00CE7A1F"/>
    <w:rsid w:val="00CF0AEC"/>
    <w:rsid w:val="00CF0DBE"/>
    <w:rsid w:val="00CF1B99"/>
    <w:rsid w:val="00CF20DD"/>
    <w:rsid w:val="00CF3D82"/>
    <w:rsid w:val="00CF4321"/>
    <w:rsid w:val="00CF46E2"/>
    <w:rsid w:val="00CF5BA2"/>
    <w:rsid w:val="00CF645B"/>
    <w:rsid w:val="00CF7809"/>
    <w:rsid w:val="00CF7CA4"/>
    <w:rsid w:val="00CF7FC5"/>
    <w:rsid w:val="00D00B44"/>
    <w:rsid w:val="00D0117B"/>
    <w:rsid w:val="00D02182"/>
    <w:rsid w:val="00D03E6C"/>
    <w:rsid w:val="00D047A8"/>
    <w:rsid w:val="00D04EDF"/>
    <w:rsid w:val="00D0558D"/>
    <w:rsid w:val="00D056E8"/>
    <w:rsid w:val="00D05CF6"/>
    <w:rsid w:val="00D05D2A"/>
    <w:rsid w:val="00D0661D"/>
    <w:rsid w:val="00D0784A"/>
    <w:rsid w:val="00D11980"/>
    <w:rsid w:val="00D14345"/>
    <w:rsid w:val="00D1436F"/>
    <w:rsid w:val="00D14B5B"/>
    <w:rsid w:val="00D151EE"/>
    <w:rsid w:val="00D15242"/>
    <w:rsid w:val="00D155A4"/>
    <w:rsid w:val="00D15F40"/>
    <w:rsid w:val="00D15FE2"/>
    <w:rsid w:val="00D160FE"/>
    <w:rsid w:val="00D16362"/>
    <w:rsid w:val="00D1742E"/>
    <w:rsid w:val="00D217B6"/>
    <w:rsid w:val="00D21DA2"/>
    <w:rsid w:val="00D23566"/>
    <w:rsid w:val="00D2534E"/>
    <w:rsid w:val="00D25561"/>
    <w:rsid w:val="00D26738"/>
    <w:rsid w:val="00D26990"/>
    <w:rsid w:val="00D27CA2"/>
    <w:rsid w:val="00D3040D"/>
    <w:rsid w:val="00D317ED"/>
    <w:rsid w:val="00D31B84"/>
    <w:rsid w:val="00D31F77"/>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399E"/>
    <w:rsid w:val="00D44116"/>
    <w:rsid w:val="00D44311"/>
    <w:rsid w:val="00D44D87"/>
    <w:rsid w:val="00D44F15"/>
    <w:rsid w:val="00D45E4D"/>
    <w:rsid w:val="00D46C71"/>
    <w:rsid w:val="00D47291"/>
    <w:rsid w:val="00D50BA1"/>
    <w:rsid w:val="00D5104C"/>
    <w:rsid w:val="00D518A6"/>
    <w:rsid w:val="00D52360"/>
    <w:rsid w:val="00D53B6F"/>
    <w:rsid w:val="00D53E95"/>
    <w:rsid w:val="00D5572F"/>
    <w:rsid w:val="00D55D71"/>
    <w:rsid w:val="00D56DDE"/>
    <w:rsid w:val="00D60518"/>
    <w:rsid w:val="00D62900"/>
    <w:rsid w:val="00D62E43"/>
    <w:rsid w:val="00D6392D"/>
    <w:rsid w:val="00D64A48"/>
    <w:rsid w:val="00D64E4F"/>
    <w:rsid w:val="00D652C5"/>
    <w:rsid w:val="00D65D4F"/>
    <w:rsid w:val="00D65FE9"/>
    <w:rsid w:val="00D66001"/>
    <w:rsid w:val="00D6791F"/>
    <w:rsid w:val="00D67A6D"/>
    <w:rsid w:val="00D715A3"/>
    <w:rsid w:val="00D7237E"/>
    <w:rsid w:val="00D7259A"/>
    <w:rsid w:val="00D735D6"/>
    <w:rsid w:val="00D74A07"/>
    <w:rsid w:val="00D7649B"/>
    <w:rsid w:val="00D776F1"/>
    <w:rsid w:val="00D80592"/>
    <w:rsid w:val="00D80C47"/>
    <w:rsid w:val="00D80DD3"/>
    <w:rsid w:val="00D8290E"/>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38A6"/>
    <w:rsid w:val="00DC3993"/>
    <w:rsid w:val="00DC3F41"/>
    <w:rsid w:val="00DC42F6"/>
    <w:rsid w:val="00DC5099"/>
    <w:rsid w:val="00DC556F"/>
    <w:rsid w:val="00DD05B9"/>
    <w:rsid w:val="00DD0812"/>
    <w:rsid w:val="00DD0D6E"/>
    <w:rsid w:val="00DD2754"/>
    <w:rsid w:val="00DD421A"/>
    <w:rsid w:val="00DD4330"/>
    <w:rsid w:val="00DD49E8"/>
    <w:rsid w:val="00DD5332"/>
    <w:rsid w:val="00DD543A"/>
    <w:rsid w:val="00DD5576"/>
    <w:rsid w:val="00DD5E59"/>
    <w:rsid w:val="00DD6DC9"/>
    <w:rsid w:val="00DD7320"/>
    <w:rsid w:val="00DE0BC8"/>
    <w:rsid w:val="00DE0D57"/>
    <w:rsid w:val="00DE2328"/>
    <w:rsid w:val="00DE2DEA"/>
    <w:rsid w:val="00DE4486"/>
    <w:rsid w:val="00DE5979"/>
    <w:rsid w:val="00DE65DE"/>
    <w:rsid w:val="00DE7698"/>
    <w:rsid w:val="00DF05BC"/>
    <w:rsid w:val="00DF1DED"/>
    <w:rsid w:val="00DF2B54"/>
    <w:rsid w:val="00DF5674"/>
    <w:rsid w:val="00DF6645"/>
    <w:rsid w:val="00DF6E1C"/>
    <w:rsid w:val="00DF7667"/>
    <w:rsid w:val="00DF7A01"/>
    <w:rsid w:val="00E00090"/>
    <w:rsid w:val="00E00B2B"/>
    <w:rsid w:val="00E01E15"/>
    <w:rsid w:val="00E03203"/>
    <w:rsid w:val="00E04AFD"/>
    <w:rsid w:val="00E1061B"/>
    <w:rsid w:val="00E108E9"/>
    <w:rsid w:val="00E10FEE"/>
    <w:rsid w:val="00E11398"/>
    <w:rsid w:val="00E1280A"/>
    <w:rsid w:val="00E1282C"/>
    <w:rsid w:val="00E14038"/>
    <w:rsid w:val="00E141C8"/>
    <w:rsid w:val="00E20803"/>
    <w:rsid w:val="00E20F1F"/>
    <w:rsid w:val="00E2103B"/>
    <w:rsid w:val="00E2300E"/>
    <w:rsid w:val="00E2439E"/>
    <w:rsid w:val="00E27682"/>
    <w:rsid w:val="00E27E91"/>
    <w:rsid w:val="00E30AB8"/>
    <w:rsid w:val="00E312C2"/>
    <w:rsid w:val="00E329F1"/>
    <w:rsid w:val="00E34034"/>
    <w:rsid w:val="00E3432F"/>
    <w:rsid w:val="00E3459F"/>
    <w:rsid w:val="00E36212"/>
    <w:rsid w:val="00E40B2D"/>
    <w:rsid w:val="00E40CD6"/>
    <w:rsid w:val="00E410AB"/>
    <w:rsid w:val="00E4110A"/>
    <w:rsid w:val="00E42514"/>
    <w:rsid w:val="00E42B0E"/>
    <w:rsid w:val="00E43E2C"/>
    <w:rsid w:val="00E4417C"/>
    <w:rsid w:val="00E444AD"/>
    <w:rsid w:val="00E514C1"/>
    <w:rsid w:val="00E51FB6"/>
    <w:rsid w:val="00E52790"/>
    <w:rsid w:val="00E53202"/>
    <w:rsid w:val="00E538DE"/>
    <w:rsid w:val="00E539A6"/>
    <w:rsid w:val="00E54403"/>
    <w:rsid w:val="00E547A5"/>
    <w:rsid w:val="00E56817"/>
    <w:rsid w:val="00E575F6"/>
    <w:rsid w:val="00E60070"/>
    <w:rsid w:val="00E605B7"/>
    <w:rsid w:val="00E61359"/>
    <w:rsid w:val="00E6162B"/>
    <w:rsid w:val="00E61E1F"/>
    <w:rsid w:val="00E62340"/>
    <w:rsid w:val="00E63E31"/>
    <w:rsid w:val="00E63F3E"/>
    <w:rsid w:val="00E640D6"/>
    <w:rsid w:val="00E645CD"/>
    <w:rsid w:val="00E70138"/>
    <w:rsid w:val="00E7124A"/>
    <w:rsid w:val="00E714E1"/>
    <w:rsid w:val="00E71AB6"/>
    <w:rsid w:val="00E73320"/>
    <w:rsid w:val="00E735A3"/>
    <w:rsid w:val="00E74275"/>
    <w:rsid w:val="00E747D0"/>
    <w:rsid w:val="00E74C79"/>
    <w:rsid w:val="00E759BB"/>
    <w:rsid w:val="00E7731C"/>
    <w:rsid w:val="00E775B1"/>
    <w:rsid w:val="00E776D4"/>
    <w:rsid w:val="00E80958"/>
    <w:rsid w:val="00E80E27"/>
    <w:rsid w:val="00E82BA9"/>
    <w:rsid w:val="00E836BF"/>
    <w:rsid w:val="00E83DE8"/>
    <w:rsid w:val="00E84DB5"/>
    <w:rsid w:val="00E85634"/>
    <w:rsid w:val="00E866FA"/>
    <w:rsid w:val="00E90263"/>
    <w:rsid w:val="00E902FD"/>
    <w:rsid w:val="00E9081B"/>
    <w:rsid w:val="00E90DDB"/>
    <w:rsid w:val="00E91493"/>
    <w:rsid w:val="00E92B15"/>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60DD"/>
    <w:rsid w:val="00EB70CE"/>
    <w:rsid w:val="00EB77F8"/>
    <w:rsid w:val="00EC1474"/>
    <w:rsid w:val="00EC1B5A"/>
    <w:rsid w:val="00EC23AE"/>
    <w:rsid w:val="00EC25B3"/>
    <w:rsid w:val="00EC2711"/>
    <w:rsid w:val="00EC43B0"/>
    <w:rsid w:val="00EC61B9"/>
    <w:rsid w:val="00EC6DA7"/>
    <w:rsid w:val="00ED1080"/>
    <w:rsid w:val="00ED13D9"/>
    <w:rsid w:val="00ED2878"/>
    <w:rsid w:val="00ED3784"/>
    <w:rsid w:val="00ED3C9A"/>
    <w:rsid w:val="00ED436E"/>
    <w:rsid w:val="00ED4D50"/>
    <w:rsid w:val="00ED512D"/>
    <w:rsid w:val="00ED58BE"/>
    <w:rsid w:val="00ED7165"/>
    <w:rsid w:val="00EE0658"/>
    <w:rsid w:val="00EE15A6"/>
    <w:rsid w:val="00EE200F"/>
    <w:rsid w:val="00EE4B43"/>
    <w:rsid w:val="00EE4EE1"/>
    <w:rsid w:val="00EE5F47"/>
    <w:rsid w:val="00EE6252"/>
    <w:rsid w:val="00EE68A6"/>
    <w:rsid w:val="00EF0C22"/>
    <w:rsid w:val="00EF0ED4"/>
    <w:rsid w:val="00EF3A67"/>
    <w:rsid w:val="00EF54D1"/>
    <w:rsid w:val="00EF729A"/>
    <w:rsid w:val="00EF73FD"/>
    <w:rsid w:val="00EF744C"/>
    <w:rsid w:val="00F0154B"/>
    <w:rsid w:val="00F02B58"/>
    <w:rsid w:val="00F03BBA"/>
    <w:rsid w:val="00F04D2B"/>
    <w:rsid w:val="00F05344"/>
    <w:rsid w:val="00F05862"/>
    <w:rsid w:val="00F05BAD"/>
    <w:rsid w:val="00F10516"/>
    <w:rsid w:val="00F10DFA"/>
    <w:rsid w:val="00F12DD5"/>
    <w:rsid w:val="00F13A11"/>
    <w:rsid w:val="00F144D4"/>
    <w:rsid w:val="00F156B9"/>
    <w:rsid w:val="00F15FA1"/>
    <w:rsid w:val="00F16563"/>
    <w:rsid w:val="00F16AB8"/>
    <w:rsid w:val="00F16C42"/>
    <w:rsid w:val="00F2069A"/>
    <w:rsid w:val="00F215C4"/>
    <w:rsid w:val="00F2179D"/>
    <w:rsid w:val="00F220B3"/>
    <w:rsid w:val="00F23823"/>
    <w:rsid w:val="00F24280"/>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4F21"/>
    <w:rsid w:val="00F450E6"/>
    <w:rsid w:val="00F457DC"/>
    <w:rsid w:val="00F45F64"/>
    <w:rsid w:val="00F5093A"/>
    <w:rsid w:val="00F50AB7"/>
    <w:rsid w:val="00F50B61"/>
    <w:rsid w:val="00F50C96"/>
    <w:rsid w:val="00F50CC4"/>
    <w:rsid w:val="00F517F8"/>
    <w:rsid w:val="00F51ECB"/>
    <w:rsid w:val="00F52D3B"/>
    <w:rsid w:val="00F53C8D"/>
    <w:rsid w:val="00F53FCF"/>
    <w:rsid w:val="00F55228"/>
    <w:rsid w:val="00F61769"/>
    <w:rsid w:val="00F62DCF"/>
    <w:rsid w:val="00F642C8"/>
    <w:rsid w:val="00F645ED"/>
    <w:rsid w:val="00F65972"/>
    <w:rsid w:val="00F67A9A"/>
    <w:rsid w:val="00F67FFB"/>
    <w:rsid w:val="00F70316"/>
    <w:rsid w:val="00F71795"/>
    <w:rsid w:val="00F722B3"/>
    <w:rsid w:val="00F7277B"/>
    <w:rsid w:val="00F7353F"/>
    <w:rsid w:val="00F73EF3"/>
    <w:rsid w:val="00F7445B"/>
    <w:rsid w:val="00F744C4"/>
    <w:rsid w:val="00F75CF0"/>
    <w:rsid w:val="00F75F4D"/>
    <w:rsid w:val="00F7686B"/>
    <w:rsid w:val="00F7708C"/>
    <w:rsid w:val="00F80C5B"/>
    <w:rsid w:val="00F81389"/>
    <w:rsid w:val="00F814E9"/>
    <w:rsid w:val="00F829B8"/>
    <w:rsid w:val="00F82C30"/>
    <w:rsid w:val="00F8309A"/>
    <w:rsid w:val="00F832A4"/>
    <w:rsid w:val="00F8372B"/>
    <w:rsid w:val="00F83884"/>
    <w:rsid w:val="00F845B4"/>
    <w:rsid w:val="00F85453"/>
    <w:rsid w:val="00F85554"/>
    <w:rsid w:val="00F86712"/>
    <w:rsid w:val="00F86B81"/>
    <w:rsid w:val="00F8728D"/>
    <w:rsid w:val="00F87624"/>
    <w:rsid w:val="00F90622"/>
    <w:rsid w:val="00F9155F"/>
    <w:rsid w:val="00F91BA3"/>
    <w:rsid w:val="00F95D86"/>
    <w:rsid w:val="00FA1CCB"/>
    <w:rsid w:val="00FA3963"/>
    <w:rsid w:val="00FA3C12"/>
    <w:rsid w:val="00FA3F62"/>
    <w:rsid w:val="00FA547F"/>
    <w:rsid w:val="00FA63E9"/>
    <w:rsid w:val="00FA647E"/>
    <w:rsid w:val="00FA6F5D"/>
    <w:rsid w:val="00FA7C96"/>
    <w:rsid w:val="00FB06E6"/>
    <w:rsid w:val="00FB09DF"/>
    <w:rsid w:val="00FB37AD"/>
    <w:rsid w:val="00FB3C2E"/>
    <w:rsid w:val="00FB3E8F"/>
    <w:rsid w:val="00FB5FE5"/>
    <w:rsid w:val="00FB6189"/>
    <w:rsid w:val="00FB62C8"/>
    <w:rsid w:val="00FB6807"/>
    <w:rsid w:val="00FB6F6F"/>
    <w:rsid w:val="00FB7602"/>
    <w:rsid w:val="00FC0DE2"/>
    <w:rsid w:val="00FC143C"/>
    <w:rsid w:val="00FC24BD"/>
    <w:rsid w:val="00FC38A6"/>
    <w:rsid w:val="00FC3E75"/>
    <w:rsid w:val="00FC53D8"/>
    <w:rsid w:val="00FC57BC"/>
    <w:rsid w:val="00FC6445"/>
    <w:rsid w:val="00FD0173"/>
    <w:rsid w:val="00FD0958"/>
    <w:rsid w:val="00FD21EE"/>
    <w:rsid w:val="00FD2949"/>
    <w:rsid w:val="00FD53D0"/>
    <w:rsid w:val="00FD5D9A"/>
    <w:rsid w:val="00FD7B8C"/>
    <w:rsid w:val="00FE1803"/>
    <w:rsid w:val="00FE23E5"/>
    <w:rsid w:val="00FE34B3"/>
    <w:rsid w:val="00FE3FCA"/>
    <w:rsid w:val="00FE4E84"/>
    <w:rsid w:val="00FE7B4F"/>
    <w:rsid w:val="00FF0A5B"/>
    <w:rsid w:val="00FF11DA"/>
    <w:rsid w:val="00FF12AE"/>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
    <w:name w:val="Grid Table 1 Light"/>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
    <w:name w:val="Grid Table 1 Light"/>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hyperlink" Target="https://www.treasury.gov/resource-center/sanctions/Pages/default.aspx" TargetMode="External"/><Relationship Id="rId4" Type="http://schemas.microsoft.com/office/2007/relationships/stylesWithEffects" Target="stylesWithEffects.xml"/><Relationship Id="rId9" Type="http://schemas.openxmlformats.org/officeDocument/2006/relationships/hyperlink" Target="http://nces.ed.gov/datala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programs/coe/indicator_cbc.asp" TargetMode="External"/><Relationship Id="rId1" Type="http://schemas.openxmlformats.org/officeDocument/2006/relationships/hyperlink" Target="http://www.naceweb.org/job-market/compensation/overall-starting-salary-for-class-of-2015-graduates-up-4-3-per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60D40-53C9-4614-BF2B-8536A828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17</Pages>
  <Words>8558</Words>
  <Characters>48782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57226</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16</cp:revision>
  <cp:lastPrinted>2017-03-21T19:57:00Z</cp:lastPrinted>
  <dcterms:created xsi:type="dcterms:W3CDTF">2017-04-24T18:10:00Z</dcterms:created>
  <dcterms:modified xsi:type="dcterms:W3CDTF">2017-05-01T19:40:00Z</dcterms:modified>
</cp:coreProperties>
</file>