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039" w:rsidRDefault="004E2039" w:rsidP="00A70E55">
      <w:pPr>
        <w:ind w:firstLine="360"/>
        <w:jc w:val="center"/>
        <w:rPr>
          <w:b/>
        </w:rPr>
      </w:pPr>
      <w:bookmarkStart w:id="0" w:name="_GoBack"/>
      <w:bookmarkEnd w:id="0"/>
    </w:p>
    <w:p w:rsidR="00006350" w:rsidRPr="00006350" w:rsidRDefault="008E2861" w:rsidP="00A70E55">
      <w:pPr>
        <w:ind w:firstLine="360"/>
        <w:jc w:val="center"/>
        <w:rPr>
          <w:b/>
        </w:rPr>
      </w:pPr>
      <w:r w:rsidRPr="00006350">
        <w:rPr>
          <w:b/>
        </w:rPr>
        <w:t>Supporting Statement for Paperwork Reduction Act Submissions</w:t>
      </w:r>
    </w:p>
    <w:p w:rsidR="00006350" w:rsidRPr="00006350" w:rsidRDefault="00B16E7A" w:rsidP="00006350">
      <w:pPr>
        <w:jc w:val="center"/>
        <w:rPr>
          <w:b/>
        </w:rPr>
      </w:pPr>
      <w:r>
        <w:rPr>
          <w:b/>
        </w:rPr>
        <w:t>Electronic</w:t>
      </w:r>
      <w:r w:rsidR="00006350" w:rsidRPr="00006350">
        <w:rPr>
          <w:b/>
        </w:rPr>
        <w:t xml:space="preserve"> Line of Credit Control System (</w:t>
      </w:r>
      <w:proofErr w:type="spellStart"/>
      <w:r>
        <w:rPr>
          <w:b/>
        </w:rPr>
        <w:t>e</w:t>
      </w:r>
      <w:r w:rsidR="00006350" w:rsidRPr="00006350">
        <w:rPr>
          <w:b/>
        </w:rPr>
        <w:t>LOCCS</w:t>
      </w:r>
      <w:proofErr w:type="spellEnd"/>
      <w:r w:rsidR="00006350" w:rsidRPr="00006350">
        <w:rPr>
          <w:b/>
        </w:rPr>
        <w:t>) System Access</w:t>
      </w:r>
    </w:p>
    <w:p w:rsidR="008E2861" w:rsidRPr="00006350" w:rsidRDefault="008E2861" w:rsidP="00006350"/>
    <w:p w:rsidR="008E2861" w:rsidRPr="00006350" w:rsidRDefault="008E2861" w:rsidP="00006350">
      <w:r w:rsidRPr="00006350">
        <w:t>A.  Justification</w:t>
      </w:r>
    </w:p>
    <w:p w:rsidR="008E2861" w:rsidRPr="00006350" w:rsidRDefault="008E2861" w:rsidP="00006350"/>
    <w:p w:rsidR="008E2861" w:rsidRPr="00006350" w:rsidRDefault="008E2861" w:rsidP="00006350">
      <w:r w:rsidRPr="00006350">
        <w:t>1.  This information collection is necessary to designate an appropriate official</w:t>
      </w:r>
      <w:r w:rsidR="00582673">
        <w:t xml:space="preserve"> to access </w:t>
      </w:r>
      <w:r w:rsidR="006C5495">
        <w:t xml:space="preserve"> Electronic Line of Credit Control System (</w:t>
      </w:r>
      <w:proofErr w:type="spellStart"/>
      <w:r w:rsidR="006C5495">
        <w:t>eLOCCS</w:t>
      </w:r>
      <w:proofErr w:type="spellEnd"/>
      <w:r w:rsidR="006C5495">
        <w:t>)</w:t>
      </w:r>
      <w:r w:rsidR="00582673">
        <w:t>, which</w:t>
      </w:r>
      <w:r w:rsidRPr="00006350">
        <w:t xml:space="preserve"> provides a means for Grant recipients to receive payments.  The attached copy of CFT 85.21 prescribes the basic standard and methods under which a Federal agency will make payments to grantees.</w:t>
      </w:r>
      <w:r w:rsidR="00582673">
        <w:t xml:space="preserve">  HUD must collect identifying information from Grantees to establish their </w:t>
      </w:r>
      <w:proofErr w:type="spellStart"/>
      <w:r w:rsidR="00582673">
        <w:t>eLOCCS</w:t>
      </w:r>
      <w:proofErr w:type="spellEnd"/>
      <w:r w:rsidR="00582673">
        <w:t xml:space="preserve"> access.</w:t>
      </w:r>
    </w:p>
    <w:p w:rsidR="008E2861" w:rsidRPr="00006350" w:rsidRDefault="008E2861" w:rsidP="00006350"/>
    <w:p w:rsidR="008E2861" w:rsidRPr="00006350" w:rsidRDefault="008E2861" w:rsidP="00006350">
      <w:r w:rsidRPr="00006350">
        <w:t>2.  Grant recipients provide information for the applicable HUD program with all the necessary information</w:t>
      </w:r>
      <w:r w:rsidR="00582673">
        <w:t xml:space="preserve"> (f</w:t>
      </w:r>
      <w:r w:rsidR="00582673" w:rsidRPr="00582673">
        <w:t>irst, last, and middle name, title, telephone number, work mailing address, e-mail address, organization tax ID number, organization name</w:t>
      </w:r>
      <w:r w:rsidR="00582673">
        <w:t xml:space="preserve">) to be granted access to </w:t>
      </w:r>
      <w:proofErr w:type="spellStart"/>
      <w:r w:rsidR="00582673">
        <w:t>eLOCCS</w:t>
      </w:r>
      <w:proofErr w:type="spellEnd"/>
      <w:r w:rsidRPr="00006350">
        <w:t xml:space="preserve">.  </w:t>
      </w:r>
      <w:r w:rsidR="00582673">
        <w:t xml:space="preserve">Upon receiving access to </w:t>
      </w:r>
      <w:proofErr w:type="spellStart"/>
      <w:r w:rsidR="00582673">
        <w:t>eLOCCS</w:t>
      </w:r>
      <w:proofErr w:type="spellEnd"/>
      <w:r w:rsidR="00582673">
        <w:t>, grantees can</w:t>
      </w:r>
      <w:r w:rsidRPr="00006350">
        <w:t xml:space="preserve"> request payment through </w:t>
      </w:r>
      <w:r w:rsidR="00866F85">
        <w:t>the Electronic Line of Credit Control System (</w:t>
      </w:r>
      <w:proofErr w:type="spellStart"/>
      <w:r w:rsidR="00B16E7A">
        <w:t>eLOCCS</w:t>
      </w:r>
      <w:proofErr w:type="spellEnd"/>
      <w:r w:rsidR="00B16E7A">
        <w:t xml:space="preserve"> </w:t>
      </w:r>
      <w:r w:rsidRPr="00006350">
        <w:t>System.</w:t>
      </w:r>
      <w:r w:rsidR="00866F85">
        <w:t>)</w:t>
      </w:r>
      <w:r w:rsidRPr="00006350">
        <w:t xml:space="preserve">  Respondents submit payment requests directly to HUD.  Additional information is submitted to establish access to </w:t>
      </w:r>
      <w:r w:rsidR="00D86218">
        <w:t xml:space="preserve">the </w:t>
      </w:r>
      <w:proofErr w:type="spellStart"/>
      <w:r w:rsidR="00D86218">
        <w:t>eLOCCS</w:t>
      </w:r>
      <w:proofErr w:type="spellEnd"/>
      <w:r w:rsidR="00D86218">
        <w:t xml:space="preserve"> </w:t>
      </w:r>
      <w:r w:rsidRPr="00006350">
        <w:t>system.  This information is also used as an internal control feature that’s instituted to support and safeguard Federal funds, as well as provide a service to the recipients.</w:t>
      </w:r>
    </w:p>
    <w:p w:rsidR="008E2861" w:rsidRPr="00006350" w:rsidRDefault="008E2861" w:rsidP="00006350"/>
    <w:p w:rsidR="008E2861" w:rsidRPr="00006350" w:rsidRDefault="008E2861" w:rsidP="00006350">
      <w:r w:rsidRPr="00006350">
        <w:t xml:space="preserve">3.  The </w:t>
      </w:r>
      <w:proofErr w:type="spellStart"/>
      <w:r w:rsidR="00B16E7A">
        <w:t>eLOCCS</w:t>
      </w:r>
      <w:proofErr w:type="spellEnd"/>
      <w:r w:rsidRPr="00006350">
        <w:t xml:space="preserve"> system provides a fast, reliable method for recipients to obtain Federal funding.  This technology method allows the recipient to know before the end of the call whether their request will be paid, who to call if there is a problem, or if the request was not processed by the system.  All requests processed by the system are paid by </w:t>
      </w:r>
      <w:r w:rsidR="00582673">
        <w:t>Automated Clearing House (</w:t>
      </w:r>
      <w:r w:rsidRPr="00006350">
        <w:t>ACH</w:t>
      </w:r>
      <w:r w:rsidR="00582673">
        <w:t>)</w:t>
      </w:r>
      <w:r w:rsidRPr="00006350">
        <w:t xml:space="preserve"> within 48 hours.</w:t>
      </w:r>
      <w:r w:rsidR="00BF55A9" w:rsidRPr="00006350">
        <w:t xml:space="preserve">  A link to the </w:t>
      </w:r>
      <w:r w:rsidR="00304798">
        <w:t>L</w:t>
      </w:r>
      <w:r w:rsidR="00BF55A9" w:rsidRPr="00006350">
        <w:t xml:space="preserve">OCCS </w:t>
      </w:r>
      <w:r w:rsidR="00304798">
        <w:t>p</w:t>
      </w:r>
      <w:r w:rsidR="00BF55A9" w:rsidRPr="00006350">
        <w:t xml:space="preserve">rogram </w:t>
      </w:r>
      <w:r w:rsidR="00304798">
        <w:t>a</w:t>
      </w:r>
      <w:r w:rsidR="00BF55A9" w:rsidRPr="00006350">
        <w:t xml:space="preserve">rea </w:t>
      </w:r>
      <w:r w:rsidR="00304798">
        <w:t>c</w:t>
      </w:r>
      <w:r w:rsidR="00BF55A9" w:rsidRPr="00006350">
        <w:t>odes is on the instructions page of the HUD-27054</w:t>
      </w:r>
      <w:r w:rsidR="00EF3E0A">
        <w:t>E</w:t>
      </w:r>
      <w:r w:rsidR="00BF55A9" w:rsidRPr="00006350">
        <w:t xml:space="preserve"> form.  </w:t>
      </w:r>
    </w:p>
    <w:p w:rsidR="008E2861" w:rsidRPr="00006350" w:rsidRDefault="008E2861" w:rsidP="00006350"/>
    <w:p w:rsidR="008E2861" w:rsidRDefault="008E2861" w:rsidP="00006350">
      <w:r w:rsidRPr="00006350">
        <w:t>4.  Each request for funds distribution is unique.  Only the identifying elements are duplicated to establish access.</w:t>
      </w:r>
      <w:r w:rsidR="00582673">
        <w:t xml:space="preserve"> Duplicated information cannot be used in order to differentiate the distribution.</w:t>
      </w:r>
    </w:p>
    <w:p w:rsidR="008E2861" w:rsidRPr="00006350" w:rsidRDefault="004E2039" w:rsidP="00006350">
      <w:r>
        <w:t>Identifiers are needed for transactions in case auditors need to review them for waste, fraud and abuse.</w:t>
      </w:r>
      <w:r>
        <w:br/>
      </w:r>
      <w:r>
        <w:br/>
      </w:r>
      <w:r w:rsidR="008E2861" w:rsidRPr="00006350">
        <w:t>5.  There is no impact to small entities.</w:t>
      </w:r>
    </w:p>
    <w:p w:rsidR="008E2861" w:rsidRPr="00006350" w:rsidRDefault="008E2861" w:rsidP="00006350"/>
    <w:p w:rsidR="008E2861" w:rsidRPr="00006350" w:rsidRDefault="008E2861" w:rsidP="00006350">
      <w:r w:rsidRPr="00006350">
        <w:t>6.  The collection provides for funds distribution to grant recipients.  Distribution is not feasible without receipt of a request.</w:t>
      </w:r>
      <w:r w:rsidR="00582673">
        <w:t xml:space="preserve">  HUD cannot meet its’ mission if grantees have no method to receive payments. </w:t>
      </w:r>
    </w:p>
    <w:p w:rsidR="008E2861" w:rsidRPr="00006350" w:rsidRDefault="008E2861" w:rsidP="00006350"/>
    <w:p w:rsidR="00416F85" w:rsidRDefault="00CC4EEC" w:rsidP="00416F85">
      <w:r>
        <w:t xml:space="preserve">7. </w:t>
      </w:r>
      <w:r w:rsidR="00D72B13">
        <w:t xml:space="preserve"> There are no special circumstances that apply to this information collection.</w:t>
      </w:r>
    </w:p>
    <w:p w:rsidR="00D72B13" w:rsidRDefault="00D72B13" w:rsidP="00416F85"/>
    <w:p w:rsidR="00D72B13" w:rsidRPr="00D72B13" w:rsidRDefault="00416F85" w:rsidP="00D72B13">
      <w:pPr>
        <w:pStyle w:val="ListParagraph"/>
        <w:numPr>
          <w:ilvl w:val="0"/>
          <w:numId w:val="6"/>
        </w:numPr>
        <w:ind w:hanging="720"/>
      </w:pPr>
      <w:r w:rsidRPr="00416F85">
        <w:rPr>
          <w:rFonts w:ascii="Times New Roman" w:hAnsi="Times New Roman" w:cs="Times New Roman"/>
          <w:sz w:val="24"/>
          <w:szCs w:val="24"/>
        </w:rPr>
        <w:t>requiring respondents to report information to the a</w:t>
      </w:r>
      <w:r>
        <w:rPr>
          <w:rFonts w:ascii="Times New Roman" w:hAnsi="Times New Roman" w:cs="Times New Roman"/>
          <w:sz w:val="24"/>
          <w:szCs w:val="24"/>
        </w:rPr>
        <w:t xml:space="preserve">gency more often than quarterly. </w:t>
      </w:r>
    </w:p>
    <w:p w:rsidR="00460E6F" w:rsidRPr="00460E6F" w:rsidRDefault="00416F85" w:rsidP="00D72B13">
      <w:r w:rsidRPr="00D72B13">
        <w:t xml:space="preserve"> </w:t>
      </w:r>
    </w:p>
    <w:p w:rsidR="00416F85" w:rsidRPr="00460E6F" w:rsidRDefault="00416F85" w:rsidP="00D72B13">
      <w:pPr>
        <w:pStyle w:val="ListParagraph"/>
        <w:numPr>
          <w:ilvl w:val="1"/>
          <w:numId w:val="6"/>
        </w:numPr>
        <w:ind w:left="720" w:hanging="720"/>
        <w:rPr>
          <w:sz w:val="24"/>
          <w:szCs w:val="24"/>
        </w:rPr>
      </w:pPr>
      <w:r w:rsidRPr="00460E6F">
        <w:rPr>
          <w:rFonts w:ascii="Times New Roman" w:hAnsi="Times New Roman" w:cs="Times New Roman"/>
          <w:sz w:val="24"/>
          <w:szCs w:val="24"/>
        </w:rPr>
        <w:t xml:space="preserve">The associated burden is the minimum need to request payment of funds.  The </w:t>
      </w:r>
      <w:proofErr w:type="spellStart"/>
      <w:r w:rsidRPr="00460E6F">
        <w:rPr>
          <w:rFonts w:ascii="Times New Roman" w:hAnsi="Times New Roman" w:cs="Times New Roman"/>
          <w:sz w:val="24"/>
          <w:szCs w:val="24"/>
        </w:rPr>
        <w:t>eLOCCS</w:t>
      </w:r>
      <w:proofErr w:type="spellEnd"/>
      <w:r w:rsidRPr="00460E6F">
        <w:rPr>
          <w:rFonts w:ascii="Times New Roman" w:hAnsi="Times New Roman" w:cs="Times New Roman"/>
          <w:sz w:val="24"/>
          <w:szCs w:val="24"/>
        </w:rPr>
        <w:t xml:space="preserve"> system will accept request of funds from a recipient on a daily basis; however, a recipient should be using good cash management practices and request payment of HUD funds </w:t>
      </w:r>
      <w:r w:rsidRPr="00460E6F">
        <w:rPr>
          <w:rFonts w:ascii="Times New Roman" w:hAnsi="Times New Roman" w:cs="Times New Roman"/>
          <w:sz w:val="24"/>
          <w:szCs w:val="24"/>
        </w:rPr>
        <w:lastRenderedPageBreak/>
        <w:t xml:space="preserve">administratively close to when they have to pay their bills.  </w:t>
      </w:r>
      <w:r w:rsidR="00460E6F" w:rsidRPr="00460E6F">
        <w:rPr>
          <w:rFonts w:ascii="Times New Roman" w:hAnsi="Times New Roman" w:cs="Times New Roman"/>
          <w:sz w:val="24"/>
          <w:szCs w:val="24"/>
        </w:rPr>
        <w:br/>
      </w:r>
      <w:r w:rsidR="00460E6F" w:rsidRPr="00460E6F">
        <w:rPr>
          <w:rFonts w:ascii="Times New Roman" w:hAnsi="Times New Roman" w:cs="Times New Roman"/>
          <w:sz w:val="24"/>
          <w:szCs w:val="24"/>
        </w:rPr>
        <w:br/>
      </w:r>
      <w:r w:rsidRPr="00460E6F">
        <w:rPr>
          <w:rFonts w:ascii="Times New Roman" w:hAnsi="Times New Roman" w:cs="Times New Roman"/>
          <w:sz w:val="24"/>
          <w:szCs w:val="24"/>
        </w:rPr>
        <w:t>The frequency a recipient request funds will depend upon the types of activities they are managing and the recipient’s needs may exceed a quarterly response.</w:t>
      </w:r>
    </w:p>
    <w:p w:rsidR="00416F85" w:rsidRPr="00416F85" w:rsidRDefault="00416F85" w:rsidP="00416F85"/>
    <w:p w:rsidR="00416F85" w:rsidRDefault="00416F85" w:rsidP="00D72B13">
      <w:pPr>
        <w:pStyle w:val="ListParagraph"/>
        <w:numPr>
          <w:ilvl w:val="0"/>
          <w:numId w:val="6"/>
        </w:numPr>
        <w:ind w:hanging="720"/>
        <w:rPr>
          <w:rFonts w:ascii="Times New Roman" w:hAnsi="Times New Roman" w:cs="Times New Roman"/>
          <w:sz w:val="24"/>
          <w:szCs w:val="24"/>
        </w:rPr>
      </w:pPr>
      <w:r w:rsidRPr="00416F85">
        <w:rPr>
          <w:rFonts w:ascii="Times New Roman" w:hAnsi="Times New Roman" w:cs="Times New Roman"/>
          <w:sz w:val="24"/>
          <w:szCs w:val="24"/>
        </w:rPr>
        <w:t xml:space="preserve">response </w:t>
      </w:r>
      <w:r w:rsidR="00D72B13">
        <w:rPr>
          <w:rFonts w:ascii="Times New Roman" w:hAnsi="Times New Roman" w:cs="Times New Roman"/>
          <w:sz w:val="24"/>
          <w:szCs w:val="24"/>
        </w:rPr>
        <w:t xml:space="preserve">in fewer than 30 </w:t>
      </w:r>
      <w:r w:rsidR="00021AB8">
        <w:rPr>
          <w:rFonts w:ascii="Times New Roman" w:hAnsi="Times New Roman" w:cs="Times New Roman"/>
          <w:sz w:val="24"/>
          <w:szCs w:val="24"/>
        </w:rPr>
        <w:t xml:space="preserve">days; </w:t>
      </w:r>
      <w:r w:rsidR="00021AB8" w:rsidRPr="00021AB8">
        <w:rPr>
          <w:rFonts w:ascii="Times New Roman" w:hAnsi="Times New Roman" w:cs="Times New Roman"/>
          <w:b/>
          <w:sz w:val="24"/>
          <w:szCs w:val="24"/>
        </w:rPr>
        <w:t>N/A</w:t>
      </w:r>
    </w:p>
    <w:p w:rsidR="00416F85" w:rsidRPr="00416F85" w:rsidRDefault="00416F85" w:rsidP="00416F85"/>
    <w:p w:rsidR="00460E6F" w:rsidRPr="00021AB8" w:rsidRDefault="00416F85" w:rsidP="00021AB8">
      <w:pPr>
        <w:pStyle w:val="ListParagraph"/>
        <w:numPr>
          <w:ilvl w:val="0"/>
          <w:numId w:val="5"/>
        </w:numPr>
        <w:ind w:hanging="720"/>
        <w:rPr>
          <w:rFonts w:ascii="Times New Roman" w:hAnsi="Times New Roman" w:cs="Times New Roman"/>
          <w:b/>
          <w:sz w:val="24"/>
          <w:szCs w:val="24"/>
        </w:rPr>
      </w:pPr>
      <w:r w:rsidRPr="00416F85">
        <w:rPr>
          <w:rFonts w:ascii="Times New Roman" w:hAnsi="Times New Roman" w:cs="Times New Roman"/>
          <w:sz w:val="24"/>
          <w:szCs w:val="24"/>
        </w:rPr>
        <w:t>more than an original and two copies of any document</w:t>
      </w:r>
      <w:r w:rsidR="00021AB8">
        <w:rPr>
          <w:rFonts w:ascii="Times New Roman" w:hAnsi="Times New Roman" w:cs="Times New Roman"/>
          <w:sz w:val="24"/>
          <w:szCs w:val="24"/>
        </w:rPr>
        <w:t xml:space="preserve">; </w:t>
      </w:r>
      <w:r w:rsidR="00021AB8" w:rsidRPr="00021AB8">
        <w:rPr>
          <w:rFonts w:ascii="Times New Roman" w:hAnsi="Times New Roman" w:cs="Times New Roman"/>
          <w:b/>
          <w:sz w:val="24"/>
          <w:szCs w:val="24"/>
        </w:rPr>
        <w:t>N/A</w:t>
      </w:r>
    </w:p>
    <w:p w:rsidR="00416F85" w:rsidRPr="00021AB8" w:rsidRDefault="00416F85" w:rsidP="00021AB8">
      <w:pPr>
        <w:pStyle w:val="ListParagraph"/>
        <w:numPr>
          <w:ilvl w:val="0"/>
          <w:numId w:val="5"/>
        </w:numPr>
        <w:ind w:hanging="720"/>
      </w:pPr>
      <w:r w:rsidRPr="00021AB8">
        <w:t>re</w:t>
      </w:r>
      <w:r w:rsidR="00021AB8" w:rsidRPr="00021AB8">
        <w:t>tain records for more than three years (other than health</w:t>
      </w:r>
      <w:r w:rsidRPr="00021AB8">
        <w:t>, medical, government contract, grant-in-aid, or tax records</w:t>
      </w:r>
      <w:r w:rsidR="00021AB8" w:rsidRPr="00021AB8">
        <w:t xml:space="preserve">); </w:t>
      </w:r>
      <w:r w:rsidR="00021AB8" w:rsidRPr="00021AB8">
        <w:rPr>
          <w:b/>
        </w:rPr>
        <w:t>N</w:t>
      </w:r>
      <w:r w:rsidRPr="00021AB8">
        <w:rPr>
          <w:b/>
        </w:rPr>
        <w:t>/A</w:t>
      </w:r>
    </w:p>
    <w:p w:rsidR="00416F85" w:rsidRPr="00416F85" w:rsidRDefault="00416F85" w:rsidP="00416F85"/>
    <w:p w:rsidR="00416F85" w:rsidRPr="00021AB8" w:rsidRDefault="00416F85" w:rsidP="00021AB8">
      <w:pPr>
        <w:pStyle w:val="ListParagraph"/>
        <w:numPr>
          <w:ilvl w:val="0"/>
          <w:numId w:val="5"/>
        </w:numPr>
        <w:ind w:hanging="720"/>
      </w:pPr>
      <w:r w:rsidRPr="00021AB8">
        <w:t xml:space="preserve">statistical survey, that is not designed to produce valid and reliable results that can be generalized to the universe of </w:t>
      </w:r>
      <w:r w:rsidR="00021AB8" w:rsidRPr="00021AB8">
        <w:t xml:space="preserve">study; </w:t>
      </w:r>
      <w:r w:rsidR="00021AB8" w:rsidRPr="00021AB8">
        <w:rPr>
          <w:b/>
        </w:rPr>
        <w:t>N</w:t>
      </w:r>
      <w:r w:rsidRPr="00021AB8">
        <w:rPr>
          <w:b/>
        </w:rPr>
        <w:t>/A</w:t>
      </w:r>
    </w:p>
    <w:p w:rsidR="00416F85" w:rsidRPr="00416F85" w:rsidRDefault="00416F85" w:rsidP="00416F85"/>
    <w:p w:rsidR="00416F85" w:rsidRPr="00ED5F9E" w:rsidRDefault="00416F85" w:rsidP="00ED5F9E">
      <w:pPr>
        <w:pStyle w:val="ListParagraph"/>
        <w:numPr>
          <w:ilvl w:val="0"/>
          <w:numId w:val="5"/>
        </w:numPr>
        <w:tabs>
          <w:tab w:val="left" w:pos="1350"/>
        </w:tabs>
        <w:ind w:hanging="720"/>
        <w:rPr>
          <w:b/>
        </w:rPr>
      </w:pPr>
      <w:r w:rsidRPr="00ED5F9E">
        <w:t>statistical data classification that has not been reviewed and approved by OMB</w:t>
      </w:r>
      <w:r w:rsidR="00021AB8" w:rsidRPr="00ED5F9E">
        <w:t xml:space="preserve">; </w:t>
      </w:r>
      <w:r w:rsidR="00021AB8" w:rsidRPr="00ED5F9E">
        <w:rPr>
          <w:b/>
        </w:rPr>
        <w:t>N/A</w:t>
      </w:r>
    </w:p>
    <w:p w:rsidR="00416F85" w:rsidRPr="00416F85" w:rsidRDefault="00416F85" w:rsidP="00416F85"/>
    <w:p w:rsidR="00416F85" w:rsidRPr="00ED5F9E" w:rsidRDefault="00416F85" w:rsidP="00ED5F9E">
      <w:pPr>
        <w:pStyle w:val="ListParagraph"/>
        <w:numPr>
          <w:ilvl w:val="1"/>
          <w:numId w:val="5"/>
        </w:numPr>
        <w:ind w:left="720" w:hanging="720"/>
        <w:rPr>
          <w:rFonts w:ascii="Times New Roman" w:hAnsi="Times New Roman" w:cs="Times New Roman"/>
          <w:sz w:val="24"/>
          <w:szCs w:val="24"/>
        </w:rPr>
      </w:pPr>
      <w:r w:rsidRPr="00ED5F9E">
        <w:rPr>
          <w:rFonts w:ascii="Times New Roman" w:hAnsi="Times New Roman" w:cs="Times New Roman"/>
          <w:sz w:val="24"/>
          <w:szCs w:val="24"/>
        </w:rPr>
        <w:t>a pledge of confidentiality that is not supported by statute or regulation, that is not supported by disclosure and data security policies that are consistent with the pledge, or which unnecessarily impedes sharing of data with other</w:t>
      </w:r>
      <w:r w:rsidR="00ED5F9E" w:rsidRPr="00ED5F9E">
        <w:rPr>
          <w:rFonts w:ascii="Times New Roman" w:hAnsi="Times New Roman" w:cs="Times New Roman"/>
          <w:sz w:val="24"/>
          <w:szCs w:val="24"/>
        </w:rPr>
        <w:t xml:space="preserve"> </w:t>
      </w:r>
      <w:r w:rsidRPr="00ED5F9E">
        <w:rPr>
          <w:rFonts w:ascii="Times New Roman" w:hAnsi="Times New Roman" w:cs="Times New Roman"/>
          <w:sz w:val="24"/>
          <w:szCs w:val="24"/>
        </w:rPr>
        <w:t xml:space="preserve">agencies for compatible confidential </w:t>
      </w:r>
      <w:r w:rsidR="00ED5F9E" w:rsidRPr="00ED5F9E">
        <w:rPr>
          <w:rFonts w:ascii="Times New Roman" w:hAnsi="Times New Roman" w:cs="Times New Roman"/>
          <w:sz w:val="24"/>
          <w:szCs w:val="24"/>
        </w:rPr>
        <w:t xml:space="preserve">use; </w:t>
      </w:r>
      <w:r w:rsidR="00ED5F9E" w:rsidRPr="00ED5F9E">
        <w:rPr>
          <w:rFonts w:ascii="Times New Roman" w:hAnsi="Times New Roman" w:cs="Times New Roman"/>
          <w:b/>
          <w:sz w:val="24"/>
          <w:szCs w:val="24"/>
        </w:rPr>
        <w:t>N</w:t>
      </w:r>
      <w:r w:rsidRPr="00ED5F9E">
        <w:rPr>
          <w:rFonts w:ascii="Times New Roman" w:hAnsi="Times New Roman" w:cs="Times New Roman"/>
          <w:b/>
          <w:sz w:val="24"/>
          <w:szCs w:val="24"/>
        </w:rPr>
        <w:t>/A</w:t>
      </w:r>
    </w:p>
    <w:p w:rsidR="00416F85" w:rsidRPr="00416F85" w:rsidRDefault="00416F85" w:rsidP="00416F85"/>
    <w:p w:rsidR="00990AC6" w:rsidRPr="00ED5F9E" w:rsidRDefault="00416F85" w:rsidP="00ED5F9E">
      <w:pPr>
        <w:pStyle w:val="ListParagraph"/>
        <w:numPr>
          <w:ilvl w:val="1"/>
          <w:numId w:val="5"/>
        </w:numPr>
        <w:ind w:left="720" w:hanging="720"/>
        <w:rPr>
          <w:rFonts w:ascii="Times New Roman" w:hAnsi="Times New Roman" w:cs="Times New Roman"/>
          <w:sz w:val="24"/>
          <w:szCs w:val="24"/>
        </w:rPr>
      </w:pPr>
      <w:r w:rsidRPr="00ED5F9E">
        <w:rPr>
          <w:rFonts w:ascii="Times New Roman" w:hAnsi="Times New Roman" w:cs="Times New Roman"/>
          <w:sz w:val="24"/>
          <w:szCs w:val="24"/>
        </w:rPr>
        <w:t xml:space="preserve">respondents to submit proprietary trade secrets, or other confidential </w:t>
      </w:r>
      <w:r w:rsidR="00866F85" w:rsidRPr="00ED5F9E">
        <w:rPr>
          <w:rFonts w:ascii="Times New Roman" w:hAnsi="Times New Roman" w:cs="Times New Roman"/>
          <w:sz w:val="24"/>
          <w:szCs w:val="24"/>
        </w:rPr>
        <w:t>information</w:t>
      </w:r>
      <w:r w:rsidR="00866F85">
        <w:rPr>
          <w:rFonts w:ascii="Times New Roman" w:hAnsi="Times New Roman" w:cs="Times New Roman"/>
          <w:sz w:val="24"/>
          <w:szCs w:val="24"/>
        </w:rPr>
        <w:t xml:space="preserve">; </w:t>
      </w:r>
      <w:r w:rsidR="00866F85" w:rsidRPr="00ED5F9E">
        <w:rPr>
          <w:rFonts w:ascii="Times New Roman" w:hAnsi="Times New Roman" w:cs="Times New Roman"/>
          <w:b/>
          <w:sz w:val="24"/>
          <w:szCs w:val="24"/>
        </w:rPr>
        <w:t>N</w:t>
      </w:r>
      <w:r w:rsidRPr="00ED5F9E">
        <w:rPr>
          <w:rFonts w:ascii="Times New Roman" w:hAnsi="Times New Roman" w:cs="Times New Roman"/>
          <w:b/>
          <w:sz w:val="24"/>
          <w:szCs w:val="24"/>
        </w:rPr>
        <w:t>/A.</w:t>
      </w:r>
    </w:p>
    <w:p w:rsidR="00646DFA" w:rsidRPr="0058206A" w:rsidRDefault="00646DFA" w:rsidP="00006350">
      <w:pPr>
        <w:rPr>
          <w:color w:val="FF0000"/>
        </w:rPr>
      </w:pPr>
    </w:p>
    <w:p w:rsidR="00D445B0" w:rsidRPr="00006350" w:rsidRDefault="00646DFA" w:rsidP="00006350">
      <w:r w:rsidRPr="00006350">
        <w:t xml:space="preserve">8.  A notice requesting public comments for 60 days was published </w:t>
      </w:r>
      <w:r w:rsidR="00D05125">
        <w:t xml:space="preserve">in the Federal Register on </w:t>
      </w:r>
      <w:r w:rsidR="00CF2D95">
        <w:t>September 26,</w:t>
      </w:r>
      <w:r w:rsidR="00D445B0" w:rsidRPr="00006350">
        <w:t xml:space="preserve"> </w:t>
      </w:r>
      <w:r w:rsidR="00B16E7A" w:rsidRPr="00006350">
        <w:t>201</w:t>
      </w:r>
      <w:r w:rsidR="00B16E7A">
        <w:t>6</w:t>
      </w:r>
      <w:r w:rsidR="00D445B0" w:rsidRPr="00006350">
        <w:t xml:space="preserve">, Volume </w:t>
      </w:r>
      <w:r w:rsidR="00CF2D95">
        <w:t>81</w:t>
      </w:r>
      <w:r w:rsidR="00D445B0" w:rsidRPr="00006350">
        <w:t xml:space="preserve">, Page </w:t>
      </w:r>
      <w:r w:rsidR="00CF2D95">
        <w:t>66069</w:t>
      </w:r>
      <w:r w:rsidR="00D445B0" w:rsidRPr="00006350">
        <w:t>.  No comments were received.</w:t>
      </w:r>
    </w:p>
    <w:p w:rsidR="00D445B0" w:rsidRPr="00006350" w:rsidRDefault="00D445B0" w:rsidP="00006350"/>
    <w:p w:rsidR="008E2861" w:rsidRPr="00006350" w:rsidRDefault="00D445B0" w:rsidP="00006350">
      <w:r w:rsidRPr="00006350">
        <w:t>9.  No payment or gift is provided.</w:t>
      </w:r>
      <w:r w:rsidR="00646DFA" w:rsidRPr="00006350">
        <w:t xml:space="preserve"> </w:t>
      </w:r>
    </w:p>
    <w:p w:rsidR="00D445B0" w:rsidRPr="00006350" w:rsidRDefault="00D445B0" w:rsidP="00006350"/>
    <w:p w:rsidR="00D445B0" w:rsidRPr="00006350" w:rsidRDefault="00D445B0" w:rsidP="00006350">
      <w:r w:rsidRPr="00006350">
        <w:t>10.  A Privacy Act Statement is included on each information collection instrument to assure confidentiality in collecting this information.  This payment system will require that the latest security features be installed to deter fraudulent payments.  Only a limited number of authorized officials will have access to the system for updating purposes.</w:t>
      </w:r>
    </w:p>
    <w:p w:rsidR="00D445B0" w:rsidRPr="00006350" w:rsidRDefault="00D445B0" w:rsidP="00006350"/>
    <w:p w:rsidR="00D445B0" w:rsidRPr="00006350" w:rsidRDefault="00D445B0" w:rsidP="00006350">
      <w:r w:rsidRPr="00006350">
        <w:t xml:space="preserve">11.  </w:t>
      </w:r>
      <w:r w:rsidR="00866F85">
        <w:t>The collection does not contain information of a sensitive nature about behavior or attitudes, religious beliefs, or private matters.</w:t>
      </w:r>
    </w:p>
    <w:p w:rsidR="00166871" w:rsidRPr="00006350" w:rsidRDefault="00166871" w:rsidP="00006350"/>
    <w:p w:rsidR="00207429" w:rsidRPr="00006350" w:rsidRDefault="00D445B0" w:rsidP="00006350">
      <w:r w:rsidRPr="00006350">
        <w:t xml:space="preserve">12.  </w:t>
      </w:r>
      <w:r w:rsidR="00A16114" w:rsidRPr="00006350">
        <w:t>Estimate of the hour burden of the collection of information:</w:t>
      </w:r>
    </w:p>
    <w:p w:rsidR="00207429" w:rsidRPr="00006350" w:rsidRDefault="00207429" w:rsidP="00006350"/>
    <w:p w:rsidR="00866F85" w:rsidRDefault="00E717A5" w:rsidP="00E717A5">
      <w:pPr>
        <w:ind w:firstLine="720"/>
      </w:pPr>
      <w:r w:rsidRPr="00E717A5">
        <w:t>Average Annual Usage</w:t>
      </w:r>
    </w:p>
    <w:p w:rsidR="00E717A5" w:rsidRPr="00E717A5" w:rsidRDefault="00E717A5" w:rsidP="00E717A5">
      <w:pPr>
        <w:ind w:firstLine="720"/>
      </w:pPr>
      <w:r w:rsidRPr="00E717A5">
        <w:tab/>
        <w:t xml:space="preserve"> </w:t>
      </w:r>
    </w:p>
    <w:tbl>
      <w:tblPr>
        <w:tblW w:w="97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23"/>
        <w:gridCol w:w="1373"/>
        <w:gridCol w:w="1184"/>
        <w:gridCol w:w="1148"/>
        <w:gridCol w:w="1066"/>
        <w:gridCol w:w="901"/>
        <w:gridCol w:w="1066"/>
        <w:gridCol w:w="1721"/>
      </w:tblGrid>
      <w:tr w:rsidR="004E06F7" w:rsidRPr="009A5F2A" w:rsidTr="00E54221">
        <w:tc>
          <w:tcPr>
            <w:tcW w:w="1323" w:type="dxa"/>
            <w:tcMar>
              <w:top w:w="0" w:type="dxa"/>
              <w:left w:w="108" w:type="dxa"/>
              <w:bottom w:w="0" w:type="dxa"/>
              <w:right w:w="108" w:type="dxa"/>
            </w:tcMar>
            <w:hideMark/>
          </w:tcPr>
          <w:p w:rsidR="004E06F7" w:rsidRPr="009A5F2A" w:rsidRDefault="004E06F7">
            <w:pPr>
              <w:overflowPunct w:val="0"/>
              <w:autoSpaceDE w:val="0"/>
              <w:autoSpaceDN w:val="0"/>
              <w:jc w:val="center"/>
              <w:rPr>
                <w:rFonts w:asciiTheme="minorHAnsi" w:eastAsia="Calibri" w:hAnsiTheme="minorHAnsi" w:cstheme="minorHAnsi"/>
                <w:b/>
                <w:color w:val="000000"/>
                <w:sz w:val="18"/>
                <w:szCs w:val="18"/>
              </w:rPr>
            </w:pPr>
            <w:r w:rsidRPr="009A5F2A">
              <w:rPr>
                <w:rFonts w:asciiTheme="minorHAnsi" w:hAnsiTheme="minorHAnsi" w:cstheme="minorHAnsi"/>
                <w:b/>
                <w:color w:val="000000"/>
                <w:sz w:val="18"/>
                <w:szCs w:val="18"/>
              </w:rPr>
              <w:t>Information Collection</w:t>
            </w:r>
          </w:p>
        </w:tc>
        <w:tc>
          <w:tcPr>
            <w:tcW w:w="1373" w:type="dxa"/>
            <w:tcMar>
              <w:top w:w="0" w:type="dxa"/>
              <w:left w:w="108" w:type="dxa"/>
              <w:bottom w:w="0" w:type="dxa"/>
              <w:right w:w="108" w:type="dxa"/>
            </w:tcMar>
            <w:hideMark/>
          </w:tcPr>
          <w:p w:rsidR="004E06F7" w:rsidRPr="009A5F2A" w:rsidRDefault="004E06F7">
            <w:pPr>
              <w:overflowPunct w:val="0"/>
              <w:autoSpaceDE w:val="0"/>
              <w:autoSpaceDN w:val="0"/>
              <w:jc w:val="center"/>
              <w:rPr>
                <w:rFonts w:asciiTheme="minorHAnsi" w:eastAsia="Calibri" w:hAnsiTheme="minorHAnsi" w:cstheme="minorHAnsi"/>
                <w:b/>
                <w:color w:val="000000"/>
                <w:sz w:val="18"/>
                <w:szCs w:val="18"/>
              </w:rPr>
            </w:pPr>
            <w:r w:rsidRPr="009A5F2A">
              <w:rPr>
                <w:rFonts w:asciiTheme="minorHAnsi" w:hAnsiTheme="minorHAnsi" w:cstheme="minorHAnsi"/>
                <w:b/>
                <w:color w:val="000000"/>
                <w:sz w:val="18"/>
                <w:szCs w:val="18"/>
              </w:rPr>
              <w:t>Number of Respondents</w:t>
            </w:r>
          </w:p>
        </w:tc>
        <w:tc>
          <w:tcPr>
            <w:tcW w:w="1184" w:type="dxa"/>
            <w:tcMar>
              <w:top w:w="0" w:type="dxa"/>
              <w:left w:w="108" w:type="dxa"/>
              <w:bottom w:w="0" w:type="dxa"/>
              <w:right w:w="108" w:type="dxa"/>
            </w:tcMar>
            <w:hideMark/>
          </w:tcPr>
          <w:p w:rsidR="004E06F7" w:rsidRPr="009A5F2A" w:rsidRDefault="004E06F7">
            <w:pPr>
              <w:overflowPunct w:val="0"/>
              <w:autoSpaceDE w:val="0"/>
              <w:autoSpaceDN w:val="0"/>
              <w:jc w:val="center"/>
              <w:rPr>
                <w:rFonts w:asciiTheme="minorHAnsi" w:eastAsia="Calibri" w:hAnsiTheme="minorHAnsi" w:cstheme="minorHAnsi"/>
                <w:b/>
                <w:color w:val="000000"/>
                <w:sz w:val="18"/>
                <w:szCs w:val="18"/>
              </w:rPr>
            </w:pPr>
            <w:r w:rsidRPr="009A5F2A">
              <w:rPr>
                <w:rFonts w:asciiTheme="minorHAnsi" w:hAnsiTheme="minorHAnsi" w:cstheme="minorHAnsi"/>
                <w:b/>
                <w:color w:val="000000"/>
                <w:sz w:val="18"/>
                <w:szCs w:val="18"/>
              </w:rPr>
              <w:t>Frequency of Response</w:t>
            </w:r>
          </w:p>
        </w:tc>
        <w:tc>
          <w:tcPr>
            <w:tcW w:w="1148" w:type="dxa"/>
            <w:tcMar>
              <w:top w:w="0" w:type="dxa"/>
              <w:left w:w="108" w:type="dxa"/>
              <w:bottom w:w="0" w:type="dxa"/>
              <w:right w:w="108" w:type="dxa"/>
            </w:tcMar>
            <w:hideMark/>
          </w:tcPr>
          <w:p w:rsidR="004E06F7" w:rsidRPr="009A5F2A" w:rsidRDefault="004E06F7">
            <w:pPr>
              <w:jc w:val="center"/>
              <w:rPr>
                <w:rFonts w:asciiTheme="minorHAnsi" w:eastAsia="Calibri" w:hAnsiTheme="minorHAnsi" w:cstheme="minorHAnsi"/>
                <w:b/>
                <w:color w:val="000000"/>
                <w:sz w:val="18"/>
                <w:szCs w:val="18"/>
              </w:rPr>
            </w:pPr>
            <w:r w:rsidRPr="009A5F2A">
              <w:rPr>
                <w:rFonts w:asciiTheme="minorHAnsi" w:hAnsiTheme="minorHAnsi" w:cstheme="minorHAnsi"/>
                <w:b/>
                <w:color w:val="000000"/>
                <w:sz w:val="18"/>
                <w:szCs w:val="18"/>
              </w:rPr>
              <w:t>Responses</w:t>
            </w:r>
          </w:p>
          <w:p w:rsidR="004E06F7" w:rsidRPr="009A5F2A" w:rsidRDefault="004E06F7">
            <w:pPr>
              <w:overflowPunct w:val="0"/>
              <w:autoSpaceDE w:val="0"/>
              <w:autoSpaceDN w:val="0"/>
              <w:jc w:val="center"/>
              <w:rPr>
                <w:rFonts w:asciiTheme="minorHAnsi" w:eastAsia="Calibri" w:hAnsiTheme="minorHAnsi" w:cstheme="minorHAnsi"/>
                <w:b/>
                <w:color w:val="000000"/>
                <w:sz w:val="18"/>
                <w:szCs w:val="18"/>
              </w:rPr>
            </w:pPr>
            <w:r w:rsidRPr="009A5F2A">
              <w:rPr>
                <w:rFonts w:asciiTheme="minorHAnsi" w:hAnsiTheme="minorHAnsi" w:cstheme="minorHAnsi"/>
                <w:b/>
                <w:color w:val="000000"/>
                <w:sz w:val="18"/>
                <w:szCs w:val="18"/>
              </w:rPr>
              <w:t>Per Annum</w:t>
            </w:r>
          </w:p>
        </w:tc>
        <w:tc>
          <w:tcPr>
            <w:tcW w:w="1066" w:type="dxa"/>
            <w:tcMar>
              <w:top w:w="0" w:type="dxa"/>
              <w:left w:w="108" w:type="dxa"/>
              <w:bottom w:w="0" w:type="dxa"/>
              <w:right w:w="108" w:type="dxa"/>
            </w:tcMar>
            <w:hideMark/>
          </w:tcPr>
          <w:p w:rsidR="004E06F7" w:rsidRPr="009A5F2A" w:rsidRDefault="004E06F7">
            <w:pPr>
              <w:overflowPunct w:val="0"/>
              <w:autoSpaceDE w:val="0"/>
              <w:autoSpaceDN w:val="0"/>
              <w:jc w:val="center"/>
              <w:rPr>
                <w:rFonts w:asciiTheme="minorHAnsi" w:eastAsia="Calibri" w:hAnsiTheme="minorHAnsi" w:cstheme="minorHAnsi"/>
                <w:b/>
                <w:color w:val="000000"/>
                <w:sz w:val="18"/>
                <w:szCs w:val="18"/>
              </w:rPr>
            </w:pPr>
            <w:r w:rsidRPr="009A5F2A">
              <w:rPr>
                <w:rFonts w:asciiTheme="minorHAnsi" w:hAnsiTheme="minorHAnsi" w:cstheme="minorHAnsi"/>
                <w:b/>
                <w:color w:val="000000"/>
                <w:sz w:val="18"/>
                <w:szCs w:val="18"/>
              </w:rPr>
              <w:t>Burden Hour Per Response</w:t>
            </w:r>
          </w:p>
        </w:tc>
        <w:tc>
          <w:tcPr>
            <w:tcW w:w="901" w:type="dxa"/>
            <w:tcMar>
              <w:top w:w="0" w:type="dxa"/>
              <w:left w:w="108" w:type="dxa"/>
              <w:bottom w:w="0" w:type="dxa"/>
              <w:right w:w="108" w:type="dxa"/>
            </w:tcMar>
            <w:hideMark/>
          </w:tcPr>
          <w:p w:rsidR="004E06F7" w:rsidRPr="009A5F2A" w:rsidRDefault="004E06F7">
            <w:pPr>
              <w:overflowPunct w:val="0"/>
              <w:autoSpaceDE w:val="0"/>
              <w:autoSpaceDN w:val="0"/>
              <w:jc w:val="center"/>
              <w:rPr>
                <w:rFonts w:asciiTheme="minorHAnsi" w:eastAsia="Calibri" w:hAnsiTheme="minorHAnsi" w:cstheme="minorHAnsi"/>
                <w:b/>
                <w:color w:val="000000"/>
                <w:sz w:val="18"/>
                <w:szCs w:val="18"/>
              </w:rPr>
            </w:pPr>
            <w:r w:rsidRPr="009A5F2A">
              <w:rPr>
                <w:rFonts w:asciiTheme="minorHAnsi" w:hAnsiTheme="minorHAnsi" w:cstheme="minorHAnsi"/>
                <w:b/>
                <w:color w:val="000000"/>
                <w:sz w:val="18"/>
                <w:szCs w:val="18"/>
              </w:rPr>
              <w:t>Annual Burden Hours</w:t>
            </w:r>
          </w:p>
        </w:tc>
        <w:tc>
          <w:tcPr>
            <w:tcW w:w="1066" w:type="dxa"/>
            <w:tcMar>
              <w:top w:w="0" w:type="dxa"/>
              <w:left w:w="108" w:type="dxa"/>
              <w:bottom w:w="0" w:type="dxa"/>
              <w:right w:w="108" w:type="dxa"/>
            </w:tcMar>
            <w:hideMark/>
          </w:tcPr>
          <w:p w:rsidR="004E06F7" w:rsidRPr="009A5F2A" w:rsidRDefault="004E06F7">
            <w:pPr>
              <w:overflowPunct w:val="0"/>
              <w:autoSpaceDE w:val="0"/>
              <w:autoSpaceDN w:val="0"/>
              <w:jc w:val="center"/>
              <w:rPr>
                <w:rFonts w:asciiTheme="minorHAnsi" w:eastAsia="Calibri" w:hAnsiTheme="minorHAnsi" w:cstheme="minorHAnsi"/>
                <w:b/>
                <w:color w:val="000000"/>
                <w:sz w:val="18"/>
                <w:szCs w:val="18"/>
              </w:rPr>
            </w:pPr>
            <w:r w:rsidRPr="009A5F2A">
              <w:rPr>
                <w:rFonts w:asciiTheme="minorHAnsi" w:hAnsiTheme="minorHAnsi" w:cstheme="minorHAnsi"/>
                <w:b/>
                <w:color w:val="000000"/>
                <w:sz w:val="18"/>
                <w:szCs w:val="18"/>
              </w:rPr>
              <w:t>Hourly Cost Per Response</w:t>
            </w:r>
          </w:p>
        </w:tc>
        <w:tc>
          <w:tcPr>
            <w:tcW w:w="1721" w:type="dxa"/>
            <w:tcMar>
              <w:top w:w="0" w:type="dxa"/>
              <w:left w:w="108" w:type="dxa"/>
              <w:bottom w:w="0" w:type="dxa"/>
              <w:right w:w="108" w:type="dxa"/>
            </w:tcMar>
          </w:tcPr>
          <w:p w:rsidR="004E06F7" w:rsidRPr="009A5F2A" w:rsidRDefault="004E06F7">
            <w:pPr>
              <w:jc w:val="center"/>
              <w:rPr>
                <w:rFonts w:asciiTheme="minorHAnsi" w:eastAsia="Calibri" w:hAnsiTheme="minorHAnsi" w:cstheme="minorHAnsi"/>
                <w:b/>
                <w:color w:val="000000"/>
                <w:sz w:val="18"/>
                <w:szCs w:val="18"/>
              </w:rPr>
            </w:pPr>
            <w:r w:rsidRPr="009A5F2A">
              <w:rPr>
                <w:rFonts w:asciiTheme="minorHAnsi" w:hAnsiTheme="minorHAnsi" w:cstheme="minorHAnsi"/>
                <w:b/>
                <w:color w:val="000000"/>
                <w:sz w:val="18"/>
                <w:szCs w:val="18"/>
              </w:rPr>
              <w:t>Annual Cost</w:t>
            </w:r>
          </w:p>
          <w:p w:rsidR="004E06F7" w:rsidRPr="009A5F2A" w:rsidRDefault="004E06F7">
            <w:pPr>
              <w:overflowPunct w:val="0"/>
              <w:autoSpaceDE w:val="0"/>
              <w:autoSpaceDN w:val="0"/>
              <w:jc w:val="center"/>
              <w:rPr>
                <w:rFonts w:asciiTheme="minorHAnsi" w:eastAsia="Calibri" w:hAnsiTheme="minorHAnsi" w:cstheme="minorHAnsi"/>
                <w:b/>
                <w:color w:val="000000"/>
                <w:sz w:val="18"/>
                <w:szCs w:val="18"/>
              </w:rPr>
            </w:pPr>
          </w:p>
        </w:tc>
      </w:tr>
      <w:tr w:rsidR="004E06F7" w:rsidRPr="009A5F2A" w:rsidTr="00E54221">
        <w:tc>
          <w:tcPr>
            <w:tcW w:w="1323" w:type="dxa"/>
            <w:tcMar>
              <w:top w:w="0" w:type="dxa"/>
              <w:left w:w="108" w:type="dxa"/>
              <w:bottom w:w="0" w:type="dxa"/>
              <w:right w:w="108" w:type="dxa"/>
            </w:tcMar>
            <w:hideMark/>
          </w:tcPr>
          <w:p w:rsidR="004E06F7" w:rsidRPr="009A5F2A" w:rsidRDefault="004E06F7">
            <w:pPr>
              <w:overflowPunct w:val="0"/>
              <w:autoSpaceDE w:val="0"/>
              <w:autoSpaceDN w:val="0"/>
              <w:rPr>
                <w:rFonts w:asciiTheme="minorHAnsi" w:hAnsiTheme="minorHAnsi" w:cstheme="minorHAnsi"/>
                <w:b/>
                <w:bCs/>
                <w:color w:val="000000"/>
                <w:sz w:val="18"/>
                <w:szCs w:val="18"/>
              </w:rPr>
            </w:pPr>
            <w:r w:rsidRPr="009A5F2A">
              <w:rPr>
                <w:rFonts w:asciiTheme="minorHAnsi" w:hAnsiTheme="minorHAnsi" w:cstheme="minorHAnsi"/>
                <w:b/>
                <w:bCs/>
                <w:color w:val="000000"/>
                <w:sz w:val="18"/>
                <w:szCs w:val="18"/>
              </w:rPr>
              <w:t>HUD-27054</w:t>
            </w:r>
            <w:r w:rsidR="00EF3E0A">
              <w:rPr>
                <w:rFonts w:asciiTheme="minorHAnsi" w:hAnsiTheme="minorHAnsi" w:cstheme="minorHAnsi"/>
                <w:b/>
                <w:bCs/>
                <w:color w:val="000000"/>
                <w:sz w:val="18"/>
                <w:szCs w:val="18"/>
              </w:rPr>
              <w:t>E</w:t>
            </w:r>
          </w:p>
        </w:tc>
        <w:tc>
          <w:tcPr>
            <w:tcW w:w="1373" w:type="dxa"/>
            <w:tcMar>
              <w:top w:w="0" w:type="dxa"/>
              <w:left w:w="108" w:type="dxa"/>
              <w:bottom w:w="0" w:type="dxa"/>
              <w:right w:w="108" w:type="dxa"/>
            </w:tcMar>
            <w:hideMark/>
          </w:tcPr>
          <w:p w:rsidR="004E06F7" w:rsidRPr="009A5F2A" w:rsidRDefault="004E06F7">
            <w:pPr>
              <w:overflowPunct w:val="0"/>
              <w:autoSpaceDE w:val="0"/>
              <w:autoSpaceDN w:val="0"/>
              <w:jc w:val="center"/>
              <w:rPr>
                <w:rFonts w:asciiTheme="minorHAnsi" w:hAnsiTheme="minorHAnsi" w:cstheme="minorHAnsi"/>
                <w:b/>
                <w:bCs/>
                <w:color w:val="000000"/>
                <w:sz w:val="18"/>
                <w:szCs w:val="18"/>
              </w:rPr>
            </w:pPr>
            <w:r w:rsidRPr="009A5F2A">
              <w:rPr>
                <w:rFonts w:asciiTheme="minorHAnsi" w:hAnsiTheme="minorHAnsi" w:cstheme="minorHAnsi"/>
                <w:b/>
                <w:bCs/>
                <w:color w:val="000000"/>
                <w:sz w:val="18"/>
                <w:szCs w:val="18"/>
              </w:rPr>
              <w:t>2,420</w:t>
            </w:r>
          </w:p>
        </w:tc>
        <w:tc>
          <w:tcPr>
            <w:tcW w:w="1184" w:type="dxa"/>
            <w:tcMar>
              <w:top w:w="0" w:type="dxa"/>
              <w:left w:w="108" w:type="dxa"/>
              <w:bottom w:w="0" w:type="dxa"/>
              <w:right w:w="108" w:type="dxa"/>
            </w:tcMar>
            <w:hideMark/>
          </w:tcPr>
          <w:p w:rsidR="004E06F7" w:rsidRPr="009A5F2A" w:rsidRDefault="004E06F7">
            <w:pPr>
              <w:overflowPunct w:val="0"/>
              <w:autoSpaceDE w:val="0"/>
              <w:autoSpaceDN w:val="0"/>
              <w:jc w:val="center"/>
              <w:rPr>
                <w:rFonts w:asciiTheme="minorHAnsi" w:eastAsia="Calibri" w:hAnsiTheme="minorHAnsi" w:cstheme="minorHAnsi"/>
                <w:b/>
                <w:bCs/>
                <w:color w:val="000000"/>
                <w:sz w:val="18"/>
                <w:szCs w:val="18"/>
              </w:rPr>
            </w:pPr>
            <w:r w:rsidRPr="009A5F2A">
              <w:rPr>
                <w:rFonts w:asciiTheme="minorHAnsi" w:eastAsia="Calibri" w:hAnsiTheme="minorHAnsi" w:cstheme="minorHAnsi"/>
                <w:b/>
                <w:bCs/>
                <w:color w:val="000000"/>
                <w:sz w:val="18"/>
                <w:szCs w:val="18"/>
              </w:rPr>
              <w:t>1</w:t>
            </w:r>
          </w:p>
        </w:tc>
        <w:tc>
          <w:tcPr>
            <w:tcW w:w="1148" w:type="dxa"/>
            <w:tcMar>
              <w:top w:w="0" w:type="dxa"/>
              <w:left w:w="108" w:type="dxa"/>
              <w:bottom w:w="0" w:type="dxa"/>
              <w:right w:w="108" w:type="dxa"/>
            </w:tcMar>
            <w:hideMark/>
          </w:tcPr>
          <w:p w:rsidR="004E06F7" w:rsidRPr="009A5F2A" w:rsidRDefault="004E06F7">
            <w:pPr>
              <w:overflowPunct w:val="0"/>
              <w:autoSpaceDE w:val="0"/>
              <w:autoSpaceDN w:val="0"/>
              <w:jc w:val="center"/>
              <w:rPr>
                <w:rFonts w:asciiTheme="minorHAnsi" w:eastAsia="Calibri" w:hAnsiTheme="minorHAnsi" w:cstheme="minorHAnsi"/>
                <w:b/>
                <w:bCs/>
                <w:color w:val="000000"/>
                <w:sz w:val="18"/>
                <w:szCs w:val="18"/>
              </w:rPr>
            </w:pPr>
            <w:r w:rsidRPr="009A5F2A">
              <w:rPr>
                <w:rFonts w:asciiTheme="minorHAnsi" w:eastAsia="Calibri" w:hAnsiTheme="minorHAnsi" w:cstheme="minorHAnsi"/>
                <w:b/>
                <w:bCs/>
                <w:color w:val="000000"/>
                <w:sz w:val="18"/>
                <w:szCs w:val="18"/>
              </w:rPr>
              <w:t>2,420</w:t>
            </w:r>
          </w:p>
        </w:tc>
        <w:tc>
          <w:tcPr>
            <w:tcW w:w="1066" w:type="dxa"/>
            <w:tcMar>
              <w:top w:w="0" w:type="dxa"/>
              <w:left w:w="108" w:type="dxa"/>
              <w:bottom w:w="0" w:type="dxa"/>
              <w:right w:w="108" w:type="dxa"/>
            </w:tcMar>
            <w:hideMark/>
          </w:tcPr>
          <w:p w:rsidR="004E06F7" w:rsidRPr="009A5F2A" w:rsidRDefault="004E06F7">
            <w:pPr>
              <w:overflowPunct w:val="0"/>
              <w:autoSpaceDE w:val="0"/>
              <w:autoSpaceDN w:val="0"/>
              <w:jc w:val="center"/>
              <w:rPr>
                <w:rFonts w:asciiTheme="minorHAnsi" w:eastAsia="Calibri" w:hAnsiTheme="minorHAnsi" w:cstheme="minorHAnsi"/>
                <w:b/>
                <w:bCs/>
                <w:color w:val="000000"/>
                <w:sz w:val="18"/>
                <w:szCs w:val="18"/>
              </w:rPr>
            </w:pPr>
            <w:r w:rsidRPr="009A5F2A">
              <w:rPr>
                <w:rFonts w:asciiTheme="minorHAnsi" w:eastAsia="Calibri" w:hAnsiTheme="minorHAnsi" w:cstheme="minorHAnsi"/>
                <w:b/>
                <w:bCs/>
                <w:color w:val="000000"/>
                <w:sz w:val="18"/>
                <w:szCs w:val="18"/>
              </w:rPr>
              <w:t>0.17</w:t>
            </w:r>
          </w:p>
        </w:tc>
        <w:tc>
          <w:tcPr>
            <w:tcW w:w="901" w:type="dxa"/>
            <w:tcMar>
              <w:top w:w="0" w:type="dxa"/>
              <w:left w:w="108" w:type="dxa"/>
              <w:bottom w:w="0" w:type="dxa"/>
              <w:right w:w="108" w:type="dxa"/>
            </w:tcMar>
            <w:hideMark/>
          </w:tcPr>
          <w:p w:rsidR="004E06F7" w:rsidRPr="009A5F2A" w:rsidRDefault="004E06F7">
            <w:pPr>
              <w:overflowPunct w:val="0"/>
              <w:autoSpaceDE w:val="0"/>
              <w:autoSpaceDN w:val="0"/>
              <w:jc w:val="center"/>
              <w:rPr>
                <w:rFonts w:asciiTheme="minorHAnsi" w:eastAsia="Calibri" w:hAnsiTheme="minorHAnsi" w:cstheme="minorHAnsi"/>
                <w:b/>
                <w:bCs/>
                <w:color w:val="000000"/>
                <w:sz w:val="18"/>
                <w:szCs w:val="18"/>
              </w:rPr>
            </w:pPr>
            <w:r w:rsidRPr="009A5F2A">
              <w:rPr>
                <w:rFonts w:asciiTheme="minorHAnsi" w:eastAsia="Calibri" w:hAnsiTheme="minorHAnsi" w:cstheme="minorHAnsi"/>
                <w:b/>
                <w:bCs/>
                <w:color w:val="000000"/>
                <w:sz w:val="18"/>
                <w:szCs w:val="18"/>
              </w:rPr>
              <w:t>411</w:t>
            </w:r>
            <w:r w:rsidR="00E54221">
              <w:rPr>
                <w:rFonts w:asciiTheme="minorHAnsi" w:eastAsia="Calibri" w:hAnsiTheme="minorHAnsi" w:cstheme="minorHAnsi"/>
                <w:b/>
                <w:bCs/>
                <w:color w:val="000000"/>
                <w:sz w:val="18"/>
                <w:szCs w:val="18"/>
              </w:rPr>
              <w:t>.4</w:t>
            </w:r>
          </w:p>
        </w:tc>
        <w:tc>
          <w:tcPr>
            <w:tcW w:w="1066" w:type="dxa"/>
            <w:tcMar>
              <w:top w:w="0" w:type="dxa"/>
              <w:left w:w="108" w:type="dxa"/>
              <w:bottom w:w="0" w:type="dxa"/>
              <w:right w:w="108" w:type="dxa"/>
            </w:tcMar>
            <w:hideMark/>
          </w:tcPr>
          <w:p w:rsidR="004E06F7" w:rsidRPr="009A5F2A" w:rsidRDefault="004E06F7">
            <w:pPr>
              <w:overflowPunct w:val="0"/>
              <w:autoSpaceDE w:val="0"/>
              <w:autoSpaceDN w:val="0"/>
              <w:jc w:val="right"/>
              <w:rPr>
                <w:rFonts w:asciiTheme="minorHAnsi" w:eastAsia="Calibri" w:hAnsiTheme="minorHAnsi" w:cstheme="minorHAnsi"/>
                <w:b/>
                <w:bCs/>
                <w:color w:val="000000"/>
                <w:sz w:val="18"/>
                <w:szCs w:val="18"/>
              </w:rPr>
            </w:pPr>
            <w:r w:rsidRPr="009A5F2A">
              <w:rPr>
                <w:rFonts w:asciiTheme="minorHAnsi" w:eastAsia="Calibri" w:hAnsiTheme="minorHAnsi" w:cstheme="minorHAnsi"/>
                <w:b/>
                <w:bCs/>
                <w:color w:val="000000"/>
                <w:sz w:val="18"/>
                <w:szCs w:val="18"/>
              </w:rPr>
              <w:t>$52</w:t>
            </w:r>
          </w:p>
        </w:tc>
        <w:tc>
          <w:tcPr>
            <w:tcW w:w="1721" w:type="dxa"/>
            <w:tcMar>
              <w:top w:w="0" w:type="dxa"/>
              <w:left w:w="108" w:type="dxa"/>
              <w:bottom w:w="0" w:type="dxa"/>
              <w:right w:w="108" w:type="dxa"/>
            </w:tcMar>
            <w:hideMark/>
          </w:tcPr>
          <w:p w:rsidR="004E06F7" w:rsidRPr="009A5F2A" w:rsidRDefault="004E06F7" w:rsidP="00E54221">
            <w:pPr>
              <w:overflowPunct w:val="0"/>
              <w:autoSpaceDE w:val="0"/>
              <w:autoSpaceDN w:val="0"/>
              <w:jc w:val="right"/>
              <w:rPr>
                <w:rFonts w:asciiTheme="minorHAnsi" w:eastAsia="Calibri" w:hAnsiTheme="minorHAnsi" w:cstheme="minorHAnsi"/>
                <w:b/>
                <w:bCs/>
                <w:color w:val="000000"/>
                <w:sz w:val="18"/>
                <w:szCs w:val="18"/>
              </w:rPr>
            </w:pPr>
            <w:r w:rsidRPr="009A5F2A">
              <w:rPr>
                <w:rFonts w:asciiTheme="minorHAnsi" w:eastAsia="Calibri" w:hAnsiTheme="minorHAnsi" w:cstheme="minorHAnsi"/>
                <w:b/>
                <w:bCs/>
                <w:color w:val="000000"/>
                <w:sz w:val="18"/>
                <w:szCs w:val="18"/>
              </w:rPr>
              <w:t>$</w:t>
            </w:r>
            <w:r w:rsidR="00E54221">
              <w:rPr>
                <w:rFonts w:asciiTheme="minorHAnsi" w:eastAsia="Calibri" w:hAnsiTheme="minorHAnsi" w:cstheme="minorHAnsi"/>
                <w:b/>
                <w:bCs/>
                <w:color w:val="000000"/>
                <w:sz w:val="18"/>
                <w:szCs w:val="18"/>
              </w:rPr>
              <w:t>21,392.80</w:t>
            </w:r>
          </w:p>
        </w:tc>
      </w:tr>
      <w:tr w:rsidR="004E06F7" w:rsidRPr="009A5F2A" w:rsidTr="00E54221">
        <w:tc>
          <w:tcPr>
            <w:tcW w:w="1323" w:type="dxa"/>
            <w:tcMar>
              <w:top w:w="0" w:type="dxa"/>
              <w:left w:w="108" w:type="dxa"/>
              <w:bottom w:w="0" w:type="dxa"/>
              <w:right w:w="108" w:type="dxa"/>
            </w:tcMar>
            <w:hideMark/>
          </w:tcPr>
          <w:p w:rsidR="004E06F7" w:rsidRPr="009A5F2A" w:rsidRDefault="004E06F7">
            <w:pPr>
              <w:overflowPunct w:val="0"/>
              <w:autoSpaceDE w:val="0"/>
              <w:autoSpaceDN w:val="0"/>
              <w:rPr>
                <w:rFonts w:asciiTheme="minorHAnsi" w:hAnsiTheme="minorHAnsi" w:cstheme="minorHAnsi"/>
                <w:b/>
                <w:bCs/>
                <w:color w:val="000000"/>
                <w:sz w:val="18"/>
                <w:szCs w:val="18"/>
              </w:rPr>
            </w:pPr>
            <w:r w:rsidRPr="009A5F2A">
              <w:rPr>
                <w:rFonts w:asciiTheme="minorHAnsi" w:hAnsiTheme="minorHAnsi" w:cstheme="minorHAnsi"/>
                <w:b/>
                <w:bCs/>
                <w:color w:val="000000"/>
                <w:sz w:val="18"/>
                <w:szCs w:val="18"/>
              </w:rPr>
              <w:t>Total</w:t>
            </w:r>
          </w:p>
        </w:tc>
        <w:tc>
          <w:tcPr>
            <w:tcW w:w="1373" w:type="dxa"/>
            <w:tcMar>
              <w:top w:w="0" w:type="dxa"/>
              <w:left w:w="108" w:type="dxa"/>
              <w:bottom w:w="0" w:type="dxa"/>
              <w:right w:w="108" w:type="dxa"/>
            </w:tcMar>
          </w:tcPr>
          <w:p w:rsidR="004E06F7" w:rsidRPr="009A5F2A" w:rsidRDefault="004E06F7">
            <w:pPr>
              <w:overflowPunct w:val="0"/>
              <w:autoSpaceDE w:val="0"/>
              <w:autoSpaceDN w:val="0"/>
              <w:jc w:val="center"/>
              <w:rPr>
                <w:rFonts w:asciiTheme="minorHAnsi" w:hAnsiTheme="minorHAnsi" w:cstheme="minorHAnsi"/>
                <w:b/>
                <w:bCs/>
                <w:color w:val="000000"/>
                <w:sz w:val="18"/>
                <w:szCs w:val="18"/>
              </w:rPr>
            </w:pPr>
          </w:p>
        </w:tc>
        <w:tc>
          <w:tcPr>
            <w:tcW w:w="1184" w:type="dxa"/>
            <w:tcMar>
              <w:top w:w="0" w:type="dxa"/>
              <w:left w:w="108" w:type="dxa"/>
              <w:bottom w:w="0" w:type="dxa"/>
              <w:right w:w="108" w:type="dxa"/>
            </w:tcMar>
          </w:tcPr>
          <w:p w:rsidR="004E06F7" w:rsidRPr="009A5F2A" w:rsidRDefault="004E06F7">
            <w:pPr>
              <w:overflowPunct w:val="0"/>
              <w:autoSpaceDE w:val="0"/>
              <w:autoSpaceDN w:val="0"/>
              <w:jc w:val="center"/>
              <w:rPr>
                <w:rFonts w:asciiTheme="minorHAnsi" w:eastAsia="Calibri" w:hAnsiTheme="minorHAnsi" w:cstheme="minorHAnsi"/>
                <w:b/>
                <w:bCs/>
                <w:color w:val="000000"/>
                <w:sz w:val="18"/>
                <w:szCs w:val="18"/>
              </w:rPr>
            </w:pPr>
          </w:p>
        </w:tc>
        <w:tc>
          <w:tcPr>
            <w:tcW w:w="1148" w:type="dxa"/>
            <w:tcMar>
              <w:top w:w="0" w:type="dxa"/>
              <w:left w:w="108" w:type="dxa"/>
              <w:bottom w:w="0" w:type="dxa"/>
              <w:right w:w="108" w:type="dxa"/>
            </w:tcMar>
          </w:tcPr>
          <w:p w:rsidR="004E06F7" w:rsidRPr="009A5F2A" w:rsidRDefault="004E06F7">
            <w:pPr>
              <w:overflowPunct w:val="0"/>
              <w:autoSpaceDE w:val="0"/>
              <w:autoSpaceDN w:val="0"/>
              <w:jc w:val="center"/>
              <w:rPr>
                <w:rFonts w:asciiTheme="minorHAnsi" w:eastAsia="Calibri" w:hAnsiTheme="minorHAnsi" w:cstheme="minorHAnsi"/>
                <w:b/>
                <w:bCs/>
                <w:color w:val="000000"/>
                <w:sz w:val="18"/>
                <w:szCs w:val="18"/>
              </w:rPr>
            </w:pPr>
          </w:p>
        </w:tc>
        <w:tc>
          <w:tcPr>
            <w:tcW w:w="1066" w:type="dxa"/>
            <w:tcMar>
              <w:top w:w="0" w:type="dxa"/>
              <w:left w:w="108" w:type="dxa"/>
              <w:bottom w:w="0" w:type="dxa"/>
              <w:right w:w="108" w:type="dxa"/>
            </w:tcMar>
          </w:tcPr>
          <w:p w:rsidR="004E06F7" w:rsidRPr="009A5F2A" w:rsidRDefault="004E06F7">
            <w:pPr>
              <w:overflowPunct w:val="0"/>
              <w:autoSpaceDE w:val="0"/>
              <w:autoSpaceDN w:val="0"/>
              <w:jc w:val="center"/>
              <w:rPr>
                <w:rFonts w:asciiTheme="minorHAnsi" w:eastAsia="Calibri" w:hAnsiTheme="minorHAnsi" w:cstheme="minorHAnsi"/>
                <w:b/>
                <w:bCs/>
                <w:color w:val="000000"/>
                <w:sz w:val="18"/>
                <w:szCs w:val="18"/>
              </w:rPr>
            </w:pPr>
          </w:p>
        </w:tc>
        <w:tc>
          <w:tcPr>
            <w:tcW w:w="901" w:type="dxa"/>
            <w:tcMar>
              <w:top w:w="0" w:type="dxa"/>
              <w:left w:w="108" w:type="dxa"/>
              <w:bottom w:w="0" w:type="dxa"/>
              <w:right w:w="108" w:type="dxa"/>
            </w:tcMar>
            <w:hideMark/>
          </w:tcPr>
          <w:p w:rsidR="004E06F7" w:rsidRPr="009A5F2A" w:rsidRDefault="004E06F7">
            <w:pPr>
              <w:overflowPunct w:val="0"/>
              <w:autoSpaceDE w:val="0"/>
              <w:autoSpaceDN w:val="0"/>
              <w:jc w:val="center"/>
              <w:rPr>
                <w:rFonts w:asciiTheme="minorHAnsi" w:eastAsia="Calibri" w:hAnsiTheme="minorHAnsi" w:cstheme="minorHAnsi"/>
                <w:b/>
                <w:bCs/>
                <w:color w:val="000000"/>
                <w:sz w:val="18"/>
                <w:szCs w:val="18"/>
              </w:rPr>
            </w:pPr>
            <w:r w:rsidRPr="009A5F2A">
              <w:rPr>
                <w:rFonts w:asciiTheme="minorHAnsi" w:eastAsia="Calibri" w:hAnsiTheme="minorHAnsi" w:cstheme="minorHAnsi"/>
                <w:b/>
                <w:bCs/>
                <w:color w:val="000000"/>
                <w:sz w:val="18"/>
                <w:szCs w:val="18"/>
              </w:rPr>
              <w:t>411</w:t>
            </w:r>
            <w:r w:rsidR="00E54221">
              <w:rPr>
                <w:rFonts w:asciiTheme="minorHAnsi" w:eastAsia="Calibri" w:hAnsiTheme="minorHAnsi" w:cstheme="minorHAnsi"/>
                <w:b/>
                <w:bCs/>
                <w:color w:val="000000"/>
                <w:sz w:val="18"/>
                <w:szCs w:val="18"/>
              </w:rPr>
              <w:t>.4</w:t>
            </w:r>
          </w:p>
        </w:tc>
        <w:tc>
          <w:tcPr>
            <w:tcW w:w="1066" w:type="dxa"/>
            <w:tcMar>
              <w:top w:w="0" w:type="dxa"/>
              <w:left w:w="108" w:type="dxa"/>
              <w:bottom w:w="0" w:type="dxa"/>
              <w:right w:w="108" w:type="dxa"/>
            </w:tcMar>
            <w:hideMark/>
          </w:tcPr>
          <w:p w:rsidR="004E06F7" w:rsidRPr="009A5F2A" w:rsidRDefault="004E06F7">
            <w:pPr>
              <w:overflowPunct w:val="0"/>
              <w:autoSpaceDE w:val="0"/>
              <w:autoSpaceDN w:val="0"/>
              <w:jc w:val="right"/>
              <w:rPr>
                <w:rFonts w:asciiTheme="minorHAnsi" w:eastAsia="Calibri" w:hAnsiTheme="minorHAnsi" w:cstheme="minorHAnsi"/>
                <w:b/>
                <w:bCs/>
                <w:color w:val="000000"/>
                <w:sz w:val="18"/>
                <w:szCs w:val="18"/>
              </w:rPr>
            </w:pPr>
            <w:r w:rsidRPr="009A5F2A">
              <w:rPr>
                <w:rFonts w:asciiTheme="minorHAnsi" w:eastAsia="Calibri" w:hAnsiTheme="minorHAnsi" w:cstheme="minorHAnsi"/>
                <w:b/>
                <w:bCs/>
                <w:color w:val="000000"/>
                <w:sz w:val="18"/>
                <w:szCs w:val="18"/>
              </w:rPr>
              <w:t>$52</w:t>
            </w:r>
          </w:p>
        </w:tc>
        <w:tc>
          <w:tcPr>
            <w:tcW w:w="1721" w:type="dxa"/>
            <w:tcMar>
              <w:top w:w="0" w:type="dxa"/>
              <w:left w:w="108" w:type="dxa"/>
              <w:bottom w:w="0" w:type="dxa"/>
              <w:right w:w="108" w:type="dxa"/>
            </w:tcMar>
            <w:hideMark/>
          </w:tcPr>
          <w:p w:rsidR="004E06F7" w:rsidRPr="009A5F2A" w:rsidRDefault="00E54221">
            <w:pPr>
              <w:overflowPunct w:val="0"/>
              <w:autoSpaceDE w:val="0"/>
              <w:autoSpaceDN w:val="0"/>
              <w:jc w:val="right"/>
              <w:rPr>
                <w:rFonts w:asciiTheme="minorHAnsi" w:eastAsia="Calibri" w:hAnsiTheme="minorHAnsi" w:cstheme="minorHAnsi"/>
                <w:b/>
                <w:bCs/>
                <w:color w:val="000000"/>
                <w:sz w:val="18"/>
                <w:szCs w:val="18"/>
              </w:rPr>
            </w:pPr>
            <w:r w:rsidRPr="009A5F2A">
              <w:rPr>
                <w:rFonts w:asciiTheme="minorHAnsi" w:eastAsia="Calibri" w:hAnsiTheme="minorHAnsi" w:cstheme="minorHAnsi"/>
                <w:b/>
                <w:bCs/>
                <w:color w:val="000000"/>
                <w:sz w:val="18"/>
                <w:szCs w:val="18"/>
              </w:rPr>
              <w:t>$</w:t>
            </w:r>
            <w:r>
              <w:rPr>
                <w:rFonts w:asciiTheme="minorHAnsi" w:eastAsia="Calibri" w:hAnsiTheme="minorHAnsi" w:cstheme="minorHAnsi"/>
                <w:b/>
                <w:bCs/>
                <w:color w:val="000000"/>
                <w:sz w:val="18"/>
                <w:szCs w:val="18"/>
              </w:rPr>
              <w:t>21,392.80</w:t>
            </w:r>
          </w:p>
        </w:tc>
      </w:tr>
    </w:tbl>
    <w:p w:rsidR="00D509DD" w:rsidRPr="00006350" w:rsidRDefault="00E54221" w:rsidP="00006350">
      <w:r>
        <w:br/>
      </w:r>
      <w:r w:rsidR="0052648F" w:rsidRPr="00006350">
        <w:t xml:space="preserve">13.  </w:t>
      </w:r>
      <w:r w:rsidR="00D509DD" w:rsidRPr="00006350">
        <w:t xml:space="preserve">There are no </w:t>
      </w:r>
      <w:r w:rsidR="006C39F0">
        <w:t>additional cost associated with</w:t>
      </w:r>
      <w:r w:rsidR="00D509DD" w:rsidRPr="00006350">
        <w:t xml:space="preserve"> this collection.</w:t>
      </w:r>
      <w:r w:rsidR="00582673">
        <w:t xml:space="preserve">  </w:t>
      </w:r>
      <w:r w:rsidR="00582673">
        <w:rPr>
          <w:noProof/>
        </w:rPr>
        <w:t xml:space="preserve">The revised collection no longer </w:t>
      </w:r>
      <w:r w:rsidR="00582673">
        <w:rPr>
          <w:noProof/>
        </w:rPr>
        <w:lastRenderedPageBreak/>
        <w:t>requires social security numbers because the Voice Response System (VRS) has been replaced with eLOCCS.  The replacement of VRS has decreased the amount of collection needed and lowered manual processes which has reduced burden hours.</w:t>
      </w:r>
    </w:p>
    <w:p w:rsidR="00D509DD" w:rsidRPr="00006350" w:rsidRDefault="00D509DD" w:rsidP="00006350"/>
    <w:p w:rsidR="0052648F" w:rsidRDefault="00D509DD" w:rsidP="00006350">
      <w:r w:rsidRPr="00006350">
        <w:t xml:space="preserve">14.  </w:t>
      </w:r>
      <w:r w:rsidR="00A16114" w:rsidRPr="00006350">
        <w:t>Estimate of the total annual cost burden to respondents or record</w:t>
      </w:r>
      <w:r w:rsidRPr="00006350">
        <w:t xml:space="preserve"> keepers resulting fro</w:t>
      </w:r>
      <w:r w:rsidR="00A16114" w:rsidRPr="00006350">
        <w:t xml:space="preserve">m the collection of information: </w:t>
      </w:r>
    </w:p>
    <w:p w:rsidR="000B4A12" w:rsidRDefault="000B4A12" w:rsidP="00006350"/>
    <w:p w:rsidR="004E06F7" w:rsidRDefault="004E06F7" w:rsidP="00006350"/>
    <w:tbl>
      <w:tblPr>
        <w:tblStyle w:val="TableGrid"/>
        <w:tblW w:w="0" w:type="auto"/>
        <w:tblLook w:val="04A0" w:firstRow="1" w:lastRow="0" w:firstColumn="1" w:lastColumn="0" w:noHBand="0" w:noVBand="1"/>
      </w:tblPr>
      <w:tblGrid>
        <w:gridCol w:w="2337"/>
        <w:gridCol w:w="2337"/>
        <w:gridCol w:w="2338"/>
        <w:gridCol w:w="2338"/>
      </w:tblGrid>
      <w:tr w:rsidR="004E06F7" w:rsidRPr="009A5F2A" w:rsidTr="004E06F7">
        <w:tc>
          <w:tcPr>
            <w:tcW w:w="2337" w:type="dxa"/>
          </w:tcPr>
          <w:p w:rsidR="004E06F7" w:rsidRPr="009A5F2A" w:rsidRDefault="004E06F7" w:rsidP="009A5F2A">
            <w:pPr>
              <w:jc w:val="center"/>
              <w:rPr>
                <w:rFonts w:asciiTheme="minorHAnsi" w:hAnsiTheme="minorHAnsi" w:cstheme="minorHAnsi"/>
                <w:b/>
                <w:sz w:val="18"/>
                <w:szCs w:val="18"/>
              </w:rPr>
            </w:pPr>
            <w:r w:rsidRPr="009A5F2A">
              <w:rPr>
                <w:rFonts w:asciiTheme="minorHAnsi" w:hAnsiTheme="minorHAnsi" w:cstheme="minorHAnsi"/>
                <w:b/>
                <w:sz w:val="18"/>
                <w:szCs w:val="18"/>
              </w:rPr>
              <w:t>Reporting Instrument</w:t>
            </w:r>
          </w:p>
        </w:tc>
        <w:tc>
          <w:tcPr>
            <w:tcW w:w="2337" w:type="dxa"/>
          </w:tcPr>
          <w:p w:rsidR="004E06F7" w:rsidRPr="009A5F2A" w:rsidRDefault="004E06F7" w:rsidP="009A5F2A">
            <w:pPr>
              <w:jc w:val="center"/>
              <w:rPr>
                <w:rFonts w:asciiTheme="minorHAnsi" w:hAnsiTheme="minorHAnsi" w:cstheme="minorHAnsi"/>
                <w:b/>
                <w:sz w:val="18"/>
                <w:szCs w:val="18"/>
              </w:rPr>
            </w:pPr>
            <w:r w:rsidRPr="009A5F2A">
              <w:rPr>
                <w:rFonts w:asciiTheme="minorHAnsi" w:hAnsiTheme="minorHAnsi" w:cstheme="minorHAnsi"/>
                <w:b/>
                <w:sz w:val="18"/>
                <w:szCs w:val="18"/>
              </w:rPr>
              <w:t>Number of Responses</w:t>
            </w:r>
          </w:p>
        </w:tc>
        <w:tc>
          <w:tcPr>
            <w:tcW w:w="2338" w:type="dxa"/>
          </w:tcPr>
          <w:p w:rsidR="004E06F7" w:rsidRPr="009A5F2A" w:rsidRDefault="004E06F7" w:rsidP="009A5F2A">
            <w:pPr>
              <w:jc w:val="center"/>
              <w:rPr>
                <w:rFonts w:asciiTheme="minorHAnsi" w:hAnsiTheme="minorHAnsi" w:cstheme="minorHAnsi"/>
                <w:b/>
                <w:sz w:val="18"/>
                <w:szCs w:val="18"/>
              </w:rPr>
            </w:pPr>
            <w:r w:rsidRPr="009A5F2A">
              <w:rPr>
                <w:rFonts w:asciiTheme="minorHAnsi" w:hAnsiTheme="minorHAnsi" w:cstheme="minorHAnsi"/>
                <w:b/>
                <w:sz w:val="18"/>
                <w:szCs w:val="18"/>
              </w:rPr>
              <w:t>Review Time</w:t>
            </w:r>
          </w:p>
        </w:tc>
        <w:tc>
          <w:tcPr>
            <w:tcW w:w="2338" w:type="dxa"/>
          </w:tcPr>
          <w:p w:rsidR="004E06F7" w:rsidRPr="009A5F2A" w:rsidRDefault="004E06F7" w:rsidP="009A5F2A">
            <w:pPr>
              <w:jc w:val="center"/>
              <w:rPr>
                <w:rFonts w:asciiTheme="minorHAnsi" w:hAnsiTheme="minorHAnsi" w:cstheme="minorHAnsi"/>
                <w:b/>
                <w:sz w:val="18"/>
                <w:szCs w:val="18"/>
              </w:rPr>
            </w:pPr>
            <w:r w:rsidRPr="009A5F2A">
              <w:rPr>
                <w:rFonts w:asciiTheme="minorHAnsi" w:hAnsiTheme="minorHAnsi" w:cstheme="minorHAnsi"/>
                <w:b/>
                <w:sz w:val="18"/>
                <w:szCs w:val="18"/>
              </w:rPr>
              <w:t>Burden</w:t>
            </w:r>
          </w:p>
        </w:tc>
      </w:tr>
      <w:tr w:rsidR="004E06F7" w:rsidRPr="009A5F2A" w:rsidTr="004E06F7">
        <w:tc>
          <w:tcPr>
            <w:tcW w:w="2337" w:type="dxa"/>
          </w:tcPr>
          <w:p w:rsidR="004E06F7" w:rsidRPr="009A5F2A" w:rsidRDefault="004E06F7" w:rsidP="009A5F2A">
            <w:pPr>
              <w:jc w:val="center"/>
              <w:rPr>
                <w:rFonts w:asciiTheme="minorHAnsi" w:hAnsiTheme="minorHAnsi" w:cstheme="minorHAnsi"/>
                <w:b/>
                <w:sz w:val="18"/>
                <w:szCs w:val="18"/>
              </w:rPr>
            </w:pPr>
            <w:r w:rsidRPr="009A5F2A">
              <w:rPr>
                <w:rFonts w:asciiTheme="minorHAnsi" w:hAnsiTheme="minorHAnsi" w:cstheme="minorHAnsi"/>
                <w:b/>
                <w:sz w:val="18"/>
                <w:szCs w:val="18"/>
              </w:rPr>
              <w:t>Form-27054</w:t>
            </w:r>
            <w:r w:rsidR="00EF3E0A">
              <w:rPr>
                <w:rFonts w:asciiTheme="minorHAnsi" w:hAnsiTheme="minorHAnsi" w:cstheme="minorHAnsi"/>
                <w:b/>
                <w:sz w:val="18"/>
                <w:szCs w:val="18"/>
              </w:rPr>
              <w:t>E</w:t>
            </w:r>
          </w:p>
        </w:tc>
        <w:tc>
          <w:tcPr>
            <w:tcW w:w="2337" w:type="dxa"/>
          </w:tcPr>
          <w:p w:rsidR="004E06F7" w:rsidRPr="009A5F2A" w:rsidRDefault="004E06F7" w:rsidP="009A5F2A">
            <w:pPr>
              <w:jc w:val="center"/>
              <w:rPr>
                <w:rFonts w:asciiTheme="minorHAnsi" w:hAnsiTheme="minorHAnsi" w:cstheme="minorHAnsi"/>
                <w:b/>
                <w:sz w:val="18"/>
                <w:szCs w:val="18"/>
              </w:rPr>
            </w:pPr>
            <w:r w:rsidRPr="009A5F2A">
              <w:rPr>
                <w:rFonts w:asciiTheme="minorHAnsi" w:hAnsiTheme="minorHAnsi" w:cstheme="minorHAnsi"/>
                <w:b/>
                <w:sz w:val="18"/>
                <w:szCs w:val="18"/>
              </w:rPr>
              <w:t>2,420</w:t>
            </w:r>
          </w:p>
        </w:tc>
        <w:tc>
          <w:tcPr>
            <w:tcW w:w="2338" w:type="dxa"/>
          </w:tcPr>
          <w:p w:rsidR="004E06F7" w:rsidRPr="009A5F2A" w:rsidRDefault="007B46B2" w:rsidP="007B46B2">
            <w:pPr>
              <w:jc w:val="center"/>
              <w:rPr>
                <w:rFonts w:asciiTheme="minorHAnsi" w:hAnsiTheme="minorHAnsi" w:cstheme="minorHAnsi"/>
                <w:b/>
                <w:sz w:val="18"/>
                <w:szCs w:val="18"/>
              </w:rPr>
            </w:pPr>
            <w:r>
              <w:rPr>
                <w:rFonts w:asciiTheme="minorHAnsi" w:hAnsiTheme="minorHAnsi" w:cstheme="minorHAnsi"/>
                <w:b/>
                <w:sz w:val="18"/>
                <w:szCs w:val="18"/>
              </w:rPr>
              <w:t>0.17</w:t>
            </w:r>
          </w:p>
        </w:tc>
        <w:tc>
          <w:tcPr>
            <w:tcW w:w="2338" w:type="dxa"/>
          </w:tcPr>
          <w:p w:rsidR="004E06F7" w:rsidRPr="009A5F2A" w:rsidRDefault="004E06F7" w:rsidP="009A5F2A">
            <w:pPr>
              <w:jc w:val="center"/>
              <w:rPr>
                <w:rFonts w:asciiTheme="minorHAnsi" w:hAnsiTheme="minorHAnsi" w:cstheme="minorHAnsi"/>
                <w:b/>
                <w:sz w:val="18"/>
                <w:szCs w:val="18"/>
              </w:rPr>
            </w:pPr>
            <w:r w:rsidRPr="009A5F2A">
              <w:rPr>
                <w:rFonts w:asciiTheme="minorHAnsi" w:hAnsiTheme="minorHAnsi" w:cstheme="minorHAnsi"/>
                <w:b/>
                <w:sz w:val="18"/>
                <w:szCs w:val="18"/>
              </w:rPr>
              <w:t>411</w:t>
            </w:r>
            <w:r w:rsidR="00225909">
              <w:rPr>
                <w:rFonts w:asciiTheme="minorHAnsi" w:hAnsiTheme="minorHAnsi" w:cstheme="minorHAnsi"/>
                <w:b/>
                <w:sz w:val="18"/>
                <w:szCs w:val="18"/>
              </w:rPr>
              <w:t>.4</w:t>
            </w:r>
            <w:r w:rsidRPr="009A5F2A">
              <w:rPr>
                <w:rFonts w:asciiTheme="minorHAnsi" w:hAnsiTheme="minorHAnsi" w:cstheme="minorHAnsi"/>
                <w:b/>
                <w:sz w:val="18"/>
                <w:szCs w:val="18"/>
              </w:rPr>
              <w:t xml:space="preserve"> hours</w:t>
            </w:r>
          </w:p>
        </w:tc>
      </w:tr>
    </w:tbl>
    <w:p w:rsidR="00E717A5" w:rsidRPr="00E717A5" w:rsidRDefault="00E717A5" w:rsidP="00E717A5">
      <w:pPr>
        <w:rPr>
          <w:noProof/>
        </w:rPr>
      </w:pPr>
    </w:p>
    <w:p w:rsidR="00225909" w:rsidRDefault="00E54221" w:rsidP="00E717A5">
      <w:pPr>
        <w:rPr>
          <w:noProof/>
        </w:rPr>
      </w:pPr>
      <w:r>
        <w:rPr>
          <w:noProof/>
        </w:rPr>
        <w:t>2420 responses x .17 burden hour per response x</w:t>
      </w:r>
      <w:r w:rsidR="00E717A5" w:rsidRPr="00E717A5">
        <w:rPr>
          <w:noProof/>
        </w:rPr>
        <w:t xml:space="preserve">  $</w:t>
      </w:r>
      <w:r w:rsidR="00CE713D">
        <w:rPr>
          <w:noProof/>
        </w:rPr>
        <w:t>5</w:t>
      </w:r>
      <w:r w:rsidR="007B46B2">
        <w:rPr>
          <w:noProof/>
        </w:rPr>
        <w:t>1.51</w:t>
      </w:r>
      <w:r w:rsidR="00CE713D" w:rsidRPr="00E717A5">
        <w:rPr>
          <w:noProof/>
        </w:rPr>
        <w:t xml:space="preserve"> </w:t>
      </w:r>
      <w:r w:rsidR="00E717A5" w:rsidRPr="00E717A5">
        <w:rPr>
          <w:noProof/>
        </w:rPr>
        <w:t>p/hr.(GS-</w:t>
      </w:r>
      <w:r w:rsidR="00CE713D">
        <w:rPr>
          <w:noProof/>
        </w:rPr>
        <w:t>13 Step 6</w:t>
      </w:r>
      <w:r w:rsidR="00E717A5" w:rsidRPr="00E717A5">
        <w:rPr>
          <w:noProof/>
        </w:rPr>
        <w:t>)  = $</w:t>
      </w:r>
      <w:r>
        <w:rPr>
          <w:noProof/>
        </w:rPr>
        <w:t>21</w:t>
      </w:r>
      <w:r w:rsidR="00225909">
        <w:rPr>
          <w:noProof/>
        </w:rPr>
        <w:t>1</w:t>
      </w:r>
      <w:r>
        <w:rPr>
          <w:noProof/>
        </w:rPr>
        <w:t>,</w:t>
      </w:r>
      <w:r w:rsidR="00225909">
        <w:rPr>
          <w:noProof/>
        </w:rPr>
        <w:t xml:space="preserve"> </w:t>
      </w:r>
      <w:r w:rsidR="00D20D7B">
        <w:rPr>
          <w:noProof/>
        </w:rPr>
        <w:t>9121.40.</w:t>
      </w:r>
    </w:p>
    <w:p w:rsidR="000B4A12" w:rsidRDefault="000B4A12" w:rsidP="00E717A5">
      <w:pPr>
        <w:rPr>
          <w:noProof/>
        </w:rPr>
      </w:pPr>
    </w:p>
    <w:p w:rsidR="00E717A5" w:rsidRPr="00E717A5" w:rsidRDefault="00E717A5" w:rsidP="00E717A5">
      <w:pPr>
        <w:rPr>
          <w:noProof/>
        </w:rPr>
      </w:pPr>
    </w:p>
    <w:p w:rsidR="00656031" w:rsidRDefault="00D509DD" w:rsidP="00006350">
      <w:pPr>
        <w:rPr>
          <w:noProof/>
        </w:rPr>
      </w:pPr>
      <w:r w:rsidRPr="00006350">
        <w:t xml:space="preserve">15. </w:t>
      </w:r>
      <w:r w:rsidR="000B7A82" w:rsidRPr="00006350">
        <w:t xml:space="preserve">This is </w:t>
      </w:r>
      <w:r w:rsidR="00E44032" w:rsidRPr="00006350">
        <w:t>a</w:t>
      </w:r>
      <w:r w:rsidR="000B7A82" w:rsidRPr="00006350">
        <w:t xml:space="preserve"> </w:t>
      </w:r>
      <w:r w:rsidR="00A70E55">
        <w:t>revision</w:t>
      </w:r>
      <w:r w:rsidR="000B7A82" w:rsidRPr="00006350">
        <w:t xml:space="preserve"> of a currently approved </w:t>
      </w:r>
      <w:r w:rsidR="000B7A82" w:rsidRPr="00006350">
        <w:rPr>
          <w:noProof/>
        </w:rPr>
        <w:t>collection</w:t>
      </w:r>
      <w:r w:rsidR="00656031">
        <w:rPr>
          <w:noProof/>
        </w:rPr>
        <w:t xml:space="preserve">. </w:t>
      </w:r>
      <w:r w:rsidR="00E54221">
        <w:rPr>
          <w:noProof/>
        </w:rPr>
        <w:t xml:space="preserve">The revised collection no longer requires social security numbers because the Voice Response System (VRS) has been replaced with eLOCCS.  The replacement of </w:t>
      </w:r>
      <w:r w:rsidR="00656031">
        <w:rPr>
          <w:noProof/>
        </w:rPr>
        <w:t xml:space="preserve">the </w:t>
      </w:r>
      <w:r w:rsidR="00E54221">
        <w:rPr>
          <w:noProof/>
        </w:rPr>
        <w:t xml:space="preserve">VRS has </w:t>
      </w:r>
      <w:r w:rsidR="00656031">
        <w:rPr>
          <w:noProof/>
        </w:rPr>
        <w:t xml:space="preserve">substantially </w:t>
      </w:r>
      <w:r w:rsidR="00E54221">
        <w:rPr>
          <w:noProof/>
        </w:rPr>
        <w:t xml:space="preserve">decreased the amount of collection needed and lowered manual processes which has </w:t>
      </w:r>
      <w:r w:rsidR="00656031">
        <w:rPr>
          <w:noProof/>
        </w:rPr>
        <w:t xml:space="preserve">greatly </w:t>
      </w:r>
      <w:r w:rsidR="00E54221">
        <w:rPr>
          <w:noProof/>
        </w:rPr>
        <w:t>reduced burden hours.</w:t>
      </w:r>
      <w:r w:rsidR="00656031">
        <w:rPr>
          <w:noProof/>
        </w:rPr>
        <w:t xml:space="preserve">  </w:t>
      </w:r>
    </w:p>
    <w:p w:rsidR="00656031" w:rsidRDefault="00656031" w:rsidP="00006350">
      <w:pPr>
        <w:rPr>
          <w:noProof/>
        </w:rPr>
      </w:pPr>
    </w:p>
    <w:p w:rsidR="00D509DD" w:rsidRDefault="00656031" w:rsidP="00006350">
      <w:pPr>
        <w:rPr>
          <w:rStyle w:val="CommentReference"/>
        </w:rPr>
      </w:pPr>
      <w:r>
        <w:rPr>
          <w:noProof/>
        </w:rPr>
        <w:t>In addition, Form-27053 is no longer required which reduces the number of burden hours significantly since Form-27053 responses are no longer needed. Previously, when Form-27053 was used, it required an average annual usage of 278,300 responses, which, at 0.17 average hours per response, translated to 47,311 hours. The use of the electronic LOCCS system eliminated the use of Form-27053, since respondents can enter their responses directly into the system.</w:t>
      </w:r>
    </w:p>
    <w:p w:rsidR="00E54221" w:rsidRPr="00006350" w:rsidRDefault="00E54221" w:rsidP="00006350">
      <w:pPr>
        <w:rPr>
          <w:noProof/>
        </w:rPr>
      </w:pPr>
    </w:p>
    <w:p w:rsidR="00D509DD" w:rsidRPr="00006350" w:rsidRDefault="00D509DD" w:rsidP="00006350">
      <w:pPr>
        <w:rPr>
          <w:noProof/>
        </w:rPr>
      </w:pPr>
      <w:r w:rsidRPr="00006350">
        <w:rPr>
          <w:noProof/>
        </w:rPr>
        <w:t>16.  Results will not be published.</w:t>
      </w:r>
    </w:p>
    <w:p w:rsidR="00D509DD" w:rsidRPr="00006350" w:rsidRDefault="00D509DD" w:rsidP="00006350">
      <w:pPr>
        <w:rPr>
          <w:noProof/>
        </w:rPr>
      </w:pPr>
    </w:p>
    <w:p w:rsidR="00D509DD" w:rsidRPr="00006350" w:rsidRDefault="00D509DD" w:rsidP="00006350">
      <w:pPr>
        <w:rPr>
          <w:noProof/>
        </w:rPr>
      </w:pPr>
      <w:r w:rsidRPr="00006350">
        <w:rPr>
          <w:noProof/>
        </w:rPr>
        <w:t>17.  No exceptions are requested.</w:t>
      </w:r>
    </w:p>
    <w:p w:rsidR="00D509DD" w:rsidRPr="00006350" w:rsidRDefault="00D509DD" w:rsidP="00006350">
      <w:pPr>
        <w:rPr>
          <w:noProof/>
        </w:rPr>
      </w:pPr>
    </w:p>
    <w:p w:rsidR="00D509DD" w:rsidRPr="00006350" w:rsidRDefault="00D509DD" w:rsidP="00006350">
      <w:pPr>
        <w:rPr>
          <w:noProof/>
        </w:rPr>
      </w:pPr>
      <w:r w:rsidRPr="00006350">
        <w:rPr>
          <w:noProof/>
        </w:rPr>
        <w:t>18.  No exceptions.</w:t>
      </w:r>
    </w:p>
    <w:p w:rsidR="00D509DD" w:rsidRPr="00006350" w:rsidRDefault="00D509DD" w:rsidP="00006350">
      <w:pPr>
        <w:rPr>
          <w:noProof/>
        </w:rPr>
      </w:pPr>
    </w:p>
    <w:p w:rsidR="00D509DD" w:rsidRPr="00006350" w:rsidRDefault="00D509DD" w:rsidP="00006350">
      <w:pPr>
        <w:rPr>
          <w:noProof/>
        </w:rPr>
      </w:pPr>
    </w:p>
    <w:p w:rsidR="00D509DD" w:rsidRPr="00006350" w:rsidRDefault="00D509DD" w:rsidP="00006350">
      <w:pPr>
        <w:rPr>
          <w:noProof/>
        </w:rPr>
      </w:pPr>
    </w:p>
    <w:p w:rsidR="00D509DD" w:rsidRPr="00006350" w:rsidRDefault="00D509DD" w:rsidP="00006350"/>
    <w:sectPr w:rsidR="00D509DD" w:rsidRPr="00006350" w:rsidSect="008B45C7">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015D6"/>
    <w:multiLevelType w:val="hybridMultilevel"/>
    <w:tmpl w:val="FDAEB932"/>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C2A26CF"/>
    <w:multiLevelType w:val="hybridMultilevel"/>
    <w:tmpl w:val="54C8D3A4"/>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CC7C02"/>
    <w:multiLevelType w:val="hybridMultilevel"/>
    <w:tmpl w:val="1750B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1C7E48"/>
    <w:multiLevelType w:val="hybridMultilevel"/>
    <w:tmpl w:val="363E2F0C"/>
    <w:lvl w:ilvl="0" w:tplc="04090001">
      <w:numFmt w:val="bullet"/>
      <w:lvlText w:val=""/>
      <w:lvlJc w:val="left"/>
      <w:pPr>
        <w:ind w:left="720" w:hanging="360"/>
      </w:pPr>
      <w:rPr>
        <w:rFonts w:ascii="Symbol" w:eastAsia="Times New Roman" w:hAnsi="Symbol" w:cs="Times New Roman" w:hint="default"/>
      </w:rPr>
    </w:lvl>
    <w:lvl w:ilvl="1" w:tplc="04090001">
      <w:numFmt w:val="bullet"/>
      <w:lvlText w:val=""/>
      <w:lvlJc w:val="left"/>
      <w:pPr>
        <w:ind w:left="1440" w:hanging="36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0F2480"/>
    <w:multiLevelType w:val="hybridMultilevel"/>
    <w:tmpl w:val="D2A4810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0"/>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861"/>
    <w:rsid w:val="00006350"/>
    <w:rsid w:val="00021AB8"/>
    <w:rsid w:val="0006625D"/>
    <w:rsid w:val="000962E4"/>
    <w:rsid w:val="000B0A5F"/>
    <w:rsid w:val="000B4A12"/>
    <w:rsid w:val="000B7A82"/>
    <w:rsid w:val="001319AC"/>
    <w:rsid w:val="00166871"/>
    <w:rsid w:val="00207429"/>
    <w:rsid w:val="00225909"/>
    <w:rsid w:val="00304798"/>
    <w:rsid w:val="003A18D1"/>
    <w:rsid w:val="00416F85"/>
    <w:rsid w:val="00460E6F"/>
    <w:rsid w:val="004A3286"/>
    <w:rsid w:val="004E06F7"/>
    <w:rsid w:val="004E2039"/>
    <w:rsid w:val="0052648F"/>
    <w:rsid w:val="00566D32"/>
    <w:rsid w:val="0058206A"/>
    <w:rsid w:val="00582673"/>
    <w:rsid w:val="00646DFA"/>
    <w:rsid w:val="00656031"/>
    <w:rsid w:val="00656C79"/>
    <w:rsid w:val="00663BD8"/>
    <w:rsid w:val="00682C04"/>
    <w:rsid w:val="006C39F0"/>
    <w:rsid w:val="006C5495"/>
    <w:rsid w:val="0070738F"/>
    <w:rsid w:val="007307B4"/>
    <w:rsid w:val="007768DC"/>
    <w:rsid w:val="007B46B2"/>
    <w:rsid w:val="00866F85"/>
    <w:rsid w:val="008B45C7"/>
    <w:rsid w:val="008B73F8"/>
    <w:rsid w:val="008E2861"/>
    <w:rsid w:val="00943E3F"/>
    <w:rsid w:val="009821CC"/>
    <w:rsid w:val="00983D5D"/>
    <w:rsid w:val="00990AC6"/>
    <w:rsid w:val="00997812"/>
    <w:rsid w:val="009A5F2A"/>
    <w:rsid w:val="00A16114"/>
    <w:rsid w:val="00A63160"/>
    <w:rsid w:val="00A70E55"/>
    <w:rsid w:val="00AF2F13"/>
    <w:rsid w:val="00B16E7A"/>
    <w:rsid w:val="00B22BE8"/>
    <w:rsid w:val="00B30330"/>
    <w:rsid w:val="00BD36FF"/>
    <w:rsid w:val="00BF55A9"/>
    <w:rsid w:val="00C671EF"/>
    <w:rsid w:val="00CC4EEC"/>
    <w:rsid w:val="00CE713D"/>
    <w:rsid w:val="00CF2D95"/>
    <w:rsid w:val="00D05125"/>
    <w:rsid w:val="00D20D7B"/>
    <w:rsid w:val="00D445B0"/>
    <w:rsid w:val="00D509DD"/>
    <w:rsid w:val="00D72B13"/>
    <w:rsid w:val="00D86218"/>
    <w:rsid w:val="00DE3DA7"/>
    <w:rsid w:val="00E44032"/>
    <w:rsid w:val="00E54221"/>
    <w:rsid w:val="00E717A5"/>
    <w:rsid w:val="00ED5F9E"/>
    <w:rsid w:val="00EE096E"/>
    <w:rsid w:val="00EF3E0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A2B2CB1-0C69-4921-8A70-634769885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0B0A5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55A9"/>
    <w:rPr>
      <w:color w:val="0000FF"/>
      <w:u w:val="single"/>
    </w:rPr>
  </w:style>
  <w:style w:type="paragraph" w:styleId="ListParagraph">
    <w:name w:val="List Paragraph"/>
    <w:basedOn w:val="Normal"/>
    <w:uiPriority w:val="34"/>
    <w:qFormat/>
    <w:rsid w:val="00BF55A9"/>
    <w:pPr>
      <w:ind w:left="720"/>
    </w:pPr>
    <w:rPr>
      <w:rFonts w:ascii="Calibri" w:eastAsiaTheme="minorEastAsia" w:hAnsi="Calibri" w:cs="Calibri"/>
      <w:sz w:val="22"/>
      <w:szCs w:val="22"/>
      <w:lang w:eastAsia="ko-KR"/>
    </w:rPr>
  </w:style>
  <w:style w:type="paragraph" w:styleId="NoSpacing">
    <w:name w:val="No Spacing"/>
    <w:uiPriority w:val="1"/>
    <w:qFormat/>
    <w:rsid w:val="00006350"/>
    <w:rPr>
      <w:sz w:val="24"/>
      <w:szCs w:val="24"/>
    </w:rPr>
  </w:style>
  <w:style w:type="paragraph" w:styleId="BalloonText">
    <w:name w:val="Balloon Text"/>
    <w:basedOn w:val="Normal"/>
    <w:link w:val="BalloonTextChar"/>
    <w:semiHidden/>
    <w:unhideWhenUsed/>
    <w:rsid w:val="00B16E7A"/>
    <w:rPr>
      <w:rFonts w:ascii="Segoe UI" w:hAnsi="Segoe UI" w:cs="Segoe UI"/>
      <w:sz w:val="18"/>
      <w:szCs w:val="18"/>
    </w:rPr>
  </w:style>
  <w:style w:type="character" w:customStyle="1" w:styleId="BalloonTextChar">
    <w:name w:val="Balloon Text Char"/>
    <w:basedOn w:val="DefaultParagraphFont"/>
    <w:link w:val="BalloonText"/>
    <w:semiHidden/>
    <w:rsid w:val="00B16E7A"/>
    <w:rPr>
      <w:rFonts w:ascii="Segoe UI" w:hAnsi="Segoe UI" w:cs="Segoe UI"/>
      <w:sz w:val="18"/>
      <w:szCs w:val="18"/>
    </w:rPr>
  </w:style>
  <w:style w:type="character" w:styleId="CommentReference">
    <w:name w:val="annotation reference"/>
    <w:basedOn w:val="DefaultParagraphFont"/>
    <w:semiHidden/>
    <w:unhideWhenUsed/>
    <w:rsid w:val="00943E3F"/>
    <w:rPr>
      <w:sz w:val="16"/>
      <w:szCs w:val="16"/>
    </w:rPr>
  </w:style>
  <w:style w:type="paragraph" w:styleId="CommentText">
    <w:name w:val="annotation text"/>
    <w:basedOn w:val="Normal"/>
    <w:link w:val="CommentTextChar"/>
    <w:semiHidden/>
    <w:unhideWhenUsed/>
    <w:rsid w:val="00943E3F"/>
    <w:rPr>
      <w:sz w:val="20"/>
      <w:szCs w:val="20"/>
    </w:rPr>
  </w:style>
  <w:style w:type="character" w:customStyle="1" w:styleId="CommentTextChar">
    <w:name w:val="Comment Text Char"/>
    <w:basedOn w:val="DefaultParagraphFont"/>
    <w:link w:val="CommentText"/>
    <w:semiHidden/>
    <w:rsid w:val="00943E3F"/>
  </w:style>
  <w:style w:type="paragraph" w:styleId="CommentSubject">
    <w:name w:val="annotation subject"/>
    <w:basedOn w:val="CommentText"/>
    <w:next w:val="CommentText"/>
    <w:link w:val="CommentSubjectChar"/>
    <w:semiHidden/>
    <w:unhideWhenUsed/>
    <w:rsid w:val="00943E3F"/>
    <w:rPr>
      <w:b/>
      <w:bCs/>
    </w:rPr>
  </w:style>
  <w:style w:type="character" w:customStyle="1" w:styleId="CommentSubjectChar">
    <w:name w:val="Comment Subject Char"/>
    <w:basedOn w:val="CommentTextChar"/>
    <w:link w:val="CommentSubject"/>
    <w:semiHidden/>
    <w:rsid w:val="00943E3F"/>
    <w:rPr>
      <w:b/>
      <w:bCs/>
    </w:rPr>
  </w:style>
  <w:style w:type="table" w:styleId="TableGrid">
    <w:name w:val="Table Grid"/>
    <w:basedOn w:val="TableNormal"/>
    <w:rsid w:val="004E06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977810">
      <w:bodyDiv w:val="1"/>
      <w:marLeft w:val="0"/>
      <w:marRight w:val="0"/>
      <w:marTop w:val="0"/>
      <w:marBottom w:val="0"/>
      <w:divBdr>
        <w:top w:val="none" w:sz="0" w:space="0" w:color="auto"/>
        <w:left w:val="none" w:sz="0" w:space="0" w:color="auto"/>
        <w:bottom w:val="none" w:sz="0" w:space="0" w:color="auto"/>
        <w:right w:val="none" w:sz="0" w:space="0" w:color="auto"/>
      </w:divBdr>
    </w:div>
    <w:div w:id="1498765628">
      <w:bodyDiv w:val="1"/>
      <w:marLeft w:val="0"/>
      <w:marRight w:val="0"/>
      <w:marTop w:val="0"/>
      <w:marBottom w:val="0"/>
      <w:divBdr>
        <w:top w:val="none" w:sz="0" w:space="0" w:color="auto"/>
        <w:left w:val="none" w:sz="0" w:space="0" w:color="auto"/>
        <w:bottom w:val="none" w:sz="0" w:space="0" w:color="auto"/>
        <w:right w:val="none" w:sz="0" w:space="0" w:color="auto"/>
      </w:divBdr>
    </w:div>
    <w:div w:id="1986200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959</Words>
  <Characters>5468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H45351</dc:creator>
  <cp:lastModifiedBy>Pollard, Colette</cp:lastModifiedBy>
  <cp:revision>2</cp:revision>
  <cp:lastPrinted>2016-11-29T19:55:00Z</cp:lastPrinted>
  <dcterms:created xsi:type="dcterms:W3CDTF">2017-04-04T20:04:00Z</dcterms:created>
  <dcterms:modified xsi:type="dcterms:W3CDTF">2017-04-04T20:04:00Z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