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E1" w:rsidRPr="005A7B0B" w:rsidRDefault="00DC64E1">
      <w:pPr>
        <w:pStyle w:val="Heading2"/>
        <w:widowControl w:val="0"/>
        <w:tabs>
          <w:tab w:val="clear" w:pos="540"/>
          <w:tab w:val="clear" w:pos="1080"/>
          <w:tab w:val="clear" w:pos="1620"/>
          <w:tab w:val="clear" w:pos="2160"/>
          <w:tab w:val="left" w:pos="504"/>
          <w:tab w:val="left" w:pos="1008"/>
          <w:tab w:val="left" w:pos="1512"/>
          <w:tab w:val="left" w:pos="2016"/>
        </w:tabs>
        <w:rPr>
          <w:snapToGrid w:val="0"/>
        </w:rPr>
      </w:pPr>
      <w:bookmarkStart w:id="0" w:name="_GoBack"/>
      <w:bookmarkEnd w:id="0"/>
      <w:r w:rsidRPr="005A7B0B">
        <w:rPr>
          <w:snapToGrid w:val="0"/>
        </w:rPr>
        <w:t>A.</w:t>
      </w:r>
      <w:r w:rsidRPr="005A7B0B">
        <w:rPr>
          <w:snapToGrid w:val="0"/>
        </w:rPr>
        <w:tab/>
        <w:t xml:space="preserve">JUSTIFICATION </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1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w:t>
      </w:r>
      <w:r w:rsidRPr="005A7B0B">
        <w:rPr>
          <w:b/>
          <w:snapToGrid w:val="0"/>
          <w:sz w:val="24"/>
        </w:rPr>
        <w:tab/>
        <w:t>Explain the circumstances that make the collection of information necessary.  Identify legal or administrative requirements that necessitate the collection of information.</w:t>
      </w:r>
    </w:p>
    <w:p w:rsidR="00DC64E1" w:rsidRPr="005A7B0B" w:rsidRDefault="00DC64E1">
      <w:pPr>
        <w:widowControl w:val="0"/>
        <w:tabs>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p>
    <w:p w:rsidR="00DC64E1" w:rsidRPr="005A7B0B" w:rsidRDefault="00DC64E1">
      <w:pPr>
        <w:widowControl w:val="0"/>
        <w:tabs>
          <w:tab w:val="left" w:pos="54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Provisions for this data collection are included in 38 C.F.R. 17.</w:t>
      </w:r>
      <w:r w:rsidR="00A44A02">
        <w:rPr>
          <w:snapToGrid w:val="0"/>
          <w:sz w:val="24"/>
        </w:rPr>
        <w:t>1</w:t>
      </w:r>
      <w:r w:rsidRPr="005A7B0B">
        <w:rPr>
          <w:snapToGrid w:val="0"/>
          <w:sz w:val="24"/>
        </w:rPr>
        <w:t xml:space="preserve">33.  This informal process provides for submission of a written request for reconsideration denial of healthcare benefits.  The request contains the reason the claimant believes the decision is erroneous and allows submission of new and relevant information.  This process reduces both formal appeals and allows decision making to be more responsive to </w:t>
      </w:r>
      <w:r w:rsidR="00E14960" w:rsidRPr="005A7B0B">
        <w:rPr>
          <w:snapToGrid w:val="0"/>
          <w:sz w:val="24"/>
        </w:rPr>
        <w:t>Veterans</w:t>
      </w:r>
      <w:r w:rsidRPr="005A7B0B">
        <w:rPr>
          <w:snapToGrid w:val="0"/>
          <w:sz w:val="24"/>
        </w:rPr>
        <w:t xml:space="preserve"> using the VA healthcare system. </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1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2.</w:t>
      </w:r>
      <w:r w:rsidRPr="005A7B0B">
        <w:rPr>
          <w:b/>
          <w:snapToGrid w:val="0"/>
          <w:sz w:val="24"/>
        </w:rPr>
        <w:tab/>
        <w:t>Indicate how, by whom, and for what purposes the information is to be used; indicate actual use the agency has made of the information received from current collection.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 xml:space="preserve">The purpose of this data collection is to provide a vehicle to request an informal review of the denied </w:t>
      </w:r>
      <w:r w:rsidR="0052422C">
        <w:rPr>
          <w:snapToGrid w:val="0"/>
          <w:sz w:val="24"/>
        </w:rPr>
        <w:t xml:space="preserve">health care </w:t>
      </w:r>
      <w:r w:rsidRPr="005A7B0B">
        <w:rPr>
          <w:snapToGrid w:val="0"/>
          <w:sz w:val="24"/>
        </w:rPr>
        <w:t xml:space="preserve">claims of </w:t>
      </w:r>
      <w:r w:rsidR="00E14960" w:rsidRPr="005A7B0B">
        <w:rPr>
          <w:snapToGrid w:val="0"/>
          <w:sz w:val="24"/>
        </w:rPr>
        <w:t>Veterans</w:t>
      </w:r>
      <w:r w:rsidRPr="005A7B0B">
        <w:rPr>
          <w:snapToGrid w:val="0"/>
          <w:sz w:val="24"/>
        </w:rPr>
        <w:t xml:space="preserve">.  </w:t>
      </w:r>
      <w:r w:rsidR="007616C0">
        <w:rPr>
          <w:snapToGrid w:val="0"/>
          <w:sz w:val="24"/>
        </w:rPr>
        <w:t xml:space="preserve">Providers, </w:t>
      </w:r>
      <w:r w:rsidR="00E14960" w:rsidRPr="005A7B0B">
        <w:rPr>
          <w:snapToGrid w:val="0"/>
          <w:sz w:val="24"/>
        </w:rPr>
        <w:t>Veterans</w:t>
      </w:r>
      <w:r w:rsidR="006118E2">
        <w:rPr>
          <w:snapToGrid w:val="0"/>
          <w:sz w:val="24"/>
        </w:rPr>
        <w:t>, a</w:t>
      </w:r>
      <w:r w:rsidR="007616C0">
        <w:rPr>
          <w:snapToGrid w:val="0"/>
          <w:sz w:val="24"/>
        </w:rPr>
        <w:t>nd those on behalf of a Veteran</w:t>
      </w:r>
      <w:r w:rsidR="006118E2">
        <w:rPr>
          <w:snapToGrid w:val="0"/>
          <w:sz w:val="24"/>
        </w:rPr>
        <w:t xml:space="preserve"> such as a Veterans Service Officer, and a person with a Power of Attorney (POA), </w:t>
      </w:r>
      <w:r w:rsidRPr="005A7B0B">
        <w:rPr>
          <w:snapToGrid w:val="0"/>
          <w:sz w:val="24"/>
        </w:rPr>
        <w:t xml:space="preserve">whose </w:t>
      </w:r>
      <w:r w:rsidR="0052422C">
        <w:rPr>
          <w:snapToGrid w:val="0"/>
          <w:sz w:val="24"/>
        </w:rPr>
        <w:t xml:space="preserve">claim reimbursement </w:t>
      </w:r>
      <w:r w:rsidRPr="005A7B0B">
        <w:rPr>
          <w:snapToGrid w:val="0"/>
          <w:sz w:val="24"/>
        </w:rPr>
        <w:t xml:space="preserve">for healthcare benefits has been denied </w:t>
      </w:r>
      <w:r w:rsidR="007616C0">
        <w:rPr>
          <w:snapToGrid w:val="0"/>
          <w:sz w:val="24"/>
        </w:rPr>
        <w:t>may</w:t>
      </w:r>
      <w:r w:rsidR="007616C0" w:rsidRPr="005A7B0B">
        <w:rPr>
          <w:snapToGrid w:val="0"/>
          <w:sz w:val="24"/>
        </w:rPr>
        <w:t xml:space="preserve"> </w:t>
      </w:r>
      <w:r w:rsidRPr="005A7B0B">
        <w:rPr>
          <w:snapToGrid w:val="0"/>
          <w:sz w:val="24"/>
        </w:rPr>
        <w:t xml:space="preserve">initiate this </w:t>
      </w:r>
      <w:r w:rsidR="0052422C">
        <w:rPr>
          <w:snapToGrid w:val="0"/>
          <w:sz w:val="24"/>
        </w:rPr>
        <w:t xml:space="preserve">reconsideration </w:t>
      </w:r>
      <w:r w:rsidRPr="005A7B0B">
        <w:rPr>
          <w:snapToGrid w:val="0"/>
          <w:sz w:val="24"/>
        </w:rPr>
        <w:t xml:space="preserve">request.  </w:t>
      </w:r>
      <w:r w:rsidR="0052422C">
        <w:rPr>
          <w:snapToGrid w:val="0"/>
          <w:sz w:val="24"/>
        </w:rPr>
        <w:t>H</w:t>
      </w:r>
      <w:r w:rsidRPr="005A7B0B">
        <w:rPr>
          <w:snapToGrid w:val="0"/>
          <w:sz w:val="24"/>
        </w:rPr>
        <w:t xml:space="preserve">ospital administrative personnel will review the </w:t>
      </w:r>
      <w:r w:rsidR="0052422C">
        <w:rPr>
          <w:snapToGrid w:val="0"/>
          <w:sz w:val="24"/>
        </w:rPr>
        <w:t xml:space="preserve">new and relevant information to assure an appropriate decision was made on the health care claim and to further alleviate an appeal to the Board. </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1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3.</w:t>
      </w:r>
      <w:r w:rsidRPr="005A7B0B">
        <w:rPr>
          <w:b/>
          <w:snapToGrid w:val="0"/>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tabs>
          <w:tab w:val="left" w:pos="540"/>
          <w:tab w:val="left" w:pos="1080"/>
          <w:tab w:val="left" w:pos="1620"/>
        </w:tabs>
        <w:rPr>
          <w:sz w:val="24"/>
        </w:rPr>
      </w:pPr>
      <w:r w:rsidRPr="005A7B0B">
        <w:rPr>
          <w:snapToGrid w:val="0"/>
          <w:sz w:val="24"/>
        </w:rPr>
        <w:tab/>
      </w:r>
      <w:r w:rsidRPr="005A7B0B">
        <w:rPr>
          <w:sz w:val="24"/>
        </w:rPr>
        <w:t>The collection of information does not involve the use of automated, electronic, mechanical, or other technological collection techniques and no specific form or format is required.  Additionally, VA determined that automating this data collection is not economically feasible.</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1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4.</w:t>
      </w:r>
      <w:r w:rsidRPr="005A7B0B">
        <w:rPr>
          <w:b/>
          <w:snapToGrid w:val="0"/>
          <w:sz w:val="24"/>
        </w:rPr>
        <w:tab/>
        <w:t>Describe effort to identify duplication.  Show specifically why any similar information already available cannot be used or modified for use for the purposes described in Item 2 above.</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 xml:space="preserve">This is a unique, voluntary, informal process conducted in addition to the formal appeals process.  In the event the decision is later appealed, the data gathered will be furnished to the Board of </w:t>
      </w:r>
      <w:r w:rsidR="00E14960" w:rsidRPr="005A7B0B">
        <w:rPr>
          <w:snapToGrid w:val="0"/>
          <w:sz w:val="24"/>
        </w:rPr>
        <w:t>Veterans</w:t>
      </w:r>
      <w:r w:rsidRPr="005A7B0B">
        <w:rPr>
          <w:snapToGrid w:val="0"/>
          <w:sz w:val="24"/>
        </w:rPr>
        <w:t xml:space="preserve"> Affairs as supplemental information.  Thus, there is no duplication.  </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5.</w:t>
      </w:r>
      <w:r w:rsidRPr="005A7B0B">
        <w:rPr>
          <w:b/>
          <w:snapToGrid w:val="0"/>
          <w:sz w:val="24"/>
        </w:rPr>
        <w:tab/>
        <w:t>If the collection of information impacts small businesses or other small entities, describe any methods used to minimize burden.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No small businesses or other small entities are impacted by this information collection.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6.</w:t>
      </w:r>
      <w:r w:rsidRPr="005A7B0B">
        <w:rPr>
          <w:b/>
          <w:snapToGrid w:val="0"/>
          <w:sz w:val="24"/>
        </w:rPr>
        <w:tab/>
        <w:t xml:space="preserve">Describe the consequences to Federal program or policy activities if the collection is not </w:t>
      </w:r>
      <w:r w:rsidRPr="005A7B0B">
        <w:rPr>
          <w:b/>
          <w:snapToGrid w:val="0"/>
          <w:sz w:val="24"/>
        </w:rPr>
        <w:lastRenderedPageBreak/>
        <w:t>conducted or is conducted less frequently as well as any technical or legal obstacles to reducing burden.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As this information is collected only when review of a denied claim is requested, VA would not be responsive to the needs of the veteran if the information were collected less frequently.</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7</w:t>
      </w:r>
      <w:r w:rsidRPr="005A7B0B">
        <w:rPr>
          <w:snapToGrid w:val="0"/>
          <w:sz w:val="24"/>
        </w:rPr>
        <w:t>.</w:t>
      </w:r>
      <w:r w:rsidRPr="005A7B0B">
        <w:rPr>
          <w:snapToGrid w:val="0"/>
          <w:sz w:val="24"/>
        </w:rPr>
        <w:tab/>
      </w:r>
      <w:r w:rsidRPr="005A7B0B">
        <w:rPr>
          <w:b/>
          <w:snapToGrid w:val="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There are no such special circumstances.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8.</w:t>
      </w:r>
      <w:r w:rsidRPr="005A7B0B">
        <w:rPr>
          <w:b/>
          <w:snapToGrid w:val="0"/>
          <w:sz w:val="24"/>
        </w:rPr>
        <w:tab/>
        <w:t>a.</w:t>
      </w:r>
      <w:r w:rsidRPr="005A7B0B">
        <w:rPr>
          <w:b/>
          <w:snapToGrid w:val="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DC64E1" w:rsidRPr="005A7B0B" w:rsidRDefault="00DC64E1">
      <w:pPr>
        <w:tabs>
          <w:tab w:val="left" w:pos="547"/>
          <w:tab w:val="left" w:pos="1080"/>
          <w:tab w:val="left" w:pos="1627"/>
          <w:tab w:val="left" w:pos="2160"/>
          <w:tab w:val="left" w:pos="2880"/>
        </w:tabs>
        <w:rPr>
          <w:sz w:val="22"/>
          <w:szCs w:val="22"/>
        </w:rPr>
      </w:pPr>
    </w:p>
    <w:p w:rsidR="00B435D8" w:rsidRDefault="00DC64E1">
      <w:pPr>
        <w:tabs>
          <w:tab w:val="left" w:pos="547"/>
          <w:tab w:val="left" w:pos="1080"/>
          <w:tab w:val="left" w:pos="1627"/>
          <w:tab w:val="left" w:pos="2160"/>
          <w:tab w:val="left" w:pos="2880"/>
        </w:tabs>
        <w:rPr>
          <w:sz w:val="22"/>
          <w:szCs w:val="22"/>
        </w:rPr>
      </w:pPr>
      <w:r w:rsidRPr="005A7B0B">
        <w:rPr>
          <w:sz w:val="22"/>
          <w:szCs w:val="22"/>
        </w:rPr>
        <w:tab/>
        <w:t xml:space="preserve">The notice of Proposed Information Collection Activity was published in the Federal Register on </w:t>
      </w:r>
      <w:r w:rsidR="00FD49C0">
        <w:rPr>
          <w:sz w:val="22"/>
          <w:szCs w:val="22"/>
        </w:rPr>
        <w:t>06/22/2016; pages 40769-40770, Volume 81, No. 40769</w:t>
      </w:r>
      <w:r w:rsidR="00786860" w:rsidRPr="005A7B0B">
        <w:rPr>
          <w:sz w:val="22"/>
          <w:szCs w:val="22"/>
        </w:rPr>
        <w:t xml:space="preserve">. </w:t>
      </w:r>
    </w:p>
    <w:p w:rsidR="00B435D8" w:rsidRDefault="00B435D8">
      <w:pPr>
        <w:tabs>
          <w:tab w:val="left" w:pos="547"/>
          <w:tab w:val="left" w:pos="1080"/>
          <w:tab w:val="left" w:pos="1627"/>
          <w:tab w:val="left" w:pos="2160"/>
          <w:tab w:val="left" w:pos="2880"/>
        </w:tabs>
        <w:rPr>
          <w:sz w:val="22"/>
          <w:szCs w:val="22"/>
        </w:rPr>
      </w:pPr>
      <w:r>
        <w:rPr>
          <w:sz w:val="22"/>
          <w:szCs w:val="22"/>
        </w:rPr>
        <w:tab/>
      </w:r>
    </w:p>
    <w:p w:rsidR="00DC64E1" w:rsidRPr="005A7B0B" w:rsidRDefault="00DC64E1">
      <w:pPr>
        <w:tabs>
          <w:tab w:val="left" w:pos="547"/>
          <w:tab w:val="left" w:pos="1080"/>
          <w:tab w:val="left" w:pos="1627"/>
          <w:tab w:val="left" w:pos="2160"/>
          <w:tab w:val="left" w:pos="2880"/>
        </w:tabs>
        <w:rPr>
          <w:sz w:val="22"/>
          <w:szCs w:val="22"/>
        </w:rPr>
      </w:pPr>
    </w:p>
    <w:p w:rsidR="00DC64E1" w:rsidRPr="005A7B0B" w:rsidRDefault="00DC64E1">
      <w:pPr>
        <w:widowControl w:val="0"/>
        <w:tabs>
          <w:tab w:val="left" w:pos="504"/>
          <w:tab w:val="left" w:pos="1005"/>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b.</w:t>
      </w:r>
      <w:r w:rsidRPr="005A7B0B">
        <w:rPr>
          <w:b/>
          <w:snapToGrid w:val="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B435D8"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 xml:space="preserve">An official of a charted </w:t>
      </w:r>
      <w:r w:rsidR="00E14960" w:rsidRPr="005A7B0B">
        <w:rPr>
          <w:snapToGrid w:val="0"/>
          <w:sz w:val="24"/>
        </w:rPr>
        <w:t>Veterans</w:t>
      </w:r>
      <w:r w:rsidRPr="005A7B0B">
        <w:rPr>
          <w:snapToGrid w:val="0"/>
          <w:sz w:val="24"/>
        </w:rPr>
        <w:t xml:space="preserve"> </w:t>
      </w:r>
      <w:r w:rsidR="005A7B0B" w:rsidRPr="005A7B0B">
        <w:rPr>
          <w:snapToGrid w:val="0"/>
          <w:sz w:val="24"/>
        </w:rPr>
        <w:t xml:space="preserve">Service Organization </w:t>
      </w:r>
      <w:r w:rsidRPr="005A7B0B">
        <w:rPr>
          <w:snapToGrid w:val="0"/>
          <w:sz w:val="24"/>
        </w:rPr>
        <w:t>suggested this informal information collection.</w:t>
      </w:r>
    </w:p>
    <w:p w:rsidR="00B435D8" w:rsidRPr="005A7B0B" w:rsidRDefault="00B435D8">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b/>
          <w:snapToGrid w:val="0"/>
          <w:sz w:val="24"/>
        </w:rPr>
        <w:t>9</w:t>
      </w:r>
      <w:r w:rsidRPr="005A7B0B">
        <w:rPr>
          <w:snapToGrid w:val="0"/>
          <w:sz w:val="24"/>
        </w:rPr>
        <w:t>.</w:t>
      </w:r>
      <w:r w:rsidRPr="005A7B0B">
        <w:rPr>
          <w:snapToGrid w:val="0"/>
          <w:sz w:val="24"/>
        </w:rPr>
        <w:tab/>
      </w:r>
      <w:r w:rsidRPr="005A7B0B">
        <w:rPr>
          <w:b/>
          <w:snapToGrid w:val="0"/>
          <w:sz w:val="24"/>
        </w:rPr>
        <w:t>Explain any decision to provide any payment or gift to respondents, other than remuneration of contractors or grantees.</w:t>
      </w:r>
    </w:p>
    <w:p w:rsidR="00DC64E1" w:rsidRPr="005A7B0B" w:rsidRDefault="00DC64E1">
      <w:pPr>
        <w:pStyle w:val="Heade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No payment or gift is provided to respondents.</w:t>
      </w:r>
    </w:p>
    <w:p w:rsidR="00DC64E1" w:rsidRPr="005A7B0B" w:rsidRDefault="00DC64E1">
      <w:pPr>
        <w:pStyle w:val="Heade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b/>
          <w:snapToGrid w:val="0"/>
          <w:sz w:val="24"/>
        </w:rPr>
        <w:t>10.</w:t>
      </w:r>
      <w:r w:rsidRPr="005A7B0B">
        <w:rPr>
          <w:b/>
          <w:snapToGrid w:val="0"/>
          <w:sz w:val="24"/>
        </w:rPr>
        <w:tab/>
        <w:t xml:space="preserve">Describe any assurance of </w:t>
      </w:r>
      <w:r w:rsidR="004D15F0">
        <w:rPr>
          <w:b/>
          <w:snapToGrid w:val="0"/>
          <w:sz w:val="24"/>
        </w:rPr>
        <w:t xml:space="preserve">privacy, to the extent permitted by law, </w:t>
      </w:r>
      <w:r w:rsidRPr="005A7B0B">
        <w:rPr>
          <w:b/>
          <w:snapToGrid w:val="0"/>
          <w:sz w:val="24"/>
        </w:rPr>
        <w:t>provided to respondents and the basis for the assurance in statue, regulation, or agency policy.</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5A7B0B">
        <w:rPr>
          <w:snapToGrid w:val="0"/>
          <w:sz w:val="24"/>
        </w:rPr>
        <w:tab/>
        <w:t xml:space="preserve">Assurances of confidentiality are contained in 38 U.S.C. 5701 and 7332. </w:t>
      </w:r>
      <w:r w:rsidRPr="005A7B0B">
        <w:rPr>
          <w:sz w:val="24"/>
        </w:rPr>
        <w:t>Respondents are informed that the information collected will become part of the Consolidated Health Record which complies with the Privacy Act of 1974.  This data becomes part of the</w:t>
      </w:r>
      <w:r w:rsidRPr="005A7B0B">
        <w:rPr>
          <w:sz w:val="24"/>
        </w:rPr>
        <w:fldChar w:fldCharType="begin"/>
      </w:r>
      <w:r w:rsidRPr="005A7B0B">
        <w:rPr>
          <w:sz w:val="24"/>
        </w:rPr>
        <w:instrText xml:space="preserve"> HYPERLINK "http://www.access.gpo.gov/su_docs/aces/2001_pa.html" </w:instrText>
      </w:r>
      <w:r w:rsidRPr="005A7B0B">
        <w:rPr>
          <w:sz w:val="24"/>
        </w:rPr>
      </w:r>
      <w:r w:rsidRPr="005A7B0B">
        <w:rPr>
          <w:sz w:val="24"/>
        </w:rPr>
        <w:fldChar w:fldCharType="separate"/>
      </w:r>
      <w:r w:rsidRPr="005A7B0B">
        <w:rPr>
          <w:sz w:val="24"/>
        </w:rPr>
        <w:t xml:space="preserve"> system of records identified as 24VA19 “Patient Medical Record – VA” as set forth in the Compilation of Privac</w:t>
      </w:r>
      <w:r w:rsidRPr="005A7B0B">
        <w:rPr>
          <w:sz w:val="24"/>
        </w:rPr>
        <w:t>y</w:t>
      </w:r>
      <w:r w:rsidRPr="005A7B0B">
        <w:rPr>
          <w:sz w:val="24"/>
        </w:rPr>
        <w:t xml:space="preserve"> Act Issuances via online GPO</w:t>
      </w:r>
      <w:r w:rsidRPr="005A7B0B">
        <w:rPr>
          <w:sz w:val="24"/>
        </w:rPr>
        <w:t xml:space="preserve"> </w:t>
      </w:r>
      <w:r w:rsidRPr="005A7B0B">
        <w:rPr>
          <w:sz w:val="24"/>
        </w:rPr>
        <w:t xml:space="preserve">access at </w:t>
      </w:r>
      <w:hyperlink r:id="rId8" w:history="1">
        <w:r w:rsidRPr="005A7B0B">
          <w:rPr>
            <w:sz w:val="24"/>
            <w:szCs w:val="22"/>
            <w:u w:val="single"/>
          </w:rPr>
          <w:t>http://www.gpoacce</w:t>
        </w:r>
        <w:r w:rsidRPr="005A7B0B">
          <w:rPr>
            <w:sz w:val="24"/>
            <w:szCs w:val="22"/>
            <w:u w:val="single"/>
          </w:rPr>
          <w:t>s</w:t>
        </w:r>
        <w:r w:rsidRPr="005A7B0B">
          <w:rPr>
            <w:sz w:val="24"/>
            <w:szCs w:val="22"/>
            <w:u w:val="single"/>
          </w:rPr>
          <w:t>s.gov/privacyact/index.html</w:t>
        </w:r>
      </w:hyperlink>
      <w:r w:rsidRPr="005A7B0B">
        <w:rPr>
          <w:sz w:val="24"/>
          <w:szCs w:val="22"/>
        </w:rPr>
        <w:t>.</w:t>
      </w:r>
      <w:r w:rsidRPr="005A7B0B">
        <w:rPr>
          <w:sz w:val="24"/>
        </w:rPr>
        <w:fldChar w:fldCharType="end"/>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11.</w:t>
      </w:r>
      <w:r w:rsidRPr="005A7B0B">
        <w:rPr>
          <w:b/>
          <w:snapToGrid w:val="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There are no questions of a sensitive nature.</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744"/>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12.</w:t>
      </w:r>
      <w:r w:rsidRPr="005A7B0B">
        <w:rPr>
          <w:b/>
          <w:snapToGrid w:val="0"/>
          <w:sz w:val="24"/>
        </w:rPr>
        <w:tab/>
        <w:t>Estimate of the hour burden of the collection of information: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5A7B0B">
        <w:rPr>
          <w:snapToGrid w:val="0"/>
          <w:sz w:val="24"/>
        </w:rPr>
        <w:tab/>
        <w:t>a.</w:t>
      </w:r>
      <w:r w:rsidRPr="005A7B0B">
        <w:rPr>
          <w:snapToGrid w:val="0"/>
          <w:sz w:val="24"/>
        </w:rPr>
        <w:tab/>
        <w:t>101,652 r</w:t>
      </w:r>
      <w:r w:rsidRPr="005A7B0B">
        <w:rPr>
          <w:sz w:val="24"/>
        </w:rPr>
        <w:t>espondents x 1 response x 30 minutes per response / 60 = 50,826 burden hours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ab/>
        <w:t>b.</w:t>
      </w:r>
      <w:r w:rsidRPr="005A7B0B">
        <w:rPr>
          <w:b/>
          <w:snapToGrid w:val="0"/>
          <w:sz w:val="24"/>
        </w:rPr>
        <w:tab/>
        <w:t>If this request for approval covers more than one form, provide separate hour burden estimates for each form and aggregate the hour burdens in Item 13 of OMB 83-I.</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r>
      <w:r w:rsidRPr="005A7B0B">
        <w:rPr>
          <w:snapToGrid w:val="0"/>
          <w:sz w:val="24"/>
        </w:rPr>
        <w:tab/>
        <w:t xml:space="preserve">This request does not include a form.  This informal process only requires </w:t>
      </w:r>
      <w:r w:rsidR="005A7B0B" w:rsidRPr="005A7B0B">
        <w:rPr>
          <w:snapToGrid w:val="0"/>
          <w:sz w:val="24"/>
        </w:rPr>
        <w:t>s</w:t>
      </w:r>
      <w:r w:rsidRPr="005A7B0B">
        <w:rPr>
          <w:snapToGrid w:val="0"/>
          <w:sz w:val="24"/>
        </w:rPr>
        <w:t>ubmission of a written request for reconsideration denial of healthcare benefits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ab/>
        <w:t>c.</w:t>
      </w:r>
      <w:r w:rsidRPr="005A7B0B">
        <w:rPr>
          <w:b/>
          <w:snapToGrid w:val="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p>
    <w:p w:rsidR="00DC64E1" w:rsidRPr="005A7B0B" w:rsidRDefault="00DC64E1">
      <w:pPr>
        <w:pStyle w:val="BodyText"/>
        <w:rPr>
          <w:color w:val="auto"/>
          <w:sz w:val="24"/>
        </w:rPr>
      </w:pPr>
      <w:r w:rsidRPr="005A7B0B">
        <w:rPr>
          <w:color w:val="auto"/>
          <w:sz w:val="24"/>
        </w:rPr>
        <w:tab/>
      </w:r>
      <w:r w:rsidR="00D4058F" w:rsidRPr="00D4058F">
        <w:rPr>
          <w:color w:val="auto"/>
          <w:sz w:val="24"/>
        </w:rPr>
        <w:t>The Bureau of Labor Statistics (BLS) gathers information on full-time wage and salary workers.  According to the latest available BLS Current Population Survey (CPS) (</w:t>
      </w:r>
      <w:hyperlink r:id="rId9" w:history="1">
        <w:r w:rsidR="00D4058F" w:rsidRPr="009831C6">
          <w:rPr>
            <w:rStyle w:val="Hyperlink"/>
            <w:sz w:val="24"/>
          </w:rPr>
          <w:t>http://www.bls.g</w:t>
        </w:r>
        <w:r w:rsidR="00D4058F" w:rsidRPr="009831C6">
          <w:rPr>
            <w:rStyle w:val="Hyperlink"/>
            <w:sz w:val="24"/>
          </w:rPr>
          <w:t>o</w:t>
        </w:r>
        <w:r w:rsidR="00D4058F" w:rsidRPr="009831C6">
          <w:rPr>
            <w:rStyle w:val="Hyperlink"/>
            <w:sz w:val="24"/>
          </w:rPr>
          <w:t>v/cps/cpsaat39.htm</w:t>
        </w:r>
      </w:hyperlink>
      <w:r w:rsidR="00D4058F">
        <w:rPr>
          <w:color w:val="auto"/>
          <w:sz w:val="24"/>
        </w:rPr>
        <w:t xml:space="preserve">) </w:t>
      </w:r>
      <w:r w:rsidR="00D4058F" w:rsidRPr="00D4058F">
        <w:rPr>
          <w:color w:val="auto"/>
          <w:sz w:val="24"/>
        </w:rPr>
        <w:t xml:space="preserve">(dated </w:t>
      </w:r>
      <w:r w:rsidR="0095261B">
        <w:rPr>
          <w:color w:val="auto"/>
          <w:sz w:val="24"/>
        </w:rPr>
        <w:t>May</w:t>
      </w:r>
      <w:r w:rsidR="00D4058F" w:rsidRPr="00D4058F">
        <w:rPr>
          <w:color w:val="auto"/>
          <w:sz w:val="24"/>
        </w:rPr>
        <w:t xml:space="preserve"> 10, 201</w:t>
      </w:r>
      <w:r w:rsidR="0095261B">
        <w:rPr>
          <w:color w:val="auto"/>
          <w:sz w:val="24"/>
        </w:rPr>
        <w:t>5</w:t>
      </w:r>
      <w:r w:rsidR="00D4058F" w:rsidRPr="00D4058F">
        <w:rPr>
          <w:color w:val="auto"/>
          <w:sz w:val="24"/>
        </w:rPr>
        <w:t>), the median weekly earnings of full-time wage and salary workers are $809.00.  Assuming a forty (40) hour work week, t</w:t>
      </w:r>
      <w:r w:rsidR="00235426">
        <w:rPr>
          <w:color w:val="auto"/>
          <w:sz w:val="24"/>
        </w:rPr>
        <w:t>he median hourly wage is $20.23</w:t>
      </w:r>
      <w:r w:rsidR="00786860">
        <w:rPr>
          <w:color w:val="auto"/>
          <w:sz w:val="24"/>
        </w:rPr>
        <w:t xml:space="preserve">. </w:t>
      </w:r>
      <w:r w:rsidR="00F04D60">
        <w:rPr>
          <w:color w:val="auto"/>
          <w:sz w:val="24"/>
        </w:rPr>
        <w:t>VA</w:t>
      </w:r>
      <w:r w:rsidRPr="005A7B0B">
        <w:rPr>
          <w:color w:val="auto"/>
          <w:sz w:val="24"/>
        </w:rPr>
        <w:t xml:space="preserve"> do</w:t>
      </w:r>
      <w:r w:rsidR="00F04D60">
        <w:rPr>
          <w:color w:val="auto"/>
          <w:sz w:val="24"/>
        </w:rPr>
        <w:t>es</w:t>
      </w:r>
      <w:r w:rsidRPr="005A7B0B">
        <w:rPr>
          <w:color w:val="auto"/>
          <w:sz w:val="24"/>
        </w:rPr>
        <w:t xml:space="preserve"> not require any additional recordkeeping.</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13.</w:t>
      </w:r>
      <w:r w:rsidRPr="005A7B0B">
        <w:rPr>
          <w:b/>
          <w:snapToGrid w:val="0"/>
          <w:sz w:val="24"/>
        </w:rPr>
        <w:tab/>
        <w:t>Provide an estimate of the total annual cost burden to respondents or record</w:t>
      </w:r>
      <w:r w:rsidR="001D7504">
        <w:rPr>
          <w:b/>
          <w:snapToGrid w:val="0"/>
          <w:sz w:val="24"/>
        </w:rPr>
        <w:t xml:space="preserve"> </w:t>
      </w:r>
      <w:r w:rsidRPr="005A7B0B">
        <w:rPr>
          <w:b/>
          <w:snapToGrid w:val="0"/>
          <w:sz w:val="24"/>
        </w:rPr>
        <w:t>keepers resulting from the collection of information.  (Do not include the cost of any hour burden shown in Items 12 and 14).</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a.</w:t>
      </w:r>
      <w:r w:rsidRPr="005A7B0B">
        <w:rPr>
          <w:snapToGrid w:val="0"/>
          <w:sz w:val="24"/>
        </w:rPr>
        <w:tab/>
        <w:t xml:space="preserve">There </w:t>
      </w:r>
      <w:r w:rsidR="0000137B" w:rsidRPr="005A7B0B">
        <w:rPr>
          <w:snapToGrid w:val="0"/>
          <w:sz w:val="24"/>
        </w:rPr>
        <w:t>is no capital</w:t>
      </w:r>
      <w:r w:rsidRPr="005A7B0B">
        <w:rPr>
          <w:snapToGrid w:val="0"/>
          <w:sz w:val="24"/>
        </w:rPr>
        <w:t>, start-up, operation or maintenance costs.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b.</w:t>
      </w:r>
      <w:r w:rsidRPr="005A7B0B">
        <w:rPr>
          <w:snapToGrid w:val="0"/>
          <w:sz w:val="24"/>
        </w:rPr>
        <w:tab/>
        <w:t>Cost estimates are not expected to vary widely.  The only cost is that for the time of the respondent.</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pStyle w:val="BodyText3"/>
        <w:tabs>
          <w:tab w:val="clear" w:pos="3600"/>
          <w:tab w:val="clear" w:pos="4320"/>
          <w:tab w:val="clear" w:pos="5040"/>
          <w:tab w:val="clear" w:pos="5760"/>
          <w:tab w:val="clear" w:pos="6480"/>
          <w:tab w:val="clear" w:pos="7200"/>
          <w:tab w:val="clear" w:pos="7920"/>
          <w:tab w:val="clear" w:pos="8640"/>
          <w:tab w:val="left" w:pos="0"/>
          <w:tab w:val="left" w:pos="2160"/>
          <w:tab w:val="left" w:pos="2880"/>
        </w:tabs>
        <w:rPr>
          <w:b w:val="0"/>
          <w:sz w:val="22"/>
          <w:szCs w:val="22"/>
        </w:rPr>
      </w:pPr>
      <w:r w:rsidRPr="005A7B0B">
        <w:rPr>
          <w:b w:val="0"/>
          <w:sz w:val="22"/>
          <w:szCs w:val="22"/>
        </w:rPr>
        <w:tab/>
        <w:t>c.</w:t>
      </w:r>
      <w:r w:rsidRPr="005A7B0B">
        <w:rPr>
          <w:b w:val="0"/>
          <w:sz w:val="22"/>
          <w:szCs w:val="22"/>
        </w:rPr>
        <w:tab/>
        <w:t>There is no anticipated recordkeeping burden.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14.</w:t>
      </w:r>
      <w:r w:rsidRPr="005A7B0B">
        <w:rPr>
          <w:b/>
          <w:snapToGrid w:val="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The total cost to the Federal Government is estimated to be $</w:t>
      </w:r>
      <w:r w:rsidR="00AD5854">
        <w:rPr>
          <w:snapToGrid w:val="0"/>
          <w:sz w:val="22"/>
        </w:rPr>
        <w:t>4,856,424.30</w:t>
      </w:r>
      <w:r w:rsidRPr="005A7B0B">
        <w:rPr>
          <w:snapToGrid w:val="0"/>
          <w:sz w:val="24"/>
        </w:rPr>
        <w:t>.</w:t>
      </w:r>
    </w:p>
    <w:p w:rsidR="00AD5854" w:rsidRDefault="00AD5854">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tbl>
      <w:tblPr>
        <w:tblW w:w="8655" w:type="dxa"/>
        <w:tblInd w:w="93" w:type="dxa"/>
        <w:tblLook w:val="04A0" w:firstRow="1" w:lastRow="0" w:firstColumn="1" w:lastColumn="0" w:noHBand="0" w:noVBand="1"/>
      </w:tblPr>
      <w:tblGrid>
        <w:gridCol w:w="1060"/>
        <w:gridCol w:w="1120"/>
        <w:gridCol w:w="1300"/>
        <w:gridCol w:w="1481"/>
        <w:gridCol w:w="1624"/>
        <w:gridCol w:w="2070"/>
        <w:tblGridChange w:id="1">
          <w:tblGrid>
            <w:gridCol w:w="1060"/>
            <w:gridCol w:w="1120"/>
            <w:gridCol w:w="1300"/>
            <w:gridCol w:w="1481"/>
            <w:gridCol w:w="1624"/>
            <w:gridCol w:w="2070"/>
          </w:tblGrid>
        </w:tblGridChange>
      </w:tblGrid>
      <w:tr w:rsidR="00AD5854" w:rsidRPr="00AD5854" w:rsidTr="00AD5854">
        <w:trPr>
          <w:trHeight w:val="300"/>
        </w:trPr>
        <w:tc>
          <w:tcPr>
            <w:tcW w:w="106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AD5854" w:rsidRPr="00AD5854" w:rsidRDefault="00AD5854" w:rsidP="00AD5854">
            <w:pPr>
              <w:jc w:val="center"/>
              <w:rPr>
                <w:color w:val="000000"/>
                <w:sz w:val="22"/>
                <w:szCs w:val="22"/>
              </w:rPr>
            </w:pPr>
            <w:r w:rsidRPr="00AD5854">
              <w:rPr>
                <w:color w:val="000000"/>
                <w:sz w:val="22"/>
                <w:szCs w:val="22"/>
              </w:rPr>
              <w:t> </w:t>
            </w:r>
          </w:p>
        </w:tc>
        <w:tc>
          <w:tcPr>
            <w:tcW w:w="1120" w:type="dxa"/>
            <w:tcBorders>
              <w:top w:val="single" w:sz="4" w:space="0" w:color="auto"/>
              <w:left w:val="nil"/>
              <w:bottom w:val="single" w:sz="4" w:space="0" w:color="auto"/>
              <w:right w:val="single" w:sz="4" w:space="0" w:color="auto"/>
            </w:tcBorders>
            <w:shd w:val="clear" w:color="000000" w:fill="A6A6A6"/>
            <w:noWrap/>
            <w:vAlign w:val="bottom"/>
            <w:hideMark/>
          </w:tcPr>
          <w:p w:rsidR="00AD5854" w:rsidRPr="00AD5854" w:rsidRDefault="00AD5854" w:rsidP="00AD5854">
            <w:pPr>
              <w:jc w:val="center"/>
              <w:rPr>
                <w:color w:val="000000"/>
                <w:sz w:val="22"/>
                <w:szCs w:val="22"/>
              </w:rPr>
            </w:pPr>
            <w:r w:rsidRPr="00AD5854">
              <w:rPr>
                <w:color w:val="000000"/>
                <w:sz w:val="22"/>
                <w:szCs w:val="22"/>
              </w:rPr>
              <w:t>Salary</w:t>
            </w:r>
          </w:p>
        </w:tc>
        <w:tc>
          <w:tcPr>
            <w:tcW w:w="1300" w:type="dxa"/>
            <w:tcBorders>
              <w:top w:val="single" w:sz="4" w:space="0" w:color="auto"/>
              <w:left w:val="nil"/>
              <w:bottom w:val="single" w:sz="4" w:space="0" w:color="auto"/>
              <w:right w:val="single" w:sz="4" w:space="0" w:color="auto"/>
            </w:tcBorders>
            <w:shd w:val="clear" w:color="000000" w:fill="A6A6A6"/>
            <w:noWrap/>
            <w:vAlign w:val="bottom"/>
            <w:hideMark/>
          </w:tcPr>
          <w:p w:rsidR="00AD5854" w:rsidRPr="00AD5854" w:rsidRDefault="00AD5854" w:rsidP="00AD5854">
            <w:pPr>
              <w:jc w:val="center"/>
              <w:rPr>
                <w:b/>
                <w:bCs/>
                <w:color w:val="000000"/>
                <w:sz w:val="22"/>
                <w:szCs w:val="22"/>
              </w:rPr>
            </w:pPr>
            <w:r w:rsidRPr="00AD5854">
              <w:rPr>
                <w:b/>
                <w:bCs/>
                <w:color w:val="000000"/>
                <w:sz w:val="22"/>
                <w:szCs w:val="22"/>
              </w:rPr>
              <w:t>Responses</w:t>
            </w:r>
          </w:p>
        </w:tc>
        <w:tc>
          <w:tcPr>
            <w:tcW w:w="1481" w:type="dxa"/>
            <w:tcBorders>
              <w:top w:val="single" w:sz="4" w:space="0" w:color="auto"/>
              <w:left w:val="nil"/>
              <w:bottom w:val="single" w:sz="4" w:space="0" w:color="auto"/>
              <w:right w:val="single" w:sz="4" w:space="0" w:color="auto"/>
            </w:tcBorders>
            <w:shd w:val="clear" w:color="000000" w:fill="A6A6A6"/>
            <w:noWrap/>
            <w:vAlign w:val="bottom"/>
            <w:hideMark/>
          </w:tcPr>
          <w:p w:rsidR="00AD5854" w:rsidRPr="00AD5854" w:rsidRDefault="00AD5854" w:rsidP="00AD5854">
            <w:pPr>
              <w:jc w:val="center"/>
              <w:rPr>
                <w:b/>
                <w:bCs/>
                <w:color w:val="000000"/>
                <w:sz w:val="22"/>
                <w:szCs w:val="22"/>
              </w:rPr>
            </w:pPr>
            <w:r w:rsidRPr="00AD5854">
              <w:rPr>
                <w:b/>
                <w:bCs/>
                <w:color w:val="000000"/>
                <w:sz w:val="22"/>
                <w:szCs w:val="22"/>
              </w:rPr>
              <w:t>Equals</w:t>
            </w:r>
          </w:p>
        </w:tc>
        <w:tc>
          <w:tcPr>
            <w:tcW w:w="1624" w:type="dxa"/>
            <w:tcBorders>
              <w:top w:val="single" w:sz="4" w:space="0" w:color="auto"/>
              <w:left w:val="nil"/>
              <w:bottom w:val="single" w:sz="4" w:space="0" w:color="auto"/>
              <w:right w:val="single" w:sz="4" w:space="0" w:color="auto"/>
            </w:tcBorders>
            <w:shd w:val="clear" w:color="000000" w:fill="A6A6A6"/>
            <w:noWrap/>
            <w:vAlign w:val="bottom"/>
            <w:hideMark/>
          </w:tcPr>
          <w:p w:rsidR="00AD5854" w:rsidRPr="00AD5854" w:rsidRDefault="00AD5854" w:rsidP="00AD5854">
            <w:pPr>
              <w:jc w:val="center"/>
              <w:rPr>
                <w:b/>
                <w:bCs/>
                <w:color w:val="000000"/>
                <w:sz w:val="22"/>
                <w:szCs w:val="22"/>
              </w:rPr>
            </w:pPr>
            <w:r w:rsidRPr="00AD5854">
              <w:rPr>
                <w:b/>
                <w:bCs/>
                <w:color w:val="000000"/>
                <w:sz w:val="22"/>
                <w:szCs w:val="22"/>
              </w:rPr>
              <w:t>Time</w:t>
            </w:r>
          </w:p>
        </w:tc>
        <w:tc>
          <w:tcPr>
            <w:tcW w:w="2070" w:type="dxa"/>
            <w:tcBorders>
              <w:top w:val="single" w:sz="4" w:space="0" w:color="auto"/>
              <w:left w:val="nil"/>
              <w:bottom w:val="single" w:sz="4" w:space="0" w:color="auto"/>
              <w:right w:val="single" w:sz="4" w:space="0" w:color="auto"/>
            </w:tcBorders>
            <w:shd w:val="clear" w:color="000000" w:fill="A6A6A6"/>
            <w:noWrap/>
            <w:vAlign w:val="bottom"/>
            <w:hideMark/>
          </w:tcPr>
          <w:p w:rsidR="00AD5854" w:rsidRPr="00AD5854" w:rsidRDefault="00AD5854" w:rsidP="00AD5854">
            <w:pPr>
              <w:jc w:val="center"/>
              <w:rPr>
                <w:b/>
                <w:bCs/>
                <w:color w:val="000000"/>
                <w:sz w:val="22"/>
                <w:szCs w:val="22"/>
              </w:rPr>
            </w:pPr>
            <w:r w:rsidRPr="00AD5854">
              <w:rPr>
                <w:b/>
                <w:bCs/>
                <w:color w:val="000000"/>
                <w:sz w:val="22"/>
                <w:szCs w:val="22"/>
              </w:rPr>
              <w:t>Total Cost</w:t>
            </w:r>
          </w:p>
        </w:tc>
      </w:tr>
      <w:tr w:rsidR="00AD5854" w:rsidRPr="00AD5854" w:rsidTr="00623C2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Review</w:t>
            </w:r>
          </w:p>
        </w:tc>
        <w:tc>
          <w:tcPr>
            <w:tcW w:w="112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 xml:space="preserve">$80.20 </w:t>
            </w:r>
          </w:p>
        </w:tc>
        <w:tc>
          <w:tcPr>
            <w:tcW w:w="130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101,652</w:t>
            </w:r>
          </w:p>
        </w:tc>
        <w:tc>
          <w:tcPr>
            <w:tcW w:w="1481"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 xml:space="preserve">$8,152,490.40 </w:t>
            </w:r>
          </w:p>
        </w:tc>
        <w:tc>
          <w:tcPr>
            <w:tcW w:w="1624"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x30 min / 60</w:t>
            </w:r>
          </w:p>
        </w:tc>
        <w:tc>
          <w:tcPr>
            <w:tcW w:w="207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 xml:space="preserve">$4,076,245.20 </w:t>
            </w:r>
          </w:p>
        </w:tc>
      </w:tr>
      <w:tr w:rsidR="00AD5854" w:rsidRPr="00AD5854" w:rsidTr="00623C2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Handling</w:t>
            </w:r>
          </w:p>
        </w:tc>
        <w:tc>
          <w:tcPr>
            <w:tcW w:w="112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 xml:space="preserve">$30.70 </w:t>
            </w:r>
          </w:p>
        </w:tc>
        <w:tc>
          <w:tcPr>
            <w:tcW w:w="130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101,652</w:t>
            </w:r>
          </w:p>
        </w:tc>
        <w:tc>
          <w:tcPr>
            <w:tcW w:w="1481"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 xml:space="preserve">$3,120,716.40 </w:t>
            </w:r>
          </w:p>
        </w:tc>
        <w:tc>
          <w:tcPr>
            <w:tcW w:w="1624"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x15 min / 60</w:t>
            </w:r>
          </w:p>
        </w:tc>
        <w:tc>
          <w:tcPr>
            <w:tcW w:w="207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color w:val="000000"/>
                <w:sz w:val="22"/>
                <w:szCs w:val="22"/>
              </w:rPr>
            </w:pPr>
            <w:r w:rsidRPr="00AD5854">
              <w:rPr>
                <w:color w:val="000000"/>
                <w:sz w:val="22"/>
                <w:szCs w:val="22"/>
              </w:rPr>
              <w:t xml:space="preserve">$780,179.10 </w:t>
            </w:r>
          </w:p>
        </w:tc>
      </w:tr>
      <w:tr w:rsidR="00AD5854" w:rsidRPr="00AD5854" w:rsidTr="00623C2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D5854" w:rsidRPr="00AD5854" w:rsidRDefault="00AD5854" w:rsidP="00AD5854">
            <w:pPr>
              <w:rPr>
                <w:rFonts w:ascii="Calibri" w:hAnsi="Calibri"/>
                <w:color w:val="000000"/>
                <w:sz w:val="22"/>
                <w:szCs w:val="22"/>
              </w:rPr>
            </w:pPr>
            <w:r w:rsidRPr="00AD5854">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rPr>
                <w:rFonts w:ascii="Calibri" w:hAnsi="Calibri"/>
                <w:color w:val="000000"/>
                <w:sz w:val="22"/>
                <w:szCs w:val="22"/>
              </w:rPr>
            </w:pPr>
            <w:r w:rsidRPr="00AD5854">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rPr>
                <w:rFonts w:ascii="Calibri" w:hAnsi="Calibri"/>
                <w:color w:val="000000"/>
                <w:sz w:val="22"/>
                <w:szCs w:val="22"/>
              </w:rPr>
            </w:pPr>
            <w:r w:rsidRPr="00AD5854">
              <w:rPr>
                <w:rFonts w:ascii="Calibri" w:hAnsi="Calibri"/>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rPr>
                <w:rFonts w:ascii="Calibri" w:hAnsi="Calibri"/>
                <w:color w:val="000000"/>
                <w:sz w:val="22"/>
                <w:szCs w:val="22"/>
              </w:rPr>
            </w:pPr>
            <w:r w:rsidRPr="00AD5854">
              <w:rPr>
                <w:rFonts w:ascii="Calibri" w:hAnsi="Calibri"/>
                <w:color w:val="000000"/>
                <w:sz w:val="22"/>
                <w:szCs w:val="22"/>
              </w:rPr>
              <w:t> </w:t>
            </w:r>
          </w:p>
        </w:tc>
        <w:tc>
          <w:tcPr>
            <w:tcW w:w="1624"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rPr>
                <w:rFonts w:ascii="Calibri" w:hAnsi="Calibri"/>
                <w:color w:val="000000"/>
                <w:sz w:val="22"/>
                <w:szCs w:val="22"/>
              </w:rPr>
            </w:pPr>
            <w:r w:rsidRPr="00AD5854">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rsidR="00AD5854" w:rsidRPr="00AD5854" w:rsidRDefault="00AD5854" w:rsidP="00AD5854">
            <w:pPr>
              <w:jc w:val="center"/>
              <w:rPr>
                <w:rFonts w:ascii="Calibri" w:hAnsi="Calibri"/>
                <w:b/>
                <w:bCs/>
                <w:color w:val="000000"/>
                <w:sz w:val="22"/>
                <w:szCs w:val="22"/>
              </w:rPr>
            </w:pPr>
            <w:r w:rsidRPr="00AD5854">
              <w:rPr>
                <w:rFonts w:ascii="Calibri" w:hAnsi="Calibri"/>
                <w:b/>
                <w:bCs/>
                <w:color w:val="000000"/>
                <w:sz w:val="22"/>
                <w:szCs w:val="22"/>
              </w:rPr>
              <w:t xml:space="preserve">$4,856,424.30 </w:t>
            </w:r>
          </w:p>
        </w:tc>
      </w:tr>
    </w:tbl>
    <w:p w:rsidR="00AD5854" w:rsidRDefault="00AD5854">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15.</w:t>
      </w:r>
      <w:r w:rsidRPr="005A7B0B">
        <w:rPr>
          <w:b/>
          <w:snapToGrid w:val="0"/>
          <w:sz w:val="24"/>
        </w:rPr>
        <w:tab/>
        <w:t>Explain the reason for any program changes or adjustments reported in Items 13 or 14 of OMB 83-I</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r>
      <w:r w:rsidR="00327314">
        <w:rPr>
          <w:snapToGrid w:val="0"/>
          <w:sz w:val="24"/>
        </w:rPr>
        <w:t>The</w:t>
      </w:r>
      <w:r w:rsidR="00F04D60">
        <w:rPr>
          <w:snapToGrid w:val="0"/>
          <w:sz w:val="24"/>
        </w:rPr>
        <w:t xml:space="preserve"> adjustment</w:t>
      </w:r>
      <w:r w:rsidR="00327314">
        <w:rPr>
          <w:snapToGrid w:val="0"/>
          <w:sz w:val="24"/>
        </w:rPr>
        <w:t xml:space="preserve"> to the annual cost to the Federal </w:t>
      </w:r>
      <w:r w:rsidR="00F04D60">
        <w:rPr>
          <w:snapToGrid w:val="0"/>
          <w:sz w:val="24"/>
        </w:rPr>
        <w:t>G</w:t>
      </w:r>
      <w:r w:rsidR="00327314">
        <w:rPr>
          <w:snapToGrid w:val="0"/>
          <w:sz w:val="24"/>
        </w:rPr>
        <w:t xml:space="preserve">overnment was based on updates to the hourly rates from what was previously recorded in the </w:t>
      </w:r>
      <w:r w:rsidR="00F04D60">
        <w:rPr>
          <w:snapToGrid w:val="0"/>
          <w:sz w:val="24"/>
        </w:rPr>
        <w:t>2010 clear</w:t>
      </w:r>
      <w:r w:rsidR="00327314">
        <w:rPr>
          <w:snapToGrid w:val="0"/>
          <w:sz w:val="24"/>
        </w:rPr>
        <w:t xml:space="preserve">ance request.  The </w:t>
      </w:r>
      <w:r w:rsidR="00F04D60">
        <w:rPr>
          <w:snapToGrid w:val="0"/>
          <w:sz w:val="24"/>
        </w:rPr>
        <w:t>current hourly rate</w:t>
      </w:r>
      <w:r w:rsidR="00327314">
        <w:rPr>
          <w:snapToGrid w:val="0"/>
          <w:sz w:val="24"/>
        </w:rPr>
        <w:t xml:space="preserve"> reflect</w:t>
      </w:r>
      <w:r w:rsidR="00F04D60">
        <w:rPr>
          <w:snapToGrid w:val="0"/>
          <w:sz w:val="24"/>
        </w:rPr>
        <w:t>s the 201</w:t>
      </w:r>
      <w:r w:rsidR="00AD5854">
        <w:rPr>
          <w:snapToGrid w:val="0"/>
          <w:sz w:val="24"/>
        </w:rPr>
        <w:t>6</w:t>
      </w:r>
      <w:r w:rsidR="00F04D60">
        <w:rPr>
          <w:snapToGrid w:val="0"/>
          <w:sz w:val="24"/>
        </w:rPr>
        <w:t xml:space="preserve"> </w:t>
      </w:r>
      <w:r w:rsidR="00967B27">
        <w:rPr>
          <w:snapToGrid w:val="0"/>
          <w:sz w:val="24"/>
        </w:rPr>
        <w:t>O</w:t>
      </w:r>
      <w:r w:rsidR="00983F91">
        <w:rPr>
          <w:snapToGrid w:val="0"/>
          <w:sz w:val="24"/>
        </w:rPr>
        <w:t xml:space="preserve">ffice of </w:t>
      </w:r>
      <w:r w:rsidR="00967B27">
        <w:rPr>
          <w:snapToGrid w:val="0"/>
          <w:sz w:val="24"/>
        </w:rPr>
        <w:t>P</w:t>
      </w:r>
      <w:r w:rsidR="00983F91">
        <w:rPr>
          <w:snapToGrid w:val="0"/>
          <w:sz w:val="24"/>
        </w:rPr>
        <w:t xml:space="preserve">ersonnel </w:t>
      </w:r>
      <w:r w:rsidR="00967B27">
        <w:rPr>
          <w:snapToGrid w:val="0"/>
          <w:sz w:val="24"/>
        </w:rPr>
        <w:t>M</w:t>
      </w:r>
      <w:r w:rsidR="00983F91">
        <w:rPr>
          <w:snapToGrid w:val="0"/>
          <w:sz w:val="24"/>
        </w:rPr>
        <w:t xml:space="preserve">anagement </w:t>
      </w:r>
      <w:r w:rsidR="00F04D60">
        <w:rPr>
          <w:snapToGrid w:val="0"/>
          <w:sz w:val="24"/>
        </w:rPr>
        <w:t>GS 13/5 and 5/5 pay.</w:t>
      </w:r>
      <w:r w:rsidR="00327314">
        <w:rPr>
          <w:snapToGrid w:val="0"/>
          <w:sz w:val="24"/>
        </w:rPr>
        <w:t xml:space="preserve"> </w:t>
      </w:r>
      <w:r w:rsidR="004848E0">
        <w:rPr>
          <w:snapToGrid w:val="0"/>
          <w:sz w:val="24"/>
        </w:rPr>
        <w:t xml:space="preserve"> The hourly rate projected </w:t>
      </w:r>
      <w:r w:rsidR="004926A6">
        <w:rPr>
          <w:snapToGrid w:val="0"/>
          <w:sz w:val="24"/>
        </w:rPr>
        <w:t>for fringe benefits was calculated at one hundred (100</w:t>
      </w:r>
      <w:r w:rsidR="00836CB3">
        <w:rPr>
          <w:snapToGrid w:val="0"/>
          <w:sz w:val="24"/>
        </w:rPr>
        <w:t>%</w:t>
      </w:r>
      <w:r w:rsidR="004926A6">
        <w:rPr>
          <w:snapToGrid w:val="0"/>
          <w:sz w:val="24"/>
        </w:rPr>
        <w:t xml:space="preserve">) percent of </w:t>
      </w:r>
      <w:r w:rsidR="007E1781">
        <w:rPr>
          <w:snapToGrid w:val="0"/>
          <w:sz w:val="24"/>
        </w:rPr>
        <w:t xml:space="preserve">the </w:t>
      </w:r>
      <w:r w:rsidR="004926A6">
        <w:rPr>
          <w:snapToGrid w:val="0"/>
          <w:sz w:val="24"/>
        </w:rPr>
        <w:t>FY2016</w:t>
      </w:r>
      <w:r w:rsidR="007E1781">
        <w:rPr>
          <w:snapToGrid w:val="0"/>
          <w:sz w:val="24"/>
        </w:rPr>
        <w:t xml:space="preserve"> pay rate</w:t>
      </w:r>
      <w:r w:rsidR="00836CB3">
        <w:rPr>
          <w:snapToGrid w:val="0"/>
          <w:sz w:val="24"/>
        </w:rPr>
        <w:t xml:space="preserve"> </w:t>
      </w:r>
      <w:r w:rsidR="004926A6">
        <w:rPr>
          <w:snapToGrid w:val="0"/>
          <w:sz w:val="24"/>
        </w:rPr>
        <w:t xml:space="preserve"> and included in the salary rate projected in the above chart.</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16.</w:t>
      </w:r>
      <w:r w:rsidRPr="005A7B0B">
        <w:rPr>
          <w:b/>
          <w:snapToGrid w:val="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There are no plans to publish the results of the information collected.</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10"/>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17.</w:t>
      </w:r>
      <w:r w:rsidRPr="005A7B0B">
        <w:rPr>
          <w:b/>
          <w:snapToGrid w:val="0"/>
          <w:sz w:val="24"/>
        </w:rPr>
        <w:tab/>
        <w:t xml:space="preserve">If seeking approval to omit the expiration date for OMB approval of the information collection, explain the reasons that display would be inappropriate. </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This is not applicable because there is no form involved in this information collection.</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18.</w:t>
      </w:r>
      <w:r w:rsidRPr="005A7B0B">
        <w:rPr>
          <w:b/>
          <w:snapToGrid w:val="0"/>
          <w:sz w:val="24"/>
        </w:rPr>
        <w:tab/>
        <w:t>Explain each exception to the certification statement identified in Item 19, “Certification for Paperwork Reduction Act Submissions,” of OMB 83-I.</w:t>
      </w:r>
    </w:p>
    <w:p w:rsidR="00DC64E1" w:rsidRPr="005A7B0B" w:rsidRDefault="00DC64E1">
      <w:pPr>
        <w:pStyle w:val="Heade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There are no exceptions.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keepNext/>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napToGrid w:val="0"/>
          <w:sz w:val="24"/>
        </w:rPr>
      </w:pPr>
      <w:r w:rsidRPr="005A7B0B">
        <w:rPr>
          <w:b/>
          <w:snapToGrid w:val="0"/>
          <w:sz w:val="24"/>
        </w:rPr>
        <w:t>B.</w:t>
      </w:r>
      <w:r w:rsidRPr="005A7B0B">
        <w:rPr>
          <w:b/>
          <w:snapToGrid w:val="0"/>
          <w:sz w:val="24"/>
        </w:rPr>
        <w:tab/>
        <w:t>COLLECTIONS OF INFORMATION EMPLOYING STATISTICAL METHODS</w:t>
      </w: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p>
    <w:p w:rsidR="00DC64E1" w:rsidRPr="005A7B0B" w:rsidRDefault="00DC64E1">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napToGrid w:val="0"/>
          <w:sz w:val="24"/>
        </w:rPr>
      </w:pPr>
      <w:r w:rsidRPr="005A7B0B">
        <w:rPr>
          <w:snapToGrid w:val="0"/>
          <w:sz w:val="24"/>
        </w:rPr>
        <w:tab/>
        <w:t>No statistical methods are used in this data collection.</w:t>
      </w:r>
    </w:p>
    <w:sectPr w:rsidR="00DC64E1" w:rsidRPr="005A7B0B">
      <w:headerReference w:type="even" r:id="rId10"/>
      <w:headerReference w:type="default" r:id="rId11"/>
      <w:footerReference w:type="even" r:id="rId12"/>
      <w:footerReference w:type="default" r:id="rId13"/>
      <w:headerReference w:type="first" r:id="rId14"/>
      <w:footerReference w:type="first" r:id="rId15"/>
      <w:pgSz w:w="12240" w:h="15840" w:code="1"/>
      <w:pgMar w:top="1296" w:right="1296" w:bottom="1296" w:left="1296"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54E" w:rsidRDefault="0074454E">
      <w:r>
        <w:separator/>
      </w:r>
    </w:p>
  </w:endnote>
  <w:endnote w:type="continuationSeparator" w:id="0">
    <w:p w:rsidR="0074454E" w:rsidRDefault="0074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2" w:rsidRDefault="00D21B82">
    <w:pPr>
      <w:pStyle w:val="Foote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2" w:rsidRDefault="00D21B82">
    <w:pPr>
      <w:pStyle w:val="Footer"/>
      <w:tabs>
        <w:tab w:val="clear" w:pos="4320"/>
        <w:tab w:val="clear" w:pos="8640"/>
        <w:tab w:val="right" w:pos="936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D7A17">
      <w:rPr>
        <w:rStyle w:val="PageNumber"/>
        <w:b/>
        <w:bCs/>
        <w:noProof/>
        <w:sz w:val="24"/>
      </w:rPr>
      <w:t>4</w:t>
    </w:r>
    <w:r>
      <w:rPr>
        <w:rStyle w:val="PageNumber"/>
        <w:b/>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2" w:rsidRDefault="00D21B82">
    <w:pPr>
      <w:pStyle w:val="Footer"/>
      <w:tabs>
        <w:tab w:val="clear" w:pos="4320"/>
        <w:tab w:val="clear" w:pos="8640"/>
        <w:tab w:val="right" w:pos="936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D7A17">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54E" w:rsidRDefault="0074454E">
      <w:r>
        <w:separator/>
      </w:r>
    </w:p>
  </w:footnote>
  <w:footnote w:type="continuationSeparator" w:id="0">
    <w:p w:rsidR="0074454E" w:rsidRDefault="0074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2" w:rsidRDefault="00D21B82">
    <w:pPr>
      <w:pStyle w:val="Header"/>
      <w:jc w:val="center"/>
      <w:rPr>
        <w:b/>
      </w:rPr>
    </w:pPr>
    <w:r>
      <w:rPr>
        <w:rFonts w:ascii="Arial" w:hAnsi="Arial"/>
        <w:b/>
        <w:snapToGrid w:val="0"/>
      </w:rPr>
      <w:t>REGULATION FOR RECONSIDERATION OF DENIED CLAIMS, Continued (2900-XXXX)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2" w:rsidRDefault="00D21B82">
    <w:pPr>
      <w:pStyle w:val="OmniPage2305"/>
      <w:tabs>
        <w:tab w:val="clear" w:pos="100"/>
        <w:tab w:val="clear" w:pos="2991"/>
      </w:tabs>
      <w:spacing w:line="240" w:lineRule="exact"/>
      <w:ind w:left="0" w:right="0"/>
      <w:rPr>
        <w:rFonts w:ascii="Times New Roman" w:hAnsi="Times New Roman"/>
        <w:b/>
        <w:sz w:val="24"/>
      </w:rPr>
    </w:pPr>
    <w:r>
      <w:rPr>
        <w:rFonts w:ascii="Times New Roman" w:hAnsi="Times New Roman"/>
        <w:b/>
        <w:sz w:val="24"/>
      </w:rPr>
      <w:t xml:space="preserve">REGULATION FOR </w:t>
    </w:r>
    <w:r>
      <w:rPr>
        <w:rFonts w:ascii="Times New Roman" w:hAnsi="Times New Roman"/>
        <w:b/>
        <w:snapToGrid w:val="0"/>
        <w:sz w:val="24"/>
      </w:rPr>
      <w:t>RECONSIDERATION OF DENIED CLAIMS, CONTINUED</w:t>
    </w:r>
  </w:p>
  <w:p w:rsidR="00D21B82" w:rsidRDefault="00D21B82">
    <w:pPr>
      <w:pStyle w:val="OmniPage2305"/>
      <w:tabs>
        <w:tab w:val="clear" w:pos="100"/>
        <w:tab w:val="clear" w:pos="2991"/>
      </w:tabs>
      <w:spacing w:line="240" w:lineRule="exact"/>
      <w:ind w:left="0" w:right="0"/>
      <w:rPr>
        <w:rFonts w:ascii="Times New Roman" w:hAnsi="Times New Roman"/>
        <w:b/>
        <w:sz w:val="24"/>
      </w:rPr>
    </w:pPr>
    <w:r>
      <w:rPr>
        <w:rFonts w:ascii="Times New Roman" w:hAnsi="Times New Roman"/>
        <w:b/>
        <w:sz w:val="24"/>
      </w:rPr>
      <w:t>2900-0600</w:t>
    </w:r>
  </w:p>
  <w:p w:rsidR="00D21B82" w:rsidRDefault="00D21B82">
    <w:pPr>
      <w:pStyle w:val="OmniPage2305"/>
      <w:tabs>
        <w:tab w:val="clear" w:pos="100"/>
        <w:tab w:val="clear" w:pos="2991"/>
      </w:tabs>
      <w:spacing w:line="240" w:lineRule="exact"/>
      <w:ind w:left="0" w:right="0"/>
      <w:rPr>
        <w:rFonts w:ascii="Times New Roman" w:hAnsi="Times New Roman"/>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2" w:rsidRDefault="00D21B82">
    <w:pPr>
      <w:pStyle w:val="Heading1"/>
    </w:pPr>
    <w:r>
      <w:t>SUPPORTING STATEMENT FOR</w:t>
    </w:r>
  </w:p>
  <w:p w:rsidR="00D21B82" w:rsidRDefault="00D21B82">
    <w:pPr>
      <w:pStyle w:val="OmniPage2305"/>
      <w:tabs>
        <w:tab w:val="clear" w:pos="100"/>
        <w:tab w:val="clear" w:pos="2991"/>
      </w:tabs>
      <w:spacing w:line="240" w:lineRule="exact"/>
      <w:ind w:left="0" w:right="0"/>
      <w:rPr>
        <w:rFonts w:ascii="Times New Roman" w:hAnsi="Times New Roman"/>
        <w:b/>
        <w:sz w:val="22"/>
      </w:rPr>
    </w:pPr>
    <w:r>
      <w:rPr>
        <w:rFonts w:ascii="Times New Roman" w:hAnsi="Times New Roman"/>
        <w:b/>
        <w:sz w:val="22"/>
      </w:rPr>
      <w:t xml:space="preserve">REGULATION FOR </w:t>
    </w:r>
    <w:r>
      <w:rPr>
        <w:rFonts w:ascii="Times New Roman" w:hAnsi="Times New Roman"/>
        <w:b/>
        <w:snapToGrid w:val="0"/>
        <w:sz w:val="22"/>
      </w:rPr>
      <w:t>RECONSIDERATION OF DENIED CLAIMS</w:t>
    </w:r>
  </w:p>
  <w:p w:rsidR="00D21B82" w:rsidRDefault="00D21B82">
    <w:pPr>
      <w:pStyle w:val="OmniPage2305"/>
      <w:tabs>
        <w:tab w:val="clear" w:pos="100"/>
        <w:tab w:val="clear" w:pos="2991"/>
      </w:tabs>
      <w:spacing w:line="240" w:lineRule="exact"/>
      <w:ind w:left="0" w:right="0"/>
      <w:rPr>
        <w:rFonts w:ascii="Times New Roman" w:hAnsi="Times New Roman"/>
        <w:b/>
        <w:sz w:val="22"/>
      </w:rPr>
    </w:pPr>
    <w:r>
      <w:rPr>
        <w:rFonts w:ascii="Times New Roman" w:hAnsi="Times New Roman"/>
        <w:b/>
        <w:sz w:val="22"/>
      </w:rPr>
      <w:t>2900-0600</w:t>
    </w:r>
  </w:p>
  <w:p w:rsidR="00D21B82" w:rsidRDefault="00D21B82">
    <w:pPr>
      <w:pStyle w:val="OmniPage2305"/>
      <w:tabs>
        <w:tab w:val="clear" w:pos="100"/>
        <w:tab w:val="clear" w:pos="2991"/>
      </w:tabs>
      <w:spacing w:line="240" w:lineRule="exact"/>
      <w:ind w:left="0" w:right="0"/>
      <w:rPr>
        <w:rFonts w:ascii="Times New Roman" w:hAnsi="Times New Roman"/>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08"/>
    <w:rsid w:val="0000137B"/>
    <w:rsid w:val="000018A1"/>
    <w:rsid w:val="00012B0C"/>
    <w:rsid w:val="00034A03"/>
    <w:rsid w:val="000A2C8B"/>
    <w:rsid w:val="000A470D"/>
    <w:rsid w:val="000A49C8"/>
    <w:rsid w:val="000F45F4"/>
    <w:rsid w:val="00106862"/>
    <w:rsid w:val="00135508"/>
    <w:rsid w:val="00152104"/>
    <w:rsid w:val="001B2D24"/>
    <w:rsid w:val="001C0F1E"/>
    <w:rsid w:val="001D7504"/>
    <w:rsid w:val="00235426"/>
    <w:rsid w:val="002A0E96"/>
    <w:rsid w:val="002B7B3B"/>
    <w:rsid w:val="00326E4F"/>
    <w:rsid w:val="00327314"/>
    <w:rsid w:val="0034424F"/>
    <w:rsid w:val="003632FE"/>
    <w:rsid w:val="003822EE"/>
    <w:rsid w:val="003F01D0"/>
    <w:rsid w:val="00400447"/>
    <w:rsid w:val="004848E0"/>
    <w:rsid w:val="00486FB3"/>
    <w:rsid w:val="004926A6"/>
    <w:rsid w:val="004A02A3"/>
    <w:rsid w:val="004C2FF9"/>
    <w:rsid w:val="004D15F0"/>
    <w:rsid w:val="004F3B3A"/>
    <w:rsid w:val="004F718C"/>
    <w:rsid w:val="0052422C"/>
    <w:rsid w:val="0054726D"/>
    <w:rsid w:val="00552B95"/>
    <w:rsid w:val="0056751B"/>
    <w:rsid w:val="005A7B0B"/>
    <w:rsid w:val="005B32B2"/>
    <w:rsid w:val="005F0866"/>
    <w:rsid w:val="006118E2"/>
    <w:rsid w:val="00623C27"/>
    <w:rsid w:val="00656FC6"/>
    <w:rsid w:val="00671431"/>
    <w:rsid w:val="006A3F20"/>
    <w:rsid w:val="006C5211"/>
    <w:rsid w:val="0074454E"/>
    <w:rsid w:val="007616C0"/>
    <w:rsid w:val="00786860"/>
    <w:rsid w:val="007E1781"/>
    <w:rsid w:val="008063FC"/>
    <w:rsid w:val="008353FC"/>
    <w:rsid w:val="00836CB3"/>
    <w:rsid w:val="00864A07"/>
    <w:rsid w:val="008923BB"/>
    <w:rsid w:val="008B2C7A"/>
    <w:rsid w:val="008F1846"/>
    <w:rsid w:val="009034D4"/>
    <w:rsid w:val="009163B4"/>
    <w:rsid w:val="0095261B"/>
    <w:rsid w:val="00967B27"/>
    <w:rsid w:val="00983F91"/>
    <w:rsid w:val="009D7A17"/>
    <w:rsid w:val="009F122D"/>
    <w:rsid w:val="009F2D48"/>
    <w:rsid w:val="00A37D09"/>
    <w:rsid w:val="00A44A02"/>
    <w:rsid w:val="00A76E25"/>
    <w:rsid w:val="00A76FBF"/>
    <w:rsid w:val="00A80322"/>
    <w:rsid w:val="00AB25D8"/>
    <w:rsid w:val="00AD5854"/>
    <w:rsid w:val="00B37FFB"/>
    <w:rsid w:val="00B435D8"/>
    <w:rsid w:val="00B53960"/>
    <w:rsid w:val="00BF0567"/>
    <w:rsid w:val="00C100F4"/>
    <w:rsid w:val="00C513A8"/>
    <w:rsid w:val="00C76247"/>
    <w:rsid w:val="00C92173"/>
    <w:rsid w:val="00C937CD"/>
    <w:rsid w:val="00D21B82"/>
    <w:rsid w:val="00D4058F"/>
    <w:rsid w:val="00D734CA"/>
    <w:rsid w:val="00D96E54"/>
    <w:rsid w:val="00DC64E1"/>
    <w:rsid w:val="00E121FC"/>
    <w:rsid w:val="00E14960"/>
    <w:rsid w:val="00EE274F"/>
    <w:rsid w:val="00F04D60"/>
    <w:rsid w:val="00F14685"/>
    <w:rsid w:val="00FD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2"/>
    </w:pPr>
    <w:rPr>
      <w:b/>
      <w:bCs/>
      <w:snapToGrid w:val="0"/>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PageNumber">
    <w:name w:val="page number"/>
    <w:basedOn w:val="DefaultParagraphFont"/>
  </w:style>
  <w:style w:type="paragraph" w:styleId="BodyText">
    <w:name w:val="Body Text"/>
    <w:basedOn w:val="Normal"/>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Pr>
      <w:snapToGrid w:val="0"/>
      <w:color w:val="FF0000"/>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BalloonText">
    <w:name w:val="Balloon Text"/>
    <w:basedOn w:val="Normal"/>
    <w:semiHidden/>
    <w:rsid w:val="002A0E96"/>
    <w:rPr>
      <w:rFonts w:ascii="Tahoma" w:hAnsi="Tahoma" w:cs="Tahoma"/>
      <w:sz w:val="16"/>
      <w:szCs w:val="16"/>
    </w:rPr>
  </w:style>
  <w:style w:type="character" w:styleId="CommentReference">
    <w:name w:val="annotation reference"/>
    <w:rsid w:val="00A44A02"/>
    <w:rPr>
      <w:sz w:val="16"/>
      <w:szCs w:val="16"/>
    </w:rPr>
  </w:style>
  <w:style w:type="paragraph" w:styleId="CommentText">
    <w:name w:val="annotation text"/>
    <w:basedOn w:val="Normal"/>
    <w:link w:val="CommentTextChar"/>
    <w:rsid w:val="00A44A02"/>
  </w:style>
  <w:style w:type="character" w:customStyle="1" w:styleId="CommentTextChar">
    <w:name w:val="Comment Text Char"/>
    <w:basedOn w:val="DefaultParagraphFont"/>
    <w:link w:val="CommentText"/>
    <w:rsid w:val="00A44A02"/>
  </w:style>
  <w:style w:type="paragraph" w:styleId="CommentSubject">
    <w:name w:val="annotation subject"/>
    <w:basedOn w:val="CommentText"/>
    <w:next w:val="CommentText"/>
    <w:link w:val="CommentSubjectChar"/>
    <w:rsid w:val="00A44A02"/>
    <w:rPr>
      <w:b/>
      <w:bCs/>
      <w:lang w:val="x-none" w:eastAsia="x-none"/>
    </w:rPr>
  </w:style>
  <w:style w:type="character" w:customStyle="1" w:styleId="CommentSubjectChar">
    <w:name w:val="Comment Subject Char"/>
    <w:link w:val="CommentSubject"/>
    <w:rsid w:val="00A44A02"/>
    <w:rPr>
      <w:b/>
      <w:bCs/>
    </w:rPr>
  </w:style>
  <w:style w:type="character" w:styleId="FollowedHyperlink">
    <w:name w:val="FollowedHyperlink"/>
    <w:rsid w:val="0095261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2"/>
    </w:pPr>
    <w:rPr>
      <w:b/>
      <w:bCs/>
      <w:snapToGrid w:val="0"/>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PageNumber">
    <w:name w:val="page number"/>
    <w:basedOn w:val="DefaultParagraphFont"/>
  </w:style>
  <w:style w:type="paragraph" w:styleId="BodyText">
    <w:name w:val="Body Text"/>
    <w:basedOn w:val="Normal"/>
    <w:pPr>
      <w:widowControl w:val="0"/>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Pr>
      <w:snapToGrid w:val="0"/>
      <w:color w:val="FF0000"/>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BalloonText">
    <w:name w:val="Balloon Text"/>
    <w:basedOn w:val="Normal"/>
    <w:semiHidden/>
    <w:rsid w:val="002A0E96"/>
    <w:rPr>
      <w:rFonts w:ascii="Tahoma" w:hAnsi="Tahoma" w:cs="Tahoma"/>
      <w:sz w:val="16"/>
      <w:szCs w:val="16"/>
    </w:rPr>
  </w:style>
  <w:style w:type="character" w:styleId="CommentReference">
    <w:name w:val="annotation reference"/>
    <w:rsid w:val="00A44A02"/>
    <w:rPr>
      <w:sz w:val="16"/>
      <w:szCs w:val="16"/>
    </w:rPr>
  </w:style>
  <w:style w:type="paragraph" w:styleId="CommentText">
    <w:name w:val="annotation text"/>
    <w:basedOn w:val="Normal"/>
    <w:link w:val="CommentTextChar"/>
    <w:rsid w:val="00A44A02"/>
  </w:style>
  <w:style w:type="character" w:customStyle="1" w:styleId="CommentTextChar">
    <w:name w:val="Comment Text Char"/>
    <w:basedOn w:val="DefaultParagraphFont"/>
    <w:link w:val="CommentText"/>
    <w:rsid w:val="00A44A02"/>
  </w:style>
  <w:style w:type="paragraph" w:styleId="CommentSubject">
    <w:name w:val="annotation subject"/>
    <w:basedOn w:val="CommentText"/>
    <w:next w:val="CommentText"/>
    <w:link w:val="CommentSubjectChar"/>
    <w:rsid w:val="00A44A02"/>
    <w:rPr>
      <w:b/>
      <w:bCs/>
      <w:lang w:val="x-none" w:eastAsia="x-none"/>
    </w:rPr>
  </w:style>
  <w:style w:type="character" w:customStyle="1" w:styleId="CommentSubjectChar">
    <w:name w:val="Comment Subject Char"/>
    <w:link w:val="CommentSubject"/>
    <w:rsid w:val="00A44A02"/>
    <w:rPr>
      <w:b/>
      <w:bCs/>
    </w:rPr>
  </w:style>
  <w:style w:type="character" w:styleId="FollowedHyperlink">
    <w:name w:val="FollowedHyperlink"/>
    <w:rsid w:val="009526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8217">
      <w:bodyDiv w:val="1"/>
      <w:marLeft w:val="0"/>
      <w:marRight w:val="0"/>
      <w:marTop w:val="0"/>
      <w:marBottom w:val="0"/>
      <w:divBdr>
        <w:top w:val="none" w:sz="0" w:space="0" w:color="auto"/>
        <w:left w:val="none" w:sz="0" w:space="0" w:color="auto"/>
        <w:bottom w:val="none" w:sz="0" w:space="0" w:color="auto"/>
        <w:right w:val="none" w:sz="0" w:space="0" w:color="auto"/>
      </w:divBdr>
    </w:div>
    <w:div w:id="389619339">
      <w:bodyDiv w:val="1"/>
      <w:marLeft w:val="0"/>
      <w:marRight w:val="0"/>
      <w:marTop w:val="0"/>
      <w:marBottom w:val="0"/>
      <w:divBdr>
        <w:top w:val="none" w:sz="0" w:space="0" w:color="auto"/>
        <w:left w:val="none" w:sz="0" w:space="0" w:color="auto"/>
        <w:bottom w:val="none" w:sz="0" w:space="0" w:color="auto"/>
        <w:right w:val="none" w:sz="0" w:space="0" w:color="auto"/>
      </w:divBdr>
    </w:div>
    <w:div w:id="1247153391">
      <w:bodyDiv w:val="1"/>
      <w:marLeft w:val="0"/>
      <w:marRight w:val="0"/>
      <w:marTop w:val="0"/>
      <w:marBottom w:val="0"/>
      <w:divBdr>
        <w:top w:val="none" w:sz="0" w:space="0" w:color="auto"/>
        <w:left w:val="none" w:sz="0" w:space="0" w:color="auto"/>
        <w:bottom w:val="none" w:sz="0" w:space="0" w:color="auto"/>
        <w:right w:val="none" w:sz="0" w:space="0" w:color="auto"/>
      </w:divBdr>
    </w:div>
    <w:div w:id="1295522821">
      <w:bodyDiv w:val="1"/>
      <w:marLeft w:val="0"/>
      <w:marRight w:val="0"/>
      <w:marTop w:val="0"/>
      <w:marBottom w:val="0"/>
      <w:divBdr>
        <w:top w:val="none" w:sz="0" w:space="0" w:color="auto"/>
        <w:left w:val="none" w:sz="0" w:space="0" w:color="auto"/>
        <w:bottom w:val="none" w:sz="0" w:space="0" w:color="auto"/>
        <w:right w:val="none" w:sz="0" w:space="0" w:color="auto"/>
      </w:divBdr>
    </w:div>
    <w:div w:id="1307928230">
      <w:bodyDiv w:val="1"/>
      <w:marLeft w:val="0"/>
      <w:marRight w:val="0"/>
      <w:marTop w:val="0"/>
      <w:marBottom w:val="0"/>
      <w:divBdr>
        <w:top w:val="none" w:sz="0" w:space="0" w:color="auto"/>
        <w:left w:val="none" w:sz="0" w:space="0" w:color="auto"/>
        <w:bottom w:val="none" w:sz="0" w:space="0" w:color="auto"/>
        <w:right w:val="none" w:sz="0" w:space="0" w:color="auto"/>
      </w:divBdr>
    </w:div>
    <w:div w:id="19625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cps/cpsaat39.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7DBF2-5EBF-4464-A19E-30122201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From:</vt:lpstr>
    </vt:vector>
  </TitlesOfParts>
  <Company>Dept. of Veternas Affairs</Company>
  <LinksUpToDate>false</LinksUpToDate>
  <CharactersWithSpaces>10312</CharactersWithSpaces>
  <SharedDoc>false</SharedDoc>
  <HLinks>
    <vt:vector size="18" baseType="variant">
      <vt:variant>
        <vt:i4>2293817</vt:i4>
      </vt:variant>
      <vt:variant>
        <vt:i4>6</vt:i4>
      </vt:variant>
      <vt:variant>
        <vt:i4>0</vt:i4>
      </vt:variant>
      <vt:variant>
        <vt:i4>5</vt:i4>
      </vt:variant>
      <vt:variant>
        <vt:lpwstr>http://www.bls.gov/cps/cpsaat39.htm</vt:lpwstr>
      </vt:variant>
      <vt:variant>
        <vt:lpwstr/>
      </vt:variant>
      <vt:variant>
        <vt:i4>3604541</vt:i4>
      </vt:variant>
      <vt:variant>
        <vt:i4>2</vt:i4>
      </vt:variant>
      <vt:variant>
        <vt:i4>0</vt:i4>
      </vt:variant>
      <vt:variant>
        <vt:i4>5</vt:i4>
      </vt:variant>
      <vt:variant>
        <vt:lpwstr>http://www.gpoaccess.gov/privacyact/index.html</vt:lpwstr>
      </vt:variant>
      <vt:variant>
        <vt:lpwstr/>
      </vt:variant>
      <vt:variant>
        <vt:i4>1966092</vt:i4>
      </vt:variant>
      <vt:variant>
        <vt:i4>0</vt:i4>
      </vt:variant>
      <vt:variant>
        <vt:i4>0</vt:i4>
      </vt:variant>
      <vt:variant>
        <vt:i4>5</vt:i4>
      </vt:variant>
      <vt:variant>
        <vt:lpwstr>http://www.access.gpo.gov/su_docs/aces/2001_pa.html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VHA</dc:creator>
  <cp:lastModifiedBy>Department of Veterans Affairs</cp:lastModifiedBy>
  <cp:revision>2</cp:revision>
  <cp:lastPrinted>2010-02-18T13:23:00Z</cp:lastPrinted>
  <dcterms:created xsi:type="dcterms:W3CDTF">2017-04-05T17:19:00Z</dcterms:created>
  <dcterms:modified xsi:type="dcterms:W3CDTF">2017-04-05T17:19:00Z</dcterms:modified>
</cp:coreProperties>
</file>