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43" w:rsidRDefault="009A6343">
      <w:pPr>
        <w:pStyle w:val="Heading21"/>
        <w:tabs>
          <w:tab w:val="clear" w:pos="540"/>
          <w:tab w:val="clear" w:pos="1080"/>
          <w:tab w:val="clear" w:pos="1620"/>
          <w:tab w:val="clear" w:pos="2160"/>
          <w:tab w:val="left" w:pos="504"/>
          <w:tab w:val="left" w:pos="1008"/>
          <w:tab w:val="left" w:pos="1512"/>
          <w:tab w:val="left" w:pos="1800"/>
          <w:tab w:val="left" w:pos="2016"/>
        </w:tabs>
        <w:rPr>
          <w:rFonts w:eastAsia="Times New Roman"/>
          <w:sz w:val="22"/>
        </w:rPr>
      </w:pPr>
      <w:bookmarkStart w:id="0" w:name="_GoBack"/>
      <w:bookmarkEnd w:id="0"/>
    </w:p>
    <w:p w:rsidR="00B16C8D" w:rsidRDefault="00456902">
      <w:pPr>
        <w:pStyle w:val="Heading21"/>
        <w:tabs>
          <w:tab w:val="clear" w:pos="540"/>
          <w:tab w:val="clear" w:pos="1080"/>
          <w:tab w:val="clear" w:pos="1620"/>
          <w:tab w:val="clear" w:pos="2160"/>
          <w:tab w:val="left" w:pos="504"/>
          <w:tab w:val="left" w:pos="1008"/>
          <w:tab w:val="left" w:pos="1512"/>
          <w:tab w:val="left" w:pos="1800"/>
          <w:tab w:val="left" w:pos="2016"/>
        </w:tabs>
        <w:rPr>
          <w:sz w:val="22"/>
        </w:rPr>
      </w:pPr>
      <w:r>
        <w:rPr>
          <w:rFonts w:eastAsia="Times New Roman"/>
          <w:sz w:val="22"/>
        </w:rPr>
        <w:t xml:space="preserve"> </w:t>
      </w:r>
      <w:r w:rsidR="00B16C8D">
        <w:rPr>
          <w:rFonts w:eastAsia="Times New Roman"/>
          <w:sz w:val="22"/>
        </w:rPr>
        <w:t>A.</w:t>
      </w:r>
      <w:r w:rsidR="00B16C8D">
        <w:rPr>
          <w:rFonts w:eastAsia="Times New Roman"/>
          <w:sz w:val="22"/>
        </w:rPr>
        <w:tab/>
        <w:t xml:space="preserve">JUSTIFICATION </w:t>
      </w:r>
    </w:p>
    <w:p w:rsidR="00B16C8D" w:rsidRDefault="00B16C8D">
      <w:pPr>
        <w:pStyle w:val="Body1"/>
        <w:tabs>
          <w:tab w:val="left" w:pos="450"/>
          <w:tab w:val="left" w:pos="504"/>
          <w:tab w:val="left" w:pos="900"/>
          <w:tab w:val="left" w:pos="1008"/>
          <w:tab w:val="left" w:pos="1350"/>
          <w:tab w:val="left" w:pos="1512"/>
          <w:tab w:val="left" w:pos="1800"/>
          <w:tab w:val="left" w:pos="2016"/>
          <w:tab w:val="left" w:pos="2880"/>
          <w:tab w:val="left" w:pos="3600"/>
          <w:tab w:val="left" w:pos="4320"/>
          <w:tab w:val="left" w:pos="5040"/>
          <w:tab w:val="left" w:pos="5760"/>
          <w:tab w:val="left" w:pos="6480"/>
          <w:tab w:val="left" w:pos="7200"/>
          <w:tab w:val="left" w:pos="7920"/>
          <w:tab w:val="left" w:pos="8640"/>
        </w:tabs>
        <w:rPr>
          <w:sz w:val="22"/>
        </w:rPr>
      </w:pP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1.</w:t>
      </w:r>
      <w:r>
        <w:rPr>
          <w:rFonts w:eastAsia="Times New Roman"/>
          <w:b/>
          <w:sz w:val="22"/>
        </w:rPr>
        <w:tab/>
        <w:t>Explain the circumstances that make the collection of information necessary.  Identify legal or administrative requirements that necessitate the collection of information.</w:t>
      </w: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rsidP="00923830">
      <w:pPr>
        <w:tabs>
          <w:tab w:val="left" w:pos="450"/>
          <w:tab w:val="left" w:pos="540"/>
          <w:tab w:val="left" w:pos="900"/>
          <w:tab w:val="left" w:pos="1260"/>
          <w:tab w:val="left" w:pos="1350"/>
          <w:tab w:val="left" w:pos="1800"/>
          <w:tab w:val="left" w:pos="1800"/>
          <w:tab w:val="left" w:pos="2250"/>
          <w:tab w:val="left" w:pos="2340"/>
        </w:tabs>
        <w:outlineLvl w:val="0"/>
        <w:rPr>
          <w:color w:val="000000"/>
          <w:sz w:val="22"/>
        </w:rPr>
      </w:pPr>
      <w:r>
        <w:rPr>
          <w:color w:val="000000"/>
          <w:sz w:val="22"/>
        </w:rPr>
        <w:tab/>
      </w:r>
      <w:r w:rsidR="00CC2A39">
        <w:rPr>
          <w:color w:val="000000"/>
          <w:sz w:val="22"/>
        </w:rPr>
        <w:t xml:space="preserve">VA Form 10-0137, </w:t>
      </w:r>
      <w:r w:rsidR="00CE73A2" w:rsidRPr="00CE73A2">
        <w:rPr>
          <w:i/>
          <w:color w:val="000000"/>
          <w:sz w:val="22"/>
        </w:rPr>
        <w:t>VA Advance Directive: Durable Power of Attorney for Health Care and Living Will</w:t>
      </w:r>
      <w:r w:rsidR="00CC2A39">
        <w:rPr>
          <w:color w:val="000000"/>
          <w:sz w:val="22"/>
        </w:rPr>
        <w:t>,</w:t>
      </w:r>
      <w:r w:rsidR="00C037F1">
        <w:rPr>
          <w:color w:val="000000"/>
          <w:sz w:val="22"/>
        </w:rPr>
        <w:t xml:space="preserve"> </w:t>
      </w:r>
      <w:r w:rsidR="00CE73A2">
        <w:rPr>
          <w:color w:val="000000"/>
          <w:sz w:val="22"/>
        </w:rPr>
        <w:t xml:space="preserve">is the Department of Veterans Affairs </w:t>
      </w:r>
      <w:r w:rsidR="00564783">
        <w:rPr>
          <w:color w:val="000000"/>
          <w:sz w:val="22"/>
        </w:rPr>
        <w:t xml:space="preserve">(VA) </w:t>
      </w:r>
      <w:r w:rsidR="00CE73A2">
        <w:rPr>
          <w:color w:val="000000"/>
          <w:sz w:val="22"/>
        </w:rPr>
        <w:t>recognized legal document that permits VA patients to designate a health care agent and</w:t>
      </w:r>
      <w:r w:rsidR="00923830">
        <w:rPr>
          <w:color w:val="000000"/>
          <w:sz w:val="22"/>
        </w:rPr>
        <w:t xml:space="preserve">/or </w:t>
      </w:r>
      <w:r w:rsidR="00CE73A2">
        <w:rPr>
          <w:color w:val="000000"/>
          <w:sz w:val="22"/>
        </w:rPr>
        <w:t>specify preferences</w:t>
      </w:r>
      <w:r w:rsidR="00CC2A39">
        <w:rPr>
          <w:color w:val="000000"/>
          <w:sz w:val="22"/>
        </w:rPr>
        <w:t xml:space="preserve"> for future health care</w:t>
      </w:r>
      <w:r w:rsidR="00CE73A2">
        <w:rPr>
          <w:color w:val="000000"/>
          <w:sz w:val="22"/>
        </w:rPr>
        <w:t>.</w:t>
      </w:r>
      <w:r w:rsidR="00923830">
        <w:rPr>
          <w:color w:val="000000"/>
          <w:sz w:val="22"/>
        </w:rPr>
        <w:t xml:space="preserve">  The VA Advance Directive is invoked if a patient becomes unable to make health care decisions for him or herself.  Use of the VA Advance Directive is specified in VHA Handbook 1004.02, Advance Care Planning and Management of Advance Directives.  </w:t>
      </w:r>
      <w:r w:rsidR="00564783">
        <w:rPr>
          <w:color w:val="000000"/>
          <w:sz w:val="22"/>
        </w:rPr>
        <w:t>Veterans</w:t>
      </w:r>
      <w:r w:rsidR="001B6D8B">
        <w:rPr>
          <w:color w:val="000000"/>
          <w:sz w:val="22"/>
        </w:rPr>
        <w:t>’</w:t>
      </w:r>
      <w:r w:rsidR="00564783">
        <w:rPr>
          <w:color w:val="000000"/>
          <w:sz w:val="22"/>
        </w:rPr>
        <w:t xml:space="preserve"> rights</w:t>
      </w:r>
      <w:r w:rsidR="00923830">
        <w:rPr>
          <w:color w:val="000000"/>
          <w:sz w:val="22"/>
        </w:rPr>
        <w:t xml:space="preserve"> to designate a health care agent and specify health care preferences in advance are codified in 38 CFR 17.32</w:t>
      </w:r>
      <w:r w:rsidR="00564783">
        <w:rPr>
          <w:color w:val="000000"/>
          <w:sz w:val="22"/>
        </w:rPr>
        <w:t>.  This</w:t>
      </w:r>
      <w:r w:rsidR="00923830">
        <w:rPr>
          <w:color w:val="000000"/>
          <w:sz w:val="22"/>
        </w:rPr>
        <w:t xml:space="preserve"> regulation also obligates VA to recognize advance directives and </w:t>
      </w:r>
      <w:r w:rsidR="00564783">
        <w:rPr>
          <w:color w:val="000000"/>
          <w:sz w:val="22"/>
        </w:rPr>
        <w:t xml:space="preserve">to </w:t>
      </w:r>
      <w:r w:rsidR="00923830">
        <w:rPr>
          <w:color w:val="000000"/>
          <w:sz w:val="22"/>
        </w:rPr>
        <w:t xml:space="preserve">use the information contained therein when health care decisions must be made for a patient that has lost decision making capacity.  Use of advance directives is a </w:t>
      </w:r>
      <w:r w:rsidR="00860CA3">
        <w:rPr>
          <w:color w:val="000000"/>
          <w:sz w:val="22"/>
        </w:rPr>
        <w:t>well-established</w:t>
      </w:r>
      <w:r w:rsidR="00923830">
        <w:rPr>
          <w:color w:val="000000"/>
          <w:sz w:val="22"/>
        </w:rPr>
        <w:t xml:space="preserve"> standard within clinical practice in the U.S.  Offering the opportunity to complete an advance directive and the requirement to honor such documents is </w:t>
      </w:r>
      <w:r w:rsidR="00564783">
        <w:rPr>
          <w:color w:val="000000"/>
          <w:sz w:val="22"/>
        </w:rPr>
        <w:t>supported by Joint Commission standards and the Patient Self Determination Act</w:t>
      </w:r>
      <w:r w:rsidR="00DE28E1">
        <w:rPr>
          <w:color w:val="000000"/>
          <w:sz w:val="22"/>
        </w:rPr>
        <w:t xml:space="preserve"> of 1990 </w:t>
      </w:r>
      <w:r w:rsidR="00564783">
        <w:rPr>
          <w:color w:val="000000"/>
          <w:sz w:val="22"/>
        </w:rPr>
        <w:t xml:space="preserve">(applicable to Medicare providers.)  </w:t>
      </w:r>
      <w:r w:rsidR="00981B41">
        <w:rPr>
          <w:color w:val="000000"/>
          <w:sz w:val="22"/>
        </w:rPr>
        <w:t>Use of advance directives</w:t>
      </w:r>
      <w:r w:rsidR="00564783">
        <w:rPr>
          <w:color w:val="000000"/>
          <w:sz w:val="22"/>
        </w:rPr>
        <w:t xml:space="preserve"> is also consistent with the health care ethics standard that patients have autonomy in health care decision making and have a right to control what is done to them in a medical setting. </w:t>
      </w:r>
    </w:p>
    <w:p w:rsidR="00564783" w:rsidRDefault="00564783" w:rsidP="00923830">
      <w:pPr>
        <w:tabs>
          <w:tab w:val="left" w:pos="450"/>
          <w:tab w:val="left" w:pos="540"/>
          <w:tab w:val="left" w:pos="900"/>
          <w:tab w:val="left" w:pos="1260"/>
          <w:tab w:val="left" w:pos="1350"/>
          <w:tab w:val="left" w:pos="1800"/>
          <w:tab w:val="left" w:pos="1800"/>
          <w:tab w:val="left" w:pos="2250"/>
          <w:tab w:val="left" w:pos="23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2.</w:t>
      </w:r>
      <w:r>
        <w:rPr>
          <w:rFonts w:eastAsia="Times New Roman"/>
          <w:b/>
          <w:sz w:val="22"/>
        </w:rPr>
        <w:tab/>
        <w:t>Indicate how, by whom, and for what purposes the information is to be used; indicate actual use the agency has made of the information received from current collection.</w:t>
      </w:r>
    </w:p>
    <w:p w:rsidR="00B16C8D" w:rsidRDefault="00B16C8D">
      <w:pPr>
        <w:pStyle w:val="Body1"/>
        <w:tabs>
          <w:tab w:val="left" w:pos="540"/>
          <w:tab w:val="left" w:pos="1080"/>
          <w:tab w:val="left" w:pos="1620"/>
          <w:tab w:val="left" w:pos="2160"/>
        </w:tabs>
        <w:rPr>
          <w:b/>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81B41">
        <w:rPr>
          <w:rFonts w:eastAsia="Times New Roman"/>
          <w:sz w:val="22"/>
        </w:rPr>
        <w:t>Veteran patients use the VA Advance Directive to designate a health care agent and/or record their preferences</w:t>
      </w:r>
      <w:r w:rsidR="008E14EF">
        <w:rPr>
          <w:rFonts w:eastAsia="Times New Roman"/>
          <w:sz w:val="22"/>
        </w:rPr>
        <w:t xml:space="preserve"> for </w:t>
      </w:r>
      <w:r w:rsidR="008E14EF" w:rsidRPr="008E14EF">
        <w:rPr>
          <w:rFonts w:eastAsia="Times New Roman"/>
          <w:sz w:val="22"/>
        </w:rPr>
        <w:t>future health care</w:t>
      </w:r>
      <w:r w:rsidR="00981B41">
        <w:rPr>
          <w:rFonts w:eastAsia="Times New Roman"/>
          <w:sz w:val="22"/>
        </w:rPr>
        <w:t>.  Completion of an advance directive by a VA patient is entirely voluntary.  The decision to complete an advance directive has no bearing on a patient’s right or ability to access VA health care.  If a patient completes an advance directive and the completed document is provided to a VA practitioner, the information it contains is used to identify the appropriate health care decision maker and to inform decisions about the patient’s care.  Information contained in the VA Advance Directive is used routinely in VA to help surrogates and clinicians decide what treatments or procedures to provide to patients who have lost decision</w:t>
      </w:r>
      <w:r w:rsidR="008E14EF">
        <w:rPr>
          <w:rFonts w:eastAsia="Times New Roman"/>
          <w:sz w:val="22"/>
        </w:rPr>
        <w:t>-</w:t>
      </w:r>
      <w:r w:rsidR="00981B41">
        <w:rPr>
          <w:rFonts w:eastAsia="Times New Roman"/>
          <w:sz w:val="22"/>
        </w:rPr>
        <w:t xml:space="preserve">making capacity. </w:t>
      </w:r>
    </w:p>
    <w:p w:rsidR="00B16C8D" w:rsidRDefault="00B16C8D">
      <w:pPr>
        <w:tabs>
          <w:tab w:val="left" w:pos="540"/>
          <w:tab w:val="left" w:pos="1080"/>
          <w:tab w:val="left" w:pos="1620"/>
          <w:tab w:val="left" w:pos="2160"/>
          <w:tab w:val="left" w:pos="2880"/>
          <w:tab w:val="left" w:pos="3600"/>
          <w:tab w:val="center" w:pos="4320"/>
          <w:tab w:val="left" w:pos="4320"/>
          <w:tab w:val="left" w:pos="5040"/>
          <w:tab w:val="left" w:pos="5760"/>
          <w:tab w:val="left" w:pos="6480"/>
          <w:tab w:val="left" w:pos="7200"/>
          <w:tab w:val="left" w:pos="7920"/>
          <w:tab w:val="right" w:pos="8640"/>
          <w:tab w:val="left" w:pos="86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3.</w:t>
      </w:r>
      <w:r>
        <w:rPr>
          <w:rFonts w:eastAsia="Times New Roman"/>
          <w:b/>
          <w:sz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r>
        <w:rPr>
          <w:color w:val="000000"/>
          <w:sz w:val="22"/>
        </w:rPr>
        <w:tab/>
      </w:r>
      <w:r w:rsidR="00981B41">
        <w:rPr>
          <w:color w:val="000000"/>
          <w:sz w:val="22"/>
        </w:rPr>
        <w:t xml:space="preserve">VA has implemented electronic support for patient decision making throughout VA’s network of hospitals and clinics through the </w:t>
      </w:r>
      <w:r w:rsidR="00981B41" w:rsidRPr="00ED0081">
        <w:rPr>
          <w:color w:val="000000"/>
          <w:sz w:val="22"/>
        </w:rPr>
        <w:t>use of iMedConsent</w:t>
      </w:r>
      <w:r w:rsidR="00E775B6">
        <w:rPr>
          <w:color w:val="000000"/>
          <w:sz w:val="22"/>
        </w:rPr>
        <w:t>™</w:t>
      </w:r>
      <w:r w:rsidR="00981B41" w:rsidRPr="00ED0081">
        <w:rPr>
          <w:color w:val="000000"/>
          <w:sz w:val="22"/>
        </w:rPr>
        <w:t xml:space="preserve">.  The computer program allows clinicians to </w:t>
      </w:r>
      <w:r w:rsidR="006868B2" w:rsidRPr="006868B2">
        <w:rPr>
          <w:color w:val="000000"/>
          <w:sz w:val="22"/>
        </w:rPr>
        <w:t xml:space="preserve">access the VA Advance Directive on a computer screen, walk the patient through the document in real time, work with the patient to complete the document in electronic form, capture the patient’s signature on an electronic signature pad, and file the completed </w:t>
      </w:r>
      <w:r w:rsidR="00910B30" w:rsidRPr="00ED0081">
        <w:rPr>
          <w:color w:val="000000"/>
          <w:sz w:val="22"/>
        </w:rPr>
        <w:t xml:space="preserve">document in the patient’s </w:t>
      </w:r>
      <w:r w:rsidR="00ED0081" w:rsidRPr="00ED0081">
        <w:rPr>
          <w:color w:val="000000"/>
          <w:sz w:val="22"/>
        </w:rPr>
        <w:t>electronic medical record</w:t>
      </w:r>
      <w:r w:rsidR="00910B30" w:rsidRPr="00ED0081">
        <w:rPr>
          <w:color w:val="000000"/>
          <w:sz w:val="22"/>
        </w:rPr>
        <w:t>.  The use</w:t>
      </w:r>
      <w:r w:rsidR="00910B30">
        <w:rPr>
          <w:color w:val="000000"/>
          <w:sz w:val="22"/>
        </w:rPr>
        <w:t xml:space="preserve"> of iMedConsent</w:t>
      </w:r>
      <w:r w:rsidR="00E775B6">
        <w:rPr>
          <w:color w:val="000000"/>
          <w:sz w:val="22"/>
        </w:rPr>
        <w:t>™</w:t>
      </w:r>
      <w:r w:rsidR="00910B30">
        <w:rPr>
          <w:color w:val="000000"/>
          <w:sz w:val="22"/>
        </w:rPr>
        <w:t xml:space="preserve"> for this purpose shifts the burden of completing the VA Advance Directive from the patient to the provider.  However, there is little practical reduction in burden to patients because the clinician must interact with the patient throughout the entire process of completing the electronic form in iMedConsent</w:t>
      </w:r>
      <w:r w:rsidR="00E775B6">
        <w:rPr>
          <w:color w:val="000000"/>
          <w:sz w:val="22"/>
        </w:rPr>
        <w:t>™</w:t>
      </w:r>
      <w:r w:rsidR="00910B30">
        <w:rPr>
          <w:color w:val="000000"/>
          <w:sz w:val="22"/>
        </w:rPr>
        <w:t xml:space="preserve">.  </w:t>
      </w: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4.</w:t>
      </w:r>
      <w:r>
        <w:rPr>
          <w:rFonts w:eastAsia="Times New Roman"/>
          <w:b/>
          <w:sz w:val="22"/>
        </w:rPr>
        <w:tab/>
        <w:t>Describe effort to identify duplication.  Show specifically why any similar information already available cannot be used or modified for use for the purposes described in Item 2 above.</w:t>
      </w:r>
    </w:p>
    <w:p w:rsidR="00B16C8D" w:rsidRDefault="00B16C8D">
      <w:pPr>
        <w:tabs>
          <w:tab w:val="left" w:pos="540"/>
          <w:tab w:val="left" w:pos="1080"/>
          <w:tab w:val="left" w:pos="1620"/>
          <w:tab w:val="left" w:pos="216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10B30">
        <w:rPr>
          <w:rFonts w:eastAsia="Times New Roman"/>
          <w:sz w:val="22"/>
        </w:rPr>
        <w:t xml:space="preserve">A properly </w:t>
      </w:r>
      <w:r w:rsidR="005F37E0">
        <w:rPr>
          <w:rFonts w:eastAsia="Times New Roman"/>
          <w:sz w:val="22"/>
        </w:rPr>
        <w:t>executed</w:t>
      </w:r>
      <w:r w:rsidR="00910B30">
        <w:rPr>
          <w:rFonts w:eastAsia="Times New Roman"/>
          <w:sz w:val="22"/>
        </w:rPr>
        <w:t xml:space="preserve"> advance directive is recognized in a court of law as a valid expression of a patient’s wishes </w:t>
      </w:r>
      <w:r w:rsidR="005F37E0">
        <w:rPr>
          <w:rFonts w:eastAsia="Times New Roman"/>
          <w:sz w:val="22"/>
        </w:rPr>
        <w:t xml:space="preserve">regarding future health care.  Other means of documenting health care preferences, such as including a chart note in the medical record, </w:t>
      </w:r>
      <w:r w:rsidR="00D827F0">
        <w:rPr>
          <w:rFonts w:eastAsia="Times New Roman"/>
          <w:sz w:val="22"/>
        </w:rPr>
        <w:t xml:space="preserve">are </w:t>
      </w:r>
      <w:r w:rsidR="005F37E0">
        <w:rPr>
          <w:rFonts w:eastAsia="Times New Roman"/>
          <w:sz w:val="22"/>
        </w:rPr>
        <w:t>not generally accorded the same weight in a court of law as a properly executed</w:t>
      </w:r>
      <w:r w:rsidR="00554050">
        <w:rPr>
          <w:rFonts w:eastAsia="Times New Roman"/>
          <w:sz w:val="22"/>
        </w:rPr>
        <w:t xml:space="preserve"> advance directive.  </w:t>
      </w:r>
      <w:r w:rsidR="00744D4D">
        <w:rPr>
          <w:rFonts w:eastAsia="Times New Roman"/>
          <w:sz w:val="22"/>
        </w:rPr>
        <w:t xml:space="preserve">Similar information may also be </w:t>
      </w:r>
      <w:r w:rsidR="00ED0081">
        <w:rPr>
          <w:rFonts w:eastAsia="Times New Roman"/>
          <w:sz w:val="22"/>
        </w:rPr>
        <w:t xml:space="preserve">recorded in various other advance directive documents that are recognized by law in different States.  </w:t>
      </w:r>
      <w:r w:rsidR="00D827F0">
        <w:rPr>
          <w:rFonts w:eastAsia="Times New Roman"/>
          <w:sz w:val="22"/>
        </w:rPr>
        <w:t xml:space="preserve">VA recognizes and honors </w:t>
      </w:r>
      <w:r w:rsidR="00EB5D27">
        <w:rPr>
          <w:rFonts w:eastAsia="Times New Roman"/>
          <w:sz w:val="22"/>
        </w:rPr>
        <w:t>s</w:t>
      </w:r>
      <w:r w:rsidR="00ED0081">
        <w:rPr>
          <w:rFonts w:eastAsia="Times New Roman"/>
          <w:sz w:val="22"/>
        </w:rPr>
        <w:t>tate-</w:t>
      </w:r>
      <w:r w:rsidR="00DE28E1">
        <w:rPr>
          <w:rFonts w:eastAsia="Times New Roman"/>
          <w:sz w:val="22"/>
        </w:rPr>
        <w:t xml:space="preserve">authorized </w:t>
      </w:r>
      <w:r w:rsidR="00D827F0">
        <w:rPr>
          <w:rFonts w:eastAsia="Times New Roman"/>
          <w:sz w:val="22"/>
        </w:rPr>
        <w:t xml:space="preserve">advance directives, but </w:t>
      </w:r>
      <w:r w:rsidR="00ED0081">
        <w:rPr>
          <w:rFonts w:eastAsia="Times New Roman"/>
          <w:sz w:val="22"/>
        </w:rPr>
        <w:t xml:space="preserve">these documents differ widely from </w:t>
      </w:r>
      <w:r w:rsidR="00EB5D27">
        <w:rPr>
          <w:rFonts w:eastAsia="Times New Roman"/>
          <w:sz w:val="22"/>
        </w:rPr>
        <w:t>s</w:t>
      </w:r>
      <w:r w:rsidR="00ED0081">
        <w:rPr>
          <w:rFonts w:eastAsia="Times New Roman"/>
          <w:sz w:val="22"/>
        </w:rPr>
        <w:t xml:space="preserve">tate to </w:t>
      </w:r>
      <w:r w:rsidR="00EB5D27">
        <w:rPr>
          <w:rFonts w:eastAsia="Times New Roman"/>
          <w:sz w:val="22"/>
        </w:rPr>
        <w:t>s</w:t>
      </w:r>
      <w:r w:rsidR="00ED0081">
        <w:rPr>
          <w:rFonts w:eastAsia="Times New Roman"/>
          <w:sz w:val="22"/>
        </w:rPr>
        <w:t xml:space="preserve">tate, and do not generally collect the same information as the VA form.  In addition, they may contain information that </w:t>
      </w:r>
      <w:r w:rsidR="00D827F0">
        <w:rPr>
          <w:rFonts w:eastAsia="Times New Roman"/>
          <w:sz w:val="22"/>
        </w:rPr>
        <w:t xml:space="preserve">is </w:t>
      </w:r>
      <w:r w:rsidR="00B83E6D">
        <w:rPr>
          <w:rFonts w:eastAsia="Times New Roman"/>
          <w:sz w:val="22"/>
        </w:rPr>
        <w:t>in</w:t>
      </w:r>
      <w:r w:rsidR="00D827F0">
        <w:rPr>
          <w:rFonts w:eastAsia="Times New Roman"/>
          <w:sz w:val="22"/>
        </w:rPr>
        <w:t xml:space="preserve">consistent with VA </w:t>
      </w:r>
      <w:r w:rsidR="006F1144">
        <w:rPr>
          <w:rFonts w:eastAsia="Times New Roman"/>
          <w:sz w:val="22"/>
        </w:rPr>
        <w:t>regulation</w:t>
      </w:r>
      <w:r w:rsidR="00D827F0">
        <w:rPr>
          <w:rFonts w:eastAsia="Times New Roman"/>
          <w:sz w:val="22"/>
        </w:rPr>
        <w:t xml:space="preserve"> and policy.  </w:t>
      </w:r>
      <w:r w:rsidR="00B83E6D">
        <w:rPr>
          <w:rFonts w:eastAsia="Times New Roman"/>
          <w:sz w:val="22"/>
        </w:rPr>
        <w:t xml:space="preserve">The VA Advance Directive gives patients a uniform legal standard that is well recognized and understood by practitioners throughout VA in more than 1500 sites of care across the country.  </w:t>
      </w:r>
    </w:p>
    <w:p w:rsidR="00B16C8D" w:rsidRDefault="00B16C8D">
      <w:pPr>
        <w:pStyle w:val="Body1"/>
        <w:tabs>
          <w:tab w:val="left" w:pos="540"/>
          <w:tab w:val="left" w:pos="1080"/>
          <w:tab w:val="left" w:pos="1620"/>
          <w:tab w:val="left" w:pos="2160"/>
        </w:tabs>
        <w:rPr>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5.</w:t>
      </w:r>
      <w:r>
        <w:rPr>
          <w:rFonts w:eastAsia="Times New Roman"/>
          <w:b/>
          <w:sz w:val="22"/>
        </w:rPr>
        <w:tab/>
        <w:t>If the collection of information impacts small businesses or other small entities, describe any methods used to minimize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small businesses or other small entities are impacted by this information collection.</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6.</w:t>
      </w:r>
      <w:r>
        <w:rPr>
          <w:rFonts w:eastAsia="Times New Roman"/>
          <w:b/>
          <w:sz w:val="22"/>
        </w:rPr>
        <w:tab/>
        <w:t>Describe the consequences to Federal program or policy activities if the collection is not conducted or is conducted less frequently as well as any technical or legal obstacles to reducing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Default="00B16C8D" w:rsidP="00554050">
      <w:pPr>
        <w:autoSpaceDE w:val="0"/>
        <w:autoSpaceDN w:val="0"/>
        <w:adjustRightInd w:val="0"/>
        <w:rPr>
          <w:sz w:val="22"/>
        </w:rPr>
      </w:pPr>
      <w:r>
        <w:rPr>
          <w:sz w:val="22"/>
        </w:rPr>
        <w:tab/>
      </w:r>
      <w:r w:rsidR="00554050">
        <w:rPr>
          <w:sz w:val="22"/>
        </w:rPr>
        <w:t xml:space="preserve">Completion of an advance directive is </w:t>
      </w:r>
      <w:r w:rsidR="00DE28E1">
        <w:rPr>
          <w:sz w:val="22"/>
        </w:rPr>
        <w:t xml:space="preserve">entirely </w:t>
      </w:r>
      <w:r w:rsidR="00554050">
        <w:rPr>
          <w:sz w:val="22"/>
        </w:rPr>
        <w:t>voluntary.  A VA patient may complete and submit a form as often as he or she wishes.  Or, a VA patient may choose to never complete such a form.  The decision to complete an advance directive has no bearing on a patient’s right or ability to access VA health care.  If a patient loses decision</w:t>
      </w:r>
      <w:r w:rsidR="00EB5D27">
        <w:rPr>
          <w:sz w:val="22"/>
        </w:rPr>
        <w:t>-</w:t>
      </w:r>
      <w:r w:rsidR="00554050">
        <w:rPr>
          <w:sz w:val="22"/>
        </w:rPr>
        <w:t xml:space="preserve">making </w:t>
      </w:r>
      <w:r w:rsidR="00521EC3">
        <w:rPr>
          <w:sz w:val="22"/>
        </w:rPr>
        <w:t xml:space="preserve">capacity </w:t>
      </w:r>
      <w:r w:rsidR="00554050">
        <w:rPr>
          <w:sz w:val="22"/>
        </w:rPr>
        <w:t xml:space="preserve">and does not have an advance directive, other VA policy and regulation guide </w:t>
      </w:r>
      <w:r w:rsidR="00521EC3">
        <w:rPr>
          <w:sz w:val="22"/>
        </w:rPr>
        <w:t xml:space="preserve">health care </w:t>
      </w:r>
      <w:r w:rsidR="00554050">
        <w:rPr>
          <w:sz w:val="22"/>
        </w:rPr>
        <w:t xml:space="preserve">decision making for that patient.  </w:t>
      </w:r>
      <w:r w:rsidR="00521EC3">
        <w:rPr>
          <w:sz w:val="22"/>
        </w:rPr>
        <w:t xml:space="preserve">However, completion and filing of an advance directive with VA is the only means a patient has to </w:t>
      </w:r>
      <w:r w:rsidR="00744D4D">
        <w:rPr>
          <w:sz w:val="22"/>
        </w:rPr>
        <w:t xml:space="preserve">ensure </w:t>
      </w:r>
      <w:r w:rsidR="00521EC3">
        <w:rPr>
          <w:sz w:val="22"/>
        </w:rPr>
        <w:t xml:space="preserve">that </w:t>
      </w:r>
      <w:r w:rsidR="00AD4193">
        <w:rPr>
          <w:sz w:val="22"/>
        </w:rPr>
        <w:t xml:space="preserve">his or her </w:t>
      </w:r>
      <w:r w:rsidR="00744D4D">
        <w:rPr>
          <w:sz w:val="22"/>
        </w:rPr>
        <w:t xml:space="preserve">health care preferences are </w:t>
      </w:r>
      <w:r w:rsidR="00DE28E1">
        <w:rPr>
          <w:sz w:val="22"/>
        </w:rPr>
        <w:t xml:space="preserve">known and </w:t>
      </w:r>
      <w:r w:rsidR="00AD4193">
        <w:rPr>
          <w:sz w:val="22"/>
        </w:rPr>
        <w:t xml:space="preserve">honored </w:t>
      </w:r>
      <w:r w:rsidR="00B83E6D">
        <w:rPr>
          <w:sz w:val="22"/>
        </w:rPr>
        <w:t>throughout</w:t>
      </w:r>
      <w:r w:rsidR="00744D4D">
        <w:rPr>
          <w:sz w:val="22"/>
        </w:rPr>
        <w:t xml:space="preserve"> the VA</w:t>
      </w:r>
      <w:r w:rsidR="00B83E6D">
        <w:rPr>
          <w:sz w:val="22"/>
        </w:rPr>
        <w:t xml:space="preserve"> health care</w:t>
      </w:r>
      <w:r w:rsidR="00744D4D">
        <w:rPr>
          <w:sz w:val="22"/>
        </w:rPr>
        <w:t xml:space="preserve"> system</w:t>
      </w:r>
      <w:r w:rsidR="00E775B6">
        <w:rPr>
          <w:sz w:val="22"/>
        </w:rPr>
        <w:t xml:space="preserve"> in the event that the patient can no longer make health care decisions</w:t>
      </w:r>
      <w:r w:rsidR="00521EC3">
        <w:rPr>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7</w:t>
      </w:r>
      <w:r>
        <w:rPr>
          <w:rFonts w:eastAsia="Times New Roman"/>
          <w:sz w:val="22"/>
        </w:rPr>
        <w:t>.</w:t>
      </w:r>
      <w:r>
        <w:rPr>
          <w:rFonts w:eastAsia="Times New Roman"/>
          <w:sz w:val="22"/>
        </w:rPr>
        <w:tab/>
      </w:r>
      <w:r>
        <w:rPr>
          <w:rFonts w:eastAsia="Times New Roman"/>
          <w:b/>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Pr="00521EC3" w:rsidRDefault="00B16C8D" w:rsidP="00521EC3">
      <w:pPr>
        <w:autoSpaceDE w:val="0"/>
        <w:autoSpaceDN w:val="0"/>
        <w:adjustRightInd w:val="0"/>
        <w:rPr>
          <w:sz w:val="22"/>
          <w:szCs w:val="22"/>
        </w:rPr>
      </w:pPr>
      <w:r>
        <w:rPr>
          <w:sz w:val="22"/>
        </w:rPr>
        <w:tab/>
      </w:r>
      <w:r w:rsidR="00521EC3">
        <w:rPr>
          <w:sz w:val="22"/>
        </w:rPr>
        <w:t xml:space="preserve">Completion of an advance directive is </w:t>
      </w:r>
      <w:r w:rsidR="00DE28E1">
        <w:rPr>
          <w:sz w:val="22"/>
        </w:rPr>
        <w:t xml:space="preserve">entirely </w:t>
      </w:r>
      <w:r w:rsidR="00521EC3">
        <w:rPr>
          <w:sz w:val="22"/>
        </w:rPr>
        <w:t xml:space="preserve">voluntary.  A VA patient may complete and submit a form as often as he or she wishes.  Or, a VA patient may choose to never complete such a form. </w:t>
      </w:r>
      <w:r w:rsidR="00521EC3" w:rsidRPr="00521EC3">
        <w:rPr>
          <w:sz w:val="22"/>
          <w:szCs w:val="22"/>
        </w:rPr>
        <w:t xml:space="preserve">VA staff is required to ask patients whether they have an advance directive or wish to complete an advance directive as a routine administrative matter.   Such screening for an advance directive is required </w:t>
      </w:r>
      <w:r w:rsidR="00DE28E1">
        <w:rPr>
          <w:sz w:val="22"/>
          <w:szCs w:val="22"/>
        </w:rPr>
        <w:t>in a variety of circumstances, including</w:t>
      </w:r>
      <w:r w:rsidR="00521EC3" w:rsidRPr="00521EC3">
        <w:rPr>
          <w:sz w:val="22"/>
          <w:szCs w:val="22"/>
        </w:rPr>
        <w:t>:</w:t>
      </w:r>
    </w:p>
    <w:p w:rsidR="00521EC3" w:rsidRPr="00521EC3" w:rsidRDefault="00521EC3" w:rsidP="00521EC3">
      <w:pPr>
        <w:autoSpaceDE w:val="0"/>
        <w:autoSpaceDN w:val="0"/>
        <w:adjustRightInd w:val="0"/>
        <w:ind w:left="720"/>
        <w:rPr>
          <w:sz w:val="22"/>
          <w:szCs w:val="22"/>
        </w:rPr>
      </w:pPr>
      <w:r w:rsidRPr="00521EC3">
        <w:rPr>
          <w:sz w:val="22"/>
          <w:szCs w:val="22"/>
        </w:rPr>
        <w:t>(1) Check-in for a patient’s first primary care appointment, unless there is documentation of advance directive screening within the last year;</w:t>
      </w:r>
    </w:p>
    <w:p w:rsidR="00521EC3" w:rsidRPr="00521EC3" w:rsidRDefault="00521EC3" w:rsidP="00521EC3">
      <w:pPr>
        <w:autoSpaceDE w:val="0"/>
        <w:autoSpaceDN w:val="0"/>
        <w:adjustRightInd w:val="0"/>
        <w:ind w:left="720"/>
        <w:rPr>
          <w:sz w:val="22"/>
          <w:szCs w:val="22"/>
        </w:rPr>
      </w:pPr>
      <w:r w:rsidRPr="00521EC3">
        <w:rPr>
          <w:sz w:val="22"/>
          <w:szCs w:val="22"/>
        </w:rPr>
        <w:t>(2) Each admission to a VHA inpatient facility (including hospital, nursing home, or</w:t>
      </w:r>
    </w:p>
    <w:p w:rsidR="00521EC3" w:rsidRPr="00521EC3" w:rsidRDefault="00521EC3" w:rsidP="00521EC3">
      <w:pPr>
        <w:autoSpaceDE w:val="0"/>
        <w:autoSpaceDN w:val="0"/>
        <w:adjustRightInd w:val="0"/>
        <w:ind w:left="720"/>
        <w:rPr>
          <w:sz w:val="22"/>
          <w:szCs w:val="22"/>
        </w:rPr>
      </w:pPr>
      <w:r w:rsidRPr="00521EC3">
        <w:rPr>
          <w:sz w:val="22"/>
          <w:szCs w:val="22"/>
        </w:rPr>
        <w:t>domiciliary facility); and</w:t>
      </w:r>
    </w:p>
    <w:p w:rsidR="00521EC3" w:rsidRDefault="00521EC3" w:rsidP="00521EC3">
      <w:pPr>
        <w:pStyle w:val="Body1"/>
        <w:tabs>
          <w:tab w:val="left" w:pos="540"/>
          <w:tab w:val="left" w:pos="1080"/>
          <w:tab w:val="left" w:pos="1620"/>
          <w:tab w:val="left" w:pos="2160"/>
          <w:tab w:val="left" w:pos="2700"/>
          <w:tab w:val="left" w:pos="3240"/>
          <w:tab w:val="left" w:pos="3780"/>
        </w:tabs>
        <w:ind w:left="720"/>
        <w:rPr>
          <w:sz w:val="22"/>
          <w:szCs w:val="22"/>
        </w:rPr>
      </w:pPr>
      <w:r w:rsidRPr="00521EC3">
        <w:rPr>
          <w:sz w:val="22"/>
          <w:szCs w:val="22"/>
        </w:rPr>
        <w:t>(3) Each admission to home care or hospice care.</w:t>
      </w:r>
    </w:p>
    <w:p w:rsidR="00AD4193" w:rsidRDefault="00AD4193" w:rsidP="00AD4193">
      <w:pPr>
        <w:pStyle w:val="Body1"/>
        <w:tabs>
          <w:tab w:val="left" w:pos="540"/>
          <w:tab w:val="left" w:pos="1080"/>
          <w:tab w:val="left" w:pos="1620"/>
          <w:tab w:val="left" w:pos="2160"/>
          <w:tab w:val="left" w:pos="2700"/>
          <w:tab w:val="left" w:pos="3240"/>
          <w:tab w:val="left" w:pos="3780"/>
        </w:tabs>
        <w:rPr>
          <w:sz w:val="22"/>
          <w:szCs w:val="22"/>
        </w:rPr>
      </w:pPr>
    </w:p>
    <w:p w:rsidR="00AD4193" w:rsidRPr="00521EC3" w:rsidRDefault="00557929" w:rsidP="00AD4193">
      <w:pPr>
        <w:pStyle w:val="Body1"/>
        <w:tabs>
          <w:tab w:val="left" w:pos="540"/>
          <w:tab w:val="left" w:pos="1080"/>
          <w:tab w:val="left" w:pos="1620"/>
          <w:tab w:val="left" w:pos="2160"/>
          <w:tab w:val="left" w:pos="2700"/>
          <w:tab w:val="left" w:pos="3240"/>
          <w:tab w:val="left" w:pos="3780"/>
        </w:tabs>
        <w:rPr>
          <w:sz w:val="22"/>
          <w:szCs w:val="22"/>
        </w:rPr>
      </w:pPr>
      <w:r>
        <w:rPr>
          <w:sz w:val="22"/>
          <w:szCs w:val="22"/>
        </w:rPr>
        <w:tab/>
      </w:r>
      <w:r w:rsidR="00AD4193">
        <w:rPr>
          <w:sz w:val="22"/>
          <w:szCs w:val="22"/>
        </w:rPr>
        <w:t>Peer r</w:t>
      </w:r>
      <w:r w:rsidR="008810A1">
        <w:rPr>
          <w:sz w:val="22"/>
          <w:szCs w:val="22"/>
        </w:rPr>
        <w:t>eviewed studies have shown that</w:t>
      </w:r>
      <w:r w:rsidR="00AD4193">
        <w:rPr>
          <w:sz w:val="22"/>
          <w:szCs w:val="22"/>
        </w:rPr>
        <w:t xml:space="preserve"> patients</w:t>
      </w:r>
      <w:r w:rsidR="00B83E6D">
        <w:rPr>
          <w:sz w:val="22"/>
          <w:szCs w:val="22"/>
        </w:rPr>
        <w:t>’</w:t>
      </w:r>
      <w:r w:rsidR="00AD4193">
        <w:rPr>
          <w:sz w:val="22"/>
          <w:szCs w:val="22"/>
        </w:rPr>
        <w:t xml:space="preserve"> preference</w:t>
      </w:r>
      <w:r w:rsidR="00B83E6D">
        <w:rPr>
          <w:sz w:val="22"/>
          <w:szCs w:val="22"/>
        </w:rPr>
        <w:t>s</w:t>
      </w:r>
      <w:r w:rsidR="00AD4193">
        <w:rPr>
          <w:sz w:val="22"/>
          <w:szCs w:val="22"/>
        </w:rPr>
        <w:t xml:space="preserve"> about future health care </w:t>
      </w:r>
      <w:r w:rsidR="00B83E6D">
        <w:rPr>
          <w:sz w:val="22"/>
          <w:szCs w:val="22"/>
        </w:rPr>
        <w:t xml:space="preserve">are </w:t>
      </w:r>
      <w:r w:rsidR="00AD4193">
        <w:rPr>
          <w:sz w:val="22"/>
          <w:szCs w:val="22"/>
        </w:rPr>
        <w:t xml:space="preserve">influenced by their current health status and </w:t>
      </w:r>
      <w:r w:rsidR="00B83E6D">
        <w:rPr>
          <w:sz w:val="22"/>
          <w:szCs w:val="22"/>
        </w:rPr>
        <w:t xml:space="preserve">their </w:t>
      </w:r>
      <w:r w:rsidR="00AD4193">
        <w:rPr>
          <w:sz w:val="22"/>
          <w:szCs w:val="22"/>
        </w:rPr>
        <w:t xml:space="preserve">experience with serious diseases and conditions.  </w:t>
      </w:r>
      <w:r>
        <w:rPr>
          <w:sz w:val="22"/>
          <w:szCs w:val="22"/>
        </w:rPr>
        <w:t xml:space="preserve">Given that </w:t>
      </w:r>
      <w:r>
        <w:rPr>
          <w:sz w:val="22"/>
          <w:szCs w:val="22"/>
        </w:rPr>
        <w:lastRenderedPageBreak/>
        <w:t>p</w:t>
      </w:r>
      <w:r w:rsidR="00AD4193">
        <w:rPr>
          <w:sz w:val="22"/>
          <w:szCs w:val="22"/>
        </w:rPr>
        <w:t>atients</w:t>
      </w:r>
      <w:r w:rsidR="00B83E6D">
        <w:rPr>
          <w:sz w:val="22"/>
          <w:szCs w:val="22"/>
        </w:rPr>
        <w:t>’</w:t>
      </w:r>
      <w:r w:rsidR="00AD4193">
        <w:rPr>
          <w:sz w:val="22"/>
          <w:szCs w:val="22"/>
        </w:rPr>
        <w:t xml:space="preserve"> perceptions change over time and </w:t>
      </w:r>
      <w:r w:rsidR="00DE28E1">
        <w:rPr>
          <w:sz w:val="22"/>
          <w:szCs w:val="22"/>
        </w:rPr>
        <w:t>as a result of illness</w:t>
      </w:r>
      <w:r w:rsidR="00AD4193">
        <w:rPr>
          <w:sz w:val="22"/>
          <w:szCs w:val="22"/>
        </w:rPr>
        <w:t>, the current screening schedule was established to help ensure that Veterans are reminded regularly about their right to complete an advance directive, parti</w:t>
      </w:r>
      <w:r w:rsidR="00486DFA">
        <w:rPr>
          <w:sz w:val="22"/>
          <w:szCs w:val="22"/>
        </w:rPr>
        <w:t xml:space="preserve">cularly during times when they may be reconsidering the kind of care they </w:t>
      </w:r>
      <w:r w:rsidR="00E775B6">
        <w:rPr>
          <w:sz w:val="22"/>
          <w:szCs w:val="22"/>
        </w:rPr>
        <w:t xml:space="preserve">would </w:t>
      </w:r>
      <w:r w:rsidR="00486DFA">
        <w:rPr>
          <w:sz w:val="22"/>
          <w:szCs w:val="22"/>
        </w:rPr>
        <w:t xml:space="preserve">wish to receive.  </w:t>
      </w:r>
    </w:p>
    <w:p w:rsidR="00B16C8D" w:rsidRPr="00521EC3" w:rsidRDefault="00521EC3">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8.</w:t>
      </w:r>
      <w:r>
        <w:rPr>
          <w:rFonts w:eastAsia="Times New Roman"/>
          <w:b/>
          <w:sz w:val="22"/>
        </w:rPr>
        <w:tab/>
        <w:t>a.</w:t>
      </w:r>
      <w:r>
        <w:rPr>
          <w:rFonts w:eastAsia="Times New Roman"/>
          <w:b/>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16C8D" w:rsidRDefault="00B16C8D">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outlineLvl w:val="0"/>
        <w:rPr>
          <w:rFonts w:eastAsia="ヒラギノ角ゴ Pro W3"/>
          <w:b/>
          <w:color w:val="000000"/>
          <w:sz w:val="22"/>
        </w:rPr>
      </w:pPr>
    </w:p>
    <w:p w:rsidR="0080267A" w:rsidRDefault="00B16C8D" w:rsidP="00AA432A">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rFonts w:eastAsia="ヒラギノ角ゴ Pro W3"/>
          <w:color w:val="000000"/>
          <w:sz w:val="22"/>
        </w:rPr>
      </w:pPr>
      <w:r>
        <w:rPr>
          <w:color w:val="000000"/>
          <w:sz w:val="22"/>
        </w:rPr>
        <w:tab/>
      </w:r>
      <w:r w:rsidR="0080267A">
        <w:rPr>
          <w:color w:val="000000"/>
          <w:sz w:val="22"/>
        </w:rPr>
        <w:t xml:space="preserve"> </w:t>
      </w:r>
      <w:r w:rsidR="00AA432A" w:rsidRPr="00AA432A">
        <w:rPr>
          <w:color w:val="000000"/>
          <w:sz w:val="22"/>
        </w:rPr>
        <w:t xml:space="preserve">The notice of Proposed Information Collection Activity was published in the Federal Register on August </w:t>
      </w:r>
      <w:r w:rsidR="00AA432A">
        <w:rPr>
          <w:color w:val="000000"/>
          <w:sz w:val="22"/>
        </w:rPr>
        <w:t>8</w:t>
      </w:r>
      <w:r w:rsidR="00AA432A" w:rsidRPr="00AA432A">
        <w:rPr>
          <w:color w:val="000000"/>
          <w:sz w:val="22"/>
        </w:rPr>
        <w:t xml:space="preserve">, 2017 Volume 82 FR </w:t>
      </w:r>
      <w:r w:rsidR="00AA432A">
        <w:rPr>
          <w:color w:val="000000"/>
          <w:sz w:val="22"/>
        </w:rPr>
        <w:t>37167</w:t>
      </w:r>
      <w:r w:rsidR="00AA432A" w:rsidRPr="00AA432A">
        <w:rPr>
          <w:color w:val="000000"/>
          <w:sz w:val="22"/>
        </w:rPr>
        <w:t xml:space="preserve">, page </w:t>
      </w:r>
      <w:r w:rsidR="00AA432A">
        <w:rPr>
          <w:color w:val="000000"/>
          <w:sz w:val="22"/>
        </w:rPr>
        <w:t>37167</w:t>
      </w:r>
      <w:r w:rsidR="00AA432A" w:rsidRPr="00AA432A">
        <w:rPr>
          <w:color w:val="000000"/>
          <w:sz w:val="22"/>
        </w:rPr>
        <w:t>.</w:t>
      </w:r>
    </w:p>
    <w:p w:rsidR="00B16C8D" w:rsidRDefault="00B16C8D">
      <w:pPr>
        <w:pStyle w:val="Body1"/>
        <w:tabs>
          <w:tab w:val="left" w:pos="547"/>
          <w:tab w:val="left" w:pos="1080"/>
          <w:tab w:val="left" w:pos="1627"/>
          <w:tab w:val="left" w:pos="2160"/>
          <w:tab w:val="left" w:pos="28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Helvetica" w:hAnsi="Helvetica"/>
          <w:sz w:val="22"/>
        </w:rPr>
        <w:tab/>
      </w:r>
      <w:r>
        <w:rPr>
          <w:rFonts w:eastAsia="Times New Roman"/>
          <w:b/>
          <w:sz w:val="22"/>
        </w:rPr>
        <w:t>b.</w:t>
      </w:r>
      <w:r>
        <w:rPr>
          <w:rFonts w:eastAsia="Times New Roman"/>
          <w:b/>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ab/>
        <w:t xml:space="preserve">All of the 50 U.S. States have statutes that acknowledge patients’ rights to express their wishes with regard to future health care in an advance directive.  </w:t>
      </w:r>
      <w:r w:rsidR="00B83E6D">
        <w:rPr>
          <w:rFonts w:eastAsia="Times New Roman"/>
          <w:sz w:val="22"/>
        </w:rPr>
        <w:t xml:space="preserve">Many </w:t>
      </w:r>
      <w:r>
        <w:rPr>
          <w:rFonts w:eastAsia="Times New Roman"/>
          <w:sz w:val="22"/>
        </w:rPr>
        <w:t>provide specific forms for these purposes.  Examples from several States were used as resource material together with extensive consultation with VA General Counsel, providers</w:t>
      </w:r>
      <w:r w:rsidR="00D101B4">
        <w:rPr>
          <w:rFonts w:eastAsia="Times New Roman"/>
          <w:sz w:val="22"/>
        </w:rPr>
        <w:t>,</w:t>
      </w:r>
      <w:r>
        <w:rPr>
          <w:rFonts w:eastAsia="Times New Roman"/>
          <w:sz w:val="22"/>
        </w:rPr>
        <w:t xml:space="preserve"> and patients to develop the VA form which is available across the national VA health care system for use by veterans.  The language of the form </w:t>
      </w:r>
      <w:r w:rsidR="00C0798D">
        <w:rPr>
          <w:rFonts w:eastAsia="Times New Roman"/>
          <w:sz w:val="22"/>
        </w:rPr>
        <w:t>reflects</w:t>
      </w:r>
      <w:r>
        <w:rPr>
          <w:rFonts w:eastAsia="Times New Roman"/>
          <w:sz w:val="22"/>
        </w:rPr>
        <w:t xml:space="preserve"> 6</w:t>
      </w:r>
      <w:r>
        <w:rPr>
          <w:rFonts w:eastAsia="Times New Roman"/>
          <w:sz w:val="22"/>
          <w:vertAlign w:val="superscript"/>
        </w:rPr>
        <w:t>th</w:t>
      </w:r>
      <w:r>
        <w:rPr>
          <w:rFonts w:eastAsia="Times New Roman"/>
          <w:sz w:val="22"/>
        </w:rPr>
        <w:t xml:space="preserve"> grade readability level.  </w:t>
      </w:r>
    </w:p>
    <w:p w:rsidR="00521EC3" w:rsidRDefault="00521EC3">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9</w:t>
      </w:r>
      <w:r>
        <w:rPr>
          <w:rFonts w:eastAsia="Times New Roman"/>
          <w:sz w:val="22"/>
        </w:rPr>
        <w:t>.</w:t>
      </w:r>
      <w:r>
        <w:rPr>
          <w:rFonts w:eastAsia="Times New Roman"/>
          <w:sz w:val="22"/>
        </w:rPr>
        <w:tab/>
      </w:r>
      <w:r>
        <w:rPr>
          <w:rFonts w:eastAsia="Times New Roman"/>
          <w:b/>
          <w:sz w:val="22"/>
        </w:rPr>
        <w:t>Explain any decision to provide any payment or gift to respondents, other than remuneration of contractors or grantees.</w:t>
      </w:r>
    </w:p>
    <w:p w:rsidR="00B16C8D" w:rsidRDefault="00B16C8D">
      <w:pPr>
        <w:tabs>
          <w:tab w:val="left" w:pos="540"/>
          <w:tab w:val="left" w:pos="1080"/>
          <w:tab w:val="left" w:pos="1620"/>
          <w:tab w:val="left" w:pos="2160"/>
          <w:tab w:val="left" w:pos="2700"/>
          <w:tab w:val="left" w:pos="3240"/>
          <w:tab w:val="left" w:pos="378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payment or gift is provided to respondents.</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Pr="00D101B4" w:rsidRDefault="00B16C8D">
      <w:pPr>
        <w:pStyle w:val="Body1"/>
        <w:tabs>
          <w:tab w:val="left" w:pos="547"/>
          <w:tab w:val="left" w:pos="1080"/>
          <w:tab w:val="left" w:pos="1627"/>
          <w:tab w:val="left" w:pos="2160"/>
          <w:tab w:val="left" w:pos="2880"/>
        </w:tabs>
        <w:rPr>
          <w:b/>
          <w:sz w:val="22"/>
          <w:szCs w:val="22"/>
        </w:rPr>
      </w:pPr>
      <w:r w:rsidRPr="00D101B4">
        <w:rPr>
          <w:rFonts w:eastAsia="Times New Roman"/>
          <w:b/>
          <w:sz w:val="22"/>
          <w:szCs w:val="22"/>
        </w:rPr>
        <w:t>10.</w:t>
      </w:r>
      <w:r w:rsidRPr="00D101B4">
        <w:rPr>
          <w:rFonts w:eastAsia="Times New Roman"/>
          <w:b/>
          <w:sz w:val="22"/>
          <w:szCs w:val="22"/>
        </w:rPr>
        <w:tab/>
        <w:t>Describe any assurance of privacy to the extent permitted by law provided to respondents and the basis for the assurance in statute, regulation, or agency policy.</w:t>
      </w:r>
    </w:p>
    <w:p w:rsidR="00B16C8D" w:rsidRDefault="00B16C8D">
      <w:pPr>
        <w:pStyle w:val="Body1"/>
        <w:tabs>
          <w:tab w:val="left" w:pos="540"/>
          <w:tab w:val="left" w:pos="1080"/>
          <w:tab w:val="left" w:pos="1620"/>
          <w:tab w:val="left" w:pos="2160"/>
          <w:tab w:val="left" w:pos="2700"/>
          <w:tab w:val="left" w:pos="3240"/>
          <w:tab w:val="left" w:pos="3780"/>
        </w:tabs>
        <w:rPr>
          <w:b/>
        </w:rPr>
      </w:pPr>
    </w:p>
    <w:p w:rsidR="00B16C8D" w:rsidRPr="00D101B4" w:rsidRDefault="00B16C8D">
      <w:pPr>
        <w:pStyle w:val="Body1"/>
        <w:tabs>
          <w:tab w:val="left" w:pos="540"/>
          <w:tab w:val="left" w:pos="1080"/>
          <w:tab w:val="left" w:pos="1620"/>
          <w:tab w:val="left" w:pos="2160"/>
          <w:tab w:val="left" w:pos="2700"/>
          <w:tab w:val="left" w:pos="3240"/>
          <w:tab w:val="left" w:pos="3780"/>
        </w:tabs>
        <w:rPr>
          <w:rFonts w:eastAsia="Times New Roman"/>
          <w:sz w:val="22"/>
          <w:szCs w:val="22"/>
        </w:rPr>
      </w:pPr>
      <w:r w:rsidRPr="00D101B4">
        <w:rPr>
          <w:rFonts w:eastAsia="Times New Roman"/>
          <w:sz w:val="22"/>
          <w:szCs w:val="22"/>
        </w:rPr>
        <w:tab/>
        <w:t xml:space="preserve">Respondents are informed that the information collected will become part of the patient’s Health Record which complies with the Privacy Act of 1974.  These forms are part of the system of records identified as 24VA19 “Patient Medical Record – VA” as set forth in the 2003 Compilation of Privacy Act Issuances via online GPO access at </w:t>
      </w:r>
      <w:hyperlink r:id="rId7" w:history="1">
        <w:r w:rsidRPr="00D101B4">
          <w:rPr>
            <w:rFonts w:eastAsia="Times New Roman"/>
            <w:color w:val="0000FF"/>
            <w:sz w:val="22"/>
            <w:szCs w:val="22"/>
            <w:u w:val="single"/>
          </w:rPr>
          <w:t>http://www.gpoaccess.gov/privacyact/2003.html</w:t>
        </w:r>
      </w:hyperlink>
      <w:r w:rsidRPr="00D101B4">
        <w:rPr>
          <w:rFonts w:eastAsia="Times New Roman"/>
          <w:sz w:val="22"/>
          <w:szCs w:val="22"/>
        </w:rPr>
        <w:t>.</w:t>
      </w:r>
      <w:r w:rsidR="008F3481" w:rsidRPr="00D101B4">
        <w:rPr>
          <w:rFonts w:eastAsia="Times New Roman"/>
          <w:sz w:val="22"/>
          <w:szCs w:val="22"/>
        </w:rPr>
        <w:t xml:space="preserve">  </w:t>
      </w:r>
    </w:p>
    <w:p w:rsidR="00936DF8" w:rsidRPr="00D101B4" w:rsidRDefault="00936DF8">
      <w:pPr>
        <w:pStyle w:val="Body1"/>
        <w:tabs>
          <w:tab w:val="left" w:pos="540"/>
          <w:tab w:val="left" w:pos="1080"/>
          <w:tab w:val="left" w:pos="1620"/>
          <w:tab w:val="left" w:pos="2160"/>
          <w:tab w:val="left" w:pos="2700"/>
          <w:tab w:val="left" w:pos="3240"/>
          <w:tab w:val="left" w:pos="3780"/>
        </w:tabs>
        <w:rPr>
          <w:rFonts w:eastAsia="Times New Roman"/>
          <w:sz w:val="22"/>
          <w:szCs w:val="22"/>
        </w:rPr>
      </w:pPr>
    </w:p>
    <w:p w:rsidR="002A3F69" w:rsidRPr="00D101B4" w:rsidRDefault="002A3F69" w:rsidP="00557929">
      <w:pPr>
        <w:pStyle w:val="Body1"/>
        <w:ind w:firstLine="720"/>
        <w:rPr>
          <w:color w:val="auto"/>
          <w:sz w:val="22"/>
          <w:szCs w:val="22"/>
        </w:rPr>
      </w:pPr>
      <w:r w:rsidRPr="00D101B4">
        <w:rPr>
          <w:color w:val="auto"/>
          <w:sz w:val="22"/>
          <w:szCs w:val="22"/>
        </w:rPr>
        <w:t>Consistent with Executive Branch directives to reduce or eliminate the collection and use of social security numbers (SSN) (e.g., OMB Memorandum 07-16, “Safeguarding Against and Responding to the Breach of Personally Identifiable Information</w:t>
      </w:r>
      <w:r w:rsidR="00E775B6">
        <w:rPr>
          <w:color w:val="auto"/>
          <w:sz w:val="22"/>
          <w:szCs w:val="22"/>
        </w:rPr>
        <w:t>;</w:t>
      </w:r>
      <w:r w:rsidRPr="00D101B4">
        <w:rPr>
          <w:color w:val="auto"/>
          <w:sz w:val="22"/>
          <w:szCs w:val="22"/>
        </w:rPr>
        <w:t xml:space="preserve">” The President’s Task Force on Identity Theft, “Combating Identify Theft: A Strategic Plan” (2007)), VA has determined that there is no compelling business need to collect the Veteran’s SSN on VA Form 10-0137. Accordingly, VA modified the form dated July 2012 </w:t>
      </w:r>
      <w:r w:rsidR="00E775B6">
        <w:rPr>
          <w:color w:val="auto"/>
          <w:sz w:val="22"/>
          <w:szCs w:val="22"/>
        </w:rPr>
        <w:t xml:space="preserve">by </w:t>
      </w:r>
      <w:r w:rsidRPr="00D101B4">
        <w:rPr>
          <w:color w:val="auto"/>
          <w:sz w:val="22"/>
          <w:szCs w:val="22"/>
        </w:rPr>
        <w:t>replacing the field label “SOCIAL SECURITY NUMBER” with the label: “LAST FOUR DIGITS OF SOCIAL SECURITY NUMBER.”</w:t>
      </w:r>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11.</w:t>
      </w:r>
      <w:r>
        <w:rPr>
          <w:b/>
          <w:color w:val="000000"/>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 xml:space="preserve">There are no specific questions of a sensitive nature.  However, some </w:t>
      </w:r>
      <w:r w:rsidR="00521EC3">
        <w:rPr>
          <w:rFonts w:eastAsia="Times New Roman"/>
          <w:sz w:val="22"/>
        </w:rPr>
        <w:t xml:space="preserve">people </w:t>
      </w:r>
      <w:r>
        <w:rPr>
          <w:rFonts w:eastAsia="Times New Roman"/>
          <w:sz w:val="22"/>
        </w:rPr>
        <w:t xml:space="preserve">consider the subject of advance health care planning and the use of advance directives to document a person’s wishes with respect to future health care to be a sensitive topic.  In respect for diversity, this form provides patients with the option of using open text space to state individualized preferences for care that are not listed elsewhere in the document; individualized preferences might be social, cultural, or faith-based preferences or </w:t>
      </w:r>
      <w:r w:rsidR="00E775B6">
        <w:rPr>
          <w:rFonts w:eastAsia="Times New Roman"/>
          <w:sz w:val="22"/>
        </w:rPr>
        <w:t xml:space="preserve">preferences regarding </w:t>
      </w:r>
      <w:r>
        <w:rPr>
          <w:rFonts w:eastAsia="Times New Roman"/>
          <w:sz w:val="22"/>
        </w:rPr>
        <w:t>specific treatments. Without this data collection patients would potentially be deprived of the opportunity to exercise autonomy in the determination of their health care.</w:t>
      </w:r>
    </w:p>
    <w:p w:rsidR="00B16C8D" w:rsidRDefault="00B16C8D">
      <w:pPr>
        <w:pStyle w:val="Body1"/>
        <w:tabs>
          <w:tab w:val="left" w:pos="-484"/>
          <w:tab w:val="left" w:pos="-484"/>
          <w:tab w:val="left" w:pos="-484"/>
          <w:tab w:val="left" w:pos="-484"/>
          <w:tab w:val="left" w:pos="-484"/>
          <w:tab w:val="left" w:pos="-484"/>
          <w:tab w:val="left" w:pos="-484"/>
        </w:tabs>
        <w:ind w:right="3744"/>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12.</w:t>
      </w:r>
      <w:r>
        <w:rPr>
          <w:rFonts w:eastAsia="Times New Roman"/>
          <w:b/>
          <w:sz w:val="22"/>
        </w:rPr>
        <w:tab/>
        <w:t>Estimate of the hour burden of the collection of information: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Pr="0080267A" w:rsidRDefault="00B16C8D">
      <w:pPr>
        <w:pStyle w:val="Body1"/>
        <w:tabs>
          <w:tab w:val="left" w:pos="540"/>
          <w:tab w:val="left" w:pos="1080"/>
          <w:tab w:val="left" w:pos="1620"/>
          <w:tab w:val="left" w:pos="2160"/>
          <w:tab w:val="left" w:pos="2700"/>
          <w:tab w:val="left" w:pos="3240"/>
          <w:tab w:val="left" w:pos="3780"/>
        </w:tabs>
        <w:rPr>
          <w:sz w:val="22"/>
          <w:szCs w:val="22"/>
        </w:rPr>
      </w:pPr>
      <w:r>
        <w:rPr>
          <w:rFonts w:eastAsia="Helvetica" w:hAnsi="Helvetica"/>
          <w:sz w:val="22"/>
        </w:rPr>
        <w:tab/>
      </w:r>
      <w:r w:rsidRPr="0080267A">
        <w:rPr>
          <w:rFonts w:eastAsia="Times New Roman"/>
          <w:sz w:val="22"/>
          <w:szCs w:val="22"/>
        </w:rPr>
        <w:t>We estimate a burden of 171,811 hours (343,622 respondents completing the form once annually x 30 minutes).  The number of forms is estimated based on facilities’ orders for forms plus downloading of the electronic form, with an estimated 10% overstocking.  The time estimated to complete the form is based on clinical experience.</w:t>
      </w:r>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ab/>
        <w:t>b.</w:t>
      </w:r>
      <w:r>
        <w:rPr>
          <w:rFonts w:eastAsia="Times New Roman"/>
          <w:b/>
          <w:sz w:val="22"/>
        </w:rPr>
        <w:tab/>
        <w:t>If this request for approval covers more than one form, provide separate hour burden estimates for each form and aggregate the hour burdens in Item 13 of OMB 83-I.</w:t>
      </w:r>
    </w:p>
    <w:p w:rsidR="00B16C8D" w:rsidRDefault="00B16C8D">
      <w:pPr>
        <w:tabs>
          <w:tab w:val="left" w:pos="540"/>
          <w:tab w:val="left" w:pos="1080"/>
          <w:tab w:val="left" w:pos="1620"/>
          <w:tab w:val="left" w:pos="2160"/>
          <w:tab w:val="left" w:pos="2700"/>
          <w:tab w:val="left" w:pos="324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r>
      <w:r>
        <w:rPr>
          <w:rFonts w:eastAsia="Times New Roman"/>
          <w:sz w:val="22"/>
        </w:rPr>
        <w:tab/>
        <w:t>This request covers only one form.</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tab/>
        <w:t>c.</w:t>
      </w:r>
      <w:r>
        <w:rPr>
          <w:rFonts w:eastAsia="Times New Roman"/>
          <w:b/>
          <w:sz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16C8D" w:rsidRDefault="00B16C8D">
      <w:pPr>
        <w:pStyle w:val="Body1"/>
        <w:tabs>
          <w:tab w:val="left" w:pos="540"/>
          <w:tab w:val="left" w:pos="1080"/>
          <w:tab w:val="left" w:pos="1620"/>
          <w:tab w:val="left" w:pos="2160"/>
          <w:tab w:val="left" w:pos="2700"/>
          <w:tab w:val="left" w:pos="3240"/>
        </w:tabs>
        <w:rPr>
          <w:b/>
          <w:sz w:val="22"/>
        </w:rPr>
      </w:pPr>
    </w:p>
    <w:p w:rsidR="00F76C8B" w:rsidRPr="00F76C8B" w:rsidRDefault="00F76C8B" w:rsidP="00F76C8B">
      <w:pPr>
        <w:pStyle w:val="Body1"/>
        <w:tabs>
          <w:tab w:val="left" w:pos="540"/>
          <w:tab w:val="left" w:pos="1080"/>
          <w:tab w:val="left" w:pos="1620"/>
          <w:tab w:val="left" w:pos="2160"/>
          <w:tab w:val="left" w:pos="2700"/>
          <w:tab w:val="left" w:pos="3240"/>
        </w:tabs>
        <w:rPr>
          <w:rFonts w:eastAsia="Helvetica" w:hAnsi="Helvetica"/>
          <w:sz w:val="22"/>
        </w:rPr>
      </w:pPr>
      <w:r w:rsidRPr="00F76C8B">
        <w:rPr>
          <w:rFonts w:eastAsia="Helvetica" w:hAnsi="Helvetica"/>
          <w:sz w:val="22"/>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w:t>
      </w:r>
      <w:r>
        <w:rPr>
          <w:rFonts w:eastAsia="Helvetica" w:hAnsi="Helvetica"/>
          <w:sz w:val="22"/>
        </w:rPr>
        <w:t>4,100,985.22</w:t>
      </w:r>
      <w:r w:rsidRPr="00F76C8B">
        <w:rPr>
          <w:rFonts w:eastAsia="Helvetica" w:hAnsi="Helvetica"/>
          <w:sz w:val="22"/>
        </w:rPr>
        <w:t xml:space="preserve"> (</w:t>
      </w:r>
      <w:r>
        <w:rPr>
          <w:rFonts w:eastAsia="Helvetica" w:hAnsi="Helvetica"/>
          <w:sz w:val="22"/>
        </w:rPr>
        <w:t>171,811</w:t>
      </w:r>
      <w:r w:rsidRPr="00F76C8B">
        <w:rPr>
          <w:rFonts w:eastAsia="Helvetica" w:hAnsi="Helvetica"/>
          <w:sz w:val="22"/>
        </w:rPr>
        <w:t xml:space="preserve"> burden hours x $23.86 per hour).</w:t>
      </w:r>
    </w:p>
    <w:p w:rsidR="00F76C8B" w:rsidRPr="00F76C8B" w:rsidRDefault="00F76C8B" w:rsidP="00F76C8B">
      <w:pPr>
        <w:pStyle w:val="Body1"/>
        <w:tabs>
          <w:tab w:val="left" w:pos="540"/>
          <w:tab w:val="left" w:pos="1080"/>
          <w:tab w:val="left" w:pos="1620"/>
          <w:tab w:val="left" w:pos="2160"/>
          <w:tab w:val="left" w:pos="2700"/>
          <w:tab w:val="left" w:pos="3240"/>
        </w:tabs>
        <w:rPr>
          <w:rFonts w:eastAsia="Helvetica" w:hAnsi="Helvetica"/>
          <w:sz w:val="22"/>
        </w:rPr>
      </w:pPr>
    </w:p>
    <w:p w:rsidR="00F76C8B" w:rsidRPr="00F76C8B" w:rsidRDefault="00F76C8B" w:rsidP="00F76C8B">
      <w:pPr>
        <w:pStyle w:val="Body1"/>
        <w:tabs>
          <w:tab w:val="left" w:pos="540"/>
          <w:tab w:val="left" w:pos="1080"/>
          <w:tab w:val="left" w:pos="1620"/>
          <w:tab w:val="left" w:pos="2160"/>
          <w:tab w:val="left" w:pos="2700"/>
          <w:tab w:val="left" w:pos="3240"/>
        </w:tabs>
        <w:rPr>
          <w:rFonts w:eastAsia="Helvetica" w:hAnsi="Helvetica"/>
          <w:sz w:val="22"/>
        </w:rPr>
      </w:pPr>
      <w:r w:rsidRPr="00F76C8B">
        <w:rPr>
          <w:rFonts w:eastAsia="Helvetica" w:hAnsi="Helvetica"/>
          <w:sz w:val="22"/>
        </w:rPr>
        <w:t>May 2016 National Occupational Employment and Wage Estimates United States:</w:t>
      </w:r>
    </w:p>
    <w:p w:rsidR="00F76C8B" w:rsidRDefault="0079372F" w:rsidP="009936C0">
      <w:pPr>
        <w:pStyle w:val="Body1"/>
        <w:tabs>
          <w:tab w:val="left" w:pos="540"/>
          <w:tab w:val="left" w:pos="1080"/>
          <w:tab w:val="left" w:pos="1620"/>
          <w:tab w:val="left" w:pos="2160"/>
          <w:tab w:val="left" w:pos="2700"/>
          <w:tab w:val="left" w:pos="3240"/>
        </w:tabs>
        <w:rPr>
          <w:rFonts w:eastAsia="Helvetica" w:hAnsi="Helvetica"/>
          <w:sz w:val="22"/>
        </w:rPr>
      </w:pPr>
      <w:hyperlink r:id="rId8" w:anchor="00-0000" w:history="1">
        <w:r w:rsidR="00F76C8B" w:rsidRPr="00666FDD">
          <w:rPr>
            <w:rStyle w:val="Hyperlink"/>
            <w:rFonts w:eastAsia="Helvetica" w:hAnsi="Helvetica"/>
            <w:sz w:val="22"/>
          </w:rPr>
          <w:t>https://www.bls.gov/oes/current/oes_nat.htm#00-0000</w:t>
        </w:r>
      </w:hyperlink>
    </w:p>
    <w:p w:rsidR="008F3481" w:rsidRDefault="00B16C8D">
      <w:pPr>
        <w:pStyle w:val="Body1"/>
        <w:tabs>
          <w:tab w:val="left" w:pos="540"/>
          <w:tab w:val="left" w:pos="1080"/>
          <w:tab w:val="left" w:pos="1620"/>
          <w:tab w:val="left" w:pos="2160"/>
          <w:tab w:val="left" w:pos="2700"/>
          <w:tab w:val="left" w:pos="3240"/>
        </w:tabs>
      </w:pPr>
      <w:r>
        <w:rPr>
          <w:rFonts w:eastAsia="Helvetica" w:hAnsi="Helvetica"/>
          <w:sz w:val="22"/>
        </w:rPr>
        <w:tab/>
      </w:r>
      <w:r>
        <w:rPr>
          <w:rFonts w:eastAsia="Helvetica" w:hAnsi="Helvetica"/>
          <w:sz w:val="22"/>
        </w:rPr>
        <w:tab/>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13.</w:t>
      </w:r>
      <w:r>
        <w:rPr>
          <w:b/>
          <w:color w:val="000000"/>
          <w:sz w:val="22"/>
        </w:rPr>
        <w:tab/>
        <w:t>Provide an estimate of the total</w:t>
      </w:r>
      <w:r w:rsidR="00D101B4">
        <w:rPr>
          <w:b/>
          <w:color w:val="000000"/>
          <w:sz w:val="22"/>
        </w:rPr>
        <w:t xml:space="preserve"> annual </w:t>
      </w:r>
      <w:r>
        <w:rPr>
          <w:b/>
          <w:color w:val="000000"/>
          <w:sz w:val="22"/>
        </w:rPr>
        <w:t>cost burden to respondents or record</w:t>
      </w:r>
      <w:r w:rsidR="00733C5A">
        <w:rPr>
          <w:b/>
          <w:color w:val="000000"/>
          <w:sz w:val="22"/>
        </w:rPr>
        <w:t xml:space="preserve"> </w:t>
      </w:r>
      <w:r>
        <w:rPr>
          <w:b/>
          <w:color w:val="000000"/>
          <w:sz w:val="22"/>
        </w:rPr>
        <w:t>keepers resulting from the collection of information.  (Do not include the cost of any hour burden shown in Items 12 and 14).</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a.</w:t>
      </w:r>
      <w:r>
        <w:rPr>
          <w:color w:val="000000"/>
          <w:sz w:val="22"/>
        </w:rPr>
        <w:tab/>
        <w:t>There are no capital, start-up, operation or maintenance costs.</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ind w:left="1080" w:hanging="1080"/>
        <w:outlineLvl w:val="0"/>
        <w:rPr>
          <w:rFonts w:eastAsia="ヒラギノ角ゴ Pro W3"/>
          <w:color w:val="000000"/>
          <w:sz w:val="22"/>
        </w:rPr>
      </w:pPr>
      <w:r>
        <w:rPr>
          <w:color w:val="000000"/>
          <w:sz w:val="22"/>
        </w:rPr>
        <w:tab/>
        <w:t>b.</w:t>
      </w:r>
      <w:r>
        <w:rPr>
          <w:color w:val="000000"/>
          <w:sz w:val="22"/>
        </w:rPr>
        <w:tab/>
        <w:t>Cost estimates are not expected to vary widely.  The only cost is that for the time of the respondent.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c.</w:t>
      </w:r>
      <w:r>
        <w:rPr>
          <w:color w:val="000000"/>
          <w:sz w:val="22"/>
        </w:rPr>
        <w:tab/>
        <w:t>There are no anticipated capital start-up cost components or requests to provide information.</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14.</w:t>
      </w:r>
      <w:r>
        <w:rPr>
          <w:b/>
          <w:color w:val="000000"/>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16C8D" w:rsidRDefault="00B16C8D">
      <w:pPr>
        <w:pStyle w:val="Body1"/>
        <w:tabs>
          <w:tab w:val="left" w:pos="540"/>
          <w:tab w:val="left" w:pos="1080"/>
          <w:tab w:val="left" w:pos="1620"/>
          <w:tab w:val="left" w:pos="2160"/>
          <w:tab w:val="left" w:pos="2700"/>
          <w:tab w:val="left" w:pos="3240"/>
        </w:tabs>
        <w:rPr>
          <w:sz w:val="22"/>
        </w:rPr>
      </w:pPr>
    </w:p>
    <w:p w:rsidR="00B16C8D" w:rsidRPr="0080267A" w:rsidRDefault="00B16C8D">
      <w:pPr>
        <w:pStyle w:val="Body1"/>
        <w:tabs>
          <w:tab w:val="left" w:pos="540"/>
          <w:tab w:val="left" w:pos="1080"/>
          <w:tab w:val="left" w:pos="1620"/>
          <w:tab w:val="left" w:pos="2160"/>
          <w:tab w:val="left" w:pos="2700"/>
          <w:tab w:val="left" w:pos="3240"/>
        </w:tabs>
        <w:rPr>
          <w:sz w:val="22"/>
          <w:szCs w:val="22"/>
        </w:rPr>
      </w:pPr>
      <w:r w:rsidRPr="0080267A">
        <w:rPr>
          <w:rFonts w:eastAsia="Times New Roman"/>
          <w:sz w:val="22"/>
          <w:szCs w:val="22"/>
        </w:rPr>
        <w:t>Cost to the Federal Government is estimated at $6,379,342.  This is based on the 30 minutes the health care provider (generally a nurse or social worker averaging $37.13 per hour) spends explaining the Advance Directive form to the patient (343,622 x 30 min @ $37.13/hr).</w:t>
      </w:r>
    </w:p>
    <w:p w:rsidR="00B16C8D" w:rsidRDefault="00B16C8D">
      <w:pPr>
        <w:pStyle w:val="Body1"/>
        <w:tabs>
          <w:tab w:val="left" w:pos="540"/>
          <w:tab w:val="left" w:pos="1080"/>
          <w:tab w:val="left" w:pos="1620"/>
          <w:tab w:val="left" w:pos="2160"/>
          <w:tab w:val="left" w:pos="2700"/>
          <w:tab w:val="left" w:pos="3240"/>
        </w:tabs>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t xml:space="preserve"> 15.</w:t>
      </w:r>
      <w:r>
        <w:rPr>
          <w:rFonts w:eastAsia="Times New Roman"/>
          <w:b/>
          <w:sz w:val="22"/>
        </w:rPr>
        <w:tab/>
        <w:t>Explain the reason for any program changes or adjustments reported in Items 13 or 14 of OMB 83-I</w:t>
      </w:r>
    </w:p>
    <w:p w:rsidR="00B16C8D" w:rsidRDefault="00B16C8D">
      <w:pPr>
        <w:pStyle w:val="Body1"/>
        <w:tabs>
          <w:tab w:val="left" w:pos="540"/>
          <w:tab w:val="left" w:pos="1080"/>
          <w:tab w:val="left" w:pos="1620"/>
          <w:tab w:val="left" w:pos="2160"/>
          <w:tab w:val="left" w:pos="2700"/>
          <w:tab w:val="left" w:pos="3240"/>
        </w:tabs>
        <w:rPr>
          <w:b/>
          <w:sz w:val="22"/>
        </w:rPr>
      </w:pPr>
    </w:p>
    <w:p w:rsidR="00B16C8D" w:rsidRPr="00E24C1C" w:rsidRDefault="00B16C8D">
      <w:pPr>
        <w:pStyle w:val="Body1"/>
        <w:tabs>
          <w:tab w:val="left" w:pos="540"/>
          <w:tab w:val="left" w:pos="1080"/>
          <w:tab w:val="left" w:pos="1620"/>
          <w:tab w:val="left" w:pos="2160"/>
          <w:tab w:val="left" w:pos="2700"/>
          <w:tab w:val="left" w:pos="3240"/>
        </w:tabs>
        <w:rPr>
          <w:rFonts w:eastAsia="Times New Roman"/>
          <w:sz w:val="22"/>
        </w:rPr>
      </w:pPr>
      <w:r>
        <w:rPr>
          <w:rFonts w:eastAsia="Times New Roman"/>
          <w:sz w:val="22"/>
        </w:rPr>
        <w:tab/>
      </w:r>
      <w:r w:rsidR="00666F15" w:rsidRPr="00E24C1C">
        <w:rPr>
          <w:rFonts w:eastAsia="Times New Roman"/>
          <w:sz w:val="22"/>
        </w:rPr>
        <w:t>A Spanish-English version of VA Form 10-0137 has been developed</w:t>
      </w:r>
      <w:r w:rsidR="00E775B6">
        <w:rPr>
          <w:rFonts w:eastAsia="Times New Roman"/>
          <w:sz w:val="22"/>
        </w:rPr>
        <w:t>, OMB-approved, and released</w:t>
      </w:r>
      <w:r w:rsidR="00666F15" w:rsidRPr="00E24C1C">
        <w:rPr>
          <w:rFonts w:eastAsia="Times New Roman"/>
          <w:sz w:val="22"/>
        </w:rPr>
        <w:t xml:space="preserve"> to meet the language needs of VA patients who have identified Spanish as their language preference.  This version is designated </w:t>
      </w:r>
      <w:r w:rsidR="00E775B6">
        <w:rPr>
          <w:rFonts w:eastAsia="Times New Roman"/>
          <w:sz w:val="22"/>
        </w:rPr>
        <w:t>“</w:t>
      </w:r>
      <w:r w:rsidR="00666F15" w:rsidRPr="00E24C1C">
        <w:rPr>
          <w:rFonts w:eastAsia="Times New Roman"/>
          <w:sz w:val="22"/>
        </w:rPr>
        <w:t>VA Form 10-0137 (Spanish-English).</w:t>
      </w:r>
      <w:r w:rsidR="00E775B6">
        <w:rPr>
          <w:rFonts w:eastAsia="Times New Roman"/>
          <w:sz w:val="22"/>
        </w:rPr>
        <w:t>”</w:t>
      </w:r>
      <w:r w:rsidR="00666F15" w:rsidRPr="00E24C1C">
        <w:rPr>
          <w:rFonts w:eastAsia="Times New Roman"/>
          <w:sz w:val="22"/>
        </w:rPr>
        <w:t xml:space="preserve">  It contain</w:t>
      </w:r>
      <w:r w:rsidR="00E775B6">
        <w:rPr>
          <w:rFonts w:eastAsia="Times New Roman"/>
          <w:sz w:val="22"/>
        </w:rPr>
        <w:t>s</w:t>
      </w:r>
      <w:r w:rsidR="00666F15" w:rsidRPr="00E24C1C">
        <w:rPr>
          <w:rFonts w:eastAsia="Times New Roman"/>
          <w:sz w:val="22"/>
        </w:rPr>
        <w:t xml:space="preserve"> the English language</w:t>
      </w:r>
      <w:r w:rsidR="00E775B6">
        <w:rPr>
          <w:rFonts w:eastAsia="Times New Roman"/>
          <w:sz w:val="22"/>
        </w:rPr>
        <w:t xml:space="preserve"> text</w:t>
      </w:r>
      <w:r w:rsidR="00666F15" w:rsidRPr="00E24C1C">
        <w:rPr>
          <w:rFonts w:eastAsia="Times New Roman"/>
          <w:sz w:val="22"/>
        </w:rPr>
        <w:t xml:space="preserve"> of the currently approved form, along with a concurrent Spanish language version, providing patient directions and documentation </w:t>
      </w:r>
      <w:r w:rsidR="00557929" w:rsidRPr="00E24C1C">
        <w:rPr>
          <w:rFonts w:eastAsia="Times New Roman"/>
          <w:sz w:val="22"/>
        </w:rPr>
        <w:t xml:space="preserve">of </w:t>
      </w:r>
      <w:r w:rsidR="00666F15" w:rsidRPr="00E24C1C">
        <w:rPr>
          <w:rFonts w:eastAsia="Times New Roman"/>
          <w:sz w:val="22"/>
        </w:rPr>
        <w:t>patient options in a bilingual format.</w:t>
      </w:r>
    </w:p>
    <w:p w:rsidR="00EB5D27" w:rsidRPr="00E24C1C" w:rsidRDefault="00EB5D27">
      <w:pPr>
        <w:pStyle w:val="Body1"/>
        <w:tabs>
          <w:tab w:val="left" w:pos="540"/>
          <w:tab w:val="left" w:pos="1080"/>
          <w:tab w:val="left" w:pos="1620"/>
          <w:tab w:val="left" w:pos="2160"/>
          <w:tab w:val="left" w:pos="2700"/>
          <w:tab w:val="left" w:pos="3240"/>
        </w:tabs>
        <w:rPr>
          <w:rFonts w:eastAsia="Times New Roman"/>
          <w:sz w:val="22"/>
        </w:rPr>
      </w:pPr>
    </w:p>
    <w:p w:rsidR="00EB5D27" w:rsidRDefault="00EB5D27">
      <w:pPr>
        <w:pStyle w:val="Body1"/>
        <w:tabs>
          <w:tab w:val="left" w:pos="540"/>
          <w:tab w:val="left" w:pos="1080"/>
          <w:tab w:val="left" w:pos="1620"/>
          <w:tab w:val="left" w:pos="2160"/>
          <w:tab w:val="left" w:pos="2700"/>
          <w:tab w:val="left" w:pos="3240"/>
        </w:tabs>
        <w:rPr>
          <w:sz w:val="22"/>
        </w:rPr>
      </w:pPr>
      <w:r w:rsidRPr="00E24C1C">
        <w:rPr>
          <w:rFonts w:eastAsia="Times New Roman"/>
          <w:sz w:val="22"/>
        </w:rPr>
        <w:t xml:space="preserve">In addition, VA Form 10-0137 has been revised to include </w:t>
      </w:r>
      <w:r w:rsidR="007565DB">
        <w:rPr>
          <w:rFonts w:eastAsia="Times New Roman"/>
          <w:sz w:val="22"/>
        </w:rPr>
        <w:t>updated</w:t>
      </w:r>
      <w:r w:rsidR="007565DB" w:rsidRPr="00E24C1C">
        <w:rPr>
          <w:rFonts w:eastAsia="Times New Roman"/>
          <w:sz w:val="22"/>
        </w:rPr>
        <w:t xml:space="preserve"> </w:t>
      </w:r>
      <w:r w:rsidRPr="00E24C1C">
        <w:rPr>
          <w:rFonts w:eastAsia="Times New Roman"/>
          <w:sz w:val="22"/>
        </w:rPr>
        <w:t>information on health care agents’ access to patients</w:t>
      </w:r>
      <w:r w:rsidR="005564AA" w:rsidRPr="00E24C1C">
        <w:rPr>
          <w:rFonts w:eastAsia="Times New Roman"/>
          <w:sz w:val="22"/>
        </w:rPr>
        <w:t>’</w:t>
      </w:r>
      <w:r w:rsidRPr="00E24C1C">
        <w:rPr>
          <w:rFonts w:eastAsia="Times New Roman"/>
          <w:sz w:val="22"/>
        </w:rPr>
        <w:t xml:space="preserve"> health information, including </w:t>
      </w:r>
      <w:r w:rsidR="005564AA" w:rsidRPr="00E24C1C">
        <w:rPr>
          <w:rFonts w:eastAsia="Times New Roman"/>
          <w:sz w:val="22"/>
        </w:rPr>
        <w:t>patients’ medical records.</w:t>
      </w:r>
      <w:r w:rsidR="005564AA">
        <w:rPr>
          <w:rFonts w:eastAsia="Times New Roman"/>
          <w:sz w:val="22"/>
        </w:rPr>
        <w:t xml:space="preserve">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16.</w:t>
      </w:r>
      <w:r>
        <w:rPr>
          <w:b/>
          <w:color w:val="000000"/>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There are no plans to publish the results of the information collected.</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17.</w:t>
      </w:r>
      <w:r>
        <w:rPr>
          <w:b/>
          <w:color w:val="000000"/>
          <w:sz w:val="22"/>
        </w:rPr>
        <w:tab/>
        <w:t xml:space="preserve">If seeking approval to omit the expiration date for OMB approval of the information collection, explain the reasons that display would be inappropriate.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 xml:space="preserve">We are not seeking approval to omit the expiration date for OMB approval.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18.</w:t>
      </w:r>
      <w:r>
        <w:rPr>
          <w:b/>
          <w:color w:val="000000"/>
          <w:sz w:val="22"/>
        </w:rPr>
        <w:tab/>
        <w:t>Explain each exception to the certification statement identified in Item 19, “Certification for Paperwork Reduction Act Submissions,” of OMB 83-I.</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There are no exceptions.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Heading21"/>
        <w:tabs>
          <w:tab w:val="clear" w:pos="2880"/>
          <w:tab w:val="clear" w:pos="3600"/>
          <w:tab w:val="clear" w:pos="4320"/>
          <w:tab w:val="clear" w:pos="5040"/>
          <w:tab w:val="clear" w:pos="5760"/>
          <w:tab w:val="clear" w:pos="6480"/>
          <w:tab w:val="clear" w:pos="7200"/>
          <w:tab w:val="clear" w:pos="7920"/>
          <w:tab w:val="clear" w:pos="8640"/>
          <w:tab w:val="left" w:pos="2700"/>
          <w:tab w:val="left" w:pos="3240"/>
        </w:tabs>
        <w:rPr>
          <w:sz w:val="22"/>
        </w:rPr>
      </w:pPr>
      <w:r>
        <w:rPr>
          <w:rFonts w:eastAsia="Times New Roman"/>
          <w:sz w:val="22"/>
        </w:rPr>
        <w:t>B.</w:t>
      </w:r>
      <w:r>
        <w:rPr>
          <w:rFonts w:eastAsia="Times New Roman"/>
          <w:sz w:val="22"/>
        </w:rPr>
        <w:tab/>
        <w:t>COLLECTIONS OF INFORMATION EMPLOYING STATISTICAL METHODS</w:t>
      </w:r>
    </w:p>
    <w:p w:rsidR="00B16C8D" w:rsidRDefault="00B16C8D">
      <w:pPr>
        <w:pStyle w:val="Body1"/>
        <w:tabs>
          <w:tab w:val="left" w:pos="540"/>
          <w:tab w:val="left" w:pos="1080"/>
          <w:tab w:val="left" w:pos="1620"/>
          <w:tab w:val="left" w:pos="2160"/>
          <w:tab w:val="left" w:pos="2700"/>
          <w:tab w:val="left" w:pos="3240"/>
        </w:tabs>
        <w:rPr>
          <w:sz w:val="22"/>
        </w:rPr>
      </w:pPr>
    </w:p>
    <w:p w:rsidR="00653A92" w:rsidRDefault="00B16C8D">
      <w:pPr>
        <w:pStyle w:val="Body1"/>
        <w:tabs>
          <w:tab w:val="left" w:pos="540"/>
          <w:tab w:val="left" w:pos="1080"/>
          <w:tab w:val="left" w:pos="1620"/>
          <w:tab w:val="left" w:pos="2160"/>
          <w:tab w:val="left" w:pos="2700"/>
          <w:tab w:val="left" w:pos="3240"/>
        </w:tabs>
        <w:rPr>
          <w:rFonts w:eastAsia="Times New Roman"/>
          <w:color w:val="auto"/>
          <w:sz w:val="20"/>
        </w:rPr>
      </w:pPr>
      <w:r>
        <w:rPr>
          <w:rFonts w:eastAsia="Times New Roman"/>
          <w:sz w:val="22"/>
        </w:rPr>
        <w:tab/>
        <w:t>No statistical methods are used in this data collection.</w:t>
      </w:r>
    </w:p>
    <w:sectPr w:rsidR="00653A92" w:rsidSect="00390373">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2B" w:rsidRDefault="00E2652B">
      <w:r>
        <w:separator/>
      </w:r>
    </w:p>
  </w:endnote>
  <w:endnote w:type="continuationSeparator" w:id="0">
    <w:p w:rsidR="00E2652B" w:rsidRDefault="00E2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7044DB">
      <w:rPr>
        <w:rFonts w:eastAsia="ヒラギノ角ゴ Pro W3"/>
        <w:b/>
        <w:color w:val="000000"/>
      </w:rPr>
      <w:fldChar w:fldCharType="begin"/>
    </w:r>
    <w:r>
      <w:rPr>
        <w:b/>
        <w:color w:val="000000"/>
      </w:rPr>
      <w:instrText xml:space="preserve"> PAGE </w:instrText>
    </w:r>
    <w:r w:rsidR="007044DB">
      <w:rPr>
        <w:rFonts w:eastAsia="ヒラギノ角ゴ Pro W3"/>
        <w:b/>
        <w:color w:val="000000"/>
      </w:rPr>
      <w:fldChar w:fldCharType="separate"/>
    </w:r>
    <w:r w:rsidR="0079372F">
      <w:rPr>
        <w:b/>
        <w:noProof/>
        <w:color w:val="000000"/>
      </w:rPr>
      <w:t>2</w:t>
    </w:r>
    <w:r w:rsidR="007044DB">
      <w:rPr>
        <w:rFonts w:eastAsia="ヒラギノ角ゴ Pro W3"/>
        <w:b/>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7044DB">
      <w:rPr>
        <w:rFonts w:eastAsia="ヒラギノ角ゴ Pro W3"/>
        <w:b/>
        <w:color w:val="000000"/>
      </w:rPr>
      <w:fldChar w:fldCharType="begin"/>
    </w:r>
    <w:r>
      <w:rPr>
        <w:b/>
        <w:color w:val="000000"/>
      </w:rPr>
      <w:instrText xml:space="preserve"> PAGE </w:instrText>
    </w:r>
    <w:r w:rsidR="007044DB">
      <w:rPr>
        <w:rFonts w:eastAsia="ヒラギノ角ゴ Pro W3"/>
        <w:b/>
        <w:color w:val="000000"/>
      </w:rPr>
      <w:fldChar w:fldCharType="separate"/>
    </w:r>
    <w:r w:rsidR="0079372F">
      <w:rPr>
        <w:b/>
        <w:noProof/>
        <w:color w:val="000000"/>
      </w:rPr>
      <w:t>1</w:t>
    </w:r>
    <w:r w:rsidR="007044DB">
      <w:rPr>
        <w:rFonts w:eastAsia="ヒラギノ角ゴ Pro W3"/>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2B" w:rsidRDefault="00E2652B">
      <w:r>
        <w:separator/>
      </w:r>
    </w:p>
  </w:footnote>
  <w:footnote w:type="continuationSeparator" w:id="0">
    <w:p w:rsidR="00E2652B" w:rsidRDefault="00E2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left" w:pos="450"/>
        <w:tab w:val="left" w:pos="900"/>
        <w:tab w:val="left" w:pos="1350"/>
        <w:tab w:val="left" w:pos="1800"/>
      </w:tabs>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w:t>
    </w:r>
  </w:p>
  <w:p w:rsidR="00B16C8D" w:rsidRDefault="008C3C1D">
    <w:pPr>
      <w:pStyle w:val="Body1"/>
      <w:tabs>
        <w:tab w:val="left" w:pos="450"/>
        <w:tab w:val="left" w:pos="900"/>
        <w:tab w:val="left" w:pos="1350"/>
        <w:tab w:val="left" w:pos="1800"/>
      </w:tabs>
      <w:jc w:val="center"/>
      <w:rPr>
        <w:b/>
        <w:sz w:val="22"/>
      </w:rPr>
    </w:pPr>
    <w:r>
      <w:rPr>
        <w:rFonts w:eastAsia="Times New Roman"/>
        <w:b/>
        <w:sz w:val="22"/>
      </w:rPr>
      <w:t>VA Form 10-0137, Advance</w:t>
    </w:r>
    <w:r w:rsidR="00B16C8D">
      <w:rPr>
        <w:rFonts w:eastAsia="Times New Roman"/>
        <w:b/>
        <w:sz w:val="22"/>
      </w:rPr>
      <w:t xml:space="preserve"> Directive:</w:t>
    </w:r>
  </w:p>
  <w:p w:rsidR="00B16C8D" w:rsidRDefault="00B16C8D">
    <w:pPr>
      <w:tabs>
        <w:tab w:val="center" w:pos="4320"/>
        <w:tab w:val="right" w:pos="8640"/>
      </w:tabs>
      <w:jc w:val="center"/>
      <w:outlineLvl w:val="0"/>
      <w:rPr>
        <w:rFonts w:eastAsia="ヒラギノ角ゴ Pro W3"/>
        <w:b/>
        <w:color w:val="000000"/>
        <w:sz w:val="22"/>
      </w:rPr>
    </w:pPr>
    <w:r>
      <w:rPr>
        <w:b/>
        <w:color w:val="000000"/>
        <w:sz w:val="22"/>
      </w:rPr>
      <w:t>Living Will and Durable Power of Attorney for Health 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A2"/>
    <w:rsid w:val="00067697"/>
    <w:rsid w:val="000C440A"/>
    <w:rsid w:val="000F69FA"/>
    <w:rsid w:val="00115011"/>
    <w:rsid w:val="00115240"/>
    <w:rsid w:val="001B3CC2"/>
    <w:rsid w:val="001B6D8B"/>
    <w:rsid w:val="002062F5"/>
    <w:rsid w:val="002110B4"/>
    <w:rsid w:val="002A3F69"/>
    <w:rsid w:val="002C0F64"/>
    <w:rsid w:val="0032416C"/>
    <w:rsid w:val="003406BD"/>
    <w:rsid w:val="00344551"/>
    <w:rsid w:val="00390373"/>
    <w:rsid w:val="00390738"/>
    <w:rsid w:val="00396E80"/>
    <w:rsid w:val="003F1BF7"/>
    <w:rsid w:val="00456902"/>
    <w:rsid w:val="00486DFA"/>
    <w:rsid w:val="004C771C"/>
    <w:rsid w:val="004F16D2"/>
    <w:rsid w:val="00521EC3"/>
    <w:rsid w:val="00554050"/>
    <w:rsid w:val="005564AA"/>
    <w:rsid w:val="00557929"/>
    <w:rsid w:val="00564783"/>
    <w:rsid w:val="005F37E0"/>
    <w:rsid w:val="0061149B"/>
    <w:rsid w:val="00653A92"/>
    <w:rsid w:val="00666F15"/>
    <w:rsid w:val="006868B2"/>
    <w:rsid w:val="006F1144"/>
    <w:rsid w:val="006F1466"/>
    <w:rsid w:val="006F6CA1"/>
    <w:rsid w:val="007044DB"/>
    <w:rsid w:val="00714E3B"/>
    <w:rsid w:val="00733C5A"/>
    <w:rsid w:val="00744D4D"/>
    <w:rsid w:val="007565DB"/>
    <w:rsid w:val="00764D5E"/>
    <w:rsid w:val="00770D3A"/>
    <w:rsid w:val="0079372F"/>
    <w:rsid w:val="007C5F26"/>
    <w:rsid w:val="007C6855"/>
    <w:rsid w:val="0080267A"/>
    <w:rsid w:val="00860CA3"/>
    <w:rsid w:val="008810A1"/>
    <w:rsid w:val="008822BE"/>
    <w:rsid w:val="008C3C1D"/>
    <w:rsid w:val="008E14EF"/>
    <w:rsid w:val="008F3481"/>
    <w:rsid w:val="008F3CE1"/>
    <w:rsid w:val="00910B30"/>
    <w:rsid w:val="00923830"/>
    <w:rsid w:val="00936DF8"/>
    <w:rsid w:val="00981B41"/>
    <w:rsid w:val="009936C0"/>
    <w:rsid w:val="009974DC"/>
    <w:rsid w:val="009A6343"/>
    <w:rsid w:val="00A36CDE"/>
    <w:rsid w:val="00A7023C"/>
    <w:rsid w:val="00AA432A"/>
    <w:rsid w:val="00AD4193"/>
    <w:rsid w:val="00AD7C7E"/>
    <w:rsid w:val="00AE059E"/>
    <w:rsid w:val="00B16C8D"/>
    <w:rsid w:val="00B63567"/>
    <w:rsid w:val="00B74868"/>
    <w:rsid w:val="00B83E6D"/>
    <w:rsid w:val="00BF2419"/>
    <w:rsid w:val="00C037F1"/>
    <w:rsid w:val="00C0798D"/>
    <w:rsid w:val="00C514C1"/>
    <w:rsid w:val="00CC2A39"/>
    <w:rsid w:val="00CE73A2"/>
    <w:rsid w:val="00D101B4"/>
    <w:rsid w:val="00D54899"/>
    <w:rsid w:val="00D73F5A"/>
    <w:rsid w:val="00D827F0"/>
    <w:rsid w:val="00DC520C"/>
    <w:rsid w:val="00DE28E1"/>
    <w:rsid w:val="00DF2F13"/>
    <w:rsid w:val="00E24C1C"/>
    <w:rsid w:val="00E2652B"/>
    <w:rsid w:val="00E30A65"/>
    <w:rsid w:val="00E775B6"/>
    <w:rsid w:val="00EB5D27"/>
    <w:rsid w:val="00ED0081"/>
    <w:rsid w:val="00F544C0"/>
    <w:rsid w:val="00F72DE7"/>
    <w:rsid w:val="00F76C8B"/>
    <w:rsid w:val="00FC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90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autoRedefine/>
    <w:qFormat/>
    <w:rsid w:val="0039037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 w:type="paragraph" w:customStyle="1" w:styleId="Body1">
    <w:name w:val="Body 1"/>
    <w:rsid w:val="00390373"/>
    <w:pPr>
      <w:outlineLvl w:val="0"/>
    </w:pPr>
    <w:rPr>
      <w:rFonts w:eastAsia="ヒラギノ角ゴ Pro W3"/>
      <w:color w:val="000000"/>
      <w:sz w:val="24"/>
    </w:rPr>
  </w:style>
  <w:style w:type="paragraph" w:styleId="BalloonText">
    <w:name w:val="Balloon Text"/>
    <w:basedOn w:val="Normal"/>
    <w:link w:val="BalloonTextChar"/>
    <w:locked/>
    <w:rsid w:val="00ED0081"/>
    <w:rPr>
      <w:rFonts w:ascii="Tahoma" w:hAnsi="Tahoma" w:cs="Tahoma"/>
      <w:sz w:val="16"/>
      <w:szCs w:val="16"/>
    </w:rPr>
  </w:style>
  <w:style w:type="character" w:customStyle="1" w:styleId="BalloonTextChar">
    <w:name w:val="Balloon Text Char"/>
    <w:basedOn w:val="DefaultParagraphFont"/>
    <w:link w:val="BalloonText"/>
    <w:rsid w:val="00ED0081"/>
    <w:rPr>
      <w:rFonts w:ascii="Tahoma" w:hAnsi="Tahoma" w:cs="Tahoma"/>
      <w:sz w:val="16"/>
      <w:szCs w:val="16"/>
    </w:rPr>
  </w:style>
  <w:style w:type="paragraph" w:styleId="Header">
    <w:name w:val="header"/>
    <w:basedOn w:val="Normal"/>
    <w:link w:val="HeaderChar"/>
    <w:locked/>
    <w:rsid w:val="003F1BF7"/>
    <w:pPr>
      <w:tabs>
        <w:tab w:val="center" w:pos="4680"/>
        <w:tab w:val="right" w:pos="9360"/>
      </w:tabs>
    </w:pPr>
  </w:style>
  <w:style w:type="character" w:customStyle="1" w:styleId="HeaderChar">
    <w:name w:val="Header Char"/>
    <w:basedOn w:val="DefaultParagraphFont"/>
    <w:link w:val="Header"/>
    <w:rsid w:val="003F1BF7"/>
    <w:rPr>
      <w:sz w:val="24"/>
      <w:szCs w:val="24"/>
    </w:rPr>
  </w:style>
  <w:style w:type="paragraph" w:styleId="Footer">
    <w:name w:val="footer"/>
    <w:basedOn w:val="Normal"/>
    <w:link w:val="FooterChar"/>
    <w:locked/>
    <w:rsid w:val="003F1BF7"/>
    <w:pPr>
      <w:tabs>
        <w:tab w:val="center" w:pos="4680"/>
        <w:tab w:val="right" w:pos="9360"/>
      </w:tabs>
    </w:pPr>
  </w:style>
  <w:style w:type="character" w:customStyle="1" w:styleId="FooterChar">
    <w:name w:val="Footer Char"/>
    <w:basedOn w:val="DefaultParagraphFont"/>
    <w:link w:val="Footer"/>
    <w:rsid w:val="003F1BF7"/>
    <w:rPr>
      <w:sz w:val="24"/>
      <w:szCs w:val="24"/>
    </w:rPr>
  </w:style>
  <w:style w:type="character" w:styleId="CommentReference">
    <w:name w:val="annotation reference"/>
    <w:basedOn w:val="DefaultParagraphFont"/>
    <w:locked/>
    <w:rsid w:val="008F3CE1"/>
    <w:rPr>
      <w:sz w:val="16"/>
      <w:szCs w:val="16"/>
    </w:rPr>
  </w:style>
  <w:style w:type="paragraph" w:styleId="CommentText">
    <w:name w:val="annotation text"/>
    <w:basedOn w:val="Normal"/>
    <w:link w:val="CommentTextChar"/>
    <w:locked/>
    <w:rsid w:val="008F3CE1"/>
    <w:rPr>
      <w:sz w:val="20"/>
      <w:szCs w:val="20"/>
    </w:rPr>
  </w:style>
  <w:style w:type="character" w:customStyle="1" w:styleId="CommentTextChar">
    <w:name w:val="Comment Text Char"/>
    <w:basedOn w:val="DefaultParagraphFont"/>
    <w:link w:val="CommentText"/>
    <w:rsid w:val="008F3CE1"/>
  </w:style>
  <w:style w:type="paragraph" w:styleId="CommentSubject">
    <w:name w:val="annotation subject"/>
    <w:basedOn w:val="CommentText"/>
    <w:next w:val="CommentText"/>
    <w:link w:val="CommentSubjectChar"/>
    <w:locked/>
    <w:rsid w:val="008F3CE1"/>
    <w:rPr>
      <w:b/>
      <w:bCs/>
    </w:rPr>
  </w:style>
  <w:style w:type="character" w:customStyle="1" w:styleId="CommentSubjectChar">
    <w:name w:val="Comment Subject Char"/>
    <w:basedOn w:val="CommentTextChar"/>
    <w:link w:val="CommentSubject"/>
    <w:rsid w:val="008F3CE1"/>
    <w:rPr>
      <w:b/>
      <w:bCs/>
    </w:rPr>
  </w:style>
  <w:style w:type="paragraph" w:styleId="Revision">
    <w:name w:val="Revision"/>
    <w:hidden/>
    <w:uiPriority w:val="99"/>
    <w:semiHidden/>
    <w:rsid w:val="00F72DE7"/>
    <w:rPr>
      <w:sz w:val="24"/>
      <w:szCs w:val="24"/>
    </w:rPr>
  </w:style>
  <w:style w:type="character" w:styleId="Hyperlink">
    <w:name w:val="Hyperlink"/>
    <w:basedOn w:val="DefaultParagraphFont"/>
    <w:locked/>
    <w:rsid w:val="009936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90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autoRedefine/>
    <w:qFormat/>
    <w:rsid w:val="0039037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 w:type="paragraph" w:customStyle="1" w:styleId="Body1">
    <w:name w:val="Body 1"/>
    <w:rsid w:val="00390373"/>
    <w:pPr>
      <w:outlineLvl w:val="0"/>
    </w:pPr>
    <w:rPr>
      <w:rFonts w:eastAsia="ヒラギノ角ゴ Pro W3"/>
      <w:color w:val="000000"/>
      <w:sz w:val="24"/>
    </w:rPr>
  </w:style>
  <w:style w:type="paragraph" w:styleId="BalloonText">
    <w:name w:val="Balloon Text"/>
    <w:basedOn w:val="Normal"/>
    <w:link w:val="BalloonTextChar"/>
    <w:locked/>
    <w:rsid w:val="00ED0081"/>
    <w:rPr>
      <w:rFonts w:ascii="Tahoma" w:hAnsi="Tahoma" w:cs="Tahoma"/>
      <w:sz w:val="16"/>
      <w:szCs w:val="16"/>
    </w:rPr>
  </w:style>
  <w:style w:type="character" w:customStyle="1" w:styleId="BalloonTextChar">
    <w:name w:val="Balloon Text Char"/>
    <w:basedOn w:val="DefaultParagraphFont"/>
    <w:link w:val="BalloonText"/>
    <w:rsid w:val="00ED0081"/>
    <w:rPr>
      <w:rFonts w:ascii="Tahoma" w:hAnsi="Tahoma" w:cs="Tahoma"/>
      <w:sz w:val="16"/>
      <w:szCs w:val="16"/>
    </w:rPr>
  </w:style>
  <w:style w:type="paragraph" w:styleId="Header">
    <w:name w:val="header"/>
    <w:basedOn w:val="Normal"/>
    <w:link w:val="HeaderChar"/>
    <w:locked/>
    <w:rsid w:val="003F1BF7"/>
    <w:pPr>
      <w:tabs>
        <w:tab w:val="center" w:pos="4680"/>
        <w:tab w:val="right" w:pos="9360"/>
      </w:tabs>
    </w:pPr>
  </w:style>
  <w:style w:type="character" w:customStyle="1" w:styleId="HeaderChar">
    <w:name w:val="Header Char"/>
    <w:basedOn w:val="DefaultParagraphFont"/>
    <w:link w:val="Header"/>
    <w:rsid w:val="003F1BF7"/>
    <w:rPr>
      <w:sz w:val="24"/>
      <w:szCs w:val="24"/>
    </w:rPr>
  </w:style>
  <w:style w:type="paragraph" w:styleId="Footer">
    <w:name w:val="footer"/>
    <w:basedOn w:val="Normal"/>
    <w:link w:val="FooterChar"/>
    <w:locked/>
    <w:rsid w:val="003F1BF7"/>
    <w:pPr>
      <w:tabs>
        <w:tab w:val="center" w:pos="4680"/>
        <w:tab w:val="right" w:pos="9360"/>
      </w:tabs>
    </w:pPr>
  </w:style>
  <w:style w:type="character" w:customStyle="1" w:styleId="FooterChar">
    <w:name w:val="Footer Char"/>
    <w:basedOn w:val="DefaultParagraphFont"/>
    <w:link w:val="Footer"/>
    <w:rsid w:val="003F1BF7"/>
    <w:rPr>
      <w:sz w:val="24"/>
      <w:szCs w:val="24"/>
    </w:rPr>
  </w:style>
  <w:style w:type="character" w:styleId="CommentReference">
    <w:name w:val="annotation reference"/>
    <w:basedOn w:val="DefaultParagraphFont"/>
    <w:locked/>
    <w:rsid w:val="008F3CE1"/>
    <w:rPr>
      <w:sz w:val="16"/>
      <w:szCs w:val="16"/>
    </w:rPr>
  </w:style>
  <w:style w:type="paragraph" w:styleId="CommentText">
    <w:name w:val="annotation text"/>
    <w:basedOn w:val="Normal"/>
    <w:link w:val="CommentTextChar"/>
    <w:locked/>
    <w:rsid w:val="008F3CE1"/>
    <w:rPr>
      <w:sz w:val="20"/>
      <w:szCs w:val="20"/>
    </w:rPr>
  </w:style>
  <w:style w:type="character" w:customStyle="1" w:styleId="CommentTextChar">
    <w:name w:val="Comment Text Char"/>
    <w:basedOn w:val="DefaultParagraphFont"/>
    <w:link w:val="CommentText"/>
    <w:rsid w:val="008F3CE1"/>
  </w:style>
  <w:style w:type="paragraph" w:styleId="CommentSubject">
    <w:name w:val="annotation subject"/>
    <w:basedOn w:val="CommentText"/>
    <w:next w:val="CommentText"/>
    <w:link w:val="CommentSubjectChar"/>
    <w:locked/>
    <w:rsid w:val="008F3CE1"/>
    <w:rPr>
      <w:b/>
      <w:bCs/>
    </w:rPr>
  </w:style>
  <w:style w:type="character" w:customStyle="1" w:styleId="CommentSubjectChar">
    <w:name w:val="Comment Subject Char"/>
    <w:basedOn w:val="CommentTextChar"/>
    <w:link w:val="CommentSubject"/>
    <w:rsid w:val="008F3CE1"/>
    <w:rPr>
      <w:b/>
      <w:bCs/>
    </w:rPr>
  </w:style>
  <w:style w:type="paragraph" w:styleId="Revision">
    <w:name w:val="Revision"/>
    <w:hidden/>
    <w:uiPriority w:val="99"/>
    <w:semiHidden/>
    <w:rsid w:val="00F72DE7"/>
    <w:rPr>
      <w:sz w:val="24"/>
      <w:szCs w:val="24"/>
    </w:rPr>
  </w:style>
  <w:style w:type="character" w:styleId="Hyperlink">
    <w:name w:val="Hyperlink"/>
    <w:basedOn w:val="DefaultParagraphFont"/>
    <w:locked/>
    <w:rsid w:val="009936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893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access.gov/privacyact/2003.html"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16565</CharactersWithSpaces>
  <SharedDoc>false</SharedDoc>
  <HLinks>
    <vt:vector size="6" baseType="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vhacohanss</dc:creator>
  <cp:lastModifiedBy>SYSTEM</cp:lastModifiedBy>
  <cp:revision>2</cp:revision>
  <dcterms:created xsi:type="dcterms:W3CDTF">2017-08-23T19:10:00Z</dcterms:created>
  <dcterms:modified xsi:type="dcterms:W3CDTF">2017-08-23T19:10:00Z</dcterms:modified>
</cp:coreProperties>
</file>