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Default="00711C0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FAC14C" wp14:editId="3ED67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A9C0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51F22">
        <w:br/>
        <w:t>Request of NSF</w:t>
      </w:r>
      <w:r w:rsidR="007816FC">
        <w:t xml:space="preserve"> </w:t>
      </w:r>
      <w:r w:rsidR="007816FC">
        <w:rPr>
          <w:rFonts w:cs="Arial"/>
          <w:color w:val="333333"/>
          <w:lang w:val="en"/>
        </w:rPr>
        <w:t xml:space="preserve">Inclusion across the Nation of Communities of Learners of Underrepresented Discoverers in Engineering and Science </w:t>
      </w:r>
      <w:r w:rsidR="007816FC">
        <w:rPr>
          <w:rFonts w:cs="Arial"/>
          <w:color w:val="333333"/>
          <w:lang w:val="en"/>
        </w:rPr>
        <w:t>(NSF</w:t>
      </w:r>
      <w:r w:rsidR="00251F22">
        <w:t xml:space="preserve"> INCLUDES</w:t>
      </w:r>
      <w:r w:rsidR="007816FC">
        <w:t>)</w:t>
      </w:r>
      <w:r w:rsidR="00251F22">
        <w:t xml:space="preserve"> Evaluation Plans and Reports</w:t>
      </w:r>
    </w:p>
    <w:p w:rsidR="001A2E84" w:rsidRPr="009239AA" w:rsidRDefault="00807D7A" w:rsidP="00434E33">
      <w:pPr>
        <w:rPr>
          <w:b/>
        </w:rPr>
      </w:pPr>
      <w:r>
        <w:t xml:space="preserve">Registration and Satisfaction </w:t>
      </w:r>
      <w:r w:rsidR="001A2E84">
        <w:t>Surveys of Participants of Technical Assistance Events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15956" w:rsidRDefault="00251F22">
      <w:r>
        <w:t>W</w:t>
      </w:r>
      <w:r w:rsidRPr="00251F22">
        <w:t>e will use evaluation plans and reports diagnostically to determine program improvement needs, not for evaluation or publication purposes</w:t>
      </w:r>
    </w:p>
    <w:p w:rsidR="001A2E84" w:rsidRDefault="001A2E84">
      <w:bookmarkStart w:id="0" w:name="_GoBack"/>
      <w:bookmarkEnd w:id="0"/>
    </w:p>
    <w:p w:rsidR="001A2E84" w:rsidRDefault="001A2E84">
      <w:r>
        <w:t xml:space="preserve">In order to inform course corrections and improvements in services, we will survey participants of Technical Assistance Webinars and other events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B5607F">
      <w:r>
        <w:t>For Evaluation Plans and Reports</w:t>
      </w:r>
      <w:r w:rsidR="002D2E79">
        <w:t xml:space="preserve">: </w:t>
      </w:r>
      <w:r>
        <w:t xml:space="preserve">Project-level external evaluators </w:t>
      </w:r>
      <w:r w:rsidR="00251F22">
        <w:t xml:space="preserve">for the </w:t>
      </w:r>
      <w:r w:rsidR="008D4F2C">
        <w:t xml:space="preserve">70 </w:t>
      </w:r>
      <w:r w:rsidR="00251F22">
        <w:t xml:space="preserve">NSF INCLUDES </w:t>
      </w:r>
      <w:r w:rsidR="00D12677">
        <w:t xml:space="preserve">Design and Development </w:t>
      </w:r>
      <w:r w:rsidR="00251F22">
        <w:t>Launch Pilots</w:t>
      </w:r>
      <w:r w:rsidR="00D12677">
        <w:t xml:space="preserve"> (DDLPs)</w:t>
      </w:r>
    </w:p>
    <w:p w:rsidR="001A2E84" w:rsidRDefault="001A2E84"/>
    <w:p w:rsidR="001A2E84" w:rsidRDefault="002D2E79">
      <w:r>
        <w:t xml:space="preserve">For </w:t>
      </w:r>
      <w:r w:rsidR="00F66761">
        <w:t xml:space="preserve">webinar </w:t>
      </w:r>
      <w:r w:rsidR="001A2E84">
        <w:t>and other TA event participants</w:t>
      </w:r>
      <w:r>
        <w:t>:</w:t>
      </w:r>
      <w:r w:rsidR="001A2E84">
        <w:t xml:space="preserve"> P</w:t>
      </w:r>
      <w:r>
        <w:t xml:space="preserve">rincipal </w:t>
      </w:r>
      <w:r w:rsidR="001A2E84">
        <w:t>I</w:t>
      </w:r>
      <w:r>
        <w:t>nvestigator</w:t>
      </w:r>
      <w:r w:rsidR="001A2E84">
        <w:t xml:space="preserve">s, </w:t>
      </w:r>
      <w:r w:rsidR="00E178B2">
        <w:t xml:space="preserve">project </w:t>
      </w:r>
      <w:r w:rsidR="001A2E84">
        <w:t xml:space="preserve">staff and </w:t>
      </w:r>
      <w:r>
        <w:t xml:space="preserve">project-level external </w:t>
      </w:r>
      <w:r w:rsidR="001A2E84">
        <w:t xml:space="preserve">evaluators of the </w:t>
      </w:r>
      <w:r w:rsidR="008D4F2C">
        <w:t xml:space="preserve">70 </w:t>
      </w:r>
      <w:r w:rsidR="001A2E84">
        <w:t xml:space="preserve">NSF </w:t>
      </w:r>
      <w:r>
        <w:t xml:space="preserve">INCLUDES </w:t>
      </w:r>
      <w:r w:rsidR="00D12677">
        <w:t>DDLPs</w:t>
      </w:r>
      <w:r w:rsidR="00B44B22">
        <w:t xml:space="preserve"> and Conferences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1A2E84">
        <w:rPr>
          <w:bCs/>
          <w:sz w:val="24"/>
        </w:rPr>
        <w:t xml:space="preserve"> </w:t>
      </w:r>
      <w:r w:rsidR="001A2E84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F249F4" w:rsidP="0067750E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D580D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="00F06866" w:rsidRPr="008636DC">
        <w:rPr>
          <w:bCs/>
          <w:sz w:val="24"/>
        </w:rPr>
        <w:t>:</w:t>
      </w:r>
      <w:r w:rsidR="008636DC">
        <w:rPr>
          <w:bCs/>
          <w:sz w:val="24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D4F2C">
        <w:t>X</w:t>
      </w:r>
      <w:r w:rsidR="009239AA">
        <w:t xml:space="preserve"> ] Yes  [</w:t>
      </w:r>
      <w:r w:rsidR="008636D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F2229E">
        <w:t xml:space="preserve"> </w:t>
      </w:r>
      <w:r w:rsidR="009239AA">
        <w:t>] Yes [</w:t>
      </w:r>
      <w:r w:rsidR="00866B2C" w:rsidRPr="00925DB2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1A2E84" w:rsidRDefault="001A2E84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636DC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26" w:type="dxa"/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1734"/>
        <w:gridCol w:w="1668"/>
        <w:gridCol w:w="1294"/>
      </w:tblGrid>
      <w:tr w:rsidR="00A4530D" w:rsidRPr="00807D7A" w:rsidTr="00807D7A">
        <w:trPr>
          <w:trHeight w:val="250"/>
        </w:trPr>
        <w:tc>
          <w:tcPr>
            <w:tcW w:w="2465" w:type="dxa"/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Type of Collection</w:t>
            </w:r>
          </w:p>
        </w:tc>
        <w:tc>
          <w:tcPr>
            <w:tcW w:w="2465" w:type="dxa"/>
          </w:tcPr>
          <w:p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Category of </w:t>
            </w:r>
          </w:p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Respondent </w:t>
            </w:r>
          </w:p>
        </w:tc>
        <w:tc>
          <w:tcPr>
            <w:tcW w:w="1734" w:type="dxa"/>
          </w:tcPr>
          <w:p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No. of </w:t>
            </w:r>
          </w:p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Respondents</w:t>
            </w:r>
          </w:p>
        </w:tc>
        <w:tc>
          <w:tcPr>
            <w:tcW w:w="1668" w:type="dxa"/>
          </w:tcPr>
          <w:p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Participation </w:t>
            </w:r>
          </w:p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294" w:type="dxa"/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Burden</w:t>
            </w:r>
          </w:p>
        </w:tc>
      </w:tr>
      <w:tr w:rsidR="00A4530D" w:rsidRPr="00807D7A" w:rsidTr="00807D7A">
        <w:trPr>
          <w:trHeight w:val="250"/>
        </w:trPr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Evaluation plans and reports already generated</w:t>
            </w:r>
          </w:p>
        </w:tc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(2) Private Sector</w:t>
            </w:r>
          </w:p>
        </w:tc>
        <w:tc>
          <w:tcPr>
            <w:tcW w:w="1734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70</w:t>
            </w:r>
          </w:p>
        </w:tc>
        <w:tc>
          <w:tcPr>
            <w:tcW w:w="1668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10 minutes</w:t>
            </w:r>
          </w:p>
        </w:tc>
        <w:tc>
          <w:tcPr>
            <w:tcW w:w="1294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12 hours</w:t>
            </w:r>
          </w:p>
        </w:tc>
      </w:tr>
      <w:tr w:rsidR="00A4530D" w:rsidRPr="00807D7A" w:rsidTr="00807D7A">
        <w:trPr>
          <w:trHeight w:val="250"/>
        </w:trPr>
        <w:tc>
          <w:tcPr>
            <w:tcW w:w="2465" w:type="dxa"/>
            <w:tcBorders>
              <w:bottom w:val="single" w:sz="4" w:space="0" w:color="auto"/>
            </w:tcBorders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10 minutes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12 hours</w:t>
            </w:r>
          </w:p>
        </w:tc>
      </w:tr>
      <w:tr w:rsidR="00A4530D" w:rsidRPr="00807D7A" w:rsidTr="00807D7A">
        <w:trPr>
          <w:trHeight w:val="250"/>
        </w:trPr>
        <w:tc>
          <w:tcPr>
            <w:tcW w:w="2465" w:type="dxa"/>
            <w:tcBorders>
              <w:left w:val="nil"/>
              <w:right w:val="nil"/>
            </w:tcBorders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nil"/>
              <w:right w:val="nil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nil"/>
              <w:right w:val="nil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</w:p>
        </w:tc>
      </w:tr>
      <w:tr w:rsidR="00A4530D" w:rsidRPr="00807D7A" w:rsidTr="00807D7A">
        <w:trPr>
          <w:trHeight w:val="250"/>
        </w:trPr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Webinar and other online TA event registration form</w:t>
            </w:r>
          </w:p>
        </w:tc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(2) Private Sector</w:t>
            </w:r>
          </w:p>
        </w:tc>
        <w:tc>
          <w:tcPr>
            <w:tcW w:w="1734" w:type="dxa"/>
          </w:tcPr>
          <w:p w:rsidR="00A4530D" w:rsidRPr="00807D7A" w:rsidRDefault="009766B0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68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 xml:space="preserve">5 minutes </w:t>
            </w:r>
          </w:p>
        </w:tc>
        <w:tc>
          <w:tcPr>
            <w:tcW w:w="1294" w:type="dxa"/>
          </w:tcPr>
          <w:p w:rsidR="00A4530D" w:rsidRPr="00807D7A" w:rsidRDefault="009766B0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4530D" w:rsidRPr="00807D7A">
              <w:rPr>
                <w:sz w:val="22"/>
                <w:szCs w:val="22"/>
              </w:rPr>
              <w:t xml:space="preserve"> hours</w:t>
            </w:r>
          </w:p>
        </w:tc>
      </w:tr>
      <w:tr w:rsidR="00A4530D" w:rsidRPr="00807D7A" w:rsidTr="00807D7A">
        <w:trPr>
          <w:trHeight w:val="250"/>
        </w:trPr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Webinar and other online TA event Customer satisfaction survey</w:t>
            </w:r>
          </w:p>
        </w:tc>
        <w:tc>
          <w:tcPr>
            <w:tcW w:w="2465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(2) Private Sector</w:t>
            </w:r>
          </w:p>
        </w:tc>
        <w:tc>
          <w:tcPr>
            <w:tcW w:w="1734" w:type="dxa"/>
          </w:tcPr>
          <w:p w:rsidR="00A4530D" w:rsidRPr="00807D7A" w:rsidRDefault="009766B0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68" w:type="dxa"/>
          </w:tcPr>
          <w:p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10 minutes</w:t>
            </w:r>
          </w:p>
        </w:tc>
        <w:tc>
          <w:tcPr>
            <w:tcW w:w="1294" w:type="dxa"/>
          </w:tcPr>
          <w:p w:rsidR="00A4530D" w:rsidRPr="00807D7A" w:rsidRDefault="009766B0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A4530D" w:rsidRPr="00807D7A">
              <w:rPr>
                <w:sz w:val="22"/>
                <w:szCs w:val="22"/>
              </w:rPr>
              <w:t xml:space="preserve"> hours</w:t>
            </w:r>
          </w:p>
        </w:tc>
      </w:tr>
      <w:tr w:rsidR="00A4530D" w:rsidRPr="00807D7A" w:rsidTr="00807D7A">
        <w:trPr>
          <w:trHeight w:val="263"/>
        </w:trPr>
        <w:tc>
          <w:tcPr>
            <w:tcW w:w="2465" w:type="dxa"/>
          </w:tcPr>
          <w:p w:rsidR="00A4530D" w:rsidRPr="00807D7A" w:rsidRDefault="00A4530D" w:rsidP="00655F7D">
            <w:pPr>
              <w:rPr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:rsidR="00A4530D" w:rsidRPr="00651FDF" w:rsidRDefault="00A4530D" w:rsidP="00655F7D">
            <w:pPr>
              <w:rPr>
                <w:sz w:val="22"/>
                <w:szCs w:val="22"/>
              </w:rPr>
            </w:pPr>
            <w:r w:rsidRPr="00651FDF">
              <w:rPr>
                <w:sz w:val="22"/>
                <w:szCs w:val="22"/>
              </w:rPr>
              <w:t>Totals</w:t>
            </w:r>
            <w:r w:rsidR="00651FDF" w:rsidRPr="00651FDF">
              <w:rPr>
                <w:sz w:val="22"/>
                <w:szCs w:val="22"/>
              </w:rPr>
              <w:t>/Webinar</w:t>
            </w:r>
          </w:p>
        </w:tc>
        <w:tc>
          <w:tcPr>
            <w:tcW w:w="1734" w:type="dxa"/>
          </w:tcPr>
          <w:p w:rsidR="00A4530D" w:rsidRPr="00651FDF" w:rsidRDefault="009766B0" w:rsidP="00655F7D">
            <w:pPr>
              <w:rPr>
                <w:sz w:val="22"/>
                <w:szCs w:val="22"/>
              </w:rPr>
            </w:pPr>
            <w:r w:rsidRPr="00651FDF">
              <w:rPr>
                <w:sz w:val="22"/>
                <w:szCs w:val="22"/>
              </w:rPr>
              <w:t>200</w:t>
            </w:r>
            <w:r w:rsidR="00A4530D" w:rsidRPr="00651FDF"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</w:tcPr>
          <w:p w:rsidR="00A4530D" w:rsidRPr="00651FDF" w:rsidRDefault="00A4530D" w:rsidP="00655F7D">
            <w:pPr>
              <w:rPr>
                <w:sz w:val="22"/>
                <w:szCs w:val="22"/>
              </w:rPr>
            </w:pPr>
            <w:r w:rsidRPr="00651FDF">
              <w:rPr>
                <w:sz w:val="22"/>
                <w:szCs w:val="22"/>
              </w:rPr>
              <w:t>15 minutes</w:t>
            </w:r>
          </w:p>
        </w:tc>
        <w:tc>
          <w:tcPr>
            <w:tcW w:w="1294" w:type="dxa"/>
          </w:tcPr>
          <w:p w:rsidR="00A4530D" w:rsidRPr="00651FDF" w:rsidRDefault="009766B0" w:rsidP="00655F7D">
            <w:pPr>
              <w:rPr>
                <w:sz w:val="22"/>
                <w:szCs w:val="22"/>
              </w:rPr>
            </w:pPr>
            <w:r w:rsidRPr="00651FDF">
              <w:rPr>
                <w:sz w:val="22"/>
                <w:szCs w:val="22"/>
              </w:rPr>
              <w:t>50</w:t>
            </w:r>
            <w:r w:rsidR="00A4530D" w:rsidRPr="00651FDF">
              <w:rPr>
                <w:sz w:val="22"/>
                <w:szCs w:val="22"/>
              </w:rPr>
              <w:t xml:space="preserve"> hours </w:t>
            </w:r>
          </w:p>
        </w:tc>
      </w:tr>
      <w:tr w:rsidR="009766B0" w:rsidRPr="00807D7A" w:rsidTr="00807D7A">
        <w:trPr>
          <w:trHeight w:val="263"/>
        </w:trPr>
        <w:tc>
          <w:tcPr>
            <w:tcW w:w="2465" w:type="dxa"/>
          </w:tcPr>
          <w:p w:rsidR="009766B0" w:rsidRPr="00807D7A" w:rsidRDefault="009766B0" w:rsidP="00655F7D">
            <w:pPr>
              <w:rPr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:rsidR="009766B0" w:rsidRPr="00807D7A" w:rsidRDefault="00651FDF" w:rsidP="0065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Totals for 12 Webinars</w:t>
            </w:r>
          </w:p>
        </w:tc>
        <w:tc>
          <w:tcPr>
            <w:tcW w:w="1734" w:type="dxa"/>
          </w:tcPr>
          <w:p w:rsidR="009766B0" w:rsidRDefault="00651FDF" w:rsidP="0065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2400</w:t>
            </w:r>
          </w:p>
        </w:tc>
        <w:tc>
          <w:tcPr>
            <w:tcW w:w="1668" w:type="dxa"/>
          </w:tcPr>
          <w:p w:rsidR="009766B0" w:rsidRPr="00807D7A" w:rsidRDefault="00651FDF" w:rsidP="0065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minutes</w:t>
            </w:r>
          </w:p>
        </w:tc>
        <w:tc>
          <w:tcPr>
            <w:tcW w:w="1294" w:type="dxa"/>
          </w:tcPr>
          <w:p w:rsidR="009766B0" w:rsidRDefault="00651FDF" w:rsidP="00655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 hours</w:t>
            </w:r>
          </w:p>
        </w:tc>
      </w:tr>
    </w:tbl>
    <w:p w:rsidR="00F3170F" w:rsidRDefault="00F3170F" w:rsidP="00F3170F"/>
    <w:p w:rsidR="00441434" w:rsidRDefault="00164CB1" w:rsidP="00F3170F">
      <w:r>
        <w:t>*Each respondent would complete the registration form and the satisfaction survey for each webinar.  There are 200 anticipated participants per webinar and 12 webinars.</w:t>
      </w:r>
    </w:p>
    <w:p w:rsidR="00164CB1" w:rsidRDefault="00164CB1" w:rsidP="00F3170F"/>
    <w:p w:rsidR="005E714A" w:rsidRPr="00DD580D" w:rsidRDefault="001C39F7" w:rsidP="00DD580D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DD580D" w:rsidRPr="00164CB1">
        <w:t>This will be incorporated into the plans of running the program.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66B2C" w:rsidRPr="00925DB2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25DB2" w:rsidRDefault="00A403BB" w:rsidP="00A403BB">
      <w:pPr>
        <w:pStyle w:val="ListParagraph"/>
      </w:pPr>
    </w:p>
    <w:p w:rsidR="00807D7A" w:rsidRDefault="002A7735" w:rsidP="00807D7A">
      <w:pPr>
        <w:pStyle w:val="ListParagraph"/>
      </w:pPr>
      <w:r>
        <w:t>For Evaluation Plans and Reports:</w:t>
      </w:r>
      <w:r w:rsidR="00A4530D">
        <w:t xml:space="preserve"> </w:t>
      </w:r>
    </w:p>
    <w:p w:rsidR="002A7735" w:rsidRDefault="00A4530D" w:rsidP="00807D7A">
      <w:pPr>
        <w:pStyle w:val="ListParagraph"/>
      </w:pPr>
      <w:r>
        <w:t>T</w:t>
      </w:r>
      <w:r w:rsidR="00E178B2">
        <w:t xml:space="preserve">he universe of </w:t>
      </w:r>
      <w:r w:rsidR="002A7735">
        <w:t xml:space="preserve">potential respondents </w:t>
      </w:r>
      <w:r w:rsidR="00E178B2">
        <w:t>consists of the project level external evaluators of 70 D</w:t>
      </w:r>
      <w:r w:rsidR="002A7735">
        <w:t>DLP</w:t>
      </w:r>
      <w:r w:rsidR="00E178B2">
        <w:t>s.</w:t>
      </w:r>
      <w:r w:rsidR="002A7735">
        <w:t xml:space="preserve"> </w:t>
      </w:r>
      <w:r w:rsidR="0067750E">
        <w:t>The list is generated from the NSF administrative data</w:t>
      </w:r>
      <w:r w:rsidR="00F2229E">
        <w:t xml:space="preserve"> for these awards</w:t>
      </w:r>
      <w:r w:rsidR="0067750E">
        <w:t xml:space="preserve">. </w:t>
      </w:r>
      <w:r w:rsidR="002A7735">
        <w:t>Census sampling will be used</w:t>
      </w:r>
      <w:r w:rsidR="00F2229E">
        <w:t>, in an effort to secure an</w:t>
      </w:r>
      <w:r w:rsidR="002A7735">
        <w:t xml:space="preserve"> evaluation plan and report from each DDLP award, though a convenience sample may result.</w:t>
      </w:r>
    </w:p>
    <w:p w:rsidR="0067750E" w:rsidRDefault="0067750E" w:rsidP="00807D7A"/>
    <w:p w:rsidR="00A4530D" w:rsidRDefault="002A7735" w:rsidP="002A7735">
      <w:pPr>
        <w:pStyle w:val="ListParagraph"/>
      </w:pPr>
      <w:r>
        <w:t xml:space="preserve">For </w:t>
      </w:r>
      <w:r w:rsidR="00B44B22">
        <w:t>w</w:t>
      </w:r>
      <w:r>
        <w:t xml:space="preserve">ebinar and other </w:t>
      </w:r>
      <w:r w:rsidR="00F66761">
        <w:t xml:space="preserve">online TA </w:t>
      </w:r>
      <w:r w:rsidR="00A4530D">
        <w:t xml:space="preserve">event participants: </w:t>
      </w:r>
    </w:p>
    <w:p w:rsidR="00A4530D" w:rsidRDefault="00A4530D" w:rsidP="00A4530D">
      <w:pPr>
        <w:pStyle w:val="ListParagraph"/>
      </w:pPr>
      <w:r>
        <w:lastRenderedPageBreak/>
        <w:t>T</w:t>
      </w:r>
      <w:r w:rsidR="002A7735">
        <w:t xml:space="preserve">he universe of potential </w:t>
      </w:r>
      <w:r w:rsidR="00B44B22">
        <w:t>participants</w:t>
      </w:r>
      <w:r w:rsidR="002A7735">
        <w:t xml:space="preserve"> consists of the Principal</w:t>
      </w:r>
      <w:r w:rsidR="00807D7A">
        <w:t>/Co-Principal</w:t>
      </w:r>
      <w:r w:rsidR="002A7735">
        <w:t xml:space="preserve"> Investigators, project staff and project-level external evaluators of the 70 NSF INCLUDES DDLPs</w:t>
      </w:r>
      <w:r w:rsidR="005C3E0C">
        <w:t xml:space="preserve"> and 30 Conferences</w:t>
      </w:r>
      <w:r w:rsidR="00F2229E">
        <w:t>, and TA Team Staff</w:t>
      </w:r>
      <w:r w:rsidR="002A7735">
        <w:t xml:space="preserve">. </w:t>
      </w:r>
      <w:r w:rsidR="0067750E">
        <w:t>The list of potential respondents</w:t>
      </w:r>
      <w:r>
        <w:t xml:space="preserve"> for the</w:t>
      </w:r>
      <w:r w:rsidR="00F2229E">
        <w:t xml:space="preserve"> </w:t>
      </w:r>
      <w:r w:rsidR="0067750E">
        <w:t>webinar</w:t>
      </w:r>
      <w:r w:rsidR="00C2523B">
        <w:t xml:space="preserve"> and other </w:t>
      </w:r>
      <w:r>
        <w:t xml:space="preserve">TA </w:t>
      </w:r>
      <w:r w:rsidR="00C2523B">
        <w:t>event</w:t>
      </w:r>
      <w:r w:rsidR="0067750E">
        <w:t xml:space="preserve"> registration is generated from NSF administrative data</w:t>
      </w:r>
      <w:r w:rsidR="00F2229E">
        <w:t xml:space="preserve"> for these awards</w:t>
      </w:r>
      <w:r w:rsidR="0067750E">
        <w:t xml:space="preserve">. </w:t>
      </w:r>
      <w:r>
        <w:t>Census sampling will be used, though a convenience sample may result.</w:t>
      </w:r>
    </w:p>
    <w:p w:rsidR="00A4530D" w:rsidRDefault="00A4530D" w:rsidP="002A7735">
      <w:pPr>
        <w:pStyle w:val="ListParagraph"/>
      </w:pPr>
    </w:p>
    <w:p w:rsidR="00A4530D" w:rsidRDefault="00A4530D" w:rsidP="002A7735">
      <w:pPr>
        <w:pStyle w:val="ListParagraph"/>
      </w:pPr>
    </w:p>
    <w:p w:rsidR="002A7735" w:rsidRDefault="0067750E" w:rsidP="002A7735">
      <w:pPr>
        <w:pStyle w:val="ListParagraph"/>
      </w:pPr>
      <w:r>
        <w:t xml:space="preserve">The list of potential respondents generated for the webinar </w:t>
      </w:r>
      <w:r w:rsidR="00F2229E">
        <w:t xml:space="preserve">or other </w:t>
      </w:r>
      <w:r w:rsidR="00A4530D">
        <w:t xml:space="preserve">TA </w:t>
      </w:r>
      <w:r w:rsidR="00F2229E">
        <w:t xml:space="preserve">event </w:t>
      </w:r>
      <w:r>
        <w:t xml:space="preserve">satisfaction survey is generated from the webinar </w:t>
      </w:r>
      <w:r w:rsidR="00F2229E">
        <w:t xml:space="preserve">or other event </w:t>
      </w:r>
      <w:r>
        <w:t xml:space="preserve">registration data. </w:t>
      </w:r>
      <w:r w:rsidR="002A7735">
        <w:t>Census sampling will be used, though a convenience sample may result.</w:t>
      </w:r>
    </w:p>
    <w:p w:rsidR="002A7735" w:rsidRDefault="002A7735" w:rsidP="002A7735">
      <w:pPr>
        <w:pStyle w:val="ListParagraph"/>
      </w:pPr>
    </w:p>
    <w:p w:rsidR="002A7735" w:rsidRDefault="002A7735" w:rsidP="00807D7A">
      <w:pPr>
        <w:pStyle w:val="ListParagraph"/>
      </w:pPr>
    </w:p>
    <w:p w:rsidR="002A7735" w:rsidRDefault="002A7735" w:rsidP="00C6504D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925DB2" w:rsidP="001B0AAA">
      <w:pPr>
        <w:ind w:left="720"/>
      </w:pPr>
      <w:r>
        <w:t>[</w:t>
      </w:r>
      <w:r w:rsidR="00866B2C" w:rsidRPr="00925DB2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925DB2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66B2C" w:rsidRPr="00925DB2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925DB2">
        <w:rPr>
          <w:b/>
          <w:highlight w:val="yellow"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C1" w:rsidRDefault="007874C1">
      <w:r>
        <w:separator/>
      </w:r>
    </w:p>
  </w:endnote>
  <w:endnote w:type="continuationSeparator" w:id="0">
    <w:p w:rsidR="007874C1" w:rsidRDefault="0078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0E" w:rsidRDefault="006775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816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C1" w:rsidRDefault="007874C1">
      <w:r>
        <w:separator/>
      </w:r>
    </w:p>
  </w:footnote>
  <w:footnote w:type="continuationSeparator" w:id="0">
    <w:p w:rsidR="007874C1" w:rsidRDefault="0078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673E6"/>
    <w:rsid w:val="000A5271"/>
    <w:rsid w:val="000B2838"/>
    <w:rsid w:val="000D44CA"/>
    <w:rsid w:val="000E200B"/>
    <w:rsid w:val="000F68BE"/>
    <w:rsid w:val="00164CB1"/>
    <w:rsid w:val="00180B24"/>
    <w:rsid w:val="001927A4"/>
    <w:rsid w:val="00194AC6"/>
    <w:rsid w:val="001A23B0"/>
    <w:rsid w:val="001A25CC"/>
    <w:rsid w:val="001A2E84"/>
    <w:rsid w:val="001B0AAA"/>
    <w:rsid w:val="001C39F7"/>
    <w:rsid w:val="00223102"/>
    <w:rsid w:val="00237B48"/>
    <w:rsid w:val="0024521E"/>
    <w:rsid w:val="00251F22"/>
    <w:rsid w:val="00255F9E"/>
    <w:rsid w:val="00263C3D"/>
    <w:rsid w:val="00274D0B"/>
    <w:rsid w:val="002A7735"/>
    <w:rsid w:val="002B3C95"/>
    <w:rsid w:val="002D0B92"/>
    <w:rsid w:val="002D2E79"/>
    <w:rsid w:val="0033635B"/>
    <w:rsid w:val="003B030A"/>
    <w:rsid w:val="003D5BBE"/>
    <w:rsid w:val="003E3C61"/>
    <w:rsid w:val="003F1C5B"/>
    <w:rsid w:val="00420E36"/>
    <w:rsid w:val="00434E33"/>
    <w:rsid w:val="00441434"/>
    <w:rsid w:val="0045264C"/>
    <w:rsid w:val="004876EC"/>
    <w:rsid w:val="004D6E14"/>
    <w:rsid w:val="005009B0"/>
    <w:rsid w:val="005207FD"/>
    <w:rsid w:val="0052088A"/>
    <w:rsid w:val="005A1006"/>
    <w:rsid w:val="005C3E0C"/>
    <w:rsid w:val="005D32E3"/>
    <w:rsid w:val="005E5337"/>
    <w:rsid w:val="005E714A"/>
    <w:rsid w:val="005F4A96"/>
    <w:rsid w:val="006140A0"/>
    <w:rsid w:val="00636621"/>
    <w:rsid w:val="00642B49"/>
    <w:rsid w:val="00651FDF"/>
    <w:rsid w:val="0067750E"/>
    <w:rsid w:val="006832D9"/>
    <w:rsid w:val="0069403B"/>
    <w:rsid w:val="006D6F04"/>
    <w:rsid w:val="006F3DDE"/>
    <w:rsid w:val="00704678"/>
    <w:rsid w:val="00711C07"/>
    <w:rsid w:val="007425E7"/>
    <w:rsid w:val="007816FC"/>
    <w:rsid w:val="007874C1"/>
    <w:rsid w:val="00791813"/>
    <w:rsid w:val="0079343E"/>
    <w:rsid w:val="00802607"/>
    <w:rsid w:val="00807D7A"/>
    <w:rsid w:val="008101A5"/>
    <w:rsid w:val="00822664"/>
    <w:rsid w:val="00825EC5"/>
    <w:rsid w:val="00843796"/>
    <w:rsid w:val="008636DC"/>
    <w:rsid w:val="00866B2C"/>
    <w:rsid w:val="00895229"/>
    <w:rsid w:val="008D4F2C"/>
    <w:rsid w:val="008F0203"/>
    <w:rsid w:val="008F50D4"/>
    <w:rsid w:val="0090783F"/>
    <w:rsid w:val="009239AA"/>
    <w:rsid w:val="00925DB2"/>
    <w:rsid w:val="00935ADA"/>
    <w:rsid w:val="00946B6C"/>
    <w:rsid w:val="00955A71"/>
    <w:rsid w:val="0096108F"/>
    <w:rsid w:val="009766B0"/>
    <w:rsid w:val="009C13B9"/>
    <w:rsid w:val="009D01A2"/>
    <w:rsid w:val="009F5923"/>
    <w:rsid w:val="00A403BB"/>
    <w:rsid w:val="00A4530D"/>
    <w:rsid w:val="00A674DF"/>
    <w:rsid w:val="00A83AA6"/>
    <w:rsid w:val="00AE1809"/>
    <w:rsid w:val="00B00291"/>
    <w:rsid w:val="00B0703E"/>
    <w:rsid w:val="00B44B22"/>
    <w:rsid w:val="00B52F28"/>
    <w:rsid w:val="00B5607F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17845"/>
    <w:rsid w:val="00C2523B"/>
    <w:rsid w:val="00C33C52"/>
    <w:rsid w:val="00C3461D"/>
    <w:rsid w:val="00C40D8B"/>
    <w:rsid w:val="00C6504D"/>
    <w:rsid w:val="00C8407A"/>
    <w:rsid w:val="00C8488C"/>
    <w:rsid w:val="00C86E91"/>
    <w:rsid w:val="00CA2650"/>
    <w:rsid w:val="00CB1078"/>
    <w:rsid w:val="00CC6FAF"/>
    <w:rsid w:val="00D12677"/>
    <w:rsid w:val="00D24698"/>
    <w:rsid w:val="00D6383F"/>
    <w:rsid w:val="00DB59D0"/>
    <w:rsid w:val="00DC33D3"/>
    <w:rsid w:val="00DD580D"/>
    <w:rsid w:val="00DE4C70"/>
    <w:rsid w:val="00E178B2"/>
    <w:rsid w:val="00E26329"/>
    <w:rsid w:val="00E40B50"/>
    <w:rsid w:val="00E50293"/>
    <w:rsid w:val="00E65FFC"/>
    <w:rsid w:val="00E744D1"/>
    <w:rsid w:val="00E80951"/>
    <w:rsid w:val="00E86CC6"/>
    <w:rsid w:val="00E87B45"/>
    <w:rsid w:val="00EB56B3"/>
    <w:rsid w:val="00ED6492"/>
    <w:rsid w:val="00ED6EE5"/>
    <w:rsid w:val="00EF2095"/>
    <w:rsid w:val="00F06866"/>
    <w:rsid w:val="00F15956"/>
    <w:rsid w:val="00F2229E"/>
    <w:rsid w:val="00F249F4"/>
    <w:rsid w:val="00F24CFC"/>
    <w:rsid w:val="00F3170F"/>
    <w:rsid w:val="00F477D3"/>
    <w:rsid w:val="00F6676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0A56B32-CC6F-47FE-ACFE-22C1BDF5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9E0A-9C07-4C83-87BF-41D65D6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823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2017-07-11T20:29:00Z</cp:lastPrinted>
  <dcterms:created xsi:type="dcterms:W3CDTF">2017-07-12T13:06:00Z</dcterms:created>
  <dcterms:modified xsi:type="dcterms:W3CDTF">2017-07-12T16:34:00Z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