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1FA78" w14:textId="181480EB" w:rsidR="00A41724" w:rsidRDefault="00A41724"/>
    <w:p w14:paraId="75B7376E" w14:textId="63EDC4B7" w:rsidR="00C04F91" w:rsidRDefault="00C04F91" w:rsidP="00C04F91">
      <w:pPr>
        <w:pStyle w:val="Heading2"/>
        <w:ind w:left="0" w:firstLine="0"/>
      </w:pPr>
      <w:r>
        <w:t>Response to National Agricultural Statistics Service (NASS) Comments on APEC III OMB Package</w:t>
      </w:r>
    </w:p>
    <w:p w14:paraId="1D053DB6" w14:textId="112C90AF" w:rsidR="00D03695" w:rsidRPr="00AA5C67" w:rsidRDefault="00C04F91" w:rsidP="00D03695">
      <w:pPr>
        <w:pStyle w:val="Heading2"/>
      </w:pPr>
      <w:r>
        <w:t>H.1</w:t>
      </w:r>
      <w:r w:rsidR="00D03695" w:rsidRPr="00AA5C67">
        <w:tab/>
        <w:t xml:space="preserve">Overview </w:t>
      </w:r>
    </w:p>
    <w:p w14:paraId="16E2478F" w14:textId="629338E8" w:rsidR="00FA286E" w:rsidRDefault="00BF5414" w:rsidP="00F976EB">
      <w:pPr>
        <w:pStyle w:val="L1-FlLSp12"/>
      </w:pPr>
      <w:r>
        <w:t xml:space="preserve">This </w:t>
      </w:r>
      <w:r w:rsidR="00957AEF">
        <w:t>appendix p</w:t>
      </w:r>
      <w:r>
        <w:t xml:space="preserve">rovides </w:t>
      </w:r>
      <w:r w:rsidR="00A8199B">
        <w:t xml:space="preserve">Westat’s response to the comments received </w:t>
      </w:r>
      <w:r w:rsidR="00702381">
        <w:t xml:space="preserve">from </w:t>
      </w:r>
      <w:r w:rsidR="00A41724">
        <w:t xml:space="preserve">the National Agricultural Statistics Service (NASS) </w:t>
      </w:r>
      <w:r w:rsidR="00957AEF">
        <w:t>after their review of the</w:t>
      </w:r>
      <w:r w:rsidR="00A41724">
        <w:t xml:space="preserve"> 2</w:t>
      </w:r>
      <w:r w:rsidR="00A41724" w:rsidRPr="00A41724">
        <w:rPr>
          <w:vertAlign w:val="superscript"/>
        </w:rPr>
        <w:t>nd</w:t>
      </w:r>
      <w:r w:rsidR="00A41724">
        <w:t xml:space="preserve"> Revised </w:t>
      </w:r>
      <w:r w:rsidR="00677A6E">
        <w:t xml:space="preserve">Draft </w:t>
      </w:r>
      <w:r w:rsidR="00A41724">
        <w:t>OMB Package</w:t>
      </w:r>
      <w:r w:rsidR="00A8199B">
        <w:t>.</w:t>
      </w:r>
      <w:r w:rsidR="0077517B">
        <w:t xml:space="preserve">  The </w:t>
      </w:r>
      <w:r w:rsidR="00437658">
        <w:t>response to</w:t>
      </w:r>
      <w:r w:rsidR="0041573A">
        <w:t xml:space="preserve"> the comments </w:t>
      </w:r>
      <w:r w:rsidR="006F7168">
        <w:t>is</w:t>
      </w:r>
      <w:r w:rsidR="0041573A">
        <w:t xml:space="preserve"> organized </w:t>
      </w:r>
      <w:r w:rsidR="00677A6E">
        <w:t xml:space="preserve">as follows: A) responses to the overall </w:t>
      </w:r>
      <w:r w:rsidR="00957AEF">
        <w:t xml:space="preserve">comments, </w:t>
      </w:r>
      <w:r w:rsidR="00677A6E">
        <w:t xml:space="preserve">and B) </w:t>
      </w:r>
      <w:r w:rsidR="00FA286E">
        <w:t>responses to appendix comments</w:t>
      </w:r>
      <w:r w:rsidR="005E18C6">
        <w:t xml:space="preserve">. </w:t>
      </w:r>
    </w:p>
    <w:p w14:paraId="7D4056C0" w14:textId="43C727C0" w:rsidR="005E18C6" w:rsidRDefault="005E18C6" w:rsidP="00F976EB">
      <w:pPr>
        <w:pStyle w:val="L1-FlLSp12"/>
      </w:pPr>
    </w:p>
    <w:p w14:paraId="4A4CCFFC" w14:textId="61DC206B" w:rsidR="005E18C6" w:rsidRDefault="005E18C6" w:rsidP="00F976EB">
      <w:pPr>
        <w:pStyle w:val="L1-FlLSp12"/>
      </w:pPr>
      <w:r>
        <w:t>Additional edits and suggestions from NASS within Part A and Part B were incorporated (as tracked changes)</w:t>
      </w:r>
      <w:r w:rsidR="00FF12D3">
        <w:t>. In addition, the revised OMB package was submitted to the Westat Editorial department for an i</w:t>
      </w:r>
      <w:r w:rsidR="00566B3F">
        <w:t xml:space="preserve">ndependent editorial review, </w:t>
      </w:r>
      <w:r w:rsidR="00FF12D3">
        <w:t>editing</w:t>
      </w:r>
      <w:r w:rsidR="00566B3F">
        <w:t>, and QC</w:t>
      </w:r>
      <w:r w:rsidR="00FF12D3">
        <w:t xml:space="preserve">. </w:t>
      </w:r>
      <w:r>
        <w:t xml:space="preserve"> </w:t>
      </w:r>
    </w:p>
    <w:p w14:paraId="67156BEC" w14:textId="7EB9022A" w:rsidR="0041573A" w:rsidRDefault="0041573A" w:rsidP="00F976EB">
      <w:pPr>
        <w:pStyle w:val="L1-FlLSp12"/>
      </w:pPr>
    </w:p>
    <w:p w14:paraId="76ADB46F" w14:textId="069D37C4" w:rsidR="00C04F91" w:rsidRPr="00AA5C67" w:rsidRDefault="00C04F91" w:rsidP="00C04F91">
      <w:pPr>
        <w:pStyle w:val="Heading2"/>
      </w:pPr>
      <w:r>
        <w:t>H.2</w:t>
      </w:r>
      <w:r w:rsidRPr="00AA5C67">
        <w:tab/>
      </w:r>
      <w:r>
        <w:t>Response to Overall Comments</w:t>
      </w:r>
      <w:r w:rsidRPr="00AA5C67">
        <w:t xml:space="preserve"> </w:t>
      </w:r>
    </w:p>
    <w:p w14:paraId="63E29D8F" w14:textId="7C8D6D5F" w:rsidR="0041573A" w:rsidRPr="00677A6E" w:rsidRDefault="00677A6E" w:rsidP="00677A6E">
      <w:pPr>
        <w:pStyle w:val="L1-FlLSp12"/>
        <w:rPr>
          <w:i/>
        </w:rPr>
      </w:pPr>
      <w:r>
        <w:rPr>
          <w:i/>
        </w:rPr>
        <w:t xml:space="preserve">NASS Comment #1. </w:t>
      </w:r>
      <w:r w:rsidRPr="00677A6E">
        <w:rPr>
          <w:i/>
        </w:rPr>
        <w:t>Please explain how the total number of responses in Part A, Section 3 is calculated. I can’t tell if you should be including the cognitive interview responses or not.</w:t>
      </w:r>
      <w:r w:rsidR="00CE603B" w:rsidRPr="00677A6E">
        <w:rPr>
          <w:i/>
        </w:rPr>
        <w:t xml:space="preserve"> </w:t>
      </w:r>
    </w:p>
    <w:p w14:paraId="07C36685" w14:textId="77777777" w:rsidR="00CE603B" w:rsidRDefault="00CE603B" w:rsidP="00F976EB">
      <w:pPr>
        <w:pStyle w:val="L1-FlLSp12"/>
      </w:pPr>
    </w:p>
    <w:p w14:paraId="2048F49C" w14:textId="13356BB4" w:rsidR="00596BEC" w:rsidRDefault="00596BEC" w:rsidP="00596BEC">
      <w:pPr>
        <w:pStyle w:val="P1-StandPara"/>
        <w:ind w:firstLine="0"/>
      </w:pPr>
      <w:r>
        <w:t>O</w:t>
      </w:r>
      <w:r w:rsidRPr="009F063B">
        <w:t>ut of the 60,848 total responses for this collection, 9</w:t>
      </w:r>
      <w:r>
        <w:t xml:space="preserve"> percent</w:t>
      </w:r>
      <w:r w:rsidRPr="009F063B">
        <w:t xml:space="preserve"> (5,412) of responses will be submitted electronically</w:t>
      </w:r>
      <w:r>
        <w:t>.</w:t>
      </w:r>
      <w:r w:rsidRPr="009F063B">
        <w:t xml:space="preserve"> </w:t>
      </w:r>
      <w:r>
        <w:t>A</w:t>
      </w:r>
      <w:r w:rsidRPr="009F063B">
        <w:t xml:space="preserve">n additional 7,480 </w:t>
      </w:r>
      <w:r>
        <w:t>records from 1,331 requests will be electronically entered into the study database by data collectors from abstraction from existing hard-copy SFA and school records, and thus present minimal burden on respondents.</w:t>
      </w:r>
    </w:p>
    <w:p w14:paraId="591D5AB0" w14:textId="77777777" w:rsidR="00596BEC" w:rsidRDefault="00596BEC">
      <w:pPr>
        <w:spacing w:line="240" w:lineRule="auto"/>
      </w:pPr>
    </w:p>
    <w:p w14:paraId="7AAC58DF" w14:textId="77777777" w:rsidR="00C50B77" w:rsidRDefault="00596BEC" w:rsidP="00596BEC">
      <w:pPr>
        <w:pStyle w:val="P1-StandPara"/>
        <w:ind w:firstLine="0"/>
      </w:pPr>
      <w:r>
        <w:t xml:space="preserve">The 60,848 total responses are the sum of 55,220 responses from respondents plus 5,628 responses from non-respondents. This </w:t>
      </w:r>
      <w:r w:rsidRPr="008F6CB8">
        <w:rPr>
          <w:u w:val="single"/>
        </w:rPr>
        <w:t>includes</w:t>
      </w:r>
      <w:r>
        <w:t xml:space="preserve"> the program non participants from the cognitive testing. </w:t>
      </w:r>
    </w:p>
    <w:p w14:paraId="5DB1BEE4" w14:textId="77777777" w:rsidR="00C50B77" w:rsidRDefault="00C50B77" w:rsidP="00596BEC">
      <w:pPr>
        <w:pStyle w:val="P1-StandPara"/>
        <w:ind w:firstLine="0"/>
      </w:pPr>
    </w:p>
    <w:p w14:paraId="3DBF351F" w14:textId="6D93E47F" w:rsidR="008F6CB8" w:rsidRDefault="00596BEC" w:rsidP="00596BEC">
      <w:pPr>
        <w:pStyle w:val="P1-StandPara"/>
        <w:ind w:firstLine="0"/>
      </w:pPr>
      <w:r>
        <w:t xml:space="preserve">The non-respondents are included because we presume they will spend some time reviewing the recruitment (for households) or request (for SFAs/schools) materials. </w:t>
      </w:r>
      <w:r>
        <w:tab/>
      </w:r>
    </w:p>
    <w:p w14:paraId="3E6EACAB" w14:textId="77777777" w:rsidR="008F6CB8" w:rsidRDefault="008F6CB8" w:rsidP="00596BEC">
      <w:pPr>
        <w:pStyle w:val="P1-StandPara"/>
        <w:ind w:firstLine="0"/>
      </w:pPr>
    </w:p>
    <w:p w14:paraId="2FF5098A" w14:textId="45C8ABAC" w:rsidR="00596BEC" w:rsidRDefault="00596BEC" w:rsidP="00596BEC">
      <w:pPr>
        <w:pStyle w:val="P1-StandPara"/>
        <w:ind w:firstLine="0"/>
      </w:pPr>
      <w:r>
        <w:t xml:space="preserve">The additional 7,480 records from 1,331 requests include requests </w:t>
      </w:r>
      <w:r w:rsidRPr="007D297C">
        <w:t xml:space="preserve">from </w:t>
      </w:r>
      <w:r>
        <w:t xml:space="preserve">different staff at the SFA and school. </w:t>
      </w:r>
      <w:r w:rsidR="008F6CB8">
        <w:t xml:space="preserve">These are not included in the estimated 9 percent of responses submitted electronically. </w:t>
      </w:r>
    </w:p>
    <w:p w14:paraId="42CC1AF6" w14:textId="77777777" w:rsidR="00C50B77" w:rsidRDefault="00C50B77" w:rsidP="00677A6E">
      <w:pPr>
        <w:pStyle w:val="L1-FlLSp12"/>
        <w:rPr>
          <w:i/>
        </w:rPr>
      </w:pPr>
    </w:p>
    <w:p w14:paraId="1AA6A85D" w14:textId="18FD26F4" w:rsidR="00677A6E" w:rsidRPr="00677A6E" w:rsidRDefault="00677A6E" w:rsidP="00677A6E">
      <w:pPr>
        <w:pStyle w:val="L1-FlLSp12"/>
        <w:rPr>
          <w:i/>
        </w:rPr>
      </w:pPr>
      <w:r w:rsidRPr="00677A6E">
        <w:rPr>
          <w:i/>
        </w:rPr>
        <w:lastRenderedPageBreak/>
        <w:t>NASS Comment #2. I noticed references Provision 1, 2, and 3 schools starting with Appendix B documents, but these types of schools are not defined anywhere. Also there is no mention of these types of schools in your sampling process.</w:t>
      </w:r>
    </w:p>
    <w:p w14:paraId="5D558AB0" w14:textId="77777777" w:rsidR="00677A6E" w:rsidRDefault="00677A6E" w:rsidP="00677A6E">
      <w:pPr>
        <w:pStyle w:val="L1-FlLSp12"/>
      </w:pPr>
    </w:p>
    <w:p w14:paraId="02E0C89E" w14:textId="61156B24" w:rsidR="00677A6E" w:rsidRDefault="00E60107" w:rsidP="00677A6E">
      <w:pPr>
        <w:pStyle w:val="L1-FlLSp12"/>
      </w:pPr>
      <w:r>
        <w:t>The SFA directors will be very familiar with provision schools.  However, we have added the definition as a reference to Appendix B1, where it is applicable</w:t>
      </w:r>
      <w:r w:rsidR="00320804">
        <w:t xml:space="preserve"> (also provided below)</w:t>
      </w:r>
      <w:r>
        <w:t xml:space="preserve">. </w:t>
      </w:r>
      <w:r w:rsidR="008F6CB8">
        <w:t>The sampling does not include special consideration for provision schools.  If provision schools are sampled, we will follow special procedures (as described</w:t>
      </w:r>
      <w:r w:rsidR="000824DF">
        <w:t xml:space="preserve"> in data collection procedures</w:t>
      </w:r>
      <w:r w:rsidR="008F6CB8">
        <w:t xml:space="preserve">) because of their </w:t>
      </w:r>
      <w:r w:rsidR="001C578F">
        <w:t>different</w:t>
      </w:r>
      <w:r w:rsidR="008F6CB8">
        <w:t xml:space="preserve"> procedures for meal claims. </w:t>
      </w:r>
    </w:p>
    <w:p w14:paraId="15C56122" w14:textId="77777777" w:rsidR="00C50B77" w:rsidRPr="00DF6ACC" w:rsidRDefault="00C50B77" w:rsidP="00C50B77">
      <w:pPr>
        <w:pStyle w:val="Heading3"/>
        <w:pBdr>
          <w:top w:val="single" w:sz="4" w:space="1" w:color="auto"/>
          <w:left w:val="single" w:sz="4" w:space="17" w:color="auto"/>
          <w:bottom w:val="single" w:sz="4" w:space="1" w:color="auto"/>
          <w:right w:val="single" w:sz="4" w:space="4" w:color="auto"/>
        </w:pBdr>
        <w:shd w:val="clear" w:color="auto" w:fill="FFFFFF"/>
        <w:spacing w:after="0"/>
        <w:textAlignment w:val="baseline"/>
        <w:rPr>
          <w:rFonts w:ascii="Garamond" w:hAnsi="Garamond" w:cs="Arial"/>
          <w:color w:val="093C4D"/>
          <w:sz w:val="23"/>
          <w:szCs w:val="23"/>
        </w:rPr>
      </w:pPr>
      <w:r w:rsidRPr="00DF6ACC">
        <w:rPr>
          <w:rFonts w:ascii="Garamond" w:hAnsi="Garamond" w:cs="Arial"/>
          <w:color w:val="093C4D"/>
          <w:sz w:val="23"/>
          <w:szCs w:val="23"/>
        </w:rPr>
        <w:t>Special Assistance Alternatives</w:t>
      </w:r>
    </w:p>
    <w:p w14:paraId="502C0741" w14:textId="77777777" w:rsidR="00C50B77" w:rsidRPr="00DF6ACC" w:rsidRDefault="00C50B77" w:rsidP="00C50B77">
      <w:pPr>
        <w:pStyle w:val="NormalWeb"/>
        <w:pBdr>
          <w:top w:val="single" w:sz="4" w:space="1" w:color="auto"/>
          <w:left w:val="single" w:sz="4" w:space="17" w:color="auto"/>
          <w:bottom w:val="single" w:sz="4" w:space="1" w:color="auto"/>
          <w:right w:val="single" w:sz="4" w:space="4" w:color="auto"/>
        </w:pBdr>
        <w:spacing w:before="0"/>
        <w:textAlignment w:val="baseline"/>
        <w:rPr>
          <w:rFonts w:ascii="Garamond" w:hAnsi="Garamond"/>
        </w:rPr>
      </w:pPr>
      <w:r w:rsidRPr="00DF6ACC">
        <w:rPr>
          <w:rFonts w:ascii="Garamond" w:hAnsi="Garamond"/>
        </w:rPr>
        <w:t>In an effort to reduce paperwork at the local level, Congress has incorporated into Section 11(a)(1) of the National School Lunch Act three alternative provisions to the normal requirements for annual determinations of eligibility for free and reduced price school meals and daily meal counts by type (free, reduced price and paid meals) at the point of service.</w:t>
      </w:r>
    </w:p>
    <w:p w14:paraId="1249785E" w14:textId="703098DF" w:rsidR="00320804" w:rsidRPr="00320804" w:rsidRDefault="00320804" w:rsidP="00C50B77">
      <w:pPr>
        <w:pStyle w:val="Heading3"/>
        <w:pBdr>
          <w:top w:val="single" w:sz="4" w:space="1" w:color="auto"/>
          <w:left w:val="single" w:sz="4" w:space="17" w:color="auto"/>
          <w:bottom w:val="single" w:sz="4" w:space="1" w:color="auto"/>
          <w:right w:val="single" w:sz="4" w:space="4" w:color="auto"/>
        </w:pBdr>
        <w:shd w:val="clear" w:color="auto" w:fill="FFFFFF"/>
        <w:spacing w:after="0"/>
        <w:textAlignment w:val="baseline"/>
        <w:rPr>
          <w:rFonts w:ascii="Garamond" w:hAnsi="Garamond" w:cs="Arial"/>
          <w:color w:val="093C4D"/>
          <w:sz w:val="23"/>
          <w:szCs w:val="23"/>
        </w:rPr>
      </w:pPr>
      <w:r w:rsidRPr="00320804">
        <w:rPr>
          <w:rFonts w:ascii="Garamond" w:hAnsi="Garamond" w:cs="Arial"/>
          <w:color w:val="093C4D"/>
          <w:sz w:val="23"/>
          <w:szCs w:val="23"/>
        </w:rPr>
        <w:t>Provision 1</w:t>
      </w:r>
    </w:p>
    <w:p w14:paraId="279B6C91" w14:textId="35FE9E89" w:rsidR="00320804" w:rsidRPr="00320804" w:rsidRDefault="00320804" w:rsidP="00C50B77">
      <w:pPr>
        <w:pStyle w:val="NormalWeb"/>
        <w:pBdr>
          <w:top w:val="single" w:sz="4" w:space="1" w:color="auto"/>
          <w:left w:val="single" w:sz="4" w:space="17" w:color="auto"/>
          <w:bottom w:val="single" w:sz="4" w:space="1" w:color="auto"/>
          <w:right w:val="single" w:sz="4" w:space="4" w:color="auto"/>
        </w:pBdr>
        <w:spacing w:before="0"/>
        <w:textAlignment w:val="baseline"/>
        <w:rPr>
          <w:rFonts w:ascii="Garamond" w:hAnsi="Garamond"/>
        </w:rPr>
      </w:pPr>
      <w:r w:rsidRPr="00320804">
        <w:rPr>
          <w:rFonts w:ascii="Garamond" w:hAnsi="Garamond"/>
        </w:rPr>
        <w:t xml:space="preserve">This Provision reduces application burdens by allowing free eligibility to be certified for a </w:t>
      </w:r>
      <w:r w:rsidR="00566B3F" w:rsidRPr="00320804">
        <w:rPr>
          <w:rFonts w:ascii="Garamond" w:hAnsi="Garamond"/>
        </w:rPr>
        <w:t>2-year</w:t>
      </w:r>
      <w:r w:rsidRPr="00320804">
        <w:rPr>
          <w:rFonts w:ascii="Garamond" w:hAnsi="Garamond"/>
        </w:rPr>
        <w:t xml:space="preserve"> period. In schools where at least 80 percent of the children enrolled are eligible for free or reduced price meals, annual notification of program availability and certification of children eligible for free meals may be reduced to once every 2 consecutive school years. All other households must be provided a meal application and are allowed to apply for meal benefits each school year. There is no requirement to serve meals at no charge to all students. Schools must continue to record daily meal counts of the number of meals served to children by type as the basis for calculating reimbursement claims. Provision 1 has been an option for schools since publication of regulations in 1980.</w:t>
      </w:r>
    </w:p>
    <w:p w14:paraId="10A0B5EB" w14:textId="77777777" w:rsidR="00320804" w:rsidRPr="00320804" w:rsidRDefault="00320804" w:rsidP="00C50B77">
      <w:pPr>
        <w:pStyle w:val="Heading3"/>
        <w:pBdr>
          <w:top w:val="single" w:sz="4" w:space="1" w:color="auto"/>
          <w:left w:val="single" w:sz="4" w:space="17" w:color="auto"/>
          <w:bottom w:val="single" w:sz="4" w:space="1" w:color="auto"/>
          <w:right w:val="single" w:sz="4" w:space="4" w:color="auto"/>
        </w:pBdr>
        <w:shd w:val="clear" w:color="auto" w:fill="FFFFFF"/>
        <w:spacing w:after="0"/>
        <w:textAlignment w:val="baseline"/>
        <w:rPr>
          <w:rFonts w:ascii="Garamond" w:hAnsi="Garamond" w:cs="Arial"/>
          <w:color w:val="093C4D"/>
          <w:sz w:val="23"/>
          <w:szCs w:val="23"/>
        </w:rPr>
      </w:pPr>
      <w:r w:rsidRPr="00320804">
        <w:rPr>
          <w:rFonts w:ascii="Garamond" w:hAnsi="Garamond" w:cs="Arial"/>
          <w:color w:val="093C4D"/>
          <w:sz w:val="23"/>
          <w:szCs w:val="23"/>
        </w:rPr>
        <w:t>Provision 2</w:t>
      </w:r>
    </w:p>
    <w:p w14:paraId="006FB78A" w14:textId="07A87910" w:rsidR="00320804" w:rsidRPr="00320804" w:rsidRDefault="00320804" w:rsidP="00C50B77">
      <w:pPr>
        <w:pStyle w:val="NormalWeb"/>
        <w:pBdr>
          <w:top w:val="single" w:sz="4" w:space="1" w:color="auto"/>
          <w:left w:val="single" w:sz="4" w:space="17" w:color="auto"/>
          <w:bottom w:val="single" w:sz="4" w:space="1" w:color="auto"/>
          <w:right w:val="single" w:sz="4" w:space="4" w:color="auto"/>
        </w:pBdr>
        <w:spacing w:before="0"/>
        <w:textAlignment w:val="baseline"/>
        <w:rPr>
          <w:rFonts w:ascii="Garamond" w:hAnsi="Garamond"/>
        </w:rPr>
      </w:pPr>
      <w:r w:rsidRPr="00320804">
        <w:rPr>
          <w:rFonts w:ascii="Garamond" w:hAnsi="Garamond"/>
        </w:rPr>
        <w:t xml:space="preserve">This Provision reduces application burdens and simplifies meal counting and claiming procedures. It allows schools to establish claiming percentages and to serve all meals at no charge for a </w:t>
      </w:r>
      <w:r w:rsidR="00566B3F" w:rsidRPr="00320804">
        <w:rPr>
          <w:rFonts w:ascii="Garamond" w:hAnsi="Garamond"/>
        </w:rPr>
        <w:t>4-year</w:t>
      </w:r>
      <w:r w:rsidRPr="00320804">
        <w:rPr>
          <w:rFonts w:ascii="Garamond" w:hAnsi="Garamond"/>
        </w:rPr>
        <w:t xml:space="preserve"> period. Schools must serve meals to all participating children at no charge for a period of 4 years. During the first year, or base year, the school makes eligibility determinations and takes meal counts by type. During the next 3 years, the school makes no new eligibility determinations and counts only the total number of reimbursable meals served each day. Reimbursement during these years is determined by applying the percentages of free, reduced price and paid meals served during the corresponding month of the base year to the total meal count for the claiming month. The base year is included as part of the 4 years. At the end of each </w:t>
      </w:r>
      <w:r w:rsidR="00566B3F" w:rsidRPr="00320804">
        <w:rPr>
          <w:rFonts w:ascii="Garamond" w:hAnsi="Garamond"/>
        </w:rPr>
        <w:t>4-year</w:t>
      </w:r>
      <w:r w:rsidRPr="00320804">
        <w:rPr>
          <w:rFonts w:ascii="Garamond" w:hAnsi="Garamond"/>
        </w:rPr>
        <w:t xml:space="preserve"> period, the State agency may approve 4 year extensions if the income level of the school’s population remains stable. Schools electing this alternative must pay the difference between Federal reimbursement and the cost of providing all meals at no charge. The money to pay for this difference must be from sources other than Federal funds. Provision 2 has been an option for schools since publication of regulations in 1980.</w:t>
      </w:r>
    </w:p>
    <w:p w14:paraId="58E0E154" w14:textId="77777777" w:rsidR="00320804" w:rsidRPr="00320804" w:rsidRDefault="00320804" w:rsidP="00C50B77">
      <w:pPr>
        <w:pStyle w:val="Heading3"/>
        <w:pBdr>
          <w:top w:val="single" w:sz="4" w:space="1" w:color="auto"/>
          <w:left w:val="single" w:sz="4" w:space="17" w:color="auto"/>
          <w:bottom w:val="single" w:sz="4" w:space="1" w:color="auto"/>
          <w:right w:val="single" w:sz="4" w:space="4" w:color="auto"/>
        </w:pBdr>
        <w:shd w:val="clear" w:color="auto" w:fill="FFFFFF"/>
        <w:spacing w:after="0"/>
        <w:textAlignment w:val="baseline"/>
        <w:rPr>
          <w:rFonts w:ascii="Garamond" w:hAnsi="Garamond" w:cs="Arial"/>
          <w:color w:val="093C4D"/>
          <w:sz w:val="23"/>
          <w:szCs w:val="23"/>
        </w:rPr>
      </w:pPr>
      <w:r w:rsidRPr="00320804">
        <w:rPr>
          <w:rFonts w:ascii="Garamond" w:hAnsi="Garamond" w:cs="Arial"/>
          <w:color w:val="093C4D"/>
          <w:sz w:val="23"/>
          <w:szCs w:val="23"/>
        </w:rPr>
        <w:t>Provision 3</w:t>
      </w:r>
    </w:p>
    <w:p w14:paraId="46313633" w14:textId="4E9C2209" w:rsidR="00320804" w:rsidRPr="00320804" w:rsidRDefault="00320804" w:rsidP="00C50B77">
      <w:pPr>
        <w:pStyle w:val="NormalWeb"/>
        <w:pBdr>
          <w:top w:val="single" w:sz="4" w:space="1" w:color="auto"/>
          <w:left w:val="single" w:sz="4" w:space="17" w:color="auto"/>
          <w:bottom w:val="single" w:sz="4" w:space="1" w:color="auto"/>
          <w:right w:val="single" w:sz="4" w:space="4" w:color="auto"/>
        </w:pBdr>
        <w:spacing w:before="0"/>
        <w:textAlignment w:val="baseline"/>
        <w:rPr>
          <w:rFonts w:ascii="Garamond" w:hAnsi="Garamond"/>
        </w:rPr>
      </w:pPr>
      <w:r w:rsidRPr="00320804">
        <w:rPr>
          <w:rFonts w:ascii="Garamond" w:hAnsi="Garamond"/>
        </w:rPr>
        <w:t xml:space="preserve">This Provision reduces application burdens and meal counting and claiming procedures. It allows schools to simply receive the same level of Federal cash and commodity assistance each year, with some adjustments, for a </w:t>
      </w:r>
      <w:r w:rsidR="00566B3F" w:rsidRPr="00320804">
        <w:rPr>
          <w:rFonts w:ascii="Garamond" w:hAnsi="Garamond"/>
        </w:rPr>
        <w:t>4-year</w:t>
      </w:r>
      <w:r w:rsidRPr="00320804">
        <w:rPr>
          <w:rFonts w:ascii="Garamond" w:hAnsi="Garamond"/>
        </w:rPr>
        <w:t xml:space="preserve"> period. Schools must serve meals to all participating children at no charge for a period of 4 years. These schools do not make additional eligibility determinations. Instead, they receive the level of Federal cash and commodity support paid to them for the last year in which they made eligibility determinations and meal counts by type, this is the base year. For each of the 4 years, the level of Federal cash and commodity support is adjusted to reflect changes in enrollment and inflation. The base year is not included as part of the 4 years. At the end of each </w:t>
      </w:r>
      <w:r w:rsidR="00566B3F" w:rsidRPr="00320804">
        <w:rPr>
          <w:rFonts w:ascii="Garamond" w:hAnsi="Garamond"/>
        </w:rPr>
        <w:t>4-year</w:t>
      </w:r>
      <w:r w:rsidRPr="00320804">
        <w:rPr>
          <w:rFonts w:ascii="Garamond" w:hAnsi="Garamond"/>
        </w:rPr>
        <w:t xml:space="preserve"> period, the State agency may approve 4 year extensions if the income level of the school’s population remains stable. Schools electing this alternative must pay the difference between Federal reimbursement and the cost of providing all meals at no charge. The money to pay for this difference must be from sources other than Federal funds. Provision 3 has been an option for schools since 1995 through an implementing memorandum.</w:t>
      </w:r>
    </w:p>
    <w:p w14:paraId="68F909EF" w14:textId="77777777" w:rsidR="00320804" w:rsidRPr="00320804" w:rsidRDefault="00320804" w:rsidP="00C50B77">
      <w:pPr>
        <w:pStyle w:val="L1-FlLSp12"/>
        <w:pBdr>
          <w:top w:val="single" w:sz="4" w:space="1" w:color="auto"/>
          <w:left w:val="single" w:sz="4" w:space="17" w:color="auto"/>
          <w:bottom w:val="single" w:sz="4" w:space="1" w:color="auto"/>
          <w:right w:val="single" w:sz="4" w:space="4" w:color="auto"/>
        </w:pBdr>
        <w:rPr>
          <w:b/>
          <w:sz w:val="20"/>
        </w:rPr>
      </w:pPr>
      <w:r w:rsidRPr="00320804">
        <w:rPr>
          <w:b/>
          <w:sz w:val="20"/>
        </w:rPr>
        <w:t>Source: https://www.fns.usda.gov/school-meals/provisions-1-2-and-3</w:t>
      </w:r>
    </w:p>
    <w:p w14:paraId="047CF76B" w14:textId="2036733B" w:rsidR="00677A6E" w:rsidRPr="00677A6E" w:rsidRDefault="00677A6E" w:rsidP="00677A6E">
      <w:pPr>
        <w:pStyle w:val="L1-FlLSp12"/>
        <w:rPr>
          <w:i/>
        </w:rPr>
      </w:pPr>
      <w:r w:rsidRPr="00677A6E">
        <w:rPr>
          <w:i/>
        </w:rPr>
        <w:lastRenderedPageBreak/>
        <w:t>NASS Comment #3. In Tables 3-1 and 4-1 in Appendix N, you reference FNS regions, but they are not defined anywhere in the docket. Please define these regions.</w:t>
      </w:r>
    </w:p>
    <w:p w14:paraId="63EF5CFF" w14:textId="77777777" w:rsidR="00677A6E" w:rsidRDefault="00677A6E" w:rsidP="00677A6E">
      <w:pPr>
        <w:pStyle w:val="L1-FlLSp12"/>
      </w:pPr>
    </w:p>
    <w:p w14:paraId="70CF962C" w14:textId="29C05689" w:rsidR="00677A6E" w:rsidRDefault="00677A6E" w:rsidP="00E60107">
      <w:pPr>
        <w:pStyle w:val="L1-FlLSp12"/>
      </w:pPr>
      <w:r>
        <w:t xml:space="preserve">The </w:t>
      </w:r>
      <w:r w:rsidR="00E60107">
        <w:t>revised OMB</w:t>
      </w:r>
      <w:r w:rsidR="0034223C">
        <w:t xml:space="preserve"> Package defines the </w:t>
      </w:r>
      <w:r w:rsidR="00637D86">
        <w:t xml:space="preserve">seven </w:t>
      </w:r>
      <w:r w:rsidR="0034223C">
        <w:t xml:space="preserve">FNS regions in </w:t>
      </w:r>
      <w:r w:rsidR="003773BF">
        <w:t>a note</w:t>
      </w:r>
      <w:r w:rsidR="000946BD">
        <w:t xml:space="preserve"> at the beginning of Appendix P</w:t>
      </w:r>
      <w:r w:rsidR="003773BF">
        <w:t xml:space="preserve"> APEC III SFA Sample Selection Memo</w:t>
      </w:r>
      <w:r w:rsidR="00E60107">
        <w:t xml:space="preserve"> (formerly Appendix N)</w:t>
      </w:r>
      <w:r w:rsidR="0034223C">
        <w:t xml:space="preserve">. </w:t>
      </w:r>
      <w:r w:rsidR="00637D86">
        <w:t xml:space="preserve"> They are also defined below. </w:t>
      </w:r>
    </w:p>
    <w:p w14:paraId="52C49618" w14:textId="77777777" w:rsidR="00BB6280" w:rsidRDefault="00BB6280" w:rsidP="00E60107">
      <w:pPr>
        <w:pStyle w:val="L1-FlLSp12"/>
      </w:pPr>
    </w:p>
    <w:p w14:paraId="431E614F" w14:textId="7EEA940C" w:rsidR="00BB6280" w:rsidRDefault="00BB6280" w:rsidP="00E60107">
      <w:pPr>
        <w:pStyle w:val="L1-FlLSp12"/>
      </w:pPr>
      <w:r>
        <w:rPr>
          <w:noProof/>
        </w:rPr>
        <mc:AlternateContent>
          <mc:Choice Requires="wps">
            <w:drawing>
              <wp:anchor distT="0" distB="0" distL="114300" distR="114300" simplePos="0" relativeHeight="251659264" behindDoc="0" locked="0" layoutInCell="1" allowOverlap="1" wp14:anchorId="083E7DC2" wp14:editId="131B79DB">
                <wp:simplePos x="0" y="0"/>
                <wp:positionH relativeFrom="column">
                  <wp:posOffset>101379</wp:posOffset>
                </wp:positionH>
                <wp:positionV relativeFrom="paragraph">
                  <wp:posOffset>141964</wp:posOffset>
                </wp:positionV>
                <wp:extent cx="5454595" cy="3991555"/>
                <wp:effectExtent l="0" t="0" r="13335" b="28575"/>
                <wp:wrapNone/>
                <wp:docPr id="2" name="Text Box 2"/>
                <wp:cNvGraphicFramePr/>
                <a:graphic xmlns:a="http://schemas.openxmlformats.org/drawingml/2006/main">
                  <a:graphicData uri="http://schemas.microsoft.com/office/word/2010/wordprocessingShape">
                    <wps:wsp>
                      <wps:cNvSpPr txBox="1"/>
                      <wps:spPr>
                        <a:xfrm>
                          <a:off x="0" y="0"/>
                          <a:ext cx="5454595" cy="3991555"/>
                        </a:xfrm>
                        <a:prstGeom prst="rect">
                          <a:avLst/>
                        </a:prstGeom>
                        <a:solidFill>
                          <a:schemeClr val="lt1"/>
                        </a:solidFill>
                        <a:ln w="6350">
                          <a:solidFill>
                            <a:prstClr val="black"/>
                          </a:solidFill>
                        </a:ln>
                      </wps:spPr>
                      <wps:txbx>
                        <w:txbxContent>
                          <w:p w14:paraId="7046F2E5"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Mid-Atlantic Region (MARO)—Delaware, District of Columbia, Maryland, New Jersey, Pennsylvania, Puerto Rico, Virgin Islands, Virginia, West Virginia </w:t>
                            </w:r>
                          </w:p>
                          <w:p w14:paraId="6CE12DC1" w14:textId="77777777" w:rsidR="00BB6280" w:rsidRDefault="00BB6280" w:rsidP="00BB6280">
                            <w:pPr>
                              <w:pStyle w:val="Default"/>
                              <w:rPr>
                                <w:rFonts w:ascii="Garamond" w:eastAsia="Times New Roman" w:hAnsi="Garamond"/>
                                <w:color w:val="auto"/>
                                <w:szCs w:val="20"/>
                              </w:rPr>
                            </w:pPr>
                          </w:p>
                          <w:p w14:paraId="15A53AFA" w14:textId="77777777" w:rsidR="00BB6280"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Midwest Region (MWRO)—Illinois, Indiana, Michigan, Minnesota, Ohio, Wisconsin </w:t>
                            </w:r>
                          </w:p>
                          <w:p w14:paraId="7ED45804" w14:textId="77777777" w:rsidR="00BB6280" w:rsidRPr="00637D86" w:rsidRDefault="00BB6280" w:rsidP="00BB6280">
                            <w:pPr>
                              <w:pStyle w:val="Default"/>
                              <w:ind w:left="720"/>
                              <w:rPr>
                                <w:rFonts w:ascii="Garamond" w:eastAsia="Times New Roman" w:hAnsi="Garamond"/>
                                <w:color w:val="auto"/>
                                <w:szCs w:val="20"/>
                              </w:rPr>
                            </w:pPr>
                          </w:p>
                          <w:p w14:paraId="3341916F"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Mountain Plains Region (MPRO)—Colorado, Iowa, Kansas, Missouri, Montana, Nebraska, North Dakota, South Dakota, Utah, Wyoming </w:t>
                            </w:r>
                          </w:p>
                          <w:p w14:paraId="75750C17" w14:textId="77777777" w:rsidR="00BB6280" w:rsidRDefault="00BB6280" w:rsidP="00BB6280">
                            <w:pPr>
                              <w:pStyle w:val="Default"/>
                              <w:rPr>
                                <w:rFonts w:ascii="Garamond" w:eastAsia="Times New Roman" w:hAnsi="Garamond"/>
                                <w:color w:val="auto"/>
                                <w:szCs w:val="20"/>
                              </w:rPr>
                            </w:pPr>
                          </w:p>
                          <w:p w14:paraId="265DB41C"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Northeast Region (NERO)—Connecticut, Maine, Massachusetts, New Hampshire, New York, Rhode Island, Vermont </w:t>
                            </w:r>
                          </w:p>
                          <w:p w14:paraId="73D3636C" w14:textId="77777777" w:rsidR="00BB6280" w:rsidRDefault="00BB6280" w:rsidP="00BB6280">
                            <w:pPr>
                              <w:pStyle w:val="Default"/>
                              <w:rPr>
                                <w:rFonts w:ascii="Garamond" w:eastAsia="Times New Roman" w:hAnsi="Garamond"/>
                                <w:color w:val="auto"/>
                                <w:szCs w:val="20"/>
                              </w:rPr>
                            </w:pPr>
                          </w:p>
                          <w:p w14:paraId="0F9A0A7E"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Southeast Region (SERO)—Alabama, Florida, Georgia, Kentucky, Mississippi, North Carolina, South Carolina, Tennessee </w:t>
                            </w:r>
                          </w:p>
                          <w:p w14:paraId="239138C0" w14:textId="77777777" w:rsidR="00BB6280" w:rsidRDefault="00BB6280" w:rsidP="00BB6280">
                            <w:pPr>
                              <w:pStyle w:val="Default"/>
                              <w:rPr>
                                <w:rFonts w:ascii="Garamond" w:eastAsia="Times New Roman" w:hAnsi="Garamond"/>
                                <w:color w:val="auto"/>
                                <w:szCs w:val="20"/>
                              </w:rPr>
                            </w:pPr>
                          </w:p>
                          <w:p w14:paraId="153AE157"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Southwest Region (SWRO)—Arkansas, Louisiana, New Mexico, Oklahoma, Texas </w:t>
                            </w:r>
                          </w:p>
                          <w:p w14:paraId="0EE373F1" w14:textId="77777777" w:rsidR="00BB6280" w:rsidRDefault="00BB6280" w:rsidP="00BB6280">
                            <w:pPr>
                              <w:pStyle w:val="Default"/>
                              <w:rPr>
                                <w:rFonts w:ascii="Garamond" w:eastAsia="Times New Roman" w:hAnsi="Garamond"/>
                                <w:color w:val="auto"/>
                                <w:szCs w:val="20"/>
                              </w:rPr>
                            </w:pPr>
                          </w:p>
                          <w:p w14:paraId="46E393E8" w14:textId="77777777" w:rsidR="00BB6280"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Western Region (WRO)—Alaska, American Samoa, Arizona, California, Guam, Hawaii, Idaho, Northern Mariana Islands, Nevada, Oregon, Washington </w:t>
                            </w:r>
                          </w:p>
                          <w:p w14:paraId="23ADFD54" w14:textId="77777777" w:rsidR="00BB6280" w:rsidRPr="00637D86" w:rsidRDefault="00BB6280" w:rsidP="00BB6280">
                            <w:pPr>
                              <w:pStyle w:val="Default"/>
                              <w:rPr>
                                <w:rFonts w:ascii="Garamond" w:eastAsia="Times New Roman" w:hAnsi="Garamond"/>
                                <w:color w:val="auto"/>
                                <w:szCs w:val="20"/>
                              </w:rPr>
                            </w:pPr>
                          </w:p>
                          <w:p w14:paraId="64DC5562" w14:textId="77777777" w:rsidR="00BB6280" w:rsidRPr="00BB6280" w:rsidRDefault="00BB6280" w:rsidP="00BB6280">
                            <w:pPr>
                              <w:pStyle w:val="Default"/>
                              <w:rPr>
                                <w:b/>
                                <w:color w:val="auto"/>
                                <w:sz w:val="20"/>
                                <w:szCs w:val="20"/>
                              </w:rPr>
                            </w:pPr>
                            <w:r w:rsidRPr="00BB6280">
                              <w:rPr>
                                <w:b/>
                                <w:color w:val="auto"/>
                                <w:sz w:val="20"/>
                                <w:szCs w:val="20"/>
                              </w:rPr>
                              <w:t xml:space="preserve">Source: https://www.fns.usda.gov/fns-regional-offices </w:t>
                            </w:r>
                          </w:p>
                          <w:p w14:paraId="5B5B13B6" w14:textId="77777777" w:rsidR="00BB6280" w:rsidRDefault="00BB62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3E7DC2" id="_x0000_t202" coordsize="21600,21600" o:spt="202" path="m,l,21600r21600,l21600,xe">
                <v:stroke joinstyle="miter"/>
                <v:path gradientshapeok="t" o:connecttype="rect"/>
              </v:shapetype>
              <v:shape id="Text Box 2" o:spid="_x0000_s1026" type="#_x0000_t202" style="position:absolute;margin-left:8pt;margin-top:11.2pt;width:429.5pt;height:314.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" fillcolor="white [3201]" strokeweight=".5pt">
                <v:textbox>
                  <w:txbxContent>
                    <w:p w14:paraId="7046F2E5"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Mid-Atlantic Region (MARO)—Delaware, District of Columbia, Maryland, New Jersey, Pennsylvania, Puerto Rico, Virgin Islands, Virginia, West Virginia </w:t>
                      </w:r>
                    </w:p>
                    <w:p w14:paraId="6CE12DC1" w14:textId="77777777" w:rsidR="00BB6280" w:rsidRDefault="00BB6280" w:rsidP="00BB6280">
                      <w:pPr>
                        <w:pStyle w:val="Default"/>
                        <w:rPr>
                          <w:rFonts w:ascii="Garamond" w:eastAsia="Times New Roman" w:hAnsi="Garamond"/>
                          <w:color w:val="auto"/>
                          <w:szCs w:val="20"/>
                        </w:rPr>
                      </w:pPr>
                    </w:p>
                    <w:p w14:paraId="15A53AFA" w14:textId="77777777" w:rsidR="00BB6280"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Midwest Region (MWRO)—Illinois, Indiana, Michigan, Minnesota, Ohio, Wisconsin </w:t>
                      </w:r>
                    </w:p>
                    <w:p w14:paraId="7ED45804" w14:textId="77777777" w:rsidR="00BB6280" w:rsidRPr="00637D86" w:rsidRDefault="00BB6280" w:rsidP="00BB6280">
                      <w:pPr>
                        <w:pStyle w:val="Default"/>
                        <w:ind w:left="720"/>
                        <w:rPr>
                          <w:rFonts w:ascii="Garamond" w:eastAsia="Times New Roman" w:hAnsi="Garamond"/>
                          <w:color w:val="auto"/>
                          <w:szCs w:val="20"/>
                        </w:rPr>
                      </w:pPr>
                    </w:p>
                    <w:p w14:paraId="3341916F"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Mountain Plains Region (MPRO)—Colorado, Iowa, Kansas, Missouri, Montana, Nebraska, North Dakota, South Dakota, Utah, Wyoming </w:t>
                      </w:r>
                    </w:p>
                    <w:p w14:paraId="75750C17" w14:textId="77777777" w:rsidR="00BB6280" w:rsidRDefault="00BB6280" w:rsidP="00BB6280">
                      <w:pPr>
                        <w:pStyle w:val="Default"/>
                        <w:rPr>
                          <w:rFonts w:ascii="Garamond" w:eastAsia="Times New Roman" w:hAnsi="Garamond"/>
                          <w:color w:val="auto"/>
                          <w:szCs w:val="20"/>
                        </w:rPr>
                      </w:pPr>
                    </w:p>
                    <w:p w14:paraId="265DB41C"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Northeast Region (NERO)—Connecticut, Maine, Massachusetts, New Hampshire, New York, Rhode Island, Vermont </w:t>
                      </w:r>
                    </w:p>
                    <w:p w14:paraId="73D3636C" w14:textId="77777777" w:rsidR="00BB6280" w:rsidRDefault="00BB6280" w:rsidP="00BB6280">
                      <w:pPr>
                        <w:pStyle w:val="Default"/>
                        <w:rPr>
                          <w:rFonts w:ascii="Garamond" w:eastAsia="Times New Roman" w:hAnsi="Garamond"/>
                          <w:color w:val="auto"/>
                          <w:szCs w:val="20"/>
                        </w:rPr>
                      </w:pPr>
                    </w:p>
                    <w:p w14:paraId="0F9A0A7E"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Southeast Region (SERO)—Alabama, Florida, Georgia, Kentucky, Mississippi, North Carolina, South Carolina, Tennessee </w:t>
                      </w:r>
                    </w:p>
                    <w:p w14:paraId="239138C0" w14:textId="77777777" w:rsidR="00BB6280" w:rsidRDefault="00BB6280" w:rsidP="00BB6280">
                      <w:pPr>
                        <w:pStyle w:val="Default"/>
                        <w:rPr>
                          <w:rFonts w:ascii="Garamond" w:eastAsia="Times New Roman" w:hAnsi="Garamond"/>
                          <w:color w:val="auto"/>
                          <w:szCs w:val="20"/>
                        </w:rPr>
                      </w:pPr>
                    </w:p>
                    <w:p w14:paraId="153AE157" w14:textId="77777777" w:rsidR="00BB6280" w:rsidRPr="00637D86"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Southwest Region (SWRO)—Arkansas, Louisiana, New Mexico, Oklahoma, Texas </w:t>
                      </w:r>
                    </w:p>
                    <w:p w14:paraId="0EE373F1" w14:textId="77777777" w:rsidR="00BB6280" w:rsidRDefault="00BB6280" w:rsidP="00BB6280">
                      <w:pPr>
                        <w:pStyle w:val="Default"/>
                        <w:rPr>
                          <w:rFonts w:ascii="Garamond" w:eastAsia="Times New Roman" w:hAnsi="Garamond"/>
                          <w:color w:val="auto"/>
                          <w:szCs w:val="20"/>
                        </w:rPr>
                      </w:pPr>
                    </w:p>
                    <w:p w14:paraId="46E393E8" w14:textId="77777777" w:rsidR="00BB6280" w:rsidRDefault="00BB6280" w:rsidP="00BB6280">
                      <w:pPr>
                        <w:pStyle w:val="Default"/>
                        <w:numPr>
                          <w:ilvl w:val="0"/>
                          <w:numId w:val="33"/>
                        </w:numPr>
                        <w:rPr>
                          <w:rFonts w:ascii="Garamond" w:eastAsia="Times New Roman" w:hAnsi="Garamond"/>
                          <w:color w:val="auto"/>
                          <w:szCs w:val="20"/>
                        </w:rPr>
                      </w:pPr>
                      <w:r w:rsidRPr="00637D86">
                        <w:rPr>
                          <w:rFonts w:ascii="Garamond" w:eastAsia="Times New Roman" w:hAnsi="Garamond"/>
                          <w:color w:val="auto"/>
                          <w:szCs w:val="20"/>
                        </w:rPr>
                        <w:t xml:space="preserve">Western Region (WRO)—Alaska, American Samoa, Arizona, California, Guam, Hawaii, Idaho, Northern Mariana Islands, Nevada, Oregon, Washington </w:t>
                      </w:r>
                    </w:p>
                    <w:p w14:paraId="23ADFD54" w14:textId="77777777" w:rsidR="00BB6280" w:rsidRPr="00637D86" w:rsidRDefault="00BB6280" w:rsidP="00BB6280">
                      <w:pPr>
                        <w:pStyle w:val="Default"/>
                        <w:rPr>
                          <w:rFonts w:ascii="Garamond" w:eastAsia="Times New Roman" w:hAnsi="Garamond"/>
                          <w:color w:val="auto"/>
                          <w:szCs w:val="20"/>
                        </w:rPr>
                      </w:pPr>
                    </w:p>
                    <w:p w14:paraId="64DC5562" w14:textId="77777777" w:rsidR="00BB6280" w:rsidRPr="00BB6280" w:rsidRDefault="00BB6280" w:rsidP="00BB6280">
                      <w:pPr>
                        <w:pStyle w:val="Default"/>
                        <w:rPr>
                          <w:b/>
                          <w:color w:val="auto"/>
                          <w:sz w:val="20"/>
                          <w:szCs w:val="20"/>
                        </w:rPr>
                      </w:pPr>
                      <w:r w:rsidRPr="00BB6280">
                        <w:rPr>
                          <w:b/>
                          <w:color w:val="auto"/>
                          <w:sz w:val="20"/>
                          <w:szCs w:val="20"/>
                        </w:rPr>
                        <w:t xml:space="preserve">Source: https://www.fns.usda.gov/fns-regional-offices </w:t>
                      </w:r>
                    </w:p>
                    <w:p w14:paraId="5B5B13B6" w14:textId="77777777" w:rsidR="00BB6280" w:rsidRDefault="00BB6280"/>
                  </w:txbxContent>
                </v:textbox>
              </v:shape>
            </w:pict>
          </mc:Fallback>
        </mc:AlternateContent>
      </w:r>
    </w:p>
    <w:p w14:paraId="7DCBE41A" w14:textId="198AE039" w:rsidR="00BB6280" w:rsidRDefault="00BB6280" w:rsidP="00E60107">
      <w:pPr>
        <w:pStyle w:val="L1-FlLSp12"/>
      </w:pPr>
    </w:p>
    <w:p w14:paraId="7FC8B389" w14:textId="77777777" w:rsidR="00BB6280" w:rsidRDefault="00BB6280" w:rsidP="00E60107">
      <w:pPr>
        <w:pStyle w:val="L1-FlLSp12"/>
      </w:pPr>
    </w:p>
    <w:p w14:paraId="0FC47540" w14:textId="4F83CCA7" w:rsidR="00637D86" w:rsidRDefault="00637D86" w:rsidP="00E60107">
      <w:pPr>
        <w:pStyle w:val="L1-FlLSp12"/>
      </w:pPr>
    </w:p>
    <w:p w14:paraId="2ED55D5D" w14:textId="77777777" w:rsidR="00637D86" w:rsidRDefault="00637D86" w:rsidP="00637D86">
      <w:pPr>
        <w:pStyle w:val="Default"/>
        <w:rPr>
          <w:color w:val="auto"/>
        </w:rPr>
      </w:pPr>
    </w:p>
    <w:p w14:paraId="66C119A2" w14:textId="02D66CF7" w:rsidR="00677A6E" w:rsidRDefault="00677A6E" w:rsidP="00677A6E">
      <w:pPr>
        <w:pStyle w:val="L1-FlLSp12"/>
      </w:pPr>
    </w:p>
    <w:p w14:paraId="25CF5CE0" w14:textId="77777777" w:rsidR="00BB6280" w:rsidRDefault="00BB6280" w:rsidP="00677A6E">
      <w:pPr>
        <w:pStyle w:val="L1-FlLSp12"/>
        <w:rPr>
          <w:i/>
        </w:rPr>
      </w:pPr>
    </w:p>
    <w:p w14:paraId="38DC0DC7" w14:textId="77777777" w:rsidR="00BB6280" w:rsidRDefault="00BB6280" w:rsidP="00677A6E">
      <w:pPr>
        <w:pStyle w:val="L1-FlLSp12"/>
        <w:rPr>
          <w:i/>
        </w:rPr>
      </w:pPr>
    </w:p>
    <w:p w14:paraId="1AE7B06F" w14:textId="77777777" w:rsidR="00BB6280" w:rsidRDefault="00BB6280" w:rsidP="00677A6E">
      <w:pPr>
        <w:pStyle w:val="L1-FlLSp12"/>
        <w:rPr>
          <w:i/>
        </w:rPr>
      </w:pPr>
    </w:p>
    <w:p w14:paraId="41D055C4" w14:textId="77777777" w:rsidR="00BB6280" w:rsidRDefault="00BB6280" w:rsidP="00677A6E">
      <w:pPr>
        <w:pStyle w:val="L1-FlLSp12"/>
        <w:rPr>
          <w:i/>
        </w:rPr>
      </w:pPr>
    </w:p>
    <w:p w14:paraId="17817B68" w14:textId="77777777" w:rsidR="00BB6280" w:rsidRDefault="00BB6280" w:rsidP="00677A6E">
      <w:pPr>
        <w:pStyle w:val="L1-FlLSp12"/>
        <w:rPr>
          <w:i/>
        </w:rPr>
      </w:pPr>
    </w:p>
    <w:p w14:paraId="03BC696E" w14:textId="77777777" w:rsidR="00BB6280" w:rsidRDefault="00BB6280" w:rsidP="00677A6E">
      <w:pPr>
        <w:pStyle w:val="L1-FlLSp12"/>
        <w:rPr>
          <w:i/>
        </w:rPr>
      </w:pPr>
    </w:p>
    <w:p w14:paraId="164BE8C7" w14:textId="77777777" w:rsidR="00BB6280" w:rsidRDefault="00BB6280" w:rsidP="00677A6E">
      <w:pPr>
        <w:pStyle w:val="L1-FlLSp12"/>
        <w:rPr>
          <w:i/>
        </w:rPr>
      </w:pPr>
    </w:p>
    <w:p w14:paraId="5D41ADE2" w14:textId="77777777" w:rsidR="00BB6280" w:rsidRDefault="00BB6280" w:rsidP="00677A6E">
      <w:pPr>
        <w:pStyle w:val="L1-FlLSp12"/>
        <w:rPr>
          <w:i/>
        </w:rPr>
      </w:pPr>
    </w:p>
    <w:p w14:paraId="391AABBD" w14:textId="77777777" w:rsidR="00BB6280" w:rsidRDefault="00BB6280" w:rsidP="00677A6E">
      <w:pPr>
        <w:pStyle w:val="L1-FlLSp12"/>
        <w:rPr>
          <w:i/>
        </w:rPr>
      </w:pPr>
    </w:p>
    <w:p w14:paraId="351E3955" w14:textId="77777777" w:rsidR="00BB6280" w:rsidRDefault="00BB6280" w:rsidP="00677A6E">
      <w:pPr>
        <w:pStyle w:val="L1-FlLSp12"/>
        <w:rPr>
          <w:i/>
        </w:rPr>
      </w:pPr>
    </w:p>
    <w:p w14:paraId="143DC7B6" w14:textId="77777777" w:rsidR="00BB6280" w:rsidRDefault="00BB6280" w:rsidP="00677A6E">
      <w:pPr>
        <w:pStyle w:val="L1-FlLSp12"/>
        <w:rPr>
          <w:i/>
        </w:rPr>
      </w:pPr>
    </w:p>
    <w:p w14:paraId="03809151" w14:textId="77777777" w:rsidR="00BB6280" w:rsidRDefault="00BB6280" w:rsidP="00677A6E">
      <w:pPr>
        <w:pStyle w:val="L1-FlLSp12"/>
        <w:rPr>
          <w:i/>
        </w:rPr>
      </w:pPr>
    </w:p>
    <w:p w14:paraId="513FD4F8" w14:textId="5FA60671" w:rsidR="00BB6280" w:rsidRDefault="00BB6280">
      <w:pPr>
        <w:spacing w:line="240" w:lineRule="auto"/>
        <w:rPr>
          <w:i/>
        </w:rPr>
      </w:pPr>
    </w:p>
    <w:p w14:paraId="0789B7A3" w14:textId="77777777" w:rsidR="00BB6280" w:rsidRDefault="00BB6280" w:rsidP="00677A6E">
      <w:pPr>
        <w:pStyle w:val="L1-FlLSp12"/>
        <w:rPr>
          <w:i/>
        </w:rPr>
      </w:pPr>
    </w:p>
    <w:p w14:paraId="6F68FE02" w14:textId="77777777" w:rsidR="00BB6280" w:rsidRDefault="00BB6280" w:rsidP="00677A6E">
      <w:pPr>
        <w:pStyle w:val="L1-FlLSp12"/>
        <w:rPr>
          <w:i/>
        </w:rPr>
      </w:pPr>
    </w:p>
    <w:p w14:paraId="5F4A4F67" w14:textId="1006C966" w:rsidR="00677A6E" w:rsidRPr="00677A6E" w:rsidRDefault="00677A6E" w:rsidP="00677A6E">
      <w:pPr>
        <w:pStyle w:val="L1-FlLSp12"/>
        <w:rPr>
          <w:i/>
        </w:rPr>
      </w:pPr>
      <w:r w:rsidRPr="00677A6E">
        <w:rPr>
          <w:i/>
        </w:rPr>
        <w:t>NASS Comment #4. For those documents provided in English and Spanish, I have only reviewed and made comments on the English versions.</w:t>
      </w:r>
    </w:p>
    <w:p w14:paraId="5366AA7C" w14:textId="77777777" w:rsidR="00677A6E" w:rsidRDefault="00677A6E" w:rsidP="00677A6E">
      <w:pPr>
        <w:pStyle w:val="L1-FlLSp12"/>
      </w:pPr>
    </w:p>
    <w:p w14:paraId="24A73BE7" w14:textId="7F04696D" w:rsidR="00677A6E" w:rsidRDefault="0034223C" w:rsidP="00FA286E">
      <w:pPr>
        <w:pStyle w:val="L1-FlLSp12"/>
      </w:pPr>
      <w:r>
        <w:t xml:space="preserve">Westat </w:t>
      </w:r>
      <w:r w:rsidR="00677A6E">
        <w:t>applied requested revisions to both the English and Spanish versions as appropriate.</w:t>
      </w:r>
    </w:p>
    <w:p w14:paraId="45039EFB" w14:textId="77777777" w:rsidR="00677A6E" w:rsidRDefault="00677A6E" w:rsidP="00677A6E">
      <w:pPr>
        <w:pStyle w:val="L1-FlLSp12"/>
        <w:tabs>
          <w:tab w:val="clear" w:pos="1152"/>
          <w:tab w:val="left" w:pos="720"/>
        </w:tabs>
      </w:pPr>
    </w:p>
    <w:p w14:paraId="36ECAD2B" w14:textId="77777777" w:rsidR="00BB6280" w:rsidRDefault="00BB6280">
      <w:pPr>
        <w:spacing w:line="240" w:lineRule="auto"/>
        <w:rPr>
          <w:rFonts w:ascii="Franklin Gothic Medium" w:hAnsi="Franklin Gothic Medium"/>
          <w:b/>
          <w:color w:val="324162"/>
          <w:sz w:val="28"/>
        </w:rPr>
      </w:pPr>
      <w:r>
        <w:br w:type="page"/>
      </w:r>
    </w:p>
    <w:p w14:paraId="705B206B" w14:textId="59F569E7" w:rsidR="00AD2744" w:rsidRPr="00AA5C67" w:rsidRDefault="00AD2744" w:rsidP="00AD2744">
      <w:pPr>
        <w:pStyle w:val="Heading2"/>
      </w:pPr>
      <w:r>
        <w:lastRenderedPageBreak/>
        <w:t>H.3</w:t>
      </w:r>
      <w:r w:rsidRPr="00AA5C67">
        <w:tab/>
      </w:r>
      <w:r>
        <w:t>Response to Appendix Comments</w:t>
      </w:r>
      <w:r w:rsidRPr="00AA5C67">
        <w:t xml:space="preserve"> </w:t>
      </w:r>
    </w:p>
    <w:p w14:paraId="65D9EA3A" w14:textId="0DF11BD5" w:rsidR="005E18C6" w:rsidRDefault="00101A73" w:rsidP="00FA286E">
      <w:pPr>
        <w:pStyle w:val="L1-FlLSp12"/>
      </w:pPr>
      <w:r>
        <w:t>The NASS comments to appendi</w:t>
      </w:r>
      <w:r w:rsidR="0034223C">
        <w:t>ces generally fell into one of four categories including:</w:t>
      </w:r>
      <w:r>
        <w:t xml:space="preserve"> </w:t>
      </w:r>
      <w:r w:rsidR="00D2127F">
        <w:t xml:space="preserve">a) </w:t>
      </w:r>
      <w:r w:rsidR="0034223C">
        <w:t xml:space="preserve">editorial typos, b) definition of terms, c) process clarification, and d) consolidation of appendices. </w:t>
      </w:r>
    </w:p>
    <w:p w14:paraId="75C56BAE" w14:textId="71D7EDA2" w:rsidR="005E18C6" w:rsidRDefault="005E18C6" w:rsidP="00FA286E">
      <w:pPr>
        <w:pStyle w:val="L1-FlLSp12"/>
      </w:pPr>
    </w:p>
    <w:p w14:paraId="257817DB" w14:textId="59EA6655" w:rsidR="00FF12D3" w:rsidRDefault="005E18C6" w:rsidP="005E18C6">
      <w:pPr>
        <w:pStyle w:val="L1-FlLSp12"/>
      </w:pPr>
      <w:r>
        <w:t xml:space="preserve">The editorial suggestions </w:t>
      </w:r>
      <w:r w:rsidR="00FF12D3">
        <w:t xml:space="preserve">within the appendices </w:t>
      </w:r>
      <w:r>
        <w:t xml:space="preserve">were applied. In addition, the </w:t>
      </w:r>
      <w:r w:rsidR="00FF12D3">
        <w:t xml:space="preserve">appendices were submitted to an independent review for final QC to ensure that no editorial typos remain within the package. </w:t>
      </w:r>
    </w:p>
    <w:p w14:paraId="5B74AE9D" w14:textId="77777777" w:rsidR="005E18C6" w:rsidRDefault="005E18C6" w:rsidP="005E18C6">
      <w:pPr>
        <w:pStyle w:val="L1-FlLSp12"/>
      </w:pPr>
    </w:p>
    <w:p w14:paraId="7A872F8D" w14:textId="33BB7CC5" w:rsidR="005E18C6" w:rsidRDefault="005E18C6" w:rsidP="005E18C6">
      <w:pPr>
        <w:pStyle w:val="L1-FlLSp12"/>
      </w:pPr>
      <w:r>
        <w:t>Westat defined specific terms as appropriate and revised or added text to clarify any data collection process</w:t>
      </w:r>
      <w:r w:rsidR="00FD1876">
        <w:t xml:space="preserve">. </w:t>
      </w:r>
      <w:r>
        <w:t xml:space="preserve">For example, within specific appendices, Westat revised the summary section and added text for clarification and/or instruction to the data collector. </w:t>
      </w:r>
    </w:p>
    <w:p w14:paraId="1793265F" w14:textId="77777777" w:rsidR="00FA286E" w:rsidRDefault="00FA286E" w:rsidP="00FA286E">
      <w:pPr>
        <w:spacing w:line="240" w:lineRule="auto"/>
      </w:pPr>
    </w:p>
    <w:p w14:paraId="637722DD" w14:textId="50B18293" w:rsidR="003773BF" w:rsidRDefault="0034223C" w:rsidP="00D2127F">
      <w:pPr>
        <w:pStyle w:val="L1-FlLSp12"/>
        <w:tabs>
          <w:tab w:val="clear" w:pos="1152"/>
          <w:tab w:val="left" w:pos="720"/>
        </w:tabs>
      </w:pPr>
      <w:r>
        <w:t xml:space="preserve">Westat appreciated the recommendation </w:t>
      </w:r>
      <w:r w:rsidR="00FF12D3">
        <w:t xml:space="preserve">from NASS </w:t>
      </w:r>
      <w:r>
        <w:t xml:space="preserve">to consolidate various appendices and did so accordingly. </w:t>
      </w:r>
      <w:r w:rsidR="00D2127F">
        <w:t>Appendices included within the Final OMB Package are clean versions with all NASS comm</w:t>
      </w:r>
      <w:r w:rsidR="00FD1876">
        <w:t>ents addressed throughout.</w:t>
      </w:r>
      <w:r w:rsidR="00FF12D3">
        <w:t xml:space="preserve"> </w:t>
      </w:r>
      <w:r w:rsidR="00B01067">
        <w:t>T</w:t>
      </w:r>
      <w:r w:rsidR="003773BF">
        <w:t xml:space="preserve">able </w:t>
      </w:r>
      <w:r w:rsidR="00B01067">
        <w:t xml:space="preserve">H-1 </w:t>
      </w:r>
      <w:r w:rsidR="00FC031D">
        <w:t xml:space="preserve">(on the next page) </w:t>
      </w:r>
      <w:r w:rsidR="003773BF">
        <w:t>outlines Westat responses to the comment</w:t>
      </w:r>
      <w:r w:rsidR="000E09F6">
        <w:t>s</w:t>
      </w:r>
      <w:r w:rsidR="003773BF">
        <w:t xml:space="preserve"> that did not necessitate an actual change to the text within an appendix</w:t>
      </w:r>
      <w:r w:rsidR="000E09F6">
        <w:t xml:space="preserve"> or those comments that required a more detailed response</w:t>
      </w:r>
      <w:r w:rsidR="003773BF">
        <w:t>.</w:t>
      </w:r>
    </w:p>
    <w:p w14:paraId="2304542A" w14:textId="77777777" w:rsidR="003773BF" w:rsidRDefault="003773BF" w:rsidP="00D2127F">
      <w:pPr>
        <w:pStyle w:val="L1-FlLSp12"/>
        <w:tabs>
          <w:tab w:val="clear" w:pos="1152"/>
          <w:tab w:val="left" w:pos="720"/>
        </w:tabs>
      </w:pPr>
    </w:p>
    <w:p w14:paraId="1109B643" w14:textId="3944ABF8" w:rsidR="00FC031D" w:rsidRDefault="00FC031D">
      <w:pPr>
        <w:spacing w:line="240" w:lineRule="auto"/>
      </w:pPr>
      <w:r>
        <w:br w:type="page"/>
      </w:r>
    </w:p>
    <w:p w14:paraId="613762F8" w14:textId="230A15E6" w:rsidR="00B01067" w:rsidRDefault="00B01067" w:rsidP="00D2127F">
      <w:pPr>
        <w:pStyle w:val="L1-FlLSp12"/>
        <w:tabs>
          <w:tab w:val="clear" w:pos="1152"/>
          <w:tab w:val="left" w:pos="720"/>
        </w:tabs>
        <w:rPr>
          <w:b/>
        </w:rPr>
      </w:pPr>
      <w:r w:rsidRPr="00B01067">
        <w:rPr>
          <w:b/>
        </w:rPr>
        <w:lastRenderedPageBreak/>
        <w:t xml:space="preserve">Table H-1. </w:t>
      </w:r>
      <w:r w:rsidR="004C1334">
        <w:rPr>
          <w:b/>
        </w:rPr>
        <w:t>Response to NASS Comments (</w:t>
      </w:r>
      <w:r w:rsidRPr="00B01067">
        <w:rPr>
          <w:b/>
        </w:rPr>
        <w:t xml:space="preserve">no Appendix Change </w:t>
      </w:r>
      <w:r w:rsidR="004C1334">
        <w:rPr>
          <w:b/>
        </w:rPr>
        <w:t>and/</w:t>
      </w:r>
      <w:r w:rsidRPr="00B01067">
        <w:rPr>
          <w:b/>
        </w:rPr>
        <w:t>or Further Response Needed)</w:t>
      </w:r>
    </w:p>
    <w:p w14:paraId="66F2CD2D" w14:textId="77777777" w:rsidR="00FC031D" w:rsidRPr="00B01067" w:rsidRDefault="00FC031D" w:rsidP="00D2127F">
      <w:pPr>
        <w:pStyle w:val="L1-FlLSp12"/>
        <w:tabs>
          <w:tab w:val="clear" w:pos="1152"/>
          <w:tab w:val="left" w:pos="720"/>
        </w:tabs>
        <w:rPr>
          <w:b/>
        </w:rPr>
      </w:pPr>
    </w:p>
    <w:tbl>
      <w:tblPr>
        <w:tblW w:w="5000" w:type="pct"/>
        <w:jc w:val="center"/>
        <w:tblLayout w:type="fixed"/>
        <w:tblCellMar>
          <w:left w:w="115" w:type="dxa"/>
          <w:right w:w="115" w:type="dxa"/>
        </w:tblCellMar>
        <w:tblLook w:val="04A0" w:firstRow="1" w:lastRow="0" w:firstColumn="1" w:lastColumn="0" w:noHBand="0" w:noVBand="1"/>
      </w:tblPr>
      <w:tblGrid>
        <w:gridCol w:w="1215"/>
        <w:gridCol w:w="1370"/>
        <w:gridCol w:w="5360"/>
        <w:gridCol w:w="1429"/>
      </w:tblGrid>
      <w:tr w:rsidR="00B01067" w:rsidRPr="00131486" w14:paraId="57F438ED" w14:textId="0AC3448E" w:rsidTr="00862D1F">
        <w:trPr>
          <w:cantSplit/>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BD6FFF" w14:textId="70FF1B5E" w:rsidR="00B01067" w:rsidRPr="00131486" w:rsidRDefault="00B01067" w:rsidP="00EA18BB">
            <w:pPr>
              <w:spacing w:line="240" w:lineRule="auto"/>
              <w:rPr>
                <w:b/>
                <w:color w:val="000000"/>
                <w:sz w:val="18"/>
                <w:szCs w:val="18"/>
              </w:rPr>
            </w:pPr>
            <w:r w:rsidRPr="00131486">
              <w:rPr>
                <w:b/>
                <w:color w:val="000000"/>
                <w:sz w:val="18"/>
                <w:szCs w:val="18"/>
              </w:rPr>
              <w:t xml:space="preserve">Old Appendix #/Title </w:t>
            </w:r>
          </w:p>
        </w:tc>
        <w:tc>
          <w:tcPr>
            <w:tcW w:w="731" w:type="pct"/>
            <w:tcBorders>
              <w:top w:val="single" w:sz="4" w:space="0" w:color="auto"/>
              <w:left w:val="nil"/>
              <w:bottom w:val="single" w:sz="4" w:space="0" w:color="auto"/>
              <w:right w:val="single" w:sz="4" w:space="0" w:color="auto"/>
            </w:tcBorders>
            <w:shd w:val="clear" w:color="auto" w:fill="C6D9F1" w:themeFill="text2" w:themeFillTint="33"/>
          </w:tcPr>
          <w:p w14:paraId="767E61F9" w14:textId="77777777" w:rsidR="00B01067" w:rsidRPr="00131486" w:rsidRDefault="00B01067" w:rsidP="00EA18BB">
            <w:pPr>
              <w:spacing w:line="240" w:lineRule="auto"/>
              <w:rPr>
                <w:b/>
                <w:color w:val="000000"/>
                <w:sz w:val="18"/>
                <w:szCs w:val="18"/>
              </w:rPr>
            </w:pPr>
            <w:r w:rsidRPr="00131486">
              <w:rPr>
                <w:b/>
                <w:color w:val="000000"/>
                <w:sz w:val="18"/>
                <w:szCs w:val="18"/>
              </w:rPr>
              <w:t>NASS Comment</w:t>
            </w:r>
          </w:p>
        </w:tc>
        <w:tc>
          <w:tcPr>
            <w:tcW w:w="2859" w:type="pct"/>
            <w:tcBorders>
              <w:top w:val="single" w:sz="4" w:space="0" w:color="auto"/>
              <w:left w:val="nil"/>
              <w:bottom w:val="single" w:sz="4" w:space="0" w:color="auto"/>
              <w:right w:val="single" w:sz="4" w:space="0" w:color="auto"/>
            </w:tcBorders>
            <w:shd w:val="clear" w:color="auto" w:fill="C6D9F1" w:themeFill="text2" w:themeFillTint="33"/>
          </w:tcPr>
          <w:p w14:paraId="69819394" w14:textId="77777777" w:rsidR="00B01067" w:rsidRPr="00131486" w:rsidRDefault="00B01067" w:rsidP="00EA18BB">
            <w:pPr>
              <w:spacing w:line="240" w:lineRule="auto"/>
              <w:rPr>
                <w:b/>
                <w:color w:val="000000"/>
                <w:sz w:val="18"/>
                <w:szCs w:val="18"/>
              </w:rPr>
            </w:pPr>
            <w:r w:rsidRPr="00131486">
              <w:rPr>
                <w:b/>
                <w:color w:val="000000"/>
                <w:sz w:val="18"/>
                <w:szCs w:val="18"/>
              </w:rPr>
              <w:t>Response to Comment</w:t>
            </w:r>
          </w:p>
          <w:p w14:paraId="2B0773DA" w14:textId="77777777" w:rsidR="00B01067" w:rsidRPr="00131486" w:rsidRDefault="00B01067" w:rsidP="00EA18BB">
            <w:pPr>
              <w:spacing w:line="240" w:lineRule="auto"/>
              <w:rPr>
                <w:b/>
                <w:color w:val="000000"/>
                <w:sz w:val="18"/>
                <w:szCs w:val="18"/>
              </w:rPr>
            </w:pPr>
          </w:p>
        </w:tc>
        <w:tc>
          <w:tcPr>
            <w:tcW w:w="762" w:type="pct"/>
            <w:tcBorders>
              <w:top w:val="single" w:sz="4" w:space="0" w:color="auto"/>
              <w:left w:val="nil"/>
              <w:bottom w:val="single" w:sz="4" w:space="0" w:color="auto"/>
              <w:right w:val="single" w:sz="4" w:space="0" w:color="auto"/>
            </w:tcBorders>
            <w:shd w:val="clear" w:color="auto" w:fill="C6D9F1" w:themeFill="text2" w:themeFillTint="33"/>
          </w:tcPr>
          <w:p w14:paraId="0029BBF4" w14:textId="705C5FF9" w:rsidR="00B01067" w:rsidRPr="00131486" w:rsidRDefault="00B01067" w:rsidP="00EA18BB">
            <w:pPr>
              <w:spacing w:line="240" w:lineRule="auto"/>
              <w:rPr>
                <w:b/>
                <w:color w:val="000000"/>
                <w:sz w:val="18"/>
                <w:szCs w:val="18"/>
              </w:rPr>
            </w:pPr>
            <w:r w:rsidRPr="00131486">
              <w:rPr>
                <w:b/>
                <w:color w:val="000000"/>
                <w:sz w:val="18"/>
                <w:szCs w:val="18"/>
              </w:rPr>
              <w:t>New Appendix #/Title</w:t>
            </w:r>
          </w:p>
        </w:tc>
      </w:tr>
      <w:tr w:rsidR="00B01067" w:rsidRPr="00131486" w14:paraId="51C697C2" w14:textId="5C1C343D"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4F38C7EB" w14:textId="5B46A38A" w:rsidR="00B01067" w:rsidRPr="00131486" w:rsidRDefault="00B01067" w:rsidP="00EA18BB">
            <w:pPr>
              <w:spacing w:line="240" w:lineRule="auto"/>
              <w:rPr>
                <w:color w:val="000000"/>
                <w:sz w:val="18"/>
                <w:szCs w:val="18"/>
              </w:rPr>
            </w:pPr>
            <w:r w:rsidRPr="00131486">
              <w:rPr>
                <w:color w:val="000000"/>
                <w:sz w:val="18"/>
                <w:szCs w:val="18"/>
              </w:rPr>
              <w:t>B1. SFA Request Letter for Electronic Records (CEP and non-CEP)</w:t>
            </w:r>
          </w:p>
        </w:tc>
        <w:tc>
          <w:tcPr>
            <w:tcW w:w="731" w:type="pct"/>
            <w:tcBorders>
              <w:top w:val="nil"/>
              <w:left w:val="nil"/>
              <w:bottom w:val="single" w:sz="4" w:space="0" w:color="auto"/>
              <w:right w:val="single" w:sz="4" w:space="0" w:color="auto"/>
            </w:tcBorders>
            <w:shd w:val="clear" w:color="auto" w:fill="auto"/>
          </w:tcPr>
          <w:p w14:paraId="505A6AD2" w14:textId="77777777" w:rsidR="00B01067" w:rsidRPr="00131486" w:rsidRDefault="00B01067" w:rsidP="00EA18BB">
            <w:pPr>
              <w:spacing w:line="240" w:lineRule="auto"/>
              <w:rPr>
                <w:color w:val="000000"/>
                <w:sz w:val="18"/>
                <w:szCs w:val="18"/>
              </w:rPr>
            </w:pPr>
            <w:r w:rsidRPr="00131486">
              <w:rPr>
                <w:color w:val="000000"/>
                <w:sz w:val="18"/>
                <w:szCs w:val="18"/>
              </w:rPr>
              <w:t>Pg.1-What are provision schools?</w:t>
            </w:r>
          </w:p>
        </w:tc>
        <w:tc>
          <w:tcPr>
            <w:tcW w:w="2859" w:type="pct"/>
            <w:tcBorders>
              <w:top w:val="nil"/>
              <w:left w:val="nil"/>
              <w:bottom w:val="single" w:sz="4" w:space="0" w:color="auto"/>
              <w:right w:val="single" w:sz="4" w:space="0" w:color="auto"/>
            </w:tcBorders>
          </w:tcPr>
          <w:p w14:paraId="37C0DC12" w14:textId="77777777" w:rsidR="00B01067" w:rsidRPr="00131486" w:rsidRDefault="00B01067" w:rsidP="00EA18BB">
            <w:pPr>
              <w:spacing w:line="240" w:lineRule="auto"/>
              <w:rPr>
                <w:color w:val="000000"/>
                <w:sz w:val="18"/>
                <w:szCs w:val="18"/>
              </w:rPr>
            </w:pPr>
            <w:r w:rsidRPr="00131486">
              <w:rPr>
                <w:b/>
                <w:i/>
                <w:color w:val="000000"/>
                <w:sz w:val="18"/>
                <w:szCs w:val="18"/>
              </w:rPr>
              <w:t>No Change Made;</w:t>
            </w:r>
            <w:r w:rsidRPr="00131486">
              <w:rPr>
                <w:color w:val="000000"/>
                <w:sz w:val="18"/>
                <w:szCs w:val="18"/>
              </w:rPr>
              <w:t xml:space="preserve"> In an effort to reduce paperwork and other administrative burdens at the local level, Congress incorporated into Section 11(a) (1) of the Richard B. Russell National School Lunch Act (42 USC 1759a) three alternative Provisions to the traditional requirements for annual determinations of eligibility for free and reduced price school meals and daily meal counts by type. These alternatives are commonly referred to as Provision 1, Provision 2, and Provision 3. The Federal regulations for Provisions 1, 2, and 3 are found in 7 CFR 245, Determining Eligibility for Free and Reduced Price Meals and Free Milk </w:t>
            </w:r>
            <w:proofErr w:type="gramStart"/>
            <w:r w:rsidRPr="00131486">
              <w:rPr>
                <w:color w:val="000000"/>
                <w:sz w:val="18"/>
                <w:szCs w:val="18"/>
              </w:rPr>
              <w:t>In</w:t>
            </w:r>
            <w:proofErr w:type="gramEnd"/>
            <w:r w:rsidRPr="00131486">
              <w:rPr>
                <w:color w:val="000000"/>
                <w:sz w:val="18"/>
                <w:szCs w:val="18"/>
              </w:rPr>
              <w:t xml:space="preserve"> Schools. </w:t>
            </w:r>
          </w:p>
          <w:p w14:paraId="7CC779F3" w14:textId="77777777" w:rsidR="00B01067" w:rsidRPr="00131486" w:rsidRDefault="00B01067" w:rsidP="00EA18BB">
            <w:pPr>
              <w:spacing w:line="240" w:lineRule="auto"/>
              <w:rPr>
                <w:color w:val="000000"/>
                <w:sz w:val="18"/>
                <w:szCs w:val="18"/>
              </w:rPr>
            </w:pPr>
          </w:p>
          <w:p w14:paraId="0B9E5033" w14:textId="77777777" w:rsidR="00B01067" w:rsidRPr="00131486" w:rsidRDefault="00B01067" w:rsidP="00EA18BB">
            <w:pPr>
              <w:spacing w:line="240" w:lineRule="auto"/>
              <w:rPr>
                <w:color w:val="000000"/>
                <w:sz w:val="18"/>
                <w:szCs w:val="18"/>
              </w:rPr>
            </w:pPr>
            <w:r w:rsidRPr="00131486">
              <w:rPr>
                <w:color w:val="000000"/>
                <w:sz w:val="18"/>
                <w:szCs w:val="18"/>
              </w:rPr>
              <w:t xml:space="preserve">7 CFR 245: </w:t>
            </w:r>
            <w:hyperlink r:id="rId8" w:history="1">
              <w:r w:rsidRPr="00131486">
                <w:rPr>
                  <w:rStyle w:val="Hyperlink"/>
                  <w:sz w:val="18"/>
                  <w:szCs w:val="18"/>
                </w:rPr>
                <w:t>http://www.ecfr.gov/cgi-bin/text-idx?rgn=div5&amp;node=7:4.1.1.1.9</w:t>
              </w:r>
            </w:hyperlink>
            <w:r w:rsidRPr="00131486">
              <w:rPr>
                <w:color w:val="000000"/>
                <w:sz w:val="18"/>
                <w:szCs w:val="18"/>
              </w:rPr>
              <w:t xml:space="preserve"> or </w:t>
            </w:r>
            <w:hyperlink r:id="rId9" w:history="1">
              <w:r w:rsidRPr="00131486">
                <w:rPr>
                  <w:rStyle w:val="Hyperlink"/>
                  <w:sz w:val="18"/>
                  <w:szCs w:val="18"/>
                </w:rPr>
                <w:t>https://www.gpo.gov/fdsys/pkg/CFR-2016-title7-vol4/xml/CFR-2016-title7-vol4-part245.xml</w:t>
              </w:r>
            </w:hyperlink>
          </w:p>
          <w:p w14:paraId="53775DD0" w14:textId="77777777" w:rsidR="00B01067" w:rsidRPr="00131486" w:rsidRDefault="00B01067" w:rsidP="00EA18BB">
            <w:pPr>
              <w:spacing w:line="240" w:lineRule="auto"/>
              <w:rPr>
                <w:color w:val="000000"/>
                <w:sz w:val="18"/>
                <w:szCs w:val="18"/>
              </w:rPr>
            </w:pPr>
          </w:p>
          <w:p w14:paraId="2556D1A0" w14:textId="77777777" w:rsidR="00B01067" w:rsidRPr="00131486" w:rsidRDefault="00B01067" w:rsidP="00EA18BB">
            <w:pPr>
              <w:spacing w:line="240" w:lineRule="auto"/>
              <w:rPr>
                <w:color w:val="000000"/>
                <w:sz w:val="18"/>
                <w:szCs w:val="18"/>
              </w:rPr>
            </w:pPr>
            <w:r w:rsidRPr="00131486">
              <w:rPr>
                <w:color w:val="000000"/>
                <w:sz w:val="18"/>
                <w:szCs w:val="18"/>
                <w:u w:val="single"/>
              </w:rPr>
              <w:t>Provision 1</w:t>
            </w:r>
            <w:r w:rsidRPr="00131486">
              <w:rPr>
                <w:color w:val="000000"/>
                <w:sz w:val="18"/>
                <w:szCs w:val="18"/>
              </w:rPr>
              <w:t xml:space="preserve"> reduces application burdens by allowing schools where at least 80 percent of the children enrolled are eligible for free or reduced price meals to certify children eligible for free meals for a </w:t>
            </w:r>
            <w:proofErr w:type="gramStart"/>
            <w:r w:rsidRPr="00131486">
              <w:rPr>
                <w:color w:val="000000"/>
                <w:sz w:val="18"/>
                <w:szCs w:val="18"/>
              </w:rPr>
              <w:t>2 year</w:t>
            </w:r>
            <w:proofErr w:type="gramEnd"/>
            <w:r w:rsidRPr="00131486">
              <w:rPr>
                <w:color w:val="000000"/>
                <w:sz w:val="18"/>
                <w:szCs w:val="18"/>
              </w:rPr>
              <w:t xml:space="preserve"> period. Schools continue to take daily meal counts of the number of meals served to children by type as the basis for calculating reimbursement claims.</w:t>
            </w:r>
          </w:p>
          <w:p w14:paraId="0EB4B188" w14:textId="77777777" w:rsidR="00B01067" w:rsidRPr="00131486" w:rsidRDefault="00B01067" w:rsidP="00EA18BB">
            <w:pPr>
              <w:spacing w:line="240" w:lineRule="auto"/>
              <w:rPr>
                <w:color w:val="000000"/>
                <w:sz w:val="18"/>
                <w:szCs w:val="18"/>
              </w:rPr>
            </w:pPr>
          </w:p>
          <w:p w14:paraId="450B700B" w14:textId="77777777" w:rsidR="00B01067" w:rsidRPr="00131486" w:rsidRDefault="00B01067" w:rsidP="00EA18BB">
            <w:pPr>
              <w:spacing w:line="240" w:lineRule="auto"/>
              <w:rPr>
                <w:color w:val="000000"/>
                <w:sz w:val="18"/>
                <w:szCs w:val="18"/>
              </w:rPr>
            </w:pPr>
            <w:r w:rsidRPr="00131486">
              <w:rPr>
                <w:color w:val="000000"/>
                <w:sz w:val="18"/>
                <w:szCs w:val="18"/>
                <w:u w:val="single"/>
              </w:rPr>
              <w:t>Provision 2</w:t>
            </w:r>
            <w:r w:rsidRPr="00131486">
              <w:rPr>
                <w:color w:val="000000"/>
                <w:sz w:val="18"/>
                <w:szCs w:val="18"/>
              </w:rPr>
              <w:t xml:space="preserve"> requires that the school serve meals to participating children at no charge but reduces application burdens to once every 4 years and simplifies meal counting and claiming procedures by allowing a school to receive meal reimbursement based on claiming percentages. Additional 4-year extensions to Provision 2 are possible when certain conditions are met.</w:t>
            </w:r>
          </w:p>
          <w:p w14:paraId="62D63454" w14:textId="77777777" w:rsidR="00B01067" w:rsidRPr="00131486" w:rsidRDefault="00B01067" w:rsidP="00EA18BB">
            <w:pPr>
              <w:spacing w:line="240" w:lineRule="auto"/>
              <w:rPr>
                <w:color w:val="000000"/>
                <w:sz w:val="18"/>
                <w:szCs w:val="18"/>
              </w:rPr>
            </w:pPr>
          </w:p>
          <w:p w14:paraId="4EA26EA7" w14:textId="77777777" w:rsidR="00B01067" w:rsidRPr="00131486" w:rsidRDefault="00B01067" w:rsidP="00EA18BB">
            <w:pPr>
              <w:spacing w:line="240" w:lineRule="auto"/>
              <w:rPr>
                <w:color w:val="000000"/>
                <w:sz w:val="18"/>
                <w:szCs w:val="18"/>
              </w:rPr>
            </w:pPr>
            <w:r w:rsidRPr="00131486">
              <w:rPr>
                <w:color w:val="000000"/>
                <w:sz w:val="18"/>
                <w:szCs w:val="18"/>
                <w:u w:val="single"/>
              </w:rPr>
              <w:t>Provision 3</w:t>
            </w:r>
            <w:r w:rsidRPr="00131486">
              <w:rPr>
                <w:color w:val="000000"/>
                <w:sz w:val="18"/>
                <w:szCs w:val="18"/>
              </w:rPr>
              <w:t xml:space="preserve"> requires that the school serve meals to participating children at no charge but reduces application burdens and meal counting and claiming procedures by allowing a school to receive a comparable level of Federal cash and commodity assistance as the school received in the last year in which free and reduced price eligibility determinations were made, adjusted for enrollment, inflation and operating days if applicable, for a period up to 4 years. Additional</w:t>
            </w:r>
          </w:p>
          <w:p w14:paraId="487BEB56" w14:textId="77777777" w:rsidR="00B01067" w:rsidRPr="00131486" w:rsidRDefault="00B01067" w:rsidP="00EA18BB">
            <w:pPr>
              <w:spacing w:line="240" w:lineRule="auto"/>
              <w:rPr>
                <w:color w:val="000000"/>
                <w:sz w:val="18"/>
                <w:szCs w:val="18"/>
              </w:rPr>
            </w:pPr>
            <w:r w:rsidRPr="00131486">
              <w:rPr>
                <w:color w:val="000000"/>
                <w:sz w:val="18"/>
                <w:szCs w:val="18"/>
              </w:rPr>
              <w:t>4-year extensions to Provision 3 are possible when certain conditions are met.</w:t>
            </w:r>
          </w:p>
          <w:p w14:paraId="550026F2" w14:textId="77777777" w:rsidR="00B01067" w:rsidRPr="00131486" w:rsidRDefault="00B01067" w:rsidP="00EA18BB">
            <w:pPr>
              <w:spacing w:line="240" w:lineRule="auto"/>
              <w:rPr>
                <w:color w:val="000000"/>
                <w:sz w:val="18"/>
                <w:szCs w:val="18"/>
              </w:rPr>
            </w:pPr>
          </w:p>
          <w:p w14:paraId="39A642B4" w14:textId="77777777" w:rsidR="00B01067" w:rsidRPr="00131486" w:rsidRDefault="00B01067" w:rsidP="00EA18BB">
            <w:pPr>
              <w:spacing w:line="240" w:lineRule="auto"/>
              <w:rPr>
                <w:rStyle w:val="Hyperlink"/>
                <w:sz w:val="18"/>
                <w:szCs w:val="18"/>
              </w:rPr>
            </w:pPr>
            <w:r w:rsidRPr="00131486">
              <w:rPr>
                <w:color w:val="000000"/>
                <w:sz w:val="18"/>
                <w:szCs w:val="18"/>
              </w:rPr>
              <w:t xml:space="preserve">Reference: </w:t>
            </w:r>
            <w:hyperlink r:id="rId10" w:history="1">
              <w:r w:rsidRPr="00131486">
                <w:rPr>
                  <w:rStyle w:val="Hyperlink"/>
                  <w:sz w:val="18"/>
                  <w:szCs w:val="18"/>
                </w:rPr>
                <w:t>https://www.fns.usda.gov/sites/default/files/prov2guidance.pdf</w:t>
              </w:r>
            </w:hyperlink>
          </w:p>
          <w:p w14:paraId="3A59C3DD" w14:textId="77777777" w:rsidR="00B01067" w:rsidRPr="00131486" w:rsidRDefault="00B01067" w:rsidP="00EA18BB">
            <w:pPr>
              <w:spacing w:line="240" w:lineRule="auto"/>
              <w:rPr>
                <w:rStyle w:val="Hyperlink"/>
                <w:sz w:val="18"/>
                <w:szCs w:val="18"/>
              </w:rPr>
            </w:pPr>
          </w:p>
          <w:p w14:paraId="20BBD246" w14:textId="77777777" w:rsidR="00B01067" w:rsidRPr="00131486" w:rsidRDefault="00B01067" w:rsidP="00EA18BB">
            <w:pPr>
              <w:spacing w:line="240" w:lineRule="auto"/>
              <w:rPr>
                <w:rStyle w:val="Hyperlink"/>
                <w:sz w:val="18"/>
                <w:szCs w:val="18"/>
              </w:rPr>
            </w:pPr>
          </w:p>
          <w:p w14:paraId="607E8ADD" w14:textId="77777777" w:rsidR="00B01067" w:rsidRPr="00131486" w:rsidRDefault="00B01067" w:rsidP="00EA18BB">
            <w:pPr>
              <w:spacing w:line="240" w:lineRule="auto"/>
              <w:rPr>
                <w:rStyle w:val="Hyperlink"/>
                <w:sz w:val="18"/>
                <w:szCs w:val="18"/>
              </w:rPr>
            </w:pPr>
          </w:p>
          <w:p w14:paraId="71A22C67" w14:textId="77777777" w:rsidR="00B01067" w:rsidRPr="00131486" w:rsidRDefault="00B01067" w:rsidP="00EA18BB">
            <w:pPr>
              <w:spacing w:line="240" w:lineRule="auto"/>
              <w:rPr>
                <w:rStyle w:val="Hyperlink"/>
                <w:sz w:val="18"/>
                <w:szCs w:val="18"/>
              </w:rPr>
            </w:pPr>
          </w:p>
          <w:p w14:paraId="2FDE294F" w14:textId="77777777" w:rsidR="00B01067" w:rsidRPr="00131486" w:rsidRDefault="00B01067" w:rsidP="00EA18BB">
            <w:pPr>
              <w:spacing w:line="240" w:lineRule="auto"/>
              <w:rPr>
                <w:rStyle w:val="Hyperlink"/>
                <w:sz w:val="18"/>
                <w:szCs w:val="18"/>
              </w:rPr>
            </w:pPr>
          </w:p>
          <w:p w14:paraId="78E38FFE" w14:textId="77777777" w:rsidR="00862D1F" w:rsidRPr="00131486" w:rsidRDefault="00862D1F" w:rsidP="00EA18BB">
            <w:pPr>
              <w:spacing w:line="240" w:lineRule="auto"/>
              <w:rPr>
                <w:rStyle w:val="Hyperlink"/>
                <w:sz w:val="18"/>
                <w:szCs w:val="18"/>
              </w:rPr>
            </w:pPr>
          </w:p>
          <w:p w14:paraId="79881347" w14:textId="77777777" w:rsidR="00862D1F" w:rsidRDefault="00862D1F" w:rsidP="00EA18BB">
            <w:pPr>
              <w:spacing w:line="240" w:lineRule="auto"/>
              <w:rPr>
                <w:color w:val="000000"/>
                <w:sz w:val="18"/>
                <w:szCs w:val="18"/>
              </w:rPr>
            </w:pPr>
          </w:p>
          <w:p w14:paraId="00447F67" w14:textId="77777777" w:rsidR="00131486" w:rsidRDefault="00131486" w:rsidP="00EA18BB">
            <w:pPr>
              <w:spacing w:line="240" w:lineRule="auto"/>
              <w:rPr>
                <w:color w:val="000000"/>
                <w:sz w:val="18"/>
                <w:szCs w:val="18"/>
              </w:rPr>
            </w:pPr>
          </w:p>
          <w:p w14:paraId="3D50A10F" w14:textId="77777777" w:rsidR="00131486" w:rsidRDefault="00131486" w:rsidP="00EA18BB">
            <w:pPr>
              <w:spacing w:line="240" w:lineRule="auto"/>
              <w:rPr>
                <w:color w:val="000000"/>
                <w:sz w:val="18"/>
                <w:szCs w:val="18"/>
              </w:rPr>
            </w:pPr>
          </w:p>
          <w:p w14:paraId="2EB23E2A" w14:textId="77777777" w:rsidR="00131486" w:rsidRDefault="00131486" w:rsidP="00EA18BB">
            <w:pPr>
              <w:spacing w:line="240" w:lineRule="auto"/>
              <w:rPr>
                <w:color w:val="000000"/>
                <w:sz w:val="18"/>
                <w:szCs w:val="18"/>
              </w:rPr>
            </w:pPr>
          </w:p>
          <w:p w14:paraId="6C7778EF" w14:textId="77777777" w:rsidR="00131486" w:rsidRDefault="00131486" w:rsidP="00EA18BB">
            <w:pPr>
              <w:spacing w:line="240" w:lineRule="auto"/>
              <w:rPr>
                <w:color w:val="000000"/>
                <w:sz w:val="18"/>
                <w:szCs w:val="18"/>
              </w:rPr>
            </w:pPr>
          </w:p>
          <w:p w14:paraId="53A09024" w14:textId="4A104016" w:rsidR="00131486" w:rsidRPr="00131486" w:rsidRDefault="00131486" w:rsidP="00EA18BB">
            <w:pPr>
              <w:spacing w:line="240" w:lineRule="auto"/>
              <w:rPr>
                <w:color w:val="000000"/>
                <w:sz w:val="18"/>
                <w:szCs w:val="18"/>
              </w:rPr>
            </w:pPr>
          </w:p>
        </w:tc>
        <w:tc>
          <w:tcPr>
            <w:tcW w:w="762" w:type="pct"/>
            <w:tcBorders>
              <w:top w:val="nil"/>
              <w:left w:val="nil"/>
              <w:bottom w:val="single" w:sz="4" w:space="0" w:color="auto"/>
              <w:right w:val="single" w:sz="4" w:space="0" w:color="auto"/>
            </w:tcBorders>
          </w:tcPr>
          <w:p w14:paraId="1A8776DF" w14:textId="097AFD13" w:rsidR="00B01067" w:rsidRPr="00131486" w:rsidRDefault="00B01067" w:rsidP="00B01067">
            <w:pPr>
              <w:spacing w:line="240" w:lineRule="auto"/>
              <w:rPr>
                <w:color w:val="000000"/>
                <w:sz w:val="18"/>
                <w:szCs w:val="18"/>
              </w:rPr>
            </w:pPr>
            <w:r w:rsidRPr="00131486">
              <w:rPr>
                <w:color w:val="000000"/>
                <w:sz w:val="18"/>
                <w:szCs w:val="18"/>
              </w:rPr>
              <w:t xml:space="preserve">B1.SFA </w:t>
            </w:r>
            <w:r w:rsidR="00862D1F" w:rsidRPr="00131486">
              <w:rPr>
                <w:color w:val="000000"/>
                <w:sz w:val="18"/>
                <w:szCs w:val="18"/>
              </w:rPr>
              <w:t xml:space="preserve">Request </w:t>
            </w:r>
            <w:proofErr w:type="gramStart"/>
            <w:r w:rsidR="00862D1F" w:rsidRPr="00131486">
              <w:rPr>
                <w:color w:val="000000"/>
                <w:sz w:val="18"/>
                <w:szCs w:val="18"/>
              </w:rPr>
              <w:t>For</w:t>
            </w:r>
            <w:proofErr w:type="gramEnd"/>
            <w:r w:rsidR="00862D1F" w:rsidRPr="00131486">
              <w:rPr>
                <w:color w:val="000000"/>
                <w:sz w:val="18"/>
                <w:szCs w:val="18"/>
              </w:rPr>
              <w:t xml:space="preserve"> E-Records (Non-CEP</w:t>
            </w:r>
            <w:r w:rsidRPr="00131486">
              <w:rPr>
                <w:color w:val="000000"/>
                <w:sz w:val="18"/>
                <w:szCs w:val="18"/>
              </w:rPr>
              <w:t xml:space="preserve"> Schools For Household Sampling) </w:t>
            </w:r>
          </w:p>
          <w:p w14:paraId="248926BE" w14:textId="77777777" w:rsidR="00B01067" w:rsidRPr="00131486" w:rsidRDefault="00B01067" w:rsidP="00B01067">
            <w:pPr>
              <w:spacing w:line="240" w:lineRule="auto"/>
              <w:rPr>
                <w:color w:val="000000"/>
                <w:sz w:val="18"/>
                <w:szCs w:val="18"/>
              </w:rPr>
            </w:pPr>
          </w:p>
          <w:p w14:paraId="3C9FFACD" w14:textId="77777777" w:rsidR="00B01067" w:rsidRPr="00131486" w:rsidRDefault="00B01067" w:rsidP="00B01067">
            <w:pPr>
              <w:spacing w:line="240" w:lineRule="auto"/>
              <w:rPr>
                <w:color w:val="000000"/>
                <w:sz w:val="18"/>
                <w:szCs w:val="18"/>
              </w:rPr>
            </w:pPr>
            <w:r w:rsidRPr="00131486">
              <w:rPr>
                <w:color w:val="000000"/>
                <w:sz w:val="18"/>
                <w:szCs w:val="18"/>
              </w:rPr>
              <w:t>OR</w:t>
            </w:r>
          </w:p>
          <w:p w14:paraId="7230CF44" w14:textId="77777777" w:rsidR="00B01067" w:rsidRPr="00131486" w:rsidRDefault="00B01067" w:rsidP="00B01067">
            <w:pPr>
              <w:spacing w:line="240" w:lineRule="auto"/>
              <w:rPr>
                <w:color w:val="000000"/>
                <w:sz w:val="18"/>
                <w:szCs w:val="18"/>
              </w:rPr>
            </w:pPr>
          </w:p>
          <w:p w14:paraId="558C5152" w14:textId="4B3CDB2B" w:rsidR="00B01067" w:rsidRPr="00131486" w:rsidRDefault="00B01067" w:rsidP="00B01067">
            <w:pPr>
              <w:spacing w:line="240" w:lineRule="auto"/>
              <w:rPr>
                <w:color w:val="000000"/>
                <w:sz w:val="18"/>
                <w:szCs w:val="18"/>
              </w:rPr>
            </w:pPr>
            <w:r w:rsidRPr="00131486">
              <w:rPr>
                <w:color w:val="000000"/>
                <w:sz w:val="18"/>
                <w:szCs w:val="18"/>
              </w:rPr>
              <w:t>B3. SFA Request for E-Rec</w:t>
            </w:r>
            <w:r w:rsidR="00862D1F" w:rsidRPr="00131486">
              <w:rPr>
                <w:color w:val="000000"/>
                <w:sz w:val="18"/>
                <w:szCs w:val="18"/>
              </w:rPr>
              <w:t>ords (CEP</w:t>
            </w:r>
            <w:r w:rsidRPr="00131486">
              <w:rPr>
                <w:color w:val="000000"/>
                <w:sz w:val="18"/>
                <w:szCs w:val="18"/>
              </w:rPr>
              <w:t xml:space="preserve"> Schools </w:t>
            </w:r>
            <w:proofErr w:type="gramStart"/>
            <w:r w:rsidRPr="00131486">
              <w:rPr>
                <w:color w:val="000000"/>
                <w:sz w:val="18"/>
                <w:szCs w:val="18"/>
              </w:rPr>
              <w:t>For</w:t>
            </w:r>
            <w:proofErr w:type="gramEnd"/>
            <w:r w:rsidRPr="00131486">
              <w:rPr>
                <w:color w:val="000000"/>
                <w:sz w:val="18"/>
                <w:szCs w:val="18"/>
              </w:rPr>
              <w:t xml:space="preserve"> ISP Data Abstraction)</w:t>
            </w:r>
          </w:p>
          <w:p w14:paraId="0318AD1B" w14:textId="77777777" w:rsidR="00B01067" w:rsidRPr="00131486" w:rsidRDefault="00B01067" w:rsidP="00B01067">
            <w:pPr>
              <w:spacing w:line="240" w:lineRule="auto"/>
              <w:rPr>
                <w:color w:val="000000"/>
                <w:sz w:val="18"/>
                <w:szCs w:val="18"/>
              </w:rPr>
            </w:pPr>
          </w:p>
          <w:p w14:paraId="410CF5A2" w14:textId="01966243" w:rsidR="00B01067" w:rsidRPr="00131486" w:rsidRDefault="00B01067" w:rsidP="00B01067">
            <w:pPr>
              <w:spacing w:line="240" w:lineRule="auto"/>
              <w:rPr>
                <w:color w:val="000000"/>
                <w:sz w:val="18"/>
                <w:szCs w:val="18"/>
              </w:rPr>
            </w:pPr>
          </w:p>
        </w:tc>
      </w:tr>
      <w:tr w:rsidR="00B01067" w:rsidRPr="00131486" w14:paraId="365C515A" w14:textId="2938182D"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487FD" w14:textId="29FA62F0" w:rsidR="00B01067" w:rsidRPr="00131486" w:rsidRDefault="00B01067" w:rsidP="00EA18BB">
            <w:pPr>
              <w:spacing w:line="240" w:lineRule="auto"/>
              <w:rPr>
                <w:b/>
                <w:color w:val="000000"/>
                <w:sz w:val="18"/>
                <w:szCs w:val="18"/>
              </w:rPr>
            </w:pPr>
            <w:r w:rsidRPr="00131486">
              <w:rPr>
                <w:b/>
                <w:color w:val="000000"/>
                <w:sz w:val="18"/>
                <w:szCs w:val="18"/>
              </w:rPr>
              <w:lastRenderedPageBreak/>
              <w:t xml:space="preserve">Old Appendix #/Title </w:t>
            </w:r>
          </w:p>
        </w:tc>
        <w:tc>
          <w:tcPr>
            <w:tcW w:w="731" w:type="pct"/>
            <w:tcBorders>
              <w:top w:val="single" w:sz="4" w:space="0" w:color="auto"/>
              <w:left w:val="nil"/>
              <w:bottom w:val="single" w:sz="4" w:space="0" w:color="auto"/>
              <w:right w:val="single" w:sz="4" w:space="0" w:color="auto"/>
            </w:tcBorders>
            <w:shd w:val="clear" w:color="auto" w:fill="C6D9F1" w:themeFill="text2" w:themeFillTint="33"/>
          </w:tcPr>
          <w:p w14:paraId="16B19DF9" w14:textId="77777777" w:rsidR="00B01067" w:rsidRPr="00131486" w:rsidRDefault="00B01067" w:rsidP="00EA18BB">
            <w:pPr>
              <w:spacing w:line="240" w:lineRule="auto"/>
              <w:rPr>
                <w:b/>
                <w:color w:val="000000"/>
                <w:sz w:val="18"/>
                <w:szCs w:val="18"/>
              </w:rPr>
            </w:pPr>
            <w:r w:rsidRPr="00131486">
              <w:rPr>
                <w:b/>
                <w:color w:val="000000"/>
                <w:sz w:val="18"/>
                <w:szCs w:val="18"/>
              </w:rPr>
              <w:t>NASS Comment</w:t>
            </w:r>
          </w:p>
        </w:tc>
        <w:tc>
          <w:tcPr>
            <w:tcW w:w="2859" w:type="pct"/>
            <w:tcBorders>
              <w:top w:val="single" w:sz="4" w:space="0" w:color="auto"/>
              <w:left w:val="nil"/>
              <w:bottom w:val="single" w:sz="4" w:space="0" w:color="auto"/>
              <w:right w:val="single" w:sz="4" w:space="0" w:color="auto"/>
            </w:tcBorders>
            <w:shd w:val="clear" w:color="auto" w:fill="C6D9F1" w:themeFill="text2" w:themeFillTint="33"/>
          </w:tcPr>
          <w:p w14:paraId="3706219D" w14:textId="77777777" w:rsidR="00B01067" w:rsidRPr="00131486" w:rsidRDefault="00B01067" w:rsidP="00EA18BB">
            <w:pPr>
              <w:spacing w:line="240" w:lineRule="auto"/>
              <w:rPr>
                <w:b/>
                <w:color w:val="000000"/>
                <w:sz w:val="18"/>
                <w:szCs w:val="18"/>
              </w:rPr>
            </w:pPr>
            <w:r w:rsidRPr="00131486">
              <w:rPr>
                <w:b/>
                <w:color w:val="000000"/>
                <w:sz w:val="18"/>
                <w:szCs w:val="18"/>
              </w:rPr>
              <w:t>Response to Comment</w:t>
            </w:r>
          </w:p>
          <w:p w14:paraId="01445ACE" w14:textId="77777777" w:rsidR="00B01067" w:rsidRPr="00131486" w:rsidRDefault="00B01067" w:rsidP="00EA18BB">
            <w:pPr>
              <w:spacing w:line="240" w:lineRule="auto"/>
              <w:rPr>
                <w:b/>
                <w:color w:val="000000"/>
                <w:sz w:val="18"/>
                <w:szCs w:val="18"/>
              </w:rPr>
            </w:pPr>
          </w:p>
        </w:tc>
        <w:tc>
          <w:tcPr>
            <w:tcW w:w="762" w:type="pct"/>
            <w:tcBorders>
              <w:top w:val="single" w:sz="4" w:space="0" w:color="auto"/>
              <w:left w:val="nil"/>
              <w:bottom w:val="single" w:sz="4" w:space="0" w:color="auto"/>
              <w:right w:val="single" w:sz="4" w:space="0" w:color="auto"/>
            </w:tcBorders>
            <w:shd w:val="clear" w:color="auto" w:fill="C6D9F1" w:themeFill="text2" w:themeFillTint="33"/>
          </w:tcPr>
          <w:p w14:paraId="68044565" w14:textId="3EEC2EBE" w:rsidR="00B01067" w:rsidRPr="00131486" w:rsidRDefault="00862D1F" w:rsidP="00EA18BB">
            <w:pPr>
              <w:spacing w:line="240" w:lineRule="auto"/>
              <w:rPr>
                <w:b/>
                <w:color w:val="000000"/>
                <w:sz w:val="18"/>
                <w:szCs w:val="18"/>
              </w:rPr>
            </w:pPr>
            <w:r w:rsidRPr="00131486">
              <w:rPr>
                <w:b/>
                <w:color w:val="000000"/>
                <w:sz w:val="18"/>
                <w:szCs w:val="18"/>
              </w:rPr>
              <w:t>New Appendix #/Title</w:t>
            </w:r>
          </w:p>
        </w:tc>
      </w:tr>
      <w:tr w:rsidR="00B01067" w:rsidRPr="00131486" w14:paraId="746137C0" w14:textId="06E725BC"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3BFD7F6C" w14:textId="09D26DD5" w:rsidR="00B01067" w:rsidRPr="00131486" w:rsidRDefault="00B01067" w:rsidP="00EA18BB">
            <w:pPr>
              <w:spacing w:line="240" w:lineRule="auto"/>
              <w:rPr>
                <w:color w:val="000000"/>
                <w:sz w:val="18"/>
                <w:szCs w:val="18"/>
              </w:rPr>
            </w:pPr>
            <w:r w:rsidRPr="00131486">
              <w:rPr>
                <w:color w:val="000000"/>
                <w:sz w:val="18"/>
                <w:szCs w:val="18"/>
              </w:rPr>
              <w:t>B2. SFA Reminder Letter for Electronic Records (CEP and non-CEP)</w:t>
            </w:r>
          </w:p>
        </w:tc>
        <w:tc>
          <w:tcPr>
            <w:tcW w:w="731" w:type="pct"/>
            <w:tcBorders>
              <w:top w:val="nil"/>
              <w:left w:val="nil"/>
              <w:bottom w:val="single" w:sz="4" w:space="0" w:color="auto"/>
              <w:right w:val="single" w:sz="4" w:space="0" w:color="auto"/>
            </w:tcBorders>
            <w:shd w:val="clear" w:color="auto" w:fill="auto"/>
          </w:tcPr>
          <w:p w14:paraId="070E209D" w14:textId="77777777" w:rsidR="00B01067" w:rsidRPr="00131486" w:rsidRDefault="00B01067" w:rsidP="00EA18BB">
            <w:pPr>
              <w:spacing w:line="240" w:lineRule="auto"/>
              <w:rPr>
                <w:color w:val="000000"/>
                <w:sz w:val="18"/>
                <w:szCs w:val="18"/>
              </w:rPr>
            </w:pPr>
            <w:r w:rsidRPr="00131486">
              <w:rPr>
                <w:color w:val="000000"/>
                <w:sz w:val="18"/>
                <w:szCs w:val="18"/>
              </w:rPr>
              <w:t>Pg.1-On the website, the SFA is given the option to add a school. What is the purpose of this? Shouldn’t all schools they have been sampled for already be on the site?</w:t>
            </w:r>
          </w:p>
        </w:tc>
        <w:tc>
          <w:tcPr>
            <w:tcW w:w="2859" w:type="pct"/>
            <w:tcBorders>
              <w:top w:val="nil"/>
              <w:left w:val="nil"/>
              <w:bottom w:val="single" w:sz="4" w:space="0" w:color="auto"/>
              <w:right w:val="single" w:sz="4" w:space="0" w:color="auto"/>
            </w:tcBorders>
          </w:tcPr>
          <w:p w14:paraId="4AF000F3" w14:textId="4E220664" w:rsidR="00B01067" w:rsidRPr="00131486" w:rsidRDefault="00B01067" w:rsidP="00EA18BB">
            <w:pPr>
              <w:spacing w:line="240" w:lineRule="auto"/>
              <w:rPr>
                <w:color w:val="000000"/>
                <w:sz w:val="18"/>
                <w:szCs w:val="18"/>
              </w:rPr>
            </w:pPr>
            <w:r w:rsidRPr="00131486">
              <w:rPr>
                <w:b/>
                <w:i/>
                <w:color w:val="000000"/>
                <w:sz w:val="18"/>
                <w:szCs w:val="18"/>
              </w:rPr>
              <w:t>No Change Made</w:t>
            </w:r>
            <w:r w:rsidRPr="00131486">
              <w:rPr>
                <w:color w:val="000000"/>
                <w:sz w:val="18"/>
                <w:szCs w:val="18"/>
              </w:rPr>
              <w:t>; At the time of the NASS’s review, the study was in the process of developing the sample frame. As such, schools had not yet been sampled. Westat obtained the list of schools from public records and sent it to the SFAs to review and update as needed. The option to add/remove a school on the website was made available to SFAs because in some cases, a school on the list had been closed, thus, the SFA deleted the school. In other cases, a school was missing from the list and so the SFA added the school.</w:t>
            </w:r>
          </w:p>
        </w:tc>
        <w:tc>
          <w:tcPr>
            <w:tcW w:w="762" w:type="pct"/>
            <w:tcBorders>
              <w:top w:val="nil"/>
              <w:left w:val="nil"/>
              <w:bottom w:val="single" w:sz="4" w:space="0" w:color="auto"/>
              <w:right w:val="single" w:sz="4" w:space="0" w:color="auto"/>
            </w:tcBorders>
          </w:tcPr>
          <w:p w14:paraId="426755D2" w14:textId="6EC402F9" w:rsidR="00B01067" w:rsidRPr="00131486" w:rsidRDefault="00862D1F" w:rsidP="00B01067">
            <w:pPr>
              <w:spacing w:line="240" w:lineRule="auto"/>
              <w:rPr>
                <w:color w:val="000000"/>
                <w:sz w:val="18"/>
                <w:szCs w:val="18"/>
              </w:rPr>
            </w:pPr>
            <w:r w:rsidRPr="00131486">
              <w:rPr>
                <w:color w:val="000000"/>
                <w:sz w:val="18"/>
                <w:szCs w:val="18"/>
              </w:rPr>
              <w:t xml:space="preserve">B2. SFA Reminder </w:t>
            </w:r>
            <w:proofErr w:type="gramStart"/>
            <w:r w:rsidRPr="00131486">
              <w:rPr>
                <w:color w:val="000000"/>
                <w:sz w:val="18"/>
                <w:szCs w:val="18"/>
              </w:rPr>
              <w:t>For</w:t>
            </w:r>
            <w:proofErr w:type="gramEnd"/>
            <w:r w:rsidRPr="00131486">
              <w:rPr>
                <w:color w:val="000000"/>
                <w:sz w:val="18"/>
                <w:szCs w:val="18"/>
              </w:rPr>
              <w:t xml:space="preserve"> E-Records (Non-CEP Schools For Household Sampling)</w:t>
            </w:r>
          </w:p>
          <w:p w14:paraId="11542C50" w14:textId="77777777" w:rsidR="00B01067" w:rsidRPr="00131486" w:rsidRDefault="00B01067" w:rsidP="00B01067">
            <w:pPr>
              <w:spacing w:line="240" w:lineRule="auto"/>
              <w:rPr>
                <w:b/>
                <w:i/>
                <w:color w:val="000000"/>
                <w:sz w:val="18"/>
                <w:szCs w:val="18"/>
              </w:rPr>
            </w:pPr>
          </w:p>
          <w:p w14:paraId="78B0CD1F" w14:textId="7154BFE7" w:rsidR="00862D1F" w:rsidRPr="00131486" w:rsidRDefault="00862D1F" w:rsidP="00B01067">
            <w:pPr>
              <w:spacing w:line="240" w:lineRule="auto"/>
              <w:rPr>
                <w:color w:val="000000"/>
                <w:sz w:val="18"/>
                <w:szCs w:val="18"/>
              </w:rPr>
            </w:pPr>
            <w:r w:rsidRPr="00131486">
              <w:rPr>
                <w:color w:val="000000"/>
                <w:sz w:val="18"/>
                <w:szCs w:val="18"/>
              </w:rPr>
              <w:t xml:space="preserve">OR </w:t>
            </w:r>
          </w:p>
          <w:p w14:paraId="31BA098F" w14:textId="77777777" w:rsidR="00862D1F" w:rsidRPr="00131486" w:rsidRDefault="00862D1F" w:rsidP="00B01067">
            <w:pPr>
              <w:spacing w:line="240" w:lineRule="auto"/>
              <w:rPr>
                <w:color w:val="000000"/>
                <w:sz w:val="18"/>
                <w:szCs w:val="18"/>
              </w:rPr>
            </w:pPr>
          </w:p>
          <w:p w14:paraId="6C9F624E" w14:textId="22924405" w:rsidR="00B01067" w:rsidRPr="00131486" w:rsidRDefault="00862D1F" w:rsidP="00B01067">
            <w:pPr>
              <w:spacing w:line="240" w:lineRule="auto"/>
              <w:rPr>
                <w:b/>
                <w:i/>
                <w:color w:val="000000"/>
                <w:sz w:val="18"/>
                <w:szCs w:val="18"/>
              </w:rPr>
            </w:pPr>
            <w:r w:rsidRPr="00131486">
              <w:rPr>
                <w:color w:val="000000"/>
                <w:sz w:val="18"/>
                <w:szCs w:val="18"/>
              </w:rPr>
              <w:t>B4. SFA Reminder For E-Records (CEP Schools For ISP Data Abstraction</w:t>
            </w:r>
          </w:p>
        </w:tc>
      </w:tr>
      <w:tr w:rsidR="00B01067" w:rsidRPr="00131486" w14:paraId="51809732" w14:textId="398B2F57"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auto"/>
          </w:tcPr>
          <w:p w14:paraId="50A4B9E9" w14:textId="490D90FC" w:rsidR="00B01067" w:rsidRPr="00131486" w:rsidRDefault="00B01067" w:rsidP="00EA18BB">
            <w:pPr>
              <w:spacing w:line="240" w:lineRule="auto"/>
              <w:rPr>
                <w:color w:val="000000"/>
                <w:sz w:val="18"/>
                <w:szCs w:val="18"/>
              </w:rPr>
            </w:pPr>
            <w:r w:rsidRPr="00131486">
              <w:rPr>
                <w:color w:val="000000"/>
                <w:sz w:val="18"/>
                <w:szCs w:val="18"/>
              </w:rPr>
              <w:t>B7. SFA Reimbursement Claim Verification Form—Sampled Schools</w:t>
            </w:r>
          </w:p>
        </w:tc>
        <w:tc>
          <w:tcPr>
            <w:tcW w:w="731" w:type="pct"/>
            <w:tcBorders>
              <w:top w:val="single" w:sz="4" w:space="0" w:color="auto"/>
              <w:left w:val="nil"/>
              <w:bottom w:val="single" w:sz="4" w:space="0" w:color="auto"/>
              <w:right w:val="single" w:sz="4" w:space="0" w:color="auto"/>
            </w:tcBorders>
            <w:shd w:val="clear" w:color="auto" w:fill="auto"/>
          </w:tcPr>
          <w:p w14:paraId="5A7CEE8B" w14:textId="77777777" w:rsidR="00B01067" w:rsidRPr="00131486" w:rsidRDefault="00B01067" w:rsidP="00EA18BB">
            <w:pPr>
              <w:spacing w:line="240" w:lineRule="auto"/>
              <w:rPr>
                <w:color w:val="000000"/>
                <w:sz w:val="18"/>
                <w:szCs w:val="18"/>
              </w:rPr>
            </w:pPr>
            <w:r w:rsidRPr="00131486">
              <w:rPr>
                <w:color w:val="000000"/>
                <w:sz w:val="18"/>
                <w:szCs w:val="18"/>
              </w:rPr>
              <w:t>Reference Period, Pg. 2-What determines if the reference period is not a target month? Why would the target period be a week? Why would the target period be a day?</w:t>
            </w:r>
          </w:p>
        </w:tc>
        <w:tc>
          <w:tcPr>
            <w:tcW w:w="2859" w:type="pct"/>
            <w:tcBorders>
              <w:top w:val="single" w:sz="4" w:space="0" w:color="auto"/>
              <w:left w:val="nil"/>
              <w:bottom w:val="single" w:sz="4" w:space="0" w:color="auto"/>
              <w:right w:val="single" w:sz="4" w:space="0" w:color="auto"/>
            </w:tcBorders>
          </w:tcPr>
          <w:p w14:paraId="05D82E9B" w14:textId="77777777" w:rsidR="00B01067" w:rsidRPr="00131486" w:rsidRDefault="00B01067" w:rsidP="00EA18BB">
            <w:pPr>
              <w:spacing w:line="240" w:lineRule="auto"/>
              <w:rPr>
                <w:color w:val="000000"/>
                <w:sz w:val="18"/>
                <w:szCs w:val="18"/>
              </w:rPr>
            </w:pPr>
            <w:r w:rsidRPr="00131486">
              <w:rPr>
                <w:color w:val="000000"/>
                <w:sz w:val="18"/>
                <w:szCs w:val="18"/>
              </w:rPr>
              <w:t xml:space="preserve">In most cases, the data collector will use the Target Month.  However, in rare instances where the data for the Target Month is not available or can no longer be accessed, the data collector will collect data for the Target Week (the week prior to the data collection visit) or in even rare instances, the Target Day (the day of the visit). </w:t>
            </w:r>
            <w:r w:rsidRPr="00131486">
              <w:rPr>
                <w:b/>
                <w:color w:val="000000"/>
                <w:sz w:val="18"/>
                <w:szCs w:val="18"/>
              </w:rPr>
              <w:t>Text updated to clarify when data collectors will gather data for the Target Month, Target Week or Target Day.</w:t>
            </w:r>
          </w:p>
        </w:tc>
        <w:tc>
          <w:tcPr>
            <w:tcW w:w="762" w:type="pct"/>
            <w:tcBorders>
              <w:top w:val="single" w:sz="4" w:space="0" w:color="auto"/>
              <w:left w:val="nil"/>
              <w:bottom w:val="single" w:sz="4" w:space="0" w:color="auto"/>
              <w:right w:val="single" w:sz="4" w:space="0" w:color="auto"/>
            </w:tcBorders>
          </w:tcPr>
          <w:p w14:paraId="2BA3F0C0" w14:textId="5B135E31" w:rsidR="00B01067" w:rsidRPr="00131486" w:rsidRDefault="00862D1F" w:rsidP="00EA18BB">
            <w:pPr>
              <w:spacing w:line="240" w:lineRule="auto"/>
              <w:rPr>
                <w:color w:val="000000"/>
                <w:sz w:val="18"/>
                <w:szCs w:val="18"/>
              </w:rPr>
            </w:pPr>
            <w:r w:rsidRPr="00131486">
              <w:rPr>
                <w:color w:val="000000"/>
                <w:sz w:val="18"/>
                <w:szCs w:val="18"/>
              </w:rPr>
              <w:t>B9. SFA Reimbursement Claim Verification Form—Sampled Schools</w:t>
            </w:r>
          </w:p>
        </w:tc>
      </w:tr>
      <w:tr w:rsidR="00B01067" w:rsidRPr="00131486" w14:paraId="48528ECE" w14:textId="4B57CEEA"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4D353D6B" w14:textId="0B8620E3" w:rsidR="00B01067" w:rsidRPr="00131486" w:rsidRDefault="00B01067" w:rsidP="00EA18BB">
            <w:pPr>
              <w:spacing w:line="240" w:lineRule="auto"/>
              <w:rPr>
                <w:color w:val="000000"/>
                <w:sz w:val="18"/>
                <w:szCs w:val="18"/>
              </w:rPr>
            </w:pPr>
            <w:r w:rsidRPr="00131486">
              <w:rPr>
                <w:color w:val="000000"/>
                <w:sz w:val="18"/>
                <w:szCs w:val="18"/>
              </w:rPr>
              <w:t>B8. SFA Reimbursement Consolidation and Claim Verification Form—All Schools</w:t>
            </w:r>
          </w:p>
        </w:tc>
        <w:tc>
          <w:tcPr>
            <w:tcW w:w="731" w:type="pct"/>
            <w:tcBorders>
              <w:top w:val="nil"/>
              <w:left w:val="nil"/>
              <w:bottom w:val="single" w:sz="4" w:space="0" w:color="auto"/>
              <w:right w:val="single" w:sz="4" w:space="0" w:color="auto"/>
            </w:tcBorders>
            <w:shd w:val="clear" w:color="auto" w:fill="auto"/>
          </w:tcPr>
          <w:p w14:paraId="0E820D10" w14:textId="77777777" w:rsidR="00B01067" w:rsidRPr="00131486" w:rsidRDefault="00B01067" w:rsidP="00EA18BB">
            <w:pPr>
              <w:spacing w:line="240" w:lineRule="auto"/>
              <w:rPr>
                <w:color w:val="000000"/>
                <w:sz w:val="18"/>
                <w:szCs w:val="18"/>
              </w:rPr>
            </w:pPr>
            <w:r w:rsidRPr="00131486">
              <w:rPr>
                <w:color w:val="000000"/>
                <w:sz w:val="18"/>
                <w:szCs w:val="18"/>
              </w:rPr>
              <w:t>Reference Period Pg. 1-Is it possible to have different reference periods for each school? If so, how would you handle that situation?</w:t>
            </w:r>
          </w:p>
        </w:tc>
        <w:tc>
          <w:tcPr>
            <w:tcW w:w="2859" w:type="pct"/>
            <w:tcBorders>
              <w:top w:val="nil"/>
              <w:left w:val="nil"/>
              <w:bottom w:val="single" w:sz="4" w:space="0" w:color="auto"/>
              <w:right w:val="single" w:sz="4" w:space="0" w:color="auto"/>
            </w:tcBorders>
          </w:tcPr>
          <w:p w14:paraId="2E3BD476" w14:textId="77777777" w:rsidR="00B01067" w:rsidRPr="00131486" w:rsidRDefault="00B01067" w:rsidP="00EA18BB">
            <w:pPr>
              <w:spacing w:line="240" w:lineRule="auto"/>
              <w:rPr>
                <w:color w:val="000000"/>
                <w:sz w:val="18"/>
                <w:szCs w:val="18"/>
              </w:rPr>
            </w:pPr>
            <w:r w:rsidRPr="00131486">
              <w:rPr>
                <w:color w:val="000000"/>
                <w:sz w:val="18"/>
                <w:szCs w:val="18"/>
              </w:rPr>
              <w:t xml:space="preserve">Yes, the target month (or week or day) can and will often be different across schools.  The requirement is that the meal count and claims are obtained for the same Target Month (or week or day) from the school and their SFA, and State. The data will be linked for each school, SFA, and State triad, and thus it is okay if it is different across schools. </w:t>
            </w:r>
            <w:r w:rsidRPr="00131486">
              <w:rPr>
                <w:b/>
                <w:color w:val="000000"/>
                <w:sz w:val="18"/>
                <w:szCs w:val="18"/>
              </w:rPr>
              <w:t>Text updated to clarify when data collectors will gather data for the Target Month, Target Week or Target Day.</w:t>
            </w:r>
          </w:p>
        </w:tc>
        <w:tc>
          <w:tcPr>
            <w:tcW w:w="762" w:type="pct"/>
            <w:tcBorders>
              <w:top w:val="nil"/>
              <w:left w:val="nil"/>
              <w:bottom w:val="single" w:sz="4" w:space="0" w:color="auto"/>
              <w:right w:val="single" w:sz="4" w:space="0" w:color="auto"/>
            </w:tcBorders>
          </w:tcPr>
          <w:p w14:paraId="02A9C6B2" w14:textId="342B1ECF" w:rsidR="00B01067" w:rsidRPr="00131486" w:rsidRDefault="00862D1F" w:rsidP="00EA18BB">
            <w:pPr>
              <w:spacing w:line="240" w:lineRule="auto"/>
              <w:rPr>
                <w:color w:val="000000"/>
                <w:sz w:val="18"/>
                <w:szCs w:val="18"/>
              </w:rPr>
            </w:pPr>
            <w:r w:rsidRPr="00131486">
              <w:rPr>
                <w:color w:val="000000"/>
                <w:sz w:val="18"/>
                <w:szCs w:val="18"/>
              </w:rPr>
              <w:t>B10. SFA Reimbursement Consolidation and Claim Verification Form—All Schools</w:t>
            </w:r>
          </w:p>
        </w:tc>
      </w:tr>
      <w:tr w:rsidR="00B01067" w:rsidRPr="00131486" w14:paraId="050D8FCE" w14:textId="46384C6B"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auto"/>
          </w:tcPr>
          <w:p w14:paraId="223D49CF" w14:textId="77777777" w:rsidR="00B01067" w:rsidRPr="00131486" w:rsidRDefault="00B01067" w:rsidP="00EA18BB">
            <w:pPr>
              <w:spacing w:line="240" w:lineRule="auto"/>
              <w:rPr>
                <w:color w:val="000000"/>
                <w:sz w:val="18"/>
                <w:szCs w:val="18"/>
              </w:rPr>
            </w:pPr>
            <w:r w:rsidRPr="00131486">
              <w:rPr>
                <w:color w:val="000000"/>
                <w:sz w:val="18"/>
                <w:szCs w:val="18"/>
              </w:rPr>
              <w:t>B10. SFA Director Survey (web-based)</w:t>
            </w:r>
          </w:p>
        </w:tc>
        <w:tc>
          <w:tcPr>
            <w:tcW w:w="731" w:type="pct"/>
            <w:tcBorders>
              <w:top w:val="single" w:sz="4" w:space="0" w:color="auto"/>
              <w:left w:val="nil"/>
              <w:bottom w:val="single" w:sz="4" w:space="0" w:color="auto"/>
              <w:right w:val="single" w:sz="4" w:space="0" w:color="auto"/>
            </w:tcBorders>
            <w:shd w:val="clear" w:color="auto" w:fill="auto"/>
          </w:tcPr>
          <w:p w14:paraId="24453CED" w14:textId="77777777" w:rsidR="00B01067" w:rsidRPr="00131486" w:rsidRDefault="00B01067" w:rsidP="00EA18BB">
            <w:pPr>
              <w:spacing w:line="240" w:lineRule="auto"/>
              <w:rPr>
                <w:color w:val="000000"/>
                <w:sz w:val="18"/>
                <w:szCs w:val="18"/>
              </w:rPr>
            </w:pPr>
            <w:r w:rsidRPr="00131486">
              <w:rPr>
                <w:color w:val="000000"/>
                <w:sz w:val="18"/>
                <w:szCs w:val="18"/>
              </w:rPr>
              <w:t>Question A11, Pg. 6-</w:t>
            </w:r>
            <w:r w:rsidRPr="00131486">
              <w:rPr>
                <w:sz w:val="18"/>
                <w:szCs w:val="18"/>
              </w:rPr>
              <w:t xml:space="preserve"> </w:t>
            </w:r>
            <w:r w:rsidRPr="00131486">
              <w:rPr>
                <w:color w:val="000000"/>
                <w:sz w:val="18"/>
                <w:szCs w:val="18"/>
              </w:rPr>
              <w:t>In the case where an SFA covers multiple districts, is it possible for some districts to receive the 6 cents while others don’t?</w:t>
            </w:r>
          </w:p>
        </w:tc>
        <w:tc>
          <w:tcPr>
            <w:tcW w:w="2859" w:type="pct"/>
            <w:tcBorders>
              <w:top w:val="single" w:sz="4" w:space="0" w:color="auto"/>
              <w:left w:val="nil"/>
              <w:bottom w:val="single" w:sz="4" w:space="0" w:color="auto"/>
              <w:right w:val="single" w:sz="4" w:space="0" w:color="auto"/>
            </w:tcBorders>
          </w:tcPr>
          <w:p w14:paraId="0F3F28D1" w14:textId="77777777" w:rsidR="00B01067" w:rsidRPr="00131486" w:rsidRDefault="00B01067" w:rsidP="00EA18BB">
            <w:pPr>
              <w:spacing w:line="240" w:lineRule="auto"/>
              <w:rPr>
                <w:color w:val="000000"/>
                <w:sz w:val="18"/>
                <w:szCs w:val="18"/>
              </w:rPr>
            </w:pPr>
            <w:r w:rsidRPr="00131486">
              <w:rPr>
                <w:b/>
                <w:i/>
                <w:color w:val="000000"/>
                <w:sz w:val="18"/>
                <w:szCs w:val="18"/>
              </w:rPr>
              <w:t>No Change Made;</w:t>
            </w:r>
            <w:r w:rsidRPr="00131486">
              <w:rPr>
                <w:color w:val="000000"/>
                <w:sz w:val="18"/>
                <w:szCs w:val="18"/>
              </w:rPr>
              <w:t xml:space="preserve"> The additional 6 cent reimbursement is based on ALL schools within an SFA meeting the standards. If an SFA operates the meal programs on behalf of multiple school districts, they would still only be 1 SFA (so all schools would have to meet standards for the SFA to be certified).</w:t>
            </w:r>
          </w:p>
        </w:tc>
        <w:tc>
          <w:tcPr>
            <w:tcW w:w="762" w:type="pct"/>
            <w:tcBorders>
              <w:top w:val="single" w:sz="4" w:space="0" w:color="auto"/>
              <w:left w:val="nil"/>
              <w:bottom w:val="single" w:sz="4" w:space="0" w:color="auto"/>
              <w:right w:val="single" w:sz="4" w:space="0" w:color="auto"/>
            </w:tcBorders>
          </w:tcPr>
          <w:p w14:paraId="78D86FB9" w14:textId="5C4A4344" w:rsidR="00B01067" w:rsidRPr="00131486" w:rsidRDefault="00862D1F" w:rsidP="00EA18BB">
            <w:pPr>
              <w:spacing w:line="240" w:lineRule="auto"/>
              <w:rPr>
                <w:color w:val="000000"/>
                <w:sz w:val="18"/>
                <w:szCs w:val="18"/>
              </w:rPr>
            </w:pPr>
            <w:r w:rsidRPr="00131486">
              <w:rPr>
                <w:color w:val="000000"/>
                <w:sz w:val="18"/>
                <w:szCs w:val="18"/>
              </w:rPr>
              <w:t>B11. SFA Director Survey (web-based)</w:t>
            </w:r>
          </w:p>
        </w:tc>
      </w:tr>
      <w:tr w:rsidR="00B01067" w:rsidRPr="00131486" w14:paraId="10C6FC78" w14:textId="22430EA9"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auto"/>
          </w:tcPr>
          <w:p w14:paraId="745275F3" w14:textId="77777777" w:rsidR="00B01067" w:rsidRPr="00131486" w:rsidRDefault="00B01067" w:rsidP="00EA18BB">
            <w:pPr>
              <w:spacing w:line="240" w:lineRule="auto"/>
              <w:rPr>
                <w:color w:val="000000"/>
                <w:sz w:val="18"/>
                <w:szCs w:val="18"/>
              </w:rPr>
            </w:pPr>
            <w:r w:rsidRPr="00131486">
              <w:rPr>
                <w:color w:val="000000"/>
                <w:sz w:val="18"/>
                <w:szCs w:val="18"/>
              </w:rPr>
              <w:t>B10. SFA Director Survey (web-based)</w:t>
            </w:r>
          </w:p>
        </w:tc>
        <w:tc>
          <w:tcPr>
            <w:tcW w:w="731" w:type="pct"/>
            <w:tcBorders>
              <w:top w:val="single" w:sz="4" w:space="0" w:color="auto"/>
              <w:left w:val="nil"/>
              <w:bottom w:val="single" w:sz="4" w:space="0" w:color="auto"/>
              <w:right w:val="single" w:sz="4" w:space="0" w:color="auto"/>
            </w:tcBorders>
            <w:shd w:val="clear" w:color="auto" w:fill="auto"/>
          </w:tcPr>
          <w:p w14:paraId="7D8C493E" w14:textId="77777777" w:rsidR="00B01067" w:rsidRDefault="00B01067" w:rsidP="00EA18BB">
            <w:pPr>
              <w:spacing w:line="240" w:lineRule="auto"/>
              <w:rPr>
                <w:color w:val="000000"/>
                <w:sz w:val="18"/>
                <w:szCs w:val="18"/>
              </w:rPr>
            </w:pPr>
            <w:r w:rsidRPr="00131486">
              <w:rPr>
                <w:color w:val="000000"/>
                <w:sz w:val="18"/>
                <w:szCs w:val="18"/>
              </w:rPr>
              <w:t>Question A12, Pg.6-</w:t>
            </w:r>
            <w:r w:rsidRPr="00131486">
              <w:rPr>
                <w:sz w:val="18"/>
                <w:szCs w:val="18"/>
              </w:rPr>
              <w:t xml:space="preserve"> </w:t>
            </w:r>
            <w:r w:rsidRPr="00131486">
              <w:rPr>
                <w:color w:val="000000"/>
                <w:sz w:val="18"/>
                <w:szCs w:val="18"/>
              </w:rPr>
              <w:t xml:space="preserve">Is it possible for some schools in the SFA to receive </w:t>
            </w:r>
            <w:proofErr w:type="gramStart"/>
            <w:r w:rsidRPr="00131486">
              <w:rPr>
                <w:color w:val="000000"/>
                <w:sz w:val="18"/>
                <w:szCs w:val="18"/>
              </w:rPr>
              <w:t>this while others</w:t>
            </w:r>
            <w:proofErr w:type="gramEnd"/>
            <w:r w:rsidRPr="00131486">
              <w:rPr>
                <w:color w:val="000000"/>
                <w:sz w:val="18"/>
                <w:szCs w:val="18"/>
              </w:rPr>
              <w:t xml:space="preserve"> don’t?</w:t>
            </w:r>
          </w:p>
          <w:p w14:paraId="07625F9A" w14:textId="77777777" w:rsidR="00131486" w:rsidRDefault="00131486" w:rsidP="00EA18BB">
            <w:pPr>
              <w:spacing w:line="240" w:lineRule="auto"/>
              <w:rPr>
                <w:color w:val="000000"/>
                <w:sz w:val="18"/>
                <w:szCs w:val="18"/>
              </w:rPr>
            </w:pPr>
          </w:p>
          <w:p w14:paraId="338ADDE0" w14:textId="77777777" w:rsidR="00131486" w:rsidRDefault="00131486" w:rsidP="00EA18BB">
            <w:pPr>
              <w:spacing w:line="240" w:lineRule="auto"/>
              <w:rPr>
                <w:color w:val="000000"/>
                <w:sz w:val="18"/>
                <w:szCs w:val="18"/>
              </w:rPr>
            </w:pPr>
          </w:p>
          <w:p w14:paraId="1A83DA40" w14:textId="556C371B" w:rsidR="00131486" w:rsidRPr="00131486" w:rsidRDefault="00131486" w:rsidP="00EA18BB">
            <w:pPr>
              <w:spacing w:line="240" w:lineRule="auto"/>
              <w:rPr>
                <w:color w:val="000000"/>
                <w:sz w:val="18"/>
                <w:szCs w:val="18"/>
              </w:rPr>
            </w:pPr>
          </w:p>
        </w:tc>
        <w:tc>
          <w:tcPr>
            <w:tcW w:w="2859" w:type="pct"/>
            <w:tcBorders>
              <w:top w:val="single" w:sz="4" w:space="0" w:color="auto"/>
              <w:left w:val="nil"/>
              <w:bottom w:val="single" w:sz="4" w:space="0" w:color="auto"/>
              <w:right w:val="single" w:sz="4" w:space="0" w:color="auto"/>
            </w:tcBorders>
          </w:tcPr>
          <w:p w14:paraId="4F587D2D" w14:textId="77777777" w:rsidR="00B01067" w:rsidRPr="00131486" w:rsidRDefault="00B01067" w:rsidP="00EA18BB">
            <w:pPr>
              <w:spacing w:line="240" w:lineRule="auto"/>
              <w:rPr>
                <w:color w:val="000000"/>
                <w:sz w:val="18"/>
                <w:szCs w:val="18"/>
              </w:rPr>
            </w:pPr>
            <w:r w:rsidRPr="00131486">
              <w:rPr>
                <w:b/>
                <w:i/>
                <w:color w:val="000000"/>
                <w:sz w:val="18"/>
                <w:szCs w:val="18"/>
              </w:rPr>
              <w:t>No Change Made;</w:t>
            </w:r>
            <w:r w:rsidRPr="00131486">
              <w:rPr>
                <w:color w:val="000000"/>
                <w:sz w:val="18"/>
                <w:szCs w:val="18"/>
              </w:rPr>
              <w:t xml:space="preserve"> The two-cent differential applies to the SFA as a whole. As a result, Westat has changed the beginning of A12 from “Schools where 60 percent…” to “SFAs” where 60 percent or more…” Section 4(b) (2) of the Richard B. Russell National School Lunch Act (42 USC 1753) provides further information on this topic.</w:t>
            </w:r>
          </w:p>
        </w:tc>
        <w:tc>
          <w:tcPr>
            <w:tcW w:w="762" w:type="pct"/>
            <w:tcBorders>
              <w:top w:val="single" w:sz="4" w:space="0" w:color="auto"/>
              <w:left w:val="nil"/>
              <w:bottom w:val="single" w:sz="4" w:space="0" w:color="auto"/>
              <w:right w:val="single" w:sz="4" w:space="0" w:color="auto"/>
            </w:tcBorders>
          </w:tcPr>
          <w:p w14:paraId="01962604" w14:textId="665C9A6B" w:rsidR="00B01067" w:rsidRPr="00131486" w:rsidRDefault="00862D1F" w:rsidP="00EA18BB">
            <w:pPr>
              <w:spacing w:line="240" w:lineRule="auto"/>
              <w:rPr>
                <w:b/>
                <w:i/>
                <w:color w:val="000000"/>
                <w:sz w:val="18"/>
                <w:szCs w:val="18"/>
              </w:rPr>
            </w:pPr>
            <w:r w:rsidRPr="00131486">
              <w:rPr>
                <w:color w:val="000000"/>
                <w:sz w:val="18"/>
                <w:szCs w:val="18"/>
              </w:rPr>
              <w:t>B11. SFA Director Survey (web-based)</w:t>
            </w:r>
          </w:p>
        </w:tc>
      </w:tr>
      <w:tr w:rsidR="00131486" w:rsidRPr="00131486" w14:paraId="305413D0" w14:textId="77777777" w:rsidTr="00131486">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7A6F43" w14:textId="34BC0D06" w:rsidR="00131486" w:rsidRPr="00131486" w:rsidRDefault="00131486" w:rsidP="00131486">
            <w:pPr>
              <w:spacing w:line="240" w:lineRule="auto"/>
              <w:rPr>
                <w:b/>
                <w:color w:val="000000"/>
                <w:sz w:val="18"/>
                <w:szCs w:val="18"/>
              </w:rPr>
            </w:pPr>
            <w:r w:rsidRPr="00131486">
              <w:rPr>
                <w:b/>
                <w:color w:val="000000"/>
                <w:sz w:val="18"/>
                <w:szCs w:val="18"/>
              </w:rPr>
              <w:lastRenderedPageBreak/>
              <w:t xml:space="preserve">Old Appendix #/Title </w:t>
            </w:r>
          </w:p>
        </w:tc>
        <w:tc>
          <w:tcPr>
            <w:tcW w:w="731" w:type="pct"/>
            <w:tcBorders>
              <w:top w:val="single" w:sz="4" w:space="0" w:color="auto"/>
              <w:left w:val="nil"/>
              <w:bottom w:val="single" w:sz="4" w:space="0" w:color="auto"/>
              <w:right w:val="single" w:sz="4" w:space="0" w:color="auto"/>
            </w:tcBorders>
            <w:shd w:val="clear" w:color="auto" w:fill="DBE5F1" w:themeFill="accent1" w:themeFillTint="33"/>
          </w:tcPr>
          <w:p w14:paraId="6D0B4A82" w14:textId="2D4C7D71" w:rsidR="00131486" w:rsidRPr="00131486" w:rsidRDefault="00131486" w:rsidP="00131486">
            <w:pPr>
              <w:spacing w:line="240" w:lineRule="auto"/>
              <w:rPr>
                <w:b/>
                <w:color w:val="000000"/>
                <w:sz w:val="18"/>
                <w:szCs w:val="18"/>
              </w:rPr>
            </w:pPr>
            <w:r w:rsidRPr="00131486">
              <w:rPr>
                <w:b/>
                <w:color w:val="000000"/>
                <w:sz w:val="18"/>
                <w:szCs w:val="18"/>
              </w:rPr>
              <w:t>NASS Comment</w:t>
            </w:r>
          </w:p>
        </w:tc>
        <w:tc>
          <w:tcPr>
            <w:tcW w:w="2859" w:type="pct"/>
            <w:tcBorders>
              <w:top w:val="single" w:sz="4" w:space="0" w:color="auto"/>
              <w:left w:val="nil"/>
              <w:bottom w:val="single" w:sz="4" w:space="0" w:color="auto"/>
              <w:right w:val="single" w:sz="4" w:space="0" w:color="auto"/>
            </w:tcBorders>
            <w:shd w:val="clear" w:color="auto" w:fill="DBE5F1" w:themeFill="accent1" w:themeFillTint="33"/>
          </w:tcPr>
          <w:p w14:paraId="6A751EDB" w14:textId="77777777" w:rsidR="00131486" w:rsidRPr="00131486" w:rsidRDefault="00131486" w:rsidP="00131486">
            <w:pPr>
              <w:spacing w:line="240" w:lineRule="auto"/>
              <w:rPr>
                <w:b/>
                <w:color w:val="000000"/>
                <w:sz w:val="18"/>
                <w:szCs w:val="18"/>
              </w:rPr>
            </w:pPr>
            <w:r w:rsidRPr="00131486">
              <w:rPr>
                <w:b/>
                <w:color w:val="000000"/>
                <w:sz w:val="18"/>
                <w:szCs w:val="18"/>
              </w:rPr>
              <w:t>Response to Comment</w:t>
            </w:r>
          </w:p>
          <w:p w14:paraId="65365004" w14:textId="77777777" w:rsidR="00131486" w:rsidRPr="00131486" w:rsidRDefault="00131486" w:rsidP="00131486">
            <w:pPr>
              <w:spacing w:line="240" w:lineRule="auto"/>
              <w:rPr>
                <w:b/>
                <w:color w:val="000000"/>
                <w:sz w:val="18"/>
                <w:szCs w:val="18"/>
              </w:rPr>
            </w:pPr>
          </w:p>
        </w:tc>
        <w:tc>
          <w:tcPr>
            <w:tcW w:w="762" w:type="pct"/>
            <w:tcBorders>
              <w:top w:val="single" w:sz="4" w:space="0" w:color="auto"/>
              <w:left w:val="nil"/>
              <w:bottom w:val="single" w:sz="4" w:space="0" w:color="auto"/>
              <w:right w:val="single" w:sz="4" w:space="0" w:color="auto"/>
            </w:tcBorders>
            <w:shd w:val="clear" w:color="auto" w:fill="DBE5F1" w:themeFill="accent1" w:themeFillTint="33"/>
          </w:tcPr>
          <w:p w14:paraId="6FA88DC8" w14:textId="2A2DAA5A" w:rsidR="00131486" w:rsidRPr="00131486" w:rsidRDefault="00131486" w:rsidP="00131486">
            <w:pPr>
              <w:spacing w:line="240" w:lineRule="auto"/>
              <w:rPr>
                <w:color w:val="000000"/>
                <w:sz w:val="18"/>
                <w:szCs w:val="18"/>
              </w:rPr>
            </w:pPr>
            <w:r w:rsidRPr="00131486">
              <w:rPr>
                <w:b/>
                <w:color w:val="000000"/>
                <w:sz w:val="18"/>
                <w:szCs w:val="18"/>
              </w:rPr>
              <w:t>New Appendix #/Title</w:t>
            </w:r>
          </w:p>
        </w:tc>
      </w:tr>
      <w:tr w:rsidR="00131486" w:rsidRPr="00131486" w14:paraId="00B196A5" w14:textId="783D18E7"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auto"/>
          </w:tcPr>
          <w:p w14:paraId="3CD04842" w14:textId="5A4E60B9" w:rsidR="00131486" w:rsidRPr="00131486" w:rsidRDefault="00131486" w:rsidP="00131486">
            <w:pPr>
              <w:spacing w:line="240" w:lineRule="auto"/>
              <w:rPr>
                <w:color w:val="000000"/>
                <w:sz w:val="18"/>
                <w:szCs w:val="18"/>
              </w:rPr>
            </w:pPr>
            <w:r w:rsidRPr="00131486">
              <w:rPr>
                <w:color w:val="000000"/>
                <w:sz w:val="18"/>
                <w:szCs w:val="18"/>
              </w:rPr>
              <w:t>C1. School Pre-Visit Interview</w:t>
            </w:r>
          </w:p>
        </w:tc>
        <w:tc>
          <w:tcPr>
            <w:tcW w:w="731" w:type="pct"/>
            <w:tcBorders>
              <w:top w:val="single" w:sz="4" w:space="0" w:color="auto"/>
              <w:left w:val="nil"/>
              <w:bottom w:val="single" w:sz="4" w:space="0" w:color="auto"/>
              <w:right w:val="single" w:sz="4" w:space="0" w:color="auto"/>
            </w:tcBorders>
            <w:shd w:val="clear" w:color="auto" w:fill="auto"/>
          </w:tcPr>
          <w:p w14:paraId="1D70DC74" w14:textId="77777777" w:rsidR="00131486" w:rsidRPr="00131486" w:rsidRDefault="00131486" w:rsidP="00131486">
            <w:pPr>
              <w:spacing w:line="240" w:lineRule="auto"/>
              <w:rPr>
                <w:color w:val="000000"/>
                <w:sz w:val="18"/>
                <w:szCs w:val="18"/>
              </w:rPr>
            </w:pPr>
            <w:r w:rsidRPr="00131486">
              <w:rPr>
                <w:color w:val="000000"/>
                <w:sz w:val="18"/>
                <w:szCs w:val="18"/>
              </w:rPr>
              <w:t>Pg. 3-</w:t>
            </w:r>
            <w:r w:rsidRPr="00131486">
              <w:rPr>
                <w:sz w:val="18"/>
                <w:szCs w:val="18"/>
              </w:rPr>
              <w:t xml:space="preserve"> </w:t>
            </w:r>
            <w:r w:rsidRPr="00131486">
              <w:rPr>
                <w:color w:val="000000"/>
                <w:sz w:val="18"/>
                <w:szCs w:val="18"/>
              </w:rPr>
              <w:t>Do you care about base/non-base year for P1 or P3 schools?</w:t>
            </w:r>
          </w:p>
        </w:tc>
        <w:tc>
          <w:tcPr>
            <w:tcW w:w="2859" w:type="pct"/>
            <w:tcBorders>
              <w:top w:val="single" w:sz="4" w:space="0" w:color="auto"/>
              <w:left w:val="nil"/>
              <w:bottom w:val="single" w:sz="4" w:space="0" w:color="auto"/>
              <w:right w:val="single" w:sz="4" w:space="0" w:color="auto"/>
            </w:tcBorders>
          </w:tcPr>
          <w:p w14:paraId="0DC604C4" w14:textId="77777777" w:rsidR="00131486" w:rsidRPr="00131486" w:rsidRDefault="00131486" w:rsidP="00131486">
            <w:pPr>
              <w:spacing w:line="240" w:lineRule="auto"/>
              <w:rPr>
                <w:color w:val="000000"/>
                <w:sz w:val="18"/>
                <w:szCs w:val="18"/>
              </w:rPr>
            </w:pPr>
            <w:r w:rsidRPr="00131486">
              <w:rPr>
                <w:color w:val="000000"/>
                <w:sz w:val="18"/>
                <w:szCs w:val="18"/>
              </w:rPr>
              <w:t xml:space="preserve">For Provision Schools we must determine if they are in a base year for 2017-2018 because the claiming percentages are set in the base year, and thus we must use data from the base year. </w:t>
            </w:r>
            <w:r w:rsidRPr="00131486">
              <w:rPr>
                <w:b/>
                <w:color w:val="000000"/>
                <w:sz w:val="18"/>
                <w:szCs w:val="18"/>
              </w:rPr>
              <w:t>Text updated to ask about base/non-base year for any provision (P1, P2 or P3) school.</w:t>
            </w:r>
          </w:p>
        </w:tc>
        <w:tc>
          <w:tcPr>
            <w:tcW w:w="762" w:type="pct"/>
            <w:tcBorders>
              <w:top w:val="single" w:sz="4" w:space="0" w:color="auto"/>
              <w:left w:val="nil"/>
              <w:bottom w:val="single" w:sz="4" w:space="0" w:color="auto"/>
              <w:right w:val="single" w:sz="4" w:space="0" w:color="auto"/>
            </w:tcBorders>
          </w:tcPr>
          <w:p w14:paraId="5AF151A0" w14:textId="099CF0D0" w:rsidR="00131486" w:rsidRPr="00131486" w:rsidRDefault="00131486" w:rsidP="00131486">
            <w:pPr>
              <w:spacing w:line="240" w:lineRule="auto"/>
              <w:rPr>
                <w:color w:val="000000"/>
                <w:sz w:val="18"/>
                <w:szCs w:val="18"/>
              </w:rPr>
            </w:pPr>
            <w:r w:rsidRPr="00131486">
              <w:rPr>
                <w:color w:val="000000"/>
                <w:sz w:val="18"/>
                <w:szCs w:val="18"/>
              </w:rPr>
              <w:t>N/A</w:t>
            </w:r>
          </w:p>
        </w:tc>
      </w:tr>
      <w:tr w:rsidR="00131486" w:rsidRPr="00131486" w14:paraId="3E0C6082" w14:textId="76D54827"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37ECD756" w14:textId="66EFB806" w:rsidR="00131486" w:rsidRPr="00131486" w:rsidRDefault="00131486" w:rsidP="00131486">
            <w:pPr>
              <w:spacing w:line="240" w:lineRule="auto"/>
              <w:rPr>
                <w:color w:val="000000"/>
                <w:sz w:val="18"/>
                <w:szCs w:val="18"/>
              </w:rPr>
            </w:pPr>
            <w:r w:rsidRPr="00131486">
              <w:rPr>
                <w:color w:val="000000"/>
                <w:sz w:val="18"/>
                <w:szCs w:val="18"/>
              </w:rPr>
              <w:t>C3. Meal Transaction Observation Form</w:t>
            </w:r>
          </w:p>
        </w:tc>
        <w:tc>
          <w:tcPr>
            <w:tcW w:w="731" w:type="pct"/>
            <w:tcBorders>
              <w:top w:val="nil"/>
              <w:left w:val="nil"/>
              <w:bottom w:val="single" w:sz="4" w:space="0" w:color="auto"/>
              <w:right w:val="single" w:sz="4" w:space="0" w:color="auto"/>
            </w:tcBorders>
            <w:shd w:val="clear" w:color="auto" w:fill="auto"/>
          </w:tcPr>
          <w:p w14:paraId="527FF463" w14:textId="77777777" w:rsidR="00131486" w:rsidRPr="00131486" w:rsidRDefault="00131486" w:rsidP="00131486">
            <w:pPr>
              <w:spacing w:line="240" w:lineRule="auto"/>
              <w:rPr>
                <w:color w:val="000000"/>
                <w:sz w:val="18"/>
                <w:szCs w:val="18"/>
              </w:rPr>
            </w:pPr>
            <w:r w:rsidRPr="00131486">
              <w:rPr>
                <w:color w:val="000000"/>
                <w:sz w:val="18"/>
                <w:szCs w:val="18"/>
              </w:rPr>
              <w:t>Pg. 1 (offer versus serve) -</w:t>
            </w:r>
            <w:r w:rsidRPr="00131486">
              <w:rPr>
                <w:sz w:val="18"/>
                <w:szCs w:val="18"/>
              </w:rPr>
              <w:t xml:space="preserve"> </w:t>
            </w:r>
            <w:r w:rsidRPr="00131486">
              <w:rPr>
                <w:color w:val="000000"/>
                <w:sz w:val="18"/>
                <w:szCs w:val="18"/>
              </w:rPr>
              <w:t>Is this a program name? Just by looking at it, it seems like the answer options should be Offer and Serve instead of Yes and No.</w:t>
            </w:r>
          </w:p>
          <w:p w14:paraId="11CF62A5" w14:textId="77777777" w:rsidR="00131486" w:rsidRPr="00131486" w:rsidRDefault="00131486" w:rsidP="00131486">
            <w:pPr>
              <w:spacing w:line="240" w:lineRule="auto"/>
              <w:rPr>
                <w:color w:val="000000"/>
                <w:sz w:val="18"/>
                <w:szCs w:val="18"/>
              </w:rPr>
            </w:pPr>
          </w:p>
          <w:p w14:paraId="5C07FDE6" w14:textId="77777777" w:rsidR="00131486" w:rsidRPr="00131486" w:rsidRDefault="00131486" w:rsidP="00131486">
            <w:pPr>
              <w:spacing w:line="240" w:lineRule="auto"/>
              <w:rPr>
                <w:color w:val="000000"/>
                <w:sz w:val="18"/>
                <w:szCs w:val="18"/>
              </w:rPr>
            </w:pPr>
          </w:p>
          <w:p w14:paraId="140DDC35" w14:textId="77777777" w:rsidR="00131486" w:rsidRPr="00131486" w:rsidRDefault="00131486" w:rsidP="00131486">
            <w:pPr>
              <w:spacing w:line="240" w:lineRule="auto"/>
              <w:rPr>
                <w:color w:val="000000"/>
                <w:sz w:val="18"/>
                <w:szCs w:val="18"/>
              </w:rPr>
            </w:pPr>
          </w:p>
        </w:tc>
        <w:tc>
          <w:tcPr>
            <w:tcW w:w="2859" w:type="pct"/>
            <w:tcBorders>
              <w:top w:val="nil"/>
              <w:left w:val="nil"/>
              <w:bottom w:val="single" w:sz="4" w:space="0" w:color="auto"/>
              <w:right w:val="single" w:sz="4" w:space="0" w:color="auto"/>
            </w:tcBorders>
          </w:tcPr>
          <w:p w14:paraId="72C593A6" w14:textId="77777777" w:rsidR="00131486" w:rsidRPr="00131486" w:rsidRDefault="00131486" w:rsidP="00131486">
            <w:pPr>
              <w:spacing w:line="240" w:lineRule="auto"/>
              <w:rPr>
                <w:color w:val="000000"/>
                <w:sz w:val="18"/>
                <w:szCs w:val="18"/>
              </w:rPr>
            </w:pPr>
            <w:r w:rsidRPr="00131486">
              <w:rPr>
                <w:b/>
                <w:i/>
                <w:color w:val="000000"/>
                <w:sz w:val="18"/>
                <w:szCs w:val="18"/>
              </w:rPr>
              <w:t>No Change Made;</w:t>
            </w:r>
            <w:r w:rsidRPr="00131486">
              <w:rPr>
                <w:color w:val="000000"/>
                <w:sz w:val="18"/>
                <w:szCs w:val="18"/>
              </w:rPr>
              <w:t xml:space="preserve"> Offer Versus Serve is the type of meal service provided to students (most often in high schools). Data Collectors will be trained on what types of meal service constitute Offer Versus Serve and will record Yes or No during the Meal Observation.</w:t>
            </w:r>
          </w:p>
          <w:p w14:paraId="20BE4290" w14:textId="77777777" w:rsidR="00131486" w:rsidRPr="00131486" w:rsidRDefault="00131486" w:rsidP="00131486">
            <w:pPr>
              <w:spacing w:line="240" w:lineRule="auto"/>
              <w:rPr>
                <w:color w:val="000000"/>
                <w:sz w:val="18"/>
                <w:szCs w:val="18"/>
              </w:rPr>
            </w:pPr>
          </w:p>
        </w:tc>
        <w:tc>
          <w:tcPr>
            <w:tcW w:w="762" w:type="pct"/>
            <w:tcBorders>
              <w:top w:val="nil"/>
              <w:left w:val="nil"/>
              <w:bottom w:val="single" w:sz="4" w:space="0" w:color="auto"/>
              <w:right w:val="single" w:sz="4" w:space="0" w:color="auto"/>
            </w:tcBorders>
          </w:tcPr>
          <w:p w14:paraId="6F3E08FC" w14:textId="64CF0B4A" w:rsidR="00131486" w:rsidRPr="00131486" w:rsidRDefault="00131486" w:rsidP="00131486">
            <w:pPr>
              <w:spacing w:line="240" w:lineRule="auto"/>
              <w:rPr>
                <w:color w:val="000000"/>
                <w:sz w:val="18"/>
                <w:szCs w:val="18"/>
              </w:rPr>
            </w:pPr>
            <w:r w:rsidRPr="00131486">
              <w:rPr>
                <w:color w:val="000000"/>
                <w:sz w:val="18"/>
                <w:szCs w:val="18"/>
              </w:rPr>
              <w:t>N/A</w:t>
            </w:r>
          </w:p>
        </w:tc>
      </w:tr>
      <w:tr w:rsidR="00131486" w:rsidRPr="00131486" w14:paraId="4F757F40" w14:textId="39EB9F50"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7BDF3F07" w14:textId="16BB3A8F" w:rsidR="00131486" w:rsidRPr="00131486" w:rsidRDefault="00131486" w:rsidP="00131486">
            <w:pPr>
              <w:spacing w:line="240" w:lineRule="auto"/>
              <w:rPr>
                <w:color w:val="000000"/>
                <w:sz w:val="18"/>
                <w:szCs w:val="18"/>
              </w:rPr>
            </w:pPr>
            <w:r w:rsidRPr="00131486">
              <w:rPr>
                <w:color w:val="000000"/>
                <w:sz w:val="18"/>
                <w:szCs w:val="18"/>
              </w:rPr>
              <w:t>C3. Meal Transaction Observation Form</w:t>
            </w:r>
          </w:p>
        </w:tc>
        <w:tc>
          <w:tcPr>
            <w:tcW w:w="731" w:type="pct"/>
            <w:tcBorders>
              <w:top w:val="nil"/>
              <w:left w:val="nil"/>
              <w:bottom w:val="single" w:sz="4" w:space="0" w:color="auto"/>
              <w:right w:val="single" w:sz="4" w:space="0" w:color="auto"/>
            </w:tcBorders>
            <w:shd w:val="clear" w:color="auto" w:fill="auto"/>
          </w:tcPr>
          <w:p w14:paraId="3E81EDA6" w14:textId="77777777" w:rsidR="00131486" w:rsidRPr="00131486" w:rsidRDefault="00131486" w:rsidP="00131486">
            <w:pPr>
              <w:spacing w:line="240" w:lineRule="auto"/>
              <w:rPr>
                <w:color w:val="000000"/>
                <w:sz w:val="18"/>
                <w:szCs w:val="18"/>
              </w:rPr>
            </w:pPr>
            <w:r w:rsidRPr="00131486">
              <w:rPr>
                <w:color w:val="000000"/>
                <w:sz w:val="18"/>
                <w:szCs w:val="18"/>
              </w:rPr>
              <w:t>Pg. 2-</w:t>
            </w:r>
            <w:r w:rsidRPr="00131486">
              <w:rPr>
                <w:sz w:val="18"/>
                <w:szCs w:val="18"/>
              </w:rPr>
              <w:t xml:space="preserve"> </w:t>
            </w:r>
            <w:r w:rsidRPr="00131486">
              <w:rPr>
                <w:color w:val="000000"/>
                <w:sz w:val="18"/>
                <w:szCs w:val="18"/>
              </w:rPr>
              <w:t>What are the required components?</w:t>
            </w:r>
          </w:p>
        </w:tc>
        <w:tc>
          <w:tcPr>
            <w:tcW w:w="2859" w:type="pct"/>
            <w:tcBorders>
              <w:top w:val="nil"/>
              <w:left w:val="nil"/>
              <w:bottom w:val="single" w:sz="4" w:space="0" w:color="auto"/>
              <w:right w:val="single" w:sz="4" w:space="0" w:color="auto"/>
            </w:tcBorders>
          </w:tcPr>
          <w:p w14:paraId="1986C7C2" w14:textId="77777777" w:rsidR="00131486" w:rsidRPr="00131486" w:rsidRDefault="00131486" w:rsidP="00131486">
            <w:pPr>
              <w:spacing w:line="240" w:lineRule="auto"/>
              <w:rPr>
                <w:color w:val="000000"/>
                <w:sz w:val="18"/>
                <w:szCs w:val="18"/>
              </w:rPr>
            </w:pPr>
            <w:r w:rsidRPr="00131486">
              <w:rPr>
                <w:b/>
                <w:i/>
                <w:color w:val="000000"/>
                <w:sz w:val="18"/>
                <w:szCs w:val="18"/>
              </w:rPr>
              <w:t>No Change Made;</w:t>
            </w:r>
            <w:r w:rsidRPr="00131486">
              <w:rPr>
                <w:color w:val="000000"/>
                <w:sz w:val="18"/>
                <w:szCs w:val="18"/>
              </w:rPr>
              <w:t xml:space="preserve"> Data Collectors will be trained on the required components. For the NSLP, all meals must contain: a fruit, a vegetable, a grain, a meat/meat alternate and milk. For the SBP, all meals must contain: a fruit, a grain and milk. During the meal observation, data collectors will record Yes or No if all meal components were made available for Offer versus Serve (OVS). </w:t>
            </w:r>
          </w:p>
          <w:p w14:paraId="6DAAE08D" w14:textId="23B2BC80" w:rsidR="00131486" w:rsidRPr="00131486" w:rsidRDefault="00131486" w:rsidP="00131486">
            <w:pPr>
              <w:spacing w:line="240" w:lineRule="auto"/>
              <w:rPr>
                <w:color w:val="000000"/>
                <w:sz w:val="18"/>
                <w:szCs w:val="18"/>
              </w:rPr>
            </w:pPr>
            <w:r w:rsidRPr="00131486">
              <w:rPr>
                <w:color w:val="000000"/>
                <w:sz w:val="18"/>
                <w:szCs w:val="18"/>
              </w:rPr>
              <w:t xml:space="preserve">(Reference: </w:t>
            </w:r>
            <w:hyperlink r:id="rId11" w:history="1">
              <w:r w:rsidRPr="00131486">
                <w:rPr>
                  <w:rStyle w:val="Hyperlink"/>
                  <w:sz w:val="18"/>
                  <w:szCs w:val="18"/>
                </w:rPr>
                <w:t>https://www.fns.usda.gov/sites/default/files/dietaryspecs.pdf</w:t>
              </w:r>
            </w:hyperlink>
            <w:r w:rsidRPr="00131486">
              <w:rPr>
                <w:color w:val="000000"/>
                <w:sz w:val="18"/>
                <w:szCs w:val="18"/>
              </w:rPr>
              <w:t>).</w:t>
            </w:r>
          </w:p>
        </w:tc>
        <w:tc>
          <w:tcPr>
            <w:tcW w:w="762" w:type="pct"/>
            <w:tcBorders>
              <w:top w:val="nil"/>
              <w:left w:val="nil"/>
              <w:bottom w:val="single" w:sz="4" w:space="0" w:color="auto"/>
              <w:right w:val="single" w:sz="4" w:space="0" w:color="auto"/>
            </w:tcBorders>
          </w:tcPr>
          <w:p w14:paraId="1F4B8BF8" w14:textId="75F10AC5" w:rsidR="00131486" w:rsidRPr="00131486" w:rsidRDefault="00131486" w:rsidP="00131486">
            <w:pPr>
              <w:spacing w:line="240" w:lineRule="auto"/>
              <w:rPr>
                <w:color w:val="000000"/>
                <w:sz w:val="18"/>
                <w:szCs w:val="18"/>
              </w:rPr>
            </w:pPr>
            <w:r w:rsidRPr="00131486">
              <w:rPr>
                <w:color w:val="000000"/>
                <w:sz w:val="18"/>
                <w:szCs w:val="18"/>
              </w:rPr>
              <w:t>N/A</w:t>
            </w:r>
          </w:p>
        </w:tc>
      </w:tr>
      <w:tr w:rsidR="00131486" w:rsidRPr="00131486" w14:paraId="15E0151D" w14:textId="30455CA5"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0FBC776A" w14:textId="613E62A1" w:rsidR="00131486" w:rsidRPr="00131486" w:rsidRDefault="00131486" w:rsidP="00131486">
            <w:pPr>
              <w:spacing w:line="240" w:lineRule="auto"/>
              <w:rPr>
                <w:color w:val="000000"/>
                <w:sz w:val="18"/>
                <w:szCs w:val="18"/>
              </w:rPr>
            </w:pPr>
            <w:r w:rsidRPr="00131486">
              <w:rPr>
                <w:color w:val="000000"/>
                <w:sz w:val="18"/>
                <w:szCs w:val="18"/>
              </w:rPr>
              <w:t>C6. School Meal Count Verification Form</w:t>
            </w:r>
          </w:p>
        </w:tc>
        <w:tc>
          <w:tcPr>
            <w:tcW w:w="731" w:type="pct"/>
            <w:tcBorders>
              <w:top w:val="nil"/>
              <w:left w:val="nil"/>
              <w:bottom w:val="single" w:sz="4" w:space="0" w:color="auto"/>
              <w:right w:val="single" w:sz="4" w:space="0" w:color="auto"/>
            </w:tcBorders>
            <w:shd w:val="clear" w:color="auto" w:fill="auto"/>
          </w:tcPr>
          <w:p w14:paraId="4C3DD794" w14:textId="77777777" w:rsidR="00131486" w:rsidRPr="00131486" w:rsidRDefault="00131486" w:rsidP="00131486">
            <w:pPr>
              <w:spacing w:line="240" w:lineRule="auto"/>
              <w:rPr>
                <w:color w:val="000000"/>
                <w:sz w:val="18"/>
                <w:szCs w:val="18"/>
              </w:rPr>
            </w:pPr>
            <w:r w:rsidRPr="00131486">
              <w:rPr>
                <w:color w:val="000000"/>
                <w:sz w:val="18"/>
                <w:szCs w:val="18"/>
              </w:rPr>
              <w:t>Pg. 1 (Reference Period) -</w:t>
            </w:r>
            <w:r w:rsidRPr="00131486">
              <w:rPr>
                <w:sz w:val="18"/>
                <w:szCs w:val="18"/>
              </w:rPr>
              <w:t xml:space="preserve"> </w:t>
            </w:r>
            <w:r w:rsidRPr="00131486">
              <w:rPr>
                <w:color w:val="000000"/>
                <w:sz w:val="18"/>
                <w:szCs w:val="18"/>
              </w:rPr>
              <w:t>Is each reference period completed for all schools? If not, how do you determine which reference period to use for each school? Do any schools complete two target periods and not the third?</w:t>
            </w:r>
          </w:p>
        </w:tc>
        <w:tc>
          <w:tcPr>
            <w:tcW w:w="2859" w:type="pct"/>
            <w:tcBorders>
              <w:top w:val="nil"/>
              <w:left w:val="nil"/>
              <w:bottom w:val="single" w:sz="4" w:space="0" w:color="auto"/>
              <w:right w:val="single" w:sz="4" w:space="0" w:color="auto"/>
            </w:tcBorders>
          </w:tcPr>
          <w:p w14:paraId="7B8419D6" w14:textId="77777777" w:rsidR="00131486" w:rsidRPr="00131486" w:rsidRDefault="00131486" w:rsidP="00131486">
            <w:pPr>
              <w:spacing w:line="240" w:lineRule="auto"/>
              <w:rPr>
                <w:color w:val="000000"/>
                <w:sz w:val="18"/>
                <w:szCs w:val="18"/>
              </w:rPr>
            </w:pPr>
            <w:r w:rsidRPr="00131486">
              <w:rPr>
                <w:color w:val="000000"/>
                <w:sz w:val="18"/>
                <w:szCs w:val="18"/>
              </w:rPr>
              <w:t xml:space="preserve">In most cases, the data collector will use the Target Month.  However, in rare instances where the data for the Target Month is not available or can no longer be accessed, the data collector will collect data for the Target Week (the week prior to the data collection visit) or in even rare instances, the Target Day (the day of the visit). </w:t>
            </w:r>
            <w:r w:rsidRPr="00131486">
              <w:rPr>
                <w:b/>
                <w:color w:val="000000"/>
                <w:sz w:val="18"/>
                <w:szCs w:val="18"/>
              </w:rPr>
              <w:t>Text updated to clarify when data collectors will gather data for the Target Month, Target Week or Target Day.</w:t>
            </w:r>
          </w:p>
        </w:tc>
        <w:tc>
          <w:tcPr>
            <w:tcW w:w="762" w:type="pct"/>
            <w:tcBorders>
              <w:top w:val="nil"/>
              <w:left w:val="nil"/>
              <w:bottom w:val="single" w:sz="4" w:space="0" w:color="auto"/>
              <w:right w:val="single" w:sz="4" w:space="0" w:color="auto"/>
            </w:tcBorders>
          </w:tcPr>
          <w:p w14:paraId="6FFFFE94" w14:textId="3B370F31" w:rsidR="00131486" w:rsidRPr="00131486" w:rsidRDefault="00131486" w:rsidP="00131486">
            <w:pPr>
              <w:spacing w:line="240" w:lineRule="auto"/>
              <w:rPr>
                <w:color w:val="000000"/>
                <w:sz w:val="18"/>
                <w:szCs w:val="18"/>
              </w:rPr>
            </w:pPr>
            <w:r w:rsidRPr="00131486">
              <w:rPr>
                <w:color w:val="000000"/>
                <w:sz w:val="18"/>
                <w:szCs w:val="18"/>
              </w:rPr>
              <w:t>N/A</w:t>
            </w:r>
          </w:p>
        </w:tc>
      </w:tr>
      <w:tr w:rsidR="00131486" w:rsidRPr="00131486" w14:paraId="0D038EA7" w14:textId="4AD66F66" w:rsidTr="00862D1F">
        <w:trPr>
          <w:tblHeader/>
          <w:jc w:val="center"/>
        </w:trPr>
        <w:tc>
          <w:tcPr>
            <w:tcW w:w="648" w:type="pct"/>
            <w:tcBorders>
              <w:top w:val="nil"/>
              <w:left w:val="single" w:sz="4" w:space="0" w:color="auto"/>
              <w:bottom w:val="single" w:sz="4" w:space="0" w:color="auto"/>
              <w:right w:val="single" w:sz="4" w:space="0" w:color="auto"/>
            </w:tcBorders>
            <w:shd w:val="clear" w:color="auto" w:fill="auto"/>
          </w:tcPr>
          <w:p w14:paraId="5096C271" w14:textId="7CD096FA" w:rsidR="00131486" w:rsidRPr="00131486" w:rsidRDefault="00131486" w:rsidP="00131486">
            <w:pPr>
              <w:spacing w:line="240" w:lineRule="auto"/>
              <w:rPr>
                <w:color w:val="000000"/>
                <w:sz w:val="18"/>
                <w:szCs w:val="18"/>
              </w:rPr>
            </w:pPr>
            <w:r w:rsidRPr="00131486">
              <w:rPr>
                <w:color w:val="000000"/>
                <w:sz w:val="18"/>
                <w:szCs w:val="18"/>
              </w:rPr>
              <w:t>C6. School Meal Count Verification Form</w:t>
            </w:r>
          </w:p>
        </w:tc>
        <w:tc>
          <w:tcPr>
            <w:tcW w:w="731" w:type="pct"/>
            <w:tcBorders>
              <w:top w:val="nil"/>
              <w:left w:val="nil"/>
              <w:bottom w:val="single" w:sz="4" w:space="0" w:color="auto"/>
              <w:right w:val="single" w:sz="4" w:space="0" w:color="auto"/>
            </w:tcBorders>
            <w:shd w:val="clear" w:color="auto" w:fill="auto"/>
          </w:tcPr>
          <w:p w14:paraId="531C738A" w14:textId="77777777" w:rsidR="00131486" w:rsidRDefault="00131486" w:rsidP="00131486">
            <w:pPr>
              <w:spacing w:line="240" w:lineRule="auto"/>
              <w:rPr>
                <w:color w:val="000000"/>
                <w:sz w:val="18"/>
                <w:szCs w:val="18"/>
              </w:rPr>
            </w:pPr>
            <w:r w:rsidRPr="00131486">
              <w:rPr>
                <w:color w:val="000000"/>
                <w:sz w:val="18"/>
                <w:szCs w:val="18"/>
              </w:rPr>
              <w:t>Pg.6 (Enter 1 if reference period is Target Day) -</w:t>
            </w:r>
            <w:r w:rsidRPr="00131486">
              <w:rPr>
                <w:sz w:val="18"/>
                <w:szCs w:val="18"/>
              </w:rPr>
              <w:t xml:space="preserve"> </w:t>
            </w:r>
            <w:r w:rsidRPr="00131486">
              <w:rPr>
                <w:color w:val="000000"/>
                <w:sz w:val="18"/>
                <w:szCs w:val="18"/>
              </w:rPr>
              <w:t>Is D3 asking for the number of serving days during the reference period?</w:t>
            </w:r>
          </w:p>
          <w:p w14:paraId="16F337CB" w14:textId="77777777" w:rsidR="00131486" w:rsidRDefault="00131486" w:rsidP="00131486">
            <w:pPr>
              <w:spacing w:line="240" w:lineRule="auto"/>
              <w:rPr>
                <w:color w:val="000000"/>
                <w:sz w:val="18"/>
                <w:szCs w:val="18"/>
              </w:rPr>
            </w:pPr>
          </w:p>
          <w:p w14:paraId="5E14C7B9" w14:textId="77777777" w:rsidR="00131486" w:rsidRDefault="00131486" w:rsidP="00131486">
            <w:pPr>
              <w:spacing w:line="240" w:lineRule="auto"/>
              <w:rPr>
                <w:color w:val="000000"/>
                <w:sz w:val="18"/>
                <w:szCs w:val="18"/>
              </w:rPr>
            </w:pPr>
          </w:p>
          <w:p w14:paraId="2567939C" w14:textId="77777777" w:rsidR="00131486" w:rsidRDefault="00131486" w:rsidP="00131486">
            <w:pPr>
              <w:spacing w:line="240" w:lineRule="auto"/>
              <w:rPr>
                <w:color w:val="000000"/>
                <w:sz w:val="18"/>
                <w:szCs w:val="18"/>
              </w:rPr>
            </w:pPr>
          </w:p>
          <w:p w14:paraId="47A9EEE0" w14:textId="77777777" w:rsidR="00131486" w:rsidRDefault="00131486" w:rsidP="00131486">
            <w:pPr>
              <w:spacing w:line="240" w:lineRule="auto"/>
              <w:rPr>
                <w:color w:val="000000"/>
                <w:sz w:val="18"/>
                <w:szCs w:val="18"/>
              </w:rPr>
            </w:pPr>
          </w:p>
          <w:p w14:paraId="2D8A2BB7" w14:textId="77777777" w:rsidR="00131486" w:rsidRDefault="00131486" w:rsidP="00131486">
            <w:pPr>
              <w:spacing w:line="240" w:lineRule="auto"/>
              <w:rPr>
                <w:color w:val="000000"/>
                <w:sz w:val="18"/>
                <w:szCs w:val="18"/>
              </w:rPr>
            </w:pPr>
          </w:p>
          <w:p w14:paraId="348AD0E0" w14:textId="77777777" w:rsidR="00131486" w:rsidRDefault="00131486" w:rsidP="00131486">
            <w:pPr>
              <w:spacing w:line="240" w:lineRule="auto"/>
              <w:rPr>
                <w:color w:val="000000"/>
                <w:sz w:val="18"/>
                <w:szCs w:val="18"/>
              </w:rPr>
            </w:pPr>
          </w:p>
          <w:p w14:paraId="42AE38C6" w14:textId="13260497" w:rsidR="00131486" w:rsidRPr="00131486" w:rsidRDefault="00131486" w:rsidP="00131486">
            <w:pPr>
              <w:spacing w:line="240" w:lineRule="auto"/>
              <w:rPr>
                <w:color w:val="000000"/>
                <w:sz w:val="18"/>
                <w:szCs w:val="18"/>
              </w:rPr>
            </w:pPr>
          </w:p>
        </w:tc>
        <w:tc>
          <w:tcPr>
            <w:tcW w:w="2859" w:type="pct"/>
            <w:tcBorders>
              <w:top w:val="nil"/>
              <w:left w:val="nil"/>
              <w:bottom w:val="single" w:sz="4" w:space="0" w:color="auto"/>
              <w:right w:val="single" w:sz="4" w:space="0" w:color="auto"/>
            </w:tcBorders>
          </w:tcPr>
          <w:p w14:paraId="17A3A503" w14:textId="77777777" w:rsidR="00131486" w:rsidRPr="00131486" w:rsidRDefault="00131486" w:rsidP="00131486">
            <w:pPr>
              <w:spacing w:line="240" w:lineRule="auto"/>
              <w:rPr>
                <w:b/>
                <w:color w:val="000000"/>
                <w:sz w:val="18"/>
                <w:szCs w:val="18"/>
              </w:rPr>
            </w:pPr>
            <w:r w:rsidRPr="00131486">
              <w:rPr>
                <w:color w:val="000000"/>
                <w:sz w:val="18"/>
                <w:szCs w:val="18"/>
              </w:rPr>
              <w:t xml:space="preserve">Yes, D3 is asking for the number of serving days in either the Target Month or Target Week.  </w:t>
            </w:r>
            <w:r w:rsidRPr="00131486">
              <w:rPr>
                <w:b/>
                <w:color w:val="000000"/>
                <w:sz w:val="18"/>
                <w:szCs w:val="18"/>
              </w:rPr>
              <w:t>The instruction text has been revised to say, “Number of Serving Days in the Target Month or Target Week.  For Target Day, enter 1.”</w:t>
            </w:r>
          </w:p>
          <w:p w14:paraId="1469D4E9" w14:textId="77777777" w:rsidR="00131486" w:rsidRPr="00131486" w:rsidRDefault="00131486" w:rsidP="00131486">
            <w:pPr>
              <w:spacing w:line="240" w:lineRule="auto"/>
              <w:rPr>
                <w:b/>
                <w:color w:val="000000"/>
                <w:sz w:val="18"/>
                <w:szCs w:val="18"/>
              </w:rPr>
            </w:pPr>
          </w:p>
          <w:p w14:paraId="30C4E7F6" w14:textId="77777777" w:rsidR="00131486" w:rsidRPr="00131486" w:rsidRDefault="00131486" w:rsidP="00131486">
            <w:pPr>
              <w:spacing w:line="240" w:lineRule="auto"/>
              <w:rPr>
                <w:color w:val="000000"/>
                <w:sz w:val="18"/>
                <w:szCs w:val="18"/>
              </w:rPr>
            </w:pPr>
          </w:p>
        </w:tc>
        <w:tc>
          <w:tcPr>
            <w:tcW w:w="762" w:type="pct"/>
            <w:tcBorders>
              <w:top w:val="nil"/>
              <w:left w:val="nil"/>
              <w:bottom w:val="single" w:sz="4" w:space="0" w:color="auto"/>
              <w:right w:val="single" w:sz="4" w:space="0" w:color="auto"/>
            </w:tcBorders>
          </w:tcPr>
          <w:p w14:paraId="1F7C6AA8" w14:textId="4A4EACBB" w:rsidR="00131486" w:rsidRPr="00131486" w:rsidRDefault="00131486" w:rsidP="00131486">
            <w:pPr>
              <w:spacing w:line="240" w:lineRule="auto"/>
              <w:rPr>
                <w:color w:val="000000"/>
                <w:sz w:val="18"/>
                <w:szCs w:val="18"/>
              </w:rPr>
            </w:pPr>
            <w:r w:rsidRPr="00131486">
              <w:rPr>
                <w:color w:val="000000"/>
                <w:sz w:val="18"/>
                <w:szCs w:val="18"/>
              </w:rPr>
              <w:t>N/A</w:t>
            </w:r>
          </w:p>
        </w:tc>
      </w:tr>
      <w:tr w:rsidR="00131486" w:rsidRPr="00131486" w14:paraId="04B82FF2" w14:textId="77777777" w:rsidTr="00131486">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6A96AB" w14:textId="0971E34A" w:rsidR="00131486" w:rsidRPr="00131486" w:rsidRDefault="00131486" w:rsidP="00131486">
            <w:pPr>
              <w:spacing w:line="240" w:lineRule="auto"/>
              <w:rPr>
                <w:color w:val="000000"/>
                <w:sz w:val="18"/>
                <w:szCs w:val="18"/>
              </w:rPr>
            </w:pPr>
            <w:r w:rsidRPr="00131486">
              <w:rPr>
                <w:b/>
                <w:color w:val="000000"/>
                <w:sz w:val="18"/>
                <w:szCs w:val="18"/>
              </w:rPr>
              <w:lastRenderedPageBreak/>
              <w:t xml:space="preserve">Old Appendix #/Title </w:t>
            </w:r>
          </w:p>
        </w:tc>
        <w:tc>
          <w:tcPr>
            <w:tcW w:w="731" w:type="pct"/>
            <w:tcBorders>
              <w:top w:val="single" w:sz="4" w:space="0" w:color="auto"/>
              <w:left w:val="nil"/>
              <w:bottom w:val="single" w:sz="4" w:space="0" w:color="auto"/>
              <w:right w:val="single" w:sz="4" w:space="0" w:color="auto"/>
            </w:tcBorders>
            <w:shd w:val="clear" w:color="auto" w:fill="DBE5F1" w:themeFill="accent1" w:themeFillTint="33"/>
          </w:tcPr>
          <w:p w14:paraId="3D22F0C4" w14:textId="712956A3" w:rsidR="00131486" w:rsidRPr="00131486" w:rsidRDefault="00131486" w:rsidP="00131486">
            <w:pPr>
              <w:spacing w:line="240" w:lineRule="auto"/>
              <w:rPr>
                <w:color w:val="000000"/>
                <w:sz w:val="18"/>
                <w:szCs w:val="18"/>
              </w:rPr>
            </w:pPr>
            <w:r w:rsidRPr="00131486">
              <w:rPr>
                <w:b/>
                <w:color w:val="000000"/>
                <w:sz w:val="18"/>
                <w:szCs w:val="18"/>
              </w:rPr>
              <w:t>NASS Comment</w:t>
            </w:r>
          </w:p>
        </w:tc>
        <w:tc>
          <w:tcPr>
            <w:tcW w:w="2859" w:type="pct"/>
            <w:tcBorders>
              <w:top w:val="single" w:sz="4" w:space="0" w:color="auto"/>
              <w:left w:val="nil"/>
              <w:bottom w:val="single" w:sz="4" w:space="0" w:color="auto"/>
              <w:right w:val="single" w:sz="4" w:space="0" w:color="auto"/>
            </w:tcBorders>
            <w:shd w:val="clear" w:color="auto" w:fill="DBE5F1" w:themeFill="accent1" w:themeFillTint="33"/>
          </w:tcPr>
          <w:p w14:paraId="59ED935D" w14:textId="77777777" w:rsidR="00131486" w:rsidRPr="00131486" w:rsidRDefault="00131486" w:rsidP="00131486">
            <w:pPr>
              <w:spacing w:line="240" w:lineRule="auto"/>
              <w:rPr>
                <w:b/>
                <w:color w:val="000000"/>
                <w:sz w:val="18"/>
                <w:szCs w:val="18"/>
              </w:rPr>
            </w:pPr>
            <w:r w:rsidRPr="00131486">
              <w:rPr>
                <w:b/>
                <w:color w:val="000000"/>
                <w:sz w:val="18"/>
                <w:szCs w:val="18"/>
              </w:rPr>
              <w:t>Response to Comment</w:t>
            </w:r>
          </w:p>
          <w:p w14:paraId="007B7675" w14:textId="77777777" w:rsidR="00131486" w:rsidRPr="00131486" w:rsidRDefault="00131486" w:rsidP="00131486">
            <w:pPr>
              <w:spacing w:line="240" w:lineRule="auto"/>
              <w:rPr>
                <w:b/>
                <w:i/>
                <w:color w:val="000000"/>
                <w:sz w:val="18"/>
                <w:szCs w:val="18"/>
              </w:rPr>
            </w:pPr>
          </w:p>
        </w:tc>
        <w:tc>
          <w:tcPr>
            <w:tcW w:w="762" w:type="pct"/>
            <w:tcBorders>
              <w:top w:val="single" w:sz="4" w:space="0" w:color="auto"/>
              <w:left w:val="nil"/>
              <w:bottom w:val="single" w:sz="4" w:space="0" w:color="auto"/>
              <w:right w:val="single" w:sz="4" w:space="0" w:color="auto"/>
            </w:tcBorders>
            <w:shd w:val="clear" w:color="auto" w:fill="DBE5F1" w:themeFill="accent1" w:themeFillTint="33"/>
          </w:tcPr>
          <w:p w14:paraId="1B7C2585" w14:textId="0A3B4336" w:rsidR="00131486" w:rsidRPr="00131486" w:rsidRDefault="00131486" w:rsidP="00131486">
            <w:pPr>
              <w:spacing w:line="240" w:lineRule="auto"/>
              <w:rPr>
                <w:color w:val="000000"/>
                <w:sz w:val="18"/>
                <w:szCs w:val="18"/>
              </w:rPr>
            </w:pPr>
            <w:r w:rsidRPr="00131486">
              <w:rPr>
                <w:b/>
                <w:color w:val="000000"/>
                <w:sz w:val="18"/>
                <w:szCs w:val="18"/>
              </w:rPr>
              <w:t>New Appendix #/Title</w:t>
            </w:r>
          </w:p>
        </w:tc>
      </w:tr>
      <w:tr w:rsidR="00131486" w:rsidRPr="00131486" w14:paraId="4DB37BA9" w14:textId="28BE72A9"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auto"/>
          </w:tcPr>
          <w:p w14:paraId="5C845EAE" w14:textId="5EF32291" w:rsidR="00131486" w:rsidRPr="00131486" w:rsidRDefault="00131486" w:rsidP="00131486">
            <w:pPr>
              <w:spacing w:line="240" w:lineRule="auto"/>
              <w:rPr>
                <w:color w:val="000000"/>
                <w:sz w:val="18"/>
                <w:szCs w:val="18"/>
              </w:rPr>
            </w:pPr>
            <w:r w:rsidRPr="00131486">
              <w:rPr>
                <w:color w:val="000000"/>
                <w:sz w:val="18"/>
                <w:szCs w:val="18"/>
              </w:rPr>
              <w:t>D5. Household Survey</w:t>
            </w:r>
          </w:p>
        </w:tc>
        <w:tc>
          <w:tcPr>
            <w:tcW w:w="731" w:type="pct"/>
            <w:tcBorders>
              <w:top w:val="single" w:sz="4" w:space="0" w:color="auto"/>
              <w:left w:val="nil"/>
              <w:bottom w:val="single" w:sz="4" w:space="0" w:color="auto"/>
              <w:right w:val="single" w:sz="4" w:space="0" w:color="auto"/>
            </w:tcBorders>
            <w:shd w:val="clear" w:color="auto" w:fill="auto"/>
          </w:tcPr>
          <w:p w14:paraId="5D311406" w14:textId="77777777" w:rsidR="00131486" w:rsidRPr="00131486" w:rsidRDefault="00131486" w:rsidP="00131486">
            <w:pPr>
              <w:spacing w:line="240" w:lineRule="auto"/>
              <w:rPr>
                <w:color w:val="000000"/>
                <w:sz w:val="18"/>
                <w:szCs w:val="18"/>
              </w:rPr>
            </w:pPr>
            <w:r w:rsidRPr="00131486">
              <w:rPr>
                <w:color w:val="000000"/>
                <w:sz w:val="18"/>
                <w:szCs w:val="18"/>
              </w:rPr>
              <w:t>Question B13, Pg. 7-</w:t>
            </w:r>
            <w:r w:rsidRPr="00131486">
              <w:rPr>
                <w:sz w:val="18"/>
                <w:szCs w:val="18"/>
              </w:rPr>
              <w:t xml:space="preserve"> </w:t>
            </w:r>
            <w:r w:rsidRPr="00131486">
              <w:rPr>
                <w:color w:val="000000"/>
                <w:sz w:val="18"/>
                <w:szCs w:val="18"/>
              </w:rPr>
              <w:t>Should there be a separate code indicating Target School did not offer breakfast?</w:t>
            </w:r>
          </w:p>
        </w:tc>
        <w:tc>
          <w:tcPr>
            <w:tcW w:w="2859" w:type="pct"/>
            <w:tcBorders>
              <w:top w:val="single" w:sz="4" w:space="0" w:color="auto"/>
              <w:left w:val="nil"/>
              <w:bottom w:val="single" w:sz="4" w:space="0" w:color="auto"/>
              <w:right w:val="single" w:sz="4" w:space="0" w:color="auto"/>
            </w:tcBorders>
          </w:tcPr>
          <w:p w14:paraId="3EDA09B7" w14:textId="77777777" w:rsidR="00131486" w:rsidRPr="00131486" w:rsidRDefault="00131486" w:rsidP="00131486">
            <w:pPr>
              <w:spacing w:line="240" w:lineRule="auto"/>
              <w:rPr>
                <w:color w:val="000000"/>
                <w:sz w:val="18"/>
                <w:szCs w:val="18"/>
              </w:rPr>
            </w:pPr>
            <w:r w:rsidRPr="00131486">
              <w:rPr>
                <w:b/>
                <w:i/>
                <w:color w:val="000000"/>
                <w:sz w:val="18"/>
                <w:szCs w:val="18"/>
              </w:rPr>
              <w:t>No Change Made;</w:t>
            </w:r>
            <w:r w:rsidRPr="00131486">
              <w:rPr>
                <w:color w:val="000000"/>
                <w:sz w:val="18"/>
                <w:szCs w:val="18"/>
              </w:rPr>
              <w:t xml:space="preserve"> Question B4 and B5 ask if the student ate breakfast at school and if the meal was through the Breakfast Program.</w:t>
            </w:r>
          </w:p>
        </w:tc>
        <w:tc>
          <w:tcPr>
            <w:tcW w:w="762" w:type="pct"/>
            <w:tcBorders>
              <w:top w:val="single" w:sz="4" w:space="0" w:color="auto"/>
              <w:left w:val="nil"/>
              <w:bottom w:val="single" w:sz="4" w:space="0" w:color="auto"/>
              <w:right w:val="single" w:sz="4" w:space="0" w:color="auto"/>
            </w:tcBorders>
          </w:tcPr>
          <w:p w14:paraId="2D41974F" w14:textId="2C34C7F9" w:rsidR="00131486" w:rsidRPr="00131486" w:rsidRDefault="00131486" w:rsidP="00131486">
            <w:pPr>
              <w:spacing w:line="240" w:lineRule="auto"/>
              <w:rPr>
                <w:b/>
                <w:i/>
                <w:color w:val="000000"/>
                <w:sz w:val="18"/>
                <w:szCs w:val="18"/>
              </w:rPr>
            </w:pPr>
            <w:r w:rsidRPr="00131486">
              <w:rPr>
                <w:color w:val="000000"/>
                <w:sz w:val="18"/>
                <w:szCs w:val="18"/>
              </w:rPr>
              <w:t>N/A</w:t>
            </w:r>
          </w:p>
        </w:tc>
      </w:tr>
      <w:tr w:rsidR="00131486" w:rsidRPr="00131486" w14:paraId="0F23887A" w14:textId="48568A57" w:rsidTr="00862D1F">
        <w:trPr>
          <w:tblHeader/>
          <w:jc w:val="center"/>
        </w:trPr>
        <w:tc>
          <w:tcPr>
            <w:tcW w:w="648" w:type="pct"/>
            <w:tcBorders>
              <w:top w:val="single" w:sz="4" w:space="0" w:color="auto"/>
              <w:left w:val="single" w:sz="4" w:space="0" w:color="auto"/>
              <w:bottom w:val="single" w:sz="4" w:space="0" w:color="auto"/>
              <w:right w:val="single" w:sz="4" w:space="0" w:color="auto"/>
            </w:tcBorders>
            <w:shd w:val="clear" w:color="auto" w:fill="auto"/>
          </w:tcPr>
          <w:p w14:paraId="799BD57D" w14:textId="08063D52" w:rsidR="00131486" w:rsidRPr="00131486" w:rsidRDefault="00131486" w:rsidP="00131486">
            <w:pPr>
              <w:spacing w:line="240" w:lineRule="auto"/>
              <w:rPr>
                <w:color w:val="000000"/>
                <w:sz w:val="18"/>
                <w:szCs w:val="18"/>
              </w:rPr>
            </w:pPr>
            <w:r w:rsidRPr="00131486">
              <w:rPr>
                <w:color w:val="000000"/>
                <w:sz w:val="18"/>
                <w:szCs w:val="18"/>
              </w:rPr>
              <w:t>D5. Household Survey</w:t>
            </w:r>
          </w:p>
        </w:tc>
        <w:tc>
          <w:tcPr>
            <w:tcW w:w="731" w:type="pct"/>
            <w:tcBorders>
              <w:top w:val="single" w:sz="4" w:space="0" w:color="auto"/>
              <w:left w:val="nil"/>
              <w:bottom w:val="single" w:sz="4" w:space="0" w:color="auto"/>
              <w:right w:val="single" w:sz="4" w:space="0" w:color="auto"/>
            </w:tcBorders>
            <w:shd w:val="clear" w:color="auto" w:fill="auto"/>
          </w:tcPr>
          <w:p w14:paraId="6A5A071B" w14:textId="77777777" w:rsidR="00131486" w:rsidRPr="00131486" w:rsidRDefault="00131486" w:rsidP="00131486">
            <w:pPr>
              <w:spacing w:line="240" w:lineRule="auto"/>
              <w:rPr>
                <w:color w:val="000000"/>
                <w:sz w:val="18"/>
                <w:szCs w:val="18"/>
              </w:rPr>
            </w:pPr>
            <w:r w:rsidRPr="00131486">
              <w:rPr>
                <w:color w:val="000000"/>
                <w:sz w:val="18"/>
                <w:szCs w:val="18"/>
              </w:rPr>
              <w:t>Instruction to Interviewer, “</w:t>
            </w:r>
          </w:p>
          <w:p w14:paraId="1ACF89D3" w14:textId="77777777" w:rsidR="00131486" w:rsidRPr="00131486" w:rsidRDefault="00131486" w:rsidP="00131486">
            <w:pPr>
              <w:spacing w:line="240" w:lineRule="auto"/>
              <w:rPr>
                <w:color w:val="000000"/>
                <w:sz w:val="18"/>
                <w:szCs w:val="18"/>
              </w:rPr>
            </w:pPr>
            <w:r w:rsidRPr="00131486">
              <w:rPr>
                <w:color w:val="000000"/>
                <w:sz w:val="18"/>
                <w:szCs w:val="18"/>
              </w:rPr>
              <w:t>REPEAT FOR EACH PERSON ON LIST, UNTIL INFORMATION IS COLLECTED FOR ALL LISTED PERSONS,” Pg. 32-</w:t>
            </w:r>
            <w:r w:rsidRPr="00131486">
              <w:rPr>
                <w:sz w:val="18"/>
                <w:szCs w:val="18"/>
              </w:rPr>
              <w:t xml:space="preserve"> </w:t>
            </w:r>
            <w:r w:rsidRPr="00131486">
              <w:rPr>
                <w:color w:val="000000"/>
                <w:sz w:val="18"/>
                <w:szCs w:val="18"/>
              </w:rPr>
              <w:t>If the respondent doesn’t know or refuses to answer income information for one or more adults in the household, how will this be recorded?</w:t>
            </w:r>
          </w:p>
        </w:tc>
        <w:tc>
          <w:tcPr>
            <w:tcW w:w="2859" w:type="pct"/>
            <w:tcBorders>
              <w:top w:val="single" w:sz="4" w:space="0" w:color="auto"/>
              <w:left w:val="nil"/>
              <w:bottom w:val="single" w:sz="4" w:space="0" w:color="auto"/>
              <w:right w:val="single" w:sz="4" w:space="0" w:color="auto"/>
            </w:tcBorders>
          </w:tcPr>
          <w:p w14:paraId="26E73686" w14:textId="77777777" w:rsidR="00131486" w:rsidRPr="00131486" w:rsidRDefault="00131486" w:rsidP="00131486">
            <w:pPr>
              <w:spacing w:line="240" w:lineRule="auto"/>
              <w:rPr>
                <w:color w:val="000000"/>
                <w:sz w:val="18"/>
                <w:szCs w:val="18"/>
              </w:rPr>
            </w:pPr>
            <w:r w:rsidRPr="00131486">
              <w:rPr>
                <w:b/>
                <w:i/>
                <w:color w:val="000000"/>
                <w:sz w:val="18"/>
                <w:szCs w:val="18"/>
              </w:rPr>
              <w:t>No Change Made</w:t>
            </w:r>
            <w:r w:rsidRPr="00131486">
              <w:rPr>
                <w:color w:val="000000"/>
                <w:sz w:val="18"/>
                <w:szCs w:val="18"/>
              </w:rPr>
              <w:t>; Item 2 in the General Notes section states: For each question, the “Don’t Know”, “Not Applicable”, and “Refused” response options are not listed on the hardcopy version of the survey. Once the survey is finalized, the Computer Assisted Personal Interview (CAPI) program automatically provides these response options for each question.</w:t>
            </w:r>
          </w:p>
        </w:tc>
        <w:tc>
          <w:tcPr>
            <w:tcW w:w="762" w:type="pct"/>
            <w:tcBorders>
              <w:top w:val="single" w:sz="4" w:space="0" w:color="auto"/>
              <w:left w:val="nil"/>
              <w:bottom w:val="single" w:sz="4" w:space="0" w:color="auto"/>
              <w:right w:val="single" w:sz="4" w:space="0" w:color="auto"/>
            </w:tcBorders>
          </w:tcPr>
          <w:p w14:paraId="3B0600E0" w14:textId="7FE85526" w:rsidR="00131486" w:rsidRPr="00131486" w:rsidRDefault="00131486" w:rsidP="00131486">
            <w:pPr>
              <w:spacing w:line="240" w:lineRule="auto"/>
              <w:rPr>
                <w:b/>
                <w:i/>
                <w:color w:val="000000"/>
                <w:sz w:val="18"/>
                <w:szCs w:val="18"/>
              </w:rPr>
            </w:pPr>
            <w:r w:rsidRPr="00131486">
              <w:rPr>
                <w:color w:val="000000"/>
                <w:sz w:val="18"/>
                <w:szCs w:val="18"/>
              </w:rPr>
              <w:t>N/A</w:t>
            </w:r>
          </w:p>
        </w:tc>
      </w:tr>
    </w:tbl>
    <w:p w14:paraId="265CFF5E" w14:textId="77777777" w:rsidR="00B01067" w:rsidRPr="00131486" w:rsidRDefault="00B01067" w:rsidP="00D2127F">
      <w:pPr>
        <w:pStyle w:val="L1-FlLSp12"/>
        <w:tabs>
          <w:tab w:val="clear" w:pos="1152"/>
          <w:tab w:val="left" w:pos="720"/>
        </w:tabs>
        <w:rPr>
          <w:sz w:val="18"/>
          <w:szCs w:val="18"/>
        </w:rPr>
      </w:pPr>
    </w:p>
    <w:sectPr w:rsidR="00B01067" w:rsidRPr="00131486">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656"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34D7A" w14:textId="77777777" w:rsidR="00744AE1" w:rsidRDefault="00744AE1">
      <w:pPr>
        <w:spacing w:line="240" w:lineRule="auto"/>
      </w:pPr>
      <w:r>
        <w:separator/>
      </w:r>
    </w:p>
  </w:endnote>
  <w:endnote w:type="continuationSeparator" w:id="0">
    <w:p w14:paraId="7BF86E7D" w14:textId="77777777" w:rsidR="00744AE1" w:rsidRDefault="00744A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2020803070505020304"/>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AFFAB" w14:textId="77777777" w:rsidR="00FB0F1E" w:rsidRDefault="00FB0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0" w:name="_GoBack" w:displacedByCustomXml="next"/>
  <w:bookmarkEnd w:id="0" w:displacedByCustomXml="next"/>
  <w:sdt>
    <w:sdtPr>
      <w:id w:val="1920902597"/>
      <w:docPartObj>
        <w:docPartGallery w:val="Page Numbers (Bottom of Page)"/>
        <w:docPartUnique/>
      </w:docPartObj>
    </w:sdtPr>
    <w:sdtEndPr>
      <w:rPr>
        <w:noProof/>
      </w:rPr>
    </w:sdtEndPr>
    <w:sdtContent>
      <w:p w14:paraId="6A3505E7" w14:textId="297A158F" w:rsidR="00FB0F1E" w:rsidRDefault="00FB0F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744F4" w14:textId="77777777" w:rsidR="00401809" w:rsidRDefault="00401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151372"/>
      <w:docPartObj>
        <w:docPartGallery w:val="Page Numbers (Bottom of Page)"/>
        <w:docPartUnique/>
      </w:docPartObj>
    </w:sdtPr>
    <w:sdtEndPr>
      <w:rPr>
        <w:noProof/>
      </w:rPr>
    </w:sdtEndPr>
    <w:sdtContent>
      <w:p w14:paraId="5EC016E0" w14:textId="46630EE3" w:rsidR="00FB0F1E" w:rsidRDefault="00FB0F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D3449BF" w14:textId="77777777" w:rsidR="00536EB2" w:rsidRDefault="00536E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618A8C" w14:textId="77777777" w:rsidR="00744AE1" w:rsidRDefault="00744AE1">
      <w:pPr>
        <w:spacing w:line="240" w:lineRule="auto"/>
      </w:pPr>
      <w:r>
        <w:separator/>
      </w:r>
    </w:p>
  </w:footnote>
  <w:footnote w:type="continuationSeparator" w:id="0">
    <w:p w14:paraId="6D9C8681" w14:textId="77777777" w:rsidR="00744AE1" w:rsidRDefault="00744A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C931F" w14:textId="77777777" w:rsidR="00401809" w:rsidRDefault="00FB0F1E">
    <w:pPr>
      <w:pStyle w:val="Header"/>
    </w:pPr>
    <w:r>
      <w:rPr>
        <w:noProof/>
      </w:rPr>
      <w:pict w14:anchorId="030395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612pt;height:132.5pt;z-index:-251657728;mso-position-horizontal:center;mso-position-horizontal-relative:margin;mso-position-vertical:center;mso-position-vertical-relative:margin" wrapcoords="-26 0 -26 21478 21600 21478 21600 0 -26 0">
          <v:imagedata r:id="rId1" o:title="Westat_Memo"/>
          <w10:wrap side="left" anchorx="margin" anchory="margin"/>
        </v:shape>
      </w:pict>
    </w:r>
    <w:r>
      <w:rPr>
        <w:noProof/>
      </w:rPr>
      <w:pict w14:anchorId="3B86E1AA">
        <v:shape id="WordPictureWatermark2" o:spid="_x0000_s2050" type="#_x0000_t75" style="position:absolute;margin-left:0;margin-top:0;width:612pt;height:161.3pt;z-index:-251659776;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DE645" w14:textId="77777777" w:rsidR="004C1334" w:rsidRPr="00A41724" w:rsidRDefault="004C1334" w:rsidP="004C1334">
    <w:pPr>
      <w:pStyle w:val="Header"/>
      <w:rPr>
        <w:b/>
        <w:color w:val="1F497D" w:themeColor="text2"/>
        <w:sz w:val="20"/>
      </w:rPr>
    </w:pPr>
    <w:r w:rsidRPr="00A41724">
      <w:rPr>
        <w:b/>
        <w:color w:val="1F497D" w:themeColor="text2"/>
        <w:sz w:val="20"/>
      </w:rPr>
      <w:t>A</w:t>
    </w:r>
    <w:r>
      <w:rPr>
        <w:b/>
        <w:color w:val="1F497D" w:themeColor="text2"/>
        <w:sz w:val="20"/>
      </w:rPr>
      <w:t>PPENDIX H. RESPO</w:t>
    </w:r>
    <w:r w:rsidRPr="00A41724">
      <w:rPr>
        <w:b/>
        <w:color w:val="1F497D" w:themeColor="text2"/>
        <w:sz w:val="20"/>
      </w:rPr>
      <w:t xml:space="preserve">NSE TO </w:t>
    </w:r>
    <w:r>
      <w:rPr>
        <w:b/>
        <w:color w:val="1F497D" w:themeColor="text2"/>
        <w:sz w:val="20"/>
      </w:rPr>
      <w:t>NATIONAL AGRICULTURAL STATISTICS SERVICE (</w:t>
    </w:r>
    <w:r w:rsidRPr="00A41724">
      <w:rPr>
        <w:b/>
        <w:color w:val="1F497D" w:themeColor="text2"/>
        <w:sz w:val="20"/>
      </w:rPr>
      <w:t>NASS</w:t>
    </w:r>
    <w:r>
      <w:rPr>
        <w:b/>
        <w:color w:val="1F497D" w:themeColor="text2"/>
        <w:sz w:val="20"/>
      </w:rPr>
      <w:t xml:space="preserve">) </w:t>
    </w:r>
    <w:r w:rsidRPr="00A41724">
      <w:rPr>
        <w:b/>
        <w:color w:val="1F497D" w:themeColor="text2"/>
        <w:sz w:val="20"/>
      </w:rPr>
      <w:t>COMMENTS</w:t>
    </w:r>
  </w:p>
  <w:p w14:paraId="04FB98FB" w14:textId="77777777" w:rsidR="00401809" w:rsidRDefault="00401809" w:rsidP="00C765CA">
    <w:pPr>
      <w:pStyle w:val="C2-CtrSglSp"/>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2414C" w14:textId="36751076" w:rsidR="00401809" w:rsidRPr="00A41724" w:rsidRDefault="00A41724">
    <w:pPr>
      <w:pStyle w:val="Header"/>
      <w:rPr>
        <w:b/>
        <w:color w:val="1F497D" w:themeColor="text2"/>
        <w:sz w:val="20"/>
      </w:rPr>
    </w:pPr>
    <w:r w:rsidRPr="00A41724">
      <w:rPr>
        <w:b/>
        <w:color w:val="1F497D" w:themeColor="text2"/>
        <w:sz w:val="20"/>
      </w:rPr>
      <w:t>A</w:t>
    </w:r>
    <w:r w:rsidR="00350B3F">
      <w:rPr>
        <w:b/>
        <w:color w:val="1F497D" w:themeColor="text2"/>
        <w:sz w:val="20"/>
      </w:rPr>
      <w:t>PPENDIX H</w:t>
    </w:r>
    <w:r w:rsidR="00B07E17">
      <w:rPr>
        <w:b/>
        <w:color w:val="1F497D" w:themeColor="text2"/>
        <w:sz w:val="20"/>
      </w:rPr>
      <w:t xml:space="preserve">. </w:t>
    </w:r>
    <w:r w:rsidR="00677A6E">
      <w:rPr>
        <w:b/>
        <w:color w:val="1F497D" w:themeColor="text2"/>
        <w:sz w:val="20"/>
      </w:rPr>
      <w:t>RESPO</w:t>
    </w:r>
    <w:r w:rsidRPr="00A41724">
      <w:rPr>
        <w:b/>
        <w:color w:val="1F497D" w:themeColor="text2"/>
        <w:sz w:val="20"/>
      </w:rPr>
      <w:t xml:space="preserve">NSE TO </w:t>
    </w:r>
    <w:r w:rsidR="00957AEF">
      <w:rPr>
        <w:b/>
        <w:color w:val="1F497D" w:themeColor="text2"/>
        <w:sz w:val="20"/>
      </w:rPr>
      <w:t>NATIONAL AGRICULTURAL STATISTICS SERVICE (</w:t>
    </w:r>
    <w:r w:rsidRPr="00A41724">
      <w:rPr>
        <w:b/>
        <w:color w:val="1F497D" w:themeColor="text2"/>
        <w:sz w:val="20"/>
      </w:rPr>
      <w:t>NASS</w:t>
    </w:r>
    <w:r w:rsidR="00957AEF">
      <w:rPr>
        <w:b/>
        <w:color w:val="1F497D" w:themeColor="text2"/>
        <w:sz w:val="20"/>
      </w:rPr>
      <w:t xml:space="preserve">) </w:t>
    </w:r>
    <w:r w:rsidRPr="00A41724">
      <w:rPr>
        <w:b/>
        <w:color w:val="1F497D" w:themeColor="text2"/>
        <w:sz w:val="20"/>
      </w:rPr>
      <w:t>COMMENTS</w:t>
    </w:r>
  </w:p>
  <w:p w14:paraId="3B1E8ABD" w14:textId="77777777" w:rsidR="00A41724" w:rsidRDefault="00A4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70C61"/>
    <w:multiLevelType w:val="hybridMultilevel"/>
    <w:tmpl w:val="4286673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1FF2"/>
    <w:multiLevelType w:val="hybridMultilevel"/>
    <w:tmpl w:val="B86465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1F5D85"/>
    <w:multiLevelType w:val="hybridMultilevel"/>
    <w:tmpl w:val="D5D264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607058"/>
    <w:multiLevelType w:val="hybridMultilevel"/>
    <w:tmpl w:val="55922064"/>
    <w:lvl w:ilvl="0" w:tplc="F3FA5DB2">
      <w:start w:val="1"/>
      <w:numFmt w:val="bullet"/>
      <w:lvlText w:val=""/>
      <w:lvlJc w:val="left"/>
      <w:pPr>
        <w:tabs>
          <w:tab w:val="num" w:pos="1872"/>
        </w:tabs>
        <w:ind w:left="1872" w:hanging="360"/>
      </w:pPr>
      <w:rPr>
        <w:rFonts w:ascii="Wingdings" w:hAnsi="Wingdings" w:hint="default"/>
      </w:rPr>
    </w:lvl>
    <w:lvl w:ilvl="1" w:tplc="F328F8C4" w:tentative="1">
      <w:start w:val="1"/>
      <w:numFmt w:val="bullet"/>
      <w:lvlText w:val="o"/>
      <w:lvlJc w:val="left"/>
      <w:pPr>
        <w:tabs>
          <w:tab w:val="num" w:pos="2592"/>
        </w:tabs>
        <w:ind w:left="2592" w:hanging="360"/>
      </w:pPr>
      <w:rPr>
        <w:rFonts w:ascii="Courier New" w:hAnsi="Courier New" w:hint="default"/>
      </w:rPr>
    </w:lvl>
    <w:lvl w:ilvl="2" w:tplc="2C16D3EC" w:tentative="1">
      <w:start w:val="1"/>
      <w:numFmt w:val="bullet"/>
      <w:lvlText w:val=""/>
      <w:lvlJc w:val="left"/>
      <w:pPr>
        <w:tabs>
          <w:tab w:val="num" w:pos="3312"/>
        </w:tabs>
        <w:ind w:left="3312" w:hanging="360"/>
      </w:pPr>
      <w:rPr>
        <w:rFonts w:ascii="Wingdings" w:hAnsi="Wingdings" w:hint="default"/>
      </w:rPr>
    </w:lvl>
    <w:lvl w:ilvl="3" w:tplc="860ACE18" w:tentative="1">
      <w:start w:val="1"/>
      <w:numFmt w:val="bullet"/>
      <w:lvlText w:val=""/>
      <w:lvlJc w:val="left"/>
      <w:pPr>
        <w:tabs>
          <w:tab w:val="num" w:pos="4032"/>
        </w:tabs>
        <w:ind w:left="4032" w:hanging="360"/>
      </w:pPr>
      <w:rPr>
        <w:rFonts w:ascii="Symbol" w:hAnsi="Symbol" w:hint="default"/>
      </w:rPr>
    </w:lvl>
    <w:lvl w:ilvl="4" w:tplc="247E7BB2" w:tentative="1">
      <w:start w:val="1"/>
      <w:numFmt w:val="bullet"/>
      <w:lvlText w:val="o"/>
      <w:lvlJc w:val="left"/>
      <w:pPr>
        <w:tabs>
          <w:tab w:val="num" w:pos="4752"/>
        </w:tabs>
        <w:ind w:left="4752" w:hanging="360"/>
      </w:pPr>
      <w:rPr>
        <w:rFonts w:ascii="Courier New" w:hAnsi="Courier New" w:hint="default"/>
      </w:rPr>
    </w:lvl>
    <w:lvl w:ilvl="5" w:tplc="EFDED422" w:tentative="1">
      <w:start w:val="1"/>
      <w:numFmt w:val="bullet"/>
      <w:lvlText w:val=""/>
      <w:lvlJc w:val="left"/>
      <w:pPr>
        <w:tabs>
          <w:tab w:val="num" w:pos="5472"/>
        </w:tabs>
        <w:ind w:left="5472" w:hanging="360"/>
      </w:pPr>
      <w:rPr>
        <w:rFonts w:ascii="Wingdings" w:hAnsi="Wingdings" w:hint="default"/>
      </w:rPr>
    </w:lvl>
    <w:lvl w:ilvl="6" w:tplc="BA1C4212" w:tentative="1">
      <w:start w:val="1"/>
      <w:numFmt w:val="bullet"/>
      <w:lvlText w:val=""/>
      <w:lvlJc w:val="left"/>
      <w:pPr>
        <w:tabs>
          <w:tab w:val="num" w:pos="6192"/>
        </w:tabs>
        <w:ind w:left="6192" w:hanging="360"/>
      </w:pPr>
      <w:rPr>
        <w:rFonts w:ascii="Symbol" w:hAnsi="Symbol" w:hint="default"/>
      </w:rPr>
    </w:lvl>
    <w:lvl w:ilvl="7" w:tplc="0860A6B8" w:tentative="1">
      <w:start w:val="1"/>
      <w:numFmt w:val="bullet"/>
      <w:lvlText w:val="o"/>
      <w:lvlJc w:val="left"/>
      <w:pPr>
        <w:tabs>
          <w:tab w:val="num" w:pos="6912"/>
        </w:tabs>
        <w:ind w:left="6912" w:hanging="360"/>
      </w:pPr>
      <w:rPr>
        <w:rFonts w:ascii="Courier New" w:hAnsi="Courier New" w:hint="default"/>
      </w:rPr>
    </w:lvl>
    <w:lvl w:ilvl="8" w:tplc="60506406" w:tentative="1">
      <w:start w:val="1"/>
      <w:numFmt w:val="bullet"/>
      <w:lvlText w:val=""/>
      <w:lvlJc w:val="left"/>
      <w:pPr>
        <w:tabs>
          <w:tab w:val="num" w:pos="7632"/>
        </w:tabs>
        <w:ind w:left="7632" w:hanging="360"/>
      </w:pPr>
      <w:rPr>
        <w:rFonts w:ascii="Wingdings" w:hAnsi="Wingdings" w:hint="default"/>
      </w:rPr>
    </w:lvl>
  </w:abstractNum>
  <w:abstractNum w:abstractNumId="7" w15:restartNumberingAfterBreak="0">
    <w:nsid w:val="293E694B"/>
    <w:multiLevelType w:val="hybridMultilevel"/>
    <w:tmpl w:val="624EC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9"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0" w15:restartNumberingAfterBreak="0">
    <w:nsid w:val="32CE4AFC"/>
    <w:multiLevelType w:val="hybridMultilevel"/>
    <w:tmpl w:val="B280496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DCB5496"/>
    <w:multiLevelType w:val="hybridMultilevel"/>
    <w:tmpl w:val="9A7CFF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3256B1"/>
    <w:multiLevelType w:val="hybridMultilevel"/>
    <w:tmpl w:val="B5DC5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EE2EA1"/>
    <w:multiLevelType w:val="hybridMultilevel"/>
    <w:tmpl w:val="B2A4D04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4B2D22"/>
    <w:multiLevelType w:val="hybridMultilevel"/>
    <w:tmpl w:val="535C5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977DF"/>
    <w:multiLevelType w:val="hybridMultilevel"/>
    <w:tmpl w:val="E9A281AC"/>
    <w:lvl w:ilvl="0" w:tplc="70E48D48">
      <w:start w:val="1"/>
      <w:numFmt w:val="decimal"/>
      <w:lvlText w:val="%1."/>
      <w:lvlJc w:val="left"/>
      <w:pPr>
        <w:tabs>
          <w:tab w:val="num" w:pos="720"/>
        </w:tabs>
        <w:ind w:left="720" w:hanging="360"/>
      </w:pPr>
      <w:rPr>
        <w:rFonts w:hint="default"/>
        <w:b w:val="0"/>
      </w:rPr>
    </w:lvl>
    <w:lvl w:ilvl="1" w:tplc="00190409">
      <w:start w:val="1"/>
      <w:numFmt w:val="lowerLetter"/>
      <w:lvlText w:val="%2."/>
      <w:lvlJc w:val="left"/>
      <w:pPr>
        <w:tabs>
          <w:tab w:val="num" w:pos="1440"/>
        </w:tabs>
        <w:ind w:left="1440" w:hanging="360"/>
      </w:pPr>
      <w:rPr>
        <w:rFonts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50411FF7"/>
    <w:multiLevelType w:val="hybridMultilevel"/>
    <w:tmpl w:val="F86267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7F6628"/>
    <w:multiLevelType w:val="hybridMultilevel"/>
    <w:tmpl w:val="C408FD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FAE628A"/>
    <w:multiLevelType w:val="hybridMultilevel"/>
    <w:tmpl w:val="B1F0F01C"/>
    <w:lvl w:ilvl="0" w:tplc="22BCED50">
      <w:numFmt w:val="bullet"/>
      <w:pStyle w:val="B1-1stCalloutBullet"/>
      <w:lvlText w:val="•"/>
      <w:lvlJc w:val="left"/>
      <w:pPr>
        <w:ind w:left="720" w:hanging="360"/>
      </w:pPr>
      <w:rPr>
        <w:rFonts w:ascii="Calibri" w:eastAsia="Times New Roman" w:hAnsi="Calibri" w:cs="Times New Roman" w:hint="default"/>
        <w:color w:val="000000" w:themeColor="text1"/>
      </w:rPr>
    </w:lvl>
    <w:lvl w:ilvl="1" w:tplc="58923A42">
      <w:numFmt w:val="bullet"/>
      <w:pStyle w:val="B2-2ndCalloutBullet"/>
      <w:lvlText w:val="–"/>
      <w:lvlJc w:val="left"/>
      <w:pPr>
        <w:ind w:left="1440" w:hanging="360"/>
      </w:pPr>
      <w:rPr>
        <w:rFonts w:ascii="Calibri" w:eastAsia="Times New Roman" w:hAnsi="Calibri" w:cs="Times New Roman" w:hint="default"/>
        <w:b/>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369C5"/>
    <w:multiLevelType w:val="hybridMultilevel"/>
    <w:tmpl w:val="CC069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46594"/>
    <w:multiLevelType w:val="hybridMultilevel"/>
    <w:tmpl w:val="6A06C1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5737B"/>
    <w:multiLevelType w:val="hybridMultilevel"/>
    <w:tmpl w:val="F6A830D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3">
      <w:start w:val="1"/>
      <w:numFmt w:val="bullet"/>
      <w:lvlText w:val="o"/>
      <w:lvlJc w:val="left"/>
      <w:pPr>
        <w:ind w:left="2930" w:hanging="360"/>
      </w:pPr>
      <w:rPr>
        <w:rFonts w:ascii="Courier New" w:hAnsi="Courier New" w:cs="Courier New"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507080E"/>
    <w:multiLevelType w:val="hybridMultilevel"/>
    <w:tmpl w:val="EF60B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9C4293"/>
    <w:multiLevelType w:val="hybridMultilevel"/>
    <w:tmpl w:val="64081F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C64D24"/>
    <w:multiLevelType w:val="hybridMultilevel"/>
    <w:tmpl w:val="0358CA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C963A8"/>
    <w:multiLevelType w:val="hybridMultilevel"/>
    <w:tmpl w:val="3B1CEF7C"/>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D80284"/>
    <w:multiLevelType w:val="hybridMultilevel"/>
    <w:tmpl w:val="57BEAC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9F004F"/>
    <w:multiLevelType w:val="hybridMultilevel"/>
    <w:tmpl w:val="ECB2F6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7DE74CBC"/>
    <w:multiLevelType w:val="hybridMultilevel"/>
    <w:tmpl w:val="B412A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2"/>
  </w:num>
  <w:num w:numId="4">
    <w:abstractNumId w:val="4"/>
  </w:num>
  <w:num w:numId="5">
    <w:abstractNumId w:val="21"/>
  </w:num>
  <w:num w:numId="6">
    <w:abstractNumId w:val="25"/>
  </w:num>
  <w:num w:numId="7">
    <w:abstractNumId w:val="10"/>
  </w:num>
  <w:num w:numId="8">
    <w:abstractNumId w:val="30"/>
  </w:num>
  <w:num w:numId="9">
    <w:abstractNumId w:val="31"/>
  </w:num>
  <w:num w:numId="10">
    <w:abstractNumId w:val="14"/>
  </w:num>
  <w:num w:numId="11">
    <w:abstractNumId w:val="22"/>
  </w:num>
  <w:num w:numId="12">
    <w:abstractNumId w:val="24"/>
  </w:num>
  <w:num w:numId="13">
    <w:abstractNumId w:val="6"/>
  </w:num>
  <w:num w:numId="14">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15">
    <w:abstractNumId w:val="8"/>
  </w:num>
  <w:num w:numId="16">
    <w:abstractNumId w:val="17"/>
  </w:num>
  <w:num w:numId="17">
    <w:abstractNumId w:val="13"/>
  </w:num>
  <w:num w:numId="18">
    <w:abstractNumId w:val="19"/>
  </w:num>
  <w:num w:numId="19">
    <w:abstractNumId w:val="26"/>
  </w:num>
  <w:num w:numId="20">
    <w:abstractNumId w:val="1"/>
  </w:num>
  <w:num w:numId="21">
    <w:abstractNumId w:val="5"/>
  </w:num>
  <w:num w:numId="22">
    <w:abstractNumId w:val="27"/>
  </w:num>
  <w:num w:numId="23">
    <w:abstractNumId w:val="15"/>
  </w:num>
  <w:num w:numId="24">
    <w:abstractNumId w:val="2"/>
  </w:num>
  <w:num w:numId="25">
    <w:abstractNumId w:val="18"/>
  </w:num>
  <w:num w:numId="26">
    <w:abstractNumId w:val="11"/>
  </w:num>
  <w:num w:numId="27">
    <w:abstractNumId w:val="20"/>
  </w:num>
  <w:num w:numId="28">
    <w:abstractNumId w:val="7"/>
  </w:num>
  <w:num w:numId="29">
    <w:abstractNumId w:val="29"/>
  </w:num>
  <w:num w:numId="30">
    <w:abstractNumId w:val="32"/>
  </w:num>
  <w:num w:numId="31">
    <w:abstractNumId w:val="28"/>
  </w:num>
  <w:num w:numId="32">
    <w:abstractNumId w:val="23"/>
  </w:num>
  <w:num w:numId="33">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104"/>
    <w:rsid w:val="00016971"/>
    <w:rsid w:val="00034BF5"/>
    <w:rsid w:val="00040524"/>
    <w:rsid w:val="00042918"/>
    <w:rsid w:val="00063A9B"/>
    <w:rsid w:val="00073474"/>
    <w:rsid w:val="00073B21"/>
    <w:rsid w:val="000800ED"/>
    <w:rsid w:val="00081F1D"/>
    <w:rsid w:val="000824DF"/>
    <w:rsid w:val="000946BD"/>
    <w:rsid w:val="000A7F68"/>
    <w:rsid w:val="000B6B70"/>
    <w:rsid w:val="000D469E"/>
    <w:rsid w:val="000E09F6"/>
    <w:rsid w:val="000E6EEC"/>
    <w:rsid w:val="00101A73"/>
    <w:rsid w:val="00114132"/>
    <w:rsid w:val="00124B64"/>
    <w:rsid w:val="00124C1E"/>
    <w:rsid w:val="00127123"/>
    <w:rsid w:val="00131486"/>
    <w:rsid w:val="00134840"/>
    <w:rsid w:val="00134E0B"/>
    <w:rsid w:val="00137234"/>
    <w:rsid w:val="00152D22"/>
    <w:rsid w:val="00170C47"/>
    <w:rsid w:val="001A3774"/>
    <w:rsid w:val="001B1FCA"/>
    <w:rsid w:val="001B2712"/>
    <w:rsid w:val="001C578F"/>
    <w:rsid w:val="001E03B9"/>
    <w:rsid w:val="001F08DC"/>
    <w:rsid w:val="00200FAB"/>
    <w:rsid w:val="0020279E"/>
    <w:rsid w:val="0021236E"/>
    <w:rsid w:val="002C7471"/>
    <w:rsid w:val="002F06E9"/>
    <w:rsid w:val="003024D6"/>
    <w:rsid w:val="0030328A"/>
    <w:rsid w:val="0030688B"/>
    <w:rsid w:val="00310A80"/>
    <w:rsid w:val="00320804"/>
    <w:rsid w:val="00336129"/>
    <w:rsid w:val="0034223C"/>
    <w:rsid w:val="00347FB0"/>
    <w:rsid w:val="00350B3F"/>
    <w:rsid w:val="00352C71"/>
    <w:rsid w:val="003618EE"/>
    <w:rsid w:val="00363A4B"/>
    <w:rsid w:val="003739D4"/>
    <w:rsid w:val="003773BF"/>
    <w:rsid w:val="00387D5D"/>
    <w:rsid w:val="003C03AC"/>
    <w:rsid w:val="003C1F93"/>
    <w:rsid w:val="003C6CE7"/>
    <w:rsid w:val="003E4A05"/>
    <w:rsid w:val="003F087E"/>
    <w:rsid w:val="00401809"/>
    <w:rsid w:val="0041573A"/>
    <w:rsid w:val="00421A34"/>
    <w:rsid w:val="00431DCD"/>
    <w:rsid w:val="00435638"/>
    <w:rsid w:val="004374AD"/>
    <w:rsid w:val="00437658"/>
    <w:rsid w:val="00464DFB"/>
    <w:rsid w:val="00465A21"/>
    <w:rsid w:val="004718F1"/>
    <w:rsid w:val="00476579"/>
    <w:rsid w:val="00487323"/>
    <w:rsid w:val="00496DF2"/>
    <w:rsid w:val="004B3655"/>
    <w:rsid w:val="004C1334"/>
    <w:rsid w:val="00536EB2"/>
    <w:rsid w:val="00545BF6"/>
    <w:rsid w:val="00545F96"/>
    <w:rsid w:val="00566B3F"/>
    <w:rsid w:val="005779D6"/>
    <w:rsid w:val="005856EF"/>
    <w:rsid w:val="0059157C"/>
    <w:rsid w:val="00596BEC"/>
    <w:rsid w:val="005D1C01"/>
    <w:rsid w:val="005E18C6"/>
    <w:rsid w:val="005E21A0"/>
    <w:rsid w:val="006042B2"/>
    <w:rsid w:val="00604615"/>
    <w:rsid w:val="006310A0"/>
    <w:rsid w:val="0063554F"/>
    <w:rsid w:val="00637D86"/>
    <w:rsid w:val="006742BD"/>
    <w:rsid w:val="00677A6E"/>
    <w:rsid w:val="006D4396"/>
    <w:rsid w:val="006F2F31"/>
    <w:rsid w:val="006F7168"/>
    <w:rsid w:val="00702381"/>
    <w:rsid w:val="00704589"/>
    <w:rsid w:val="00716831"/>
    <w:rsid w:val="00717958"/>
    <w:rsid w:val="00723E2B"/>
    <w:rsid w:val="00734748"/>
    <w:rsid w:val="00734D83"/>
    <w:rsid w:val="0073560D"/>
    <w:rsid w:val="007407C4"/>
    <w:rsid w:val="007430EC"/>
    <w:rsid w:val="007432B9"/>
    <w:rsid w:val="00744AE1"/>
    <w:rsid w:val="00751E0A"/>
    <w:rsid w:val="0077517B"/>
    <w:rsid w:val="007B34C6"/>
    <w:rsid w:val="007C5815"/>
    <w:rsid w:val="007C6A64"/>
    <w:rsid w:val="007D4ABE"/>
    <w:rsid w:val="007D72E9"/>
    <w:rsid w:val="007F51B0"/>
    <w:rsid w:val="008567B6"/>
    <w:rsid w:val="00862D1F"/>
    <w:rsid w:val="008818A7"/>
    <w:rsid w:val="008C102B"/>
    <w:rsid w:val="008C1488"/>
    <w:rsid w:val="008E4104"/>
    <w:rsid w:val="008F5044"/>
    <w:rsid w:val="008F6CB8"/>
    <w:rsid w:val="00947164"/>
    <w:rsid w:val="00953EA2"/>
    <w:rsid w:val="00957AEF"/>
    <w:rsid w:val="0096130C"/>
    <w:rsid w:val="009925AF"/>
    <w:rsid w:val="009C2AEE"/>
    <w:rsid w:val="009E0803"/>
    <w:rsid w:val="009F78FF"/>
    <w:rsid w:val="00A27B98"/>
    <w:rsid w:val="00A33352"/>
    <w:rsid w:val="00A35F02"/>
    <w:rsid w:val="00A41724"/>
    <w:rsid w:val="00A453A9"/>
    <w:rsid w:val="00A73A97"/>
    <w:rsid w:val="00A8199B"/>
    <w:rsid w:val="00AB510B"/>
    <w:rsid w:val="00AC4F48"/>
    <w:rsid w:val="00AD2744"/>
    <w:rsid w:val="00AE72D2"/>
    <w:rsid w:val="00AF1365"/>
    <w:rsid w:val="00AF7D33"/>
    <w:rsid w:val="00B01067"/>
    <w:rsid w:val="00B03E2F"/>
    <w:rsid w:val="00B04D7B"/>
    <w:rsid w:val="00B07E17"/>
    <w:rsid w:val="00B14F52"/>
    <w:rsid w:val="00B2558E"/>
    <w:rsid w:val="00B2584D"/>
    <w:rsid w:val="00B46825"/>
    <w:rsid w:val="00B70256"/>
    <w:rsid w:val="00BA174B"/>
    <w:rsid w:val="00BA2D21"/>
    <w:rsid w:val="00BB6280"/>
    <w:rsid w:val="00BD6EC5"/>
    <w:rsid w:val="00BE22F9"/>
    <w:rsid w:val="00BF5414"/>
    <w:rsid w:val="00C00142"/>
    <w:rsid w:val="00C04F91"/>
    <w:rsid w:val="00C32827"/>
    <w:rsid w:val="00C43630"/>
    <w:rsid w:val="00C5086D"/>
    <w:rsid w:val="00C50A81"/>
    <w:rsid w:val="00C50B77"/>
    <w:rsid w:val="00C765CA"/>
    <w:rsid w:val="00C7747F"/>
    <w:rsid w:val="00C84B7C"/>
    <w:rsid w:val="00C873DC"/>
    <w:rsid w:val="00C90F08"/>
    <w:rsid w:val="00C944CF"/>
    <w:rsid w:val="00C95A98"/>
    <w:rsid w:val="00CA38C3"/>
    <w:rsid w:val="00CB7E6C"/>
    <w:rsid w:val="00CE1FD1"/>
    <w:rsid w:val="00CE603B"/>
    <w:rsid w:val="00CF2DED"/>
    <w:rsid w:val="00CF5D5E"/>
    <w:rsid w:val="00D03695"/>
    <w:rsid w:val="00D06B1B"/>
    <w:rsid w:val="00D17F99"/>
    <w:rsid w:val="00D2127F"/>
    <w:rsid w:val="00D23822"/>
    <w:rsid w:val="00D251C1"/>
    <w:rsid w:val="00D25C4C"/>
    <w:rsid w:val="00D700BF"/>
    <w:rsid w:val="00D87336"/>
    <w:rsid w:val="00D87E51"/>
    <w:rsid w:val="00D9379D"/>
    <w:rsid w:val="00DB7F6C"/>
    <w:rsid w:val="00DC1145"/>
    <w:rsid w:val="00DC6CFC"/>
    <w:rsid w:val="00DD61DE"/>
    <w:rsid w:val="00E1793C"/>
    <w:rsid w:val="00E333F2"/>
    <w:rsid w:val="00E60107"/>
    <w:rsid w:val="00E608B8"/>
    <w:rsid w:val="00E6265F"/>
    <w:rsid w:val="00E64445"/>
    <w:rsid w:val="00E80749"/>
    <w:rsid w:val="00E84681"/>
    <w:rsid w:val="00EA35FC"/>
    <w:rsid w:val="00EA4181"/>
    <w:rsid w:val="00ED7579"/>
    <w:rsid w:val="00EE286D"/>
    <w:rsid w:val="00EE5F75"/>
    <w:rsid w:val="00F02A54"/>
    <w:rsid w:val="00F10D11"/>
    <w:rsid w:val="00F15A2B"/>
    <w:rsid w:val="00F202D4"/>
    <w:rsid w:val="00F31D8D"/>
    <w:rsid w:val="00F64030"/>
    <w:rsid w:val="00F83DBC"/>
    <w:rsid w:val="00F976EB"/>
    <w:rsid w:val="00FA286E"/>
    <w:rsid w:val="00FB0F1E"/>
    <w:rsid w:val="00FB59AC"/>
    <w:rsid w:val="00FB605F"/>
    <w:rsid w:val="00FB7959"/>
    <w:rsid w:val="00FC031D"/>
    <w:rsid w:val="00FC5F8F"/>
    <w:rsid w:val="00FD1876"/>
    <w:rsid w:val="00FD683F"/>
    <w:rsid w:val="00FE30B4"/>
    <w:rsid w:val="00FF12D3"/>
    <w:rsid w:val="00FF6E22"/>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4:docId w14:val="7E3F358A"/>
  <w15:docId w15:val="{09246254-0F8F-4079-B035-E7C1148B5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918"/>
    <w:pPr>
      <w:spacing w:line="240" w:lineRule="atLeast"/>
    </w:pPr>
    <w:rPr>
      <w:rFonts w:ascii="Garamond" w:hAnsi="Garamond"/>
      <w:sz w:val="24"/>
    </w:rPr>
  </w:style>
  <w:style w:type="paragraph" w:styleId="Heading1">
    <w:name w:val="heading 1"/>
    <w:aliases w:val="H1-Sec.Head,H1-Chap. Head"/>
    <w:basedOn w:val="Normal"/>
    <w:next w:val="L1-FlLSp12"/>
    <w:link w:val="Heading1Char"/>
    <w:qFormat/>
    <w:rsid w:val="00042918"/>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042918"/>
    <w:pPr>
      <w:outlineLvl w:val="1"/>
    </w:pPr>
    <w:rPr>
      <w:sz w:val="28"/>
    </w:rPr>
  </w:style>
  <w:style w:type="paragraph" w:styleId="Heading3">
    <w:name w:val="heading 3"/>
    <w:aliases w:val="H3-Sec. Head"/>
    <w:basedOn w:val="Heading1"/>
    <w:next w:val="L1-FlLSp12"/>
    <w:link w:val="Heading3Char"/>
    <w:qFormat/>
    <w:rsid w:val="00042918"/>
    <w:pPr>
      <w:outlineLvl w:val="2"/>
    </w:pPr>
    <w:rPr>
      <w:color w:val="auto"/>
      <w:sz w:val="24"/>
    </w:rPr>
  </w:style>
  <w:style w:type="paragraph" w:styleId="Heading4">
    <w:name w:val="heading 4"/>
    <w:aliases w:val="H4 Sec.Heading"/>
    <w:basedOn w:val="Heading1"/>
    <w:next w:val="L1-FlLSp12"/>
    <w:qFormat/>
    <w:rsid w:val="00042918"/>
    <w:pPr>
      <w:outlineLvl w:val="3"/>
    </w:pPr>
    <w:rPr>
      <w:i/>
      <w:color w:val="auto"/>
      <w:sz w:val="24"/>
    </w:rPr>
  </w:style>
  <w:style w:type="paragraph" w:styleId="Heading5">
    <w:name w:val="heading 5"/>
    <w:basedOn w:val="Normal"/>
    <w:next w:val="Normal"/>
    <w:qFormat/>
    <w:rsid w:val="00042918"/>
    <w:pPr>
      <w:keepLines/>
      <w:spacing w:before="360" w:line="360" w:lineRule="atLeast"/>
      <w:jc w:val="center"/>
      <w:outlineLvl w:val="4"/>
    </w:pPr>
  </w:style>
  <w:style w:type="paragraph" w:styleId="Heading6">
    <w:name w:val="heading 6"/>
    <w:basedOn w:val="Normal"/>
    <w:next w:val="Normal"/>
    <w:qFormat/>
    <w:rsid w:val="00042918"/>
    <w:pPr>
      <w:keepNext/>
      <w:spacing w:before="240"/>
      <w:jc w:val="center"/>
      <w:outlineLvl w:val="5"/>
    </w:pPr>
    <w:rPr>
      <w:b/>
      <w:caps/>
    </w:rPr>
  </w:style>
  <w:style w:type="paragraph" w:styleId="Heading7">
    <w:name w:val="heading 7"/>
    <w:basedOn w:val="Normal"/>
    <w:next w:val="Normal"/>
    <w:qFormat/>
    <w:rsid w:val="00042918"/>
    <w:pPr>
      <w:spacing w:before="240" w:after="60"/>
      <w:outlineLvl w:val="6"/>
    </w:pPr>
  </w:style>
  <w:style w:type="paragraph" w:styleId="Heading8">
    <w:name w:val="heading 8"/>
    <w:basedOn w:val="Normal"/>
    <w:next w:val="Normal"/>
    <w:qFormat/>
    <w:rsid w:val="00042918"/>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042918"/>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42918"/>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042918"/>
    <w:pPr>
      <w:tabs>
        <w:tab w:val="left" w:pos="576"/>
      </w:tabs>
      <w:spacing w:after="240"/>
      <w:ind w:left="576" w:hanging="576"/>
    </w:pPr>
  </w:style>
  <w:style w:type="paragraph" w:customStyle="1" w:styleId="N1-1stBullet">
    <w:name w:val="N1-1st Bullet"/>
    <w:basedOn w:val="Normal"/>
    <w:link w:val="N1-1stBulletChar"/>
    <w:rsid w:val="00042918"/>
    <w:pPr>
      <w:numPr>
        <w:numId w:val="1"/>
      </w:numPr>
      <w:spacing w:after="240"/>
    </w:pPr>
  </w:style>
  <w:style w:type="paragraph" w:styleId="FootnoteText">
    <w:name w:val="footnote text"/>
    <w:aliases w:val="F1,Footnote Text Char1,F1 Char1,Footnote Text Char Char,F1 Char Char,Footnote Text2,F"/>
    <w:link w:val="FootnoteTextChar"/>
    <w:rsid w:val="00042918"/>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042918"/>
    <w:pPr>
      <w:numPr>
        <w:numId w:val="2"/>
      </w:numPr>
      <w:spacing w:after="240"/>
    </w:pPr>
  </w:style>
  <w:style w:type="paragraph" w:styleId="Header">
    <w:name w:val="header"/>
    <w:basedOn w:val="Normal"/>
    <w:link w:val="HeaderChar"/>
    <w:uiPriority w:val="99"/>
    <w:rsid w:val="00042918"/>
    <w:rPr>
      <w:sz w:val="16"/>
    </w:rPr>
  </w:style>
  <w:style w:type="paragraph" w:customStyle="1" w:styleId="P1-StandPara">
    <w:name w:val="P1-Stand Para"/>
    <w:basedOn w:val="Normal"/>
    <w:link w:val="P1-StandParaChar"/>
    <w:rsid w:val="00042918"/>
    <w:pPr>
      <w:spacing w:line="360" w:lineRule="atLeast"/>
      <w:ind w:firstLine="1152"/>
    </w:pPr>
  </w:style>
  <w:style w:type="paragraph" w:customStyle="1" w:styleId="SH-SglSpHead">
    <w:name w:val="SH-Sgl Sp Head"/>
    <w:basedOn w:val="Heading1"/>
    <w:rsid w:val="00042918"/>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042918"/>
  </w:style>
  <w:style w:type="paragraph" w:customStyle="1" w:styleId="SP-SglSpPara">
    <w:name w:val="SP-Sgl Sp Para"/>
    <w:basedOn w:val="Normal"/>
    <w:link w:val="SP-SglSpParaChar"/>
    <w:rsid w:val="00042918"/>
    <w:pPr>
      <w:tabs>
        <w:tab w:val="left" w:pos="576"/>
      </w:tabs>
      <w:ind w:firstLine="576"/>
    </w:pPr>
  </w:style>
  <w:style w:type="paragraph" w:styleId="Footer">
    <w:name w:val="footer"/>
    <w:basedOn w:val="Normal"/>
    <w:link w:val="FooterChar"/>
    <w:uiPriority w:val="99"/>
    <w:rsid w:val="00042918"/>
  </w:style>
  <w:style w:type="paragraph" w:customStyle="1" w:styleId="N3-3rdBullet">
    <w:name w:val="N3-3rd Bullet"/>
    <w:basedOn w:val="Normal"/>
    <w:rsid w:val="00042918"/>
    <w:pPr>
      <w:numPr>
        <w:numId w:val="3"/>
      </w:numPr>
      <w:spacing w:after="240"/>
    </w:pPr>
  </w:style>
  <w:style w:type="paragraph" w:customStyle="1" w:styleId="C2-CtrSglSp">
    <w:name w:val="C2-Ctr Sgl Sp"/>
    <w:basedOn w:val="Normal"/>
    <w:rsid w:val="00042918"/>
    <w:pPr>
      <w:keepLines/>
      <w:jc w:val="center"/>
    </w:pPr>
  </w:style>
  <w:style w:type="paragraph" w:customStyle="1" w:styleId="C3-CtrSp12">
    <w:name w:val="C3-Ctr Sp&amp;1/2"/>
    <w:basedOn w:val="Normal"/>
    <w:rsid w:val="00042918"/>
    <w:pPr>
      <w:keepLines/>
      <w:spacing w:line="360" w:lineRule="atLeast"/>
      <w:jc w:val="center"/>
    </w:pPr>
  </w:style>
  <w:style w:type="paragraph" w:customStyle="1" w:styleId="CT-ContractInformation">
    <w:name w:val="CT-Contract Information"/>
    <w:basedOn w:val="Normal"/>
    <w:rsid w:val="00042918"/>
    <w:pPr>
      <w:tabs>
        <w:tab w:val="left" w:pos="2232"/>
      </w:tabs>
      <w:spacing w:line="240" w:lineRule="exact"/>
    </w:pPr>
    <w:rPr>
      <w:vanish/>
    </w:rPr>
  </w:style>
  <w:style w:type="paragraph" w:customStyle="1" w:styleId="E1-Equation">
    <w:name w:val="E1-Equation"/>
    <w:basedOn w:val="Normal"/>
    <w:rsid w:val="00042918"/>
    <w:pPr>
      <w:tabs>
        <w:tab w:val="center" w:pos="4680"/>
        <w:tab w:val="right" w:pos="9360"/>
      </w:tabs>
    </w:pPr>
  </w:style>
  <w:style w:type="paragraph" w:customStyle="1" w:styleId="E2-Equation">
    <w:name w:val="E2-Equation"/>
    <w:basedOn w:val="Normal"/>
    <w:rsid w:val="00042918"/>
    <w:pPr>
      <w:tabs>
        <w:tab w:val="right" w:pos="1152"/>
        <w:tab w:val="center" w:pos="1440"/>
        <w:tab w:val="left" w:pos="1728"/>
      </w:tabs>
      <w:ind w:left="1728" w:hanging="1728"/>
    </w:pPr>
  </w:style>
  <w:style w:type="paragraph" w:styleId="EndnoteText">
    <w:name w:val="endnote text"/>
    <w:basedOn w:val="Normal"/>
    <w:semiHidden/>
    <w:rsid w:val="00042918"/>
    <w:rPr>
      <w:rFonts w:ascii="Times New Roman" w:hAnsi="Times New Roman"/>
      <w:sz w:val="20"/>
    </w:rPr>
  </w:style>
  <w:style w:type="paragraph" w:styleId="EnvelopeAddress">
    <w:name w:val="envelope address"/>
    <w:basedOn w:val="SL-FlLftSgl"/>
    <w:rsid w:val="00042918"/>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042918"/>
    <w:rPr>
      <w:rFonts w:ascii="Times New Roman" w:hAnsi="Times New Roman"/>
      <w:sz w:val="20"/>
    </w:rPr>
  </w:style>
  <w:style w:type="paragraph" w:customStyle="1" w:styleId="Header-1">
    <w:name w:val="Header-1"/>
    <w:basedOn w:val="Heading1"/>
    <w:rsid w:val="00042918"/>
    <w:pPr>
      <w:framePr w:hSpace="187" w:wrap="around" w:vAnchor="text" w:hAnchor="text" w:y="1"/>
      <w:spacing w:after="0" w:line="240" w:lineRule="atLeast"/>
      <w:suppressOverlap/>
      <w:jc w:val="right"/>
    </w:pPr>
    <w:rPr>
      <w:sz w:val="20"/>
    </w:rPr>
  </w:style>
  <w:style w:type="paragraph" w:customStyle="1" w:styleId="L1-FlLSp12">
    <w:name w:val="L1-FlL Sp&amp;1/2"/>
    <w:basedOn w:val="Normal"/>
    <w:link w:val="L1-FlLSp12Char"/>
    <w:rsid w:val="00042918"/>
    <w:pPr>
      <w:tabs>
        <w:tab w:val="left" w:pos="1152"/>
      </w:tabs>
      <w:spacing w:line="360" w:lineRule="atLeast"/>
    </w:pPr>
  </w:style>
  <w:style w:type="paragraph" w:customStyle="1" w:styleId="N4-4thBullet">
    <w:name w:val="N4-4th Bullet"/>
    <w:basedOn w:val="Normal"/>
    <w:rsid w:val="00042918"/>
    <w:pPr>
      <w:numPr>
        <w:numId w:val="4"/>
      </w:numPr>
      <w:spacing w:after="240"/>
    </w:pPr>
  </w:style>
  <w:style w:type="paragraph" w:customStyle="1" w:styleId="N5-5thBullet">
    <w:name w:val="N5-5th Bullet"/>
    <w:basedOn w:val="Normal"/>
    <w:rsid w:val="00042918"/>
    <w:pPr>
      <w:tabs>
        <w:tab w:val="left" w:pos="3456"/>
      </w:tabs>
      <w:spacing w:after="240"/>
      <w:ind w:left="3456" w:hanging="576"/>
    </w:pPr>
  </w:style>
  <w:style w:type="paragraph" w:customStyle="1" w:styleId="N6-DateInd">
    <w:name w:val="N6-Date Ind."/>
    <w:basedOn w:val="Normal"/>
    <w:rsid w:val="00042918"/>
    <w:pPr>
      <w:tabs>
        <w:tab w:val="left" w:pos="4910"/>
      </w:tabs>
      <w:ind w:left="4910"/>
    </w:pPr>
  </w:style>
  <w:style w:type="paragraph" w:customStyle="1" w:styleId="N7-3Block">
    <w:name w:val="N7-3&quot; Block"/>
    <w:basedOn w:val="Normal"/>
    <w:rsid w:val="00042918"/>
    <w:pPr>
      <w:tabs>
        <w:tab w:val="left" w:pos="1152"/>
      </w:tabs>
      <w:ind w:left="1152" w:right="1152"/>
    </w:pPr>
  </w:style>
  <w:style w:type="paragraph" w:customStyle="1" w:styleId="N8-QxQBlock">
    <w:name w:val="N8-QxQ Block"/>
    <w:basedOn w:val="Normal"/>
    <w:rsid w:val="00042918"/>
    <w:pPr>
      <w:tabs>
        <w:tab w:val="left" w:pos="1152"/>
      </w:tabs>
      <w:spacing w:after="360" w:line="360" w:lineRule="atLeast"/>
      <w:ind w:left="1152" w:hanging="1152"/>
    </w:pPr>
  </w:style>
  <w:style w:type="character" w:styleId="PageNumber">
    <w:name w:val="page number"/>
    <w:basedOn w:val="DefaultParagraphFont"/>
    <w:rsid w:val="00042918"/>
  </w:style>
  <w:style w:type="paragraph" w:customStyle="1" w:styleId="Q1-BestFinQ">
    <w:name w:val="Q1-Best/Fin Q"/>
    <w:basedOn w:val="Heading1"/>
    <w:rsid w:val="00042918"/>
    <w:pPr>
      <w:spacing w:line="240" w:lineRule="atLeast"/>
    </w:pPr>
    <w:rPr>
      <w:rFonts w:cs="Times New Roman Bold"/>
      <w:color w:val="auto"/>
      <w:sz w:val="24"/>
    </w:rPr>
  </w:style>
  <w:style w:type="paragraph" w:customStyle="1" w:styleId="R0-FLLftSglBoldItalic">
    <w:name w:val="R0-FL Lft Sgl Bold Italic"/>
    <w:basedOn w:val="Heading1"/>
    <w:rsid w:val="00042918"/>
    <w:pPr>
      <w:spacing w:after="0" w:line="240" w:lineRule="atLeast"/>
      <w:ind w:left="0" w:firstLine="0"/>
    </w:pPr>
    <w:rPr>
      <w:rFonts w:cs="Times New Roman Bold"/>
      <w:b w:val="0"/>
      <w:i/>
      <w:color w:val="auto"/>
      <w:sz w:val="24"/>
    </w:rPr>
  </w:style>
  <w:style w:type="paragraph" w:customStyle="1" w:styleId="R1-ResPara">
    <w:name w:val="R1-Res. Para"/>
    <w:basedOn w:val="Normal"/>
    <w:rsid w:val="00042918"/>
    <w:pPr>
      <w:ind w:left="288"/>
    </w:pPr>
  </w:style>
  <w:style w:type="paragraph" w:customStyle="1" w:styleId="R2-ResBullet">
    <w:name w:val="R2-Res Bullet"/>
    <w:basedOn w:val="Normal"/>
    <w:rsid w:val="00042918"/>
    <w:pPr>
      <w:tabs>
        <w:tab w:val="left" w:pos="720"/>
      </w:tabs>
      <w:ind w:left="720" w:hanging="432"/>
    </w:pPr>
  </w:style>
  <w:style w:type="paragraph" w:customStyle="1" w:styleId="RF-Reference">
    <w:name w:val="RF-Reference"/>
    <w:basedOn w:val="Normal"/>
    <w:rsid w:val="00042918"/>
    <w:pPr>
      <w:spacing w:line="240" w:lineRule="exact"/>
      <w:ind w:left="216" w:hanging="216"/>
    </w:pPr>
  </w:style>
  <w:style w:type="paragraph" w:customStyle="1" w:styleId="RH-SglSpHead">
    <w:name w:val="RH-Sgl Sp Head"/>
    <w:basedOn w:val="Heading1"/>
    <w:next w:val="RL-FlLftSgl"/>
    <w:rsid w:val="00042918"/>
    <w:pPr>
      <w:pBdr>
        <w:bottom w:val="single" w:sz="24" w:space="1" w:color="AFBED9"/>
      </w:pBdr>
      <w:spacing w:after="480" w:line="360" w:lineRule="exact"/>
    </w:pPr>
    <w:rPr>
      <w:sz w:val="36"/>
      <w:u w:color="324162"/>
    </w:rPr>
  </w:style>
  <w:style w:type="paragraph" w:customStyle="1" w:styleId="RL-FlLftSgl">
    <w:name w:val="RL-Fl Lft Sgl"/>
    <w:basedOn w:val="Heading1"/>
    <w:rsid w:val="00042918"/>
    <w:pPr>
      <w:spacing w:after="0" w:line="240" w:lineRule="atLeast"/>
      <w:ind w:left="0" w:firstLine="0"/>
    </w:pPr>
    <w:rPr>
      <w:sz w:val="24"/>
    </w:rPr>
  </w:style>
  <w:style w:type="paragraph" w:customStyle="1" w:styleId="SU-FlLftUndln">
    <w:name w:val="SU-Fl Lft Undln"/>
    <w:basedOn w:val="Normal"/>
    <w:rsid w:val="00042918"/>
    <w:pPr>
      <w:keepNext/>
      <w:spacing w:line="240" w:lineRule="exact"/>
    </w:pPr>
    <w:rPr>
      <w:u w:val="single"/>
    </w:rPr>
  </w:style>
  <w:style w:type="paragraph" w:customStyle="1" w:styleId="T0-ChapPgHd">
    <w:name w:val="T0-Chap/Pg Hd"/>
    <w:basedOn w:val="Normal"/>
    <w:rsid w:val="00042918"/>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042918"/>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042918"/>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042918"/>
    <w:pPr>
      <w:spacing w:after="0" w:line="240" w:lineRule="atLeast"/>
      <w:ind w:left="0" w:firstLine="0"/>
      <w:jc w:val="center"/>
    </w:pPr>
    <w:rPr>
      <w:color w:val="auto"/>
      <w:sz w:val="20"/>
    </w:rPr>
  </w:style>
  <w:style w:type="paragraph" w:styleId="TOC1">
    <w:name w:val="toc 1"/>
    <w:basedOn w:val="Normal"/>
    <w:semiHidden/>
    <w:rsid w:val="00042918"/>
    <w:pPr>
      <w:tabs>
        <w:tab w:val="left" w:pos="1440"/>
        <w:tab w:val="right" w:leader="dot" w:pos="8208"/>
        <w:tab w:val="left" w:pos="8640"/>
      </w:tabs>
      <w:ind w:left="1440" w:right="1800" w:hanging="1152"/>
    </w:pPr>
  </w:style>
  <w:style w:type="paragraph" w:styleId="TOC2">
    <w:name w:val="toc 2"/>
    <w:basedOn w:val="Normal"/>
    <w:semiHidden/>
    <w:rsid w:val="00042918"/>
    <w:pPr>
      <w:tabs>
        <w:tab w:val="left" w:pos="2160"/>
        <w:tab w:val="right" w:leader="dot" w:pos="8208"/>
        <w:tab w:val="left" w:pos="8640"/>
      </w:tabs>
      <w:ind w:left="2160" w:right="1800" w:hanging="720"/>
    </w:pPr>
    <w:rPr>
      <w:szCs w:val="22"/>
    </w:rPr>
  </w:style>
  <w:style w:type="paragraph" w:styleId="TOC3">
    <w:name w:val="toc 3"/>
    <w:basedOn w:val="Normal"/>
    <w:semiHidden/>
    <w:rsid w:val="00042918"/>
    <w:pPr>
      <w:tabs>
        <w:tab w:val="left" w:pos="3024"/>
        <w:tab w:val="right" w:leader="dot" w:pos="8208"/>
        <w:tab w:val="left" w:pos="8640"/>
      </w:tabs>
      <w:ind w:left="3024" w:right="1800" w:hanging="864"/>
    </w:pPr>
  </w:style>
  <w:style w:type="paragraph" w:styleId="TOC4">
    <w:name w:val="toc 4"/>
    <w:basedOn w:val="Normal"/>
    <w:semiHidden/>
    <w:rsid w:val="00042918"/>
    <w:pPr>
      <w:tabs>
        <w:tab w:val="left" w:pos="3888"/>
        <w:tab w:val="right" w:leader="dot" w:pos="8208"/>
        <w:tab w:val="left" w:pos="8640"/>
      </w:tabs>
      <w:ind w:left="3888" w:right="1800" w:hanging="864"/>
    </w:pPr>
  </w:style>
  <w:style w:type="paragraph" w:styleId="TOC5">
    <w:name w:val="toc 5"/>
    <w:basedOn w:val="Normal"/>
    <w:semiHidden/>
    <w:rsid w:val="00042918"/>
    <w:pPr>
      <w:tabs>
        <w:tab w:val="left" w:pos="1440"/>
        <w:tab w:val="right" w:leader="dot" w:pos="8208"/>
        <w:tab w:val="left" w:pos="8640"/>
      </w:tabs>
      <w:ind w:left="1440" w:right="1800" w:hanging="1152"/>
    </w:pPr>
  </w:style>
  <w:style w:type="paragraph" w:styleId="TOC6">
    <w:name w:val="toc 6"/>
    <w:semiHidden/>
    <w:rsid w:val="00042918"/>
    <w:pPr>
      <w:tabs>
        <w:tab w:val="right" w:leader="dot" w:pos="8208"/>
        <w:tab w:val="left" w:pos="8640"/>
      </w:tabs>
      <w:ind w:left="288" w:right="1800"/>
    </w:pPr>
    <w:rPr>
      <w:rFonts w:ascii="Garamond" w:hAnsi="Garamond"/>
      <w:sz w:val="24"/>
      <w:szCs w:val="22"/>
    </w:rPr>
  </w:style>
  <w:style w:type="paragraph" w:styleId="TOC7">
    <w:name w:val="toc 7"/>
    <w:semiHidden/>
    <w:rsid w:val="00042918"/>
    <w:pPr>
      <w:tabs>
        <w:tab w:val="right" w:leader="dot" w:pos="8208"/>
        <w:tab w:val="left" w:pos="8640"/>
      </w:tabs>
      <w:ind w:left="1440" w:right="1800"/>
    </w:pPr>
    <w:rPr>
      <w:rFonts w:ascii="Garamond" w:hAnsi="Garamond"/>
      <w:sz w:val="24"/>
      <w:szCs w:val="22"/>
    </w:rPr>
  </w:style>
  <w:style w:type="paragraph" w:styleId="TOC8">
    <w:name w:val="toc 8"/>
    <w:semiHidden/>
    <w:rsid w:val="00042918"/>
    <w:pPr>
      <w:tabs>
        <w:tab w:val="right" w:leader="dot" w:pos="8208"/>
        <w:tab w:val="left" w:pos="8640"/>
      </w:tabs>
      <w:ind w:left="2160" w:right="1800"/>
    </w:pPr>
    <w:rPr>
      <w:rFonts w:ascii="Garamond" w:hAnsi="Garamond"/>
      <w:sz w:val="24"/>
      <w:szCs w:val="22"/>
    </w:rPr>
  </w:style>
  <w:style w:type="paragraph" w:styleId="TOC9">
    <w:name w:val="toc 9"/>
    <w:semiHidden/>
    <w:rsid w:val="00042918"/>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042918"/>
    <w:pPr>
      <w:tabs>
        <w:tab w:val="clear" w:pos="1152"/>
        <w:tab w:val="left" w:pos="1440"/>
      </w:tabs>
      <w:spacing w:after="0" w:line="240" w:lineRule="atLeast"/>
      <w:ind w:left="1440" w:hanging="1440"/>
    </w:pPr>
    <w:rPr>
      <w:b w:val="0"/>
      <w:color w:val="auto"/>
      <w:sz w:val="22"/>
    </w:rPr>
  </w:style>
  <w:style w:type="paragraph" w:customStyle="1" w:styleId="TX-TableText">
    <w:name w:val="TX-Table Text"/>
    <w:basedOn w:val="Normal"/>
    <w:rsid w:val="00042918"/>
    <w:rPr>
      <w:rFonts w:ascii="Franklin Gothic Medium" w:hAnsi="Franklin Gothic Medium"/>
      <w:sz w:val="20"/>
    </w:rPr>
  </w:style>
  <w:style w:type="paragraph" w:styleId="NormalWeb">
    <w:name w:val="Normal (Web)"/>
    <w:basedOn w:val="Normal"/>
    <w:uiPriority w:val="99"/>
    <w:rsid w:val="00042918"/>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042918"/>
    <w:rPr>
      <w:rFonts w:ascii="Franklin Gothic Medium" w:hAnsi="Franklin Gothic Medium"/>
    </w:rPr>
  </w:style>
  <w:style w:type="paragraph" w:styleId="Title">
    <w:name w:val="Title"/>
    <w:basedOn w:val="Normal"/>
    <w:next w:val="Normal"/>
    <w:link w:val="TitleChar"/>
    <w:uiPriority w:val="10"/>
    <w:qFormat/>
    <w:rsid w:val="008E41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E410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8E4104"/>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8E4104"/>
    <w:pPr>
      <w:autoSpaceDE w:val="0"/>
      <w:autoSpaceDN w:val="0"/>
      <w:adjustRightInd w:val="0"/>
    </w:pPr>
    <w:rPr>
      <w:rFonts w:eastAsiaTheme="minorHAnsi"/>
      <w:color w:val="000000"/>
      <w:sz w:val="24"/>
      <w:szCs w:val="24"/>
    </w:rPr>
  </w:style>
  <w:style w:type="table" w:styleId="TableGrid">
    <w:name w:val="Table Grid"/>
    <w:basedOn w:val="TableNormal"/>
    <w:uiPriority w:val="59"/>
    <w:rsid w:val="008E410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E4104"/>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E4104"/>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E4104"/>
    <w:rPr>
      <w:rFonts w:ascii="Tahoma" w:eastAsiaTheme="minorHAnsi" w:hAnsi="Tahoma" w:cs="Tahoma"/>
      <w:sz w:val="16"/>
      <w:szCs w:val="16"/>
    </w:rPr>
  </w:style>
  <w:style w:type="character" w:customStyle="1" w:styleId="HeaderChar">
    <w:name w:val="Header Char"/>
    <w:basedOn w:val="DefaultParagraphFont"/>
    <w:link w:val="Header"/>
    <w:uiPriority w:val="99"/>
    <w:rsid w:val="008E4104"/>
    <w:rPr>
      <w:rFonts w:ascii="Garamond" w:hAnsi="Garamond"/>
      <w:sz w:val="16"/>
    </w:rPr>
  </w:style>
  <w:style w:type="character" w:customStyle="1" w:styleId="FooterChar">
    <w:name w:val="Footer Char"/>
    <w:basedOn w:val="DefaultParagraphFont"/>
    <w:link w:val="Footer"/>
    <w:uiPriority w:val="99"/>
    <w:rsid w:val="008E4104"/>
    <w:rPr>
      <w:rFonts w:ascii="Garamond" w:hAnsi="Garamond"/>
      <w:sz w:val="24"/>
    </w:rPr>
  </w:style>
  <w:style w:type="character" w:customStyle="1" w:styleId="P1-StandParaChar">
    <w:name w:val="P1-Stand Para Char"/>
    <w:link w:val="P1-StandPara"/>
    <w:rsid w:val="008E4104"/>
    <w:rPr>
      <w:rFonts w:ascii="Garamond" w:hAnsi="Garamond"/>
      <w:sz w:val="24"/>
    </w:rPr>
  </w:style>
  <w:style w:type="character" w:customStyle="1" w:styleId="L1-FlLSp12Char">
    <w:name w:val="L1-FlL Sp&amp;1/2 Char"/>
    <w:basedOn w:val="DefaultParagraphFont"/>
    <w:link w:val="L1-FlLSp12"/>
    <w:rsid w:val="008E4104"/>
    <w:rPr>
      <w:rFonts w:ascii="Garamond" w:hAnsi="Garamond"/>
      <w:sz w:val="24"/>
    </w:rPr>
  </w:style>
  <w:style w:type="character" w:customStyle="1" w:styleId="FootnoteTextChar">
    <w:name w:val="Footnote Text Char"/>
    <w:aliases w:val="F1 Char,Footnote Text Char1 Char,F1 Char1 Char,Footnote Text Char Char Char,F1 Char Char Char,Footnote Text2 Char,F Char"/>
    <w:basedOn w:val="DefaultParagraphFont"/>
    <w:link w:val="FootnoteText"/>
    <w:rsid w:val="008E4104"/>
    <w:rPr>
      <w:rFonts w:ascii="Garamond" w:hAnsi="Garamond"/>
      <w:sz w:val="16"/>
    </w:rPr>
  </w:style>
  <w:style w:type="character" w:styleId="FootnoteReference">
    <w:name w:val="footnote reference"/>
    <w:basedOn w:val="DefaultParagraphFont"/>
    <w:uiPriority w:val="99"/>
    <w:unhideWhenUsed/>
    <w:rsid w:val="008E4104"/>
    <w:rPr>
      <w:vertAlign w:val="superscript"/>
    </w:rPr>
  </w:style>
  <w:style w:type="paragraph" w:customStyle="1" w:styleId="B1-1stCalloutBullet">
    <w:name w:val="B1-1st Callout Bullet"/>
    <w:basedOn w:val="ListParagraph"/>
    <w:qFormat/>
    <w:rsid w:val="008E4104"/>
    <w:pPr>
      <w:numPr>
        <w:numId w:val="5"/>
      </w:numPr>
      <w:spacing w:after="0" w:line="240" w:lineRule="atLeast"/>
    </w:pPr>
    <w:rPr>
      <w:rFonts w:ascii="Franklin Gothic Book" w:eastAsia="Times New Roman" w:hAnsi="Franklin Gothic Book" w:cs="Times New Roman"/>
      <w:noProof/>
      <w:color w:val="000000" w:themeColor="text1"/>
      <w:sz w:val="18"/>
      <w:szCs w:val="18"/>
    </w:rPr>
  </w:style>
  <w:style w:type="paragraph" w:customStyle="1" w:styleId="B2-2ndCalloutBullet">
    <w:name w:val="B2-2nd Callout Bullet"/>
    <w:basedOn w:val="ListParagraph"/>
    <w:rsid w:val="008E4104"/>
    <w:pPr>
      <w:numPr>
        <w:ilvl w:val="1"/>
        <w:numId w:val="5"/>
      </w:numPr>
      <w:tabs>
        <w:tab w:val="num" w:pos="360"/>
      </w:tabs>
      <w:spacing w:after="0" w:line="240" w:lineRule="atLeast"/>
      <w:ind w:left="450" w:hanging="270"/>
    </w:pPr>
    <w:rPr>
      <w:rFonts w:ascii="Franklin Gothic Book" w:eastAsia="Times New Roman" w:hAnsi="Franklin Gothic Book" w:cs="Times New Roman"/>
      <w:color w:val="000000" w:themeColor="text1"/>
      <w:szCs w:val="20"/>
    </w:rPr>
  </w:style>
  <w:style w:type="character" w:customStyle="1" w:styleId="Heading2Char">
    <w:name w:val="Heading 2 Char"/>
    <w:aliases w:val="H2-Sec. Head Char"/>
    <w:basedOn w:val="DefaultParagraphFont"/>
    <w:link w:val="Heading2"/>
    <w:rsid w:val="008E4104"/>
    <w:rPr>
      <w:rFonts w:ascii="Franklin Gothic Medium" w:hAnsi="Franklin Gothic Medium"/>
      <w:b/>
      <w:color w:val="324162"/>
      <w:sz w:val="28"/>
    </w:rPr>
  </w:style>
  <w:style w:type="character" w:customStyle="1" w:styleId="Heading1Char">
    <w:name w:val="Heading 1 Char"/>
    <w:aliases w:val="H1-Sec.Head Char,H1-Chap. Head Char"/>
    <w:basedOn w:val="DefaultParagraphFont"/>
    <w:link w:val="Heading1"/>
    <w:rsid w:val="008E4104"/>
    <w:rPr>
      <w:rFonts w:ascii="Franklin Gothic Medium" w:hAnsi="Franklin Gothic Medium"/>
      <w:b/>
      <w:color w:val="324162"/>
      <w:sz w:val="32"/>
    </w:rPr>
  </w:style>
  <w:style w:type="character" w:styleId="CommentReference">
    <w:name w:val="annotation reference"/>
    <w:basedOn w:val="DefaultParagraphFont"/>
    <w:uiPriority w:val="99"/>
    <w:semiHidden/>
    <w:unhideWhenUsed/>
    <w:rsid w:val="008E4104"/>
    <w:rPr>
      <w:sz w:val="16"/>
      <w:szCs w:val="16"/>
    </w:rPr>
  </w:style>
  <w:style w:type="paragraph" w:styleId="CommentText">
    <w:name w:val="annotation text"/>
    <w:basedOn w:val="Normal"/>
    <w:link w:val="CommentTextChar"/>
    <w:uiPriority w:val="99"/>
    <w:unhideWhenUsed/>
    <w:rsid w:val="008E4104"/>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8E4104"/>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E4104"/>
    <w:rPr>
      <w:b/>
      <w:bCs/>
    </w:rPr>
  </w:style>
  <w:style w:type="character" w:customStyle="1" w:styleId="CommentSubjectChar">
    <w:name w:val="Comment Subject Char"/>
    <w:basedOn w:val="CommentTextChar"/>
    <w:link w:val="CommentSubject"/>
    <w:uiPriority w:val="99"/>
    <w:semiHidden/>
    <w:rsid w:val="008E4104"/>
    <w:rPr>
      <w:rFonts w:asciiTheme="minorHAnsi" w:eastAsiaTheme="minorHAnsi" w:hAnsiTheme="minorHAnsi" w:cstheme="minorBidi"/>
      <w:b/>
      <w:bCs/>
    </w:rPr>
  </w:style>
  <w:style w:type="character" w:styleId="PlaceholderText">
    <w:name w:val="Placeholder Text"/>
    <w:basedOn w:val="DefaultParagraphFont"/>
    <w:uiPriority w:val="99"/>
    <w:semiHidden/>
    <w:rsid w:val="008E4104"/>
    <w:rPr>
      <w:color w:val="808080"/>
    </w:rPr>
  </w:style>
  <w:style w:type="character" w:customStyle="1" w:styleId="SP-SglSpParaChar">
    <w:name w:val="SP-Sgl Sp Para Char"/>
    <w:basedOn w:val="DefaultParagraphFont"/>
    <w:link w:val="SP-SglSpPara"/>
    <w:rsid w:val="008E4104"/>
    <w:rPr>
      <w:rFonts w:ascii="Garamond" w:hAnsi="Garamond"/>
      <w:sz w:val="24"/>
    </w:rPr>
  </w:style>
  <w:style w:type="character" w:customStyle="1" w:styleId="N1-1stBulletChar">
    <w:name w:val="N1-1st Bullet Char"/>
    <w:link w:val="N1-1stBullet"/>
    <w:rsid w:val="00073B21"/>
    <w:rPr>
      <w:rFonts w:ascii="Garamond" w:hAnsi="Garamond"/>
      <w:sz w:val="24"/>
    </w:rPr>
  </w:style>
  <w:style w:type="character" w:customStyle="1" w:styleId="Heading3Char">
    <w:name w:val="Heading 3 Char"/>
    <w:aliases w:val="H3-Sec. Head Char"/>
    <w:basedOn w:val="DefaultParagraphFont"/>
    <w:link w:val="Heading3"/>
    <w:rsid w:val="00AE72D2"/>
    <w:rPr>
      <w:rFonts w:ascii="Franklin Gothic Medium" w:hAnsi="Franklin Gothic Medium"/>
      <w:b/>
      <w:sz w:val="24"/>
    </w:rPr>
  </w:style>
  <w:style w:type="character" w:customStyle="1" w:styleId="apple-converted-space">
    <w:name w:val="apple-converted-space"/>
    <w:basedOn w:val="DefaultParagraphFont"/>
    <w:rsid w:val="00AE72D2"/>
  </w:style>
  <w:style w:type="character" w:styleId="Hyperlink">
    <w:name w:val="Hyperlink"/>
    <w:basedOn w:val="DefaultParagraphFont"/>
    <w:uiPriority w:val="99"/>
    <w:unhideWhenUsed/>
    <w:rsid w:val="00BE22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86732">
      <w:bodyDiv w:val="1"/>
      <w:marLeft w:val="0"/>
      <w:marRight w:val="0"/>
      <w:marTop w:val="0"/>
      <w:marBottom w:val="0"/>
      <w:divBdr>
        <w:top w:val="none" w:sz="0" w:space="0" w:color="auto"/>
        <w:left w:val="none" w:sz="0" w:space="0" w:color="auto"/>
        <w:bottom w:val="none" w:sz="0" w:space="0" w:color="auto"/>
        <w:right w:val="none" w:sz="0" w:space="0" w:color="auto"/>
      </w:divBdr>
    </w:div>
    <w:div w:id="995112324">
      <w:bodyDiv w:val="1"/>
      <w:marLeft w:val="0"/>
      <w:marRight w:val="0"/>
      <w:marTop w:val="0"/>
      <w:marBottom w:val="0"/>
      <w:divBdr>
        <w:top w:val="none" w:sz="0" w:space="0" w:color="auto"/>
        <w:left w:val="none" w:sz="0" w:space="0" w:color="auto"/>
        <w:bottom w:val="none" w:sz="0" w:space="0" w:color="auto"/>
        <w:right w:val="none" w:sz="0" w:space="0" w:color="auto"/>
      </w:divBdr>
    </w:div>
    <w:div w:id="19985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rgn=div5&amp;node=7:4.1.1.1.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ns.usda.gov/sites/default/files/dietaryspec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ns.usda.gov/sites/default/files/prov2guidance.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po.gov/fdsys/pkg/CFR-2016-title7-vol4/xml/CFR-2016-title7-vol4-part245.x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4\APPS\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79C0-0810-47D3-835B-656B5EC2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Memo.dotm</Template>
  <TotalTime>307</TotalTime>
  <Pages>8</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Tomasino-Rosales</dc:creator>
  <cp:lastModifiedBy>Cecilia Avison</cp:lastModifiedBy>
  <cp:revision>45</cp:revision>
  <cp:lastPrinted>2016-10-14T12:41:00Z</cp:lastPrinted>
  <dcterms:created xsi:type="dcterms:W3CDTF">2016-10-13T21:50:00Z</dcterms:created>
  <dcterms:modified xsi:type="dcterms:W3CDTF">2017-01-26T19:14:00Z</dcterms:modified>
</cp:coreProperties>
</file>