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4F66" w14:textId="77777777" w:rsidR="00AC15BA" w:rsidRPr="00AC15BA" w:rsidRDefault="00AC15BA" w:rsidP="00F06866">
      <w:pPr>
        <w:pStyle w:val="Heading2"/>
        <w:tabs>
          <w:tab w:val="left" w:pos="900"/>
        </w:tabs>
        <w:ind w:right="-180"/>
        <w:rPr>
          <w:sz w:val="28"/>
          <w:u w:val="single"/>
        </w:rPr>
      </w:pPr>
      <w:r w:rsidRPr="00AC15BA">
        <w:rPr>
          <w:sz w:val="28"/>
          <w:u w:val="single"/>
        </w:rPr>
        <w:t>FAST TRACK</w:t>
      </w:r>
      <w:r>
        <w:rPr>
          <w:sz w:val="28"/>
          <w:u w:val="single"/>
        </w:rPr>
        <w:t xml:space="preserve"> Feedback Requests</w:t>
      </w:r>
    </w:p>
    <w:p w14:paraId="375B4F67" w14:textId="77777777" w:rsidR="00AC15BA" w:rsidRDefault="00AC15BA" w:rsidP="00F06866">
      <w:pPr>
        <w:pStyle w:val="Heading2"/>
        <w:tabs>
          <w:tab w:val="left" w:pos="900"/>
        </w:tabs>
        <w:ind w:right="-180"/>
        <w:rPr>
          <w:sz w:val="28"/>
        </w:rPr>
      </w:pPr>
    </w:p>
    <w:p w14:paraId="375B4F68" w14:textId="77777777" w:rsidR="00AC15BA" w:rsidRDefault="00AC15BA" w:rsidP="00AC15BA">
      <w:pPr>
        <w:pStyle w:val="Heading2"/>
        <w:tabs>
          <w:tab w:val="left" w:pos="900"/>
        </w:tabs>
        <w:ind w:right="-180"/>
        <w:jc w:val="left"/>
        <w:rPr>
          <w:b w:val="0"/>
          <w:sz w:val="28"/>
        </w:rPr>
      </w:pPr>
    </w:p>
    <w:p w14:paraId="375B4F69" w14:textId="77777777" w:rsidR="00AC15BA" w:rsidRPr="00AC15BA" w:rsidRDefault="00AC15BA" w:rsidP="00AC15BA">
      <w:pPr>
        <w:pStyle w:val="CM6"/>
        <w:spacing w:after="270" w:line="276" w:lineRule="atLeast"/>
        <w:rPr>
          <w:b/>
          <w:color w:val="000000"/>
          <w:sz w:val="23"/>
          <w:szCs w:val="23"/>
        </w:rPr>
      </w:pPr>
      <w:r w:rsidRPr="00AC15BA">
        <w:rPr>
          <w:b/>
          <w:color w:val="000000"/>
          <w:sz w:val="23"/>
          <w:szCs w:val="23"/>
        </w:rPr>
        <w:t xml:space="preserve">Consider using the Fast Track process for your data collection activities when: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8140"/>
      </w:tblGrid>
      <w:tr w:rsidR="00AC15BA" w14:paraId="375B4F6B" w14:textId="77777777">
        <w:trPr>
          <w:trHeight w:val="123"/>
        </w:trPr>
        <w:tc>
          <w:tcPr>
            <w:tcW w:w="9302" w:type="dxa"/>
            <w:gridSpan w:val="2"/>
          </w:tcPr>
          <w:p w14:paraId="375B4F6A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-The data collection is focused on the awareness, understanding, attitudes, preferences, or experiences of customers or other stakeholders (e.g., delivery partners; co-regulators; potential customers) in order to improve existing or future </w:t>
            </w:r>
          </w:p>
        </w:tc>
      </w:tr>
      <w:tr w:rsidR="00AC15BA" w14:paraId="375B4F76" w14:textId="77777777">
        <w:trPr>
          <w:trHeight w:val="137"/>
        </w:trPr>
        <w:tc>
          <w:tcPr>
            <w:tcW w:w="9302" w:type="dxa"/>
            <w:gridSpan w:val="2"/>
          </w:tcPr>
          <w:p w14:paraId="375B4F6C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services, products, or communication materials; </w:t>
            </w:r>
          </w:p>
          <w:p w14:paraId="375B4F6D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  <w:p w14:paraId="375B4F6E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-The data collection is voluntary and non-controversial</w:t>
            </w:r>
          </w:p>
          <w:p w14:paraId="375B4F6F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  <w:p w14:paraId="375B4F70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-Statistical rigor is not required;</w:t>
            </w:r>
          </w:p>
          <w:p w14:paraId="375B4F71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  <w:p w14:paraId="375B4F72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-The burden on participants is not high; and</w:t>
            </w:r>
          </w:p>
          <w:p w14:paraId="375B4F73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  <w:p w14:paraId="375B4F74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-Public dissemination of results is not intended.</w:t>
            </w:r>
          </w:p>
          <w:p w14:paraId="375B4F75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</w:tc>
      </w:tr>
      <w:tr w:rsidR="00AC15BA" w14:paraId="375B4F79" w14:textId="77777777" w:rsidTr="00AC15BA">
        <w:trPr>
          <w:trHeight w:val="243"/>
        </w:trPr>
        <w:tc>
          <w:tcPr>
            <w:tcW w:w="1162" w:type="dxa"/>
          </w:tcPr>
          <w:p w14:paraId="375B4F77" w14:textId="77777777" w:rsidR="00AC15BA" w:rsidRDefault="00AC15BA" w:rsidP="00AC15BA">
            <w:pPr>
              <w:pStyle w:val="Default"/>
              <w:ind w:right="126"/>
              <w:rPr>
                <w:sz w:val="23"/>
                <w:szCs w:val="23"/>
              </w:rPr>
            </w:pPr>
          </w:p>
        </w:tc>
        <w:tc>
          <w:tcPr>
            <w:tcW w:w="8140" w:type="dxa"/>
          </w:tcPr>
          <w:p w14:paraId="375B4F78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</w:tc>
      </w:tr>
      <w:tr w:rsidR="00AC15BA" w14:paraId="375B4F7C" w14:textId="77777777">
        <w:trPr>
          <w:trHeight w:val="137"/>
        </w:trPr>
        <w:tc>
          <w:tcPr>
            <w:tcW w:w="1162" w:type="dxa"/>
            <w:vAlign w:val="center"/>
          </w:tcPr>
          <w:p w14:paraId="375B4F7A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140" w:type="dxa"/>
          </w:tcPr>
          <w:p w14:paraId="375B4F7B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</w:tc>
      </w:tr>
      <w:tr w:rsidR="00AC15BA" w14:paraId="375B4F7F" w14:textId="77777777">
        <w:trPr>
          <w:trHeight w:val="136"/>
        </w:trPr>
        <w:tc>
          <w:tcPr>
            <w:tcW w:w="1162" w:type="dxa"/>
          </w:tcPr>
          <w:p w14:paraId="375B4F7D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140" w:type="dxa"/>
          </w:tcPr>
          <w:p w14:paraId="375B4F7E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</w:tc>
      </w:tr>
      <w:tr w:rsidR="00AC15BA" w14:paraId="375B4F82" w14:textId="77777777">
        <w:trPr>
          <w:trHeight w:val="96"/>
        </w:trPr>
        <w:tc>
          <w:tcPr>
            <w:tcW w:w="1162" w:type="dxa"/>
            <w:vAlign w:val="bottom"/>
          </w:tcPr>
          <w:p w14:paraId="375B4F80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140" w:type="dxa"/>
            <w:vAlign w:val="bottom"/>
          </w:tcPr>
          <w:p w14:paraId="375B4F81" w14:textId="77777777" w:rsidR="00AC15BA" w:rsidRDefault="00AC15BA" w:rsidP="00AC15BA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75B4F83" w14:textId="77777777" w:rsidR="00AC15BA" w:rsidRPr="00AC15BA" w:rsidRDefault="00AC15BA" w:rsidP="00AC15BA">
      <w:pPr>
        <w:pStyle w:val="Heading2"/>
        <w:tabs>
          <w:tab w:val="left" w:pos="900"/>
        </w:tabs>
        <w:ind w:right="-180"/>
        <w:jc w:val="left"/>
      </w:pPr>
      <w:r w:rsidRPr="00AC15BA">
        <w:t>Submissions to OMB for approval under the Fast Track require:</w:t>
      </w:r>
    </w:p>
    <w:p w14:paraId="375B4F84" w14:textId="77777777" w:rsidR="00AC15BA" w:rsidRPr="00AC15BA" w:rsidRDefault="00AC15BA" w:rsidP="00AC15BA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p w14:paraId="375B4F85" w14:textId="77777777" w:rsidR="00AC15BA" w:rsidRPr="00AC15BA" w:rsidRDefault="00AC15BA" w:rsidP="00AC15BA">
      <w:pPr>
        <w:pStyle w:val="Heading2"/>
        <w:tabs>
          <w:tab w:val="left" w:pos="900"/>
        </w:tabs>
        <w:ind w:right="-180"/>
        <w:jc w:val="left"/>
        <w:rPr>
          <w:b w:val="0"/>
        </w:rPr>
      </w:pPr>
      <w:r w:rsidRPr="00AC15BA">
        <w:rPr>
          <w:b w:val="0"/>
        </w:rPr>
        <w:t>1-a completed Fast Track request form</w:t>
      </w:r>
    </w:p>
    <w:p w14:paraId="375B4F86" w14:textId="77777777" w:rsidR="00AC15BA" w:rsidRPr="00AC15BA" w:rsidRDefault="00AC15BA" w:rsidP="00AC15BA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p w14:paraId="375B4F87" w14:textId="77777777" w:rsidR="00AC15BA" w:rsidRDefault="00AC15BA" w:rsidP="00AC15BA">
      <w:pPr>
        <w:pStyle w:val="Heading2"/>
        <w:tabs>
          <w:tab w:val="left" w:pos="900"/>
        </w:tabs>
        <w:ind w:right="-180"/>
        <w:jc w:val="left"/>
        <w:rPr>
          <w:b w:val="0"/>
        </w:rPr>
      </w:pPr>
      <w:r w:rsidRPr="00AC15BA">
        <w:rPr>
          <w:b w:val="0"/>
        </w:rPr>
        <w:t>2-a copy of the collection instrument</w:t>
      </w:r>
      <w:r w:rsidR="006857B2">
        <w:rPr>
          <w:b w:val="0"/>
        </w:rPr>
        <w:t>(s)</w:t>
      </w:r>
      <w:r w:rsidRPr="00AC15BA">
        <w:rPr>
          <w:b w:val="0"/>
        </w:rPr>
        <w:t xml:space="preserve"> (</w:t>
      </w:r>
      <w:r>
        <w:rPr>
          <w:b w:val="0"/>
        </w:rPr>
        <w:t xml:space="preserve">i.e. </w:t>
      </w:r>
      <w:r w:rsidRPr="00AC15BA">
        <w:rPr>
          <w:b w:val="0"/>
        </w:rPr>
        <w:t>list of focus group question, copy of complaint form, copy of satisfaction survey</w:t>
      </w:r>
      <w:r>
        <w:rPr>
          <w:b w:val="0"/>
        </w:rPr>
        <w:t xml:space="preserve">) </w:t>
      </w:r>
    </w:p>
    <w:p w14:paraId="375B4F88" w14:textId="77777777" w:rsidR="00AC15BA" w:rsidRDefault="00AC15BA" w:rsidP="00AC15BA"/>
    <w:p w14:paraId="375B4F89" w14:textId="680104F0" w:rsidR="00AC15BA" w:rsidRDefault="00AC15BA" w:rsidP="00AC15BA">
      <w:r>
        <w:t xml:space="preserve">3-Fast Track requests will be cleared by OMB within 5 days of receipt.  Be aware that USPTO requests </w:t>
      </w:r>
      <w:r w:rsidR="005102F5">
        <w:t>must be processed</w:t>
      </w:r>
      <w:r>
        <w:t xml:space="preserve"> and only one type of request can be submitted at a time.  Each request is taken in turn.  It is best to plan for 4-8 weeks from draft of request to approval.</w:t>
      </w:r>
    </w:p>
    <w:p w14:paraId="375B4F8A" w14:textId="77777777" w:rsidR="006857B2" w:rsidRDefault="006857B2" w:rsidP="00AC15BA"/>
    <w:p w14:paraId="375B4F8B" w14:textId="77777777" w:rsidR="006857B2" w:rsidRPr="00AC15BA" w:rsidRDefault="006857B2" w:rsidP="00AC15BA">
      <w:r>
        <w:t xml:space="preserve">Samples of Fast Track requests can be found on </w:t>
      </w:r>
      <w:hyperlink r:id="rId11" w:history="1">
        <w:r w:rsidRPr="00E6364D">
          <w:rPr>
            <w:rStyle w:val="Hyperlink"/>
          </w:rPr>
          <w:t>www.reginfo.gov</w:t>
        </w:r>
      </w:hyperlink>
      <w:r>
        <w:t xml:space="preserve">, under collection 0690-0030 or obtained from the Records Management Division, OCIO. </w:t>
      </w:r>
    </w:p>
    <w:p w14:paraId="375B4F8C" w14:textId="77777777" w:rsidR="00794475" w:rsidRDefault="00AC15BA" w:rsidP="00AC15BA">
      <w:pPr>
        <w:pStyle w:val="Heading2"/>
        <w:tabs>
          <w:tab w:val="left" w:pos="900"/>
        </w:tabs>
        <w:ind w:right="-180"/>
        <w:jc w:val="left"/>
      </w:pPr>
      <w:r w:rsidRPr="00AC15BA">
        <w:br w:type="page"/>
      </w:r>
      <w:r w:rsidR="00794475">
        <w:rPr>
          <w:sz w:val="28"/>
        </w:rPr>
        <w:lastRenderedPageBreak/>
        <w:t xml:space="preserve">Request for Approval under the </w:t>
      </w:r>
      <w:r w:rsidR="00794475" w:rsidRPr="00F06866">
        <w:rPr>
          <w:sz w:val="28"/>
        </w:rPr>
        <w:t>“Generic Clearance for the Collection of Routine Customer Feedback”</w:t>
      </w:r>
      <w:r w:rsidR="00794475">
        <w:rPr>
          <w:sz w:val="28"/>
        </w:rPr>
        <w:t xml:space="preserve"> (OMB Control Number: XXXX-YYYY)</w:t>
      </w:r>
    </w:p>
    <w:p w14:paraId="375B4F8D" w14:textId="7ABB413D" w:rsidR="00794475" w:rsidRPr="009239AA" w:rsidRDefault="002221BD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5B500F" wp14:editId="2444B4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</w:p>
    <w:p w14:paraId="375B4F8E" w14:textId="77777777" w:rsidR="00794475" w:rsidRDefault="00794475"/>
    <w:p w14:paraId="375B4F8F" w14:textId="77777777" w:rsidR="00794475" w:rsidRDefault="00794475">
      <w:r>
        <w:rPr>
          <w:b/>
        </w:rPr>
        <w:t>PURPOSE</w:t>
      </w:r>
      <w:r w:rsidRPr="009239AA">
        <w:rPr>
          <w:b/>
        </w:rPr>
        <w:t xml:space="preserve">:  </w:t>
      </w:r>
    </w:p>
    <w:p w14:paraId="375B4F90" w14:textId="77777777" w:rsidR="00794475" w:rsidRDefault="00794475">
      <w:pPr>
        <w:rPr>
          <w:rFonts w:ascii="Arial" w:hAnsi="Arial" w:cs="Arial"/>
          <w:color w:val="000080"/>
          <w:sz w:val="20"/>
          <w:szCs w:val="20"/>
        </w:rPr>
      </w:pPr>
    </w:p>
    <w:p w14:paraId="375B4F91" w14:textId="77777777" w:rsidR="00794475" w:rsidRDefault="00794475"/>
    <w:p w14:paraId="375B4F92" w14:textId="77777777" w:rsidR="00794475" w:rsidRDefault="00794475"/>
    <w:p w14:paraId="375B4F93" w14:textId="77777777" w:rsidR="00794475" w:rsidRDefault="00794475"/>
    <w:p w14:paraId="375B4F94" w14:textId="77777777" w:rsidR="00794475" w:rsidRDefault="0079447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5B4F95" w14:textId="77777777" w:rsidR="00794475" w:rsidRDefault="0079447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5B4F96" w14:textId="77777777" w:rsidR="00794475" w:rsidRDefault="0079447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5B4F97" w14:textId="77777777" w:rsidR="00794475" w:rsidRDefault="0079447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5B4F98" w14:textId="77777777" w:rsidR="00794475" w:rsidRPr="00434E33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375B4F99" w14:textId="77777777" w:rsidR="00794475" w:rsidRDefault="00794475"/>
    <w:p w14:paraId="375B4F9A" w14:textId="77777777" w:rsidR="00794475" w:rsidRDefault="00794475"/>
    <w:p w14:paraId="375B4F9B" w14:textId="77777777" w:rsidR="00794475" w:rsidRDefault="00794475"/>
    <w:p w14:paraId="375B4F9C" w14:textId="77777777" w:rsidR="00794475" w:rsidRDefault="00794475"/>
    <w:p w14:paraId="375B4F9D" w14:textId="77777777" w:rsidR="00794475" w:rsidRDefault="00794475">
      <w:pPr>
        <w:rPr>
          <w:b/>
        </w:rPr>
      </w:pPr>
    </w:p>
    <w:p w14:paraId="375B4F9E" w14:textId="77777777" w:rsidR="00794475" w:rsidRDefault="00794475">
      <w:pPr>
        <w:rPr>
          <w:b/>
        </w:rPr>
      </w:pPr>
    </w:p>
    <w:p w14:paraId="375B4F9F" w14:textId="77777777" w:rsidR="00794475" w:rsidRPr="00F06866" w:rsidRDefault="00794475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75B4FA0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75B4FA1" w14:textId="77777777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14:paraId="375B4FA2" w14:textId="77777777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375B4FA3" w14:textId="77777777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375B4FA4" w14:textId="77777777" w:rsidR="00794475" w:rsidRDefault="00794475">
      <w:pPr>
        <w:pStyle w:val="Header"/>
        <w:tabs>
          <w:tab w:val="clear" w:pos="4320"/>
          <w:tab w:val="clear" w:pos="8640"/>
        </w:tabs>
      </w:pPr>
    </w:p>
    <w:p w14:paraId="375B4FA5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375B4FA6" w14:textId="77777777" w:rsidR="00794475" w:rsidRDefault="00794475">
      <w:pPr>
        <w:rPr>
          <w:sz w:val="16"/>
          <w:szCs w:val="16"/>
        </w:rPr>
      </w:pPr>
    </w:p>
    <w:p w14:paraId="375B4FA7" w14:textId="77777777" w:rsidR="00794475" w:rsidRPr="009C13B9" w:rsidRDefault="00794475" w:rsidP="008101A5">
      <w:r>
        <w:t xml:space="preserve">I certify the following to be true: </w:t>
      </w:r>
    </w:p>
    <w:p w14:paraId="375B4FA8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75B4FA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75B4FA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5B4FA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75B4FA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75B4FA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75B4FAE" w14:textId="77777777" w:rsidR="00794475" w:rsidRDefault="00794475" w:rsidP="009C13B9"/>
    <w:p w14:paraId="375B4FAF" w14:textId="77777777" w:rsidR="00794475" w:rsidRDefault="00794475" w:rsidP="009C13B9">
      <w:r>
        <w:t>Name:________________________________________________</w:t>
      </w:r>
    </w:p>
    <w:p w14:paraId="375B4FB0" w14:textId="77777777" w:rsidR="00794475" w:rsidRDefault="00794475" w:rsidP="009C13B9">
      <w:pPr>
        <w:pStyle w:val="ListParagraph"/>
        <w:ind w:left="360"/>
      </w:pPr>
    </w:p>
    <w:p w14:paraId="375B4FB1" w14:textId="77777777" w:rsidR="00794475" w:rsidRDefault="00794475" w:rsidP="009C13B9">
      <w:r>
        <w:t>To assist review, please provide answers to the following question:</w:t>
      </w:r>
    </w:p>
    <w:p w14:paraId="375B4FB2" w14:textId="77777777" w:rsidR="00794475" w:rsidRDefault="00794475" w:rsidP="009C13B9">
      <w:pPr>
        <w:pStyle w:val="ListParagraph"/>
        <w:ind w:left="360"/>
      </w:pPr>
    </w:p>
    <w:p w14:paraId="375B4FB3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75B4FB4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14:paraId="375B4FB5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375B4FB6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375B4FB7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375B4FB8" w14:textId="77777777" w:rsidR="00794475" w:rsidRDefault="00794475" w:rsidP="00C86E91">
      <w:r>
        <w:lastRenderedPageBreak/>
        <w:t xml:space="preserve">Is an incentive (e.g., money or reimbursement of expenses, token of appreciation) provided to participants?  [  ] Yes [  ] No  </w:t>
      </w:r>
    </w:p>
    <w:p w14:paraId="375B4FB9" w14:textId="77777777" w:rsidR="00794475" w:rsidRDefault="00794475">
      <w:pPr>
        <w:rPr>
          <w:b/>
        </w:rPr>
      </w:pPr>
    </w:p>
    <w:p w14:paraId="375B4FBA" w14:textId="77777777" w:rsidR="00794475" w:rsidRDefault="00794475">
      <w:pPr>
        <w:rPr>
          <w:b/>
        </w:rPr>
      </w:pPr>
    </w:p>
    <w:p w14:paraId="375B4FBB" w14:textId="77777777" w:rsidR="00794475" w:rsidRDefault="00794475">
      <w:pPr>
        <w:rPr>
          <w:b/>
        </w:rPr>
      </w:pPr>
    </w:p>
    <w:p w14:paraId="375B4FBC" w14:textId="77777777" w:rsidR="00794475" w:rsidRDefault="00794475">
      <w:pPr>
        <w:rPr>
          <w:b/>
        </w:rPr>
      </w:pPr>
    </w:p>
    <w:p w14:paraId="375B4FBD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375B4FBE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794475" w14:paraId="375B4FC3" w14:textId="77777777" w:rsidTr="00F84ABC">
        <w:trPr>
          <w:trHeight w:val="274"/>
        </w:trPr>
        <w:tc>
          <w:tcPr>
            <w:tcW w:w="5418" w:type="dxa"/>
          </w:tcPr>
          <w:p w14:paraId="375B4FBF" w14:textId="77777777" w:rsidR="00794475" w:rsidRPr="00F84ABC" w:rsidRDefault="00794475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375B4FC0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75B4FC1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75B4FC2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</w:tc>
      </w:tr>
      <w:tr w:rsidR="00794475" w14:paraId="375B4FC8" w14:textId="77777777" w:rsidTr="00F84ABC">
        <w:trPr>
          <w:trHeight w:val="274"/>
        </w:trPr>
        <w:tc>
          <w:tcPr>
            <w:tcW w:w="5418" w:type="dxa"/>
          </w:tcPr>
          <w:p w14:paraId="375B4FC4" w14:textId="77777777" w:rsidR="00794475" w:rsidRDefault="00794475" w:rsidP="00843796"/>
        </w:tc>
        <w:tc>
          <w:tcPr>
            <w:tcW w:w="1530" w:type="dxa"/>
          </w:tcPr>
          <w:p w14:paraId="375B4FC5" w14:textId="77777777" w:rsidR="00794475" w:rsidRDefault="00794475" w:rsidP="00843796"/>
        </w:tc>
        <w:tc>
          <w:tcPr>
            <w:tcW w:w="1710" w:type="dxa"/>
          </w:tcPr>
          <w:p w14:paraId="375B4FC6" w14:textId="77777777" w:rsidR="00794475" w:rsidRDefault="00794475" w:rsidP="00843796"/>
        </w:tc>
        <w:tc>
          <w:tcPr>
            <w:tcW w:w="1003" w:type="dxa"/>
          </w:tcPr>
          <w:p w14:paraId="375B4FC7" w14:textId="77777777" w:rsidR="00794475" w:rsidRDefault="00794475" w:rsidP="00843796"/>
        </w:tc>
      </w:tr>
      <w:tr w:rsidR="00794475" w14:paraId="375B4FCD" w14:textId="77777777" w:rsidTr="00F84ABC">
        <w:trPr>
          <w:trHeight w:val="274"/>
        </w:trPr>
        <w:tc>
          <w:tcPr>
            <w:tcW w:w="5418" w:type="dxa"/>
          </w:tcPr>
          <w:p w14:paraId="375B4FC9" w14:textId="77777777" w:rsidR="00794475" w:rsidRDefault="00794475" w:rsidP="00843796"/>
        </w:tc>
        <w:tc>
          <w:tcPr>
            <w:tcW w:w="1530" w:type="dxa"/>
          </w:tcPr>
          <w:p w14:paraId="375B4FCA" w14:textId="77777777" w:rsidR="00794475" w:rsidRDefault="00794475" w:rsidP="00843796"/>
        </w:tc>
        <w:tc>
          <w:tcPr>
            <w:tcW w:w="1710" w:type="dxa"/>
          </w:tcPr>
          <w:p w14:paraId="375B4FCB" w14:textId="77777777" w:rsidR="00794475" w:rsidRDefault="00794475" w:rsidP="00843796"/>
        </w:tc>
        <w:tc>
          <w:tcPr>
            <w:tcW w:w="1003" w:type="dxa"/>
          </w:tcPr>
          <w:p w14:paraId="375B4FCC" w14:textId="77777777" w:rsidR="00794475" w:rsidRDefault="00794475" w:rsidP="00843796"/>
        </w:tc>
      </w:tr>
      <w:tr w:rsidR="00794475" w14:paraId="375B4FD2" w14:textId="77777777" w:rsidTr="00F84ABC">
        <w:trPr>
          <w:trHeight w:val="289"/>
        </w:trPr>
        <w:tc>
          <w:tcPr>
            <w:tcW w:w="5418" w:type="dxa"/>
          </w:tcPr>
          <w:p w14:paraId="375B4FCE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75B4FCF" w14:textId="77777777" w:rsidR="00794475" w:rsidRPr="00F84ABC" w:rsidRDefault="00794475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375B4FD0" w14:textId="77777777" w:rsidR="00794475" w:rsidRDefault="00794475" w:rsidP="00843796"/>
        </w:tc>
        <w:tc>
          <w:tcPr>
            <w:tcW w:w="1003" w:type="dxa"/>
          </w:tcPr>
          <w:p w14:paraId="375B4FD1" w14:textId="77777777" w:rsidR="00794475" w:rsidRPr="00F84ABC" w:rsidRDefault="00794475" w:rsidP="00843796">
            <w:pPr>
              <w:rPr>
                <w:b/>
              </w:rPr>
            </w:pPr>
          </w:p>
        </w:tc>
      </w:tr>
    </w:tbl>
    <w:p w14:paraId="375B4FD3" w14:textId="77777777" w:rsidR="00794475" w:rsidRDefault="00794475" w:rsidP="00F3170F"/>
    <w:p w14:paraId="375B4FD4" w14:textId="77777777" w:rsidR="00794475" w:rsidRDefault="00794475" w:rsidP="00F3170F"/>
    <w:p w14:paraId="375B4FD5" w14:textId="77777777" w:rsidR="00794475" w:rsidRDefault="00794475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14:paraId="375B4FD6" w14:textId="77777777" w:rsidR="00794475" w:rsidRDefault="00794475">
      <w:pPr>
        <w:rPr>
          <w:b/>
          <w:bCs/>
          <w:u w:val="single"/>
        </w:rPr>
      </w:pPr>
    </w:p>
    <w:p w14:paraId="375B4FD7" w14:textId="77777777" w:rsidR="00794475" w:rsidRDefault="00794475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75B4FD8" w14:textId="77777777" w:rsidR="00794475" w:rsidRDefault="00794475" w:rsidP="00F06866">
      <w:pPr>
        <w:rPr>
          <w:b/>
        </w:rPr>
      </w:pPr>
    </w:p>
    <w:p w14:paraId="375B4FD9" w14:textId="77777777" w:rsidR="00794475" w:rsidRDefault="00794475" w:rsidP="00F06866">
      <w:pPr>
        <w:rPr>
          <w:b/>
        </w:rPr>
      </w:pPr>
      <w:r>
        <w:rPr>
          <w:b/>
        </w:rPr>
        <w:t>The selection of your targeted respondents</w:t>
      </w:r>
    </w:p>
    <w:p w14:paraId="375B4FDA" w14:textId="77777777" w:rsidR="00794475" w:rsidRDefault="00794475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14:paraId="375B4FDB" w14:textId="77777777" w:rsidR="00794475" w:rsidRDefault="00794475" w:rsidP="00636621">
      <w:pPr>
        <w:pStyle w:val="ListParagraph"/>
      </w:pPr>
    </w:p>
    <w:p w14:paraId="375B4FDC" w14:textId="77777777" w:rsidR="00794475" w:rsidRDefault="00794475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375B4FDD" w14:textId="77777777" w:rsidR="00794475" w:rsidRDefault="00794475" w:rsidP="00A403BB">
      <w:pPr>
        <w:pStyle w:val="ListParagraph"/>
      </w:pPr>
    </w:p>
    <w:p w14:paraId="375B4FDE" w14:textId="77777777" w:rsidR="00794475" w:rsidRDefault="00794475" w:rsidP="00A403BB"/>
    <w:p w14:paraId="375B4FDF" w14:textId="77777777" w:rsidR="00794475" w:rsidRDefault="00794475" w:rsidP="00A403BB"/>
    <w:p w14:paraId="375B4FE1" w14:textId="77777777" w:rsidR="00794475" w:rsidRDefault="00794475" w:rsidP="00A403BB">
      <w:bookmarkStart w:id="0" w:name="_GoBack"/>
      <w:bookmarkEnd w:id="0"/>
    </w:p>
    <w:p w14:paraId="375B4FE2" w14:textId="77777777" w:rsidR="00794475" w:rsidRDefault="00794475" w:rsidP="00A403BB"/>
    <w:p w14:paraId="375B4FE3" w14:textId="77777777" w:rsidR="00794475" w:rsidRDefault="00794475" w:rsidP="00A403BB">
      <w:pPr>
        <w:rPr>
          <w:b/>
        </w:rPr>
      </w:pPr>
    </w:p>
    <w:p w14:paraId="375B4FE4" w14:textId="77777777" w:rsidR="00794475" w:rsidRDefault="00794475" w:rsidP="00A403BB">
      <w:pPr>
        <w:rPr>
          <w:b/>
        </w:rPr>
      </w:pPr>
      <w:r>
        <w:rPr>
          <w:b/>
        </w:rPr>
        <w:t>Administration of the Instrument</w:t>
      </w:r>
    </w:p>
    <w:p w14:paraId="375B4FE5" w14:textId="77777777" w:rsidR="00794475" w:rsidRDefault="00794475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375B4FE6" w14:textId="77777777" w:rsidR="00794475" w:rsidRDefault="00794475" w:rsidP="001B0AAA">
      <w:pPr>
        <w:ind w:left="720"/>
      </w:pPr>
      <w:r>
        <w:t xml:space="preserve">[  ] Web-based or other forms of Social Media </w:t>
      </w:r>
    </w:p>
    <w:p w14:paraId="375B4FE7" w14:textId="77777777" w:rsidR="00794475" w:rsidRDefault="00794475" w:rsidP="001B0AAA">
      <w:pPr>
        <w:ind w:left="720"/>
      </w:pPr>
      <w:r>
        <w:t>[  ] Telephone</w:t>
      </w:r>
      <w:r>
        <w:tab/>
      </w:r>
    </w:p>
    <w:p w14:paraId="375B4FE8" w14:textId="77777777" w:rsidR="00794475" w:rsidRDefault="00794475" w:rsidP="001B0AAA">
      <w:pPr>
        <w:ind w:left="720"/>
      </w:pPr>
      <w:r>
        <w:t>[  ] In-person</w:t>
      </w:r>
      <w:r>
        <w:tab/>
      </w:r>
    </w:p>
    <w:p w14:paraId="375B4FE9" w14:textId="77777777" w:rsidR="00794475" w:rsidRDefault="00794475" w:rsidP="001B0AAA">
      <w:pPr>
        <w:ind w:left="720"/>
      </w:pPr>
      <w:r>
        <w:t xml:space="preserve">[  ] Mail </w:t>
      </w:r>
    </w:p>
    <w:p w14:paraId="375B4FEA" w14:textId="77777777" w:rsidR="00794475" w:rsidRDefault="00794475" w:rsidP="001B0AAA">
      <w:pPr>
        <w:ind w:left="720"/>
      </w:pPr>
      <w:r>
        <w:t>[  ] Other, Explain</w:t>
      </w:r>
    </w:p>
    <w:p w14:paraId="375B4FEB" w14:textId="77777777" w:rsidR="00794475" w:rsidRDefault="00794475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14:paraId="375B4FEC" w14:textId="77777777" w:rsidR="00794475" w:rsidRDefault="00794475" w:rsidP="00F24CFC">
      <w:pPr>
        <w:pStyle w:val="ListParagraph"/>
        <w:ind w:left="360"/>
      </w:pPr>
      <w:r>
        <w:t xml:space="preserve"> </w:t>
      </w:r>
    </w:p>
    <w:p w14:paraId="375B4FED" w14:textId="77777777" w:rsidR="00794475" w:rsidRPr="00F24CFC" w:rsidRDefault="00794475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75B4FEE" w14:textId="77777777" w:rsidR="00794475" w:rsidRDefault="00794475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75B4FEF" w14:textId="77777777" w:rsidR="00794475" w:rsidRDefault="00794475" w:rsidP="00F24CFC">
      <w:pPr>
        <w:rPr>
          <w:b/>
        </w:rPr>
      </w:pPr>
    </w:p>
    <w:p w14:paraId="375B4FF0" w14:textId="2195ACCC" w:rsidR="00794475" w:rsidRDefault="002221BD" w:rsidP="00F24CFC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5B5010" wp14:editId="2DA157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375B4FF1" w14:textId="77777777" w:rsidR="00794475" w:rsidRPr="008F50D4" w:rsidRDefault="00794475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375B4FF2" w14:textId="77777777" w:rsidR="00794475" w:rsidRPr="008F50D4" w:rsidRDefault="00794475" w:rsidP="00F24CFC"/>
    <w:p w14:paraId="375B4FF3" w14:textId="77777777" w:rsidR="00794475" w:rsidRPr="008F50D4" w:rsidRDefault="00794475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75B4FF4" w14:textId="77777777" w:rsidR="00794475" w:rsidRPr="008F50D4" w:rsidRDefault="00794475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75B4FF5" w14:textId="77777777" w:rsidR="00794475" w:rsidRPr="008F50D4" w:rsidRDefault="00794475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375B4FF6" w14:textId="77777777" w:rsidR="00794475" w:rsidRPr="008F50D4" w:rsidRDefault="00794475" w:rsidP="00F24CFC">
      <w:pPr>
        <w:rPr>
          <w:b/>
        </w:rPr>
      </w:pPr>
    </w:p>
    <w:p w14:paraId="375B4FF7" w14:textId="77777777" w:rsidR="00794475" w:rsidRPr="008F50D4" w:rsidRDefault="00794475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375B4FF8" w14:textId="77777777" w:rsidR="00794475" w:rsidRPr="008F50D4" w:rsidRDefault="00794475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75B4FF9" w14:textId="77777777" w:rsidR="00794475" w:rsidRPr="008F50D4" w:rsidRDefault="00794475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375B4FFA" w14:textId="77777777" w:rsidR="00794475" w:rsidRDefault="00794475" w:rsidP="00F24CFC">
      <w:pPr>
        <w:rPr>
          <w:sz w:val="16"/>
          <w:szCs w:val="16"/>
        </w:rPr>
      </w:pPr>
    </w:p>
    <w:p w14:paraId="375B4FFB" w14:textId="77777777" w:rsidR="00794475" w:rsidRDefault="00794475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375B4FFC" w14:textId="77777777" w:rsidR="00794475" w:rsidRPr="008F50D4" w:rsidRDefault="00794475" w:rsidP="00F24CFC"/>
    <w:p w14:paraId="375B4FFD" w14:textId="77777777" w:rsidR="00794475" w:rsidRPr="008F50D4" w:rsidRDefault="00794475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375B4FFE" w14:textId="77777777" w:rsidR="00794475" w:rsidRDefault="00794475" w:rsidP="00F24CFC">
      <w:pPr>
        <w:rPr>
          <w:b/>
        </w:rPr>
      </w:pPr>
    </w:p>
    <w:p w14:paraId="375B4FFF" w14:textId="77777777" w:rsidR="00794475" w:rsidRDefault="00794475" w:rsidP="00F24CFC">
      <w:pPr>
        <w:rPr>
          <w:b/>
        </w:rPr>
      </w:pPr>
      <w:r>
        <w:rPr>
          <w:b/>
        </w:rPr>
        <w:t>BURDEN HOURS:</w:t>
      </w:r>
    </w:p>
    <w:p w14:paraId="375B5000" w14:textId="77777777" w:rsidR="00794475" w:rsidRDefault="00794475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375B5001" w14:textId="77777777" w:rsidR="00794475" w:rsidRDefault="00794475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75B5002" w14:textId="77777777" w:rsidR="00794475" w:rsidRDefault="00794475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75B5003" w14:textId="77777777" w:rsidR="00794475" w:rsidRPr="008F50D4" w:rsidRDefault="00794475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375B5004" w14:textId="77777777" w:rsidR="00794475" w:rsidRPr="006832D9" w:rsidRDefault="00794475" w:rsidP="00F24CFC">
      <w:pPr>
        <w:keepNext/>
        <w:keepLines/>
        <w:rPr>
          <w:b/>
        </w:rPr>
      </w:pPr>
    </w:p>
    <w:p w14:paraId="375B5005" w14:textId="77777777" w:rsidR="00794475" w:rsidRDefault="00794475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375B5006" w14:textId="77777777" w:rsidR="00794475" w:rsidRDefault="00794475" w:rsidP="00F24CFC">
      <w:pPr>
        <w:rPr>
          <w:b/>
          <w:bCs/>
          <w:u w:val="single"/>
        </w:rPr>
      </w:pPr>
    </w:p>
    <w:p w14:paraId="375B5007" w14:textId="77777777" w:rsidR="00794475" w:rsidRDefault="00794475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75B5008" w14:textId="77777777" w:rsidR="00794475" w:rsidRDefault="00794475" w:rsidP="00F24CFC">
      <w:pPr>
        <w:rPr>
          <w:b/>
        </w:rPr>
      </w:pPr>
    </w:p>
    <w:p w14:paraId="375B5009" w14:textId="77777777" w:rsidR="00794475" w:rsidRDefault="00794475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375B500A" w14:textId="77777777" w:rsidR="00794475" w:rsidRDefault="00794475" w:rsidP="00F24CFC">
      <w:pPr>
        <w:rPr>
          <w:b/>
        </w:rPr>
      </w:pPr>
    </w:p>
    <w:p w14:paraId="375B500B" w14:textId="77777777" w:rsidR="00794475" w:rsidRPr="003F1C5B" w:rsidRDefault="00794475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375B500C" w14:textId="77777777" w:rsidR="00794475" w:rsidRDefault="00794475" w:rsidP="00F24CFC">
      <w:pPr>
        <w:pStyle w:val="ListParagraph"/>
        <w:ind w:left="360"/>
      </w:pPr>
    </w:p>
    <w:p w14:paraId="375B500D" w14:textId="77777777" w:rsidR="00794475" w:rsidRPr="00F24CFC" w:rsidRDefault="00794475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75B500E" w14:textId="77777777" w:rsidR="00794475" w:rsidRDefault="00794475" w:rsidP="00F24CFC">
      <w:pPr>
        <w:tabs>
          <w:tab w:val="left" w:pos="5670"/>
        </w:tabs>
        <w:suppressAutoHyphens/>
      </w:pPr>
    </w:p>
    <w:sectPr w:rsidR="00794475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B5013" w14:textId="77777777" w:rsidR="00794475" w:rsidRDefault="00794475">
      <w:r>
        <w:separator/>
      </w:r>
    </w:p>
  </w:endnote>
  <w:endnote w:type="continuationSeparator" w:id="0">
    <w:p w14:paraId="375B5014" w14:textId="77777777" w:rsidR="00794475" w:rsidRDefault="0079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B5016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442B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B5011" w14:textId="77777777" w:rsidR="00794475" w:rsidRDefault="00794475">
      <w:r>
        <w:separator/>
      </w:r>
    </w:p>
  </w:footnote>
  <w:footnote w:type="continuationSeparator" w:id="0">
    <w:p w14:paraId="375B5012" w14:textId="77777777" w:rsidR="00794475" w:rsidRDefault="0079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B5015" w14:textId="77777777" w:rsidR="00794475" w:rsidRDefault="00A442B6">
    <w:pPr>
      <w:pStyle w:val="Header"/>
    </w:pPr>
    <w:r>
      <w:rPr>
        <w:noProof/>
      </w:rPr>
      <w:pict w14:anchorId="375B50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95DC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21BD"/>
    <w:rsid w:val="00237B48"/>
    <w:rsid w:val="0024521E"/>
    <w:rsid w:val="00263C3D"/>
    <w:rsid w:val="00274D0B"/>
    <w:rsid w:val="002B3C95"/>
    <w:rsid w:val="002D0B92"/>
    <w:rsid w:val="00355928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02F5"/>
    <w:rsid w:val="005A1006"/>
    <w:rsid w:val="005E714A"/>
    <w:rsid w:val="00605390"/>
    <w:rsid w:val="006140A0"/>
    <w:rsid w:val="00636621"/>
    <w:rsid w:val="00642B49"/>
    <w:rsid w:val="006832D9"/>
    <w:rsid w:val="006857B2"/>
    <w:rsid w:val="0069403B"/>
    <w:rsid w:val="006F3DDE"/>
    <w:rsid w:val="00704678"/>
    <w:rsid w:val="007425E7"/>
    <w:rsid w:val="00794475"/>
    <w:rsid w:val="007A4B9D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746E5"/>
    <w:rsid w:val="009C13B9"/>
    <w:rsid w:val="009D01A2"/>
    <w:rsid w:val="009F5923"/>
    <w:rsid w:val="00A403BB"/>
    <w:rsid w:val="00A442B6"/>
    <w:rsid w:val="00A674DF"/>
    <w:rsid w:val="00A83AA6"/>
    <w:rsid w:val="00AC15BA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C6FAF"/>
    <w:rsid w:val="00CD273B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6079"/>
    <w:rsid w:val="00F84AB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5B4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basedOn w:val="DefaultParagraphFont"/>
    <w:uiPriority w:val="99"/>
    <w:unhideWhenUsed/>
    <w:rsid w:val="00685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basedOn w:val="DefaultParagraphFont"/>
    <w:uiPriority w:val="99"/>
    <w:unhideWhenUsed/>
    <w:rsid w:val="00685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reginfo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59E47B556944988A31CA412CEA5DC" ma:contentTypeVersion="4" ma:contentTypeDescription="Create a new document." ma:contentTypeScope="" ma:versionID="6c6f8fbd33bd1abad8e68285ca5a81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f943c359959e19dcc718b13db9ba7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6908E-B0F8-4091-8A9C-A6419B796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FD763-3F48-496D-A621-ABE7EB84D8B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5FA04B7-5E2F-4C7F-8295-D88142193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Request Template</vt:lpstr>
    </vt:vector>
  </TitlesOfParts>
  <Company>ssa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Request Template</dc:title>
  <dc:creator>558022</dc:creator>
  <cp:lastModifiedBy>Isaac, Justin (AMBIT)</cp:lastModifiedBy>
  <cp:revision>2</cp:revision>
  <dcterms:created xsi:type="dcterms:W3CDTF">2015-06-25T15:44:00Z</dcterms:created>
  <dcterms:modified xsi:type="dcterms:W3CDTF">2015-06-25T15:44:00Z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0x0101003F059E47B556944988A31CA412CEA5DC</vt:lpwstr>
  </property>
</Properties>
</file>