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4AE68" w14:textId="2E245240" w:rsidR="00585690" w:rsidRDefault="00585690">
      <w:bookmarkStart w:id="0" w:name="_GoBack"/>
      <w:bookmarkEnd w:id="0"/>
    </w:p>
    <w:p w14:paraId="534A4E12" w14:textId="77777777" w:rsidR="007B3E89" w:rsidRPr="007B3E89" w:rsidRDefault="007B3E89" w:rsidP="007B3E89">
      <w:pPr>
        <w:rPr>
          <w:rFonts w:ascii="Times New Roman" w:eastAsia="Times New Roman" w:hAnsi="Times New Roman" w:cs="Times New Roman"/>
          <w:b/>
          <w:sz w:val="24"/>
          <w:szCs w:val="24"/>
        </w:rPr>
      </w:pPr>
      <w:r w:rsidRPr="007B3E89">
        <w:rPr>
          <w:rFonts w:ascii="Times New Roman" w:eastAsia="Times New Roman" w:hAnsi="Times New Roman" w:cs="Times New Roman"/>
          <w:b/>
          <w:sz w:val="24"/>
          <w:szCs w:val="24"/>
        </w:rPr>
        <w:t>OMB Control No. 0690-0030</w:t>
      </w:r>
    </w:p>
    <w:p w14:paraId="64A1FD20" w14:textId="5F05F246" w:rsidR="007B3E89" w:rsidRPr="007B3E89" w:rsidRDefault="007B3E89" w:rsidP="007B3E89">
      <w:pPr>
        <w:spacing w:after="0" w:line="240" w:lineRule="auto"/>
        <w:rPr>
          <w:rFonts w:ascii="Times New Roman" w:eastAsia="Times New Roman" w:hAnsi="Times New Roman" w:cs="Times New Roman"/>
          <w:b/>
          <w:sz w:val="24"/>
          <w:szCs w:val="24"/>
        </w:rPr>
      </w:pPr>
      <w:r w:rsidRPr="007B3E89">
        <w:rPr>
          <w:rFonts w:ascii="Times New Roman" w:eastAsia="Times New Roman" w:hAnsi="Times New Roman" w:cs="Times New Roman"/>
          <w:b/>
          <w:sz w:val="24"/>
          <w:szCs w:val="24"/>
        </w:rPr>
        <w:t xml:space="preserve">Expiration Date: 06/30/2017 </w:t>
      </w:r>
    </w:p>
    <w:p w14:paraId="3578A6BE" w14:textId="77777777" w:rsidR="007B3E89" w:rsidRPr="007B3E89" w:rsidRDefault="007B3E89" w:rsidP="007B3E89">
      <w:pPr>
        <w:spacing w:after="0" w:line="240" w:lineRule="auto"/>
        <w:rPr>
          <w:rFonts w:ascii="Times New Roman" w:eastAsia="Times New Roman" w:hAnsi="Times New Roman" w:cs="Times New Roman"/>
          <w:b/>
          <w:sz w:val="24"/>
          <w:szCs w:val="24"/>
        </w:rPr>
      </w:pPr>
    </w:p>
    <w:p w14:paraId="6EA38D6A" w14:textId="77777777" w:rsidR="00585690" w:rsidRPr="006E2A3E" w:rsidRDefault="00585690" w:rsidP="007B48DA">
      <w:pPr>
        <w:jc w:val="center"/>
        <w:rPr>
          <w:rFonts w:ascii="Times New Roman" w:hAnsi="Times New Roman" w:cs="Times New Roman"/>
          <w:b/>
          <w:sz w:val="28"/>
          <w:szCs w:val="28"/>
        </w:rPr>
      </w:pPr>
      <w:r w:rsidRPr="006E2A3E">
        <w:rPr>
          <w:rFonts w:ascii="Times New Roman" w:hAnsi="Times New Roman" w:cs="Times New Roman"/>
          <w:b/>
          <w:sz w:val="28"/>
          <w:szCs w:val="28"/>
        </w:rPr>
        <w:t>International Trade Administration (ITA) Brand and Identity Review</w:t>
      </w:r>
    </w:p>
    <w:p w14:paraId="13752035" w14:textId="56826E48" w:rsidR="00C1675E" w:rsidRPr="006E2A3E" w:rsidRDefault="00585690" w:rsidP="007B48DA">
      <w:pPr>
        <w:jc w:val="center"/>
        <w:rPr>
          <w:rFonts w:ascii="Times New Roman" w:hAnsi="Times New Roman" w:cs="Times New Roman"/>
          <w:b/>
          <w:sz w:val="28"/>
          <w:szCs w:val="28"/>
        </w:rPr>
      </w:pPr>
      <w:r w:rsidRPr="006E2A3E">
        <w:rPr>
          <w:rFonts w:ascii="Times New Roman" w:hAnsi="Times New Roman" w:cs="Times New Roman"/>
          <w:b/>
          <w:sz w:val="28"/>
          <w:szCs w:val="28"/>
        </w:rPr>
        <w:t>Methodology for Focus Groups and Surveys</w:t>
      </w:r>
    </w:p>
    <w:p w14:paraId="0F615F1C" w14:textId="77777777" w:rsidR="00585690" w:rsidRDefault="00585690"/>
    <w:p w14:paraId="258A5E16" w14:textId="04B9D412" w:rsidR="00C36AF9" w:rsidRPr="006E2A3E" w:rsidRDefault="00585690">
      <w:pPr>
        <w:rPr>
          <w:rFonts w:ascii="Times New Roman" w:hAnsi="Times New Roman" w:cs="Times New Roman"/>
          <w:sz w:val="24"/>
          <w:szCs w:val="24"/>
        </w:rPr>
      </w:pPr>
      <w:r w:rsidRPr="006E2A3E">
        <w:rPr>
          <w:rFonts w:ascii="Times New Roman" w:hAnsi="Times New Roman" w:cs="Times New Roman"/>
          <w:sz w:val="24"/>
          <w:szCs w:val="24"/>
        </w:rPr>
        <w:t xml:space="preserve">ITA’s Analysis and </w:t>
      </w:r>
      <w:r w:rsidR="00523E3F" w:rsidRPr="006E2A3E">
        <w:rPr>
          <w:rFonts w:ascii="Times New Roman" w:hAnsi="Times New Roman" w:cs="Times New Roman"/>
          <w:sz w:val="24"/>
          <w:szCs w:val="24"/>
        </w:rPr>
        <w:t>R</w:t>
      </w:r>
      <w:r w:rsidRPr="006E2A3E">
        <w:rPr>
          <w:rFonts w:ascii="Times New Roman" w:hAnsi="Times New Roman" w:cs="Times New Roman"/>
          <w:sz w:val="24"/>
          <w:szCs w:val="24"/>
        </w:rPr>
        <w:t>eporting Division</w:t>
      </w:r>
      <w:r w:rsidR="00523E3F" w:rsidRPr="006E2A3E">
        <w:rPr>
          <w:rFonts w:ascii="Times New Roman" w:hAnsi="Times New Roman" w:cs="Times New Roman"/>
          <w:sz w:val="24"/>
          <w:szCs w:val="24"/>
        </w:rPr>
        <w:t xml:space="preserve"> </w:t>
      </w:r>
      <w:r w:rsidR="00271A37" w:rsidRPr="006E2A3E">
        <w:rPr>
          <w:rFonts w:ascii="Times New Roman" w:hAnsi="Times New Roman" w:cs="Times New Roman"/>
          <w:sz w:val="24"/>
          <w:szCs w:val="24"/>
        </w:rPr>
        <w:t>(</w:t>
      </w:r>
      <w:r w:rsidR="00523E3F" w:rsidRPr="006E2A3E">
        <w:rPr>
          <w:rFonts w:ascii="Times New Roman" w:hAnsi="Times New Roman" w:cs="Times New Roman"/>
          <w:sz w:val="24"/>
          <w:szCs w:val="24"/>
        </w:rPr>
        <w:t>ARD)</w:t>
      </w:r>
      <w:r w:rsidRPr="006E2A3E">
        <w:rPr>
          <w:rFonts w:ascii="Times New Roman" w:hAnsi="Times New Roman" w:cs="Times New Roman"/>
          <w:sz w:val="24"/>
          <w:szCs w:val="24"/>
        </w:rPr>
        <w:t xml:space="preserve"> will conduct</w:t>
      </w:r>
      <w:r w:rsidR="00C36AF9" w:rsidRPr="006E2A3E">
        <w:rPr>
          <w:rFonts w:ascii="Times New Roman" w:hAnsi="Times New Roman" w:cs="Times New Roman"/>
          <w:sz w:val="24"/>
          <w:szCs w:val="24"/>
        </w:rPr>
        <w:t xml:space="preserve"> a total of </w:t>
      </w:r>
      <w:r w:rsidR="00127CCF">
        <w:rPr>
          <w:rFonts w:ascii="Times New Roman" w:hAnsi="Times New Roman" w:cs="Times New Roman"/>
          <w:sz w:val="24"/>
          <w:szCs w:val="24"/>
        </w:rPr>
        <w:t>six</w:t>
      </w:r>
      <w:r w:rsidRPr="006E2A3E">
        <w:rPr>
          <w:rFonts w:ascii="Times New Roman" w:hAnsi="Times New Roman" w:cs="Times New Roman"/>
          <w:sz w:val="24"/>
          <w:szCs w:val="24"/>
        </w:rPr>
        <w:t xml:space="preserve"> </w:t>
      </w:r>
      <w:r w:rsidR="00C36AF9" w:rsidRPr="006E2A3E">
        <w:rPr>
          <w:rFonts w:ascii="Times New Roman" w:hAnsi="Times New Roman" w:cs="Times New Roman"/>
          <w:sz w:val="24"/>
          <w:szCs w:val="24"/>
        </w:rPr>
        <w:t>focus groups comprised of current customers and potential customers representing domestic companies to gain their perspectives on ITA’s brand and identity. In addition, ARD will send surveys to foreign companies to gain their perspectives on ITA and its brand and identity.</w:t>
      </w:r>
    </w:p>
    <w:p w14:paraId="4E0A199D" w14:textId="1CBFCF11" w:rsidR="00BB74B3" w:rsidRDefault="009D7B41" w:rsidP="00C177D4">
      <w:pPr>
        <w:pStyle w:val="NoSpacing"/>
        <w:rPr>
          <w:rFonts w:ascii="Times New Roman" w:hAnsi="Times New Roman" w:cs="Times New Roman"/>
          <w:sz w:val="24"/>
          <w:szCs w:val="24"/>
        </w:rPr>
      </w:pPr>
      <w:r w:rsidRPr="006E2A3E">
        <w:rPr>
          <w:rFonts w:ascii="Times New Roman" w:hAnsi="Times New Roman" w:cs="Times New Roman"/>
          <w:sz w:val="24"/>
          <w:szCs w:val="24"/>
        </w:rPr>
        <w:t xml:space="preserve">To obtain information from ITA’s current customers, three focus groups comprised of eight individuals each </w:t>
      </w:r>
      <w:r w:rsidR="00F44DB9" w:rsidRPr="006E2A3E">
        <w:rPr>
          <w:rFonts w:ascii="Times New Roman" w:hAnsi="Times New Roman" w:cs="Times New Roman"/>
          <w:sz w:val="24"/>
          <w:szCs w:val="24"/>
        </w:rPr>
        <w:t xml:space="preserve">(24 individuals total) </w:t>
      </w:r>
      <w:r w:rsidRPr="006E2A3E">
        <w:rPr>
          <w:rFonts w:ascii="Times New Roman" w:hAnsi="Times New Roman" w:cs="Times New Roman"/>
          <w:sz w:val="24"/>
          <w:szCs w:val="24"/>
        </w:rPr>
        <w:t>will be conducted based on random selection.</w:t>
      </w:r>
      <w:r w:rsidR="00E41DA2" w:rsidRPr="006E2A3E">
        <w:rPr>
          <w:rFonts w:ascii="Times New Roman" w:hAnsi="Times New Roman" w:cs="Times New Roman"/>
          <w:sz w:val="24"/>
          <w:szCs w:val="24"/>
        </w:rPr>
        <w:t xml:space="preserve"> </w:t>
      </w:r>
      <w:r w:rsidR="00C034A3">
        <w:rPr>
          <w:rFonts w:ascii="Times New Roman" w:hAnsi="Times New Roman" w:cs="Times New Roman"/>
          <w:sz w:val="24"/>
          <w:szCs w:val="24"/>
        </w:rPr>
        <w:t>ITA’s Global Markets unit will provide a randomly selected list of companies from the Salesforce database.</w:t>
      </w:r>
    </w:p>
    <w:p w14:paraId="05777F51" w14:textId="77777777" w:rsidR="00144F9A" w:rsidRDefault="00144F9A" w:rsidP="00C177D4">
      <w:pPr>
        <w:pStyle w:val="NoSpacing"/>
        <w:rPr>
          <w:rFonts w:ascii="Times New Roman" w:hAnsi="Times New Roman" w:cs="Times New Roman"/>
          <w:sz w:val="24"/>
          <w:szCs w:val="24"/>
        </w:rPr>
      </w:pPr>
    </w:p>
    <w:p w14:paraId="15EBE72D" w14:textId="22B82D4D" w:rsidR="009D7B41" w:rsidRPr="009D46A1" w:rsidRDefault="009D7B41">
      <w:pPr>
        <w:rPr>
          <w:rFonts w:ascii="Times New Roman" w:hAnsi="Times New Roman" w:cs="Times New Roman"/>
          <w:sz w:val="24"/>
          <w:szCs w:val="24"/>
        </w:rPr>
      </w:pPr>
      <w:r w:rsidRPr="006E2A3E">
        <w:rPr>
          <w:rFonts w:ascii="Times New Roman" w:hAnsi="Times New Roman" w:cs="Times New Roman"/>
          <w:sz w:val="24"/>
          <w:szCs w:val="24"/>
        </w:rPr>
        <w:t xml:space="preserve">To obtain information from ITA’s potential </w:t>
      </w:r>
      <w:r w:rsidR="00271A37" w:rsidRPr="006E2A3E">
        <w:rPr>
          <w:rFonts w:ascii="Times New Roman" w:hAnsi="Times New Roman" w:cs="Times New Roman"/>
          <w:sz w:val="24"/>
          <w:szCs w:val="24"/>
        </w:rPr>
        <w:t>customers, three</w:t>
      </w:r>
      <w:r w:rsidRPr="006E2A3E">
        <w:rPr>
          <w:rFonts w:ascii="Times New Roman" w:hAnsi="Times New Roman" w:cs="Times New Roman"/>
          <w:sz w:val="24"/>
          <w:szCs w:val="24"/>
        </w:rPr>
        <w:t xml:space="preserve"> focus groups comprised of eight individuals each (24 total) </w:t>
      </w:r>
      <w:r w:rsidR="00E41DA2" w:rsidRPr="006E2A3E">
        <w:rPr>
          <w:rFonts w:ascii="Times New Roman" w:hAnsi="Times New Roman" w:cs="Times New Roman"/>
          <w:sz w:val="24"/>
          <w:szCs w:val="24"/>
        </w:rPr>
        <w:t xml:space="preserve">representing U.S. companies </w:t>
      </w:r>
      <w:r w:rsidRPr="006E2A3E">
        <w:rPr>
          <w:rFonts w:ascii="Times New Roman" w:hAnsi="Times New Roman" w:cs="Times New Roman"/>
          <w:sz w:val="24"/>
          <w:szCs w:val="24"/>
        </w:rPr>
        <w:t>will be conducted across randomly selected industries</w:t>
      </w:r>
      <w:r w:rsidR="00C034A3">
        <w:rPr>
          <w:rFonts w:ascii="Times New Roman" w:hAnsi="Times New Roman" w:cs="Times New Roman"/>
          <w:sz w:val="24"/>
          <w:szCs w:val="24"/>
        </w:rPr>
        <w:t xml:space="preserve">. ITA’s Industry and Analysis unit will randomly select the focus group participants </w:t>
      </w:r>
      <w:r w:rsidR="001D6882" w:rsidRPr="006E2A3E">
        <w:rPr>
          <w:rFonts w:ascii="Times New Roman" w:hAnsi="Times New Roman" w:cs="Times New Roman"/>
          <w:sz w:val="24"/>
          <w:szCs w:val="24"/>
        </w:rPr>
        <w:t xml:space="preserve">from </w:t>
      </w:r>
      <w:r w:rsidR="001D6882">
        <w:rPr>
          <w:rFonts w:ascii="Times New Roman" w:hAnsi="Times New Roman" w:cs="Times New Roman"/>
          <w:sz w:val="24"/>
          <w:szCs w:val="24"/>
        </w:rPr>
        <w:t xml:space="preserve">the </w:t>
      </w:r>
      <w:r w:rsidRPr="006E2A3E">
        <w:rPr>
          <w:rFonts w:ascii="Times New Roman" w:hAnsi="Times New Roman" w:cs="Times New Roman"/>
          <w:sz w:val="24"/>
          <w:szCs w:val="24"/>
        </w:rPr>
        <w:t xml:space="preserve">Datamyne </w:t>
      </w:r>
      <w:r w:rsidR="001D6882">
        <w:rPr>
          <w:rFonts w:ascii="Times New Roman" w:hAnsi="Times New Roman" w:cs="Times New Roman"/>
          <w:sz w:val="24"/>
          <w:szCs w:val="24"/>
        </w:rPr>
        <w:t>and</w:t>
      </w:r>
      <w:r w:rsidRPr="006E2A3E">
        <w:rPr>
          <w:rFonts w:ascii="Times New Roman" w:hAnsi="Times New Roman" w:cs="Times New Roman"/>
          <w:sz w:val="24"/>
          <w:szCs w:val="24"/>
        </w:rPr>
        <w:t xml:space="preserve"> Hoovers</w:t>
      </w:r>
      <w:r w:rsidR="001D6882">
        <w:rPr>
          <w:rFonts w:ascii="Times New Roman" w:hAnsi="Times New Roman" w:cs="Times New Roman"/>
          <w:sz w:val="24"/>
          <w:szCs w:val="24"/>
        </w:rPr>
        <w:t xml:space="preserve"> databases</w:t>
      </w:r>
      <w:r w:rsidRPr="006E2A3E">
        <w:rPr>
          <w:rFonts w:ascii="Times New Roman" w:hAnsi="Times New Roman" w:cs="Times New Roman"/>
          <w:sz w:val="24"/>
          <w:szCs w:val="24"/>
        </w:rPr>
        <w:t xml:space="preserve">. </w:t>
      </w:r>
      <w:r w:rsidR="00DE247F" w:rsidRPr="006E2A3E">
        <w:rPr>
          <w:rFonts w:ascii="Times New Roman" w:hAnsi="Times New Roman" w:cs="Times New Roman"/>
          <w:sz w:val="24"/>
          <w:szCs w:val="24"/>
        </w:rPr>
        <w:t>Additionally, 30</w:t>
      </w:r>
      <w:r w:rsidRPr="006E2A3E">
        <w:rPr>
          <w:rFonts w:ascii="Times New Roman" w:hAnsi="Times New Roman" w:cs="Times New Roman"/>
          <w:sz w:val="24"/>
          <w:szCs w:val="24"/>
        </w:rPr>
        <w:t xml:space="preserve"> </w:t>
      </w:r>
      <w:r w:rsidR="00E41DA2" w:rsidRPr="006E2A3E">
        <w:rPr>
          <w:rFonts w:ascii="Times New Roman" w:hAnsi="Times New Roman" w:cs="Times New Roman"/>
          <w:sz w:val="24"/>
          <w:szCs w:val="24"/>
        </w:rPr>
        <w:t xml:space="preserve">randomly selected </w:t>
      </w:r>
      <w:r w:rsidRPr="006E2A3E">
        <w:rPr>
          <w:rFonts w:ascii="Times New Roman" w:hAnsi="Times New Roman" w:cs="Times New Roman"/>
          <w:sz w:val="24"/>
          <w:szCs w:val="24"/>
        </w:rPr>
        <w:t xml:space="preserve">foreign companies </w:t>
      </w:r>
      <w:r w:rsidR="00E41DA2" w:rsidRPr="006E2A3E">
        <w:rPr>
          <w:rFonts w:ascii="Times New Roman" w:hAnsi="Times New Roman" w:cs="Times New Roman"/>
          <w:sz w:val="24"/>
          <w:szCs w:val="24"/>
        </w:rPr>
        <w:t xml:space="preserve">representative of ITA’s top ten markets </w:t>
      </w:r>
      <w:r w:rsidRPr="006E2A3E">
        <w:rPr>
          <w:rFonts w:ascii="Times New Roman" w:hAnsi="Times New Roman" w:cs="Times New Roman"/>
          <w:sz w:val="24"/>
          <w:szCs w:val="24"/>
        </w:rPr>
        <w:t>will be sent questionnaires.</w:t>
      </w:r>
      <w:r w:rsidR="00271A37" w:rsidRPr="006E2A3E">
        <w:rPr>
          <w:rFonts w:ascii="Times New Roman" w:hAnsi="Times New Roman" w:cs="Times New Roman"/>
          <w:sz w:val="24"/>
          <w:szCs w:val="24"/>
        </w:rPr>
        <w:t xml:space="preserve"> </w:t>
      </w:r>
      <w:r w:rsidR="00321030" w:rsidRPr="006E2A3E">
        <w:rPr>
          <w:rFonts w:ascii="Times New Roman" w:hAnsi="Times New Roman" w:cs="Times New Roman"/>
          <w:sz w:val="24"/>
          <w:szCs w:val="24"/>
        </w:rPr>
        <w:t>The</w:t>
      </w:r>
      <w:r w:rsidR="00BB74B3">
        <w:rPr>
          <w:rFonts w:ascii="Times New Roman" w:hAnsi="Times New Roman" w:cs="Times New Roman"/>
          <w:sz w:val="24"/>
          <w:szCs w:val="24"/>
        </w:rPr>
        <w:t>se</w:t>
      </w:r>
      <w:r w:rsidR="00321030" w:rsidRPr="006E2A3E">
        <w:rPr>
          <w:rFonts w:ascii="Times New Roman" w:hAnsi="Times New Roman" w:cs="Times New Roman"/>
          <w:sz w:val="24"/>
          <w:szCs w:val="24"/>
        </w:rPr>
        <w:t xml:space="preserve"> foreign companies will include those who have already directly invested in the United States</w:t>
      </w:r>
      <w:r w:rsidR="00A337E3">
        <w:rPr>
          <w:rFonts w:ascii="Times New Roman" w:hAnsi="Times New Roman" w:cs="Times New Roman"/>
          <w:sz w:val="24"/>
          <w:szCs w:val="24"/>
        </w:rPr>
        <w:t>,</w:t>
      </w:r>
      <w:r w:rsidR="00321030" w:rsidRPr="006E2A3E">
        <w:rPr>
          <w:rFonts w:ascii="Times New Roman" w:hAnsi="Times New Roman" w:cs="Times New Roman"/>
          <w:sz w:val="24"/>
          <w:szCs w:val="24"/>
        </w:rPr>
        <w:t xml:space="preserve"> those with potential to </w:t>
      </w:r>
      <w:r w:rsidR="00A337E3">
        <w:rPr>
          <w:rFonts w:ascii="Times New Roman" w:hAnsi="Times New Roman" w:cs="Times New Roman"/>
          <w:sz w:val="24"/>
          <w:szCs w:val="24"/>
        </w:rPr>
        <w:t xml:space="preserve">invest, and </w:t>
      </w:r>
      <w:r w:rsidR="00BB74B3">
        <w:rPr>
          <w:rFonts w:ascii="Times New Roman" w:hAnsi="Times New Roman" w:cs="Times New Roman"/>
          <w:sz w:val="24"/>
          <w:szCs w:val="24"/>
        </w:rPr>
        <w:t>those interested in buying</w:t>
      </w:r>
      <w:r w:rsidR="00A337E3">
        <w:rPr>
          <w:rFonts w:eastAsia="Times New Roman"/>
        </w:rPr>
        <w:t xml:space="preserve"> </w:t>
      </w:r>
      <w:r w:rsidR="009D46A1" w:rsidRPr="009D46A1">
        <w:rPr>
          <w:rFonts w:ascii="Times New Roman" w:eastAsia="Times New Roman" w:hAnsi="Times New Roman" w:cs="Times New Roman"/>
          <w:sz w:val="24"/>
          <w:szCs w:val="24"/>
        </w:rPr>
        <w:t>United States</w:t>
      </w:r>
      <w:r w:rsidR="00A337E3" w:rsidRPr="009D46A1">
        <w:rPr>
          <w:rFonts w:ascii="Times New Roman" w:eastAsia="Times New Roman" w:hAnsi="Times New Roman" w:cs="Times New Roman"/>
          <w:sz w:val="24"/>
          <w:szCs w:val="24"/>
        </w:rPr>
        <w:t xml:space="preserve"> goods and services. </w:t>
      </w:r>
      <w:r w:rsidR="001D6882">
        <w:rPr>
          <w:rFonts w:ascii="Times New Roman" w:eastAsia="Times New Roman" w:hAnsi="Times New Roman" w:cs="Times New Roman"/>
          <w:sz w:val="24"/>
          <w:szCs w:val="24"/>
        </w:rPr>
        <w:t>The survey participants will be randomly selected from the Salesforce, Datamyne, and Hoovers databases.</w:t>
      </w:r>
    </w:p>
    <w:p w14:paraId="0FB6EA99" w14:textId="77777777" w:rsidR="007B48DA" w:rsidRPr="006E2A3E" w:rsidRDefault="007B48DA">
      <w:pPr>
        <w:rPr>
          <w:rFonts w:ascii="Times New Roman" w:hAnsi="Times New Roman" w:cs="Times New Roman"/>
          <w:sz w:val="24"/>
          <w:szCs w:val="24"/>
        </w:rPr>
      </w:pPr>
    </w:p>
    <w:p w14:paraId="5D5BF0C6" w14:textId="3C8FA5D2" w:rsidR="00D74E04" w:rsidRPr="007B3E89" w:rsidRDefault="00D74E04" w:rsidP="00D74E04">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color w:val="000000"/>
          <w:sz w:val="24"/>
          <w:szCs w:val="24"/>
        </w:rPr>
        <w:t>*</w:t>
      </w:r>
      <w:r w:rsidRPr="00D74E04">
        <w:rPr>
          <w:rFonts w:ascii="Times New Roman" w:hAnsi="Times New Roman" w:cs="Times New Roman"/>
          <w:color w:val="000000"/>
          <w:sz w:val="24"/>
          <w:szCs w:val="24"/>
        </w:rPr>
        <w:t>Respondents should be aware that notwithstanding any other provision of law, no person shall be subject to any penalty for failing to comply with a collection of information if it does not display a valid OMB control number.</w:t>
      </w:r>
      <w:r w:rsidRPr="007B3E89">
        <w:rPr>
          <w:rFonts w:ascii="Times New Roman" w:eastAsia="Times New Roman" w:hAnsi="Times New Roman" w:cs="Times New Roman"/>
          <w:b/>
          <w:sz w:val="24"/>
          <w:szCs w:val="24"/>
        </w:rPr>
        <w:t xml:space="preserve"> </w:t>
      </w:r>
    </w:p>
    <w:p w14:paraId="48482C36" w14:textId="77777777" w:rsidR="00C36AF9" w:rsidRPr="00D74E04" w:rsidRDefault="00C36AF9">
      <w:pPr>
        <w:rPr>
          <w:rFonts w:ascii="Times New Roman" w:hAnsi="Times New Roman" w:cs="Times New Roman"/>
          <w:sz w:val="24"/>
          <w:szCs w:val="24"/>
        </w:rPr>
      </w:pPr>
    </w:p>
    <w:p w14:paraId="13D4F2A1" w14:textId="77777777" w:rsidR="00C36AF9" w:rsidRDefault="00C36AF9"/>
    <w:p w14:paraId="6B6CCA40" w14:textId="77777777" w:rsidR="00585690" w:rsidRDefault="00585690"/>
    <w:p w14:paraId="4797E931" w14:textId="77777777" w:rsidR="00585690" w:rsidRDefault="00585690"/>
    <w:sectPr w:rsidR="00585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90"/>
    <w:rsid w:val="00066D67"/>
    <w:rsid w:val="00127CCF"/>
    <w:rsid w:val="00144F9A"/>
    <w:rsid w:val="00156F7E"/>
    <w:rsid w:val="001D6882"/>
    <w:rsid w:val="002605F5"/>
    <w:rsid w:val="00271A37"/>
    <w:rsid w:val="00321030"/>
    <w:rsid w:val="003B7B03"/>
    <w:rsid w:val="00441E09"/>
    <w:rsid w:val="00480B0B"/>
    <w:rsid w:val="004929B2"/>
    <w:rsid w:val="0050168D"/>
    <w:rsid w:val="00512FC6"/>
    <w:rsid w:val="00523E3F"/>
    <w:rsid w:val="00581CAA"/>
    <w:rsid w:val="00585690"/>
    <w:rsid w:val="00613754"/>
    <w:rsid w:val="00684C69"/>
    <w:rsid w:val="00684E22"/>
    <w:rsid w:val="006E2A3E"/>
    <w:rsid w:val="00755E44"/>
    <w:rsid w:val="007B3E89"/>
    <w:rsid w:val="007B48DA"/>
    <w:rsid w:val="008855E1"/>
    <w:rsid w:val="008B3F8B"/>
    <w:rsid w:val="00976224"/>
    <w:rsid w:val="00980DCF"/>
    <w:rsid w:val="009D46A1"/>
    <w:rsid w:val="009D7B41"/>
    <w:rsid w:val="009E1782"/>
    <w:rsid w:val="009E6CC9"/>
    <w:rsid w:val="00A2656F"/>
    <w:rsid w:val="00A337E3"/>
    <w:rsid w:val="00A73CF2"/>
    <w:rsid w:val="00A90DBB"/>
    <w:rsid w:val="00AF277F"/>
    <w:rsid w:val="00BB74B3"/>
    <w:rsid w:val="00BC7AB3"/>
    <w:rsid w:val="00BE08EE"/>
    <w:rsid w:val="00C034A3"/>
    <w:rsid w:val="00C1675E"/>
    <w:rsid w:val="00C177D4"/>
    <w:rsid w:val="00C36AF9"/>
    <w:rsid w:val="00C91B2A"/>
    <w:rsid w:val="00D07D34"/>
    <w:rsid w:val="00D34FB1"/>
    <w:rsid w:val="00D4700A"/>
    <w:rsid w:val="00D74E04"/>
    <w:rsid w:val="00DD578D"/>
    <w:rsid w:val="00DE247F"/>
    <w:rsid w:val="00E41DA2"/>
    <w:rsid w:val="00EF0A5E"/>
    <w:rsid w:val="00F44DB9"/>
    <w:rsid w:val="00F613D0"/>
    <w:rsid w:val="00F75F03"/>
    <w:rsid w:val="00FB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B41"/>
    <w:pPr>
      <w:spacing w:after="0" w:line="240" w:lineRule="auto"/>
    </w:pPr>
  </w:style>
  <w:style w:type="paragraph" w:styleId="BalloonText">
    <w:name w:val="Balloon Text"/>
    <w:basedOn w:val="Normal"/>
    <w:link w:val="BalloonTextChar"/>
    <w:uiPriority w:val="99"/>
    <w:semiHidden/>
    <w:unhideWhenUsed/>
    <w:rsid w:val="00581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AA"/>
    <w:rPr>
      <w:rFonts w:ascii="Segoe UI" w:hAnsi="Segoe UI" w:cs="Segoe UI"/>
      <w:sz w:val="18"/>
      <w:szCs w:val="18"/>
    </w:rPr>
  </w:style>
  <w:style w:type="character" w:styleId="CommentReference">
    <w:name w:val="annotation reference"/>
    <w:basedOn w:val="DefaultParagraphFont"/>
    <w:uiPriority w:val="99"/>
    <w:semiHidden/>
    <w:unhideWhenUsed/>
    <w:rsid w:val="00A73CF2"/>
    <w:rPr>
      <w:sz w:val="16"/>
      <w:szCs w:val="16"/>
    </w:rPr>
  </w:style>
  <w:style w:type="paragraph" w:styleId="CommentText">
    <w:name w:val="annotation text"/>
    <w:basedOn w:val="Normal"/>
    <w:link w:val="CommentTextChar"/>
    <w:uiPriority w:val="99"/>
    <w:semiHidden/>
    <w:unhideWhenUsed/>
    <w:rsid w:val="00A73CF2"/>
    <w:pPr>
      <w:spacing w:line="240" w:lineRule="auto"/>
    </w:pPr>
    <w:rPr>
      <w:sz w:val="20"/>
      <w:szCs w:val="20"/>
    </w:rPr>
  </w:style>
  <w:style w:type="character" w:customStyle="1" w:styleId="CommentTextChar">
    <w:name w:val="Comment Text Char"/>
    <w:basedOn w:val="DefaultParagraphFont"/>
    <w:link w:val="CommentText"/>
    <w:uiPriority w:val="99"/>
    <w:semiHidden/>
    <w:rsid w:val="00A73CF2"/>
    <w:rPr>
      <w:sz w:val="20"/>
      <w:szCs w:val="20"/>
    </w:rPr>
  </w:style>
  <w:style w:type="paragraph" w:styleId="CommentSubject">
    <w:name w:val="annotation subject"/>
    <w:basedOn w:val="CommentText"/>
    <w:next w:val="CommentText"/>
    <w:link w:val="CommentSubjectChar"/>
    <w:uiPriority w:val="99"/>
    <w:semiHidden/>
    <w:unhideWhenUsed/>
    <w:rsid w:val="00A73CF2"/>
    <w:rPr>
      <w:b/>
      <w:bCs/>
    </w:rPr>
  </w:style>
  <w:style w:type="character" w:customStyle="1" w:styleId="CommentSubjectChar">
    <w:name w:val="Comment Subject Char"/>
    <w:basedOn w:val="CommentTextChar"/>
    <w:link w:val="CommentSubject"/>
    <w:uiPriority w:val="99"/>
    <w:semiHidden/>
    <w:rsid w:val="00A73C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B41"/>
    <w:pPr>
      <w:spacing w:after="0" w:line="240" w:lineRule="auto"/>
    </w:pPr>
  </w:style>
  <w:style w:type="paragraph" w:styleId="BalloonText">
    <w:name w:val="Balloon Text"/>
    <w:basedOn w:val="Normal"/>
    <w:link w:val="BalloonTextChar"/>
    <w:uiPriority w:val="99"/>
    <w:semiHidden/>
    <w:unhideWhenUsed/>
    <w:rsid w:val="00581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AA"/>
    <w:rPr>
      <w:rFonts w:ascii="Segoe UI" w:hAnsi="Segoe UI" w:cs="Segoe UI"/>
      <w:sz w:val="18"/>
      <w:szCs w:val="18"/>
    </w:rPr>
  </w:style>
  <w:style w:type="character" w:styleId="CommentReference">
    <w:name w:val="annotation reference"/>
    <w:basedOn w:val="DefaultParagraphFont"/>
    <w:uiPriority w:val="99"/>
    <w:semiHidden/>
    <w:unhideWhenUsed/>
    <w:rsid w:val="00A73CF2"/>
    <w:rPr>
      <w:sz w:val="16"/>
      <w:szCs w:val="16"/>
    </w:rPr>
  </w:style>
  <w:style w:type="paragraph" w:styleId="CommentText">
    <w:name w:val="annotation text"/>
    <w:basedOn w:val="Normal"/>
    <w:link w:val="CommentTextChar"/>
    <w:uiPriority w:val="99"/>
    <w:semiHidden/>
    <w:unhideWhenUsed/>
    <w:rsid w:val="00A73CF2"/>
    <w:pPr>
      <w:spacing w:line="240" w:lineRule="auto"/>
    </w:pPr>
    <w:rPr>
      <w:sz w:val="20"/>
      <w:szCs w:val="20"/>
    </w:rPr>
  </w:style>
  <w:style w:type="character" w:customStyle="1" w:styleId="CommentTextChar">
    <w:name w:val="Comment Text Char"/>
    <w:basedOn w:val="DefaultParagraphFont"/>
    <w:link w:val="CommentText"/>
    <w:uiPriority w:val="99"/>
    <w:semiHidden/>
    <w:rsid w:val="00A73CF2"/>
    <w:rPr>
      <w:sz w:val="20"/>
      <w:szCs w:val="20"/>
    </w:rPr>
  </w:style>
  <w:style w:type="paragraph" w:styleId="CommentSubject">
    <w:name w:val="annotation subject"/>
    <w:basedOn w:val="CommentText"/>
    <w:next w:val="CommentText"/>
    <w:link w:val="CommentSubjectChar"/>
    <w:uiPriority w:val="99"/>
    <w:semiHidden/>
    <w:unhideWhenUsed/>
    <w:rsid w:val="00A73CF2"/>
    <w:rPr>
      <w:b/>
      <w:bCs/>
    </w:rPr>
  </w:style>
  <w:style w:type="character" w:customStyle="1" w:styleId="CommentSubjectChar">
    <w:name w:val="Comment Subject Char"/>
    <w:basedOn w:val="CommentTextChar"/>
    <w:link w:val="CommentSubject"/>
    <w:uiPriority w:val="99"/>
    <w:semiHidden/>
    <w:rsid w:val="00A73C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Norris</dc:creator>
  <cp:keywords/>
  <dc:description/>
  <cp:lastModifiedBy>SYSTEM</cp:lastModifiedBy>
  <cp:revision>2</cp:revision>
  <cp:lastPrinted>2017-07-12T19:39:00Z</cp:lastPrinted>
  <dcterms:created xsi:type="dcterms:W3CDTF">2017-07-26T13:55:00Z</dcterms:created>
  <dcterms:modified xsi:type="dcterms:W3CDTF">2017-07-26T13:55:00Z</dcterms:modified>
</cp:coreProperties>
</file>