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75C2"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D61831">
        <w:rPr>
          <w:sz w:val="28"/>
        </w:rPr>
        <w:t>1027</w:t>
      </w:r>
      <w:r>
        <w:rPr>
          <w:sz w:val="28"/>
        </w:rPr>
        <w:t>)</w:t>
      </w:r>
    </w:p>
    <w:p w14:paraId="0D668FF0" w14:textId="7012A32F"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1ECE364D" wp14:editId="6805EC1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7B8B1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06C6E">
        <w:t>Collecti</w:t>
      </w:r>
      <w:r w:rsidR="00D279DE">
        <w:t xml:space="preserve">ng Customer Feedback </w:t>
      </w:r>
      <w:r w:rsidR="007124A9">
        <w:t xml:space="preserve">from CDC-Funded Community Based </w:t>
      </w:r>
      <w:r w:rsidR="00D279DE">
        <w:t xml:space="preserve">Organizations about Rapid Feedback Reports </w:t>
      </w:r>
    </w:p>
    <w:p w14:paraId="32AC926D" w14:textId="77777777" w:rsidR="00B46F2C" w:rsidRDefault="00B46F2C"/>
    <w:p w14:paraId="217A27D5" w14:textId="77777777" w:rsidR="00B46F2C" w:rsidRDefault="00B46F2C">
      <w:r>
        <w:rPr>
          <w:b/>
        </w:rPr>
        <w:t>PURPOSE</w:t>
      </w:r>
      <w:r w:rsidRPr="009239AA">
        <w:rPr>
          <w:b/>
        </w:rPr>
        <w:t xml:space="preserve">:  </w:t>
      </w:r>
    </w:p>
    <w:p w14:paraId="6656CDC0" w14:textId="77777777" w:rsidR="00B46F2C" w:rsidRDefault="00B46F2C"/>
    <w:p w14:paraId="0C00762A" w14:textId="45300B4D" w:rsidR="00A31A67" w:rsidRDefault="00D279DE" w:rsidP="00A31A67">
      <w:pPr>
        <w:rPr>
          <w:sz w:val="22"/>
          <w:szCs w:val="22"/>
        </w:rPr>
      </w:pPr>
      <w:r>
        <w:t xml:space="preserve">The Community Based Organization (CBO) Monitoring and Evaluation Team (CMET) is seeking feedback about Rapid Feedback Reports (RFRs) from grantees funded through </w:t>
      </w:r>
      <w:r w:rsidR="008F0768">
        <w:t xml:space="preserve">CBO </w:t>
      </w:r>
      <w:r w:rsidR="00FF0EF5">
        <w:t xml:space="preserve">notice of </w:t>
      </w:r>
      <w:r w:rsidR="008F0768">
        <w:t>f</w:t>
      </w:r>
      <w:r>
        <w:t xml:space="preserve">unding </w:t>
      </w:r>
      <w:r w:rsidR="00FF0EF5">
        <w:t>opportunities</w:t>
      </w:r>
      <w:r>
        <w:t xml:space="preserve"> PS17-1704 and PS15-1502.</w:t>
      </w:r>
      <w:r w:rsidR="00A31A67" w:rsidRPr="00A31A67">
        <w:t xml:space="preserve"> </w:t>
      </w:r>
      <w:r w:rsidR="00A31A67">
        <w:t>RFRs are an essential tool in tracking key performance indicators of funded programs and recipients. Developed biannually by CMET, the RFR is used by Notice of Funding Opportunity (NOFO) recipients, Prevention Program Branch (PPB) Project Officers, PPB Leadership, and Division of HIV/AIDS Prevention (DHAP) Leadership. RFRs present the following three key indicators: number of tests, number of newly identified HIV-positive persons found, and newly identified persons linked to HIV medical care. These data are presented in aggregate and stratified by CBO. RFRs h</w:t>
      </w:r>
      <w:r w:rsidR="00A31A67" w:rsidRPr="00A31A67">
        <w:t>elp grantees and CDC to determine where to focus capacity-building and quality improvement efforts</w:t>
      </w:r>
      <w:r w:rsidR="00A31A67">
        <w:t xml:space="preserve"> and s</w:t>
      </w:r>
      <w:r w:rsidR="00A31A67" w:rsidRPr="00A31A67">
        <w:t>pur impro</w:t>
      </w:r>
      <w:r w:rsidR="00A31A67">
        <w:t>ved performance to help meet NOFO</w:t>
      </w:r>
      <w:r w:rsidR="00A31A67" w:rsidRPr="00A31A67">
        <w:t xml:space="preserve"> goals</w:t>
      </w:r>
      <w:r w:rsidR="00A31A67">
        <w:t>.</w:t>
      </w:r>
      <w:r>
        <w:t xml:space="preserve"> Feedback from this </w:t>
      </w:r>
      <w:r w:rsidR="000E6840">
        <w:t>assessment</w:t>
      </w:r>
      <w:r>
        <w:t xml:space="preserve"> will provide insight into how CBO grantees are using RFRs, how satisfied grantees are with the reports, and how </w:t>
      </w:r>
      <w:r w:rsidR="00F34EF2">
        <w:t xml:space="preserve">these </w:t>
      </w:r>
      <w:r>
        <w:t xml:space="preserve">reports can be enhanced to better fit grantees’ needs. This web-based </w:t>
      </w:r>
      <w:r w:rsidR="000E6840">
        <w:t>assessment</w:t>
      </w:r>
      <w:r>
        <w:t xml:space="preserve"> will accompany the RFR, which is disseminated to grantees biannually.</w:t>
      </w:r>
      <w:r w:rsidR="00A31A67">
        <w:t xml:space="preserve"> </w:t>
      </w:r>
    </w:p>
    <w:p w14:paraId="2B202182" w14:textId="425CADF6" w:rsidR="00D279DE" w:rsidRDefault="00D279DE" w:rsidP="009F6CDB">
      <w:pPr>
        <w:spacing w:line="360" w:lineRule="auto"/>
        <w:rPr>
          <w:sz w:val="22"/>
          <w:szCs w:val="22"/>
        </w:rPr>
      </w:pPr>
    </w:p>
    <w:p w14:paraId="0AB23B24" w14:textId="77777777" w:rsidR="00641520" w:rsidRDefault="00641520" w:rsidP="00434E33">
      <w:pPr>
        <w:pStyle w:val="Header"/>
        <w:tabs>
          <w:tab w:val="clear" w:pos="4320"/>
          <w:tab w:val="clear" w:pos="8640"/>
        </w:tabs>
      </w:pPr>
    </w:p>
    <w:p w14:paraId="72938F6B"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21F1F6AE" w14:textId="77777777" w:rsidR="00B46F2C" w:rsidRDefault="00B46F2C"/>
    <w:p w14:paraId="5A913FF6" w14:textId="5E45D3E7" w:rsidR="009F6CDB" w:rsidRDefault="009F6CDB" w:rsidP="009F6CDB">
      <w:pPr>
        <w:spacing w:line="360" w:lineRule="auto"/>
        <w:rPr>
          <w:sz w:val="22"/>
          <w:szCs w:val="22"/>
        </w:rPr>
      </w:pPr>
      <w:r>
        <w:t xml:space="preserve">The customer feedback </w:t>
      </w:r>
      <w:r w:rsidR="000E6840">
        <w:t>assessment</w:t>
      </w:r>
      <w:r>
        <w:t xml:space="preserve">s will be sent to the executive directors and program managers at </w:t>
      </w:r>
      <w:r w:rsidR="004A518B">
        <w:t xml:space="preserve">all 119 </w:t>
      </w:r>
      <w:r>
        <w:t>CDC-funded CBOs</w:t>
      </w:r>
      <w:r w:rsidR="004A518B">
        <w:t xml:space="preserve"> across the US and Puerto Rico</w:t>
      </w:r>
      <w:r>
        <w:t xml:space="preserve"> (</w:t>
      </w:r>
      <w:r w:rsidR="004A518B">
        <w:t xml:space="preserve">Notice of Funding Opportunities </w:t>
      </w:r>
      <w:r>
        <w:t>PS15-1502 and PS17-1704).</w:t>
      </w:r>
      <w:r w:rsidR="00451D6D">
        <w:t xml:space="preserve"> The </w:t>
      </w:r>
      <w:r w:rsidR="000E6840">
        <w:t>assessment</w:t>
      </w:r>
      <w:r w:rsidR="005E1BC0">
        <w:t xml:space="preserve"> will be sent as a link </w:t>
      </w:r>
      <w:r w:rsidR="00A56860">
        <w:t>in the text of the email that is sent with the rapid feedback report (RFR) to the CBO executive directors and program managers.</w:t>
      </w:r>
      <w:r>
        <w:t xml:space="preserve"> </w:t>
      </w:r>
    </w:p>
    <w:p w14:paraId="114F968A" w14:textId="77777777" w:rsidR="00B46F2C" w:rsidRDefault="00B46F2C"/>
    <w:p w14:paraId="354EDB44" w14:textId="77777777" w:rsidR="00B46F2C" w:rsidRPr="00F06866" w:rsidRDefault="00B46F2C">
      <w:pPr>
        <w:rPr>
          <w:b/>
        </w:rPr>
      </w:pPr>
      <w:r>
        <w:rPr>
          <w:b/>
        </w:rPr>
        <w:t>TYPE OF COLLECTION:</w:t>
      </w:r>
      <w:r w:rsidRPr="00F06866">
        <w:t xml:space="preserve"> (Check one)</w:t>
      </w:r>
    </w:p>
    <w:p w14:paraId="2D3E7CD9" w14:textId="77777777" w:rsidR="00B46F2C" w:rsidRPr="00434E33" w:rsidRDefault="00B46F2C" w:rsidP="0096108F">
      <w:pPr>
        <w:pStyle w:val="BodyTextIndent"/>
        <w:tabs>
          <w:tab w:val="left" w:pos="360"/>
        </w:tabs>
        <w:ind w:left="0"/>
        <w:rPr>
          <w:bCs/>
          <w:sz w:val="16"/>
          <w:szCs w:val="16"/>
        </w:rPr>
      </w:pPr>
    </w:p>
    <w:p w14:paraId="51484CB3" w14:textId="17AF4C13" w:rsidR="00B46F2C" w:rsidRPr="00F06866" w:rsidRDefault="00B46F2C" w:rsidP="0096108F">
      <w:pPr>
        <w:pStyle w:val="BodyTextIndent"/>
        <w:tabs>
          <w:tab w:val="left" w:pos="360"/>
        </w:tabs>
        <w:ind w:left="0"/>
        <w:rPr>
          <w:bCs/>
          <w:sz w:val="24"/>
        </w:rPr>
      </w:pPr>
      <w:r w:rsidRPr="00F06866">
        <w:rPr>
          <w:bCs/>
          <w:sz w:val="24"/>
        </w:rPr>
        <w:t>[ ] Customer</w:t>
      </w:r>
      <w:r w:rsidR="009E3610">
        <w:rPr>
          <w:bCs/>
          <w:sz w:val="24"/>
        </w:rPr>
        <w:t xml:space="preserve"> Comment Card/Complaint Form </w:t>
      </w:r>
      <w:r w:rsidR="009E3610">
        <w:rPr>
          <w:bCs/>
          <w:sz w:val="24"/>
        </w:rPr>
        <w:tab/>
        <w:t>[x</w:t>
      </w:r>
      <w:r w:rsidRPr="00F06866">
        <w:rPr>
          <w:bCs/>
          <w:sz w:val="24"/>
        </w:rPr>
        <w:t xml:space="preserve">] Customer Satisfaction </w:t>
      </w:r>
      <w:r w:rsidR="000E6840">
        <w:rPr>
          <w:bCs/>
          <w:sz w:val="24"/>
        </w:rPr>
        <w:t>Assessment</w:t>
      </w:r>
      <w:r w:rsidRPr="00F06866">
        <w:rPr>
          <w:bCs/>
          <w:sz w:val="24"/>
        </w:rPr>
        <w:t xml:space="preserve">    </w:t>
      </w:r>
    </w:p>
    <w:p w14:paraId="5DB34DE3"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42BFD5A8" w14:textId="77777777"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sidR="009E3610">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00F34EF2">
        <w:rPr>
          <w:bCs/>
          <w:sz w:val="24"/>
        </w:rPr>
        <w:t>:</w:t>
      </w:r>
      <w:r w:rsidR="001603DC">
        <w:rPr>
          <w:bCs/>
          <w:sz w:val="24"/>
        </w:rPr>
        <w:t xml:space="preserve"> </w:t>
      </w:r>
      <w:r w:rsidR="00F34EF2" w:rsidRPr="00F06866">
        <w:rPr>
          <w:bCs/>
          <w:sz w:val="24"/>
          <w:u w:val="single"/>
        </w:rPr>
        <w:t>_</w:t>
      </w:r>
      <w:r w:rsidRPr="00F06866">
        <w:rPr>
          <w:bCs/>
          <w:sz w:val="24"/>
          <w:u w:val="single"/>
        </w:rPr>
        <w:t>_____________________</w:t>
      </w:r>
      <w:r>
        <w:rPr>
          <w:bCs/>
          <w:sz w:val="24"/>
          <w:u w:val="single"/>
        </w:rPr>
        <w:tab/>
      </w:r>
    </w:p>
    <w:p w14:paraId="54745FDA" w14:textId="77777777" w:rsidR="00B46F2C" w:rsidRDefault="00B46F2C">
      <w:pPr>
        <w:pStyle w:val="Header"/>
        <w:tabs>
          <w:tab w:val="clear" w:pos="4320"/>
          <w:tab w:val="clear" w:pos="8640"/>
        </w:tabs>
      </w:pPr>
    </w:p>
    <w:p w14:paraId="0F8E1586" w14:textId="77777777" w:rsidR="00B46F2C" w:rsidRDefault="00B46F2C">
      <w:pPr>
        <w:rPr>
          <w:b/>
        </w:rPr>
      </w:pPr>
      <w:r>
        <w:rPr>
          <w:b/>
        </w:rPr>
        <w:t>CERTIFICATION:</w:t>
      </w:r>
    </w:p>
    <w:p w14:paraId="58DC7BA9" w14:textId="77777777" w:rsidR="00B46F2C" w:rsidRDefault="00B46F2C">
      <w:pPr>
        <w:rPr>
          <w:sz w:val="16"/>
          <w:szCs w:val="16"/>
        </w:rPr>
      </w:pPr>
    </w:p>
    <w:p w14:paraId="1D80F543" w14:textId="77777777" w:rsidR="00B46F2C" w:rsidRPr="009C13B9" w:rsidRDefault="00B46F2C" w:rsidP="008101A5">
      <w:r>
        <w:t xml:space="preserve">I certify the following to be true: </w:t>
      </w:r>
    </w:p>
    <w:p w14:paraId="774DD045" w14:textId="77777777" w:rsidR="00B46F2C" w:rsidRDefault="00B46F2C" w:rsidP="008101A5">
      <w:pPr>
        <w:pStyle w:val="ListParagraph"/>
        <w:numPr>
          <w:ilvl w:val="0"/>
          <w:numId w:val="14"/>
        </w:numPr>
      </w:pPr>
      <w:r>
        <w:t>The collection is voluntary.</w:t>
      </w:r>
      <w:r w:rsidRPr="00C14CC4">
        <w:t xml:space="preserve"> </w:t>
      </w:r>
    </w:p>
    <w:p w14:paraId="7F3BEB76"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C50C9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A801CD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FE07D11" w14:textId="77777777" w:rsidR="00B46F2C" w:rsidRDefault="00B46F2C"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22AB7F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BDF45F5" w14:textId="77777777" w:rsidR="00B46F2C" w:rsidRDefault="00B46F2C" w:rsidP="009C13B9"/>
    <w:p w14:paraId="7F8BA4B0" w14:textId="77777777" w:rsidR="00B46F2C" w:rsidRDefault="00B46F2C" w:rsidP="009C13B9">
      <w:r>
        <w:t>Name:</w:t>
      </w:r>
      <w:r w:rsidR="009E3610">
        <w:t xml:space="preserve"> Gary Uhl</w:t>
      </w:r>
    </w:p>
    <w:p w14:paraId="2B39FF3B" w14:textId="77777777" w:rsidR="00B46F2C" w:rsidRDefault="00B46F2C" w:rsidP="009C13B9">
      <w:pPr>
        <w:pStyle w:val="ListParagraph"/>
        <w:ind w:left="360"/>
      </w:pPr>
    </w:p>
    <w:p w14:paraId="6B0147AF" w14:textId="77777777" w:rsidR="00B46F2C" w:rsidRDefault="00B46F2C" w:rsidP="009C13B9">
      <w:r>
        <w:t>To assist review, please provide answers to the following question:</w:t>
      </w:r>
    </w:p>
    <w:p w14:paraId="2B27E8D4" w14:textId="77777777" w:rsidR="00B46F2C" w:rsidRDefault="00B46F2C" w:rsidP="009C13B9">
      <w:pPr>
        <w:pStyle w:val="ListParagraph"/>
        <w:ind w:left="360"/>
      </w:pPr>
    </w:p>
    <w:p w14:paraId="351BE85B" w14:textId="77777777" w:rsidR="00B46F2C" w:rsidRPr="00C86E91" w:rsidRDefault="00B46F2C" w:rsidP="00C86E91">
      <w:pPr>
        <w:rPr>
          <w:b/>
        </w:rPr>
      </w:pPr>
      <w:r w:rsidRPr="00C86E91">
        <w:rPr>
          <w:b/>
        </w:rPr>
        <w:t>Personally Identifiable Information:</w:t>
      </w:r>
    </w:p>
    <w:p w14:paraId="0AADAEA6" w14:textId="77777777" w:rsidR="00B46F2C" w:rsidRDefault="00B46F2C" w:rsidP="00C86E91">
      <w:pPr>
        <w:pStyle w:val="ListParagraph"/>
        <w:numPr>
          <w:ilvl w:val="0"/>
          <w:numId w:val="18"/>
        </w:numPr>
      </w:pPr>
      <w:r>
        <w:t xml:space="preserve">Is personally identifiable </w:t>
      </w:r>
      <w:r w:rsidR="006C5915">
        <w:t xml:space="preserve">information (PII) collected?  [ </w:t>
      </w:r>
      <w:r w:rsidR="009E3610">
        <w:t xml:space="preserve"> ] Yes  [x</w:t>
      </w:r>
      <w:r>
        <w:t xml:space="preserve">]  No </w:t>
      </w:r>
    </w:p>
    <w:p w14:paraId="4411C3A3"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r w:rsidR="00451D6D">
        <w:t>[x] N/A</w:t>
      </w:r>
    </w:p>
    <w:p w14:paraId="788B19EE" w14:textId="77777777" w:rsidR="00B46F2C" w:rsidRDefault="00B46F2C" w:rsidP="00C86E91">
      <w:pPr>
        <w:pStyle w:val="ListParagraph"/>
        <w:numPr>
          <w:ilvl w:val="0"/>
          <w:numId w:val="18"/>
        </w:numPr>
      </w:pPr>
      <w:r>
        <w:t>If Applicable, has a System or Records Notice been published?  [  ] Yes  [  ] No</w:t>
      </w:r>
      <w:r w:rsidR="00451D6D">
        <w:t xml:space="preserve"> [x] N/A</w:t>
      </w:r>
    </w:p>
    <w:p w14:paraId="0B6EB7E0" w14:textId="77777777" w:rsidR="00DC4B29" w:rsidRDefault="00DC4B29" w:rsidP="00C86E91">
      <w:pPr>
        <w:pStyle w:val="ListParagraph"/>
        <w:ind w:left="0"/>
        <w:rPr>
          <w:b/>
        </w:rPr>
      </w:pPr>
    </w:p>
    <w:p w14:paraId="3190BBF5" w14:textId="77777777" w:rsidR="00B46F2C" w:rsidRPr="00C86E91" w:rsidRDefault="00B46F2C" w:rsidP="00C86E91">
      <w:pPr>
        <w:pStyle w:val="ListParagraph"/>
        <w:ind w:left="0"/>
        <w:rPr>
          <w:b/>
        </w:rPr>
      </w:pPr>
      <w:r>
        <w:rPr>
          <w:b/>
        </w:rPr>
        <w:t>Gifts or Payments:</w:t>
      </w:r>
    </w:p>
    <w:p w14:paraId="18876698" w14:textId="77777777" w:rsidR="00B46F2C" w:rsidRDefault="00B46F2C" w:rsidP="00C86E91">
      <w:r>
        <w:t>Is an incentive (e.g., money or reimbursement of expenses, token of appreciation) provid</w:t>
      </w:r>
      <w:r w:rsidR="009E3610">
        <w:t>ed to participants?  [  ] Yes [x</w:t>
      </w:r>
      <w:r>
        <w:t xml:space="preserve">] No  </w:t>
      </w:r>
    </w:p>
    <w:p w14:paraId="1D779EBA" w14:textId="77777777" w:rsidR="00B46F2C" w:rsidRDefault="00B46F2C">
      <w:pPr>
        <w:rPr>
          <w:b/>
        </w:rPr>
      </w:pPr>
    </w:p>
    <w:p w14:paraId="11110051" w14:textId="77777777" w:rsidR="00B46F2C" w:rsidRDefault="00B46F2C">
      <w:pPr>
        <w:rPr>
          <w:b/>
        </w:rPr>
      </w:pPr>
    </w:p>
    <w:p w14:paraId="5445E67C" w14:textId="77777777" w:rsidR="00B46F2C" w:rsidRDefault="00B46F2C" w:rsidP="00C86E91">
      <w:pPr>
        <w:rPr>
          <w:i/>
        </w:rPr>
      </w:pPr>
      <w:r>
        <w:rPr>
          <w:b/>
        </w:rPr>
        <w:t>BURDEN HOURS</w:t>
      </w:r>
      <w:r>
        <w:t xml:space="preserve"> </w:t>
      </w:r>
    </w:p>
    <w:p w14:paraId="18A812B1" w14:textId="77777777" w:rsidR="00B46F2C" w:rsidRPr="006832D9" w:rsidRDefault="00B46F2C" w:rsidP="00F3170F">
      <w:pPr>
        <w:keepNext/>
        <w:keepLines/>
        <w:rPr>
          <w:b/>
        </w:rPr>
      </w:pPr>
    </w:p>
    <w:tbl>
      <w:tblPr>
        <w:tblW w:w="10664"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1710"/>
        <w:gridCol w:w="1710"/>
        <w:gridCol w:w="1620"/>
        <w:gridCol w:w="1191"/>
      </w:tblGrid>
      <w:tr w:rsidR="00593CA5" w14:paraId="63924D3A" w14:textId="3F09CFBC" w:rsidTr="00593CA5">
        <w:trPr>
          <w:trHeight w:val="274"/>
        </w:trPr>
        <w:tc>
          <w:tcPr>
            <w:tcW w:w="4433" w:type="dxa"/>
          </w:tcPr>
          <w:p w14:paraId="02E1DC82" w14:textId="77777777" w:rsidR="00593CA5" w:rsidRPr="00512CA7" w:rsidRDefault="00593CA5" w:rsidP="00C8488C">
            <w:pPr>
              <w:rPr>
                <w:b/>
              </w:rPr>
            </w:pPr>
            <w:r w:rsidRPr="00512CA7">
              <w:rPr>
                <w:b/>
              </w:rPr>
              <w:t xml:space="preserve">Category of Respondent </w:t>
            </w:r>
          </w:p>
        </w:tc>
        <w:tc>
          <w:tcPr>
            <w:tcW w:w="1710" w:type="dxa"/>
          </w:tcPr>
          <w:p w14:paraId="2DD5104A" w14:textId="77777777" w:rsidR="00593CA5" w:rsidRPr="00512CA7" w:rsidRDefault="00593CA5" w:rsidP="00843796">
            <w:pPr>
              <w:rPr>
                <w:b/>
              </w:rPr>
            </w:pPr>
            <w:r w:rsidRPr="00512CA7">
              <w:rPr>
                <w:b/>
              </w:rPr>
              <w:t>No. of Respondents</w:t>
            </w:r>
          </w:p>
        </w:tc>
        <w:tc>
          <w:tcPr>
            <w:tcW w:w="1710" w:type="dxa"/>
          </w:tcPr>
          <w:p w14:paraId="61DEAF0A" w14:textId="77777777" w:rsidR="00593CA5" w:rsidRPr="00512CA7" w:rsidRDefault="00593CA5" w:rsidP="00843796">
            <w:pPr>
              <w:rPr>
                <w:b/>
              </w:rPr>
            </w:pPr>
            <w:r w:rsidRPr="00512CA7">
              <w:rPr>
                <w:b/>
              </w:rPr>
              <w:t>Participation Time</w:t>
            </w:r>
          </w:p>
        </w:tc>
        <w:tc>
          <w:tcPr>
            <w:tcW w:w="1620" w:type="dxa"/>
          </w:tcPr>
          <w:p w14:paraId="36EE0067" w14:textId="77777777" w:rsidR="00593CA5" w:rsidRPr="00512CA7" w:rsidRDefault="00593CA5" w:rsidP="00843796">
            <w:pPr>
              <w:rPr>
                <w:b/>
              </w:rPr>
            </w:pPr>
            <w:r w:rsidRPr="00512CA7">
              <w:rPr>
                <w:b/>
              </w:rPr>
              <w:t>Burden</w:t>
            </w:r>
          </w:p>
        </w:tc>
        <w:tc>
          <w:tcPr>
            <w:tcW w:w="1191" w:type="dxa"/>
          </w:tcPr>
          <w:p w14:paraId="767333BD" w14:textId="5381D176" w:rsidR="00593CA5" w:rsidRPr="00512CA7" w:rsidRDefault="00593CA5" w:rsidP="00843796">
            <w:pPr>
              <w:rPr>
                <w:b/>
              </w:rPr>
            </w:pPr>
            <w:r>
              <w:rPr>
                <w:b/>
              </w:rPr>
              <w:t>Cost</w:t>
            </w:r>
          </w:p>
        </w:tc>
      </w:tr>
      <w:tr w:rsidR="00593CA5" w14:paraId="602AECED" w14:textId="3C94CEB3" w:rsidTr="00593CA5">
        <w:trPr>
          <w:trHeight w:val="274"/>
        </w:trPr>
        <w:tc>
          <w:tcPr>
            <w:tcW w:w="4433" w:type="dxa"/>
          </w:tcPr>
          <w:p w14:paraId="7EA993CA" w14:textId="2F692FCB" w:rsidR="00593CA5" w:rsidRDefault="00593CA5" w:rsidP="009E3610">
            <w:r>
              <w:t>CBO Staff</w:t>
            </w:r>
          </w:p>
        </w:tc>
        <w:tc>
          <w:tcPr>
            <w:tcW w:w="1710" w:type="dxa"/>
          </w:tcPr>
          <w:p w14:paraId="4A97B7E6" w14:textId="18812A2D" w:rsidR="00593CA5" w:rsidRDefault="00593CA5" w:rsidP="00843796">
            <w:r>
              <w:t>238</w:t>
            </w:r>
          </w:p>
        </w:tc>
        <w:tc>
          <w:tcPr>
            <w:tcW w:w="1710" w:type="dxa"/>
          </w:tcPr>
          <w:p w14:paraId="3976D4C9" w14:textId="06E7AA27" w:rsidR="00593CA5" w:rsidRDefault="000D5355" w:rsidP="00A31A67">
            <w:r>
              <w:t>1</w:t>
            </w:r>
            <w:r w:rsidR="00593CA5">
              <w:t>0 minutes</w:t>
            </w:r>
          </w:p>
        </w:tc>
        <w:tc>
          <w:tcPr>
            <w:tcW w:w="1620" w:type="dxa"/>
          </w:tcPr>
          <w:p w14:paraId="1ECE01E2" w14:textId="3E068475" w:rsidR="00593CA5" w:rsidRDefault="00593CA5" w:rsidP="00087E3D">
            <w:r>
              <w:t>39.67 hours</w:t>
            </w:r>
          </w:p>
        </w:tc>
        <w:tc>
          <w:tcPr>
            <w:tcW w:w="1191" w:type="dxa"/>
          </w:tcPr>
          <w:p w14:paraId="33CA7861" w14:textId="191EDE0E" w:rsidR="00593CA5" w:rsidRDefault="00593CA5" w:rsidP="000D5355">
            <w:r>
              <w:t>$</w:t>
            </w:r>
            <w:r w:rsidR="000D5355">
              <w:t>829.10</w:t>
            </w:r>
          </w:p>
        </w:tc>
      </w:tr>
      <w:tr w:rsidR="00593CA5" w14:paraId="1DA1CBFE" w14:textId="7978E26C" w:rsidTr="00593CA5">
        <w:trPr>
          <w:trHeight w:val="289"/>
        </w:trPr>
        <w:tc>
          <w:tcPr>
            <w:tcW w:w="4433" w:type="dxa"/>
          </w:tcPr>
          <w:p w14:paraId="1D84E516" w14:textId="77777777" w:rsidR="00593CA5" w:rsidRPr="00512CA7" w:rsidRDefault="00593CA5" w:rsidP="00843796">
            <w:pPr>
              <w:rPr>
                <w:b/>
              </w:rPr>
            </w:pPr>
            <w:r w:rsidRPr="00512CA7">
              <w:rPr>
                <w:b/>
              </w:rPr>
              <w:t>Totals</w:t>
            </w:r>
          </w:p>
        </w:tc>
        <w:tc>
          <w:tcPr>
            <w:tcW w:w="1710" w:type="dxa"/>
          </w:tcPr>
          <w:p w14:paraId="0E552FB9" w14:textId="2A950595" w:rsidR="00593CA5" w:rsidRPr="00593CA5" w:rsidRDefault="00593CA5" w:rsidP="00843796">
            <w:pPr>
              <w:rPr>
                <w:b/>
              </w:rPr>
            </w:pPr>
            <w:r w:rsidRPr="00593CA5">
              <w:rPr>
                <w:b/>
              </w:rPr>
              <w:t>238</w:t>
            </w:r>
          </w:p>
        </w:tc>
        <w:tc>
          <w:tcPr>
            <w:tcW w:w="1710" w:type="dxa"/>
          </w:tcPr>
          <w:p w14:paraId="75147E8E" w14:textId="263C5DB0" w:rsidR="00593CA5" w:rsidRPr="00593CA5" w:rsidRDefault="000D5355" w:rsidP="00843796">
            <w:pPr>
              <w:rPr>
                <w:b/>
              </w:rPr>
            </w:pPr>
            <w:r>
              <w:rPr>
                <w:b/>
              </w:rPr>
              <w:t>1</w:t>
            </w:r>
            <w:r w:rsidR="00593CA5" w:rsidRPr="00593CA5">
              <w:rPr>
                <w:b/>
              </w:rPr>
              <w:t>0 minutes</w:t>
            </w:r>
          </w:p>
        </w:tc>
        <w:tc>
          <w:tcPr>
            <w:tcW w:w="1620" w:type="dxa"/>
          </w:tcPr>
          <w:p w14:paraId="2E481030" w14:textId="1FEE2CD4" w:rsidR="00593CA5" w:rsidRPr="000D5355" w:rsidRDefault="00593CA5" w:rsidP="00593CA5">
            <w:pPr>
              <w:rPr>
                <w:b/>
              </w:rPr>
            </w:pPr>
            <w:r w:rsidRPr="000D5355">
              <w:rPr>
                <w:b/>
              </w:rPr>
              <w:t>39.67 hours</w:t>
            </w:r>
          </w:p>
        </w:tc>
        <w:tc>
          <w:tcPr>
            <w:tcW w:w="1191" w:type="dxa"/>
          </w:tcPr>
          <w:p w14:paraId="2D934A7D" w14:textId="3B84558D" w:rsidR="00593CA5" w:rsidRPr="000D5355" w:rsidRDefault="000D5355" w:rsidP="0057706F">
            <w:pPr>
              <w:rPr>
                <w:b/>
              </w:rPr>
            </w:pPr>
            <w:r w:rsidRPr="000D5355">
              <w:rPr>
                <w:b/>
              </w:rPr>
              <w:t>$829.10</w:t>
            </w:r>
          </w:p>
        </w:tc>
      </w:tr>
    </w:tbl>
    <w:p w14:paraId="631B9ED8" w14:textId="77777777" w:rsidR="00B46F2C" w:rsidRDefault="00B46F2C" w:rsidP="00F3170F"/>
    <w:p w14:paraId="35A9C0ED" w14:textId="77777777" w:rsidR="00B46F2C" w:rsidRDefault="00B46F2C" w:rsidP="00F3170F"/>
    <w:p w14:paraId="2931EB2B" w14:textId="735519F4" w:rsidR="00564981" w:rsidRDefault="00B46F2C" w:rsidP="00564981">
      <w:r>
        <w:rPr>
          <w:b/>
        </w:rPr>
        <w:t xml:space="preserve">FEDERAL COST:  </w:t>
      </w:r>
      <w:r>
        <w:t xml:space="preserve">The estimated annual cost to the Federal government </w:t>
      </w:r>
      <w:r w:rsidR="0067207D">
        <w:t xml:space="preserve">is </w:t>
      </w:r>
      <w:r w:rsidR="008068FA">
        <w:t>$</w:t>
      </w:r>
      <w:r w:rsidR="00645E86">
        <w:t>1775.50</w:t>
      </w:r>
      <w:r w:rsidR="00087E3D">
        <w:t xml:space="preserve">. </w:t>
      </w:r>
      <w:r w:rsidR="00564981">
        <w:t xml:space="preserve">One federal staff person (GS12 step 1) will oversee the OMB process, serve as the point of contact for report feedback process, develop and lead the feedback collection process, and participate in the analysis of feedback results (40 hours). One additional federal staff person (GS14, step 10) will assist in the analysis of results (10 hours). </w:t>
      </w:r>
    </w:p>
    <w:p w14:paraId="7B17A297" w14:textId="1248877B" w:rsidR="00564981" w:rsidRDefault="00564981" w:rsidP="00564981"/>
    <w:p w14:paraId="0382352E" w14:textId="4FAC588F" w:rsidR="00564981" w:rsidRDefault="00564981" w:rsidP="00564981">
      <w:r>
        <w:t>A GS12, step 1 hourly basic is $30.47 for a total of $1218.80 for 40 hours.  A GS14, step 10 hourly basic is $55.67 for a total of $556.70</w:t>
      </w:r>
      <w:r w:rsidR="0036325C">
        <w:t xml:space="preserve"> for 10 hours</w:t>
      </w:r>
      <w:r>
        <w:t xml:space="preserve">. Total federal cost is </w:t>
      </w:r>
      <w:r w:rsidR="00645E86">
        <w:t>$1775.50.</w:t>
      </w:r>
    </w:p>
    <w:p w14:paraId="0900C8D3" w14:textId="3B07E47E" w:rsidR="00667C64" w:rsidRDefault="0072481E" w:rsidP="00564981">
      <w:pPr>
        <w:rPr>
          <w:bCs/>
        </w:rPr>
      </w:pPr>
      <w:r>
        <w:rPr>
          <w:bCs/>
        </w:rPr>
        <w:t xml:space="preserve"> (</w:t>
      </w:r>
      <w:hyperlink r:id="rId8" w:history="1">
        <w:r w:rsidR="00564981" w:rsidRPr="00782147">
          <w:rPr>
            <w:rStyle w:val="Hyperlink"/>
          </w:rPr>
          <w:t>https://www.opm.gov/policy-data-oversight/pay-leave/salaries-wages/2019/general-schedule/</w:t>
        </w:r>
      </w:hyperlink>
      <w:r>
        <w:rPr>
          <w:bCs/>
        </w:rPr>
        <w:t>)</w:t>
      </w:r>
    </w:p>
    <w:p w14:paraId="38D590E3" w14:textId="5B77BBA4" w:rsidR="000D5355" w:rsidRDefault="000D5355" w:rsidP="00564981">
      <w:pPr>
        <w:rPr>
          <w:bCs/>
        </w:rPr>
      </w:pPr>
    </w:p>
    <w:p w14:paraId="7E2502AB" w14:textId="343FE334" w:rsidR="00667C64" w:rsidRPr="000D5355" w:rsidRDefault="000D5355">
      <w:pPr>
        <w:rPr>
          <w:bCs/>
          <w:u w:val="single"/>
        </w:rPr>
      </w:pPr>
      <w:r>
        <w:rPr>
          <w:bCs/>
        </w:rPr>
        <w:t>A Community Health Worker earns $20.90 per hour. Multiplied by the annual burden</w:t>
      </w:r>
      <w:r w:rsidR="00CB4135">
        <w:rPr>
          <w:bCs/>
        </w:rPr>
        <w:t xml:space="preserve"> (39.67 hours)</w:t>
      </w:r>
      <w:r>
        <w:rPr>
          <w:bCs/>
        </w:rPr>
        <w:t xml:space="preserve">, this amounts to $829.10. </w:t>
      </w:r>
      <w:r w:rsidRPr="000D5355">
        <w:rPr>
          <w:bCs/>
          <w:u w:val="single"/>
        </w:rPr>
        <w:t>(</w:t>
      </w:r>
      <w:hyperlink r:id="rId9" w:history="1">
        <w:r w:rsidRPr="000D5355">
          <w:rPr>
            <w:rStyle w:val="Hyperlink"/>
            <w:bCs/>
          </w:rPr>
          <w:t>https://www.bls.gov/ces/</w:t>
        </w:r>
      </w:hyperlink>
      <w:r w:rsidRPr="000D5355">
        <w:rPr>
          <w:bCs/>
          <w:u w:val="single"/>
        </w:rPr>
        <w:t>)</w:t>
      </w:r>
    </w:p>
    <w:p w14:paraId="029BB361" w14:textId="77777777" w:rsidR="000D5355" w:rsidRDefault="000D5355">
      <w:pPr>
        <w:rPr>
          <w:b/>
          <w:bCs/>
          <w:u w:val="single"/>
        </w:rPr>
      </w:pPr>
    </w:p>
    <w:p w14:paraId="6CE446EA" w14:textId="35A9E5F1" w:rsidR="00B46F2C" w:rsidRDefault="00B46F2C" w:rsidP="00F06866">
      <w:pPr>
        <w:rPr>
          <w:b/>
        </w:rPr>
      </w:pPr>
      <w:r>
        <w:rPr>
          <w:b/>
          <w:bCs/>
          <w:u w:val="single"/>
        </w:rPr>
        <w:t xml:space="preserve">If you are conducting a focus group, </w:t>
      </w:r>
      <w:r w:rsidR="000E6840">
        <w:rPr>
          <w:b/>
          <w:bCs/>
          <w:u w:val="single"/>
        </w:rPr>
        <w:t>assessment</w:t>
      </w:r>
      <w:r>
        <w:rPr>
          <w:b/>
          <w:bCs/>
          <w:u w:val="single"/>
        </w:rPr>
        <w:t xml:space="preserve">, or plan to employ statistical methods, </w:t>
      </w:r>
      <w:r w:rsidR="0067207D">
        <w:rPr>
          <w:b/>
          <w:bCs/>
          <w:u w:val="single"/>
        </w:rPr>
        <w:t>please provide</w:t>
      </w:r>
      <w:r>
        <w:rPr>
          <w:b/>
          <w:bCs/>
          <w:u w:val="single"/>
        </w:rPr>
        <w:t xml:space="preserve"> answers to the following questions:</w:t>
      </w:r>
    </w:p>
    <w:p w14:paraId="0C817553" w14:textId="77777777" w:rsidR="00B46F2C" w:rsidRDefault="00B46F2C" w:rsidP="00F06866">
      <w:pPr>
        <w:rPr>
          <w:b/>
        </w:rPr>
      </w:pPr>
    </w:p>
    <w:p w14:paraId="5D7E9D6F" w14:textId="77777777" w:rsidR="00B46F2C" w:rsidRDefault="00B46F2C" w:rsidP="00F06866">
      <w:pPr>
        <w:rPr>
          <w:b/>
        </w:rPr>
      </w:pPr>
      <w:r>
        <w:rPr>
          <w:b/>
        </w:rPr>
        <w:t>The selection of your targeted respondents</w:t>
      </w:r>
    </w:p>
    <w:p w14:paraId="5D6A9293"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124A56">
        <w:t>[x</w:t>
      </w:r>
      <w:r>
        <w:t>] Yes</w:t>
      </w:r>
      <w:r>
        <w:tab/>
        <w:t>[ ] No</w:t>
      </w:r>
    </w:p>
    <w:p w14:paraId="5C85F6C7" w14:textId="77777777" w:rsidR="00B46F2C" w:rsidRDefault="00B46F2C" w:rsidP="00636621">
      <w:pPr>
        <w:pStyle w:val="ListParagraph"/>
      </w:pPr>
    </w:p>
    <w:p w14:paraId="1A592748" w14:textId="77777777" w:rsidR="00B46F2C" w:rsidRDefault="00B46F2C"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944B9B7" w14:textId="77777777" w:rsidR="00B46F2C" w:rsidRDefault="00B46F2C" w:rsidP="00A403BB">
      <w:pPr>
        <w:pStyle w:val="ListParagraph"/>
      </w:pPr>
    </w:p>
    <w:p w14:paraId="0C95830A" w14:textId="76EBAB22" w:rsidR="00B46F2C" w:rsidRDefault="00681A12" w:rsidP="00A403BB">
      <w:r w:rsidRPr="002515D6">
        <w:rPr>
          <w:u w:val="single"/>
        </w:rPr>
        <w:t>Universe of potential respondents:</w:t>
      </w:r>
      <w:r>
        <w:t xml:space="preserve"> Executive directors or program managers at CDC-funded CBOs, specifically PS15-1502 and PS17-1704. </w:t>
      </w:r>
      <w:r w:rsidR="003E36B5">
        <w:t xml:space="preserve">The existing list is maintained by the Prevention Program Branch in DHAP. </w:t>
      </w:r>
    </w:p>
    <w:p w14:paraId="5ED0DD24" w14:textId="77777777" w:rsidR="008F0768" w:rsidRDefault="008F0768" w:rsidP="00A403BB"/>
    <w:p w14:paraId="0DC08500" w14:textId="00ED2791" w:rsidR="008F0768" w:rsidRDefault="008F0768" w:rsidP="00A403BB">
      <w:r w:rsidRPr="002515D6">
        <w:rPr>
          <w:u w:val="single"/>
        </w:rPr>
        <w:t>Sampling plan:</w:t>
      </w:r>
      <w:r>
        <w:t xml:space="preserve"> </w:t>
      </w:r>
      <w:r w:rsidR="00C84CFF">
        <w:t xml:space="preserve">Sampling will not be used. Each executive director </w:t>
      </w:r>
      <w:r w:rsidR="00645E86">
        <w:t>and</w:t>
      </w:r>
      <w:r w:rsidR="00C84CFF">
        <w:t xml:space="preserve"> program manager that receives the RFR will also receive </w:t>
      </w:r>
      <w:r w:rsidR="00645E86">
        <w:t xml:space="preserve">a link to the </w:t>
      </w:r>
      <w:r w:rsidR="00C84CFF">
        <w:t xml:space="preserve">customer </w:t>
      </w:r>
      <w:r w:rsidR="00645E86">
        <w:t>feedback</w:t>
      </w:r>
      <w:r w:rsidR="00C84CFF">
        <w:t xml:space="preserve"> </w:t>
      </w:r>
      <w:r w:rsidR="000E6840">
        <w:t>assessment</w:t>
      </w:r>
      <w:r w:rsidR="00C84CFF">
        <w:t xml:space="preserve">. </w:t>
      </w:r>
    </w:p>
    <w:p w14:paraId="2DBAF917" w14:textId="77777777" w:rsidR="00B46F2C" w:rsidRDefault="00B46F2C" w:rsidP="00A403BB"/>
    <w:p w14:paraId="78F2A1A6" w14:textId="77777777" w:rsidR="00B46F2C" w:rsidRDefault="00B46F2C" w:rsidP="00A403BB">
      <w:pPr>
        <w:rPr>
          <w:b/>
        </w:rPr>
      </w:pPr>
      <w:r>
        <w:rPr>
          <w:b/>
        </w:rPr>
        <w:t>Administration of the Instrument</w:t>
      </w:r>
    </w:p>
    <w:p w14:paraId="0F304349" w14:textId="77777777" w:rsidR="00B46F2C" w:rsidRDefault="00B46F2C" w:rsidP="00A403BB">
      <w:pPr>
        <w:pStyle w:val="ListParagraph"/>
        <w:numPr>
          <w:ilvl w:val="0"/>
          <w:numId w:val="17"/>
        </w:numPr>
      </w:pPr>
      <w:r>
        <w:t>How will you collect the information? (Check all that apply)</w:t>
      </w:r>
    </w:p>
    <w:p w14:paraId="4992033D" w14:textId="77777777" w:rsidR="00B46F2C" w:rsidRDefault="00681A12" w:rsidP="001B0AAA">
      <w:pPr>
        <w:ind w:left="720"/>
      </w:pPr>
      <w:r>
        <w:t>[x</w:t>
      </w:r>
      <w:r w:rsidR="00B46F2C">
        <w:t xml:space="preserve">] Web-based or other forms of Social Media </w:t>
      </w:r>
    </w:p>
    <w:p w14:paraId="01930C16" w14:textId="77777777" w:rsidR="00B46F2C" w:rsidRDefault="00B46F2C" w:rsidP="001B0AAA">
      <w:pPr>
        <w:ind w:left="720"/>
      </w:pPr>
      <w:r>
        <w:t>[  ] Telephone</w:t>
      </w:r>
      <w:r>
        <w:tab/>
      </w:r>
    </w:p>
    <w:p w14:paraId="01436211" w14:textId="77777777" w:rsidR="00B46F2C" w:rsidRDefault="00B46F2C" w:rsidP="001B0AAA">
      <w:pPr>
        <w:ind w:left="720"/>
      </w:pPr>
      <w:r>
        <w:t>[  ] In-person</w:t>
      </w:r>
      <w:r>
        <w:tab/>
      </w:r>
    </w:p>
    <w:p w14:paraId="1115D0E4" w14:textId="77777777" w:rsidR="00B46F2C" w:rsidRDefault="00B46F2C" w:rsidP="001B0AAA">
      <w:pPr>
        <w:ind w:left="720"/>
      </w:pPr>
      <w:r>
        <w:t xml:space="preserve">[  ] Mail </w:t>
      </w:r>
    </w:p>
    <w:p w14:paraId="0CFB67F9" w14:textId="77777777" w:rsidR="00B46F2C" w:rsidRDefault="00B46F2C" w:rsidP="001B0AAA">
      <w:pPr>
        <w:ind w:left="720"/>
      </w:pPr>
      <w:r>
        <w:t>[  ] Other, Explain</w:t>
      </w:r>
    </w:p>
    <w:p w14:paraId="23D07BEF" w14:textId="77777777" w:rsidR="00B46F2C" w:rsidRDefault="00B46F2C" w:rsidP="00F24CFC">
      <w:pPr>
        <w:pStyle w:val="ListParagraph"/>
        <w:numPr>
          <w:ilvl w:val="0"/>
          <w:numId w:val="17"/>
        </w:numPr>
      </w:pPr>
      <w:r>
        <w:t>Will interviewers or fac</w:t>
      </w:r>
      <w:r w:rsidR="008F0768">
        <w:t>ilitators be used?  [  ] Yes [x</w:t>
      </w:r>
      <w:r>
        <w:t>] No</w:t>
      </w:r>
    </w:p>
    <w:p w14:paraId="102F5210" w14:textId="77777777" w:rsidR="00B46F2C" w:rsidRDefault="00B46F2C" w:rsidP="00F24CFC">
      <w:pPr>
        <w:pStyle w:val="ListParagraph"/>
        <w:ind w:left="360"/>
      </w:pPr>
      <w:r>
        <w:t xml:space="preserve"> </w:t>
      </w:r>
    </w:p>
    <w:p w14:paraId="026BDD8F" w14:textId="77777777" w:rsidR="00641520" w:rsidRPr="00124A56" w:rsidRDefault="00B46F2C">
      <w:pPr>
        <w:rPr>
          <w:b/>
        </w:rPr>
      </w:pPr>
      <w:r w:rsidRPr="00F24CFC">
        <w:rPr>
          <w:b/>
        </w:rPr>
        <w:t>Please make sure that all instruments, instructions, and scripts are submitted with the request.</w:t>
      </w:r>
      <w:r w:rsidR="00641520">
        <w:rPr>
          <w:sz w:val="28"/>
        </w:rPr>
        <w:br w:type="page"/>
      </w:r>
    </w:p>
    <w:p w14:paraId="7F1F7972"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582FF57" w14:textId="77777777" w:rsidR="00B46F2C" w:rsidRDefault="00B46F2C" w:rsidP="00F24CFC">
      <w:pPr>
        <w:rPr>
          <w:b/>
        </w:rPr>
      </w:pPr>
    </w:p>
    <w:p w14:paraId="3D8A9B93" w14:textId="77777777" w:rsidR="00B46F2C" w:rsidRDefault="00B67C4F" w:rsidP="00F24CFC">
      <w:pPr>
        <w:rPr>
          <w:b/>
        </w:rPr>
      </w:pPr>
      <w:r>
        <w:rPr>
          <w:noProof/>
        </w:rPr>
        <mc:AlternateContent>
          <mc:Choice Requires="wps">
            <w:drawing>
              <wp:anchor distT="0" distB="0" distL="114300" distR="114300" simplePos="0" relativeHeight="251659264" behindDoc="0" locked="0" layoutInCell="0" allowOverlap="1" wp14:anchorId="463EBFBD" wp14:editId="704E94E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F2CF3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97F30B2"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r w:rsidR="00CE5435">
        <w:t xml:space="preserve">. </w:t>
      </w:r>
    </w:p>
    <w:p w14:paraId="6F7BCB6B" w14:textId="77777777" w:rsidR="00B46F2C" w:rsidRPr="008F50D4" w:rsidRDefault="00B46F2C" w:rsidP="00F24CFC"/>
    <w:p w14:paraId="7B37AEE5" w14:textId="77777777" w:rsidR="00B46F2C" w:rsidRPr="008F50D4" w:rsidRDefault="00B46F2C" w:rsidP="00F24CFC">
      <w:pPr>
        <w:rPr>
          <w:b/>
        </w:rPr>
      </w:pPr>
      <w:r w:rsidRPr="008F50D4">
        <w:rPr>
          <w:b/>
        </w:rPr>
        <w:t xml:space="preserve">PURPOSE:  </w:t>
      </w:r>
      <w:r w:rsidRPr="008F50D4">
        <w:t xml:space="preserve">Provide a brief description of the purpose of this collection and how it will be used.  </w:t>
      </w:r>
      <w:r w:rsidR="00CE5435">
        <w:t xml:space="preserve">Include discussion of recruitment/contact method, consent, etc. </w:t>
      </w:r>
      <w:r w:rsidRPr="008F50D4">
        <w:t>If this is part of a larger study or effort, please include this in your explanation.</w:t>
      </w:r>
    </w:p>
    <w:p w14:paraId="223D7E1B" w14:textId="77777777" w:rsidR="00B46F2C" w:rsidRPr="008F50D4" w:rsidRDefault="00B46F2C" w:rsidP="00F24CFC">
      <w:pPr>
        <w:pStyle w:val="Header"/>
        <w:tabs>
          <w:tab w:val="clear" w:pos="4320"/>
          <w:tab w:val="clear" w:pos="8640"/>
        </w:tabs>
        <w:rPr>
          <w:b/>
        </w:rPr>
      </w:pPr>
    </w:p>
    <w:p w14:paraId="2C1B8F7A" w14:textId="77777777" w:rsidR="00767358"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385C019B" w14:textId="77777777" w:rsidR="00B46F2C" w:rsidRPr="008F50D4" w:rsidRDefault="00B46F2C" w:rsidP="00F24CFC">
      <w:pPr>
        <w:rPr>
          <w:b/>
        </w:rPr>
      </w:pPr>
    </w:p>
    <w:p w14:paraId="3CB65952"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A8D799A" w14:textId="77777777" w:rsidR="00B46F2C" w:rsidRPr="008F50D4" w:rsidRDefault="00B46F2C" w:rsidP="00F24CFC">
      <w:pPr>
        <w:pStyle w:val="BodyTextIndent"/>
        <w:tabs>
          <w:tab w:val="left" w:pos="360"/>
        </w:tabs>
        <w:ind w:left="0"/>
        <w:rPr>
          <w:bCs/>
          <w:sz w:val="24"/>
          <w:szCs w:val="24"/>
        </w:rPr>
      </w:pPr>
    </w:p>
    <w:p w14:paraId="607EE87A"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7FA980DC" w14:textId="77777777" w:rsidR="00B46F2C" w:rsidRDefault="00B46F2C" w:rsidP="00F24CFC">
      <w:pPr>
        <w:rPr>
          <w:sz w:val="16"/>
          <w:szCs w:val="16"/>
        </w:rPr>
      </w:pPr>
    </w:p>
    <w:p w14:paraId="24C17162" w14:textId="77777777" w:rsidR="00B46F2C" w:rsidRDefault="00B46F2C" w:rsidP="00F24CFC">
      <w:r w:rsidRPr="00C86E91">
        <w:rPr>
          <w:b/>
        </w:rPr>
        <w:t>Personally Identifiable Information:</w:t>
      </w:r>
      <w:r>
        <w:rPr>
          <w:b/>
        </w:rPr>
        <w:t xml:space="preserve">  </w:t>
      </w:r>
      <w:r>
        <w:t xml:space="preserve">Provide answers to the questions.  </w:t>
      </w:r>
    </w:p>
    <w:p w14:paraId="2C278103" w14:textId="77777777" w:rsidR="00B46F2C" w:rsidRPr="008F50D4" w:rsidRDefault="00B46F2C" w:rsidP="00F24CFC"/>
    <w:p w14:paraId="028D23B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7B9FCBDD" w14:textId="77777777" w:rsidR="00B46F2C" w:rsidRDefault="00B46F2C" w:rsidP="00F24CFC">
      <w:pPr>
        <w:rPr>
          <w:b/>
        </w:rPr>
      </w:pPr>
    </w:p>
    <w:p w14:paraId="3C5CD9D2" w14:textId="77777777" w:rsidR="00B46F2C" w:rsidRDefault="00B46F2C" w:rsidP="00F24CFC">
      <w:pPr>
        <w:rPr>
          <w:b/>
        </w:rPr>
      </w:pPr>
      <w:r>
        <w:rPr>
          <w:b/>
        </w:rPr>
        <w:t>BURDEN HOURS:</w:t>
      </w:r>
    </w:p>
    <w:p w14:paraId="511D137F"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6381D08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062A436F" w14:textId="5E5A5C8E" w:rsidR="00B46F2C" w:rsidRDefault="00B46F2C" w:rsidP="00F24CFC">
      <w:r>
        <w:rPr>
          <w:b/>
        </w:rPr>
        <w:t xml:space="preserve">Participation Time:  </w:t>
      </w:r>
      <w:r>
        <w:t xml:space="preserve">Provide an estimate of the amount of time required for a respondent to participate (e.g. fill out a </w:t>
      </w:r>
      <w:r w:rsidR="000E6840">
        <w:t>assessment</w:t>
      </w:r>
      <w:r>
        <w:t xml:space="preserve"> or participate in a focus group)</w:t>
      </w:r>
    </w:p>
    <w:p w14:paraId="1E69B21F"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57E31CF6" w14:textId="77777777" w:rsidR="00B46F2C" w:rsidRPr="006832D9" w:rsidRDefault="00B46F2C" w:rsidP="00F24CFC">
      <w:pPr>
        <w:keepNext/>
        <w:keepLines/>
        <w:rPr>
          <w:b/>
        </w:rPr>
      </w:pPr>
    </w:p>
    <w:p w14:paraId="3EDAF111" w14:textId="77777777" w:rsidR="00B46F2C" w:rsidRDefault="00B46F2C" w:rsidP="00F24CFC">
      <w:pPr>
        <w:rPr>
          <w:b/>
        </w:rPr>
      </w:pPr>
      <w:r>
        <w:rPr>
          <w:b/>
        </w:rPr>
        <w:t xml:space="preserve">FEDERAL COST: </w:t>
      </w:r>
      <w:r>
        <w:t>Provide an estimate of the annual cost to the Federal government.</w:t>
      </w:r>
    </w:p>
    <w:p w14:paraId="705F01FF" w14:textId="77777777" w:rsidR="00B46F2C" w:rsidRDefault="00B46F2C" w:rsidP="00F24CFC">
      <w:pPr>
        <w:rPr>
          <w:b/>
          <w:bCs/>
          <w:u w:val="single"/>
        </w:rPr>
      </w:pPr>
    </w:p>
    <w:p w14:paraId="07DC9843" w14:textId="7A2FB343" w:rsidR="00B46F2C" w:rsidRDefault="00B46F2C" w:rsidP="00F24CFC">
      <w:pPr>
        <w:rPr>
          <w:b/>
        </w:rPr>
      </w:pPr>
      <w:r>
        <w:rPr>
          <w:b/>
          <w:bCs/>
          <w:u w:val="single"/>
        </w:rPr>
        <w:t xml:space="preserve">If you are conducting a focus group, </w:t>
      </w:r>
      <w:r w:rsidR="000E6840">
        <w:rPr>
          <w:b/>
          <w:bCs/>
          <w:u w:val="single"/>
        </w:rPr>
        <w:t>assessment</w:t>
      </w:r>
      <w:r>
        <w:rPr>
          <w:b/>
          <w:bCs/>
          <w:u w:val="single"/>
        </w:rPr>
        <w:t>, or plan to employ statistical methods, please  provide answers to the following questions:</w:t>
      </w:r>
    </w:p>
    <w:p w14:paraId="34CA094C" w14:textId="77777777" w:rsidR="00B46F2C" w:rsidRDefault="00B46F2C" w:rsidP="00F24CFC">
      <w:pPr>
        <w:rPr>
          <w:b/>
        </w:rPr>
      </w:pPr>
    </w:p>
    <w:p w14:paraId="45D382F9"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E54668B" w14:textId="77777777" w:rsidR="00B46F2C" w:rsidRDefault="00B46F2C" w:rsidP="00F24CFC">
      <w:pPr>
        <w:rPr>
          <w:b/>
        </w:rPr>
      </w:pPr>
    </w:p>
    <w:p w14:paraId="66EEC566" w14:textId="0F522D5F" w:rsidR="00B46F2C" w:rsidRPr="003F1C5B" w:rsidRDefault="00B46F2C" w:rsidP="00F24CFC">
      <w:r>
        <w:rPr>
          <w:b/>
        </w:rPr>
        <w:t xml:space="preserve">Administration of the Instrument:  </w:t>
      </w:r>
      <w:r>
        <w:t xml:space="preserve">Identify how the information will be collected.  More than one box may be checked.  Indicate whether there will be interviewers (e.g. for </w:t>
      </w:r>
      <w:r w:rsidR="000E6840">
        <w:t>assessment</w:t>
      </w:r>
      <w:r>
        <w:t>s) or facilitators (e.g., for focus groups) used.</w:t>
      </w:r>
    </w:p>
    <w:p w14:paraId="7117D143" w14:textId="77777777" w:rsidR="00B46F2C" w:rsidRDefault="00B46F2C" w:rsidP="00F24CFC">
      <w:pPr>
        <w:pStyle w:val="ListParagraph"/>
        <w:ind w:left="360"/>
      </w:pPr>
    </w:p>
    <w:p w14:paraId="39C3F72B" w14:textId="77777777" w:rsidR="00B46F2C" w:rsidRPr="00F24CFC" w:rsidRDefault="00B46F2C" w:rsidP="00F24CFC">
      <w:pPr>
        <w:rPr>
          <w:b/>
        </w:rPr>
      </w:pPr>
      <w:r w:rsidRPr="00F24CFC">
        <w:rPr>
          <w:b/>
        </w:rPr>
        <w:t>Please make sure that all instruments, instructions, and scripts are submitted with the request.</w:t>
      </w:r>
    </w:p>
    <w:p w14:paraId="2DEE01F7" w14:textId="77777777" w:rsidR="00B46F2C" w:rsidRDefault="00B46F2C" w:rsidP="00F24CFC">
      <w:pPr>
        <w:tabs>
          <w:tab w:val="left" w:pos="5670"/>
        </w:tabs>
        <w:suppressAutoHyphens/>
      </w:pPr>
    </w:p>
    <w:sectPr w:rsidR="00B46F2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5F7C3" w14:textId="77777777" w:rsidR="004406A9" w:rsidRDefault="004406A9">
      <w:r>
        <w:separator/>
      </w:r>
    </w:p>
  </w:endnote>
  <w:endnote w:type="continuationSeparator" w:id="0">
    <w:p w14:paraId="7D045051" w14:textId="77777777" w:rsidR="004406A9" w:rsidRDefault="0044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F61E" w14:textId="7EF7433F" w:rsidR="00667C64" w:rsidRDefault="00667C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162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07D21" w14:textId="77777777" w:rsidR="004406A9" w:rsidRDefault="004406A9">
      <w:r>
        <w:separator/>
      </w:r>
    </w:p>
  </w:footnote>
  <w:footnote w:type="continuationSeparator" w:id="0">
    <w:p w14:paraId="0CCFEDC2" w14:textId="77777777" w:rsidR="004406A9" w:rsidRDefault="00440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7CD0"/>
    <w:rsid w:val="00087E3D"/>
    <w:rsid w:val="00095530"/>
    <w:rsid w:val="000B2838"/>
    <w:rsid w:val="000D44CA"/>
    <w:rsid w:val="000D5355"/>
    <w:rsid w:val="000E200B"/>
    <w:rsid w:val="000E6840"/>
    <w:rsid w:val="000F68BE"/>
    <w:rsid w:val="00124A56"/>
    <w:rsid w:val="001603DC"/>
    <w:rsid w:val="001927A4"/>
    <w:rsid w:val="00194AC6"/>
    <w:rsid w:val="001A1588"/>
    <w:rsid w:val="001A1629"/>
    <w:rsid w:val="001A23B0"/>
    <w:rsid w:val="001A25CC"/>
    <w:rsid w:val="001B0AAA"/>
    <w:rsid w:val="001C39F7"/>
    <w:rsid w:val="00210596"/>
    <w:rsid w:val="00237B48"/>
    <w:rsid w:val="0024521E"/>
    <w:rsid w:val="002515D6"/>
    <w:rsid w:val="00263C3D"/>
    <w:rsid w:val="00274D0B"/>
    <w:rsid w:val="002821FF"/>
    <w:rsid w:val="002B3C95"/>
    <w:rsid w:val="002D0B92"/>
    <w:rsid w:val="00302F20"/>
    <w:rsid w:val="0036325C"/>
    <w:rsid w:val="003675DB"/>
    <w:rsid w:val="0038253B"/>
    <w:rsid w:val="003A649E"/>
    <w:rsid w:val="003D5BBE"/>
    <w:rsid w:val="003E0F23"/>
    <w:rsid w:val="003E36B5"/>
    <w:rsid w:val="003E3C61"/>
    <w:rsid w:val="003F1C5B"/>
    <w:rsid w:val="0041337D"/>
    <w:rsid w:val="00434E33"/>
    <w:rsid w:val="004406A9"/>
    <w:rsid w:val="00441434"/>
    <w:rsid w:val="00451D6D"/>
    <w:rsid w:val="0045264C"/>
    <w:rsid w:val="004704AD"/>
    <w:rsid w:val="00472225"/>
    <w:rsid w:val="004876EC"/>
    <w:rsid w:val="00491FC9"/>
    <w:rsid w:val="004A518B"/>
    <w:rsid w:val="004D435C"/>
    <w:rsid w:val="004D6E14"/>
    <w:rsid w:val="005009B0"/>
    <w:rsid w:val="00512CA7"/>
    <w:rsid w:val="00564981"/>
    <w:rsid w:val="0057706F"/>
    <w:rsid w:val="00593CA5"/>
    <w:rsid w:val="005A1006"/>
    <w:rsid w:val="005E1BC0"/>
    <w:rsid w:val="005E714A"/>
    <w:rsid w:val="006140A0"/>
    <w:rsid w:val="00627CEA"/>
    <w:rsid w:val="00631FAE"/>
    <w:rsid w:val="00636621"/>
    <w:rsid w:val="00641520"/>
    <w:rsid w:val="00642B49"/>
    <w:rsid w:val="00645E86"/>
    <w:rsid w:val="00667C64"/>
    <w:rsid w:val="0067207D"/>
    <w:rsid w:val="00681A12"/>
    <w:rsid w:val="006832D9"/>
    <w:rsid w:val="00685039"/>
    <w:rsid w:val="0069403B"/>
    <w:rsid w:val="006C5915"/>
    <w:rsid w:val="006F3DDE"/>
    <w:rsid w:val="006F550D"/>
    <w:rsid w:val="00704678"/>
    <w:rsid w:val="007124A9"/>
    <w:rsid w:val="0072481E"/>
    <w:rsid w:val="007425E7"/>
    <w:rsid w:val="00743D6B"/>
    <w:rsid w:val="00767358"/>
    <w:rsid w:val="007838E9"/>
    <w:rsid w:val="007934AC"/>
    <w:rsid w:val="00802607"/>
    <w:rsid w:val="008068FA"/>
    <w:rsid w:val="008101A5"/>
    <w:rsid w:val="00822664"/>
    <w:rsid w:val="00843796"/>
    <w:rsid w:val="00895229"/>
    <w:rsid w:val="008A5CFD"/>
    <w:rsid w:val="008F0203"/>
    <w:rsid w:val="008F0768"/>
    <w:rsid w:val="008F50D4"/>
    <w:rsid w:val="009239AA"/>
    <w:rsid w:val="00935ADA"/>
    <w:rsid w:val="00946B6C"/>
    <w:rsid w:val="00955A71"/>
    <w:rsid w:val="0096108F"/>
    <w:rsid w:val="009A0BC3"/>
    <w:rsid w:val="009C13B9"/>
    <w:rsid w:val="009D01A2"/>
    <w:rsid w:val="009E3610"/>
    <w:rsid w:val="009F5923"/>
    <w:rsid w:val="009F6CDB"/>
    <w:rsid w:val="00A31A67"/>
    <w:rsid w:val="00A403BB"/>
    <w:rsid w:val="00A56860"/>
    <w:rsid w:val="00A674DF"/>
    <w:rsid w:val="00A83AA6"/>
    <w:rsid w:val="00AE1809"/>
    <w:rsid w:val="00B06C6E"/>
    <w:rsid w:val="00B46F2C"/>
    <w:rsid w:val="00B67C4F"/>
    <w:rsid w:val="00B80D76"/>
    <w:rsid w:val="00B9321F"/>
    <w:rsid w:val="00BA2105"/>
    <w:rsid w:val="00BA7E06"/>
    <w:rsid w:val="00BB227C"/>
    <w:rsid w:val="00BB43B5"/>
    <w:rsid w:val="00BB6219"/>
    <w:rsid w:val="00BD290F"/>
    <w:rsid w:val="00C14CC4"/>
    <w:rsid w:val="00C15152"/>
    <w:rsid w:val="00C33C52"/>
    <w:rsid w:val="00C36E4B"/>
    <w:rsid w:val="00C40D8B"/>
    <w:rsid w:val="00C8407A"/>
    <w:rsid w:val="00C8488C"/>
    <w:rsid w:val="00C84CFF"/>
    <w:rsid w:val="00C86E91"/>
    <w:rsid w:val="00CA2650"/>
    <w:rsid w:val="00CB1078"/>
    <w:rsid w:val="00CB4135"/>
    <w:rsid w:val="00CC6FAF"/>
    <w:rsid w:val="00CE5435"/>
    <w:rsid w:val="00D24698"/>
    <w:rsid w:val="00D279DE"/>
    <w:rsid w:val="00D54891"/>
    <w:rsid w:val="00D61831"/>
    <w:rsid w:val="00D6383F"/>
    <w:rsid w:val="00D71221"/>
    <w:rsid w:val="00DB59D0"/>
    <w:rsid w:val="00DC33D3"/>
    <w:rsid w:val="00DC4B29"/>
    <w:rsid w:val="00DD58F4"/>
    <w:rsid w:val="00E26329"/>
    <w:rsid w:val="00E40B50"/>
    <w:rsid w:val="00E50293"/>
    <w:rsid w:val="00E65FFC"/>
    <w:rsid w:val="00E80951"/>
    <w:rsid w:val="00E854FE"/>
    <w:rsid w:val="00E86CC6"/>
    <w:rsid w:val="00EB56B3"/>
    <w:rsid w:val="00EB7351"/>
    <w:rsid w:val="00ED6492"/>
    <w:rsid w:val="00EF2095"/>
    <w:rsid w:val="00F06866"/>
    <w:rsid w:val="00F15956"/>
    <w:rsid w:val="00F24CFC"/>
    <w:rsid w:val="00F3170F"/>
    <w:rsid w:val="00F34EF2"/>
    <w:rsid w:val="00F4017B"/>
    <w:rsid w:val="00F52885"/>
    <w:rsid w:val="00F976B0"/>
    <w:rsid w:val="00F976EB"/>
    <w:rsid w:val="00FA6DE7"/>
    <w:rsid w:val="00FC0A8E"/>
    <w:rsid w:val="00FE2FA6"/>
    <w:rsid w:val="00FE3DF2"/>
    <w:rsid w:val="00FF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BC4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72481E"/>
    <w:rPr>
      <w:color w:val="0000FF" w:themeColor="hyperlink"/>
      <w:u w:val="single"/>
    </w:rPr>
  </w:style>
  <w:style w:type="character" w:styleId="FollowedHyperlink">
    <w:name w:val="FollowedHyperlink"/>
    <w:basedOn w:val="DefaultParagraphFont"/>
    <w:uiPriority w:val="99"/>
    <w:semiHidden/>
    <w:unhideWhenUsed/>
    <w:rsid w:val="00FF0E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72481E"/>
    <w:rPr>
      <w:color w:val="0000FF" w:themeColor="hyperlink"/>
      <w:u w:val="single"/>
    </w:rPr>
  </w:style>
  <w:style w:type="character" w:styleId="FollowedHyperlink">
    <w:name w:val="FollowedHyperlink"/>
    <w:basedOn w:val="DefaultParagraphFont"/>
    <w:uiPriority w:val="99"/>
    <w:semiHidden/>
    <w:unhideWhenUsed/>
    <w:rsid w:val="00FF0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0737">
      <w:bodyDiv w:val="1"/>
      <w:marLeft w:val="0"/>
      <w:marRight w:val="0"/>
      <w:marTop w:val="0"/>
      <w:marBottom w:val="0"/>
      <w:divBdr>
        <w:top w:val="none" w:sz="0" w:space="0" w:color="auto"/>
        <w:left w:val="none" w:sz="0" w:space="0" w:color="auto"/>
        <w:bottom w:val="none" w:sz="0" w:space="0" w:color="auto"/>
        <w:right w:val="none" w:sz="0" w:space="0" w:color="auto"/>
      </w:divBdr>
      <w:divsChild>
        <w:div w:id="500852368">
          <w:marLeft w:val="1166"/>
          <w:marRight w:val="0"/>
          <w:marTop w:val="96"/>
          <w:marBottom w:val="0"/>
          <w:divBdr>
            <w:top w:val="none" w:sz="0" w:space="0" w:color="auto"/>
            <w:left w:val="none" w:sz="0" w:space="0" w:color="auto"/>
            <w:bottom w:val="none" w:sz="0" w:space="0" w:color="auto"/>
            <w:right w:val="none" w:sz="0" w:space="0" w:color="auto"/>
          </w:divBdr>
        </w:div>
        <w:div w:id="2087530054">
          <w:marLeft w:val="1166"/>
          <w:marRight w:val="0"/>
          <w:marTop w:val="96"/>
          <w:marBottom w:val="0"/>
          <w:divBdr>
            <w:top w:val="none" w:sz="0" w:space="0" w:color="auto"/>
            <w:left w:val="none" w:sz="0" w:space="0" w:color="auto"/>
            <w:bottom w:val="none" w:sz="0" w:space="0" w:color="auto"/>
            <w:right w:val="none" w:sz="0" w:space="0" w:color="auto"/>
          </w:divBdr>
        </w:div>
        <w:div w:id="2114207174">
          <w:marLeft w:val="1166"/>
          <w:marRight w:val="0"/>
          <w:marTop w:val="96"/>
          <w:marBottom w:val="0"/>
          <w:divBdr>
            <w:top w:val="none" w:sz="0" w:space="0" w:color="auto"/>
            <w:left w:val="none" w:sz="0" w:space="0" w:color="auto"/>
            <w:bottom w:val="none" w:sz="0" w:space="0" w:color="auto"/>
            <w:right w:val="none" w:sz="0" w:space="0" w:color="auto"/>
          </w:divBdr>
        </w:div>
      </w:divsChild>
    </w:div>
    <w:div w:id="342368455">
      <w:bodyDiv w:val="1"/>
      <w:marLeft w:val="0"/>
      <w:marRight w:val="0"/>
      <w:marTop w:val="0"/>
      <w:marBottom w:val="0"/>
      <w:divBdr>
        <w:top w:val="none" w:sz="0" w:space="0" w:color="auto"/>
        <w:left w:val="none" w:sz="0" w:space="0" w:color="auto"/>
        <w:bottom w:val="none" w:sz="0" w:space="0" w:color="auto"/>
        <w:right w:val="none" w:sz="0" w:space="0" w:color="auto"/>
      </w:divBdr>
    </w:div>
    <w:div w:id="743143587">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9/general-schedu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2019-05-02T14:59:00Z</dcterms:created>
  <dcterms:modified xsi:type="dcterms:W3CDTF">2019-05-02T14:59:00Z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