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E4105" w14:textId="77777777" w:rsidR="00725EC6" w:rsidRPr="00E50580" w:rsidRDefault="00725EC6" w:rsidP="00E50580">
      <w:pPr>
        <w:jc w:val="center"/>
        <w:rPr>
          <w:rFonts w:ascii="Cambria" w:hAnsi="Cambria"/>
          <w:sz w:val="32"/>
          <w:szCs w:val="32"/>
        </w:rPr>
      </w:pPr>
      <w:r w:rsidRPr="00E50580">
        <w:rPr>
          <w:rFonts w:ascii="Cambria" w:hAnsi="Cambria"/>
          <w:sz w:val="32"/>
          <w:szCs w:val="32"/>
        </w:rPr>
        <w:t>Supporting Statement B for</w:t>
      </w:r>
    </w:p>
    <w:p w14:paraId="539E4106" w14:textId="77777777" w:rsidR="007F64DE" w:rsidRPr="00E50580" w:rsidRDefault="007F64DE" w:rsidP="00E50580">
      <w:pPr>
        <w:jc w:val="center"/>
        <w:rPr>
          <w:rFonts w:ascii="Cambria" w:hAnsi="Cambria"/>
          <w:sz w:val="32"/>
          <w:szCs w:val="32"/>
        </w:rPr>
      </w:pPr>
    </w:p>
    <w:p w14:paraId="539E4107" w14:textId="77777777" w:rsidR="007F64DE" w:rsidRPr="00E50580" w:rsidRDefault="007F64DE" w:rsidP="00E50580">
      <w:pPr>
        <w:jc w:val="center"/>
        <w:rPr>
          <w:rFonts w:ascii="Cambria" w:hAnsi="Cambria"/>
          <w:sz w:val="32"/>
          <w:szCs w:val="32"/>
        </w:rPr>
      </w:pPr>
    </w:p>
    <w:p w14:paraId="539E4108" w14:textId="77777777" w:rsidR="00725EC6" w:rsidRPr="00E50580" w:rsidRDefault="00725EC6" w:rsidP="00E50580">
      <w:pPr>
        <w:jc w:val="center"/>
        <w:rPr>
          <w:rFonts w:ascii="Cambria" w:hAnsi="Cambria"/>
          <w:sz w:val="32"/>
          <w:szCs w:val="32"/>
        </w:rPr>
      </w:pPr>
    </w:p>
    <w:p w14:paraId="539E4109" w14:textId="77777777" w:rsidR="00725EC6" w:rsidRPr="00E50580" w:rsidRDefault="00725EC6" w:rsidP="00E50580">
      <w:pPr>
        <w:jc w:val="center"/>
        <w:rPr>
          <w:rFonts w:ascii="Cambria" w:hAnsi="Cambria"/>
          <w:sz w:val="32"/>
          <w:szCs w:val="32"/>
        </w:rPr>
      </w:pPr>
    </w:p>
    <w:p w14:paraId="539E410A" w14:textId="77777777" w:rsidR="00725EC6" w:rsidRPr="00E50580" w:rsidRDefault="00725EC6" w:rsidP="00E50580">
      <w:pPr>
        <w:jc w:val="center"/>
        <w:rPr>
          <w:rFonts w:ascii="Cambria" w:hAnsi="Cambria"/>
          <w:sz w:val="32"/>
          <w:szCs w:val="32"/>
        </w:rPr>
      </w:pPr>
    </w:p>
    <w:p w14:paraId="539E410B" w14:textId="77777777" w:rsidR="00725EC6" w:rsidRPr="00E50580" w:rsidRDefault="00725EC6" w:rsidP="00E50580">
      <w:pPr>
        <w:jc w:val="center"/>
        <w:rPr>
          <w:rFonts w:ascii="Cambria" w:hAnsi="Cambria"/>
          <w:sz w:val="32"/>
          <w:szCs w:val="32"/>
        </w:rPr>
      </w:pPr>
    </w:p>
    <w:p w14:paraId="539E410C" w14:textId="77777777" w:rsidR="00725EC6" w:rsidRPr="00E50580" w:rsidRDefault="00725EC6" w:rsidP="00E50580">
      <w:pPr>
        <w:jc w:val="center"/>
        <w:rPr>
          <w:rFonts w:ascii="Cambria" w:hAnsi="Cambria"/>
          <w:sz w:val="32"/>
          <w:szCs w:val="32"/>
        </w:rPr>
      </w:pPr>
    </w:p>
    <w:p w14:paraId="539E410D" w14:textId="77777777" w:rsidR="00725EC6" w:rsidRPr="00E50580" w:rsidRDefault="00725EC6" w:rsidP="00E50580">
      <w:pPr>
        <w:jc w:val="center"/>
        <w:rPr>
          <w:rFonts w:ascii="Cambria" w:hAnsi="Cambria"/>
          <w:color w:val="FF0000"/>
          <w:sz w:val="32"/>
          <w:szCs w:val="32"/>
        </w:rPr>
      </w:pPr>
    </w:p>
    <w:p w14:paraId="539E410E" w14:textId="77777777" w:rsidR="004F2BA6" w:rsidRPr="00E50580" w:rsidRDefault="004F2BA6" w:rsidP="00E50580">
      <w:pPr>
        <w:jc w:val="center"/>
        <w:rPr>
          <w:rFonts w:ascii="Cambria" w:hAnsi="Cambria"/>
          <w:b/>
          <w:sz w:val="32"/>
          <w:szCs w:val="32"/>
        </w:rPr>
      </w:pPr>
      <w:r w:rsidRPr="00E50580">
        <w:rPr>
          <w:rFonts w:ascii="Cambria" w:hAnsi="Cambria"/>
          <w:b/>
          <w:sz w:val="32"/>
          <w:szCs w:val="32"/>
        </w:rPr>
        <w:t>GENERIC CLEARANCE FOR SURVEYS</w:t>
      </w:r>
    </w:p>
    <w:p w14:paraId="539E410F" w14:textId="77777777" w:rsidR="004F2BA6" w:rsidRPr="00E50580" w:rsidRDefault="004F2BA6" w:rsidP="00E50580">
      <w:pPr>
        <w:jc w:val="center"/>
        <w:rPr>
          <w:rFonts w:ascii="Cambria" w:hAnsi="Cambria"/>
          <w:b/>
          <w:sz w:val="32"/>
          <w:szCs w:val="32"/>
        </w:rPr>
      </w:pPr>
      <w:r w:rsidRPr="00E50580">
        <w:rPr>
          <w:rFonts w:ascii="Cambria" w:hAnsi="Cambria"/>
          <w:b/>
          <w:sz w:val="32"/>
          <w:szCs w:val="32"/>
        </w:rPr>
        <w:t>OF CUSTOMERS AND PARTNERS OF</w:t>
      </w:r>
    </w:p>
    <w:p w14:paraId="539E4110" w14:textId="77777777" w:rsidR="004F2BA6" w:rsidRPr="00E50580" w:rsidRDefault="004F2BA6" w:rsidP="00E50580">
      <w:pPr>
        <w:jc w:val="center"/>
        <w:rPr>
          <w:rFonts w:ascii="Cambria" w:hAnsi="Cambria"/>
          <w:b/>
          <w:sz w:val="32"/>
          <w:szCs w:val="32"/>
        </w:rPr>
      </w:pPr>
      <w:r w:rsidRPr="00E50580">
        <w:rPr>
          <w:rFonts w:ascii="Cambria" w:hAnsi="Cambria"/>
          <w:b/>
          <w:sz w:val="32"/>
          <w:szCs w:val="32"/>
        </w:rPr>
        <w:t>THE OFFICE OF EXTRAMURAL RESEARCH</w:t>
      </w:r>
    </w:p>
    <w:p w14:paraId="539E4111" w14:textId="77777777" w:rsidR="004F2BA6" w:rsidRPr="00E50580" w:rsidRDefault="004F2BA6" w:rsidP="00E50580">
      <w:pPr>
        <w:jc w:val="center"/>
        <w:rPr>
          <w:rFonts w:ascii="Cambria" w:hAnsi="Cambria"/>
          <w:b/>
          <w:sz w:val="32"/>
          <w:szCs w:val="32"/>
        </w:rPr>
      </w:pPr>
      <w:r w:rsidRPr="00E50580">
        <w:rPr>
          <w:rFonts w:ascii="Cambria" w:hAnsi="Cambria"/>
          <w:b/>
          <w:sz w:val="32"/>
          <w:szCs w:val="32"/>
        </w:rPr>
        <w:t>OF THE</w:t>
      </w:r>
    </w:p>
    <w:p w14:paraId="539E4112" w14:textId="39950895" w:rsidR="004F2BA6" w:rsidRPr="00E50580" w:rsidRDefault="004F2BA6" w:rsidP="00E50580">
      <w:pPr>
        <w:jc w:val="center"/>
        <w:rPr>
          <w:rFonts w:ascii="Cambria" w:hAnsi="Cambria"/>
          <w:b/>
          <w:sz w:val="32"/>
          <w:szCs w:val="32"/>
        </w:rPr>
      </w:pPr>
      <w:r w:rsidRPr="00E50580">
        <w:rPr>
          <w:rFonts w:ascii="Cambria" w:hAnsi="Cambria"/>
          <w:b/>
          <w:sz w:val="32"/>
          <w:szCs w:val="32"/>
        </w:rPr>
        <w:t>NATIONAL INSTITUTES OF HEALTH</w:t>
      </w:r>
      <w:r w:rsidR="001369E7">
        <w:rPr>
          <w:rFonts w:ascii="Cambria" w:hAnsi="Cambria"/>
          <w:b/>
          <w:sz w:val="32"/>
          <w:szCs w:val="32"/>
        </w:rPr>
        <w:t xml:space="preserve"> (0925-0627)</w:t>
      </w:r>
    </w:p>
    <w:p w14:paraId="539E4113" w14:textId="77777777" w:rsidR="00725EC6" w:rsidRPr="00680E77" w:rsidRDefault="00725EC6" w:rsidP="00725EC6">
      <w:pPr>
        <w:rPr>
          <w:color w:val="FF0000"/>
          <w:sz w:val="32"/>
          <w:szCs w:val="32"/>
        </w:rPr>
      </w:pPr>
    </w:p>
    <w:p w14:paraId="539E4114" w14:textId="77777777" w:rsidR="00725EC6" w:rsidRDefault="00725EC6" w:rsidP="00725EC6">
      <w:pPr>
        <w:rPr>
          <w:color w:val="0000FF"/>
          <w:sz w:val="32"/>
          <w:szCs w:val="32"/>
        </w:rPr>
      </w:pPr>
    </w:p>
    <w:p w14:paraId="539E4115" w14:textId="77777777" w:rsidR="00725EC6" w:rsidRDefault="00725EC6" w:rsidP="00725EC6">
      <w:pPr>
        <w:rPr>
          <w:color w:val="0000FF"/>
          <w:sz w:val="32"/>
          <w:szCs w:val="32"/>
        </w:rPr>
      </w:pPr>
    </w:p>
    <w:p w14:paraId="539E4116" w14:textId="77777777" w:rsidR="00725EC6" w:rsidRDefault="00725EC6" w:rsidP="00725EC6">
      <w:pPr>
        <w:rPr>
          <w:color w:val="0000FF"/>
          <w:sz w:val="32"/>
          <w:szCs w:val="32"/>
        </w:rPr>
      </w:pPr>
    </w:p>
    <w:p w14:paraId="539E4117" w14:textId="77777777" w:rsidR="00725EC6" w:rsidRDefault="00725EC6" w:rsidP="00725EC6">
      <w:pPr>
        <w:rPr>
          <w:color w:val="0000FF"/>
          <w:sz w:val="32"/>
          <w:szCs w:val="32"/>
        </w:rPr>
      </w:pPr>
    </w:p>
    <w:p w14:paraId="539E4118" w14:textId="77777777" w:rsidR="00725EC6" w:rsidRDefault="00725EC6" w:rsidP="00725EC6">
      <w:pPr>
        <w:rPr>
          <w:color w:val="0000FF"/>
          <w:sz w:val="32"/>
          <w:szCs w:val="32"/>
        </w:rPr>
      </w:pPr>
    </w:p>
    <w:p w14:paraId="539E4119" w14:textId="77777777" w:rsidR="00E4331A" w:rsidRDefault="00E4331A" w:rsidP="00E4331A">
      <w:pPr>
        <w:rPr>
          <w:color w:val="000000"/>
          <w:sz w:val="32"/>
          <w:szCs w:val="32"/>
        </w:rPr>
      </w:pPr>
    </w:p>
    <w:p w14:paraId="539E411A" w14:textId="77777777" w:rsidR="00E4331A" w:rsidRDefault="00E4331A" w:rsidP="00E4331A">
      <w:pPr>
        <w:rPr>
          <w:color w:val="000000"/>
          <w:sz w:val="32"/>
          <w:szCs w:val="32"/>
        </w:rPr>
      </w:pPr>
    </w:p>
    <w:p w14:paraId="539E411B" w14:textId="77777777" w:rsidR="00E4331A" w:rsidRDefault="00E4331A" w:rsidP="00E4331A">
      <w:pPr>
        <w:rPr>
          <w:color w:val="000000"/>
          <w:sz w:val="32"/>
          <w:szCs w:val="32"/>
        </w:rPr>
      </w:pPr>
    </w:p>
    <w:p w14:paraId="539E411C" w14:textId="77777777" w:rsidR="00E4331A" w:rsidRDefault="00E4331A" w:rsidP="00E4331A">
      <w:pPr>
        <w:rPr>
          <w:color w:val="000000"/>
          <w:sz w:val="32"/>
          <w:szCs w:val="32"/>
        </w:rPr>
      </w:pPr>
    </w:p>
    <w:p w14:paraId="6290454B" w14:textId="77777777" w:rsidR="00ED50C7" w:rsidRPr="0097240F" w:rsidRDefault="00ED50C7" w:rsidP="00ED50C7">
      <w:pPr>
        <w:rPr>
          <w:color w:val="000000"/>
        </w:rPr>
      </w:pPr>
      <w:r w:rsidRPr="00F96526">
        <w:rPr>
          <w:color w:val="000000"/>
        </w:rPr>
        <w:t xml:space="preserve">Date:  </w:t>
      </w:r>
      <w:r>
        <w:rPr>
          <w:color w:val="000000"/>
        </w:rPr>
        <w:t>04/13/2017</w:t>
      </w:r>
    </w:p>
    <w:p w14:paraId="53BF3785" w14:textId="77777777" w:rsidR="00ED50C7" w:rsidRDefault="00ED50C7" w:rsidP="00ED50C7">
      <w:r>
        <w:t>Name:  Dr. Mike Lauer</w:t>
      </w:r>
    </w:p>
    <w:p w14:paraId="69C1CB05" w14:textId="77777777" w:rsidR="00ED50C7" w:rsidRDefault="00ED50C7" w:rsidP="00ED50C7">
      <w:r>
        <w:t>Deputy Director for Extramural Research, NIH</w:t>
      </w:r>
    </w:p>
    <w:p w14:paraId="4A9679A0" w14:textId="77777777" w:rsidR="00ED50C7" w:rsidRPr="00646DB4" w:rsidRDefault="00ED50C7" w:rsidP="00ED50C7">
      <w:r>
        <w:t>Address:  1 Center Drive, Rm 144, Bethesda MD  20892</w:t>
      </w:r>
    </w:p>
    <w:p w14:paraId="09C4BDCE" w14:textId="77777777" w:rsidR="00ED50C7" w:rsidRPr="00646DB4" w:rsidRDefault="00ED50C7" w:rsidP="00ED50C7">
      <w:r>
        <w:t>Telephone: 301-496-1096</w:t>
      </w:r>
    </w:p>
    <w:p w14:paraId="5BB230AC" w14:textId="77777777" w:rsidR="00ED50C7" w:rsidRDefault="00ED50C7" w:rsidP="00ED50C7">
      <w:r>
        <w:t xml:space="preserve">Email: </w:t>
      </w:r>
      <w:r w:rsidRPr="001B366F">
        <w:t>Michael.Lauer@nih.gov</w:t>
      </w:r>
    </w:p>
    <w:p w14:paraId="539E4124" w14:textId="77777777" w:rsidR="007057F1" w:rsidRDefault="007057F1" w:rsidP="00725EC6">
      <w:pPr>
        <w:rPr>
          <w:sz w:val="32"/>
          <w:szCs w:val="32"/>
        </w:rPr>
        <w:sectPr w:rsidR="007057F1" w:rsidSect="00552DC5">
          <w:footerReference w:type="even" r:id="rId11"/>
          <w:footerReference w:type="default" r:id="rId12"/>
          <w:pgSz w:w="12240" w:h="15840"/>
          <w:pgMar w:top="1440" w:right="1080" w:bottom="1440" w:left="1440" w:header="720" w:footer="720" w:gutter="0"/>
          <w:pgNumType w:start="1"/>
          <w:cols w:space="720"/>
          <w:titlePg/>
          <w:docGrid w:linePitch="360"/>
        </w:sectPr>
      </w:pPr>
    </w:p>
    <w:p w14:paraId="539E4125" w14:textId="77777777" w:rsidR="00725EC6" w:rsidRPr="00E50580" w:rsidRDefault="00E4331A" w:rsidP="00725EC6">
      <w:pPr>
        <w:pStyle w:val="P1-StandPara"/>
        <w:tabs>
          <w:tab w:val="left" w:pos="720"/>
          <w:tab w:val="right" w:leader="dot" w:pos="9504"/>
        </w:tabs>
        <w:spacing w:before="120" w:after="120" w:line="240" w:lineRule="atLeast"/>
        <w:ind w:firstLine="0"/>
        <w:jc w:val="center"/>
        <w:rPr>
          <w:rFonts w:ascii="Cambria" w:hAnsi="Cambria"/>
          <w:b/>
          <w:sz w:val="28"/>
          <w:szCs w:val="28"/>
        </w:rPr>
      </w:pPr>
      <w:r w:rsidRPr="00E50580">
        <w:rPr>
          <w:rFonts w:ascii="Cambria" w:hAnsi="Cambria"/>
          <w:b/>
          <w:sz w:val="28"/>
          <w:szCs w:val="28"/>
        </w:rPr>
        <w:lastRenderedPageBreak/>
        <w:t>T</w:t>
      </w:r>
      <w:r w:rsidR="00725EC6" w:rsidRPr="00E50580">
        <w:rPr>
          <w:rFonts w:ascii="Cambria" w:hAnsi="Cambria"/>
          <w:b/>
          <w:sz w:val="28"/>
          <w:szCs w:val="28"/>
        </w:rPr>
        <w:t xml:space="preserve">able of </w:t>
      </w:r>
      <w:r w:rsidR="003B5A1D" w:rsidRPr="00E50580">
        <w:rPr>
          <w:rFonts w:ascii="Cambria" w:hAnsi="Cambria"/>
          <w:b/>
          <w:sz w:val="28"/>
          <w:szCs w:val="28"/>
        </w:rPr>
        <w:t>C</w:t>
      </w:r>
      <w:r w:rsidR="00725EC6" w:rsidRPr="00E50580">
        <w:rPr>
          <w:rFonts w:ascii="Cambria" w:hAnsi="Cambria"/>
          <w:b/>
          <w:sz w:val="28"/>
          <w:szCs w:val="28"/>
        </w:rPr>
        <w:t>ontents</w:t>
      </w:r>
    </w:p>
    <w:p w14:paraId="539E4126" w14:textId="77777777" w:rsidR="007057F1" w:rsidRDefault="007057F1" w:rsidP="001F038A">
      <w:pPr>
        <w:pStyle w:val="TOC1"/>
      </w:pPr>
    </w:p>
    <w:p w14:paraId="539E4127" w14:textId="77777777" w:rsidR="00900D93" w:rsidRDefault="00885E19">
      <w:pPr>
        <w:pStyle w:val="TOC1"/>
        <w:rPr>
          <w:rFonts w:asciiTheme="minorHAnsi" w:eastAsiaTheme="minorEastAsia" w:hAnsiTheme="minorHAnsi" w:cstheme="minorBidi"/>
          <w:caps w:val="0"/>
          <w:sz w:val="22"/>
          <w:szCs w:val="22"/>
        </w:rPr>
      </w:pPr>
      <w:r>
        <w:rPr>
          <w:smallCaps/>
        </w:rPr>
        <w:fldChar w:fldCharType="begin"/>
      </w:r>
      <w:r w:rsidR="000F6932">
        <w:rPr>
          <w:smallCaps/>
        </w:rPr>
        <w:instrText xml:space="preserve"> TOC \o "1-2" \u </w:instrText>
      </w:r>
      <w:r>
        <w:rPr>
          <w:smallCaps/>
        </w:rPr>
        <w:fldChar w:fldCharType="separate"/>
      </w:r>
      <w:r w:rsidR="00900D93">
        <w:t>B.</w:t>
      </w:r>
      <w:r w:rsidR="00900D93">
        <w:rPr>
          <w:rFonts w:asciiTheme="minorHAnsi" w:eastAsiaTheme="minorEastAsia" w:hAnsiTheme="minorHAnsi" w:cstheme="minorBidi"/>
          <w:caps w:val="0"/>
          <w:sz w:val="22"/>
          <w:szCs w:val="22"/>
        </w:rPr>
        <w:tab/>
      </w:r>
      <w:r w:rsidR="00900D93">
        <w:t>COLLECTIONS OF INFORMATION EMPLOYING STATISTICAL METHODS</w:t>
      </w:r>
      <w:r w:rsidR="00900D93">
        <w:tab/>
      </w:r>
      <w:r>
        <w:fldChar w:fldCharType="begin"/>
      </w:r>
      <w:r w:rsidR="00900D93">
        <w:instrText xml:space="preserve"> PAGEREF _Toc285098596 \h </w:instrText>
      </w:r>
      <w:r>
        <w:fldChar w:fldCharType="separate"/>
      </w:r>
      <w:r w:rsidR="00900D93">
        <w:t>1</w:t>
      </w:r>
      <w:r>
        <w:fldChar w:fldCharType="end"/>
      </w:r>
    </w:p>
    <w:p w14:paraId="539E4128" w14:textId="77777777" w:rsidR="00900D93" w:rsidRDefault="00900D93">
      <w:pPr>
        <w:pStyle w:val="TOC2"/>
        <w:rPr>
          <w:rFonts w:asciiTheme="minorHAnsi" w:eastAsiaTheme="minorEastAsia" w:hAnsiTheme="minorHAnsi" w:cstheme="minorBidi"/>
          <w:smallCaps w:val="0"/>
          <w:noProof/>
          <w:sz w:val="22"/>
          <w:szCs w:val="22"/>
        </w:rPr>
      </w:pPr>
      <w:r>
        <w:rPr>
          <w:noProof/>
        </w:rPr>
        <w:t>B.1</w:t>
      </w:r>
      <w:r>
        <w:rPr>
          <w:rFonts w:asciiTheme="minorHAnsi" w:eastAsiaTheme="minorEastAsia" w:hAnsiTheme="minorHAnsi" w:cstheme="minorBidi"/>
          <w:smallCaps w:val="0"/>
          <w:noProof/>
          <w:sz w:val="22"/>
          <w:szCs w:val="22"/>
        </w:rPr>
        <w:tab/>
      </w:r>
      <w:r>
        <w:rPr>
          <w:noProof/>
        </w:rPr>
        <w:t>RESPONDENT UNIVERSE AND SAMPLING METHODS</w:t>
      </w:r>
      <w:r>
        <w:rPr>
          <w:noProof/>
        </w:rPr>
        <w:tab/>
      </w:r>
      <w:r w:rsidR="00885E19">
        <w:rPr>
          <w:noProof/>
        </w:rPr>
        <w:fldChar w:fldCharType="begin"/>
      </w:r>
      <w:r>
        <w:rPr>
          <w:noProof/>
        </w:rPr>
        <w:instrText xml:space="preserve"> PAGEREF _Toc285098597 \h </w:instrText>
      </w:r>
      <w:r w:rsidR="00885E19">
        <w:rPr>
          <w:noProof/>
        </w:rPr>
      </w:r>
      <w:r w:rsidR="00885E19">
        <w:rPr>
          <w:noProof/>
        </w:rPr>
        <w:fldChar w:fldCharType="separate"/>
      </w:r>
      <w:r>
        <w:rPr>
          <w:noProof/>
        </w:rPr>
        <w:t>1</w:t>
      </w:r>
      <w:r w:rsidR="00885E19">
        <w:rPr>
          <w:noProof/>
        </w:rPr>
        <w:fldChar w:fldCharType="end"/>
      </w:r>
    </w:p>
    <w:p w14:paraId="539E4129" w14:textId="77777777" w:rsidR="00900D93" w:rsidRDefault="00900D93">
      <w:pPr>
        <w:pStyle w:val="TOC2"/>
        <w:rPr>
          <w:rFonts w:asciiTheme="minorHAnsi" w:eastAsiaTheme="minorEastAsia" w:hAnsiTheme="minorHAnsi" w:cstheme="minorBidi"/>
          <w:smallCaps w:val="0"/>
          <w:noProof/>
          <w:sz w:val="22"/>
          <w:szCs w:val="22"/>
        </w:rPr>
      </w:pPr>
      <w:r>
        <w:rPr>
          <w:noProof/>
        </w:rPr>
        <w:t>B.2</w:t>
      </w:r>
      <w:r>
        <w:rPr>
          <w:rFonts w:asciiTheme="minorHAnsi" w:eastAsiaTheme="minorEastAsia" w:hAnsiTheme="minorHAnsi" w:cstheme="minorBidi"/>
          <w:smallCaps w:val="0"/>
          <w:noProof/>
          <w:sz w:val="22"/>
          <w:szCs w:val="22"/>
        </w:rPr>
        <w:tab/>
      </w:r>
      <w:r>
        <w:rPr>
          <w:noProof/>
        </w:rPr>
        <w:t>PROCEDURES FOR THE COLLECTION OF INFORMATION</w:t>
      </w:r>
      <w:r>
        <w:rPr>
          <w:noProof/>
        </w:rPr>
        <w:tab/>
      </w:r>
      <w:r w:rsidR="00885E19">
        <w:rPr>
          <w:noProof/>
        </w:rPr>
        <w:fldChar w:fldCharType="begin"/>
      </w:r>
      <w:r>
        <w:rPr>
          <w:noProof/>
        </w:rPr>
        <w:instrText xml:space="preserve"> PAGEREF _Toc285098598 \h </w:instrText>
      </w:r>
      <w:r w:rsidR="00885E19">
        <w:rPr>
          <w:noProof/>
        </w:rPr>
      </w:r>
      <w:r w:rsidR="00885E19">
        <w:rPr>
          <w:noProof/>
        </w:rPr>
        <w:fldChar w:fldCharType="separate"/>
      </w:r>
      <w:r>
        <w:rPr>
          <w:noProof/>
        </w:rPr>
        <w:t>3</w:t>
      </w:r>
      <w:r w:rsidR="00885E19">
        <w:rPr>
          <w:noProof/>
        </w:rPr>
        <w:fldChar w:fldCharType="end"/>
      </w:r>
    </w:p>
    <w:p w14:paraId="539E412A" w14:textId="77777777" w:rsidR="00900D93" w:rsidRDefault="00900D93">
      <w:pPr>
        <w:pStyle w:val="TOC2"/>
        <w:rPr>
          <w:rFonts w:asciiTheme="minorHAnsi" w:eastAsiaTheme="minorEastAsia" w:hAnsiTheme="minorHAnsi" w:cstheme="minorBidi"/>
          <w:smallCaps w:val="0"/>
          <w:noProof/>
          <w:sz w:val="22"/>
          <w:szCs w:val="22"/>
        </w:rPr>
      </w:pPr>
      <w:r>
        <w:rPr>
          <w:noProof/>
        </w:rPr>
        <w:t>B.3</w:t>
      </w:r>
      <w:r>
        <w:rPr>
          <w:rFonts w:asciiTheme="minorHAnsi" w:eastAsiaTheme="minorEastAsia" w:hAnsiTheme="minorHAnsi" w:cstheme="minorBidi"/>
          <w:smallCaps w:val="0"/>
          <w:noProof/>
          <w:sz w:val="22"/>
          <w:szCs w:val="22"/>
        </w:rPr>
        <w:tab/>
      </w:r>
      <w:r>
        <w:rPr>
          <w:noProof/>
        </w:rPr>
        <w:t>METHODS TO MAXIMIZE RESPONSE RATES AND DEAL WITH NON-RESPONSE</w:t>
      </w:r>
      <w:r>
        <w:rPr>
          <w:noProof/>
        </w:rPr>
        <w:tab/>
      </w:r>
      <w:r w:rsidR="00885E19">
        <w:rPr>
          <w:noProof/>
        </w:rPr>
        <w:fldChar w:fldCharType="begin"/>
      </w:r>
      <w:r>
        <w:rPr>
          <w:noProof/>
        </w:rPr>
        <w:instrText xml:space="preserve"> PAGEREF _Toc285098599 \h </w:instrText>
      </w:r>
      <w:r w:rsidR="00885E19">
        <w:rPr>
          <w:noProof/>
        </w:rPr>
      </w:r>
      <w:r w:rsidR="00885E19">
        <w:rPr>
          <w:noProof/>
        </w:rPr>
        <w:fldChar w:fldCharType="separate"/>
      </w:r>
      <w:r>
        <w:rPr>
          <w:noProof/>
        </w:rPr>
        <w:t>4</w:t>
      </w:r>
      <w:r w:rsidR="00885E19">
        <w:rPr>
          <w:noProof/>
        </w:rPr>
        <w:fldChar w:fldCharType="end"/>
      </w:r>
    </w:p>
    <w:p w14:paraId="539E412B" w14:textId="77777777" w:rsidR="00900D93" w:rsidRDefault="00900D93">
      <w:pPr>
        <w:pStyle w:val="TOC2"/>
        <w:rPr>
          <w:rFonts w:asciiTheme="minorHAnsi" w:eastAsiaTheme="minorEastAsia" w:hAnsiTheme="minorHAnsi" w:cstheme="minorBidi"/>
          <w:smallCaps w:val="0"/>
          <w:noProof/>
          <w:sz w:val="22"/>
          <w:szCs w:val="22"/>
        </w:rPr>
      </w:pPr>
      <w:r>
        <w:rPr>
          <w:noProof/>
        </w:rPr>
        <w:t>B.4</w:t>
      </w:r>
      <w:r>
        <w:rPr>
          <w:rFonts w:asciiTheme="minorHAnsi" w:eastAsiaTheme="minorEastAsia" w:hAnsiTheme="minorHAnsi" w:cstheme="minorBidi"/>
          <w:smallCaps w:val="0"/>
          <w:noProof/>
          <w:sz w:val="22"/>
          <w:szCs w:val="22"/>
        </w:rPr>
        <w:tab/>
      </w:r>
      <w:r>
        <w:rPr>
          <w:noProof/>
        </w:rPr>
        <w:t>TEST OF PROCEDURES OR METHODS TO BE UNDERTAKEN</w:t>
      </w:r>
      <w:r>
        <w:rPr>
          <w:noProof/>
        </w:rPr>
        <w:tab/>
      </w:r>
      <w:r w:rsidR="00885E19">
        <w:rPr>
          <w:noProof/>
        </w:rPr>
        <w:fldChar w:fldCharType="begin"/>
      </w:r>
      <w:r>
        <w:rPr>
          <w:noProof/>
        </w:rPr>
        <w:instrText xml:space="preserve"> PAGEREF _Toc285098600 \h </w:instrText>
      </w:r>
      <w:r w:rsidR="00885E19">
        <w:rPr>
          <w:noProof/>
        </w:rPr>
      </w:r>
      <w:r w:rsidR="00885E19">
        <w:rPr>
          <w:noProof/>
        </w:rPr>
        <w:fldChar w:fldCharType="separate"/>
      </w:r>
      <w:r>
        <w:rPr>
          <w:noProof/>
        </w:rPr>
        <w:t>4</w:t>
      </w:r>
      <w:r w:rsidR="00885E19">
        <w:rPr>
          <w:noProof/>
        </w:rPr>
        <w:fldChar w:fldCharType="end"/>
      </w:r>
    </w:p>
    <w:p w14:paraId="539E412C" w14:textId="77777777" w:rsidR="00900D93" w:rsidRDefault="00900D93">
      <w:pPr>
        <w:pStyle w:val="TOC2"/>
        <w:rPr>
          <w:rFonts w:asciiTheme="minorHAnsi" w:eastAsiaTheme="minorEastAsia" w:hAnsiTheme="minorHAnsi" w:cstheme="minorBidi"/>
          <w:smallCaps w:val="0"/>
          <w:noProof/>
          <w:sz w:val="22"/>
          <w:szCs w:val="22"/>
        </w:rPr>
      </w:pPr>
      <w:r>
        <w:rPr>
          <w:noProof/>
        </w:rPr>
        <w:t>B.5</w:t>
      </w:r>
      <w:r>
        <w:rPr>
          <w:rFonts w:asciiTheme="minorHAnsi" w:eastAsiaTheme="minorEastAsia" w:hAnsiTheme="minorHAnsi" w:cstheme="minorBidi"/>
          <w:smallCaps w:val="0"/>
          <w:noProof/>
          <w:sz w:val="22"/>
          <w:szCs w:val="22"/>
        </w:rPr>
        <w:tab/>
      </w:r>
      <w:r>
        <w:rPr>
          <w:noProof/>
        </w:rPr>
        <w:t>INDIVIDUALS CONSULTED ON STATISTICAL ASPECTS AND INDIVIDUALS COLLECTING AND/OR ANALYZING DATA</w:t>
      </w:r>
      <w:r>
        <w:rPr>
          <w:noProof/>
        </w:rPr>
        <w:tab/>
      </w:r>
      <w:r w:rsidR="00885E19">
        <w:rPr>
          <w:noProof/>
        </w:rPr>
        <w:fldChar w:fldCharType="begin"/>
      </w:r>
      <w:r>
        <w:rPr>
          <w:noProof/>
        </w:rPr>
        <w:instrText xml:space="preserve"> PAGEREF _Toc285098601 \h </w:instrText>
      </w:r>
      <w:r w:rsidR="00885E19">
        <w:rPr>
          <w:noProof/>
        </w:rPr>
      </w:r>
      <w:r w:rsidR="00885E19">
        <w:rPr>
          <w:noProof/>
        </w:rPr>
        <w:fldChar w:fldCharType="separate"/>
      </w:r>
      <w:r>
        <w:rPr>
          <w:noProof/>
        </w:rPr>
        <w:t>4</w:t>
      </w:r>
      <w:r w:rsidR="00885E19">
        <w:rPr>
          <w:noProof/>
        </w:rPr>
        <w:fldChar w:fldCharType="end"/>
      </w:r>
    </w:p>
    <w:p w14:paraId="539E412D" w14:textId="77777777" w:rsidR="006D607D" w:rsidRDefault="00885E19" w:rsidP="000F6932">
      <w:pPr>
        <w:pStyle w:val="P1-StandPara"/>
        <w:tabs>
          <w:tab w:val="left" w:pos="720"/>
        </w:tabs>
        <w:ind w:right="-720"/>
        <w:outlineLvl w:val="0"/>
        <w:rPr>
          <w:smallCaps/>
          <w:noProof/>
          <w:sz w:val="24"/>
          <w:szCs w:val="24"/>
        </w:rPr>
      </w:pPr>
      <w:r>
        <w:rPr>
          <w:smallCaps/>
          <w:noProof/>
          <w:sz w:val="24"/>
          <w:szCs w:val="24"/>
        </w:rPr>
        <w:fldChar w:fldCharType="end"/>
      </w:r>
    </w:p>
    <w:p w14:paraId="539E412E" w14:textId="77777777" w:rsidR="00552DC5" w:rsidRDefault="00552DC5" w:rsidP="00995DF8">
      <w:pPr>
        <w:pStyle w:val="P1-StandPara"/>
        <w:tabs>
          <w:tab w:val="left" w:pos="720"/>
        </w:tabs>
        <w:ind w:left="720" w:right="-720" w:hanging="720"/>
        <w:rPr>
          <w:smallCaps/>
          <w:noProof/>
          <w:sz w:val="24"/>
          <w:szCs w:val="24"/>
        </w:rPr>
        <w:sectPr w:rsidR="00552DC5" w:rsidSect="00552DC5">
          <w:pgSz w:w="12240" w:h="15840"/>
          <w:pgMar w:top="1440" w:right="1080" w:bottom="1440" w:left="1440" w:header="720" w:footer="720" w:gutter="0"/>
          <w:pgNumType w:start="1"/>
          <w:cols w:space="720"/>
          <w:titlePg/>
          <w:docGrid w:linePitch="360"/>
        </w:sectPr>
      </w:pPr>
    </w:p>
    <w:p w14:paraId="539E412F" w14:textId="77777777" w:rsidR="00E50580" w:rsidRPr="00E50580" w:rsidRDefault="00E50580" w:rsidP="00E50580">
      <w:pPr>
        <w:pStyle w:val="Heading1"/>
      </w:pPr>
      <w:bookmarkStart w:id="0" w:name="_Toc268185585"/>
      <w:bookmarkStart w:id="1" w:name="_Toc285098596"/>
      <w:r w:rsidRPr="00E50580">
        <w:lastRenderedPageBreak/>
        <w:t>B.</w:t>
      </w:r>
      <w:r w:rsidRPr="00E50580">
        <w:tab/>
        <w:t>COLLECTIONS OF INFORMATION EMPLOYING STATISTICAL METHODS</w:t>
      </w:r>
      <w:bookmarkEnd w:id="0"/>
      <w:bookmarkEnd w:id="1"/>
    </w:p>
    <w:p w14:paraId="539E4130" w14:textId="77777777" w:rsidR="00E112B7" w:rsidRPr="00E50580" w:rsidRDefault="00215E15" w:rsidP="00E50580">
      <w:pPr>
        <w:pStyle w:val="Heading2"/>
      </w:pPr>
      <w:bookmarkStart w:id="2" w:name="_Toc268185586"/>
      <w:bookmarkStart w:id="3" w:name="_Toc285098597"/>
      <w:r w:rsidRPr="00E50580">
        <w:t>B.1</w:t>
      </w:r>
      <w:r w:rsidRPr="00E50580">
        <w:tab/>
        <w:t>RESPONDENT UNIVERSE AND SAMPLING METHODS</w:t>
      </w:r>
      <w:bookmarkEnd w:id="2"/>
      <w:bookmarkEnd w:id="3"/>
    </w:p>
    <w:p w14:paraId="539E4131" w14:textId="7FC6FE02" w:rsidR="00BE1251" w:rsidRDefault="00E112B7" w:rsidP="00E50580">
      <w:r w:rsidRPr="00BE1251">
        <w:t xml:space="preserve">The respondent universe will be separately identified for each initiative whose customers </w:t>
      </w:r>
      <w:r w:rsidR="0086537D" w:rsidRPr="00BE1251">
        <w:t>and/</w:t>
      </w:r>
      <w:r w:rsidR="005C1158" w:rsidRPr="00BE1251">
        <w:t xml:space="preserve">or partners </w:t>
      </w:r>
      <w:r w:rsidRPr="00BE1251">
        <w:t xml:space="preserve">are to be surveyed.  </w:t>
      </w:r>
      <w:r w:rsidR="00BE1251" w:rsidRPr="00BE1251">
        <w:t xml:space="preserve">The methods chosen for use </w:t>
      </w:r>
      <w:r w:rsidR="00B971DF">
        <w:t>will depend on the nature of the policies, programs, operations and services being examined, as well as their associated stakeholder communities. Recommended methodologies and sample sizes will be based on a review of the relevant literature and consultation with experts in customer satisfaction surveys.  The customer satisfaction surveys will use methods and approaches</w:t>
      </w:r>
      <w:r w:rsidR="00B02B88">
        <w:t xml:space="preserve"> tailored to the analytical need, but are anticipated to be </w:t>
      </w:r>
      <w:r w:rsidR="00AC44D3">
        <w:t xml:space="preserve">quantitative surveys (e.g. self-administered surveys with measurable results), </w:t>
      </w:r>
      <w:r w:rsidR="00A24302" w:rsidRPr="00BE1251">
        <w:t>qualitative survey</w:t>
      </w:r>
      <w:r w:rsidR="00BE1251">
        <w:t>s</w:t>
      </w:r>
      <w:r w:rsidR="00B02B88">
        <w:t xml:space="preserve"> (e.g. focus groups), or a combination of qualitative and quantitative surveys (e.g. self-administered surveys that include both measurable outputs and open-ended narrative sections). </w:t>
      </w:r>
      <w:r w:rsidR="007E7796">
        <w:t>Quantitative and qualitative s</w:t>
      </w:r>
      <w:r w:rsidR="007E7796" w:rsidRPr="002E1D37">
        <w:t>urveys will be designed to minimize burden on respondents while obtaining essential information.  The expectation is that information collection instruments will require no mor</w:t>
      </w:r>
      <w:r w:rsidR="000F7C12">
        <w:t>e than 20</w:t>
      </w:r>
      <w:r w:rsidR="007E7796">
        <w:t xml:space="preserve"> minutes response time for quantitative surveys and 1 hour for qualitative surveys</w:t>
      </w:r>
      <w:r w:rsidR="007E7796" w:rsidRPr="002E1D37">
        <w:t xml:space="preserve">.   </w:t>
      </w:r>
      <w:r w:rsidR="007E7796">
        <w:t xml:space="preserve"> </w:t>
      </w:r>
    </w:p>
    <w:p w14:paraId="539E4132" w14:textId="77777777" w:rsidR="00BE1251" w:rsidRDefault="00BE1251" w:rsidP="00E50580"/>
    <w:p w14:paraId="539E4133" w14:textId="77777777" w:rsidR="00BE1251" w:rsidRDefault="00AC44D3" w:rsidP="00E50580">
      <w:r w:rsidRPr="00E54582">
        <w:t xml:space="preserve">Quantitative survey methods target particular audiences with statistical sampling procedures employed to identify potential survey respondents.  </w:t>
      </w:r>
      <w:r>
        <w:t>Email, m</w:t>
      </w:r>
      <w:r w:rsidRPr="00E54582">
        <w:t xml:space="preserve">ail, telephone, and Internet surveys </w:t>
      </w:r>
      <w:r>
        <w:t>will</w:t>
      </w:r>
      <w:r w:rsidRPr="00E54582">
        <w:t xml:space="preserve"> seek a </w:t>
      </w:r>
      <w:r>
        <w:t xml:space="preserve">purposive or </w:t>
      </w:r>
      <w:r w:rsidRPr="00E54582">
        <w:t>convenience sample</w:t>
      </w:r>
      <w:r>
        <w:t xml:space="preserve">, depending on the statistical objectives of the customer satisfaction survey. </w:t>
      </w:r>
      <w:r w:rsidR="00BE1251" w:rsidRPr="00BE1251">
        <w:t>In qualitative studies, quota sampling is often used to select a convenience sample of individuals who meet certain qualifications that reflect characteristics typical of the target audience.  Response rate is not applicable to quota sampling because this type of sampling results in a nonprobability sample which is not representative of the population.  In qualitative studies, all respondents are i</w:t>
      </w:r>
      <w:r w:rsidR="007E7796">
        <w:t>nitially contacted by telephone, mail or em</w:t>
      </w:r>
      <w:r w:rsidR="00BE1251" w:rsidRPr="00BE1251">
        <w:t>ai</w:t>
      </w:r>
      <w:r w:rsidR="007E7796">
        <w:t>l.</w:t>
      </w:r>
    </w:p>
    <w:p w14:paraId="539E4134" w14:textId="77777777" w:rsidR="007E7796" w:rsidRDefault="007E7796" w:rsidP="00E50580"/>
    <w:p w14:paraId="539E4135" w14:textId="0871145B" w:rsidR="00255B5F" w:rsidRDefault="00E112B7" w:rsidP="00255B5F">
      <w:r w:rsidRPr="002E1D37">
        <w:t xml:space="preserve">In virtually all instances, there will be existing lists of </w:t>
      </w:r>
      <w:r w:rsidR="0086537D">
        <w:t>respondents</w:t>
      </w:r>
      <w:r w:rsidRPr="002E1D37">
        <w:t xml:space="preserve"> readily available for sampling (e.g., </w:t>
      </w:r>
      <w:r w:rsidR="002302B7">
        <w:t>extramural scientists</w:t>
      </w:r>
      <w:r w:rsidR="00215E15">
        <w:t xml:space="preserve">, </w:t>
      </w:r>
      <w:r w:rsidR="002302B7">
        <w:t>applicants and awardees, scientific administrators and institutional officials</w:t>
      </w:r>
      <w:r w:rsidR="00215E15">
        <w:t xml:space="preserve">, </w:t>
      </w:r>
      <w:r w:rsidR="002302B7">
        <w:t xml:space="preserve">members of professional scientific organizations, </w:t>
      </w:r>
      <w:r w:rsidR="006E12A8">
        <w:t>etc.</w:t>
      </w:r>
      <w:r w:rsidR="005C1158">
        <w:t>)</w:t>
      </w:r>
      <w:r w:rsidR="00215E15">
        <w:t>.  A</w:t>
      </w:r>
      <w:r w:rsidRPr="002E1D37">
        <w:t xml:space="preserve">ppropriate probability sampling techniques will be used to select samples.   </w:t>
      </w:r>
      <w:r w:rsidR="005C1158" w:rsidRPr="002E1D37">
        <w:t xml:space="preserve">Respondents are expected to be a mix of </w:t>
      </w:r>
      <w:r w:rsidR="005C1158">
        <w:t>adult scientists connected to the research community</w:t>
      </w:r>
      <w:r w:rsidR="009A76A1">
        <w:t xml:space="preserve">, </w:t>
      </w:r>
      <w:r w:rsidR="005D50D6">
        <w:t xml:space="preserve">adult </w:t>
      </w:r>
      <w:r w:rsidR="009A76A1">
        <w:t>science trainees and the general public</w:t>
      </w:r>
      <w:r w:rsidR="005C1158" w:rsidRPr="002E1D37">
        <w:t>.</w:t>
      </w:r>
      <w:r w:rsidR="005C1158">
        <w:t xml:space="preserve">  </w:t>
      </w:r>
      <w:r w:rsidR="0031556E">
        <w:t xml:space="preserve">The expected response rate </w:t>
      </w:r>
      <w:r w:rsidR="005D50D6">
        <w:t>for these surveys is 80 percent due to the strong interest of the scientific community and the public in health and health research.</w:t>
      </w:r>
      <w:r w:rsidR="00255B5F">
        <w:t xml:space="preserve">  </w:t>
      </w:r>
    </w:p>
    <w:p w14:paraId="539E4136" w14:textId="77777777" w:rsidR="00255B5F" w:rsidRDefault="00255B5F" w:rsidP="00255B5F"/>
    <w:p w14:paraId="7E856306" w14:textId="3ECBA8D6" w:rsidR="001E3327" w:rsidRPr="00043764" w:rsidRDefault="00DF503E" w:rsidP="001E3327">
      <w:pPr>
        <w:rPr>
          <w:i/>
        </w:rPr>
      </w:pPr>
      <w:r w:rsidRPr="00043764">
        <w:rPr>
          <w:i/>
        </w:rPr>
        <w:t>ESTIMATED ANNUAL HOURS OF BURDEN</w:t>
      </w:r>
      <w:bookmarkStart w:id="4" w:name="_Toc268185589"/>
      <w:bookmarkStart w:id="5" w:name="_Toc285098598"/>
    </w:p>
    <w:p w14:paraId="2DB5E72B" w14:textId="77777777" w:rsidR="002D7377" w:rsidRPr="00D01CF9" w:rsidRDefault="002D7377" w:rsidP="002D7377">
      <w:r>
        <w:t xml:space="preserve">Based on the collections that were completed over the last 3 years, we are including the expected burden table for 2017, 2018, and 2019.  The burden tables are grouped by </w:t>
      </w:r>
      <w:r w:rsidRPr="00D01CF9">
        <w:t>Quantitative survey</w:t>
      </w:r>
      <w:r>
        <w:t>s</w:t>
      </w:r>
      <w:r w:rsidRPr="00D01CF9">
        <w:t>, e.g. email/mail survey measuring customer satisfaction (see Table A12-1.a.,</w:t>
      </w:r>
      <w:r>
        <w:t xml:space="preserve">) and </w:t>
      </w:r>
      <w:r w:rsidRPr="00D01CF9">
        <w:t xml:space="preserve"> Qualitative survey</w:t>
      </w:r>
      <w:r>
        <w:t>s</w:t>
      </w:r>
      <w:r w:rsidRPr="00D01CF9">
        <w:t xml:space="preserve">, e.g. focus group on customer satisfaction (see Table A12-1.b.,):  </w:t>
      </w:r>
    </w:p>
    <w:p w14:paraId="2B96DBF0" w14:textId="77777777" w:rsidR="001E3327" w:rsidRDefault="001E3327" w:rsidP="001E3327"/>
    <w:p w14:paraId="5580578F" w14:textId="77777777" w:rsidR="001E3327" w:rsidRPr="00D01CF9" w:rsidRDefault="001E3327" w:rsidP="001E3327"/>
    <w:p w14:paraId="37ABECD4" w14:textId="77777777" w:rsidR="001E3327" w:rsidRDefault="001E3327" w:rsidP="001E3327"/>
    <w:p w14:paraId="59A95FB9" w14:textId="77777777" w:rsidR="001E3327" w:rsidRPr="00D01CF9" w:rsidRDefault="001E3327" w:rsidP="001E3327">
      <w:pPr>
        <w:ind w:left="360"/>
      </w:pPr>
    </w:p>
    <w:p w14:paraId="34C581D5" w14:textId="77777777" w:rsidR="002D7377" w:rsidRPr="00D01CF9" w:rsidRDefault="002D7377" w:rsidP="002D7377">
      <w:pPr>
        <w:keepNext/>
        <w:keepLines/>
        <w:ind w:left="720" w:right="810"/>
        <w:jc w:val="center"/>
        <w:outlineLvl w:val="2"/>
        <w:rPr>
          <w:rFonts w:ascii="Cambria" w:hAnsi="Cambria"/>
          <w:bCs/>
        </w:rPr>
      </w:pPr>
      <w:r w:rsidRPr="00D01CF9">
        <w:rPr>
          <w:rFonts w:ascii="Cambria" w:hAnsi="Cambria"/>
          <w:bCs/>
        </w:rPr>
        <w:lastRenderedPageBreak/>
        <w:t>TABLE A12-1.a. ESTI</w:t>
      </w:r>
      <w:r>
        <w:rPr>
          <w:rFonts w:ascii="Cambria" w:hAnsi="Cambria"/>
          <w:bCs/>
        </w:rPr>
        <w:t>MATED ANNUAL HOURS OF BURDEN FOR</w:t>
      </w:r>
      <w:r w:rsidRPr="00D01CF9">
        <w:rPr>
          <w:rFonts w:ascii="Cambria" w:hAnsi="Cambria"/>
          <w:bCs/>
        </w:rPr>
        <w:t xml:space="preserve"> </w:t>
      </w:r>
      <w:r w:rsidRPr="00D01CF9">
        <w:rPr>
          <w:rFonts w:ascii="Cambria" w:hAnsi="Cambria"/>
          <w:bCs/>
          <w:u w:val="single"/>
        </w:rPr>
        <w:t>QUANTITATIVE</w:t>
      </w:r>
      <w:r w:rsidRPr="00D01CF9">
        <w:rPr>
          <w:rFonts w:ascii="Cambria" w:hAnsi="Cambria"/>
          <w:bCs/>
        </w:rPr>
        <w:t xml:space="preserve"> SURVEY</w:t>
      </w:r>
      <w:r>
        <w:rPr>
          <w:rFonts w:ascii="Cambria" w:hAnsi="Cambria"/>
          <w:bCs/>
        </w:rPr>
        <w:t>S</w:t>
      </w:r>
    </w:p>
    <w:p w14:paraId="18128FB7" w14:textId="77777777" w:rsidR="002D7377" w:rsidRPr="00D01CF9" w:rsidRDefault="002D7377" w:rsidP="002D7377">
      <w:pPr>
        <w:tabs>
          <w:tab w:val="left" w:pos="-1440"/>
        </w:tabs>
        <w:rPr>
          <w:rFonts w:ascii="Courier New" w:hAnsi="Courier New"/>
          <w:u w:val="single"/>
        </w:rPr>
      </w:pPr>
    </w:p>
    <w:tbl>
      <w:tblPr>
        <w:tblW w:w="0" w:type="auto"/>
        <w:jc w:val="center"/>
        <w:tblLayout w:type="fixed"/>
        <w:tblCellMar>
          <w:left w:w="14" w:type="dxa"/>
          <w:right w:w="14" w:type="dxa"/>
        </w:tblCellMar>
        <w:tblLook w:val="0000" w:firstRow="0" w:lastRow="0" w:firstColumn="0" w:lastColumn="0" w:noHBand="0" w:noVBand="0"/>
      </w:tblPr>
      <w:tblGrid>
        <w:gridCol w:w="2340"/>
        <w:gridCol w:w="1440"/>
        <w:gridCol w:w="1440"/>
        <w:gridCol w:w="1800"/>
        <w:gridCol w:w="1620"/>
      </w:tblGrid>
      <w:tr w:rsidR="002D7377" w:rsidRPr="006F7517" w14:paraId="3ED9085A" w14:textId="77777777" w:rsidTr="00632EA9">
        <w:trPr>
          <w:trHeight w:hRule="exact" w:val="1185"/>
          <w:jc w:val="center"/>
        </w:trPr>
        <w:tc>
          <w:tcPr>
            <w:tcW w:w="2340" w:type="dxa"/>
            <w:tcBorders>
              <w:top w:val="double" w:sz="7" w:space="0" w:color="000000"/>
              <w:left w:val="double" w:sz="7" w:space="0" w:color="000000"/>
              <w:bottom w:val="single" w:sz="6" w:space="0" w:color="FFFFFF"/>
              <w:right w:val="single" w:sz="6" w:space="0" w:color="FFFFFF"/>
            </w:tcBorders>
            <w:vAlign w:val="center"/>
          </w:tcPr>
          <w:p w14:paraId="1B200FF6" w14:textId="77777777" w:rsidR="002D7377" w:rsidRPr="00D01CF9" w:rsidRDefault="002D7377" w:rsidP="00632EA9">
            <w:pPr>
              <w:spacing w:after="10"/>
              <w:jc w:val="center"/>
              <w:rPr>
                <w:b/>
              </w:rPr>
            </w:pPr>
            <w:r w:rsidRPr="00D01CF9">
              <w:rPr>
                <w:b/>
              </w:rPr>
              <w:t>Type of Respondents</w:t>
            </w:r>
          </w:p>
        </w:tc>
        <w:tc>
          <w:tcPr>
            <w:tcW w:w="1440" w:type="dxa"/>
            <w:tcBorders>
              <w:top w:val="double" w:sz="7" w:space="0" w:color="000000"/>
              <w:left w:val="single" w:sz="7" w:space="0" w:color="000000"/>
              <w:bottom w:val="single" w:sz="6" w:space="0" w:color="FFFFFF"/>
              <w:right w:val="single" w:sz="6" w:space="0" w:color="FFFFFF"/>
            </w:tcBorders>
            <w:vAlign w:val="center"/>
          </w:tcPr>
          <w:p w14:paraId="381117D9" w14:textId="77777777" w:rsidR="002D7377" w:rsidRPr="00D01CF9" w:rsidRDefault="002D7377" w:rsidP="00632EA9">
            <w:pPr>
              <w:spacing w:after="10"/>
              <w:jc w:val="center"/>
              <w:rPr>
                <w:b/>
              </w:rPr>
            </w:pPr>
            <w:r w:rsidRPr="00D01CF9">
              <w:rPr>
                <w:b/>
              </w:rPr>
              <w:t>Number of Respondents</w:t>
            </w:r>
          </w:p>
        </w:tc>
        <w:tc>
          <w:tcPr>
            <w:tcW w:w="1440" w:type="dxa"/>
            <w:tcBorders>
              <w:top w:val="double" w:sz="7" w:space="0" w:color="000000"/>
              <w:left w:val="single" w:sz="7" w:space="0" w:color="000000"/>
              <w:bottom w:val="single" w:sz="6" w:space="0" w:color="FFFFFF"/>
              <w:right w:val="single" w:sz="6" w:space="0" w:color="FFFFFF"/>
            </w:tcBorders>
            <w:vAlign w:val="center"/>
          </w:tcPr>
          <w:p w14:paraId="02CCC49D" w14:textId="77777777" w:rsidR="002D7377" w:rsidRPr="00D01CF9" w:rsidRDefault="002D7377" w:rsidP="00632EA9">
            <w:pPr>
              <w:spacing w:after="10"/>
              <w:jc w:val="center"/>
              <w:rPr>
                <w:b/>
              </w:rPr>
            </w:pPr>
            <w:r w:rsidRPr="00D01CF9">
              <w:rPr>
                <w:b/>
              </w:rPr>
              <w:t>Frequency of Response</w:t>
            </w:r>
          </w:p>
        </w:tc>
        <w:tc>
          <w:tcPr>
            <w:tcW w:w="1800" w:type="dxa"/>
            <w:tcBorders>
              <w:top w:val="double" w:sz="7" w:space="0" w:color="000000"/>
              <w:left w:val="single" w:sz="7" w:space="0" w:color="000000"/>
              <w:bottom w:val="single" w:sz="6" w:space="0" w:color="FFFFFF"/>
              <w:right w:val="single" w:sz="6" w:space="0" w:color="FFFFFF"/>
            </w:tcBorders>
            <w:vAlign w:val="center"/>
          </w:tcPr>
          <w:p w14:paraId="049F7A47" w14:textId="77777777" w:rsidR="002D7377" w:rsidRPr="00D01CF9" w:rsidRDefault="002D7377" w:rsidP="00632EA9">
            <w:pPr>
              <w:spacing w:after="10"/>
              <w:jc w:val="center"/>
              <w:rPr>
                <w:b/>
              </w:rPr>
            </w:pPr>
            <w:r w:rsidRPr="00D01CF9">
              <w:rPr>
                <w:b/>
              </w:rPr>
              <w:t>Average Time per Response</w:t>
            </w:r>
          </w:p>
          <w:p w14:paraId="7522B4F5" w14:textId="77777777" w:rsidR="002D7377" w:rsidRPr="00D01CF9" w:rsidRDefault="002D7377" w:rsidP="00632EA9">
            <w:pPr>
              <w:spacing w:after="10"/>
              <w:jc w:val="center"/>
              <w:rPr>
                <w:b/>
              </w:rPr>
            </w:pPr>
            <w:r w:rsidRPr="00D01CF9">
              <w:rPr>
                <w:b/>
              </w:rPr>
              <w:t>(in hours)</w:t>
            </w:r>
          </w:p>
        </w:tc>
        <w:tc>
          <w:tcPr>
            <w:tcW w:w="1620" w:type="dxa"/>
            <w:tcBorders>
              <w:top w:val="double" w:sz="7" w:space="0" w:color="000000"/>
              <w:left w:val="single" w:sz="7" w:space="0" w:color="000000"/>
              <w:bottom w:val="single" w:sz="6" w:space="0" w:color="FFFFFF"/>
              <w:right w:val="double" w:sz="7" w:space="0" w:color="000000"/>
            </w:tcBorders>
            <w:vAlign w:val="center"/>
          </w:tcPr>
          <w:p w14:paraId="4F85108E" w14:textId="77777777" w:rsidR="002D7377" w:rsidRPr="00D01CF9" w:rsidRDefault="002D7377" w:rsidP="00632EA9">
            <w:pPr>
              <w:spacing w:after="10"/>
              <w:jc w:val="center"/>
              <w:rPr>
                <w:b/>
              </w:rPr>
            </w:pPr>
            <w:r w:rsidRPr="00D01CF9">
              <w:rPr>
                <w:b/>
              </w:rPr>
              <w:t>Annual Hours of Burden Per Survey</w:t>
            </w:r>
          </w:p>
        </w:tc>
      </w:tr>
      <w:tr w:rsidR="002D7377" w:rsidRPr="006F7517" w14:paraId="7B99DB27" w14:textId="77777777" w:rsidTr="00632EA9">
        <w:trPr>
          <w:jc w:val="center"/>
        </w:trPr>
        <w:tc>
          <w:tcPr>
            <w:tcW w:w="2340" w:type="dxa"/>
            <w:tcBorders>
              <w:top w:val="single" w:sz="7" w:space="0" w:color="000000"/>
              <w:left w:val="double" w:sz="7" w:space="0" w:color="000000"/>
              <w:bottom w:val="single" w:sz="6" w:space="0" w:color="FFFFFF"/>
              <w:right w:val="single" w:sz="6" w:space="0" w:color="FFFFFF"/>
            </w:tcBorders>
            <w:vAlign w:val="center"/>
          </w:tcPr>
          <w:p w14:paraId="27224CB3" w14:textId="77777777" w:rsidR="002D7377" w:rsidRPr="00D01CF9" w:rsidRDefault="002D7377" w:rsidP="00632EA9">
            <w:pPr>
              <w:spacing w:after="10"/>
            </w:pPr>
            <w:r w:rsidRPr="00D01CF9">
              <w:t>Science professionals – applicants, reviewers, Institutional Officials</w:t>
            </w:r>
          </w:p>
        </w:tc>
        <w:tc>
          <w:tcPr>
            <w:tcW w:w="1440" w:type="dxa"/>
            <w:tcBorders>
              <w:top w:val="single" w:sz="7" w:space="0" w:color="000000"/>
              <w:left w:val="single" w:sz="7" w:space="0" w:color="000000"/>
              <w:bottom w:val="single" w:sz="6" w:space="0" w:color="FFFFFF"/>
              <w:right w:val="single" w:sz="6" w:space="0" w:color="FFFFFF"/>
            </w:tcBorders>
            <w:vAlign w:val="center"/>
          </w:tcPr>
          <w:p w14:paraId="69E526FF" w14:textId="77777777" w:rsidR="002D7377" w:rsidRPr="00D01CF9" w:rsidRDefault="002D7377" w:rsidP="00632EA9">
            <w:pPr>
              <w:spacing w:after="10"/>
              <w:jc w:val="center"/>
            </w:pPr>
            <w:r>
              <w:t>1500</w:t>
            </w:r>
          </w:p>
        </w:tc>
        <w:tc>
          <w:tcPr>
            <w:tcW w:w="1440" w:type="dxa"/>
            <w:tcBorders>
              <w:top w:val="single" w:sz="7" w:space="0" w:color="000000"/>
              <w:left w:val="single" w:sz="7" w:space="0" w:color="000000"/>
              <w:bottom w:val="single" w:sz="6" w:space="0" w:color="FFFFFF"/>
              <w:right w:val="single" w:sz="6" w:space="0" w:color="FFFFFF"/>
            </w:tcBorders>
            <w:vAlign w:val="center"/>
          </w:tcPr>
          <w:p w14:paraId="1715F8C7" w14:textId="77777777" w:rsidR="002D7377" w:rsidRPr="00D01CF9" w:rsidRDefault="002D7377" w:rsidP="00632EA9">
            <w:pPr>
              <w:spacing w:after="10"/>
              <w:jc w:val="center"/>
            </w:pPr>
            <w:r w:rsidRPr="00D01CF9">
              <w:t>1</w:t>
            </w:r>
          </w:p>
        </w:tc>
        <w:tc>
          <w:tcPr>
            <w:tcW w:w="1800" w:type="dxa"/>
            <w:tcBorders>
              <w:top w:val="single" w:sz="7" w:space="0" w:color="000000"/>
              <w:left w:val="single" w:sz="7" w:space="0" w:color="000000"/>
              <w:bottom w:val="single" w:sz="6" w:space="0" w:color="FFFFFF"/>
              <w:right w:val="single" w:sz="6" w:space="0" w:color="FFFFFF"/>
            </w:tcBorders>
            <w:vAlign w:val="center"/>
          </w:tcPr>
          <w:p w14:paraId="40F5B299" w14:textId="77777777" w:rsidR="002D7377" w:rsidRPr="00D01CF9" w:rsidRDefault="002D7377" w:rsidP="00632EA9">
            <w:pPr>
              <w:spacing w:after="10"/>
              <w:jc w:val="center"/>
            </w:pPr>
            <w:r>
              <w:t>20</w:t>
            </w:r>
            <w:r w:rsidRPr="00D01CF9">
              <w:t>/60</w:t>
            </w:r>
          </w:p>
        </w:tc>
        <w:tc>
          <w:tcPr>
            <w:tcW w:w="1620" w:type="dxa"/>
            <w:tcBorders>
              <w:top w:val="single" w:sz="7" w:space="0" w:color="000000"/>
              <w:left w:val="single" w:sz="7" w:space="0" w:color="000000"/>
              <w:bottom w:val="single" w:sz="6" w:space="0" w:color="FFFFFF"/>
              <w:right w:val="double" w:sz="7" w:space="0" w:color="000000"/>
            </w:tcBorders>
            <w:vAlign w:val="center"/>
          </w:tcPr>
          <w:p w14:paraId="2CD17C4A" w14:textId="77777777" w:rsidR="002D7377" w:rsidRPr="00D01CF9" w:rsidRDefault="002D7377" w:rsidP="00632EA9">
            <w:pPr>
              <w:spacing w:after="10"/>
              <w:jc w:val="center"/>
            </w:pPr>
            <w:r>
              <w:t>500</w:t>
            </w:r>
          </w:p>
        </w:tc>
      </w:tr>
      <w:tr w:rsidR="002D7377" w:rsidRPr="006F7517" w14:paraId="3C416FDB" w14:textId="77777777" w:rsidTr="00632EA9">
        <w:trPr>
          <w:jc w:val="center"/>
        </w:trPr>
        <w:tc>
          <w:tcPr>
            <w:tcW w:w="2340" w:type="dxa"/>
            <w:tcBorders>
              <w:top w:val="single" w:sz="7" w:space="0" w:color="000000"/>
              <w:left w:val="double" w:sz="7" w:space="0" w:color="000000"/>
              <w:bottom w:val="single" w:sz="6" w:space="0" w:color="FFFFFF"/>
              <w:right w:val="single" w:sz="6" w:space="0" w:color="FFFFFF"/>
            </w:tcBorders>
            <w:vAlign w:val="center"/>
          </w:tcPr>
          <w:p w14:paraId="587950D1" w14:textId="77777777" w:rsidR="002D7377" w:rsidRPr="00D01CF9" w:rsidRDefault="002D7377" w:rsidP="00632EA9">
            <w:pPr>
              <w:spacing w:after="68"/>
            </w:pPr>
            <w:r w:rsidRPr="00D01CF9">
              <w:t>Adult science trainees</w:t>
            </w:r>
          </w:p>
        </w:tc>
        <w:tc>
          <w:tcPr>
            <w:tcW w:w="1440" w:type="dxa"/>
            <w:tcBorders>
              <w:top w:val="single" w:sz="7" w:space="0" w:color="000000"/>
              <w:left w:val="single" w:sz="7" w:space="0" w:color="000000"/>
              <w:bottom w:val="single" w:sz="6" w:space="0" w:color="FFFFFF"/>
              <w:right w:val="single" w:sz="6" w:space="0" w:color="FFFFFF"/>
            </w:tcBorders>
            <w:vAlign w:val="center"/>
          </w:tcPr>
          <w:p w14:paraId="411E4043" w14:textId="77777777" w:rsidR="002D7377" w:rsidRPr="00D01CF9" w:rsidRDefault="002D7377" w:rsidP="00632EA9">
            <w:pPr>
              <w:spacing w:after="10"/>
              <w:jc w:val="center"/>
            </w:pPr>
            <w:r>
              <w:t>1000</w:t>
            </w:r>
          </w:p>
        </w:tc>
        <w:tc>
          <w:tcPr>
            <w:tcW w:w="1440" w:type="dxa"/>
            <w:tcBorders>
              <w:top w:val="single" w:sz="7" w:space="0" w:color="000000"/>
              <w:left w:val="single" w:sz="7" w:space="0" w:color="000000"/>
              <w:bottom w:val="single" w:sz="8" w:space="0" w:color="000000"/>
              <w:right w:val="single" w:sz="6" w:space="0" w:color="FFFFFF"/>
            </w:tcBorders>
            <w:vAlign w:val="center"/>
          </w:tcPr>
          <w:p w14:paraId="4094181E" w14:textId="77777777" w:rsidR="002D7377" w:rsidRPr="00D01CF9" w:rsidRDefault="002D7377" w:rsidP="00632EA9">
            <w:pPr>
              <w:spacing w:after="10"/>
              <w:jc w:val="center"/>
            </w:pPr>
            <w:r w:rsidRPr="00D01CF9">
              <w:t>1</w:t>
            </w:r>
          </w:p>
        </w:tc>
        <w:tc>
          <w:tcPr>
            <w:tcW w:w="1800" w:type="dxa"/>
            <w:tcBorders>
              <w:top w:val="single" w:sz="7" w:space="0" w:color="000000"/>
              <w:left w:val="single" w:sz="7" w:space="0" w:color="000000"/>
              <w:bottom w:val="single" w:sz="8" w:space="0" w:color="000000"/>
              <w:right w:val="single" w:sz="6" w:space="0" w:color="FFFFFF"/>
            </w:tcBorders>
            <w:vAlign w:val="center"/>
          </w:tcPr>
          <w:p w14:paraId="0C6DFF35" w14:textId="77777777" w:rsidR="002D7377" w:rsidRPr="00D01CF9" w:rsidRDefault="002D7377" w:rsidP="00632EA9">
            <w:pPr>
              <w:spacing w:after="10"/>
              <w:jc w:val="center"/>
            </w:pPr>
            <w:r>
              <w:t>20</w:t>
            </w:r>
            <w:r w:rsidRPr="00D01CF9">
              <w:t xml:space="preserve">/60 </w:t>
            </w:r>
          </w:p>
        </w:tc>
        <w:tc>
          <w:tcPr>
            <w:tcW w:w="1620" w:type="dxa"/>
            <w:tcBorders>
              <w:top w:val="single" w:sz="7" w:space="0" w:color="000000"/>
              <w:left w:val="single" w:sz="7" w:space="0" w:color="000000"/>
              <w:bottom w:val="single" w:sz="6" w:space="0" w:color="FFFFFF"/>
              <w:right w:val="double" w:sz="7" w:space="0" w:color="000000"/>
            </w:tcBorders>
            <w:vAlign w:val="center"/>
          </w:tcPr>
          <w:p w14:paraId="72E45297" w14:textId="77777777" w:rsidR="002D7377" w:rsidRPr="00D01CF9" w:rsidRDefault="002D7377" w:rsidP="00632EA9">
            <w:pPr>
              <w:spacing w:after="10"/>
              <w:jc w:val="center"/>
            </w:pPr>
            <w:r>
              <w:t>333</w:t>
            </w:r>
          </w:p>
        </w:tc>
      </w:tr>
      <w:tr w:rsidR="002D7377" w:rsidRPr="006F7517" w14:paraId="5593F980" w14:textId="77777777" w:rsidTr="00632EA9">
        <w:trPr>
          <w:jc w:val="center"/>
        </w:trPr>
        <w:tc>
          <w:tcPr>
            <w:tcW w:w="2340" w:type="dxa"/>
            <w:tcBorders>
              <w:top w:val="single" w:sz="7" w:space="0" w:color="000000"/>
              <w:left w:val="double" w:sz="7" w:space="0" w:color="000000"/>
              <w:bottom w:val="double" w:sz="6" w:space="0" w:color="000000"/>
              <w:right w:val="single" w:sz="6" w:space="0" w:color="FFFFFF"/>
            </w:tcBorders>
            <w:shd w:val="clear" w:color="auto" w:fill="auto"/>
            <w:vAlign w:val="center"/>
          </w:tcPr>
          <w:p w14:paraId="356CE7EC" w14:textId="77777777" w:rsidR="002D7377" w:rsidRPr="00D01CF9" w:rsidRDefault="002D7377" w:rsidP="00632EA9">
            <w:pPr>
              <w:spacing w:after="68"/>
            </w:pPr>
            <w:r w:rsidRPr="00D01CF9">
              <w:t>General public</w:t>
            </w:r>
          </w:p>
        </w:tc>
        <w:tc>
          <w:tcPr>
            <w:tcW w:w="1440" w:type="dxa"/>
            <w:tcBorders>
              <w:top w:val="single" w:sz="7" w:space="0" w:color="000000"/>
              <w:left w:val="single" w:sz="7" w:space="0" w:color="000000"/>
              <w:bottom w:val="double" w:sz="6" w:space="0" w:color="000000"/>
              <w:right w:val="single" w:sz="8" w:space="0" w:color="000000"/>
            </w:tcBorders>
            <w:shd w:val="clear" w:color="auto" w:fill="auto"/>
            <w:vAlign w:val="center"/>
          </w:tcPr>
          <w:p w14:paraId="2E0A0787" w14:textId="77777777" w:rsidR="002D7377" w:rsidRPr="00D01CF9" w:rsidRDefault="002D7377" w:rsidP="00632EA9">
            <w:pPr>
              <w:spacing w:after="68"/>
              <w:jc w:val="center"/>
            </w:pPr>
            <w:r>
              <w:t>2500</w:t>
            </w:r>
          </w:p>
        </w:tc>
        <w:tc>
          <w:tcPr>
            <w:tcW w:w="1440" w:type="dxa"/>
            <w:tcBorders>
              <w:top w:val="single" w:sz="8" w:space="0" w:color="000000"/>
              <w:left w:val="single" w:sz="8" w:space="0" w:color="000000"/>
              <w:bottom w:val="double" w:sz="6" w:space="0" w:color="000000"/>
              <w:right w:val="single" w:sz="8" w:space="0" w:color="000000"/>
            </w:tcBorders>
            <w:shd w:val="clear" w:color="auto" w:fill="auto"/>
            <w:vAlign w:val="center"/>
          </w:tcPr>
          <w:p w14:paraId="51CF81C3" w14:textId="77777777" w:rsidR="002D7377" w:rsidRPr="00D01CF9" w:rsidRDefault="002D7377" w:rsidP="00632EA9">
            <w:pPr>
              <w:spacing w:after="68"/>
              <w:jc w:val="center"/>
            </w:pPr>
            <w:r w:rsidRPr="00D01CF9">
              <w:t>1</w:t>
            </w:r>
          </w:p>
        </w:tc>
        <w:tc>
          <w:tcPr>
            <w:tcW w:w="1800" w:type="dxa"/>
            <w:tcBorders>
              <w:top w:val="single" w:sz="8" w:space="0" w:color="000000"/>
              <w:left w:val="single" w:sz="8" w:space="0" w:color="000000"/>
              <w:bottom w:val="double" w:sz="6" w:space="0" w:color="000000"/>
              <w:right w:val="single" w:sz="8" w:space="0" w:color="000000"/>
            </w:tcBorders>
            <w:shd w:val="clear" w:color="auto" w:fill="auto"/>
            <w:vAlign w:val="center"/>
          </w:tcPr>
          <w:p w14:paraId="20B1E6C4" w14:textId="77777777" w:rsidR="002D7377" w:rsidRPr="00D01CF9" w:rsidRDefault="002D7377" w:rsidP="00632EA9">
            <w:pPr>
              <w:spacing w:after="68"/>
              <w:jc w:val="center"/>
            </w:pPr>
            <w:r>
              <w:t>20</w:t>
            </w:r>
            <w:r w:rsidRPr="00D01CF9">
              <w:t>/60</w:t>
            </w:r>
          </w:p>
        </w:tc>
        <w:tc>
          <w:tcPr>
            <w:tcW w:w="1620" w:type="dxa"/>
            <w:tcBorders>
              <w:top w:val="single" w:sz="7" w:space="0" w:color="000000"/>
              <w:left w:val="single" w:sz="8" w:space="0" w:color="000000"/>
              <w:bottom w:val="double" w:sz="6" w:space="0" w:color="000000"/>
              <w:right w:val="double" w:sz="7" w:space="0" w:color="000000"/>
            </w:tcBorders>
            <w:shd w:val="clear" w:color="auto" w:fill="auto"/>
            <w:vAlign w:val="center"/>
          </w:tcPr>
          <w:p w14:paraId="63EEA745" w14:textId="77777777" w:rsidR="002D7377" w:rsidRPr="00D01CF9" w:rsidRDefault="002D7377" w:rsidP="00632EA9">
            <w:pPr>
              <w:spacing w:after="68"/>
              <w:jc w:val="center"/>
            </w:pPr>
            <w:r>
              <w:t>833</w:t>
            </w:r>
          </w:p>
        </w:tc>
      </w:tr>
      <w:tr w:rsidR="002D7377" w:rsidRPr="006F7517" w14:paraId="20C2E8CE" w14:textId="77777777" w:rsidTr="00632EA9">
        <w:trPr>
          <w:jc w:val="center"/>
        </w:trPr>
        <w:tc>
          <w:tcPr>
            <w:tcW w:w="2340" w:type="dxa"/>
            <w:tcBorders>
              <w:top w:val="double" w:sz="6" w:space="0" w:color="000000"/>
              <w:left w:val="double" w:sz="6" w:space="0" w:color="000000"/>
              <w:bottom w:val="double" w:sz="6" w:space="0" w:color="000000"/>
              <w:right w:val="single" w:sz="6" w:space="0" w:color="FFFFFF"/>
            </w:tcBorders>
            <w:shd w:val="clear" w:color="auto" w:fill="auto"/>
            <w:vAlign w:val="center"/>
          </w:tcPr>
          <w:p w14:paraId="28D791DF" w14:textId="77777777" w:rsidR="002D7377" w:rsidRPr="00D01CF9" w:rsidRDefault="002D7377" w:rsidP="00632EA9">
            <w:pPr>
              <w:spacing w:after="68"/>
              <w:rPr>
                <w:b/>
              </w:rPr>
            </w:pPr>
            <w:r w:rsidRPr="00D01CF9">
              <w:rPr>
                <w:b/>
              </w:rPr>
              <w:t>Totals</w:t>
            </w:r>
          </w:p>
        </w:tc>
        <w:tc>
          <w:tcPr>
            <w:tcW w:w="1440" w:type="dxa"/>
            <w:tcBorders>
              <w:top w:val="double" w:sz="6" w:space="0" w:color="000000"/>
              <w:left w:val="single" w:sz="7" w:space="0" w:color="000000"/>
              <w:bottom w:val="double" w:sz="6" w:space="0" w:color="000000"/>
              <w:right w:val="single" w:sz="8" w:space="0" w:color="000000"/>
            </w:tcBorders>
            <w:shd w:val="clear" w:color="auto" w:fill="auto"/>
            <w:vAlign w:val="center"/>
          </w:tcPr>
          <w:p w14:paraId="7103E0D7" w14:textId="77777777" w:rsidR="002D7377" w:rsidRPr="00D01CF9" w:rsidRDefault="002D7377" w:rsidP="00632EA9">
            <w:pPr>
              <w:spacing w:after="68"/>
              <w:jc w:val="center"/>
            </w:pPr>
            <w:r>
              <w:t>5,000</w:t>
            </w:r>
          </w:p>
        </w:tc>
        <w:tc>
          <w:tcPr>
            <w:tcW w:w="1440" w:type="dxa"/>
            <w:tcBorders>
              <w:top w:val="double" w:sz="6" w:space="0" w:color="000000"/>
              <w:left w:val="single" w:sz="8" w:space="0" w:color="000000"/>
              <w:bottom w:val="double" w:sz="6" w:space="0" w:color="000000"/>
              <w:right w:val="single" w:sz="8" w:space="0" w:color="000000"/>
            </w:tcBorders>
            <w:shd w:val="clear" w:color="auto" w:fill="auto"/>
            <w:vAlign w:val="center"/>
          </w:tcPr>
          <w:p w14:paraId="3CD5873A" w14:textId="2AAACFAB" w:rsidR="002D7377" w:rsidRPr="00ED50C7" w:rsidRDefault="00725304" w:rsidP="00632EA9">
            <w:pPr>
              <w:spacing w:after="68"/>
              <w:jc w:val="center"/>
            </w:pPr>
            <w:r w:rsidRPr="00ED50C7">
              <w:t>5000</w:t>
            </w:r>
          </w:p>
        </w:tc>
        <w:tc>
          <w:tcPr>
            <w:tcW w:w="1800" w:type="dxa"/>
            <w:tcBorders>
              <w:top w:val="double" w:sz="6" w:space="0" w:color="000000"/>
              <w:left w:val="single" w:sz="8" w:space="0" w:color="000000"/>
              <w:bottom w:val="double" w:sz="6" w:space="0" w:color="000000"/>
              <w:right w:val="single" w:sz="8" w:space="0" w:color="000000"/>
            </w:tcBorders>
            <w:shd w:val="clear" w:color="auto" w:fill="auto"/>
            <w:vAlign w:val="center"/>
          </w:tcPr>
          <w:p w14:paraId="66B17DEE" w14:textId="310C0FD7" w:rsidR="002D7377" w:rsidRPr="00ED50C7" w:rsidRDefault="002D7377" w:rsidP="00632EA9">
            <w:pPr>
              <w:spacing w:after="68"/>
              <w:jc w:val="center"/>
              <w:rPr>
                <w:strike/>
              </w:rPr>
            </w:pPr>
          </w:p>
        </w:tc>
        <w:tc>
          <w:tcPr>
            <w:tcW w:w="1620" w:type="dxa"/>
            <w:tcBorders>
              <w:top w:val="double" w:sz="6" w:space="0" w:color="000000"/>
              <w:left w:val="single" w:sz="8" w:space="0" w:color="000000"/>
              <w:bottom w:val="double" w:sz="6" w:space="0" w:color="000000"/>
              <w:right w:val="double" w:sz="6" w:space="0" w:color="000000"/>
            </w:tcBorders>
            <w:shd w:val="clear" w:color="auto" w:fill="auto"/>
            <w:vAlign w:val="center"/>
          </w:tcPr>
          <w:p w14:paraId="423906B3" w14:textId="77777777" w:rsidR="002D7377" w:rsidRPr="00D01CF9" w:rsidRDefault="002D7377" w:rsidP="00632EA9">
            <w:pPr>
              <w:spacing w:after="68"/>
              <w:jc w:val="center"/>
            </w:pPr>
            <w:r>
              <w:t>1,666</w:t>
            </w:r>
          </w:p>
        </w:tc>
      </w:tr>
    </w:tbl>
    <w:p w14:paraId="6DF64755" w14:textId="77777777" w:rsidR="001E3327" w:rsidRPr="00D01CF9" w:rsidRDefault="001E3327" w:rsidP="001E3327">
      <w:pPr>
        <w:keepLines/>
      </w:pPr>
    </w:p>
    <w:p w14:paraId="704D5168" w14:textId="77777777" w:rsidR="002D7377" w:rsidRPr="00D01CF9" w:rsidRDefault="002D7377" w:rsidP="002D7377">
      <w:pPr>
        <w:keepNext/>
        <w:keepLines/>
        <w:ind w:left="720" w:right="810"/>
        <w:jc w:val="center"/>
        <w:outlineLvl w:val="2"/>
        <w:rPr>
          <w:rFonts w:ascii="Cambria" w:hAnsi="Cambria"/>
          <w:bCs/>
        </w:rPr>
      </w:pPr>
      <w:r w:rsidRPr="00D01CF9">
        <w:rPr>
          <w:rFonts w:ascii="Cambria" w:hAnsi="Cambria"/>
          <w:bCs/>
        </w:rPr>
        <w:t>TABLE A12-1.b. ESTI</w:t>
      </w:r>
      <w:r>
        <w:rPr>
          <w:rFonts w:ascii="Cambria" w:hAnsi="Cambria"/>
          <w:bCs/>
        </w:rPr>
        <w:t>MATED ANNUAL HOURS OF BURDEN FOR</w:t>
      </w:r>
      <w:r w:rsidRPr="00D01CF9">
        <w:rPr>
          <w:rFonts w:ascii="Cambria" w:hAnsi="Cambria"/>
          <w:bCs/>
        </w:rPr>
        <w:t xml:space="preserve"> </w:t>
      </w:r>
      <w:r w:rsidRPr="00D01CF9">
        <w:rPr>
          <w:rFonts w:ascii="Cambria" w:hAnsi="Cambria"/>
          <w:bCs/>
          <w:u w:val="single"/>
        </w:rPr>
        <w:t>QUALITATIVE</w:t>
      </w:r>
      <w:r w:rsidRPr="00D01CF9">
        <w:rPr>
          <w:rFonts w:ascii="Cambria" w:hAnsi="Cambria"/>
          <w:bCs/>
        </w:rPr>
        <w:t xml:space="preserve"> SURVEY</w:t>
      </w:r>
      <w:r>
        <w:rPr>
          <w:rFonts w:ascii="Cambria" w:hAnsi="Cambria"/>
          <w:bCs/>
        </w:rPr>
        <w:t>S</w:t>
      </w:r>
    </w:p>
    <w:p w14:paraId="6138F20C" w14:textId="77777777" w:rsidR="002D7377" w:rsidRPr="00D01CF9" w:rsidRDefault="002D7377" w:rsidP="002D7377">
      <w:pPr>
        <w:tabs>
          <w:tab w:val="left" w:pos="-1440"/>
        </w:tabs>
        <w:rPr>
          <w:rFonts w:ascii="Courier New" w:hAnsi="Courier New"/>
          <w:u w:val="single"/>
        </w:rPr>
      </w:pPr>
    </w:p>
    <w:tbl>
      <w:tblPr>
        <w:tblW w:w="0" w:type="auto"/>
        <w:jc w:val="center"/>
        <w:tblLayout w:type="fixed"/>
        <w:tblCellMar>
          <w:left w:w="14" w:type="dxa"/>
          <w:right w:w="14" w:type="dxa"/>
        </w:tblCellMar>
        <w:tblLook w:val="0000" w:firstRow="0" w:lastRow="0" w:firstColumn="0" w:lastColumn="0" w:noHBand="0" w:noVBand="0"/>
      </w:tblPr>
      <w:tblGrid>
        <w:gridCol w:w="2340"/>
        <w:gridCol w:w="1440"/>
        <w:gridCol w:w="1440"/>
        <w:gridCol w:w="1800"/>
        <w:gridCol w:w="1620"/>
      </w:tblGrid>
      <w:tr w:rsidR="002D7377" w:rsidRPr="006F7517" w14:paraId="7CC7479C" w14:textId="77777777" w:rsidTr="00632EA9">
        <w:trPr>
          <w:trHeight w:hRule="exact" w:val="1014"/>
          <w:jc w:val="center"/>
        </w:trPr>
        <w:tc>
          <w:tcPr>
            <w:tcW w:w="2340" w:type="dxa"/>
            <w:tcBorders>
              <w:top w:val="double" w:sz="7" w:space="0" w:color="000000"/>
              <w:left w:val="double" w:sz="7" w:space="0" w:color="000000"/>
              <w:bottom w:val="single" w:sz="6" w:space="0" w:color="FFFFFF"/>
              <w:right w:val="single" w:sz="6" w:space="0" w:color="FFFFFF"/>
            </w:tcBorders>
            <w:vAlign w:val="center"/>
          </w:tcPr>
          <w:p w14:paraId="60AAAC85" w14:textId="77777777" w:rsidR="002D7377" w:rsidRPr="00D01CF9" w:rsidRDefault="002D7377" w:rsidP="00632EA9">
            <w:pPr>
              <w:spacing w:after="10"/>
              <w:jc w:val="center"/>
              <w:rPr>
                <w:b/>
              </w:rPr>
            </w:pPr>
            <w:r w:rsidRPr="00D01CF9">
              <w:rPr>
                <w:b/>
              </w:rPr>
              <w:t>Type of Respondents</w:t>
            </w:r>
          </w:p>
        </w:tc>
        <w:tc>
          <w:tcPr>
            <w:tcW w:w="1440" w:type="dxa"/>
            <w:tcBorders>
              <w:top w:val="double" w:sz="7" w:space="0" w:color="000000"/>
              <w:left w:val="single" w:sz="7" w:space="0" w:color="000000"/>
              <w:bottom w:val="single" w:sz="6" w:space="0" w:color="FFFFFF"/>
              <w:right w:val="single" w:sz="6" w:space="0" w:color="FFFFFF"/>
            </w:tcBorders>
            <w:vAlign w:val="center"/>
          </w:tcPr>
          <w:p w14:paraId="0EA95551" w14:textId="77777777" w:rsidR="002D7377" w:rsidRPr="00D01CF9" w:rsidRDefault="002D7377" w:rsidP="00632EA9">
            <w:pPr>
              <w:spacing w:after="10"/>
              <w:jc w:val="center"/>
              <w:rPr>
                <w:b/>
              </w:rPr>
            </w:pPr>
            <w:r w:rsidRPr="00D01CF9">
              <w:rPr>
                <w:b/>
              </w:rPr>
              <w:t>Number of Respondents</w:t>
            </w:r>
          </w:p>
        </w:tc>
        <w:tc>
          <w:tcPr>
            <w:tcW w:w="1440" w:type="dxa"/>
            <w:tcBorders>
              <w:top w:val="double" w:sz="7" w:space="0" w:color="000000"/>
              <w:left w:val="single" w:sz="7" w:space="0" w:color="000000"/>
              <w:bottom w:val="single" w:sz="6" w:space="0" w:color="FFFFFF"/>
              <w:right w:val="single" w:sz="6" w:space="0" w:color="FFFFFF"/>
            </w:tcBorders>
            <w:vAlign w:val="center"/>
          </w:tcPr>
          <w:p w14:paraId="113AC697" w14:textId="77777777" w:rsidR="002D7377" w:rsidRPr="00D01CF9" w:rsidRDefault="002D7377" w:rsidP="00632EA9">
            <w:pPr>
              <w:spacing w:after="10"/>
              <w:jc w:val="center"/>
              <w:rPr>
                <w:b/>
              </w:rPr>
            </w:pPr>
            <w:r w:rsidRPr="00D01CF9">
              <w:rPr>
                <w:b/>
              </w:rPr>
              <w:t>Frequency of Response</w:t>
            </w:r>
          </w:p>
        </w:tc>
        <w:tc>
          <w:tcPr>
            <w:tcW w:w="1800" w:type="dxa"/>
            <w:tcBorders>
              <w:top w:val="double" w:sz="7" w:space="0" w:color="000000"/>
              <w:left w:val="single" w:sz="7" w:space="0" w:color="000000"/>
              <w:bottom w:val="single" w:sz="6" w:space="0" w:color="FFFFFF"/>
              <w:right w:val="single" w:sz="6" w:space="0" w:color="FFFFFF"/>
            </w:tcBorders>
            <w:vAlign w:val="center"/>
          </w:tcPr>
          <w:p w14:paraId="16E1513F" w14:textId="77777777" w:rsidR="002D7377" w:rsidRPr="00D01CF9" w:rsidRDefault="002D7377" w:rsidP="00632EA9">
            <w:pPr>
              <w:spacing w:after="10"/>
              <w:jc w:val="center"/>
              <w:rPr>
                <w:b/>
              </w:rPr>
            </w:pPr>
            <w:r w:rsidRPr="00D01CF9">
              <w:rPr>
                <w:b/>
              </w:rPr>
              <w:t>Average Time per Response</w:t>
            </w:r>
          </w:p>
          <w:p w14:paraId="5CF68ED0" w14:textId="77777777" w:rsidR="002D7377" w:rsidRPr="00D01CF9" w:rsidRDefault="002D7377" w:rsidP="00632EA9">
            <w:pPr>
              <w:spacing w:after="10"/>
              <w:jc w:val="center"/>
              <w:rPr>
                <w:b/>
              </w:rPr>
            </w:pPr>
            <w:r w:rsidRPr="00D01CF9">
              <w:rPr>
                <w:b/>
              </w:rPr>
              <w:t>(in hours)</w:t>
            </w:r>
          </w:p>
        </w:tc>
        <w:tc>
          <w:tcPr>
            <w:tcW w:w="1620" w:type="dxa"/>
            <w:tcBorders>
              <w:top w:val="double" w:sz="7" w:space="0" w:color="000000"/>
              <w:left w:val="single" w:sz="7" w:space="0" w:color="000000"/>
              <w:bottom w:val="single" w:sz="6" w:space="0" w:color="FFFFFF"/>
              <w:right w:val="double" w:sz="7" w:space="0" w:color="000000"/>
            </w:tcBorders>
            <w:vAlign w:val="center"/>
          </w:tcPr>
          <w:p w14:paraId="79D1B2DA" w14:textId="77777777" w:rsidR="002D7377" w:rsidRPr="00D01CF9" w:rsidRDefault="002D7377" w:rsidP="00632EA9">
            <w:pPr>
              <w:spacing w:after="10"/>
              <w:jc w:val="center"/>
              <w:rPr>
                <w:b/>
              </w:rPr>
            </w:pPr>
            <w:r w:rsidRPr="00D01CF9">
              <w:rPr>
                <w:b/>
              </w:rPr>
              <w:t>Annual Hours of Burden Per Survey</w:t>
            </w:r>
          </w:p>
        </w:tc>
      </w:tr>
      <w:tr w:rsidR="002D7377" w:rsidRPr="006F7517" w14:paraId="2B5510D8" w14:textId="77777777" w:rsidTr="00632EA9">
        <w:trPr>
          <w:jc w:val="center"/>
        </w:trPr>
        <w:tc>
          <w:tcPr>
            <w:tcW w:w="2340" w:type="dxa"/>
            <w:tcBorders>
              <w:top w:val="single" w:sz="7" w:space="0" w:color="000000"/>
              <w:left w:val="double" w:sz="7" w:space="0" w:color="000000"/>
              <w:bottom w:val="single" w:sz="6" w:space="0" w:color="FFFFFF"/>
              <w:right w:val="single" w:sz="6" w:space="0" w:color="FFFFFF"/>
            </w:tcBorders>
            <w:vAlign w:val="center"/>
          </w:tcPr>
          <w:p w14:paraId="0413139A" w14:textId="77777777" w:rsidR="002D7377" w:rsidRPr="00D01CF9" w:rsidRDefault="002D7377" w:rsidP="00632EA9">
            <w:pPr>
              <w:spacing w:after="10"/>
            </w:pPr>
            <w:r w:rsidRPr="00D01CF9">
              <w:t>Science professionals – applicants, reviewers, Institutional Officials</w:t>
            </w:r>
          </w:p>
        </w:tc>
        <w:tc>
          <w:tcPr>
            <w:tcW w:w="1440" w:type="dxa"/>
            <w:tcBorders>
              <w:top w:val="single" w:sz="7" w:space="0" w:color="000000"/>
              <w:left w:val="single" w:sz="7" w:space="0" w:color="000000"/>
              <w:bottom w:val="single" w:sz="6" w:space="0" w:color="FFFFFF"/>
              <w:right w:val="single" w:sz="6" w:space="0" w:color="FFFFFF"/>
            </w:tcBorders>
            <w:vAlign w:val="center"/>
          </w:tcPr>
          <w:p w14:paraId="6AE3AC05" w14:textId="77777777" w:rsidR="002D7377" w:rsidRPr="00D01CF9" w:rsidRDefault="002D7377" w:rsidP="00632EA9">
            <w:pPr>
              <w:spacing w:after="10"/>
              <w:jc w:val="center"/>
            </w:pPr>
            <w:r>
              <w:t>200</w:t>
            </w:r>
          </w:p>
        </w:tc>
        <w:tc>
          <w:tcPr>
            <w:tcW w:w="1440" w:type="dxa"/>
            <w:tcBorders>
              <w:top w:val="single" w:sz="7" w:space="0" w:color="000000"/>
              <w:left w:val="single" w:sz="7" w:space="0" w:color="000000"/>
              <w:bottom w:val="single" w:sz="6" w:space="0" w:color="FFFFFF"/>
              <w:right w:val="single" w:sz="6" w:space="0" w:color="FFFFFF"/>
            </w:tcBorders>
            <w:vAlign w:val="center"/>
          </w:tcPr>
          <w:p w14:paraId="3B4B3B0C" w14:textId="77777777" w:rsidR="002D7377" w:rsidRPr="00D01CF9" w:rsidRDefault="002D7377" w:rsidP="00632EA9">
            <w:pPr>
              <w:spacing w:after="10"/>
              <w:jc w:val="center"/>
            </w:pPr>
            <w:r w:rsidRPr="00D01CF9">
              <w:t>1</w:t>
            </w:r>
          </w:p>
        </w:tc>
        <w:tc>
          <w:tcPr>
            <w:tcW w:w="1800" w:type="dxa"/>
            <w:tcBorders>
              <w:top w:val="single" w:sz="7" w:space="0" w:color="000000"/>
              <w:left w:val="single" w:sz="7" w:space="0" w:color="000000"/>
              <w:bottom w:val="single" w:sz="6" w:space="0" w:color="FFFFFF"/>
              <w:right w:val="single" w:sz="6" w:space="0" w:color="FFFFFF"/>
            </w:tcBorders>
            <w:vAlign w:val="center"/>
          </w:tcPr>
          <w:p w14:paraId="5024FF52" w14:textId="77777777" w:rsidR="002D7377" w:rsidRPr="00D01CF9" w:rsidRDefault="002D7377" w:rsidP="00632EA9">
            <w:pPr>
              <w:spacing w:after="10"/>
              <w:jc w:val="center"/>
            </w:pPr>
            <w:r w:rsidRPr="00D01CF9">
              <w:t>1</w:t>
            </w:r>
          </w:p>
        </w:tc>
        <w:tc>
          <w:tcPr>
            <w:tcW w:w="1620" w:type="dxa"/>
            <w:tcBorders>
              <w:top w:val="single" w:sz="7" w:space="0" w:color="000000"/>
              <w:left w:val="single" w:sz="7" w:space="0" w:color="000000"/>
              <w:bottom w:val="single" w:sz="6" w:space="0" w:color="FFFFFF"/>
              <w:right w:val="double" w:sz="7" w:space="0" w:color="000000"/>
            </w:tcBorders>
            <w:vAlign w:val="center"/>
          </w:tcPr>
          <w:p w14:paraId="3663BCF7" w14:textId="77777777" w:rsidR="002D7377" w:rsidRPr="00D01CF9" w:rsidRDefault="002D7377" w:rsidP="00632EA9">
            <w:pPr>
              <w:spacing w:after="10"/>
              <w:jc w:val="center"/>
            </w:pPr>
            <w:r>
              <w:t>200</w:t>
            </w:r>
          </w:p>
        </w:tc>
      </w:tr>
      <w:tr w:rsidR="002D7377" w:rsidRPr="006F7517" w14:paraId="5297BEA0" w14:textId="77777777" w:rsidTr="00632EA9">
        <w:trPr>
          <w:jc w:val="center"/>
        </w:trPr>
        <w:tc>
          <w:tcPr>
            <w:tcW w:w="2340" w:type="dxa"/>
            <w:tcBorders>
              <w:top w:val="single" w:sz="7" w:space="0" w:color="000000"/>
              <w:left w:val="double" w:sz="7" w:space="0" w:color="000000"/>
              <w:bottom w:val="single" w:sz="6" w:space="0" w:color="FFFFFF"/>
              <w:right w:val="single" w:sz="6" w:space="0" w:color="FFFFFF"/>
            </w:tcBorders>
            <w:vAlign w:val="center"/>
          </w:tcPr>
          <w:p w14:paraId="79740263" w14:textId="77777777" w:rsidR="002D7377" w:rsidRPr="00D01CF9" w:rsidRDefault="002D7377" w:rsidP="00632EA9">
            <w:pPr>
              <w:spacing w:after="68"/>
            </w:pPr>
            <w:r w:rsidRPr="00D01CF9">
              <w:t>Adult science trainees</w:t>
            </w:r>
          </w:p>
        </w:tc>
        <w:tc>
          <w:tcPr>
            <w:tcW w:w="1440" w:type="dxa"/>
            <w:tcBorders>
              <w:top w:val="single" w:sz="7" w:space="0" w:color="000000"/>
              <w:left w:val="single" w:sz="7" w:space="0" w:color="000000"/>
              <w:bottom w:val="single" w:sz="6" w:space="0" w:color="FFFFFF"/>
              <w:right w:val="single" w:sz="6" w:space="0" w:color="FFFFFF"/>
            </w:tcBorders>
            <w:vAlign w:val="center"/>
          </w:tcPr>
          <w:p w14:paraId="728C7A96" w14:textId="77777777" w:rsidR="002D7377" w:rsidRPr="00D01CF9" w:rsidRDefault="002D7377" w:rsidP="00632EA9">
            <w:pPr>
              <w:spacing w:after="10"/>
              <w:jc w:val="center"/>
            </w:pPr>
            <w:r>
              <w:t>25</w:t>
            </w:r>
          </w:p>
        </w:tc>
        <w:tc>
          <w:tcPr>
            <w:tcW w:w="1440" w:type="dxa"/>
            <w:tcBorders>
              <w:top w:val="single" w:sz="7" w:space="0" w:color="000000"/>
              <w:left w:val="single" w:sz="7" w:space="0" w:color="000000"/>
              <w:bottom w:val="single" w:sz="8" w:space="0" w:color="000000"/>
              <w:right w:val="single" w:sz="6" w:space="0" w:color="FFFFFF"/>
            </w:tcBorders>
            <w:vAlign w:val="center"/>
          </w:tcPr>
          <w:p w14:paraId="1247B89E" w14:textId="77777777" w:rsidR="002D7377" w:rsidRPr="00D01CF9" w:rsidRDefault="002D7377" w:rsidP="00632EA9">
            <w:pPr>
              <w:spacing w:after="10"/>
              <w:jc w:val="center"/>
            </w:pPr>
            <w:r w:rsidRPr="00D01CF9">
              <w:t>1</w:t>
            </w:r>
          </w:p>
        </w:tc>
        <w:tc>
          <w:tcPr>
            <w:tcW w:w="1800" w:type="dxa"/>
            <w:tcBorders>
              <w:top w:val="single" w:sz="7" w:space="0" w:color="000000"/>
              <w:left w:val="single" w:sz="7" w:space="0" w:color="000000"/>
              <w:bottom w:val="single" w:sz="8" w:space="0" w:color="000000"/>
              <w:right w:val="single" w:sz="6" w:space="0" w:color="FFFFFF"/>
            </w:tcBorders>
            <w:vAlign w:val="center"/>
          </w:tcPr>
          <w:p w14:paraId="64823D11" w14:textId="77777777" w:rsidR="002D7377" w:rsidRPr="00D01CF9" w:rsidRDefault="002D7377" w:rsidP="00632EA9">
            <w:pPr>
              <w:spacing w:after="10"/>
              <w:jc w:val="center"/>
            </w:pPr>
            <w:r w:rsidRPr="00D01CF9">
              <w:t xml:space="preserve">1 </w:t>
            </w:r>
          </w:p>
        </w:tc>
        <w:tc>
          <w:tcPr>
            <w:tcW w:w="1620" w:type="dxa"/>
            <w:tcBorders>
              <w:top w:val="single" w:sz="7" w:space="0" w:color="000000"/>
              <w:left w:val="single" w:sz="7" w:space="0" w:color="000000"/>
              <w:bottom w:val="single" w:sz="6" w:space="0" w:color="FFFFFF"/>
              <w:right w:val="double" w:sz="7" w:space="0" w:color="000000"/>
            </w:tcBorders>
            <w:vAlign w:val="center"/>
          </w:tcPr>
          <w:p w14:paraId="736DB3CD" w14:textId="77777777" w:rsidR="002D7377" w:rsidRPr="00D01CF9" w:rsidRDefault="002D7377" w:rsidP="00632EA9">
            <w:pPr>
              <w:spacing w:after="10"/>
              <w:jc w:val="center"/>
            </w:pPr>
            <w:r>
              <w:t>25</w:t>
            </w:r>
          </w:p>
        </w:tc>
      </w:tr>
      <w:tr w:rsidR="002D7377" w:rsidRPr="006F7517" w14:paraId="068610E3" w14:textId="77777777" w:rsidTr="00632EA9">
        <w:trPr>
          <w:jc w:val="center"/>
        </w:trPr>
        <w:tc>
          <w:tcPr>
            <w:tcW w:w="2340" w:type="dxa"/>
            <w:tcBorders>
              <w:top w:val="single" w:sz="7" w:space="0" w:color="000000"/>
              <w:left w:val="double" w:sz="7" w:space="0" w:color="000000"/>
              <w:bottom w:val="double" w:sz="6" w:space="0" w:color="000000"/>
              <w:right w:val="single" w:sz="6" w:space="0" w:color="FFFFFF"/>
            </w:tcBorders>
            <w:shd w:val="clear" w:color="auto" w:fill="auto"/>
            <w:vAlign w:val="center"/>
          </w:tcPr>
          <w:p w14:paraId="2278E368" w14:textId="77777777" w:rsidR="002D7377" w:rsidRPr="00D01CF9" w:rsidRDefault="002D7377" w:rsidP="00632EA9">
            <w:pPr>
              <w:spacing w:after="68"/>
            </w:pPr>
            <w:r w:rsidRPr="00D01CF9">
              <w:t>General public</w:t>
            </w:r>
          </w:p>
        </w:tc>
        <w:tc>
          <w:tcPr>
            <w:tcW w:w="1440" w:type="dxa"/>
            <w:tcBorders>
              <w:top w:val="single" w:sz="7" w:space="0" w:color="000000"/>
              <w:left w:val="single" w:sz="7" w:space="0" w:color="000000"/>
              <w:bottom w:val="double" w:sz="6" w:space="0" w:color="000000"/>
              <w:right w:val="single" w:sz="8" w:space="0" w:color="000000"/>
            </w:tcBorders>
            <w:shd w:val="clear" w:color="auto" w:fill="auto"/>
            <w:vAlign w:val="center"/>
          </w:tcPr>
          <w:p w14:paraId="12B8DA1C" w14:textId="77777777" w:rsidR="002D7377" w:rsidRPr="00D01CF9" w:rsidRDefault="002D7377" w:rsidP="00632EA9">
            <w:pPr>
              <w:spacing w:after="68"/>
              <w:jc w:val="center"/>
            </w:pPr>
            <w:r>
              <w:t>20</w:t>
            </w:r>
          </w:p>
        </w:tc>
        <w:tc>
          <w:tcPr>
            <w:tcW w:w="1440" w:type="dxa"/>
            <w:tcBorders>
              <w:top w:val="single" w:sz="8" w:space="0" w:color="000000"/>
              <w:left w:val="single" w:sz="8" w:space="0" w:color="000000"/>
              <w:bottom w:val="double" w:sz="6" w:space="0" w:color="000000"/>
              <w:right w:val="single" w:sz="8" w:space="0" w:color="000000"/>
            </w:tcBorders>
            <w:shd w:val="clear" w:color="auto" w:fill="auto"/>
            <w:vAlign w:val="center"/>
          </w:tcPr>
          <w:p w14:paraId="58942908" w14:textId="77777777" w:rsidR="002D7377" w:rsidRPr="00D01CF9" w:rsidRDefault="002D7377" w:rsidP="00632EA9">
            <w:pPr>
              <w:spacing w:after="68"/>
              <w:jc w:val="center"/>
            </w:pPr>
            <w:r w:rsidRPr="00D01CF9">
              <w:t>1</w:t>
            </w:r>
          </w:p>
        </w:tc>
        <w:tc>
          <w:tcPr>
            <w:tcW w:w="1800" w:type="dxa"/>
            <w:tcBorders>
              <w:top w:val="single" w:sz="8" w:space="0" w:color="000000"/>
              <w:left w:val="single" w:sz="8" w:space="0" w:color="000000"/>
              <w:bottom w:val="double" w:sz="6" w:space="0" w:color="000000"/>
              <w:right w:val="single" w:sz="8" w:space="0" w:color="000000"/>
            </w:tcBorders>
            <w:shd w:val="clear" w:color="auto" w:fill="auto"/>
            <w:vAlign w:val="center"/>
          </w:tcPr>
          <w:p w14:paraId="46F6EEF9" w14:textId="77777777" w:rsidR="002D7377" w:rsidRPr="00D01CF9" w:rsidRDefault="002D7377" w:rsidP="00632EA9">
            <w:pPr>
              <w:spacing w:after="68"/>
              <w:jc w:val="center"/>
            </w:pPr>
            <w:r w:rsidRPr="00D01CF9">
              <w:t>1</w:t>
            </w:r>
          </w:p>
        </w:tc>
        <w:tc>
          <w:tcPr>
            <w:tcW w:w="1620" w:type="dxa"/>
            <w:tcBorders>
              <w:top w:val="single" w:sz="7" w:space="0" w:color="000000"/>
              <w:left w:val="single" w:sz="8" w:space="0" w:color="000000"/>
              <w:bottom w:val="double" w:sz="6" w:space="0" w:color="000000"/>
              <w:right w:val="double" w:sz="7" w:space="0" w:color="000000"/>
            </w:tcBorders>
            <w:shd w:val="clear" w:color="auto" w:fill="auto"/>
            <w:vAlign w:val="center"/>
          </w:tcPr>
          <w:p w14:paraId="0A3AA2D9" w14:textId="77777777" w:rsidR="002D7377" w:rsidRPr="00D01CF9" w:rsidRDefault="002D7377" w:rsidP="00632EA9">
            <w:pPr>
              <w:spacing w:after="68"/>
              <w:jc w:val="center"/>
            </w:pPr>
            <w:r>
              <w:t>20</w:t>
            </w:r>
          </w:p>
        </w:tc>
      </w:tr>
      <w:tr w:rsidR="002D7377" w:rsidRPr="006F7517" w14:paraId="009228EC" w14:textId="77777777" w:rsidTr="00632EA9">
        <w:trPr>
          <w:jc w:val="center"/>
        </w:trPr>
        <w:tc>
          <w:tcPr>
            <w:tcW w:w="2340" w:type="dxa"/>
            <w:tcBorders>
              <w:top w:val="double" w:sz="6" w:space="0" w:color="000000"/>
              <w:left w:val="double" w:sz="6" w:space="0" w:color="000000"/>
              <w:bottom w:val="double" w:sz="6" w:space="0" w:color="000000"/>
              <w:right w:val="single" w:sz="6" w:space="0" w:color="FFFFFF"/>
            </w:tcBorders>
            <w:shd w:val="clear" w:color="auto" w:fill="auto"/>
            <w:vAlign w:val="center"/>
          </w:tcPr>
          <w:p w14:paraId="604294D4" w14:textId="77777777" w:rsidR="002D7377" w:rsidRPr="00D01CF9" w:rsidRDefault="002D7377" w:rsidP="00632EA9">
            <w:pPr>
              <w:spacing w:after="68"/>
              <w:rPr>
                <w:b/>
              </w:rPr>
            </w:pPr>
            <w:r w:rsidRPr="00D01CF9">
              <w:rPr>
                <w:b/>
              </w:rPr>
              <w:t>Totals</w:t>
            </w:r>
          </w:p>
        </w:tc>
        <w:tc>
          <w:tcPr>
            <w:tcW w:w="1440" w:type="dxa"/>
            <w:tcBorders>
              <w:top w:val="double" w:sz="6" w:space="0" w:color="000000"/>
              <w:left w:val="single" w:sz="7" w:space="0" w:color="000000"/>
              <w:bottom w:val="double" w:sz="6" w:space="0" w:color="000000"/>
              <w:right w:val="single" w:sz="8" w:space="0" w:color="000000"/>
            </w:tcBorders>
            <w:shd w:val="clear" w:color="auto" w:fill="auto"/>
            <w:vAlign w:val="center"/>
          </w:tcPr>
          <w:p w14:paraId="755463FA" w14:textId="77777777" w:rsidR="002D7377" w:rsidRPr="00D01CF9" w:rsidRDefault="002D7377" w:rsidP="00632EA9">
            <w:pPr>
              <w:spacing w:after="68"/>
              <w:jc w:val="center"/>
            </w:pPr>
            <w:r>
              <w:t>245</w:t>
            </w:r>
          </w:p>
        </w:tc>
        <w:tc>
          <w:tcPr>
            <w:tcW w:w="1440" w:type="dxa"/>
            <w:tcBorders>
              <w:top w:val="double" w:sz="6" w:space="0" w:color="000000"/>
              <w:left w:val="single" w:sz="8" w:space="0" w:color="000000"/>
              <w:bottom w:val="double" w:sz="6" w:space="0" w:color="000000"/>
              <w:right w:val="single" w:sz="8" w:space="0" w:color="000000"/>
            </w:tcBorders>
            <w:shd w:val="clear" w:color="auto" w:fill="auto"/>
            <w:vAlign w:val="center"/>
          </w:tcPr>
          <w:p w14:paraId="418C5B4A" w14:textId="10307237" w:rsidR="002D7377" w:rsidRPr="00725304" w:rsidRDefault="00725304" w:rsidP="00632EA9">
            <w:pPr>
              <w:spacing w:after="68"/>
              <w:jc w:val="center"/>
            </w:pPr>
            <w:r>
              <w:t>245</w:t>
            </w:r>
          </w:p>
        </w:tc>
        <w:tc>
          <w:tcPr>
            <w:tcW w:w="1800" w:type="dxa"/>
            <w:tcBorders>
              <w:top w:val="double" w:sz="6" w:space="0" w:color="000000"/>
              <w:left w:val="single" w:sz="8" w:space="0" w:color="000000"/>
              <w:bottom w:val="double" w:sz="6" w:space="0" w:color="000000"/>
              <w:right w:val="single" w:sz="8" w:space="0" w:color="000000"/>
            </w:tcBorders>
            <w:shd w:val="clear" w:color="auto" w:fill="auto"/>
            <w:vAlign w:val="center"/>
          </w:tcPr>
          <w:p w14:paraId="40970E42" w14:textId="36471EFD" w:rsidR="002D7377" w:rsidRPr="00ED50C7" w:rsidRDefault="002D7377" w:rsidP="00632EA9">
            <w:pPr>
              <w:spacing w:after="68"/>
              <w:jc w:val="center"/>
              <w:rPr>
                <w:strike/>
              </w:rPr>
            </w:pPr>
            <w:bookmarkStart w:id="6" w:name="_GoBack"/>
            <w:bookmarkEnd w:id="6"/>
          </w:p>
        </w:tc>
        <w:tc>
          <w:tcPr>
            <w:tcW w:w="1620" w:type="dxa"/>
            <w:tcBorders>
              <w:top w:val="double" w:sz="6" w:space="0" w:color="000000"/>
              <w:left w:val="single" w:sz="8" w:space="0" w:color="000000"/>
              <w:bottom w:val="double" w:sz="6" w:space="0" w:color="000000"/>
              <w:right w:val="double" w:sz="6" w:space="0" w:color="000000"/>
            </w:tcBorders>
            <w:shd w:val="clear" w:color="auto" w:fill="auto"/>
            <w:vAlign w:val="center"/>
          </w:tcPr>
          <w:p w14:paraId="7E0AD4C9" w14:textId="77777777" w:rsidR="002D7377" w:rsidRPr="00D01CF9" w:rsidRDefault="002D7377" w:rsidP="00632EA9">
            <w:pPr>
              <w:spacing w:after="68"/>
              <w:jc w:val="center"/>
            </w:pPr>
            <w:r>
              <w:t>245</w:t>
            </w:r>
          </w:p>
        </w:tc>
      </w:tr>
    </w:tbl>
    <w:p w14:paraId="023889A1" w14:textId="77777777" w:rsidR="002D7377" w:rsidRPr="00D01CF9" w:rsidRDefault="002D7377" w:rsidP="002D7377"/>
    <w:p w14:paraId="4E049930" w14:textId="77777777" w:rsidR="002D7377" w:rsidRDefault="002D7377" w:rsidP="002D7377">
      <w:r>
        <w:t xml:space="preserve">Based on the annualized burden </w:t>
      </w:r>
      <w:r w:rsidRPr="00D01CF9">
        <w:t>estimate</w:t>
      </w:r>
      <w:r>
        <w:t xml:space="preserve">s we are requesting a total of 4,860 burden hours over 3 years. </w:t>
      </w:r>
    </w:p>
    <w:p w14:paraId="2175B884" w14:textId="77777777" w:rsidR="002D7377" w:rsidRDefault="002D7377" w:rsidP="002D7377"/>
    <w:p w14:paraId="3C3464AA" w14:textId="77777777" w:rsidR="002D7377" w:rsidRDefault="002D7377" w:rsidP="002D7377">
      <w:r>
        <w:t xml:space="preserve">Quantitative Surveys: 1,666 x 3 = 4,998 burden hours </w:t>
      </w:r>
    </w:p>
    <w:p w14:paraId="410696E3" w14:textId="77777777" w:rsidR="002D7377" w:rsidRDefault="002D7377" w:rsidP="002D7377">
      <w:r>
        <w:t>Qualitative Surveys:      245 x 3 =    735 burden hours</w:t>
      </w:r>
    </w:p>
    <w:p w14:paraId="539E4191" w14:textId="77777777" w:rsidR="00E112B7" w:rsidRPr="002E1D37" w:rsidRDefault="00215E15" w:rsidP="00E50580">
      <w:pPr>
        <w:pStyle w:val="Heading2"/>
      </w:pPr>
      <w:r>
        <w:t>B.</w:t>
      </w:r>
      <w:r w:rsidR="00E112B7" w:rsidRPr="002E1D37">
        <w:t>2</w:t>
      </w:r>
      <w:r w:rsidR="00E112B7" w:rsidRPr="002E1D37">
        <w:tab/>
      </w:r>
      <w:r>
        <w:t>PROCEDURES FOR THE COLLECTION OF INFORMATION</w:t>
      </w:r>
      <w:bookmarkEnd w:id="4"/>
      <w:bookmarkEnd w:id="5"/>
    </w:p>
    <w:p w14:paraId="539E4192" w14:textId="77777777" w:rsidR="00DF503E" w:rsidRDefault="0031556E" w:rsidP="004F3AF2">
      <w:r>
        <w:t>A list of potential respondents and their contact information</w:t>
      </w:r>
      <w:r w:rsidR="00972BED">
        <w:t xml:space="preserve"> </w:t>
      </w:r>
      <w:r w:rsidR="00DF503E">
        <w:t xml:space="preserve">will be developed for each </w:t>
      </w:r>
      <w:r w:rsidR="004F3AF2">
        <w:t xml:space="preserve">topic being evaluated.  </w:t>
      </w:r>
      <w:r w:rsidR="009F58F6">
        <w:t xml:space="preserve">The NIH </w:t>
      </w:r>
      <w:r w:rsidR="00DF503E">
        <w:t xml:space="preserve">eRA </w:t>
      </w:r>
      <w:r w:rsidR="009F58F6">
        <w:t xml:space="preserve">Commons </w:t>
      </w:r>
      <w:r w:rsidR="00DF503E" w:rsidRPr="00DF503E">
        <w:t>is an online interface where grant applicants, grantees and federal staff can access and share</w:t>
      </w:r>
      <w:r w:rsidR="005E747C">
        <w:t xml:space="preserve"> certain</w:t>
      </w:r>
      <w:r w:rsidR="00DF503E" w:rsidRPr="00DF503E">
        <w:t xml:space="preserve"> administrative information relating to research grants</w:t>
      </w:r>
      <w:r w:rsidR="00DF503E">
        <w:t>.  It</w:t>
      </w:r>
    </w:p>
    <w:p w14:paraId="539E4193" w14:textId="77777777" w:rsidR="0031556E" w:rsidRDefault="009F58F6" w:rsidP="004F3AF2">
      <w:r>
        <w:t xml:space="preserve">includes an extensive roster of current and </w:t>
      </w:r>
      <w:r w:rsidR="0031556E">
        <w:t xml:space="preserve">former applicants, reviewers, and Institutional Officials, </w:t>
      </w:r>
      <w:r>
        <w:t xml:space="preserve">as well as </w:t>
      </w:r>
      <w:r w:rsidR="0031556E">
        <w:t xml:space="preserve">adult science </w:t>
      </w:r>
      <w:r>
        <w:t>trainees. Surveys of the general public will rely on professional survey organizations to provide a representative sample to gauge public opinion. All NIH</w:t>
      </w:r>
      <w:r w:rsidR="0031556E">
        <w:t>-</w:t>
      </w:r>
      <w:r>
        <w:t xml:space="preserve">developed rosters of respondents will be </w:t>
      </w:r>
      <w:r w:rsidR="0086537D">
        <w:t>checked for duplications;</w:t>
      </w:r>
      <w:r w:rsidR="00972BED">
        <w:t xml:space="preserve"> all </w:t>
      </w:r>
      <w:r w:rsidR="0031556E">
        <w:t>contact information</w:t>
      </w:r>
      <w:r w:rsidR="00972BED">
        <w:t xml:space="preserve"> will be checked and verified. When the rosters are finalized, </w:t>
      </w:r>
      <w:r>
        <w:t xml:space="preserve">OER </w:t>
      </w:r>
      <w:r w:rsidR="004F3AF2" w:rsidRPr="00E8536F">
        <w:t xml:space="preserve">will </w:t>
      </w:r>
      <w:r w:rsidR="0031556E">
        <w:t>contact</w:t>
      </w:r>
      <w:r w:rsidR="004F3AF2" w:rsidRPr="00E8536F">
        <w:t xml:space="preserve"> each </w:t>
      </w:r>
      <w:r w:rsidR="00972BED">
        <w:t xml:space="preserve">intended respondent </w:t>
      </w:r>
      <w:r w:rsidR="0031556E">
        <w:t xml:space="preserve">(e.g. email </w:t>
      </w:r>
      <w:r w:rsidR="004F3AF2" w:rsidRPr="00E8536F">
        <w:t>a letter</w:t>
      </w:r>
      <w:r w:rsidR="00DF503E">
        <w:t>) and</w:t>
      </w:r>
      <w:r w:rsidR="0031556E">
        <w:t xml:space="preserve"> explain</w:t>
      </w:r>
      <w:r w:rsidR="004F3AF2" w:rsidRPr="00E8536F">
        <w:t xml:space="preserve"> the purpose and importance of th</w:t>
      </w:r>
      <w:r w:rsidR="00972BED">
        <w:t>e</w:t>
      </w:r>
      <w:r w:rsidR="004F3AF2" w:rsidRPr="00E8536F">
        <w:t xml:space="preserve"> survey</w:t>
      </w:r>
      <w:r w:rsidR="0031556E">
        <w:t>,</w:t>
      </w:r>
      <w:r w:rsidR="004F3AF2" w:rsidRPr="00E8536F">
        <w:t xml:space="preserve"> and </w:t>
      </w:r>
      <w:r w:rsidR="004F3AF2">
        <w:t xml:space="preserve">ask each one to participate.  </w:t>
      </w:r>
      <w:r w:rsidR="004F3AF2" w:rsidRPr="00E8536F">
        <w:t xml:space="preserve">The </w:t>
      </w:r>
      <w:r w:rsidR="0031556E">
        <w:t xml:space="preserve">initial </w:t>
      </w:r>
      <w:r w:rsidR="0031556E">
        <w:lastRenderedPageBreak/>
        <w:t>contact</w:t>
      </w:r>
      <w:r w:rsidR="004F3AF2" w:rsidRPr="00E8536F">
        <w:t xml:space="preserve"> will also inform </w:t>
      </w:r>
      <w:r w:rsidR="00972BED">
        <w:t xml:space="preserve">each intended respondent </w:t>
      </w:r>
      <w:r w:rsidR="004F3AF2" w:rsidRPr="00E8536F">
        <w:t xml:space="preserve">of the </w:t>
      </w:r>
      <w:r w:rsidR="0031556E">
        <w:t xml:space="preserve">process for participating in the </w:t>
      </w:r>
      <w:r w:rsidR="004F3AF2" w:rsidRPr="00E8536F">
        <w:t>survey</w:t>
      </w:r>
      <w:r w:rsidR="0031556E">
        <w:t xml:space="preserve"> (e.g. a web address for a survey, mailing instructions for a written survey, or focus group participation instructions)</w:t>
      </w:r>
      <w:r w:rsidR="00BC32FF">
        <w:t xml:space="preserve">. </w:t>
      </w:r>
    </w:p>
    <w:p w14:paraId="539E4194" w14:textId="77777777" w:rsidR="0031556E" w:rsidRDefault="0031556E" w:rsidP="004F3AF2"/>
    <w:p w14:paraId="539E4195" w14:textId="75268B8C" w:rsidR="007E7796" w:rsidRDefault="003B76F0" w:rsidP="00A074F8">
      <w:pPr>
        <w:ind w:left="360"/>
      </w:pPr>
      <w:r w:rsidRPr="003B76F0">
        <w:rPr>
          <w:u w:val="single"/>
        </w:rPr>
        <w:t>Self-Administered Surveys</w:t>
      </w:r>
      <w:r w:rsidR="007E7796">
        <w:t xml:space="preserve">.  Self-administered surveys can be </w:t>
      </w:r>
      <w:r w:rsidR="004C36BA">
        <w:t xml:space="preserve">used to combine </w:t>
      </w:r>
      <w:r w:rsidR="00A074F8">
        <w:t xml:space="preserve">quantitative evaluations of experiences with </w:t>
      </w:r>
      <w:r w:rsidR="004C36BA">
        <w:t xml:space="preserve">qualitative, narrative input on customer satisfaction.  Surveys can be </w:t>
      </w:r>
      <w:r w:rsidR="00A074F8">
        <w:t xml:space="preserve">distributed  in person, </w:t>
      </w:r>
      <w:r w:rsidR="004C36BA">
        <w:t>emailed, mailed</w:t>
      </w:r>
      <w:r w:rsidR="007E7796">
        <w:t xml:space="preserve">, </w:t>
      </w:r>
      <w:r w:rsidR="004C36BA">
        <w:t>or accessed on-line.</w:t>
      </w:r>
      <w:r w:rsidR="007E7796">
        <w:t xml:space="preserve">  </w:t>
      </w:r>
      <w:r w:rsidR="004C36BA">
        <w:t>Such surveys will be appropriate in a variety of instances, but especially those cases where customer satisfaction needs to be measured quantitatively while also providing the opportunity to collect unanticipated f</w:t>
      </w:r>
      <w:r w:rsidR="00A074F8">
        <w:t>eedback on customer experiences</w:t>
      </w:r>
      <w:r w:rsidR="007E7796">
        <w:t>.</w:t>
      </w:r>
      <w:r w:rsidR="004C36BA" w:rsidRPr="004C36BA">
        <w:t xml:space="preserve"> </w:t>
      </w:r>
      <w:r w:rsidR="004C36BA">
        <w:t xml:space="preserve"> When a self-administered survey will be accessed on-line, the</w:t>
      </w:r>
      <w:r w:rsidR="004C36BA" w:rsidRPr="00E8536F">
        <w:t xml:space="preserve"> </w:t>
      </w:r>
      <w:r w:rsidR="004C36BA">
        <w:t xml:space="preserve">invitation letter </w:t>
      </w:r>
      <w:r w:rsidR="004C36BA" w:rsidRPr="00E8536F">
        <w:t>will contain the unique access code and password needed to gain entry to the survey. No access to any other survey instrument except for the one assigned to the respondent will be allowed. The survey will be submitted electronically by clicking a submission button. With submission, the password will be automatically deactivated. No re-access to the site will be allowed for security reasons.</w:t>
      </w:r>
    </w:p>
    <w:p w14:paraId="539E4196" w14:textId="77777777" w:rsidR="00A074F8" w:rsidRDefault="00A074F8" w:rsidP="00A074F8">
      <w:pPr>
        <w:ind w:left="360"/>
        <w:rPr>
          <w:u w:val="single"/>
        </w:rPr>
      </w:pPr>
    </w:p>
    <w:p w14:paraId="539E4197" w14:textId="77777777" w:rsidR="00A074F8" w:rsidRDefault="00A074F8" w:rsidP="00A074F8">
      <w:pPr>
        <w:ind w:left="360"/>
      </w:pPr>
      <w:r w:rsidRPr="00B971DF">
        <w:rPr>
          <w:u w:val="single"/>
        </w:rPr>
        <w:t>Focus Groups</w:t>
      </w:r>
      <w:r>
        <w:t>.  Focus groups can be used to obtain insights into shared experiences related to NIH policies, programs and procedures.  Focus groups are usually composed of 8-10 people who have characteristics similar to the target audience, or subgroups of the target audience.  The groups are conducted by a professional moderator who keeps the session on track while allowing respondents to talk openly and spontaneously.  The moderator uses a loosely structured discussion outline, which allows him/her to change direction as the discussion unfolds and new topics emerge.  Focus groups are valuable in exploring shared experiences and stakeholder consensus.</w:t>
      </w:r>
    </w:p>
    <w:p w14:paraId="539E4198" w14:textId="77777777" w:rsidR="00E112B7" w:rsidRPr="002E1D37" w:rsidRDefault="00A074F8" w:rsidP="00E112B7">
      <w:r>
        <w:t>P</w:t>
      </w:r>
      <w:r w:rsidR="004C36BA" w:rsidRPr="004C36BA">
        <w:t xml:space="preserve">rofessionally recognized procedures will be followed in each information collection activity to ensure high quality data.  </w:t>
      </w:r>
      <w:r w:rsidR="00E112B7" w:rsidRPr="002E1D37">
        <w:t>All data collection will be conducted in a manner that is consistent with the following principles:</w:t>
      </w:r>
    </w:p>
    <w:p w14:paraId="539E4199" w14:textId="77777777" w:rsidR="00E112B7" w:rsidRPr="002E1D37" w:rsidRDefault="00E112B7" w:rsidP="00E112B7"/>
    <w:p w14:paraId="539E419A" w14:textId="77777777" w:rsidR="00E54582" w:rsidRDefault="00E112B7">
      <w:pPr>
        <w:tabs>
          <w:tab w:val="left" w:pos="-1440"/>
          <w:tab w:val="left" w:pos="360"/>
        </w:tabs>
        <w:ind w:left="360" w:hanging="360"/>
      </w:pPr>
      <w:r w:rsidRPr="002E1D37">
        <w:t>o</w:t>
      </w:r>
      <w:r w:rsidRPr="002E1D37">
        <w:tab/>
        <w:t>Appropriate sample sizes will be determined for each activity to assure that burden is minimized while reliable estimates are produced.</w:t>
      </w:r>
    </w:p>
    <w:p w14:paraId="539E419B" w14:textId="77777777" w:rsidR="00E112B7" w:rsidRPr="002E1D37" w:rsidRDefault="00E112B7" w:rsidP="007057F1">
      <w:pPr>
        <w:tabs>
          <w:tab w:val="left" w:pos="360"/>
        </w:tabs>
        <w:ind w:left="360" w:hanging="360"/>
      </w:pPr>
    </w:p>
    <w:p w14:paraId="539E419C" w14:textId="77777777" w:rsidR="00E112B7" w:rsidRPr="002E1D37" w:rsidRDefault="00E112B7" w:rsidP="007057F1">
      <w:pPr>
        <w:tabs>
          <w:tab w:val="left" w:pos="-1440"/>
          <w:tab w:val="left" w:pos="360"/>
        </w:tabs>
        <w:ind w:left="360" w:hanging="360"/>
      </w:pPr>
      <w:r w:rsidRPr="002E1D37">
        <w:t>o</w:t>
      </w:r>
      <w:r w:rsidRPr="002E1D37">
        <w:tab/>
        <w:t>Participation will be fully voluntary, and non-participation will have no impact on eligibility for or receipt of future services.  If necessary, steps will be taken to ensure unbiased completion of questionnaires by use of third-party distribution and receipt by a party not directly involved in provision of the service being assessed.</w:t>
      </w:r>
    </w:p>
    <w:p w14:paraId="539E419D" w14:textId="77777777" w:rsidR="00E112B7" w:rsidRPr="002E1D37" w:rsidRDefault="00E112B7" w:rsidP="007057F1">
      <w:pPr>
        <w:tabs>
          <w:tab w:val="left" w:pos="360"/>
        </w:tabs>
        <w:ind w:left="360" w:hanging="360"/>
      </w:pPr>
    </w:p>
    <w:p w14:paraId="539E419E" w14:textId="77777777" w:rsidR="00E112B7" w:rsidRPr="002E1D37" w:rsidRDefault="00E112B7" w:rsidP="007057F1">
      <w:pPr>
        <w:tabs>
          <w:tab w:val="left" w:pos="-1440"/>
          <w:tab w:val="left" w:pos="360"/>
        </w:tabs>
        <w:ind w:left="360" w:hanging="360"/>
      </w:pPr>
      <w:r w:rsidRPr="002E1D37">
        <w:t>o</w:t>
      </w:r>
      <w:r w:rsidRPr="002E1D37">
        <w:tab/>
        <w:t>Information to be collected will be limited to that needed to assess customer satisfaction.  Repeated implementation of quantitative surveys will be at an interval appropriate to measure the impact of changes and to monitor ongoing levels of satisfaction.</w:t>
      </w:r>
    </w:p>
    <w:p w14:paraId="539E419F" w14:textId="77777777" w:rsidR="00E112B7" w:rsidRDefault="00E112B7" w:rsidP="007057F1">
      <w:pPr>
        <w:tabs>
          <w:tab w:val="left" w:pos="-1440"/>
          <w:tab w:val="left" w:pos="360"/>
        </w:tabs>
        <w:ind w:left="360" w:hanging="360"/>
      </w:pPr>
    </w:p>
    <w:p w14:paraId="539E41A0" w14:textId="77777777" w:rsidR="006D607D" w:rsidRDefault="00E112B7" w:rsidP="00E50580">
      <w:pPr>
        <w:tabs>
          <w:tab w:val="left" w:pos="-1440"/>
          <w:tab w:val="left" w:pos="360"/>
        </w:tabs>
        <w:ind w:left="360" w:hanging="360"/>
      </w:pPr>
      <w:r w:rsidRPr="002E1D37">
        <w:t>o</w:t>
      </w:r>
      <w:r w:rsidRPr="002E1D37">
        <w:tab/>
        <w:t>Efforts will be made to obtain the highest possible response rates, given the voluntary nature of the data collection efforts.  To the extent feasible, efforts will be made to assess non-response bias.</w:t>
      </w:r>
    </w:p>
    <w:p w14:paraId="539E41A1" w14:textId="77777777" w:rsidR="00D81284" w:rsidRDefault="00D81284" w:rsidP="00E50580">
      <w:pPr>
        <w:tabs>
          <w:tab w:val="left" w:pos="-1440"/>
          <w:tab w:val="left" w:pos="360"/>
        </w:tabs>
        <w:ind w:left="360" w:hanging="360"/>
      </w:pPr>
    </w:p>
    <w:p w14:paraId="539E41A2" w14:textId="77777777" w:rsidR="00E54582" w:rsidRDefault="00D81284">
      <w:pPr>
        <w:tabs>
          <w:tab w:val="left" w:pos="-1440"/>
          <w:tab w:val="left" w:pos="360"/>
        </w:tabs>
        <w:ind w:left="360" w:hanging="360"/>
      </w:pPr>
      <w:r w:rsidRPr="002E1D37">
        <w:t>o</w:t>
      </w:r>
      <w:r w:rsidRPr="002E1D37">
        <w:tab/>
        <w:t xml:space="preserve">Appropriate </w:t>
      </w:r>
      <w:r>
        <w:t>monitoring and recording of interactions with respondents will take place, and data from self-administered surveys will be double-checked</w:t>
      </w:r>
      <w:r w:rsidRPr="002E1D37">
        <w:t>.</w:t>
      </w:r>
    </w:p>
    <w:p w14:paraId="539E41A3" w14:textId="77777777" w:rsidR="00D81284" w:rsidRDefault="00D81284" w:rsidP="00E50580">
      <w:pPr>
        <w:tabs>
          <w:tab w:val="left" w:pos="-1440"/>
          <w:tab w:val="left" w:pos="360"/>
        </w:tabs>
        <w:ind w:left="360" w:hanging="360"/>
      </w:pPr>
    </w:p>
    <w:p w14:paraId="539E41A4" w14:textId="77777777" w:rsidR="00D81284" w:rsidRPr="002E1D37" w:rsidRDefault="00D81284" w:rsidP="00D81284">
      <w:pPr>
        <w:tabs>
          <w:tab w:val="left" w:pos="-1440"/>
          <w:tab w:val="left" w:pos="360"/>
        </w:tabs>
        <w:ind w:left="360" w:hanging="360"/>
      </w:pPr>
      <w:r w:rsidRPr="002E1D37">
        <w:t>o</w:t>
      </w:r>
      <w:r w:rsidRPr="002E1D37">
        <w:tab/>
      </w:r>
      <w:r w:rsidRPr="00D81284">
        <w:t>All data collection and analysis will be performed in compliance with OMB, Privacy Act, and Protection of Human Subjects requirements</w:t>
      </w:r>
      <w:r w:rsidRPr="002E1D37">
        <w:t>.</w:t>
      </w:r>
    </w:p>
    <w:p w14:paraId="539E41A5" w14:textId="77777777" w:rsidR="006D7352" w:rsidRDefault="006D7352" w:rsidP="00E50580">
      <w:pPr>
        <w:tabs>
          <w:tab w:val="left" w:pos="-1440"/>
          <w:tab w:val="left" w:pos="360"/>
        </w:tabs>
        <w:ind w:left="360" w:hanging="360"/>
      </w:pPr>
    </w:p>
    <w:p w14:paraId="539E41A6" w14:textId="77777777" w:rsidR="00E112B7" w:rsidRPr="002E1D37" w:rsidRDefault="000F6932" w:rsidP="00E50580">
      <w:pPr>
        <w:pStyle w:val="Heading2"/>
      </w:pPr>
      <w:bookmarkStart w:id="7" w:name="_Toc268185590"/>
      <w:bookmarkStart w:id="8" w:name="_Toc285098599"/>
      <w:r>
        <w:t>B.3</w:t>
      </w:r>
      <w:r>
        <w:tab/>
      </w:r>
      <w:r w:rsidR="00AC44D3" w:rsidRPr="00215E15">
        <w:t>METHODS TO MAXIMIZE RESPONSE RATES AND DEAL WITH NON-RESPONSE</w:t>
      </w:r>
      <w:bookmarkEnd w:id="7"/>
      <w:bookmarkEnd w:id="8"/>
    </w:p>
    <w:p w14:paraId="539E41A7" w14:textId="77777777" w:rsidR="00E112B7" w:rsidRPr="002E1D37" w:rsidRDefault="00E112B7" w:rsidP="00E112B7">
      <w:r w:rsidRPr="002E1D37">
        <w:t xml:space="preserve">Consistent with sound survey methodology, the design of each survey will include approaches to maximize response rates, while retaining the voluntary nature of the effort.  For </w:t>
      </w:r>
      <w:r w:rsidR="0031556E">
        <w:t>Web based</w:t>
      </w:r>
      <w:r w:rsidRPr="002E1D37">
        <w:t xml:space="preserve"> surveys, for example, this is expected to include a second </w:t>
      </w:r>
      <w:r w:rsidR="0031556E">
        <w:t>e</w:t>
      </w:r>
      <w:r w:rsidRPr="002E1D37">
        <w:t xml:space="preserve">mailing of the </w:t>
      </w:r>
      <w:r w:rsidR="0031556E">
        <w:t>invitation to participate</w:t>
      </w:r>
      <w:r w:rsidRPr="002E1D37">
        <w:t xml:space="preserve">, </w:t>
      </w:r>
      <w:r>
        <w:t xml:space="preserve">a reminder email, </w:t>
      </w:r>
      <w:r w:rsidRPr="002E1D37">
        <w:t>and possibly some telephone follow-up, if phone numbers are available.</w:t>
      </w:r>
      <w:r w:rsidR="00AC44D3">
        <w:t xml:space="preserve">  </w:t>
      </w:r>
      <w:r w:rsidR="00AC44D3" w:rsidRPr="00AC44D3">
        <w:t>As appropriate, some qualitative surveys (e.g. focus group sessions) may use teleconferencing to limit burden. On other occasions, regional group meetings sponsored by NIH/OER will have ready access to respondents.</w:t>
      </w:r>
    </w:p>
    <w:p w14:paraId="539E41A8" w14:textId="77777777" w:rsidR="00E112B7" w:rsidRPr="002E1D37" w:rsidRDefault="00215E15" w:rsidP="00E50580">
      <w:pPr>
        <w:pStyle w:val="Heading2"/>
      </w:pPr>
      <w:bookmarkStart w:id="9" w:name="_Toc268185591"/>
      <w:bookmarkStart w:id="10" w:name="_Toc285098600"/>
      <w:r>
        <w:t>B.</w:t>
      </w:r>
      <w:r w:rsidR="00E112B7" w:rsidRPr="002E1D37">
        <w:t>4</w:t>
      </w:r>
      <w:r w:rsidR="00E112B7" w:rsidRPr="002E1D37">
        <w:tab/>
      </w:r>
      <w:r w:rsidR="00AC44D3" w:rsidRPr="00215E15">
        <w:t>TEST OF PROCEDURES OR METHODS TO BE UNDERTAKEN</w:t>
      </w:r>
      <w:bookmarkEnd w:id="9"/>
      <w:bookmarkEnd w:id="10"/>
    </w:p>
    <w:p w14:paraId="539E41A9" w14:textId="77777777" w:rsidR="00E112B7" w:rsidRPr="002E1D37" w:rsidRDefault="00A074F8" w:rsidP="00E112B7">
      <w:r>
        <w:t>Before each customer satisfaction survey is implemented,</w:t>
      </w:r>
      <w:r w:rsidR="00E112B7" w:rsidRPr="002E1D37">
        <w:t xml:space="preserve"> pre-testing will be carried out at a level and in a manner consistent with the specific survey.  All mail and </w:t>
      </w:r>
      <w:r w:rsidR="00B71662">
        <w:t>Web based</w:t>
      </w:r>
      <w:r w:rsidR="00E112B7" w:rsidRPr="002E1D37">
        <w:t xml:space="preserve"> surveys are expected to include pre-testing with a small number of </w:t>
      </w:r>
      <w:r w:rsidR="00215E15">
        <w:t>potential respondents</w:t>
      </w:r>
      <w:r w:rsidR="00E112B7" w:rsidRPr="002E1D37">
        <w:t xml:space="preserve"> with telephone debriefing of pretest respondents as needed to clarify responses.  </w:t>
      </w:r>
      <w:r>
        <w:t>Lessons from the pre-test will be identified, and changes as necessary will be incorporated into the instrument and method.  All pilot tests will involve no more than nine individuals unless OMB clearance is sought for more than nine.</w:t>
      </w:r>
    </w:p>
    <w:p w14:paraId="539E41AA" w14:textId="77777777" w:rsidR="00E112B7" w:rsidRPr="002E1D37" w:rsidRDefault="00215E15" w:rsidP="00E50580">
      <w:pPr>
        <w:pStyle w:val="Heading2"/>
      </w:pPr>
      <w:bookmarkStart w:id="11" w:name="_Toc268185592"/>
      <w:bookmarkStart w:id="12" w:name="_Toc285098601"/>
      <w:r>
        <w:t>B.</w:t>
      </w:r>
      <w:r w:rsidR="00E112B7" w:rsidRPr="002E1D37">
        <w:t>5</w:t>
      </w:r>
      <w:r w:rsidR="00E112B7" w:rsidRPr="002E1D37">
        <w:tab/>
      </w:r>
      <w:r w:rsidR="00AC44D3" w:rsidRPr="00C92CC1">
        <w:t>INDIVIDUALS CONSULTED ON STATISTICAL ASPECTS AND INDIVIDUALS COLLECTING</w:t>
      </w:r>
      <w:r w:rsidR="00AC44D3">
        <w:t xml:space="preserve"> </w:t>
      </w:r>
      <w:r w:rsidR="00AC44D3" w:rsidRPr="00C92CC1">
        <w:t>AND/OR ANALYZING DATA</w:t>
      </w:r>
      <w:bookmarkEnd w:id="11"/>
      <w:bookmarkEnd w:id="12"/>
    </w:p>
    <w:p w14:paraId="539E41AB" w14:textId="77777777" w:rsidR="00725EC6" w:rsidRDefault="00E112B7">
      <w:r w:rsidRPr="002E1D37">
        <w:t xml:space="preserve">Each </w:t>
      </w:r>
      <w:r w:rsidR="0031556E">
        <w:t>survey</w:t>
      </w:r>
      <w:r w:rsidRPr="002E1D37">
        <w:t xml:space="preserve"> </w:t>
      </w:r>
      <w:r w:rsidR="0031556E">
        <w:t xml:space="preserve">team </w:t>
      </w:r>
      <w:r w:rsidRPr="002E1D37">
        <w:t xml:space="preserve">will obtain input from statisticians in the development, design, conduct and analysis of customer satisfaction surveys.  This statistical expertise will be available from agency </w:t>
      </w:r>
      <w:r>
        <w:t>evaluators</w:t>
      </w:r>
      <w:r w:rsidRPr="002E1D37">
        <w:t xml:space="preserve"> or from contractors.  </w:t>
      </w:r>
    </w:p>
    <w:sectPr w:rsidR="00725EC6" w:rsidSect="00552DC5">
      <w:pgSz w:w="12240" w:h="15840"/>
      <w:pgMar w:top="1440" w:right="108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94AB3" w14:textId="77777777" w:rsidR="0002081B" w:rsidRDefault="0002081B">
      <w:r>
        <w:separator/>
      </w:r>
    </w:p>
  </w:endnote>
  <w:endnote w:type="continuationSeparator" w:id="0">
    <w:p w14:paraId="1455CE77" w14:textId="77777777" w:rsidR="0002081B" w:rsidRDefault="00020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E41B1" w14:textId="77777777" w:rsidR="00097CD2" w:rsidRDefault="00885E19" w:rsidP="00D62EAD">
    <w:pPr>
      <w:pStyle w:val="Footer"/>
      <w:framePr w:wrap="around" w:vAnchor="text" w:hAnchor="margin" w:xAlign="right" w:y="1"/>
      <w:rPr>
        <w:rStyle w:val="PageNumber"/>
      </w:rPr>
    </w:pPr>
    <w:r>
      <w:rPr>
        <w:rStyle w:val="PageNumber"/>
      </w:rPr>
      <w:fldChar w:fldCharType="begin"/>
    </w:r>
    <w:r w:rsidR="00097CD2">
      <w:rPr>
        <w:rStyle w:val="PageNumber"/>
      </w:rPr>
      <w:instrText xml:space="preserve">PAGE  </w:instrText>
    </w:r>
    <w:r>
      <w:rPr>
        <w:rStyle w:val="PageNumber"/>
      </w:rPr>
      <w:fldChar w:fldCharType="end"/>
    </w:r>
  </w:p>
  <w:p w14:paraId="539E41B2" w14:textId="77777777" w:rsidR="00097CD2" w:rsidRDefault="00097CD2" w:rsidP="004B03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E41B3" w14:textId="4AA1FBD1" w:rsidR="00097CD2" w:rsidRDefault="00885E19" w:rsidP="00D62EAD">
    <w:pPr>
      <w:pStyle w:val="Footer"/>
      <w:framePr w:wrap="around" w:vAnchor="text" w:hAnchor="margin" w:xAlign="right" w:y="1"/>
      <w:rPr>
        <w:rStyle w:val="PageNumber"/>
      </w:rPr>
    </w:pPr>
    <w:r>
      <w:rPr>
        <w:rStyle w:val="PageNumber"/>
      </w:rPr>
      <w:fldChar w:fldCharType="begin"/>
    </w:r>
    <w:r w:rsidR="00097CD2">
      <w:rPr>
        <w:rStyle w:val="PageNumber"/>
      </w:rPr>
      <w:instrText xml:space="preserve">PAGE  </w:instrText>
    </w:r>
    <w:r>
      <w:rPr>
        <w:rStyle w:val="PageNumber"/>
      </w:rPr>
      <w:fldChar w:fldCharType="separate"/>
    </w:r>
    <w:r w:rsidR="00053063">
      <w:rPr>
        <w:rStyle w:val="PageNumber"/>
        <w:noProof/>
      </w:rPr>
      <w:t>4</w:t>
    </w:r>
    <w:r>
      <w:rPr>
        <w:rStyle w:val="PageNumber"/>
      </w:rPr>
      <w:fldChar w:fldCharType="end"/>
    </w:r>
  </w:p>
  <w:p w14:paraId="539E41B4" w14:textId="77777777" w:rsidR="00097CD2" w:rsidRDefault="00097CD2" w:rsidP="004B03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735A8" w14:textId="77777777" w:rsidR="0002081B" w:rsidRDefault="0002081B">
      <w:r>
        <w:separator/>
      </w:r>
    </w:p>
  </w:footnote>
  <w:footnote w:type="continuationSeparator" w:id="0">
    <w:p w14:paraId="196FE677" w14:textId="77777777" w:rsidR="0002081B" w:rsidRDefault="00020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9F403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874D72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268C3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1D692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0E6A30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AF67E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67037E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0BE916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9209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1245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DC145F"/>
    <w:multiLevelType w:val="hybridMultilevel"/>
    <w:tmpl w:val="7DD26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FC724E"/>
    <w:multiLevelType w:val="hybridMultilevel"/>
    <w:tmpl w:val="7EC60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2B600DC"/>
    <w:multiLevelType w:val="hybridMultilevel"/>
    <w:tmpl w:val="65222A9C"/>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61A5102"/>
    <w:multiLevelType w:val="hybridMultilevel"/>
    <w:tmpl w:val="EABE2DF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A8F3B30"/>
    <w:multiLevelType w:val="hybridMultilevel"/>
    <w:tmpl w:val="9E1AFCA0"/>
    <w:lvl w:ilvl="0" w:tplc="397C974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1"/>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E04" w:allStyles="0" w:customStyles="0" w:latentStyles="1" w:stylesInUse="0" w:headingStyles="0" w:numberingStyles="0" w:tableStyles="0" w:directFormattingOnRuns="0"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EC6"/>
    <w:rsid w:val="00013936"/>
    <w:rsid w:val="0002081B"/>
    <w:rsid w:val="00036D3C"/>
    <w:rsid w:val="00053063"/>
    <w:rsid w:val="00086D73"/>
    <w:rsid w:val="00097CD2"/>
    <w:rsid w:val="000D5B74"/>
    <w:rsid w:val="000F6932"/>
    <w:rsid w:val="000F78F2"/>
    <w:rsid w:val="000F7C12"/>
    <w:rsid w:val="001369E7"/>
    <w:rsid w:val="001510F4"/>
    <w:rsid w:val="00157106"/>
    <w:rsid w:val="00161608"/>
    <w:rsid w:val="00187B12"/>
    <w:rsid w:val="00192C80"/>
    <w:rsid w:val="001972CC"/>
    <w:rsid w:val="001E3327"/>
    <w:rsid w:val="001F038A"/>
    <w:rsid w:val="002059DA"/>
    <w:rsid w:val="002078EE"/>
    <w:rsid w:val="00215E15"/>
    <w:rsid w:val="00217431"/>
    <w:rsid w:val="002302B7"/>
    <w:rsid w:val="00230D87"/>
    <w:rsid w:val="00255B5F"/>
    <w:rsid w:val="00290D16"/>
    <w:rsid w:val="00290DE3"/>
    <w:rsid w:val="002A42D0"/>
    <w:rsid w:val="002D7377"/>
    <w:rsid w:val="002F3A28"/>
    <w:rsid w:val="00307FD0"/>
    <w:rsid w:val="0031556E"/>
    <w:rsid w:val="0033673E"/>
    <w:rsid w:val="00363303"/>
    <w:rsid w:val="00381FA1"/>
    <w:rsid w:val="003A6301"/>
    <w:rsid w:val="003B5A1D"/>
    <w:rsid w:val="003B76F0"/>
    <w:rsid w:val="003C1BC6"/>
    <w:rsid w:val="00417E19"/>
    <w:rsid w:val="0045503D"/>
    <w:rsid w:val="004571B6"/>
    <w:rsid w:val="004575E4"/>
    <w:rsid w:val="004B0395"/>
    <w:rsid w:val="004C36BA"/>
    <w:rsid w:val="004D334F"/>
    <w:rsid w:val="004F2312"/>
    <w:rsid w:val="004F2BA6"/>
    <w:rsid w:val="004F3AF2"/>
    <w:rsid w:val="00552DC5"/>
    <w:rsid w:val="00552F18"/>
    <w:rsid w:val="00577C59"/>
    <w:rsid w:val="0058559D"/>
    <w:rsid w:val="005A1544"/>
    <w:rsid w:val="005C1158"/>
    <w:rsid w:val="005D50D6"/>
    <w:rsid w:val="005E747C"/>
    <w:rsid w:val="0062701E"/>
    <w:rsid w:val="006519F2"/>
    <w:rsid w:val="00685A11"/>
    <w:rsid w:val="006D607D"/>
    <w:rsid w:val="006D7352"/>
    <w:rsid w:val="006E12A8"/>
    <w:rsid w:val="007057F1"/>
    <w:rsid w:val="00725304"/>
    <w:rsid w:val="00725EC6"/>
    <w:rsid w:val="00771AE2"/>
    <w:rsid w:val="00794567"/>
    <w:rsid w:val="007D52D0"/>
    <w:rsid w:val="007D7876"/>
    <w:rsid w:val="007E7796"/>
    <w:rsid w:val="007F353D"/>
    <w:rsid w:val="007F64DE"/>
    <w:rsid w:val="0086537D"/>
    <w:rsid w:val="00870D3A"/>
    <w:rsid w:val="00885E19"/>
    <w:rsid w:val="008F3B48"/>
    <w:rsid w:val="00900D93"/>
    <w:rsid w:val="00915C33"/>
    <w:rsid w:val="00970E06"/>
    <w:rsid w:val="00972BED"/>
    <w:rsid w:val="00981F55"/>
    <w:rsid w:val="00995DF8"/>
    <w:rsid w:val="009A76A1"/>
    <w:rsid w:val="009B179D"/>
    <w:rsid w:val="009F58F6"/>
    <w:rsid w:val="00A074F8"/>
    <w:rsid w:val="00A124E6"/>
    <w:rsid w:val="00A24302"/>
    <w:rsid w:val="00A37CD6"/>
    <w:rsid w:val="00AC44D3"/>
    <w:rsid w:val="00B02B88"/>
    <w:rsid w:val="00B04531"/>
    <w:rsid w:val="00B23EDE"/>
    <w:rsid w:val="00B71662"/>
    <w:rsid w:val="00B971DF"/>
    <w:rsid w:val="00BC32FF"/>
    <w:rsid w:val="00BE1251"/>
    <w:rsid w:val="00BF454F"/>
    <w:rsid w:val="00C70A79"/>
    <w:rsid w:val="00CA3F1C"/>
    <w:rsid w:val="00CB2E10"/>
    <w:rsid w:val="00CD5225"/>
    <w:rsid w:val="00CE0118"/>
    <w:rsid w:val="00D472B9"/>
    <w:rsid w:val="00D62EAD"/>
    <w:rsid w:val="00D81284"/>
    <w:rsid w:val="00DA55E5"/>
    <w:rsid w:val="00DE35B5"/>
    <w:rsid w:val="00DF2A89"/>
    <w:rsid w:val="00DF503E"/>
    <w:rsid w:val="00E112B7"/>
    <w:rsid w:val="00E4331A"/>
    <w:rsid w:val="00E50580"/>
    <w:rsid w:val="00E54582"/>
    <w:rsid w:val="00E82B44"/>
    <w:rsid w:val="00EB41E0"/>
    <w:rsid w:val="00ED50C7"/>
    <w:rsid w:val="00EE298D"/>
    <w:rsid w:val="00EE3310"/>
    <w:rsid w:val="00F06FF9"/>
    <w:rsid w:val="00F12E93"/>
    <w:rsid w:val="00F146FE"/>
    <w:rsid w:val="00F9199D"/>
    <w:rsid w:val="00FA0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E4105"/>
  <w15:docId w15:val="{F4CBB910-4234-4882-AA72-8921C0755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50580"/>
    <w:rPr>
      <w:sz w:val="24"/>
      <w:szCs w:val="24"/>
    </w:rPr>
  </w:style>
  <w:style w:type="paragraph" w:styleId="Heading1">
    <w:name w:val="heading 1"/>
    <w:basedOn w:val="Normal"/>
    <w:next w:val="Normal"/>
    <w:link w:val="Heading1Char"/>
    <w:qFormat/>
    <w:rsid w:val="00E50580"/>
    <w:pPr>
      <w:keepNext/>
      <w:spacing w:before="240" w:after="60"/>
      <w:outlineLvl w:val="0"/>
    </w:pPr>
    <w:rPr>
      <w:rFonts w:ascii="Cambria" w:hAnsi="Cambria"/>
      <w:b/>
      <w:bCs/>
      <w:kern w:val="32"/>
      <w:sz w:val="28"/>
      <w:szCs w:val="28"/>
    </w:rPr>
  </w:style>
  <w:style w:type="paragraph" w:styleId="Heading2">
    <w:name w:val="heading 2"/>
    <w:basedOn w:val="Normal"/>
    <w:next w:val="Normal"/>
    <w:link w:val="Heading2Char"/>
    <w:unhideWhenUsed/>
    <w:qFormat/>
    <w:rsid w:val="00E50580"/>
    <w:pPr>
      <w:keepNext/>
      <w:spacing w:before="240" w:after="60"/>
      <w:outlineLvl w:val="1"/>
    </w:pPr>
    <w:rPr>
      <w:rFonts w:ascii="Cambria" w:hAnsi="Cambria"/>
      <w:b/>
      <w:bCs/>
      <w:iCs/>
      <w:noProof/>
      <w:sz w:val="26"/>
      <w:szCs w:val="26"/>
    </w:rPr>
  </w:style>
  <w:style w:type="paragraph" w:styleId="Heading3">
    <w:name w:val="heading 3"/>
    <w:basedOn w:val="Normal"/>
    <w:next w:val="Normal"/>
    <w:link w:val="Heading3Char"/>
    <w:unhideWhenUsed/>
    <w:qFormat/>
    <w:rsid w:val="00E50580"/>
    <w:pPr>
      <w:keepNext/>
      <w:spacing w:before="240" w:after="60"/>
      <w:ind w:left="720" w:right="1080"/>
      <w:jc w:val="center"/>
      <w:outlineLvl w:val="2"/>
    </w:pPr>
    <w:rPr>
      <w:rFonts w:ascii="Cambria" w:hAnsi="Cambria"/>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uiPriority w:val="39"/>
    <w:qFormat/>
    <w:rsid w:val="001F038A"/>
    <w:pPr>
      <w:tabs>
        <w:tab w:val="left" w:pos="0"/>
        <w:tab w:val="left" w:pos="720"/>
        <w:tab w:val="right" w:leader="dot" w:pos="9494"/>
      </w:tabs>
      <w:spacing w:before="120" w:after="120" w:line="480" w:lineRule="auto"/>
      <w:jc w:val="both"/>
    </w:pPr>
    <w:rPr>
      <w:caps/>
      <w:noProof/>
      <w:sz w:val="24"/>
      <w:szCs w:val="24"/>
    </w:rPr>
  </w:style>
  <w:style w:type="paragraph" w:styleId="TOC2">
    <w:name w:val="toc 2"/>
    <w:autoRedefine/>
    <w:uiPriority w:val="39"/>
    <w:qFormat/>
    <w:rsid w:val="00725EC6"/>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725EC6"/>
    <w:pPr>
      <w:spacing w:line="480" w:lineRule="auto"/>
      <w:ind w:firstLine="720"/>
    </w:pPr>
    <w:rPr>
      <w:sz w:val="22"/>
    </w:rPr>
  </w:style>
  <w:style w:type="paragraph" w:styleId="Footer">
    <w:name w:val="footer"/>
    <w:basedOn w:val="Normal"/>
    <w:rsid w:val="004B0395"/>
    <w:pPr>
      <w:tabs>
        <w:tab w:val="center" w:pos="4320"/>
        <w:tab w:val="right" w:pos="8640"/>
      </w:tabs>
    </w:pPr>
  </w:style>
  <w:style w:type="character" w:styleId="PageNumber">
    <w:name w:val="page number"/>
    <w:basedOn w:val="DefaultParagraphFont"/>
    <w:rsid w:val="004B0395"/>
  </w:style>
  <w:style w:type="table" w:styleId="TableGrid">
    <w:name w:val="Table Grid"/>
    <w:basedOn w:val="TableNormal"/>
    <w:rsid w:val="005C1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1556E"/>
    <w:rPr>
      <w:sz w:val="16"/>
      <w:szCs w:val="16"/>
    </w:rPr>
  </w:style>
  <w:style w:type="paragraph" w:styleId="CommentText">
    <w:name w:val="annotation text"/>
    <w:basedOn w:val="Normal"/>
    <w:semiHidden/>
    <w:rsid w:val="0031556E"/>
    <w:rPr>
      <w:sz w:val="20"/>
      <w:szCs w:val="20"/>
    </w:rPr>
  </w:style>
  <w:style w:type="paragraph" w:styleId="BalloonText">
    <w:name w:val="Balloon Text"/>
    <w:basedOn w:val="Normal"/>
    <w:semiHidden/>
    <w:rsid w:val="0031556E"/>
    <w:rPr>
      <w:rFonts w:ascii="Tahoma" w:hAnsi="Tahoma" w:cs="Tahoma"/>
      <w:sz w:val="16"/>
      <w:szCs w:val="16"/>
    </w:rPr>
  </w:style>
  <w:style w:type="paragraph" w:styleId="CommentSubject">
    <w:name w:val="annotation subject"/>
    <w:basedOn w:val="CommentText"/>
    <w:next w:val="CommentText"/>
    <w:semiHidden/>
    <w:rsid w:val="0031556E"/>
    <w:rPr>
      <w:b/>
      <w:bCs/>
    </w:rPr>
  </w:style>
  <w:style w:type="character" w:customStyle="1" w:styleId="Heading1Char">
    <w:name w:val="Heading 1 Char"/>
    <w:basedOn w:val="DefaultParagraphFont"/>
    <w:link w:val="Heading1"/>
    <w:rsid w:val="00E50580"/>
    <w:rPr>
      <w:rFonts w:ascii="Cambria" w:eastAsia="Times New Roman" w:hAnsi="Cambria" w:cs="Times New Roman"/>
      <w:b/>
      <w:bCs/>
      <w:kern w:val="32"/>
      <w:sz w:val="28"/>
      <w:szCs w:val="28"/>
    </w:rPr>
  </w:style>
  <w:style w:type="character" w:customStyle="1" w:styleId="Heading2Char">
    <w:name w:val="Heading 2 Char"/>
    <w:basedOn w:val="DefaultParagraphFont"/>
    <w:link w:val="Heading2"/>
    <w:rsid w:val="00E50580"/>
    <w:rPr>
      <w:rFonts w:ascii="Cambria" w:eastAsia="Times New Roman" w:hAnsi="Cambria" w:cs="Times New Roman"/>
      <w:b/>
      <w:bCs/>
      <w:iCs/>
      <w:noProof/>
      <w:sz w:val="26"/>
      <w:szCs w:val="26"/>
    </w:rPr>
  </w:style>
  <w:style w:type="character" w:customStyle="1" w:styleId="Heading3Char">
    <w:name w:val="Heading 3 Char"/>
    <w:basedOn w:val="DefaultParagraphFont"/>
    <w:link w:val="Heading3"/>
    <w:rsid w:val="00E50580"/>
    <w:rPr>
      <w:rFonts w:ascii="Cambria" w:eastAsia="Times New Roman" w:hAnsi="Cambria" w:cs="Times New Roman"/>
      <w:bCs/>
      <w:sz w:val="24"/>
      <w:szCs w:val="24"/>
    </w:rPr>
  </w:style>
  <w:style w:type="paragraph" w:styleId="TOCHeading">
    <w:name w:val="TOC Heading"/>
    <w:basedOn w:val="Heading1"/>
    <w:next w:val="Normal"/>
    <w:uiPriority w:val="39"/>
    <w:semiHidden/>
    <w:unhideWhenUsed/>
    <w:qFormat/>
    <w:rsid w:val="00E50580"/>
    <w:pPr>
      <w:keepLines/>
      <w:spacing w:before="480" w:after="0" w:line="276" w:lineRule="auto"/>
      <w:outlineLvl w:val="9"/>
    </w:pPr>
    <w:rPr>
      <w:color w:val="365F91"/>
      <w:kern w:val="0"/>
    </w:rPr>
  </w:style>
  <w:style w:type="paragraph" w:styleId="TOC3">
    <w:name w:val="toc 3"/>
    <w:basedOn w:val="Normal"/>
    <w:next w:val="Normal"/>
    <w:autoRedefine/>
    <w:uiPriority w:val="39"/>
    <w:qFormat/>
    <w:rsid w:val="00E50580"/>
    <w:pPr>
      <w:ind w:left="480"/>
    </w:pPr>
  </w:style>
  <w:style w:type="character" w:styleId="Hyperlink">
    <w:name w:val="Hyperlink"/>
    <w:basedOn w:val="DefaultParagraphFont"/>
    <w:uiPriority w:val="99"/>
    <w:unhideWhenUsed/>
    <w:rsid w:val="00E50580"/>
    <w:rPr>
      <w:color w:val="0000FF"/>
      <w:u w:val="single"/>
    </w:rPr>
  </w:style>
  <w:style w:type="paragraph" w:styleId="ListParagraph">
    <w:name w:val="List Paragraph"/>
    <w:basedOn w:val="Normal"/>
    <w:uiPriority w:val="34"/>
    <w:qFormat/>
    <w:rsid w:val="006D73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09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DAF2C-1E1B-4860-B314-AA58E31BADB8}">
  <ds:schemaRefs>
    <ds:schemaRef ds:uri="http://schemas.microsoft.com/sharepoint/v3/contenttype/forms"/>
  </ds:schemaRefs>
</ds:datastoreItem>
</file>

<file path=customXml/itemProps2.xml><?xml version="1.0" encoding="utf-8"?>
<ds:datastoreItem xmlns:ds="http://schemas.openxmlformats.org/officeDocument/2006/customXml" ds:itemID="{E7432CB2-EF7A-456E-A5DF-7405DEE48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A4FBB05-7EA3-4740-AED8-CEC6046F440A}">
  <ds:schemaRefs>
    <ds:schemaRef ds:uri="http://schemas.microsoft.com/office/2006/metadata/properties"/>
  </ds:schemaRefs>
</ds:datastoreItem>
</file>

<file path=customXml/itemProps4.xml><?xml version="1.0" encoding="utf-8"?>
<ds:datastoreItem xmlns:ds="http://schemas.openxmlformats.org/officeDocument/2006/customXml" ds:itemID="{D9A8BEAD-E5E9-4307-BD29-F8B2A2254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1634</Words>
  <Characters>9318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Supporting Statement B for</vt:lpstr>
    </vt:vector>
  </TitlesOfParts>
  <Company>NIH/CSR</Company>
  <LinksUpToDate>false</LinksUpToDate>
  <CharactersWithSpaces>10931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for</dc:title>
  <dc:creator>Andrea Kopstein</dc:creator>
  <cp:lastModifiedBy>Abdelmouti, Tawanda (NIH/OD) [E]</cp:lastModifiedBy>
  <cp:revision>2</cp:revision>
  <cp:lastPrinted>2011-02-07T13:44:00Z</cp:lastPrinted>
  <dcterms:created xsi:type="dcterms:W3CDTF">2017-04-18T19:20:00Z</dcterms:created>
  <dcterms:modified xsi:type="dcterms:W3CDTF">2017-04-18T19:20:00Z</dcterms:modified>
</cp:coreProperties>
</file>