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51A46" w14:textId="77777777" w:rsidR="00CE149F" w:rsidRDefault="00CE149F" w:rsidP="00BB7AA0"/>
    <w:p w14:paraId="24ADB856" w14:textId="77777777" w:rsidR="00CE149F" w:rsidRDefault="00CE149F" w:rsidP="00CE149F">
      <w:pPr>
        <w:ind w:left="1440" w:firstLine="720"/>
      </w:pPr>
    </w:p>
    <w:p w14:paraId="37858AF7" w14:textId="77777777" w:rsidR="00CE149F" w:rsidRPr="00B32CF7" w:rsidRDefault="00CE149F" w:rsidP="00794AC4">
      <w:pPr>
        <w:ind w:left="1440"/>
        <w:jc w:val="center"/>
        <w:rPr>
          <w:sz w:val="32"/>
          <w:szCs w:val="32"/>
        </w:rPr>
      </w:pPr>
      <w:r w:rsidRPr="00B32CF7">
        <w:rPr>
          <w:sz w:val="32"/>
          <w:szCs w:val="32"/>
        </w:rPr>
        <w:t>Supporting Statement A</w:t>
      </w:r>
      <w:r w:rsidR="00397080">
        <w:rPr>
          <w:sz w:val="32"/>
          <w:szCs w:val="32"/>
        </w:rPr>
        <w:t xml:space="preserve"> for</w:t>
      </w:r>
    </w:p>
    <w:p w14:paraId="193109C3" w14:textId="77777777" w:rsidR="00CE149F" w:rsidRPr="00D9050C" w:rsidRDefault="00CE149F" w:rsidP="00794AC4">
      <w:pPr>
        <w:ind w:left="1440" w:firstLine="720"/>
        <w:jc w:val="center"/>
        <w:rPr>
          <w:sz w:val="32"/>
          <w:szCs w:val="32"/>
        </w:rPr>
      </w:pPr>
    </w:p>
    <w:p w14:paraId="09504420" w14:textId="77777777" w:rsidR="00CE149F" w:rsidRPr="00D9050C" w:rsidRDefault="00CE149F" w:rsidP="00794AC4">
      <w:pPr>
        <w:ind w:left="1440" w:firstLine="720"/>
        <w:jc w:val="center"/>
        <w:rPr>
          <w:sz w:val="32"/>
          <w:szCs w:val="32"/>
        </w:rPr>
      </w:pPr>
    </w:p>
    <w:p w14:paraId="675241A2" w14:textId="77777777" w:rsidR="00CE149F" w:rsidRPr="00D9050C" w:rsidRDefault="00CE149F" w:rsidP="00794AC4">
      <w:pPr>
        <w:ind w:left="1440" w:firstLine="720"/>
        <w:jc w:val="center"/>
        <w:rPr>
          <w:sz w:val="32"/>
          <w:szCs w:val="32"/>
        </w:rPr>
      </w:pPr>
    </w:p>
    <w:p w14:paraId="59ACE507" w14:textId="77777777" w:rsidR="00C70B43" w:rsidRDefault="00753CC5" w:rsidP="00794AC4">
      <w:pPr>
        <w:ind w:left="1440"/>
        <w:jc w:val="center"/>
        <w:rPr>
          <w:sz w:val="32"/>
          <w:szCs w:val="32"/>
        </w:rPr>
      </w:pPr>
      <w:r>
        <w:rPr>
          <w:sz w:val="32"/>
          <w:szCs w:val="32"/>
        </w:rPr>
        <w:t xml:space="preserve">PHS </w:t>
      </w:r>
      <w:r w:rsidR="00C70B43" w:rsidRPr="00C70B43">
        <w:rPr>
          <w:sz w:val="32"/>
          <w:szCs w:val="32"/>
        </w:rPr>
        <w:t>Applica</w:t>
      </w:r>
      <w:r>
        <w:rPr>
          <w:sz w:val="32"/>
          <w:szCs w:val="32"/>
        </w:rPr>
        <w:t>tion</w:t>
      </w:r>
      <w:r w:rsidR="00E73675">
        <w:rPr>
          <w:sz w:val="32"/>
          <w:szCs w:val="32"/>
        </w:rPr>
        <w:t>s</w:t>
      </w:r>
      <w:r>
        <w:rPr>
          <w:sz w:val="32"/>
          <w:szCs w:val="32"/>
        </w:rPr>
        <w:t xml:space="preserve"> and Pre-award Related Reporting</w:t>
      </w:r>
      <w:r w:rsidR="00FF1CB2">
        <w:rPr>
          <w:sz w:val="32"/>
          <w:szCs w:val="32"/>
        </w:rPr>
        <w:t xml:space="preserve"> [OD/OPERA]</w:t>
      </w:r>
    </w:p>
    <w:p w14:paraId="58DB1D13" w14:textId="34635C15" w:rsidR="00B62230" w:rsidRDefault="00F14C90" w:rsidP="00794AC4">
      <w:pPr>
        <w:ind w:left="1440"/>
        <w:jc w:val="center"/>
        <w:rPr>
          <w:sz w:val="32"/>
          <w:szCs w:val="32"/>
        </w:rPr>
      </w:pPr>
      <w:r>
        <w:rPr>
          <w:sz w:val="32"/>
          <w:szCs w:val="32"/>
        </w:rPr>
        <w:t xml:space="preserve">OMB# </w:t>
      </w:r>
      <w:r w:rsidR="00B62230">
        <w:rPr>
          <w:sz w:val="32"/>
          <w:szCs w:val="32"/>
        </w:rPr>
        <w:t>0</w:t>
      </w:r>
      <w:r w:rsidR="00CB4DE0">
        <w:rPr>
          <w:sz w:val="32"/>
          <w:szCs w:val="32"/>
        </w:rPr>
        <w:t>925-0001</w:t>
      </w:r>
    </w:p>
    <w:p w14:paraId="62D0676C" w14:textId="3C669D1F" w:rsidR="00F14C90" w:rsidRDefault="00F14C90" w:rsidP="00794AC4">
      <w:pPr>
        <w:ind w:left="1440"/>
        <w:jc w:val="center"/>
        <w:rPr>
          <w:sz w:val="32"/>
          <w:szCs w:val="32"/>
        </w:rPr>
      </w:pPr>
      <w:r>
        <w:rPr>
          <w:sz w:val="32"/>
          <w:szCs w:val="32"/>
        </w:rPr>
        <w:t>Exp., date 10/31/2018</w:t>
      </w:r>
    </w:p>
    <w:p w14:paraId="68F75271" w14:textId="540EAFA0" w:rsidR="00CE149F" w:rsidRDefault="00CE149F" w:rsidP="00794AC4">
      <w:pPr>
        <w:ind w:left="1440" w:firstLine="720"/>
        <w:jc w:val="center"/>
        <w:rPr>
          <w:sz w:val="32"/>
          <w:szCs w:val="32"/>
        </w:rPr>
      </w:pPr>
    </w:p>
    <w:p w14:paraId="52746816" w14:textId="77777777" w:rsidR="00F14C90" w:rsidRPr="00D9050C" w:rsidRDefault="00F14C90" w:rsidP="00794AC4">
      <w:pPr>
        <w:ind w:left="1440" w:firstLine="720"/>
        <w:jc w:val="center"/>
        <w:rPr>
          <w:sz w:val="32"/>
          <w:szCs w:val="32"/>
        </w:rPr>
      </w:pPr>
    </w:p>
    <w:p w14:paraId="7322B282" w14:textId="60ADFB87" w:rsidR="00CE149F" w:rsidRPr="00D9050C" w:rsidRDefault="00397080" w:rsidP="00794AC4">
      <w:pPr>
        <w:ind w:left="1440" w:hanging="90"/>
        <w:jc w:val="center"/>
        <w:rPr>
          <w:sz w:val="32"/>
          <w:szCs w:val="32"/>
        </w:rPr>
      </w:pPr>
      <w:r>
        <w:rPr>
          <w:sz w:val="32"/>
          <w:szCs w:val="32"/>
        </w:rPr>
        <w:t xml:space="preserve">Date: </w:t>
      </w:r>
      <w:r w:rsidR="00FE76EE">
        <w:rPr>
          <w:sz w:val="32"/>
          <w:szCs w:val="32"/>
        </w:rPr>
        <w:t xml:space="preserve">January </w:t>
      </w:r>
      <w:r w:rsidR="00C078EE">
        <w:rPr>
          <w:sz w:val="32"/>
          <w:szCs w:val="32"/>
        </w:rPr>
        <w:t>23</w:t>
      </w:r>
      <w:r w:rsidR="00FE76EE">
        <w:rPr>
          <w:sz w:val="32"/>
          <w:szCs w:val="32"/>
        </w:rPr>
        <w:t>, 2017</w:t>
      </w:r>
    </w:p>
    <w:p w14:paraId="15270FED" w14:textId="1C94CF4A" w:rsidR="00CE149F" w:rsidRDefault="00CE149F" w:rsidP="00397080">
      <w:pPr>
        <w:rPr>
          <w:color w:val="0000FF"/>
          <w:sz w:val="32"/>
          <w:szCs w:val="32"/>
        </w:rPr>
      </w:pPr>
    </w:p>
    <w:p w14:paraId="13E10E98" w14:textId="232A6145" w:rsidR="00F14C90" w:rsidRDefault="00F14C90" w:rsidP="00397080">
      <w:pPr>
        <w:rPr>
          <w:color w:val="0000FF"/>
          <w:sz w:val="32"/>
          <w:szCs w:val="32"/>
        </w:rPr>
      </w:pPr>
    </w:p>
    <w:p w14:paraId="2BE25D33" w14:textId="261E2BCB" w:rsidR="00F14C90" w:rsidRDefault="00F14C90" w:rsidP="00397080">
      <w:pPr>
        <w:rPr>
          <w:color w:val="0000FF"/>
          <w:sz w:val="32"/>
          <w:szCs w:val="32"/>
        </w:rPr>
      </w:pPr>
    </w:p>
    <w:p w14:paraId="6E82E269" w14:textId="77777777" w:rsidR="00F14C90" w:rsidRPr="00D9050C" w:rsidRDefault="00F14C90" w:rsidP="00397080">
      <w:pPr>
        <w:rPr>
          <w:color w:val="0000FF"/>
          <w:sz w:val="32"/>
          <w:szCs w:val="32"/>
        </w:rPr>
      </w:pPr>
    </w:p>
    <w:p w14:paraId="34FA2B42" w14:textId="77777777" w:rsidR="00F14C90" w:rsidRDefault="00F14C90" w:rsidP="00397080">
      <w:pPr>
        <w:spacing w:before="240" w:after="240"/>
      </w:pPr>
    </w:p>
    <w:p w14:paraId="4A546F9F" w14:textId="10FC2A94" w:rsidR="00715772" w:rsidRPr="00397080" w:rsidRDefault="00715772" w:rsidP="00397080">
      <w:pPr>
        <w:spacing w:before="240" w:after="240"/>
      </w:pPr>
      <w:r w:rsidRPr="00397080">
        <w:t>Name:  Stefanie Harris</w:t>
      </w:r>
    </w:p>
    <w:p w14:paraId="244AFC8E" w14:textId="77777777" w:rsidR="00715772" w:rsidRPr="00397080" w:rsidRDefault="00715772" w:rsidP="00397080">
      <w:pPr>
        <w:spacing w:before="240" w:after="240"/>
      </w:pPr>
      <w:r w:rsidRPr="00397080">
        <w:t>Address:   6705 Rockledge Drive, Bethesda, MD  20892-7974</w:t>
      </w:r>
    </w:p>
    <w:p w14:paraId="6BC7AC99" w14:textId="77777777" w:rsidR="00715772" w:rsidRPr="00397080" w:rsidRDefault="00715772" w:rsidP="00397080">
      <w:pPr>
        <w:spacing w:before="240" w:after="240"/>
      </w:pPr>
      <w:r w:rsidRPr="00397080">
        <w:t>Telephone:  301-435-7492</w:t>
      </w:r>
    </w:p>
    <w:p w14:paraId="663561B1" w14:textId="77777777" w:rsidR="00715772" w:rsidRPr="00397080" w:rsidRDefault="00715772" w:rsidP="00397080">
      <w:pPr>
        <w:spacing w:before="240" w:after="240"/>
      </w:pPr>
      <w:r w:rsidRPr="00397080">
        <w:t>Fax:   301-435-3059</w:t>
      </w:r>
    </w:p>
    <w:p w14:paraId="28F1A3BC" w14:textId="77777777" w:rsidR="00715772" w:rsidRDefault="00715772" w:rsidP="00397080">
      <w:pPr>
        <w:spacing w:before="240" w:after="240"/>
      </w:pPr>
      <w:r w:rsidRPr="00397080">
        <w:t xml:space="preserve">Email:  </w:t>
      </w:r>
      <w:hyperlink r:id="rId8" w:history="1">
        <w:r w:rsidR="007F13BC" w:rsidRPr="00397080">
          <w:rPr>
            <w:rStyle w:val="Hyperlink"/>
          </w:rPr>
          <w:t>stefanie.harris@nih.gov</w:t>
        </w:r>
      </w:hyperlink>
      <w:r w:rsidR="007F13BC" w:rsidRPr="00397080">
        <w:t xml:space="preserve"> </w:t>
      </w:r>
    </w:p>
    <w:p w14:paraId="5923345E" w14:textId="77777777" w:rsidR="00397080" w:rsidRPr="00397080" w:rsidRDefault="00397080" w:rsidP="00397080">
      <w:pPr>
        <w:spacing w:before="240" w:after="240"/>
      </w:pPr>
    </w:p>
    <w:p w14:paraId="369CE885" w14:textId="77777777" w:rsidR="00397080" w:rsidRPr="00397080" w:rsidRDefault="00397080" w:rsidP="00397080">
      <w:pPr>
        <w:pStyle w:val="P1-StandPara"/>
        <w:tabs>
          <w:tab w:val="left" w:pos="720"/>
          <w:tab w:val="right" w:leader="dot" w:pos="9504"/>
        </w:tabs>
        <w:spacing w:before="240" w:after="240" w:line="240" w:lineRule="auto"/>
        <w:ind w:firstLine="0"/>
        <w:rPr>
          <w:sz w:val="24"/>
          <w:szCs w:val="24"/>
        </w:rPr>
      </w:pPr>
      <w:r w:rsidRPr="00397080">
        <w:rPr>
          <w:sz w:val="24"/>
          <w:szCs w:val="24"/>
        </w:rPr>
        <w:t>Check off which applies:</w:t>
      </w:r>
    </w:p>
    <w:p w14:paraId="70C481DA" w14:textId="77777777" w:rsidR="00F14C90" w:rsidRDefault="00F14C90" w:rsidP="00F14C90">
      <w:pPr>
        <w:spacing w:before="240" w:after="240"/>
        <w:ind w:left="720"/>
      </w:pPr>
    </w:p>
    <w:p w14:paraId="21991D90" w14:textId="258B6C3F" w:rsidR="00397080" w:rsidRPr="00397080" w:rsidRDefault="00397080" w:rsidP="00E05D34">
      <w:pPr>
        <w:numPr>
          <w:ilvl w:val="0"/>
          <w:numId w:val="3"/>
        </w:numPr>
        <w:spacing w:before="240" w:after="240"/>
      </w:pPr>
      <w:r w:rsidRPr="00397080">
        <w:t>Revision</w:t>
      </w:r>
      <w:r w:rsidRPr="00397080">
        <w:tab/>
      </w:r>
      <w:r w:rsidRPr="00397080">
        <w:tab/>
      </w:r>
      <w:r w:rsidRPr="00397080">
        <w:tab/>
      </w:r>
    </w:p>
    <w:p w14:paraId="4ED6DD5A" w14:textId="77777777" w:rsidR="00F14C90" w:rsidRDefault="00F14C90" w:rsidP="004E40C1">
      <w:pPr>
        <w:tabs>
          <w:tab w:val="left" w:pos="3510"/>
        </w:tabs>
        <w:jc w:val="center"/>
      </w:pPr>
    </w:p>
    <w:p w14:paraId="5164DC69" w14:textId="77777777" w:rsidR="00F14C90" w:rsidRDefault="00F14C90" w:rsidP="004E40C1">
      <w:pPr>
        <w:tabs>
          <w:tab w:val="left" w:pos="3510"/>
        </w:tabs>
        <w:jc w:val="center"/>
      </w:pPr>
    </w:p>
    <w:p w14:paraId="11459D26" w14:textId="77777777" w:rsidR="00F14C90" w:rsidRDefault="00F14C90" w:rsidP="004E40C1">
      <w:pPr>
        <w:tabs>
          <w:tab w:val="left" w:pos="3510"/>
        </w:tabs>
        <w:jc w:val="center"/>
      </w:pPr>
    </w:p>
    <w:p w14:paraId="72EFA09B" w14:textId="77777777" w:rsidR="00F14C90" w:rsidRDefault="00F14C90" w:rsidP="004E40C1">
      <w:pPr>
        <w:tabs>
          <w:tab w:val="left" w:pos="3510"/>
        </w:tabs>
        <w:jc w:val="center"/>
      </w:pPr>
    </w:p>
    <w:p w14:paraId="28DC7FE3" w14:textId="77777777" w:rsidR="00F14C90" w:rsidRDefault="00F14C90" w:rsidP="004E40C1">
      <w:pPr>
        <w:tabs>
          <w:tab w:val="left" w:pos="3510"/>
        </w:tabs>
        <w:jc w:val="center"/>
      </w:pPr>
    </w:p>
    <w:p w14:paraId="02EC8326" w14:textId="35661911" w:rsidR="00CE149F" w:rsidRPr="004E40C1" w:rsidRDefault="00CE149F" w:rsidP="004E40C1">
      <w:pPr>
        <w:tabs>
          <w:tab w:val="left" w:pos="3510"/>
        </w:tabs>
        <w:jc w:val="center"/>
      </w:pPr>
      <w:bookmarkStart w:id="0" w:name="_GoBack"/>
      <w:bookmarkEnd w:id="0"/>
      <w:r w:rsidRPr="004E40C1">
        <w:lastRenderedPageBreak/>
        <w:t xml:space="preserve">Table of </w:t>
      </w:r>
      <w:r w:rsidR="00EB0F7E" w:rsidRPr="004E40C1">
        <w:t>C</w:t>
      </w:r>
      <w:r w:rsidRPr="004E40C1">
        <w:t>ontents</w:t>
      </w:r>
    </w:p>
    <w:p w14:paraId="466FE979" w14:textId="77777777" w:rsidR="004E40C1" w:rsidRPr="004E40C1" w:rsidRDefault="004E40C1">
      <w:pPr>
        <w:pStyle w:val="TOC2"/>
        <w:rPr>
          <w:rFonts w:asciiTheme="minorHAnsi" w:eastAsiaTheme="minorEastAsia" w:hAnsiTheme="minorHAnsi" w:cstheme="minorBidi"/>
          <w:smallCaps w:val="0"/>
          <w:noProof/>
          <w:sz w:val="24"/>
          <w:szCs w:val="24"/>
        </w:rPr>
      </w:pPr>
      <w:r w:rsidRPr="004E40C1">
        <w:rPr>
          <w:smallCaps w:val="0"/>
          <w:sz w:val="24"/>
          <w:szCs w:val="24"/>
        </w:rPr>
        <w:fldChar w:fldCharType="begin"/>
      </w:r>
      <w:r w:rsidRPr="004E40C1">
        <w:rPr>
          <w:smallCaps w:val="0"/>
          <w:sz w:val="24"/>
          <w:szCs w:val="24"/>
        </w:rPr>
        <w:instrText xml:space="preserve"> TOC \o "1-2" \h \z \u </w:instrText>
      </w:r>
      <w:r w:rsidRPr="004E40C1">
        <w:rPr>
          <w:smallCaps w:val="0"/>
          <w:sz w:val="24"/>
          <w:szCs w:val="24"/>
        </w:rPr>
        <w:fldChar w:fldCharType="separate"/>
      </w:r>
      <w:hyperlink w:anchor="_Toc419964724" w:history="1">
        <w:r w:rsidRPr="004E40C1">
          <w:rPr>
            <w:rStyle w:val="Hyperlink"/>
            <w:bCs/>
            <w:noProof/>
            <w:sz w:val="24"/>
            <w:szCs w:val="24"/>
          </w:rPr>
          <w:t>A.</w:t>
        </w:r>
        <w:r w:rsidRPr="004E40C1">
          <w:rPr>
            <w:rFonts w:asciiTheme="minorHAnsi" w:eastAsiaTheme="minorEastAsia" w:hAnsiTheme="minorHAnsi" w:cstheme="minorBidi"/>
            <w:smallCaps w:val="0"/>
            <w:noProof/>
            <w:sz w:val="24"/>
            <w:szCs w:val="24"/>
          </w:rPr>
          <w:tab/>
        </w:r>
        <w:r w:rsidRPr="004E40C1">
          <w:rPr>
            <w:rStyle w:val="Hyperlink"/>
            <w:bCs/>
            <w:noProof/>
            <w:sz w:val="24"/>
            <w:szCs w:val="24"/>
          </w:rPr>
          <w:t>Justification</w:t>
        </w:r>
        <w:r w:rsidRPr="004E40C1">
          <w:rPr>
            <w:noProof/>
            <w:webHidden/>
            <w:sz w:val="24"/>
            <w:szCs w:val="24"/>
          </w:rPr>
          <w:tab/>
        </w:r>
        <w:r w:rsidRPr="004E40C1">
          <w:rPr>
            <w:noProof/>
            <w:webHidden/>
            <w:sz w:val="24"/>
            <w:szCs w:val="24"/>
          </w:rPr>
          <w:fldChar w:fldCharType="begin"/>
        </w:r>
        <w:r w:rsidRPr="004E40C1">
          <w:rPr>
            <w:noProof/>
            <w:webHidden/>
            <w:sz w:val="24"/>
            <w:szCs w:val="24"/>
          </w:rPr>
          <w:instrText xml:space="preserve"> PAGEREF _Toc419964724 \h </w:instrText>
        </w:r>
        <w:r w:rsidRPr="004E40C1">
          <w:rPr>
            <w:noProof/>
            <w:webHidden/>
            <w:sz w:val="24"/>
            <w:szCs w:val="24"/>
          </w:rPr>
        </w:r>
        <w:r w:rsidRPr="004E40C1">
          <w:rPr>
            <w:noProof/>
            <w:webHidden/>
            <w:sz w:val="24"/>
            <w:szCs w:val="24"/>
          </w:rPr>
          <w:fldChar w:fldCharType="separate"/>
        </w:r>
        <w:r w:rsidR="00FA5A73">
          <w:rPr>
            <w:noProof/>
            <w:webHidden/>
            <w:sz w:val="24"/>
            <w:szCs w:val="24"/>
          </w:rPr>
          <w:t>5</w:t>
        </w:r>
        <w:r w:rsidRPr="004E40C1">
          <w:rPr>
            <w:noProof/>
            <w:webHidden/>
            <w:sz w:val="24"/>
            <w:szCs w:val="24"/>
          </w:rPr>
          <w:fldChar w:fldCharType="end"/>
        </w:r>
      </w:hyperlink>
    </w:p>
    <w:p w14:paraId="4E5CA84A" w14:textId="77777777" w:rsidR="004E40C1" w:rsidRPr="004E40C1" w:rsidRDefault="009A4E42">
      <w:pPr>
        <w:pStyle w:val="TOC2"/>
        <w:rPr>
          <w:rFonts w:asciiTheme="minorHAnsi" w:eastAsiaTheme="minorEastAsia" w:hAnsiTheme="minorHAnsi" w:cstheme="minorBidi"/>
          <w:smallCaps w:val="0"/>
          <w:noProof/>
          <w:sz w:val="24"/>
          <w:szCs w:val="24"/>
        </w:rPr>
      </w:pPr>
      <w:hyperlink w:anchor="_Toc419964725" w:history="1">
        <w:r w:rsidR="004E40C1" w:rsidRPr="004E40C1">
          <w:rPr>
            <w:rStyle w:val="Hyperlink"/>
            <w:noProof/>
            <w:sz w:val="24"/>
            <w:szCs w:val="24"/>
          </w:rPr>
          <w:t>A.1. Circumstances Making the Collection of Information Necessary</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_Toc419964725 \h </w:instrText>
        </w:r>
        <w:r w:rsidR="004E40C1" w:rsidRPr="004E40C1">
          <w:rPr>
            <w:noProof/>
            <w:webHidden/>
            <w:sz w:val="24"/>
            <w:szCs w:val="24"/>
          </w:rPr>
        </w:r>
        <w:r w:rsidR="004E40C1" w:rsidRPr="004E40C1">
          <w:rPr>
            <w:noProof/>
            <w:webHidden/>
            <w:sz w:val="24"/>
            <w:szCs w:val="24"/>
          </w:rPr>
          <w:fldChar w:fldCharType="separate"/>
        </w:r>
        <w:r w:rsidR="00FA5A73">
          <w:rPr>
            <w:noProof/>
            <w:webHidden/>
            <w:sz w:val="24"/>
            <w:szCs w:val="24"/>
          </w:rPr>
          <w:t>5</w:t>
        </w:r>
        <w:r w:rsidR="004E40C1" w:rsidRPr="004E40C1">
          <w:rPr>
            <w:noProof/>
            <w:webHidden/>
            <w:sz w:val="24"/>
            <w:szCs w:val="24"/>
          </w:rPr>
          <w:fldChar w:fldCharType="end"/>
        </w:r>
      </w:hyperlink>
    </w:p>
    <w:p w14:paraId="53B10DDA" w14:textId="39F908B4" w:rsidR="004E40C1" w:rsidRPr="004E40C1" w:rsidRDefault="009A4E42">
      <w:pPr>
        <w:pStyle w:val="TOC2"/>
        <w:rPr>
          <w:rFonts w:asciiTheme="minorHAnsi" w:eastAsiaTheme="minorEastAsia" w:hAnsiTheme="minorHAnsi" w:cstheme="minorBidi"/>
          <w:smallCaps w:val="0"/>
          <w:noProof/>
          <w:sz w:val="24"/>
          <w:szCs w:val="24"/>
        </w:rPr>
      </w:pPr>
      <w:hyperlink w:anchor="_Toc419964726" w:history="1">
        <w:r w:rsidR="004E40C1" w:rsidRPr="004E40C1">
          <w:rPr>
            <w:rStyle w:val="Hyperlink"/>
            <w:noProof/>
            <w:sz w:val="24"/>
            <w:szCs w:val="24"/>
          </w:rPr>
          <w:t>A.2. Purpose and Use of the Information Collection</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_Toc419964726 \h </w:instrText>
        </w:r>
        <w:r w:rsidR="004E40C1" w:rsidRPr="004E40C1">
          <w:rPr>
            <w:noProof/>
            <w:webHidden/>
            <w:sz w:val="24"/>
            <w:szCs w:val="24"/>
          </w:rPr>
        </w:r>
        <w:r w:rsidR="004E40C1" w:rsidRPr="004E40C1">
          <w:rPr>
            <w:noProof/>
            <w:webHidden/>
            <w:sz w:val="24"/>
            <w:szCs w:val="24"/>
          </w:rPr>
          <w:fldChar w:fldCharType="separate"/>
        </w:r>
        <w:r w:rsidR="00FA5A73">
          <w:rPr>
            <w:noProof/>
            <w:webHidden/>
            <w:sz w:val="24"/>
            <w:szCs w:val="24"/>
          </w:rPr>
          <w:t>11</w:t>
        </w:r>
        <w:r w:rsidR="004E40C1" w:rsidRPr="004E40C1">
          <w:rPr>
            <w:noProof/>
            <w:webHidden/>
            <w:sz w:val="24"/>
            <w:szCs w:val="24"/>
          </w:rPr>
          <w:fldChar w:fldCharType="end"/>
        </w:r>
      </w:hyperlink>
    </w:p>
    <w:p w14:paraId="4A6D3E69" w14:textId="029390E1" w:rsidR="004E40C1" w:rsidRPr="004E40C1" w:rsidRDefault="009A4E42">
      <w:pPr>
        <w:pStyle w:val="TOC2"/>
        <w:rPr>
          <w:rFonts w:asciiTheme="minorHAnsi" w:eastAsiaTheme="minorEastAsia" w:hAnsiTheme="minorHAnsi" w:cstheme="minorBidi"/>
          <w:smallCaps w:val="0"/>
          <w:noProof/>
          <w:sz w:val="24"/>
          <w:szCs w:val="24"/>
        </w:rPr>
      </w:pPr>
      <w:hyperlink w:anchor="_Toc419964727" w:history="1">
        <w:r w:rsidR="004E40C1" w:rsidRPr="004E40C1">
          <w:rPr>
            <w:rStyle w:val="Hyperlink"/>
            <w:noProof/>
            <w:sz w:val="24"/>
            <w:szCs w:val="24"/>
          </w:rPr>
          <w:t>A.3. Use of Information Technology and Burden Reduction</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_Toc419964727 \h </w:instrText>
        </w:r>
        <w:r w:rsidR="004E40C1" w:rsidRPr="004E40C1">
          <w:rPr>
            <w:noProof/>
            <w:webHidden/>
            <w:sz w:val="24"/>
            <w:szCs w:val="24"/>
          </w:rPr>
        </w:r>
        <w:r w:rsidR="004E40C1" w:rsidRPr="004E40C1">
          <w:rPr>
            <w:noProof/>
            <w:webHidden/>
            <w:sz w:val="24"/>
            <w:szCs w:val="24"/>
          </w:rPr>
          <w:fldChar w:fldCharType="separate"/>
        </w:r>
        <w:r w:rsidR="00FA5A73">
          <w:rPr>
            <w:noProof/>
            <w:webHidden/>
            <w:sz w:val="24"/>
            <w:szCs w:val="24"/>
          </w:rPr>
          <w:t>14</w:t>
        </w:r>
        <w:r w:rsidR="004E40C1" w:rsidRPr="004E40C1">
          <w:rPr>
            <w:noProof/>
            <w:webHidden/>
            <w:sz w:val="24"/>
            <w:szCs w:val="24"/>
          </w:rPr>
          <w:fldChar w:fldCharType="end"/>
        </w:r>
      </w:hyperlink>
    </w:p>
    <w:p w14:paraId="5C00104B" w14:textId="7229B657" w:rsidR="004E40C1" w:rsidRPr="004E40C1" w:rsidRDefault="009A4E42">
      <w:pPr>
        <w:pStyle w:val="TOC2"/>
        <w:rPr>
          <w:rFonts w:asciiTheme="minorHAnsi" w:eastAsiaTheme="minorEastAsia" w:hAnsiTheme="minorHAnsi" w:cstheme="minorBidi"/>
          <w:smallCaps w:val="0"/>
          <w:noProof/>
          <w:sz w:val="24"/>
          <w:szCs w:val="24"/>
        </w:rPr>
      </w:pPr>
      <w:hyperlink w:anchor="_Toc419964728" w:history="1">
        <w:r w:rsidR="004E40C1" w:rsidRPr="004E40C1">
          <w:rPr>
            <w:rStyle w:val="Hyperlink"/>
            <w:noProof/>
            <w:sz w:val="24"/>
            <w:szCs w:val="24"/>
          </w:rPr>
          <w:t>A.4. Efforts to Identify Duplication and Use of Similar Information</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_Toc419964728 \h </w:instrText>
        </w:r>
        <w:r w:rsidR="004E40C1" w:rsidRPr="004E40C1">
          <w:rPr>
            <w:noProof/>
            <w:webHidden/>
            <w:sz w:val="24"/>
            <w:szCs w:val="24"/>
          </w:rPr>
        </w:r>
        <w:r w:rsidR="004E40C1" w:rsidRPr="004E40C1">
          <w:rPr>
            <w:noProof/>
            <w:webHidden/>
            <w:sz w:val="24"/>
            <w:szCs w:val="24"/>
          </w:rPr>
          <w:fldChar w:fldCharType="separate"/>
        </w:r>
        <w:r w:rsidR="00FA5A73">
          <w:rPr>
            <w:noProof/>
            <w:webHidden/>
            <w:sz w:val="24"/>
            <w:szCs w:val="24"/>
          </w:rPr>
          <w:t>19</w:t>
        </w:r>
        <w:r w:rsidR="004E40C1" w:rsidRPr="004E40C1">
          <w:rPr>
            <w:noProof/>
            <w:webHidden/>
            <w:sz w:val="24"/>
            <w:szCs w:val="24"/>
          </w:rPr>
          <w:fldChar w:fldCharType="end"/>
        </w:r>
      </w:hyperlink>
    </w:p>
    <w:p w14:paraId="097DF866" w14:textId="45452710" w:rsidR="004E40C1" w:rsidRPr="004E40C1" w:rsidRDefault="009A4E42">
      <w:pPr>
        <w:pStyle w:val="TOC2"/>
        <w:rPr>
          <w:rFonts w:asciiTheme="minorHAnsi" w:eastAsiaTheme="minorEastAsia" w:hAnsiTheme="minorHAnsi" w:cstheme="minorBidi"/>
          <w:smallCaps w:val="0"/>
          <w:noProof/>
          <w:sz w:val="24"/>
          <w:szCs w:val="24"/>
        </w:rPr>
      </w:pPr>
      <w:hyperlink w:anchor="_Toc419964729" w:history="1">
        <w:r w:rsidR="004E40C1" w:rsidRPr="004E40C1">
          <w:rPr>
            <w:rStyle w:val="Hyperlink"/>
            <w:noProof/>
            <w:sz w:val="24"/>
            <w:szCs w:val="24"/>
          </w:rPr>
          <w:t>A.5. Impact on Small Business or other Small Entities</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_Toc419964729 \h </w:instrText>
        </w:r>
        <w:r w:rsidR="004E40C1" w:rsidRPr="004E40C1">
          <w:rPr>
            <w:noProof/>
            <w:webHidden/>
            <w:sz w:val="24"/>
            <w:szCs w:val="24"/>
          </w:rPr>
        </w:r>
        <w:r w:rsidR="004E40C1" w:rsidRPr="004E40C1">
          <w:rPr>
            <w:noProof/>
            <w:webHidden/>
            <w:sz w:val="24"/>
            <w:szCs w:val="24"/>
          </w:rPr>
          <w:fldChar w:fldCharType="separate"/>
        </w:r>
        <w:r w:rsidR="00FA5A73">
          <w:rPr>
            <w:noProof/>
            <w:webHidden/>
            <w:sz w:val="24"/>
            <w:szCs w:val="24"/>
          </w:rPr>
          <w:t>19</w:t>
        </w:r>
        <w:r w:rsidR="004E40C1" w:rsidRPr="004E40C1">
          <w:rPr>
            <w:noProof/>
            <w:webHidden/>
            <w:sz w:val="24"/>
            <w:szCs w:val="24"/>
          </w:rPr>
          <w:fldChar w:fldCharType="end"/>
        </w:r>
      </w:hyperlink>
    </w:p>
    <w:p w14:paraId="40AF0ACA" w14:textId="08F85A2C" w:rsidR="004E40C1" w:rsidRPr="004E40C1" w:rsidRDefault="009A4E42">
      <w:pPr>
        <w:pStyle w:val="TOC2"/>
        <w:rPr>
          <w:rFonts w:asciiTheme="minorHAnsi" w:eastAsiaTheme="minorEastAsia" w:hAnsiTheme="minorHAnsi" w:cstheme="minorBidi"/>
          <w:smallCaps w:val="0"/>
          <w:noProof/>
          <w:sz w:val="24"/>
          <w:szCs w:val="24"/>
        </w:rPr>
      </w:pPr>
      <w:hyperlink w:anchor="_Toc419964730" w:history="1">
        <w:r w:rsidR="004E40C1" w:rsidRPr="004E40C1">
          <w:rPr>
            <w:rStyle w:val="Hyperlink"/>
            <w:noProof/>
            <w:sz w:val="24"/>
            <w:szCs w:val="24"/>
          </w:rPr>
          <w:t>A.6. Consequences of Collecting Information Less Frequently</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_Toc419964730 \h </w:instrText>
        </w:r>
        <w:r w:rsidR="004E40C1" w:rsidRPr="004E40C1">
          <w:rPr>
            <w:noProof/>
            <w:webHidden/>
            <w:sz w:val="24"/>
            <w:szCs w:val="24"/>
          </w:rPr>
        </w:r>
        <w:r w:rsidR="004E40C1" w:rsidRPr="004E40C1">
          <w:rPr>
            <w:noProof/>
            <w:webHidden/>
            <w:sz w:val="24"/>
            <w:szCs w:val="24"/>
          </w:rPr>
          <w:fldChar w:fldCharType="separate"/>
        </w:r>
        <w:r w:rsidR="00FA5A73">
          <w:rPr>
            <w:noProof/>
            <w:webHidden/>
            <w:sz w:val="24"/>
            <w:szCs w:val="24"/>
          </w:rPr>
          <w:t>19</w:t>
        </w:r>
        <w:r w:rsidR="004E40C1" w:rsidRPr="004E40C1">
          <w:rPr>
            <w:noProof/>
            <w:webHidden/>
            <w:sz w:val="24"/>
            <w:szCs w:val="24"/>
          </w:rPr>
          <w:fldChar w:fldCharType="end"/>
        </w:r>
      </w:hyperlink>
    </w:p>
    <w:p w14:paraId="163DC7E5" w14:textId="3AA7F6CB" w:rsidR="004E40C1" w:rsidRPr="004E40C1" w:rsidRDefault="009A4E42">
      <w:pPr>
        <w:pStyle w:val="TOC2"/>
        <w:rPr>
          <w:rFonts w:asciiTheme="minorHAnsi" w:eastAsiaTheme="minorEastAsia" w:hAnsiTheme="minorHAnsi" w:cstheme="minorBidi"/>
          <w:smallCaps w:val="0"/>
          <w:noProof/>
          <w:sz w:val="24"/>
          <w:szCs w:val="24"/>
        </w:rPr>
      </w:pPr>
      <w:hyperlink w:anchor="_Toc419964731" w:history="1">
        <w:r w:rsidR="004E40C1" w:rsidRPr="004E40C1">
          <w:rPr>
            <w:rStyle w:val="Hyperlink"/>
            <w:noProof/>
            <w:sz w:val="24"/>
            <w:szCs w:val="24"/>
          </w:rPr>
          <w:t>A.7. Special Circumstances Relating to Guidelines of 5 CFR 1320.5</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_Toc419964731 \h </w:instrText>
        </w:r>
        <w:r w:rsidR="004E40C1" w:rsidRPr="004E40C1">
          <w:rPr>
            <w:noProof/>
            <w:webHidden/>
            <w:sz w:val="24"/>
            <w:szCs w:val="24"/>
          </w:rPr>
        </w:r>
        <w:r w:rsidR="004E40C1" w:rsidRPr="004E40C1">
          <w:rPr>
            <w:noProof/>
            <w:webHidden/>
            <w:sz w:val="24"/>
            <w:szCs w:val="24"/>
          </w:rPr>
          <w:fldChar w:fldCharType="separate"/>
        </w:r>
        <w:r w:rsidR="00FA5A73">
          <w:rPr>
            <w:noProof/>
            <w:webHidden/>
            <w:sz w:val="24"/>
            <w:szCs w:val="24"/>
          </w:rPr>
          <w:t>20</w:t>
        </w:r>
        <w:r w:rsidR="004E40C1" w:rsidRPr="004E40C1">
          <w:rPr>
            <w:noProof/>
            <w:webHidden/>
            <w:sz w:val="24"/>
            <w:szCs w:val="24"/>
          </w:rPr>
          <w:fldChar w:fldCharType="end"/>
        </w:r>
      </w:hyperlink>
    </w:p>
    <w:p w14:paraId="5B2A4DDE" w14:textId="58B3950C" w:rsidR="004E40C1" w:rsidRPr="004E40C1" w:rsidRDefault="009A4E42">
      <w:pPr>
        <w:pStyle w:val="TOC2"/>
        <w:rPr>
          <w:rFonts w:asciiTheme="minorHAnsi" w:eastAsiaTheme="minorEastAsia" w:hAnsiTheme="minorHAnsi" w:cstheme="minorBidi"/>
          <w:smallCaps w:val="0"/>
          <w:noProof/>
          <w:sz w:val="24"/>
          <w:szCs w:val="24"/>
        </w:rPr>
      </w:pPr>
      <w:hyperlink w:anchor="_Toc419964732" w:history="1">
        <w:r w:rsidR="004E40C1" w:rsidRPr="004E40C1">
          <w:rPr>
            <w:rStyle w:val="Hyperlink"/>
            <w:noProof/>
            <w:sz w:val="24"/>
            <w:szCs w:val="24"/>
          </w:rPr>
          <w:t>A.8.1 Comments in Response to the Federal Register Notice</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_Toc419964732 \h </w:instrText>
        </w:r>
        <w:r w:rsidR="004E40C1" w:rsidRPr="004E40C1">
          <w:rPr>
            <w:noProof/>
            <w:webHidden/>
            <w:sz w:val="24"/>
            <w:szCs w:val="24"/>
          </w:rPr>
        </w:r>
        <w:r w:rsidR="004E40C1" w:rsidRPr="004E40C1">
          <w:rPr>
            <w:noProof/>
            <w:webHidden/>
            <w:sz w:val="24"/>
            <w:szCs w:val="24"/>
          </w:rPr>
          <w:fldChar w:fldCharType="separate"/>
        </w:r>
        <w:r w:rsidR="00FA5A73">
          <w:rPr>
            <w:noProof/>
            <w:webHidden/>
            <w:sz w:val="24"/>
            <w:szCs w:val="24"/>
          </w:rPr>
          <w:t>20</w:t>
        </w:r>
        <w:r w:rsidR="004E40C1" w:rsidRPr="004E40C1">
          <w:rPr>
            <w:noProof/>
            <w:webHidden/>
            <w:sz w:val="24"/>
            <w:szCs w:val="24"/>
          </w:rPr>
          <w:fldChar w:fldCharType="end"/>
        </w:r>
      </w:hyperlink>
    </w:p>
    <w:p w14:paraId="00FA27E7" w14:textId="7C69DC40" w:rsidR="004E40C1" w:rsidRPr="004E40C1" w:rsidRDefault="009A4E42">
      <w:pPr>
        <w:pStyle w:val="TOC2"/>
        <w:rPr>
          <w:rFonts w:asciiTheme="minorHAnsi" w:eastAsiaTheme="minorEastAsia" w:hAnsiTheme="minorHAnsi" w:cstheme="minorBidi"/>
          <w:smallCaps w:val="0"/>
          <w:noProof/>
          <w:sz w:val="24"/>
          <w:szCs w:val="24"/>
        </w:rPr>
      </w:pPr>
      <w:hyperlink w:anchor="_Toc419964733" w:history="1">
        <w:r w:rsidR="004E40C1" w:rsidRPr="004E40C1">
          <w:rPr>
            <w:rStyle w:val="Hyperlink"/>
            <w:noProof/>
            <w:sz w:val="24"/>
            <w:szCs w:val="24"/>
          </w:rPr>
          <w:t>A.8.2 Efforts to Consult Outside Agency</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_Toc419964733 \h </w:instrText>
        </w:r>
        <w:r w:rsidR="004E40C1" w:rsidRPr="004E40C1">
          <w:rPr>
            <w:noProof/>
            <w:webHidden/>
            <w:sz w:val="24"/>
            <w:szCs w:val="24"/>
          </w:rPr>
        </w:r>
        <w:r w:rsidR="004E40C1" w:rsidRPr="004E40C1">
          <w:rPr>
            <w:noProof/>
            <w:webHidden/>
            <w:sz w:val="24"/>
            <w:szCs w:val="24"/>
          </w:rPr>
          <w:fldChar w:fldCharType="separate"/>
        </w:r>
        <w:r w:rsidR="00FA5A73">
          <w:rPr>
            <w:noProof/>
            <w:webHidden/>
            <w:sz w:val="24"/>
            <w:szCs w:val="24"/>
          </w:rPr>
          <w:t>21</w:t>
        </w:r>
        <w:r w:rsidR="004E40C1" w:rsidRPr="004E40C1">
          <w:rPr>
            <w:noProof/>
            <w:webHidden/>
            <w:sz w:val="24"/>
            <w:szCs w:val="24"/>
          </w:rPr>
          <w:fldChar w:fldCharType="end"/>
        </w:r>
      </w:hyperlink>
    </w:p>
    <w:p w14:paraId="17D96BC3" w14:textId="04337CDD" w:rsidR="004E40C1" w:rsidRPr="004E40C1" w:rsidRDefault="009A4E42">
      <w:pPr>
        <w:pStyle w:val="TOC2"/>
        <w:rPr>
          <w:rFonts w:asciiTheme="minorHAnsi" w:eastAsiaTheme="minorEastAsia" w:hAnsiTheme="minorHAnsi" w:cstheme="minorBidi"/>
          <w:smallCaps w:val="0"/>
          <w:noProof/>
          <w:sz w:val="24"/>
          <w:szCs w:val="24"/>
        </w:rPr>
      </w:pPr>
      <w:hyperlink w:anchor="_Toc419964734" w:history="1">
        <w:r w:rsidR="004E40C1" w:rsidRPr="004E40C1">
          <w:rPr>
            <w:rStyle w:val="Hyperlink"/>
            <w:noProof/>
            <w:sz w:val="24"/>
            <w:szCs w:val="24"/>
          </w:rPr>
          <w:t>A.9. Explanation of Any Payment or Gift to Respondents</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_Toc419964734 \h </w:instrText>
        </w:r>
        <w:r w:rsidR="004E40C1" w:rsidRPr="004E40C1">
          <w:rPr>
            <w:noProof/>
            <w:webHidden/>
            <w:sz w:val="24"/>
            <w:szCs w:val="24"/>
          </w:rPr>
        </w:r>
        <w:r w:rsidR="004E40C1" w:rsidRPr="004E40C1">
          <w:rPr>
            <w:noProof/>
            <w:webHidden/>
            <w:sz w:val="24"/>
            <w:szCs w:val="24"/>
          </w:rPr>
          <w:fldChar w:fldCharType="separate"/>
        </w:r>
        <w:r w:rsidR="00FA5A73">
          <w:rPr>
            <w:noProof/>
            <w:webHidden/>
            <w:sz w:val="24"/>
            <w:szCs w:val="24"/>
          </w:rPr>
          <w:t>21</w:t>
        </w:r>
        <w:r w:rsidR="004E40C1" w:rsidRPr="004E40C1">
          <w:rPr>
            <w:noProof/>
            <w:webHidden/>
            <w:sz w:val="24"/>
            <w:szCs w:val="24"/>
          </w:rPr>
          <w:fldChar w:fldCharType="end"/>
        </w:r>
      </w:hyperlink>
    </w:p>
    <w:p w14:paraId="0B07DD14" w14:textId="4649D645" w:rsidR="004E40C1" w:rsidRPr="004E40C1" w:rsidRDefault="009A4E42">
      <w:pPr>
        <w:pStyle w:val="TOC2"/>
        <w:rPr>
          <w:rFonts w:asciiTheme="minorHAnsi" w:eastAsiaTheme="minorEastAsia" w:hAnsiTheme="minorHAnsi" w:cstheme="minorBidi"/>
          <w:smallCaps w:val="0"/>
          <w:noProof/>
          <w:sz w:val="24"/>
          <w:szCs w:val="24"/>
        </w:rPr>
      </w:pPr>
      <w:hyperlink w:anchor="_Toc419964735" w:history="1">
        <w:r w:rsidR="004E40C1" w:rsidRPr="004E40C1">
          <w:rPr>
            <w:rStyle w:val="Hyperlink"/>
            <w:noProof/>
            <w:sz w:val="24"/>
            <w:szCs w:val="24"/>
          </w:rPr>
          <w:t>A.10. Assurance of Confidentiality Provided to Respondents</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_Toc419964735 \h </w:instrText>
        </w:r>
        <w:r w:rsidR="004E40C1" w:rsidRPr="004E40C1">
          <w:rPr>
            <w:noProof/>
            <w:webHidden/>
            <w:sz w:val="24"/>
            <w:szCs w:val="24"/>
          </w:rPr>
        </w:r>
        <w:r w:rsidR="004E40C1" w:rsidRPr="004E40C1">
          <w:rPr>
            <w:noProof/>
            <w:webHidden/>
            <w:sz w:val="24"/>
            <w:szCs w:val="24"/>
          </w:rPr>
          <w:fldChar w:fldCharType="separate"/>
        </w:r>
        <w:r w:rsidR="00FA5A73">
          <w:rPr>
            <w:noProof/>
            <w:webHidden/>
            <w:sz w:val="24"/>
            <w:szCs w:val="24"/>
          </w:rPr>
          <w:t>21</w:t>
        </w:r>
        <w:r w:rsidR="004E40C1" w:rsidRPr="004E40C1">
          <w:rPr>
            <w:noProof/>
            <w:webHidden/>
            <w:sz w:val="24"/>
            <w:szCs w:val="24"/>
          </w:rPr>
          <w:fldChar w:fldCharType="end"/>
        </w:r>
      </w:hyperlink>
    </w:p>
    <w:p w14:paraId="47B900F3" w14:textId="19ADE072" w:rsidR="004E40C1" w:rsidRPr="004E40C1" w:rsidRDefault="009A4E42">
      <w:pPr>
        <w:pStyle w:val="TOC2"/>
        <w:rPr>
          <w:rFonts w:asciiTheme="minorHAnsi" w:eastAsiaTheme="minorEastAsia" w:hAnsiTheme="minorHAnsi" w:cstheme="minorBidi"/>
          <w:smallCaps w:val="0"/>
          <w:noProof/>
          <w:sz w:val="24"/>
          <w:szCs w:val="24"/>
        </w:rPr>
      </w:pPr>
      <w:hyperlink w:anchor="_Toc419964736" w:history="1">
        <w:r w:rsidR="004E40C1" w:rsidRPr="004E40C1">
          <w:rPr>
            <w:rStyle w:val="Hyperlink"/>
            <w:noProof/>
            <w:sz w:val="24"/>
            <w:szCs w:val="24"/>
          </w:rPr>
          <w:t>A.11. Justification for Sensitive Questions</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_Toc419964736 \h </w:instrText>
        </w:r>
        <w:r w:rsidR="004E40C1" w:rsidRPr="004E40C1">
          <w:rPr>
            <w:noProof/>
            <w:webHidden/>
            <w:sz w:val="24"/>
            <w:szCs w:val="24"/>
          </w:rPr>
        </w:r>
        <w:r w:rsidR="004E40C1" w:rsidRPr="004E40C1">
          <w:rPr>
            <w:noProof/>
            <w:webHidden/>
            <w:sz w:val="24"/>
            <w:szCs w:val="24"/>
          </w:rPr>
          <w:fldChar w:fldCharType="separate"/>
        </w:r>
        <w:r w:rsidR="00FA5A73">
          <w:rPr>
            <w:noProof/>
            <w:webHidden/>
            <w:sz w:val="24"/>
            <w:szCs w:val="24"/>
          </w:rPr>
          <w:t>22</w:t>
        </w:r>
        <w:r w:rsidR="004E40C1" w:rsidRPr="004E40C1">
          <w:rPr>
            <w:noProof/>
            <w:webHidden/>
            <w:sz w:val="24"/>
            <w:szCs w:val="24"/>
          </w:rPr>
          <w:fldChar w:fldCharType="end"/>
        </w:r>
      </w:hyperlink>
    </w:p>
    <w:p w14:paraId="1F6640B6" w14:textId="3E8844EA" w:rsidR="004E40C1" w:rsidRPr="004E40C1" w:rsidRDefault="009A4E42">
      <w:pPr>
        <w:pStyle w:val="TOC2"/>
        <w:rPr>
          <w:rFonts w:asciiTheme="minorHAnsi" w:eastAsiaTheme="minorEastAsia" w:hAnsiTheme="minorHAnsi" w:cstheme="minorBidi"/>
          <w:smallCaps w:val="0"/>
          <w:noProof/>
          <w:sz w:val="24"/>
          <w:szCs w:val="24"/>
        </w:rPr>
      </w:pPr>
      <w:hyperlink w:anchor="_Toc419964737" w:history="1">
        <w:r w:rsidR="004E40C1" w:rsidRPr="004E40C1">
          <w:rPr>
            <w:rStyle w:val="Hyperlink"/>
            <w:noProof/>
            <w:sz w:val="24"/>
            <w:szCs w:val="24"/>
          </w:rPr>
          <w:t>A.12.1 Estimated Annualized Burden Hours</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_Toc419964737 \h </w:instrText>
        </w:r>
        <w:r w:rsidR="004E40C1" w:rsidRPr="004E40C1">
          <w:rPr>
            <w:noProof/>
            <w:webHidden/>
            <w:sz w:val="24"/>
            <w:szCs w:val="24"/>
          </w:rPr>
        </w:r>
        <w:r w:rsidR="004E40C1" w:rsidRPr="004E40C1">
          <w:rPr>
            <w:noProof/>
            <w:webHidden/>
            <w:sz w:val="24"/>
            <w:szCs w:val="24"/>
          </w:rPr>
          <w:fldChar w:fldCharType="separate"/>
        </w:r>
        <w:r w:rsidR="00FA5A73">
          <w:rPr>
            <w:noProof/>
            <w:webHidden/>
            <w:sz w:val="24"/>
            <w:szCs w:val="24"/>
          </w:rPr>
          <w:t>22</w:t>
        </w:r>
        <w:r w:rsidR="004E40C1" w:rsidRPr="004E40C1">
          <w:rPr>
            <w:noProof/>
            <w:webHidden/>
            <w:sz w:val="24"/>
            <w:szCs w:val="24"/>
          </w:rPr>
          <w:fldChar w:fldCharType="end"/>
        </w:r>
      </w:hyperlink>
    </w:p>
    <w:p w14:paraId="30CD3A6B" w14:textId="0CC89423" w:rsidR="004E40C1" w:rsidRPr="004E40C1" w:rsidRDefault="009A4E42">
      <w:pPr>
        <w:pStyle w:val="TOC2"/>
        <w:rPr>
          <w:rFonts w:asciiTheme="minorHAnsi" w:eastAsiaTheme="minorEastAsia" w:hAnsiTheme="minorHAnsi" w:cstheme="minorBidi"/>
          <w:smallCaps w:val="0"/>
          <w:noProof/>
          <w:sz w:val="24"/>
          <w:szCs w:val="24"/>
        </w:rPr>
      </w:pPr>
      <w:hyperlink w:anchor="_Toc419964738" w:history="1">
        <w:r w:rsidR="004E40C1" w:rsidRPr="004E40C1">
          <w:rPr>
            <w:rStyle w:val="Hyperlink"/>
            <w:bCs/>
            <w:noProof/>
            <w:sz w:val="24"/>
            <w:szCs w:val="24"/>
          </w:rPr>
          <w:t xml:space="preserve">A.12-2 </w:t>
        </w:r>
        <w:r w:rsidR="004E40C1" w:rsidRPr="004E40C1">
          <w:rPr>
            <w:rStyle w:val="Hyperlink"/>
            <w:noProof/>
            <w:sz w:val="24"/>
            <w:szCs w:val="24"/>
          </w:rPr>
          <w:t>Annualized Costs to Respondents</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_Toc419964738 \h </w:instrText>
        </w:r>
        <w:r w:rsidR="004E40C1" w:rsidRPr="004E40C1">
          <w:rPr>
            <w:noProof/>
            <w:webHidden/>
            <w:sz w:val="24"/>
            <w:szCs w:val="24"/>
          </w:rPr>
        </w:r>
        <w:r w:rsidR="004E40C1" w:rsidRPr="004E40C1">
          <w:rPr>
            <w:noProof/>
            <w:webHidden/>
            <w:sz w:val="24"/>
            <w:szCs w:val="24"/>
          </w:rPr>
          <w:fldChar w:fldCharType="separate"/>
        </w:r>
        <w:r w:rsidR="00FA5A73">
          <w:rPr>
            <w:noProof/>
            <w:webHidden/>
            <w:sz w:val="24"/>
            <w:szCs w:val="24"/>
          </w:rPr>
          <w:t>25</w:t>
        </w:r>
        <w:r w:rsidR="004E40C1" w:rsidRPr="004E40C1">
          <w:rPr>
            <w:noProof/>
            <w:webHidden/>
            <w:sz w:val="24"/>
            <w:szCs w:val="24"/>
          </w:rPr>
          <w:fldChar w:fldCharType="end"/>
        </w:r>
      </w:hyperlink>
    </w:p>
    <w:p w14:paraId="4C46EC78" w14:textId="05E7AF00" w:rsidR="004E40C1" w:rsidRPr="004E40C1" w:rsidRDefault="009A4E42">
      <w:pPr>
        <w:pStyle w:val="TOC2"/>
        <w:rPr>
          <w:rFonts w:asciiTheme="minorHAnsi" w:eastAsiaTheme="minorEastAsia" w:hAnsiTheme="minorHAnsi" w:cstheme="minorBidi"/>
          <w:smallCaps w:val="0"/>
          <w:noProof/>
          <w:sz w:val="24"/>
          <w:szCs w:val="24"/>
        </w:rPr>
      </w:pPr>
      <w:hyperlink w:anchor="_Toc419964739" w:history="1">
        <w:r w:rsidR="004E40C1" w:rsidRPr="004E40C1">
          <w:rPr>
            <w:rStyle w:val="Hyperlink"/>
            <w:noProof/>
            <w:sz w:val="24"/>
            <w:szCs w:val="24"/>
          </w:rPr>
          <w:t>A.13. Estimate of Other Total Annual Cost to Respondents or Record keepers</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_Toc419964739 \h </w:instrText>
        </w:r>
        <w:r w:rsidR="004E40C1" w:rsidRPr="004E40C1">
          <w:rPr>
            <w:noProof/>
            <w:webHidden/>
            <w:sz w:val="24"/>
            <w:szCs w:val="24"/>
          </w:rPr>
        </w:r>
        <w:r w:rsidR="004E40C1" w:rsidRPr="004E40C1">
          <w:rPr>
            <w:noProof/>
            <w:webHidden/>
            <w:sz w:val="24"/>
            <w:szCs w:val="24"/>
          </w:rPr>
          <w:fldChar w:fldCharType="separate"/>
        </w:r>
        <w:r w:rsidR="00FA5A73">
          <w:rPr>
            <w:noProof/>
            <w:webHidden/>
            <w:sz w:val="24"/>
            <w:szCs w:val="24"/>
          </w:rPr>
          <w:t>26</w:t>
        </w:r>
        <w:r w:rsidR="004E40C1" w:rsidRPr="004E40C1">
          <w:rPr>
            <w:noProof/>
            <w:webHidden/>
            <w:sz w:val="24"/>
            <w:szCs w:val="24"/>
          </w:rPr>
          <w:fldChar w:fldCharType="end"/>
        </w:r>
      </w:hyperlink>
    </w:p>
    <w:p w14:paraId="57EA8A04" w14:textId="243153E4" w:rsidR="004E40C1" w:rsidRPr="004E40C1" w:rsidRDefault="009A4E42">
      <w:pPr>
        <w:pStyle w:val="TOC2"/>
        <w:rPr>
          <w:rFonts w:asciiTheme="minorHAnsi" w:eastAsiaTheme="minorEastAsia" w:hAnsiTheme="minorHAnsi" w:cstheme="minorBidi"/>
          <w:smallCaps w:val="0"/>
          <w:noProof/>
          <w:sz w:val="24"/>
          <w:szCs w:val="24"/>
        </w:rPr>
      </w:pPr>
      <w:hyperlink w:anchor="_Toc419964740" w:history="1">
        <w:r w:rsidR="004E40C1" w:rsidRPr="004E40C1">
          <w:rPr>
            <w:rStyle w:val="Hyperlink"/>
            <w:noProof/>
            <w:sz w:val="24"/>
            <w:szCs w:val="24"/>
          </w:rPr>
          <w:t>A.14. Annualized Cost to the Federal Government</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_Toc419964740 \h </w:instrText>
        </w:r>
        <w:r w:rsidR="004E40C1" w:rsidRPr="004E40C1">
          <w:rPr>
            <w:noProof/>
            <w:webHidden/>
            <w:sz w:val="24"/>
            <w:szCs w:val="24"/>
          </w:rPr>
        </w:r>
        <w:r w:rsidR="004E40C1" w:rsidRPr="004E40C1">
          <w:rPr>
            <w:noProof/>
            <w:webHidden/>
            <w:sz w:val="24"/>
            <w:szCs w:val="24"/>
          </w:rPr>
          <w:fldChar w:fldCharType="separate"/>
        </w:r>
        <w:r w:rsidR="00FA5A73">
          <w:rPr>
            <w:noProof/>
            <w:webHidden/>
            <w:sz w:val="24"/>
            <w:szCs w:val="24"/>
          </w:rPr>
          <w:t>26</w:t>
        </w:r>
        <w:r w:rsidR="004E40C1" w:rsidRPr="004E40C1">
          <w:rPr>
            <w:noProof/>
            <w:webHidden/>
            <w:sz w:val="24"/>
            <w:szCs w:val="24"/>
          </w:rPr>
          <w:fldChar w:fldCharType="end"/>
        </w:r>
      </w:hyperlink>
    </w:p>
    <w:p w14:paraId="5BBD8DCC" w14:textId="136C10D9" w:rsidR="004E40C1" w:rsidRPr="004E40C1" w:rsidRDefault="009A4E42">
      <w:pPr>
        <w:pStyle w:val="TOC2"/>
        <w:rPr>
          <w:rFonts w:asciiTheme="minorHAnsi" w:eastAsiaTheme="minorEastAsia" w:hAnsiTheme="minorHAnsi" w:cstheme="minorBidi"/>
          <w:smallCaps w:val="0"/>
          <w:noProof/>
          <w:sz w:val="24"/>
          <w:szCs w:val="24"/>
        </w:rPr>
      </w:pPr>
      <w:hyperlink w:anchor="_Toc419964741" w:history="1">
        <w:r w:rsidR="004E40C1" w:rsidRPr="004E40C1">
          <w:rPr>
            <w:rStyle w:val="Hyperlink"/>
            <w:noProof/>
            <w:sz w:val="24"/>
            <w:szCs w:val="24"/>
          </w:rPr>
          <w:t>A.15. Explanation for Program Changes or Adjustments</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_Toc419964741 \h </w:instrText>
        </w:r>
        <w:r w:rsidR="004E40C1" w:rsidRPr="004E40C1">
          <w:rPr>
            <w:noProof/>
            <w:webHidden/>
            <w:sz w:val="24"/>
            <w:szCs w:val="24"/>
          </w:rPr>
        </w:r>
        <w:r w:rsidR="004E40C1" w:rsidRPr="004E40C1">
          <w:rPr>
            <w:noProof/>
            <w:webHidden/>
            <w:sz w:val="24"/>
            <w:szCs w:val="24"/>
          </w:rPr>
          <w:fldChar w:fldCharType="separate"/>
        </w:r>
        <w:r w:rsidR="00FA5A73">
          <w:rPr>
            <w:noProof/>
            <w:webHidden/>
            <w:sz w:val="24"/>
            <w:szCs w:val="24"/>
          </w:rPr>
          <w:t>27</w:t>
        </w:r>
        <w:r w:rsidR="004E40C1" w:rsidRPr="004E40C1">
          <w:rPr>
            <w:noProof/>
            <w:webHidden/>
            <w:sz w:val="24"/>
            <w:szCs w:val="24"/>
          </w:rPr>
          <w:fldChar w:fldCharType="end"/>
        </w:r>
      </w:hyperlink>
    </w:p>
    <w:p w14:paraId="11F5BCDB" w14:textId="33CEFF18" w:rsidR="004E40C1" w:rsidRPr="004E40C1" w:rsidRDefault="009A4E42">
      <w:pPr>
        <w:pStyle w:val="TOC2"/>
        <w:rPr>
          <w:rFonts w:asciiTheme="minorHAnsi" w:eastAsiaTheme="minorEastAsia" w:hAnsiTheme="minorHAnsi" w:cstheme="minorBidi"/>
          <w:smallCaps w:val="0"/>
          <w:noProof/>
          <w:sz w:val="24"/>
          <w:szCs w:val="24"/>
        </w:rPr>
      </w:pPr>
      <w:hyperlink w:anchor="_Toc419964742" w:history="1">
        <w:r w:rsidR="004E40C1" w:rsidRPr="004E40C1">
          <w:rPr>
            <w:rStyle w:val="Hyperlink"/>
            <w:noProof/>
            <w:sz w:val="24"/>
            <w:szCs w:val="24"/>
          </w:rPr>
          <w:t>A.16. Plans for Tabulation and Publication and Project Time Schedule</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_Toc419964742 \h </w:instrText>
        </w:r>
        <w:r w:rsidR="004E40C1" w:rsidRPr="004E40C1">
          <w:rPr>
            <w:noProof/>
            <w:webHidden/>
            <w:sz w:val="24"/>
            <w:szCs w:val="24"/>
          </w:rPr>
        </w:r>
        <w:r w:rsidR="004E40C1" w:rsidRPr="004E40C1">
          <w:rPr>
            <w:noProof/>
            <w:webHidden/>
            <w:sz w:val="24"/>
            <w:szCs w:val="24"/>
          </w:rPr>
          <w:fldChar w:fldCharType="separate"/>
        </w:r>
        <w:r w:rsidR="00FA5A73">
          <w:rPr>
            <w:noProof/>
            <w:webHidden/>
            <w:sz w:val="24"/>
            <w:szCs w:val="24"/>
          </w:rPr>
          <w:t>30</w:t>
        </w:r>
        <w:r w:rsidR="004E40C1" w:rsidRPr="004E40C1">
          <w:rPr>
            <w:noProof/>
            <w:webHidden/>
            <w:sz w:val="24"/>
            <w:szCs w:val="24"/>
          </w:rPr>
          <w:fldChar w:fldCharType="end"/>
        </w:r>
      </w:hyperlink>
    </w:p>
    <w:p w14:paraId="1B5AC6B2" w14:textId="271D0048" w:rsidR="004E40C1" w:rsidRPr="004E40C1" w:rsidRDefault="009A4E42">
      <w:pPr>
        <w:pStyle w:val="TOC2"/>
        <w:rPr>
          <w:rFonts w:asciiTheme="minorHAnsi" w:eastAsiaTheme="minorEastAsia" w:hAnsiTheme="minorHAnsi" w:cstheme="minorBidi"/>
          <w:smallCaps w:val="0"/>
          <w:noProof/>
          <w:sz w:val="24"/>
          <w:szCs w:val="24"/>
        </w:rPr>
      </w:pPr>
      <w:hyperlink w:anchor="_Toc419964743" w:history="1">
        <w:r w:rsidR="004E40C1" w:rsidRPr="004E40C1">
          <w:rPr>
            <w:rStyle w:val="Hyperlink"/>
            <w:noProof/>
            <w:sz w:val="24"/>
            <w:szCs w:val="24"/>
          </w:rPr>
          <w:t>A.17. Reason(s) Display of OMB Expiration Date is Inappropriate</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_Toc419964743 \h </w:instrText>
        </w:r>
        <w:r w:rsidR="004E40C1" w:rsidRPr="004E40C1">
          <w:rPr>
            <w:noProof/>
            <w:webHidden/>
            <w:sz w:val="24"/>
            <w:szCs w:val="24"/>
          </w:rPr>
        </w:r>
        <w:r w:rsidR="004E40C1" w:rsidRPr="004E40C1">
          <w:rPr>
            <w:noProof/>
            <w:webHidden/>
            <w:sz w:val="24"/>
            <w:szCs w:val="24"/>
          </w:rPr>
          <w:fldChar w:fldCharType="separate"/>
        </w:r>
        <w:r w:rsidR="00FA5A73">
          <w:rPr>
            <w:noProof/>
            <w:webHidden/>
            <w:sz w:val="24"/>
            <w:szCs w:val="24"/>
          </w:rPr>
          <w:t>30</w:t>
        </w:r>
        <w:r w:rsidR="004E40C1" w:rsidRPr="004E40C1">
          <w:rPr>
            <w:noProof/>
            <w:webHidden/>
            <w:sz w:val="24"/>
            <w:szCs w:val="24"/>
          </w:rPr>
          <w:fldChar w:fldCharType="end"/>
        </w:r>
      </w:hyperlink>
    </w:p>
    <w:p w14:paraId="048569CB" w14:textId="1EA0855A" w:rsidR="004E40C1" w:rsidRPr="004E40C1" w:rsidRDefault="009A4E42">
      <w:pPr>
        <w:pStyle w:val="TOC2"/>
        <w:rPr>
          <w:rFonts w:asciiTheme="minorHAnsi" w:eastAsiaTheme="minorEastAsia" w:hAnsiTheme="minorHAnsi" w:cstheme="minorBidi"/>
          <w:smallCaps w:val="0"/>
          <w:noProof/>
          <w:sz w:val="24"/>
          <w:szCs w:val="24"/>
        </w:rPr>
      </w:pPr>
      <w:hyperlink w:anchor="_Toc419964744" w:history="1">
        <w:r w:rsidR="004E40C1" w:rsidRPr="004E40C1">
          <w:rPr>
            <w:rStyle w:val="Hyperlink"/>
            <w:noProof/>
            <w:sz w:val="24"/>
            <w:szCs w:val="24"/>
          </w:rPr>
          <w:t>A.18. Exceptions to Certification for Paperwork Reduction Act Submissions</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_Toc419964744 \h </w:instrText>
        </w:r>
        <w:r w:rsidR="004E40C1" w:rsidRPr="004E40C1">
          <w:rPr>
            <w:noProof/>
            <w:webHidden/>
            <w:sz w:val="24"/>
            <w:szCs w:val="24"/>
          </w:rPr>
        </w:r>
        <w:r w:rsidR="004E40C1" w:rsidRPr="004E40C1">
          <w:rPr>
            <w:noProof/>
            <w:webHidden/>
            <w:sz w:val="24"/>
            <w:szCs w:val="24"/>
          </w:rPr>
          <w:fldChar w:fldCharType="separate"/>
        </w:r>
        <w:r w:rsidR="00FA5A73">
          <w:rPr>
            <w:noProof/>
            <w:webHidden/>
            <w:sz w:val="24"/>
            <w:szCs w:val="24"/>
          </w:rPr>
          <w:t>31</w:t>
        </w:r>
        <w:r w:rsidR="004E40C1" w:rsidRPr="004E40C1">
          <w:rPr>
            <w:noProof/>
            <w:webHidden/>
            <w:sz w:val="24"/>
            <w:szCs w:val="24"/>
          </w:rPr>
          <w:fldChar w:fldCharType="end"/>
        </w:r>
      </w:hyperlink>
    </w:p>
    <w:p w14:paraId="0D383D08" w14:textId="77777777" w:rsidR="00397080" w:rsidRDefault="004E40C1" w:rsidP="00397080">
      <w:pPr>
        <w:pStyle w:val="P1-StandPara"/>
        <w:ind w:firstLine="0"/>
        <w:rPr>
          <w:caps/>
          <w:noProof/>
        </w:rPr>
      </w:pPr>
      <w:r w:rsidRPr="004E40C1">
        <w:rPr>
          <w:smallCaps/>
          <w:sz w:val="24"/>
          <w:szCs w:val="24"/>
        </w:rPr>
        <w:fldChar w:fldCharType="end"/>
      </w:r>
    </w:p>
    <w:p w14:paraId="418A1CCB" w14:textId="77777777" w:rsidR="00CE149F" w:rsidRDefault="00CE149F" w:rsidP="00CE149F">
      <w:pPr>
        <w:rPr>
          <w:caps/>
          <w:noProof/>
        </w:rPr>
      </w:pPr>
    </w:p>
    <w:p w14:paraId="6A7F7D1F" w14:textId="77777777" w:rsidR="006143E4" w:rsidRDefault="006143E4" w:rsidP="00CE149F">
      <w:pPr>
        <w:rPr>
          <w:b/>
          <w:bCs/>
        </w:rPr>
      </w:pPr>
    </w:p>
    <w:p w14:paraId="37F00540" w14:textId="77777777" w:rsidR="006143E4" w:rsidRDefault="006143E4" w:rsidP="00CE149F">
      <w:pPr>
        <w:rPr>
          <w:b/>
          <w:bCs/>
        </w:rPr>
      </w:pPr>
    </w:p>
    <w:p w14:paraId="0E062CD0" w14:textId="77777777" w:rsidR="006143E4" w:rsidRDefault="00972E50" w:rsidP="00CE149F">
      <w:pPr>
        <w:rPr>
          <w:b/>
          <w:bCs/>
        </w:rPr>
      </w:pPr>
      <w:r>
        <w:rPr>
          <w:b/>
          <w:bCs/>
        </w:rPr>
        <w:br w:type="page"/>
      </w:r>
    </w:p>
    <w:p w14:paraId="1DF1E2C2" w14:textId="77777777" w:rsidR="00CE149F" w:rsidRDefault="00CE149F" w:rsidP="00972E50">
      <w:pPr>
        <w:spacing w:line="480" w:lineRule="auto"/>
        <w:rPr>
          <w:bCs/>
        </w:rPr>
      </w:pPr>
      <w:r>
        <w:rPr>
          <w:b/>
          <w:bCs/>
        </w:rPr>
        <w:lastRenderedPageBreak/>
        <w:t>List of</w:t>
      </w:r>
      <w:r w:rsidRPr="00521500">
        <w:rPr>
          <w:b/>
          <w:bCs/>
        </w:rPr>
        <w:t xml:space="preserve"> Attachments</w:t>
      </w:r>
      <w:r>
        <w:rPr>
          <w:bCs/>
        </w:rPr>
        <w:t xml:space="preserve"> </w:t>
      </w:r>
    </w:p>
    <w:p w14:paraId="6394F2FB" w14:textId="77777777" w:rsidR="00577652" w:rsidRDefault="00577652" w:rsidP="00577652">
      <w:pPr>
        <w:rPr>
          <w:bCs/>
        </w:rPr>
      </w:pPr>
      <w:r>
        <w:rPr>
          <w:bCs/>
        </w:rPr>
        <w:t xml:space="preserve">Attachment 1 - Table of </w:t>
      </w:r>
      <w:r w:rsidR="00452C77">
        <w:rPr>
          <w:bCs/>
        </w:rPr>
        <w:t>Former and Revised Content of Information Collections</w:t>
      </w:r>
    </w:p>
    <w:p w14:paraId="643A8476" w14:textId="77777777" w:rsidR="00577652" w:rsidRDefault="00577652" w:rsidP="00577652">
      <w:pPr>
        <w:rPr>
          <w:bCs/>
        </w:rPr>
      </w:pPr>
    </w:p>
    <w:p w14:paraId="33F897AE" w14:textId="77777777" w:rsidR="00F061BD" w:rsidRDefault="00F061BD" w:rsidP="00D902F7">
      <w:pPr>
        <w:spacing w:line="480" w:lineRule="auto"/>
        <w:rPr>
          <w:bCs/>
        </w:rPr>
      </w:pPr>
      <w:r>
        <w:rPr>
          <w:bCs/>
        </w:rPr>
        <w:t>Attachment 2 - CFDA List</w:t>
      </w:r>
    </w:p>
    <w:p w14:paraId="62DFCEDE" w14:textId="77777777" w:rsidR="00CE149F" w:rsidRDefault="00D902F7" w:rsidP="00D902F7">
      <w:pPr>
        <w:spacing w:line="480" w:lineRule="auto"/>
        <w:rPr>
          <w:bCs/>
        </w:rPr>
      </w:pPr>
      <w:r>
        <w:rPr>
          <w:bCs/>
        </w:rPr>
        <w:t>Attachment 3</w:t>
      </w:r>
      <w:r w:rsidR="00CE149F">
        <w:rPr>
          <w:bCs/>
        </w:rPr>
        <w:t xml:space="preserve"> </w:t>
      </w:r>
      <w:r w:rsidR="00623433">
        <w:rPr>
          <w:bCs/>
        </w:rPr>
        <w:t>-</w:t>
      </w:r>
      <w:r w:rsidR="00CE149F">
        <w:rPr>
          <w:bCs/>
        </w:rPr>
        <w:t xml:space="preserve"> </w:t>
      </w:r>
      <w:r w:rsidR="00623433" w:rsidRPr="00177F88">
        <w:rPr>
          <w:bCs/>
        </w:rPr>
        <w:t xml:space="preserve">PHS </w:t>
      </w:r>
      <w:r w:rsidR="00CE149F" w:rsidRPr="00177F88">
        <w:rPr>
          <w:bCs/>
        </w:rPr>
        <w:t>398</w:t>
      </w:r>
      <w:r w:rsidR="00DA052A">
        <w:rPr>
          <w:bCs/>
        </w:rPr>
        <w:t xml:space="preserve"> [paper]: Public Health Service</w:t>
      </w:r>
      <w:r w:rsidR="004D2BD6">
        <w:rPr>
          <w:bCs/>
        </w:rPr>
        <w:t xml:space="preserve"> Grant Application </w:t>
      </w:r>
      <w:r w:rsidR="00531DB3">
        <w:rPr>
          <w:bCs/>
        </w:rPr>
        <w:t>Forms</w:t>
      </w:r>
    </w:p>
    <w:p w14:paraId="3F1000A0" w14:textId="77777777" w:rsidR="00CE149F" w:rsidRDefault="00D902F7" w:rsidP="00972E50">
      <w:pPr>
        <w:spacing w:line="480" w:lineRule="auto"/>
        <w:rPr>
          <w:bCs/>
        </w:rPr>
      </w:pPr>
      <w:r>
        <w:rPr>
          <w:bCs/>
        </w:rPr>
        <w:t>Attachment 4</w:t>
      </w:r>
      <w:r w:rsidR="00CE149F">
        <w:rPr>
          <w:bCs/>
        </w:rPr>
        <w:t xml:space="preserve"> </w:t>
      </w:r>
      <w:r w:rsidR="00177F88">
        <w:rPr>
          <w:bCs/>
        </w:rPr>
        <w:t>-</w:t>
      </w:r>
      <w:r w:rsidR="00CE149F">
        <w:rPr>
          <w:bCs/>
        </w:rPr>
        <w:t xml:space="preserve"> </w:t>
      </w:r>
      <w:r w:rsidR="00177F88">
        <w:rPr>
          <w:bCs/>
        </w:rPr>
        <w:t xml:space="preserve">PHS </w:t>
      </w:r>
      <w:r w:rsidR="004D2BD6">
        <w:rPr>
          <w:bCs/>
        </w:rPr>
        <w:t>398</w:t>
      </w:r>
      <w:r w:rsidR="00DA052A">
        <w:rPr>
          <w:bCs/>
        </w:rPr>
        <w:t xml:space="preserve"> [paper]: Public Health Service</w:t>
      </w:r>
      <w:r w:rsidR="00531DB3">
        <w:rPr>
          <w:bCs/>
        </w:rPr>
        <w:t xml:space="preserve"> Grant Application Instructions</w:t>
      </w:r>
    </w:p>
    <w:p w14:paraId="63F4DC21" w14:textId="77777777" w:rsidR="00CE149F" w:rsidRDefault="00D902F7" w:rsidP="00531DB3">
      <w:pPr>
        <w:rPr>
          <w:bCs/>
        </w:rPr>
      </w:pPr>
      <w:r>
        <w:rPr>
          <w:bCs/>
        </w:rPr>
        <w:t>Attachment 5</w:t>
      </w:r>
      <w:r w:rsidR="00CE149F">
        <w:rPr>
          <w:bCs/>
        </w:rPr>
        <w:t xml:space="preserve"> </w:t>
      </w:r>
      <w:r w:rsidR="009F6192">
        <w:rPr>
          <w:bCs/>
        </w:rPr>
        <w:t>-</w:t>
      </w:r>
      <w:r w:rsidR="00CE149F">
        <w:rPr>
          <w:bCs/>
        </w:rPr>
        <w:t xml:space="preserve"> </w:t>
      </w:r>
      <w:r w:rsidR="009F6192">
        <w:rPr>
          <w:bCs/>
        </w:rPr>
        <w:t xml:space="preserve">PHS </w:t>
      </w:r>
      <w:r w:rsidR="00CE149F">
        <w:rPr>
          <w:bCs/>
        </w:rPr>
        <w:t xml:space="preserve">398 </w:t>
      </w:r>
      <w:r w:rsidR="00DA052A">
        <w:rPr>
          <w:bCs/>
        </w:rPr>
        <w:t>[electronic]: Public Health Service</w:t>
      </w:r>
      <w:r w:rsidR="00531DB3">
        <w:rPr>
          <w:bCs/>
        </w:rPr>
        <w:t xml:space="preserve"> Grant Application component forms and agency specific instructions used in combination with the SF424 (R&amp;R)</w:t>
      </w:r>
      <w:r w:rsidR="00CE149F">
        <w:rPr>
          <w:bCs/>
        </w:rPr>
        <w:t xml:space="preserve"> </w:t>
      </w:r>
    </w:p>
    <w:p w14:paraId="43ADCE4E" w14:textId="77777777" w:rsidR="00531DB3" w:rsidRDefault="00531DB3" w:rsidP="00201F98">
      <w:pPr>
        <w:rPr>
          <w:bCs/>
        </w:rPr>
      </w:pPr>
    </w:p>
    <w:p w14:paraId="7DD06AE3" w14:textId="77777777" w:rsidR="00732703" w:rsidRPr="00970CC2" w:rsidRDefault="00D902F7" w:rsidP="00732703">
      <w:r>
        <w:rPr>
          <w:bCs/>
        </w:rPr>
        <w:t>Attachment 6</w:t>
      </w:r>
      <w:r w:rsidR="00694A00">
        <w:rPr>
          <w:bCs/>
        </w:rPr>
        <w:t xml:space="preserve"> </w:t>
      </w:r>
      <w:r w:rsidR="00C462B9">
        <w:rPr>
          <w:bCs/>
        </w:rPr>
        <w:t xml:space="preserve">- PHS </w:t>
      </w:r>
      <w:r w:rsidR="00694A00">
        <w:rPr>
          <w:bCs/>
        </w:rPr>
        <w:t>Fellowship</w:t>
      </w:r>
      <w:r w:rsidR="00C462B9">
        <w:rPr>
          <w:bCs/>
        </w:rPr>
        <w:t xml:space="preserve"> Supplemental Form</w:t>
      </w:r>
      <w:r w:rsidR="00840DD0">
        <w:rPr>
          <w:bCs/>
        </w:rPr>
        <w:t xml:space="preserve"> and</w:t>
      </w:r>
      <w:r w:rsidR="00732703" w:rsidRPr="00732703">
        <w:rPr>
          <w:bCs/>
        </w:rPr>
        <w:t xml:space="preserve"> </w:t>
      </w:r>
      <w:r w:rsidR="00732703">
        <w:rPr>
          <w:bCs/>
        </w:rPr>
        <w:t xml:space="preserve">agency specific instructions used in combination with the SF424 (R&amp;R) forms/instructions for Fellowships </w:t>
      </w:r>
      <w:r w:rsidR="00732703" w:rsidRPr="00970CC2">
        <w:rPr>
          <w:bCs/>
        </w:rPr>
        <w:t>[electronic]</w:t>
      </w:r>
      <w:r w:rsidR="00840DD0">
        <w:rPr>
          <w:bCs/>
        </w:rPr>
        <w:t xml:space="preserve"> </w:t>
      </w:r>
    </w:p>
    <w:p w14:paraId="3FA17D87" w14:textId="77777777" w:rsidR="00C462B9" w:rsidRDefault="00C462B9" w:rsidP="00201F98">
      <w:pPr>
        <w:rPr>
          <w:bCs/>
        </w:rPr>
      </w:pPr>
    </w:p>
    <w:p w14:paraId="31596FA6" w14:textId="77777777" w:rsidR="00C65195" w:rsidRPr="00055D7A" w:rsidRDefault="00C65195" w:rsidP="00201F98">
      <w:r>
        <w:rPr>
          <w:bCs/>
        </w:rPr>
        <w:t xml:space="preserve">Attachment </w:t>
      </w:r>
      <w:r w:rsidR="00D902F7" w:rsidRPr="00055D7A">
        <w:rPr>
          <w:bCs/>
        </w:rPr>
        <w:t>7</w:t>
      </w:r>
      <w:r w:rsidRPr="00055D7A">
        <w:rPr>
          <w:bCs/>
        </w:rPr>
        <w:t xml:space="preserve"> - PHS </w:t>
      </w:r>
      <w:r w:rsidRPr="00055D7A">
        <w:t>416-1</w:t>
      </w:r>
      <w:r w:rsidR="004D2BD6" w:rsidRPr="00055D7A">
        <w:t>:</w:t>
      </w:r>
      <w:r w:rsidRPr="00055D7A">
        <w:t xml:space="preserve"> Ruth L. Kirschstein </w:t>
      </w:r>
      <w:r w:rsidR="00434610" w:rsidRPr="00055D7A">
        <w:t xml:space="preserve">National Research Service Award </w:t>
      </w:r>
      <w:r w:rsidRPr="00055D7A">
        <w:t>Individual Fellowship Application</w:t>
      </w:r>
      <w:r w:rsidR="00F12BCC" w:rsidRPr="00055D7A">
        <w:t xml:space="preserve"> Instructions</w:t>
      </w:r>
      <w:r w:rsidR="00694A00" w:rsidRPr="00055D7A">
        <w:t xml:space="preserve"> and Forms</w:t>
      </w:r>
      <w:r w:rsidR="00F12BCC" w:rsidRPr="00055D7A">
        <w:t xml:space="preserve"> used only for a change of sponsoring institution application</w:t>
      </w:r>
      <w:r w:rsidR="00AD25A2" w:rsidRPr="00055D7A">
        <w:t xml:space="preserve"> [paper]</w:t>
      </w:r>
    </w:p>
    <w:p w14:paraId="4F1CF158" w14:textId="77777777" w:rsidR="00AE1AC9" w:rsidRPr="00055D7A" w:rsidRDefault="00AE1AC9" w:rsidP="00201F98"/>
    <w:p w14:paraId="2463A618" w14:textId="77777777" w:rsidR="00B23453" w:rsidRPr="00055D7A" w:rsidRDefault="00D902F7" w:rsidP="00B23453">
      <w:pPr>
        <w:rPr>
          <w:bCs/>
        </w:rPr>
      </w:pPr>
      <w:r w:rsidRPr="00055D7A">
        <w:rPr>
          <w:bCs/>
        </w:rPr>
        <w:t xml:space="preserve">Attachment </w:t>
      </w:r>
      <w:r w:rsidR="008D2EEC" w:rsidRPr="00055D7A">
        <w:rPr>
          <w:bCs/>
        </w:rPr>
        <w:t>8</w:t>
      </w:r>
      <w:r w:rsidR="00B436EA" w:rsidRPr="00055D7A">
        <w:rPr>
          <w:bCs/>
        </w:rPr>
        <w:t xml:space="preserve"> </w:t>
      </w:r>
      <w:r w:rsidR="00AC5453" w:rsidRPr="00055D7A">
        <w:rPr>
          <w:bCs/>
        </w:rPr>
        <w:t>-</w:t>
      </w:r>
      <w:r w:rsidR="00F12BCC" w:rsidRPr="00055D7A">
        <w:rPr>
          <w:bCs/>
        </w:rPr>
        <w:t xml:space="preserve"> Instructions for a Change of Sponsoring Institution for NRSA Fellowships (F30, F31, F32 and F33) and non-NRSA Fellowships</w:t>
      </w:r>
      <w:r w:rsidR="00694A00" w:rsidRPr="00055D7A">
        <w:rPr>
          <w:bCs/>
        </w:rPr>
        <w:t xml:space="preserve"> </w:t>
      </w:r>
    </w:p>
    <w:p w14:paraId="1DE7BA7E" w14:textId="77777777" w:rsidR="006206D8" w:rsidRPr="00055D7A" w:rsidRDefault="006206D8" w:rsidP="00B23453">
      <w:pPr>
        <w:rPr>
          <w:bCs/>
        </w:rPr>
      </w:pPr>
    </w:p>
    <w:p w14:paraId="5DEA2A18" w14:textId="7665697E" w:rsidR="006206D8" w:rsidRPr="00055D7A" w:rsidRDefault="006206D8" w:rsidP="00B23453">
      <w:pPr>
        <w:rPr>
          <w:color w:val="000000"/>
        </w:rPr>
      </w:pPr>
      <w:r w:rsidRPr="00055D7A">
        <w:rPr>
          <w:bCs/>
        </w:rPr>
        <w:t xml:space="preserve">Attachment 9 - </w:t>
      </w:r>
      <w:r w:rsidRPr="00055D7A">
        <w:rPr>
          <w:color w:val="000000"/>
        </w:rPr>
        <w:t>General Biographical Sketch Format Page</w:t>
      </w:r>
      <w:r w:rsidR="00AB71A8">
        <w:rPr>
          <w:color w:val="000000"/>
        </w:rPr>
        <w:t>, Instructions</w:t>
      </w:r>
      <w:r w:rsidRPr="00055D7A">
        <w:rPr>
          <w:color w:val="000000"/>
        </w:rPr>
        <w:t xml:space="preserve"> (use also for Fellowship Sponsor/Co-Sponsors)</w:t>
      </w:r>
      <w:r w:rsidR="00AB71A8">
        <w:rPr>
          <w:color w:val="000000"/>
        </w:rPr>
        <w:t>, and Samples</w:t>
      </w:r>
    </w:p>
    <w:p w14:paraId="7B5DCF01" w14:textId="77777777" w:rsidR="006206D8" w:rsidRPr="00055D7A" w:rsidRDefault="006206D8" w:rsidP="00B23453">
      <w:pPr>
        <w:rPr>
          <w:color w:val="000000"/>
        </w:rPr>
      </w:pPr>
    </w:p>
    <w:p w14:paraId="58DB55F8" w14:textId="2B8D101E" w:rsidR="006206D8" w:rsidRPr="00055D7A" w:rsidRDefault="006206D8" w:rsidP="00B23453">
      <w:pPr>
        <w:rPr>
          <w:bCs/>
        </w:rPr>
      </w:pPr>
      <w:r w:rsidRPr="00055D7A">
        <w:rPr>
          <w:color w:val="000000"/>
        </w:rPr>
        <w:t xml:space="preserve">Attachment 10 - Fellowship Applicant Biographical Sketch Format Page (use only for individual </w:t>
      </w:r>
      <w:proofErr w:type="spellStart"/>
      <w:r w:rsidRPr="00055D7A">
        <w:rPr>
          <w:color w:val="000000"/>
        </w:rPr>
        <w:t>predoctoral</w:t>
      </w:r>
      <w:proofErr w:type="spellEnd"/>
      <w:r w:rsidRPr="00055D7A">
        <w:rPr>
          <w:color w:val="000000"/>
        </w:rPr>
        <w:t xml:space="preserve"> and postdoctoral fellowships, dissertation research grants [R36], and Research Supplements to Promote Diversity in Health-Related Research [Admin Supplement])</w:t>
      </w:r>
      <w:r w:rsidR="00AB71A8">
        <w:rPr>
          <w:color w:val="000000"/>
        </w:rPr>
        <w:t xml:space="preserve"> and Samples</w:t>
      </w:r>
    </w:p>
    <w:p w14:paraId="717DE7A1" w14:textId="77777777" w:rsidR="00F12BCC" w:rsidRPr="00055D7A" w:rsidRDefault="00F12BCC" w:rsidP="00B23453">
      <w:pPr>
        <w:rPr>
          <w:bCs/>
        </w:rPr>
      </w:pPr>
    </w:p>
    <w:p w14:paraId="062BF1D8" w14:textId="77777777" w:rsidR="000503D7" w:rsidRDefault="000503D7" w:rsidP="00DE24AC">
      <w:pPr>
        <w:rPr>
          <w:bCs/>
        </w:rPr>
      </w:pPr>
      <w:r>
        <w:rPr>
          <w:bCs/>
        </w:rPr>
        <w:t xml:space="preserve">Attachment 11 - </w:t>
      </w:r>
      <w:r w:rsidRPr="000503D7">
        <w:rPr>
          <w:bCs/>
        </w:rPr>
        <w:t>Data tables for use with Institutional Research Training grant applications using the SF424 (R&amp;R)</w:t>
      </w:r>
    </w:p>
    <w:p w14:paraId="5EE9A3BD" w14:textId="77777777" w:rsidR="000503D7" w:rsidRDefault="000503D7" w:rsidP="00DE24AC">
      <w:pPr>
        <w:rPr>
          <w:bCs/>
        </w:rPr>
      </w:pPr>
    </w:p>
    <w:p w14:paraId="443B734F" w14:textId="77777777" w:rsidR="00434610" w:rsidRPr="00055D7A" w:rsidRDefault="00B436EA" w:rsidP="00DE24AC">
      <w:pPr>
        <w:rPr>
          <w:bCs/>
        </w:rPr>
      </w:pPr>
      <w:r w:rsidRPr="00055D7A">
        <w:rPr>
          <w:bCs/>
        </w:rPr>
        <w:t xml:space="preserve">Attachment </w:t>
      </w:r>
      <w:r w:rsidR="006206D8" w:rsidRPr="00055D7A">
        <w:rPr>
          <w:bCs/>
        </w:rPr>
        <w:t>1</w:t>
      </w:r>
      <w:r w:rsidR="000503D7">
        <w:rPr>
          <w:bCs/>
        </w:rPr>
        <w:t>2</w:t>
      </w:r>
      <w:r w:rsidR="00434610" w:rsidRPr="00055D7A">
        <w:rPr>
          <w:bCs/>
        </w:rPr>
        <w:t xml:space="preserve"> - PHS </w:t>
      </w:r>
      <w:r w:rsidR="00434610" w:rsidRPr="00055D7A">
        <w:t>416-5</w:t>
      </w:r>
      <w:r w:rsidR="004D2BD6" w:rsidRPr="00055D7A">
        <w:t>:</w:t>
      </w:r>
      <w:r w:rsidR="00434610" w:rsidRPr="00055D7A">
        <w:t xml:space="preserve"> </w:t>
      </w:r>
      <w:r w:rsidR="004C7EE8" w:rsidRPr="00055D7A">
        <w:t xml:space="preserve">Ruth L. Kirschstein </w:t>
      </w:r>
      <w:r w:rsidR="00DE24AC" w:rsidRPr="00055D7A">
        <w:t xml:space="preserve">National Research Service Award Individual Fellowship </w:t>
      </w:r>
      <w:r w:rsidR="00434610" w:rsidRPr="00055D7A">
        <w:t>Activation Notice</w:t>
      </w:r>
    </w:p>
    <w:p w14:paraId="37C37BE3" w14:textId="77777777" w:rsidR="00177F88" w:rsidRPr="00055D7A" w:rsidRDefault="00177F88" w:rsidP="00177F88">
      <w:pPr>
        <w:rPr>
          <w:bCs/>
        </w:rPr>
      </w:pPr>
    </w:p>
    <w:p w14:paraId="6174734D" w14:textId="77777777" w:rsidR="00A17840" w:rsidRPr="00055D7A" w:rsidRDefault="00CE149F" w:rsidP="006F6C52">
      <w:pPr>
        <w:rPr>
          <w:bCs/>
        </w:rPr>
      </w:pPr>
      <w:r w:rsidRPr="00055D7A">
        <w:rPr>
          <w:bCs/>
        </w:rPr>
        <w:t xml:space="preserve">Attachment </w:t>
      </w:r>
      <w:r w:rsidR="00F6522F" w:rsidRPr="00055D7A">
        <w:rPr>
          <w:bCs/>
        </w:rPr>
        <w:t>1</w:t>
      </w:r>
      <w:r w:rsidR="000503D7">
        <w:rPr>
          <w:bCs/>
        </w:rPr>
        <w:t>3</w:t>
      </w:r>
      <w:r w:rsidRPr="00055D7A">
        <w:rPr>
          <w:bCs/>
        </w:rPr>
        <w:t xml:space="preserve"> </w:t>
      </w:r>
      <w:r w:rsidR="00A17840" w:rsidRPr="00055D7A">
        <w:rPr>
          <w:bCs/>
        </w:rPr>
        <w:t xml:space="preserve">- PHS 6031: </w:t>
      </w:r>
      <w:r w:rsidR="006F6C52" w:rsidRPr="00055D7A">
        <w:t>Ruth L. Kirschstein National Research Service Award</w:t>
      </w:r>
      <w:r w:rsidR="006F6C52" w:rsidRPr="00055D7A">
        <w:rPr>
          <w:bCs/>
        </w:rPr>
        <w:t xml:space="preserve"> </w:t>
      </w:r>
      <w:r w:rsidR="00A17840" w:rsidRPr="00055D7A">
        <w:rPr>
          <w:bCs/>
        </w:rPr>
        <w:t>Payback Agreement</w:t>
      </w:r>
      <w:r w:rsidR="006F6C52" w:rsidRPr="00055D7A">
        <w:rPr>
          <w:bCs/>
        </w:rPr>
        <w:t xml:space="preserve"> </w:t>
      </w:r>
    </w:p>
    <w:p w14:paraId="4B7847E2" w14:textId="77777777" w:rsidR="006206D8" w:rsidRPr="00055D7A" w:rsidRDefault="006206D8" w:rsidP="006F6C52">
      <w:pPr>
        <w:rPr>
          <w:bCs/>
        </w:rPr>
      </w:pPr>
    </w:p>
    <w:p w14:paraId="2B2B1018" w14:textId="7318BF50" w:rsidR="00015754" w:rsidRDefault="008D2EEC" w:rsidP="008D2EEC">
      <w:r w:rsidRPr="00055D7A">
        <w:t>Attachment 1</w:t>
      </w:r>
      <w:r w:rsidR="000503D7">
        <w:t>4</w:t>
      </w:r>
      <w:r w:rsidRPr="00055D7A">
        <w:t xml:space="preserve"> </w:t>
      </w:r>
      <w:r w:rsidRPr="00055D7A">
        <w:rPr>
          <w:bCs/>
        </w:rPr>
        <w:t>-</w:t>
      </w:r>
      <w:r w:rsidRPr="00055D7A">
        <w:t xml:space="preserve"> PHS Supplemental Grant Application Instructions for use with PHS 398 [paper], PHS 398 [electronic], PHS Fellowship Supplemental Form [electronic], PHS416-1 [p</w:t>
      </w:r>
      <w:r w:rsidR="00015754">
        <w:t>aper], and PHS 2012-02 (SBIR)</w:t>
      </w:r>
    </w:p>
    <w:p w14:paraId="01ECC39B" w14:textId="77777777" w:rsidR="00015754" w:rsidRPr="00015754" w:rsidRDefault="00015754" w:rsidP="008D2EEC"/>
    <w:p w14:paraId="3A122056" w14:textId="77777777" w:rsidR="00B63942" w:rsidRDefault="00F6522F" w:rsidP="00B63942">
      <w:pPr>
        <w:rPr>
          <w:bCs/>
        </w:rPr>
      </w:pPr>
      <w:r>
        <w:rPr>
          <w:bCs/>
        </w:rPr>
        <w:t>Attachment 1</w:t>
      </w:r>
      <w:r w:rsidR="000503D7">
        <w:rPr>
          <w:bCs/>
        </w:rPr>
        <w:t>5</w:t>
      </w:r>
      <w:r w:rsidR="00A17840">
        <w:rPr>
          <w:bCs/>
        </w:rPr>
        <w:t xml:space="preserve"> </w:t>
      </w:r>
      <w:r w:rsidR="00CE149F">
        <w:rPr>
          <w:bCs/>
        </w:rPr>
        <w:t>- eRA Commons Profile Data Elements</w:t>
      </w:r>
    </w:p>
    <w:p w14:paraId="646F5DAE" w14:textId="77777777" w:rsidR="00E753D7" w:rsidRDefault="00E753D7" w:rsidP="00B63942">
      <w:pPr>
        <w:rPr>
          <w:bCs/>
        </w:rPr>
      </w:pPr>
    </w:p>
    <w:p w14:paraId="1F69BF45" w14:textId="77777777" w:rsidR="00B63942" w:rsidRDefault="00B63942" w:rsidP="00B63942">
      <w:pPr>
        <w:rPr>
          <w:bCs/>
        </w:rPr>
      </w:pPr>
      <w:r>
        <w:rPr>
          <w:bCs/>
        </w:rPr>
        <w:lastRenderedPageBreak/>
        <w:t>Attachment 1</w:t>
      </w:r>
      <w:r w:rsidR="000503D7">
        <w:rPr>
          <w:bCs/>
        </w:rPr>
        <w:t>6</w:t>
      </w:r>
      <w:r>
        <w:rPr>
          <w:bCs/>
        </w:rPr>
        <w:t xml:space="preserve"> - </w:t>
      </w:r>
      <w:r w:rsidR="00AA2406">
        <w:rPr>
          <w:bCs/>
        </w:rPr>
        <w:t xml:space="preserve">Certifications for SBIR and </w:t>
      </w:r>
      <w:r w:rsidRPr="00B63942">
        <w:rPr>
          <w:bCs/>
        </w:rPr>
        <w:t xml:space="preserve">STTR applicants to determine eligibility for an SBIR/STTR award. </w:t>
      </w:r>
      <w:r w:rsidRPr="001565F1">
        <w:rPr>
          <w:bCs/>
          <w:i/>
        </w:rPr>
        <w:t>Completed at the time of award</w:t>
      </w:r>
      <w:r w:rsidR="00E753D7">
        <w:rPr>
          <w:bCs/>
          <w:i/>
        </w:rPr>
        <w:t>.</w:t>
      </w:r>
    </w:p>
    <w:p w14:paraId="36DB727D" w14:textId="77777777" w:rsidR="00B63942" w:rsidRDefault="00B63942" w:rsidP="00B63942">
      <w:pPr>
        <w:rPr>
          <w:bCs/>
        </w:rPr>
      </w:pPr>
    </w:p>
    <w:p w14:paraId="232DA7BC" w14:textId="77777777" w:rsidR="002B6304" w:rsidRDefault="000503D7" w:rsidP="00B63942">
      <w:pPr>
        <w:rPr>
          <w:bCs/>
        </w:rPr>
      </w:pPr>
      <w:r>
        <w:rPr>
          <w:bCs/>
        </w:rPr>
        <w:t>Attachment 17</w:t>
      </w:r>
      <w:r w:rsidR="00B63942">
        <w:rPr>
          <w:bCs/>
        </w:rPr>
        <w:t xml:space="preserve"> - </w:t>
      </w:r>
      <w:r w:rsidR="00B63942" w:rsidRPr="00B63942">
        <w:rPr>
          <w:bCs/>
        </w:rPr>
        <w:t>Certification for SBIR Applicants that are majority-owned by multiple venture capital operating companies, hedge funds, or private equity firms</w:t>
      </w:r>
    </w:p>
    <w:p w14:paraId="79D2B679" w14:textId="77777777" w:rsidR="002B6304" w:rsidRDefault="002B6304" w:rsidP="00B63942">
      <w:pPr>
        <w:rPr>
          <w:bCs/>
        </w:rPr>
      </w:pPr>
    </w:p>
    <w:p w14:paraId="1F986029" w14:textId="77777777" w:rsidR="00C4250B" w:rsidRDefault="002B6304" w:rsidP="00B63942">
      <w:pPr>
        <w:rPr>
          <w:bCs/>
        </w:rPr>
      </w:pPr>
      <w:r>
        <w:rPr>
          <w:bCs/>
        </w:rPr>
        <w:t>Attachment 18 - Prior Approval Screen Shots</w:t>
      </w:r>
    </w:p>
    <w:p w14:paraId="2F0A7232" w14:textId="77777777" w:rsidR="00C4250B" w:rsidRDefault="00C4250B" w:rsidP="00B63942">
      <w:pPr>
        <w:rPr>
          <w:bCs/>
        </w:rPr>
      </w:pPr>
    </w:p>
    <w:p w14:paraId="1BC3F6A3" w14:textId="3736336E" w:rsidR="00EC371B" w:rsidRPr="00B63942" w:rsidRDefault="00C4250B" w:rsidP="00B63942">
      <w:pPr>
        <w:rPr>
          <w:bCs/>
        </w:rPr>
      </w:pPr>
      <w:r>
        <w:rPr>
          <w:bCs/>
        </w:rPr>
        <w:t>Attach</w:t>
      </w:r>
      <w:r w:rsidR="00A30801">
        <w:rPr>
          <w:bCs/>
        </w:rPr>
        <w:t xml:space="preserve">ment 19 - Privacy Impact </w:t>
      </w:r>
      <w:proofErr w:type="spellStart"/>
      <w:r w:rsidR="00A30801">
        <w:rPr>
          <w:bCs/>
        </w:rPr>
        <w:t>Assesment</w:t>
      </w:r>
      <w:proofErr w:type="spellEnd"/>
      <w:r w:rsidR="00A30801">
        <w:rPr>
          <w:bCs/>
        </w:rPr>
        <w:t xml:space="preserve"> </w:t>
      </w:r>
      <w:r w:rsidR="00CE149F">
        <w:br w:type="page"/>
      </w:r>
    </w:p>
    <w:p w14:paraId="47D97ACB" w14:textId="77777777" w:rsidR="00B61497" w:rsidRDefault="00B61497" w:rsidP="00E05D34">
      <w:pPr>
        <w:pStyle w:val="Heading2"/>
        <w:numPr>
          <w:ilvl w:val="0"/>
          <w:numId w:val="4"/>
        </w:numPr>
        <w:spacing w:line="480" w:lineRule="auto"/>
        <w:ind w:right="-684"/>
        <w:rPr>
          <w:bCs/>
        </w:rPr>
      </w:pPr>
      <w:bookmarkStart w:id="1" w:name="_Toc419964724"/>
      <w:r w:rsidRPr="00732841">
        <w:rPr>
          <w:bCs/>
        </w:rPr>
        <w:lastRenderedPageBreak/>
        <w:t>Justification</w:t>
      </w:r>
      <w:bookmarkEnd w:id="1"/>
    </w:p>
    <w:p w14:paraId="7D48A4B2" w14:textId="77777777" w:rsidR="00397080" w:rsidRDefault="00397080" w:rsidP="00397080"/>
    <w:p w14:paraId="50A51A85" w14:textId="0BFC019E" w:rsidR="00BF1933" w:rsidRDefault="00397080" w:rsidP="00397080">
      <w:pPr>
        <w:spacing w:line="480" w:lineRule="auto"/>
        <w:rPr>
          <w:bCs/>
        </w:rPr>
      </w:pPr>
      <w:r w:rsidRPr="005824B9">
        <w:t>The National Institutes of Health (NIH) and other Public Health Service (PHS) agencies currently use the</w:t>
      </w:r>
      <w:r w:rsidRPr="005824B9">
        <w:rPr>
          <w:b/>
        </w:rPr>
        <w:t xml:space="preserve"> </w:t>
      </w:r>
      <w:r w:rsidRPr="005824B9">
        <w:t xml:space="preserve">Research and Research Training Grant Applications and Related Forms </w:t>
      </w:r>
      <w:r w:rsidRPr="005824B9">
        <w:rPr>
          <w:bCs/>
        </w:rPr>
        <w:t xml:space="preserve">and </w:t>
      </w:r>
      <w:r w:rsidRPr="005824B9">
        <w:t>Ruth L. Kirschstein National Research Service Award (NRSA) Applications and Related Forms (</w:t>
      </w:r>
      <w:r w:rsidRPr="005824B9">
        <w:rPr>
          <w:bCs/>
        </w:rPr>
        <w:t>0925-000</w:t>
      </w:r>
      <w:r>
        <w:rPr>
          <w:bCs/>
        </w:rPr>
        <w:t>1</w:t>
      </w:r>
      <w:r w:rsidRPr="005824B9">
        <w:rPr>
          <w:bCs/>
        </w:rPr>
        <w:t>). 0925-0</w:t>
      </w:r>
      <w:r>
        <w:rPr>
          <w:bCs/>
        </w:rPr>
        <w:t>0</w:t>
      </w:r>
      <w:r w:rsidRPr="005824B9">
        <w:rPr>
          <w:bCs/>
        </w:rPr>
        <w:t xml:space="preserve">01 will expire </w:t>
      </w:r>
      <w:r>
        <w:rPr>
          <w:bCs/>
        </w:rPr>
        <w:t xml:space="preserve">on </w:t>
      </w:r>
      <w:r w:rsidR="00BF1933">
        <w:rPr>
          <w:bCs/>
        </w:rPr>
        <w:t>October 31</w:t>
      </w:r>
      <w:r>
        <w:rPr>
          <w:bCs/>
        </w:rPr>
        <w:t>, 201</w:t>
      </w:r>
      <w:r w:rsidR="00BF1933">
        <w:rPr>
          <w:bCs/>
        </w:rPr>
        <w:t>8</w:t>
      </w:r>
      <w:r w:rsidRPr="005824B9">
        <w:rPr>
          <w:bCs/>
        </w:rPr>
        <w:t xml:space="preserve">. </w:t>
      </w:r>
      <w:r>
        <w:rPr>
          <w:bCs/>
        </w:rPr>
        <w:t>This 0925-0001 revision submission consolidates application and other related pre-award reporting requirements previously collected under 0925-0001</w:t>
      </w:r>
      <w:r w:rsidRPr="005824B9">
        <w:rPr>
          <w:bCs/>
        </w:rPr>
        <w:t>.</w:t>
      </w:r>
      <w:r>
        <w:rPr>
          <w:bCs/>
        </w:rPr>
        <w:t xml:space="preserve"> </w:t>
      </w:r>
      <w:r w:rsidR="00BF1933" w:rsidRPr="00BF1933">
        <w:rPr>
          <w:bCs/>
        </w:rPr>
        <w:t>Oversight systems and tools are critical for the NIH to ensure participant safety, data integrity, and accountability of the use of public funds. The NIH has been engaged in a multi-year effort to examine how clinical trials are supported and the level of oversight needed. The collection of more structured information about proposed clinical trials in the PHS applications and pre-award reporting requirements will facilitate the NIH's oversight of clinical trials as well as assist in understanding where needs in the NIH research portfolio may exist. In addition, some of the data collected here will ultimately be accessible to investigators to pre-populate certain sections of forms when registering their trials with ClinicalTrials.gov.</w:t>
      </w:r>
    </w:p>
    <w:p w14:paraId="66E33088" w14:textId="5DD6D1CE" w:rsidR="00397080" w:rsidRDefault="00397080" w:rsidP="00397080">
      <w:pPr>
        <w:spacing w:line="480" w:lineRule="auto"/>
        <w:rPr>
          <w:bCs/>
        </w:rPr>
      </w:pPr>
      <w:r>
        <w:rPr>
          <w:bCs/>
        </w:rPr>
        <w:t>Post-award reporting requirements, including the Research Performance Progress Report (RPPR), are similarly consolidated and concurrently submitted under 0925-0002</w:t>
      </w:r>
      <w:r w:rsidR="00E06ABF">
        <w:rPr>
          <w:bCs/>
        </w:rPr>
        <w:t xml:space="preserve"> </w:t>
      </w:r>
      <w:r w:rsidR="00E06ABF" w:rsidRPr="00732841">
        <w:rPr>
          <w:bCs/>
        </w:rPr>
        <w:t xml:space="preserve">(expiration </w:t>
      </w:r>
      <w:r w:rsidR="00BF1933">
        <w:rPr>
          <w:bCs/>
        </w:rPr>
        <w:t>October 31, 2018</w:t>
      </w:r>
      <w:r w:rsidR="00E06ABF">
        <w:rPr>
          <w:bCs/>
        </w:rPr>
        <w:t>)</w:t>
      </w:r>
      <w:r>
        <w:rPr>
          <w:bCs/>
        </w:rPr>
        <w:t>.</w:t>
      </w:r>
    </w:p>
    <w:p w14:paraId="34C9B297" w14:textId="77777777" w:rsidR="00397080" w:rsidRPr="00397080" w:rsidRDefault="00397080" w:rsidP="00397080"/>
    <w:p w14:paraId="38D514E3" w14:textId="77777777" w:rsidR="00B61497" w:rsidRDefault="009524D2" w:rsidP="001D5F9B">
      <w:pPr>
        <w:pStyle w:val="Heading2"/>
      </w:pPr>
      <w:bookmarkStart w:id="2" w:name="_Toc419964725"/>
      <w:r w:rsidRPr="009524D2">
        <w:t>A</w:t>
      </w:r>
      <w:r>
        <w:t>.</w:t>
      </w:r>
      <w:r w:rsidR="0026591F" w:rsidRPr="009524D2">
        <w:t xml:space="preserve">1. </w:t>
      </w:r>
      <w:r w:rsidR="00B61497" w:rsidRPr="009524D2">
        <w:t>Circumstances Making the Collection of Information Necessary</w:t>
      </w:r>
      <w:bookmarkEnd w:id="2"/>
    </w:p>
    <w:p w14:paraId="618F0D9F" w14:textId="77777777" w:rsidR="001D5F9B" w:rsidRPr="001D5F9B" w:rsidRDefault="001D5F9B" w:rsidP="001D5F9B"/>
    <w:p w14:paraId="480A7FB4" w14:textId="77777777" w:rsidR="00EC0FE2" w:rsidRDefault="00E52643" w:rsidP="00530196">
      <w:pPr>
        <w:spacing w:line="480" w:lineRule="auto"/>
        <w:rPr>
          <w:bCs/>
        </w:rPr>
      </w:pPr>
      <w:r w:rsidRPr="00E52643">
        <w:rPr>
          <w:bCs/>
          <w:u w:val="single"/>
        </w:rPr>
        <w:t>PHS 398</w:t>
      </w:r>
      <w:r>
        <w:rPr>
          <w:bCs/>
        </w:rPr>
        <w:t>:</w:t>
      </w:r>
      <w:r w:rsidRPr="00F109F9">
        <w:rPr>
          <w:bCs/>
        </w:rPr>
        <w:t xml:space="preserve"> </w:t>
      </w:r>
      <w:r w:rsidR="00BF5AA0" w:rsidRPr="00732841">
        <w:rPr>
          <w:bCs/>
        </w:rPr>
        <w:t>The Public Health Service</w:t>
      </w:r>
      <w:r w:rsidR="000F73DE">
        <w:rPr>
          <w:bCs/>
        </w:rPr>
        <w:t xml:space="preserve"> (PHS)</w:t>
      </w:r>
      <w:r w:rsidR="00BF5AA0" w:rsidRPr="00732841">
        <w:rPr>
          <w:bCs/>
        </w:rPr>
        <w:t xml:space="preserve"> Grant Application (PHS 398) is used by applicants to request federal assistance for research and research-related training. </w:t>
      </w:r>
      <w:r w:rsidR="00F770A9">
        <w:rPr>
          <w:bCs/>
        </w:rPr>
        <w:t xml:space="preserve">The </w:t>
      </w:r>
      <w:r w:rsidR="00D31B46">
        <w:rPr>
          <w:bCs/>
        </w:rPr>
        <w:t>PHS 398</w:t>
      </w:r>
      <w:r w:rsidR="00BF5AA0" w:rsidRPr="00732841">
        <w:rPr>
          <w:bCs/>
        </w:rPr>
        <w:t xml:space="preserve"> application enables public and private organizations to compete for funds</w:t>
      </w:r>
      <w:r w:rsidR="00D31B46">
        <w:rPr>
          <w:bCs/>
        </w:rPr>
        <w:t xml:space="preserve"> for traditional investigator-initiated research projects </w:t>
      </w:r>
      <w:r w:rsidR="00BF5AA0" w:rsidRPr="00732841">
        <w:rPr>
          <w:bCs/>
        </w:rPr>
        <w:t xml:space="preserve">appropriated to the various components of the PHS and to request </w:t>
      </w:r>
      <w:r w:rsidR="00BF5AA0" w:rsidRPr="00732841">
        <w:rPr>
          <w:bCs/>
        </w:rPr>
        <w:lastRenderedPageBreak/>
        <w:t xml:space="preserve">access to </w:t>
      </w:r>
      <w:r w:rsidR="00D31B46">
        <w:rPr>
          <w:bCs/>
        </w:rPr>
        <w:t>databases and other PHS</w:t>
      </w:r>
      <w:r w:rsidR="00BF5AA0" w:rsidRPr="00732841">
        <w:rPr>
          <w:bCs/>
        </w:rPr>
        <w:t xml:space="preserve"> resources. Several PHS </w:t>
      </w:r>
      <w:r w:rsidR="00AE1999">
        <w:rPr>
          <w:bCs/>
        </w:rPr>
        <w:t>a</w:t>
      </w:r>
      <w:r w:rsidR="00BF5AA0" w:rsidRPr="00732841">
        <w:rPr>
          <w:bCs/>
        </w:rPr>
        <w:t>gencies make such awards</w:t>
      </w:r>
      <w:r w:rsidR="0078602C">
        <w:rPr>
          <w:bCs/>
        </w:rPr>
        <w:t xml:space="preserve"> using this application</w:t>
      </w:r>
      <w:r w:rsidR="00CD6C72">
        <w:rPr>
          <w:bCs/>
        </w:rPr>
        <w:t xml:space="preserve">, including the </w:t>
      </w:r>
      <w:r w:rsidR="00BF5AA0" w:rsidRPr="00732841">
        <w:rPr>
          <w:bCs/>
        </w:rPr>
        <w:t>National Institutes of Health (NIH), Agency for Healthcare Research and Quality (AHRQ), Agency for Toxic Substance and Disease Registry (ATSDR), Centers for Disease Control and Prevention (CDC), Food and Drug Administration (FDA), and the Indian Health Service (IHS). In addition, two offices within the HHS Office of the Secretary (OS), Office of Population Affairs (OPA) and Office of Family Planning (OFP)</w:t>
      </w:r>
      <w:r w:rsidR="00CD6C72">
        <w:rPr>
          <w:bCs/>
        </w:rPr>
        <w:t>,</w:t>
      </w:r>
      <w:r w:rsidR="00BF5AA0" w:rsidRPr="00732841">
        <w:rPr>
          <w:bCs/>
        </w:rPr>
        <w:t xml:space="preserve"> are serviced by NIH for grant programs and also use this application. </w:t>
      </w:r>
      <w:r w:rsidR="00656B2A">
        <w:rPr>
          <w:bCs/>
        </w:rPr>
        <w:t>In addition,</w:t>
      </w:r>
      <w:r w:rsidR="0048639A">
        <w:rPr>
          <w:bCs/>
        </w:rPr>
        <w:t xml:space="preserve"> the</w:t>
      </w:r>
      <w:r w:rsidR="00656B2A">
        <w:rPr>
          <w:bCs/>
        </w:rPr>
        <w:t xml:space="preserve"> </w:t>
      </w:r>
      <w:r w:rsidR="0048639A">
        <w:rPr>
          <w:bCs/>
        </w:rPr>
        <w:t>Biographical Sketch format page</w:t>
      </w:r>
      <w:r w:rsidR="00F770A9">
        <w:rPr>
          <w:bCs/>
        </w:rPr>
        <w:t>, which is a part of the application,</w:t>
      </w:r>
      <w:r w:rsidR="0048639A">
        <w:rPr>
          <w:bCs/>
        </w:rPr>
        <w:t xml:space="preserve"> is </w:t>
      </w:r>
      <w:r w:rsidR="00F770A9">
        <w:rPr>
          <w:bCs/>
        </w:rPr>
        <w:t xml:space="preserve">also </w:t>
      </w:r>
      <w:r w:rsidR="0048639A">
        <w:rPr>
          <w:bCs/>
        </w:rPr>
        <w:t>used by</w:t>
      </w:r>
      <w:r w:rsidR="00287B88">
        <w:rPr>
          <w:bCs/>
        </w:rPr>
        <w:t xml:space="preserve"> </w:t>
      </w:r>
      <w:r w:rsidR="00E8549D">
        <w:rPr>
          <w:bCs/>
        </w:rPr>
        <w:t xml:space="preserve">the </w:t>
      </w:r>
      <w:r w:rsidR="00287B88">
        <w:rPr>
          <w:bCs/>
        </w:rPr>
        <w:t>Health Resources and Services Administration</w:t>
      </w:r>
      <w:r w:rsidR="0048639A">
        <w:rPr>
          <w:bCs/>
        </w:rPr>
        <w:t xml:space="preserve"> </w:t>
      </w:r>
      <w:r w:rsidR="00287B88">
        <w:rPr>
          <w:bCs/>
        </w:rPr>
        <w:t>(</w:t>
      </w:r>
      <w:r w:rsidR="0048639A">
        <w:rPr>
          <w:bCs/>
        </w:rPr>
        <w:t>HRSA</w:t>
      </w:r>
      <w:r w:rsidR="00287B88">
        <w:rPr>
          <w:bCs/>
        </w:rPr>
        <w:t>)</w:t>
      </w:r>
      <w:r w:rsidR="0048639A">
        <w:rPr>
          <w:bCs/>
        </w:rPr>
        <w:t>.</w:t>
      </w:r>
      <w:r w:rsidR="00F770A9">
        <w:rPr>
          <w:bCs/>
        </w:rPr>
        <w:t xml:space="preserve"> Participating agencies in the </w:t>
      </w:r>
      <w:r w:rsidR="00F770A9" w:rsidRPr="00816C92">
        <w:rPr>
          <w:bCs/>
        </w:rPr>
        <w:t>Small Business Innovation Research and</w:t>
      </w:r>
      <w:r w:rsidR="00F770A9">
        <w:rPr>
          <w:b/>
          <w:bCs/>
        </w:rPr>
        <w:t xml:space="preserve"> </w:t>
      </w:r>
      <w:r w:rsidR="00F770A9" w:rsidRPr="00816C92">
        <w:rPr>
          <w:bCs/>
        </w:rPr>
        <w:t>Small Business Technology Transfe</w:t>
      </w:r>
      <w:r w:rsidR="00F770A9">
        <w:rPr>
          <w:bCs/>
        </w:rPr>
        <w:t xml:space="preserve">r (SBIR/STTR) grant programs include the </w:t>
      </w:r>
      <w:r w:rsidR="00F770A9" w:rsidRPr="00816C92">
        <w:rPr>
          <w:bCs/>
        </w:rPr>
        <w:t>Administration for Children and Families (ACF)</w:t>
      </w:r>
      <w:r w:rsidR="00F770A9">
        <w:rPr>
          <w:bCs/>
        </w:rPr>
        <w:t xml:space="preserve">, CDC, and FDA. The </w:t>
      </w:r>
      <w:r w:rsidR="00F770A9" w:rsidRPr="00816C92">
        <w:rPr>
          <w:bCs/>
        </w:rPr>
        <w:t>Administration for Community Living</w:t>
      </w:r>
      <w:r w:rsidR="00F770A9">
        <w:rPr>
          <w:bCs/>
        </w:rPr>
        <w:t xml:space="preserve"> (ACL) may participate in the near future as well.</w:t>
      </w:r>
    </w:p>
    <w:p w14:paraId="55D1E84B" w14:textId="77777777" w:rsidR="00F50414" w:rsidRDefault="00F50414" w:rsidP="001D5F9B">
      <w:pPr>
        <w:rPr>
          <w:bCs/>
        </w:rPr>
      </w:pPr>
    </w:p>
    <w:p w14:paraId="70C95F28" w14:textId="3A001EDE" w:rsidR="00BF5AA0" w:rsidRDefault="00020988" w:rsidP="00530196">
      <w:pPr>
        <w:spacing w:line="480" w:lineRule="auto"/>
        <w:rPr>
          <w:bCs/>
        </w:rPr>
      </w:pPr>
      <w:r>
        <w:t>The PHS 398</w:t>
      </w:r>
      <w:r w:rsidRPr="00801624">
        <w:t xml:space="preserve"> is required at various times and circumstances in the course of activities proposed to be carried out under the range of authorized PHS programs: initial or original requests; competing continuation requests for extension beyond the previously approved award period; supplemental requests for additional funds beyond those approved and awarded for an annual budget period.</w:t>
      </w:r>
      <w:r w:rsidR="00BF5AA0" w:rsidRPr="00732841">
        <w:rPr>
          <w:bCs/>
        </w:rPr>
        <w:t xml:space="preserve"> The awards are authorized under 42 USC 241</w:t>
      </w:r>
      <w:r w:rsidR="00CD6C72">
        <w:rPr>
          <w:bCs/>
        </w:rPr>
        <w:t>,</w:t>
      </w:r>
      <w:r w:rsidR="00BF5AA0" w:rsidRPr="00732841">
        <w:rPr>
          <w:bCs/>
        </w:rPr>
        <w:t xml:space="preserve"> 42 USC 216</w:t>
      </w:r>
      <w:r w:rsidR="00CD6C72">
        <w:rPr>
          <w:bCs/>
        </w:rPr>
        <w:t>,</w:t>
      </w:r>
      <w:r w:rsidR="00BF5AA0" w:rsidRPr="00732841">
        <w:rPr>
          <w:bCs/>
        </w:rPr>
        <w:t xml:space="preserve"> 42 USC 285</w:t>
      </w:r>
      <w:r w:rsidR="00CD6C72">
        <w:rPr>
          <w:bCs/>
        </w:rPr>
        <w:t>,</w:t>
      </w:r>
      <w:r w:rsidR="00BF5AA0" w:rsidRPr="00732841">
        <w:rPr>
          <w:bCs/>
        </w:rPr>
        <w:t xml:space="preserve"> 42 USC 286</w:t>
      </w:r>
      <w:r w:rsidR="00CD6C72">
        <w:rPr>
          <w:bCs/>
        </w:rPr>
        <w:t>,</w:t>
      </w:r>
      <w:r w:rsidR="00BF5AA0" w:rsidRPr="00732841">
        <w:rPr>
          <w:bCs/>
        </w:rPr>
        <w:t xml:space="preserve"> 42 USC 300 and 42 USC 288. This information collection is currently approved under OMB 0925-0001, </w:t>
      </w:r>
      <w:r w:rsidR="00CD6C72">
        <w:rPr>
          <w:bCs/>
        </w:rPr>
        <w:t xml:space="preserve">with an </w:t>
      </w:r>
      <w:r w:rsidR="00BF5AA0" w:rsidRPr="00732841">
        <w:rPr>
          <w:bCs/>
        </w:rPr>
        <w:t xml:space="preserve">expiration </w:t>
      </w:r>
      <w:r w:rsidR="00CD6C72">
        <w:rPr>
          <w:bCs/>
        </w:rPr>
        <w:t xml:space="preserve">on </w:t>
      </w:r>
      <w:r w:rsidR="00B37274">
        <w:rPr>
          <w:bCs/>
        </w:rPr>
        <w:t>October 31, 2018</w:t>
      </w:r>
      <w:r w:rsidR="00810D1A">
        <w:rPr>
          <w:bCs/>
        </w:rPr>
        <w:t>.</w:t>
      </w:r>
      <w:r w:rsidR="00BF5AA0" w:rsidRPr="00732841">
        <w:rPr>
          <w:bCs/>
        </w:rPr>
        <w:t xml:space="preserve"> </w:t>
      </w:r>
      <w:r w:rsidR="00BF5AA0" w:rsidRPr="002B62B0">
        <w:rPr>
          <w:bCs/>
        </w:rPr>
        <w:t xml:space="preserve">Information collection requirements </w:t>
      </w:r>
      <w:r w:rsidR="00AB48DE">
        <w:rPr>
          <w:bCs/>
        </w:rPr>
        <w:t xml:space="preserve">are </w:t>
      </w:r>
      <w:r w:rsidR="00BF5AA0" w:rsidRPr="002B62B0">
        <w:rPr>
          <w:bCs/>
        </w:rPr>
        <w:t>specified in regulations governing the PHS research progr</w:t>
      </w:r>
      <w:r w:rsidR="00E44233">
        <w:rPr>
          <w:bCs/>
        </w:rPr>
        <w:t xml:space="preserve">am, including 42 CFR Part 52, </w:t>
      </w:r>
      <w:r w:rsidR="00BF5AA0" w:rsidRPr="002B62B0">
        <w:rPr>
          <w:bCs/>
        </w:rPr>
        <w:t>42 CFR 66.204</w:t>
      </w:r>
      <w:r w:rsidR="00E44233">
        <w:rPr>
          <w:bCs/>
        </w:rPr>
        <w:t>, and 45</w:t>
      </w:r>
      <w:r w:rsidR="0078602C">
        <w:rPr>
          <w:bCs/>
        </w:rPr>
        <w:t xml:space="preserve"> </w:t>
      </w:r>
      <w:r w:rsidR="00A74C52">
        <w:rPr>
          <w:bCs/>
        </w:rPr>
        <w:t>CFR 75</w:t>
      </w:r>
      <w:r w:rsidR="00BF5AA0" w:rsidRPr="002B62B0">
        <w:rPr>
          <w:bCs/>
        </w:rPr>
        <w:t>.</w:t>
      </w:r>
    </w:p>
    <w:p w14:paraId="78548088" w14:textId="77777777" w:rsidR="00F50414" w:rsidRDefault="00F50414" w:rsidP="001D5F9B">
      <w:pPr>
        <w:rPr>
          <w:bCs/>
        </w:rPr>
      </w:pPr>
    </w:p>
    <w:p w14:paraId="5CD3DD1D" w14:textId="0D11C21D" w:rsidR="00265EFA" w:rsidRDefault="00265EFA" w:rsidP="00265EFA">
      <w:pPr>
        <w:tabs>
          <w:tab w:val="left" w:pos="1422"/>
        </w:tabs>
        <w:spacing w:line="480" w:lineRule="auto"/>
      </w:pPr>
      <w:r w:rsidRPr="00801624">
        <w:rPr>
          <w:bCs/>
        </w:rPr>
        <w:lastRenderedPageBreak/>
        <w:t>In addition to the Research Project Grant, the PHS uses these applications for programs such as:  Institutional Training Grants</w:t>
      </w:r>
      <w:r w:rsidR="00810D1A">
        <w:rPr>
          <w:bCs/>
        </w:rPr>
        <w:t>,</w:t>
      </w:r>
      <w:r w:rsidRPr="00801624">
        <w:rPr>
          <w:bCs/>
        </w:rPr>
        <w:t xml:space="preserve"> including Ruth L. Kirschstein National Research Service Awards (NRSA) and other specialized training programs, Research Career Development Awards (CDA), Program Project and Center Grants, Conference Grants, Cancer Center Support Grants, Biotechnology Resources Grants, Academic Career Awards, Academic Research Enhancement Awards, and </w:t>
      </w:r>
      <w:r w:rsidR="00AE1999">
        <w:rPr>
          <w:bCs/>
        </w:rPr>
        <w:t xml:space="preserve">for </w:t>
      </w:r>
      <w:r w:rsidRPr="00801624">
        <w:rPr>
          <w:bCs/>
        </w:rPr>
        <w:t xml:space="preserve">access to agency sponsored resources. These awards are established </w:t>
      </w:r>
      <w:r w:rsidR="00DA7AB3">
        <w:rPr>
          <w:bCs/>
        </w:rPr>
        <w:t xml:space="preserve">under </w:t>
      </w:r>
      <w:r w:rsidR="00AE1999">
        <w:rPr>
          <w:bCs/>
        </w:rPr>
        <w:t xml:space="preserve">authorities </w:t>
      </w:r>
      <w:r w:rsidR="00DA7AB3">
        <w:rPr>
          <w:bCs/>
        </w:rPr>
        <w:t>such as</w:t>
      </w:r>
      <w:r w:rsidR="00DA7AB3" w:rsidRPr="00801624">
        <w:rPr>
          <w:bCs/>
        </w:rPr>
        <w:t xml:space="preserve"> </w:t>
      </w:r>
      <w:r w:rsidRPr="00801624">
        <w:rPr>
          <w:bCs/>
        </w:rPr>
        <w:t>42 USC 241 and 42 USC 288</w:t>
      </w:r>
      <w:r w:rsidR="00F061BD">
        <w:rPr>
          <w:bCs/>
        </w:rPr>
        <w:t>.</w:t>
      </w:r>
      <w:r w:rsidRPr="00801624">
        <w:rPr>
          <w:bCs/>
        </w:rPr>
        <w:t xml:space="preserve"> Applicable regulations include: 42 CFR 52.4 specifying the content of the grant application, </w:t>
      </w:r>
      <w:r w:rsidRPr="00801624">
        <w:t>42 CFR 52a.4 specifying the content of the center grant application, and 42 CFR 66.204 specifying the content of the NRSA application.</w:t>
      </w:r>
      <w:r w:rsidR="00F061BD">
        <w:t xml:space="preserve"> Awards are </w:t>
      </w:r>
      <w:r w:rsidR="00A74C52" w:rsidRPr="00A74C52">
        <w:t>issued under various NIH programs</w:t>
      </w:r>
      <w:r w:rsidR="00A74C52">
        <w:t>,</w:t>
      </w:r>
      <w:r w:rsidR="00A74C52" w:rsidRPr="00A74C52">
        <w:t xml:space="preserve"> which are </w:t>
      </w:r>
      <w:r w:rsidR="00F061BD" w:rsidRPr="00801624">
        <w:rPr>
          <w:bCs/>
        </w:rPr>
        <w:t xml:space="preserve">identified in the Catalogue of Federal Domestic Assistance (Attachment </w:t>
      </w:r>
      <w:r w:rsidR="00F061BD">
        <w:rPr>
          <w:bCs/>
        </w:rPr>
        <w:t>2</w:t>
      </w:r>
      <w:r w:rsidR="00F061BD" w:rsidRPr="00801624">
        <w:rPr>
          <w:bCs/>
        </w:rPr>
        <w:t xml:space="preserve">).  </w:t>
      </w:r>
    </w:p>
    <w:p w14:paraId="46D6772E" w14:textId="77777777" w:rsidR="007B69CB" w:rsidRDefault="007B69CB" w:rsidP="00A63081">
      <w:pPr>
        <w:ind w:right="-684"/>
        <w:rPr>
          <w:bCs/>
          <w:u w:val="single"/>
        </w:rPr>
      </w:pPr>
    </w:p>
    <w:p w14:paraId="2CA6EACA" w14:textId="77777777" w:rsidR="00F770A9" w:rsidRDefault="00440202" w:rsidP="00055D7A">
      <w:pPr>
        <w:spacing w:line="480" w:lineRule="auto"/>
        <w:ind w:right="-684"/>
        <w:rPr>
          <w:bCs/>
        </w:rPr>
      </w:pPr>
      <w:r>
        <w:rPr>
          <w:bCs/>
          <w:u w:val="single"/>
        </w:rPr>
        <w:t>SF424 (R&amp;R) and PHS</w:t>
      </w:r>
      <w:r w:rsidR="00DE5689">
        <w:rPr>
          <w:bCs/>
          <w:u w:val="single"/>
        </w:rPr>
        <w:t xml:space="preserve"> </w:t>
      </w:r>
      <w:r>
        <w:rPr>
          <w:bCs/>
          <w:u w:val="single"/>
        </w:rPr>
        <w:t>398 Forms</w:t>
      </w:r>
      <w:r w:rsidR="007B69CB" w:rsidRPr="007B69CB">
        <w:rPr>
          <w:bCs/>
        </w:rPr>
        <w:t>:</w:t>
      </w:r>
      <w:r w:rsidR="003C29CE" w:rsidRPr="003C29CE">
        <w:rPr>
          <w:bCs/>
        </w:rPr>
        <w:t xml:space="preserve"> </w:t>
      </w:r>
      <w:r w:rsidR="003C29CE">
        <w:rPr>
          <w:bCs/>
        </w:rPr>
        <w:t xml:space="preserve">The large majority of award applications to NIH and other PHS agencies are submitted electronically through Grants.gov using the Federal-wide SF424 (R&amp;R) application data set. </w:t>
      </w:r>
      <w:r w:rsidR="003C29CE" w:rsidRPr="005D2CAF">
        <w:t xml:space="preserve">The SF424 (R&amp;R) is </w:t>
      </w:r>
      <w:r w:rsidR="003C29CE" w:rsidRPr="005D2CAF">
        <w:rPr>
          <w:bCs/>
        </w:rPr>
        <w:t>separately approved by OMB under OMB Number 4040-0001.</w:t>
      </w:r>
      <w:r w:rsidR="003C29CE">
        <w:rPr>
          <w:bCs/>
        </w:rPr>
        <w:t xml:space="preserve"> NIH and other PHS agencies also require submission of additional PHS</w:t>
      </w:r>
      <w:r w:rsidR="00DE5689">
        <w:rPr>
          <w:bCs/>
        </w:rPr>
        <w:t xml:space="preserve"> </w:t>
      </w:r>
      <w:r w:rsidR="003C29CE">
        <w:rPr>
          <w:bCs/>
        </w:rPr>
        <w:t xml:space="preserve">398 forms for collecting agency-specific data not included in the Federal-wide forms as part of the application data set.   </w:t>
      </w:r>
    </w:p>
    <w:p w14:paraId="1A8A2160" w14:textId="77777777" w:rsidR="00F770A9" w:rsidRDefault="00F770A9" w:rsidP="001D5F9B">
      <w:pPr>
        <w:ind w:right="-684"/>
        <w:rPr>
          <w:bCs/>
        </w:rPr>
      </w:pPr>
    </w:p>
    <w:p w14:paraId="402F191F" w14:textId="57B6E31E" w:rsidR="00055D7A" w:rsidRDefault="00440202" w:rsidP="00055D7A">
      <w:pPr>
        <w:spacing w:line="480" w:lineRule="auto"/>
        <w:ind w:right="-684"/>
        <w:rPr>
          <w:bCs/>
        </w:rPr>
      </w:pPr>
      <w:r>
        <w:rPr>
          <w:bCs/>
        </w:rPr>
        <w:t>NIH and other PHS a</w:t>
      </w:r>
      <w:r w:rsidRPr="002A3D1A">
        <w:rPr>
          <w:bCs/>
        </w:rPr>
        <w:t xml:space="preserve">gencies are </w:t>
      </w:r>
      <w:r>
        <w:rPr>
          <w:bCs/>
        </w:rPr>
        <w:t xml:space="preserve">continuing to </w:t>
      </w:r>
      <w:r w:rsidRPr="002A3D1A">
        <w:rPr>
          <w:bCs/>
        </w:rPr>
        <w:t xml:space="preserve">transition to </w:t>
      </w:r>
      <w:r>
        <w:rPr>
          <w:bCs/>
        </w:rPr>
        <w:t xml:space="preserve">full electronic submission through </w:t>
      </w:r>
      <w:r w:rsidR="00AE1999">
        <w:rPr>
          <w:bCs/>
        </w:rPr>
        <w:t>G</w:t>
      </w:r>
      <w:r>
        <w:rPr>
          <w:bCs/>
        </w:rPr>
        <w:t xml:space="preserve">rants.gov and use of </w:t>
      </w:r>
      <w:r w:rsidRPr="002A3D1A">
        <w:rPr>
          <w:bCs/>
        </w:rPr>
        <w:t>the Federal-wide SF424 (R&amp;R)</w:t>
      </w:r>
      <w:r>
        <w:rPr>
          <w:bCs/>
        </w:rPr>
        <w:t xml:space="preserve"> application data set. </w:t>
      </w:r>
      <w:r w:rsidRPr="002A3D1A">
        <w:rPr>
          <w:bCs/>
        </w:rPr>
        <w:t xml:space="preserve">During the transition period there is </w:t>
      </w:r>
      <w:r w:rsidR="00AE1999">
        <w:rPr>
          <w:bCs/>
        </w:rPr>
        <w:t xml:space="preserve">a </w:t>
      </w:r>
      <w:r w:rsidRPr="002A3D1A">
        <w:rPr>
          <w:bCs/>
        </w:rPr>
        <w:t xml:space="preserve">need to maintain essentially dual applications processes: complete PHS 398 forms and instructions for programs that have yet to transition to electronic submission and are submitted in hard copy; and PHS 398 component forms for collecting agency-specific data unique to PHS programs that are not part of the Federal-wide SF424 (R&amp;R) data set. The PHS 398 presented in this clearance </w:t>
      </w:r>
      <w:r w:rsidRPr="002A3D1A">
        <w:rPr>
          <w:bCs/>
        </w:rPr>
        <w:lastRenderedPageBreak/>
        <w:t>package includes the</w:t>
      </w:r>
      <w:r w:rsidR="00F770A9">
        <w:rPr>
          <w:bCs/>
        </w:rPr>
        <w:t xml:space="preserve"> PHS</w:t>
      </w:r>
      <w:r w:rsidRPr="002A3D1A">
        <w:rPr>
          <w:bCs/>
        </w:rPr>
        <w:t xml:space="preserve"> 398 forms that are modified since the</w:t>
      </w:r>
      <w:r w:rsidR="00D902F7">
        <w:rPr>
          <w:bCs/>
        </w:rPr>
        <w:t xml:space="preserve"> last OMB approval (</w:t>
      </w:r>
      <w:r w:rsidR="00D902F7" w:rsidRPr="00DE5689">
        <w:rPr>
          <w:bCs/>
        </w:rPr>
        <w:t>Attachment 3</w:t>
      </w:r>
      <w:r w:rsidRPr="00DE5689">
        <w:rPr>
          <w:bCs/>
        </w:rPr>
        <w:t>),</w:t>
      </w:r>
      <w:r w:rsidRPr="002A3D1A">
        <w:rPr>
          <w:bCs/>
        </w:rPr>
        <w:t xml:space="preserve"> the entire set of PHS 398 instru</w:t>
      </w:r>
      <w:r w:rsidR="00D902F7">
        <w:rPr>
          <w:bCs/>
        </w:rPr>
        <w:t xml:space="preserve">ctions (Attachment </w:t>
      </w:r>
      <w:r w:rsidR="00D902F7" w:rsidRPr="00DE5689">
        <w:rPr>
          <w:bCs/>
        </w:rPr>
        <w:t>4</w:t>
      </w:r>
      <w:r w:rsidRPr="00DE5689">
        <w:rPr>
          <w:bCs/>
        </w:rPr>
        <w:t>)</w:t>
      </w:r>
      <w:r w:rsidRPr="002A3D1A">
        <w:rPr>
          <w:bCs/>
        </w:rPr>
        <w:t xml:space="preserve">, </w:t>
      </w:r>
      <w:r w:rsidRPr="005C1D48">
        <w:rPr>
          <w:bCs/>
        </w:rPr>
        <w:t>and the PHS 398 component forms and agency specific instructions used in combination with the Federa</w:t>
      </w:r>
      <w:r w:rsidR="00D902F7">
        <w:rPr>
          <w:bCs/>
        </w:rPr>
        <w:t xml:space="preserve">l-wide SF424 (R&amp;R) (Attachment </w:t>
      </w:r>
      <w:r w:rsidR="00D902F7" w:rsidRPr="00DE5689">
        <w:rPr>
          <w:bCs/>
        </w:rPr>
        <w:t>5</w:t>
      </w:r>
      <w:r w:rsidRPr="005C1D48">
        <w:rPr>
          <w:bCs/>
        </w:rPr>
        <w:t>)</w:t>
      </w:r>
      <w:r w:rsidRPr="002A3D1A">
        <w:rPr>
          <w:bCs/>
        </w:rPr>
        <w:t>.</w:t>
      </w:r>
      <w:r w:rsidR="00BF1933">
        <w:rPr>
          <w:bCs/>
        </w:rPr>
        <w:t xml:space="preserve"> A new component form entitled “</w:t>
      </w:r>
      <w:r w:rsidR="00401E76" w:rsidRPr="00401E76">
        <w:rPr>
          <w:bCs/>
        </w:rPr>
        <w:t>PHS Human Subjects and Clinical Trials Information</w:t>
      </w:r>
      <w:r w:rsidR="00BF1933">
        <w:rPr>
          <w:bCs/>
        </w:rPr>
        <w:t>”</w:t>
      </w:r>
      <w:r w:rsidRPr="002A3D1A">
        <w:rPr>
          <w:bCs/>
        </w:rPr>
        <w:t xml:space="preserve"> </w:t>
      </w:r>
      <w:r w:rsidR="00BF1933">
        <w:rPr>
          <w:bCs/>
        </w:rPr>
        <w:t xml:space="preserve">has been added. </w:t>
      </w:r>
      <w:r w:rsidRPr="002A3D1A">
        <w:rPr>
          <w:bCs/>
        </w:rPr>
        <w:t>Use of the PHS 398 paper application diminishes as programs transition to electronic submission</w:t>
      </w:r>
      <w:r>
        <w:rPr>
          <w:bCs/>
        </w:rPr>
        <w:t xml:space="preserve">, particularly for complex applications such as Research Program Projects and Centers </w:t>
      </w:r>
      <w:r w:rsidRPr="002A3D1A">
        <w:rPr>
          <w:bCs/>
        </w:rPr>
        <w:t xml:space="preserve">(see Section 3. Use of Information </w:t>
      </w:r>
      <w:r>
        <w:rPr>
          <w:bCs/>
        </w:rPr>
        <w:t>T</w:t>
      </w:r>
      <w:r w:rsidRPr="002A3D1A">
        <w:rPr>
          <w:bCs/>
        </w:rPr>
        <w:t xml:space="preserve">echnology and Burden Reduction). At this time </w:t>
      </w:r>
      <w:r w:rsidR="00055D7A">
        <w:rPr>
          <w:bCs/>
        </w:rPr>
        <w:t>95</w:t>
      </w:r>
      <w:r w:rsidRPr="002D6383">
        <w:rPr>
          <w:bCs/>
        </w:rPr>
        <w:t>%</w:t>
      </w:r>
      <w:r w:rsidRPr="002A3D1A">
        <w:rPr>
          <w:bCs/>
        </w:rPr>
        <w:t xml:space="preserve"> of </w:t>
      </w:r>
      <w:r>
        <w:rPr>
          <w:bCs/>
        </w:rPr>
        <w:t>program</w:t>
      </w:r>
      <w:r w:rsidRPr="002A3D1A">
        <w:rPr>
          <w:bCs/>
        </w:rPr>
        <w:t xml:space="preserve">s have transitioned to electronic submission </w:t>
      </w:r>
      <w:r>
        <w:rPr>
          <w:bCs/>
        </w:rPr>
        <w:t>that</w:t>
      </w:r>
      <w:r w:rsidRPr="002A3D1A">
        <w:rPr>
          <w:bCs/>
        </w:rPr>
        <w:t xml:space="preserve"> use the SF424 (R&amp;R) and PHS 398 component forms.</w:t>
      </w:r>
    </w:p>
    <w:p w14:paraId="69E38B68" w14:textId="77777777" w:rsidR="00055D7A" w:rsidRDefault="00055D7A" w:rsidP="001D5F9B">
      <w:pPr>
        <w:ind w:right="-684"/>
        <w:rPr>
          <w:bCs/>
        </w:rPr>
      </w:pPr>
    </w:p>
    <w:p w14:paraId="59680A1E" w14:textId="06A4FEBB" w:rsidR="003C29CE" w:rsidRDefault="00066B84" w:rsidP="00055D7A">
      <w:pPr>
        <w:spacing w:line="480" w:lineRule="auto"/>
        <w:ind w:right="-684"/>
        <w:rPr>
          <w:bCs/>
        </w:rPr>
      </w:pPr>
      <w:r w:rsidRPr="000D16C0">
        <w:rPr>
          <w:bCs/>
          <w:u w:val="single"/>
        </w:rPr>
        <w:t>PHS Fellowship Supplemental Form</w:t>
      </w:r>
      <w:r>
        <w:rPr>
          <w:bCs/>
        </w:rPr>
        <w:t xml:space="preserve"> [electronic]</w:t>
      </w:r>
      <w:r w:rsidR="007A6CA6">
        <w:rPr>
          <w:bCs/>
        </w:rPr>
        <w:t>:</w:t>
      </w:r>
      <w:r>
        <w:rPr>
          <w:bCs/>
        </w:rPr>
        <w:t xml:space="preserve"> </w:t>
      </w:r>
      <w:r w:rsidR="003C29CE">
        <w:t xml:space="preserve">All new and competing individual fellowship applications to NIH and AHRQ are submitted electronically through Grants.gov using the Federal-wide SF424 (R&amp;R) application data set. However, NIH and AHRQ also require submission of additional Fellowship-specific data not included in the Federal-wide forms. </w:t>
      </w:r>
      <w:r w:rsidR="003C29CE" w:rsidRPr="00732841">
        <w:t xml:space="preserve">The </w:t>
      </w:r>
      <w:r w:rsidR="00810D1A">
        <w:t xml:space="preserve">PHS </w:t>
      </w:r>
      <w:r w:rsidR="003C29CE">
        <w:t>Fellowship Supplemental Form</w:t>
      </w:r>
      <w:r w:rsidR="003C29CE" w:rsidRPr="00732841">
        <w:t xml:space="preserve"> is </w:t>
      </w:r>
      <w:r w:rsidR="003C29CE">
        <w:t xml:space="preserve">the form used to collect such agency and fellowship program specific information. It is </w:t>
      </w:r>
      <w:r w:rsidR="003C29CE" w:rsidRPr="00732841">
        <w:t>used by applicants to request federal assistance for research-related training</w:t>
      </w:r>
      <w:r w:rsidR="003C29CE">
        <w:t xml:space="preserve"> (see Attachment </w:t>
      </w:r>
      <w:r w:rsidR="003C29CE" w:rsidRPr="00DE5689">
        <w:t>6</w:t>
      </w:r>
      <w:r w:rsidR="003C29CE">
        <w:t xml:space="preserve"> for forms and instructions)</w:t>
      </w:r>
      <w:r w:rsidR="003C29CE" w:rsidRPr="00732841">
        <w:t>. Th</w:t>
      </w:r>
      <w:r w:rsidR="003C29CE">
        <w:t>i</w:t>
      </w:r>
      <w:r w:rsidR="003C29CE" w:rsidRPr="00732841">
        <w:t xml:space="preserve">s form </w:t>
      </w:r>
      <w:r w:rsidR="003C29CE">
        <w:t>is</w:t>
      </w:r>
      <w:r w:rsidR="003C29CE" w:rsidRPr="00732841">
        <w:t xml:space="preserve"> used by NIH</w:t>
      </w:r>
      <w:r w:rsidR="003C29CE">
        <w:t xml:space="preserve"> and </w:t>
      </w:r>
      <w:r w:rsidR="003C29CE" w:rsidRPr="00732841">
        <w:t>AHRQ</w:t>
      </w:r>
      <w:r w:rsidR="003C29CE">
        <w:t xml:space="preserve">. </w:t>
      </w:r>
      <w:r w:rsidR="00810D1A">
        <w:t xml:space="preserve"> </w:t>
      </w:r>
      <w:r w:rsidR="003C29CE" w:rsidRPr="00801624">
        <w:t>The form is required at various times and circumstances in the course of activities proposed to be carried out under the range of authorized PHS programs: initial or original requests; competing continuation requests for extension beyond the previously approved award period; supplemental requests for additional funds beyond those approved and awarded for an annual budget period.</w:t>
      </w:r>
      <w:r w:rsidR="00810D1A">
        <w:t xml:space="preserve"> </w:t>
      </w:r>
      <w:r w:rsidR="003C29CE" w:rsidRPr="00732841">
        <w:t xml:space="preserve">The awards </w:t>
      </w:r>
      <w:r w:rsidR="003C29CE">
        <w:t>a</w:t>
      </w:r>
      <w:r w:rsidR="003C29CE" w:rsidRPr="00732841">
        <w:t>re established under statutory authorities contained in the PHS Act, as amended (42 USC 288) and are authorized in accordance with 42 USC 288</w:t>
      </w:r>
      <w:r w:rsidR="003C29CE">
        <w:t xml:space="preserve"> and 42 CFR 66</w:t>
      </w:r>
      <w:r w:rsidR="003C29CE" w:rsidRPr="00732841">
        <w:t xml:space="preserve">. Information collection requirements specified in the regulations governing the NRSA program, include 42 CFR 66.104 (b) (application requirement), 42 CFR 66.105 (b) (candidate </w:t>
      </w:r>
      <w:r w:rsidR="003C29CE" w:rsidRPr="00732841">
        <w:lastRenderedPageBreak/>
        <w:t xml:space="preserve">assurance and certification) and 42 CFR 66.110 (service, payback, and recovery requirements). </w:t>
      </w:r>
      <w:r w:rsidR="003C29CE" w:rsidRPr="00732841">
        <w:rPr>
          <w:bCs/>
        </w:rPr>
        <w:t xml:space="preserve">This information collection is currently approved under OMB 0925-0002 (expiration </w:t>
      </w:r>
      <w:r w:rsidR="00BF1933">
        <w:rPr>
          <w:bCs/>
        </w:rPr>
        <w:t>October 31, 2018</w:t>
      </w:r>
      <w:r w:rsidR="003C29CE" w:rsidRPr="00732841">
        <w:rPr>
          <w:bCs/>
        </w:rPr>
        <w:t>).</w:t>
      </w:r>
    </w:p>
    <w:p w14:paraId="07590BFA" w14:textId="77777777" w:rsidR="00F512AC" w:rsidRDefault="00F512AC" w:rsidP="001D5F9B">
      <w:pPr>
        <w:tabs>
          <w:tab w:val="left" w:pos="1422"/>
        </w:tabs>
        <w:rPr>
          <w:bCs/>
        </w:rPr>
      </w:pPr>
    </w:p>
    <w:p w14:paraId="7E2D1895" w14:textId="77777777" w:rsidR="00EA1EBD" w:rsidRDefault="00EA1EBD" w:rsidP="00530196">
      <w:pPr>
        <w:tabs>
          <w:tab w:val="left" w:pos="1422"/>
        </w:tabs>
        <w:spacing w:line="480" w:lineRule="auto"/>
      </w:pPr>
      <w:r w:rsidRPr="00EA1EBD">
        <w:rPr>
          <w:u w:val="single"/>
        </w:rPr>
        <w:t xml:space="preserve">Multiple uses of the PHS </w:t>
      </w:r>
      <w:r w:rsidR="00440202">
        <w:rPr>
          <w:u w:val="single"/>
        </w:rPr>
        <w:t xml:space="preserve">Fellowship </w:t>
      </w:r>
      <w:r w:rsidR="007A6CA6">
        <w:rPr>
          <w:u w:val="single"/>
        </w:rPr>
        <w:t>Supplemental Form</w:t>
      </w:r>
      <w:r w:rsidRPr="00801624">
        <w:t xml:space="preserve">: These applications are used for all types of </w:t>
      </w:r>
      <w:proofErr w:type="spellStart"/>
      <w:r w:rsidRPr="00801624">
        <w:t>Kirschstein</w:t>
      </w:r>
      <w:proofErr w:type="spellEnd"/>
      <w:r w:rsidRPr="00801624">
        <w:t>-NRSA Individual Fellowships—</w:t>
      </w:r>
      <w:proofErr w:type="spellStart"/>
      <w:r w:rsidRPr="00801624">
        <w:t>Predoctoral</w:t>
      </w:r>
      <w:proofErr w:type="spellEnd"/>
      <w:r w:rsidRPr="00801624">
        <w:t xml:space="preserve">, Postdoctoral, and Senior. Special instructions may apply to </w:t>
      </w:r>
      <w:proofErr w:type="spellStart"/>
      <w:r w:rsidRPr="00801624">
        <w:t>Predoctoral</w:t>
      </w:r>
      <w:proofErr w:type="spellEnd"/>
      <w:r w:rsidRPr="00801624">
        <w:t xml:space="preserve"> and Senior Fellowship Applicants. In addition to the </w:t>
      </w:r>
      <w:proofErr w:type="spellStart"/>
      <w:r w:rsidRPr="00801624">
        <w:t>Predoctoral</w:t>
      </w:r>
      <w:proofErr w:type="spellEnd"/>
      <w:r w:rsidRPr="00801624">
        <w:t xml:space="preserve"> and Postdoctoral Individual Kirschstein-NRSA, the PHS uses these applications for other programs including the following: Individual </w:t>
      </w:r>
      <w:proofErr w:type="spellStart"/>
      <w:r w:rsidRPr="00801624">
        <w:t>Predoctoral</w:t>
      </w:r>
      <w:proofErr w:type="spellEnd"/>
      <w:r w:rsidRPr="00801624">
        <w:t xml:space="preserve"> </w:t>
      </w:r>
      <w:proofErr w:type="spellStart"/>
      <w:r w:rsidRPr="00801624">
        <w:t>Kirschstein</w:t>
      </w:r>
      <w:proofErr w:type="spellEnd"/>
      <w:r w:rsidRPr="00801624">
        <w:t xml:space="preserve">-NRSA for M.D./Ph.D. Fellowships; Kirschstein-NRSAs for Senior Fellows; </w:t>
      </w:r>
      <w:r w:rsidR="00AE1999">
        <w:t>Minority Access to Research Career (</w:t>
      </w:r>
      <w:r w:rsidRPr="00801624">
        <w:t>MARC</w:t>
      </w:r>
      <w:r w:rsidR="00AE1999">
        <w:t>)</w:t>
      </w:r>
      <w:r w:rsidRPr="00801624">
        <w:t xml:space="preserve"> Kirsc</w:t>
      </w:r>
      <w:r w:rsidR="006725C0">
        <w:t>hstein-NRSA Faculty Fellowships</w:t>
      </w:r>
      <w:r w:rsidRPr="00801624">
        <w:t xml:space="preserve">; MARC Visiting Scientists Fellowships; Postdoctoral Medical Informatics Fellowships and Senior Medical Informatics Fellowships. </w:t>
      </w:r>
    </w:p>
    <w:p w14:paraId="2315171F" w14:textId="77777777" w:rsidR="00921D23" w:rsidRDefault="00921D23" w:rsidP="001D5F9B">
      <w:pPr>
        <w:tabs>
          <w:tab w:val="left" w:pos="1422"/>
        </w:tabs>
        <w:rPr>
          <w:bCs/>
        </w:rPr>
      </w:pPr>
    </w:p>
    <w:p w14:paraId="7B24D800" w14:textId="77777777" w:rsidR="007C0596" w:rsidRPr="00682B5E" w:rsidRDefault="00066B84" w:rsidP="00530196">
      <w:pPr>
        <w:tabs>
          <w:tab w:val="left" w:pos="1422"/>
        </w:tabs>
        <w:spacing w:line="480" w:lineRule="auto"/>
        <w:rPr>
          <w:bCs/>
          <w:u w:val="single"/>
        </w:rPr>
      </w:pPr>
      <w:r w:rsidRPr="0095101E">
        <w:rPr>
          <w:u w:val="single"/>
        </w:rPr>
        <w:t>PHS 416-1</w:t>
      </w:r>
      <w:r>
        <w:t xml:space="preserve">: </w:t>
      </w:r>
      <w:r w:rsidRPr="00732841">
        <w:t xml:space="preserve">The Public Health Service Grant Application </w:t>
      </w:r>
      <w:r w:rsidRPr="009F237C">
        <w:t>PHS 416-1</w:t>
      </w:r>
      <w:r w:rsidRPr="00732841">
        <w:t>, Ruth L. Kirschstein National Research Service Award In</w:t>
      </w:r>
      <w:r>
        <w:t xml:space="preserve">dividual Fellowship Application [paper] is used </w:t>
      </w:r>
      <w:r w:rsidRPr="00066B84">
        <w:rPr>
          <w:b/>
        </w:rPr>
        <w:t>only</w:t>
      </w:r>
      <w:r>
        <w:t xml:space="preserve"> for a change of sponsoring institution application</w:t>
      </w:r>
      <w:r w:rsidR="00D902F7">
        <w:t xml:space="preserve"> (Attachments </w:t>
      </w:r>
      <w:r w:rsidR="00D902F7" w:rsidRPr="00921D23">
        <w:t>7 and 8</w:t>
      </w:r>
      <w:r w:rsidR="00D902F7">
        <w:t>)</w:t>
      </w:r>
      <w:r>
        <w:t>.</w:t>
      </w:r>
      <w:r w:rsidR="00DA7AB3">
        <w:t xml:space="preserve"> NIH is developing an electronic business process for handling change of sponsoring institution applications</w:t>
      </w:r>
      <w:r w:rsidR="00921D23">
        <w:t xml:space="preserve"> for all grant mechanisms</w:t>
      </w:r>
      <w:r w:rsidR="00DA7AB3">
        <w:t xml:space="preserve">; thus </w:t>
      </w:r>
      <w:r w:rsidR="00DA7AB3" w:rsidRPr="00682B5E">
        <w:t xml:space="preserve">the use of paper </w:t>
      </w:r>
      <w:r w:rsidR="007A55B6" w:rsidRPr="00682B5E">
        <w:t>forms will eventually be eliminated.</w:t>
      </w:r>
      <w:r w:rsidRPr="00682B5E">
        <w:t xml:space="preserve"> </w:t>
      </w:r>
    </w:p>
    <w:p w14:paraId="4F7F6CBD" w14:textId="77777777" w:rsidR="00B0036C" w:rsidRPr="00682B5E" w:rsidRDefault="00B0036C" w:rsidP="001D5F9B">
      <w:pPr>
        <w:rPr>
          <w:bCs/>
          <w:u w:val="single"/>
        </w:rPr>
      </w:pPr>
    </w:p>
    <w:p w14:paraId="667B687F" w14:textId="54FCF031" w:rsidR="00682B5E" w:rsidRDefault="00921D23" w:rsidP="005206DA">
      <w:pPr>
        <w:spacing w:line="480" w:lineRule="auto"/>
        <w:rPr>
          <w:bCs/>
          <w:u w:val="single"/>
        </w:rPr>
      </w:pPr>
      <w:r w:rsidRPr="00682B5E">
        <w:rPr>
          <w:bCs/>
          <w:u w:val="single"/>
        </w:rPr>
        <w:t>Biographical Sketch</w:t>
      </w:r>
      <w:r w:rsidRPr="00682B5E">
        <w:rPr>
          <w:bCs/>
        </w:rPr>
        <w:t xml:space="preserve">: </w:t>
      </w:r>
      <w:r w:rsidR="00682B5E" w:rsidRPr="00682B5E">
        <w:rPr>
          <w:bCs/>
        </w:rPr>
        <w:t>Grant and cooperative</w:t>
      </w:r>
      <w:r w:rsidRPr="00682B5E">
        <w:rPr>
          <w:bCs/>
        </w:rPr>
        <w:t xml:space="preserve"> applications require a biographical sketch be completed and uploaded for all senior/key personnel</w:t>
      </w:r>
      <w:r w:rsidR="00682B5E" w:rsidRPr="00682B5E">
        <w:rPr>
          <w:bCs/>
        </w:rPr>
        <w:t xml:space="preserve"> and other significant </w:t>
      </w:r>
      <w:proofErr w:type="spellStart"/>
      <w:r w:rsidR="00682B5E" w:rsidRPr="00682B5E">
        <w:rPr>
          <w:bCs/>
        </w:rPr>
        <w:t>contributers</w:t>
      </w:r>
      <w:proofErr w:type="spellEnd"/>
      <w:r w:rsidR="00682B5E" w:rsidRPr="00682B5E">
        <w:rPr>
          <w:bCs/>
        </w:rPr>
        <w:t>.</w:t>
      </w:r>
      <w:r w:rsidRPr="00682B5E">
        <w:rPr>
          <w:bCs/>
        </w:rPr>
        <w:t xml:space="preserve"> There is a General Biographical Sketch Format Page that is available for </w:t>
      </w:r>
      <w:r w:rsidR="00682B5E" w:rsidRPr="002E2F3E">
        <w:rPr>
          <w:shd w:val="clear" w:color="auto" w:fill="FFFFFF"/>
        </w:rPr>
        <w:t>research grant applications, career development, training grant, and all other non-fellowship application types</w:t>
      </w:r>
      <w:r w:rsidR="00F770A9" w:rsidRPr="002E2F3E">
        <w:rPr>
          <w:bCs/>
        </w:rPr>
        <w:t xml:space="preserve"> </w:t>
      </w:r>
      <w:r w:rsidR="00682B5E" w:rsidRPr="00682B5E">
        <w:t>(</w:t>
      </w:r>
      <w:r w:rsidR="004B191A">
        <w:t>see Attachment 9 for format page, instructions, and sample</w:t>
      </w:r>
      <w:r w:rsidR="00682B5E" w:rsidRPr="00682B5E">
        <w:t>)</w:t>
      </w:r>
      <w:r w:rsidR="00682B5E" w:rsidRPr="00682B5E">
        <w:rPr>
          <w:bCs/>
        </w:rPr>
        <w:t>.</w:t>
      </w:r>
      <w:r w:rsidRPr="00682B5E">
        <w:rPr>
          <w:bCs/>
        </w:rPr>
        <w:t xml:space="preserve"> A Fellowship </w:t>
      </w:r>
      <w:proofErr w:type="spellStart"/>
      <w:r w:rsidRPr="00682B5E">
        <w:rPr>
          <w:bCs/>
        </w:rPr>
        <w:t>Sponor</w:t>
      </w:r>
      <w:proofErr w:type="spellEnd"/>
      <w:r w:rsidRPr="00682B5E">
        <w:rPr>
          <w:bCs/>
        </w:rPr>
        <w:t xml:space="preserve">/Co-Sponsor can also use this format page. </w:t>
      </w:r>
      <w:r w:rsidR="00682B5E" w:rsidRPr="00682B5E">
        <w:rPr>
          <w:bCs/>
        </w:rPr>
        <w:t xml:space="preserve">Individual fellowships, R36 dissertation grants, and diversity supplement applicants </w:t>
      </w:r>
      <w:r w:rsidR="00682B5E" w:rsidRPr="00682B5E">
        <w:rPr>
          <w:bCs/>
        </w:rPr>
        <w:lastRenderedPageBreak/>
        <w:t>should use the Fellowship Application Biographical Sketch Format Page (s</w:t>
      </w:r>
      <w:r w:rsidR="004B191A">
        <w:rPr>
          <w:bCs/>
        </w:rPr>
        <w:t>ee Attachment 10 for format page, instructions, and samples</w:t>
      </w:r>
      <w:r w:rsidR="00682B5E" w:rsidRPr="00682B5E">
        <w:rPr>
          <w:bCs/>
        </w:rPr>
        <w:t>).</w:t>
      </w:r>
      <w:r w:rsidR="00682B5E" w:rsidRPr="00682B5E">
        <w:rPr>
          <w:bCs/>
          <w:u w:val="single"/>
        </w:rPr>
        <w:t xml:space="preserve"> </w:t>
      </w:r>
    </w:p>
    <w:p w14:paraId="2764C82C" w14:textId="77777777" w:rsidR="00BC6EB3" w:rsidRDefault="00BC6EB3" w:rsidP="001D5F9B">
      <w:pPr>
        <w:tabs>
          <w:tab w:val="left" w:pos="1422"/>
        </w:tabs>
        <w:rPr>
          <w:bCs/>
        </w:rPr>
      </w:pPr>
    </w:p>
    <w:p w14:paraId="6060195F" w14:textId="727565FA" w:rsidR="00BC6EB3" w:rsidRPr="00BC6EB3" w:rsidRDefault="00BC6EB3" w:rsidP="00BC6EB3">
      <w:pPr>
        <w:tabs>
          <w:tab w:val="left" w:pos="1422"/>
        </w:tabs>
        <w:spacing w:line="480" w:lineRule="auto"/>
      </w:pPr>
      <w:r w:rsidRPr="00BC6EB3">
        <w:rPr>
          <w:bCs/>
          <w:u w:val="single"/>
        </w:rPr>
        <w:t>Data Tables</w:t>
      </w:r>
      <w:r>
        <w:rPr>
          <w:bCs/>
        </w:rPr>
        <w:t xml:space="preserve">: </w:t>
      </w:r>
      <w:r w:rsidRPr="000503D7">
        <w:rPr>
          <w:bCs/>
        </w:rPr>
        <w:t>Institutional Research Training grant applications using the SF424 (R&amp;R)</w:t>
      </w:r>
      <w:r>
        <w:rPr>
          <w:bCs/>
        </w:rPr>
        <w:t xml:space="preserve"> must complete applicable data tables (see Attachment 11 for instructions and samples). The </w:t>
      </w:r>
      <w:r w:rsidRPr="00BC6EB3">
        <w:rPr>
          <w:bCs/>
        </w:rPr>
        <w:t xml:space="preserve">Introduction to the Data Tables </w:t>
      </w:r>
      <w:r>
        <w:rPr>
          <w:bCs/>
        </w:rPr>
        <w:t>provides</w:t>
      </w:r>
      <w:r w:rsidRPr="00BC6EB3">
        <w:rPr>
          <w:bCs/>
        </w:rPr>
        <w:t xml:space="preserve"> instructions applicable to all tables, specific instructions for each table, and Sample Data Tables.</w:t>
      </w:r>
      <w:r>
        <w:rPr>
          <w:bCs/>
        </w:rPr>
        <w:t xml:space="preserve"> </w:t>
      </w:r>
      <w:r w:rsidRPr="00BC6EB3">
        <w:rPr>
          <w:bCs/>
        </w:rPr>
        <w:t>The Sample Data Tables illustrate the kind of data to include in each table for Kirschstein-NRSA training grant applications</w:t>
      </w:r>
      <w:r>
        <w:rPr>
          <w:bCs/>
        </w:rPr>
        <w:t xml:space="preserve">. These tables </w:t>
      </w:r>
      <w:r w:rsidRPr="00140B74">
        <w:t xml:space="preserve">include </w:t>
      </w:r>
      <w:r>
        <w:t xml:space="preserve">undergraduate training, </w:t>
      </w:r>
      <w:proofErr w:type="spellStart"/>
      <w:r w:rsidRPr="00140B74">
        <w:t>predoctoral</w:t>
      </w:r>
      <w:proofErr w:type="spellEnd"/>
      <w:r>
        <w:t xml:space="preserve"> training, </w:t>
      </w:r>
      <w:r w:rsidRPr="00140B74">
        <w:t xml:space="preserve">postdoctoral training, </w:t>
      </w:r>
      <w:r>
        <w:t>short-term training, or a mix of these types.</w:t>
      </w:r>
      <w:r w:rsidR="00317AC3">
        <w:t xml:space="preserve"> </w:t>
      </w:r>
      <w:r w:rsidR="002E2F3E">
        <w:t>Also included is a set of training tables for in</w:t>
      </w:r>
      <w:r w:rsidR="00E5725F">
        <w:t>t</w:t>
      </w:r>
      <w:r w:rsidR="002E2F3E">
        <w:t>ernation</w:t>
      </w:r>
      <w:r w:rsidR="00A74C52">
        <w:t>a</w:t>
      </w:r>
      <w:r w:rsidR="002E2F3E">
        <w:t>l programs</w:t>
      </w:r>
      <w:r w:rsidR="00A3785A">
        <w:t>.</w:t>
      </w:r>
      <w:r w:rsidR="002E2F3E">
        <w:t xml:space="preserve"> </w:t>
      </w:r>
    </w:p>
    <w:p w14:paraId="61BA4619" w14:textId="77777777" w:rsidR="00682B5E" w:rsidRPr="00682B5E" w:rsidRDefault="00682B5E" w:rsidP="005206DA">
      <w:pPr>
        <w:spacing w:line="480" w:lineRule="auto"/>
        <w:rPr>
          <w:bCs/>
          <w:u w:val="single"/>
        </w:rPr>
      </w:pPr>
    </w:p>
    <w:p w14:paraId="42201F33" w14:textId="77777777" w:rsidR="00EA1EBD" w:rsidRDefault="005206DA" w:rsidP="005206DA">
      <w:pPr>
        <w:spacing w:line="480" w:lineRule="auto"/>
      </w:pPr>
      <w:r w:rsidRPr="00BB52D2">
        <w:rPr>
          <w:bCs/>
          <w:u w:val="single"/>
        </w:rPr>
        <w:t xml:space="preserve">PHS </w:t>
      </w:r>
      <w:r w:rsidRPr="00BB52D2">
        <w:rPr>
          <w:u w:val="single"/>
        </w:rPr>
        <w:t>416-5</w:t>
      </w:r>
      <w:r>
        <w:t>:</w:t>
      </w:r>
      <w:r w:rsidRPr="00DE500A">
        <w:t xml:space="preserve"> </w:t>
      </w:r>
      <w:r w:rsidR="009C4EA5">
        <w:t xml:space="preserve">Ruth L. Kirschstein </w:t>
      </w:r>
      <w:r>
        <w:t>National Research Service Award Individual Fellowship Activation Notice</w:t>
      </w:r>
      <w:r w:rsidR="00E52643">
        <w:t xml:space="preserve"> </w:t>
      </w:r>
      <w:r w:rsidR="00EA1EBD" w:rsidRPr="00801624">
        <w:t xml:space="preserve">(Attachment </w:t>
      </w:r>
      <w:r w:rsidR="00DA64B1">
        <w:t>12</w:t>
      </w:r>
      <w:r w:rsidR="00EA1EBD" w:rsidRPr="00801624">
        <w:t>) is used by individuals to indicate the start date of their awards. Individuals have a 6-month period after the initial award is issued to begin training</w:t>
      </w:r>
      <w:r w:rsidR="00EA1EBD">
        <w:t>.</w:t>
      </w:r>
    </w:p>
    <w:p w14:paraId="6559B381" w14:textId="77777777" w:rsidR="00BC6EB3" w:rsidRDefault="00BC6EB3" w:rsidP="001D5F9B">
      <w:pPr>
        <w:tabs>
          <w:tab w:val="left" w:pos="1422"/>
        </w:tabs>
        <w:rPr>
          <w:bCs/>
          <w:u w:val="single"/>
        </w:rPr>
      </w:pPr>
    </w:p>
    <w:p w14:paraId="3D483CBF" w14:textId="04B34903" w:rsidR="00EA1EBD" w:rsidRDefault="00AA535A" w:rsidP="00530196">
      <w:pPr>
        <w:tabs>
          <w:tab w:val="left" w:pos="1422"/>
        </w:tabs>
        <w:spacing w:line="480" w:lineRule="auto"/>
      </w:pPr>
      <w:r w:rsidRPr="00AA535A">
        <w:rPr>
          <w:bCs/>
          <w:u w:val="single"/>
        </w:rPr>
        <w:t>PHS 6031</w:t>
      </w:r>
      <w:r>
        <w:rPr>
          <w:bCs/>
        </w:rPr>
        <w:t xml:space="preserve">: </w:t>
      </w:r>
      <w:r w:rsidR="009C4EA5">
        <w:t>Ruth L. Kirschstein National Research Service Award</w:t>
      </w:r>
      <w:r w:rsidR="009C4EA5">
        <w:rPr>
          <w:bCs/>
        </w:rPr>
        <w:t xml:space="preserve"> </w:t>
      </w:r>
      <w:r>
        <w:rPr>
          <w:bCs/>
        </w:rPr>
        <w:t>Payback Agreement certifies agreement to fulfill the payback obligation in service or dollars based on the length and amo</w:t>
      </w:r>
      <w:r w:rsidR="009F2779">
        <w:rPr>
          <w:bCs/>
        </w:rPr>
        <w:t xml:space="preserve">unt of support (see Attachment </w:t>
      </w:r>
      <w:r w:rsidR="00DA64B1">
        <w:rPr>
          <w:bCs/>
        </w:rPr>
        <w:t>13</w:t>
      </w:r>
      <w:r w:rsidR="00682B5E">
        <w:rPr>
          <w:bCs/>
        </w:rPr>
        <w:t xml:space="preserve"> </w:t>
      </w:r>
      <w:r>
        <w:rPr>
          <w:bCs/>
        </w:rPr>
        <w:t>instructions and form</w:t>
      </w:r>
      <w:r w:rsidR="00D313CF">
        <w:rPr>
          <w:bCs/>
        </w:rPr>
        <w:t>)</w:t>
      </w:r>
      <w:r>
        <w:rPr>
          <w:bCs/>
        </w:rPr>
        <w:t>.</w:t>
      </w:r>
      <w:r w:rsidR="00A947AB" w:rsidRPr="00A947AB">
        <w:t xml:space="preserve"> </w:t>
      </w:r>
      <w:r w:rsidR="00A947AB" w:rsidRPr="00732841">
        <w:t>The</w:t>
      </w:r>
      <w:r w:rsidR="00A947AB">
        <w:t xml:space="preserve"> PHS 6031 is</w:t>
      </w:r>
      <w:r w:rsidR="00A947AB" w:rsidRPr="00732841">
        <w:t xml:space="preserve"> used by NIH</w:t>
      </w:r>
      <w:r w:rsidR="00E5725F">
        <w:t>,</w:t>
      </w:r>
      <w:r w:rsidR="00A947AB">
        <w:t xml:space="preserve"> </w:t>
      </w:r>
      <w:r w:rsidR="00A947AB" w:rsidRPr="00732841">
        <w:t>AHRQ</w:t>
      </w:r>
      <w:r w:rsidR="00A947AB">
        <w:t xml:space="preserve"> and HRSA</w:t>
      </w:r>
      <w:r w:rsidR="00A947AB" w:rsidRPr="00732841">
        <w:t>.</w:t>
      </w:r>
    </w:p>
    <w:p w14:paraId="174F3FE9" w14:textId="77777777" w:rsidR="00F512AC" w:rsidRDefault="00F512AC" w:rsidP="001D5F9B">
      <w:pPr>
        <w:tabs>
          <w:tab w:val="left" w:pos="1422"/>
        </w:tabs>
      </w:pPr>
    </w:p>
    <w:p w14:paraId="56537CEC" w14:textId="77777777" w:rsidR="00B61497" w:rsidRDefault="00682B5E" w:rsidP="00F512AC">
      <w:pPr>
        <w:tabs>
          <w:tab w:val="left" w:pos="1422"/>
        </w:tabs>
        <w:spacing w:line="480" w:lineRule="auto"/>
      </w:pPr>
      <w:r w:rsidRPr="00FF16C6">
        <w:rPr>
          <w:u w:val="single"/>
        </w:rPr>
        <w:t>SBIR/STTR</w:t>
      </w:r>
      <w:r w:rsidR="008C2015">
        <w:rPr>
          <w:u w:val="single"/>
        </w:rPr>
        <w:t xml:space="preserve"> Funding Agreement</w:t>
      </w:r>
      <w:r w:rsidRPr="00FF16C6">
        <w:rPr>
          <w:u w:val="single"/>
        </w:rPr>
        <w:t xml:space="preserve"> Certifications</w:t>
      </w:r>
      <w:r>
        <w:t xml:space="preserve">: </w:t>
      </w:r>
      <w:r w:rsidR="0039386F">
        <w:t xml:space="preserve">For SBIR and STTR </w:t>
      </w:r>
      <w:r w:rsidR="0039386F" w:rsidRPr="0039386F">
        <w:t>new and competing renewal</w:t>
      </w:r>
      <w:r w:rsidR="0039386F">
        <w:t xml:space="preserve"> applications, a funding agreement certification is required to be submitted as part of the NIH Just-In-Time pre-aw</w:t>
      </w:r>
      <w:r w:rsidR="00DA64B1">
        <w:t>ard procedure (see Attachment 16</w:t>
      </w:r>
      <w:r w:rsidR="0039386F">
        <w:t xml:space="preserve"> for instructions and forms). T</w:t>
      </w:r>
      <w:r w:rsidR="0039386F" w:rsidRPr="0039386F">
        <w:t xml:space="preserve">hese certifications are necessary to </w:t>
      </w:r>
      <w:r w:rsidR="005915B0">
        <w:t>ensure</w:t>
      </w:r>
      <w:r w:rsidR="005915B0" w:rsidRPr="0039386F">
        <w:t xml:space="preserve"> </w:t>
      </w:r>
      <w:r w:rsidR="0039386F" w:rsidRPr="0039386F">
        <w:t>that the applicant meets the Small Business Administration</w:t>
      </w:r>
      <w:r w:rsidR="0039386F">
        <w:t xml:space="preserve"> (</w:t>
      </w:r>
      <w:r w:rsidR="0039386F" w:rsidRPr="0039386F">
        <w:t>SBA</w:t>
      </w:r>
      <w:r w:rsidR="0039386F">
        <w:t>)</w:t>
      </w:r>
      <w:r w:rsidR="0039386F" w:rsidRPr="0039386F">
        <w:t xml:space="preserve"> size criteria, and that the organization will comply with other program-specific </w:t>
      </w:r>
      <w:r w:rsidR="0039386F" w:rsidRPr="0039386F">
        <w:lastRenderedPageBreak/>
        <w:t xml:space="preserve">requirements such as all work must be conducted in the United States and that a minimum amount of work be performed by its own employees within its own facilities, before NIH to can issue an award. </w:t>
      </w:r>
      <w:r w:rsidR="00FF16C6" w:rsidRPr="00FF16C6">
        <w:t>Applicant small business concerns that are majority-owned by multiple venture capital operating companies, hedge funds, or private equity firms (e.g. majority VCOC-owned) are required to submit a Certification at time of their application submission</w:t>
      </w:r>
      <w:r w:rsidR="00DA64B1">
        <w:t xml:space="preserve"> (see Attachment 17</w:t>
      </w:r>
      <w:r w:rsidR="00FF16C6">
        <w:t xml:space="preserve"> for instructions and form). This applies to NIH and CDC small business applicants. </w:t>
      </w:r>
    </w:p>
    <w:p w14:paraId="5BEC5B2D" w14:textId="77777777" w:rsidR="0039386F" w:rsidRPr="004E2A5F" w:rsidRDefault="0039386F" w:rsidP="00530196">
      <w:pPr>
        <w:ind w:right="-684"/>
        <w:rPr>
          <w:bCs/>
          <w:sz w:val="20"/>
          <w:szCs w:val="20"/>
        </w:rPr>
      </w:pPr>
    </w:p>
    <w:p w14:paraId="1572A757" w14:textId="77777777" w:rsidR="00F506E3" w:rsidRPr="009524D2" w:rsidRDefault="009524D2" w:rsidP="001D5F9B">
      <w:pPr>
        <w:pStyle w:val="Heading2"/>
      </w:pPr>
      <w:bookmarkStart w:id="3" w:name="_Toc419964726"/>
      <w:r w:rsidRPr="009524D2">
        <w:t>A.</w:t>
      </w:r>
      <w:r w:rsidR="0026591F" w:rsidRPr="009524D2">
        <w:t xml:space="preserve">2. </w:t>
      </w:r>
      <w:r w:rsidR="00B61497" w:rsidRPr="009524D2">
        <w:t>Purpose and Use of the Information Collection</w:t>
      </w:r>
      <w:bookmarkEnd w:id="3"/>
    </w:p>
    <w:p w14:paraId="6A8A6DD9" w14:textId="77777777" w:rsidR="0026591F" w:rsidRPr="004E2A5F" w:rsidRDefault="0026591F" w:rsidP="00530196">
      <w:pPr>
        <w:rPr>
          <w:sz w:val="20"/>
          <w:szCs w:val="20"/>
        </w:rPr>
      </w:pPr>
    </w:p>
    <w:p w14:paraId="5BA51557" w14:textId="77777777" w:rsidR="00D32CA7" w:rsidRPr="008C41CB" w:rsidRDefault="00F506E3" w:rsidP="00530196">
      <w:pPr>
        <w:spacing w:line="480" w:lineRule="auto"/>
        <w:ind w:right="-684"/>
        <w:rPr>
          <w:bCs/>
          <w:highlight w:val="yellow"/>
        </w:rPr>
      </w:pPr>
      <w:r w:rsidRPr="008C41CB">
        <w:rPr>
          <w:bCs/>
          <w:highlight w:val="yellow"/>
        </w:rPr>
        <w:t xml:space="preserve">Information collected is used </w:t>
      </w:r>
      <w:r w:rsidR="00B61497" w:rsidRPr="008C41CB">
        <w:rPr>
          <w:bCs/>
          <w:highlight w:val="yellow"/>
        </w:rPr>
        <w:t>by Federal agency staff</w:t>
      </w:r>
      <w:r w:rsidRPr="008C41CB">
        <w:rPr>
          <w:bCs/>
          <w:highlight w:val="yellow"/>
        </w:rPr>
        <w:t xml:space="preserve"> </w:t>
      </w:r>
      <w:r w:rsidR="00D639DB" w:rsidRPr="008C41CB">
        <w:rPr>
          <w:bCs/>
          <w:highlight w:val="yellow"/>
        </w:rPr>
        <w:t xml:space="preserve">and </w:t>
      </w:r>
      <w:r w:rsidR="00B61497" w:rsidRPr="008C41CB">
        <w:rPr>
          <w:bCs/>
          <w:highlight w:val="yellow"/>
        </w:rPr>
        <w:t xml:space="preserve">Public Advisory Committees </w:t>
      </w:r>
      <w:r w:rsidR="00A00325" w:rsidRPr="008C41CB">
        <w:rPr>
          <w:bCs/>
          <w:highlight w:val="yellow"/>
        </w:rPr>
        <w:t xml:space="preserve">and </w:t>
      </w:r>
      <w:r w:rsidR="00B61497" w:rsidRPr="008C41CB">
        <w:rPr>
          <w:bCs/>
          <w:highlight w:val="yellow"/>
        </w:rPr>
        <w:t>National Advisory Boards and Councils</w:t>
      </w:r>
      <w:r w:rsidR="00923AB3" w:rsidRPr="008C41CB">
        <w:rPr>
          <w:bCs/>
          <w:highlight w:val="yellow"/>
        </w:rPr>
        <w:t xml:space="preserve"> as a b</w:t>
      </w:r>
      <w:r w:rsidR="00B61497" w:rsidRPr="008C41CB">
        <w:rPr>
          <w:bCs/>
          <w:highlight w:val="yellow"/>
        </w:rPr>
        <w:t xml:space="preserve">asis for </w:t>
      </w:r>
      <w:r w:rsidR="00AB4F42" w:rsidRPr="008C41CB">
        <w:rPr>
          <w:bCs/>
          <w:highlight w:val="yellow"/>
        </w:rPr>
        <w:t xml:space="preserve">evaluating applications in light of agency initiatives and </w:t>
      </w:r>
      <w:r w:rsidR="00B61497" w:rsidRPr="008C41CB">
        <w:rPr>
          <w:bCs/>
          <w:highlight w:val="yellow"/>
        </w:rPr>
        <w:t xml:space="preserve">programmatic </w:t>
      </w:r>
      <w:r w:rsidR="00AB4F42" w:rsidRPr="008C41CB">
        <w:rPr>
          <w:bCs/>
          <w:highlight w:val="yellow"/>
        </w:rPr>
        <w:t xml:space="preserve">goals in order to </w:t>
      </w:r>
      <w:r w:rsidR="00B61497" w:rsidRPr="008C41CB">
        <w:rPr>
          <w:bCs/>
          <w:highlight w:val="yellow"/>
        </w:rPr>
        <w:t>carry out Agenc</w:t>
      </w:r>
      <w:r w:rsidR="007905BE" w:rsidRPr="008C41CB">
        <w:rPr>
          <w:bCs/>
          <w:highlight w:val="yellow"/>
        </w:rPr>
        <w:t>y</w:t>
      </w:r>
      <w:r w:rsidR="00B61497" w:rsidRPr="008C41CB">
        <w:rPr>
          <w:bCs/>
          <w:highlight w:val="yellow"/>
        </w:rPr>
        <w:t xml:space="preserve"> missions in a highly competitive fiscal environment</w:t>
      </w:r>
      <w:r w:rsidR="00923AB3" w:rsidRPr="008C41CB">
        <w:rPr>
          <w:bCs/>
          <w:highlight w:val="yellow"/>
        </w:rPr>
        <w:t>, and for pr</w:t>
      </w:r>
      <w:r w:rsidR="00B61497" w:rsidRPr="008C41CB">
        <w:rPr>
          <w:bCs/>
          <w:highlight w:val="yellow"/>
        </w:rPr>
        <w:t>ogram management, planning, budgeting, appraisal of progress</w:t>
      </w:r>
      <w:r w:rsidR="00D639DB" w:rsidRPr="008C41CB">
        <w:rPr>
          <w:bCs/>
          <w:highlight w:val="yellow"/>
        </w:rPr>
        <w:t xml:space="preserve">, and </w:t>
      </w:r>
      <w:r w:rsidR="00B61497" w:rsidRPr="008C41CB">
        <w:rPr>
          <w:bCs/>
          <w:highlight w:val="yellow"/>
        </w:rPr>
        <w:t>reporting to Congress and the public.</w:t>
      </w:r>
      <w:r w:rsidR="003530F1" w:rsidRPr="008C41CB">
        <w:rPr>
          <w:bCs/>
          <w:highlight w:val="yellow"/>
        </w:rPr>
        <w:t xml:space="preserve"> Information received from the current collection enable</w:t>
      </w:r>
      <w:r w:rsidR="009D7E9C" w:rsidRPr="008C41CB">
        <w:rPr>
          <w:bCs/>
          <w:highlight w:val="yellow"/>
        </w:rPr>
        <w:t>s</w:t>
      </w:r>
      <w:r w:rsidR="003530F1" w:rsidRPr="008C41CB">
        <w:rPr>
          <w:bCs/>
          <w:highlight w:val="yellow"/>
        </w:rPr>
        <w:t xml:space="preserve"> PHS agencies to continue to receive research and training applications from the research community</w:t>
      </w:r>
      <w:r w:rsidR="009D7E9C" w:rsidRPr="008C41CB">
        <w:rPr>
          <w:bCs/>
          <w:highlight w:val="yellow"/>
        </w:rPr>
        <w:t xml:space="preserve"> and</w:t>
      </w:r>
      <w:r w:rsidR="003530F1" w:rsidRPr="008C41CB">
        <w:rPr>
          <w:bCs/>
          <w:highlight w:val="yellow"/>
        </w:rPr>
        <w:t xml:space="preserve"> to fund new and competing awards</w:t>
      </w:r>
      <w:r w:rsidR="009D7E9C" w:rsidRPr="008C41CB">
        <w:rPr>
          <w:bCs/>
          <w:highlight w:val="yellow"/>
        </w:rPr>
        <w:t>.</w:t>
      </w:r>
    </w:p>
    <w:p w14:paraId="67309FF1" w14:textId="77777777" w:rsidR="00682FD5" w:rsidRPr="008C41CB" w:rsidRDefault="00682FD5" w:rsidP="00530196">
      <w:pPr>
        <w:ind w:right="-684"/>
        <w:rPr>
          <w:b/>
          <w:bCs/>
          <w:sz w:val="20"/>
          <w:szCs w:val="20"/>
          <w:highlight w:val="yellow"/>
          <w:u w:val="single"/>
        </w:rPr>
      </w:pPr>
    </w:p>
    <w:p w14:paraId="3DA68ADB" w14:textId="6D04AFD6" w:rsidR="00393814" w:rsidRPr="008C41CB" w:rsidRDefault="00393814" w:rsidP="00393814">
      <w:pPr>
        <w:spacing w:line="480" w:lineRule="auto"/>
        <w:rPr>
          <w:bCs/>
          <w:highlight w:val="yellow"/>
        </w:rPr>
      </w:pPr>
      <w:r w:rsidRPr="008C41CB">
        <w:rPr>
          <w:bCs/>
          <w:highlight w:val="yellow"/>
        </w:rPr>
        <w:t>Since the last OMB approval, NIH has worked on enhancing several key policies, which are necessary to continue enhancing the quality of basic and preclinical research, as well as NIH-funded clinical trials. Some policy updates that are included in the 0925-0001 revision request include the following:</w:t>
      </w:r>
    </w:p>
    <w:p w14:paraId="3929C575" w14:textId="77777777" w:rsidR="00393814" w:rsidRPr="008C41CB" w:rsidRDefault="00393814" w:rsidP="00393814">
      <w:pPr>
        <w:pStyle w:val="ListParagraph"/>
        <w:numPr>
          <w:ilvl w:val="0"/>
          <w:numId w:val="9"/>
        </w:numPr>
        <w:spacing w:line="480" w:lineRule="auto"/>
        <w:rPr>
          <w:bCs/>
          <w:highlight w:val="yellow"/>
        </w:rPr>
      </w:pPr>
      <w:r w:rsidRPr="008C41CB">
        <w:rPr>
          <w:bCs/>
          <w:highlight w:val="yellow"/>
        </w:rPr>
        <w:t>Biosketch instructions have been rewritten for clarity – using shorter sentences, bullet points, and shorter paragraphs. Clarification on which sections apply for which mechanisms have been updated (i.e., fellowship, career, etc.). No policy changes have been made regarding biosketch instructions.</w:t>
      </w:r>
    </w:p>
    <w:p w14:paraId="1288E170" w14:textId="4505E290" w:rsidR="00393814" w:rsidRPr="008C41CB" w:rsidRDefault="00393814" w:rsidP="00393814">
      <w:pPr>
        <w:pStyle w:val="ListParagraph"/>
        <w:numPr>
          <w:ilvl w:val="0"/>
          <w:numId w:val="9"/>
        </w:numPr>
        <w:spacing w:line="480" w:lineRule="auto"/>
        <w:rPr>
          <w:bCs/>
          <w:highlight w:val="yellow"/>
        </w:rPr>
      </w:pPr>
      <w:r w:rsidRPr="008C41CB">
        <w:rPr>
          <w:bCs/>
          <w:highlight w:val="yellow"/>
        </w:rPr>
        <w:t xml:space="preserve">NIH has redefined the policy for allowable appendix materials, effective for application due dates on or after January 25, 2017. </w:t>
      </w:r>
    </w:p>
    <w:p w14:paraId="283D478D" w14:textId="77777777" w:rsidR="00393814" w:rsidRPr="008C41CB" w:rsidRDefault="00393814" w:rsidP="00393814">
      <w:pPr>
        <w:pStyle w:val="ListParagraph"/>
        <w:numPr>
          <w:ilvl w:val="0"/>
          <w:numId w:val="9"/>
        </w:numPr>
        <w:spacing w:line="480" w:lineRule="auto"/>
        <w:rPr>
          <w:bCs/>
          <w:highlight w:val="yellow"/>
        </w:rPr>
      </w:pPr>
      <w:r w:rsidRPr="008C41CB">
        <w:rPr>
          <w:bCs/>
          <w:highlight w:val="yellow"/>
        </w:rPr>
        <w:lastRenderedPageBreak/>
        <w:t>Development of an optional electronic system submission process to request prior approval from the NIH.</w:t>
      </w:r>
    </w:p>
    <w:p w14:paraId="51EEB919" w14:textId="77777777" w:rsidR="00393814" w:rsidRPr="008C41CB" w:rsidRDefault="00393814" w:rsidP="00393814">
      <w:pPr>
        <w:pStyle w:val="ListParagraph"/>
        <w:numPr>
          <w:ilvl w:val="0"/>
          <w:numId w:val="9"/>
        </w:numPr>
        <w:spacing w:line="480" w:lineRule="auto"/>
        <w:rPr>
          <w:bCs/>
          <w:highlight w:val="yellow"/>
        </w:rPr>
      </w:pPr>
      <w:r w:rsidRPr="008C41CB">
        <w:rPr>
          <w:bCs/>
          <w:highlight w:val="yellow"/>
        </w:rPr>
        <w:t xml:space="preserve">Addition of training tables for international programs. </w:t>
      </w:r>
    </w:p>
    <w:p w14:paraId="4E3FDBDB" w14:textId="77777777" w:rsidR="00393814" w:rsidRPr="008C41CB" w:rsidRDefault="00393814" w:rsidP="00393814">
      <w:pPr>
        <w:pStyle w:val="ListParagraph"/>
        <w:numPr>
          <w:ilvl w:val="0"/>
          <w:numId w:val="9"/>
        </w:numPr>
        <w:spacing w:line="480" w:lineRule="auto"/>
        <w:rPr>
          <w:bCs/>
          <w:highlight w:val="yellow"/>
        </w:rPr>
      </w:pPr>
      <w:r w:rsidRPr="008C41CB">
        <w:rPr>
          <w:bCs/>
          <w:highlight w:val="yellow"/>
        </w:rPr>
        <w:t>The NIH has been engaged in a multi-year effort to examine how clinical trials are supported and the level of oversight needed. The collection of more structured information about proposed clinical trials in the PHS applications and pre-award reporting requirements will facilitate the NIH's oversight of clinical trials as well as assist in understanding where needs in the NIH research portfolio may exist. In addition, some of the data collected here will ultimately be accessible to investigators to pre-populate certain sections of forms when registering their trials with ClinicalTrials.gov.</w:t>
      </w:r>
    </w:p>
    <w:p w14:paraId="02E2505B" w14:textId="77777777" w:rsidR="00393814" w:rsidRPr="00D91436" w:rsidRDefault="00393814" w:rsidP="00393814">
      <w:pPr>
        <w:spacing w:line="480" w:lineRule="auto"/>
      </w:pPr>
      <w:r w:rsidRPr="008C41CB">
        <w:rPr>
          <w:highlight w:val="yellow"/>
        </w:rPr>
        <w:t>This clearance package includes the specific PHS companion forms and application instructions that implement these policy changes.</w:t>
      </w:r>
      <w:r>
        <w:t xml:space="preserve"> </w:t>
      </w:r>
    </w:p>
    <w:p w14:paraId="4F74CB9F" w14:textId="77777777" w:rsidR="00B61497" w:rsidRPr="00953BD3" w:rsidRDefault="00F506E3" w:rsidP="00530196">
      <w:pPr>
        <w:spacing w:line="480" w:lineRule="auto"/>
        <w:ind w:right="-684"/>
        <w:rPr>
          <w:bCs/>
        </w:rPr>
      </w:pPr>
      <w:r w:rsidRPr="001D5F9B">
        <w:rPr>
          <w:bCs/>
          <w:u w:val="single"/>
        </w:rPr>
        <w:t>PHS 398</w:t>
      </w:r>
      <w:r w:rsidRPr="001D5F9B">
        <w:rPr>
          <w:bCs/>
        </w:rPr>
        <w:t xml:space="preserve"> - </w:t>
      </w:r>
      <w:r w:rsidR="00B61497" w:rsidRPr="001D5F9B">
        <w:rPr>
          <w:bCs/>
        </w:rPr>
        <w:t>The PHS</w:t>
      </w:r>
      <w:r w:rsidR="00295A11" w:rsidRPr="001D5F9B">
        <w:rPr>
          <w:bCs/>
        </w:rPr>
        <w:t xml:space="preserve"> </w:t>
      </w:r>
      <w:r w:rsidR="00B61497" w:rsidRPr="001D5F9B">
        <w:rPr>
          <w:bCs/>
        </w:rPr>
        <w:t xml:space="preserve">398 comprises the majority of the respondent burden </w:t>
      </w:r>
      <w:r w:rsidR="007905BE" w:rsidRPr="001D5F9B">
        <w:rPr>
          <w:bCs/>
        </w:rPr>
        <w:t xml:space="preserve">and </w:t>
      </w:r>
      <w:r w:rsidR="00B61497" w:rsidRPr="001D5F9B">
        <w:rPr>
          <w:bCs/>
        </w:rPr>
        <w:t xml:space="preserve">is used by </w:t>
      </w:r>
      <w:r w:rsidRPr="001D5F9B">
        <w:rPr>
          <w:bCs/>
        </w:rPr>
        <w:t xml:space="preserve">applicants, </w:t>
      </w:r>
      <w:r w:rsidR="00B61497" w:rsidRPr="001D5F9B">
        <w:rPr>
          <w:bCs/>
        </w:rPr>
        <w:t>staff</w:t>
      </w:r>
      <w:r w:rsidR="00D32CA7" w:rsidRPr="001D5F9B">
        <w:rPr>
          <w:bCs/>
        </w:rPr>
        <w:t>,</w:t>
      </w:r>
      <w:r w:rsidR="00B61497" w:rsidRPr="00953BD3">
        <w:rPr>
          <w:bCs/>
        </w:rPr>
        <w:t xml:space="preserve"> and consultants of PHS as follows:</w:t>
      </w:r>
      <w:r w:rsidR="005872A7" w:rsidRPr="00953BD3">
        <w:rPr>
          <w:bCs/>
        </w:rPr>
        <w:t xml:space="preserve"> </w:t>
      </w:r>
    </w:p>
    <w:p w14:paraId="4EB48241" w14:textId="77777777" w:rsidR="005300A8" w:rsidRPr="00953BD3" w:rsidRDefault="005300A8" w:rsidP="00E05D34">
      <w:pPr>
        <w:numPr>
          <w:ilvl w:val="0"/>
          <w:numId w:val="1"/>
        </w:numPr>
        <w:spacing w:line="480" w:lineRule="auto"/>
        <w:ind w:right="-684"/>
        <w:rPr>
          <w:bCs/>
        </w:rPr>
      </w:pPr>
      <w:r w:rsidRPr="00953BD3">
        <w:rPr>
          <w:bCs/>
        </w:rPr>
        <w:t>b</w:t>
      </w:r>
      <w:r w:rsidR="00F506E3" w:rsidRPr="00953BD3">
        <w:rPr>
          <w:bCs/>
        </w:rPr>
        <w:t xml:space="preserve">y applicants to </w:t>
      </w:r>
      <w:r w:rsidRPr="00953BD3">
        <w:rPr>
          <w:bCs/>
        </w:rPr>
        <w:t>compete for funding for research, training, and related activities</w:t>
      </w:r>
      <w:r w:rsidR="005B0D97" w:rsidRPr="00953BD3">
        <w:rPr>
          <w:bCs/>
        </w:rPr>
        <w:t>,</w:t>
      </w:r>
      <w:r w:rsidRPr="00953BD3">
        <w:rPr>
          <w:bCs/>
        </w:rPr>
        <w:t xml:space="preserve"> and to request access to agency resources;</w:t>
      </w:r>
    </w:p>
    <w:p w14:paraId="7DF5DC3D" w14:textId="77777777" w:rsidR="005300A8" w:rsidRPr="00953BD3" w:rsidRDefault="005300A8" w:rsidP="00E05D34">
      <w:pPr>
        <w:numPr>
          <w:ilvl w:val="0"/>
          <w:numId w:val="1"/>
        </w:numPr>
        <w:spacing w:line="480" w:lineRule="auto"/>
        <w:ind w:right="-684"/>
        <w:rPr>
          <w:bCs/>
        </w:rPr>
      </w:pPr>
      <w:r w:rsidRPr="00953BD3">
        <w:rPr>
          <w:bCs/>
        </w:rPr>
        <w:t>by grantees to comply with administrative and policy requirements of terms and conditions of award;</w:t>
      </w:r>
    </w:p>
    <w:p w14:paraId="5C0F0E30" w14:textId="77777777" w:rsidR="00B61497" w:rsidRPr="00953BD3" w:rsidRDefault="00B61497" w:rsidP="00E05D34">
      <w:pPr>
        <w:numPr>
          <w:ilvl w:val="0"/>
          <w:numId w:val="1"/>
        </w:numPr>
        <w:spacing w:line="480" w:lineRule="auto"/>
        <w:ind w:right="-684"/>
        <w:rPr>
          <w:bCs/>
        </w:rPr>
      </w:pPr>
      <w:r w:rsidRPr="00953BD3">
        <w:rPr>
          <w:bCs/>
        </w:rPr>
        <w:t xml:space="preserve">by the </w:t>
      </w:r>
      <w:r w:rsidR="00D639DB" w:rsidRPr="00953BD3">
        <w:rPr>
          <w:bCs/>
        </w:rPr>
        <w:t xml:space="preserve">NIH </w:t>
      </w:r>
      <w:r w:rsidRPr="00953BD3">
        <w:rPr>
          <w:bCs/>
        </w:rPr>
        <w:t>Center for Scientific Review</w:t>
      </w:r>
      <w:r w:rsidR="007905BE" w:rsidRPr="00953BD3">
        <w:rPr>
          <w:bCs/>
        </w:rPr>
        <w:t xml:space="preserve">, Division of </w:t>
      </w:r>
      <w:r w:rsidR="00831D01" w:rsidRPr="00953BD3">
        <w:rPr>
          <w:bCs/>
        </w:rPr>
        <w:t>Receipt and Referral</w:t>
      </w:r>
      <w:r w:rsidR="007905BE" w:rsidRPr="00953BD3">
        <w:rPr>
          <w:bCs/>
        </w:rPr>
        <w:t>,</w:t>
      </w:r>
      <w:r w:rsidRPr="00953BD3">
        <w:rPr>
          <w:bCs/>
        </w:rPr>
        <w:t xml:space="preserve"> to </w:t>
      </w:r>
      <w:r w:rsidR="007905BE" w:rsidRPr="00953BD3">
        <w:rPr>
          <w:bCs/>
        </w:rPr>
        <w:t xml:space="preserve">evaluate </w:t>
      </w:r>
      <w:r w:rsidRPr="00953BD3">
        <w:rPr>
          <w:bCs/>
        </w:rPr>
        <w:t>eligibility of the applicant</w:t>
      </w:r>
      <w:r w:rsidR="00D639DB" w:rsidRPr="00953BD3">
        <w:rPr>
          <w:bCs/>
        </w:rPr>
        <w:t>,</w:t>
      </w:r>
      <w:r w:rsidR="007905BE" w:rsidRPr="00953BD3">
        <w:rPr>
          <w:bCs/>
        </w:rPr>
        <w:t xml:space="preserve"> completeness of the application, </w:t>
      </w:r>
      <w:r w:rsidRPr="00953BD3">
        <w:rPr>
          <w:bCs/>
        </w:rPr>
        <w:t xml:space="preserve">and to </w:t>
      </w:r>
      <w:r w:rsidR="007905BE" w:rsidRPr="00953BD3">
        <w:rPr>
          <w:bCs/>
        </w:rPr>
        <w:t xml:space="preserve">determine the appropriate </w:t>
      </w:r>
      <w:r w:rsidRPr="00953BD3">
        <w:rPr>
          <w:bCs/>
        </w:rPr>
        <w:t>assign</w:t>
      </w:r>
      <w:r w:rsidR="007905BE" w:rsidRPr="00953BD3">
        <w:rPr>
          <w:bCs/>
        </w:rPr>
        <w:t xml:space="preserve">ment </w:t>
      </w:r>
      <w:r w:rsidRPr="00953BD3">
        <w:rPr>
          <w:bCs/>
        </w:rPr>
        <w:t xml:space="preserve">to </w:t>
      </w:r>
      <w:r w:rsidR="007905BE" w:rsidRPr="00953BD3">
        <w:rPr>
          <w:bCs/>
        </w:rPr>
        <w:t>a Scientific</w:t>
      </w:r>
      <w:r w:rsidRPr="00953BD3">
        <w:rPr>
          <w:bCs/>
        </w:rPr>
        <w:t xml:space="preserve"> </w:t>
      </w:r>
      <w:r w:rsidR="007905BE" w:rsidRPr="00953BD3">
        <w:rPr>
          <w:bCs/>
        </w:rPr>
        <w:t>R</w:t>
      </w:r>
      <w:r w:rsidRPr="00953BD3">
        <w:rPr>
          <w:bCs/>
        </w:rPr>
        <w:t xml:space="preserve">eview </w:t>
      </w:r>
      <w:r w:rsidR="007905BE" w:rsidRPr="00953BD3">
        <w:rPr>
          <w:bCs/>
        </w:rPr>
        <w:t>G</w:t>
      </w:r>
      <w:r w:rsidRPr="00953BD3">
        <w:rPr>
          <w:bCs/>
        </w:rPr>
        <w:t>roup and PHS awarding component;</w:t>
      </w:r>
    </w:p>
    <w:p w14:paraId="48A0355B" w14:textId="77777777" w:rsidR="00F506E3" w:rsidRPr="00953BD3" w:rsidRDefault="00B61497" w:rsidP="00E05D34">
      <w:pPr>
        <w:numPr>
          <w:ilvl w:val="0"/>
          <w:numId w:val="1"/>
        </w:numPr>
        <w:tabs>
          <w:tab w:val="left" w:pos="720"/>
          <w:tab w:val="center" w:pos="1080"/>
        </w:tabs>
        <w:spacing w:line="480" w:lineRule="auto"/>
        <w:ind w:right="-684"/>
        <w:rPr>
          <w:bCs/>
        </w:rPr>
      </w:pPr>
      <w:r w:rsidRPr="00953BD3">
        <w:rPr>
          <w:bCs/>
        </w:rPr>
        <w:t>by Scientific Review Group</w:t>
      </w:r>
      <w:r w:rsidR="00F506E3" w:rsidRPr="00953BD3">
        <w:rPr>
          <w:bCs/>
        </w:rPr>
        <w:t>s</w:t>
      </w:r>
      <w:r w:rsidRPr="00953BD3">
        <w:rPr>
          <w:bCs/>
        </w:rPr>
        <w:t xml:space="preserve"> to </w:t>
      </w:r>
      <w:r w:rsidR="007905BE" w:rsidRPr="00953BD3">
        <w:rPr>
          <w:bCs/>
        </w:rPr>
        <w:t xml:space="preserve">evaluate the </w:t>
      </w:r>
      <w:r w:rsidRPr="00953BD3">
        <w:rPr>
          <w:bCs/>
        </w:rPr>
        <w:t xml:space="preserve">scientific </w:t>
      </w:r>
      <w:r w:rsidR="007905BE" w:rsidRPr="00953BD3">
        <w:rPr>
          <w:bCs/>
        </w:rPr>
        <w:t xml:space="preserve">and technical </w:t>
      </w:r>
      <w:r w:rsidRPr="00953BD3">
        <w:rPr>
          <w:bCs/>
        </w:rPr>
        <w:t>merit of the application</w:t>
      </w:r>
      <w:r w:rsidR="00D639DB" w:rsidRPr="00953BD3">
        <w:rPr>
          <w:bCs/>
        </w:rPr>
        <w:t xml:space="preserve"> in accord with 42 CFR Part 52h</w:t>
      </w:r>
      <w:r w:rsidR="00F506E3" w:rsidRPr="00953BD3">
        <w:rPr>
          <w:bCs/>
        </w:rPr>
        <w:t xml:space="preserve">; </w:t>
      </w:r>
    </w:p>
    <w:p w14:paraId="452BCFCE" w14:textId="77777777" w:rsidR="00B61497" w:rsidRPr="00953BD3" w:rsidRDefault="00B61497" w:rsidP="00E05D34">
      <w:pPr>
        <w:numPr>
          <w:ilvl w:val="0"/>
          <w:numId w:val="1"/>
        </w:numPr>
        <w:tabs>
          <w:tab w:val="center" w:pos="720"/>
        </w:tabs>
        <w:spacing w:line="480" w:lineRule="auto"/>
        <w:ind w:right="-684"/>
        <w:rPr>
          <w:bCs/>
        </w:rPr>
      </w:pPr>
      <w:r w:rsidRPr="00953BD3">
        <w:rPr>
          <w:bCs/>
        </w:rPr>
        <w:lastRenderedPageBreak/>
        <w:t xml:space="preserve">by the PHS to </w:t>
      </w:r>
      <w:r w:rsidR="00F41B6D" w:rsidRPr="00953BD3">
        <w:rPr>
          <w:bCs/>
        </w:rPr>
        <w:t>process awards, manage programs</w:t>
      </w:r>
      <w:r w:rsidR="00415FE1" w:rsidRPr="00953BD3">
        <w:rPr>
          <w:bCs/>
        </w:rPr>
        <w:t>,</w:t>
      </w:r>
      <w:r w:rsidR="00F41B6D" w:rsidRPr="00953BD3">
        <w:rPr>
          <w:bCs/>
        </w:rPr>
        <w:t xml:space="preserve"> and analyze agency support of mission critical research activities</w:t>
      </w:r>
      <w:r w:rsidRPr="00953BD3">
        <w:rPr>
          <w:bCs/>
        </w:rPr>
        <w:t>;</w:t>
      </w:r>
      <w:r w:rsidR="00F41B6D" w:rsidRPr="00953BD3">
        <w:rPr>
          <w:bCs/>
        </w:rPr>
        <w:t xml:space="preserve"> </w:t>
      </w:r>
    </w:p>
    <w:p w14:paraId="3CCFF351" w14:textId="77777777" w:rsidR="009D7E9C" w:rsidRPr="00AE1999" w:rsidRDefault="00B61497" w:rsidP="00E05D34">
      <w:pPr>
        <w:numPr>
          <w:ilvl w:val="0"/>
          <w:numId w:val="1"/>
        </w:numPr>
        <w:spacing w:line="480" w:lineRule="auto"/>
        <w:ind w:right="-684"/>
        <w:rPr>
          <w:bCs/>
          <w:u w:val="single"/>
        </w:rPr>
      </w:pPr>
      <w:r w:rsidRPr="00AE1999">
        <w:rPr>
          <w:bCs/>
        </w:rPr>
        <w:t xml:space="preserve">by the PHS </w:t>
      </w:r>
      <w:r w:rsidR="00571F01">
        <w:rPr>
          <w:bCs/>
        </w:rPr>
        <w:t>to determine fiscal benefits and administer awards in compliance with public and program policies and all award terms and conditions.</w:t>
      </w:r>
    </w:p>
    <w:p w14:paraId="10B65055" w14:textId="77777777" w:rsidR="00AA52E8" w:rsidRDefault="009D7E9C" w:rsidP="00A96776">
      <w:pPr>
        <w:ind w:left="360" w:right="-684"/>
        <w:rPr>
          <w:b/>
          <w:bCs/>
          <w:u w:val="single"/>
        </w:rPr>
      </w:pPr>
      <w:r w:rsidRPr="009D7E9C">
        <w:rPr>
          <w:b/>
          <w:bCs/>
          <w:u w:val="single"/>
        </w:rPr>
        <w:t xml:space="preserve"> </w:t>
      </w:r>
    </w:p>
    <w:p w14:paraId="4B525E19" w14:textId="77777777" w:rsidR="00E23DA5" w:rsidRPr="001D5F9B" w:rsidRDefault="00E23DA5" w:rsidP="00E23DA5">
      <w:pPr>
        <w:rPr>
          <w:bCs/>
          <w:u w:val="single"/>
        </w:rPr>
      </w:pPr>
      <w:r w:rsidRPr="001D5F9B">
        <w:rPr>
          <w:bCs/>
          <w:u w:val="single"/>
        </w:rPr>
        <w:t xml:space="preserve">PHS Fellowship Supplemental Form and agency specific instructions used in combination </w:t>
      </w:r>
    </w:p>
    <w:p w14:paraId="31F0C3F1" w14:textId="77777777" w:rsidR="00E23DA5" w:rsidRPr="001D5F9B" w:rsidRDefault="00E23DA5" w:rsidP="00E23DA5">
      <w:pPr>
        <w:rPr>
          <w:bCs/>
          <w:u w:val="single"/>
        </w:rPr>
      </w:pPr>
    </w:p>
    <w:p w14:paraId="7C99CCBD" w14:textId="77777777" w:rsidR="00685636" w:rsidRDefault="00E23DA5" w:rsidP="00E23DA5">
      <w:pPr>
        <w:spacing w:line="480" w:lineRule="auto"/>
      </w:pPr>
      <w:r w:rsidRPr="001D5F9B">
        <w:rPr>
          <w:bCs/>
          <w:u w:val="single"/>
        </w:rPr>
        <w:t>with the SF424 (R&amp;R) forms/instructions for Fellowships [electronic]</w:t>
      </w:r>
      <w:r w:rsidRPr="001D5F9B">
        <w:rPr>
          <w:bCs/>
        </w:rPr>
        <w:t xml:space="preserve"> - </w:t>
      </w:r>
      <w:r w:rsidR="00A05C90" w:rsidRPr="001D5F9B">
        <w:t xml:space="preserve">The electronic </w:t>
      </w:r>
      <w:r w:rsidR="007A55B6" w:rsidRPr="001D5F9B">
        <w:t>agency-</w:t>
      </w:r>
      <w:r w:rsidR="007A55B6">
        <w:t xml:space="preserve">specific </w:t>
      </w:r>
      <w:r w:rsidR="00A05C90">
        <w:t xml:space="preserve">component </w:t>
      </w:r>
      <w:r w:rsidR="00EF62B4">
        <w:t xml:space="preserve">for </w:t>
      </w:r>
      <w:r w:rsidR="00620B94">
        <w:t xml:space="preserve">NRSA and other individual </w:t>
      </w:r>
      <w:r w:rsidR="00EF62B4">
        <w:t>fellowship applications is the PHS Fellowship Supplemental Form.</w:t>
      </w:r>
      <w:r w:rsidR="00620B94">
        <w:t xml:space="preserve"> </w:t>
      </w:r>
      <w:r w:rsidR="00620B94" w:rsidRPr="00953BD3">
        <w:t>The basic application</w:t>
      </w:r>
      <w:r w:rsidR="00682B5E">
        <w:t>,</w:t>
      </w:r>
      <w:r w:rsidR="00620B94" w:rsidRPr="00953BD3">
        <w:t xml:space="preserve"> which comprises the majority of the respondent burden, is used by applicants, staff and consult</w:t>
      </w:r>
      <w:r w:rsidR="00620B94">
        <w:t>ants of NIH and AHRQ and fulfills the same purpose as the PHS 398 (identified in the previous section under items i. through vi.) except i</w:t>
      </w:r>
      <w:r w:rsidR="008E373D">
        <w:t>t i</w:t>
      </w:r>
      <w:r w:rsidR="00620B94">
        <w:t>s used for NRSA and other individual fellowships.</w:t>
      </w:r>
    </w:p>
    <w:p w14:paraId="335066D9" w14:textId="77777777" w:rsidR="00682B5E" w:rsidRPr="00953BD3" w:rsidRDefault="00682B5E" w:rsidP="001D5F9B"/>
    <w:p w14:paraId="2E8653CC" w14:textId="77777777" w:rsidR="00682B5E" w:rsidRPr="001D5F9B" w:rsidRDefault="00682B5E" w:rsidP="00682B5E">
      <w:pPr>
        <w:spacing w:line="480" w:lineRule="auto"/>
      </w:pPr>
      <w:r w:rsidRPr="001D5F9B">
        <w:rPr>
          <w:u w:val="single"/>
        </w:rPr>
        <w:t>PHS 416-1</w:t>
      </w:r>
      <w:r w:rsidRPr="001D5F9B">
        <w:t xml:space="preserve"> - The paper 416-1 is used only for post-award change of institution (T-7s) and successor-in-interest actions.  </w:t>
      </w:r>
    </w:p>
    <w:p w14:paraId="72497F17" w14:textId="77777777" w:rsidR="00F60C0E" w:rsidRPr="001D5F9B" w:rsidRDefault="00F60C0E" w:rsidP="001D5F9B">
      <w:pPr>
        <w:rPr>
          <w:u w:val="single"/>
        </w:rPr>
      </w:pPr>
    </w:p>
    <w:p w14:paraId="089D8839" w14:textId="77777777" w:rsidR="006B53F2" w:rsidRPr="006B53F2" w:rsidRDefault="00C67E0D" w:rsidP="00256C34">
      <w:pPr>
        <w:spacing w:line="480" w:lineRule="auto"/>
      </w:pPr>
      <w:r w:rsidRPr="001D5F9B">
        <w:rPr>
          <w:u w:val="single"/>
        </w:rPr>
        <w:t>PHS 416-5</w:t>
      </w:r>
      <w:r w:rsidRPr="001D5F9B">
        <w:t xml:space="preserve"> - The Activation Notice is used by individuals to indicate the start date of their awards.</w:t>
      </w:r>
      <w:r w:rsidRPr="00953BD3">
        <w:t xml:space="preserve"> Individuals have a 6-month period after the initial award is issued to begin training. </w:t>
      </w:r>
      <w:r w:rsidR="0061294B">
        <w:t xml:space="preserve"> </w:t>
      </w:r>
      <w:r w:rsidRPr="00953BD3">
        <w:t xml:space="preserve">Also the data is used to determine the timing of subsequent actions such as the notification of the progress report by which the individual applies for support for each additional year. </w:t>
      </w:r>
      <w:r w:rsidR="0061294B">
        <w:t xml:space="preserve"> </w:t>
      </w:r>
      <w:r w:rsidRPr="00953BD3">
        <w:t>The information is used by the PHS awarding component to establish the start date in the record.</w:t>
      </w:r>
    </w:p>
    <w:p w14:paraId="1E7FB7B8" w14:textId="77777777" w:rsidR="006B53F2" w:rsidRDefault="006B53F2" w:rsidP="001D5F9B">
      <w:pPr>
        <w:pStyle w:val="Heading1"/>
        <w:ind w:left="0"/>
        <w:rPr>
          <w:b/>
          <w:u w:val="none"/>
        </w:rPr>
      </w:pPr>
    </w:p>
    <w:p w14:paraId="24B7CC7C" w14:textId="77777777" w:rsidR="006B53F2" w:rsidRDefault="006B53F2" w:rsidP="00256C34">
      <w:pPr>
        <w:spacing w:line="480" w:lineRule="auto"/>
      </w:pPr>
      <w:r w:rsidRPr="001D5F9B">
        <w:rPr>
          <w:u w:val="single"/>
        </w:rPr>
        <w:t>PHS 6031</w:t>
      </w:r>
      <w:r w:rsidRPr="001D5F9B">
        <w:t xml:space="preserve"> </w:t>
      </w:r>
      <w:r w:rsidR="00262E69">
        <w:t>-</w:t>
      </w:r>
      <w:r w:rsidRPr="001D5F9B">
        <w:t xml:space="preserve"> The 6031 Payback Agreement certifies an individual’s agreement to fulfill a payback</w:t>
      </w:r>
      <w:r>
        <w:t xml:space="preserve"> obligation.</w:t>
      </w:r>
    </w:p>
    <w:p w14:paraId="3A2C8531" w14:textId="77777777" w:rsidR="006B53F2" w:rsidRPr="006B53F2" w:rsidRDefault="006B53F2" w:rsidP="006B53F2"/>
    <w:p w14:paraId="58FE81F7" w14:textId="77777777" w:rsidR="00B61497" w:rsidRPr="00830BEA" w:rsidRDefault="00830BEA" w:rsidP="00262E69">
      <w:pPr>
        <w:pStyle w:val="Heading2"/>
      </w:pPr>
      <w:bookmarkStart w:id="4" w:name="_Toc419964727"/>
      <w:r w:rsidRPr="00830BEA">
        <w:lastRenderedPageBreak/>
        <w:t>A.</w:t>
      </w:r>
      <w:r w:rsidR="00B61497" w:rsidRPr="00830BEA">
        <w:t>3.</w:t>
      </w:r>
      <w:r w:rsidRPr="00830BEA">
        <w:t xml:space="preserve"> </w:t>
      </w:r>
      <w:r w:rsidR="00B61497" w:rsidRPr="00830BEA">
        <w:t>Use of Information Technology and Burden Reduction</w:t>
      </w:r>
      <w:bookmarkEnd w:id="4"/>
    </w:p>
    <w:p w14:paraId="36CCC06A" w14:textId="77777777" w:rsidR="00B37155" w:rsidRPr="005D2CAF" w:rsidRDefault="00B37155" w:rsidP="00262E69">
      <w:pPr>
        <w:pStyle w:val="Heading2"/>
      </w:pPr>
    </w:p>
    <w:p w14:paraId="67FE7A9F" w14:textId="77777777" w:rsidR="006C6F2B" w:rsidRDefault="002C7744" w:rsidP="00262E69">
      <w:pPr>
        <w:spacing w:line="480" w:lineRule="auto"/>
        <w:ind w:right="-684"/>
      </w:pPr>
      <w:r w:rsidRPr="001D5F9B">
        <w:t>a</w:t>
      </w:r>
      <w:r w:rsidR="00113CE7" w:rsidRPr="001D5F9B">
        <w:t xml:space="preserve">. </w:t>
      </w:r>
      <w:r w:rsidR="00113CE7" w:rsidRPr="00262E69">
        <w:rPr>
          <w:u w:val="single"/>
        </w:rPr>
        <w:t>Transitioning to the SF424 (R&amp;R) and Electronic Submission through Grants.gov</w:t>
      </w:r>
      <w:r w:rsidR="00113CE7" w:rsidRPr="001D5F9B">
        <w:t xml:space="preserve"> </w:t>
      </w:r>
      <w:r w:rsidR="00262E69">
        <w:t xml:space="preserve">- </w:t>
      </w:r>
      <w:r w:rsidR="009E2BFF" w:rsidRPr="005D2CAF">
        <w:t xml:space="preserve">PHS </w:t>
      </w:r>
      <w:r w:rsidR="007870E9" w:rsidRPr="005D2CAF">
        <w:t>is an active participant in Federal-wide electronic grant initiative</w:t>
      </w:r>
      <w:r w:rsidR="005B7E2E" w:rsidRPr="005D2CAF">
        <w:t>s</w:t>
      </w:r>
      <w:r w:rsidR="007870E9" w:rsidRPr="005D2CAF">
        <w:t xml:space="preserve"> to improve efficiencies, harmonize data collection among Federal granting agencies, </w:t>
      </w:r>
      <w:r w:rsidR="00774408" w:rsidRPr="005D2CAF">
        <w:t xml:space="preserve">and </w:t>
      </w:r>
      <w:r w:rsidR="007870E9" w:rsidRPr="005D2CAF">
        <w:t xml:space="preserve">provide one simple, unified electronic portal through which applicants may </w:t>
      </w:r>
      <w:r w:rsidR="00CA5FC7" w:rsidRPr="005D2CAF">
        <w:t xml:space="preserve">find funding opportunities for, and </w:t>
      </w:r>
      <w:r w:rsidR="007870E9" w:rsidRPr="005D2CAF">
        <w:t xml:space="preserve">request Federal support from 26 different grant-making agencies. </w:t>
      </w:r>
      <w:r w:rsidR="00571F01" w:rsidRPr="00571F01">
        <w:t>Grants.gov</w:t>
      </w:r>
      <w:r w:rsidR="007870E9" w:rsidRPr="005D2CAF">
        <w:t xml:space="preserve"> provides a standardized interface for agencies to announce their grant opportunities, and a single, secure, and reliable source for all grant applicants to find and apply for those opportunities. </w:t>
      </w:r>
      <w:r w:rsidR="000F0F80" w:rsidRPr="005D2CAF">
        <w:t>T</w:t>
      </w:r>
      <w:r w:rsidR="007870E9" w:rsidRPr="005D2CAF">
        <w:t>hese efforts ultimately eliminat</w:t>
      </w:r>
      <w:r w:rsidR="000F0F80" w:rsidRPr="005D2CAF">
        <w:t>e</w:t>
      </w:r>
      <w:r w:rsidR="007870E9" w:rsidRPr="005D2CAF">
        <w:t xml:space="preserve"> paper submissions</w:t>
      </w:r>
      <w:r w:rsidR="00774408" w:rsidRPr="005D2CAF">
        <w:t xml:space="preserve"> and unnecessary applicant burden</w:t>
      </w:r>
      <w:r w:rsidR="007870E9" w:rsidRPr="005D2CAF">
        <w:t>.</w:t>
      </w:r>
      <w:r w:rsidR="008F0E8F" w:rsidRPr="005D2CAF">
        <w:t xml:space="preserve">  </w:t>
      </w:r>
    </w:p>
    <w:p w14:paraId="28B316FB" w14:textId="77777777" w:rsidR="006C6F2B" w:rsidRDefault="006C6F2B" w:rsidP="006C6F2B"/>
    <w:p w14:paraId="79856044" w14:textId="484C7C1D" w:rsidR="006C6F2B" w:rsidRPr="006C6F2B" w:rsidRDefault="006C6F2B" w:rsidP="006C6F2B">
      <w:pPr>
        <w:spacing w:line="480" w:lineRule="auto"/>
      </w:pPr>
      <w:r w:rsidRPr="006C6F2B">
        <w:t xml:space="preserve">PHS utilizes </w:t>
      </w:r>
      <w:r w:rsidRPr="006C6F2B">
        <w:rPr>
          <w:i/>
          <w:iCs/>
        </w:rPr>
        <w:t>Grants.gov Find</w:t>
      </w:r>
      <w:r w:rsidRPr="006C6F2B">
        <w:t xml:space="preserve"> for posting 100% of all funding opportunities; </w:t>
      </w:r>
      <w:r w:rsidRPr="006C6F2B">
        <w:rPr>
          <w:i/>
          <w:iCs/>
        </w:rPr>
        <w:t>Grants.gov Apply</w:t>
      </w:r>
      <w:r w:rsidRPr="006C6F2B">
        <w:t xml:space="preserve"> is used for the majority of program opportunities. NIH worked closely with Grants.gov to develop a process for the submission of complex, multi-project applications using existing SF424 (R&amp;R) forms and the PHS 398 forms included in this collection. The new process implemented by Grants.gov, in combination with the Application Submission System &amp; Interface for Submission Tracking (ASSIST) on-line front-end implemented by NIH to support </w:t>
      </w:r>
      <w:r w:rsidR="00862F8C">
        <w:t xml:space="preserve">single- and </w:t>
      </w:r>
      <w:r w:rsidRPr="006C6F2B">
        <w:t xml:space="preserve">multi-project programs, enabled NIH to accept all competing grant applications electronically through </w:t>
      </w:r>
      <w:r w:rsidRPr="006C6F2B">
        <w:rPr>
          <w:i/>
          <w:iCs/>
        </w:rPr>
        <w:t>Grants.gov Apply</w:t>
      </w:r>
      <w:r w:rsidRPr="006C6F2B">
        <w:t>. Use of ASSIST as a submission option to Grants.gov is being expanded to other Public Health Service agencies and programs.</w:t>
      </w:r>
    </w:p>
    <w:p w14:paraId="0CCAFCAE" w14:textId="77777777" w:rsidR="00BB7AA0" w:rsidRPr="00A96C9A" w:rsidRDefault="00BB7AA0" w:rsidP="00BB7AA0">
      <w:pPr>
        <w:rPr>
          <w:color w:val="000000"/>
        </w:rPr>
      </w:pPr>
    </w:p>
    <w:p w14:paraId="624C48F2" w14:textId="77777777" w:rsidR="00774208" w:rsidRDefault="007F1900" w:rsidP="001C322F">
      <w:pPr>
        <w:spacing w:line="480" w:lineRule="auto"/>
        <w:ind w:right="-684"/>
        <w:rPr>
          <w:bCs/>
        </w:rPr>
      </w:pPr>
      <w:r w:rsidRPr="005D2CAF">
        <w:t xml:space="preserve">As discussed under </w:t>
      </w:r>
      <w:r w:rsidR="00262E69">
        <w:t>A.</w:t>
      </w:r>
      <w:r w:rsidRPr="005D2CAF">
        <w:t>1. Circumstances Making the Collec</w:t>
      </w:r>
      <w:r w:rsidR="00262E69">
        <w:t xml:space="preserve">tion of Information Necessary, </w:t>
      </w:r>
      <w:r w:rsidR="006A6997" w:rsidRPr="005D2CAF">
        <w:t xml:space="preserve">unique data and information requirements </w:t>
      </w:r>
      <w:r w:rsidR="009837AB" w:rsidRPr="005D2CAF">
        <w:t xml:space="preserve">particular </w:t>
      </w:r>
      <w:r w:rsidR="005118B4" w:rsidRPr="005D2CAF">
        <w:t xml:space="preserve">to </w:t>
      </w:r>
      <w:r w:rsidR="006A6997" w:rsidRPr="005D2CAF">
        <w:t xml:space="preserve">PHS </w:t>
      </w:r>
      <w:r w:rsidR="009837AB" w:rsidRPr="005D2CAF">
        <w:t>programs</w:t>
      </w:r>
      <w:r w:rsidR="009145ED" w:rsidRPr="005D2CAF">
        <w:t xml:space="preserve"> are provided through </w:t>
      </w:r>
      <w:r w:rsidR="006A6997" w:rsidRPr="005D2CAF">
        <w:t xml:space="preserve">agency-specific </w:t>
      </w:r>
      <w:r w:rsidR="009E2BFF" w:rsidRPr="005D2CAF">
        <w:t>PHS 398</w:t>
      </w:r>
      <w:r w:rsidR="006A6997" w:rsidRPr="005D2CAF">
        <w:t xml:space="preserve"> data components and </w:t>
      </w:r>
      <w:r w:rsidR="008A08AB" w:rsidRPr="005D2CAF">
        <w:t xml:space="preserve">instructions </w:t>
      </w:r>
      <w:r w:rsidR="00D32CA7" w:rsidRPr="005D2CAF">
        <w:t xml:space="preserve">to be used </w:t>
      </w:r>
      <w:r w:rsidR="006A6997" w:rsidRPr="005D2CAF">
        <w:t xml:space="preserve">in conjunction with the SF424 </w:t>
      </w:r>
      <w:r w:rsidR="009837AB" w:rsidRPr="005D2CAF">
        <w:t>(</w:t>
      </w:r>
      <w:r w:rsidR="006A6997" w:rsidRPr="005D2CAF">
        <w:t>R&amp;R</w:t>
      </w:r>
      <w:r w:rsidR="009837AB" w:rsidRPr="005D2CAF">
        <w:t>)</w:t>
      </w:r>
      <w:r w:rsidR="009145ED" w:rsidRPr="005D2CAF">
        <w:t>.</w:t>
      </w:r>
      <w:r w:rsidR="007061AC" w:rsidRPr="005D2CAF">
        <w:t xml:space="preserve"> </w:t>
      </w:r>
      <w:r w:rsidR="00CA11E9" w:rsidRPr="005D2CAF">
        <w:rPr>
          <w:bCs/>
        </w:rPr>
        <w:t>Programs</w:t>
      </w:r>
      <w:r w:rsidR="009145ED" w:rsidRPr="005D2CAF">
        <w:rPr>
          <w:bCs/>
        </w:rPr>
        <w:t xml:space="preserve"> </w:t>
      </w:r>
      <w:r w:rsidR="00BA574F" w:rsidRPr="005D2CAF">
        <w:rPr>
          <w:bCs/>
        </w:rPr>
        <w:t xml:space="preserve">that have not transitioned to electronic submission continue to </w:t>
      </w:r>
      <w:r w:rsidR="00CA11E9" w:rsidRPr="005D2CAF">
        <w:rPr>
          <w:bCs/>
        </w:rPr>
        <w:t>utilize</w:t>
      </w:r>
      <w:r w:rsidR="00BA574F" w:rsidRPr="005D2CAF">
        <w:rPr>
          <w:bCs/>
        </w:rPr>
        <w:t xml:space="preserve"> </w:t>
      </w:r>
      <w:r w:rsidR="00CA5FC7" w:rsidRPr="005D2CAF">
        <w:rPr>
          <w:bCs/>
        </w:rPr>
        <w:t>paper</w:t>
      </w:r>
      <w:r w:rsidR="007943CC" w:rsidRPr="005D2CAF">
        <w:rPr>
          <w:bCs/>
        </w:rPr>
        <w:t xml:space="preserve"> applications comprised solely of </w:t>
      </w:r>
      <w:r w:rsidR="00BA574F" w:rsidRPr="005D2CAF">
        <w:rPr>
          <w:bCs/>
        </w:rPr>
        <w:t xml:space="preserve">PHS 398 </w:t>
      </w:r>
      <w:r w:rsidR="00CA5FC7" w:rsidRPr="005D2CAF">
        <w:rPr>
          <w:bCs/>
        </w:rPr>
        <w:t>forms</w:t>
      </w:r>
      <w:r w:rsidR="00CA11E9" w:rsidRPr="005D2CAF">
        <w:rPr>
          <w:bCs/>
        </w:rPr>
        <w:t>,</w:t>
      </w:r>
      <w:r w:rsidR="00CA5FC7" w:rsidRPr="005D2CAF">
        <w:rPr>
          <w:bCs/>
        </w:rPr>
        <w:t xml:space="preserve"> which </w:t>
      </w:r>
      <w:r w:rsidR="00BA574F" w:rsidRPr="005D2CAF">
        <w:rPr>
          <w:bCs/>
        </w:rPr>
        <w:t xml:space="preserve">are scanned and </w:t>
      </w:r>
      <w:r w:rsidR="00494D38" w:rsidRPr="005D2CAF">
        <w:rPr>
          <w:bCs/>
        </w:rPr>
        <w:t xml:space="preserve">managed </w:t>
      </w:r>
      <w:r w:rsidR="00BA574F" w:rsidRPr="005D2CAF">
        <w:rPr>
          <w:bCs/>
        </w:rPr>
        <w:t>electronically upon receipt at NIH.</w:t>
      </w:r>
      <w:r w:rsidR="007943CC" w:rsidRPr="005D2CAF">
        <w:rPr>
          <w:bCs/>
        </w:rPr>
        <w:t xml:space="preserve"> </w:t>
      </w:r>
      <w:r w:rsidR="002E1B66">
        <w:rPr>
          <w:bCs/>
        </w:rPr>
        <w:t xml:space="preserve">Similarly, the </w:t>
      </w:r>
      <w:r w:rsidR="002E1B66">
        <w:rPr>
          <w:bCs/>
        </w:rPr>
        <w:lastRenderedPageBreak/>
        <w:t>paper 416-1 is used only in a change of institution, whereas, the</w:t>
      </w:r>
      <w:r w:rsidR="00E47F75">
        <w:rPr>
          <w:bCs/>
        </w:rPr>
        <w:t xml:space="preserve"> electronic</w:t>
      </w:r>
      <w:r w:rsidR="002E1B66">
        <w:rPr>
          <w:bCs/>
        </w:rPr>
        <w:t xml:space="preserve"> PHS Fellowship S</w:t>
      </w:r>
      <w:r w:rsidR="00E47F75">
        <w:rPr>
          <w:bCs/>
        </w:rPr>
        <w:t>upplemental Form is used in combination with the SF424 (R&amp;R) forms and instructions for fellowships.</w:t>
      </w:r>
    </w:p>
    <w:p w14:paraId="23974C6C" w14:textId="77777777" w:rsidR="008C6B24" w:rsidRDefault="008C6B24" w:rsidP="001D5F9B">
      <w:pPr>
        <w:ind w:right="-684"/>
        <w:rPr>
          <w:bCs/>
        </w:rPr>
      </w:pPr>
    </w:p>
    <w:p w14:paraId="7E5BA346" w14:textId="77777777" w:rsidR="0092293F" w:rsidRDefault="0044511D" w:rsidP="001C322F">
      <w:pPr>
        <w:spacing w:line="480" w:lineRule="auto"/>
        <w:ind w:right="-684"/>
        <w:rPr>
          <w:bCs/>
        </w:rPr>
      </w:pPr>
      <w:r w:rsidRPr="00262E69">
        <w:rPr>
          <w:bCs/>
          <w:u w:val="single"/>
        </w:rPr>
        <w:t xml:space="preserve">Consolidation of </w:t>
      </w:r>
      <w:r w:rsidR="000E7136" w:rsidRPr="00262E69">
        <w:rPr>
          <w:bCs/>
          <w:u w:val="single"/>
        </w:rPr>
        <w:t xml:space="preserve">Supplemental </w:t>
      </w:r>
      <w:r w:rsidRPr="00262E69">
        <w:rPr>
          <w:bCs/>
          <w:u w:val="single"/>
        </w:rPr>
        <w:t>Application Instructions</w:t>
      </w:r>
      <w:r w:rsidR="00262E69">
        <w:rPr>
          <w:bCs/>
        </w:rPr>
        <w:t xml:space="preserve"> - PHS</w:t>
      </w:r>
      <w:r w:rsidR="00B43693">
        <w:rPr>
          <w:bCs/>
        </w:rPr>
        <w:t xml:space="preserve"> Supplemental Grant Application Instructions will</w:t>
      </w:r>
      <w:r w:rsidR="00F76CAE">
        <w:rPr>
          <w:bCs/>
        </w:rPr>
        <w:t xml:space="preserve"> continue to</w:t>
      </w:r>
      <w:r w:rsidR="00B43693">
        <w:rPr>
          <w:bCs/>
        </w:rPr>
        <w:t xml:space="preserve"> minimize applicant confusion caused by multiple sets of application instructions </w:t>
      </w:r>
      <w:r w:rsidR="000E7136">
        <w:rPr>
          <w:bCs/>
        </w:rPr>
        <w:t>with similar or identical information</w:t>
      </w:r>
      <w:r w:rsidR="00B43693">
        <w:rPr>
          <w:bCs/>
        </w:rPr>
        <w:t>. It consolidates the</w:t>
      </w:r>
      <w:r w:rsidR="000E7136">
        <w:rPr>
          <w:bCs/>
        </w:rPr>
        <w:t xml:space="preserve"> former Parts II and III of each set of application instructions into one</w:t>
      </w:r>
      <w:r w:rsidR="00B43693">
        <w:rPr>
          <w:bCs/>
        </w:rPr>
        <w:t xml:space="preserve"> </w:t>
      </w:r>
      <w:r w:rsidR="000E7136">
        <w:rPr>
          <w:bCs/>
        </w:rPr>
        <w:t xml:space="preserve">document to be used in conjunction with all sets of instructions (398 paper, 398 electronic, Fellowship, SBIR). See Attachment </w:t>
      </w:r>
      <w:r w:rsidR="00DA64B1">
        <w:rPr>
          <w:bCs/>
        </w:rPr>
        <w:t>14</w:t>
      </w:r>
      <w:r w:rsidR="00386ABE">
        <w:rPr>
          <w:bCs/>
        </w:rPr>
        <w:t xml:space="preserve"> </w:t>
      </w:r>
      <w:r w:rsidR="000E7136">
        <w:rPr>
          <w:bCs/>
        </w:rPr>
        <w:t xml:space="preserve">for the </w:t>
      </w:r>
      <w:r w:rsidR="00B43693">
        <w:rPr>
          <w:bCs/>
        </w:rPr>
        <w:t>“Supplemental Instructions for Preparing the Protection for Human Subjects Section of the Research Plan” and “Policies, Assurances, Definitions, and Other Information</w:t>
      </w:r>
      <w:r w:rsidR="000E7136">
        <w:rPr>
          <w:bCs/>
        </w:rPr>
        <w:t>.</w:t>
      </w:r>
      <w:r w:rsidR="00B43693">
        <w:rPr>
          <w:bCs/>
        </w:rPr>
        <w:t xml:space="preserve">” </w:t>
      </w:r>
      <w:r w:rsidR="00D524D2">
        <w:rPr>
          <w:bCs/>
        </w:rPr>
        <w:t>C</w:t>
      </w:r>
      <w:r w:rsidR="000E7136">
        <w:rPr>
          <w:bCs/>
        </w:rPr>
        <w:t xml:space="preserve">hanges to these instructions </w:t>
      </w:r>
      <w:r w:rsidR="00D524D2">
        <w:rPr>
          <w:bCs/>
        </w:rPr>
        <w:t xml:space="preserve">include </w:t>
      </w:r>
      <w:r w:rsidR="000E7136">
        <w:rPr>
          <w:bCs/>
        </w:rPr>
        <w:t>policy updates</w:t>
      </w:r>
      <w:r w:rsidR="00D524D2">
        <w:rPr>
          <w:bCs/>
        </w:rPr>
        <w:t xml:space="preserve"> related to inclusion, definitions added for key biological and/or chemical resources and scientific rigor,</w:t>
      </w:r>
      <w:r w:rsidR="000E7136">
        <w:rPr>
          <w:bCs/>
        </w:rPr>
        <w:t xml:space="preserve"> and editorial clarifications.  </w:t>
      </w:r>
    </w:p>
    <w:p w14:paraId="1C939EAE" w14:textId="77777777" w:rsidR="008C6B24" w:rsidRDefault="008C6B24" w:rsidP="001D5F9B">
      <w:pPr>
        <w:ind w:right="-684"/>
        <w:rPr>
          <w:bCs/>
        </w:rPr>
      </w:pPr>
    </w:p>
    <w:p w14:paraId="663B4290" w14:textId="3C8B0416" w:rsidR="001C322F" w:rsidRDefault="00FB7886" w:rsidP="001C322F">
      <w:pPr>
        <w:spacing w:line="480" w:lineRule="auto"/>
        <w:ind w:right="-684"/>
        <w:rPr>
          <w:color w:val="000000"/>
        </w:rPr>
      </w:pPr>
      <w:r w:rsidRPr="00262E69">
        <w:rPr>
          <w:bCs/>
          <w:u w:val="single"/>
        </w:rPr>
        <w:t>Electronic Type 3 Submission</w:t>
      </w:r>
      <w:r w:rsidR="00262E69">
        <w:rPr>
          <w:bCs/>
        </w:rPr>
        <w:t xml:space="preserve"> - t</w:t>
      </w:r>
      <w:r w:rsidRPr="00262E69">
        <w:t>o</w:t>
      </w:r>
      <w:r w:rsidRPr="005A0059">
        <w:t xml:space="preserve"> meet NIH and Federal-</w:t>
      </w:r>
      <w:r w:rsidR="0083325F">
        <w:t>w</w:t>
      </w:r>
      <w:r w:rsidRPr="005A0059">
        <w:t xml:space="preserve">ide goals for increasing electronic grants processes, the </w:t>
      </w:r>
      <w:r w:rsidR="005A06E1">
        <w:t>e</w:t>
      </w:r>
      <w:r w:rsidRPr="005A0059">
        <w:t xml:space="preserve">lectronic </w:t>
      </w:r>
      <w:r w:rsidR="0035397D">
        <w:t>T</w:t>
      </w:r>
      <w:r w:rsidRPr="005A0059">
        <w:t>yp</w:t>
      </w:r>
      <w:r>
        <w:t>e 3</w:t>
      </w:r>
      <w:r w:rsidR="005A06E1">
        <w:t>, administrative supplement, submission</w:t>
      </w:r>
      <w:r w:rsidR="00F76CAE">
        <w:t xml:space="preserve"> has been developed</w:t>
      </w:r>
      <w:r w:rsidR="00C44DC6">
        <w:t xml:space="preserve"> through Grants.gov and the eRA Commons</w:t>
      </w:r>
      <w:r w:rsidR="005A06E1">
        <w:t xml:space="preserve">. This </w:t>
      </w:r>
      <w:r w:rsidR="00F76CAE">
        <w:t xml:space="preserve">has </w:t>
      </w:r>
      <w:r w:rsidR="00CC4905">
        <w:t>standardize</w:t>
      </w:r>
      <w:r w:rsidR="00F76CAE">
        <w:t>d</w:t>
      </w:r>
      <w:r w:rsidRPr="005A0059">
        <w:t xml:space="preserve"> the application proces</w:t>
      </w:r>
      <w:r>
        <w:t>s and reduce</w:t>
      </w:r>
      <w:r w:rsidR="00EE4843">
        <w:t>d</w:t>
      </w:r>
      <w:r>
        <w:t xml:space="preserve"> burden on grantees</w:t>
      </w:r>
      <w:r w:rsidR="00C44DC6">
        <w:t>, who now have the option of submitting in either system</w:t>
      </w:r>
      <w:r w:rsidR="00FF29EF">
        <w:t xml:space="preserve">; </w:t>
      </w:r>
      <w:r>
        <w:t>reduce</w:t>
      </w:r>
      <w:r w:rsidR="00EE4843">
        <w:t>d</w:t>
      </w:r>
      <w:r>
        <w:t xml:space="preserve"> costs</w:t>
      </w:r>
      <w:r w:rsidR="00CC4905">
        <w:t xml:space="preserve"> by standardizing</w:t>
      </w:r>
      <w:r w:rsidRPr="005A0059">
        <w:t xml:space="preserve"> the processing of administr</w:t>
      </w:r>
      <w:r>
        <w:t>ative supplement requests; and s</w:t>
      </w:r>
      <w:r w:rsidRPr="005A0059">
        <w:t>ystematize</w:t>
      </w:r>
      <w:r w:rsidR="00EE4843">
        <w:t>d</w:t>
      </w:r>
      <w:r w:rsidRPr="005A0059">
        <w:t xml:space="preserve"> data collected on the diversity and reentry programs. </w:t>
      </w:r>
      <w:r w:rsidR="00C44DC6" w:rsidRPr="00A96C9A">
        <w:rPr>
          <w:color w:val="000000"/>
        </w:rPr>
        <w:t xml:space="preserve">NIH is working closely with Grants.gov to develop a process for submission of </w:t>
      </w:r>
      <w:r w:rsidR="00C44DC6">
        <w:rPr>
          <w:color w:val="000000"/>
        </w:rPr>
        <w:t xml:space="preserve">an electronic Type 3 </w:t>
      </w:r>
      <w:r w:rsidR="00C44DC6" w:rsidRPr="00A96C9A">
        <w:rPr>
          <w:color w:val="000000"/>
        </w:rPr>
        <w:t>multi-project application</w:t>
      </w:r>
      <w:r w:rsidR="00C44DC6">
        <w:rPr>
          <w:color w:val="000000"/>
        </w:rPr>
        <w:t xml:space="preserve">. </w:t>
      </w:r>
    </w:p>
    <w:p w14:paraId="0A7587DA" w14:textId="77777777" w:rsidR="008C6B24" w:rsidRPr="00E52643" w:rsidRDefault="008C6B24" w:rsidP="00262E69">
      <w:pPr>
        <w:ind w:right="-684"/>
        <w:rPr>
          <w:spacing w:val="3"/>
        </w:rPr>
      </w:pPr>
    </w:p>
    <w:p w14:paraId="59E95B22" w14:textId="0FCF2D8C" w:rsidR="00BB7AA0" w:rsidRDefault="00CC4905" w:rsidP="00FB7886">
      <w:pPr>
        <w:spacing w:line="480" w:lineRule="auto"/>
        <w:ind w:right="-684"/>
        <w:rPr>
          <w:bCs/>
        </w:rPr>
      </w:pPr>
      <w:r w:rsidRPr="00262E69">
        <w:rPr>
          <w:bCs/>
          <w:u w:val="single"/>
        </w:rPr>
        <w:t>Electronic Type 7</w:t>
      </w:r>
      <w:r w:rsidR="00262E69" w:rsidRPr="00262E69">
        <w:rPr>
          <w:bCs/>
          <w:u w:val="single"/>
        </w:rPr>
        <w:t xml:space="preserve"> Submission</w:t>
      </w:r>
      <w:r w:rsidR="00262E69">
        <w:rPr>
          <w:bCs/>
        </w:rPr>
        <w:t xml:space="preserve"> - </w:t>
      </w:r>
      <w:r w:rsidR="008E7300">
        <w:rPr>
          <w:bCs/>
        </w:rPr>
        <w:t xml:space="preserve">NIH’s ongoing effort for conversion of electronic operations includes transitioning Change of Institution (Type 7) requests, Successor-in-Interest (Type 6) actions, and transfers of Fellowship (Type 7) applications (currently submitted on 416-1). </w:t>
      </w:r>
      <w:r w:rsidR="00616659" w:rsidRPr="00616659">
        <w:rPr>
          <w:bCs/>
        </w:rPr>
        <w:t>The paper</w:t>
      </w:r>
      <w:r w:rsidR="00616659">
        <w:rPr>
          <w:bCs/>
        </w:rPr>
        <w:t xml:space="preserve"> 416-1 is use</w:t>
      </w:r>
      <w:r w:rsidR="00B558DE">
        <w:rPr>
          <w:bCs/>
        </w:rPr>
        <w:t>d</w:t>
      </w:r>
      <w:r w:rsidR="00616659">
        <w:rPr>
          <w:bCs/>
        </w:rPr>
        <w:t xml:space="preserve"> </w:t>
      </w:r>
      <w:r w:rsidR="00616659">
        <w:rPr>
          <w:bCs/>
        </w:rPr>
        <w:lastRenderedPageBreak/>
        <w:t>only for post-award change</w:t>
      </w:r>
      <w:r w:rsidR="00EE4843">
        <w:rPr>
          <w:bCs/>
        </w:rPr>
        <w:t>s</w:t>
      </w:r>
      <w:r w:rsidR="00616659">
        <w:rPr>
          <w:bCs/>
        </w:rPr>
        <w:t xml:space="preserve"> of institution (Type 7)</w:t>
      </w:r>
      <w:r w:rsidR="001F688D">
        <w:rPr>
          <w:bCs/>
        </w:rPr>
        <w:t xml:space="preserve">. </w:t>
      </w:r>
      <w:r w:rsidR="001F688D" w:rsidRPr="00A96C9A">
        <w:rPr>
          <w:color w:val="000000"/>
        </w:rPr>
        <w:t xml:space="preserve">NIH is working closely with Grants.gov to develop a process for submission of </w:t>
      </w:r>
      <w:r w:rsidR="001F688D">
        <w:rPr>
          <w:color w:val="000000"/>
        </w:rPr>
        <w:t xml:space="preserve">an electronic Type 6 and 7 </w:t>
      </w:r>
      <w:r w:rsidR="001F688D" w:rsidRPr="00A96C9A">
        <w:rPr>
          <w:color w:val="000000"/>
        </w:rPr>
        <w:t>multi-project application</w:t>
      </w:r>
      <w:r w:rsidR="001F688D">
        <w:rPr>
          <w:color w:val="000000"/>
        </w:rPr>
        <w:t>.</w:t>
      </w:r>
      <w:r w:rsidR="00E23DA5">
        <w:rPr>
          <w:bCs/>
        </w:rPr>
        <w:t xml:space="preserve"> </w:t>
      </w:r>
      <w:r w:rsidR="00616659">
        <w:rPr>
          <w:bCs/>
        </w:rPr>
        <w:t xml:space="preserve"> </w:t>
      </w:r>
    </w:p>
    <w:p w14:paraId="685A163E" w14:textId="77777777" w:rsidR="008C6B24" w:rsidRDefault="008C6B24" w:rsidP="00262E69">
      <w:pPr>
        <w:ind w:right="-684"/>
        <w:rPr>
          <w:b/>
          <w:bCs/>
        </w:rPr>
      </w:pPr>
    </w:p>
    <w:p w14:paraId="63144221" w14:textId="5300D45E" w:rsidR="00BE53EC" w:rsidRDefault="00262E69" w:rsidP="00BE53EC">
      <w:pPr>
        <w:spacing w:line="480" w:lineRule="auto"/>
        <w:ind w:right="-684"/>
        <w:rPr>
          <w:color w:val="000000"/>
        </w:rPr>
      </w:pPr>
      <w:r w:rsidRPr="00262E69">
        <w:rPr>
          <w:bCs/>
          <w:u w:val="single"/>
        </w:rPr>
        <w:t>Electronic Complex Application Submission</w:t>
      </w:r>
      <w:r>
        <w:rPr>
          <w:bCs/>
        </w:rPr>
        <w:t xml:space="preserve"> - t</w:t>
      </w:r>
      <w:r w:rsidR="0078179A">
        <w:rPr>
          <w:color w:val="000000"/>
        </w:rPr>
        <w:t xml:space="preserve">o date, </w:t>
      </w:r>
      <w:r w:rsidR="00055D7A" w:rsidRPr="008C6B24">
        <w:rPr>
          <w:color w:val="000000"/>
        </w:rPr>
        <w:t>95</w:t>
      </w:r>
      <w:r w:rsidR="00FB7886" w:rsidRPr="005A0059">
        <w:rPr>
          <w:color w:val="000000"/>
        </w:rPr>
        <w:t>% of competing NIH applications are submitted electronically</w:t>
      </w:r>
      <w:r w:rsidR="00BE53EC">
        <w:rPr>
          <w:color w:val="000000"/>
        </w:rPr>
        <w:t>, and the majority are submitted</w:t>
      </w:r>
      <w:r w:rsidR="00FB7886" w:rsidRPr="005A0059">
        <w:rPr>
          <w:color w:val="000000"/>
        </w:rPr>
        <w:t xml:space="preserve"> through Grants.gov. “Complex” applications include multiple independent subprojects with separate budgets, a feature not currently supported by Grants.gov. To meet the goal of receiving all competing applications electronically, NIH </w:t>
      </w:r>
      <w:r w:rsidR="00FE136F">
        <w:rPr>
          <w:color w:val="000000"/>
        </w:rPr>
        <w:t>has</w:t>
      </w:r>
      <w:r w:rsidR="00FE136F" w:rsidRPr="005A0059">
        <w:rPr>
          <w:color w:val="000000"/>
        </w:rPr>
        <w:t xml:space="preserve"> </w:t>
      </w:r>
      <w:r w:rsidR="00FB7886" w:rsidRPr="005A0059">
        <w:rPr>
          <w:color w:val="000000"/>
        </w:rPr>
        <w:t>partner</w:t>
      </w:r>
      <w:r w:rsidR="00FE136F">
        <w:rPr>
          <w:color w:val="000000"/>
        </w:rPr>
        <w:t>ed</w:t>
      </w:r>
      <w:r w:rsidR="00FB7886" w:rsidRPr="005A0059">
        <w:rPr>
          <w:color w:val="000000"/>
        </w:rPr>
        <w:t xml:space="preserve"> with Grants.gov to develop </w:t>
      </w:r>
      <w:r w:rsidR="00FE136F">
        <w:rPr>
          <w:color w:val="000000"/>
        </w:rPr>
        <w:t>ASSIST, which</w:t>
      </w:r>
      <w:r w:rsidR="00D524D2">
        <w:rPr>
          <w:color w:val="000000"/>
        </w:rPr>
        <w:t xml:space="preserve"> </w:t>
      </w:r>
      <w:r w:rsidR="00FB7886" w:rsidRPr="005A0059">
        <w:rPr>
          <w:color w:val="000000"/>
        </w:rPr>
        <w:t>accommodates multiple subprojects utilizing the SF424 (R&amp;R) and PHS 398 family of forms. </w:t>
      </w:r>
      <w:r w:rsidR="00FE136F">
        <w:rPr>
          <w:color w:val="000000"/>
        </w:rPr>
        <w:t xml:space="preserve">ASSIST is also an option for </w:t>
      </w:r>
      <w:r w:rsidR="001F688D">
        <w:rPr>
          <w:color w:val="000000"/>
        </w:rPr>
        <w:t xml:space="preserve">all </w:t>
      </w:r>
      <w:r w:rsidR="00FE136F">
        <w:rPr>
          <w:color w:val="000000"/>
        </w:rPr>
        <w:t xml:space="preserve">single project applications. </w:t>
      </w:r>
    </w:p>
    <w:p w14:paraId="1B39E4A0" w14:textId="77777777" w:rsidR="00BE53EC" w:rsidRDefault="00BE53EC" w:rsidP="00BE53EC">
      <w:pPr>
        <w:ind w:right="-684"/>
        <w:rPr>
          <w:color w:val="000000"/>
        </w:rPr>
      </w:pPr>
    </w:p>
    <w:p w14:paraId="1704928A" w14:textId="77777777" w:rsidR="00FB7886" w:rsidRDefault="00FE136F" w:rsidP="00BE53EC">
      <w:pPr>
        <w:spacing w:line="480" w:lineRule="auto"/>
        <w:ind w:right="-684"/>
        <w:rPr>
          <w:color w:val="000000"/>
        </w:rPr>
      </w:pPr>
      <w:r>
        <w:rPr>
          <w:color w:val="000000"/>
        </w:rPr>
        <w:t>There has been</w:t>
      </w:r>
      <w:r w:rsidR="00FB7886" w:rsidRPr="005A0059">
        <w:rPr>
          <w:color w:val="000000"/>
        </w:rPr>
        <w:t xml:space="preserve"> significant applicant burden reductions by 1) using electronic systems to eliminate redundant data collections</w:t>
      </w:r>
      <w:r w:rsidR="002E61C9">
        <w:rPr>
          <w:color w:val="000000"/>
        </w:rPr>
        <w:t>;</w:t>
      </w:r>
      <w:r w:rsidR="00FB7886" w:rsidRPr="005A0059">
        <w:rPr>
          <w:color w:val="000000"/>
        </w:rPr>
        <w:t xml:space="preserve"> 2) reducing confusion by using a single form set for all competing applications</w:t>
      </w:r>
      <w:r w:rsidR="002E61C9">
        <w:rPr>
          <w:color w:val="000000"/>
        </w:rPr>
        <w:t>;</w:t>
      </w:r>
      <w:r w:rsidR="00FB7886" w:rsidRPr="005A0059">
        <w:rPr>
          <w:color w:val="000000"/>
        </w:rPr>
        <w:t xml:space="preserve"> and 3) allowing system-to-system users to submit complex applications directly through Grants.gov.</w:t>
      </w:r>
    </w:p>
    <w:p w14:paraId="25766564" w14:textId="77777777" w:rsidR="008C6B24" w:rsidRPr="005A0059" w:rsidRDefault="008C6B24" w:rsidP="00262E69">
      <w:pPr>
        <w:rPr>
          <w:color w:val="000000"/>
        </w:rPr>
      </w:pPr>
    </w:p>
    <w:p w14:paraId="4A1C7C14" w14:textId="77777777" w:rsidR="008A08AB" w:rsidRPr="005D2CAF" w:rsidRDefault="00C22C55" w:rsidP="00530196">
      <w:pPr>
        <w:spacing w:line="480" w:lineRule="auto"/>
        <w:ind w:right="-684"/>
        <w:rPr>
          <w:bCs/>
        </w:rPr>
      </w:pPr>
      <w:r w:rsidRPr="00262E69">
        <w:rPr>
          <w:bCs/>
        </w:rPr>
        <w:t>b</w:t>
      </w:r>
      <w:r w:rsidR="008A08AB" w:rsidRPr="00262E69">
        <w:rPr>
          <w:bCs/>
        </w:rPr>
        <w:t xml:space="preserve">.  </w:t>
      </w:r>
      <w:r w:rsidR="008A08AB" w:rsidRPr="00262E69">
        <w:rPr>
          <w:bCs/>
          <w:u w:val="single"/>
        </w:rPr>
        <w:t>eRA Commons</w:t>
      </w:r>
      <w:r w:rsidR="00262E69">
        <w:rPr>
          <w:bCs/>
        </w:rPr>
        <w:t xml:space="preserve"> - t</w:t>
      </w:r>
      <w:r w:rsidR="008A08AB" w:rsidRPr="005D2CAF">
        <w:rPr>
          <w:bCs/>
        </w:rPr>
        <w:t>he electronic Research Administration (eRA) Commons</w:t>
      </w:r>
      <w:r w:rsidR="009145ED" w:rsidRPr="005D2CAF">
        <w:rPr>
          <w:bCs/>
        </w:rPr>
        <w:t xml:space="preserve"> is an </w:t>
      </w:r>
      <w:r w:rsidR="001434BB" w:rsidRPr="005D2CAF">
        <w:rPr>
          <w:bCs/>
        </w:rPr>
        <w:t xml:space="preserve">electronic </w:t>
      </w:r>
      <w:r w:rsidR="008A08AB" w:rsidRPr="005D2CAF">
        <w:rPr>
          <w:bCs/>
        </w:rPr>
        <w:t xml:space="preserve">infrastructure </w:t>
      </w:r>
      <w:r w:rsidR="009145ED" w:rsidRPr="005D2CAF">
        <w:rPr>
          <w:bCs/>
        </w:rPr>
        <w:t xml:space="preserve">that </w:t>
      </w:r>
      <w:r w:rsidR="008A08AB" w:rsidRPr="005D2CAF">
        <w:rPr>
          <w:bCs/>
        </w:rPr>
        <w:t xml:space="preserve">provides for the secure agency receipt of applications submitted electronically through </w:t>
      </w:r>
      <w:r w:rsidR="00571F01" w:rsidRPr="00571F01">
        <w:rPr>
          <w:bCs/>
        </w:rPr>
        <w:t>Grants.gov</w:t>
      </w:r>
      <w:r w:rsidR="008A08AB" w:rsidRPr="005D2CAF">
        <w:rPr>
          <w:bCs/>
        </w:rPr>
        <w:t xml:space="preserve">, and electronic administration </w:t>
      </w:r>
      <w:r w:rsidR="00FE5E10" w:rsidRPr="005D2CAF">
        <w:rPr>
          <w:bCs/>
        </w:rPr>
        <w:t>by</w:t>
      </w:r>
      <w:r w:rsidR="001434BB" w:rsidRPr="005D2CAF">
        <w:rPr>
          <w:bCs/>
        </w:rPr>
        <w:t xml:space="preserve"> grantees and </w:t>
      </w:r>
      <w:r w:rsidR="00FE5E10" w:rsidRPr="005D2CAF">
        <w:rPr>
          <w:bCs/>
        </w:rPr>
        <w:t xml:space="preserve">PHS </w:t>
      </w:r>
      <w:r w:rsidR="001434BB" w:rsidRPr="005D2CAF">
        <w:rPr>
          <w:bCs/>
        </w:rPr>
        <w:t xml:space="preserve">staff </w:t>
      </w:r>
      <w:r w:rsidR="00FE5E10" w:rsidRPr="005D2CAF">
        <w:rPr>
          <w:bCs/>
        </w:rPr>
        <w:t>for</w:t>
      </w:r>
      <w:r w:rsidR="008A08AB" w:rsidRPr="005D2CAF">
        <w:rPr>
          <w:bCs/>
        </w:rPr>
        <w:t xml:space="preserve"> the </w:t>
      </w:r>
      <w:r w:rsidR="00FE5E10" w:rsidRPr="005D2CAF">
        <w:rPr>
          <w:bCs/>
        </w:rPr>
        <w:t xml:space="preserve">complete </w:t>
      </w:r>
      <w:r w:rsidR="008A08AB" w:rsidRPr="005D2CAF">
        <w:rPr>
          <w:bCs/>
        </w:rPr>
        <w:t>grant life cycle</w:t>
      </w:r>
      <w:r w:rsidR="009145ED" w:rsidRPr="005D2CAF">
        <w:rPr>
          <w:bCs/>
        </w:rPr>
        <w:t>.</w:t>
      </w:r>
      <w:r w:rsidR="001434BB" w:rsidRPr="005D2CAF">
        <w:rPr>
          <w:bCs/>
        </w:rPr>
        <w:t xml:space="preserve"> It </w:t>
      </w:r>
      <w:r w:rsidR="008A08AB" w:rsidRPr="005D2CAF">
        <w:rPr>
          <w:bCs/>
        </w:rPr>
        <w:t xml:space="preserve">allows grantees to conduct business </w:t>
      </w:r>
      <w:r w:rsidR="00547B45" w:rsidRPr="005D2CAF">
        <w:rPr>
          <w:bCs/>
        </w:rPr>
        <w:t xml:space="preserve">with PHS </w:t>
      </w:r>
      <w:r w:rsidR="008A08AB" w:rsidRPr="005D2CAF">
        <w:rPr>
          <w:bCs/>
        </w:rPr>
        <w:t xml:space="preserve">electronically, and </w:t>
      </w:r>
      <w:r w:rsidRPr="005D2CAF">
        <w:rPr>
          <w:bCs/>
        </w:rPr>
        <w:t xml:space="preserve">automatically </w:t>
      </w:r>
      <w:r w:rsidR="008A08AB" w:rsidRPr="005D2CAF">
        <w:rPr>
          <w:bCs/>
        </w:rPr>
        <w:t>transfers information to the NIH enterprise database, IMPAC II, for processing</w:t>
      </w:r>
      <w:r w:rsidR="00BB7AA0">
        <w:rPr>
          <w:bCs/>
        </w:rPr>
        <w:t xml:space="preserve">. </w:t>
      </w:r>
      <w:r w:rsidR="008A08AB" w:rsidRPr="005D2CAF">
        <w:rPr>
          <w:bCs/>
        </w:rPr>
        <w:t>All relevant business areas</w:t>
      </w:r>
      <w:r w:rsidR="009837AB" w:rsidRPr="005D2CAF">
        <w:rPr>
          <w:bCs/>
        </w:rPr>
        <w:t>--</w:t>
      </w:r>
      <w:r w:rsidR="008A08AB" w:rsidRPr="005D2CAF">
        <w:rPr>
          <w:bCs/>
        </w:rPr>
        <w:t>application receipt, referral, review, council, grants management, award processing, program and fiscal administration, reporting</w:t>
      </w:r>
      <w:r w:rsidR="00547B45" w:rsidRPr="005D2CAF">
        <w:rPr>
          <w:bCs/>
        </w:rPr>
        <w:t>,</w:t>
      </w:r>
      <w:r w:rsidR="008A08AB" w:rsidRPr="005D2CAF">
        <w:rPr>
          <w:bCs/>
        </w:rPr>
        <w:t xml:space="preserve"> and close-out</w:t>
      </w:r>
      <w:r w:rsidR="009837AB" w:rsidRPr="005D2CAF">
        <w:rPr>
          <w:bCs/>
        </w:rPr>
        <w:t>--</w:t>
      </w:r>
      <w:r w:rsidR="008A08AB" w:rsidRPr="005D2CAF">
        <w:rPr>
          <w:bCs/>
        </w:rPr>
        <w:t>are accommodated in the eRA Commons. This initiative represents improve</w:t>
      </w:r>
      <w:r w:rsidR="00E62FFE">
        <w:rPr>
          <w:bCs/>
        </w:rPr>
        <w:t>d</w:t>
      </w:r>
      <w:r w:rsidR="008A08AB" w:rsidRPr="005D2CAF">
        <w:rPr>
          <w:bCs/>
        </w:rPr>
        <w:t xml:space="preserve"> administrative operations through information technologies and reengineer</w:t>
      </w:r>
      <w:r w:rsidR="00E62FFE">
        <w:rPr>
          <w:bCs/>
        </w:rPr>
        <w:t>ed</w:t>
      </w:r>
      <w:r w:rsidR="008A08AB" w:rsidRPr="005D2CAF">
        <w:rPr>
          <w:bCs/>
        </w:rPr>
        <w:t xml:space="preserve"> business processes. </w:t>
      </w:r>
      <w:r w:rsidR="001434BB" w:rsidRPr="005D2CAF">
        <w:rPr>
          <w:bCs/>
        </w:rPr>
        <w:t xml:space="preserve">eRA </w:t>
      </w:r>
      <w:r w:rsidR="00547B45" w:rsidRPr="005D2CAF">
        <w:rPr>
          <w:bCs/>
        </w:rPr>
        <w:t xml:space="preserve">also </w:t>
      </w:r>
      <w:r w:rsidR="001434BB" w:rsidRPr="005D2CAF">
        <w:rPr>
          <w:bCs/>
        </w:rPr>
        <w:t xml:space="preserve">includes the functionality for the following </w:t>
      </w:r>
      <w:r w:rsidR="00E62FFE">
        <w:rPr>
          <w:bCs/>
        </w:rPr>
        <w:t xml:space="preserve">pre-award </w:t>
      </w:r>
      <w:r w:rsidR="001434BB" w:rsidRPr="005D2CAF">
        <w:rPr>
          <w:bCs/>
        </w:rPr>
        <w:t>grant processes:</w:t>
      </w:r>
    </w:p>
    <w:p w14:paraId="41D0E16F" w14:textId="77777777" w:rsidR="00FA4798" w:rsidRDefault="00E62FFE" w:rsidP="00530196">
      <w:pPr>
        <w:spacing w:line="480" w:lineRule="auto"/>
        <w:ind w:right="-684"/>
        <w:rPr>
          <w:bCs/>
          <w:highlight w:val="yellow"/>
        </w:rPr>
      </w:pPr>
      <w:r>
        <w:rPr>
          <w:bCs/>
          <w:i/>
        </w:rPr>
        <w:lastRenderedPageBreak/>
        <w:t>1</w:t>
      </w:r>
      <w:r w:rsidR="00C55248" w:rsidRPr="005D2CAF">
        <w:rPr>
          <w:bCs/>
          <w:i/>
        </w:rPr>
        <w:t xml:space="preserve">)  </w:t>
      </w:r>
      <w:r w:rsidR="00B61497" w:rsidRPr="005D2CAF">
        <w:rPr>
          <w:bCs/>
          <w:i/>
        </w:rPr>
        <w:t>Just-In-Time</w:t>
      </w:r>
      <w:r w:rsidR="00B61497" w:rsidRPr="005D2CAF">
        <w:rPr>
          <w:bCs/>
        </w:rPr>
        <w:t xml:space="preserve"> </w:t>
      </w:r>
      <w:r w:rsidR="003E0D30" w:rsidRPr="005D2CAF">
        <w:rPr>
          <w:bCs/>
          <w:i/>
        </w:rPr>
        <w:t xml:space="preserve">(JIT) </w:t>
      </w:r>
      <w:r w:rsidR="001434BB" w:rsidRPr="005D2CAF">
        <w:rPr>
          <w:bCs/>
        </w:rPr>
        <w:t xml:space="preserve">allows </w:t>
      </w:r>
      <w:r w:rsidR="00B61497" w:rsidRPr="005D2CAF">
        <w:rPr>
          <w:bCs/>
        </w:rPr>
        <w:t xml:space="preserve">certain data elements </w:t>
      </w:r>
      <w:r w:rsidR="003E0D30" w:rsidRPr="005D2CAF">
        <w:rPr>
          <w:bCs/>
        </w:rPr>
        <w:t>required for</w:t>
      </w:r>
      <w:r w:rsidR="00B61497" w:rsidRPr="005D2CAF">
        <w:rPr>
          <w:bCs/>
        </w:rPr>
        <w:t xml:space="preserve"> competing applications </w:t>
      </w:r>
      <w:r w:rsidR="001434BB" w:rsidRPr="005D2CAF">
        <w:rPr>
          <w:bCs/>
        </w:rPr>
        <w:t xml:space="preserve">to </w:t>
      </w:r>
      <w:r w:rsidR="003E0D30" w:rsidRPr="005D2CAF">
        <w:rPr>
          <w:bCs/>
        </w:rPr>
        <w:t xml:space="preserve">be submitted electronically </w:t>
      </w:r>
      <w:r w:rsidR="007B5A7E" w:rsidRPr="005D2CAF">
        <w:rPr>
          <w:bCs/>
        </w:rPr>
        <w:t>and later in the review process (</w:t>
      </w:r>
      <w:r w:rsidR="003E0D30" w:rsidRPr="005D2CAF">
        <w:rPr>
          <w:bCs/>
        </w:rPr>
        <w:t xml:space="preserve">after peer review </w:t>
      </w:r>
      <w:r w:rsidR="007B5A7E" w:rsidRPr="005D2CAF">
        <w:rPr>
          <w:bCs/>
        </w:rPr>
        <w:t>but prior to</w:t>
      </w:r>
      <w:r w:rsidR="003E0D30" w:rsidRPr="005D2CAF">
        <w:rPr>
          <w:bCs/>
        </w:rPr>
        <w:t xml:space="preserve"> funding</w:t>
      </w:r>
      <w:r w:rsidR="007B5A7E" w:rsidRPr="005D2CAF">
        <w:rPr>
          <w:bCs/>
        </w:rPr>
        <w:t>), an</w:t>
      </w:r>
      <w:r w:rsidR="00CA5FC7" w:rsidRPr="005D2CAF">
        <w:rPr>
          <w:bCs/>
        </w:rPr>
        <w:t xml:space="preserve">d </w:t>
      </w:r>
      <w:r w:rsidR="00BA574F" w:rsidRPr="005D2CAF">
        <w:rPr>
          <w:bCs/>
        </w:rPr>
        <w:t xml:space="preserve">only by those applications likely to be funded.  </w:t>
      </w:r>
      <w:r w:rsidR="005A0D41" w:rsidRPr="005D2CAF">
        <w:rPr>
          <w:bCs/>
        </w:rPr>
        <w:t xml:space="preserve">In addition to eliminating </w:t>
      </w:r>
      <w:r w:rsidR="00B61497" w:rsidRPr="005D2CAF">
        <w:rPr>
          <w:bCs/>
        </w:rPr>
        <w:t xml:space="preserve">paper submission and </w:t>
      </w:r>
      <w:r w:rsidR="005A0D41" w:rsidRPr="005D2CAF">
        <w:rPr>
          <w:bCs/>
        </w:rPr>
        <w:t xml:space="preserve">unnecessary agency processing, JIT </w:t>
      </w:r>
      <w:r w:rsidR="001434BB" w:rsidRPr="005D2CAF">
        <w:rPr>
          <w:bCs/>
        </w:rPr>
        <w:t xml:space="preserve">significantly </w:t>
      </w:r>
      <w:r w:rsidR="00554C2C" w:rsidRPr="005D2CAF">
        <w:rPr>
          <w:bCs/>
        </w:rPr>
        <w:t xml:space="preserve">reduces </w:t>
      </w:r>
      <w:r w:rsidR="005A0D41" w:rsidRPr="005D2CAF">
        <w:rPr>
          <w:bCs/>
        </w:rPr>
        <w:t xml:space="preserve">applicant </w:t>
      </w:r>
      <w:r w:rsidR="00554C2C" w:rsidRPr="005D2CAF">
        <w:rPr>
          <w:bCs/>
        </w:rPr>
        <w:t xml:space="preserve">burden because information is </w:t>
      </w:r>
      <w:r w:rsidR="00554C2C" w:rsidRPr="005D2CAF">
        <w:rPr>
          <w:bCs/>
          <w:i/>
        </w:rPr>
        <w:t>only</w:t>
      </w:r>
      <w:r w:rsidR="00554C2C" w:rsidRPr="005D2CAF">
        <w:rPr>
          <w:bCs/>
        </w:rPr>
        <w:t xml:space="preserve"> requested</w:t>
      </w:r>
      <w:r w:rsidR="00D32CA7" w:rsidRPr="005D2CAF">
        <w:rPr>
          <w:bCs/>
        </w:rPr>
        <w:t>, through centralized system-genera</w:t>
      </w:r>
      <w:r w:rsidR="00744BEA" w:rsidRPr="005D2CAF">
        <w:rPr>
          <w:bCs/>
        </w:rPr>
        <w:t>t</w:t>
      </w:r>
      <w:r w:rsidR="00D32CA7" w:rsidRPr="005D2CAF">
        <w:rPr>
          <w:bCs/>
        </w:rPr>
        <w:t>ed e-mail notifications,</w:t>
      </w:r>
      <w:r w:rsidR="00554C2C" w:rsidRPr="005D2CAF">
        <w:rPr>
          <w:bCs/>
        </w:rPr>
        <w:t xml:space="preserve"> </w:t>
      </w:r>
      <w:r w:rsidR="005D48B4" w:rsidRPr="005D2CAF">
        <w:rPr>
          <w:bCs/>
        </w:rPr>
        <w:t>when</w:t>
      </w:r>
      <w:r w:rsidR="00554C2C" w:rsidRPr="005D2CAF">
        <w:rPr>
          <w:bCs/>
        </w:rPr>
        <w:t xml:space="preserve"> </w:t>
      </w:r>
      <w:r w:rsidR="005A0D41" w:rsidRPr="005D2CAF">
        <w:rPr>
          <w:bCs/>
        </w:rPr>
        <w:t>potential funding is anticipated</w:t>
      </w:r>
      <w:r w:rsidR="00B61497" w:rsidRPr="00FA4798">
        <w:rPr>
          <w:bCs/>
          <w:color w:val="000000"/>
        </w:rPr>
        <w:t xml:space="preserve">. </w:t>
      </w:r>
      <w:r w:rsidR="00FA4798" w:rsidRPr="00FA4798">
        <w:rPr>
          <w:color w:val="000000"/>
        </w:rPr>
        <w:t>The JIT module</w:t>
      </w:r>
      <w:r w:rsidR="00970F84">
        <w:rPr>
          <w:color w:val="000000"/>
        </w:rPr>
        <w:t>’</w:t>
      </w:r>
      <w:r w:rsidR="00FA4798" w:rsidRPr="00FA4798">
        <w:rPr>
          <w:color w:val="000000"/>
        </w:rPr>
        <w:t>s capabilities have recently expanded to allow submission of any text attachment collected in a grant application, allowing potential expansion of JIT and additional burden reductions. </w:t>
      </w:r>
      <w:r w:rsidR="00B4185B">
        <w:rPr>
          <w:color w:val="000000"/>
        </w:rPr>
        <w:t xml:space="preserve">Electronic submission of JIT materials is mandatory in the eRA Commons. </w:t>
      </w:r>
    </w:p>
    <w:p w14:paraId="056534D2" w14:textId="77777777" w:rsidR="007B7609" w:rsidRDefault="00E62FFE" w:rsidP="00530196">
      <w:pPr>
        <w:spacing w:line="480" w:lineRule="auto"/>
        <w:ind w:right="-684"/>
        <w:rPr>
          <w:bCs/>
        </w:rPr>
      </w:pPr>
      <w:r>
        <w:rPr>
          <w:bCs/>
          <w:i/>
        </w:rPr>
        <w:t>2</w:t>
      </w:r>
      <w:r w:rsidR="0062329C" w:rsidRPr="00BF0CB1">
        <w:rPr>
          <w:bCs/>
          <w:i/>
        </w:rPr>
        <w:t xml:space="preserve">) </w:t>
      </w:r>
      <w:r w:rsidR="0062329C" w:rsidRPr="00EF357D">
        <w:rPr>
          <w:bCs/>
          <w:i/>
        </w:rPr>
        <w:t>Personal Profile</w:t>
      </w:r>
      <w:r w:rsidR="0062329C" w:rsidRPr="00BF0CB1">
        <w:rPr>
          <w:bCs/>
        </w:rPr>
        <w:t xml:space="preserve"> provides </w:t>
      </w:r>
      <w:r w:rsidR="00D32CA7" w:rsidRPr="00BF0CB1">
        <w:rPr>
          <w:bCs/>
        </w:rPr>
        <w:t xml:space="preserve">principal investigators and reviewers </w:t>
      </w:r>
      <w:r w:rsidR="0062329C" w:rsidRPr="00BF0CB1">
        <w:rPr>
          <w:bCs/>
        </w:rPr>
        <w:t xml:space="preserve">with </w:t>
      </w:r>
      <w:r w:rsidR="0039288A" w:rsidRPr="00BF0CB1">
        <w:rPr>
          <w:bCs/>
        </w:rPr>
        <w:t xml:space="preserve">a secure electronic environment </w:t>
      </w:r>
      <w:r w:rsidR="0062329C" w:rsidRPr="00BF0CB1">
        <w:rPr>
          <w:bCs/>
        </w:rPr>
        <w:t xml:space="preserve">to maintain </w:t>
      </w:r>
      <w:r w:rsidR="00970F84" w:rsidRPr="00BF0CB1">
        <w:rPr>
          <w:bCs/>
        </w:rPr>
        <w:t xml:space="preserve">in the NIH system </w:t>
      </w:r>
      <w:r w:rsidR="0062329C" w:rsidRPr="00BF0CB1">
        <w:rPr>
          <w:bCs/>
        </w:rPr>
        <w:t>information concerning degrees, affiliations with institutions, and other professional information</w:t>
      </w:r>
      <w:r w:rsidR="0000020B" w:rsidRPr="00BF0CB1">
        <w:rPr>
          <w:bCs/>
        </w:rPr>
        <w:t xml:space="preserve">, which associates profiles with </w:t>
      </w:r>
      <w:r w:rsidR="00831560" w:rsidRPr="00BF0CB1">
        <w:rPr>
          <w:bCs/>
        </w:rPr>
        <w:t xml:space="preserve">NIH grant awards. </w:t>
      </w:r>
      <w:r w:rsidR="000873D5" w:rsidRPr="00BF0CB1">
        <w:rPr>
          <w:bCs/>
        </w:rPr>
        <w:t xml:space="preserve">The majority of the data collected is a one-time collection; however institutional </w:t>
      </w:r>
      <w:r w:rsidR="00B2345B" w:rsidRPr="00BF0CB1">
        <w:rPr>
          <w:bCs/>
        </w:rPr>
        <w:t>affiliations</w:t>
      </w:r>
      <w:r w:rsidR="000873D5" w:rsidRPr="00BF0CB1">
        <w:rPr>
          <w:bCs/>
        </w:rPr>
        <w:t xml:space="preserve"> are updated as necessary. This data is used by the agencies to evaluate demographic information</w:t>
      </w:r>
      <w:r w:rsidR="00CE373B" w:rsidRPr="00BF0CB1">
        <w:rPr>
          <w:bCs/>
        </w:rPr>
        <w:t xml:space="preserve">, </w:t>
      </w:r>
      <w:r w:rsidR="000873D5" w:rsidRPr="00BF0CB1">
        <w:rPr>
          <w:bCs/>
        </w:rPr>
        <w:t xml:space="preserve">determine eligibility for programs, and </w:t>
      </w:r>
      <w:r w:rsidR="00CE373B" w:rsidRPr="00BF0CB1">
        <w:rPr>
          <w:bCs/>
        </w:rPr>
        <w:t xml:space="preserve">for </w:t>
      </w:r>
      <w:r w:rsidR="000873D5" w:rsidRPr="00BF0CB1">
        <w:rPr>
          <w:bCs/>
        </w:rPr>
        <w:t xml:space="preserve">workforce analysis. </w:t>
      </w:r>
      <w:r w:rsidR="00C80162">
        <w:rPr>
          <w:bCs/>
        </w:rPr>
        <w:t xml:space="preserve">It is also used to prepopulate </w:t>
      </w:r>
      <w:r w:rsidR="00740ED6">
        <w:rPr>
          <w:bCs/>
        </w:rPr>
        <w:t>required</w:t>
      </w:r>
      <w:r w:rsidR="000873D5" w:rsidRPr="00BF0CB1">
        <w:rPr>
          <w:bCs/>
        </w:rPr>
        <w:t xml:space="preserve"> </w:t>
      </w:r>
      <w:r w:rsidR="00C80162">
        <w:rPr>
          <w:bCs/>
        </w:rPr>
        <w:t xml:space="preserve">data in post-award business processes. </w:t>
      </w:r>
      <w:r w:rsidR="000873D5" w:rsidRPr="00BF0CB1">
        <w:rPr>
          <w:bCs/>
        </w:rPr>
        <w:t>All of the data elements in the Personal Profile are found in application forms used by the agencies which are already approved for collection under OMB Clearances 0925-0001 and 4040-0001</w:t>
      </w:r>
      <w:r w:rsidR="00FD7530">
        <w:rPr>
          <w:bCs/>
        </w:rPr>
        <w:t xml:space="preserve"> (see</w:t>
      </w:r>
      <w:r w:rsidR="008F5AE4" w:rsidRPr="00BF0CB1">
        <w:rPr>
          <w:bCs/>
        </w:rPr>
        <w:t xml:space="preserve"> </w:t>
      </w:r>
      <w:r w:rsidR="00831560" w:rsidRPr="00BF0CB1">
        <w:rPr>
          <w:bCs/>
        </w:rPr>
        <w:t xml:space="preserve">Attachment </w:t>
      </w:r>
      <w:r w:rsidR="00DA64B1">
        <w:rPr>
          <w:bCs/>
        </w:rPr>
        <w:t>15</w:t>
      </w:r>
      <w:r w:rsidR="00831560" w:rsidRPr="00BF0CB1">
        <w:rPr>
          <w:bCs/>
        </w:rPr>
        <w:t xml:space="preserve"> </w:t>
      </w:r>
      <w:r w:rsidR="008F5AE4" w:rsidRPr="00BF0CB1">
        <w:rPr>
          <w:bCs/>
        </w:rPr>
        <w:t xml:space="preserve">for the </w:t>
      </w:r>
      <w:r w:rsidR="00831560" w:rsidRPr="00BF0CB1">
        <w:rPr>
          <w:bCs/>
        </w:rPr>
        <w:t xml:space="preserve">data elements of the </w:t>
      </w:r>
      <w:r w:rsidR="008F5AE4" w:rsidRPr="00BF0CB1">
        <w:rPr>
          <w:bCs/>
        </w:rPr>
        <w:t xml:space="preserve">eRA Commons </w:t>
      </w:r>
      <w:r w:rsidR="00831560" w:rsidRPr="00BF0CB1">
        <w:rPr>
          <w:bCs/>
        </w:rPr>
        <w:t>Personal Profile</w:t>
      </w:r>
      <w:r w:rsidR="008F5AE4" w:rsidRPr="00BF0CB1">
        <w:rPr>
          <w:bCs/>
        </w:rPr>
        <w:t>)</w:t>
      </w:r>
      <w:r w:rsidR="00FD7530">
        <w:rPr>
          <w:bCs/>
        </w:rPr>
        <w:t>.</w:t>
      </w:r>
    </w:p>
    <w:p w14:paraId="16A8196F" w14:textId="77777777" w:rsidR="00FD7530" w:rsidRDefault="00FD7530" w:rsidP="00262E69">
      <w:pPr>
        <w:ind w:right="-684"/>
        <w:rPr>
          <w:bCs/>
        </w:rPr>
      </w:pPr>
    </w:p>
    <w:p w14:paraId="49E47331" w14:textId="687798E1" w:rsidR="002A20D8" w:rsidRDefault="00953BD3" w:rsidP="00530196">
      <w:pPr>
        <w:spacing w:line="480" w:lineRule="auto"/>
        <w:ind w:right="-684"/>
      </w:pPr>
      <w:r w:rsidRPr="00262E69">
        <w:rPr>
          <w:bCs/>
        </w:rPr>
        <w:t>c</w:t>
      </w:r>
      <w:r w:rsidR="009F213D" w:rsidRPr="00262E69">
        <w:rPr>
          <w:bCs/>
        </w:rPr>
        <w:t xml:space="preserve">. </w:t>
      </w:r>
      <w:r w:rsidR="002A20D8" w:rsidRPr="00262E69">
        <w:rPr>
          <w:u w:val="single"/>
        </w:rPr>
        <w:t xml:space="preserve">Electronic submission of data tables via </w:t>
      </w:r>
      <w:proofErr w:type="spellStart"/>
      <w:r w:rsidR="002A20D8" w:rsidRPr="00262E69">
        <w:rPr>
          <w:u w:val="single"/>
        </w:rPr>
        <w:t>xTRACT</w:t>
      </w:r>
      <w:proofErr w:type="spellEnd"/>
      <w:r w:rsidR="002A20D8" w:rsidRPr="00262E69">
        <w:t xml:space="preserve"> </w:t>
      </w:r>
      <w:r w:rsidR="00262E69">
        <w:t>-</w:t>
      </w:r>
      <w:r w:rsidR="002A20D8" w:rsidRPr="00262E69">
        <w:t xml:space="preserve"> </w:t>
      </w:r>
      <w:proofErr w:type="spellStart"/>
      <w:r w:rsidR="002A20D8" w:rsidRPr="00262E69">
        <w:rPr>
          <w:bCs/>
        </w:rPr>
        <w:t>xTRACT</w:t>
      </w:r>
      <w:proofErr w:type="spellEnd"/>
      <w:r w:rsidR="002A20D8" w:rsidRPr="00262E69">
        <w:rPr>
          <w:bCs/>
          <w:i/>
        </w:rPr>
        <w:t xml:space="preserve"> </w:t>
      </w:r>
      <w:r w:rsidR="00285ACF">
        <w:rPr>
          <w:bCs/>
        </w:rPr>
        <w:t>supports</w:t>
      </w:r>
      <w:r w:rsidR="002A20D8" w:rsidRPr="00262E69">
        <w:rPr>
          <w:bCs/>
        </w:rPr>
        <w:t xml:space="preserve"> the</w:t>
      </w:r>
      <w:r w:rsidR="00285ACF">
        <w:rPr>
          <w:bCs/>
        </w:rPr>
        <w:t xml:space="preserve"> optional</w:t>
      </w:r>
      <w:r w:rsidR="002A20D8" w:rsidRPr="00262E69">
        <w:rPr>
          <w:bCs/>
        </w:rPr>
        <w:t xml:space="preserve"> electronic</w:t>
      </w:r>
      <w:r w:rsidR="002A20D8" w:rsidRPr="00282B33">
        <w:rPr>
          <w:bCs/>
        </w:rPr>
        <w:t xml:space="preserve"> submission of </w:t>
      </w:r>
      <w:r w:rsidR="002A20D8">
        <w:rPr>
          <w:bCs/>
        </w:rPr>
        <w:t>the new data tables to be used for training grants, institutional career development awards, and research education awards</w:t>
      </w:r>
      <w:r w:rsidR="002A20D8">
        <w:t>. This module  efficiently reduce</w:t>
      </w:r>
      <w:r w:rsidR="00285ACF">
        <w:t>s</w:t>
      </w:r>
      <w:r w:rsidR="002A20D8" w:rsidRPr="00282B33">
        <w:t xml:space="preserve"> time spent by applicants preparing and submitting these </w:t>
      </w:r>
      <w:r w:rsidR="002A20D8">
        <w:t>tables</w:t>
      </w:r>
      <w:r w:rsidR="002A20D8" w:rsidRPr="00282B33">
        <w:t xml:space="preserve">. Use of </w:t>
      </w:r>
      <w:proofErr w:type="spellStart"/>
      <w:r w:rsidR="002A20D8">
        <w:t>xTRACT</w:t>
      </w:r>
      <w:proofErr w:type="spellEnd"/>
      <w:r w:rsidR="002A20D8" w:rsidRPr="00282B33">
        <w:t xml:space="preserve"> </w:t>
      </w:r>
      <w:r w:rsidR="002A20D8">
        <w:t>will become</w:t>
      </w:r>
      <w:r w:rsidR="002A20D8" w:rsidRPr="00282B33">
        <w:t xml:space="preserve"> mandatory for most NIH institutional training awards, and its use will continue expanding to other NIH research education and institutional career development awards.</w:t>
      </w:r>
    </w:p>
    <w:p w14:paraId="5C23FDA9" w14:textId="77777777" w:rsidR="002A20D8" w:rsidRPr="002A20D8" w:rsidRDefault="002A20D8" w:rsidP="00262E69">
      <w:pPr>
        <w:ind w:right="-684"/>
        <w:rPr>
          <w:b/>
        </w:rPr>
      </w:pPr>
    </w:p>
    <w:p w14:paraId="6BC71495" w14:textId="77777777" w:rsidR="00C55248" w:rsidRPr="005D2CAF" w:rsidRDefault="002A20D8" w:rsidP="00530196">
      <w:pPr>
        <w:spacing w:line="480" w:lineRule="auto"/>
        <w:ind w:right="-684"/>
        <w:rPr>
          <w:bCs/>
        </w:rPr>
      </w:pPr>
      <w:r w:rsidRPr="00262E69">
        <w:t xml:space="preserve">d. </w:t>
      </w:r>
      <w:r w:rsidR="002E0985" w:rsidRPr="00262E69">
        <w:rPr>
          <w:bCs/>
          <w:u w:val="single"/>
        </w:rPr>
        <w:t xml:space="preserve">User-friendly </w:t>
      </w:r>
      <w:r w:rsidR="009F213D" w:rsidRPr="00262E69">
        <w:rPr>
          <w:bCs/>
          <w:u w:val="single"/>
        </w:rPr>
        <w:t>Forms</w:t>
      </w:r>
      <w:r w:rsidR="00262E69">
        <w:rPr>
          <w:bCs/>
        </w:rPr>
        <w:t xml:space="preserve"> - w</w:t>
      </w:r>
      <w:r w:rsidR="00EC016B" w:rsidRPr="005D2CAF">
        <w:rPr>
          <w:bCs/>
        </w:rPr>
        <w:t xml:space="preserve">here paper applications </w:t>
      </w:r>
      <w:r w:rsidR="0049752C" w:rsidRPr="005D2CAF">
        <w:rPr>
          <w:bCs/>
        </w:rPr>
        <w:t xml:space="preserve">and forms </w:t>
      </w:r>
      <w:r w:rsidR="00EC016B" w:rsidRPr="005D2CAF">
        <w:rPr>
          <w:bCs/>
        </w:rPr>
        <w:t xml:space="preserve">are still in use, </w:t>
      </w:r>
      <w:r w:rsidR="00B61497" w:rsidRPr="005D2CAF">
        <w:rPr>
          <w:bCs/>
        </w:rPr>
        <w:t>NIH use</w:t>
      </w:r>
      <w:r w:rsidR="00C703A2" w:rsidRPr="005D2CAF">
        <w:rPr>
          <w:bCs/>
        </w:rPr>
        <w:t>s</w:t>
      </w:r>
      <w:r w:rsidR="00B61497" w:rsidRPr="005D2CAF">
        <w:rPr>
          <w:bCs/>
        </w:rPr>
        <w:t xml:space="preserve"> </w:t>
      </w:r>
      <w:r w:rsidR="00EC016B" w:rsidRPr="005D2CAF">
        <w:rPr>
          <w:bCs/>
        </w:rPr>
        <w:t xml:space="preserve">fillable Word </w:t>
      </w:r>
      <w:r w:rsidR="002E0985" w:rsidRPr="005D2CAF">
        <w:rPr>
          <w:bCs/>
        </w:rPr>
        <w:t>f</w:t>
      </w:r>
      <w:r w:rsidR="00B61497" w:rsidRPr="005D2CAF">
        <w:rPr>
          <w:bCs/>
        </w:rPr>
        <w:t>orms</w:t>
      </w:r>
      <w:r w:rsidR="00295A11" w:rsidRPr="005D2CAF">
        <w:rPr>
          <w:bCs/>
        </w:rPr>
        <w:t xml:space="preserve">, </w:t>
      </w:r>
      <w:r w:rsidR="00CB11F2" w:rsidRPr="005D2CAF">
        <w:rPr>
          <w:bCs/>
        </w:rPr>
        <w:t>increas</w:t>
      </w:r>
      <w:r w:rsidR="00C703A2" w:rsidRPr="005D2CAF">
        <w:rPr>
          <w:bCs/>
        </w:rPr>
        <w:t>ing</w:t>
      </w:r>
      <w:r w:rsidR="00CB11F2" w:rsidRPr="005D2CAF">
        <w:rPr>
          <w:bCs/>
        </w:rPr>
        <w:t xml:space="preserve"> </w:t>
      </w:r>
      <w:r w:rsidR="00B61497" w:rsidRPr="005D2CAF">
        <w:rPr>
          <w:bCs/>
        </w:rPr>
        <w:t xml:space="preserve">efficiency </w:t>
      </w:r>
      <w:r w:rsidR="00CB11F2" w:rsidRPr="005D2CAF">
        <w:rPr>
          <w:bCs/>
        </w:rPr>
        <w:t xml:space="preserve">while reducing </w:t>
      </w:r>
      <w:r w:rsidR="00B61497" w:rsidRPr="005D2CAF">
        <w:rPr>
          <w:bCs/>
        </w:rPr>
        <w:t xml:space="preserve">burden </w:t>
      </w:r>
      <w:r w:rsidR="00C703A2" w:rsidRPr="005D2CAF">
        <w:rPr>
          <w:bCs/>
        </w:rPr>
        <w:t xml:space="preserve">on </w:t>
      </w:r>
      <w:r w:rsidR="00B61497" w:rsidRPr="005D2CAF">
        <w:rPr>
          <w:bCs/>
        </w:rPr>
        <w:t>applicant</w:t>
      </w:r>
      <w:r w:rsidR="00C703A2" w:rsidRPr="005D2CAF">
        <w:rPr>
          <w:bCs/>
        </w:rPr>
        <w:t>s</w:t>
      </w:r>
      <w:r w:rsidR="00C32AA1" w:rsidRPr="005D2CAF">
        <w:rPr>
          <w:bCs/>
        </w:rPr>
        <w:t>; f</w:t>
      </w:r>
      <w:r w:rsidR="002E0985" w:rsidRPr="005D2CAF">
        <w:rPr>
          <w:bCs/>
        </w:rPr>
        <w:t>orms are also available in PDF format.</w:t>
      </w:r>
      <w:r w:rsidR="00E47470">
        <w:rPr>
          <w:bCs/>
        </w:rPr>
        <w:t xml:space="preserve"> </w:t>
      </w:r>
    </w:p>
    <w:p w14:paraId="4F6D9050" w14:textId="77777777" w:rsidR="00FD7530" w:rsidRDefault="00FD7530" w:rsidP="00530196">
      <w:pPr>
        <w:pStyle w:val="Heading1"/>
        <w:ind w:left="0"/>
        <w:rPr>
          <w:b/>
          <w:u w:val="none"/>
        </w:rPr>
      </w:pPr>
    </w:p>
    <w:p w14:paraId="39463464" w14:textId="77777777" w:rsidR="00D2115C" w:rsidRDefault="002A20D8" w:rsidP="00262E69">
      <w:pPr>
        <w:spacing w:line="480" w:lineRule="auto"/>
      </w:pPr>
      <w:r w:rsidRPr="00262E69">
        <w:t>e</w:t>
      </w:r>
      <w:r w:rsidR="00C80162" w:rsidRPr="00262E69">
        <w:t xml:space="preserve">. </w:t>
      </w:r>
      <w:r w:rsidR="00C80162" w:rsidRPr="00262E69">
        <w:rPr>
          <w:u w:val="single"/>
        </w:rPr>
        <w:t>Use of OER</w:t>
      </w:r>
      <w:r w:rsidR="00C80162" w:rsidRPr="00285ACF">
        <w:rPr>
          <w:u w:val="single"/>
        </w:rPr>
        <w:t xml:space="preserve"> Websites</w:t>
      </w:r>
      <w:r w:rsidR="00262E69">
        <w:t xml:space="preserve"> - t</w:t>
      </w:r>
      <w:r w:rsidR="00D2115C" w:rsidRPr="00262E69">
        <w:t xml:space="preserve">he </w:t>
      </w:r>
      <w:r w:rsidR="00FF29EF" w:rsidRPr="00262E69">
        <w:t>NIH Office of Extramural Research (</w:t>
      </w:r>
      <w:r w:rsidR="00D2115C" w:rsidRPr="00262E69">
        <w:t>OER</w:t>
      </w:r>
      <w:r w:rsidR="00FF29EF" w:rsidRPr="00262E69">
        <w:t>) public</w:t>
      </w:r>
      <w:r w:rsidR="00D2115C" w:rsidRPr="00262E69">
        <w:t xml:space="preserve"> website is used to provide access to all forms, instructions and business processes in an electronic</w:t>
      </w:r>
      <w:r w:rsidR="00AD13D8" w:rsidRPr="00262E69">
        <w:t>,</w:t>
      </w:r>
      <w:r w:rsidR="00D2115C" w:rsidRPr="00262E69">
        <w:t xml:space="preserve"> accessible environment.</w:t>
      </w:r>
    </w:p>
    <w:p w14:paraId="4A3F0AD0" w14:textId="0A905B6B" w:rsidR="002E334F" w:rsidRDefault="002E334F" w:rsidP="00372263">
      <w:pPr>
        <w:spacing w:before="240" w:line="480" w:lineRule="auto"/>
      </w:pPr>
      <w:r>
        <w:t xml:space="preserve">f. </w:t>
      </w:r>
      <w:r w:rsidRPr="002E334F">
        <w:rPr>
          <w:u w:val="single"/>
        </w:rPr>
        <w:t>Prior Approval Requests</w:t>
      </w:r>
      <w:r w:rsidRPr="00743622">
        <w:t xml:space="preserve"> - the current submission process for prior approval requests is through email or paper submission. NIH has developed an electronic submission option through the eRA Commons for applicants and grantees to submit these requests directly to the appropriate official. Review and approval will happen within this system, which is currently optional for applicants and grantees. Examples of prior approval requests include, but are not limited to: withdraw an application after it has been submitted; and request direct costs of $500,000 or more in any one year. See Attachment 18 for screen shots of this new system.</w:t>
      </w:r>
    </w:p>
    <w:p w14:paraId="62400749" w14:textId="12C9314A" w:rsidR="00C4250B" w:rsidRPr="00262E69" w:rsidRDefault="00C4250B" w:rsidP="00372263">
      <w:pPr>
        <w:spacing w:before="240" w:line="480" w:lineRule="auto"/>
      </w:pPr>
      <w:r>
        <w:t xml:space="preserve">d. </w:t>
      </w:r>
      <w:r w:rsidR="00A30801">
        <w:rPr>
          <w:u w:val="single"/>
        </w:rPr>
        <w:t xml:space="preserve">Privacy Impact </w:t>
      </w:r>
      <w:proofErr w:type="spellStart"/>
      <w:r w:rsidR="00A30801">
        <w:rPr>
          <w:u w:val="single"/>
        </w:rPr>
        <w:t>Assesment</w:t>
      </w:r>
      <w:proofErr w:type="spellEnd"/>
      <w:r w:rsidR="00A30801">
        <w:rPr>
          <w:u w:val="single"/>
        </w:rPr>
        <w:t xml:space="preserve"> (PIA)</w:t>
      </w:r>
      <w:r>
        <w:t xml:space="preserve"> </w:t>
      </w:r>
      <w:r w:rsidR="00A30801">
        <w:t xml:space="preserve">- </w:t>
      </w:r>
      <w:r w:rsidR="00177A9C">
        <w:t>NIH grant systems, such as eRA and IMPAC II</w:t>
      </w:r>
      <w:r w:rsidR="00A30801">
        <w:t>) are covered by a PIA</w:t>
      </w:r>
      <w:r w:rsidR="00177A9C">
        <w:t>. See Attachment 19 for the latest copy</w:t>
      </w:r>
      <w:r w:rsidR="00A30801">
        <w:t xml:space="preserve"> of NIH’s PIA</w:t>
      </w:r>
      <w:r w:rsidR="00177A9C">
        <w:t xml:space="preserve">. </w:t>
      </w:r>
    </w:p>
    <w:p w14:paraId="5554A64F" w14:textId="77777777" w:rsidR="00C80162" w:rsidRDefault="00C80162" w:rsidP="00530196">
      <w:pPr>
        <w:pStyle w:val="Heading1"/>
        <w:ind w:left="0"/>
        <w:rPr>
          <w:b/>
          <w:u w:val="none"/>
        </w:rPr>
      </w:pPr>
    </w:p>
    <w:p w14:paraId="2B7D1791" w14:textId="77777777" w:rsidR="00B61497" w:rsidRPr="00830BEA" w:rsidRDefault="00830BEA" w:rsidP="00262E69">
      <w:pPr>
        <w:pStyle w:val="Heading2"/>
      </w:pPr>
      <w:bookmarkStart w:id="5" w:name="_Toc419964728"/>
      <w:r w:rsidRPr="00830BEA">
        <w:t>A.</w:t>
      </w:r>
      <w:r w:rsidR="00B61497" w:rsidRPr="00830BEA">
        <w:t>4.</w:t>
      </w:r>
      <w:r w:rsidRPr="00830BEA">
        <w:t xml:space="preserve"> </w:t>
      </w:r>
      <w:r w:rsidR="00B61497" w:rsidRPr="00830BEA">
        <w:t>Efforts to Identify Duplication and Use of Similar Information</w:t>
      </w:r>
      <w:bookmarkEnd w:id="5"/>
    </w:p>
    <w:p w14:paraId="78FDDA9B" w14:textId="77777777" w:rsidR="00676877" w:rsidRPr="005D2CAF" w:rsidRDefault="00676877" w:rsidP="00530196"/>
    <w:p w14:paraId="3DB870B5" w14:textId="77777777" w:rsidR="00C17690" w:rsidRDefault="00A1632A" w:rsidP="00530196">
      <w:pPr>
        <w:spacing w:line="480" w:lineRule="auto"/>
        <w:ind w:right="-684"/>
        <w:rPr>
          <w:b/>
          <w:bCs/>
          <w:i/>
        </w:rPr>
      </w:pPr>
      <w:r w:rsidRPr="005D2CAF">
        <w:rPr>
          <w:bCs/>
        </w:rPr>
        <w:t>Similar information does not exist, and thus t</w:t>
      </w:r>
      <w:r w:rsidR="00B61497" w:rsidRPr="005D2CAF">
        <w:rPr>
          <w:bCs/>
        </w:rPr>
        <w:t>here is no other method for collection</w:t>
      </w:r>
      <w:r w:rsidR="002E0985" w:rsidRPr="005D2CAF">
        <w:rPr>
          <w:bCs/>
        </w:rPr>
        <w:t>.</w:t>
      </w:r>
      <w:r w:rsidR="00B61497" w:rsidRPr="005D2CAF">
        <w:rPr>
          <w:bCs/>
        </w:rPr>
        <w:t xml:space="preserve"> Information </w:t>
      </w:r>
      <w:r w:rsidR="002E0985" w:rsidRPr="005D2CAF">
        <w:rPr>
          <w:bCs/>
        </w:rPr>
        <w:t xml:space="preserve">requested </w:t>
      </w:r>
      <w:r w:rsidR="00B61497" w:rsidRPr="005D2CAF">
        <w:rPr>
          <w:bCs/>
        </w:rPr>
        <w:t xml:space="preserve">as part of the </w:t>
      </w:r>
      <w:r w:rsidR="002E0985" w:rsidRPr="005D2CAF">
        <w:rPr>
          <w:bCs/>
        </w:rPr>
        <w:t xml:space="preserve">competing </w:t>
      </w:r>
      <w:r w:rsidR="00B61497" w:rsidRPr="005D2CAF">
        <w:rPr>
          <w:bCs/>
        </w:rPr>
        <w:t>application process relate</w:t>
      </w:r>
      <w:r w:rsidR="00CB11F2" w:rsidRPr="005D2CAF">
        <w:rPr>
          <w:bCs/>
        </w:rPr>
        <w:t>s</w:t>
      </w:r>
      <w:r w:rsidR="00B61497" w:rsidRPr="005D2CAF">
        <w:rPr>
          <w:bCs/>
        </w:rPr>
        <w:t xml:space="preserve"> to new </w:t>
      </w:r>
      <w:r w:rsidRPr="005D2CAF">
        <w:rPr>
          <w:bCs/>
        </w:rPr>
        <w:t xml:space="preserve">and unique </w:t>
      </w:r>
      <w:r w:rsidR="00B61497" w:rsidRPr="005D2CAF">
        <w:rPr>
          <w:bCs/>
        </w:rPr>
        <w:t xml:space="preserve">requests for </w:t>
      </w:r>
      <w:r w:rsidRPr="005D2CAF">
        <w:rPr>
          <w:bCs/>
        </w:rPr>
        <w:t xml:space="preserve">funding to support </w:t>
      </w:r>
      <w:r w:rsidR="00B61497" w:rsidRPr="005D2CAF">
        <w:rPr>
          <w:bCs/>
        </w:rPr>
        <w:t xml:space="preserve">work not previously proposed. </w:t>
      </w:r>
      <w:r w:rsidRPr="005D2CAF">
        <w:rPr>
          <w:bCs/>
        </w:rPr>
        <w:t xml:space="preserve">In accordance with policy, submissions of identical applications to one or more components of the PHS are not allowed, and similar grant applications with essentially the same research focus </w:t>
      </w:r>
      <w:r w:rsidR="009B79B0" w:rsidRPr="005D2CAF">
        <w:rPr>
          <w:bCs/>
        </w:rPr>
        <w:t xml:space="preserve">are </w:t>
      </w:r>
      <w:r w:rsidRPr="005D2CAF">
        <w:rPr>
          <w:bCs/>
        </w:rPr>
        <w:t xml:space="preserve">not accepted from the same applicant organization.  </w:t>
      </w:r>
    </w:p>
    <w:p w14:paraId="67C8A818" w14:textId="77777777" w:rsidR="00361DFB" w:rsidRPr="00262E69" w:rsidRDefault="00361DFB" w:rsidP="00262E69">
      <w:pPr>
        <w:ind w:right="-684"/>
        <w:rPr>
          <w:bCs/>
        </w:rPr>
      </w:pPr>
    </w:p>
    <w:p w14:paraId="17E5807B" w14:textId="77777777" w:rsidR="00BD1451" w:rsidRPr="005D2CAF" w:rsidRDefault="007B7609" w:rsidP="00530196">
      <w:pPr>
        <w:spacing w:line="480" w:lineRule="auto"/>
        <w:ind w:right="-684"/>
        <w:rPr>
          <w:bCs/>
        </w:rPr>
      </w:pPr>
      <w:r w:rsidRPr="005D2CAF">
        <w:rPr>
          <w:bCs/>
        </w:rPr>
        <w:t xml:space="preserve">NIH actively participates </w:t>
      </w:r>
      <w:r>
        <w:rPr>
          <w:bCs/>
        </w:rPr>
        <w:t xml:space="preserve">in </w:t>
      </w:r>
      <w:r w:rsidR="002E0985" w:rsidRPr="005D2CAF">
        <w:rPr>
          <w:bCs/>
        </w:rPr>
        <w:t xml:space="preserve">a number of ongoing </w:t>
      </w:r>
      <w:r w:rsidR="005D48B4" w:rsidRPr="005D2CAF">
        <w:rPr>
          <w:bCs/>
        </w:rPr>
        <w:t xml:space="preserve">Federal-wide </w:t>
      </w:r>
      <w:r w:rsidR="002E0985" w:rsidRPr="005D2CAF">
        <w:rPr>
          <w:bCs/>
        </w:rPr>
        <w:t>i</w:t>
      </w:r>
      <w:r w:rsidR="005D48B4" w:rsidRPr="005D2CAF">
        <w:rPr>
          <w:bCs/>
        </w:rPr>
        <w:t>nitiatives</w:t>
      </w:r>
      <w:r w:rsidR="002E0985" w:rsidRPr="005D2CAF">
        <w:rPr>
          <w:bCs/>
        </w:rPr>
        <w:t xml:space="preserve"> </w:t>
      </w:r>
      <w:r>
        <w:rPr>
          <w:bCs/>
        </w:rPr>
        <w:t>t</w:t>
      </w:r>
      <w:r w:rsidR="002E0985" w:rsidRPr="005D2CAF">
        <w:rPr>
          <w:bCs/>
        </w:rPr>
        <w:t>hat impact forms and datasets</w:t>
      </w:r>
      <w:r w:rsidR="00C17690">
        <w:rPr>
          <w:bCs/>
        </w:rPr>
        <w:t xml:space="preserve">. </w:t>
      </w:r>
      <w:r w:rsidR="00F42624" w:rsidRPr="005D2CAF">
        <w:rPr>
          <w:bCs/>
        </w:rPr>
        <w:t>T</w:t>
      </w:r>
      <w:r w:rsidR="00D437CF" w:rsidRPr="005D2CAF">
        <w:rPr>
          <w:bCs/>
        </w:rPr>
        <w:t xml:space="preserve">he Federal-wide SF424 </w:t>
      </w:r>
      <w:r w:rsidR="009B3BDB" w:rsidRPr="005D2CAF">
        <w:rPr>
          <w:bCs/>
        </w:rPr>
        <w:t>(</w:t>
      </w:r>
      <w:r w:rsidR="00D437CF" w:rsidRPr="005D2CAF">
        <w:rPr>
          <w:bCs/>
        </w:rPr>
        <w:t>R&amp;R</w:t>
      </w:r>
      <w:r w:rsidR="009B3BDB" w:rsidRPr="005D2CAF">
        <w:rPr>
          <w:bCs/>
        </w:rPr>
        <w:t>)</w:t>
      </w:r>
      <w:r w:rsidR="00D437CF" w:rsidRPr="005D2CAF">
        <w:rPr>
          <w:bCs/>
        </w:rPr>
        <w:t xml:space="preserve"> </w:t>
      </w:r>
      <w:r w:rsidR="00F42624" w:rsidRPr="005D2CAF">
        <w:rPr>
          <w:bCs/>
        </w:rPr>
        <w:t xml:space="preserve">is intended </w:t>
      </w:r>
      <w:r w:rsidR="00D437CF" w:rsidRPr="005D2CAF">
        <w:rPr>
          <w:bCs/>
        </w:rPr>
        <w:t xml:space="preserve">to coordinate application data requirements across Federal agencies. When </w:t>
      </w:r>
      <w:r w:rsidR="00094DF6" w:rsidRPr="005D2CAF">
        <w:rPr>
          <w:bCs/>
        </w:rPr>
        <w:t xml:space="preserve">the transition </w:t>
      </w:r>
      <w:r w:rsidR="00F42624" w:rsidRPr="005D2CAF">
        <w:rPr>
          <w:bCs/>
        </w:rPr>
        <w:t xml:space="preserve">to electronic submission </w:t>
      </w:r>
      <w:r w:rsidR="00094DF6" w:rsidRPr="005D2CAF">
        <w:rPr>
          <w:bCs/>
        </w:rPr>
        <w:t xml:space="preserve">is </w:t>
      </w:r>
      <w:r w:rsidR="00D437CF" w:rsidRPr="005D2CAF">
        <w:rPr>
          <w:bCs/>
        </w:rPr>
        <w:t xml:space="preserve">complete, the </w:t>
      </w:r>
      <w:r w:rsidR="009E2BFF" w:rsidRPr="005D2CAF">
        <w:rPr>
          <w:bCs/>
        </w:rPr>
        <w:t>PHS 398</w:t>
      </w:r>
      <w:r w:rsidR="00D437CF" w:rsidRPr="005D2CAF">
        <w:rPr>
          <w:bCs/>
        </w:rPr>
        <w:t xml:space="preserve"> will </w:t>
      </w:r>
      <w:r w:rsidR="00AB6D4C">
        <w:rPr>
          <w:bCs/>
        </w:rPr>
        <w:t>consist</w:t>
      </w:r>
      <w:r w:rsidR="00AB6D4C" w:rsidRPr="005D2CAF">
        <w:rPr>
          <w:bCs/>
        </w:rPr>
        <w:t xml:space="preserve"> </w:t>
      </w:r>
      <w:r w:rsidR="005D7495" w:rsidRPr="005D2CAF">
        <w:rPr>
          <w:bCs/>
        </w:rPr>
        <w:t xml:space="preserve">of </w:t>
      </w:r>
      <w:r w:rsidR="00F42624" w:rsidRPr="005D2CAF">
        <w:rPr>
          <w:bCs/>
        </w:rPr>
        <w:t xml:space="preserve">only </w:t>
      </w:r>
      <w:r w:rsidR="005D7495" w:rsidRPr="005D2CAF">
        <w:rPr>
          <w:bCs/>
        </w:rPr>
        <w:t xml:space="preserve">those data </w:t>
      </w:r>
      <w:r w:rsidR="00D437CF" w:rsidRPr="005D2CAF">
        <w:rPr>
          <w:bCs/>
        </w:rPr>
        <w:t xml:space="preserve">elements that are unique to PHS programs </w:t>
      </w:r>
      <w:r w:rsidR="002E0985" w:rsidRPr="005D2CAF">
        <w:rPr>
          <w:bCs/>
        </w:rPr>
        <w:t>(now the 398 component forms)</w:t>
      </w:r>
      <w:r w:rsidR="00D437CF" w:rsidRPr="005D2CAF">
        <w:rPr>
          <w:bCs/>
        </w:rPr>
        <w:t xml:space="preserve">. </w:t>
      </w:r>
      <w:r w:rsidR="002E0985" w:rsidRPr="005D2CAF">
        <w:rPr>
          <w:bCs/>
        </w:rPr>
        <w:t xml:space="preserve">All </w:t>
      </w:r>
      <w:r w:rsidR="00D437CF" w:rsidRPr="005D2CAF">
        <w:rPr>
          <w:bCs/>
        </w:rPr>
        <w:t xml:space="preserve">agency-specific data </w:t>
      </w:r>
      <w:r w:rsidR="00094DF6" w:rsidRPr="005D2CAF">
        <w:rPr>
          <w:bCs/>
        </w:rPr>
        <w:t>requirements</w:t>
      </w:r>
      <w:r w:rsidR="00D437CF" w:rsidRPr="005D2CAF">
        <w:rPr>
          <w:bCs/>
        </w:rPr>
        <w:t xml:space="preserve"> are </w:t>
      </w:r>
      <w:r w:rsidR="009F5238" w:rsidRPr="005D2CAF">
        <w:rPr>
          <w:bCs/>
        </w:rPr>
        <w:t>shared</w:t>
      </w:r>
      <w:r w:rsidR="00D437CF" w:rsidRPr="005D2CAF">
        <w:rPr>
          <w:bCs/>
        </w:rPr>
        <w:t xml:space="preserve"> within the Federal-wide R&amp;R Working </w:t>
      </w:r>
      <w:r w:rsidR="00D437CF" w:rsidRPr="00711A1C">
        <w:rPr>
          <w:bCs/>
        </w:rPr>
        <w:t>Group</w:t>
      </w:r>
      <w:r w:rsidR="009F5238" w:rsidRPr="00711A1C">
        <w:rPr>
          <w:bCs/>
        </w:rPr>
        <w:t xml:space="preserve"> of </w:t>
      </w:r>
      <w:r w:rsidR="00D437CF" w:rsidRPr="00711A1C">
        <w:rPr>
          <w:bCs/>
        </w:rPr>
        <w:t>16 research</w:t>
      </w:r>
      <w:r w:rsidR="00D437CF" w:rsidRPr="005D2CAF">
        <w:rPr>
          <w:bCs/>
        </w:rPr>
        <w:t xml:space="preserve"> agencies to determine if other agencies have similar data needs. </w:t>
      </w:r>
      <w:r w:rsidR="000D2B36">
        <w:rPr>
          <w:bCs/>
        </w:rPr>
        <w:t xml:space="preserve">When common needs exist, the data is added to the SF424 (R&amp;R) forms and then also removed from the agency-specific forms. Some of the changes noted in A.15 below are a result of this collaborative process. </w:t>
      </w:r>
      <w:r w:rsidR="009F5238" w:rsidRPr="00605EED">
        <w:rPr>
          <w:bCs/>
        </w:rPr>
        <w:t xml:space="preserve">At this time, other </w:t>
      </w:r>
      <w:r w:rsidR="004E7481">
        <w:rPr>
          <w:bCs/>
        </w:rPr>
        <w:t xml:space="preserve">(non-PHS) </w:t>
      </w:r>
      <w:r w:rsidR="009F5238" w:rsidRPr="00605EED">
        <w:rPr>
          <w:bCs/>
        </w:rPr>
        <w:t>agencies do not have a need for the 398 specific data components.</w:t>
      </w:r>
      <w:r w:rsidR="0000020B" w:rsidRPr="005D2CAF">
        <w:rPr>
          <w:bCs/>
          <w:highlight w:val="yellow"/>
        </w:rPr>
        <w:t xml:space="preserve"> </w:t>
      </w:r>
    </w:p>
    <w:p w14:paraId="5A7EA767" w14:textId="77777777" w:rsidR="005A0059" w:rsidRDefault="005A0059" w:rsidP="00262E69">
      <w:pPr>
        <w:ind w:right="-684"/>
        <w:rPr>
          <w:b/>
          <w:bCs/>
        </w:rPr>
      </w:pPr>
    </w:p>
    <w:p w14:paraId="47E90783" w14:textId="77777777" w:rsidR="00B61497" w:rsidRDefault="00830BEA" w:rsidP="00262E69">
      <w:pPr>
        <w:pStyle w:val="Heading2"/>
      </w:pPr>
      <w:bookmarkStart w:id="6" w:name="_Toc419964729"/>
      <w:r w:rsidRPr="00830BEA">
        <w:t>A.</w:t>
      </w:r>
      <w:r w:rsidR="00B61497" w:rsidRPr="00830BEA">
        <w:t>5.</w:t>
      </w:r>
      <w:r w:rsidRPr="00830BEA">
        <w:t xml:space="preserve"> </w:t>
      </w:r>
      <w:r w:rsidR="00B61497" w:rsidRPr="00830BEA">
        <w:t>Impact on Small Business or other Small Entities</w:t>
      </w:r>
      <w:bookmarkEnd w:id="6"/>
    </w:p>
    <w:p w14:paraId="51D21869" w14:textId="77777777" w:rsidR="00262E69" w:rsidRPr="00262E69" w:rsidRDefault="00262E69" w:rsidP="00262E69"/>
    <w:p w14:paraId="03FF5C99" w14:textId="77777777" w:rsidR="00550B47" w:rsidRDefault="00B61497" w:rsidP="00530196">
      <w:pPr>
        <w:pStyle w:val="BodyText"/>
        <w:ind w:right="-684"/>
        <w:rPr>
          <w:bCs/>
        </w:rPr>
      </w:pPr>
      <w:r w:rsidRPr="005D2CAF">
        <w:rPr>
          <w:bCs/>
        </w:rPr>
        <w:t xml:space="preserve">The procedures for </w:t>
      </w:r>
      <w:r w:rsidR="00C91386" w:rsidRPr="005D2CAF">
        <w:rPr>
          <w:bCs/>
        </w:rPr>
        <w:t>s</w:t>
      </w:r>
      <w:r w:rsidRPr="005D2CAF">
        <w:rPr>
          <w:bCs/>
        </w:rPr>
        <w:t xml:space="preserve">mall </w:t>
      </w:r>
      <w:r w:rsidR="00C91386" w:rsidRPr="005D2CAF">
        <w:rPr>
          <w:bCs/>
        </w:rPr>
        <w:t>b</w:t>
      </w:r>
      <w:r w:rsidRPr="005D2CAF">
        <w:rPr>
          <w:bCs/>
        </w:rPr>
        <w:t xml:space="preserve">usinesses and other </w:t>
      </w:r>
      <w:r w:rsidR="00C91386" w:rsidRPr="005D2CAF">
        <w:rPr>
          <w:bCs/>
        </w:rPr>
        <w:t>s</w:t>
      </w:r>
      <w:r w:rsidRPr="005D2CAF">
        <w:rPr>
          <w:bCs/>
        </w:rPr>
        <w:t xml:space="preserve">mall </w:t>
      </w:r>
      <w:r w:rsidR="00C91386" w:rsidRPr="005D2CAF">
        <w:rPr>
          <w:bCs/>
        </w:rPr>
        <w:t>e</w:t>
      </w:r>
      <w:r w:rsidRPr="005D2CAF">
        <w:rPr>
          <w:bCs/>
        </w:rPr>
        <w:t xml:space="preserve">ntities </w:t>
      </w:r>
      <w:r w:rsidR="002E0985" w:rsidRPr="005D2CAF">
        <w:rPr>
          <w:bCs/>
        </w:rPr>
        <w:t>are</w:t>
      </w:r>
      <w:r w:rsidR="00C91386" w:rsidRPr="005D2CAF">
        <w:rPr>
          <w:bCs/>
        </w:rPr>
        <w:t xml:space="preserve"> the same as for other applicants and grantees. The </w:t>
      </w:r>
      <w:r w:rsidR="00BB7D50" w:rsidRPr="005D2CAF">
        <w:rPr>
          <w:bCs/>
        </w:rPr>
        <w:t>Small Business Innovative Research and Small Business Technology Transfer (</w:t>
      </w:r>
      <w:r w:rsidR="00C91386" w:rsidRPr="005D2CAF">
        <w:rPr>
          <w:bCs/>
        </w:rPr>
        <w:t>SBIR/STTR</w:t>
      </w:r>
      <w:r w:rsidR="00BB7D50" w:rsidRPr="005D2CAF">
        <w:rPr>
          <w:bCs/>
        </w:rPr>
        <w:t>)</w:t>
      </w:r>
      <w:r w:rsidR="00C91386" w:rsidRPr="005D2CAF">
        <w:rPr>
          <w:bCs/>
        </w:rPr>
        <w:t xml:space="preserve"> </w:t>
      </w:r>
      <w:r w:rsidR="00BB7D50" w:rsidRPr="005D2CAF">
        <w:rPr>
          <w:bCs/>
        </w:rPr>
        <w:t xml:space="preserve">grants </w:t>
      </w:r>
      <w:r w:rsidR="00C91386" w:rsidRPr="005D2CAF">
        <w:rPr>
          <w:bCs/>
        </w:rPr>
        <w:t xml:space="preserve">were the first </w:t>
      </w:r>
      <w:r w:rsidR="000D2B36">
        <w:rPr>
          <w:bCs/>
        </w:rPr>
        <w:t xml:space="preserve">NIH programs </w:t>
      </w:r>
      <w:r w:rsidR="00C91386" w:rsidRPr="005D2CAF">
        <w:rPr>
          <w:bCs/>
        </w:rPr>
        <w:t xml:space="preserve">to transition to electronic submission. </w:t>
      </w:r>
      <w:r w:rsidR="00550B47">
        <w:t>The impact on small business or other small entities is anticipated to be negligible.</w:t>
      </w:r>
    </w:p>
    <w:p w14:paraId="769014FF" w14:textId="77777777" w:rsidR="009D3DC8" w:rsidRDefault="009D3DC8" w:rsidP="00262E69">
      <w:pPr>
        <w:ind w:right="-684"/>
        <w:rPr>
          <w:b/>
          <w:bCs/>
        </w:rPr>
      </w:pPr>
    </w:p>
    <w:p w14:paraId="10827C6A" w14:textId="77777777" w:rsidR="00B61497" w:rsidRDefault="00830BEA" w:rsidP="00262E69">
      <w:pPr>
        <w:pStyle w:val="Heading2"/>
      </w:pPr>
      <w:bookmarkStart w:id="7" w:name="_Toc419964730"/>
      <w:r w:rsidRPr="00830BEA">
        <w:t>A.</w:t>
      </w:r>
      <w:r w:rsidR="00B61497" w:rsidRPr="00830BEA">
        <w:t>6.</w:t>
      </w:r>
      <w:r w:rsidRPr="00830BEA">
        <w:t xml:space="preserve"> </w:t>
      </w:r>
      <w:r w:rsidR="00B61497" w:rsidRPr="00830BEA">
        <w:t>Consequences of Collecting Information Less Frequently</w:t>
      </w:r>
      <w:bookmarkEnd w:id="7"/>
    </w:p>
    <w:p w14:paraId="78EBB90F" w14:textId="77777777" w:rsidR="00262E69" w:rsidRPr="00262E69" w:rsidRDefault="00262E69" w:rsidP="00262E69"/>
    <w:p w14:paraId="06276A64" w14:textId="77777777" w:rsidR="00885520" w:rsidRDefault="0025732F" w:rsidP="00530196">
      <w:pPr>
        <w:spacing w:line="480" w:lineRule="auto"/>
        <w:ind w:right="-684"/>
        <w:rPr>
          <w:bCs/>
        </w:rPr>
      </w:pPr>
      <w:r w:rsidRPr="00B67835">
        <w:rPr>
          <w:bCs/>
        </w:rPr>
        <w:t>The basic information in the PHS 416-1 is a onetime collection. PHS 6031, the payback agreement, is required by governing law and regulations</w:t>
      </w:r>
      <w:r w:rsidRPr="00581F55">
        <w:rPr>
          <w:bCs/>
        </w:rPr>
        <w:t xml:space="preserve">. </w:t>
      </w:r>
      <w:r w:rsidR="00581F55" w:rsidRPr="00581F55">
        <w:rPr>
          <w:bCs/>
        </w:rPr>
        <w:t xml:space="preserve">All </w:t>
      </w:r>
      <w:r w:rsidR="00581F55">
        <w:rPr>
          <w:bCs/>
        </w:rPr>
        <w:t xml:space="preserve">other </w:t>
      </w:r>
      <w:r w:rsidR="004074F8" w:rsidRPr="00581F55">
        <w:rPr>
          <w:bCs/>
        </w:rPr>
        <w:t>f</w:t>
      </w:r>
      <w:r w:rsidR="00AD6ABA" w:rsidRPr="00581F55">
        <w:rPr>
          <w:bCs/>
        </w:rPr>
        <w:t>orms</w:t>
      </w:r>
      <w:r w:rsidR="00581F55">
        <w:rPr>
          <w:bCs/>
        </w:rPr>
        <w:t xml:space="preserve"> in this package</w:t>
      </w:r>
      <w:r w:rsidR="00AD6ABA" w:rsidRPr="00581F55">
        <w:rPr>
          <w:bCs/>
        </w:rPr>
        <w:t xml:space="preserve"> represent one time information collections.</w:t>
      </w:r>
      <w:r w:rsidR="00882A3C" w:rsidRPr="00581F55">
        <w:rPr>
          <w:bCs/>
        </w:rPr>
        <w:t xml:space="preserve">  </w:t>
      </w:r>
      <w:r w:rsidR="00F32F80" w:rsidRPr="00581F55">
        <w:rPr>
          <w:bCs/>
        </w:rPr>
        <w:t>It is not possible to collect the information less frequently.</w:t>
      </w:r>
    </w:p>
    <w:p w14:paraId="31292E35" w14:textId="77777777" w:rsidR="00F32F80" w:rsidRPr="00E27D96" w:rsidRDefault="00F32F80" w:rsidP="00262E69">
      <w:pPr>
        <w:ind w:right="-684"/>
        <w:rPr>
          <w:bCs/>
        </w:rPr>
      </w:pPr>
    </w:p>
    <w:p w14:paraId="13DE83B8" w14:textId="77777777" w:rsidR="00B61497" w:rsidRDefault="00830BEA" w:rsidP="00262E69">
      <w:pPr>
        <w:pStyle w:val="Heading2"/>
      </w:pPr>
      <w:bookmarkStart w:id="8" w:name="_Toc419964731"/>
      <w:r w:rsidRPr="00830BEA">
        <w:t>A.</w:t>
      </w:r>
      <w:r w:rsidR="00B61497" w:rsidRPr="00830BEA">
        <w:t>7.</w:t>
      </w:r>
      <w:r w:rsidRPr="00830BEA">
        <w:t xml:space="preserve"> </w:t>
      </w:r>
      <w:r w:rsidR="00B61497" w:rsidRPr="00830BEA">
        <w:t>Special Circumstances Relating to Guidelines of 5 CFR 1320.5</w:t>
      </w:r>
      <w:bookmarkEnd w:id="8"/>
    </w:p>
    <w:p w14:paraId="5A6FE2DD" w14:textId="77777777" w:rsidR="00262E69" w:rsidRPr="00262E69" w:rsidRDefault="00262E69" w:rsidP="00262E69"/>
    <w:p w14:paraId="115F1AE5" w14:textId="77777777" w:rsidR="000C53F9" w:rsidRDefault="00B4185B" w:rsidP="00530196">
      <w:pPr>
        <w:spacing w:line="480" w:lineRule="auto"/>
        <w:ind w:right="-684"/>
        <w:rPr>
          <w:bCs/>
        </w:rPr>
      </w:pPr>
      <w:r>
        <w:rPr>
          <w:bCs/>
        </w:rPr>
        <w:lastRenderedPageBreak/>
        <w:t xml:space="preserve">Per </w:t>
      </w:r>
      <w:r w:rsidRPr="00B4185B">
        <w:rPr>
          <w:bCs/>
        </w:rPr>
        <w:t xml:space="preserve">Section 200.335 in </w:t>
      </w:r>
      <w:r w:rsidR="00997BC6">
        <w:rPr>
          <w:bCs/>
        </w:rPr>
        <w:t xml:space="preserve">OMB’s </w:t>
      </w:r>
      <w:r w:rsidRPr="00B4185B">
        <w:rPr>
          <w:bCs/>
        </w:rPr>
        <w:t>Uniform Guidance</w:t>
      </w:r>
      <w:r>
        <w:rPr>
          <w:bCs/>
        </w:rPr>
        <w:t xml:space="preserve">: </w:t>
      </w:r>
      <w:r w:rsidRPr="00B4185B">
        <w:rPr>
          <w:bCs/>
        </w:rPr>
        <w:t>If paper copies are submitted, the Federal awarding agency or pass-through entity must not require more than an original and two copies</w:t>
      </w:r>
      <w:r>
        <w:rPr>
          <w:bCs/>
        </w:rPr>
        <w:t xml:space="preserve">. </w:t>
      </w:r>
      <w:r w:rsidR="00785E1C">
        <w:rPr>
          <w:bCs/>
        </w:rPr>
        <w:t>PHS 398 and 416-1 applications will comply with this requirement.</w:t>
      </w:r>
    </w:p>
    <w:p w14:paraId="0897782B" w14:textId="77777777" w:rsidR="00FC0FE5" w:rsidRDefault="00FC0FE5" w:rsidP="00262E69">
      <w:pPr>
        <w:ind w:right="-684"/>
        <w:rPr>
          <w:bCs/>
          <w:color w:val="000000"/>
        </w:rPr>
      </w:pPr>
    </w:p>
    <w:p w14:paraId="35E9CD35" w14:textId="77777777" w:rsidR="007C0487" w:rsidRPr="00816DAF" w:rsidRDefault="00785E1C" w:rsidP="007C0487">
      <w:pPr>
        <w:spacing w:line="480" w:lineRule="auto"/>
        <w:rPr>
          <w:rFonts w:ascii="Calibri" w:hAnsi="Calibri"/>
          <w:color w:val="000000"/>
          <w:sz w:val="22"/>
          <w:szCs w:val="22"/>
        </w:rPr>
      </w:pPr>
      <w:r>
        <w:rPr>
          <w:color w:val="000000"/>
        </w:rPr>
        <w:t>L</w:t>
      </w:r>
      <w:r w:rsidR="007C0487" w:rsidRPr="00816DAF">
        <w:rPr>
          <w:color w:val="000000"/>
        </w:rPr>
        <w:t>imited approval is requested to receive a CD copy of certain attachments to PHS 398 ap</w:t>
      </w:r>
      <w:r w:rsidR="002B1215">
        <w:rPr>
          <w:color w:val="000000"/>
        </w:rPr>
        <w:t>plications submitted on paper. </w:t>
      </w:r>
      <w:r w:rsidR="007C0487" w:rsidRPr="00816DAF">
        <w:rPr>
          <w:color w:val="000000"/>
        </w:rPr>
        <w:t>Historically</w:t>
      </w:r>
      <w:r w:rsidR="00CD19EC">
        <w:rPr>
          <w:color w:val="000000"/>
        </w:rPr>
        <w:t>,</w:t>
      </w:r>
      <w:r w:rsidR="007C0487" w:rsidRPr="00816DAF">
        <w:rPr>
          <w:color w:val="000000"/>
        </w:rPr>
        <w:t xml:space="preserve"> NIH has scanned the paper copies to be used by reviewers to </w:t>
      </w:r>
      <w:r w:rsidR="002B1215">
        <w:rPr>
          <w:color w:val="000000"/>
        </w:rPr>
        <w:t>be used in electronic systems. </w:t>
      </w:r>
      <w:r w:rsidR="007C0487" w:rsidRPr="00816DAF">
        <w:rPr>
          <w:color w:val="000000"/>
        </w:rPr>
        <w:t>However, certain high-resolution scientific images cannot be properly reproduced through scanning and require NIH to receive an original elec</w:t>
      </w:r>
      <w:r w:rsidR="002B1215">
        <w:rPr>
          <w:color w:val="000000"/>
        </w:rPr>
        <w:t>tronic copy of the attachment. </w:t>
      </w:r>
      <w:r w:rsidR="007C0487" w:rsidRPr="00816DAF">
        <w:rPr>
          <w:color w:val="000000"/>
        </w:rPr>
        <w:t xml:space="preserve">Under current plans, NIH will transition to electronic receipt of </w:t>
      </w:r>
      <w:r w:rsidR="00D86C89">
        <w:rPr>
          <w:color w:val="000000"/>
        </w:rPr>
        <w:t xml:space="preserve">multi-project </w:t>
      </w:r>
      <w:r w:rsidR="007C0487" w:rsidRPr="00816DAF">
        <w:rPr>
          <w:color w:val="000000"/>
        </w:rPr>
        <w:t xml:space="preserve">complex applications and </w:t>
      </w:r>
      <w:r w:rsidR="00BE4B28">
        <w:rPr>
          <w:color w:val="000000"/>
        </w:rPr>
        <w:t xml:space="preserve">does not anticipate needing to </w:t>
      </w:r>
      <w:r w:rsidR="007C0487" w:rsidRPr="00816DAF">
        <w:rPr>
          <w:color w:val="000000"/>
        </w:rPr>
        <w:t>utilize this authority</w:t>
      </w:r>
      <w:r w:rsidR="00BE4B28">
        <w:rPr>
          <w:color w:val="000000"/>
        </w:rPr>
        <w:t xml:space="preserve"> once that transition is complete</w:t>
      </w:r>
      <w:r w:rsidR="007C0487" w:rsidRPr="00816DAF">
        <w:rPr>
          <w:color w:val="000000"/>
        </w:rPr>
        <w:t>. However, unforeseen obstacles may possibly delay the system’s implementation and force NIH to require an additional CD copy of attachments containing high-resolution images.</w:t>
      </w:r>
    </w:p>
    <w:p w14:paraId="65723DF2" w14:textId="77777777" w:rsidR="007C0487" w:rsidRDefault="007C0487" w:rsidP="00262E69">
      <w:pPr>
        <w:pStyle w:val="Heading1"/>
        <w:ind w:left="0"/>
        <w:rPr>
          <w:b/>
          <w:u w:val="none"/>
        </w:rPr>
      </w:pPr>
    </w:p>
    <w:p w14:paraId="6ABF68FE" w14:textId="77777777" w:rsidR="00262E69" w:rsidRDefault="00830BEA" w:rsidP="00262E69">
      <w:pPr>
        <w:pStyle w:val="Heading2"/>
      </w:pPr>
      <w:bookmarkStart w:id="9" w:name="_Toc419964732"/>
      <w:r w:rsidRPr="00830BEA">
        <w:t>A.</w:t>
      </w:r>
      <w:r w:rsidR="00B61497" w:rsidRPr="00830BEA">
        <w:t>8.</w:t>
      </w:r>
      <w:r w:rsidR="00E05D34">
        <w:t>1</w:t>
      </w:r>
      <w:r w:rsidRPr="00830BEA">
        <w:t xml:space="preserve"> </w:t>
      </w:r>
      <w:r w:rsidR="00B61497" w:rsidRPr="00830BEA">
        <w:t>Comments in Response to the F</w:t>
      </w:r>
      <w:r>
        <w:t xml:space="preserve">ederal </w:t>
      </w:r>
      <w:r w:rsidR="00D4388E" w:rsidRPr="00830BEA">
        <w:t>R</w:t>
      </w:r>
      <w:r>
        <w:t>egister</w:t>
      </w:r>
      <w:r w:rsidR="00521500" w:rsidRPr="00830BEA">
        <w:t xml:space="preserve"> </w:t>
      </w:r>
      <w:r w:rsidR="00E05D34">
        <w:t>Notice</w:t>
      </w:r>
      <w:bookmarkEnd w:id="9"/>
    </w:p>
    <w:p w14:paraId="4C2BD0AF" w14:textId="77777777" w:rsidR="00B61497" w:rsidRPr="00830BEA" w:rsidRDefault="00E05D34" w:rsidP="00262E69">
      <w:pPr>
        <w:pStyle w:val="Heading2"/>
      </w:pPr>
      <w:r>
        <w:t xml:space="preserve"> </w:t>
      </w:r>
    </w:p>
    <w:p w14:paraId="47F19F71" w14:textId="3422ECE0" w:rsidR="00E8673B" w:rsidRDefault="00B61497" w:rsidP="00530196">
      <w:pPr>
        <w:spacing w:line="480" w:lineRule="auto"/>
      </w:pPr>
      <w:r w:rsidRPr="00E27D96">
        <w:t xml:space="preserve">An announcement was placed in the Federal </w:t>
      </w:r>
      <w:r w:rsidRPr="0069308A">
        <w:t>Register,</w:t>
      </w:r>
      <w:r w:rsidR="00E74EEF" w:rsidRPr="0069308A">
        <w:t xml:space="preserve"> Vol.</w:t>
      </w:r>
      <w:r w:rsidR="00CD77D5">
        <w:t>8</w:t>
      </w:r>
      <w:r w:rsidR="00285ACF">
        <w:t>1</w:t>
      </w:r>
      <w:r w:rsidR="002A2BAD">
        <w:t xml:space="preserve"> </w:t>
      </w:r>
      <w:r w:rsidR="00E74EEF" w:rsidRPr="0069308A">
        <w:t>No.</w:t>
      </w:r>
      <w:r w:rsidR="00285ACF">
        <w:t>212</w:t>
      </w:r>
      <w:r w:rsidR="00E74EEF" w:rsidRPr="0069308A">
        <w:t xml:space="preserve">, </w:t>
      </w:r>
      <w:r w:rsidR="00543DF5">
        <w:t xml:space="preserve">pages </w:t>
      </w:r>
      <w:r w:rsidR="00285ACF" w:rsidRPr="00C7051E">
        <w:t>76368-76370</w:t>
      </w:r>
      <w:r w:rsidR="00543DF5">
        <w:t xml:space="preserve">, on </w:t>
      </w:r>
      <w:r w:rsidR="00285ACF">
        <w:t>November 2, 2016</w:t>
      </w:r>
      <w:r w:rsidR="00426B59" w:rsidRPr="0069308A">
        <w:t xml:space="preserve"> </w:t>
      </w:r>
      <w:r w:rsidR="00D177ED" w:rsidRPr="00D177ED">
        <w:t xml:space="preserve">for public comment on the data collection project, thereby </w:t>
      </w:r>
      <w:r w:rsidR="00CD19EC">
        <w:t>providing</w:t>
      </w:r>
      <w:r w:rsidR="00CD19EC" w:rsidRPr="00D177ED">
        <w:t xml:space="preserve"> </w:t>
      </w:r>
      <w:r w:rsidR="00D177ED" w:rsidRPr="00D177ED">
        <w:t xml:space="preserve">the grantee community an active voice in </w:t>
      </w:r>
      <w:r w:rsidR="00CD19EC">
        <w:t xml:space="preserve">the </w:t>
      </w:r>
      <w:r w:rsidR="00D177ED" w:rsidRPr="00D177ED">
        <w:t>revision</w:t>
      </w:r>
      <w:r w:rsidR="00CD19EC">
        <w:t xml:space="preserve"> process</w:t>
      </w:r>
      <w:r w:rsidR="00D177ED" w:rsidRPr="00D177ED">
        <w:t>.</w:t>
      </w:r>
      <w:r w:rsidR="00647CF8">
        <w:t xml:space="preserve"> No public comments were received.</w:t>
      </w:r>
      <w:r w:rsidR="0034503E" w:rsidRPr="00D177ED">
        <w:t xml:space="preserve"> </w:t>
      </w:r>
    </w:p>
    <w:p w14:paraId="1B7E9209" w14:textId="77777777" w:rsidR="00E8673B" w:rsidRDefault="00E8673B" w:rsidP="00E8673B"/>
    <w:p w14:paraId="61B530E5" w14:textId="77777777" w:rsidR="00E05D34" w:rsidRDefault="00E05D34" w:rsidP="00262E69">
      <w:pPr>
        <w:pStyle w:val="Heading2"/>
      </w:pPr>
      <w:bookmarkStart w:id="10" w:name="_Toc419964733"/>
      <w:r>
        <w:t xml:space="preserve">A.8.2 </w:t>
      </w:r>
      <w:r w:rsidRPr="00830BEA">
        <w:t>Efforts to Consult Outside Agency</w:t>
      </w:r>
      <w:bookmarkEnd w:id="10"/>
    </w:p>
    <w:p w14:paraId="7F21A1EC" w14:textId="77777777" w:rsidR="00262E69" w:rsidRPr="00262E69" w:rsidRDefault="00262E69" w:rsidP="00262E69"/>
    <w:p w14:paraId="484DC7AE" w14:textId="77777777" w:rsidR="0056791D" w:rsidRPr="00E27D96" w:rsidRDefault="00D177ED" w:rsidP="00530196">
      <w:pPr>
        <w:spacing w:line="480" w:lineRule="auto"/>
      </w:pPr>
      <w:r>
        <w:t>Comments were also solicited from</w:t>
      </w:r>
      <w:r w:rsidR="00684300">
        <w:t xml:space="preserve"> staff</w:t>
      </w:r>
      <w:r>
        <w:t xml:space="preserve"> within NIH and the PHS agencies </w:t>
      </w:r>
      <w:r w:rsidR="002E5EF4">
        <w:t>IT</w:t>
      </w:r>
      <w:r>
        <w:t xml:space="preserve"> services.</w:t>
      </w:r>
    </w:p>
    <w:p w14:paraId="6AF23C3E" w14:textId="77777777" w:rsidR="00B61497" w:rsidRPr="00E27D96" w:rsidRDefault="003C1010" w:rsidP="00530196">
      <w:pPr>
        <w:spacing w:line="480" w:lineRule="auto"/>
        <w:ind w:right="-684"/>
        <w:rPr>
          <w:bCs/>
        </w:rPr>
      </w:pPr>
      <w:r w:rsidRPr="00E27D96">
        <w:rPr>
          <w:bCs/>
        </w:rPr>
        <w:t xml:space="preserve">Other consultations occur regularly at </w:t>
      </w:r>
      <w:r w:rsidR="00EE449F" w:rsidRPr="00E27D96">
        <w:rPr>
          <w:bCs/>
        </w:rPr>
        <w:t xml:space="preserve">NIH Regional Seminars on Program </w:t>
      </w:r>
      <w:r w:rsidR="00F30497" w:rsidRPr="00E27D96">
        <w:rPr>
          <w:bCs/>
        </w:rPr>
        <w:t>F</w:t>
      </w:r>
      <w:r w:rsidR="00EE449F" w:rsidRPr="00E27D96">
        <w:rPr>
          <w:bCs/>
        </w:rPr>
        <w:t>unding and Grants Administration</w:t>
      </w:r>
      <w:r w:rsidR="00F30497" w:rsidRPr="00E27D96">
        <w:rPr>
          <w:bCs/>
        </w:rPr>
        <w:t xml:space="preserve"> held</w:t>
      </w:r>
      <w:r w:rsidR="00196899" w:rsidRPr="00E27D96">
        <w:rPr>
          <w:bCs/>
        </w:rPr>
        <w:t xml:space="preserve"> </w:t>
      </w:r>
      <w:r w:rsidR="0034503E" w:rsidRPr="00E27D96">
        <w:rPr>
          <w:bCs/>
        </w:rPr>
        <w:t>twice each</w:t>
      </w:r>
      <w:r w:rsidR="00B61497" w:rsidRPr="00E27D96">
        <w:rPr>
          <w:bCs/>
        </w:rPr>
        <w:t xml:space="preserve"> year</w:t>
      </w:r>
      <w:r w:rsidR="00F30497" w:rsidRPr="00E27D96">
        <w:rPr>
          <w:bCs/>
        </w:rPr>
        <w:t>.</w:t>
      </w:r>
      <w:r w:rsidR="0034503E" w:rsidRPr="00E27D96">
        <w:rPr>
          <w:bCs/>
        </w:rPr>
        <w:t xml:space="preserve"> Participation in the Federal Demonstration P</w:t>
      </w:r>
      <w:r w:rsidR="006621E0">
        <w:rPr>
          <w:bCs/>
        </w:rPr>
        <w:t>artnership</w:t>
      </w:r>
      <w:r w:rsidR="0034503E" w:rsidRPr="00E27D96">
        <w:rPr>
          <w:bCs/>
        </w:rPr>
        <w:t xml:space="preserve"> (</w:t>
      </w:r>
      <w:r w:rsidR="006621E0">
        <w:rPr>
          <w:bCs/>
        </w:rPr>
        <w:t>FDP) (http://thefdp.org)</w:t>
      </w:r>
      <w:r w:rsidR="00887F1D">
        <w:rPr>
          <w:bCs/>
        </w:rPr>
        <w:t xml:space="preserve">, and meetings of professional organizations such as the National Council of University Research Administrators (NCURA), Society for Research Administrators (SRA), and the </w:t>
      </w:r>
      <w:r w:rsidR="00887F1D">
        <w:rPr>
          <w:bCs/>
        </w:rPr>
        <w:lastRenderedPageBreak/>
        <w:t>Council on Government Relations</w:t>
      </w:r>
      <w:r w:rsidR="0034503E" w:rsidRPr="00E27D96">
        <w:rPr>
          <w:bCs/>
        </w:rPr>
        <w:t xml:space="preserve"> </w:t>
      </w:r>
      <w:r w:rsidR="00F30497" w:rsidRPr="00E27D96">
        <w:rPr>
          <w:bCs/>
        </w:rPr>
        <w:t>also provides</w:t>
      </w:r>
      <w:r w:rsidR="00196899" w:rsidRPr="00E27D96">
        <w:rPr>
          <w:bCs/>
        </w:rPr>
        <w:t xml:space="preserve"> </w:t>
      </w:r>
      <w:r w:rsidR="00F30497" w:rsidRPr="00E27D96">
        <w:rPr>
          <w:bCs/>
        </w:rPr>
        <w:t>an</w:t>
      </w:r>
      <w:r w:rsidR="0034503E" w:rsidRPr="00E27D96">
        <w:rPr>
          <w:bCs/>
        </w:rPr>
        <w:t xml:space="preserve"> avenue of productive communication with the grantee research community. Such </w:t>
      </w:r>
      <w:r w:rsidR="00B61497" w:rsidRPr="00E27D96">
        <w:rPr>
          <w:bCs/>
        </w:rPr>
        <w:t>meetings provide for exchange of information on the peer review system, preparation of applications, and other administrative aspects of the PHS programs.</w:t>
      </w:r>
      <w:r w:rsidR="0034503E" w:rsidRPr="00E27D96">
        <w:rPr>
          <w:bCs/>
        </w:rPr>
        <w:t xml:space="preserve"> </w:t>
      </w:r>
      <w:r w:rsidR="00887F1D">
        <w:rPr>
          <w:bCs/>
        </w:rPr>
        <w:t>All q</w:t>
      </w:r>
      <w:r w:rsidR="0034503E" w:rsidRPr="00E27D96">
        <w:rPr>
          <w:bCs/>
        </w:rPr>
        <w:t>uestions</w:t>
      </w:r>
      <w:r w:rsidR="00F30497" w:rsidRPr="00E27D96">
        <w:rPr>
          <w:bCs/>
        </w:rPr>
        <w:t>,</w:t>
      </w:r>
      <w:r w:rsidR="0034503E" w:rsidRPr="00E27D96">
        <w:rPr>
          <w:bCs/>
        </w:rPr>
        <w:t xml:space="preserve"> comments </w:t>
      </w:r>
      <w:r w:rsidR="00F30497" w:rsidRPr="00E27D96">
        <w:rPr>
          <w:bCs/>
        </w:rPr>
        <w:t xml:space="preserve">and discussions </w:t>
      </w:r>
      <w:r w:rsidR="0034503E" w:rsidRPr="00E27D96">
        <w:rPr>
          <w:bCs/>
        </w:rPr>
        <w:t>from these meetings</w:t>
      </w:r>
      <w:r w:rsidR="00F30497" w:rsidRPr="00E27D96">
        <w:rPr>
          <w:bCs/>
        </w:rPr>
        <w:t xml:space="preserve"> and throughout t</w:t>
      </w:r>
      <w:r w:rsidR="0034503E" w:rsidRPr="00E27D96">
        <w:rPr>
          <w:bCs/>
        </w:rPr>
        <w:t xml:space="preserve">he year are duly noted and </w:t>
      </w:r>
      <w:r w:rsidR="00F30497" w:rsidRPr="00E27D96">
        <w:rPr>
          <w:bCs/>
        </w:rPr>
        <w:t xml:space="preserve">considered when </w:t>
      </w:r>
      <w:r w:rsidR="0034503E" w:rsidRPr="00E27D96">
        <w:rPr>
          <w:bCs/>
        </w:rPr>
        <w:t xml:space="preserve">modifying </w:t>
      </w:r>
      <w:r w:rsidR="00F30497" w:rsidRPr="00E27D96">
        <w:rPr>
          <w:bCs/>
        </w:rPr>
        <w:t xml:space="preserve">grant </w:t>
      </w:r>
      <w:r w:rsidR="0034503E" w:rsidRPr="00E27D96">
        <w:rPr>
          <w:bCs/>
        </w:rPr>
        <w:t>related information collections.</w:t>
      </w:r>
    </w:p>
    <w:p w14:paraId="69FE1526" w14:textId="77777777" w:rsidR="00B61497" w:rsidRPr="00E27D96" w:rsidRDefault="00B61497" w:rsidP="00262E69">
      <w:pPr>
        <w:ind w:right="-684"/>
        <w:rPr>
          <w:bCs/>
        </w:rPr>
      </w:pPr>
    </w:p>
    <w:p w14:paraId="537E521B" w14:textId="77777777" w:rsidR="00B61497" w:rsidRDefault="00830BEA" w:rsidP="00262E69">
      <w:pPr>
        <w:pStyle w:val="Heading2"/>
      </w:pPr>
      <w:bookmarkStart w:id="11" w:name="_Toc419964734"/>
      <w:r w:rsidRPr="00830BEA">
        <w:t>A.</w:t>
      </w:r>
      <w:r w:rsidR="00B61497" w:rsidRPr="00830BEA">
        <w:t>9.</w:t>
      </w:r>
      <w:r w:rsidRPr="00830BEA">
        <w:t xml:space="preserve"> </w:t>
      </w:r>
      <w:r w:rsidR="00B61497" w:rsidRPr="00830BEA">
        <w:t>Explanation of Any Payment or Gift to Respondents</w:t>
      </w:r>
      <w:bookmarkEnd w:id="11"/>
    </w:p>
    <w:p w14:paraId="3020C6F4" w14:textId="77777777" w:rsidR="00262E69" w:rsidRPr="00262E69" w:rsidRDefault="00262E69" w:rsidP="00262E69"/>
    <w:p w14:paraId="747D3CC1" w14:textId="77777777" w:rsidR="00B61497" w:rsidRPr="00847667" w:rsidRDefault="00B61497" w:rsidP="00530196">
      <w:pPr>
        <w:spacing w:line="480" w:lineRule="auto"/>
        <w:ind w:right="-684"/>
        <w:rPr>
          <w:bCs/>
        </w:rPr>
      </w:pPr>
      <w:r w:rsidRPr="00847667">
        <w:rPr>
          <w:bCs/>
        </w:rPr>
        <w:t>There are no payments or gifts to respondents.</w:t>
      </w:r>
    </w:p>
    <w:p w14:paraId="0390A836" w14:textId="77777777" w:rsidR="00F50575" w:rsidRDefault="00F50575" w:rsidP="00262E69">
      <w:pPr>
        <w:ind w:right="-684"/>
        <w:rPr>
          <w:b/>
          <w:bCs/>
          <w:highlight w:val="yellow"/>
        </w:rPr>
      </w:pPr>
    </w:p>
    <w:p w14:paraId="5F91C8E7" w14:textId="77777777" w:rsidR="00B61497" w:rsidRDefault="00830BEA" w:rsidP="00262E69">
      <w:pPr>
        <w:pStyle w:val="Heading2"/>
      </w:pPr>
      <w:bookmarkStart w:id="12" w:name="_Toc419964735"/>
      <w:r w:rsidRPr="00BC28FA">
        <w:t>A.</w:t>
      </w:r>
      <w:r w:rsidR="00B61497" w:rsidRPr="00BC28FA">
        <w:t>10.</w:t>
      </w:r>
      <w:r w:rsidRPr="00BC28FA">
        <w:t xml:space="preserve"> </w:t>
      </w:r>
      <w:r w:rsidR="00B61497" w:rsidRPr="00BC28FA">
        <w:t>Assurance of Confidentiality Provided to Respondents</w:t>
      </w:r>
      <w:bookmarkEnd w:id="12"/>
    </w:p>
    <w:p w14:paraId="76D522FA" w14:textId="77777777" w:rsidR="00262E69" w:rsidRPr="00262E69" w:rsidRDefault="00262E69" w:rsidP="00262E69"/>
    <w:p w14:paraId="69ABC196" w14:textId="77777777" w:rsidR="002E508C" w:rsidRPr="002E508C" w:rsidRDefault="00C12000" w:rsidP="002E508C">
      <w:pPr>
        <w:spacing w:line="480" w:lineRule="auto"/>
        <w:rPr>
          <w:color w:val="000000"/>
        </w:rPr>
      </w:pPr>
      <w:r w:rsidRPr="00C12000">
        <w:rPr>
          <w:color w:val="000000"/>
        </w:rPr>
        <w:t>The Privacy Act applies to this collection.</w:t>
      </w:r>
      <w:r w:rsidR="00744DCB" w:rsidRPr="002E508C">
        <w:rPr>
          <w:b/>
          <w:color w:val="000000"/>
        </w:rPr>
        <w:t xml:space="preserve"> </w:t>
      </w:r>
      <w:r w:rsidR="00744DCB" w:rsidRPr="002E508C">
        <w:rPr>
          <w:color w:val="000000"/>
        </w:rPr>
        <w:t xml:space="preserve">The NIH maintains application and grant records as part of a system of records as defined by the Privacy Act:  NIH 09-25-0036, </w:t>
      </w:r>
      <w:r w:rsidR="00744DCB" w:rsidRPr="002E508C">
        <w:rPr>
          <w:i/>
          <w:color w:val="000000"/>
        </w:rPr>
        <w:t>Extramural Awards and Chartered Advisory Committees (IMPAC 2), Contract Information (DCIS), and Cooperative Agreement Information, HHS/NIH</w:t>
      </w:r>
      <w:r w:rsidR="00744DCB" w:rsidRPr="002E508C">
        <w:rPr>
          <w:color w:val="000000"/>
        </w:rPr>
        <w:t xml:space="preserve">:  </w:t>
      </w:r>
      <w:hyperlink r:id="rId9" w:history="1">
        <w:r w:rsidR="00744DCB" w:rsidRPr="002E508C">
          <w:rPr>
            <w:rStyle w:val="Hyperlink"/>
            <w:color w:val="000000"/>
          </w:rPr>
          <w:t>http://oma.od.nih.gov/ms/privacy/pa-files/0036.htm</w:t>
        </w:r>
      </w:hyperlink>
      <w:r w:rsidR="00744DCB" w:rsidRPr="002E508C">
        <w:rPr>
          <w:color w:val="000000"/>
        </w:rPr>
        <w:t>.</w:t>
      </w:r>
      <w:r w:rsidR="006716D1" w:rsidRPr="006716D1">
        <w:rPr>
          <w:color w:val="000000" w:themeColor="text1"/>
        </w:rPr>
        <w:t>The SORN was published in the Federal Register on September 26, 2002 (Vol. 67, No. 187).</w:t>
      </w:r>
      <w:r w:rsidR="002E508C" w:rsidRPr="006716D1">
        <w:rPr>
          <w:color w:val="000000" w:themeColor="text1"/>
        </w:rPr>
        <w:t xml:space="preserve"> </w:t>
      </w:r>
      <w:r w:rsidR="002E508C" w:rsidRPr="002E508C">
        <w:rPr>
          <w:color w:val="000000"/>
        </w:rPr>
        <w:t>Release of information is fully explained in all grant related information collections.</w:t>
      </w:r>
      <w:r w:rsidR="00543DF5">
        <w:rPr>
          <w:color w:val="000000"/>
        </w:rPr>
        <w:t xml:space="preserve"> </w:t>
      </w:r>
      <w:r w:rsidR="00543DF5" w:rsidRPr="00543DF5">
        <w:rPr>
          <w:color w:val="000000"/>
        </w:rPr>
        <w:t>A Privacy Impact Assessment was completed for the databases used in this submission.</w:t>
      </w:r>
    </w:p>
    <w:p w14:paraId="7D2E7F90" w14:textId="77777777" w:rsidR="00D05D8D" w:rsidRDefault="00D05D8D" w:rsidP="00262E69">
      <w:pPr>
        <w:ind w:right="-684"/>
        <w:rPr>
          <w:b/>
          <w:bCs/>
        </w:rPr>
      </w:pPr>
    </w:p>
    <w:p w14:paraId="7BE0C2FA" w14:textId="77777777" w:rsidR="00B61497" w:rsidRDefault="00830BEA" w:rsidP="00262E69">
      <w:pPr>
        <w:pStyle w:val="Heading2"/>
      </w:pPr>
      <w:bookmarkStart w:id="13" w:name="_Toc419964736"/>
      <w:r w:rsidRPr="00830BEA">
        <w:t>A.</w:t>
      </w:r>
      <w:r w:rsidR="00B61497" w:rsidRPr="00830BEA">
        <w:t>11.</w:t>
      </w:r>
      <w:r w:rsidRPr="00830BEA">
        <w:t xml:space="preserve"> </w:t>
      </w:r>
      <w:r w:rsidR="00B61497" w:rsidRPr="00830BEA">
        <w:t>Justification for Sensitive Questions</w:t>
      </w:r>
      <w:bookmarkEnd w:id="13"/>
    </w:p>
    <w:p w14:paraId="78A4E0D6" w14:textId="77777777" w:rsidR="00262E69" w:rsidRPr="00262E69" w:rsidRDefault="00262E69" w:rsidP="00262E69"/>
    <w:p w14:paraId="685260DC" w14:textId="77777777" w:rsidR="00B61497" w:rsidRPr="00847667" w:rsidRDefault="00AC1012" w:rsidP="00530196">
      <w:pPr>
        <w:spacing w:line="480" w:lineRule="auto"/>
        <w:ind w:right="-684"/>
        <w:rPr>
          <w:bCs/>
        </w:rPr>
      </w:pPr>
      <w:r w:rsidRPr="00847667">
        <w:rPr>
          <w:bCs/>
        </w:rPr>
        <w:t>T</w:t>
      </w:r>
      <w:r w:rsidR="00B61497" w:rsidRPr="00847667">
        <w:rPr>
          <w:bCs/>
        </w:rPr>
        <w:t xml:space="preserve">he </w:t>
      </w:r>
      <w:r w:rsidR="0039288A" w:rsidRPr="00847667">
        <w:rPr>
          <w:bCs/>
        </w:rPr>
        <w:t>eRA Commons Personal Profile</w:t>
      </w:r>
      <w:r w:rsidR="0050091A" w:rsidRPr="00847667">
        <w:rPr>
          <w:bCs/>
        </w:rPr>
        <w:t xml:space="preserve"> request</w:t>
      </w:r>
      <w:r w:rsidR="00ED2C39">
        <w:rPr>
          <w:bCs/>
        </w:rPr>
        <w:t>s</w:t>
      </w:r>
      <w:r w:rsidR="0050091A" w:rsidRPr="00847667">
        <w:rPr>
          <w:bCs/>
        </w:rPr>
        <w:t xml:space="preserve"> the last four digits of the Social Security number for purposes of accurate identification, referral, and efficient management of PHS grant programs. Provision of the partial Social Security number is voluntary and no individual will be denied any right, benefit, or privilege provided by law because of refusal to disclose the partial Social Secu</w:t>
      </w:r>
      <w:r w:rsidR="00000D8A" w:rsidRPr="00847667">
        <w:rPr>
          <w:bCs/>
        </w:rPr>
        <w:t>rity</w:t>
      </w:r>
      <w:r w:rsidR="0050091A" w:rsidRPr="00847667">
        <w:rPr>
          <w:bCs/>
        </w:rPr>
        <w:t xml:space="preserve"> number. This data is not part of the application reviewed by </w:t>
      </w:r>
      <w:r w:rsidR="00AF5EF9" w:rsidRPr="00847667">
        <w:rPr>
          <w:bCs/>
        </w:rPr>
        <w:t xml:space="preserve">Advisory Committees </w:t>
      </w:r>
      <w:r w:rsidR="0050091A" w:rsidRPr="00847667">
        <w:rPr>
          <w:bCs/>
        </w:rPr>
        <w:t xml:space="preserve">or the funding component.  All analyses utilizing other voluntarily provided data such as month/year of birth, gender, race and </w:t>
      </w:r>
      <w:r w:rsidR="0050091A" w:rsidRPr="00847667">
        <w:rPr>
          <w:bCs/>
        </w:rPr>
        <w:lastRenderedPageBreak/>
        <w:t>ethnicity report aggregate statistical findings only and do not identify individuals.</w:t>
      </w:r>
      <w:r w:rsidR="001756EE">
        <w:rPr>
          <w:bCs/>
        </w:rPr>
        <w:t xml:space="preserve"> </w:t>
      </w:r>
      <w:r w:rsidR="008E4144" w:rsidRPr="00847667">
        <w:rPr>
          <w:bCs/>
        </w:rPr>
        <w:t xml:space="preserve">All </w:t>
      </w:r>
      <w:r w:rsidR="000F3621">
        <w:rPr>
          <w:bCs/>
        </w:rPr>
        <w:t>sensitive</w:t>
      </w:r>
      <w:r w:rsidR="00000D8A" w:rsidRPr="00847667">
        <w:rPr>
          <w:bCs/>
        </w:rPr>
        <w:t xml:space="preserve"> </w:t>
      </w:r>
      <w:r w:rsidR="008E4144" w:rsidRPr="00847667">
        <w:rPr>
          <w:bCs/>
        </w:rPr>
        <w:t>d</w:t>
      </w:r>
      <w:r w:rsidR="00B61497" w:rsidRPr="00847667">
        <w:rPr>
          <w:bCs/>
        </w:rPr>
        <w:t xml:space="preserve">ata are maintained in </w:t>
      </w:r>
      <w:r w:rsidR="005D48B4" w:rsidRPr="00847667">
        <w:rPr>
          <w:bCs/>
        </w:rPr>
        <w:t xml:space="preserve">a </w:t>
      </w:r>
      <w:r w:rsidR="00B61497" w:rsidRPr="00847667">
        <w:rPr>
          <w:bCs/>
        </w:rPr>
        <w:t>Privacy Act record system</w:t>
      </w:r>
      <w:r w:rsidR="008B4461" w:rsidRPr="00847667">
        <w:rPr>
          <w:bCs/>
        </w:rPr>
        <w:t xml:space="preserve"> (</w:t>
      </w:r>
      <w:hyperlink r:id="rId10" w:history="1">
        <w:r w:rsidR="00D4388E" w:rsidRPr="00DE17C5">
          <w:rPr>
            <w:rStyle w:val="Hyperlink"/>
            <w:color w:val="auto"/>
          </w:rPr>
          <w:t>09-25-0036</w:t>
        </w:r>
      </w:hyperlink>
      <w:r w:rsidR="008B4461" w:rsidRPr="00DE17C5">
        <w:t>)</w:t>
      </w:r>
      <w:r w:rsidR="00B61497" w:rsidRPr="00DE17C5">
        <w:rPr>
          <w:bCs/>
        </w:rPr>
        <w:t>.</w:t>
      </w:r>
      <w:r w:rsidR="00B61497" w:rsidRPr="00847667">
        <w:rPr>
          <w:bCs/>
        </w:rPr>
        <w:t xml:space="preserve">  </w:t>
      </w:r>
    </w:p>
    <w:p w14:paraId="3B5AC026" w14:textId="77777777" w:rsidR="00830BEA" w:rsidRDefault="00830BEA" w:rsidP="00262E69">
      <w:pPr>
        <w:pStyle w:val="Heading1"/>
        <w:ind w:left="0"/>
      </w:pPr>
    </w:p>
    <w:p w14:paraId="238A3EAF" w14:textId="77777777" w:rsidR="00B61497" w:rsidRDefault="00830BEA" w:rsidP="00262E69">
      <w:pPr>
        <w:pStyle w:val="Heading2"/>
      </w:pPr>
      <w:bookmarkStart w:id="14" w:name="_Toc419964737"/>
      <w:r w:rsidRPr="00830BEA">
        <w:t>A.</w:t>
      </w:r>
      <w:r w:rsidR="00B61497" w:rsidRPr="00830BEA">
        <w:t>12.</w:t>
      </w:r>
      <w:r w:rsidR="00E05D34">
        <w:t>1</w:t>
      </w:r>
      <w:r w:rsidRPr="00830BEA">
        <w:t xml:space="preserve"> </w:t>
      </w:r>
      <w:r w:rsidR="00E05D34">
        <w:t>Estimated Annualized Burden Hours</w:t>
      </w:r>
      <w:bookmarkEnd w:id="14"/>
    </w:p>
    <w:p w14:paraId="099380FE" w14:textId="77777777" w:rsidR="00262E69" w:rsidRPr="00262E69" w:rsidRDefault="00262E69" w:rsidP="00262E69"/>
    <w:p w14:paraId="7AC83356" w14:textId="77777777" w:rsidR="006D28E1" w:rsidRDefault="008E4144" w:rsidP="00530196">
      <w:pPr>
        <w:spacing w:line="480" w:lineRule="auto"/>
        <w:ind w:right="-684"/>
        <w:rPr>
          <w:bCs/>
        </w:rPr>
      </w:pPr>
      <w:r w:rsidRPr="00847667">
        <w:rPr>
          <w:bCs/>
        </w:rPr>
        <w:t>B</w:t>
      </w:r>
      <w:r w:rsidR="00B61497" w:rsidRPr="00847667">
        <w:rPr>
          <w:bCs/>
        </w:rPr>
        <w:t xml:space="preserve">urden </w:t>
      </w:r>
      <w:r w:rsidRPr="00847667">
        <w:rPr>
          <w:bCs/>
        </w:rPr>
        <w:t xml:space="preserve">on applicants and grantees </w:t>
      </w:r>
      <w:r w:rsidR="00B61497" w:rsidRPr="00847667">
        <w:rPr>
          <w:bCs/>
        </w:rPr>
        <w:t>is associated with the forms and all proposed changes in the forms</w:t>
      </w:r>
      <w:r w:rsidRPr="00847667">
        <w:rPr>
          <w:bCs/>
        </w:rPr>
        <w:t>; t</w:t>
      </w:r>
      <w:r w:rsidR="00B61497" w:rsidRPr="00847667">
        <w:rPr>
          <w:bCs/>
        </w:rPr>
        <w:t xml:space="preserve">here is no burden associated with regulatory language. </w:t>
      </w:r>
      <w:r w:rsidR="00B61497" w:rsidRPr="000043A1">
        <w:rPr>
          <w:bCs/>
        </w:rPr>
        <w:t xml:space="preserve">The estimated average </w:t>
      </w:r>
      <w:r w:rsidRPr="000043A1">
        <w:rPr>
          <w:bCs/>
        </w:rPr>
        <w:t xml:space="preserve">time to complete the </w:t>
      </w:r>
      <w:r w:rsidR="00B61497" w:rsidRPr="000043A1">
        <w:rPr>
          <w:bCs/>
        </w:rPr>
        <w:t>PHS 398</w:t>
      </w:r>
      <w:r w:rsidR="00986EDA">
        <w:rPr>
          <w:bCs/>
        </w:rPr>
        <w:t xml:space="preserve"> [paper]</w:t>
      </w:r>
      <w:r w:rsidR="00B61497" w:rsidRPr="000043A1">
        <w:rPr>
          <w:bCs/>
        </w:rPr>
        <w:t xml:space="preserve"> </w:t>
      </w:r>
      <w:r w:rsidR="0083250D" w:rsidRPr="000043A1">
        <w:rPr>
          <w:bCs/>
        </w:rPr>
        <w:t>remains at</w:t>
      </w:r>
      <w:r w:rsidR="007F0554" w:rsidRPr="000043A1">
        <w:rPr>
          <w:bCs/>
        </w:rPr>
        <w:t xml:space="preserve"> 35 hours</w:t>
      </w:r>
      <w:r w:rsidR="0083250D" w:rsidRPr="000043A1">
        <w:rPr>
          <w:bCs/>
        </w:rPr>
        <w:t>.</w:t>
      </w:r>
      <w:r w:rsidRPr="000043A1">
        <w:rPr>
          <w:bCs/>
        </w:rPr>
        <w:t xml:space="preserve"> </w:t>
      </w:r>
      <w:r w:rsidR="00E35A4F" w:rsidRPr="000043A1">
        <w:rPr>
          <w:bCs/>
        </w:rPr>
        <w:t>F</w:t>
      </w:r>
      <w:r w:rsidRPr="000043A1">
        <w:rPr>
          <w:bCs/>
        </w:rPr>
        <w:t xml:space="preserve">or those </w:t>
      </w:r>
      <w:r w:rsidR="0000020B" w:rsidRPr="000043A1">
        <w:rPr>
          <w:bCs/>
        </w:rPr>
        <w:t>activity codes</w:t>
      </w:r>
      <w:r w:rsidRPr="000043A1">
        <w:rPr>
          <w:bCs/>
        </w:rPr>
        <w:t xml:space="preserve"> that have transitioned to electronic submission</w:t>
      </w:r>
      <w:r w:rsidR="00ED317A" w:rsidRPr="000043A1">
        <w:rPr>
          <w:bCs/>
        </w:rPr>
        <w:t xml:space="preserve"> (</w:t>
      </w:r>
      <w:r w:rsidR="009C48CE">
        <w:rPr>
          <w:bCs/>
        </w:rPr>
        <w:t>95</w:t>
      </w:r>
      <w:r w:rsidR="00ED317A" w:rsidRPr="000043A1">
        <w:rPr>
          <w:bCs/>
        </w:rPr>
        <w:t>%)</w:t>
      </w:r>
      <w:r w:rsidR="006E5210" w:rsidRPr="000043A1">
        <w:rPr>
          <w:bCs/>
        </w:rPr>
        <w:t>,</w:t>
      </w:r>
      <w:r w:rsidR="006E5210" w:rsidRPr="00847667">
        <w:rPr>
          <w:bCs/>
        </w:rPr>
        <w:t xml:space="preserve"> NIH continues to </w:t>
      </w:r>
      <w:r w:rsidRPr="00847667">
        <w:rPr>
          <w:bCs/>
        </w:rPr>
        <w:t>estimate that approximately</w:t>
      </w:r>
      <w:r w:rsidR="004648F4">
        <w:rPr>
          <w:bCs/>
        </w:rPr>
        <w:t xml:space="preserve"> </w:t>
      </w:r>
      <w:r w:rsidR="009C48CE">
        <w:rPr>
          <w:bCs/>
        </w:rPr>
        <w:t>90</w:t>
      </w:r>
      <w:r w:rsidRPr="00AE0EC2">
        <w:rPr>
          <w:bCs/>
        </w:rPr>
        <w:t>%</w:t>
      </w:r>
      <w:r w:rsidRPr="00847667">
        <w:rPr>
          <w:bCs/>
        </w:rPr>
        <w:t xml:space="preserve"> of the burden has shifted to the </w:t>
      </w:r>
      <w:r w:rsidR="009E2BFF" w:rsidRPr="00847667">
        <w:rPr>
          <w:bCs/>
        </w:rPr>
        <w:t>SF424</w:t>
      </w:r>
      <w:r w:rsidRPr="00847667">
        <w:rPr>
          <w:bCs/>
        </w:rPr>
        <w:t xml:space="preserve"> (R&amp;R)</w:t>
      </w:r>
      <w:r w:rsidR="007F0554" w:rsidRPr="00847667">
        <w:rPr>
          <w:bCs/>
        </w:rPr>
        <w:t xml:space="preserve">. </w:t>
      </w:r>
    </w:p>
    <w:p w14:paraId="6D666ABE" w14:textId="2DC2AD2E" w:rsidR="00B245E4" w:rsidRPr="00F236C6" w:rsidRDefault="007F0554" w:rsidP="006D28E1">
      <w:pPr>
        <w:spacing w:before="240" w:line="480" w:lineRule="auto"/>
        <w:ind w:right="-684"/>
        <w:rPr>
          <w:bCs/>
        </w:rPr>
      </w:pPr>
      <w:r w:rsidRPr="00011E60">
        <w:rPr>
          <w:bCs/>
        </w:rPr>
        <w:t>T</w:t>
      </w:r>
      <w:r w:rsidR="008E4144" w:rsidRPr="00011E60">
        <w:rPr>
          <w:bCs/>
        </w:rPr>
        <w:t xml:space="preserve">he </w:t>
      </w:r>
      <w:r w:rsidR="00A75A1A" w:rsidRPr="00011E60">
        <w:rPr>
          <w:bCs/>
        </w:rPr>
        <w:t xml:space="preserve">estimated average </w:t>
      </w:r>
      <w:r w:rsidR="008E4144" w:rsidRPr="00011E60">
        <w:rPr>
          <w:bCs/>
        </w:rPr>
        <w:t xml:space="preserve">burden for the </w:t>
      </w:r>
      <w:r w:rsidR="000F3621" w:rsidRPr="00011E60">
        <w:rPr>
          <w:bCs/>
        </w:rPr>
        <w:t xml:space="preserve">electronic </w:t>
      </w:r>
      <w:r w:rsidR="008E4144" w:rsidRPr="00011E60">
        <w:rPr>
          <w:bCs/>
        </w:rPr>
        <w:t xml:space="preserve">PHS 398 component forms </w:t>
      </w:r>
      <w:r w:rsidR="00011E60" w:rsidRPr="00011E60">
        <w:rPr>
          <w:bCs/>
        </w:rPr>
        <w:t xml:space="preserve">has increased to </w:t>
      </w:r>
      <w:r w:rsidR="006950BA">
        <w:rPr>
          <w:bCs/>
        </w:rPr>
        <w:t>56</w:t>
      </w:r>
      <w:r w:rsidRPr="00011E60">
        <w:rPr>
          <w:bCs/>
        </w:rPr>
        <w:t xml:space="preserve"> hours</w:t>
      </w:r>
      <w:r w:rsidR="00011E60" w:rsidRPr="00011E60">
        <w:rPr>
          <w:bCs/>
        </w:rPr>
        <w:t xml:space="preserve"> due to the development of a new </w:t>
      </w:r>
      <w:r w:rsidR="006950BA" w:rsidRPr="006950BA">
        <w:rPr>
          <w:bCs/>
        </w:rPr>
        <w:t>PHS Human Subjects</w:t>
      </w:r>
      <w:r w:rsidR="006950BA">
        <w:rPr>
          <w:bCs/>
        </w:rPr>
        <w:t xml:space="preserve"> and Clinical Trial Information </w:t>
      </w:r>
      <w:r w:rsidR="00011E60" w:rsidRPr="00011E60">
        <w:rPr>
          <w:bCs/>
        </w:rPr>
        <w:t>form</w:t>
      </w:r>
      <w:r w:rsidR="00FC0E1B" w:rsidRPr="00011E60">
        <w:rPr>
          <w:bCs/>
        </w:rPr>
        <w:t>.</w:t>
      </w:r>
      <w:r w:rsidR="00C463C9" w:rsidRPr="00F236C6">
        <w:rPr>
          <w:bCs/>
        </w:rPr>
        <w:t xml:space="preserve"> A full burden hour breakdown is provided that totals up to this </w:t>
      </w:r>
      <w:r w:rsidR="006950BA">
        <w:rPr>
          <w:bCs/>
        </w:rPr>
        <w:t>56</w:t>
      </w:r>
      <w:r w:rsidR="00011E60" w:rsidRPr="00F236C6">
        <w:rPr>
          <w:bCs/>
        </w:rPr>
        <w:t xml:space="preserve"> </w:t>
      </w:r>
      <w:r w:rsidR="00C463C9" w:rsidRPr="00F236C6">
        <w:rPr>
          <w:bCs/>
        </w:rPr>
        <w:t>hour estimate, e.g., each component form has its own burden estimate provided in the chart below.</w:t>
      </w:r>
      <w:r w:rsidR="009339C9">
        <w:rPr>
          <w:bCs/>
        </w:rPr>
        <w:t xml:space="preserve"> </w:t>
      </w:r>
      <w:r w:rsidR="00C463C9" w:rsidRPr="00F236C6">
        <w:rPr>
          <w:bCs/>
        </w:rPr>
        <w:t xml:space="preserve">While the </w:t>
      </w:r>
      <w:r w:rsidR="00D64C88" w:rsidRPr="00F236C6">
        <w:rPr>
          <w:bCs/>
        </w:rPr>
        <w:t xml:space="preserve">total estimate totals to </w:t>
      </w:r>
      <w:r w:rsidR="006950BA">
        <w:rPr>
          <w:bCs/>
        </w:rPr>
        <w:t>56</w:t>
      </w:r>
      <w:r w:rsidR="00011E60" w:rsidRPr="00F236C6">
        <w:rPr>
          <w:bCs/>
        </w:rPr>
        <w:t xml:space="preserve"> </w:t>
      </w:r>
      <w:r w:rsidR="00D64C88" w:rsidRPr="00F236C6">
        <w:rPr>
          <w:bCs/>
        </w:rPr>
        <w:t xml:space="preserve">hours, it’s important to note that not every form is used in an application. The type of application and budget will drive the forms that are used (e.g., a PHS 398 Modular Budget vs. PHS 398 Training Budget form). </w:t>
      </w:r>
      <w:r w:rsidR="00723643" w:rsidRPr="00723643">
        <w:rPr>
          <w:bCs/>
        </w:rPr>
        <w:t>For the new PHS Human Subjects and Clinical Trial Information form, the individual burden hour estimate (14 hours) is comprised of human subjects research and clinical trials data collection. Not every application that involves human subjects will include clinical trial information; the type of application will drive the parts of this form that are used (e.g., clinical trial(s) or non-clinical trial human subjects research). The NIH’s goal is to create an opportunity for investigators to upload their clinical trial information from the form to facilitate registration in ClinicalTrials.gov, thus reducing user burden</w:t>
      </w:r>
      <w:r w:rsidR="00723643">
        <w:rPr>
          <w:bCs/>
        </w:rPr>
        <w:t>.</w:t>
      </w:r>
    </w:p>
    <w:p w14:paraId="0D19E8A6" w14:textId="77777777" w:rsidR="00B245E4" w:rsidRPr="00F236C6" w:rsidRDefault="00B245E4" w:rsidP="00262E69">
      <w:pPr>
        <w:ind w:right="-684"/>
        <w:rPr>
          <w:bCs/>
        </w:rPr>
      </w:pPr>
    </w:p>
    <w:p w14:paraId="35FED1E4" w14:textId="294C0D4A" w:rsidR="006A3EFD" w:rsidRDefault="006A3EFD" w:rsidP="00530196">
      <w:pPr>
        <w:spacing w:line="480" w:lineRule="auto"/>
        <w:ind w:right="-684"/>
        <w:rPr>
          <w:bCs/>
        </w:rPr>
      </w:pPr>
      <w:proofErr w:type="spellStart"/>
      <w:r w:rsidRPr="00F236C6">
        <w:rPr>
          <w:bCs/>
        </w:rPr>
        <w:t>Similarily</w:t>
      </w:r>
      <w:proofErr w:type="spellEnd"/>
      <w:r w:rsidRPr="00F236C6">
        <w:rPr>
          <w:bCs/>
        </w:rPr>
        <w:t xml:space="preserve">, the PHS Fellowship </w:t>
      </w:r>
      <w:r w:rsidR="00F512AC" w:rsidRPr="00F236C6">
        <w:rPr>
          <w:bCs/>
        </w:rPr>
        <w:t xml:space="preserve">electronic application is made up primarily of the PHS Fellowship Supplemental form. The full burden calculation for a fellowship application </w:t>
      </w:r>
      <w:r w:rsidR="00011E60">
        <w:rPr>
          <w:bCs/>
        </w:rPr>
        <w:t xml:space="preserve">has </w:t>
      </w:r>
      <w:r w:rsidR="006950BA">
        <w:rPr>
          <w:bCs/>
        </w:rPr>
        <w:t>increased</w:t>
      </w:r>
      <w:r w:rsidR="00011E60">
        <w:rPr>
          <w:bCs/>
        </w:rPr>
        <w:t xml:space="preserve"> to </w:t>
      </w:r>
      <w:r w:rsidR="006950BA">
        <w:rPr>
          <w:bCs/>
        </w:rPr>
        <w:t>29</w:t>
      </w:r>
      <w:r w:rsidR="00F512AC" w:rsidRPr="00F236C6">
        <w:rPr>
          <w:bCs/>
        </w:rPr>
        <w:t xml:space="preserve"> hours, </w:t>
      </w:r>
      <w:r w:rsidR="00F512AC" w:rsidRPr="00F236C6">
        <w:rPr>
          <w:bCs/>
        </w:rPr>
        <w:lastRenderedPageBreak/>
        <w:t xml:space="preserve">which </w:t>
      </w:r>
      <w:r w:rsidR="00304D43">
        <w:rPr>
          <w:bCs/>
        </w:rPr>
        <w:t xml:space="preserve">is </w:t>
      </w:r>
      <w:r w:rsidR="00F512AC" w:rsidRPr="00F236C6">
        <w:rPr>
          <w:bCs/>
        </w:rPr>
        <w:t>comprise</w:t>
      </w:r>
      <w:r w:rsidR="00304D43">
        <w:rPr>
          <w:bCs/>
        </w:rPr>
        <w:t>d</w:t>
      </w:r>
      <w:r w:rsidR="00F512AC" w:rsidRPr="00F236C6">
        <w:rPr>
          <w:bCs/>
        </w:rPr>
        <w:t xml:space="preserve"> of the PHS Fellowship Supplemental form, and several companion forms that are also included in the PHS</w:t>
      </w:r>
      <w:r w:rsidR="006950BA">
        <w:rPr>
          <w:bCs/>
        </w:rPr>
        <w:t xml:space="preserve"> (including the new </w:t>
      </w:r>
      <w:r w:rsidR="006950BA" w:rsidRPr="006950BA">
        <w:rPr>
          <w:bCs/>
        </w:rPr>
        <w:t>PHS Human Subjects and Clinical Trial Information</w:t>
      </w:r>
      <w:r w:rsidR="006950BA">
        <w:rPr>
          <w:bCs/>
        </w:rPr>
        <w:t xml:space="preserve"> form)</w:t>
      </w:r>
      <w:r w:rsidR="008A4065" w:rsidRPr="00F236C6">
        <w:rPr>
          <w:bCs/>
        </w:rPr>
        <w:t>.</w:t>
      </w:r>
      <w:r w:rsidR="00F512AC" w:rsidRPr="00F236C6">
        <w:rPr>
          <w:bCs/>
        </w:rPr>
        <w:t xml:space="preserve"> </w:t>
      </w:r>
      <w:r w:rsidR="00011E60">
        <w:rPr>
          <w:bCs/>
        </w:rPr>
        <w:t xml:space="preserve"> </w:t>
      </w:r>
    </w:p>
    <w:p w14:paraId="0BC6EA67" w14:textId="77777777" w:rsidR="00D64C88" w:rsidRDefault="00D64C88" w:rsidP="00262E69">
      <w:pPr>
        <w:ind w:right="-684"/>
        <w:rPr>
          <w:bCs/>
        </w:rPr>
      </w:pPr>
    </w:p>
    <w:p w14:paraId="691B2B56" w14:textId="77777777" w:rsidR="00BA1D9E" w:rsidRDefault="00A75A1A" w:rsidP="00530196">
      <w:pPr>
        <w:spacing w:line="480" w:lineRule="auto"/>
        <w:ind w:right="-684"/>
        <w:rPr>
          <w:bCs/>
        </w:rPr>
      </w:pPr>
      <w:r w:rsidRPr="00847667">
        <w:rPr>
          <w:bCs/>
        </w:rPr>
        <w:t xml:space="preserve">The average number of respondents per year is estimated at </w:t>
      </w:r>
      <w:r w:rsidR="00C463C9">
        <w:rPr>
          <w:bCs/>
        </w:rPr>
        <w:t>86,678</w:t>
      </w:r>
      <w:r w:rsidR="00E04E1B" w:rsidRPr="00847667">
        <w:rPr>
          <w:bCs/>
        </w:rPr>
        <w:t xml:space="preserve"> for the PHS 398 (</w:t>
      </w:r>
      <w:r w:rsidR="00C463C9">
        <w:rPr>
          <w:bCs/>
        </w:rPr>
        <w:t>4,247</w:t>
      </w:r>
      <w:r w:rsidR="00A52CF7">
        <w:rPr>
          <w:bCs/>
        </w:rPr>
        <w:t xml:space="preserve"> </w:t>
      </w:r>
      <w:r w:rsidR="00E04E1B" w:rsidRPr="00847667">
        <w:rPr>
          <w:bCs/>
        </w:rPr>
        <w:t xml:space="preserve">paper and </w:t>
      </w:r>
      <w:r w:rsidR="00C463C9">
        <w:rPr>
          <w:bCs/>
        </w:rPr>
        <w:t>82,431</w:t>
      </w:r>
      <w:r w:rsidR="00A52CF7">
        <w:rPr>
          <w:bCs/>
        </w:rPr>
        <w:t xml:space="preserve"> </w:t>
      </w:r>
      <w:r w:rsidR="00E04E1B" w:rsidRPr="00847667">
        <w:rPr>
          <w:bCs/>
        </w:rPr>
        <w:t xml:space="preserve">electronic); </w:t>
      </w:r>
      <w:r w:rsidR="00C463C9">
        <w:rPr>
          <w:bCs/>
        </w:rPr>
        <w:t xml:space="preserve">6,707 </w:t>
      </w:r>
      <w:r w:rsidR="00937802">
        <w:rPr>
          <w:bCs/>
        </w:rPr>
        <w:t>for the PHS Fellowship Supplemental Form</w:t>
      </w:r>
      <w:r w:rsidR="00C463C9">
        <w:rPr>
          <w:bCs/>
        </w:rPr>
        <w:t xml:space="preserve"> and 416-5</w:t>
      </w:r>
      <w:r w:rsidR="00A223EF">
        <w:rPr>
          <w:bCs/>
        </w:rPr>
        <w:t xml:space="preserve">; and </w:t>
      </w:r>
      <w:r w:rsidR="00C463C9">
        <w:rPr>
          <w:bCs/>
        </w:rPr>
        <w:t>6,217</w:t>
      </w:r>
      <w:r w:rsidR="00A223EF">
        <w:rPr>
          <w:bCs/>
        </w:rPr>
        <w:t xml:space="preserve"> for the PHS 6031</w:t>
      </w:r>
      <w:r w:rsidR="00E04E1B" w:rsidRPr="00847667">
        <w:rPr>
          <w:bCs/>
        </w:rPr>
        <w:t>. In addition, certain applications require letters</w:t>
      </w:r>
      <w:r w:rsidR="005D48B4" w:rsidRPr="00847667">
        <w:rPr>
          <w:bCs/>
        </w:rPr>
        <w:t xml:space="preserve">, e.g., </w:t>
      </w:r>
      <w:r w:rsidR="00AF5EF9" w:rsidRPr="00847667">
        <w:rPr>
          <w:bCs/>
        </w:rPr>
        <w:t xml:space="preserve">policy requires </w:t>
      </w:r>
      <w:r w:rsidR="00E04E1B" w:rsidRPr="00847667">
        <w:rPr>
          <w:bCs/>
        </w:rPr>
        <w:t xml:space="preserve">applicants requesting $500,000 or more in direct costs </w:t>
      </w:r>
      <w:r w:rsidR="0000020B" w:rsidRPr="00847667">
        <w:rPr>
          <w:bCs/>
        </w:rPr>
        <w:t xml:space="preserve">in any one budget </w:t>
      </w:r>
      <w:r w:rsidR="00E04E1B" w:rsidRPr="00847667">
        <w:rPr>
          <w:bCs/>
        </w:rPr>
        <w:t xml:space="preserve">year </w:t>
      </w:r>
      <w:r w:rsidR="005D48B4" w:rsidRPr="00847667">
        <w:rPr>
          <w:bCs/>
        </w:rPr>
        <w:t xml:space="preserve">to </w:t>
      </w:r>
      <w:r w:rsidR="00E04E1B" w:rsidRPr="00847667">
        <w:rPr>
          <w:bCs/>
        </w:rPr>
        <w:t>include a cover letter with the application</w:t>
      </w:r>
      <w:r w:rsidR="005D48B4" w:rsidRPr="00847667">
        <w:rPr>
          <w:bCs/>
        </w:rPr>
        <w:t xml:space="preserve">, and </w:t>
      </w:r>
      <w:r w:rsidR="00E04E1B" w:rsidRPr="00847667">
        <w:rPr>
          <w:bCs/>
        </w:rPr>
        <w:t>C</w:t>
      </w:r>
      <w:r w:rsidR="0000020B" w:rsidRPr="00847667">
        <w:rPr>
          <w:bCs/>
        </w:rPr>
        <w:t xml:space="preserve">DA </w:t>
      </w:r>
      <w:r w:rsidR="00C204A8" w:rsidRPr="00847667">
        <w:rPr>
          <w:bCs/>
        </w:rPr>
        <w:t xml:space="preserve">candidates </w:t>
      </w:r>
      <w:r w:rsidR="00E04E1B" w:rsidRPr="00847667">
        <w:rPr>
          <w:bCs/>
        </w:rPr>
        <w:t xml:space="preserve">are required to include three separate letters of reference and a letter </w:t>
      </w:r>
      <w:r w:rsidR="008B4461" w:rsidRPr="00847667">
        <w:rPr>
          <w:bCs/>
        </w:rPr>
        <w:t xml:space="preserve">of support </w:t>
      </w:r>
      <w:r w:rsidR="00E04E1B" w:rsidRPr="00847667">
        <w:rPr>
          <w:bCs/>
        </w:rPr>
        <w:t xml:space="preserve">from the </w:t>
      </w:r>
      <w:r w:rsidR="00C204A8" w:rsidRPr="00847667">
        <w:rPr>
          <w:bCs/>
        </w:rPr>
        <w:t>candidate</w:t>
      </w:r>
      <w:r w:rsidR="008B4461" w:rsidRPr="00847667">
        <w:rPr>
          <w:bCs/>
        </w:rPr>
        <w:t xml:space="preserve">'s </w:t>
      </w:r>
      <w:r w:rsidR="00E04E1B" w:rsidRPr="00847667">
        <w:rPr>
          <w:bCs/>
        </w:rPr>
        <w:t>Department head.</w:t>
      </w:r>
      <w:r w:rsidR="002908BA" w:rsidRPr="00847667">
        <w:rPr>
          <w:bCs/>
        </w:rPr>
        <w:t xml:space="preserve"> Reference letters are now submitted electronically through eRA Commons, therefore,</w:t>
      </w:r>
      <w:r w:rsidR="003C6EC7" w:rsidRPr="00847667">
        <w:rPr>
          <w:bCs/>
        </w:rPr>
        <w:t xml:space="preserve"> reducing burden and increasing efficiency (</w:t>
      </w:r>
      <w:r w:rsidR="00D64C88">
        <w:rPr>
          <w:bCs/>
        </w:rPr>
        <w:t>c</w:t>
      </w:r>
      <w:r w:rsidR="003C6EC7" w:rsidRPr="00847667">
        <w:rPr>
          <w:bCs/>
        </w:rPr>
        <w:t>alculation of burden hours for reference letters are</w:t>
      </w:r>
      <w:r w:rsidR="00937802">
        <w:rPr>
          <w:bCs/>
        </w:rPr>
        <w:t xml:space="preserve"> incorporated into the PHS Fellowship Supplemental Form</w:t>
      </w:r>
      <w:r w:rsidR="003C6EC7" w:rsidRPr="00847667">
        <w:rPr>
          <w:bCs/>
        </w:rPr>
        <w:t>)</w:t>
      </w:r>
      <w:r w:rsidR="00D64C88">
        <w:rPr>
          <w:bCs/>
        </w:rPr>
        <w:t>.</w:t>
      </w:r>
      <w:r w:rsidR="003C6EC7" w:rsidRPr="00847667">
        <w:rPr>
          <w:bCs/>
        </w:rPr>
        <w:t xml:space="preserve"> </w:t>
      </w:r>
      <w:r w:rsidR="00920396">
        <w:rPr>
          <w:bCs/>
        </w:rPr>
        <w:t>The</w:t>
      </w:r>
      <w:r w:rsidR="00B81DB4">
        <w:rPr>
          <w:bCs/>
        </w:rPr>
        <w:t xml:space="preserve"> average number of respondents per year is estimated at 1,500 for the SBIR/STTR funding agreement certifications, and only 6 for the VCOC certification. </w:t>
      </w:r>
    </w:p>
    <w:p w14:paraId="525A6BBE" w14:textId="77777777" w:rsidR="00872AD0" w:rsidRDefault="00872AD0" w:rsidP="00530196">
      <w:pPr>
        <w:spacing w:line="480" w:lineRule="auto"/>
        <w:ind w:right="-684"/>
        <w:rPr>
          <w:bCs/>
        </w:rPr>
      </w:pPr>
    </w:p>
    <w:p w14:paraId="71E42845" w14:textId="77777777" w:rsidR="00825A0E" w:rsidRPr="00262E69" w:rsidRDefault="00E05D34" w:rsidP="00E05D34">
      <w:pPr>
        <w:spacing w:line="480" w:lineRule="auto"/>
        <w:ind w:right="-684"/>
        <w:jc w:val="center"/>
        <w:rPr>
          <w:bCs/>
        </w:rPr>
      </w:pPr>
      <w:r w:rsidRPr="00262E69">
        <w:rPr>
          <w:bCs/>
        </w:rPr>
        <w:t>A.12-1 Estimated Annualized Burden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1517"/>
        <w:gridCol w:w="2829"/>
        <w:gridCol w:w="1629"/>
        <w:gridCol w:w="1292"/>
      </w:tblGrid>
      <w:tr w:rsidR="00FC0A5A" w:rsidRPr="00BA2F8A" w14:paraId="79818730" w14:textId="77777777" w:rsidTr="007B2B9F">
        <w:trPr>
          <w:trHeight w:val="790"/>
        </w:trPr>
        <w:tc>
          <w:tcPr>
            <w:tcW w:w="0" w:type="auto"/>
            <w:shd w:val="clear" w:color="auto" w:fill="auto"/>
            <w:vAlign w:val="center"/>
            <w:hideMark/>
          </w:tcPr>
          <w:p w14:paraId="58E9CD82" w14:textId="77777777" w:rsidR="00E05D34" w:rsidRPr="00BA2F8A" w:rsidRDefault="00F224B7" w:rsidP="00E05D34">
            <w:pPr>
              <w:jc w:val="center"/>
              <w:rPr>
                <w:bCs/>
                <w:color w:val="000000"/>
              </w:rPr>
            </w:pPr>
            <w:bookmarkStart w:id="15" w:name="RANGE!A1:E25"/>
            <w:r>
              <w:rPr>
                <w:bCs/>
                <w:color w:val="000000"/>
              </w:rPr>
              <w:t xml:space="preserve">Information Collection </w:t>
            </w:r>
            <w:r w:rsidR="00E05D34" w:rsidRPr="00BA2F8A">
              <w:rPr>
                <w:bCs/>
                <w:color w:val="000000"/>
              </w:rPr>
              <w:t xml:space="preserve"> Form</w:t>
            </w:r>
            <w:bookmarkEnd w:id="15"/>
            <w:r>
              <w:rPr>
                <w:bCs/>
                <w:color w:val="000000"/>
              </w:rPr>
              <w:t>s</w:t>
            </w:r>
          </w:p>
        </w:tc>
        <w:tc>
          <w:tcPr>
            <w:tcW w:w="1517" w:type="dxa"/>
            <w:shd w:val="clear" w:color="auto" w:fill="auto"/>
            <w:vAlign w:val="center"/>
            <w:hideMark/>
          </w:tcPr>
          <w:p w14:paraId="1C7DEA8A" w14:textId="77777777" w:rsidR="00E05D34" w:rsidRPr="00BA2F8A" w:rsidRDefault="00E05D34" w:rsidP="00E05D34">
            <w:pPr>
              <w:jc w:val="center"/>
              <w:rPr>
                <w:bCs/>
                <w:color w:val="000000"/>
              </w:rPr>
            </w:pPr>
            <w:r w:rsidRPr="00BA2F8A">
              <w:rPr>
                <w:bCs/>
                <w:color w:val="000000"/>
              </w:rPr>
              <w:t>Number of Respondents</w:t>
            </w:r>
          </w:p>
        </w:tc>
        <w:tc>
          <w:tcPr>
            <w:tcW w:w="2829" w:type="dxa"/>
            <w:shd w:val="clear" w:color="auto" w:fill="auto"/>
            <w:vAlign w:val="center"/>
          </w:tcPr>
          <w:p w14:paraId="259B82B5" w14:textId="77777777" w:rsidR="00E05D34" w:rsidRPr="00BA2F8A" w:rsidRDefault="00E05D34" w:rsidP="00E05D34">
            <w:pPr>
              <w:jc w:val="center"/>
              <w:rPr>
                <w:bCs/>
                <w:color w:val="000000"/>
              </w:rPr>
            </w:pPr>
            <w:r w:rsidRPr="00BA2F8A">
              <w:t>Number of Responses per Respondent</w:t>
            </w:r>
          </w:p>
        </w:tc>
        <w:tc>
          <w:tcPr>
            <w:tcW w:w="0" w:type="auto"/>
            <w:shd w:val="clear" w:color="auto" w:fill="auto"/>
            <w:vAlign w:val="center"/>
            <w:hideMark/>
          </w:tcPr>
          <w:p w14:paraId="59F213AC" w14:textId="77777777" w:rsidR="00F224B7" w:rsidRDefault="00E05D34" w:rsidP="00FC0A5A">
            <w:pPr>
              <w:jc w:val="center"/>
              <w:rPr>
                <w:bCs/>
                <w:color w:val="000000"/>
              </w:rPr>
            </w:pPr>
            <w:r w:rsidRPr="00BA2F8A">
              <w:rPr>
                <w:bCs/>
                <w:color w:val="000000"/>
              </w:rPr>
              <w:t xml:space="preserve">Average </w:t>
            </w:r>
            <w:r w:rsidR="00FC0A5A">
              <w:rPr>
                <w:bCs/>
                <w:color w:val="000000"/>
              </w:rPr>
              <w:t xml:space="preserve">Burden Per Response </w:t>
            </w:r>
          </w:p>
          <w:p w14:paraId="36E996FC" w14:textId="77777777" w:rsidR="00E05D34" w:rsidRPr="00BA2F8A" w:rsidRDefault="00FC0A5A" w:rsidP="00FC0A5A">
            <w:pPr>
              <w:jc w:val="center"/>
              <w:rPr>
                <w:bCs/>
                <w:color w:val="000000"/>
              </w:rPr>
            </w:pPr>
            <w:r>
              <w:rPr>
                <w:bCs/>
                <w:color w:val="000000"/>
              </w:rPr>
              <w:t>(in hours)</w:t>
            </w:r>
          </w:p>
        </w:tc>
        <w:tc>
          <w:tcPr>
            <w:tcW w:w="0" w:type="auto"/>
            <w:shd w:val="clear" w:color="auto" w:fill="auto"/>
            <w:vAlign w:val="center"/>
            <w:hideMark/>
          </w:tcPr>
          <w:p w14:paraId="3A5211CC" w14:textId="77777777" w:rsidR="00E05D34" w:rsidRPr="00BA2F8A" w:rsidRDefault="00FC0A5A" w:rsidP="00E05D34">
            <w:pPr>
              <w:jc w:val="center"/>
              <w:rPr>
                <w:bCs/>
                <w:color w:val="000000"/>
              </w:rPr>
            </w:pPr>
            <w:r>
              <w:rPr>
                <w:bCs/>
                <w:color w:val="000000"/>
              </w:rPr>
              <w:t xml:space="preserve">Total </w:t>
            </w:r>
            <w:r w:rsidR="00E05D34" w:rsidRPr="00BA2F8A">
              <w:rPr>
                <w:bCs/>
                <w:color w:val="000000"/>
              </w:rPr>
              <w:t>Annual Burden Hours</w:t>
            </w:r>
          </w:p>
        </w:tc>
      </w:tr>
      <w:tr w:rsidR="00FC0A5A" w:rsidRPr="00BA2F8A" w14:paraId="07B6AAF2" w14:textId="77777777" w:rsidTr="007B2B9F">
        <w:trPr>
          <w:trHeight w:val="270"/>
        </w:trPr>
        <w:tc>
          <w:tcPr>
            <w:tcW w:w="0" w:type="auto"/>
            <w:tcBorders>
              <w:bottom w:val="single" w:sz="4" w:space="0" w:color="auto"/>
            </w:tcBorders>
            <w:shd w:val="clear" w:color="auto" w:fill="auto"/>
            <w:vAlign w:val="center"/>
            <w:hideMark/>
          </w:tcPr>
          <w:p w14:paraId="792C3299" w14:textId="77777777" w:rsidR="00E05D34" w:rsidRPr="00BA2F8A" w:rsidRDefault="00E05D34" w:rsidP="00FC0A5A">
            <w:pPr>
              <w:rPr>
                <w:color w:val="000000"/>
              </w:rPr>
            </w:pPr>
            <w:r w:rsidRPr="00BA2F8A">
              <w:rPr>
                <w:color w:val="000000"/>
              </w:rPr>
              <w:t>PHS 398 - Paper</w:t>
            </w:r>
          </w:p>
        </w:tc>
        <w:tc>
          <w:tcPr>
            <w:tcW w:w="1517" w:type="dxa"/>
            <w:tcBorders>
              <w:bottom w:val="single" w:sz="4" w:space="0" w:color="auto"/>
            </w:tcBorders>
            <w:shd w:val="clear" w:color="auto" w:fill="auto"/>
            <w:vAlign w:val="center"/>
            <w:hideMark/>
          </w:tcPr>
          <w:p w14:paraId="2F9E02A8" w14:textId="77777777" w:rsidR="00E05D34" w:rsidRPr="00BA2F8A" w:rsidRDefault="00E05D34" w:rsidP="00E05D34">
            <w:pPr>
              <w:jc w:val="center"/>
              <w:rPr>
                <w:color w:val="000000"/>
              </w:rPr>
            </w:pPr>
            <w:r w:rsidRPr="00BA2F8A">
              <w:rPr>
                <w:color w:val="000000"/>
              </w:rPr>
              <w:t>4,247</w:t>
            </w:r>
          </w:p>
        </w:tc>
        <w:tc>
          <w:tcPr>
            <w:tcW w:w="2829" w:type="dxa"/>
            <w:tcBorders>
              <w:bottom w:val="single" w:sz="4" w:space="0" w:color="auto"/>
            </w:tcBorders>
            <w:shd w:val="clear" w:color="auto" w:fill="auto"/>
            <w:vAlign w:val="center"/>
          </w:tcPr>
          <w:p w14:paraId="5BD8B03C" w14:textId="77777777" w:rsidR="00E05D34" w:rsidRPr="00BA2F8A" w:rsidRDefault="00E05D34" w:rsidP="00E05D34">
            <w:pPr>
              <w:jc w:val="center"/>
              <w:rPr>
                <w:color w:val="000000"/>
              </w:rPr>
            </w:pPr>
            <w:r w:rsidRPr="00BA2F8A">
              <w:rPr>
                <w:color w:val="000000"/>
              </w:rPr>
              <w:t>1</w:t>
            </w:r>
          </w:p>
        </w:tc>
        <w:tc>
          <w:tcPr>
            <w:tcW w:w="0" w:type="auto"/>
            <w:tcBorders>
              <w:bottom w:val="single" w:sz="4" w:space="0" w:color="auto"/>
            </w:tcBorders>
            <w:shd w:val="clear" w:color="auto" w:fill="auto"/>
            <w:vAlign w:val="center"/>
            <w:hideMark/>
          </w:tcPr>
          <w:p w14:paraId="22EDD965" w14:textId="77777777" w:rsidR="00E05D34" w:rsidRPr="00BA2F8A" w:rsidRDefault="00E05D34" w:rsidP="00E05D34">
            <w:pPr>
              <w:jc w:val="center"/>
              <w:rPr>
                <w:color w:val="000000"/>
              </w:rPr>
            </w:pPr>
            <w:r w:rsidRPr="00BA2F8A">
              <w:rPr>
                <w:color w:val="000000"/>
              </w:rPr>
              <w:t>35</w:t>
            </w:r>
          </w:p>
        </w:tc>
        <w:tc>
          <w:tcPr>
            <w:tcW w:w="0" w:type="auto"/>
            <w:tcBorders>
              <w:bottom w:val="single" w:sz="4" w:space="0" w:color="auto"/>
            </w:tcBorders>
            <w:shd w:val="clear" w:color="auto" w:fill="auto"/>
            <w:vAlign w:val="center"/>
            <w:hideMark/>
          </w:tcPr>
          <w:p w14:paraId="19B9CB3D" w14:textId="77777777" w:rsidR="00E05D34" w:rsidRPr="00BA2F8A" w:rsidRDefault="00E05D34" w:rsidP="00E05D34">
            <w:pPr>
              <w:jc w:val="center"/>
              <w:rPr>
                <w:color w:val="000000"/>
              </w:rPr>
            </w:pPr>
            <w:r w:rsidRPr="00BA2F8A">
              <w:rPr>
                <w:color w:val="000000"/>
              </w:rPr>
              <w:t>148,645</w:t>
            </w:r>
          </w:p>
        </w:tc>
      </w:tr>
      <w:tr w:rsidR="00FC0A5A" w:rsidRPr="00BA2F8A" w14:paraId="3A6D441B" w14:textId="77777777" w:rsidTr="007B2B9F">
        <w:trPr>
          <w:trHeight w:val="270"/>
        </w:trPr>
        <w:tc>
          <w:tcPr>
            <w:tcW w:w="0" w:type="auto"/>
            <w:shd w:val="clear" w:color="auto" w:fill="BFBFBF" w:themeFill="background1" w:themeFillShade="BF"/>
            <w:vAlign w:val="center"/>
            <w:hideMark/>
          </w:tcPr>
          <w:p w14:paraId="05C8B9D8" w14:textId="77777777" w:rsidR="00E05D34" w:rsidRPr="00BA2F8A" w:rsidRDefault="00E05D34" w:rsidP="00FC0A5A">
            <w:pPr>
              <w:rPr>
                <w:bCs/>
                <w:color w:val="000000"/>
              </w:rPr>
            </w:pPr>
            <w:r w:rsidRPr="00BA2F8A">
              <w:rPr>
                <w:bCs/>
                <w:color w:val="000000"/>
              </w:rPr>
              <w:t>PHS 398/424 - Electronic</w:t>
            </w:r>
          </w:p>
        </w:tc>
        <w:tc>
          <w:tcPr>
            <w:tcW w:w="1517" w:type="dxa"/>
            <w:shd w:val="clear" w:color="auto" w:fill="BFBFBF" w:themeFill="background1" w:themeFillShade="BF"/>
            <w:vAlign w:val="center"/>
            <w:hideMark/>
          </w:tcPr>
          <w:p w14:paraId="008E423A" w14:textId="77777777" w:rsidR="00E05D34" w:rsidRPr="00BA2F8A" w:rsidRDefault="00E05D34" w:rsidP="00E05D34">
            <w:pPr>
              <w:jc w:val="center"/>
              <w:rPr>
                <w:bCs/>
                <w:color w:val="000000"/>
              </w:rPr>
            </w:pPr>
          </w:p>
        </w:tc>
        <w:tc>
          <w:tcPr>
            <w:tcW w:w="2829" w:type="dxa"/>
            <w:shd w:val="clear" w:color="auto" w:fill="BFBFBF" w:themeFill="background1" w:themeFillShade="BF"/>
            <w:vAlign w:val="center"/>
          </w:tcPr>
          <w:p w14:paraId="6C8F6BBB" w14:textId="77777777" w:rsidR="00E05D34" w:rsidRPr="00BA2F8A" w:rsidRDefault="00E05D34" w:rsidP="00E05D34">
            <w:pPr>
              <w:jc w:val="center"/>
            </w:pPr>
          </w:p>
        </w:tc>
        <w:tc>
          <w:tcPr>
            <w:tcW w:w="0" w:type="auto"/>
            <w:shd w:val="clear" w:color="auto" w:fill="BFBFBF" w:themeFill="background1" w:themeFillShade="BF"/>
            <w:vAlign w:val="center"/>
            <w:hideMark/>
          </w:tcPr>
          <w:p w14:paraId="5524DBC5" w14:textId="77777777" w:rsidR="00E05D34" w:rsidRPr="00BA2F8A" w:rsidRDefault="00E05D34" w:rsidP="00E05D34">
            <w:pPr>
              <w:jc w:val="center"/>
              <w:rPr>
                <w:bCs/>
                <w:color w:val="000000"/>
              </w:rPr>
            </w:pPr>
          </w:p>
        </w:tc>
        <w:tc>
          <w:tcPr>
            <w:tcW w:w="0" w:type="auto"/>
            <w:shd w:val="clear" w:color="auto" w:fill="BFBFBF" w:themeFill="background1" w:themeFillShade="BF"/>
            <w:vAlign w:val="center"/>
            <w:hideMark/>
          </w:tcPr>
          <w:p w14:paraId="020FFD18" w14:textId="77777777" w:rsidR="00E05D34" w:rsidRPr="00BA2F8A" w:rsidRDefault="00E05D34" w:rsidP="00E05D34">
            <w:pPr>
              <w:jc w:val="center"/>
              <w:rPr>
                <w:bCs/>
                <w:color w:val="000000"/>
              </w:rPr>
            </w:pPr>
          </w:p>
        </w:tc>
      </w:tr>
      <w:tr w:rsidR="00FC0A5A" w:rsidRPr="00BA2F8A" w14:paraId="36B37F26" w14:textId="77777777" w:rsidTr="007B2B9F">
        <w:trPr>
          <w:trHeight w:val="525"/>
        </w:trPr>
        <w:tc>
          <w:tcPr>
            <w:tcW w:w="0" w:type="auto"/>
            <w:shd w:val="clear" w:color="auto" w:fill="auto"/>
            <w:vAlign w:val="center"/>
            <w:hideMark/>
          </w:tcPr>
          <w:p w14:paraId="0CDA971B" w14:textId="77777777" w:rsidR="00E05D34" w:rsidRPr="00BA2F8A" w:rsidRDefault="00E05D34" w:rsidP="00FC0A5A">
            <w:r w:rsidRPr="00BA2F8A">
              <w:t>PHS Assignment Request Form</w:t>
            </w:r>
          </w:p>
        </w:tc>
        <w:tc>
          <w:tcPr>
            <w:tcW w:w="1517" w:type="dxa"/>
            <w:shd w:val="clear" w:color="auto" w:fill="auto"/>
            <w:vAlign w:val="center"/>
            <w:hideMark/>
          </w:tcPr>
          <w:p w14:paraId="38E3A261" w14:textId="77777777" w:rsidR="00E05D34" w:rsidRPr="00BA2F8A" w:rsidRDefault="00E05D34" w:rsidP="00E05D34">
            <w:pPr>
              <w:jc w:val="center"/>
            </w:pPr>
            <w:r w:rsidRPr="00BA2F8A">
              <w:t>37,120</w:t>
            </w:r>
          </w:p>
        </w:tc>
        <w:tc>
          <w:tcPr>
            <w:tcW w:w="2829" w:type="dxa"/>
            <w:shd w:val="clear" w:color="auto" w:fill="auto"/>
            <w:vAlign w:val="center"/>
          </w:tcPr>
          <w:p w14:paraId="0FD9263A" w14:textId="77777777" w:rsidR="00E05D34" w:rsidRPr="00BA2F8A" w:rsidRDefault="00E05D34" w:rsidP="00E05D34">
            <w:pPr>
              <w:jc w:val="center"/>
            </w:pPr>
            <w:r w:rsidRPr="00BA2F8A">
              <w:rPr>
                <w:color w:val="000000"/>
              </w:rPr>
              <w:t>1</w:t>
            </w:r>
          </w:p>
        </w:tc>
        <w:tc>
          <w:tcPr>
            <w:tcW w:w="0" w:type="auto"/>
            <w:shd w:val="clear" w:color="auto" w:fill="auto"/>
            <w:vAlign w:val="center"/>
            <w:hideMark/>
          </w:tcPr>
          <w:p w14:paraId="189C4162" w14:textId="77777777" w:rsidR="00E05D34" w:rsidRPr="00BA2F8A" w:rsidRDefault="00E05D34" w:rsidP="00E05D34">
            <w:pPr>
              <w:jc w:val="center"/>
            </w:pPr>
            <w:r w:rsidRPr="00BA2F8A">
              <w:t>30/60</w:t>
            </w:r>
          </w:p>
        </w:tc>
        <w:tc>
          <w:tcPr>
            <w:tcW w:w="0" w:type="auto"/>
            <w:shd w:val="clear" w:color="auto" w:fill="auto"/>
            <w:vAlign w:val="center"/>
            <w:hideMark/>
          </w:tcPr>
          <w:p w14:paraId="3D851CED" w14:textId="77777777" w:rsidR="00E05D34" w:rsidRPr="00BA2F8A" w:rsidRDefault="00E05D34" w:rsidP="00E05D34">
            <w:pPr>
              <w:jc w:val="center"/>
            </w:pPr>
            <w:r w:rsidRPr="00BA2F8A">
              <w:t>18,560</w:t>
            </w:r>
          </w:p>
        </w:tc>
      </w:tr>
      <w:tr w:rsidR="00FC0A5A" w:rsidRPr="00BA2F8A" w14:paraId="11726A72" w14:textId="77777777" w:rsidTr="007B2B9F">
        <w:trPr>
          <w:trHeight w:val="525"/>
        </w:trPr>
        <w:tc>
          <w:tcPr>
            <w:tcW w:w="0" w:type="auto"/>
            <w:shd w:val="clear" w:color="auto" w:fill="auto"/>
            <w:vAlign w:val="center"/>
            <w:hideMark/>
          </w:tcPr>
          <w:p w14:paraId="1F21A07C" w14:textId="77777777" w:rsidR="00E05D34" w:rsidRPr="00BA2F8A" w:rsidRDefault="00E05D34" w:rsidP="00FC0A5A">
            <w:r w:rsidRPr="00BA2F8A">
              <w:t>PHS 398 Cover Page Supplement</w:t>
            </w:r>
          </w:p>
        </w:tc>
        <w:tc>
          <w:tcPr>
            <w:tcW w:w="1517" w:type="dxa"/>
            <w:shd w:val="clear" w:color="auto" w:fill="auto"/>
            <w:vAlign w:val="center"/>
            <w:hideMark/>
          </w:tcPr>
          <w:p w14:paraId="68167A0E" w14:textId="77777777" w:rsidR="00E05D34" w:rsidRPr="00BA2F8A" w:rsidRDefault="00E05D34" w:rsidP="00E05D34">
            <w:pPr>
              <w:jc w:val="center"/>
            </w:pPr>
            <w:r w:rsidRPr="00BA2F8A">
              <w:t>74,239</w:t>
            </w:r>
          </w:p>
        </w:tc>
        <w:tc>
          <w:tcPr>
            <w:tcW w:w="2829" w:type="dxa"/>
            <w:shd w:val="clear" w:color="auto" w:fill="auto"/>
            <w:vAlign w:val="center"/>
          </w:tcPr>
          <w:p w14:paraId="41555017" w14:textId="77777777" w:rsidR="00E05D34" w:rsidRPr="00BA2F8A" w:rsidRDefault="00E05D34" w:rsidP="00E05D34">
            <w:pPr>
              <w:jc w:val="center"/>
            </w:pPr>
            <w:r w:rsidRPr="00BA2F8A">
              <w:rPr>
                <w:color w:val="000000"/>
              </w:rPr>
              <w:t>1</w:t>
            </w:r>
          </w:p>
        </w:tc>
        <w:tc>
          <w:tcPr>
            <w:tcW w:w="0" w:type="auto"/>
            <w:shd w:val="clear" w:color="auto" w:fill="auto"/>
            <w:vAlign w:val="center"/>
            <w:hideMark/>
          </w:tcPr>
          <w:p w14:paraId="00EE5681" w14:textId="77777777" w:rsidR="00E05D34" w:rsidRPr="00BA2F8A" w:rsidRDefault="00E05D34" w:rsidP="00E05D34">
            <w:pPr>
              <w:jc w:val="center"/>
            </w:pPr>
            <w:r w:rsidRPr="00BA2F8A">
              <w:t>1</w:t>
            </w:r>
          </w:p>
        </w:tc>
        <w:tc>
          <w:tcPr>
            <w:tcW w:w="0" w:type="auto"/>
            <w:shd w:val="clear" w:color="auto" w:fill="auto"/>
            <w:vAlign w:val="center"/>
            <w:hideMark/>
          </w:tcPr>
          <w:p w14:paraId="527945AA" w14:textId="77777777" w:rsidR="00E05D34" w:rsidRPr="00BA2F8A" w:rsidRDefault="00E05D34" w:rsidP="00E05D34">
            <w:pPr>
              <w:jc w:val="center"/>
            </w:pPr>
            <w:r w:rsidRPr="00BA2F8A">
              <w:t>74,239</w:t>
            </w:r>
          </w:p>
        </w:tc>
      </w:tr>
      <w:tr w:rsidR="00FC0A5A" w:rsidRPr="00BA2F8A" w14:paraId="21C41D8D" w14:textId="77777777" w:rsidTr="007B2B9F">
        <w:trPr>
          <w:trHeight w:val="270"/>
        </w:trPr>
        <w:tc>
          <w:tcPr>
            <w:tcW w:w="0" w:type="auto"/>
            <w:shd w:val="clear" w:color="auto" w:fill="auto"/>
            <w:vAlign w:val="center"/>
            <w:hideMark/>
          </w:tcPr>
          <w:p w14:paraId="510B2C97" w14:textId="77777777" w:rsidR="00E05D34" w:rsidRPr="00BA2F8A" w:rsidRDefault="00E05D34" w:rsidP="00FC0A5A">
            <w:r w:rsidRPr="00BA2F8A">
              <w:t>PHS 398 Modular Budget</w:t>
            </w:r>
          </w:p>
        </w:tc>
        <w:tc>
          <w:tcPr>
            <w:tcW w:w="1517" w:type="dxa"/>
            <w:shd w:val="clear" w:color="auto" w:fill="auto"/>
            <w:vAlign w:val="center"/>
            <w:hideMark/>
          </w:tcPr>
          <w:p w14:paraId="34BA7E1D" w14:textId="77777777" w:rsidR="00E05D34" w:rsidRPr="00BA2F8A" w:rsidRDefault="00E05D34" w:rsidP="00E05D34">
            <w:pPr>
              <w:jc w:val="center"/>
            </w:pPr>
            <w:r w:rsidRPr="00BA2F8A">
              <w:t>56,693</w:t>
            </w:r>
          </w:p>
        </w:tc>
        <w:tc>
          <w:tcPr>
            <w:tcW w:w="2829" w:type="dxa"/>
            <w:shd w:val="clear" w:color="auto" w:fill="auto"/>
            <w:vAlign w:val="center"/>
          </w:tcPr>
          <w:p w14:paraId="7184EF88" w14:textId="77777777" w:rsidR="00E05D34" w:rsidRPr="00BA2F8A" w:rsidRDefault="00E05D34" w:rsidP="00E05D34">
            <w:pPr>
              <w:jc w:val="center"/>
            </w:pPr>
            <w:r w:rsidRPr="00BA2F8A">
              <w:rPr>
                <w:color w:val="000000"/>
              </w:rPr>
              <w:t>1</w:t>
            </w:r>
          </w:p>
        </w:tc>
        <w:tc>
          <w:tcPr>
            <w:tcW w:w="0" w:type="auto"/>
            <w:shd w:val="clear" w:color="auto" w:fill="auto"/>
            <w:vAlign w:val="center"/>
            <w:hideMark/>
          </w:tcPr>
          <w:p w14:paraId="13E61BCF" w14:textId="77777777" w:rsidR="00E05D34" w:rsidRPr="00BA2F8A" w:rsidRDefault="00E05D34" w:rsidP="00E05D34">
            <w:pPr>
              <w:jc w:val="center"/>
            </w:pPr>
            <w:r w:rsidRPr="00BA2F8A">
              <w:t>1</w:t>
            </w:r>
          </w:p>
        </w:tc>
        <w:tc>
          <w:tcPr>
            <w:tcW w:w="0" w:type="auto"/>
            <w:shd w:val="clear" w:color="auto" w:fill="auto"/>
            <w:vAlign w:val="center"/>
            <w:hideMark/>
          </w:tcPr>
          <w:p w14:paraId="7DC5A126" w14:textId="77777777" w:rsidR="00E05D34" w:rsidRPr="00BA2F8A" w:rsidRDefault="00E05D34" w:rsidP="00E05D34">
            <w:pPr>
              <w:jc w:val="center"/>
            </w:pPr>
            <w:r w:rsidRPr="00BA2F8A">
              <w:t>56,693</w:t>
            </w:r>
          </w:p>
        </w:tc>
      </w:tr>
      <w:tr w:rsidR="00FC0A5A" w:rsidRPr="00BA2F8A" w14:paraId="6202CB6E" w14:textId="77777777" w:rsidTr="007B2B9F">
        <w:trPr>
          <w:trHeight w:val="270"/>
        </w:trPr>
        <w:tc>
          <w:tcPr>
            <w:tcW w:w="0" w:type="auto"/>
            <w:shd w:val="clear" w:color="auto" w:fill="auto"/>
            <w:vAlign w:val="center"/>
            <w:hideMark/>
          </w:tcPr>
          <w:p w14:paraId="7BAE6FAE" w14:textId="77777777" w:rsidR="00E05D34" w:rsidRPr="00BA2F8A" w:rsidRDefault="00E05D34" w:rsidP="00FC0A5A">
            <w:r w:rsidRPr="00BA2F8A">
              <w:t>PHS 398 Training Budget</w:t>
            </w:r>
          </w:p>
        </w:tc>
        <w:tc>
          <w:tcPr>
            <w:tcW w:w="1517" w:type="dxa"/>
            <w:shd w:val="clear" w:color="auto" w:fill="auto"/>
            <w:vAlign w:val="center"/>
            <w:hideMark/>
          </w:tcPr>
          <w:p w14:paraId="6DFF4EA9" w14:textId="77777777" w:rsidR="00E05D34" w:rsidRPr="00BA2F8A" w:rsidRDefault="00E05D34" w:rsidP="00E05D34">
            <w:pPr>
              <w:jc w:val="center"/>
            </w:pPr>
            <w:r w:rsidRPr="00BA2F8A">
              <w:t>1,122</w:t>
            </w:r>
          </w:p>
        </w:tc>
        <w:tc>
          <w:tcPr>
            <w:tcW w:w="2829" w:type="dxa"/>
            <w:shd w:val="clear" w:color="auto" w:fill="auto"/>
            <w:vAlign w:val="center"/>
          </w:tcPr>
          <w:p w14:paraId="76798B53" w14:textId="77777777" w:rsidR="00E05D34" w:rsidRPr="00BA2F8A" w:rsidRDefault="00E05D34" w:rsidP="00E05D34">
            <w:pPr>
              <w:jc w:val="center"/>
            </w:pPr>
            <w:r w:rsidRPr="00BA2F8A">
              <w:rPr>
                <w:color w:val="000000"/>
              </w:rPr>
              <w:t>1</w:t>
            </w:r>
          </w:p>
        </w:tc>
        <w:tc>
          <w:tcPr>
            <w:tcW w:w="0" w:type="auto"/>
            <w:shd w:val="clear" w:color="auto" w:fill="auto"/>
            <w:vAlign w:val="center"/>
            <w:hideMark/>
          </w:tcPr>
          <w:p w14:paraId="2FE2D894" w14:textId="77777777" w:rsidR="00E05D34" w:rsidRPr="00BA2F8A" w:rsidRDefault="00E05D34" w:rsidP="00E05D34">
            <w:pPr>
              <w:jc w:val="center"/>
            </w:pPr>
            <w:r w:rsidRPr="00BA2F8A">
              <w:t>2</w:t>
            </w:r>
          </w:p>
        </w:tc>
        <w:tc>
          <w:tcPr>
            <w:tcW w:w="0" w:type="auto"/>
            <w:shd w:val="clear" w:color="auto" w:fill="auto"/>
            <w:vAlign w:val="center"/>
            <w:hideMark/>
          </w:tcPr>
          <w:p w14:paraId="2C9B6F1F" w14:textId="77777777" w:rsidR="00E05D34" w:rsidRPr="00BA2F8A" w:rsidRDefault="00E05D34" w:rsidP="00E05D34">
            <w:pPr>
              <w:jc w:val="center"/>
            </w:pPr>
            <w:r w:rsidRPr="00BA2F8A">
              <w:t>2,24</w:t>
            </w:r>
            <w:r w:rsidR="006C51EF">
              <w:t>4</w:t>
            </w:r>
          </w:p>
        </w:tc>
      </w:tr>
      <w:tr w:rsidR="00FC0A5A" w:rsidRPr="00BA2F8A" w14:paraId="1E19DF0A" w14:textId="77777777" w:rsidTr="007B2B9F">
        <w:trPr>
          <w:trHeight w:val="525"/>
        </w:trPr>
        <w:tc>
          <w:tcPr>
            <w:tcW w:w="0" w:type="auto"/>
            <w:shd w:val="clear" w:color="auto" w:fill="auto"/>
            <w:vAlign w:val="center"/>
            <w:hideMark/>
          </w:tcPr>
          <w:p w14:paraId="20432CA1" w14:textId="77777777" w:rsidR="00E05D34" w:rsidRPr="00BA2F8A" w:rsidRDefault="00E05D34" w:rsidP="00FC0A5A">
            <w:r w:rsidRPr="00BA2F8A">
              <w:t xml:space="preserve">PHS 398 Training Subaward Budget </w:t>
            </w:r>
            <w:r w:rsidRPr="00BA2F8A">
              <w:lastRenderedPageBreak/>
              <w:t>Attachment(s) Form</w:t>
            </w:r>
          </w:p>
        </w:tc>
        <w:tc>
          <w:tcPr>
            <w:tcW w:w="1517" w:type="dxa"/>
            <w:shd w:val="clear" w:color="auto" w:fill="auto"/>
            <w:vAlign w:val="center"/>
            <w:hideMark/>
          </w:tcPr>
          <w:p w14:paraId="4C13E505" w14:textId="77777777" w:rsidR="00E05D34" w:rsidRPr="00BA2F8A" w:rsidRDefault="00E05D34" w:rsidP="00E05D34">
            <w:pPr>
              <w:jc w:val="center"/>
            </w:pPr>
            <w:r w:rsidRPr="00BA2F8A">
              <w:lastRenderedPageBreak/>
              <w:t>561</w:t>
            </w:r>
          </w:p>
        </w:tc>
        <w:tc>
          <w:tcPr>
            <w:tcW w:w="2829" w:type="dxa"/>
            <w:shd w:val="clear" w:color="auto" w:fill="auto"/>
            <w:vAlign w:val="center"/>
          </w:tcPr>
          <w:p w14:paraId="3245C410" w14:textId="77777777" w:rsidR="00E05D34" w:rsidRPr="00BA2F8A" w:rsidRDefault="00E05D34" w:rsidP="00E05D34">
            <w:pPr>
              <w:jc w:val="center"/>
            </w:pPr>
            <w:r w:rsidRPr="00BA2F8A">
              <w:rPr>
                <w:color w:val="000000"/>
              </w:rPr>
              <w:t>1</w:t>
            </w:r>
          </w:p>
        </w:tc>
        <w:tc>
          <w:tcPr>
            <w:tcW w:w="0" w:type="auto"/>
            <w:shd w:val="clear" w:color="auto" w:fill="auto"/>
            <w:vAlign w:val="center"/>
            <w:hideMark/>
          </w:tcPr>
          <w:p w14:paraId="397F6C16" w14:textId="77777777" w:rsidR="00E05D34" w:rsidRPr="00BA2F8A" w:rsidRDefault="00E05D34" w:rsidP="00E05D34">
            <w:pPr>
              <w:jc w:val="center"/>
            </w:pPr>
            <w:r w:rsidRPr="00BA2F8A">
              <w:t>90/60</w:t>
            </w:r>
          </w:p>
        </w:tc>
        <w:tc>
          <w:tcPr>
            <w:tcW w:w="0" w:type="auto"/>
            <w:shd w:val="clear" w:color="auto" w:fill="auto"/>
            <w:vAlign w:val="center"/>
            <w:hideMark/>
          </w:tcPr>
          <w:p w14:paraId="68624C66" w14:textId="77777777" w:rsidR="00E05D34" w:rsidRPr="00BA2F8A" w:rsidRDefault="00E05D34" w:rsidP="00E05D34">
            <w:pPr>
              <w:jc w:val="center"/>
            </w:pPr>
            <w:r w:rsidRPr="00BA2F8A">
              <w:t>842</w:t>
            </w:r>
          </w:p>
        </w:tc>
      </w:tr>
      <w:tr w:rsidR="00FC0A5A" w:rsidRPr="00BA2F8A" w14:paraId="722FBEF1" w14:textId="77777777" w:rsidTr="007B2B9F">
        <w:trPr>
          <w:trHeight w:val="270"/>
        </w:trPr>
        <w:tc>
          <w:tcPr>
            <w:tcW w:w="0" w:type="auto"/>
            <w:shd w:val="clear" w:color="auto" w:fill="auto"/>
            <w:vAlign w:val="center"/>
            <w:hideMark/>
          </w:tcPr>
          <w:p w14:paraId="618E5161" w14:textId="77777777" w:rsidR="00E05D34" w:rsidRPr="00BA2F8A" w:rsidRDefault="00E05D34" w:rsidP="00FC0A5A">
            <w:r w:rsidRPr="00BA2F8A">
              <w:t>PHS 398 Research Plan</w:t>
            </w:r>
          </w:p>
        </w:tc>
        <w:tc>
          <w:tcPr>
            <w:tcW w:w="1517" w:type="dxa"/>
            <w:shd w:val="clear" w:color="auto" w:fill="auto"/>
            <w:vAlign w:val="center"/>
            <w:hideMark/>
          </w:tcPr>
          <w:p w14:paraId="2BD4F2C5" w14:textId="77777777" w:rsidR="00E05D34" w:rsidRPr="00BA2F8A" w:rsidRDefault="00E05D34" w:rsidP="00E05D34">
            <w:pPr>
              <w:jc w:val="center"/>
            </w:pPr>
            <w:r w:rsidRPr="00BA2F8A">
              <w:t>70,866</w:t>
            </w:r>
          </w:p>
        </w:tc>
        <w:tc>
          <w:tcPr>
            <w:tcW w:w="2829" w:type="dxa"/>
            <w:shd w:val="clear" w:color="auto" w:fill="auto"/>
            <w:vAlign w:val="center"/>
          </w:tcPr>
          <w:p w14:paraId="23724510" w14:textId="77777777" w:rsidR="00E05D34" w:rsidRPr="00BA2F8A" w:rsidRDefault="00E05D34" w:rsidP="00E05D34">
            <w:pPr>
              <w:jc w:val="center"/>
            </w:pPr>
            <w:r w:rsidRPr="00BA2F8A">
              <w:rPr>
                <w:color w:val="000000"/>
              </w:rPr>
              <w:t>1</w:t>
            </w:r>
          </w:p>
        </w:tc>
        <w:tc>
          <w:tcPr>
            <w:tcW w:w="0" w:type="auto"/>
            <w:shd w:val="clear" w:color="auto" w:fill="auto"/>
            <w:vAlign w:val="center"/>
            <w:hideMark/>
          </w:tcPr>
          <w:p w14:paraId="71D033F4" w14:textId="67253C9E" w:rsidR="00E05D34" w:rsidRPr="00BA2F8A" w:rsidRDefault="008F7434" w:rsidP="00E05D34">
            <w:pPr>
              <w:jc w:val="center"/>
            </w:pPr>
            <w:r>
              <w:t>10</w:t>
            </w:r>
          </w:p>
        </w:tc>
        <w:tc>
          <w:tcPr>
            <w:tcW w:w="0" w:type="auto"/>
            <w:shd w:val="clear" w:color="auto" w:fill="auto"/>
            <w:vAlign w:val="center"/>
            <w:hideMark/>
          </w:tcPr>
          <w:p w14:paraId="5B65F9DF" w14:textId="1A935A83" w:rsidR="00E05D34" w:rsidRPr="00BA2F8A" w:rsidRDefault="008F7434" w:rsidP="00E05D34">
            <w:pPr>
              <w:jc w:val="center"/>
            </w:pPr>
            <w:r>
              <w:rPr>
                <w:rFonts w:ascii="Arial" w:hAnsi="Arial" w:cs="Arial"/>
                <w:color w:val="000000"/>
                <w:sz w:val="20"/>
                <w:szCs w:val="20"/>
              </w:rPr>
              <w:t>708,660</w:t>
            </w:r>
          </w:p>
        </w:tc>
      </w:tr>
      <w:tr w:rsidR="00FC0A5A" w:rsidRPr="00BA2F8A" w14:paraId="7B10DB8E" w14:textId="77777777" w:rsidTr="007B2B9F">
        <w:trPr>
          <w:trHeight w:val="780"/>
        </w:trPr>
        <w:tc>
          <w:tcPr>
            <w:tcW w:w="0" w:type="auto"/>
            <w:shd w:val="clear" w:color="auto" w:fill="auto"/>
            <w:vAlign w:val="center"/>
            <w:hideMark/>
          </w:tcPr>
          <w:p w14:paraId="2CBD2913" w14:textId="77777777" w:rsidR="00E05D34" w:rsidRPr="00BA2F8A" w:rsidRDefault="00E05D34" w:rsidP="00E30DA5">
            <w:r w:rsidRPr="00BA2F8A">
              <w:t>PHS 398 Research Training Program Plan</w:t>
            </w:r>
          </w:p>
        </w:tc>
        <w:tc>
          <w:tcPr>
            <w:tcW w:w="1517" w:type="dxa"/>
            <w:shd w:val="clear" w:color="auto" w:fill="auto"/>
            <w:vAlign w:val="center"/>
            <w:hideMark/>
          </w:tcPr>
          <w:p w14:paraId="6FDD8BC0" w14:textId="77777777" w:rsidR="00E05D34" w:rsidRPr="00BA2F8A" w:rsidRDefault="00E05D34" w:rsidP="00E05D34">
            <w:pPr>
              <w:jc w:val="center"/>
            </w:pPr>
            <w:r w:rsidRPr="00BA2F8A">
              <w:t>1,122</w:t>
            </w:r>
          </w:p>
        </w:tc>
        <w:tc>
          <w:tcPr>
            <w:tcW w:w="2829" w:type="dxa"/>
            <w:shd w:val="clear" w:color="auto" w:fill="auto"/>
            <w:vAlign w:val="center"/>
          </w:tcPr>
          <w:p w14:paraId="21473A64" w14:textId="77777777" w:rsidR="00E05D34" w:rsidRPr="00BA2F8A" w:rsidRDefault="00E05D34" w:rsidP="00E05D34">
            <w:pPr>
              <w:jc w:val="center"/>
            </w:pPr>
            <w:r w:rsidRPr="00BA2F8A">
              <w:rPr>
                <w:color w:val="000000"/>
              </w:rPr>
              <w:t>1</w:t>
            </w:r>
          </w:p>
        </w:tc>
        <w:tc>
          <w:tcPr>
            <w:tcW w:w="0" w:type="auto"/>
            <w:shd w:val="clear" w:color="auto" w:fill="auto"/>
            <w:vAlign w:val="center"/>
            <w:hideMark/>
          </w:tcPr>
          <w:p w14:paraId="4497C8B3" w14:textId="2204074B" w:rsidR="00E05D34" w:rsidRPr="00BA2F8A" w:rsidRDefault="008F7434" w:rsidP="00E05D34">
            <w:pPr>
              <w:jc w:val="center"/>
            </w:pPr>
            <w:r>
              <w:t>10</w:t>
            </w:r>
          </w:p>
        </w:tc>
        <w:tc>
          <w:tcPr>
            <w:tcW w:w="0" w:type="auto"/>
            <w:shd w:val="clear" w:color="auto" w:fill="auto"/>
            <w:vAlign w:val="center"/>
            <w:hideMark/>
          </w:tcPr>
          <w:p w14:paraId="0DFB419D" w14:textId="0F988877" w:rsidR="00E05D34" w:rsidRPr="00BA2F8A" w:rsidRDefault="008F7434" w:rsidP="00E05D34">
            <w:pPr>
              <w:jc w:val="center"/>
            </w:pPr>
            <w:r>
              <w:t>11,220</w:t>
            </w:r>
          </w:p>
        </w:tc>
      </w:tr>
      <w:tr w:rsidR="00FC0A5A" w:rsidRPr="00BA2F8A" w14:paraId="347484AD" w14:textId="77777777" w:rsidTr="007B2B9F">
        <w:trPr>
          <w:trHeight w:val="270"/>
        </w:trPr>
        <w:tc>
          <w:tcPr>
            <w:tcW w:w="0" w:type="auto"/>
            <w:shd w:val="clear" w:color="auto" w:fill="auto"/>
            <w:vAlign w:val="center"/>
            <w:hideMark/>
          </w:tcPr>
          <w:p w14:paraId="50C3C747" w14:textId="77777777" w:rsidR="00E05D34" w:rsidRPr="00BA2F8A" w:rsidRDefault="00E05D34" w:rsidP="00FC0A5A">
            <w:pPr>
              <w:rPr>
                <w:iCs/>
              </w:rPr>
            </w:pPr>
            <w:r w:rsidRPr="00BA2F8A">
              <w:rPr>
                <w:iCs/>
              </w:rPr>
              <w:t>Data Tables</w:t>
            </w:r>
          </w:p>
        </w:tc>
        <w:tc>
          <w:tcPr>
            <w:tcW w:w="1517" w:type="dxa"/>
            <w:shd w:val="clear" w:color="auto" w:fill="auto"/>
            <w:vAlign w:val="center"/>
            <w:hideMark/>
          </w:tcPr>
          <w:p w14:paraId="01C0CFD4" w14:textId="77777777" w:rsidR="00E05D34" w:rsidRPr="00BA2F8A" w:rsidRDefault="00E05D34" w:rsidP="00E05D34">
            <w:pPr>
              <w:jc w:val="center"/>
              <w:rPr>
                <w:iCs/>
              </w:rPr>
            </w:pPr>
            <w:r w:rsidRPr="00BA2F8A">
              <w:rPr>
                <w:iCs/>
              </w:rPr>
              <w:t>1,515</w:t>
            </w:r>
          </w:p>
        </w:tc>
        <w:tc>
          <w:tcPr>
            <w:tcW w:w="2829" w:type="dxa"/>
            <w:shd w:val="clear" w:color="auto" w:fill="auto"/>
            <w:vAlign w:val="center"/>
          </w:tcPr>
          <w:p w14:paraId="5CF1B41B" w14:textId="77777777" w:rsidR="00E05D34" w:rsidRPr="00BA2F8A" w:rsidRDefault="00E05D34" w:rsidP="00E05D34">
            <w:pPr>
              <w:jc w:val="center"/>
            </w:pPr>
            <w:r w:rsidRPr="00BA2F8A">
              <w:rPr>
                <w:color w:val="000000"/>
              </w:rPr>
              <w:t>1</w:t>
            </w:r>
          </w:p>
        </w:tc>
        <w:tc>
          <w:tcPr>
            <w:tcW w:w="0" w:type="auto"/>
            <w:shd w:val="clear" w:color="auto" w:fill="auto"/>
            <w:vAlign w:val="center"/>
            <w:hideMark/>
          </w:tcPr>
          <w:p w14:paraId="3F976393" w14:textId="77777777" w:rsidR="00E05D34" w:rsidRPr="00BA2F8A" w:rsidRDefault="00E05D34" w:rsidP="00E05D34">
            <w:pPr>
              <w:jc w:val="center"/>
              <w:rPr>
                <w:iCs/>
              </w:rPr>
            </w:pPr>
            <w:r w:rsidRPr="00BA2F8A">
              <w:rPr>
                <w:iCs/>
              </w:rPr>
              <w:t>4</w:t>
            </w:r>
          </w:p>
        </w:tc>
        <w:tc>
          <w:tcPr>
            <w:tcW w:w="0" w:type="auto"/>
            <w:shd w:val="clear" w:color="auto" w:fill="auto"/>
            <w:vAlign w:val="center"/>
            <w:hideMark/>
          </w:tcPr>
          <w:p w14:paraId="2DD3E13C" w14:textId="77777777" w:rsidR="00E05D34" w:rsidRPr="00BA2F8A" w:rsidRDefault="00E05D34" w:rsidP="00E05D34">
            <w:pPr>
              <w:jc w:val="center"/>
              <w:rPr>
                <w:iCs/>
              </w:rPr>
            </w:pPr>
            <w:r w:rsidRPr="00BA2F8A">
              <w:rPr>
                <w:iCs/>
              </w:rPr>
              <w:t>6,060</w:t>
            </w:r>
          </w:p>
        </w:tc>
      </w:tr>
      <w:tr w:rsidR="00FC0A5A" w:rsidRPr="00BA2F8A" w14:paraId="26AB8528" w14:textId="77777777" w:rsidTr="007B2B9F">
        <w:trPr>
          <w:trHeight w:val="525"/>
        </w:trPr>
        <w:tc>
          <w:tcPr>
            <w:tcW w:w="0" w:type="auto"/>
            <w:shd w:val="clear" w:color="auto" w:fill="auto"/>
            <w:vAlign w:val="center"/>
            <w:hideMark/>
          </w:tcPr>
          <w:p w14:paraId="7512BE6E" w14:textId="77777777" w:rsidR="00E05D34" w:rsidRPr="00BA2F8A" w:rsidRDefault="00E05D34" w:rsidP="00FC0A5A">
            <w:r w:rsidRPr="00BA2F8A">
              <w:t>PHS 398 Career Development Award Supplemental Form</w:t>
            </w:r>
          </w:p>
        </w:tc>
        <w:tc>
          <w:tcPr>
            <w:tcW w:w="1517" w:type="dxa"/>
            <w:shd w:val="clear" w:color="auto" w:fill="auto"/>
            <w:vAlign w:val="center"/>
            <w:hideMark/>
          </w:tcPr>
          <w:p w14:paraId="6B207D24" w14:textId="77777777" w:rsidR="00E05D34" w:rsidRPr="00BA2F8A" w:rsidRDefault="00E05D34" w:rsidP="00E05D34">
            <w:pPr>
              <w:jc w:val="center"/>
            </w:pPr>
            <w:r w:rsidRPr="00BA2F8A">
              <w:t>2,251</w:t>
            </w:r>
          </w:p>
        </w:tc>
        <w:tc>
          <w:tcPr>
            <w:tcW w:w="2829" w:type="dxa"/>
            <w:shd w:val="clear" w:color="auto" w:fill="auto"/>
            <w:vAlign w:val="center"/>
          </w:tcPr>
          <w:p w14:paraId="586DBF98" w14:textId="77777777" w:rsidR="00E05D34" w:rsidRPr="00BA2F8A" w:rsidRDefault="00E05D34" w:rsidP="00E05D34">
            <w:pPr>
              <w:jc w:val="center"/>
            </w:pPr>
            <w:r w:rsidRPr="00BA2F8A">
              <w:rPr>
                <w:color w:val="000000"/>
              </w:rPr>
              <w:t>1</w:t>
            </w:r>
          </w:p>
        </w:tc>
        <w:tc>
          <w:tcPr>
            <w:tcW w:w="0" w:type="auto"/>
            <w:shd w:val="clear" w:color="auto" w:fill="auto"/>
            <w:vAlign w:val="center"/>
            <w:hideMark/>
          </w:tcPr>
          <w:p w14:paraId="055C0B41" w14:textId="69B7E3E4" w:rsidR="00E05D34" w:rsidRPr="00BA2F8A" w:rsidRDefault="008F7434" w:rsidP="00E05D34">
            <w:pPr>
              <w:jc w:val="center"/>
            </w:pPr>
            <w:r>
              <w:t>10</w:t>
            </w:r>
          </w:p>
        </w:tc>
        <w:tc>
          <w:tcPr>
            <w:tcW w:w="0" w:type="auto"/>
            <w:shd w:val="clear" w:color="auto" w:fill="auto"/>
            <w:vAlign w:val="center"/>
            <w:hideMark/>
          </w:tcPr>
          <w:p w14:paraId="372878B5" w14:textId="4EAE978A" w:rsidR="00E05D34" w:rsidRPr="00BA2F8A" w:rsidRDefault="008F7434" w:rsidP="00E05D34">
            <w:pPr>
              <w:jc w:val="center"/>
            </w:pPr>
            <w:r>
              <w:t>22,510</w:t>
            </w:r>
          </w:p>
        </w:tc>
      </w:tr>
      <w:tr w:rsidR="006B3911" w:rsidRPr="00BA2F8A" w14:paraId="29EFFA3C" w14:textId="77777777" w:rsidTr="007B2B9F">
        <w:trPr>
          <w:trHeight w:val="525"/>
        </w:trPr>
        <w:tc>
          <w:tcPr>
            <w:tcW w:w="0" w:type="auto"/>
            <w:shd w:val="clear" w:color="auto" w:fill="auto"/>
            <w:vAlign w:val="center"/>
          </w:tcPr>
          <w:p w14:paraId="1D201B5C" w14:textId="4E06482A" w:rsidR="006B3911" w:rsidRPr="00FA5A73" w:rsidRDefault="006B3911" w:rsidP="006B3911">
            <w:r w:rsidRPr="006950BA">
              <w:t>PHS Human Subjects and Clinical Trial Information (includes inclusion enrollment report)</w:t>
            </w:r>
          </w:p>
        </w:tc>
        <w:tc>
          <w:tcPr>
            <w:tcW w:w="1517" w:type="dxa"/>
            <w:shd w:val="clear" w:color="auto" w:fill="auto"/>
            <w:vAlign w:val="center"/>
          </w:tcPr>
          <w:p w14:paraId="73C66B5D" w14:textId="620B4261" w:rsidR="006B3911" w:rsidRPr="00FA5A73" w:rsidRDefault="006B3911" w:rsidP="006B3911">
            <w:pPr>
              <w:jc w:val="center"/>
            </w:pPr>
            <w:r w:rsidRPr="00BA2F8A">
              <w:t>54,838</w:t>
            </w:r>
          </w:p>
        </w:tc>
        <w:tc>
          <w:tcPr>
            <w:tcW w:w="2829" w:type="dxa"/>
            <w:shd w:val="clear" w:color="auto" w:fill="auto"/>
            <w:vAlign w:val="center"/>
          </w:tcPr>
          <w:p w14:paraId="1E11D1E9" w14:textId="64FE7C3F" w:rsidR="006B3911" w:rsidRPr="00FA5A73" w:rsidRDefault="006B3911" w:rsidP="006B3911">
            <w:pPr>
              <w:jc w:val="center"/>
              <w:rPr>
                <w:color w:val="000000"/>
              </w:rPr>
            </w:pPr>
            <w:r w:rsidRPr="00BA2F8A">
              <w:rPr>
                <w:color w:val="000000"/>
              </w:rPr>
              <w:t>1</w:t>
            </w:r>
          </w:p>
        </w:tc>
        <w:tc>
          <w:tcPr>
            <w:tcW w:w="0" w:type="auto"/>
            <w:shd w:val="clear" w:color="auto" w:fill="auto"/>
            <w:vAlign w:val="center"/>
          </w:tcPr>
          <w:p w14:paraId="2CAEACB1" w14:textId="11F16424" w:rsidR="006B3911" w:rsidRPr="00FA5A73" w:rsidRDefault="006B3911" w:rsidP="006B3911">
            <w:pPr>
              <w:jc w:val="center"/>
            </w:pPr>
            <w:r w:rsidRPr="00BA2F8A">
              <w:t>1</w:t>
            </w:r>
            <w:r>
              <w:t>4</w:t>
            </w:r>
          </w:p>
        </w:tc>
        <w:tc>
          <w:tcPr>
            <w:tcW w:w="0" w:type="auto"/>
            <w:shd w:val="clear" w:color="auto" w:fill="auto"/>
            <w:vAlign w:val="center"/>
          </w:tcPr>
          <w:p w14:paraId="4423BBFF" w14:textId="749B7817" w:rsidR="006B3911" w:rsidRPr="00FA5A73" w:rsidRDefault="006B3911" w:rsidP="006B3911">
            <w:pPr>
              <w:jc w:val="center"/>
            </w:pPr>
            <w:r>
              <w:t>767,732</w:t>
            </w:r>
          </w:p>
        </w:tc>
      </w:tr>
      <w:tr w:rsidR="006B3911" w:rsidRPr="00BA2F8A" w14:paraId="11D7E08E" w14:textId="77777777" w:rsidTr="007B2B9F">
        <w:trPr>
          <w:trHeight w:val="270"/>
        </w:trPr>
        <w:tc>
          <w:tcPr>
            <w:tcW w:w="0" w:type="auto"/>
            <w:tcBorders>
              <w:bottom w:val="single" w:sz="4" w:space="0" w:color="auto"/>
            </w:tcBorders>
            <w:shd w:val="clear" w:color="auto" w:fill="auto"/>
            <w:vAlign w:val="center"/>
            <w:hideMark/>
          </w:tcPr>
          <w:p w14:paraId="765F860B" w14:textId="77777777" w:rsidR="006B3911" w:rsidRPr="00BA2F8A" w:rsidRDefault="006B3911" w:rsidP="006B3911">
            <w:r w:rsidRPr="00BA2F8A">
              <w:t>Biosketch</w:t>
            </w:r>
            <w:r>
              <w:t xml:space="preserve"> (424 Electronic)</w:t>
            </w:r>
          </w:p>
        </w:tc>
        <w:tc>
          <w:tcPr>
            <w:tcW w:w="1517" w:type="dxa"/>
            <w:tcBorders>
              <w:bottom w:val="single" w:sz="4" w:space="0" w:color="auto"/>
            </w:tcBorders>
            <w:shd w:val="clear" w:color="auto" w:fill="auto"/>
            <w:vAlign w:val="center"/>
            <w:hideMark/>
          </w:tcPr>
          <w:p w14:paraId="49A64151" w14:textId="77777777" w:rsidR="006B3911" w:rsidRPr="00BA2F8A" w:rsidRDefault="006B3911" w:rsidP="006B3911">
            <w:pPr>
              <w:jc w:val="center"/>
            </w:pPr>
            <w:r w:rsidRPr="00BA2F8A">
              <w:t>80,946</w:t>
            </w:r>
          </w:p>
        </w:tc>
        <w:tc>
          <w:tcPr>
            <w:tcW w:w="2829" w:type="dxa"/>
            <w:tcBorders>
              <w:bottom w:val="single" w:sz="4" w:space="0" w:color="auto"/>
            </w:tcBorders>
            <w:shd w:val="clear" w:color="auto" w:fill="auto"/>
            <w:vAlign w:val="center"/>
          </w:tcPr>
          <w:p w14:paraId="0A249ADE" w14:textId="77777777" w:rsidR="006B3911" w:rsidRPr="00BA2F8A" w:rsidRDefault="006B3911" w:rsidP="006B3911">
            <w:pPr>
              <w:jc w:val="center"/>
            </w:pPr>
            <w:r w:rsidRPr="00BA2F8A">
              <w:rPr>
                <w:color w:val="000000"/>
              </w:rPr>
              <w:t>1</w:t>
            </w:r>
          </w:p>
        </w:tc>
        <w:tc>
          <w:tcPr>
            <w:tcW w:w="0" w:type="auto"/>
            <w:tcBorders>
              <w:bottom w:val="single" w:sz="4" w:space="0" w:color="auto"/>
            </w:tcBorders>
            <w:shd w:val="clear" w:color="auto" w:fill="auto"/>
            <w:vAlign w:val="center"/>
            <w:hideMark/>
          </w:tcPr>
          <w:p w14:paraId="3955F357" w14:textId="77777777" w:rsidR="006B3911" w:rsidRPr="00BA2F8A" w:rsidRDefault="006B3911" w:rsidP="006B3911">
            <w:pPr>
              <w:jc w:val="center"/>
            </w:pPr>
            <w:r w:rsidRPr="00BA2F8A">
              <w:t>2</w:t>
            </w:r>
          </w:p>
        </w:tc>
        <w:tc>
          <w:tcPr>
            <w:tcW w:w="0" w:type="auto"/>
            <w:tcBorders>
              <w:bottom w:val="single" w:sz="4" w:space="0" w:color="auto"/>
            </w:tcBorders>
            <w:shd w:val="clear" w:color="auto" w:fill="auto"/>
            <w:vAlign w:val="center"/>
            <w:hideMark/>
          </w:tcPr>
          <w:p w14:paraId="31652F64" w14:textId="77777777" w:rsidR="006B3911" w:rsidRPr="00BA2F8A" w:rsidRDefault="006B3911" w:rsidP="006B3911">
            <w:pPr>
              <w:jc w:val="center"/>
            </w:pPr>
            <w:r w:rsidRPr="00BA2F8A">
              <w:t>161,89</w:t>
            </w:r>
            <w:r>
              <w:t>2</w:t>
            </w:r>
          </w:p>
        </w:tc>
      </w:tr>
      <w:tr w:rsidR="006B3911" w:rsidRPr="00BA2F8A" w14:paraId="74606BAE" w14:textId="77777777" w:rsidTr="007B2B9F">
        <w:trPr>
          <w:trHeight w:val="525"/>
        </w:trPr>
        <w:tc>
          <w:tcPr>
            <w:tcW w:w="0" w:type="auto"/>
            <w:shd w:val="clear" w:color="auto" w:fill="BFBFBF" w:themeFill="background1" w:themeFillShade="BF"/>
            <w:vAlign w:val="center"/>
            <w:hideMark/>
          </w:tcPr>
          <w:p w14:paraId="21CE572B" w14:textId="77777777" w:rsidR="006B3911" w:rsidRPr="00BA2F8A" w:rsidRDefault="006B3911" w:rsidP="006B3911">
            <w:pPr>
              <w:rPr>
                <w:bCs/>
                <w:color w:val="000000"/>
              </w:rPr>
            </w:pPr>
            <w:r w:rsidRPr="00BA2F8A">
              <w:rPr>
                <w:bCs/>
                <w:color w:val="000000"/>
              </w:rPr>
              <w:t>PHS Fellowship - Electronic</w:t>
            </w:r>
          </w:p>
        </w:tc>
        <w:tc>
          <w:tcPr>
            <w:tcW w:w="1517" w:type="dxa"/>
            <w:shd w:val="clear" w:color="auto" w:fill="BFBFBF" w:themeFill="background1" w:themeFillShade="BF"/>
            <w:vAlign w:val="center"/>
            <w:hideMark/>
          </w:tcPr>
          <w:p w14:paraId="03F2CD37" w14:textId="77777777" w:rsidR="006B3911" w:rsidRPr="00BA2F8A" w:rsidRDefault="006B3911" w:rsidP="006B3911">
            <w:pPr>
              <w:jc w:val="center"/>
              <w:rPr>
                <w:bCs/>
                <w:color w:val="000000"/>
              </w:rPr>
            </w:pPr>
          </w:p>
        </w:tc>
        <w:tc>
          <w:tcPr>
            <w:tcW w:w="2829" w:type="dxa"/>
            <w:shd w:val="clear" w:color="auto" w:fill="BFBFBF" w:themeFill="background1" w:themeFillShade="BF"/>
            <w:vAlign w:val="center"/>
          </w:tcPr>
          <w:p w14:paraId="14B75A20" w14:textId="77777777" w:rsidR="006B3911" w:rsidRPr="00BA2F8A" w:rsidRDefault="006B3911" w:rsidP="006B3911">
            <w:pPr>
              <w:jc w:val="center"/>
            </w:pPr>
          </w:p>
        </w:tc>
        <w:tc>
          <w:tcPr>
            <w:tcW w:w="0" w:type="auto"/>
            <w:shd w:val="clear" w:color="auto" w:fill="BFBFBF" w:themeFill="background1" w:themeFillShade="BF"/>
            <w:vAlign w:val="center"/>
            <w:hideMark/>
          </w:tcPr>
          <w:p w14:paraId="5909385E" w14:textId="77777777" w:rsidR="006B3911" w:rsidRPr="00BA2F8A" w:rsidRDefault="006B3911" w:rsidP="006B3911">
            <w:pPr>
              <w:jc w:val="center"/>
              <w:rPr>
                <w:bCs/>
                <w:color w:val="000000"/>
              </w:rPr>
            </w:pPr>
          </w:p>
        </w:tc>
        <w:tc>
          <w:tcPr>
            <w:tcW w:w="0" w:type="auto"/>
            <w:shd w:val="clear" w:color="auto" w:fill="BFBFBF" w:themeFill="background1" w:themeFillShade="BF"/>
            <w:vAlign w:val="center"/>
            <w:hideMark/>
          </w:tcPr>
          <w:p w14:paraId="51C45792" w14:textId="77777777" w:rsidR="006B3911" w:rsidRPr="00BA2F8A" w:rsidRDefault="006B3911" w:rsidP="006B3911">
            <w:pPr>
              <w:jc w:val="center"/>
              <w:rPr>
                <w:bCs/>
                <w:color w:val="000000"/>
              </w:rPr>
            </w:pPr>
          </w:p>
        </w:tc>
      </w:tr>
      <w:tr w:rsidR="006B3911" w:rsidRPr="00BA2F8A" w14:paraId="28215F68" w14:textId="77777777" w:rsidTr="007B2B9F">
        <w:trPr>
          <w:trHeight w:val="525"/>
        </w:trPr>
        <w:tc>
          <w:tcPr>
            <w:tcW w:w="0" w:type="auto"/>
            <w:shd w:val="clear" w:color="auto" w:fill="auto"/>
            <w:vAlign w:val="center"/>
          </w:tcPr>
          <w:p w14:paraId="320FE4C7" w14:textId="77777777" w:rsidR="006B3911" w:rsidRPr="00BA2F8A" w:rsidRDefault="006B3911" w:rsidP="006B3911">
            <w:r w:rsidRPr="00BA2F8A">
              <w:t>PHS Fellowship Supplemental Form (includes F reference letters)</w:t>
            </w:r>
          </w:p>
        </w:tc>
        <w:tc>
          <w:tcPr>
            <w:tcW w:w="1517" w:type="dxa"/>
            <w:shd w:val="clear" w:color="auto" w:fill="auto"/>
            <w:vAlign w:val="center"/>
          </w:tcPr>
          <w:p w14:paraId="26C875CB" w14:textId="77777777" w:rsidR="006B3911" w:rsidRPr="00BA2F8A" w:rsidRDefault="006B3911" w:rsidP="006B3911">
            <w:pPr>
              <w:jc w:val="center"/>
            </w:pPr>
            <w:r w:rsidRPr="00BA2F8A">
              <w:t>6,707</w:t>
            </w:r>
          </w:p>
        </w:tc>
        <w:tc>
          <w:tcPr>
            <w:tcW w:w="2829" w:type="dxa"/>
            <w:shd w:val="clear" w:color="auto" w:fill="auto"/>
            <w:vAlign w:val="center"/>
          </w:tcPr>
          <w:p w14:paraId="735BBBDE" w14:textId="77777777" w:rsidR="006B3911" w:rsidRPr="00BA2F8A" w:rsidRDefault="006B3911" w:rsidP="006B3911">
            <w:pPr>
              <w:jc w:val="center"/>
            </w:pPr>
            <w:r w:rsidRPr="00BA2F8A">
              <w:rPr>
                <w:color w:val="000000"/>
              </w:rPr>
              <w:t>1</w:t>
            </w:r>
          </w:p>
        </w:tc>
        <w:tc>
          <w:tcPr>
            <w:tcW w:w="0" w:type="auto"/>
            <w:shd w:val="clear" w:color="auto" w:fill="auto"/>
            <w:vAlign w:val="center"/>
          </w:tcPr>
          <w:p w14:paraId="21432CA9" w14:textId="77777777" w:rsidR="006B3911" w:rsidRPr="00BA2F8A" w:rsidRDefault="006B3911" w:rsidP="006B3911">
            <w:pPr>
              <w:jc w:val="center"/>
            </w:pPr>
            <w:r>
              <w:t>12.5</w:t>
            </w:r>
          </w:p>
        </w:tc>
        <w:tc>
          <w:tcPr>
            <w:tcW w:w="0" w:type="auto"/>
            <w:shd w:val="clear" w:color="auto" w:fill="auto"/>
            <w:vAlign w:val="center"/>
          </w:tcPr>
          <w:p w14:paraId="2915105C" w14:textId="77777777" w:rsidR="006B3911" w:rsidRPr="00BA2F8A" w:rsidRDefault="006B3911" w:rsidP="006B3911">
            <w:pPr>
              <w:jc w:val="center"/>
            </w:pPr>
            <w:r>
              <w:t>83,838</w:t>
            </w:r>
          </w:p>
        </w:tc>
      </w:tr>
      <w:tr w:rsidR="006B3911" w:rsidRPr="00BA2F8A" w14:paraId="2217909A" w14:textId="77777777" w:rsidTr="007B2B9F">
        <w:trPr>
          <w:trHeight w:val="525"/>
        </w:trPr>
        <w:tc>
          <w:tcPr>
            <w:tcW w:w="0" w:type="auto"/>
            <w:shd w:val="clear" w:color="auto" w:fill="auto"/>
            <w:vAlign w:val="center"/>
            <w:hideMark/>
          </w:tcPr>
          <w:p w14:paraId="2355E549" w14:textId="77777777" w:rsidR="006B3911" w:rsidRPr="00BA2F8A" w:rsidRDefault="006B3911" w:rsidP="006B3911">
            <w:r w:rsidRPr="00BA2F8A">
              <w:t>PHS Assignment Request Form</w:t>
            </w:r>
          </w:p>
        </w:tc>
        <w:tc>
          <w:tcPr>
            <w:tcW w:w="1517" w:type="dxa"/>
            <w:shd w:val="clear" w:color="auto" w:fill="auto"/>
            <w:vAlign w:val="center"/>
            <w:hideMark/>
          </w:tcPr>
          <w:p w14:paraId="3149E674" w14:textId="77777777" w:rsidR="006B3911" w:rsidRPr="00BA2F8A" w:rsidRDefault="006B3911" w:rsidP="006B3911">
            <w:pPr>
              <w:jc w:val="center"/>
            </w:pPr>
            <w:r w:rsidRPr="00BA2F8A">
              <w:t>3,354</w:t>
            </w:r>
          </w:p>
        </w:tc>
        <w:tc>
          <w:tcPr>
            <w:tcW w:w="2829" w:type="dxa"/>
            <w:shd w:val="clear" w:color="auto" w:fill="auto"/>
            <w:vAlign w:val="center"/>
          </w:tcPr>
          <w:p w14:paraId="7B1ACE2C" w14:textId="77777777" w:rsidR="006B3911" w:rsidRPr="00BA2F8A" w:rsidRDefault="006B3911" w:rsidP="006B3911">
            <w:pPr>
              <w:jc w:val="center"/>
            </w:pPr>
            <w:r w:rsidRPr="00BA2F8A">
              <w:rPr>
                <w:color w:val="000000"/>
              </w:rPr>
              <w:t>1</w:t>
            </w:r>
          </w:p>
        </w:tc>
        <w:tc>
          <w:tcPr>
            <w:tcW w:w="0" w:type="auto"/>
            <w:shd w:val="clear" w:color="auto" w:fill="auto"/>
            <w:vAlign w:val="center"/>
            <w:hideMark/>
          </w:tcPr>
          <w:p w14:paraId="4E646C9D" w14:textId="77777777" w:rsidR="006B3911" w:rsidRPr="00BA2F8A" w:rsidRDefault="006B3911" w:rsidP="006B3911">
            <w:pPr>
              <w:jc w:val="center"/>
            </w:pPr>
            <w:r w:rsidRPr="00BA2F8A">
              <w:t>30/60</w:t>
            </w:r>
          </w:p>
        </w:tc>
        <w:tc>
          <w:tcPr>
            <w:tcW w:w="0" w:type="auto"/>
            <w:shd w:val="clear" w:color="auto" w:fill="auto"/>
            <w:vAlign w:val="center"/>
            <w:hideMark/>
          </w:tcPr>
          <w:p w14:paraId="7DA79BF9" w14:textId="77777777" w:rsidR="006B3911" w:rsidRPr="00BA2F8A" w:rsidRDefault="006B3911" w:rsidP="006B3911">
            <w:pPr>
              <w:jc w:val="center"/>
            </w:pPr>
            <w:r w:rsidRPr="00BA2F8A">
              <w:t>1,677</w:t>
            </w:r>
          </w:p>
        </w:tc>
      </w:tr>
      <w:tr w:rsidR="006B3911" w:rsidRPr="00BA2F8A" w14:paraId="44C236FF" w14:textId="77777777" w:rsidTr="007B2B9F">
        <w:trPr>
          <w:trHeight w:val="525"/>
        </w:trPr>
        <w:tc>
          <w:tcPr>
            <w:tcW w:w="0" w:type="auto"/>
            <w:shd w:val="clear" w:color="auto" w:fill="auto"/>
            <w:vAlign w:val="center"/>
            <w:hideMark/>
          </w:tcPr>
          <w:p w14:paraId="7D132235" w14:textId="1AF870B0" w:rsidR="006B3911" w:rsidRPr="00372263" w:rsidRDefault="006B3911" w:rsidP="006B3911">
            <w:r w:rsidRPr="006950BA">
              <w:t>PHS Human Subjects and Clinical Trial Information (includes inclusion enrollment report)</w:t>
            </w:r>
          </w:p>
        </w:tc>
        <w:tc>
          <w:tcPr>
            <w:tcW w:w="1517" w:type="dxa"/>
            <w:shd w:val="clear" w:color="auto" w:fill="auto"/>
            <w:vAlign w:val="center"/>
            <w:hideMark/>
          </w:tcPr>
          <w:p w14:paraId="62144948" w14:textId="05220793" w:rsidR="006B3911" w:rsidRPr="00BA2F8A" w:rsidRDefault="006B3911" w:rsidP="006B3911">
            <w:pPr>
              <w:jc w:val="center"/>
            </w:pPr>
            <w:r>
              <w:t>5,030</w:t>
            </w:r>
          </w:p>
        </w:tc>
        <w:tc>
          <w:tcPr>
            <w:tcW w:w="2829" w:type="dxa"/>
            <w:shd w:val="clear" w:color="auto" w:fill="auto"/>
            <w:vAlign w:val="center"/>
          </w:tcPr>
          <w:p w14:paraId="3F4C3D14" w14:textId="05893F97" w:rsidR="006B3911" w:rsidRPr="00BA2F8A" w:rsidRDefault="006B3911" w:rsidP="006B3911">
            <w:pPr>
              <w:jc w:val="center"/>
            </w:pPr>
            <w:r>
              <w:rPr>
                <w:color w:val="000000"/>
              </w:rPr>
              <w:t>1</w:t>
            </w:r>
          </w:p>
        </w:tc>
        <w:tc>
          <w:tcPr>
            <w:tcW w:w="0" w:type="auto"/>
            <w:shd w:val="clear" w:color="auto" w:fill="auto"/>
            <w:vAlign w:val="center"/>
            <w:hideMark/>
          </w:tcPr>
          <w:p w14:paraId="6ACFEDA6" w14:textId="7D592545" w:rsidR="006B3911" w:rsidRPr="00BA2F8A" w:rsidRDefault="006B3911" w:rsidP="006B3911">
            <w:pPr>
              <w:jc w:val="center"/>
            </w:pPr>
            <w:r>
              <w:t>14</w:t>
            </w:r>
          </w:p>
        </w:tc>
        <w:tc>
          <w:tcPr>
            <w:tcW w:w="0" w:type="auto"/>
            <w:shd w:val="clear" w:color="auto" w:fill="auto"/>
            <w:vAlign w:val="center"/>
            <w:hideMark/>
          </w:tcPr>
          <w:p w14:paraId="45DCDAC9" w14:textId="5FF7C8B7" w:rsidR="006B3911" w:rsidRPr="00BA2F8A" w:rsidRDefault="006B3911" w:rsidP="006B3911">
            <w:pPr>
              <w:jc w:val="center"/>
            </w:pPr>
            <w:r>
              <w:t>70,420</w:t>
            </w:r>
          </w:p>
        </w:tc>
      </w:tr>
      <w:tr w:rsidR="006B3911" w:rsidRPr="00BA2F8A" w14:paraId="1D0990C1" w14:textId="77777777" w:rsidTr="007B2B9F">
        <w:trPr>
          <w:trHeight w:val="270"/>
        </w:trPr>
        <w:tc>
          <w:tcPr>
            <w:tcW w:w="0" w:type="auto"/>
            <w:shd w:val="clear" w:color="auto" w:fill="auto"/>
            <w:vAlign w:val="center"/>
            <w:hideMark/>
          </w:tcPr>
          <w:p w14:paraId="69C4B6A4" w14:textId="77777777" w:rsidR="006B3911" w:rsidRPr="00BA2F8A" w:rsidRDefault="006B3911" w:rsidP="006B3911">
            <w:r w:rsidRPr="00BA2F8A">
              <w:t>Biosketch</w:t>
            </w:r>
            <w:r>
              <w:t xml:space="preserve"> (Fellowship)</w:t>
            </w:r>
          </w:p>
        </w:tc>
        <w:tc>
          <w:tcPr>
            <w:tcW w:w="1517" w:type="dxa"/>
            <w:shd w:val="clear" w:color="auto" w:fill="auto"/>
            <w:vAlign w:val="center"/>
            <w:hideMark/>
          </w:tcPr>
          <w:p w14:paraId="3A9FA1E5" w14:textId="77777777" w:rsidR="006B3911" w:rsidRPr="00BA2F8A" w:rsidRDefault="006B3911" w:rsidP="006B3911">
            <w:pPr>
              <w:jc w:val="center"/>
            </w:pPr>
            <w:r w:rsidRPr="00BA2F8A">
              <w:t>6,707</w:t>
            </w:r>
          </w:p>
        </w:tc>
        <w:tc>
          <w:tcPr>
            <w:tcW w:w="2829" w:type="dxa"/>
            <w:shd w:val="clear" w:color="auto" w:fill="auto"/>
            <w:vAlign w:val="center"/>
          </w:tcPr>
          <w:p w14:paraId="1912B2BF" w14:textId="77777777" w:rsidR="006B3911" w:rsidRPr="00BA2F8A" w:rsidRDefault="006B3911" w:rsidP="006B3911">
            <w:pPr>
              <w:jc w:val="center"/>
            </w:pPr>
            <w:r w:rsidRPr="00BA2F8A">
              <w:rPr>
                <w:color w:val="000000"/>
              </w:rPr>
              <w:t>1</w:t>
            </w:r>
          </w:p>
        </w:tc>
        <w:tc>
          <w:tcPr>
            <w:tcW w:w="0" w:type="auto"/>
            <w:shd w:val="clear" w:color="auto" w:fill="auto"/>
            <w:vAlign w:val="center"/>
            <w:hideMark/>
          </w:tcPr>
          <w:p w14:paraId="7D601A15" w14:textId="77777777" w:rsidR="006B3911" w:rsidRPr="00BA2F8A" w:rsidRDefault="006B3911" w:rsidP="006B3911">
            <w:pPr>
              <w:jc w:val="center"/>
            </w:pPr>
            <w:r w:rsidRPr="00BA2F8A">
              <w:t>2</w:t>
            </w:r>
          </w:p>
        </w:tc>
        <w:tc>
          <w:tcPr>
            <w:tcW w:w="0" w:type="auto"/>
            <w:shd w:val="clear" w:color="auto" w:fill="auto"/>
            <w:vAlign w:val="center"/>
            <w:hideMark/>
          </w:tcPr>
          <w:p w14:paraId="6AD58985" w14:textId="77777777" w:rsidR="006B3911" w:rsidRPr="00BA2F8A" w:rsidRDefault="006B3911" w:rsidP="006B3911">
            <w:pPr>
              <w:jc w:val="center"/>
            </w:pPr>
            <w:r w:rsidRPr="00BA2F8A">
              <w:t>13,414</w:t>
            </w:r>
          </w:p>
        </w:tc>
      </w:tr>
      <w:tr w:rsidR="006B3911" w:rsidRPr="00BA2F8A" w14:paraId="44CB055D" w14:textId="77777777" w:rsidTr="007B2B9F">
        <w:trPr>
          <w:trHeight w:val="270"/>
        </w:trPr>
        <w:tc>
          <w:tcPr>
            <w:tcW w:w="0" w:type="auto"/>
            <w:shd w:val="clear" w:color="auto" w:fill="auto"/>
            <w:vAlign w:val="center"/>
            <w:hideMark/>
          </w:tcPr>
          <w:p w14:paraId="13030313" w14:textId="77777777" w:rsidR="006B3911" w:rsidRPr="00BA2F8A" w:rsidRDefault="006B3911" w:rsidP="006B3911">
            <w:pPr>
              <w:rPr>
                <w:color w:val="000000"/>
              </w:rPr>
            </w:pPr>
            <w:r w:rsidRPr="00BA2F8A">
              <w:rPr>
                <w:color w:val="000000"/>
              </w:rPr>
              <w:t>416-1</w:t>
            </w:r>
          </w:p>
        </w:tc>
        <w:tc>
          <w:tcPr>
            <w:tcW w:w="1517" w:type="dxa"/>
            <w:shd w:val="clear" w:color="auto" w:fill="auto"/>
            <w:vAlign w:val="center"/>
            <w:hideMark/>
          </w:tcPr>
          <w:p w14:paraId="7599A3E6" w14:textId="77777777" w:rsidR="006B3911" w:rsidRPr="00BA2F8A" w:rsidRDefault="006B3911" w:rsidP="006B3911">
            <w:pPr>
              <w:jc w:val="center"/>
              <w:rPr>
                <w:color w:val="000000"/>
              </w:rPr>
            </w:pPr>
            <w:r w:rsidRPr="00BA2F8A">
              <w:rPr>
                <w:color w:val="000000"/>
              </w:rPr>
              <w:t>29</w:t>
            </w:r>
          </w:p>
        </w:tc>
        <w:tc>
          <w:tcPr>
            <w:tcW w:w="2829" w:type="dxa"/>
            <w:shd w:val="clear" w:color="auto" w:fill="auto"/>
            <w:vAlign w:val="center"/>
          </w:tcPr>
          <w:p w14:paraId="2231B102" w14:textId="77777777" w:rsidR="006B3911" w:rsidRPr="00BA2F8A" w:rsidRDefault="006B3911" w:rsidP="006B3911">
            <w:pPr>
              <w:jc w:val="center"/>
            </w:pPr>
            <w:r w:rsidRPr="00BA2F8A">
              <w:rPr>
                <w:color w:val="000000"/>
              </w:rPr>
              <w:t>1</w:t>
            </w:r>
          </w:p>
        </w:tc>
        <w:tc>
          <w:tcPr>
            <w:tcW w:w="0" w:type="auto"/>
            <w:shd w:val="clear" w:color="auto" w:fill="auto"/>
            <w:vAlign w:val="center"/>
            <w:hideMark/>
          </w:tcPr>
          <w:p w14:paraId="67605657" w14:textId="77777777" w:rsidR="006B3911" w:rsidRPr="00BA2F8A" w:rsidRDefault="006B3911" w:rsidP="006B3911">
            <w:pPr>
              <w:jc w:val="center"/>
              <w:rPr>
                <w:color w:val="000000"/>
              </w:rPr>
            </w:pPr>
            <w:r w:rsidRPr="00BA2F8A">
              <w:rPr>
                <w:color w:val="000000"/>
              </w:rPr>
              <w:t>10</w:t>
            </w:r>
          </w:p>
        </w:tc>
        <w:tc>
          <w:tcPr>
            <w:tcW w:w="0" w:type="auto"/>
            <w:shd w:val="clear" w:color="auto" w:fill="auto"/>
            <w:vAlign w:val="center"/>
            <w:hideMark/>
          </w:tcPr>
          <w:p w14:paraId="75DD45C8" w14:textId="77777777" w:rsidR="006B3911" w:rsidRPr="00BA2F8A" w:rsidRDefault="006B3911" w:rsidP="006B3911">
            <w:pPr>
              <w:jc w:val="center"/>
              <w:rPr>
                <w:color w:val="000000"/>
              </w:rPr>
            </w:pPr>
            <w:r w:rsidRPr="00BA2F8A">
              <w:rPr>
                <w:color w:val="000000"/>
              </w:rPr>
              <w:t>290</w:t>
            </w:r>
          </w:p>
        </w:tc>
      </w:tr>
      <w:tr w:rsidR="006B3911" w:rsidRPr="00BA2F8A" w14:paraId="3A7EF85F" w14:textId="77777777" w:rsidTr="007B2B9F">
        <w:trPr>
          <w:trHeight w:val="270"/>
        </w:trPr>
        <w:tc>
          <w:tcPr>
            <w:tcW w:w="0" w:type="auto"/>
            <w:shd w:val="clear" w:color="auto" w:fill="auto"/>
            <w:vAlign w:val="center"/>
            <w:hideMark/>
          </w:tcPr>
          <w:p w14:paraId="3B99966E" w14:textId="77777777" w:rsidR="006B3911" w:rsidRPr="00BA2F8A" w:rsidRDefault="006B3911" w:rsidP="006B3911">
            <w:pPr>
              <w:rPr>
                <w:color w:val="000000"/>
              </w:rPr>
            </w:pPr>
            <w:r w:rsidRPr="00BA2F8A">
              <w:rPr>
                <w:color w:val="000000"/>
              </w:rPr>
              <w:t>PHS 416-5</w:t>
            </w:r>
          </w:p>
        </w:tc>
        <w:tc>
          <w:tcPr>
            <w:tcW w:w="1517" w:type="dxa"/>
            <w:shd w:val="clear" w:color="auto" w:fill="auto"/>
            <w:vAlign w:val="center"/>
            <w:hideMark/>
          </w:tcPr>
          <w:p w14:paraId="0E2CC50B" w14:textId="77777777" w:rsidR="006B3911" w:rsidRPr="00BA2F8A" w:rsidRDefault="006B3911" w:rsidP="006B3911">
            <w:pPr>
              <w:jc w:val="center"/>
              <w:rPr>
                <w:color w:val="000000"/>
              </w:rPr>
            </w:pPr>
            <w:r w:rsidRPr="00BA2F8A">
              <w:rPr>
                <w:color w:val="000000"/>
              </w:rPr>
              <w:t>6,707</w:t>
            </w:r>
          </w:p>
        </w:tc>
        <w:tc>
          <w:tcPr>
            <w:tcW w:w="2829" w:type="dxa"/>
            <w:shd w:val="clear" w:color="auto" w:fill="auto"/>
            <w:vAlign w:val="center"/>
          </w:tcPr>
          <w:p w14:paraId="668FEA9F" w14:textId="77777777" w:rsidR="006B3911" w:rsidRPr="00BA2F8A" w:rsidRDefault="006B3911" w:rsidP="006B3911">
            <w:pPr>
              <w:jc w:val="center"/>
            </w:pPr>
            <w:r w:rsidRPr="00BA2F8A">
              <w:rPr>
                <w:color w:val="000000"/>
              </w:rPr>
              <w:t>1</w:t>
            </w:r>
          </w:p>
        </w:tc>
        <w:tc>
          <w:tcPr>
            <w:tcW w:w="0" w:type="auto"/>
            <w:shd w:val="clear" w:color="auto" w:fill="auto"/>
            <w:vAlign w:val="center"/>
            <w:hideMark/>
          </w:tcPr>
          <w:p w14:paraId="3A28B55F" w14:textId="77777777" w:rsidR="006B3911" w:rsidRPr="00BA2F8A" w:rsidRDefault="006B3911" w:rsidP="006B3911">
            <w:pPr>
              <w:jc w:val="center"/>
              <w:rPr>
                <w:color w:val="000000"/>
              </w:rPr>
            </w:pPr>
            <w:r w:rsidRPr="00BA2F8A">
              <w:rPr>
                <w:color w:val="000000"/>
              </w:rPr>
              <w:t>5/60</w:t>
            </w:r>
          </w:p>
        </w:tc>
        <w:tc>
          <w:tcPr>
            <w:tcW w:w="0" w:type="auto"/>
            <w:shd w:val="clear" w:color="auto" w:fill="auto"/>
            <w:vAlign w:val="center"/>
            <w:hideMark/>
          </w:tcPr>
          <w:p w14:paraId="46C2CEA9" w14:textId="77777777" w:rsidR="006B3911" w:rsidRPr="00BA2F8A" w:rsidRDefault="006B3911" w:rsidP="006B3911">
            <w:pPr>
              <w:jc w:val="center"/>
              <w:rPr>
                <w:color w:val="000000"/>
              </w:rPr>
            </w:pPr>
            <w:r w:rsidRPr="00BA2F8A">
              <w:rPr>
                <w:color w:val="000000"/>
              </w:rPr>
              <w:t>5</w:t>
            </w:r>
            <w:r>
              <w:rPr>
                <w:color w:val="000000"/>
              </w:rPr>
              <w:t>59</w:t>
            </w:r>
          </w:p>
        </w:tc>
      </w:tr>
      <w:tr w:rsidR="006B3911" w:rsidRPr="00BA2F8A" w14:paraId="5C4642B5" w14:textId="77777777" w:rsidTr="007B2B9F">
        <w:trPr>
          <w:trHeight w:val="270"/>
        </w:trPr>
        <w:tc>
          <w:tcPr>
            <w:tcW w:w="0" w:type="auto"/>
            <w:shd w:val="clear" w:color="auto" w:fill="auto"/>
            <w:vAlign w:val="center"/>
            <w:hideMark/>
          </w:tcPr>
          <w:p w14:paraId="340B1939" w14:textId="77777777" w:rsidR="006B3911" w:rsidRPr="00BA2F8A" w:rsidRDefault="006B3911" w:rsidP="006B3911">
            <w:pPr>
              <w:rPr>
                <w:color w:val="000000"/>
              </w:rPr>
            </w:pPr>
            <w:r w:rsidRPr="00BA2F8A">
              <w:rPr>
                <w:color w:val="000000"/>
              </w:rPr>
              <w:t>PHS 6031</w:t>
            </w:r>
          </w:p>
        </w:tc>
        <w:tc>
          <w:tcPr>
            <w:tcW w:w="1517" w:type="dxa"/>
            <w:shd w:val="clear" w:color="auto" w:fill="auto"/>
            <w:vAlign w:val="center"/>
            <w:hideMark/>
          </w:tcPr>
          <w:p w14:paraId="28D368D7" w14:textId="77777777" w:rsidR="006B3911" w:rsidRPr="00BA2F8A" w:rsidRDefault="006B3911" w:rsidP="006B3911">
            <w:pPr>
              <w:jc w:val="center"/>
              <w:rPr>
                <w:color w:val="000000"/>
              </w:rPr>
            </w:pPr>
            <w:r w:rsidRPr="00BA2F8A">
              <w:rPr>
                <w:color w:val="000000"/>
              </w:rPr>
              <w:t>6,217</w:t>
            </w:r>
          </w:p>
        </w:tc>
        <w:tc>
          <w:tcPr>
            <w:tcW w:w="2829" w:type="dxa"/>
            <w:shd w:val="clear" w:color="auto" w:fill="auto"/>
            <w:vAlign w:val="center"/>
          </w:tcPr>
          <w:p w14:paraId="5169BE5F" w14:textId="77777777" w:rsidR="006B3911" w:rsidRPr="00BA2F8A" w:rsidRDefault="006B3911" w:rsidP="006B3911">
            <w:pPr>
              <w:jc w:val="center"/>
            </w:pPr>
            <w:r w:rsidRPr="00BA2F8A">
              <w:rPr>
                <w:color w:val="000000"/>
              </w:rPr>
              <w:t>1</w:t>
            </w:r>
          </w:p>
        </w:tc>
        <w:tc>
          <w:tcPr>
            <w:tcW w:w="0" w:type="auto"/>
            <w:shd w:val="clear" w:color="auto" w:fill="auto"/>
            <w:noWrap/>
            <w:vAlign w:val="center"/>
            <w:hideMark/>
          </w:tcPr>
          <w:p w14:paraId="60B91A2D" w14:textId="77777777" w:rsidR="006B3911" w:rsidRPr="00BA2F8A" w:rsidRDefault="006B3911" w:rsidP="006B3911">
            <w:pPr>
              <w:jc w:val="center"/>
              <w:rPr>
                <w:color w:val="000000"/>
              </w:rPr>
            </w:pPr>
            <w:r w:rsidRPr="00BA2F8A">
              <w:rPr>
                <w:color w:val="000000"/>
              </w:rPr>
              <w:t>5/60</w:t>
            </w:r>
          </w:p>
        </w:tc>
        <w:tc>
          <w:tcPr>
            <w:tcW w:w="0" w:type="auto"/>
            <w:shd w:val="clear" w:color="auto" w:fill="auto"/>
            <w:vAlign w:val="center"/>
            <w:hideMark/>
          </w:tcPr>
          <w:p w14:paraId="382E1E1E" w14:textId="77777777" w:rsidR="006B3911" w:rsidRPr="00BA2F8A" w:rsidRDefault="006B3911" w:rsidP="006B3911">
            <w:pPr>
              <w:jc w:val="center"/>
              <w:rPr>
                <w:color w:val="000000"/>
              </w:rPr>
            </w:pPr>
            <w:r>
              <w:rPr>
                <w:color w:val="000000"/>
              </w:rPr>
              <w:t>518</w:t>
            </w:r>
          </w:p>
        </w:tc>
      </w:tr>
      <w:tr w:rsidR="006B3911" w:rsidRPr="00BA2F8A" w14:paraId="5F6BEAC7" w14:textId="77777777" w:rsidTr="007B2B9F">
        <w:trPr>
          <w:trHeight w:val="270"/>
        </w:trPr>
        <w:tc>
          <w:tcPr>
            <w:tcW w:w="0" w:type="auto"/>
            <w:shd w:val="clear" w:color="auto" w:fill="auto"/>
            <w:vAlign w:val="center"/>
            <w:hideMark/>
          </w:tcPr>
          <w:p w14:paraId="0E7A037B" w14:textId="77777777" w:rsidR="006B3911" w:rsidRPr="00BA2F8A" w:rsidRDefault="006B3911" w:rsidP="006B3911">
            <w:pPr>
              <w:rPr>
                <w:color w:val="000000"/>
              </w:rPr>
            </w:pPr>
            <w:r w:rsidRPr="00BA2F8A">
              <w:rPr>
                <w:color w:val="000000"/>
              </w:rPr>
              <w:t>VCOC Certification</w:t>
            </w:r>
          </w:p>
        </w:tc>
        <w:tc>
          <w:tcPr>
            <w:tcW w:w="1517" w:type="dxa"/>
            <w:shd w:val="clear" w:color="auto" w:fill="auto"/>
            <w:noWrap/>
            <w:vAlign w:val="center"/>
            <w:hideMark/>
          </w:tcPr>
          <w:p w14:paraId="79E44478" w14:textId="77777777" w:rsidR="006B3911" w:rsidRPr="00BA2F8A" w:rsidRDefault="006B3911" w:rsidP="006B3911">
            <w:pPr>
              <w:jc w:val="center"/>
              <w:rPr>
                <w:color w:val="000000"/>
              </w:rPr>
            </w:pPr>
            <w:r w:rsidRPr="00BA2F8A">
              <w:rPr>
                <w:color w:val="000000"/>
              </w:rPr>
              <w:t>6</w:t>
            </w:r>
          </w:p>
        </w:tc>
        <w:tc>
          <w:tcPr>
            <w:tcW w:w="2829" w:type="dxa"/>
            <w:shd w:val="clear" w:color="auto" w:fill="auto"/>
            <w:vAlign w:val="center"/>
          </w:tcPr>
          <w:p w14:paraId="4523B80A" w14:textId="77777777" w:rsidR="006B3911" w:rsidRPr="00BA2F8A" w:rsidRDefault="006B3911" w:rsidP="006B3911">
            <w:pPr>
              <w:jc w:val="center"/>
            </w:pPr>
            <w:r w:rsidRPr="00BA2F8A">
              <w:rPr>
                <w:color w:val="000000"/>
              </w:rPr>
              <w:t>1</w:t>
            </w:r>
          </w:p>
        </w:tc>
        <w:tc>
          <w:tcPr>
            <w:tcW w:w="0" w:type="auto"/>
            <w:shd w:val="clear" w:color="auto" w:fill="auto"/>
            <w:noWrap/>
            <w:vAlign w:val="center"/>
            <w:hideMark/>
          </w:tcPr>
          <w:p w14:paraId="065828A2" w14:textId="77777777" w:rsidR="006B3911" w:rsidRPr="00BA2F8A" w:rsidRDefault="006B3911" w:rsidP="006B3911">
            <w:pPr>
              <w:jc w:val="center"/>
              <w:rPr>
                <w:color w:val="000000"/>
              </w:rPr>
            </w:pPr>
            <w:r w:rsidRPr="00BA2F8A">
              <w:rPr>
                <w:color w:val="000000"/>
              </w:rPr>
              <w:t>5/60</w:t>
            </w:r>
          </w:p>
        </w:tc>
        <w:tc>
          <w:tcPr>
            <w:tcW w:w="0" w:type="auto"/>
            <w:shd w:val="clear" w:color="auto" w:fill="auto"/>
            <w:vAlign w:val="center"/>
            <w:hideMark/>
          </w:tcPr>
          <w:p w14:paraId="7F1B8FE3" w14:textId="77777777" w:rsidR="006B3911" w:rsidRPr="00BA2F8A" w:rsidRDefault="006B3911" w:rsidP="006B3911">
            <w:pPr>
              <w:jc w:val="center"/>
              <w:rPr>
                <w:color w:val="000000"/>
              </w:rPr>
            </w:pPr>
            <w:r w:rsidRPr="00BA2F8A">
              <w:rPr>
                <w:color w:val="000000"/>
              </w:rPr>
              <w:t>1</w:t>
            </w:r>
          </w:p>
        </w:tc>
      </w:tr>
      <w:tr w:rsidR="006B3911" w:rsidRPr="00BA2F8A" w14:paraId="2B2BBA2D" w14:textId="77777777" w:rsidTr="007B2B9F">
        <w:trPr>
          <w:trHeight w:val="525"/>
        </w:trPr>
        <w:tc>
          <w:tcPr>
            <w:tcW w:w="0" w:type="auto"/>
            <w:shd w:val="clear" w:color="auto" w:fill="auto"/>
            <w:vAlign w:val="center"/>
            <w:hideMark/>
          </w:tcPr>
          <w:p w14:paraId="4A1AC31D" w14:textId="77777777" w:rsidR="006B3911" w:rsidRPr="00BA2F8A" w:rsidRDefault="006B3911" w:rsidP="006B3911">
            <w:pPr>
              <w:rPr>
                <w:color w:val="000000"/>
              </w:rPr>
            </w:pPr>
            <w:r w:rsidRPr="00BA2F8A">
              <w:rPr>
                <w:color w:val="000000"/>
              </w:rPr>
              <w:t>SBIR/STTR Funding Agreement Certification</w:t>
            </w:r>
          </w:p>
        </w:tc>
        <w:tc>
          <w:tcPr>
            <w:tcW w:w="1517" w:type="dxa"/>
            <w:shd w:val="clear" w:color="auto" w:fill="auto"/>
            <w:noWrap/>
            <w:vAlign w:val="center"/>
            <w:hideMark/>
          </w:tcPr>
          <w:p w14:paraId="7FBBFBCF" w14:textId="77777777" w:rsidR="006B3911" w:rsidRPr="00BA2F8A" w:rsidRDefault="006B3911" w:rsidP="006B3911">
            <w:pPr>
              <w:jc w:val="center"/>
              <w:rPr>
                <w:color w:val="000000"/>
              </w:rPr>
            </w:pPr>
            <w:r w:rsidRPr="00BA2F8A">
              <w:rPr>
                <w:color w:val="000000"/>
              </w:rPr>
              <w:t>1,500</w:t>
            </w:r>
          </w:p>
        </w:tc>
        <w:tc>
          <w:tcPr>
            <w:tcW w:w="2829" w:type="dxa"/>
            <w:shd w:val="clear" w:color="auto" w:fill="auto"/>
            <w:vAlign w:val="center"/>
          </w:tcPr>
          <w:p w14:paraId="69B830F4" w14:textId="77777777" w:rsidR="006B3911" w:rsidRPr="00BA2F8A" w:rsidRDefault="006B3911" w:rsidP="006B3911">
            <w:pPr>
              <w:jc w:val="center"/>
            </w:pPr>
            <w:r w:rsidRPr="00BA2F8A">
              <w:rPr>
                <w:color w:val="000000"/>
              </w:rPr>
              <w:t>1</w:t>
            </w:r>
          </w:p>
        </w:tc>
        <w:tc>
          <w:tcPr>
            <w:tcW w:w="0" w:type="auto"/>
            <w:shd w:val="clear" w:color="auto" w:fill="auto"/>
            <w:noWrap/>
            <w:vAlign w:val="center"/>
            <w:hideMark/>
          </w:tcPr>
          <w:p w14:paraId="5A3AEB1D" w14:textId="77777777" w:rsidR="006B3911" w:rsidRPr="00BA2F8A" w:rsidRDefault="006B3911" w:rsidP="006B3911">
            <w:pPr>
              <w:jc w:val="center"/>
              <w:rPr>
                <w:color w:val="000000"/>
              </w:rPr>
            </w:pPr>
            <w:r w:rsidRPr="00BA2F8A">
              <w:rPr>
                <w:color w:val="000000"/>
              </w:rPr>
              <w:t>15/60</w:t>
            </w:r>
          </w:p>
        </w:tc>
        <w:tc>
          <w:tcPr>
            <w:tcW w:w="0" w:type="auto"/>
            <w:shd w:val="clear" w:color="auto" w:fill="auto"/>
            <w:vAlign w:val="center"/>
            <w:hideMark/>
          </w:tcPr>
          <w:p w14:paraId="215A95A6" w14:textId="77777777" w:rsidR="006B3911" w:rsidRPr="00BA2F8A" w:rsidRDefault="006B3911" w:rsidP="006B3911">
            <w:pPr>
              <w:jc w:val="center"/>
              <w:rPr>
                <w:color w:val="000000"/>
              </w:rPr>
            </w:pPr>
            <w:r w:rsidRPr="00BA2F8A">
              <w:rPr>
                <w:color w:val="000000"/>
              </w:rPr>
              <w:t>375</w:t>
            </w:r>
          </w:p>
        </w:tc>
      </w:tr>
      <w:tr w:rsidR="006B3911" w:rsidRPr="00BA2F8A" w14:paraId="60BBB785" w14:textId="77777777" w:rsidTr="007B2B9F">
        <w:trPr>
          <w:trHeight w:val="674"/>
        </w:trPr>
        <w:tc>
          <w:tcPr>
            <w:tcW w:w="0" w:type="auto"/>
            <w:shd w:val="clear" w:color="auto" w:fill="auto"/>
            <w:vAlign w:val="center"/>
          </w:tcPr>
          <w:p w14:paraId="47922504" w14:textId="77777777" w:rsidR="006B3911" w:rsidRPr="008C41CB" w:rsidRDefault="006B3911" w:rsidP="006B3911">
            <w:pPr>
              <w:rPr>
                <w:color w:val="000000"/>
                <w:highlight w:val="yellow"/>
              </w:rPr>
            </w:pPr>
            <w:r w:rsidRPr="008C41CB">
              <w:rPr>
                <w:b/>
                <w:color w:val="000000"/>
                <w:highlight w:val="yellow"/>
              </w:rPr>
              <w:lastRenderedPageBreak/>
              <w:t xml:space="preserve">Total Annual Burden Hours </w:t>
            </w:r>
          </w:p>
        </w:tc>
        <w:tc>
          <w:tcPr>
            <w:tcW w:w="1517" w:type="dxa"/>
            <w:shd w:val="clear" w:color="auto" w:fill="auto"/>
            <w:vAlign w:val="center"/>
          </w:tcPr>
          <w:p w14:paraId="4CA2EE08" w14:textId="77777777" w:rsidR="006B3911" w:rsidRPr="008C41CB" w:rsidRDefault="006B3911" w:rsidP="006B3911">
            <w:pPr>
              <w:rPr>
                <w:color w:val="000000"/>
                <w:highlight w:val="yellow"/>
              </w:rPr>
            </w:pPr>
            <w:r w:rsidRPr="008C41CB">
              <w:rPr>
                <w:color w:val="000000"/>
                <w:highlight w:val="yellow"/>
              </w:rPr>
              <w:t xml:space="preserve">    ----------</w:t>
            </w:r>
          </w:p>
        </w:tc>
        <w:tc>
          <w:tcPr>
            <w:tcW w:w="2829" w:type="dxa"/>
            <w:shd w:val="clear" w:color="auto" w:fill="auto"/>
            <w:vAlign w:val="center"/>
          </w:tcPr>
          <w:p w14:paraId="2192921C" w14:textId="33593F71" w:rsidR="006B3911" w:rsidRPr="008C41CB" w:rsidRDefault="00D84AF7" w:rsidP="006B3911">
            <w:pPr>
              <w:jc w:val="center"/>
              <w:rPr>
                <w:b/>
                <w:color w:val="000000"/>
                <w:highlight w:val="yellow"/>
              </w:rPr>
            </w:pPr>
            <w:r w:rsidRPr="008C41CB">
              <w:rPr>
                <w:b/>
                <w:color w:val="000000"/>
                <w:highlight w:val="yellow"/>
              </w:rPr>
              <w:t>421,777</w:t>
            </w:r>
          </w:p>
        </w:tc>
        <w:tc>
          <w:tcPr>
            <w:tcW w:w="1629" w:type="dxa"/>
            <w:shd w:val="clear" w:color="auto" w:fill="auto"/>
            <w:vAlign w:val="center"/>
          </w:tcPr>
          <w:p w14:paraId="0EFBF08D" w14:textId="77777777" w:rsidR="006B3911" w:rsidRPr="008C41CB" w:rsidRDefault="006B3911" w:rsidP="006B3911">
            <w:pPr>
              <w:rPr>
                <w:color w:val="000000"/>
                <w:highlight w:val="yellow"/>
              </w:rPr>
            </w:pPr>
            <w:r w:rsidRPr="008C41CB">
              <w:rPr>
                <w:color w:val="000000"/>
                <w:highlight w:val="yellow"/>
              </w:rPr>
              <w:t xml:space="preserve">   ------------</w:t>
            </w:r>
          </w:p>
        </w:tc>
        <w:tc>
          <w:tcPr>
            <w:tcW w:w="0" w:type="auto"/>
            <w:shd w:val="clear" w:color="auto" w:fill="auto"/>
            <w:vAlign w:val="center"/>
          </w:tcPr>
          <w:p w14:paraId="69B85C59" w14:textId="50AEA324" w:rsidR="006B3911" w:rsidRPr="008C41CB" w:rsidRDefault="006B3911" w:rsidP="009962AC">
            <w:pPr>
              <w:rPr>
                <w:color w:val="000000"/>
                <w:highlight w:val="yellow"/>
              </w:rPr>
            </w:pPr>
            <w:r w:rsidRPr="008C41CB">
              <w:rPr>
                <w:b/>
                <w:bCs/>
                <w:color w:val="000000"/>
                <w:highlight w:val="yellow"/>
              </w:rPr>
              <w:t>2,150,38</w:t>
            </w:r>
            <w:r w:rsidR="009962AC" w:rsidRPr="008C41CB">
              <w:rPr>
                <w:b/>
                <w:bCs/>
                <w:color w:val="000000"/>
                <w:highlight w:val="yellow"/>
              </w:rPr>
              <w:t>9</w:t>
            </w:r>
          </w:p>
        </w:tc>
      </w:tr>
    </w:tbl>
    <w:p w14:paraId="1C7C4674" w14:textId="77777777" w:rsidR="00825A0E" w:rsidRDefault="00825A0E" w:rsidP="00321CDA">
      <w:pPr>
        <w:spacing w:line="480" w:lineRule="auto"/>
        <w:ind w:right="-684"/>
        <w:rPr>
          <w:bCs/>
        </w:rPr>
      </w:pPr>
    </w:p>
    <w:p w14:paraId="66A7A183" w14:textId="77777777" w:rsidR="00E05D34" w:rsidRDefault="00E05D34" w:rsidP="00262E69">
      <w:pPr>
        <w:pStyle w:val="Heading2"/>
        <w:rPr>
          <w:bCs/>
        </w:rPr>
      </w:pPr>
      <w:bookmarkStart w:id="16" w:name="_Toc419964738"/>
      <w:r w:rsidRPr="00E05D34">
        <w:rPr>
          <w:bCs/>
        </w:rPr>
        <w:t>A.12-2</w:t>
      </w:r>
      <w:r>
        <w:rPr>
          <w:bCs/>
        </w:rPr>
        <w:t xml:space="preserve"> </w:t>
      </w:r>
      <w:r w:rsidRPr="00830BEA">
        <w:t xml:space="preserve">Annualized </w:t>
      </w:r>
      <w:r>
        <w:t>Costs to Respondents</w:t>
      </w:r>
      <w:bookmarkEnd w:id="16"/>
      <w:r w:rsidRPr="00847667">
        <w:rPr>
          <w:bCs/>
        </w:rPr>
        <w:t xml:space="preserve"> </w:t>
      </w:r>
    </w:p>
    <w:p w14:paraId="47EC0278" w14:textId="77777777" w:rsidR="00262E69" w:rsidRPr="00262E69" w:rsidRDefault="00262E69" w:rsidP="00262E69"/>
    <w:p w14:paraId="4427944E" w14:textId="44D8C0A1" w:rsidR="00127884" w:rsidRDefault="0061193A" w:rsidP="00127884">
      <w:pPr>
        <w:spacing w:line="480" w:lineRule="auto"/>
        <w:ind w:right="-684"/>
        <w:rPr>
          <w:bCs/>
        </w:rPr>
      </w:pPr>
      <w:r w:rsidRPr="0061193A">
        <w:rPr>
          <w:bCs/>
        </w:rPr>
        <w:t>Data is from the Bureau of Labor Statistics (</w:t>
      </w:r>
      <w:hyperlink r:id="rId11" w:history="1">
        <w:r w:rsidRPr="00454006">
          <w:rPr>
            <w:rStyle w:val="Hyperlink"/>
            <w:bCs/>
          </w:rPr>
          <w:t>http://www.bls.gov/cps/cpsaat39.htm</w:t>
        </w:r>
      </w:hyperlink>
      <w:r w:rsidRPr="0061193A">
        <w:rPr>
          <w:bCs/>
        </w:rPr>
        <w:t xml:space="preserve">). </w:t>
      </w:r>
      <w:r w:rsidR="003A6CAA" w:rsidRPr="00847667">
        <w:rPr>
          <w:bCs/>
        </w:rPr>
        <w:t>The average hourly rate used for all burden hours ($35) represents an average of combined clerical</w:t>
      </w:r>
      <w:r w:rsidR="008B4461" w:rsidRPr="00847667">
        <w:rPr>
          <w:bCs/>
        </w:rPr>
        <w:t xml:space="preserve"> ($15),</w:t>
      </w:r>
      <w:r w:rsidR="003A6CAA" w:rsidRPr="00847667">
        <w:rPr>
          <w:bCs/>
        </w:rPr>
        <w:t xml:space="preserve"> administrative</w:t>
      </w:r>
      <w:r w:rsidR="008B4461" w:rsidRPr="00847667">
        <w:rPr>
          <w:bCs/>
        </w:rPr>
        <w:t xml:space="preserve"> ($25)</w:t>
      </w:r>
      <w:r w:rsidR="003A6CAA" w:rsidRPr="00847667">
        <w:rPr>
          <w:bCs/>
        </w:rPr>
        <w:t>, and professional staff (</w:t>
      </w:r>
      <w:r w:rsidR="008B4461" w:rsidRPr="00847667">
        <w:rPr>
          <w:bCs/>
        </w:rPr>
        <w:t>$</w:t>
      </w:r>
      <w:r w:rsidR="003A6CAA" w:rsidRPr="00847667">
        <w:rPr>
          <w:bCs/>
        </w:rPr>
        <w:t>45</w:t>
      </w:r>
      <w:r w:rsidR="008B4461" w:rsidRPr="00847667">
        <w:rPr>
          <w:bCs/>
        </w:rPr>
        <w:t>) hourly rates</w:t>
      </w:r>
      <w:r w:rsidR="007A0573">
        <w:rPr>
          <w:bCs/>
        </w:rPr>
        <w:t xml:space="preserve">. </w:t>
      </w:r>
      <w:r w:rsidR="00F224B7" w:rsidRPr="00F224B7">
        <w:rPr>
          <w:bCs/>
        </w:rPr>
        <w:t>This request covers many types of research institutions in both the private and public sectors, teaching and non-teaching setting etc.   Since the respondent base is so wide, it is difficult to determine a</w:t>
      </w:r>
      <w:r w:rsidR="00D37C55">
        <w:rPr>
          <w:bCs/>
        </w:rPr>
        <w:t>n</w:t>
      </w:r>
      <w:r w:rsidR="00F224B7" w:rsidRPr="00F224B7">
        <w:rPr>
          <w:bCs/>
        </w:rPr>
        <w:t xml:space="preserve"> accurate average hourly rates. Therefore the hourly rate used in this table is based </w:t>
      </w:r>
      <w:r w:rsidR="00F224B7">
        <w:rPr>
          <w:bCs/>
        </w:rPr>
        <w:t>o</w:t>
      </w:r>
      <w:r w:rsidR="00F224B7" w:rsidRPr="00F224B7">
        <w:rPr>
          <w:bCs/>
        </w:rPr>
        <w:t>n historical NIH figures captured over decades of administering this data collection.</w:t>
      </w:r>
    </w:p>
    <w:p w14:paraId="3D713E97" w14:textId="77777777" w:rsidR="00FC0A5A" w:rsidRDefault="00FC0A5A" w:rsidP="00127884">
      <w:pPr>
        <w:spacing w:line="480" w:lineRule="auto"/>
        <w:ind w:right="-684"/>
        <w:jc w:val="center"/>
        <w:rPr>
          <w:bCs/>
        </w:rPr>
      </w:pPr>
      <w:r w:rsidRPr="00EB77CC">
        <w:t xml:space="preserve">A.12-2 </w:t>
      </w:r>
      <w:r>
        <w:t>Annualized Cost to the Respondents</w:t>
      </w:r>
    </w:p>
    <w:tbl>
      <w:tblPr>
        <w:tblW w:w="0" w:type="auto"/>
        <w:tblLook w:val="04A0" w:firstRow="1" w:lastRow="0" w:firstColumn="1" w:lastColumn="0" w:noHBand="0" w:noVBand="1"/>
      </w:tblPr>
      <w:tblGrid>
        <w:gridCol w:w="4460"/>
        <w:gridCol w:w="1200"/>
        <w:gridCol w:w="1874"/>
        <w:gridCol w:w="1806"/>
      </w:tblGrid>
      <w:tr w:rsidR="00AF2C0A" w:rsidRPr="00FC0A5A" w14:paraId="312A0434" w14:textId="77777777" w:rsidTr="00127884">
        <w:trPr>
          <w:trHeight w:val="75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C7B00EB" w14:textId="77777777" w:rsidR="001A73BD" w:rsidRPr="00FC0A5A" w:rsidRDefault="001A73BD" w:rsidP="00F224B7">
            <w:pPr>
              <w:jc w:val="center"/>
              <w:rPr>
                <w:bCs/>
                <w:color w:val="000000"/>
              </w:rPr>
            </w:pPr>
            <w:bookmarkStart w:id="17" w:name="RANGE!A1:G25"/>
            <w:r w:rsidRPr="00FC0A5A">
              <w:rPr>
                <w:bCs/>
                <w:color w:val="000000"/>
              </w:rPr>
              <w:t>Information Collection Form</w:t>
            </w:r>
            <w:bookmarkEnd w:id="17"/>
            <w:r w:rsidR="00F224B7">
              <w:rPr>
                <w:bCs/>
                <w:color w:val="000000"/>
              </w:rPr>
              <w:t>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5DF1DF2" w14:textId="77777777" w:rsidR="001A73BD" w:rsidRPr="00FC0A5A" w:rsidRDefault="001A73BD" w:rsidP="00FC0A5A">
            <w:pPr>
              <w:jc w:val="center"/>
              <w:rPr>
                <w:bCs/>
                <w:color w:val="000000"/>
              </w:rPr>
            </w:pPr>
            <w:r w:rsidRPr="001A73BD">
              <w:rPr>
                <w:bCs/>
                <w:color w:val="000000"/>
              </w:rPr>
              <w:t>Total Annual Burden Hours</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B8CC04D" w14:textId="77777777" w:rsidR="001A73BD" w:rsidRPr="00FC0A5A" w:rsidRDefault="001A73BD" w:rsidP="00FC0A5A">
            <w:pPr>
              <w:jc w:val="center"/>
              <w:rPr>
                <w:bCs/>
                <w:color w:val="000000"/>
              </w:rPr>
            </w:pPr>
            <w:r w:rsidRPr="00FC0A5A">
              <w:rPr>
                <w:bCs/>
                <w:color w:val="000000"/>
              </w:rPr>
              <w:t>Hourly Wage Rate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1BA3FB0" w14:textId="77777777" w:rsidR="001A73BD" w:rsidRPr="00FC0A5A" w:rsidRDefault="00F224B7" w:rsidP="00FC0A5A">
            <w:pPr>
              <w:jc w:val="center"/>
              <w:rPr>
                <w:bCs/>
                <w:color w:val="000000"/>
              </w:rPr>
            </w:pPr>
            <w:r>
              <w:rPr>
                <w:bCs/>
                <w:color w:val="000000"/>
              </w:rPr>
              <w:t xml:space="preserve">Total </w:t>
            </w:r>
            <w:r w:rsidR="001A73BD" w:rsidRPr="00FC0A5A">
              <w:rPr>
                <w:bCs/>
                <w:color w:val="000000"/>
              </w:rPr>
              <w:t>Respondent Cost</w:t>
            </w:r>
          </w:p>
        </w:tc>
      </w:tr>
      <w:tr w:rsidR="00AF2C0A" w:rsidRPr="00FC0A5A" w14:paraId="21B703ED" w14:textId="77777777" w:rsidTr="006D28E1">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3EFFA62" w14:textId="77777777" w:rsidR="001A73BD" w:rsidRPr="00FC0A5A" w:rsidRDefault="001A73BD" w:rsidP="006053D2">
            <w:pPr>
              <w:rPr>
                <w:color w:val="000000"/>
              </w:rPr>
            </w:pPr>
            <w:r w:rsidRPr="00FC0A5A">
              <w:rPr>
                <w:color w:val="000000"/>
              </w:rPr>
              <w:t>PHS 398 - Paper</w:t>
            </w:r>
          </w:p>
        </w:tc>
        <w:tc>
          <w:tcPr>
            <w:tcW w:w="0" w:type="auto"/>
            <w:tcBorders>
              <w:top w:val="nil"/>
              <w:left w:val="nil"/>
              <w:bottom w:val="single" w:sz="8" w:space="0" w:color="auto"/>
              <w:right w:val="single" w:sz="8" w:space="0" w:color="auto"/>
            </w:tcBorders>
            <w:shd w:val="clear" w:color="auto" w:fill="auto"/>
            <w:vAlign w:val="center"/>
            <w:hideMark/>
          </w:tcPr>
          <w:p w14:paraId="186563FC" w14:textId="77777777" w:rsidR="001A73BD" w:rsidRPr="00FC0A5A" w:rsidRDefault="001A73BD" w:rsidP="001A73BD">
            <w:pPr>
              <w:jc w:val="center"/>
              <w:rPr>
                <w:color w:val="000000"/>
              </w:rPr>
            </w:pPr>
            <w:r>
              <w:rPr>
                <w:color w:val="000000"/>
              </w:rPr>
              <w:t>148,645</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4B980FC" w14:textId="77777777" w:rsidR="001A73BD" w:rsidRPr="00FC0A5A" w:rsidRDefault="001A73BD" w:rsidP="00FC0A5A">
            <w:pPr>
              <w:jc w:val="center"/>
              <w:rPr>
                <w:color w:val="000000"/>
              </w:rPr>
            </w:pPr>
            <w:r w:rsidRPr="00FC0A5A">
              <w:rPr>
                <w:color w:val="000000"/>
              </w:rPr>
              <w:t>$35.00</w:t>
            </w:r>
          </w:p>
        </w:tc>
        <w:tc>
          <w:tcPr>
            <w:tcW w:w="0" w:type="auto"/>
            <w:tcBorders>
              <w:top w:val="nil"/>
              <w:left w:val="nil"/>
              <w:bottom w:val="single" w:sz="8" w:space="0" w:color="auto"/>
              <w:right w:val="single" w:sz="8" w:space="0" w:color="auto"/>
            </w:tcBorders>
            <w:shd w:val="clear" w:color="auto" w:fill="auto"/>
            <w:vAlign w:val="center"/>
            <w:hideMark/>
          </w:tcPr>
          <w:p w14:paraId="5B95ED21" w14:textId="77777777" w:rsidR="001A73BD" w:rsidRPr="00FC0A5A" w:rsidRDefault="001A73BD" w:rsidP="00FC0A5A">
            <w:pPr>
              <w:jc w:val="center"/>
              <w:rPr>
                <w:color w:val="000000"/>
              </w:rPr>
            </w:pPr>
            <w:r w:rsidRPr="00FC0A5A">
              <w:rPr>
                <w:color w:val="000000"/>
              </w:rPr>
              <w:t>$5,202,575</w:t>
            </w:r>
          </w:p>
        </w:tc>
      </w:tr>
      <w:tr w:rsidR="00AF2C0A" w:rsidRPr="00FC0A5A" w14:paraId="1D9AD351" w14:textId="77777777" w:rsidTr="006D28E1">
        <w:trPr>
          <w:trHeight w:val="315"/>
        </w:trPr>
        <w:tc>
          <w:tcPr>
            <w:tcW w:w="0" w:type="auto"/>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051E5505" w14:textId="77777777" w:rsidR="001A73BD" w:rsidRPr="00FC0A5A" w:rsidRDefault="001A73BD" w:rsidP="006053D2">
            <w:pPr>
              <w:rPr>
                <w:bCs/>
                <w:color w:val="000000"/>
              </w:rPr>
            </w:pPr>
            <w:r w:rsidRPr="00FC0A5A">
              <w:rPr>
                <w:bCs/>
                <w:color w:val="000000"/>
              </w:rPr>
              <w:t>PHS 398/424 - Electronic</w:t>
            </w:r>
          </w:p>
        </w:tc>
        <w:tc>
          <w:tcPr>
            <w:tcW w:w="0" w:type="auto"/>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77B063F3" w14:textId="77777777" w:rsidR="001A73BD" w:rsidRPr="00FC0A5A" w:rsidRDefault="001A73BD" w:rsidP="001A73BD">
            <w:pPr>
              <w:jc w:val="center"/>
              <w:rPr>
                <w:bCs/>
                <w:color w:val="000000"/>
              </w:rPr>
            </w:pPr>
          </w:p>
        </w:tc>
        <w:tc>
          <w:tcPr>
            <w:tcW w:w="0" w:type="auto"/>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44F757E4" w14:textId="77777777" w:rsidR="001A73BD" w:rsidRPr="00FC0A5A" w:rsidRDefault="001A73BD" w:rsidP="00FC0A5A">
            <w:pPr>
              <w:jc w:val="center"/>
              <w:rPr>
                <w:bCs/>
                <w:color w:val="000000"/>
              </w:rPr>
            </w:pPr>
          </w:p>
        </w:tc>
        <w:tc>
          <w:tcPr>
            <w:tcW w:w="0" w:type="auto"/>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5FF38DFC" w14:textId="77777777" w:rsidR="001A73BD" w:rsidRPr="00FC0A5A" w:rsidRDefault="001A73BD" w:rsidP="00FC0A5A">
            <w:pPr>
              <w:jc w:val="center"/>
              <w:rPr>
                <w:bCs/>
                <w:color w:val="000000"/>
              </w:rPr>
            </w:pPr>
          </w:p>
        </w:tc>
      </w:tr>
      <w:tr w:rsidR="00AF2C0A" w:rsidRPr="00FC0A5A" w14:paraId="3D0E6B7E" w14:textId="77777777" w:rsidTr="00F224B7">
        <w:trPr>
          <w:trHeight w:val="52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7A98AF0" w14:textId="77777777" w:rsidR="001A73BD" w:rsidRPr="00FC0A5A" w:rsidRDefault="001A73BD" w:rsidP="006053D2">
            <w:r w:rsidRPr="00FC0A5A">
              <w:t>PHS Assignment Request Form</w:t>
            </w:r>
          </w:p>
        </w:tc>
        <w:tc>
          <w:tcPr>
            <w:tcW w:w="0" w:type="auto"/>
            <w:tcBorders>
              <w:top w:val="nil"/>
              <w:left w:val="nil"/>
              <w:bottom w:val="single" w:sz="8" w:space="0" w:color="auto"/>
              <w:right w:val="single" w:sz="8" w:space="0" w:color="auto"/>
            </w:tcBorders>
            <w:shd w:val="clear" w:color="auto" w:fill="auto"/>
            <w:vAlign w:val="center"/>
            <w:hideMark/>
          </w:tcPr>
          <w:p w14:paraId="1E440217" w14:textId="77777777" w:rsidR="001A73BD" w:rsidRPr="001A73BD" w:rsidRDefault="001A73BD" w:rsidP="001A73BD">
            <w:pPr>
              <w:jc w:val="center"/>
            </w:pPr>
            <w:r>
              <w:t>18,560</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210EB39" w14:textId="77777777" w:rsidR="001A73BD" w:rsidRPr="00FC0A5A" w:rsidRDefault="001A73BD" w:rsidP="00FC0A5A">
            <w:pPr>
              <w:jc w:val="center"/>
              <w:rPr>
                <w:color w:val="000000"/>
              </w:rPr>
            </w:pPr>
            <w:r w:rsidRPr="00FC0A5A">
              <w:rPr>
                <w:color w:val="000000"/>
              </w:rPr>
              <w:t>$35.00</w:t>
            </w:r>
          </w:p>
        </w:tc>
        <w:tc>
          <w:tcPr>
            <w:tcW w:w="0" w:type="auto"/>
            <w:tcBorders>
              <w:top w:val="nil"/>
              <w:left w:val="nil"/>
              <w:bottom w:val="single" w:sz="8" w:space="0" w:color="auto"/>
              <w:right w:val="single" w:sz="8" w:space="0" w:color="auto"/>
            </w:tcBorders>
            <w:shd w:val="clear" w:color="auto" w:fill="auto"/>
            <w:vAlign w:val="center"/>
            <w:hideMark/>
          </w:tcPr>
          <w:p w14:paraId="4E1CAC65" w14:textId="77777777" w:rsidR="001A73BD" w:rsidRPr="00FC0A5A" w:rsidRDefault="001A73BD" w:rsidP="00FC0A5A">
            <w:pPr>
              <w:jc w:val="center"/>
              <w:rPr>
                <w:color w:val="000000"/>
              </w:rPr>
            </w:pPr>
            <w:r w:rsidRPr="00FC0A5A">
              <w:rPr>
                <w:color w:val="000000"/>
              </w:rPr>
              <w:t>$649,600</w:t>
            </w:r>
          </w:p>
        </w:tc>
      </w:tr>
      <w:tr w:rsidR="00AF2C0A" w:rsidRPr="00FC0A5A" w14:paraId="317A5B15" w14:textId="77777777" w:rsidTr="00F224B7">
        <w:trPr>
          <w:trHeight w:val="52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D3EA194" w14:textId="77777777" w:rsidR="001A73BD" w:rsidRPr="00FC0A5A" w:rsidRDefault="001A73BD" w:rsidP="006053D2">
            <w:r w:rsidRPr="00FC0A5A">
              <w:t>PHS 398 Cover Page Supplement</w:t>
            </w:r>
          </w:p>
        </w:tc>
        <w:tc>
          <w:tcPr>
            <w:tcW w:w="0" w:type="auto"/>
            <w:tcBorders>
              <w:top w:val="nil"/>
              <w:left w:val="nil"/>
              <w:bottom w:val="single" w:sz="8" w:space="0" w:color="auto"/>
              <w:right w:val="single" w:sz="8" w:space="0" w:color="auto"/>
            </w:tcBorders>
            <w:shd w:val="clear" w:color="auto" w:fill="auto"/>
            <w:vAlign w:val="center"/>
            <w:hideMark/>
          </w:tcPr>
          <w:p w14:paraId="16C99EAF" w14:textId="77777777" w:rsidR="001A73BD" w:rsidRPr="00FC0A5A" w:rsidRDefault="001A73BD" w:rsidP="001A73BD">
            <w:pPr>
              <w:jc w:val="center"/>
              <w:rPr>
                <w:color w:val="000000"/>
              </w:rPr>
            </w:pPr>
            <w:r w:rsidRPr="00FC0A5A">
              <w:t>74,239</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FD9530D" w14:textId="77777777" w:rsidR="001A73BD" w:rsidRPr="00FC0A5A" w:rsidRDefault="001A73BD" w:rsidP="00FC0A5A">
            <w:pPr>
              <w:jc w:val="center"/>
              <w:rPr>
                <w:color w:val="000000"/>
              </w:rPr>
            </w:pPr>
            <w:r w:rsidRPr="00FC0A5A">
              <w:rPr>
                <w:color w:val="000000"/>
              </w:rPr>
              <w:t>$35.00</w:t>
            </w:r>
          </w:p>
        </w:tc>
        <w:tc>
          <w:tcPr>
            <w:tcW w:w="0" w:type="auto"/>
            <w:tcBorders>
              <w:top w:val="nil"/>
              <w:left w:val="nil"/>
              <w:bottom w:val="single" w:sz="8" w:space="0" w:color="auto"/>
              <w:right w:val="single" w:sz="8" w:space="0" w:color="auto"/>
            </w:tcBorders>
            <w:shd w:val="clear" w:color="auto" w:fill="auto"/>
            <w:vAlign w:val="center"/>
            <w:hideMark/>
          </w:tcPr>
          <w:p w14:paraId="5F53EB65" w14:textId="77777777" w:rsidR="001A73BD" w:rsidRPr="00FC0A5A" w:rsidRDefault="001A73BD" w:rsidP="00FC0A5A">
            <w:pPr>
              <w:jc w:val="center"/>
              <w:rPr>
                <w:color w:val="000000"/>
              </w:rPr>
            </w:pPr>
            <w:r w:rsidRPr="00FC0A5A">
              <w:rPr>
                <w:color w:val="000000"/>
              </w:rPr>
              <w:t>$2,598,365</w:t>
            </w:r>
          </w:p>
        </w:tc>
      </w:tr>
      <w:tr w:rsidR="00AF2C0A" w:rsidRPr="00FC0A5A" w14:paraId="12E5007A" w14:textId="77777777" w:rsidTr="00F224B7">
        <w:trPr>
          <w:trHeight w:val="52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E0502DB" w14:textId="77777777" w:rsidR="001A73BD" w:rsidRPr="00FC0A5A" w:rsidRDefault="001A73BD" w:rsidP="006053D2">
            <w:r w:rsidRPr="00FC0A5A">
              <w:t>PHS Inclusion Enrollment Report</w:t>
            </w:r>
          </w:p>
        </w:tc>
        <w:tc>
          <w:tcPr>
            <w:tcW w:w="0" w:type="auto"/>
            <w:tcBorders>
              <w:top w:val="nil"/>
              <w:left w:val="nil"/>
              <w:bottom w:val="single" w:sz="8" w:space="0" w:color="auto"/>
              <w:right w:val="single" w:sz="8" w:space="0" w:color="auto"/>
            </w:tcBorders>
            <w:shd w:val="clear" w:color="auto" w:fill="auto"/>
            <w:vAlign w:val="center"/>
            <w:hideMark/>
          </w:tcPr>
          <w:p w14:paraId="614B574F" w14:textId="77777777" w:rsidR="001A73BD" w:rsidRPr="00FC0A5A" w:rsidRDefault="001A73BD" w:rsidP="001A73BD">
            <w:pPr>
              <w:jc w:val="center"/>
              <w:rPr>
                <w:color w:val="000000"/>
              </w:rPr>
            </w:pPr>
            <w:r>
              <w:t>5</w:t>
            </w:r>
            <w:r w:rsidRPr="00FC0A5A">
              <w:t>4,838</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261640B" w14:textId="77777777" w:rsidR="001A73BD" w:rsidRPr="00FC0A5A" w:rsidRDefault="001A73BD" w:rsidP="00FC0A5A">
            <w:pPr>
              <w:jc w:val="center"/>
              <w:rPr>
                <w:color w:val="000000"/>
              </w:rPr>
            </w:pPr>
            <w:r w:rsidRPr="00FC0A5A">
              <w:rPr>
                <w:color w:val="000000"/>
              </w:rPr>
              <w:t>$35.00</w:t>
            </w:r>
          </w:p>
        </w:tc>
        <w:tc>
          <w:tcPr>
            <w:tcW w:w="0" w:type="auto"/>
            <w:tcBorders>
              <w:top w:val="nil"/>
              <w:left w:val="nil"/>
              <w:bottom w:val="single" w:sz="8" w:space="0" w:color="auto"/>
              <w:right w:val="single" w:sz="8" w:space="0" w:color="auto"/>
            </w:tcBorders>
            <w:shd w:val="clear" w:color="auto" w:fill="auto"/>
            <w:vAlign w:val="center"/>
            <w:hideMark/>
          </w:tcPr>
          <w:p w14:paraId="0D47B485" w14:textId="77777777" w:rsidR="001A73BD" w:rsidRPr="00FC0A5A" w:rsidRDefault="001A73BD" w:rsidP="00FC0A5A">
            <w:pPr>
              <w:jc w:val="center"/>
              <w:rPr>
                <w:color w:val="000000"/>
              </w:rPr>
            </w:pPr>
            <w:r w:rsidRPr="00FC0A5A">
              <w:rPr>
                <w:color w:val="000000"/>
              </w:rPr>
              <w:t>$1,919,330</w:t>
            </w:r>
          </w:p>
        </w:tc>
      </w:tr>
      <w:tr w:rsidR="00AF2C0A" w:rsidRPr="00FC0A5A" w14:paraId="4ED08B3C" w14:textId="77777777" w:rsidTr="00F224B7">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64FF799" w14:textId="77777777" w:rsidR="001A73BD" w:rsidRPr="00FC0A5A" w:rsidRDefault="001A73BD" w:rsidP="006053D2">
            <w:r w:rsidRPr="00FC0A5A">
              <w:t>PHS 398 Modular Budget</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4DA9A05" w14:textId="77777777" w:rsidR="001A73BD" w:rsidRPr="00FC0A5A" w:rsidRDefault="001A73BD" w:rsidP="001A73BD">
            <w:pPr>
              <w:jc w:val="center"/>
              <w:rPr>
                <w:color w:val="000000"/>
              </w:rPr>
            </w:pPr>
            <w:r w:rsidRPr="00FC0A5A">
              <w:t>56,693</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153B253" w14:textId="77777777" w:rsidR="001A73BD" w:rsidRPr="00FC0A5A" w:rsidRDefault="001A73BD" w:rsidP="00FC0A5A">
            <w:pPr>
              <w:jc w:val="center"/>
              <w:rPr>
                <w:color w:val="000000"/>
              </w:rPr>
            </w:pPr>
            <w:r w:rsidRPr="00FC0A5A">
              <w:rPr>
                <w:color w:val="000000"/>
              </w:rPr>
              <w:t>$35.00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2ECBB0D" w14:textId="77777777" w:rsidR="001A73BD" w:rsidRPr="00FC0A5A" w:rsidRDefault="001A73BD" w:rsidP="00FC0A5A">
            <w:pPr>
              <w:jc w:val="center"/>
              <w:rPr>
                <w:color w:val="000000"/>
              </w:rPr>
            </w:pPr>
            <w:r w:rsidRPr="00FC0A5A">
              <w:rPr>
                <w:color w:val="000000"/>
              </w:rPr>
              <w:t>$1,984,255</w:t>
            </w:r>
          </w:p>
        </w:tc>
      </w:tr>
      <w:tr w:rsidR="00AF2C0A" w:rsidRPr="00FC0A5A" w14:paraId="0723E3A9" w14:textId="77777777" w:rsidTr="00F224B7">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17A53E6" w14:textId="77777777" w:rsidR="001A73BD" w:rsidRPr="00FC0A5A" w:rsidRDefault="001A73BD" w:rsidP="006053D2">
            <w:r w:rsidRPr="00FC0A5A">
              <w:t>PHS 398 Training Budget</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CF17AA4" w14:textId="77777777" w:rsidR="001A73BD" w:rsidRPr="0097099B" w:rsidRDefault="001A73BD" w:rsidP="001A73BD">
            <w:pPr>
              <w:jc w:val="center"/>
              <w:rPr>
                <w:color w:val="000000"/>
              </w:rPr>
            </w:pPr>
            <w:r w:rsidRPr="0097099B">
              <w:t>2,244</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6FAC87C" w14:textId="77777777" w:rsidR="001A73BD" w:rsidRPr="00F705EB" w:rsidRDefault="001A73BD" w:rsidP="00FC0A5A">
            <w:pPr>
              <w:jc w:val="center"/>
              <w:rPr>
                <w:color w:val="000000"/>
              </w:rPr>
            </w:pPr>
            <w:r w:rsidRPr="00F705EB">
              <w:rPr>
                <w:color w:val="000000"/>
              </w:rPr>
              <w:t>$35.00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DEA0DE5" w14:textId="77777777" w:rsidR="001A73BD" w:rsidRPr="00F705EB" w:rsidRDefault="001A73BD" w:rsidP="00FC0A5A">
            <w:pPr>
              <w:jc w:val="center"/>
              <w:rPr>
                <w:color w:val="000000"/>
              </w:rPr>
            </w:pPr>
            <w:r w:rsidRPr="00F705EB">
              <w:rPr>
                <w:color w:val="000000"/>
              </w:rPr>
              <w:t>$78,540</w:t>
            </w:r>
          </w:p>
        </w:tc>
      </w:tr>
      <w:tr w:rsidR="00AF2C0A" w:rsidRPr="00FC0A5A" w14:paraId="707CA1E0" w14:textId="77777777" w:rsidTr="00F224B7">
        <w:trPr>
          <w:trHeight w:val="5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6E1793B" w14:textId="77777777" w:rsidR="00AF2C0A" w:rsidRPr="00FC0A5A" w:rsidRDefault="00AF2C0A" w:rsidP="006053D2">
            <w:r w:rsidRPr="00FC0A5A">
              <w:t>PHS 398 Training Subaward Budget Attachment(s) Form</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2F46DB4" w14:textId="77777777" w:rsidR="00AF2C0A" w:rsidRPr="0097099B" w:rsidRDefault="00AF2C0A" w:rsidP="00AF2C0A">
            <w:pPr>
              <w:jc w:val="center"/>
              <w:rPr>
                <w:color w:val="000000"/>
              </w:rPr>
            </w:pPr>
            <w:r w:rsidRPr="0097099B">
              <w:t>842</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6215EBE" w14:textId="77777777" w:rsidR="00AF2C0A" w:rsidRPr="00F705EB" w:rsidRDefault="00AF2C0A" w:rsidP="00FC0A5A">
            <w:pPr>
              <w:jc w:val="center"/>
              <w:rPr>
                <w:color w:val="000000"/>
              </w:rPr>
            </w:pPr>
            <w:r w:rsidRPr="00F705EB">
              <w:rPr>
                <w:color w:val="000000"/>
              </w:rPr>
              <w:t>$35.00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93C7C63" w14:textId="77777777" w:rsidR="00AF2C0A" w:rsidRPr="00F705EB" w:rsidRDefault="00AF2C0A" w:rsidP="00A70198">
            <w:pPr>
              <w:jc w:val="center"/>
              <w:rPr>
                <w:color w:val="000000"/>
              </w:rPr>
            </w:pPr>
            <w:r w:rsidRPr="00F705EB">
              <w:rPr>
                <w:color w:val="000000"/>
              </w:rPr>
              <w:t>$29,4</w:t>
            </w:r>
            <w:r w:rsidR="00A70198" w:rsidRPr="00F705EB">
              <w:rPr>
                <w:color w:val="000000"/>
              </w:rPr>
              <w:t>70</w:t>
            </w:r>
          </w:p>
        </w:tc>
      </w:tr>
      <w:tr w:rsidR="00AF2C0A" w:rsidRPr="00FC0A5A" w14:paraId="22D51721" w14:textId="77777777" w:rsidTr="00F224B7">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85B0C40" w14:textId="77777777" w:rsidR="00AF2C0A" w:rsidRPr="00FC0A5A" w:rsidRDefault="00AF2C0A" w:rsidP="006053D2">
            <w:r w:rsidRPr="00FC0A5A">
              <w:t>PHS 398 Research Plan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7F1F972" w14:textId="77777777" w:rsidR="00AF2C0A" w:rsidRPr="0097099B" w:rsidRDefault="00BB38E6" w:rsidP="00FC0A5A">
            <w:pPr>
              <w:jc w:val="center"/>
              <w:rPr>
                <w:color w:val="000000"/>
              </w:rPr>
            </w:pPr>
            <w:r w:rsidRPr="00AD617B">
              <w:rPr>
                <w:color w:val="000000"/>
              </w:rPr>
              <w:t>212,598</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8FB708A" w14:textId="77777777" w:rsidR="00AF2C0A" w:rsidRPr="00F705EB" w:rsidRDefault="00AF2C0A" w:rsidP="00FC0A5A">
            <w:pPr>
              <w:jc w:val="center"/>
              <w:rPr>
                <w:color w:val="000000"/>
              </w:rPr>
            </w:pPr>
            <w:r w:rsidRPr="00F705EB">
              <w:rPr>
                <w:color w:val="000000"/>
              </w:rPr>
              <w:t>$35.00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1194E13" w14:textId="77777777" w:rsidR="00AF2C0A" w:rsidRPr="0097099B" w:rsidRDefault="00BB38E6" w:rsidP="00FC0A5A">
            <w:pPr>
              <w:jc w:val="center"/>
              <w:rPr>
                <w:color w:val="000000"/>
              </w:rPr>
            </w:pPr>
            <w:r w:rsidRPr="00AD617B">
              <w:rPr>
                <w:color w:val="000000"/>
              </w:rPr>
              <w:t>$7,440,930</w:t>
            </w:r>
          </w:p>
        </w:tc>
      </w:tr>
      <w:tr w:rsidR="00AF2C0A" w:rsidRPr="00FC0A5A" w14:paraId="0AD6C2F1" w14:textId="77777777" w:rsidTr="00F224B7">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3E519DD" w14:textId="77777777" w:rsidR="00AF2C0A" w:rsidRPr="00FC0A5A" w:rsidRDefault="00AF2C0A" w:rsidP="006053D2">
            <w:r w:rsidRPr="00FC0A5A">
              <w:t>PHS 398 Research Training Program Plan (includes data tables)</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71E1B0F" w14:textId="77777777" w:rsidR="00AF2C0A" w:rsidRPr="0097099B" w:rsidRDefault="00AF2C0A" w:rsidP="00FC0A5A">
            <w:pPr>
              <w:jc w:val="center"/>
              <w:rPr>
                <w:color w:val="000000"/>
              </w:rPr>
            </w:pPr>
            <w:r w:rsidRPr="0097099B">
              <w:t>3,366</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900FE3F" w14:textId="77777777" w:rsidR="00AF2C0A" w:rsidRPr="00F705EB" w:rsidRDefault="00AF2C0A" w:rsidP="00FC0A5A">
            <w:pPr>
              <w:jc w:val="center"/>
              <w:rPr>
                <w:color w:val="000000"/>
              </w:rPr>
            </w:pPr>
            <w:r w:rsidRPr="00F705EB">
              <w:rPr>
                <w:color w:val="000000"/>
              </w:rPr>
              <w:t>$35.00</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6266AAB" w14:textId="77777777" w:rsidR="00AF2C0A" w:rsidRPr="00F705EB" w:rsidRDefault="00AF2C0A" w:rsidP="00FC0A5A">
            <w:pPr>
              <w:jc w:val="center"/>
              <w:rPr>
                <w:color w:val="000000"/>
              </w:rPr>
            </w:pPr>
            <w:r w:rsidRPr="00F705EB">
              <w:rPr>
                <w:color w:val="000000"/>
              </w:rPr>
              <w:t>$117,810</w:t>
            </w:r>
          </w:p>
        </w:tc>
      </w:tr>
      <w:tr w:rsidR="00AF2C0A" w:rsidRPr="00FC0A5A" w14:paraId="46A2FBF2" w14:textId="77777777" w:rsidTr="00F224B7">
        <w:trPr>
          <w:trHeight w:val="315"/>
        </w:trPr>
        <w:tc>
          <w:tcPr>
            <w:tcW w:w="0" w:type="auto"/>
            <w:tcBorders>
              <w:top w:val="single" w:sz="8" w:space="0" w:color="auto"/>
              <w:left w:val="single" w:sz="8" w:space="0" w:color="auto"/>
              <w:bottom w:val="single" w:sz="4" w:space="0" w:color="auto"/>
              <w:right w:val="single" w:sz="8" w:space="0" w:color="auto"/>
            </w:tcBorders>
            <w:shd w:val="clear" w:color="auto" w:fill="auto"/>
            <w:vAlign w:val="center"/>
            <w:hideMark/>
          </w:tcPr>
          <w:p w14:paraId="6C016074" w14:textId="77777777" w:rsidR="00AF2C0A" w:rsidRPr="00FC0A5A" w:rsidRDefault="00AF2C0A" w:rsidP="006053D2">
            <w:r w:rsidRPr="00FC0A5A">
              <w:t>Data Tables</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0BDE383B" w14:textId="77777777" w:rsidR="00AF2C0A" w:rsidRPr="0097099B" w:rsidRDefault="00AF2C0A" w:rsidP="00FC0A5A">
            <w:pPr>
              <w:jc w:val="center"/>
              <w:rPr>
                <w:color w:val="000000"/>
              </w:rPr>
            </w:pPr>
            <w:r w:rsidRPr="0097099B">
              <w:t>6,060</w:t>
            </w:r>
          </w:p>
        </w:tc>
        <w:tc>
          <w:tcPr>
            <w:tcW w:w="0" w:type="auto"/>
            <w:tcBorders>
              <w:top w:val="single" w:sz="8" w:space="0" w:color="auto"/>
              <w:left w:val="single" w:sz="8" w:space="0" w:color="auto"/>
              <w:bottom w:val="single" w:sz="4" w:space="0" w:color="auto"/>
              <w:right w:val="single" w:sz="8" w:space="0" w:color="auto"/>
            </w:tcBorders>
            <w:shd w:val="clear" w:color="auto" w:fill="auto"/>
            <w:vAlign w:val="center"/>
            <w:hideMark/>
          </w:tcPr>
          <w:p w14:paraId="671FED19" w14:textId="77777777" w:rsidR="00AF2C0A" w:rsidRPr="00F705EB" w:rsidRDefault="00AF2C0A" w:rsidP="00FC0A5A">
            <w:pPr>
              <w:jc w:val="center"/>
              <w:rPr>
                <w:color w:val="000000"/>
              </w:rPr>
            </w:pPr>
            <w:r w:rsidRPr="00F705EB">
              <w:rPr>
                <w:color w:val="000000"/>
              </w:rPr>
              <w:t>$35.00</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4ED7C4BA" w14:textId="77777777" w:rsidR="00AF2C0A" w:rsidRPr="00F705EB" w:rsidRDefault="00AF2C0A" w:rsidP="00FC0A5A">
            <w:pPr>
              <w:jc w:val="center"/>
              <w:rPr>
                <w:color w:val="000000"/>
              </w:rPr>
            </w:pPr>
            <w:r w:rsidRPr="00F705EB">
              <w:rPr>
                <w:color w:val="000000"/>
              </w:rPr>
              <w:t>$212,100</w:t>
            </w:r>
          </w:p>
        </w:tc>
      </w:tr>
      <w:tr w:rsidR="00AF2C0A" w:rsidRPr="00FC0A5A" w14:paraId="3AADF8F4" w14:textId="77777777" w:rsidTr="00F224B7">
        <w:trPr>
          <w:trHeight w:val="5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A84DB9" w14:textId="77777777" w:rsidR="00AF2C0A" w:rsidRPr="00FC0A5A" w:rsidRDefault="00AF2C0A" w:rsidP="006053D2">
            <w:r w:rsidRPr="00FC0A5A">
              <w:t>PHS 398 Career Development Award Supplemental Form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BAB81A" w14:textId="77777777" w:rsidR="00AF2C0A" w:rsidRPr="0097099B" w:rsidRDefault="006C1D48" w:rsidP="00FC0A5A">
            <w:pPr>
              <w:jc w:val="center"/>
              <w:rPr>
                <w:color w:val="000000"/>
              </w:rPr>
            </w:pPr>
            <w:r w:rsidRPr="0097099B">
              <w:t>6,753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35AE11" w14:textId="77777777" w:rsidR="00AF2C0A" w:rsidRPr="00F705EB" w:rsidRDefault="00AF2C0A" w:rsidP="00FC0A5A">
            <w:pPr>
              <w:jc w:val="center"/>
              <w:rPr>
                <w:color w:val="000000"/>
              </w:rPr>
            </w:pPr>
            <w:r w:rsidRPr="00F705EB">
              <w:rPr>
                <w:color w:val="000000"/>
              </w:rPr>
              <w:t>$35.00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6375E1" w14:textId="77777777" w:rsidR="00AF2C0A" w:rsidRPr="0097099B" w:rsidRDefault="006C1D48" w:rsidP="0097099B">
            <w:pPr>
              <w:jc w:val="center"/>
              <w:rPr>
                <w:color w:val="000000"/>
              </w:rPr>
            </w:pPr>
            <w:r w:rsidRPr="00AD617B">
              <w:rPr>
                <w:color w:val="000000"/>
              </w:rPr>
              <w:t>$236,355</w:t>
            </w:r>
          </w:p>
        </w:tc>
      </w:tr>
      <w:tr w:rsidR="0097099B" w:rsidRPr="00FC0A5A" w14:paraId="02227606" w14:textId="77777777" w:rsidTr="00F224B7">
        <w:trPr>
          <w:trHeight w:val="5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3475AB" w14:textId="21847691" w:rsidR="0097099B" w:rsidRPr="00431C48" w:rsidRDefault="008B70CA" w:rsidP="00DD642F">
            <w:r w:rsidRPr="00431C48">
              <w:lastRenderedPageBreak/>
              <w:t>PHS Human Subjects and Clinical Trial Information (includes inclusion enrollment report)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92F078" w14:textId="4A2F0B35" w:rsidR="0097099B" w:rsidRPr="00431C48" w:rsidRDefault="00BF46C1" w:rsidP="00FC0A5A">
            <w:pPr>
              <w:jc w:val="center"/>
            </w:pPr>
            <w:r w:rsidRPr="00431C48">
              <w:t>767,732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201325" w14:textId="77777777" w:rsidR="0097099B" w:rsidRPr="00431C48" w:rsidRDefault="0097099B" w:rsidP="00FC0A5A">
            <w:pPr>
              <w:jc w:val="center"/>
              <w:rPr>
                <w:color w:val="000000"/>
              </w:rPr>
            </w:pPr>
            <w:r w:rsidRPr="00431C48">
              <w:rPr>
                <w:color w:val="000000"/>
              </w:rPr>
              <w:t>$35.00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8B4D55" w14:textId="352DFF25" w:rsidR="0097099B" w:rsidRPr="00431C48" w:rsidRDefault="00BF46C1" w:rsidP="0097099B">
            <w:pPr>
              <w:jc w:val="center"/>
              <w:rPr>
                <w:color w:val="000000"/>
              </w:rPr>
            </w:pPr>
            <w:r w:rsidRPr="00431C48">
              <w:rPr>
                <w:color w:val="000000"/>
              </w:rPr>
              <w:t>26,870,620</w:t>
            </w:r>
          </w:p>
        </w:tc>
      </w:tr>
      <w:tr w:rsidR="00AF2C0A" w:rsidRPr="00FC0A5A" w14:paraId="4BA9E3C3" w14:textId="77777777" w:rsidTr="006D28E1">
        <w:trPr>
          <w:trHeight w:val="315"/>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7F1663DF" w14:textId="77777777" w:rsidR="00AF2C0A" w:rsidRPr="00FC0A5A" w:rsidRDefault="00AF2C0A" w:rsidP="006053D2">
            <w:r w:rsidRPr="00FC0A5A">
              <w:t>Biosketch</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19025BDA" w14:textId="77777777" w:rsidR="00AF2C0A" w:rsidRPr="0097099B" w:rsidRDefault="00AF2C0A" w:rsidP="00FC0A5A">
            <w:pPr>
              <w:jc w:val="center"/>
              <w:rPr>
                <w:color w:val="000000"/>
              </w:rPr>
            </w:pPr>
            <w:r w:rsidRPr="0097099B">
              <w:t>161,892</w:t>
            </w:r>
          </w:p>
        </w:tc>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0A8A6BBA" w14:textId="77777777" w:rsidR="00AF2C0A" w:rsidRPr="00F705EB" w:rsidRDefault="00AF2C0A" w:rsidP="00FC0A5A">
            <w:pPr>
              <w:jc w:val="center"/>
              <w:rPr>
                <w:color w:val="000000"/>
              </w:rPr>
            </w:pPr>
            <w:r w:rsidRPr="00F705EB">
              <w:rPr>
                <w:color w:val="000000"/>
              </w:rPr>
              <w:t>$35.00</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7B537484" w14:textId="77777777" w:rsidR="00AF2C0A" w:rsidRPr="00F705EB" w:rsidRDefault="00AF2C0A" w:rsidP="00FC0A5A">
            <w:pPr>
              <w:jc w:val="center"/>
              <w:rPr>
                <w:color w:val="000000"/>
              </w:rPr>
            </w:pPr>
            <w:r w:rsidRPr="00F705EB">
              <w:rPr>
                <w:color w:val="000000"/>
              </w:rPr>
              <w:t>$5,666,220</w:t>
            </w:r>
          </w:p>
        </w:tc>
      </w:tr>
      <w:tr w:rsidR="00AF2C0A" w:rsidRPr="00FC0A5A" w14:paraId="382F67C1" w14:textId="77777777" w:rsidTr="00127884">
        <w:trPr>
          <w:trHeight w:val="367"/>
        </w:trPr>
        <w:tc>
          <w:tcPr>
            <w:tcW w:w="0" w:type="auto"/>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4F939AC3" w14:textId="77777777" w:rsidR="00AF2C0A" w:rsidRPr="00FC0A5A" w:rsidRDefault="00AF2C0A" w:rsidP="006053D2">
            <w:pPr>
              <w:rPr>
                <w:bCs/>
                <w:color w:val="000000"/>
              </w:rPr>
            </w:pPr>
            <w:r w:rsidRPr="00FC0A5A">
              <w:rPr>
                <w:bCs/>
                <w:color w:val="000000"/>
              </w:rPr>
              <w:t>PHS Fellowship - Electronic</w:t>
            </w:r>
          </w:p>
        </w:tc>
        <w:tc>
          <w:tcPr>
            <w:tcW w:w="0" w:type="auto"/>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6CA50C65" w14:textId="77777777" w:rsidR="00AF2C0A" w:rsidRPr="00FC0A5A" w:rsidRDefault="00AF2C0A" w:rsidP="00FC0A5A">
            <w:pPr>
              <w:jc w:val="center"/>
              <w:rPr>
                <w:bCs/>
                <w:color w:val="000000"/>
              </w:rPr>
            </w:pPr>
          </w:p>
        </w:tc>
        <w:tc>
          <w:tcPr>
            <w:tcW w:w="0" w:type="auto"/>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12D96B91" w14:textId="77777777" w:rsidR="00AF2C0A" w:rsidRPr="00FC0A5A" w:rsidRDefault="00AF2C0A" w:rsidP="00FC0A5A">
            <w:pPr>
              <w:jc w:val="center"/>
              <w:rPr>
                <w:bCs/>
                <w:color w:val="000000"/>
              </w:rPr>
            </w:pPr>
          </w:p>
        </w:tc>
        <w:tc>
          <w:tcPr>
            <w:tcW w:w="0" w:type="auto"/>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3A004A4E" w14:textId="77777777" w:rsidR="00AF2C0A" w:rsidRPr="00FC0A5A" w:rsidRDefault="00AF2C0A" w:rsidP="00FC0A5A">
            <w:pPr>
              <w:jc w:val="center"/>
              <w:rPr>
                <w:bCs/>
                <w:color w:val="000000"/>
              </w:rPr>
            </w:pPr>
          </w:p>
        </w:tc>
      </w:tr>
      <w:tr w:rsidR="00AF2C0A" w:rsidRPr="00FC0A5A" w14:paraId="78B8BB2F" w14:textId="77777777" w:rsidTr="00F224B7">
        <w:trPr>
          <w:trHeight w:val="5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0DAC33A7" w14:textId="77777777" w:rsidR="00AF2C0A" w:rsidRPr="00FC0A5A" w:rsidRDefault="00AF2C0A" w:rsidP="006053D2">
            <w:r w:rsidRPr="00FC0A5A">
              <w:t>PHS Fellowship Supplemental Form (includes F reference letters)</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22464DA9" w14:textId="77777777" w:rsidR="00AF2C0A" w:rsidRPr="00FC0A5A" w:rsidRDefault="00AF2C0A" w:rsidP="00FC0A5A">
            <w:pPr>
              <w:jc w:val="center"/>
            </w:pPr>
            <w:r>
              <w:t>83,838</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E1E0483" w14:textId="77777777" w:rsidR="00AF2C0A" w:rsidRPr="00FC0A5A" w:rsidRDefault="00AF2C0A" w:rsidP="00FC0A5A">
            <w:pPr>
              <w:jc w:val="center"/>
            </w:pPr>
            <w:r w:rsidRPr="00FC0A5A">
              <w:t>$35.00</w:t>
            </w:r>
          </w:p>
        </w:tc>
        <w:tc>
          <w:tcPr>
            <w:tcW w:w="0" w:type="auto"/>
            <w:tcBorders>
              <w:top w:val="single" w:sz="8" w:space="0" w:color="auto"/>
              <w:left w:val="nil"/>
              <w:bottom w:val="single" w:sz="8" w:space="0" w:color="auto"/>
              <w:right w:val="single" w:sz="8" w:space="0" w:color="auto"/>
            </w:tcBorders>
            <w:shd w:val="clear" w:color="auto" w:fill="auto"/>
            <w:vAlign w:val="center"/>
          </w:tcPr>
          <w:p w14:paraId="60A017AA" w14:textId="77777777" w:rsidR="00AF2C0A" w:rsidRPr="00FC0A5A" w:rsidRDefault="00AF2C0A" w:rsidP="001C62A7">
            <w:pPr>
              <w:jc w:val="center"/>
            </w:pPr>
            <w:r w:rsidRPr="00FC0A5A">
              <w:t>$</w:t>
            </w:r>
            <w:r>
              <w:t>2,934,33</w:t>
            </w:r>
            <w:r w:rsidR="001C62A7">
              <w:t>0</w:t>
            </w:r>
          </w:p>
        </w:tc>
      </w:tr>
      <w:tr w:rsidR="00AF2C0A" w:rsidRPr="00FC0A5A" w14:paraId="4F407D56" w14:textId="77777777" w:rsidTr="00127884">
        <w:trPr>
          <w:trHeight w:val="403"/>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1F1DF87" w14:textId="77777777" w:rsidR="00AF2C0A" w:rsidRPr="00FC0A5A" w:rsidRDefault="00AF2C0A" w:rsidP="006053D2">
            <w:r w:rsidRPr="00FC0A5A">
              <w:t>PHS Assignment Request Form</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71915C9" w14:textId="77777777" w:rsidR="00AF2C0A" w:rsidRPr="00FC0A5A" w:rsidRDefault="00AF2C0A" w:rsidP="00FC0A5A">
            <w:pPr>
              <w:jc w:val="center"/>
            </w:pPr>
            <w:r>
              <w:t>1,677</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8658E65" w14:textId="77777777" w:rsidR="00AF2C0A" w:rsidRPr="00FC0A5A" w:rsidRDefault="00AF2C0A" w:rsidP="00FC0A5A">
            <w:pPr>
              <w:jc w:val="center"/>
            </w:pPr>
            <w:r w:rsidRPr="00FC0A5A">
              <w:t>$35.00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B149262" w14:textId="77777777" w:rsidR="00AF2C0A" w:rsidRPr="00FC0A5A" w:rsidRDefault="00AF2C0A" w:rsidP="00FC0A5A">
            <w:pPr>
              <w:jc w:val="center"/>
            </w:pPr>
            <w:r w:rsidRPr="00FC0A5A">
              <w:t>$58,695</w:t>
            </w:r>
          </w:p>
        </w:tc>
      </w:tr>
      <w:tr w:rsidR="00BF46C1" w:rsidRPr="00FC0A5A" w14:paraId="7EEF2AFF" w14:textId="77777777" w:rsidTr="00127884">
        <w:trPr>
          <w:trHeight w:val="403"/>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8152DDF" w14:textId="625CCF7B" w:rsidR="00BF46C1" w:rsidRPr="005A0645" w:rsidRDefault="00BF46C1" w:rsidP="00BF46C1">
            <w:r w:rsidRPr="005A0645">
              <w:t>PHS Human Subjects and Clinical Trial Information (includes inclusion enrollment report)</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F8DB7D9" w14:textId="1D97C492" w:rsidR="00BF46C1" w:rsidRPr="005A0645" w:rsidRDefault="00BF46C1" w:rsidP="00BF46C1">
            <w:pPr>
              <w:jc w:val="center"/>
            </w:pPr>
            <w:r w:rsidRPr="005A0645">
              <w:t>70,420</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AD2F924" w14:textId="36275294" w:rsidR="00BF46C1" w:rsidRPr="005A0645" w:rsidRDefault="00BF46C1" w:rsidP="00BF46C1">
            <w:pPr>
              <w:jc w:val="center"/>
            </w:pPr>
            <w:r w:rsidRPr="005A0645">
              <w:rPr>
                <w:color w:val="000000"/>
              </w:rPr>
              <w:t>$35.00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AACB6D6" w14:textId="42078933" w:rsidR="00BF46C1" w:rsidRPr="005A0645" w:rsidRDefault="00BF46C1" w:rsidP="00BF46C1">
            <w:pPr>
              <w:jc w:val="center"/>
            </w:pPr>
            <w:r w:rsidRPr="005A0645">
              <w:rPr>
                <w:color w:val="000000"/>
              </w:rPr>
              <w:t>2,464,700</w:t>
            </w:r>
            <w:r w:rsidRPr="005A0645" w:rsidDel="00C769F9">
              <w:t xml:space="preserve"> </w:t>
            </w:r>
          </w:p>
        </w:tc>
      </w:tr>
      <w:tr w:rsidR="00AF2C0A" w:rsidRPr="00FC0A5A" w14:paraId="661FD037" w14:textId="77777777" w:rsidTr="00F224B7">
        <w:trPr>
          <w:trHeight w:val="315"/>
        </w:trPr>
        <w:tc>
          <w:tcPr>
            <w:tcW w:w="0" w:type="auto"/>
            <w:tcBorders>
              <w:top w:val="single" w:sz="8" w:space="0" w:color="auto"/>
              <w:left w:val="single" w:sz="8" w:space="0" w:color="auto"/>
              <w:bottom w:val="single" w:sz="4" w:space="0" w:color="auto"/>
              <w:right w:val="single" w:sz="8" w:space="0" w:color="auto"/>
            </w:tcBorders>
            <w:shd w:val="clear" w:color="auto" w:fill="auto"/>
            <w:vAlign w:val="center"/>
            <w:hideMark/>
          </w:tcPr>
          <w:p w14:paraId="3851711F" w14:textId="77777777" w:rsidR="00AF2C0A" w:rsidRPr="00FC0A5A" w:rsidRDefault="00AF2C0A" w:rsidP="006053D2">
            <w:r w:rsidRPr="00FC0A5A">
              <w:t>Biosketch</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276D8F1A" w14:textId="77777777" w:rsidR="00AF2C0A" w:rsidRPr="00FC0A5A" w:rsidRDefault="00AF2C0A" w:rsidP="00FC0A5A">
            <w:pPr>
              <w:jc w:val="center"/>
            </w:pPr>
            <w:r>
              <w:t>13,414</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1178DF2" w14:textId="77777777" w:rsidR="00AF2C0A" w:rsidRPr="00FC0A5A" w:rsidRDefault="00AF2C0A" w:rsidP="00FC0A5A">
            <w:pPr>
              <w:jc w:val="center"/>
            </w:pPr>
            <w:r w:rsidRPr="00FC0A5A">
              <w:t>$35.00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FAD4AE9" w14:textId="77777777" w:rsidR="00AF2C0A" w:rsidRPr="00FC0A5A" w:rsidRDefault="00AF2C0A" w:rsidP="00FC0A5A">
            <w:pPr>
              <w:jc w:val="center"/>
            </w:pPr>
            <w:r w:rsidRPr="00FC0A5A">
              <w:t>$469,490</w:t>
            </w:r>
          </w:p>
        </w:tc>
      </w:tr>
      <w:tr w:rsidR="00AF2C0A" w:rsidRPr="00FC0A5A" w14:paraId="2E436C58" w14:textId="77777777" w:rsidTr="00F224B7">
        <w:trPr>
          <w:trHeight w:val="315"/>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6D83CCAF" w14:textId="77777777" w:rsidR="00AF2C0A" w:rsidRPr="00FC0A5A" w:rsidRDefault="00AF2C0A" w:rsidP="006053D2">
            <w:pPr>
              <w:rPr>
                <w:color w:val="000000"/>
              </w:rPr>
            </w:pPr>
            <w:r w:rsidRPr="00FC0A5A">
              <w:rPr>
                <w:color w:val="000000"/>
              </w:rPr>
              <w:t>416-1</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74503554" w14:textId="77777777" w:rsidR="00AF2C0A" w:rsidRPr="00FC0A5A" w:rsidRDefault="00AF2C0A" w:rsidP="00FC0A5A">
            <w:pPr>
              <w:jc w:val="center"/>
              <w:rPr>
                <w:color w:val="000000"/>
              </w:rPr>
            </w:pPr>
            <w:r w:rsidRPr="00FC0A5A">
              <w:rPr>
                <w:color w:val="000000"/>
              </w:rPr>
              <w:t>29</w:t>
            </w:r>
            <w:r>
              <w:rPr>
                <w:color w:val="000000"/>
              </w:rPr>
              <w:t>0</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41ADD1D" w14:textId="77777777" w:rsidR="00AF2C0A" w:rsidRPr="00FC0A5A" w:rsidRDefault="00AF2C0A" w:rsidP="00FC0A5A">
            <w:pPr>
              <w:jc w:val="center"/>
              <w:rPr>
                <w:color w:val="000000"/>
              </w:rPr>
            </w:pPr>
            <w:r w:rsidRPr="00FC0A5A">
              <w:rPr>
                <w:color w:val="000000"/>
              </w:rPr>
              <w:t>$35.00</w:t>
            </w:r>
          </w:p>
        </w:tc>
        <w:tc>
          <w:tcPr>
            <w:tcW w:w="0" w:type="auto"/>
            <w:tcBorders>
              <w:top w:val="nil"/>
              <w:left w:val="nil"/>
              <w:bottom w:val="single" w:sz="8" w:space="0" w:color="auto"/>
              <w:right w:val="single" w:sz="8" w:space="0" w:color="auto"/>
            </w:tcBorders>
            <w:shd w:val="clear" w:color="auto" w:fill="auto"/>
            <w:vAlign w:val="center"/>
            <w:hideMark/>
          </w:tcPr>
          <w:p w14:paraId="55A17647" w14:textId="77777777" w:rsidR="00AF2C0A" w:rsidRPr="00FC0A5A" w:rsidRDefault="00AF2C0A" w:rsidP="00FC0A5A">
            <w:pPr>
              <w:jc w:val="center"/>
              <w:rPr>
                <w:color w:val="000000"/>
              </w:rPr>
            </w:pPr>
            <w:r w:rsidRPr="00FC0A5A">
              <w:rPr>
                <w:color w:val="000000"/>
              </w:rPr>
              <w:t>$10,150</w:t>
            </w:r>
          </w:p>
        </w:tc>
      </w:tr>
      <w:tr w:rsidR="00AF2C0A" w:rsidRPr="00FC0A5A" w14:paraId="2435E9FD" w14:textId="77777777" w:rsidTr="00F224B7">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BA02AAE" w14:textId="77777777" w:rsidR="00AF2C0A" w:rsidRPr="00FC0A5A" w:rsidRDefault="00AF2C0A" w:rsidP="006053D2">
            <w:pPr>
              <w:rPr>
                <w:color w:val="000000"/>
              </w:rPr>
            </w:pPr>
            <w:r w:rsidRPr="00FC0A5A">
              <w:rPr>
                <w:color w:val="000000"/>
              </w:rPr>
              <w:t>PHS 416-5</w:t>
            </w:r>
          </w:p>
        </w:tc>
        <w:tc>
          <w:tcPr>
            <w:tcW w:w="0" w:type="auto"/>
            <w:tcBorders>
              <w:top w:val="nil"/>
              <w:left w:val="nil"/>
              <w:bottom w:val="single" w:sz="8" w:space="0" w:color="auto"/>
              <w:right w:val="single" w:sz="8" w:space="0" w:color="auto"/>
            </w:tcBorders>
            <w:shd w:val="clear" w:color="auto" w:fill="auto"/>
            <w:vAlign w:val="center"/>
            <w:hideMark/>
          </w:tcPr>
          <w:p w14:paraId="7A9256AF" w14:textId="77777777" w:rsidR="00AF2C0A" w:rsidRPr="00FC0A5A" w:rsidRDefault="00AF2C0A" w:rsidP="00FC0A5A">
            <w:pPr>
              <w:jc w:val="center"/>
              <w:rPr>
                <w:color w:val="000000"/>
              </w:rPr>
            </w:pPr>
            <w:r>
              <w:rPr>
                <w:color w:val="000000"/>
              </w:rPr>
              <w:t>559</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B1472FB" w14:textId="77777777" w:rsidR="00AF2C0A" w:rsidRPr="00FC0A5A" w:rsidRDefault="00AF2C0A" w:rsidP="00FC0A5A">
            <w:pPr>
              <w:jc w:val="center"/>
              <w:rPr>
                <w:color w:val="000000"/>
              </w:rPr>
            </w:pPr>
            <w:r w:rsidRPr="00FC0A5A">
              <w:rPr>
                <w:color w:val="000000"/>
              </w:rPr>
              <w:t>$35.00</w:t>
            </w:r>
          </w:p>
        </w:tc>
        <w:tc>
          <w:tcPr>
            <w:tcW w:w="0" w:type="auto"/>
            <w:tcBorders>
              <w:top w:val="nil"/>
              <w:left w:val="nil"/>
              <w:bottom w:val="single" w:sz="8" w:space="0" w:color="auto"/>
              <w:right w:val="single" w:sz="8" w:space="0" w:color="auto"/>
            </w:tcBorders>
            <w:shd w:val="clear" w:color="auto" w:fill="auto"/>
            <w:vAlign w:val="center"/>
            <w:hideMark/>
          </w:tcPr>
          <w:p w14:paraId="3A8BE751" w14:textId="77777777" w:rsidR="00AF2C0A" w:rsidRPr="00FC0A5A" w:rsidRDefault="00AF2C0A" w:rsidP="001C62A7">
            <w:pPr>
              <w:jc w:val="center"/>
              <w:rPr>
                <w:color w:val="000000"/>
              </w:rPr>
            </w:pPr>
            <w:r w:rsidRPr="00FC0A5A">
              <w:rPr>
                <w:color w:val="000000"/>
              </w:rPr>
              <w:t>$</w:t>
            </w:r>
            <w:r w:rsidR="001C62A7">
              <w:rPr>
                <w:color w:val="000000"/>
              </w:rPr>
              <w:t>19,56</w:t>
            </w:r>
            <w:r w:rsidRPr="00FC0A5A">
              <w:rPr>
                <w:color w:val="000000"/>
              </w:rPr>
              <w:t>5</w:t>
            </w:r>
          </w:p>
        </w:tc>
      </w:tr>
      <w:tr w:rsidR="00AF2C0A" w:rsidRPr="00FC0A5A" w14:paraId="1D3DEECF" w14:textId="77777777" w:rsidTr="00F224B7">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35E6767" w14:textId="77777777" w:rsidR="00AF2C0A" w:rsidRPr="00FC0A5A" w:rsidRDefault="00AF2C0A" w:rsidP="006053D2">
            <w:pPr>
              <w:rPr>
                <w:color w:val="000000"/>
              </w:rPr>
            </w:pPr>
            <w:r w:rsidRPr="00FC0A5A">
              <w:rPr>
                <w:color w:val="000000"/>
              </w:rPr>
              <w:t>PHS 6031</w:t>
            </w:r>
          </w:p>
        </w:tc>
        <w:tc>
          <w:tcPr>
            <w:tcW w:w="0" w:type="auto"/>
            <w:tcBorders>
              <w:top w:val="nil"/>
              <w:left w:val="nil"/>
              <w:bottom w:val="single" w:sz="8" w:space="0" w:color="auto"/>
              <w:right w:val="single" w:sz="8" w:space="0" w:color="auto"/>
            </w:tcBorders>
            <w:shd w:val="clear" w:color="auto" w:fill="auto"/>
            <w:vAlign w:val="center"/>
            <w:hideMark/>
          </w:tcPr>
          <w:p w14:paraId="17B1A1C1" w14:textId="77777777" w:rsidR="00AF2C0A" w:rsidRPr="00FC0A5A" w:rsidRDefault="00AF2C0A" w:rsidP="00FC0A5A">
            <w:pPr>
              <w:jc w:val="center"/>
              <w:rPr>
                <w:color w:val="000000"/>
              </w:rPr>
            </w:pPr>
            <w:r>
              <w:rPr>
                <w:color w:val="000000"/>
              </w:rPr>
              <w:t>518</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4971998" w14:textId="77777777" w:rsidR="00AF2C0A" w:rsidRPr="00FC0A5A" w:rsidRDefault="00AF2C0A" w:rsidP="00FC0A5A">
            <w:pPr>
              <w:jc w:val="center"/>
              <w:rPr>
                <w:color w:val="000000"/>
              </w:rPr>
            </w:pPr>
            <w:r w:rsidRPr="00FC0A5A">
              <w:rPr>
                <w:color w:val="000000"/>
              </w:rPr>
              <w:t>$35.00</w:t>
            </w:r>
          </w:p>
        </w:tc>
        <w:tc>
          <w:tcPr>
            <w:tcW w:w="0" w:type="auto"/>
            <w:tcBorders>
              <w:top w:val="nil"/>
              <w:left w:val="nil"/>
              <w:bottom w:val="single" w:sz="8" w:space="0" w:color="auto"/>
              <w:right w:val="single" w:sz="8" w:space="0" w:color="auto"/>
            </w:tcBorders>
            <w:shd w:val="clear" w:color="auto" w:fill="auto"/>
            <w:vAlign w:val="center"/>
            <w:hideMark/>
          </w:tcPr>
          <w:p w14:paraId="03BDA3B4" w14:textId="77777777" w:rsidR="00AF2C0A" w:rsidRPr="00FC0A5A" w:rsidRDefault="00AF2C0A" w:rsidP="001C62A7">
            <w:pPr>
              <w:jc w:val="center"/>
              <w:rPr>
                <w:color w:val="000000"/>
              </w:rPr>
            </w:pPr>
            <w:r w:rsidRPr="00FC0A5A">
              <w:rPr>
                <w:color w:val="000000"/>
              </w:rPr>
              <w:t>$</w:t>
            </w:r>
            <w:r w:rsidR="001C62A7">
              <w:rPr>
                <w:color w:val="000000"/>
              </w:rPr>
              <w:t>18,130</w:t>
            </w:r>
          </w:p>
        </w:tc>
      </w:tr>
      <w:tr w:rsidR="00AF2C0A" w:rsidRPr="00FC0A5A" w14:paraId="5A7B83C2" w14:textId="77777777" w:rsidTr="00F224B7">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BFF3A70" w14:textId="77777777" w:rsidR="00AF2C0A" w:rsidRPr="00FC0A5A" w:rsidRDefault="00AF2C0A" w:rsidP="006053D2">
            <w:pPr>
              <w:rPr>
                <w:color w:val="000000"/>
              </w:rPr>
            </w:pPr>
            <w:r w:rsidRPr="00FC0A5A">
              <w:rPr>
                <w:color w:val="000000"/>
              </w:rPr>
              <w:t>VCOC Certification</w:t>
            </w:r>
          </w:p>
        </w:tc>
        <w:tc>
          <w:tcPr>
            <w:tcW w:w="0" w:type="auto"/>
            <w:tcBorders>
              <w:top w:val="nil"/>
              <w:left w:val="nil"/>
              <w:bottom w:val="single" w:sz="8" w:space="0" w:color="auto"/>
              <w:right w:val="single" w:sz="8" w:space="0" w:color="auto"/>
            </w:tcBorders>
            <w:shd w:val="clear" w:color="auto" w:fill="auto"/>
            <w:noWrap/>
            <w:vAlign w:val="center"/>
            <w:hideMark/>
          </w:tcPr>
          <w:p w14:paraId="3971C037" w14:textId="77777777" w:rsidR="00AF2C0A" w:rsidRPr="00FC0A5A" w:rsidRDefault="00AF2C0A" w:rsidP="00FC0A5A">
            <w:pPr>
              <w:jc w:val="center"/>
              <w:rPr>
                <w:color w:val="000000"/>
              </w:rPr>
            </w:pPr>
            <w:r>
              <w:rPr>
                <w:color w:val="000000"/>
              </w:rPr>
              <w:t>1</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BE7DC9D" w14:textId="77777777" w:rsidR="00AF2C0A" w:rsidRPr="00FC0A5A" w:rsidRDefault="00AF2C0A" w:rsidP="00FC0A5A">
            <w:pPr>
              <w:jc w:val="center"/>
              <w:rPr>
                <w:color w:val="000000"/>
              </w:rPr>
            </w:pPr>
            <w:r w:rsidRPr="00FC0A5A">
              <w:rPr>
                <w:color w:val="000000"/>
              </w:rPr>
              <w:t>$35.00</w:t>
            </w:r>
          </w:p>
        </w:tc>
        <w:tc>
          <w:tcPr>
            <w:tcW w:w="0" w:type="auto"/>
            <w:tcBorders>
              <w:top w:val="nil"/>
              <w:left w:val="nil"/>
              <w:bottom w:val="single" w:sz="8" w:space="0" w:color="auto"/>
              <w:right w:val="single" w:sz="8" w:space="0" w:color="auto"/>
            </w:tcBorders>
            <w:shd w:val="clear" w:color="auto" w:fill="auto"/>
            <w:vAlign w:val="center"/>
            <w:hideMark/>
          </w:tcPr>
          <w:p w14:paraId="69075CAF" w14:textId="77777777" w:rsidR="00AF2C0A" w:rsidRPr="00FC0A5A" w:rsidRDefault="00AF2C0A" w:rsidP="00FC0A5A">
            <w:pPr>
              <w:jc w:val="center"/>
              <w:rPr>
                <w:color w:val="000000"/>
              </w:rPr>
            </w:pPr>
            <w:r w:rsidRPr="00FC0A5A">
              <w:rPr>
                <w:color w:val="000000"/>
              </w:rPr>
              <w:t>$35</w:t>
            </w:r>
          </w:p>
        </w:tc>
      </w:tr>
      <w:tr w:rsidR="00AF2C0A" w:rsidRPr="00FC0A5A" w14:paraId="3E79EAB6" w14:textId="77777777" w:rsidTr="00F224B7">
        <w:trPr>
          <w:trHeight w:val="52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F7A8FAE" w14:textId="77777777" w:rsidR="00AF2C0A" w:rsidRPr="00FC0A5A" w:rsidRDefault="00AF2C0A" w:rsidP="006053D2">
            <w:pPr>
              <w:rPr>
                <w:color w:val="000000"/>
              </w:rPr>
            </w:pPr>
            <w:r w:rsidRPr="00FC0A5A">
              <w:rPr>
                <w:color w:val="000000"/>
              </w:rPr>
              <w:t>SBIR/STTR Funding Agreement Certification</w:t>
            </w:r>
          </w:p>
        </w:tc>
        <w:tc>
          <w:tcPr>
            <w:tcW w:w="0" w:type="auto"/>
            <w:tcBorders>
              <w:top w:val="nil"/>
              <w:left w:val="nil"/>
              <w:bottom w:val="single" w:sz="8" w:space="0" w:color="auto"/>
              <w:right w:val="single" w:sz="8" w:space="0" w:color="auto"/>
            </w:tcBorders>
            <w:shd w:val="clear" w:color="auto" w:fill="auto"/>
            <w:noWrap/>
            <w:vAlign w:val="center"/>
            <w:hideMark/>
          </w:tcPr>
          <w:p w14:paraId="2BE6D6C3" w14:textId="77777777" w:rsidR="00AF2C0A" w:rsidRPr="00FC0A5A" w:rsidRDefault="00AF2C0A" w:rsidP="00FC0A5A">
            <w:pPr>
              <w:jc w:val="center"/>
              <w:rPr>
                <w:color w:val="000000"/>
              </w:rPr>
            </w:pPr>
            <w:r>
              <w:rPr>
                <w:color w:val="000000"/>
              </w:rPr>
              <w:t>375</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1C9B46E" w14:textId="77777777" w:rsidR="00AF2C0A" w:rsidRPr="00FC0A5A" w:rsidRDefault="00AF2C0A" w:rsidP="00FC0A5A">
            <w:pPr>
              <w:jc w:val="center"/>
              <w:rPr>
                <w:color w:val="000000"/>
              </w:rPr>
            </w:pPr>
            <w:r w:rsidRPr="00FC0A5A">
              <w:rPr>
                <w:color w:val="000000"/>
              </w:rPr>
              <w:t>$35.00</w:t>
            </w:r>
          </w:p>
        </w:tc>
        <w:tc>
          <w:tcPr>
            <w:tcW w:w="0" w:type="auto"/>
            <w:tcBorders>
              <w:top w:val="nil"/>
              <w:left w:val="nil"/>
              <w:bottom w:val="single" w:sz="8" w:space="0" w:color="auto"/>
              <w:right w:val="single" w:sz="8" w:space="0" w:color="auto"/>
            </w:tcBorders>
            <w:shd w:val="clear" w:color="auto" w:fill="auto"/>
            <w:vAlign w:val="center"/>
            <w:hideMark/>
          </w:tcPr>
          <w:p w14:paraId="421BC5A4" w14:textId="77777777" w:rsidR="00AF2C0A" w:rsidRPr="00FC0A5A" w:rsidRDefault="00AF2C0A" w:rsidP="00FC0A5A">
            <w:pPr>
              <w:jc w:val="center"/>
              <w:rPr>
                <w:color w:val="000000"/>
              </w:rPr>
            </w:pPr>
            <w:r w:rsidRPr="00FC0A5A">
              <w:rPr>
                <w:color w:val="000000"/>
              </w:rPr>
              <w:t>$13,125</w:t>
            </w:r>
          </w:p>
        </w:tc>
      </w:tr>
      <w:tr w:rsidR="00177A9C" w:rsidRPr="00FC0A5A" w14:paraId="301D665D" w14:textId="77777777" w:rsidTr="00177A9C">
        <w:trPr>
          <w:trHeight w:val="5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DD01569" w14:textId="77777777" w:rsidR="00177A9C" w:rsidRPr="008C41CB" w:rsidRDefault="00177A9C" w:rsidP="00F224B7">
            <w:pPr>
              <w:rPr>
                <w:color w:val="000000"/>
                <w:highlight w:val="yellow"/>
              </w:rPr>
            </w:pPr>
            <w:r w:rsidRPr="008C41CB">
              <w:rPr>
                <w:color w:val="000000"/>
                <w:highlight w:val="yellow"/>
              </w:rPr>
              <w:t>Total</w:t>
            </w:r>
          </w:p>
        </w:tc>
        <w:tc>
          <w:tcPr>
            <w:tcW w:w="1200" w:type="dxa"/>
            <w:tcBorders>
              <w:top w:val="single" w:sz="8" w:space="0" w:color="auto"/>
              <w:left w:val="single" w:sz="8" w:space="0" w:color="auto"/>
              <w:bottom w:val="single" w:sz="8" w:space="0" w:color="auto"/>
              <w:right w:val="single" w:sz="8" w:space="0" w:color="auto"/>
            </w:tcBorders>
            <w:shd w:val="clear" w:color="auto" w:fill="auto"/>
            <w:vAlign w:val="center"/>
          </w:tcPr>
          <w:p w14:paraId="32D265AA" w14:textId="26C69F0E" w:rsidR="00177A9C" w:rsidRPr="008C41CB" w:rsidRDefault="00D84AF7" w:rsidP="00F224B7">
            <w:pPr>
              <w:rPr>
                <w:color w:val="000000"/>
                <w:highlight w:val="yellow"/>
              </w:rPr>
            </w:pPr>
            <w:r w:rsidRPr="008C41CB">
              <w:rPr>
                <w:b/>
                <w:color w:val="000000"/>
                <w:highlight w:val="yellow"/>
              </w:rPr>
              <w:t>421,777</w:t>
            </w:r>
          </w:p>
        </w:tc>
        <w:tc>
          <w:tcPr>
            <w:tcW w:w="1874" w:type="dxa"/>
            <w:tcBorders>
              <w:top w:val="single" w:sz="8" w:space="0" w:color="auto"/>
              <w:left w:val="single" w:sz="8" w:space="0" w:color="auto"/>
              <w:bottom w:val="single" w:sz="8" w:space="0" w:color="auto"/>
              <w:right w:val="single" w:sz="8" w:space="0" w:color="auto"/>
            </w:tcBorders>
            <w:shd w:val="clear" w:color="auto" w:fill="auto"/>
            <w:vAlign w:val="center"/>
          </w:tcPr>
          <w:p w14:paraId="662E228E" w14:textId="4C83F80E" w:rsidR="00177A9C" w:rsidRPr="008C41CB" w:rsidRDefault="00177A9C" w:rsidP="00F224B7">
            <w:pPr>
              <w:rPr>
                <w:color w:val="000000"/>
                <w:highlight w:val="yellow"/>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12F084A5" w14:textId="1D90959A" w:rsidR="00177A9C" w:rsidRPr="008C41CB" w:rsidRDefault="00177A9C" w:rsidP="0097099B">
            <w:pPr>
              <w:jc w:val="center"/>
              <w:rPr>
                <w:b/>
                <w:bCs/>
                <w:color w:val="000000"/>
                <w:highlight w:val="yellow"/>
              </w:rPr>
            </w:pPr>
            <w:r w:rsidRPr="008C41CB">
              <w:rPr>
                <w:b/>
                <w:bCs/>
                <w:color w:val="000000"/>
                <w:highlight w:val="yellow"/>
              </w:rPr>
              <w:t>$75,263,633</w:t>
            </w:r>
          </w:p>
        </w:tc>
      </w:tr>
    </w:tbl>
    <w:p w14:paraId="3CEBAB80" w14:textId="77777777" w:rsidR="005A0645" w:rsidRDefault="005A0645" w:rsidP="00262E69">
      <w:pPr>
        <w:pStyle w:val="Heading2"/>
      </w:pPr>
      <w:bookmarkStart w:id="18" w:name="_Toc419964739"/>
    </w:p>
    <w:p w14:paraId="72ECCF01" w14:textId="77777777" w:rsidR="00B61497" w:rsidRPr="00830BEA" w:rsidRDefault="00830BEA" w:rsidP="00262E69">
      <w:pPr>
        <w:pStyle w:val="Heading2"/>
      </w:pPr>
      <w:r w:rsidRPr="00830BEA">
        <w:t>A.</w:t>
      </w:r>
      <w:r w:rsidR="008B4461" w:rsidRPr="00830BEA">
        <w:t>13.</w:t>
      </w:r>
      <w:r w:rsidRPr="00830BEA">
        <w:t xml:space="preserve"> </w:t>
      </w:r>
      <w:r w:rsidR="00FC0A5A">
        <w:t>Estimate</w:t>
      </w:r>
      <w:r w:rsidR="00B61497" w:rsidRPr="00830BEA">
        <w:t xml:space="preserve"> of Other Total Annual Cost to Respondents or Record keepers</w:t>
      </w:r>
      <w:bookmarkEnd w:id="18"/>
    </w:p>
    <w:p w14:paraId="01CE55AC" w14:textId="77777777" w:rsidR="00DB08C8" w:rsidRPr="00847667" w:rsidRDefault="00DB08C8" w:rsidP="00530196"/>
    <w:p w14:paraId="63B96825" w14:textId="77777777" w:rsidR="00B61497" w:rsidRPr="00847667" w:rsidRDefault="0062426C" w:rsidP="00530196">
      <w:pPr>
        <w:spacing w:line="480" w:lineRule="auto"/>
        <w:ind w:right="-684"/>
        <w:rPr>
          <w:bCs/>
        </w:rPr>
      </w:pPr>
      <w:r w:rsidRPr="00847667">
        <w:rPr>
          <w:bCs/>
        </w:rPr>
        <w:t>Other annual costs to respondents or record keepers are associated with customary and usual business or practices of organizations applying for PHS funding.</w:t>
      </w:r>
      <w:r w:rsidR="003E01A7">
        <w:rPr>
          <w:bCs/>
        </w:rPr>
        <w:t xml:space="preserve"> There are no additional costs to the respondents.</w:t>
      </w:r>
    </w:p>
    <w:p w14:paraId="5ADD4A47" w14:textId="77777777" w:rsidR="00B61497" w:rsidRPr="00847667" w:rsidRDefault="00B61497" w:rsidP="00530196">
      <w:pPr>
        <w:ind w:right="-684"/>
        <w:rPr>
          <w:bCs/>
        </w:rPr>
      </w:pPr>
    </w:p>
    <w:p w14:paraId="767779C7" w14:textId="77777777" w:rsidR="00B61497" w:rsidRPr="00830BEA" w:rsidRDefault="00830BEA" w:rsidP="00262E69">
      <w:pPr>
        <w:pStyle w:val="Heading2"/>
      </w:pPr>
      <w:bookmarkStart w:id="19" w:name="_Toc419964740"/>
      <w:bookmarkStart w:id="20" w:name="OLE_LINK3"/>
      <w:bookmarkStart w:id="21" w:name="OLE_LINK4"/>
      <w:r w:rsidRPr="00830BEA">
        <w:t>A.</w:t>
      </w:r>
      <w:r w:rsidR="008B4461" w:rsidRPr="00830BEA">
        <w:t>14.</w:t>
      </w:r>
      <w:r w:rsidRPr="00830BEA">
        <w:t xml:space="preserve"> </w:t>
      </w:r>
      <w:r w:rsidR="00B61497" w:rsidRPr="00830BEA">
        <w:t>Annualized Cost to the Federal Government</w:t>
      </w:r>
      <w:bookmarkEnd w:id="19"/>
    </w:p>
    <w:p w14:paraId="6087CE63" w14:textId="77777777" w:rsidR="00DB08C8" w:rsidRPr="00847667" w:rsidRDefault="00DB08C8" w:rsidP="00530196"/>
    <w:bookmarkEnd w:id="20"/>
    <w:bookmarkEnd w:id="21"/>
    <w:p w14:paraId="550598FC" w14:textId="1F37BAA4" w:rsidR="00664182" w:rsidRDefault="00664182" w:rsidP="00A427FF">
      <w:pPr>
        <w:spacing w:line="480" w:lineRule="auto"/>
        <w:ind w:right="-684"/>
        <w:rPr>
          <w:bCs/>
        </w:rPr>
      </w:pPr>
      <w:r>
        <w:rPr>
          <w:bCs/>
        </w:rPr>
        <w:t>The estimated annual cost to the NIH is approximately $</w:t>
      </w:r>
      <w:r w:rsidR="00381FF3">
        <w:rPr>
          <w:bCs/>
        </w:rPr>
        <w:t>222,054</w:t>
      </w:r>
      <w:r>
        <w:rPr>
          <w:bCs/>
        </w:rPr>
        <w:t>. This information is calculated based on the NIH Policy Analyst</w:t>
      </w:r>
      <w:r w:rsidR="00381FF3">
        <w:rPr>
          <w:bCs/>
        </w:rPr>
        <w:t xml:space="preserve"> and Health Scientist</w:t>
      </w:r>
      <w:r w:rsidR="005A0645">
        <w:rPr>
          <w:bCs/>
        </w:rPr>
        <w:t xml:space="preserve"> Administrator</w:t>
      </w:r>
      <w:r>
        <w:rPr>
          <w:bCs/>
        </w:rPr>
        <w:t xml:space="preserve">’s salary and percentage of effort devoted to preparing this submission, as well as contractor costs associated with compiling all revisions. These expenses would not have been incurred without this collection of information. </w:t>
      </w:r>
    </w:p>
    <w:p w14:paraId="52CAE066" w14:textId="77777777" w:rsidR="00AF2C0A" w:rsidRDefault="00AF2C0A" w:rsidP="00A427FF">
      <w:pPr>
        <w:spacing w:line="480" w:lineRule="auto"/>
        <w:ind w:right="-684"/>
        <w:rPr>
          <w:bCs/>
        </w:rPr>
      </w:pPr>
    </w:p>
    <w:p w14:paraId="4C0F95A0" w14:textId="77777777" w:rsidR="001C5091" w:rsidRPr="00FC0A5A" w:rsidRDefault="00FC0A5A" w:rsidP="001C6651">
      <w:pPr>
        <w:ind w:right="-684"/>
        <w:jc w:val="center"/>
        <w:rPr>
          <w:bCs/>
        </w:rPr>
      </w:pPr>
      <w:r w:rsidRPr="00FC0A5A">
        <w:rPr>
          <w:bCs/>
          <w:color w:val="000000"/>
        </w:rPr>
        <w:t>Annualized Cost to the Federal Government</w:t>
      </w:r>
      <w:r w:rsidR="001C5091">
        <w:rPr>
          <w:bCs/>
          <w:color w:val="000000"/>
        </w:rPr>
        <w:br/>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38"/>
        <w:gridCol w:w="1350"/>
        <w:gridCol w:w="1350"/>
        <w:gridCol w:w="1260"/>
        <w:gridCol w:w="1400"/>
        <w:gridCol w:w="1580"/>
      </w:tblGrid>
      <w:tr w:rsidR="00A7076A" w:rsidRPr="001C5091" w14:paraId="619597C5" w14:textId="77777777" w:rsidTr="00A7076A">
        <w:trPr>
          <w:trHeight w:val="610"/>
        </w:trPr>
        <w:tc>
          <w:tcPr>
            <w:tcW w:w="2538" w:type="dxa"/>
            <w:shd w:val="clear" w:color="auto" w:fill="auto"/>
            <w:noWrap/>
            <w:tcMar>
              <w:top w:w="0" w:type="dxa"/>
              <w:left w:w="108" w:type="dxa"/>
              <w:bottom w:w="0" w:type="dxa"/>
              <w:right w:w="108" w:type="dxa"/>
            </w:tcMar>
            <w:vAlign w:val="bottom"/>
            <w:hideMark/>
          </w:tcPr>
          <w:p w14:paraId="0CEBFC89" w14:textId="77777777" w:rsidR="001C6651" w:rsidRPr="001C5091" w:rsidRDefault="001C6651" w:rsidP="0052692A">
            <w:pPr>
              <w:jc w:val="center"/>
              <w:rPr>
                <w:rFonts w:eastAsia="Calibri"/>
                <w:b/>
                <w:bCs/>
                <w:color w:val="000000"/>
              </w:rPr>
            </w:pPr>
            <w:r w:rsidRPr="001C5091">
              <w:rPr>
                <w:b/>
                <w:bCs/>
                <w:color w:val="000000"/>
              </w:rPr>
              <w:t>Staff</w:t>
            </w:r>
          </w:p>
        </w:tc>
        <w:tc>
          <w:tcPr>
            <w:tcW w:w="1350" w:type="dxa"/>
            <w:shd w:val="clear" w:color="auto" w:fill="auto"/>
            <w:vAlign w:val="bottom"/>
          </w:tcPr>
          <w:p w14:paraId="5443CC57" w14:textId="77777777" w:rsidR="001C6651" w:rsidRPr="001C5091" w:rsidRDefault="001C6651" w:rsidP="0052692A">
            <w:pPr>
              <w:jc w:val="center"/>
              <w:rPr>
                <w:rFonts w:eastAsia="Calibri"/>
                <w:b/>
                <w:bCs/>
                <w:color w:val="1F497D"/>
              </w:rPr>
            </w:pPr>
          </w:p>
          <w:p w14:paraId="480304C4" w14:textId="77777777" w:rsidR="001C6651" w:rsidRPr="001C5091" w:rsidRDefault="001C6651" w:rsidP="0052692A">
            <w:pPr>
              <w:jc w:val="center"/>
              <w:rPr>
                <w:rFonts w:eastAsia="Calibri"/>
                <w:b/>
                <w:bCs/>
                <w:color w:val="000000"/>
              </w:rPr>
            </w:pPr>
            <w:r w:rsidRPr="001C5091">
              <w:rPr>
                <w:b/>
                <w:bCs/>
                <w:color w:val="000000"/>
              </w:rPr>
              <w:t>Grade/Step</w:t>
            </w:r>
          </w:p>
        </w:tc>
        <w:tc>
          <w:tcPr>
            <w:tcW w:w="1350" w:type="dxa"/>
            <w:shd w:val="clear" w:color="auto" w:fill="auto"/>
            <w:tcMar>
              <w:top w:w="0" w:type="dxa"/>
              <w:left w:w="108" w:type="dxa"/>
              <w:bottom w:w="0" w:type="dxa"/>
              <w:right w:w="108" w:type="dxa"/>
            </w:tcMar>
            <w:vAlign w:val="bottom"/>
            <w:hideMark/>
          </w:tcPr>
          <w:p w14:paraId="36DAA0E8" w14:textId="77777777" w:rsidR="001C6651" w:rsidRPr="001C5091" w:rsidRDefault="001C6651" w:rsidP="0052692A">
            <w:pPr>
              <w:jc w:val="center"/>
              <w:rPr>
                <w:rFonts w:eastAsia="Calibri"/>
                <w:b/>
                <w:bCs/>
              </w:rPr>
            </w:pPr>
            <w:r w:rsidRPr="001C5091">
              <w:rPr>
                <w:b/>
                <w:bCs/>
              </w:rPr>
              <w:t>Salary</w:t>
            </w:r>
          </w:p>
        </w:tc>
        <w:tc>
          <w:tcPr>
            <w:tcW w:w="1260" w:type="dxa"/>
            <w:shd w:val="clear" w:color="auto" w:fill="auto"/>
            <w:tcMar>
              <w:top w:w="0" w:type="dxa"/>
              <w:left w:w="108" w:type="dxa"/>
              <w:bottom w:w="0" w:type="dxa"/>
              <w:right w:w="108" w:type="dxa"/>
            </w:tcMar>
            <w:vAlign w:val="bottom"/>
            <w:hideMark/>
          </w:tcPr>
          <w:p w14:paraId="7C5BA59E" w14:textId="77777777" w:rsidR="001C6651" w:rsidRPr="001C5091" w:rsidRDefault="001C6651" w:rsidP="0052692A">
            <w:pPr>
              <w:jc w:val="center"/>
              <w:rPr>
                <w:rFonts w:eastAsia="Calibri"/>
                <w:b/>
                <w:bCs/>
              </w:rPr>
            </w:pPr>
            <w:r w:rsidRPr="001C5091">
              <w:rPr>
                <w:b/>
                <w:bCs/>
              </w:rPr>
              <w:t>% of Effort</w:t>
            </w:r>
          </w:p>
        </w:tc>
        <w:tc>
          <w:tcPr>
            <w:tcW w:w="1400" w:type="dxa"/>
            <w:shd w:val="clear" w:color="auto" w:fill="auto"/>
            <w:vAlign w:val="bottom"/>
          </w:tcPr>
          <w:p w14:paraId="62ED8739" w14:textId="77777777" w:rsidR="001C6651" w:rsidRPr="001C5091" w:rsidRDefault="001C6651" w:rsidP="0052692A">
            <w:pPr>
              <w:jc w:val="center"/>
              <w:rPr>
                <w:b/>
                <w:bCs/>
              </w:rPr>
            </w:pPr>
            <w:r w:rsidRPr="001C5091">
              <w:rPr>
                <w:b/>
                <w:bCs/>
              </w:rPr>
              <w:t>Fringe (if applicable)</w:t>
            </w:r>
          </w:p>
        </w:tc>
        <w:tc>
          <w:tcPr>
            <w:tcW w:w="1580" w:type="dxa"/>
            <w:shd w:val="clear" w:color="auto" w:fill="auto"/>
            <w:vAlign w:val="bottom"/>
          </w:tcPr>
          <w:p w14:paraId="4D69740B" w14:textId="77777777" w:rsidR="001C6651" w:rsidRPr="001C5091" w:rsidRDefault="001C6651" w:rsidP="0052692A">
            <w:pPr>
              <w:jc w:val="center"/>
              <w:rPr>
                <w:b/>
                <w:bCs/>
              </w:rPr>
            </w:pPr>
            <w:r>
              <w:rPr>
                <w:b/>
                <w:bCs/>
              </w:rPr>
              <w:t>Total Cost to Governmen</w:t>
            </w:r>
            <w:r w:rsidRPr="001C5091">
              <w:rPr>
                <w:b/>
                <w:bCs/>
              </w:rPr>
              <w:t>t</w:t>
            </w:r>
          </w:p>
        </w:tc>
      </w:tr>
      <w:tr w:rsidR="00A7076A" w:rsidRPr="001C5091" w14:paraId="0836378C" w14:textId="77777777" w:rsidTr="00A7076A">
        <w:trPr>
          <w:trHeight w:val="300"/>
        </w:trPr>
        <w:tc>
          <w:tcPr>
            <w:tcW w:w="2538" w:type="dxa"/>
            <w:noWrap/>
            <w:tcMar>
              <w:top w:w="0" w:type="dxa"/>
              <w:left w:w="108" w:type="dxa"/>
              <w:bottom w:w="0" w:type="dxa"/>
              <w:right w:w="108" w:type="dxa"/>
            </w:tcMar>
            <w:vAlign w:val="bottom"/>
          </w:tcPr>
          <w:p w14:paraId="42EC4F3C" w14:textId="77777777" w:rsidR="001C6651" w:rsidRPr="001C5091" w:rsidRDefault="001C6651" w:rsidP="0052692A">
            <w:pPr>
              <w:jc w:val="center"/>
              <w:rPr>
                <w:rFonts w:eastAsia="Calibri"/>
                <w:b/>
                <w:color w:val="000000"/>
                <w:highlight w:val="yellow"/>
              </w:rPr>
            </w:pPr>
            <w:r w:rsidRPr="001C5091">
              <w:rPr>
                <w:rFonts w:eastAsia="Calibri"/>
                <w:b/>
                <w:color w:val="000000"/>
              </w:rPr>
              <w:lastRenderedPageBreak/>
              <w:t>Federal Oversight</w:t>
            </w:r>
          </w:p>
        </w:tc>
        <w:tc>
          <w:tcPr>
            <w:tcW w:w="1350" w:type="dxa"/>
            <w:vAlign w:val="bottom"/>
          </w:tcPr>
          <w:p w14:paraId="7EA8957F" w14:textId="77777777" w:rsidR="001C6651" w:rsidRPr="001C5091" w:rsidRDefault="001C6651" w:rsidP="0052692A">
            <w:pPr>
              <w:jc w:val="center"/>
              <w:rPr>
                <w:rFonts w:eastAsia="Calibri"/>
                <w:color w:val="000000"/>
                <w:highlight w:val="yellow"/>
              </w:rPr>
            </w:pPr>
          </w:p>
        </w:tc>
        <w:tc>
          <w:tcPr>
            <w:tcW w:w="1350" w:type="dxa"/>
            <w:noWrap/>
            <w:tcMar>
              <w:top w:w="0" w:type="dxa"/>
              <w:left w:w="108" w:type="dxa"/>
              <w:bottom w:w="0" w:type="dxa"/>
              <w:right w:w="108" w:type="dxa"/>
            </w:tcMar>
            <w:vAlign w:val="bottom"/>
          </w:tcPr>
          <w:p w14:paraId="247C2E23" w14:textId="77777777" w:rsidR="001C6651" w:rsidRPr="001C5091" w:rsidRDefault="001C6651" w:rsidP="0052692A">
            <w:pPr>
              <w:jc w:val="center"/>
            </w:pPr>
          </w:p>
        </w:tc>
        <w:tc>
          <w:tcPr>
            <w:tcW w:w="1260" w:type="dxa"/>
            <w:noWrap/>
            <w:tcMar>
              <w:top w:w="0" w:type="dxa"/>
              <w:left w:w="108" w:type="dxa"/>
              <w:bottom w:w="0" w:type="dxa"/>
              <w:right w:w="108" w:type="dxa"/>
            </w:tcMar>
            <w:vAlign w:val="bottom"/>
          </w:tcPr>
          <w:p w14:paraId="4B02B813" w14:textId="77777777" w:rsidR="001C6651" w:rsidRPr="001C5091" w:rsidRDefault="001C6651" w:rsidP="0052692A">
            <w:pPr>
              <w:jc w:val="center"/>
            </w:pPr>
          </w:p>
        </w:tc>
        <w:tc>
          <w:tcPr>
            <w:tcW w:w="1400" w:type="dxa"/>
            <w:shd w:val="clear" w:color="auto" w:fill="auto"/>
            <w:vAlign w:val="bottom"/>
          </w:tcPr>
          <w:p w14:paraId="425C960E" w14:textId="77777777" w:rsidR="001C6651" w:rsidRPr="001C5091" w:rsidRDefault="001C6651" w:rsidP="0052692A">
            <w:pPr>
              <w:jc w:val="center"/>
            </w:pPr>
          </w:p>
        </w:tc>
        <w:tc>
          <w:tcPr>
            <w:tcW w:w="1580" w:type="dxa"/>
            <w:vAlign w:val="bottom"/>
          </w:tcPr>
          <w:p w14:paraId="74F5792A" w14:textId="77777777" w:rsidR="001C6651" w:rsidRPr="001C5091" w:rsidRDefault="001C6651" w:rsidP="0052692A">
            <w:pPr>
              <w:jc w:val="center"/>
            </w:pPr>
          </w:p>
        </w:tc>
      </w:tr>
      <w:tr w:rsidR="00A7076A" w:rsidRPr="001C5091" w14:paraId="07C027AF" w14:textId="77777777" w:rsidTr="00A7076A">
        <w:trPr>
          <w:trHeight w:val="300"/>
        </w:trPr>
        <w:tc>
          <w:tcPr>
            <w:tcW w:w="2538" w:type="dxa"/>
            <w:noWrap/>
            <w:tcMar>
              <w:top w:w="0" w:type="dxa"/>
              <w:left w:w="108" w:type="dxa"/>
              <w:bottom w:w="0" w:type="dxa"/>
              <w:right w:w="108" w:type="dxa"/>
            </w:tcMar>
            <w:vAlign w:val="bottom"/>
          </w:tcPr>
          <w:p w14:paraId="22FDAFEE" w14:textId="77777777" w:rsidR="001C6651" w:rsidRPr="001C5091" w:rsidRDefault="001C6651" w:rsidP="0052692A">
            <w:pPr>
              <w:jc w:val="center"/>
              <w:rPr>
                <w:rFonts w:eastAsia="Calibri"/>
              </w:rPr>
            </w:pPr>
            <w:r>
              <w:rPr>
                <w:rFonts w:eastAsia="Calibri"/>
              </w:rPr>
              <w:t>NIH Grants Policy Analyst</w:t>
            </w:r>
          </w:p>
        </w:tc>
        <w:tc>
          <w:tcPr>
            <w:tcW w:w="1350" w:type="dxa"/>
            <w:vAlign w:val="bottom"/>
          </w:tcPr>
          <w:p w14:paraId="79530E88" w14:textId="7DEB7582" w:rsidR="001C6651" w:rsidRPr="001C5091" w:rsidRDefault="001C6651" w:rsidP="0052692A">
            <w:pPr>
              <w:jc w:val="center"/>
              <w:rPr>
                <w:rFonts w:eastAsia="Calibri"/>
              </w:rPr>
            </w:pPr>
            <w:r>
              <w:rPr>
                <w:rFonts w:eastAsia="Calibri"/>
              </w:rPr>
              <w:t>14/</w:t>
            </w:r>
            <w:r w:rsidR="00285ACF">
              <w:rPr>
                <w:rFonts w:eastAsia="Calibri"/>
              </w:rPr>
              <w:t>4</w:t>
            </w:r>
          </w:p>
        </w:tc>
        <w:tc>
          <w:tcPr>
            <w:tcW w:w="1350" w:type="dxa"/>
            <w:noWrap/>
            <w:tcMar>
              <w:top w:w="0" w:type="dxa"/>
              <w:left w:w="108" w:type="dxa"/>
              <w:bottom w:w="0" w:type="dxa"/>
              <w:right w:w="108" w:type="dxa"/>
            </w:tcMar>
            <w:vAlign w:val="bottom"/>
          </w:tcPr>
          <w:p w14:paraId="026165C8" w14:textId="0055FD85" w:rsidR="001C6651" w:rsidRPr="001C5091" w:rsidRDefault="00285ACF" w:rsidP="0052692A">
            <w:pPr>
              <w:jc w:val="center"/>
              <w:rPr>
                <w:rFonts w:eastAsia="Calibri"/>
              </w:rPr>
            </w:pPr>
            <w:r w:rsidRPr="00285ACF">
              <w:rPr>
                <w:rFonts w:eastAsia="Calibri"/>
              </w:rPr>
              <w:t>119</w:t>
            </w:r>
            <w:r>
              <w:rPr>
                <w:rFonts w:eastAsia="Calibri"/>
              </w:rPr>
              <w:t>,</w:t>
            </w:r>
            <w:r w:rsidRPr="00285ACF">
              <w:rPr>
                <w:rFonts w:eastAsia="Calibri"/>
              </w:rPr>
              <w:t>776</w:t>
            </w:r>
          </w:p>
        </w:tc>
        <w:tc>
          <w:tcPr>
            <w:tcW w:w="1260" w:type="dxa"/>
            <w:noWrap/>
            <w:tcMar>
              <w:top w:w="0" w:type="dxa"/>
              <w:left w:w="108" w:type="dxa"/>
              <w:bottom w:w="0" w:type="dxa"/>
              <w:right w:w="108" w:type="dxa"/>
            </w:tcMar>
            <w:vAlign w:val="bottom"/>
          </w:tcPr>
          <w:p w14:paraId="6D8A4C32" w14:textId="6F0E2A8C" w:rsidR="001C6651" w:rsidRPr="001C5091" w:rsidRDefault="00285ACF" w:rsidP="0052692A">
            <w:pPr>
              <w:jc w:val="center"/>
              <w:rPr>
                <w:rFonts w:eastAsia="Calibri"/>
              </w:rPr>
            </w:pPr>
            <w:r>
              <w:rPr>
                <w:rFonts w:eastAsia="Calibri"/>
              </w:rPr>
              <w:t>50</w:t>
            </w:r>
            <w:r w:rsidR="001C6651">
              <w:rPr>
                <w:rFonts w:eastAsia="Calibri"/>
              </w:rPr>
              <w:t>%</w:t>
            </w:r>
          </w:p>
        </w:tc>
        <w:tc>
          <w:tcPr>
            <w:tcW w:w="1400" w:type="dxa"/>
            <w:shd w:val="clear" w:color="auto" w:fill="BFBFBF" w:themeFill="background1" w:themeFillShade="BF"/>
            <w:vAlign w:val="bottom"/>
          </w:tcPr>
          <w:p w14:paraId="6D9A1040" w14:textId="77777777" w:rsidR="001C6651" w:rsidRPr="001C5091" w:rsidRDefault="001C6651" w:rsidP="0052692A">
            <w:pPr>
              <w:jc w:val="center"/>
            </w:pPr>
          </w:p>
        </w:tc>
        <w:tc>
          <w:tcPr>
            <w:tcW w:w="1580" w:type="dxa"/>
            <w:vAlign w:val="bottom"/>
          </w:tcPr>
          <w:p w14:paraId="4A6E625B" w14:textId="37FFE558" w:rsidR="001C6651" w:rsidRPr="001C5091" w:rsidRDefault="00285ACF" w:rsidP="0052692A">
            <w:pPr>
              <w:jc w:val="center"/>
            </w:pPr>
            <w:r>
              <w:t>59,888</w:t>
            </w:r>
          </w:p>
        </w:tc>
      </w:tr>
      <w:tr w:rsidR="00381FF3" w:rsidRPr="001C5091" w14:paraId="2BD2E8A4" w14:textId="77777777" w:rsidTr="00A7076A">
        <w:trPr>
          <w:trHeight w:val="300"/>
        </w:trPr>
        <w:tc>
          <w:tcPr>
            <w:tcW w:w="2538" w:type="dxa"/>
            <w:noWrap/>
            <w:tcMar>
              <w:top w:w="0" w:type="dxa"/>
              <w:left w:w="108" w:type="dxa"/>
              <w:bottom w:w="0" w:type="dxa"/>
              <w:right w:w="108" w:type="dxa"/>
            </w:tcMar>
            <w:vAlign w:val="bottom"/>
          </w:tcPr>
          <w:p w14:paraId="4FFEA505" w14:textId="269DDD5D" w:rsidR="00381FF3" w:rsidRPr="00381FF3" w:rsidRDefault="00381FF3" w:rsidP="00381FF3">
            <w:pPr>
              <w:jc w:val="center"/>
              <w:rPr>
                <w:color w:val="000000"/>
              </w:rPr>
            </w:pPr>
            <w:r>
              <w:rPr>
                <w:color w:val="000000"/>
              </w:rPr>
              <w:t>NIH Health Scientist Administrator</w:t>
            </w:r>
          </w:p>
        </w:tc>
        <w:tc>
          <w:tcPr>
            <w:tcW w:w="1350" w:type="dxa"/>
            <w:vAlign w:val="bottom"/>
          </w:tcPr>
          <w:p w14:paraId="770D8854" w14:textId="4285FFAD" w:rsidR="00381FF3" w:rsidRDefault="00381FF3" w:rsidP="0052692A">
            <w:pPr>
              <w:jc w:val="center"/>
              <w:rPr>
                <w:rFonts w:eastAsia="Calibri"/>
              </w:rPr>
            </w:pPr>
            <w:r>
              <w:rPr>
                <w:rFonts w:eastAsia="Calibri"/>
              </w:rPr>
              <w:t>15/4</w:t>
            </w:r>
          </w:p>
        </w:tc>
        <w:tc>
          <w:tcPr>
            <w:tcW w:w="1350" w:type="dxa"/>
            <w:noWrap/>
            <w:tcMar>
              <w:top w:w="0" w:type="dxa"/>
              <w:left w:w="108" w:type="dxa"/>
              <w:bottom w:w="0" w:type="dxa"/>
              <w:right w:w="108" w:type="dxa"/>
            </w:tcMar>
            <w:vAlign w:val="bottom"/>
          </w:tcPr>
          <w:p w14:paraId="5D3404B6" w14:textId="29AE759A" w:rsidR="00381FF3" w:rsidRPr="00285ACF" w:rsidRDefault="00381FF3" w:rsidP="0052692A">
            <w:pPr>
              <w:jc w:val="center"/>
              <w:rPr>
                <w:rFonts w:eastAsia="Calibri"/>
              </w:rPr>
            </w:pPr>
            <w:r>
              <w:rPr>
                <w:rFonts w:eastAsia="Calibri"/>
              </w:rPr>
              <w:t>140,892</w:t>
            </w:r>
          </w:p>
        </w:tc>
        <w:tc>
          <w:tcPr>
            <w:tcW w:w="1260" w:type="dxa"/>
            <w:noWrap/>
            <w:tcMar>
              <w:top w:w="0" w:type="dxa"/>
              <w:left w:w="108" w:type="dxa"/>
              <w:bottom w:w="0" w:type="dxa"/>
              <w:right w:w="108" w:type="dxa"/>
            </w:tcMar>
            <w:vAlign w:val="bottom"/>
          </w:tcPr>
          <w:p w14:paraId="2FA5A03F" w14:textId="24E2620C" w:rsidR="00381FF3" w:rsidDel="00285ACF" w:rsidRDefault="00381FF3" w:rsidP="0052692A">
            <w:pPr>
              <w:jc w:val="center"/>
              <w:rPr>
                <w:rFonts w:eastAsia="Calibri"/>
              </w:rPr>
            </w:pPr>
            <w:r>
              <w:rPr>
                <w:rFonts w:eastAsia="Calibri"/>
              </w:rPr>
              <w:t>50%</w:t>
            </w:r>
          </w:p>
        </w:tc>
        <w:tc>
          <w:tcPr>
            <w:tcW w:w="1400" w:type="dxa"/>
            <w:shd w:val="clear" w:color="auto" w:fill="BFBFBF" w:themeFill="background1" w:themeFillShade="BF"/>
            <w:vAlign w:val="bottom"/>
          </w:tcPr>
          <w:p w14:paraId="00015A78" w14:textId="77777777" w:rsidR="00381FF3" w:rsidRPr="001C5091" w:rsidRDefault="00381FF3" w:rsidP="0052692A">
            <w:pPr>
              <w:jc w:val="center"/>
            </w:pPr>
          </w:p>
        </w:tc>
        <w:tc>
          <w:tcPr>
            <w:tcW w:w="1580" w:type="dxa"/>
            <w:vAlign w:val="bottom"/>
          </w:tcPr>
          <w:p w14:paraId="4EF86F4E" w14:textId="1BD83CAE" w:rsidR="00381FF3" w:rsidDel="00285ACF" w:rsidRDefault="00381FF3" w:rsidP="0052692A">
            <w:pPr>
              <w:jc w:val="center"/>
            </w:pPr>
            <w:r>
              <w:t>70,446</w:t>
            </w:r>
          </w:p>
        </w:tc>
      </w:tr>
      <w:tr w:rsidR="00A7076A" w:rsidRPr="001C5091" w14:paraId="411B2E6B" w14:textId="77777777" w:rsidTr="00A7076A">
        <w:trPr>
          <w:trHeight w:val="300"/>
        </w:trPr>
        <w:tc>
          <w:tcPr>
            <w:tcW w:w="2538" w:type="dxa"/>
            <w:noWrap/>
            <w:tcMar>
              <w:top w:w="0" w:type="dxa"/>
              <w:left w:w="108" w:type="dxa"/>
              <w:bottom w:w="0" w:type="dxa"/>
              <w:right w:w="108" w:type="dxa"/>
            </w:tcMar>
            <w:vAlign w:val="bottom"/>
          </w:tcPr>
          <w:p w14:paraId="71BF2A41" w14:textId="77777777" w:rsidR="001C6651" w:rsidRPr="001C5091" w:rsidRDefault="001C6651" w:rsidP="0052692A">
            <w:pPr>
              <w:jc w:val="center"/>
              <w:rPr>
                <w:rFonts w:eastAsia="Calibri"/>
              </w:rPr>
            </w:pPr>
          </w:p>
        </w:tc>
        <w:tc>
          <w:tcPr>
            <w:tcW w:w="1350" w:type="dxa"/>
            <w:vAlign w:val="bottom"/>
          </w:tcPr>
          <w:p w14:paraId="4DC4FCF8" w14:textId="77777777" w:rsidR="001C6651" w:rsidRPr="001C5091" w:rsidRDefault="001C6651" w:rsidP="0052692A">
            <w:pPr>
              <w:jc w:val="center"/>
              <w:rPr>
                <w:rFonts w:eastAsia="Calibri"/>
              </w:rPr>
            </w:pPr>
          </w:p>
        </w:tc>
        <w:tc>
          <w:tcPr>
            <w:tcW w:w="1350" w:type="dxa"/>
            <w:noWrap/>
            <w:tcMar>
              <w:top w:w="0" w:type="dxa"/>
              <w:left w:w="108" w:type="dxa"/>
              <w:bottom w:w="0" w:type="dxa"/>
              <w:right w:w="108" w:type="dxa"/>
            </w:tcMar>
            <w:vAlign w:val="bottom"/>
          </w:tcPr>
          <w:p w14:paraId="19298B97" w14:textId="77777777" w:rsidR="001C6651" w:rsidRPr="001C5091" w:rsidRDefault="001C6651" w:rsidP="0052692A">
            <w:pPr>
              <w:jc w:val="center"/>
              <w:rPr>
                <w:rFonts w:eastAsia="Calibri"/>
              </w:rPr>
            </w:pPr>
          </w:p>
        </w:tc>
        <w:tc>
          <w:tcPr>
            <w:tcW w:w="1260" w:type="dxa"/>
            <w:noWrap/>
            <w:tcMar>
              <w:top w:w="0" w:type="dxa"/>
              <w:left w:w="108" w:type="dxa"/>
              <w:bottom w:w="0" w:type="dxa"/>
              <w:right w:w="108" w:type="dxa"/>
            </w:tcMar>
            <w:vAlign w:val="bottom"/>
          </w:tcPr>
          <w:p w14:paraId="69DCDCFF" w14:textId="77777777" w:rsidR="001C6651" w:rsidRPr="001C5091" w:rsidRDefault="001C6651" w:rsidP="0052692A">
            <w:pPr>
              <w:jc w:val="center"/>
              <w:rPr>
                <w:rFonts w:eastAsia="Calibri"/>
              </w:rPr>
            </w:pPr>
          </w:p>
        </w:tc>
        <w:tc>
          <w:tcPr>
            <w:tcW w:w="1400" w:type="dxa"/>
            <w:shd w:val="clear" w:color="auto" w:fill="auto"/>
            <w:vAlign w:val="bottom"/>
          </w:tcPr>
          <w:p w14:paraId="591704DE" w14:textId="77777777" w:rsidR="001C6651" w:rsidRPr="001C5091" w:rsidRDefault="001C6651" w:rsidP="0052692A">
            <w:pPr>
              <w:jc w:val="center"/>
            </w:pPr>
          </w:p>
        </w:tc>
        <w:tc>
          <w:tcPr>
            <w:tcW w:w="1580" w:type="dxa"/>
            <w:vAlign w:val="bottom"/>
          </w:tcPr>
          <w:p w14:paraId="63229781" w14:textId="77777777" w:rsidR="001C6651" w:rsidRPr="001C5091" w:rsidRDefault="001C6651" w:rsidP="0052692A">
            <w:pPr>
              <w:jc w:val="center"/>
            </w:pPr>
          </w:p>
        </w:tc>
      </w:tr>
      <w:tr w:rsidR="00A7076A" w:rsidRPr="001C5091" w14:paraId="516DEB62" w14:textId="77777777" w:rsidTr="00A7076A">
        <w:trPr>
          <w:trHeight w:val="300"/>
        </w:trPr>
        <w:tc>
          <w:tcPr>
            <w:tcW w:w="2538" w:type="dxa"/>
            <w:noWrap/>
            <w:tcMar>
              <w:top w:w="0" w:type="dxa"/>
              <w:left w:w="108" w:type="dxa"/>
              <w:bottom w:w="0" w:type="dxa"/>
              <w:right w:w="108" w:type="dxa"/>
            </w:tcMar>
            <w:vAlign w:val="bottom"/>
          </w:tcPr>
          <w:p w14:paraId="4AD090B1" w14:textId="77777777" w:rsidR="001C6651" w:rsidRPr="001C5091" w:rsidRDefault="001C6651" w:rsidP="0052692A">
            <w:pPr>
              <w:jc w:val="center"/>
              <w:rPr>
                <w:rFonts w:eastAsia="Calibri"/>
                <w:b/>
              </w:rPr>
            </w:pPr>
            <w:r w:rsidRPr="001C5091">
              <w:rPr>
                <w:rFonts w:eastAsia="Calibri"/>
                <w:b/>
              </w:rPr>
              <w:t>Contractor Cost</w:t>
            </w:r>
          </w:p>
        </w:tc>
        <w:tc>
          <w:tcPr>
            <w:tcW w:w="1350" w:type="dxa"/>
            <w:shd w:val="clear" w:color="auto" w:fill="auto"/>
            <w:vAlign w:val="bottom"/>
          </w:tcPr>
          <w:p w14:paraId="3E4BBDA1" w14:textId="77777777" w:rsidR="001C6651" w:rsidRPr="001C5091" w:rsidRDefault="001C6651" w:rsidP="0052692A">
            <w:pPr>
              <w:jc w:val="center"/>
              <w:rPr>
                <w:rFonts w:eastAsia="Calibri"/>
              </w:rPr>
            </w:pPr>
          </w:p>
        </w:tc>
        <w:tc>
          <w:tcPr>
            <w:tcW w:w="1350" w:type="dxa"/>
            <w:noWrap/>
            <w:tcMar>
              <w:top w:w="0" w:type="dxa"/>
              <w:left w:w="108" w:type="dxa"/>
              <w:bottom w:w="0" w:type="dxa"/>
              <w:right w:w="108" w:type="dxa"/>
            </w:tcMar>
            <w:vAlign w:val="bottom"/>
          </w:tcPr>
          <w:p w14:paraId="7AB68F78" w14:textId="77777777" w:rsidR="001C6651" w:rsidRPr="001C5091" w:rsidRDefault="001C6651" w:rsidP="0052692A">
            <w:pPr>
              <w:jc w:val="center"/>
              <w:rPr>
                <w:rFonts w:eastAsia="Calibri"/>
              </w:rPr>
            </w:pPr>
          </w:p>
        </w:tc>
        <w:tc>
          <w:tcPr>
            <w:tcW w:w="1260" w:type="dxa"/>
            <w:noWrap/>
            <w:tcMar>
              <w:top w:w="0" w:type="dxa"/>
              <w:left w:w="108" w:type="dxa"/>
              <w:bottom w:w="0" w:type="dxa"/>
              <w:right w:w="108" w:type="dxa"/>
            </w:tcMar>
            <w:vAlign w:val="bottom"/>
          </w:tcPr>
          <w:p w14:paraId="48AAE175" w14:textId="77777777" w:rsidR="001C6651" w:rsidRPr="001C5091" w:rsidRDefault="001C6651" w:rsidP="0052692A">
            <w:pPr>
              <w:jc w:val="center"/>
              <w:rPr>
                <w:rFonts w:eastAsia="Calibri"/>
              </w:rPr>
            </w:pPr>
          </w:p>
        </w:tc>
        <w:tc>
          <w:tcPr>
            <w:tcW w:w="1400" w:type="dxa"/>
            <w:vAlign w:val="bottom"/>
          </w:tcPr>
          <w:p w14:paraId="5E9830E0" w14:textId="77777777" w:rsidR="001C6651" w:rsidRPr="001C5091" w:rsidRDefault="001C6651" w:rsidP="0052692A">
            <w:pPr>
              <w:jc w:val="center"/>
            </w:pPr>
          </w:p>
        </w:tc>
        <w:tc>
          <w:tcPr>
            <w:tcW w:w="1580" w:type="dxa"/>
            <w:vAlign w:val="bottom"/>
          </w:tcPr>
          <w:p w14:paraId="0F97E662" w14:textId="77777777" w:rsidR="001C6651" w:rsidRPr="001C5091" w:rsidRDefault="001C6651" w:rsidP="0052692A">
            <w:pPr>
              <w:jc w:val="center"/>
            </w:pPr>
          </w:p>
        </w:tc>
      </w:tr>
      <w:tr w:rsidR="00A7076A" w:rsidRPr="001C5091" w14:paraId="54E452F4" w14:textId="77777777" w:rsidTr="00A7076A">
        <w:trPr>
          <w:trHeight w:val="300"/>
        </w:trPr>
        <w:tc>
          <w:tcPr>
            <w:tcW w:w="2538" w:type="dxa"/>
            <w:noWrap/>
            <w:tcMar>
              <w:top w:w="0" w:type="dxa"/>
              <w:left w:w="108" w:type="dxa"/>
              <w:bottom w:w="0" w:type="dxa"/>
              <w:right w:w="108" w:type="dxa"/>
            </w:tcMar>
            <w:vAlign w:val="bottom"/>
          </w:tcPr>
          <w:p w14:paraId="00EBE7C5" w14:textId="77777777" w:rsidR="001C6651" w:rsidRPr="001C5091" w:rsidRDefault="00A7076A" w:rsidP="0052692A">
            <w:pPr>
              <w:jc w:val="center"/>
              <w:rPr>
                <w:rFonts w:eastAsia="Calibri"/>
                <w:b/>
              </w:rPr>
            </w:pPr>
            <w:r>
              <w:t xml:space="preserve">2 field </w:t>
            </w:r>
            <w:r w:rsidRPr="003F64C2">
              <w:t>contract</w:t>
            </w:r>
            <w:r>
              <w:t>or staff (</w:t>
            </w:r>
            <w:r>
              <w:rPr>
                <w:rFonts w:eastAsia="Calibri"/>
              </w:rPr>
              <w:t>Ripple Effects Communications, Inc.)</w:t>
            </w:r>
          </w:p>
        </w:tc>
        <w:tc>
          <w:tcPr>
            <w:tcW w:w="1350" w:type="dxa"/>
            <w:shd w:val="clear" w:color="auto" w:fill="BFBFBF" w:themeFill="background1" w:themeFillShade="BF"/>
            <w:vAlign w:val="bottom"/>
          </w:tcPr>
          <w:p w14:paraId="752729E2" w14:textId="77777777" w:rsidR="001C6651" w:rsidRPr="001C5091" w:rsidRDefault="001C6651" w:rsidP="0052692A">
            <w:pPr>
              <w:jc w:val="center"/>
              <w:rPr>
                <w:rFonts w:eastAsia="Calibri"/>
              </w:rPr>
            </w:pPr>
          </w:p>
        </w:tc>
        <w:tc>
          <w:tcPr>
            <w:tcW w:w="1350" w:type="dxa"/>
            <w:noWrap/>
            <w:tcMar>
              <w:top w:w="0" w:type="dxa"/>
              <w:left w:w="108" w:type="dxa"/>
              <w:bottom w:w="0" w:type="dxa"/>
              <w:right w:w="108" w:type="dxa"/>
            </w:tcMar>
            <w:vAlign w:val="bottom"/>
          </w:tcPr>
          <w:p w14:paraId="7A7EC194" w14:textId="77777777" w:rsidR="001C6651" w:rsidRPr="001C5091" w:rsidRDefault="001C6651" w:rsidP="0052692A">
            <w:pPr>
              <w:jc w:val="center"/>
              <w:rPr>
                <w:rFonts w:eastAsia="Calibri"/>
              </w:rPr>
            </w:pPr>
            <w:r>
              <w:rPr>
                <w:rFonts w:eastAsia="Calibri"/>
              </w:rPr>
              <w:t>$91,720</w:t>
            </w:r>
          </w:p>
        </w:tc>
        <w:tc>
          <w:tcPr>
            <w:tcW w:w="1260" w:type="dxa"/>
            <w:noWrap/>
            <w:tcMar>
              <w:top w:w="0" w:type="dxa"/>
              <w:left w:w="108" w:type="dxa"/>
              <w:bottom w:w="0" w:type="dxa"/>
              <w:right w:w="108" w:type="dxa"/>
            </w:tcMar>
            <w:vAlign w:val="bottom"/>
          </w:tcPr>
          <w:p w14:paraId="6BD54785" w14:textId="4793FAB3" w:rsidR="001C6651" w:rsidRPr="001C5091" w:rsidRDefault="00285ACF" w:rsidP="0052692A">
            <w:pPr>
              <w:jc w:val="center"/>
              <w:rPr>
                <w:rFonts w:eastAsia="Calibri"/>
              </w:rPr>
            </w:pPr>
            <w:r>
              <w:rPr>
                <w:rFonts w:eastAsia="Calibri"/>
              </w:rPr>
              <w:t>5</w:t>
            </w:r>
            <w:r w:rsidR="001C6651">
              <w:rPr>
                <w:rFonts w:eastAsia="Calibri"/>
              </w:rPr>
              <w:t>0%</w:t>
            </w:r>
          </w:p>
        </w:tc>
        <w:tc>
          <w:tcPr>
            <w:tcW w:w="1400" w:type="dxa"/>
            <w:shd w:val="clear" w:color="auto" w:fill="BFBFBF" w:themeFill="background1" w:themeFillShade="BF"/>
            <w:vAlign w:val="bottom"/>
          </w:tcPr>
          <w:p w14:paraId="7025A3C9" w14:textId="77777777" w:rsidR="001C6651" w:rsidRPr="001C5091" w:rsidRDefault="001C6651" w:rsidP="0052692A">
            <w:pPr>
              <w:jc w:val="center"/>
            </w:pPr>
          </w:p>
        </w:tc>
        <w:tc>
          <w:tcPr>
            <w:tcW w:w="1580" w:type="dxa"/>
            <w:vAlign w:val="bottom"/>
          </w:tcPr>
          <w:p w14:paraId="6F095A91" w14:textId="4D080426" w:rsidR="001C6651" w:rsidRPr="001C5091" w:rsidRDefault="00381FF3" w:rsidP="0052692A">
            <w:pPr>
              <w:jc w:val="center"/>
            </w:pPr>
            <w:r>
              <w:t>91,720</w:t>
            </w:r>
          </w:p>
        </w:tc>
      </w:tr>
      <w:tr w:rsidR="00A7076A" w:rsidRPr="001C5091" w14:paraId="4FAB93A0" w14:textId="77777777" w:rsidTr="00A7076A">
        <w:trPr>
          <w:trHeight w:val="300"/>
        </w:trPr>
        <w:tc>
          <w:tcPr>
            <w:tcW w:w="2538" w:type="dxa"/>
            <w:noWrap/>
            <w:tcMar>
              <w:top w:w="0" w:type="dxa"/>
              <w:left w:w="108" w:type="dxa"/>
              <w:bottom w:w="0" w:type="dxa"/>
              <w:right w:w="108" w:type="dxa"/>
            </w:tcMar>
            <w:vAlign w:val="bottom"/>
          </w:tcPr>
          <w:p w14:paraId="564F323B" w14:textId="77777777" w:rsidR="001C6651" w:rsidRPr="001C5091" w:rsidRDefault="001C6651" w:rsidP="0052692A">
            <w:pPr>
              <w:jc w:val="center"/>
              <w:rPr>
                <w:rFonts w:eastAsia="Calibri"/>
              </w:rPr>
            </w:pPr>
          </w:p>
        </w:tc>
        <w:tc>
          <w:tcPr>
            <w:tcW w:w="1350" w:type="dxa"/>
            <w:vAlign w:val="bottom"/>
          </w:tcPr>
          <w:p w14:paraId="3746E83C" w14:textId="77777777" w:rsidR="001C6651" w:rsidRPr="001C5091" w:rsidRDefault="001C6651" w:rsidP="0052692A">
            <w:pPr>
              <w:jc w:val="center"/>
              <w:rPr>
                <w:rFonts w:eastAsia="Calibri"/>
              </w:rPr>
            </w:pPr>
          </w:p>
        </w:tc>
        <w:tc>
          <w:tcPr>
            <w:tcW w:w="1350" w:type="dxa"/>
            <w:noWrap/>
            <w:tcMar>
              <w:top w:w="0" w:type="dxa"/>
              <w:left w:w="108" w:type="dxa"/>
              <w:bottom w:w="0" w:type="dxa"/>
              <w:right w:w="108" w:type="dxa"/>
            </w:tcMar>
            <w:vAlign w:val="bottom"/>
          </w:tcPr>
          <w:p w14:paraId="364827BB" w14:textId="77777777" w:rsidR="001C6651" w:rsidRPr="001C5091" w:rsidRDefault="001C6651" w:rsidP="0052692A">
            <w:pPr>
              <w:jc w:val="center"/>
              <w:rPr>
                <w:rFonts w:eastAsia="Calibri"/>
              </w:rPr>
            </w:pPr>
          </w:p>
        </w:tc>
        <w:tc>
          <w:tcPr>
            <w:tcW w:w="1260" w:type="dxa"/>
            <w:noWrap/>
            <w:tcMar>
              <w:top w:w="0" w:type="dxa"/>
              <w:left w:w="108" w:type="dxa"/>
              <w:bottom w:w="0" w:type="dxa"/>
              <w:right w:w="108" w:type="dxa"/>
            </w:tcMar>
            <w:vAlign w:val="bottom"/>
          </w:tcPr>
          <w:p w14:paraId="0928F3EC" w14:textId="77777777" w:rsidR="001C6651" w:rsidRPr="001C5091" w:rsidRDefault="001C6651" w:rsidP="0052692A">
            <w:pPr>
              <w:jc w:val="center"/>
              <w:rPr>
                <w:rFonts w:eastAsia="Calibri"/>
              </w:rPr>
            </w:pPr>
          </w:p>
        </w:tc>
        <w:tc>
          <w:tcPr>
            <w:tcW w:w="1400" w:type="dxa"/>
            <w:vAlign w:val="bottom"/>
          </w:tcPr>
          <w:p w14:paraId="0322670D" w14:textId="77777777" w:rsidR="001C6651" w:rsidRPr="001C5091" w:rsidRDefault="001C6651" w:rsidP="0052692A">
            <w:pPr>
              <w:jc w:val="center"/>
            </w:pPr>
          </w:p>
        </w:tc>
        <w:tc>
          <w:tcPr>
            <w:tcW w:w="1580" w:type="dxa"/>
            <w:vAlign w:val="bottom"/>
          </w:tcPr>
          <w:p w14:paraId="59D807AE" w14:textId="77777777" w:rsidR="001C6651" w:rsidRPr="001C5091" w:rsidRDefault="001C6651" w:rsidP="0052692A">
            <w:pPr>
              <w:jc w:val="center"/>
            </w:pPr>
          </w:p>
        </w:tc>
      </w:tr>
      <w:tr w:rsidR="00A7076A" w:rsidRPr="001C5091" w14:paraId="68F80C97" w14:textId="77777777" w:rsidTr="00A7076A">
        <w:trPr>
          <w:trHeight w:val="300"/>
        </w:trPr>
        <w:tc>
          <w:tcPr>
            <w:tcW w:w="2538" w:type="dxa"/>
            <w:noWrap/>
            <w:tcMar>
              <w:top w:w="0" w:type="dxa"/>
              <w:left w:w="108" w:type="dxa"/>
              <w:bottom w:w="0" w:type="dxa"/>
              <w:right w:w="108" w:type="dxa"/>
            </w:tcMar>
            <w:vAlign w:val="bottom"/>
          </w:tcPr>
          <w:p w14:paraId="044B43CF" w14:textId="77777777" w:rsidR="001C6651" w:rsidRPr="001C5091" w:rsidRDefault="001C6651" w:rsidP="0052692A">
            <w:pPr>
              <w:jc w:val="center"/>
              <w:rPr>
                <w:rFonts w:eastAsia="Calibri"/>
              </w:rPr>
            </w:pPr>
            <w:r w:rsidRPr="001C5091">
              <w:rPr>
                <w:rFonts w:eastAsia="Calibri"/>
              </w:rPr>
              <w:t>Travel</w:t>
            </w:r>
          </w:p>
        </w:tc>
        <w:tc>
          <w:tcPr>
            <w:tcW w:w="1350" w:type="dxa"/>
            <w:shd w:val="clear" w:color="auto" w:fill="BFBFBF" w:themeFill="background1" w:themeFillShade="BF"/>
            <w:vAlign w:val="bottom"/>
          </w:tcPr>
          <w:p w14:paraId="56751824" w14:textId="77777777" w:rsidR="001C6651" w:rsidRPr="001C5091" w:rsidRDefault="001C6651" w:rsidP="0052692A">
            <w:pPr>
              <w:jc w:val="center"/>
              <w:rPr>
                <w:rFonts w:eastAsia="Calibri"/>
              </w:rPr>
            </w:pPr>
          </w:p>
        </w:tc>
        <w:tc>
          <w:tcPr>
            <w:tcW w:w="1350" w:type="dxa"/>
            <w:shd w:val="clear" w:color="auto" w:fill="BFBFBF" w:themeFill="background1" w:themeFillShade="BF"/>
            <w:noWrap/>
            <w:tcMar>
              <w:top w:w="0" w:type="dxa"/>
              <w:left w:w="108" w:type="dxa"/>
              <w:bottom w:w="0" w:type="dxa"/>
              <w:right w:w="108" w:type="dxa"/>
            </w:tcMar>
            <w:vAlign w:val="bottom"/>
          </w:tcPr>
          <w:p w14:paraId="652C02E7" w14:textId="77777777" w:rsidR="001C6651" w:rsidRPr="001C5091" w:rsidRDefault="001C6651" w:rsidP="0052692A">
            <w:pPr>
              <w:jc w:val="center"/>
              <w:rPr>
                <w:rFonts w:eastAsia="Calibri"/>
              </w:rPr>
            </w:pPr>
          </w:p>
        </w:tc>
        <w:tc>
          <w:tcPr>
            <w:tcW w:w="1260" w:type="dxa"/>
            <w:shd w:val="clear" w:color="auto" w:fill="BFBFBF" w:themeFill="background1" w:themeFillShade="BF"/>
            <w:noWrap/>
            <w:tcMar>
              <w:top w:w="0" w:type="dxa"/>
              <w:left w:w="108" w:type="dxa"/>
              <w:bottom w:w="0" w:type="dxa"/>
              <w:right w:w="108" w:type="dxa"/>
            </w:tcMar>
            <w:vAlign w:val="bottom"/>
          </w:tcPr>
          <w:p w14:paraId="64785259" w14:textId="77777777" w:rsidR="001C6651" w:rsidRPr="001C5091" w:rsidRDefault="001C6651" w:rsidP="0052692A">
            <w:pPr>
              <w:jc w:val="center"/>
              <w:rPr>
                <w:rFonts w:eastAsia="Calibri"/>
              </w:rPr>
            </w:pPr>
          </w:p>
        </w:tc>
        <w:tc>
          <w:tcPr>
            <w:tcW w:w="1400" w:type="dxa"/>
            <w:shd w:val="clear" w:color="auto" w:fill="BFBFBF" w:themeFill="background1" w:themeFillShade="BF"/>
            <w:vAlign w:val="bottom"/>
          </w:tcPr>
          <w:p w14:paraId="76FC18E3" w14:textId="77777777" w:rsidR="001C6651" w:rsidRPr="001C5091" w:rsidRDefault="001C6651" w:rsidP="0052692A">
            <w:pPr>
              <w:jc w:val="center"/>
            </w:pPr>
          </w:p>
        </w:tc>
        <w:tc>
          <w:tcPr>
            <w:tcW w:w="1580" w:type="dxa"/>
            <w:shd w:val="clear" w:color="auto" w:fill="BFBFBF" w:themeFill="background1" w:themeFillShade="BF"/>
            <w:vAlign w:val="bottom"/>
          </w:tcPr>
          <w:p w14:paraId="4053C6A2" w14:textId="77777777" w:rsidR="001C6651" w:rsidRPr="001C5091" w:rsidRDefault="001C6651" w:rsidP="0052692A">
            <w:pPr>
              <w:jc w:val="center"/>
            </w:pPr>
          </w:p>
        </w:tc>
      </w:tr>
      <w:tr w:rsidR="00A7076A" w:rsidRPr="001C5091" w14:paraId="7E9B1713" w14:textId="77777777" w:rsidTr="00A7076A">
        <w:trPr>
          <w:trHeight w:val="300"/>
        </w:trPr>
        <w:tc>
          <w:tcPr>
            <w:tcW w:w="2538" w:type="dxa"/>
            <w:noWrap/>
            <w:tcMar>
              <w:top w:w="0" w:type="dxa"/>
              <w:left w:w="108" w:type="dxa"/>
              <w:bottom w:w="0" w:type="dxa"/>
              <w:right w:w="108" w:type="dxa"/>
            </w:tcMar>
            <w:vAlign w:val="bottom"/>
          </w:tcPr>
          <w:p w14:paraId="0F07F199" w14:textId="77777777" w:rsidR="001C6651" w:rsidRPr="001C5091" w:rsidRDefault="001C6651" w:rsidP="0052692A">
            <w:pPr>
              <w:jc w:val="center"/>
              <w:rPr>
                <w:rFonts w:eastAsia="Calibri"/>
                <w:color w:val="1F497D"/>
                <w:highlight w:val="yellow"/>
              </w:rPr>
            </w:pPr>
            <w:r w:rsidRPr="001C5091">
              <w:rPr>
                <w:rFonts w:eastAsia="Calibri"/>
              </w:rPr>
              <w:t>Other Cost</w:t>
            </w:r>
          </w:p>
        </w:tc>
        <w:tc>
          <w:tcPr>
            <w:tcW w:w="1350" w:type="dxa"/>
            <w:shd w:val="clear" w:color="auto" w:fill="BFBFBF" w:themeFill="background1" w:themeFillShade="BF"/>
            <w:vAlign w:val="bottom"/>
          </w:tcPr>
          <w:p w14:paraId="3ECC2DE9" w14:textId="77777777" w:rsidR="001C6651" w:rsidRPr="001C5091" w:rsidRDefault="001C6651" w:rsidP="0052692A">
            <w:pPr>
              <w:jc w:val="center"/>
              <w:rPr>
                <w:rFonts w:eastAsia="Calibri"/>
                <w:color w:val="000000"/>
              </w:rPr>
            </w:pPr>
          </w:p>
        </w:tc>
        <w:tc>
          <w:tcPr>
            <w:tcW w:w="1350" w:type="dxa"/>
            <w:shd w:val="clear" w:color="auto" w:fill="BFBFBF" w:themeFill="background1" w:themeFillShade="BF"/>
            <w:noWrap/>
            <w:tcMar>
              <w:top w:w="0" w:type="dxa"/>
              <w:left w:w="108" w:type="dxa"/>
              <w:bottom w:w="0" w:type="dxa"/>
              <w:right w:w="108" w:type="dxa"/>
            </w:tcMar>
            <w:vAlign w:val="bottom"/>
          </w:tcPr>
          <w:p w14:paraId="3A0A0761" w14:textId="77777777" w:rsidR="001C6651" w:rsidRPr="001C5091" w:rsidRDefault="001C6651" w:rsidP="0052692A">
            <w:pPr>
              <w:jc w:val="center"/>
              <w:rPr>
                <w:rFonts w:eastAsia="Calibri"/>
              </w:rPr>
            </w:pPr>
          </w:p>
        </w:tc>
        <w:tc>
          <w:tcPr>
            <w:tcW w:w="1260" w:type="dxa"/>
            <w:shd w:val="clear" w:color="auto" w:fill="BFBFBF" w:themeFill="background1" w:themeFillShade="BF"/>
            <w:noWrap/>
            <w:tcMar>
              <w:top w:w="0" w:type="dxa"/>
              <w:left w:w="108" w:type="dxa"/>
              <w:bottom w:w="0" w:type="dxa"/>
              <w:right w:w="108" w:type="dxa"/>
            </w:tcMar>
            <w:vAlign w:val="bottom"/>
          </w:tcPr>
          <w:p w14:paraId="2DC9F5DF" w14:textId="77777777" w:rsidR="001C6651" w:rsidRPr="001C5091" w:rsidRDefault="001C6651" w:rsidP="0052692A">
            <w:pPr>
              <w:jc w:val="center"/>
              <w:rPr>
                <w:rFonts w:eastAsia="Calibri"/>
              </w:rPr>
            </w:pPr>
          </w:p>
        </w:tc>
        <w:tc>
          <w:tcPr>
            <w:tcW w:w="1400" w:type="dxa"/>
            <w:shd w:val="clear" w:color="auto" w:fill="BFBFBF" w:themeFill="background1" w:themeFillShade="BF"/>
            <w:vAlign w:val="bottom"/>
          </w:tcPr>
          <w:p w14:paraId="37EA397D" w14:textId="77777777" w:rsidR="001C6651" w:rsidRPr="001C5091" w:rsidRDefault="001C6651" w:rsidP="0052692A">
            <w:pPr>
              <w:jc w:val="center"/>
              <w:rPr>
                <w:rFonts w:eastAsia="Calibri"/>
              </w:rPr>
            </w:pPr>
          </w:p>
        </w:tc>
        <w:tc>
          <w:tcPr>
            <w:tcW w:w="1580" w:type="dxa"/>
            <w:shd w:val="clear" w:color="auto" w:fill="BFBFBF" w:themeFill="background1" w:themeFillShade="BF"/>
            <w:vAlign w:val="bottom"/>
          </w:tcPr>
          <w:p w14:paraId="2FAC4335" w14:textId="77777777" w:rsidR="001C6651" w:rsidRPr="001C5091" w:rsidRDefault="001C6651" w:rsidP="0052692A">
            <w:pPr>
              <w:jc w:val="center"/>
              <w:rPr>
                <w:rFonts w:eastAsia="Calibri"/>
              </w:rPr>
            </w:pPr>
          </w:p>
        </w:tc>
      </w:tr>
      <w:tr w:rsidR="00A7076A" w:rsidRPr="001C5091" w14:paraId="2E955896" w14:textId="77777777" w:rsidTr="00A7076A">
        <w:trPr>
          <w:trHeight w:val="300"/>
        </w:trPr>
        <w:tc>
          <w:tcPr>
            <w:tcW w:w="2538" w:type="dxa"/>
            <w:noWrap/>
            <w:tcMar>
              <w:top w:w="0" w:type="dxa"/>
              <w:left w:w="108" w:type="dxa"/>
              <w:bottom w:w="0" w:type="dxa"/>
              <w:right w:w="108" w:type="dxa"/>
            </w:tcMar>
            <w:vAlign w:val="bottom"/>
            <w:hideMark/>
          </w:tcPr>
          <w:p w14:paraId="1ED13767" w14:textId="77777777" w:rsidR="001C6651" w:rsidRPr="001C5091" w:rsidRDefault="001C6651" w:rsidP="0052692A">
            <w:pPr>
              <w:jc w:val="center"/>
              <w:rPr>
                <w:rFonts w:eastAsia="Calibri"/>
                <w:bCs/>
                <w:color w:val="000000"/>
              </w:rPr>
            </w:pPr>
          </w:p>
        </w:tc>
        <w:tc>
          <w:tcPr>
            <w:tcW w:w="1350" w:type="dxa"/>
            <w:shd w:val="clear" w:color="auto" w:fill="auto"/>
            <w:vAlign w:val="bottom"/>
          </w:tcPr>
          <w:p w14:paraId="5B473BDD" w14:textId="77777777" w:rsidR="001C6651" w:rsidRPr="001C5091" w:rsidRDefault="001C6651" w:rsidP="0052692A">
            <w:pPr>
              <w:jc w:val="center"/>
              <w:rPr>
                <w:rFonts w:eastAsia="Calibri"/>
              </w:rPr>
            </w:pPr>
          </w:p>
        </w:tc>
        <w:tc>
          <w:tcPr>
            <w:tcW w:w="1350" w:type="dxa"/>
            <w:shd w:val="clear" w:color="auto" w:fill="auto"/>
            <w:noWrap/>
            <w:tcMar>
              <w:top w:w="0" w:type="dxa"/>
              <w:left w:w="108" w:type="dxa"/>
              <w:bottom w:w="0" w:type="dxa"/>
              <w:right w:w="108" w:type="dxa"/>
            </w:tcMar>
            <w:vAlign w:val="bottom"/>
            <w:hideMark/>
          </w:tcPr>
          <w:p w14:paraId="56D07822" w14:textId="77777777" w:rsidR="001C6651" w:rsidRPr="001C5091" w:rsidRDefault="001C6651" w:rsidP="0052692A">
            <w:pPr>
              <w:jc w:val="center"/>
            </w:pPr>
          </w:p>
        </w:tc>
        <w:tc>
          <w:tcPr>
            <w:tcW w:w="1260" w:type="dxa"/>
            <w:shd w:val="clear" w:color="auto" w:fill="auto"/>
            <w:noWrap/>
            <w:tcMar>
              <w:top w:w="0" w:type="dxa"/>
              <w:left w:w="108" w:type="dxa"/>
              <w:bottom w:w="0" w:type="dxa"/>
              <w:right w:w="108" w:type="dxa"/>
            </w:tcMar>
            <w:vAlign w:val="bottom"/>
          </w:tcPr>
          <w:p w14:paraId="169D8AF1" w14:textId="77777777" w:rsidR="001C6651" w:rsidRPr="001C5091" w:rsidRDefault="001C6651" w:rsidP="0052692A">
            <w:pPr>
              <w:jc w:val="center"/>
              <w:rPr>
                <w:rFonts w:eastAsia="Calibri"/>
                <w:b/>
              </w:rPr>
            </w:pPr>
          </w:p>
        </w:tc>
        <w:tc>
          <w:tcPr>
            <w:tcW w:w="1400" w:type="dxa"/>
            <w:shd w:val="clear" w:color="auto" w:fill="auto"/>
            <w:vAlign w:val="bottom"/>
          </w:tcPr>
          <w:p w14:paraId="34E80A2E" w14:textId="77777777" w:rsidR="001C6651" w:rsidRPr="001C5091" w:rsidRDefault="001C6651" w:rsidP="0052692A">
            <w:pPr>
              <w:jc w:val="center"/>
              <w:rPr>
                <w:b/>
              </w:rPr>
            </w:pPr>
          </w:p>
        </w:tc>
        <w:tc>
          <w:tcPr>
            <w:tcW w:w="1580" w:type="dxa"/>
            <w:shd w:val="clear" w:color="auto" w:fill="auto"/>
            <w:vAlign w:val="bottom"/>
          </w:tcPr>
          <w:p w14:paraId="44DB5D41" w14:textId="77777777" w:rsidR="001C6651" w:rsidRPr="001C5091" w:rsidRDefault="001C6651" w:rsidP="0052692A">
            <w:pPr>
              <w:jc w:val="center"/>
              <w:rPr>
                <w:b/>
              </w:rPr>
            </w:pPr>
          </w:p>
        </w:tc>
      </w:tr>
      <w:tr w:rsidR="00A7076A" w:rsidRPr="001C5091" w14:paraId="4986F5FF" w14:textId="77777777" w:rsidTr="00A7076A">
        <w:trPr>
          <w:trHeight w:val="300"/>
        </w:trPr>
        <w:tc>
          <w:tcPr>
            <w:tcW w:w="2538" w:type="dxa"/>
            <w:noWrap/>
            <w:tcMar>
              <w:top w:w="0" w:type="dxa"/>
              <w:left w:w="108" w:type="dxa"/>
              <w:bottom w:w="0" w:type="dxa"/>
              <w:right w:w="108" w:type="dxa"/>
            </w:tcMar>
            <w:vAlign w:val="bottom"/>
            <w:hideMark/>
          </w:tcPr>
          <w:p w14:paraId="32744165" w14:textId="77777777" w:rsidR="001C6651" w:rsidRPr="001C5091" w:rsidRDefault="001C6651" w:rsidP="0052692A">
            <w:pPr>
              <w:jc w:val="center"/>
            </w:pPr>
            <w:r>
              <w:t>Total</w:t>
            </w:r>
          </w:p>
        </w:tc>
        <w:tc>
          <w:tcPr>
            <w:tcW w:w="1350" w:type="dxa"/>
            <w:vAlign w:val="bottom"/>
          </w:tcPr>
          <w:p w14:paraId="30FD7D6F" w14:textId="77777777" w:rsidR="001C6651" w:rsidRPr="001C5091" w:rsidRDefault="001C6651" w:rsidP="0052692A">
            <w:pPr>
              <w:jc w:val="center"/>
              <w:rPr>
                <w:rFonts w:eastAsia="Calibri"/>
              </w:rPr>
            </w:pPr>
          </w:p>
        </w:tc>
        <w:tc>
          <w:tcPr>
            <w:tcW w:w="1350" w:type="dxa"/>
            <w:noWrap/>
            <w:tcMar>
              <w:top w:w="0" w:type="dxa"/>
              <w:left w:w="108" w:type="dxa"/>
              <w:bottom w:w="0" w:type="dxa"/>
              <w:right w:w="108" w:type="dxa"/>
            </w:tcMar>
            <w:vAlign w:val="bottom"/>
            <w:hideMark/>
          </w:tcPr>
          <w:p w14:paraId="07C1D894" w14:textId="77777777" w:rsidR="001C6651" w:rsidRPr="001C5091" w:rsidRDefault="001C6651" w:rsidP="0052692A">
            <w:pPr>
              <w:jc w:val="center"/>
            </w:pPr>
          </w:p>
        </w:tc>
        <w:tc>
          <w:tcPr>
            <w:tcW w:w="1260" w:type="dxa"/>
            <w:noWrap/>
            <w:tcMar>
              <w:top w:w="0" w:type="dxa"/>
              <w:left w:w="108" w:type="dxa"/>
              <w:bottom w:w="0" w:type="dxa"/>
              <w:right w:w="108" w:type="dxa"/>
            </w:tcMar>
            <w:vAlign w:val="bottom"/>
            <w:hideMark/>
          </w:tcPr>
          <w:p w14:paraId="329E63A8" w14:textId="77777777" w:rsidR="001C6651" w:rsidRPr="001C5091" w:rsidRDefault="001C6651" w:rsidP="0052692A">
            <w:pPr>
              <w:jc w:val="center"/>
            </w:pPr>
          </w:p>
        </w:tc>
        <w:tc>
          <w:tcPr>
            <w:tcW w:w="1400" w:type="dxa"/>
            <w:vAlign w:val="bottom"/>
          </w:tcPr>
          <w:p w14:paraId="0161FF39" w14:textId="77777777" w:rsidR="001C6651" w:rsidRPr="001C5091" w:rsidRDefault="001C6651" w:rsidP="0052692A">
            <w:pPr>
              <w:jc w:val="center"/>
            </w:pPr>
          </w:p>
        </w:tc>
        <w:tc>
          <w:tcPr>
            <w:tcW w:w="1580" w:type="dxa"/>
            <w:vAlign w:val="bottom"/>
          </w:tcPr>
          <w:p w14:paraId="2788E35C" w14:textId="13057727" w:rsidR="001C6651" w:rsidRPr="001C5091" w:rsidRDefault="00381FF3" w:rsidP="0052692A">
            <w:pPr>
              <w:jc w:val="center"/>
            </w:pPr>
            <w:r>
              <w:t>222,054</w:t>
            </w:r>
          </w:p>
        </w:tc>
      </w:tr>
    </w:tbl>
    <w:p w14:paraId="5998181B" w14:textId="77777777" w:rsidR="00E73675" w:rsidRDefault="00E73675" w:rsidP="00530196">
      <w:pPr>
        <w:ind w:right="-684"/>
        <w:rPr>
          <w:b/>
          <w:bCs/>
        </w:rPr>
      </w:pPr>
    </w:p>
    <w:p w14:paraId="3AE1AB83" w14:textId="77777777" w:rsidR="00FC0A5A" w:rsidRDefault="00FC0A5A" w:rsidP="00530196">
      <w:pPr>
        <w:ind w:right="-684"/>
        <w:rPr>
          <w:b/>
          <w:bCs/>
        </w:rPr>
      </w:pPr>
    </w:p>
    <w:p w14:paraId="7E7D830C" w14:textId="77777777" w:rsidR="00B61497" w:rsidRPr="00420406" w:rsidRDefault="00830BEA" w:rsidP="00262E69">
      <w:pPr>
        <w:pStyle w:val="Heading2"/>
        <w:rPr>
          <w:highlight w:val="yellow"/>
          <w:u w:val="single"/>
        </w:rPr>
      </w:pPr>
      <w:bookmarkStart w:id="22" w:name="_Toc419964741"/>
      <w:r w:rsidRPr="00DE17C5">
        <w:t>A.</w:t>
      </w:r>
      <w:r w:rsidR="00067FB0" w:rsidRPr="00DE17C5">
        <w:t>15.</w:t>
      </w:r>
      <w:r w:rsidRPr="00DE17C5">
        <w:t xml:space="preserve"> </w:t>
      </w:r>
      <w:r w:rsidR="00B61497" w:rsidRPr="00DE17C5">
        <w:t xml:space="preserve">Explanation for Program Changes </w:t>
      </w:r>
      <w:r w:rsidR="00A61C0C">
        <w:t>or Adjustments</w:t>
      </w:r>
      <w:bookmarkEnd w:id="22"/>
    </w:p>
    <w:p w14:paraId="301967FC" w14:textId="77777777" w:rsidR="00D172F4" w:rsidRPr="003D769D" w:rsidRDefault="00D172F4" w:rsidP="00530196">
      <w:pPr>
        <w:ind w:right="-684"/>
      </w:pPr>
    </w:p>
    <w:p w14:paraId="59B6F581" w14:textId="0AFDC419" w:rsidR="00DC5BF1" w:rsidRPr="00F236C6" w:rsidRDefault="00E2475A" w:rsidP="00E2475A">
      <w:pPr>
        <w:spacing w:line="480" w:lineRule="auto"/>
        <w:ind w:right="-684"/>
      </w:pPr>
      <w:r w:rsidRPr="008C41CB">
        <w:rPr>
          <w:highlight w:val="yellow"/>
        </w:rPr>
        <w:t xml:space="preserve">This submission represents program changes; previous estimated </w:t>
      </w:r>
      <w:r w:rsidR="00323989" w:rsidRPr="008C41CB">
        <w:rPr>
          <w:highlight w:val="yellow"/>
        </w:rPr>
        <w:t xml:space="preserve">total burden hours for 0925-0001 </w:t>
      </w:r>
      <w:r w:rsidR="00C463C9" w:rsidRPr="008C41CB">
        <w:rPr>
          <w:highlight w:val="yellow"/>
        </w:rPr>
        <w:t xml:space="preserve">were  </w:t>
      </w:r>
      <w:r w:rsidR="003D769D" w:rsidRPr="008C41CB">
        <w:rPr>
          <w:highlight w:val="yellow"/>
        </w:rPr>
        <w:t>850,756</w:t>
      </w:r>
      <w:r w:rsidR="00C463C9" w:rsidRPr="008C41CB">
        <w:rPr>
          <w:highlight w:val="yellow"/>
        </w:rPr>
        <w:t xml:space="preserve">; </w:t>
      </w:r>
      <w:r w:rsidRPr="008C41CB">
        <w:rPr>
          <w:highlight w:val="yellow"/>
        </w:rPr>
        <w:t>current estimated total burde</w:t>
      </w:r>
      <w:r w:rsidR="00323989" w:rsidRPr="008C41CB">
        <w:rPr>
          <w:highlight w:val="yellow"/>
        </w:rPr>
        <w:t>n hours for 0925-000</w:t>
      </w:r>
      <w:r w:rsidR="003E01A7" w:rsidRPr="008C41CB">
        <w:rPr>
          <w:highlight w:val="yellow"/>
        </w:rPr>
        <w:t>1</w:t>
      </w:r>
      <w:r w:rsidR="00323989" w:rsidRPr="008C41CB">
        <w:rPr>
          <w:highlight w:val="yellow"/>
        </w:rPr>
        <w:t xml:space="preserve"> is </w:t>
      </w:r>
      <w:r w:rsidR="009962AC" w:rsidRPr="008C41CB">
        <w:rPr>
          <w:bCs/>
          <w:highlight w:val="yellow"/>
        </w:rPr>
        <w:t>2,150,389</w:t>
      </w:r>
      <w:r w:rsidRPr="008C41CB">
        <w:rPr>
          <w:highlight w:val="yellow"/>
        </w:rPr>
        <w:t>.</w:t>
      </w:r>
      <w:r w:rsidR="00260D7D" w:rsidRPr="008C41CB">
        <w:rPr>
          <w:highlight w:val="yellow"/>
        </w:rPr>
        <w:t xml:space="preserve"> This represents </w:t>
      </w:r>
      <w:r w:rsidR="00365E42" w:rsidRPr="008C41CB">
        <w:rPr>
          <w:highlight w:val="yellow"/>
        </w:rPr>
        <w:t>a</w:t>
      </w:r>
      <w:r w:rsidR="003D769D" w:rsidRPr="008C41CB">
        <w:rPr>
          <w:highlight w:val="yellow"/>
        </w:rPr>
        <w:t>n increase</w:t>
      </w:r>
      <w:r w:rsidR="00AA5D0A" w:rsidRPr="008C41CB">
        <w:rPr>
          <w:highlight w:val="yellow"/>
        </w:rPr>
        <w:t xml:space="preserve"> </w:t>
      </w:r>
      <w:r w:rsidR="00260D7D" w:rsidRPr="008C41CB">
        <w:rPr>
          <w:highlight w:val="yellow"/>
        </w:rPr>
        <w:t xml:space="preserve">of </w:t>
      </w:r>
      <w:r w:rsidR="003D769D" w:rsidRPr="008C41CB">
        <w:rPr>
          <w:highlight w:val="yellow"/>
        </w:rPr>
        <w:t>1,</w:t>
      </w:r>
      <w:r w:rsidR="00AA5D0A" w:rsidRPr="008C41CB">
        <w:rPr>
          <w:highlight w:val="yellow"/>
        </w:rPr>
        <w:t>299,632</w:t>
      </w:r>
      <w:r w:rsidR="003D769D" w:rsidRPr="008C41CB" w:rsidDel="003D769D">
        <w:rPr>
          <w:highlight w:val="yellow"/>
        </w:rPr>
        <w:t xml:space="preserve"> </w:t>
      </w:r>
      <w:r w:rsidR="00260D7D" w:rsidRPr="008C41CB">
        <w:rPr>
          <w:highlight w:val="yellow"/>
        </w:rPr>
        <w:t>hours since the last approval.</w:t>
      </w:r>
      <w:r w:rsidRPr="00F236C6">
        <w:t xml:space="preserve"> </w:t>
      </w:r>
      <w:r w:rsidR="003D769D">
        <w:t>This increase is largely due to the addition of a new</w:t>
      </w:r>
      <w:r w:rsidR="003D769D" w:rsidRPr="003D769D">
        <w:t xml:space="preserve"> PHS Human Subjects and Clinical Trial Information </w:t>
      </w:r>
      <w:r w:rsidR="003D769D">
        <w:t>form</w:t>
      </w:r>
      <w:r w:rsidR="00321CDA" w:rsidRPr="00F236C6">
        <w:t>,</w:t>
      </w:r>
      <w:r w:rsidRPr="00F236C6">
        <w:t xml:space="preserve"> </w:t>
      </w:r>
      <w:r w:rsidR="003D769D">
        <w:t xml:space="preserve">as well as </w:t>
      </w:r>
      <w:r w:rsidR="00365E42" w:rsidRPr="00F236C6">
        <w:t xml:space="preserve">a </w:t>
      </w:r>
      <w:r w:rsidR="00DC5BF1" w:rsidRPr="00F236C6">
        <w:t xml:space="preserve">recalculation </w:t>
      </w:r>
      <w:r w:rsidR="003D769D">
        <w:t>of burden hour estimates on the following forms: PHS 398 Research Plan, PHS 398 Research Training Program Plan, and PHS 398 Career Development Award Supplemental Form.</w:t>
      </w:r>
      <w:r w:rsidR="00AA5D0A">
        <w:t xml:space="preserve"> These estimates are now a more accurate reflection of the data collection requested from applicants. </w:t>
      </w:r>
      <w:r w:rsidR="003D769D">
        <w:t xml:space="preserve"> </w:t>
      </w:r>
      <w:r w:rsidR="00DC5BF1" w:rsidRPr="00F236C6">
        <w:t xml:space="preserve">  </w:t>
      </w:r>
    </w:p>
    <w:p w14:paraId="0B47FD29" w14:textId="77777777" w:rsidR="00BD03CE" w:rsidRPr="00420406" w:rsidRDefault="00BD03CE" w:rsidP="00530196">
      <w:pPr>
        <w:ind w:right="-684"/>
        <w:rPr>
          <w:highlight w:val="yellow"/>
        </w:rPr>
      </w:pPr>
    </w:p>
    <w:p w14:paraId="63C7CA6F" w14:textId="77777777" w:rsidR="007361C6" w:rsidRDefault="00067FB0" w:rsidP="00530196">
      <w:pPr>
        <w:ind w:right="-684"/>
        <w:rPr>
          <w:bCs/>
        </w:rPr>
      </w:pPr>
      <w:r w:rsidRPr="0005792F">
        <w:rPr>
          <w:bCs/>
        </w:rPr>
        <w:t xml:space="preserve">A Summary Table of </w:t>
      </w:r>
      <w:r w:rsidR="003E5899" w:rsidRPr="0005792F">
        <w:rPr>
          <w:bCs/>
        </w:rPr>
        <w:t xml:space="preserve">Noteworthy </w:t>
      </w:r>
      <w:r w:rsidRPr="0005792F">
        <w:rPr>
          <w:bCs/>
        </w:rPr>
        <w:t>Changes</w:t>
      </w:r>
      <w:r w:rsidR="00323989">
        <w:rPr>
          <w:bCs/>
        </w:rPr>
        <w:t xml:space="preserve"> or Adjustments</w:t>
      </w:r>
      <w:r w:rsidR="00DC5BF1">
        <w:rPr>
          <w:bCs/>
        </w:rPr>
        <w:t>:</w:t>
      </w:r>
      <w:r w:rsidRPr="0005792F">
        <w:rPr>
          <w:bCs/>
        </w:rPr>
        <w:t xml:space="preserve"> </w:t>
      </w:r>
    </w:p>
    <w:p w14:paraId="02ADFB8A" w14:textId="77777777" w:rsidR="00D84552" w:rsidRDefault="00D84552" w:rsidP="00262E69">
      <w:pPr>
        <w:ind w:right="-684"/>
        <w:rPr>
          <w:b/>
        </w:rPr>
      </w:pPr>
    </w:p>
    <w:tbl>
      <w:tblPr>
        <w:tblStyle w:val="TableGrid"/>
        <w:tblW w:w="0" w:type="auto"/>
        <w:tblLook w:val="04A0" w:firstRow="1" w:lastRow="0" w:firstColumn="1" w:lastColumn="0" w:noHBand="0" w:noVBand="1"/>
      </w:tblPr>
      <w:tblGrid>
        <w:gridCol w:w="4612"/>
        <w:gridCol w:w="4738"/>
      </w:tblGrid>
      <w:tr w:rsidR="00BE6FAF" w:rsidRPr="00677563" w14:paraId="5A9C48E8" w14:textId="77777777" w:rsidTr="00321CDA">
        <w:trPr>
          <w:trHeight w:val="300"/>
        </w:trPr>
        <w:tc>
          <w:tcPr>
            <w:tcW w:w="0" w:type="auto"/>
            <w:hideMark/>
          </w:tcPr>
          <w:p w14:paraId="6797903B" w14:textId="77777777" w:rsidR="00BE6FAF" w:rsidRPr="00677563" w:rsidRDefault="00BE6FAF" w:rsidP="00584A42">
            <w:pPr>
              <w:jc w:val="center"/>
              <w:rPr>
                <w:rFonts w:cs="Arial"/>
                <w:b/>
                <w:bCs/>
                <w:color w:val="000000"/>
                <w:u w:val="single"/>
              </w:rPr>
            </w:pPr>
            <w:r>
              <w:rPr>
                <w:rFonts w:cs="Arial"/>
                <w:b/>
                <w:bCs/>
                <w:color w:val="000000"/>
                <w:u w:val="single"/>
              </w:rPr>
              <w:t>Form</w:t>
            </w:r>
          </w:p>
        </w:tc>
        <w:tc>
          <w:tcPr>
            <w:tcW w:w="0" w:type="auto"/>
            <w:hideMark/>
          </w:tcPr>
          <w:p w14:paraId="3C8522FE" w14:textId="77777777" w:rsidR="00BE6FAF" w:rsidRPr="00677563" w:rsidRDefault="00BE6FAF" w:rsidP="00584A42">
            <w:pPr>
              <w:jc w:val="center"/>
              <w:rPr>
                <w:rFonts w:cs="Arial"/>
                <w:b/>
                <w:bCs/>
                <w:color w:val="000000"/>
                <w:u w:val="single"/>
              </w:rPr>
            </w:pPr>
            <w:r>
              <w:rPr>
                <w:rFonts w:cs="Arial"/>
                <w:b/>
                <w:bCs/>
                <w:color w:val="000000"/>
                <w:u w:val="single"/>
              </w:rPr>
              <w:t>Adjustments</w:t>
            </w:r>
          </w:p>
        </w:tc>
      </w:tr>
      <w:tr w:rsidR="00BE6FAF" w:rsidRPr="00677563" w14:paraId="445309DD" w14:textId="77777777" w:rsidTr="00321CDA">
        <w:trPr>
          <w:trHeight w:val="765"/>
        </w:trPr>
        <w:tc>
          <w:tcPr>
            <w:tcW w:w="0" w:type="auto"/>
            <w:hideMark/>
          </w:tcPr>
          <w:p w14:paraId="0BB27BD8" w14:textId="77777777" w:rsidR="008F24B4" w:rsidRDefault="008F24B4" w:rsidP="008F24B4">
            <w:pPr>
              <w:rPr>
                <w:bCs/>
              </w:rPr>
            </w:pPr>
            <w:r>
              <w:rPr>
                <w:bCs/>
              </w:rPr>
              <w:t xml:space="preserve">Attachment 3 - </w:t>
            </w:r>
            <w:r w:rsidRPr="00177F88">
              <w:rPr>
                <w:bCs/>
              </w:rPr>
              <w:t>PHS 398</w:t>
            </w:r>
            <w:r>
              <w:rPr>
                <w:bCs/>
              </w:rPr>
              <w:t xml:space="preserve"> [paper]: Public Health Service Grant Application Forms</w:t>
            </w:r>
          </w:p>
          <w:p w14:paraId="4D0CE9A5" w14:textId="25F38E9A" w:rsidR="00BE6FAF" w:rsidRPr="00677563" w:rsidRDefault="00BE6FAF" w:rsidP="008F24B4">
            <w:pPr>
              <w:spacing w:line="480" w:lineRule="auto"/>
              <w:rPr>
                <w:rFonts w:cs="Arial"/>
                <w:color w:val="000000"/>
              </w:rPr>
            </w:pPr>
          </w:p>
        </w:tc>
        <w:tc>
          <w:tcPr>
            <w:tcW w:w="0" w:type="auto"/>
            <w:hideMark/>
          </w:tcPr>
          <w:p w14:paraId="0B8C58F4" w14:textId="6FE8FF50" w:rsidR="002B6304" w:rsidRDefault="002B6304" w:rsidP="002B6304">
            <w:pPr>
              <w:rPr>
                <w:rFonts w:cs="Arial"/>
                <w:color w:val="000000"/>
              </w:rPr>
            </w:pPr>
            <w:r w:rsidRPr="002B6304">
              <w:rPr>
                <w:rFonts w:cs="Arial"/>
                <w:color w:val="000000"/>
              </w:rPr>
              <w:t xml:space="preserve">Implemented a new format and structure for application instructions. </w:t>
            </w:r>
            <w:r w:rsidR="00AD576D">
              <w:rPr>
                <w:rFonts w:cs="Arial"/>
                <w:color w:val="000000"/>
              </w:rPr>
              <w:t>The</w:t>
            </w:r>
            <w:r w:rsidRPr="002B6304">
              <w:rPr>
                <w:rFonts w:cs="Arial"/>
                <w:color w:val="000000"/>
              </w:rPr>
              <w:t xml:space="preserve"> purpose was to enhance clarity of existing instructions.</w:t>
            </w:r>
          </w:p>
          <w:p w14:paraId="0A6A1B62" w14:textId="2B74AC24" w:rsidR="002B6304" w:rsidRDefault="002B6304" w:rsidP="002B6304">
            <w:pPr>
              <w:rPr>
                <w:rFonts w:cs="Arial"/>
                <w:color w:val="000000"/>
              </w:rPr>
            </w:pPr>
            <w:r w:rsidRPr="002B6304">
              <w:rPr>
                <w:rFonts w:cs="Arial"/>
                <w:color w:val="000000"/>
              </w:rPr>
              <w:t xml:space="preserve">Biosketch instructions have been rewritten for clarity – using shorter sentences, bullet points, and shorter paragraphs. Clarification on which sections apply for which mechanisms have been updated (i.e., fellowship, career, etc.). No </w:t>
            </w:r>
            <w:r w:rsidRPr="002B6304">
              <w:rPr>
                <w:rFonts w:cs="Arial"/>
                <w:color w:val="000000"/>
              </w:rPr>
              <w:lastRenderedPageBreak/>
              <w:t>policy changes have been made regarding biosketch instructions.</w:t>
            </w:r>
          </w:p>
          <w:p w14:paraId="72299986" w14:textId="55B1F4EA" w:rsidR="002B6304" w:rsidRPr="002B6304" w:rsidRDefault="002B6304" w:rsidP="002B6304">
            <w:pPr>
              <w:rPr>
                <w:rFonts w:cs="Arial"/>
                <w:color w:val="000000"/>
              </w:rPr>
            </w:pPr>
            <w:r w:rsidRPr="002B6304">
              <w:rPr>
                <w:rFonts w:cs="Arial"/>
                <w:color w:val="000000"/>
              </w:rPr>
              <w:t>Instructions have changed so that program income and stem cell information are no longer collected at the Overall Component in multi-project applications.</w:t>
            </w:r>
          </w:p>
          <w:p w14:paraId="6BA56CFD" w14:textId="2841DBA5" w:rsidR="00BE6FAF" w:rsidRPr="00677563" w:rsidRDefault="002B6304" w:rsidP="00D37C55">
            <w:pPr>
              <w:rPr>
                <w:rFonts w:cs="Arial"/>
                <w:color w:val="000000"/>
              </w:rPr>
            </w:pPr>
            <w:r w:rsidRPr="002B6304">
              <w:rPr>
                <w:rFonts w:cs="Arial"/>
                <w:color w:val="000000"/>
              </w:rPr>
              <w:t>NIH has redefined the policy for allowable appendix materials, effective for application due dates on or after January 25, 2017.</w:t>
            </w:r>
          </w:p>
        </w:tc>
      </w:tr>
      <w:tr w:rsidR="00BE6FAF" w:rsidRPr="00677563" w14:paraId="0D7E468E" w14:textId="77777777" w:rsidTr="00321CDA">
        <w:trPr>
          <w:trHeight w:val="1020"/>
        </w:trPr>
        <w:tc>
          <w:tcPr>
            <w:tcW w:w="0" w:type="auto"/>
            <w:hideMark/>
          </w:tcPr>
          <w:p w14:paraId="6BADDE00" w14:textId="77777777" w:rsidR="008F24B4" w:rsidRDefault="008F24B4" w:rsidP="00584A42">
            <w:pPr>
              <w:rPr>
                <w:bCs/>
              </w:rPr>
            </w:pPr>
            <w:r>
              <w:rPr>
                <w:bCs/>
              </w:rPr>
              <w:lastRenderedPageBreak/>
              <w:t xml:space="preserve">Attachment 4: </w:t>
            </w:r>
          </w:p>
          <w:p w14:paraId="40AE491D" w14:textId="082AA681" w:rsidR="00BE6FAF" w:rsidRPr="00677563" w:rsidRDefault="00BE6FAF" w:rsidP="00584A42">
            <w:pPr>
              <w:rPr>
                <w:rFonts w:cs="Arial"/>
                <w:color w:val="000000"/>
              </w:rPr>
            </w:pPr>
            <w:r>
              <w:rPr>
                <w:bCs/>
              </w:rPr>
              <w:t>PHS 398 [paper]: Public Health Service Grant Application Instructions</w:t>
            </w:r>
          </w:p>
        </w:tc>
        <w:tc>
          <w:tcPr>
            <w:tcW w:w="0" w:type="auto"/>
            <w:hideMark/>
          </w:tcPr>
          <w:p w14:paraId="6C7691B4" w14:textId="4CAF99A8" w:rsidR="00BE6FAF" w:rsidRDefault="002B6304" w:rsidP="002B6304">
            <w:pPr>
              <w:rPr>
                <w:rFonts w:cs="Arial"/>
                <w:color w:val="000000"/>
              </w:rPr>
            </w:pPr>
            <w:r>
              <w:rPr>
                <w:rFonts w:cs="Arial"/>
                <w:color w:val="000000"/>
              </w:rPr>
              <w:t>Added updated language and instructions to</w:t>
            </w:r>
            <w:r w:rsidRPr="00677563">
              <w:rPr>
                <w:rFonts w:cs="Arial"/>
                <w:color w:val="000000"/>
              </w:rPr>
              <w:t xml:space="preserve"> </w:t>
            </w:r>
            <w:r w:rsidR="00BE6FAF" w:rsidRPr="00677563">
              <w:rPr>
                <w:rFonts w:cs="Arial"/>
                <w:color w:val="000000"/>
              </w:rPr>
              <w:t>the following</w:t>
            </w:r>
            <w:r>
              <w:rPr>
                <w:rFonts w:cs="Arial"/>
                <w:color w:val="000000"/>
              </w:rPr>
              <w:t xml:space="preserve"> sections</w:t>
            </w:r>
            <w:r w:rsidR="00BE6FAF" w:rsidRPr="00677563">
              <w:rPr>
                <w:rFonts w:cs="Arial"/>
                <w:color w:val="000000"/>
              </w:rPr>
              <w:t>: resubmission</w:t>
            </w:r>
            <w:r w:rsidR="00AD576D">
              <w:rPr>
                <w:rFonts w:cs="Arial"/>
                <w:color w:val="000000"/>
              </w:rPr>
              <w:t xml:space="preserve"> </w:t>
            </w:r>
            <w:r>
              <w:rPr>
                <w:rFonts w:cs="Arial"/>
                <w:color w:val="000000"/>
              </w:rPr>
              <w:t>applications</w:t>
            </w:r>
            <w:r w:rsidR="00BE6FAF" w:rsidRPr="00677563">
              <w:rPr>
                <w:rFonts w:cs="Arial"/>
                <w:color w:val="000000"/>
              </w:rPr>
              <w:t xml:space="preserve">; biosketch instructions; vertebrate animals; </w:t>
            </w:r>
            <w:r>
              <w:rPr>
                <w:rFonts w:cs="Arial"/>
                <w:color w:val="000000"/>
              </w:rPr>
              <w:t>human subjects.</w:t>
            </w:r>
          </w:p>
          <w:p w14:paraId="1BC09AAF" w14:textId="24643BBA" w:rsidR="002B6304" w:rsidRDefault="002B6304" w:rsidP="00A63FC9">
            <w:pPr>
              <w:rPr>
                <w:rFonts w:cs="Arial"/>
                <w:color w:val="000000"/>
              </w:rPr>
            </w:pPr>
            <w:r>
              <w:rPr>
                <w:rFonts w:cs="Arial"/>
                <w:color w:val="000000"/>
              </w:rPr>
              <w:t xml:space="preserve">Added new </w:t>
            </w:r>
            <w:r w:rsidR="000D3CB0" w:rsidRPr="003D769D">
              <w:t xml:space="preserve">PHS Human Subjects and Clinical Trial Information </w:t>
            </w:r>
            <w:r w:rsidR="000D3CB0">
              <w:t>form</w:t>
            </w:r>
            <w:r w:rsidR="000D3CB0">
              <w:rPr>
                <w:rFonts w:cs="Arial"/>
                <w:color w:val="000000"/>
              </w:rPr>
              <w:t xml:space="preserve"> </w:t>
            </w:r>
            <w:r>
              <w:rPr>
                <w:rFonts w:cs="Arial"/>
                <w:color w:val="000000"/>
              </w:rPr>
              <w:t>instructions.</w:t>
            </w:r>
          </w:p>
          <w:p w14:paraId="61B590BB" w14:textId="20C1CD9B" w:rsidR="002B6304" w:rsidRPr="00677563" w:rsidRDefault="002B6304" w:rsidP="00BB446D">
            <w:pPr>
              <w:rPr>
                <w:rFonts w:cs="Arial"/>
                <w:color w:val="000000"/>
              </w:rPr>
            </w:pPr>
            <w:r>
              <w:rPr>
                <w:rFonts w:cs="Arial"/>
                <w:color w:val="000000"/>
              </w:rPr>
              <w:t>Added new appendix policy language.</w:t>
            </w:r>
          </w:p>
        </w:tc>
      </w:tr>
      <w:tr w:rsidR="00BE6FAF" w:rsidRPr="00677563" w14:paraId="3451B986" w14:textId="77777777" w:rsidTr="00321CDA">
        <w:trPr>
          <w:trHeight w:val="260"/>
        </w:trPr>
        <w:tc>
          <w:tcPr>
            <w:tcW w:w="0" w:type="auto"/>
            <w:hideMark/>
          </w:tcPr>
          <w:p w14:paraId="40656949" w14:textId="0B0B30BE" w:rsidR="00B535B2" w:rsidRDefault="00B535B2" w:rsidP="00584A42">
            <w:pPr>
              <w:rPr>
                <w:bCs/>
              </w:rPr>
            </w:pPr>
            <w:r>
              <w:rPr>
                <w:bCs/>
              </w:rPr>
              <w:t xml:space="preserve">Attachment </w:t>
            </w:r>
            <w:r w:rsidR="002E5253">
              <w:rPr>
                <w:bCs/>
              </w:rPr>
              <w:t>5</w:t>
            </w:r>
            <w:r>
              <w:rPr>
                <w:bCs/>
              </w:rPr>
              <w:t>:</w:t>
            </w:r>
          </w:p>
          <w:p w14:paraId="0D84FC1A" w14:textId="77777777" w:rsidR="00BE6FAF" w:rsidRPr="00677563" w:rsidRDefault="00BE6FAF" w:rsidP="00584A42">
            <w:pPr>
              <w:rPr>
                <w:rFonts w:cs="Arial"/>
                <w:color w:val="000000"/>
              </w:rPr>
            </w:pPr>
            <w:r>
              <w:rPr>
                <w:bCs/>
              </w:rPr>
              <w:t>PHS 398 [electronic]: Public Health Service Grant Application component forms and agency specific instructions used in combination with the SF424 (R&amp;R)</w:t>
            </w:r>
          </w:p>
        </w:tc>
        <w:tc>
          <w:tcPr>
            <w:tcW w:w="0" w:type="auto"/>
            <w:hideMark/>
          </w:tcPr>
          <w:p w14:paraId="41C8181C" w14:textId="5DCE93D2" w:rsidR="00BE6FAF" w:rsidRPr="00677563" w:rsidRDefault="00BE6FAF" w:rsidP="00AD576D">
            <w:pPr>
              <w:rPr>
                <w:rFonts w:cs="Arial"/>
                <w:color w:val="000000"/>
              </w:rPr>
            </w:pPr>
            <w:r>
              <w:rPr>
                <w:rFonts w:cs="Arial"/>
                <w:color w:val="000000"/>
              </w:rPr>
              <w:t>General updates to SF424 companion forms include r</w:t>
            </w:r>
            <w:r w:rsidRPr="00677563">
              <w:rPr>
                <w:rFonts w:cs="Arial"/>
                <w:color w:val="000000"/>
              </w:rPr>
              <w:t xml:space="preserve">eordering current </w:t>
            </w:r>
            <w:r w:rsidR="00AD576D">
              <w:rPr>
                <w:rFonts w:cs="Arial"/>
                <w:color w:val="000000"/>
              </w:rPr>
              <w:t xml:space="preserve">items, moving human subject fields to new </w:t>
            </w:r>
            <w:r w:rsidR="00AD576D" w:rsidRPr="003D769D">
              <w:t>PHS Human Subjects and Clinical Trial Information</w:t>
            </w:r>
            <w:r w:rsidR="00AD576D">
              <w:rPr>
                <w:rFonts w:cs="Arial"/>
                <w:color w:val="000000"/>
              </w:rPr>
              <w:t xml:space="preserve">. </w:t>
            </w:r>
            <w:r w:rsidRPr="00677563">
              <w:rPr>
                <w:rFonts w:cs="Arial"/>
                <w:color w:val="000000"/>
              </w:rPr>
              <w:t xml:space="preserve">All </w:t>
            </w:r>
            <w:r>
              <w:rPr>
                <w:rFonts w:cs="Arial"/>
                <w:color w:val="000000"/>
              </w:rPr>
              <w:t xml:space="preserve">instructions are being updated to reflect the </w:t>
            </w:r>
            <w:r w:rsidRPr="00677563">
              <w:rPr>
                <w:rFonts w:cs="Arial"/>
                <w:color w:val="000000"/>
              </w:rPr>
              <w:t>changes</w:t>
            </w:r>
            <w:r>
              <w:rPr>
                <w:rFonts w:cs="Arial"/>
                <w:color w:val="000000"/>
              </w:rPr>
              <w:t>/updates to the forms below.</w:t>
            </w:r>
          </w:p>
        </w:tc>
      </w:tr>
      <w:tr w:rsidR="00BE6FAF" w:rsidRPr="00677563" w14:paraId="66DCC27C" w14:textId="77777777" w:rsidTr="00321CDA">
        <w:trPr>
          <w:trHeight w:val="1142"/>
        </w:trPr>
        <w:tc>
          <w:tcPr>
            <w:tcW w:w="0" w:type="auto"/>
            <w:hideMark/>
          </w:tcPr>
          <w:p w14:paraId="3E470ADE" w14:textId="77777777" w:rsidR="00B535B2" w:rsidRDefault="00B535B2" w:rsidP="00584A42">
            <w:pPr>
              <w:rPr>
                <w:rFonts w:cs="Arial"/>
                <w:color w:val="000000"/>
              </w:rPr>
            </w:pPr>
            <w:r>
              <w:rPr>
                <w:rFonts w:cs="Arial"/>
                <w:color w:val="000000"/>
              </w:rPr>
              <w:t>Attachment 5B-C:</w:t>
            </w:r>
          </w:p>
          <w:p w14:paraId="4678C189" w14:textId="77777777" w:rsidR="00BE6FAF" w:rsidRPr="00677563" w:rsidRDefault="00BE6FAF" w:rsidP="00584A42">
            <w:pPr>
              <w:rPr>
                <w:rFonts w:cs="Arial"/>
                <w:color w:val="000000"/>
              </w:rPr>
            </w:pPr>
            <w:r w:rsidRPr="00677563">
              <w:rPr>
                <w:rFonts w:cs="Arial"/>
                <w:color w:val="000000"/>
              </w:rPr>
              <w:t>PHS Assignment Request Form</w:t>
            </w:r>
          </w:p>
        </w:tc>
        <w:tc>
          <w:tcPr>
            <w:tcW w:w="0" w:type="auto"/>
            <w:hideMark/>
          </w:tcPr>
          <w:p w14:paraId="21A58B46" w14:textId="4FFE0BE0" w:rsidR="00BE6FAF" w:rsidRPr="00677563" w:rsidRDefault="00AD576D" w:rsidP="00584A42">
            <w:pPr>
              <w:rPr>
                <w:rFonts w:cs="Arial"/>
                <w:color w:val="000000"/>
              </w:rPr>
            </w:pPr>
            <w:r>
              <w:rPr>
                <w:rFonts w:cs="Arial"/>
                <w:color w:val="000000"/>
              </w:rPr>
              <w:t>Streamlined instructions</w:t>
            </w:r>
            <w:r w:rsidR="002B6304">
              <w:rPr>
                <w:rFonts w:cs="Arial"/>
                <w:color w:val="000000"/>
              </w:rPr>
              <w:t xml:space="preserve"> </w:t>
            </w:r>
          </w:p>
        </w:tc>
      </w:tr>
      <w:tr w:rsidR="00BE6FAF" w:rsidRPr="00677563" w14:paraId="3782CF5F" w14:textId="77777777" w:rsidTr="00321CDA">
        <w:trPr>
          <w:trHeight w:val="1020"/>
        </w:trPr>
        <w:tc>
          <w:tcPr>
            <w:tcW w:w="0" w:type="auto"/>
            <w:hideMark/>
          </w:tcPr>
          <w:p w14:paraId="3E1E08E1" w14:textId="77777777" w:rsidR="00B535B2" w:rsidRDefault="00B535B2" w:rsidP="00584A42">
            <w:pPr>
              <w:rPr>
                <w:rFonts w:cs="Arial"/>
                <w:color w:val="000000"/>
              </w:rPr>
            </w:pPr>
            <w:r>
              <w:rPr>
                <w:rFonts w:cs="Arial"/>
                <w:color w:val="000000"/>
              </w:rPr>
              <w:t>Attachment 5D-E:</w:t>
            </w:r>
          </w:p>
          <w:p w14:paraId="214786EB" w14:textId="77777777" w:rsidR="00BE6FAF" w:rsidRPr="00677563" w:rsidRDefault="00B535B2" w:rsidP="00584A42">
            <w:pPr>
              <w:rPr>
                <w:rFonts w:cs="Arial"/>
                <w:color w:val="000000"/>
              </w:rPr>
            </w:pPr>
            <w:r>
              <w:rPr>
                <w:rFonts w:cs="Arial"/>
                <w:color w:val="000000"/>
              </w:rPr>
              <w:t xml:space="preserve"> </w:t>
            </w:r>
            <w:r w:rsidR="00BE6FAF" w:rsidRPr="00677563">
              <w:rPr>
                <w:rFonts w:cs="Arial"/>
                <w:color w:val="000000"/>
              </w:rPr>
              <w:t>PHS 398 Cover Page Supplement</w:t>
            </w:r>
          </w:p>
        </w:tc>
        <w:tc>
          <w:tcPr>
            <w:tcW w:w="0" w:type="auto"/>
            <w:hideMark/>
          </w:tcPr>
          <w:p w14:paraId="500F9D6B" w14:textId="5909C484" w:rsidR="00BE6FAF" w:rsidRDefault="00BE6FAF" w:rsidP="00584A42">
            <w:pPr>
              <w:rPr>
                <w:rFonts w:cs="Arial"/>
                <w:color w:val="000000"/>
              </w:rPr>
            </w:pPr>
            <w:r>
              <w:rPr>
                <w:rFonts w:cs="Arial"/>
                <w:color w:val="000000"/>
              </w:rPr>
              <w:t xml:space="preserve">Deleted section 1. </w:t>
            </w:r>
            <w:r w:rsidR="00A63FC9">
              <w:rPr>
                <w:rFonts w:cs="Arial"/>
                <w:color w:val="000000"/>
              </w:rPr>
              <w:t>Human Subjects</w:t>
            </w:r>
          </w:p>
          <w:p w14:paraId="05EEDC37" w14:textId="2014DE45" w:rsidR="00BE6FAF" w:rsidRPr="00677563" w:rsidRDefault="00BE6FAF" w:rsidP="00584A42">
            <w:pPr>
              <w:rPr>
                <w:rFonts w:cs="Arial"/>
                <w:color w:val="000000"/>
              </w:rPr>
            </w:pPr>
            <w:r>
              <w:rPr>
                <w:rFonts w:cs="Arial"/>
                <w:color w:val="000000"/>
              </w:rPr>
              <w:t>R</w:t>
            </w:r>
            <w:r w:rsidRPr="00677563">
              <w:rPr>
                <w:rFonts w:cs="Arial"/>
                <w:color w:val="000000"/>
              </w:rPr>
              <w:t>enumbered other sections accordingly</w:t>
            </w:r>
            <w:r w:rsidR="00A63FC9">
              <w:rPr>
                <w:rFonts w:cs="Arial"/>
                <w:color w:val="000000"/>
              </w:rPr>
              <w:t>.</w:t>
            </w:r>
          </w:p>
        </w:tc>
      </w:tr>
      <w:tr w:rsidR="00BE6FAF" w:rsidRPr="00677563" w14:paraId="52159BA2" w14:textId="77777777" w:rsidTr="00321CDA">
        <w:trPr>
          <w:trHeight w:val="300"/>
        </w:trPr>
        <w:tc>
          <w:tcPr>
            <w:tcW w:w="0" w:type="auto"/>
            <w:vMerge w:val="restart"/>
            <w:hideMark/>
          </w:tcPr>
          <w:p w14:paraId="305A3B7E" w14:textId="77777777" w:rsidR="00B535B2" w:rsidRDefault="00B535B2" w:rsidP="00584A42">
            <w:pPr>
              <w:rPr>
                <w:rFonts w:cs="Arial"/>
                <w:color w:val="000000"/>
              </w:rPr>
            </w:pPr>
            <w:r>
              <w:rPr>
                <w:rFonts w:cs="Arial"/>
                <w:color w:val="000000"/>
              </w:rPr>
              <w:t>Attachment 5F-G:</w:t>
            </w:r>
          </w:p>
          <w:p w14:paraId="10A90B4C" w14:textId="6379CF08" w:rsidR="00BE6FAF" w:rsidRPr="00677563" w:rsidRDefault="00AD576D" w:rsidP="00584A42">
            <w:pPr>
              <w:rPr>
                <w:rFonts w:cs="Arial"/>
                <w:color w:val="000000"/>
              </w:rPr>
            </w:pPr>
            <w:r w:rsidRPr="003D769D">
              <w:t>PHS Human Subjects</w:t>
            </w:r>
            <w:r>
              <w:t xml:space="preserve"> and Clinical Trial Information</w:t>
            </w:r>
          </w:p>
        </w:tc>
        <w:tc>
          <w:tcPr>
            <w:tcW w:w="0" w:type="auto"/>
            <w:vMerge w:val="restart"/>
            <w:hideMark/>
          </w:tcPr>
          <w:p w14:paraId="47B5F551" w14:textId="16B2F40D" w:rsidR="00BE6FAF" w:rsidRDefault="00AD576D" w:rsidP="003D769D">
            <w:r>
              <w:rPr>
                <w:rFonts w:cs="Arial"/>
                <w:color w:val="000000"/>
              </w:rPr>
              <w:t xml:space="preserve">Replaces the </w:t>
            </w:r>
            <w:r w:rsidRPr="00677563">
              <w:rPr>
                <w:rFonts w:cs="Arial"/>
                <w:color w:val="000000"/>
              </w:rPr>
              <w:t>PHS Inclusion Enrollment Report</w:t>
            </w:r>
            <w:r w:rsidR="003D769D">
              <w:rPr>
                <w:rFonts w:cs="Arial"/>
                <w:color w:val="000000"/>
              </w:rPr>
              <w:t xml:space="preserve">; this is now part of the new </w:t>
            </w:r>
            <w:r w:rsidR="003D769D" w:rsidRPr="003D769D">
              <w:t xml:space="preserve">PHS Human Subjects and Clinical Trial Information </w:t>
            </w:r>
            <w:r w:rsidR="003D769D">
              <w:t>form</w:t>
            </w:r>
            <w:r w:rsidR="00974BD5">
              <w:t>.</w:t>
            </w:r>
          </w:p>
          <w:p w14:paraId="6B91C3E8" w14:textId="10375146" w:rsidR="00AD576D" w:rsidRPr="00677563" w:rsidRDefault="00AD576D" w:rsidP="00AD576D">
            <w:pPr>
              <w:rPr>
                <w:rFonts w:cs="Arial"/>
                <w:color w:val="000000"/>
              </w:rPr>
            </w:pPr>
            <w:r>
              <w:t xml:space="preserve">This </w:t>
            </w:r>
            <w:r>
              <w:rPr>
                <w:rFonts w:cs="Arial"/>
                <w:color w:val="000000"/>
              </w:rPr>
              <w:t>new form will be required for applicants proposing human subjects research; will be dynamic and applicants will only be required to answer certain fields if they have clinical trials.</w:t>
            </w:r>
          </w:p>
        </w:tc>
      </w:tr>
      <w:tr w:rsidR="00BE6FAF" w:rsidRPr="00677563" w14:paraId="3E252F52" w14:textId="77777777" w:rsidTr="00321CDA">
        <w:trPr>
          <w:trHeight w:val="300"/>
        </w:trPr>
        <w:tc>
          <w:tcPr>
            <w:tcW w:w="0" w:type="auto"/>
            <w:vMerge/>
            <w:hideMark/>
          </w:tcPr>
          <w:p w14:paraId="2200758A" w14:textId="77777777" w:rsidR="00BE6FAF" w:rsidRPr="00677563" w:rsidRDefault="00BE6FAF" w:rsidP="00584A42">
            <w:pPr>
              <w:rPr>
                <w:rFonts w:cs="Arial"/>
                <w:color w:val="000000"/>
              </w:rPr>
            </w:pPr>
          </w:p>
        </w:tc>
        <w:tc>
          <w:tcPr>
            <w:tcW w:w="0" w:type="auto"/>
            <w:vMerge/>
            <w:hideMark/>
          </w:tcPr>
          <w:p w14:paraId="06A9E0E4" w14:textId="77777777" w:rsidR="00BE6FAF" w:rsidRPr="00677563" w:rsidRDefault="00BE6FAF" w:rsidP="00584A42">
            <w:pPr>
              <w:rPr>
                <w:rFonts w:cs="Arial"/>
                <w:color w:val="000000"/>
              </w:rPr>
            </w:pPr>
          </w:p>
        </w:tc>
      </w:tr>
      <w:tr w:rsidR="00BE6FAF" w:rsidRPr="00677563" w14:paraId="143FBA93" w14:textId="77777777" w:rsidTr="00AD576D">
        <w:trPr>
          <w:trHeight w:val="395"/>
        </w:trPr>
        <w:tc>
          <w:tcPr>
            <w:tcW w:w="0" w:type="auto"/>
            <w:vMerge/>
            <w:hideMark/>
          </w:tcPr>
          <w:p w14:paraId="339521E0" w14:textId="77777777" w:rsidR="00BE6FAF" w:rsidRPr="00677563" w:rsidRDefault="00BE6FAF" w:rsidP="00584A42">
            <w:pPr>
              <w:rPr>
                <w:rFonts w:cs="Arial"/>
                <w:color w:val="000000"/>
              </w:rPr>
            </w:pPr>
          </w:p>
        </w:tc>
        <w:tc>
          <w:tcPr>
            <w:tcW w:w="0" w:type="auto"/>
            <w:vMerge/>
            <w:hideMark/>
          </w:tcPr>
          <w:p w14:paraId="7B4153FB" w14:textId="77777777" w:rsidR="00BE6FAF" w:rsidRPr="00677563" w:rsidRDefault="00BE6FAF" w:rsidP="00584A42">
            <w:pPr>
              <w:rPr>
                <w:rFonts w:cs="Arial"/>
                <w:color w:val="000000"/>
              </w:rPr>
            </w:pPr>
          </w:p>
        </w:tc>
      </w:tr>
      <w:tr w:rsidR="00BE6FAF" w:rsidRPr="00677563" w14:paraId="5F200FB1" w14:textId="77777777" w:rsidTr="00321CDA">
        <w:trPr>
          <w:trHeight w:val="510"/>
        </w:trPr>
        <w:tc>
          <w:tcPr>
            <w:tcW w:w="0" w:type="auto"/>
            <w:hideMark/>
          </w:tcPr>
          <w:p w14:paraId="6BE54C93" w14:textId="698CCA4E" w:rsidR="00B535B2" w:rsidRDefault="000E4882" w:rsidP="00584A42">
            <w:pPr>
              <w:rPr>
                <w:rFonts w:cs="Arial"/>
                <w:color w:val="000000"/>
              </w:rPr>
            </w:pPr>
            <w:r>
              <w:rPr>
                <w:rFonts w:cs="Arial"/>
                <w:color w:val="000000"/>
              </w:rPr>
              <w:t xml:space="preserve">Attachment </w:t>
            </w:r>
            <w:r w:rsidR="00B535B2">
              <w:rPr>
                <w:rFonts w:cs="Arial"/>
                <w:color w:val="000000"/>
              </w:rPr>
              <w:t>5H-I:</w:t>
            </w:r>
          </w:p>
          <w:p w14:paraId="56B7A5ED" w14:textId="77777777" w:rsidR="00BE6FAF" w:rsidRPr="00677563" w:rsidRDefault="00BE6FAF" w:rsidP="00584A42">
            <w:pPr>
              <w:rPr>
                <w:rFonts w:cs="Arial"/>
                <w:color w:val="000000"/>
              </w:rPr>
            </w:pPr>
            <w:r w:rsidRPr="00677563">
              <w:rPr>
                <w:rFonts w:cs="Arial"/>
                <w:color w:val="000000"/>
              </w:rPr>
              <w:t>PHS 398 Modular Budget</w:t>
            </w:r>
          </w:p>
        </w:tc>
        <w:tc>
          <w:tcPr>
            <w:tcW w:w="0" w:type="auto"/>
            <w:hideMark/>
          </w:tcPr>
          <w:p w14:paraId="71FF02EC" w14:textId="6EDC3D27" w:rsidR="00BE6FAF" w:rsidRPr="00677563" w:rsidRDefault="00BB446D" w:rsidP="00584A42">
            <w:pPr>
              <w:rPr>
                <w:rFonts w:cs="Arial"/>
                <w:color w:val="000000"/>
              </w:rPr>
            </w:pPr>
            <w:r w:rsidRPr="00677563">
              <w:rPr>
                <w:rFonts w:cs="Arial"/>
                <w:color w:val="000000"/>
              </w:rPr>
              <w:t xml:space="preserve">Streamlined </w:t>
            </w:r>
            <w:r>
              <w:rPr>
                <w:rFonts w:cs="Arial"/>
                <w:color w:val="000000"/>
              </w:rPr>
              <w:t>instructions.</w:t>
            </w:r>
          </w:p>
        </w:tc>
      </w:tr>
      <w:tr w:rsidR="00BE6FAF" w:rsidRPr="00677563" w14:paraId="53592F3F" w14:textId="77777777" w:rsidTr="00321CDA">
        <w:trPr>
          <w:trHeight w:val="300"/>
        </w:trPr>
        <w:tc>
          <w:tcPr>
            <w:tcW w:w="0" w:type="auto"/>
            <w:hideMark/>
          </w:tcPr>
          <w:p w14:paraId="6C06F228" w14:textId="1FD8587E" w:rsidR="00B535B2" w:rsidRDefault="000E4882" w:rsidP="00584A42">
            <w:pPr>
              <w:rPr>
                <w:rFonts w:cs="Arial"/>
                <w:color w:val="000000"/>
              </w:rPr>
            </w:pPr>
            <w:r>
              <w:rPr>
                <w:rFonts w:cs="Arial"/>
                <w:color w:val="000000"/>
              </w:rPr>
              <w:t xml:space="preserve">Attachment </w:t>
            </w:r>
            <w:r w:rsidR="00B535B2">
              <w:rPr>
                <w:rFonts w:cs="Arial"/>
                <w:color w:val="000000"/>
              </w:rPr>
              <w:t>5J-K:</w:t>
            </w:r>
          </w:p>
          <w:p w14:paraId="6184E835" w14:textId="77777777" w:rsidR="00BE6FAF" w:rsidRPr="00677563" w:rsidRDefault="00BE6FAF" w:rsidP="00584A42">
            <w:pPr>
              <w:rPr>
                <w:rFonts w:cs="Arial"/>
                <w:color w:val="000000"/>
              </w:rPr>
            </w:pPr>
            <w:r w:rsidRPr="00677563">
              <w:rPr>
                <w:rFonts w:cs="Arial"/>
                <w:color w:val="000000"/>
              </w:rPr>
              <w:t>PHS 398 Training Budget</w:t>
            </w:r>
          </w:p>
        </w:tc>
        <w:tc>
          <w:tcPr>
            <w:tcW w:w="0" w:type="auto"/>
            <w:hideMark/>
          </w:tcPr>
          <w:p w14:paraId="42CD26E0" w14:textId="12230652" w:rsidR="00BE6FAF" w:rsidRPr="00677563" w:rsidRDefault="00BB446D" w:rsidP="00584A42">
            <w:pPr>
              <w:rPr>
                <w:rFonts w:cs="Arial"/>
                <w:color w:val="000000"/>
              </w:rPr>
            </w:pPr>
            <w:r w:rsidRPr="00677563">
              <w:rPr>
                <w:rFonts w:cs="Arial"/>
                <w:color w:val="000000"/>
              </w:rPr>
              <w:t xml:space="preserve">Streamlined </w:t>
            </w:r>
            <w:r>
              <w:rPr>
                <w:rFonts w:cs="Arial"/>
                <w:color w:val="000000"/>
              </w:rPr>
              <w:t>instructions.</w:t>
            </w:r>
          </w:p>
        </w:tc>
      </w:tr>
      <w:tr w:rsidR="00BE6FAF" w:rsidRPr="00677563" w14:paraId="0B014187" w14:textId="77777777" w:rsidTr="00321CDA">
        <w:trPr>
          <w:trHeight w:val="510"/>
        </w:trPr>
        <w:tc>
          <w:tcPr>
            <w:tcW w:w="0" w:type="auto"/>
            <w:hideMark/>
          </w:tcPr>
          <w:p w14:paraId="1F7675DB" w14:textId="77777777" w:rsidR="00B535B2" w:rsidRDefault="00B535B2" w:rsidP="00584A42">
            <w:pPr>
              <w:rPr>
                <w:rFonts w:cs="Arial"/>
                <w:color w:val="000000"/>
              </w:rPr>
            </w:pPr>
            <w:r>
              <w:rPr>
                <w:rFonts w:cs="Arial"/>
                <w:color w:val="000000"/>
              </w:rPr>
              <w:t>Attachment  5L-M:</w:t>
            </w:r>
          </w:p>
          <w:p w14:paraId="1E94109A" w14:textId="77777777" w:rsidR="00BE6FAF" w:rsidRPr="00677563" w:rsidRDefault="00BE6FAF" w:rsidP="00584A42">
            <w:pPr>
              <w:rPr>
                <w:rFonts w:cs="Arial"/>
                <w:color w:val="000000"/>
              </w:rPr>
            </w:pPr>
            <w:r w:rsidRPr="00677563">
              <w:rPr>
                <w:rFonts w:cs="Arial"/>
                <w:color w:val="000000"/>
              </w:rPr>
              <w:t>PHS 398 Training Subaward Budget Attachment(s) Form</w:t>
            </w:r>
          </w:p>
        </w:tc>
        <w:tc>
          <w:tcPr>
            <w:tcW w:w="0" w:type="auto"/>
            <w:hideMark/>
          </w:tcPr>
          <w:p w14:paraId="314DA6B5" w14:textId="64B622B9" w:rsidR="00BE6FAF" w:rsidRPr="00677563" w:rsidRDefault="00BE6FAF" w:rsidP="00584A42">
            <w:pPr>
              <w:rPr>
                <w:rFonts w:cs="Arial"/>
                <w:color w:val="000000"/>
              </w:rPr>
            </w:pPr>
            <w:r w:rsidRPr="00677563">
              <w:rPr>
                <w:rFonts w:cs="Arial"/>
                <w:color w:val="000000"/>
              </w:rPr>
              <w:t xml:space="preserve">Streamlined </w:t>
            </w:r>
            <w:r>
              <w:rPr>
                <w:rFonts w:cs="Arial"/>
                <w:color w:val="000000"/>
              </w:rPr>
              <w:t>instructions</w:t>
            </w:r>
            <w:r w:rsidR="00BB446D">
              <w:rPr>
                <w:rFonts w:cs="Arial"/>
                <w:color w:val="000000"/>
              </w:rPr>
              <w:t>.</w:t>
            </w:r>
          </w:p>
        </w:tc>
      </w:tr>
      <w:tr w:rsidR="00BE6FAF" w:rsidRPr="00677563" w14:paraId="2985B994" w14:textId="77777777" w:rsidTr="00321CDA">
        <w:trPr>
          <w:trHeight w:val="1530"/>
        </w:trPr>
        <w:tc>
          <w:tcPr>
            <w:tcW w:w="0" w:type="auto"/>
            <w:hideMark/>
          </w:tcPr>
          <w:p w14:paraId="4A3B8E5E" w14:textId="5B78C010" w:rsidR="00B535B2" w:rsidRDefault="00B535B2" w:rsidP="00584A42">
            <w:pPr>
              <w:rPr>
                <w:rFonts w:cs="Arial"/>
                <w:color w:val="000000"/>
              </w:rPr>
            </w:pPr>
            <w:r>
              <w:rPr>
                <w:rFonts w:cs="Arial"/>
                <w:color w:val="000000"/>
              </w:rPr>
              <w:lastRenderedPageBreak/>
              <w:t>Attachment 5N-O:</w:t>
            </w:r>
          </w:p>
          <w:p w14:paraId="69D17A12" w14:textId="77777777" w:rsidR="00BE6FAF" w:rsidRPr="00677563" w:rsidRDefault="00BE6FAF" w:rsidP="00584A42">
            <w:pPr>
              <w:rPr>
                <w:rFonts w:cs="Arial"/>
                <w:color w:val="000000"/>
              </w:rPr>
            </w:pPr>
            <w:r w:rsidRPr="00677563">
              <w:rPr>
                <w:rFonts w:cs="Arial"/>
                <w:color w:val="000000"/>
              </w:rPr>
              <w:t>PHS 398 Research Plan</w:t>
            </w:r>
          </w:p>
        </w:tc>
        <w:tc>
          <w:tcPr>
            <w:tcW w:w="0" w:type="auto"/>
            <w:hideMark/>
          </w:tcPr>
          <w:p w14:paraId="03951C01" w14:textId="3A84FF52" w:rsidR="00BE6FAF" w:rsidRDefault="00BE6FAF" w:rsidP="00BB446D">
            <w:pPr>
              <w:rPr>
                <w:rFonts w:cs="Arial"/>
                <w:color w:val="000000"/>
              </w:rPr>
            </w:pPr>
            <w:r w:rsidRPr="00677563">
              <w:rPr>
                <w:rFonts w:cs="Arial"/>
                <w:color w:val="000000"/>
              </w:rPr>
              <w:t xml:space="preserve">Deleted </w:t>
            </w:r>
            <w:r w:rsidR="00BB446D">
              <w:rPr>
                <w:rFonts w:cs="Arial"/>
                <w:color w:val="000000"/>
              </w:rPr>
              <w:t xml:space="preserve">attachments 5-8 (these are now included in new </w:t>
            </w:r>
            <w:r w:rsidR="003D769D" w:rsidRPr="003D769D">
              <w:t xml:space="preserve">PHS Human Subjects and Clinical Trial Information </w:t>
            </w:r>
            <w:r w:rsidR="003D769D">
              <w:t>form</w:t>
            </w:r>
            <w:r w:rsidR="00BB446D">
              <w:rPr>
                <w:rFonts w:cs="Arial"/>
                <w:color w:val="000000"/>
              </w:rPr>
              <w:t>.</w:t>
            </w:r>
          </w:p>
          <w:p w14:paraId="5713B14D" w14:textId="2156D492" w:rsidR="00BB446D" w:rsidRPr="00677563" w:rsidRDefault="00BB446D" w:rsidP="00BB446D">
            <w:pPr>
              <w:rPr>
                <w:rFonts w:cs="Arial"/>
                <w:color w:val="000000"/>
              </w:rPr>
            </w:pPr>
            <w:r>
              <w:rPr>
                <w:rFonts w:cs="Arial"/>
                <w:color w:val="000000"/>
              </w:rPr>
              <w:t>R</w:t>
            </w:r>
            <w:r w:rsidRPr="00677563">
              <w:rPr>
                <w:rFonts w:cs="Arial"/>
                <w:color w:val="000000"/>
              </w:rPr>
              <w:t>enumbered other sections accordingly</w:t>
            </w:r>
            <w:r>
              <w:rPr>
                <w:rFonts w:cs="Arial"/>
                <w:color w:val="000000"/>
              </w:rPr>
              <w:t>.</w:t>
            </w:r>
          </w:p>
        </w:tc>
      </w:tr>
      <w:tr w:rsidR="000E4882" w:rsidRPr="00677563" w14:paraId="75956038" w14:textId="77777777" w:rsidTr="00321CDA">
        <w:trPr>
          <w:trHeight w:val="1530"/>
        </w:trPr>
        <w:tc>
          <w:tcPr>
            <w:tcW w:w="0" w:type="auto"/>
          </w:tcPr>
          <w:p w14:paraId="224433FD" w14:textId="77777777" w:rsidR="000E4882" w:rsidRDefault="000E4882" w:rsidP="000E4882">
            <w:pPr>
              <w:rPr>
                <w:rFonts w:cs="Arial"/>
                <w:color w:val="000000"/>
              </w:rPr>
            </w:pPr>
            <w:r>
              <w:rPr>
                <w:rFonts w:cs="Arial"/>
                <w:color w:val="000000"/>
              </w:rPr>
              <w:t>Attachment 5P-Q:</w:t>
            </w:r>
          </w:p>
          <w:p w14:paraId="582ED032" w14:textId="2D8B2669" w:rsidR="000E4882" w:rsidRDefault="000E4882" w:rsidP="000E4882">
            <w:pPr>
              <w:rPr>
                <w:rFonts w:cs="Arial"/>
                <w:color w:val="000000"/>
              </w:rPr>
            </w:pPr>
            <w:r w:rsidRPr="00677563">
              <w:rPr>
                <w:rFonts w:cs="Arial"/>
                <w:color w:val="000000"/>
              </w:rPr>
              <w:t>PHS 398 Career Development Award Supplemental Form</w:t>
            </w:r>
          </w:p>
        </w:tc>
        <w:tc>
          <w:tcPr>
            <w:tcW w:w="0" w:type="auto"/>
          </w:tcPr>
          <w:p w14:paraId="4E4D5825" w14:textId="77777777" w:rsidR="000E4882" w:rsidRDefault="000E4882" w:rsidP="000E4882">
            <w:pPr>
              <w:rPr>
                <w:rFonts w:cs="Arial"/>
                <w:color w:val="000000"/>
              </w:rPr>
            </w:pPr>
            <w:r w:rsidRPr="00677563">
              <w:rPr>
                <w:rFonts w:cs="Arial"/>
                <w:color w:val="000000"/>
              </w:rPr>
              <w:t xml:space="preserve">Deleted </w:t>
            </w:r>
            <w:r>
              <w:rPr>
                <w:rFonts w:cs="Arial"/>
                <w:color w:val="000000"/>
              </w:rPr>
              <w:t xml:space="preserve">attachments 12-15 (these are now included in new </w:t>
            </w:r>
            <w:r w:rsidRPr="003D769D">
              <w:t xml:space="preserve">PHS Human Subjects and Clinical Trial Information </w:t>
            </w:r>
            <w:r>
              <w:rPr>
                <w:rFonts w:cs="Arial"/>
                <w:color w:val="000000"/>
              </w:rPr>
              <w:t>form.</w:t>
            </w:r>
          </w:p>
          <w:p w14:paraId="16F5FA70" w14:textId="083B60A8" w:rsidR="000E4882" w:rsidRPr="00677563" w:rsidRDefault="000E4882" w:rsidP="000E4882">
            <w:pPr>
              <w:rPr>
                <w:rFonts w:cs="Arial"/>
                <w:color w:val="000000"/>
              </w:rPr>
            </w:pPr>
            <w:r>
              <w:rPr>
                <w:rFonts w:cs="Arial"/>
                <w:color w:val="000000"/>
              </w:rPr>
              <w:t>R</w:t>
            </w:r>
            <w:r w:rsidRPr="00677563">
              <w:rPr>
                <w:rFonts w:cs="Arial"/>
                <w:color w:val="000000"/>
              </w:rPr>
              <w:t>enumbered other sections accordingly</w:t>
            </w:r>
            <w:r>
              <w:rPr>
                <w:rFonts w:cs="Arial"/>
                <w:color w:val="000000"/>
              </w:rPr>
              <w:t>.</w:t>
            </w:r>
          </w:p>
        </w:tc>
      </w:tr>
      <w:tr w:rsidR="000E4882" w:rsidRPr="00677563" w14:paraId="09A1E67A" w14:textId="77777777" w:rsidTr="00E50F04">
        <w:trPr>
          <w:trHeight w:val="1250"/>
        </w:trPr>
        <w:tc>
          <w:tcPr>
            <w:tcW w:w="0" w:type="auto"/>
            <w:hideMark/>
          </w:tcPr>
          <w:p w14:paraId="0A2D3E1B" w14:textId="6DB79762" w:rsidR="000E4882" w:rsidRDefault="000E4882" w:rsidP="000E4882">
            <w:pPr>
              <w:rPr>
                <w:rFonts w:cs="Arial"/>
                <w:color w:val="000000"/>
              </w:rPr>
            </w:pPr>
            <w:r>
              <w:rPr>
                <w:rFonts w:cs="Arial"/>
                <w:color w:val="000000"/>
              </w:rPr>
              <w:t>Attachment 5R-S:</w:t>
            </w:r>
          </w:p>
          <w:p w14:paraId="04B45566" w14:textId="77777777" w:rsidR="000E4882" w:rsidRPr="00677563" w:rsidRDefault="000E4882" w:rsidP="000E4882">
            <w:pPr>
              <w:rPr>
                <w:rFonts w:cs="Arial"/>
                <w:color w:val="000000"/>
              </w:rPr>
            </w:pPr>
            <w:r w:rsidRPr="00677563">
              <w:rPr>
                <w:rFonts w:cs="Arial"/>
                <w:color w:val="000000"/>
              </w:rPr>
              <w:t>PHS 398 Research Training Program Plan</w:t>
            </w:r>
          </w:p>
        </w:tc>
        <w:tc>
          <w:tcPr>
            <w:tcW w:w="0" w:type="auto"/>
            <w:hideMark/>
          </w:tcPr>
          <w:p w14:paraId="0EADFD07" w14:textId="1D6CCA22" w:rsidR="000E4882" w:rsidRDefault="000E4882" w:rsidP="000E4882">
            <w:pPr>
              <w:rPr>
                <w:rFonts w:cs="Arial"/>
                <w:color w:val="000000"/>
              </w:rPr>
            </w:pPr>
            <w:r w:rsidRPr="00677563">
              <w:rPr>
                <w:rFonts w:cs="Arial"/>
                <w:color w:val="000000"/>
              </w:rPr>
              <w:t xml:space="preserve">Deleted </w:t>
            </w:r>
            <w:r>
              <w:rPr>
                <w:rFonts w:cs="Arial"/>
                <w:color w:val="000000"/>
              </w:rPr>
              <w:t xml:space="preserve">attachments 10-11 (these are now included in new </w:t>
            </w:r>
            <w:r w:rsidRPr="003D769D">
              <w:t xml:space="preserve">PHS Human Subjects and Clinical Trial Information </w:t>
            </w:r>
            <w:r>
              <w:t>form</w:t>
            </w:r>
            <w:r>
              <w:rPr>
                <w:rFonts w:cs="Arial"/>
                <w:color w:val="000000"/>
              </w:rPr>
              <w:t>.</w:t>
            </w:r>
          </w:p>
          <w:p w14:paraId="36161EA1" w14:textId="0A24EF75" w:rsidR="000E4882" w:rsidRPr="00677563" w:rsidRDefault="000E4882" w:rsidP="000E4882">
            <w:pPr>
              <w:rPr>
                <w:rFonts w:cs="Arial"/>
                <w:color w:val="000000"/>
              </w:rPr>
            </w:pPr>
            <w:r>
              <w:rPr>
                <w:rFonts w:cs="Arial"/>
                <w:color w:val="000000"/>
              </w:rPr>
              <w:t>R</w:t>
            </w:r>
            <w:r w:rsidRPr="00677563">
              <w:rPr>
                <w:rFonts w:cs="Arial"/>
                <w:color w:val="000000"/>
              </w:rPr>
              <w:t>enumbered other sections accordingly</w:t>
            </w:r>
            <w:r>
              <w:rPr>
                <w:rFonts w:cs="Arial"/>
                <w:color w:val="000000"/>
              </w:rPr>
              <w:t>.</w:t>
            </w:r>
          </w:p>
        </w:tc>
      </w:tr>
      <w:tr w:rsidR="000E4882" w:rsidRPr="00677563" w14:paraId="65DEC675" w14:textId="77777777" w:rsidTr="00E50F04">
        <w:trPr>
          <w:trHeight w:val="2123"/>
        </w:trPr>
        <w:tc>
          <w:tcPr>
            <w:tcW w:w="0" w:type="auto"/>
            <w:hideMark/>
          </w:tcPr>
          <w:p w14:paraId="125E3CAE" w14:textId="29541D8A" w:rsidR="000E4882" w:rsidRDefault="000E4882" w:rsidP="000E4882">
            <w:pPr>
              <w:spacing w:after="200" w:line="276" w:lineRule="auto"/>
              <w:rPr>
                <w:rFonts w:cs="Arial"/>
                <w:color w:val="000000"/>
              </w:rPr>
            </w:pPr>
            <w:r>
              <w:rPr>
                <w:rFonts w:cs="Arial"/>
                <w:color w:val="000000"/>
              </w:rPr>
              <w:t>Attachment 6A-B:</w:t>
            </w:r>
          </w:p>
          <w:p w14:paraId="444A8BCB" w14:textId="77777777" w:rsidR="000E4882" w:rsidRPr="00A349A9" w:rsidRDefault="000E4882" w:rsidP="000E4882">
            <w:pPr>
              <w:spacing w:after="200" w:line="276" w:lineRule="auto"/>
              <w:rPr>
                <w:rFonts w:eastAsiaTheme="minorHAnsi" w:cstheme="minorBidi"/>
              </w:rPr>
            </w:pPr>
            <w:r>
              <w:rPr>
                <w:bCs/>
              </w:rPr>
              <w:t>PHS Fellowship Supplemental Form and</w:t>
            </w:r>
            <w:r w:rsidRPr="00732703">
              <w:rPr>
                <w:bCs/>
              </w:rPr>
              <w:t xml:space="preserve"> </w:t>
            </w:r>
            <w:r>
              <w:rPr>
                <w:bCs/>
              </w:rPr>
              <w:t xml:space="preserve">agency specific instructions used in combination with the SF424 (R&amp;R) forms/instructions for Fellowships </w:t>
            </w:r>
            <w:r w:rsidRPr="00970CC2">
              <w:rPr>
                <w:bCs/>
              </w:rPr>
              <w:t>[electronic]</w:t>
            </w:r>
            <w:r>
              <w:rPr>
                <w:bCs/>
              </w:rPr>
              <w:t xml:space="preserve"> </w:t>
            </w:r>
          </w:p>
        </w:tc>
        <w:tc>
          <w:tcPr>
            <w:tcW w:w="0" w:type="auto"/>
            <w:hideMark/>
          </w:tcPr>
          <w:p w14:paraId="143C794F" w14:textId="77123B27" w:rsidR="000E4882" w:rsidRDefault="000E4882" w:rsidP="000E4882">
            <w:pPr>
              <w:rPr>
                <w:rFonts w:cs="Arial"/>
                <w:color w:val="000000"/>
              </w:rPr>
            </w:pPr>
            <w:r w:rsidRPr="00677563">
              <w:rPr>
                <w:rFonts w:cs="Arial"/>
                <w:color w:val="000000"/>
              </w:rPr>
              <w:t xml:space="preserve">Deleted </w:t>
            </w:r>
            <w:r>
              <w:rPr>
                <w:rFonts w:cs="Arial"/>
                <w:color w:val="000000"/>
              </w:rPr>
              <w:t xml:space="preserve">attachments 12-19 (these are now included in new </w:t>
            </w:r>
            <w:r w:rsidRPr="003D769D">
              <w:t xml:space="preserve">PHS Human Subjects and Clinical Trial Information </w:t>
            </w:r>
            <w:r>
              <w:rPr>
                <w:rFonts w:cs="Arial"/>
                <w:color w:val="000000"/>
              </w:rPr>
              <w:t>form.</w:t>
            </w:r>
          </w:p>
          <w:p w14:paraId="42AF9B1F" w14:textId="66882BE2" w:rsidR="000E4882" w:rsidRPr="00677563" w:rsidRDefault="000E4882" w:rsidP="000E4882">
            <w:pPr>
              <w:rPr>
                <w:rFonts w:cs="Arial"/>
                <w:color w:val="000000"/>
              </w:rPr>
            </w:pPr>
            <w:r>
              <w:rPr>
                <w:rFonts w:cs="Arial"/>
                <w:color w:val="000000"/>
              </w:rPr>
              <w:t>R</w:t>
            </w:r>
            <w:r w:rsidRPr="00677563">
              <w:rPr>
                <w:rFonts w:cs="Arial"/>
                <w:color w:val="000000"/>
              </w:rPr>
              <w:t>enumbered other sections accordingly</w:t>
            </w:r>
            <w:r>
              <w:rPr>
                <w:rFonts w:cs="Arial"/>
                <w:color w:val="000000"/>
              </w:rPr>
              <w:t>.</w:t>
            </w:r>
          </w:p>
        </w:tc>
      </w:tr>
      <w:tr w:rsidR="000E4882" w:rsidRPr="00677563" w14:paraId="2E776B4E" w14:textId="77777777" w:rsidTr="000E4882">
        <w:trPr>
          <w:trHeight w:val="1430"/>
        </w:trPr>
        <w:tc>
          <w:tcPr>
            <w:tcW w:w="0" w:type="auto"/>
          </w:tcPr>
          <w:p w14:paraId="18BB7AC6" w14:textId="6B61CCD4" w:rsidR="000E4882" w:rsidRDefault="000E4882" w:rsidP="000E4882">
            <w:pPr>
              <w:rPr>
                <w:bCs/>
              </w:rPr>
            </w:pPr>
            <w:r w:rsidRPr="00055D7A">
              <w:rPr>
                <w:bCs/>
              </w:rPr>
              <w:t>Attachment 8</w:t>
            </w:r>
            <w:r>
              <w:rPr>
                <w:bCs/>
              </w:rPr>
              <w:t>:</w:t>
            </w:r>
          </w:p>
          <w:p w14:paraId="72994A15" w14:textId="21FBC51F" w:rsidR="000E4882" w:rsidRDefault="000E4882" w:rsidP="000E4882">
            <w:pPr>
              <w:rPr>
                <w:rFonts w:cs="Arial"/>
                <w:color w:val="000000"/>
              </w:rPr>
            </w:pPr>
            <w:r w:rsidRPr="00055D7A">
              <w:rPr>
                <w:bCs/>
              </w:rPr>
              <w:t xml:space="preserve">Instructions for a Change of Sponsoring Institution for NRSA Fellowships (F30, F31, F32 and F33) and non-NRSA Fellowships </w:t>
            </w:r>
          </w:p>
        </w:tc>
        <w:tc>
          <w:tcPr>
            <w:tcW w:w="0" w:type="auto"/>
          </w:tcPr>
          <w:p w14:paraId="7DBBF373" w14:textId="4F7E3352" w:rsidR="000E4882" w:rsidRPr="00677563" w:rsidRDefault="000E4882" w:rsidP="000E4882">
            <w:pPr>
              <w:rPr>
                <w:rFonts w:cs="Arial"/>
                <w:color w:val="000000"/>
              </w:rPr>
            </w:pPr>
            <w:r w:rsidRPr="00677563">
              <w:rPr>
                <w:rFonts w:cs="Arial"/>
                <w:color w:val="000000"/>
              </w:rPr>
              <w:t xml:space="preserve">Streamlined </w:t>
            </w:r>
            <w:r>
              <w:rPr>
                <w:rFonts w:cs="Arial"/>
                <w:color w:val="000000"/>
              </w:rPr>
              <w:t>instructions.</w:t>
            </w:r>
          </w:p>
        </w:tc>
      </w:tr>
      <w:tr w:rsidR="000E4882" w:rsidRPr="00677563" w14:paraId="799CB830" w14:textId="77777777" w:rsidTr="000E4882">
        <w:trPr>
          <w:trHeight w:val="1700"/>
        </w:trPr>
        <w:tc>
          <w:tcPr>
            <w:tcW w:w="0" w:type="auto"/>
          </w:tcPr>
          <w:p w14:paraId="7B8FC9E6" w14:textId="56417DBB" w:rsidR="000E4882" w:rsidRDefault="000E4882" w:rsidP="000E4882">
            <w:pPr>
              <w:spacing w:after="200" w:line="276" w:lineRule="auto"/>
              <w:rPr>
                <w:rFonts w:cs="Arial"/>
                <w:color w:val="000000"/>
              </w:rPr>
            </w:pPr>
            <w:r>
              <w:rPr>
                <w:rFonts w:cs="Arial"/>
                <w:color w:val="000000"/>
              </w:rPr>
              <w:t>Attachment 9A-C:</w:t>
            </w:r>
          </w:p>
          <w:p w14:paraId="2F7E55A3" w14:textId="659B0F51" w:rsidR="000E4882" w:rsidRDefault="000E4882" w:rsidP="000E4882">
            <w:pPr>
              <w:spacing w:after="200" w:line="276" w:lineRule="auto"/>
              <w:rPr>
                <w:rFonts w:cs="Arial"/>
                <w:color w:val="000000"/>
              </w:rPr>
            </w:pPr>
            <w:r w:rsidRPr="00055D7A">
              <w:rPr>
                <w:color w:val="000000"/>
              </w:rPr>
              <w:t>General Biographical Sketch Format Page</w:t>
            </w:r>
            <w:r>
              <w:rPr>
                <w:color w:val="000000"/>
              </w:rPr>
              <w:t>, Instructions</w:t>
            </w:r>
            <w:r w:rsidRPr="00055D7A">
              <w:rPr>
                <w:color w:val="000000"/>
              </w:rPr>
              <w:t xml:space="preserve"> (use also for Fellowship Sponsor/Co-Sponsors)</w:t>
            </w:r>
            <w:r>
              <w:rPr>
                <w:color w:val="000000"/>
              </w:rPr>
              <w:t>, and Samples</w:t>
            </w:r>
          </w:p>
        </w:tc>
        <w:tc>
          <w:tcPr>
            <w:tcW w:w="0" w:type="auto"/>
          </w:tcPr>
          <w:p w14:paraId="000F4F4F" w14:textId="77777777" w:rsidR="000E4882" w:rsidRDefault="000E4882" w:rsidP="000E4882">
            <w:pPr>
              <w:rPr>
                <w:rFonts w:cs="Arial"/>
                <w:color w:val="000000"/>
              </w:rPr>
            </w:pPr>
            <w:r>
              <w:rPr>
                <w:rFonts w:cs="Arial"/>
                <w:color w:val="000000"/>
              </w:rPr>
              <w:t>Streamlined instructions</w:t>
            </w:r>
          </w:p>
          <w:p w14:paraId="66624BC9" w14:textId="77777777" w:rsidR="000E4882" w:rsidRDefault="000E4882" w:rsidP="000E4882">
            <w:pPr>
              <w:rPr>
                <w:rFonts w:cs="Arial"/>
                <w:color w:val="000000"/>
              </w:rPr>
            </w:pPr>
            <w:r>
              <w:rPr>
                <w:rFonts w:cs="Arial"/>
                <w:color w:val="000000"/>
              </w:rPr>
              <w:t>Separated Instructions and Format Page into two documents</w:t>
            </w:r>
          </w:p>
          <w:p w14:paraId="1CA824E9" w14:textId="64023FCD" w:rsidR="000E4882" w:rsidRPr="00677563" w:rsidRDefault="000E4882" w:rsidP="000E4882">
            <w:pPr>
              <w:rPr>
                <w:rFonts w:cs="Arial"/>
                <w:color w:val="000000"/>
              </w:rPr>
            </w:pPr>
            <w:r>
              <w:rPr>
                <w:rFonts w:cs="Arial"/>
                <w:color w:val="000000"/>
              </w:rPr>
              <w:t>Updated samples</w:t>
            </w:r>
          </w:p>
        </w:tc>
      </w:tr>
      <w:tr w:rsidR="000E4882" w:rsidRPr="00677563" w14:paraId="61F51B67" w14:textId="77777777" w:rsidTr="00E50F04">
        <w:trPr>
          <w:trHeight w:val="2123"/>
        </w:trPr>
        <w:tc>
          <w:tcPr>
            <w:tcW w:w="0" w:type="auto"/>
          </w:tcPr>
          <w:p w14:paraId="08A795E2" w14:textId="202DB175" w:rsidR="000E4882" w:rsidRDefault="000E4882" w:rsidP="000E4882">
            <w:pPr>
              <w:spacing w:after="200" w:line="276" w:lineRule="auto"/>
              <w:rPr>
                <w:rFonts w:cs="Arial"/>
                <w:color w:val="000000"/>
              </w:rPr>
            </w:pPr>
            <w:r>
              <w:rPr>
                <w:rFonts w:cs="Arial"/>
                <w:color w:val="000000"/>
              </w:rPr>
              <w:t>Attachment 10A-C:</w:t>
            </w:r>
          </w:p>
          <w:p w14:paraId="701A2E7F" w14:textId="00D8D2B9" w:rsidR="000E4882" w:rsidRPr="00136477" w:rsidRDefault="000E4882" w:rsidP="000E4882">
            <w:pPr>
              <w:rPr>
                <w:bCs/>
              </w:rPr>
            </w:pPr>
            <w:r w:rsidRPr="00055D7A">
              <w:rPr>
                <w:color w:val="000000"/>
              </w:rPr>
              <w:t xml:space="preserve">Fellowship Applicant Biographical Sketch Format Page (use only for individual </w:t>
            </w:r>
            <w:proofErr w:type="spellStart"/>
            <w:r w:rsidRPr="00055D7A">
              <w:rPr>
                <w:color w:val="000000"/>
              </w:rPr>
              <w:t>predoctoral</w:t>
            </w:r>
            <w:proofErr w:type="spellEnd"/>
            <w:r w:rsidRPr="00055D7A">
              <w:rPr>
                <w:color w:val="000000"/>
              </w:rPr>
              <w:t xml:space="preserve"> and postdoctoral fellowships, dissertation research grants [R36], and Research Supplements to Promote Diversity in Health-Related Research [Admin Supplement])</w:t>
            </w:r>
            <w:r>
              <w:rPr>
                <w:color w:val="000000"/>
              </w:rPr>
              <w:t xml:space="preserve"> and Samples</w:t>
            </w:r>
          </w:p>
        </w:tc>
        <w:tc>
          <w:tcPr>
            <w:tcW w:w="0" w:type="auto"/>
          </w:tcPr>
          <w:p w14:paraId="2DB15D29" w14:textId="77777777" w:rsidR="000E4882" w:rsidRDefault="000E4882" w:rsidP="000E4882">
            <w:pPr>
              <w:rPr>
                <w:rFonts w:cs="Arial"/>
                <w:color w:val="000000"/>
              </w:rPr>
            </w:pPr>
            <w:r>
              <w:rPr>
                <w:rFonts w:cs="Arial"/>
                <w:color w:val="000000"/>
              </w:rPr>
              <w:t>Streamlined instructions</w:t>
            </w:r>
          </w:p>
          <w:p w14:paraId="084FAEF0" w14:textId="77777777" w:rsidR="000E4882" w:rsidRDefault="000E4882" w:rsidP="000E4882">
            <w:pPr>
              <w:rPr>
                <w:rFonts w:cs="Arial"/>
                <w:color w:val="000000"/>
              </w:rPr>
            </w:pPr>
            <w:r>
              <w:rPr>
                <w:rFonts w:cs="Arial"/>
                <w:color w:val="000000"/>
              </w:rPr>
              <w:t>Separated Instructions and Format Page into two documents</w:t>
            </w:r>
          </w:p>
          <w:p w14:paraId="3776C1C9" w14:textId="73F6D3C6" w:rsidR="000E4882" w:rsidRPr="00677563" w:rsidRDefault="000E4882" w:rsidP="000E4882">
            <w:pPr>
              <w:rPr>
                <w:rFonts w:cs="Arial"/>
                <w:color w:val="000000"/>
              </w:rPr>
            </w:pPr>
            <w:r>
              <w:rPr>
                <w:rFonts w:cs="Arial"/>
                <w:color w:val="000000"/>
              </w:rPr>
              <w:t>Updated samples</w:t>
            </w:r>
          </w:p>
        </w:tc>
      </w:tr>
      <w:tr w:rsidR="000E4882" w:rsidRPr="00677563" w14:paraId="3636EFCB" w14:textId="77777777" w:rsidTr="007D7014">
        <w:trPr>
          <w:trHeight w:val="1430"/>
        </w:trPr>
        <w:tc>
          <w:tcPr>
            <w:tcW w:w="0" w:type="auto"/>
          </w:tcPr>
          <w:p w14:paraId="5E2B2D3A" w14:textId="1F56DDAA" w:rsidR="000E4882" w:rsidRDefault="000E4882" w:rsidP="000E4882">
            <w:pPr>
              <w:rPr>
                <w:rFonts w:cs="Arial"/>
                <w:color w:val="000000"/>
              </w:rPr>
            </w:pPr>
            <w:r>
              <w:rPr>
                <w:rFonts w:cs="Arial"/>
                <w:color w:val="000000"/>
              </w:rPr>
              <w:lastRenderedPageBreak/>
              <w:t>Attachment  11A-D:</w:t>
            </w:r>
          </w:p>
          <w:p w14:paraId="13C7F809" w14:textId="3972F4C5" w:rsidR="000E4882" w:rsidRDefault="000E4882" w:rsidP="000E4882">
            <w:pPr>
              <w:spacing w:after="200" w:line="276" w:lineRule="auto"/>
              <w:rPr>
                <w:rFonts w:cs="Arial"/>
                <w:color w:val="000000"/>
              </w:rPr>
            </w:pPr>
            <w:r>
              <w:rPr>
                <w:rFonts w:cs="Arial"/>
                <w:color w:val="000000"/>
              </w:rPr>
              <w:t xml:space="preserve">Attachment  </w:t>
            </w:r>
            <w:r w:rsidRPr="00BE6FAF">
              <w:rPr>
                <w:color w:val="000000"/>
                <w:shd w:val="clear" w:color="auto" w:fill="FFFFFF"/>
              </w:rPr>
              <w:t>Data tables for use with Institutional Research Training grant applications using the SF424 (R&amp;R)</w:t>
            </w:r>
          </w:p>
        </w:tc>
        <w:tc>
          <w:tcPr>
            <w:tcW w:w="0" w:type="auto"/>
          </w:tcPr>
          <w:p w14:paraId="0A24F639" w14:textId="77777777" w:rsidR="000E4882" w:rsidRDefault="000E4882" w:rsidP="000E4882">
            <w:pPr>
              <w:rPr>
                <w:color w:val="000000"/>
              </w:rPr>
            </w:pPr>
            <w:r>
              <w:rPr>
                <w:color w:val="000000"/>
              </w:rPr>
              <w:t>Updated instructions.</w:t>
            </w:r>
          </w:p>
          <w:p w14:paraId="79831E86" w14:textId="47069537" w:rsidR="000E4882" w:rsidRDefault="000E4882" w:rsidP="000E4882">
            <w:pPr>
              <w:rPr>
                <w:rFonts w:cs="Arial"/>
                <w:color w:val="000000"/>
              </w:rPr>
            </w:pPr>
            <w:r>
              <w:rPr>
                <w:color w:val="000000"/>
              </w:rPr>
              <w:t xml:space="preserve">Data tables for international programs added. </w:t>
            </w:r>
          </w:p>
        </w:tc>
      </w:tr>
      <w:tr w:rsidR="000E4882" w:rsidRPr="00677563" w14:paraId="19E79464" w14:textId="77777777" w:rsidTr="00321CDA">
        <w:trPr>
          <w:trHeight w:val="1275"/>
        </w:trPr>
        <w:tc>
          <w:tcPr>
            <w:tcW w:w="0" w:type="auto"/>
          </w:tcPr>
          <w:p w14:paraId="0F70C600" w14:textId="2CF23ABF" w:rsidR="000E4882" w:rsidRDefault="000E4882" w:rsidP="000E4882">
            <w:pPr>
              <w:rPr>
                <w:rFonts w:cs="Arial"/>
                <w:color w:val="000000"/>
              </w:rPr>
            </w:pPr>
            <w:r>
              <w:rPr>
                <w:rFonts w:cs="Arial"/>
                <w:color w:val="000000"/>
              </w:rPr>
              <w:t>Attachment  11A-D:</w:t>
            </w:r>
          </w:p>
          <w:p w14:paraId="04A9B739" w14:textId="746896FC" w:rsidR="000E4882" w:rsidRDefault="000E4882" w:rsidP="000E4882">
            <w:pPr>
              <w:rPr>
                <w:rFonts w:cs="Arial"/>
                <w:color w:val="000000"/>
              </w:rPr>
            </w:pPr>
            <w:r>
              <w:rPr>
                <w:rFonts w:cs="Arial"/>
                <w:color w:val="000000"/>
              </w:rPr>
              <w:t xml:space="preserve">Attachment  </w:t>
            </w:r>
            <w:r w:rsidRPr="00BE6FAF">
              <w:rPr>
                <w:color w:val="000000"/>
                <w:shd w:val="clear" w:color="auto" w:fill="FFFFFF"/>
              </w:rPr>
              <w:t>Data tables for use with Institutional Research Training grant applications using the SF424 (R&amp;R)</w:t>
            </w:r>
          </w:p>
        </w:tc>
        <w:tc>
          <w:tcPr>
            <w:tcW w:w="0" w:type="auto"/>
          </w:tcPr>
          <w:p w14:paraId="63C46D8D" w14:textId="348B3371" w:rsidR="000E4882" w:rsidRDefault="000E4882" w:rsidP="000E4882">
            <w:pPr>
              <w:rPr>
                <w:color w:val="000000"/>
              </w:rPr>
            </w:pPr>
            <w:r>
              <w:rPr>
                <w:color w:val="000000"/>
              </w:rPr>
              <w:t>Updated instructions.</w:t>
            </w:r>
          </w:p>
          <w:p w14:paraId="7DE6CA30" w14:textId="67E50321" w:rsidR="000E4882" w:rsidRPr="00677563" w:rsidRDefault="000E4882" w:rsidP="000E4882">
            <w:pPr>
              <w:rPr>
                <w:rFonts w:cs="Arial"/>
                <w:color w:val="000000"/>
              </w:rPr>
            </w:pPr>
            <w:r>
              <w:rPr>
                <w:color w:val="000000"/>
              </w:rPr>
              <w:t xml:space="preserve">Data tables for international programs added. </w:t>
            </w:r>
          </w:p>
        </w:tc>
      </w:tr>
      <w:tr w:rsidR="000E4882" w:rsidRPr="00677563" w14:paraId="759CCB66" w14:textId="77777777" w:rsidTr="00321CDA">
        <w:trPr>
          <w:trHeight w:val="1275"/>
        </w:trPr>
        <w:tc>
          <w:tcPr>
            <w:tcW w:w="0" w:type="auto"/>
          </w:tcPr>
          <w:p w14:paraId="081C9691" w14:textId="01ABB4F6" w:rsidR="000E4882" w:rsidRDefault="000E4882" w:rsidP="000E4882">
            <w:pPr>
              <w:rPr>
                <w:rFonts w:cs="Arial"/>
                <w:color w:val="000000"/>
              </w:rPr>
            </w:pPr>
            <w:r w:rsidRPr="004F797B">
              <w:t>Attachment 12 - PHS 416-5: Ruth L. Kirschstein National Research Service Award Individual Fellowship Activation Notice</w:t>
            </w:r>
          </w:p>
        </w:tc>
        <w:tc>
          <w:tcPr>
            <w:tcW w:w="0" w:type="auto"/>
          </w:tcPr>
          <w:p w14:paraId="4BC8E8EE" w14:textId="5DE3DC4C" w:rsidR="000E4882" w:rsidRDefault="000E4882" w:rsidP="000E4882">
            <w:pPr>
              <w:rPr>
                <w:color w:val="000000"/>
              </w:rPr>
            </w:pPr>
            <w:r>
              <w:t xml:space="preserve">Removed Sponsor signature line. </w:t>
            </w:r>
          </w:p>
        </w:tc>
      </w:tr>
      <w:tr w:rsidR="000E4882" w:rsidRPr="00677563" w14:paraId="0D794ACF" w14:textId="77777777" w:rsidTr="00321CDA">
        <w:trPr>
          <w:trHeight w:val="1275"/>
        </w:trPr>
        <w:tc>
          <w:tcPr>
            <w:tcW w:w="0" w:type="auto"/>
          </w:tcPr>
          <w:p w14:paraId="71AFC083" w14:textId="1FC0B506" w:rsidR="000E4882" w:rsidRPr="004F797B" w:rsidRDefault="000E4882" w:rsidP="000E4882">
            <w:r w:rsidRPr="00055D7A">
              <w:t>Attachment 1</w:t>
            </w:r>
            <w:r>
              <w:t>4</w:t>
            </w:r>
            <w:r w:rsidRPr="00055D7A">
              <w:t xml:space="preserve"> </w:t>
            </w:r>
            <w:r w:rsidRPr="00055D7A">
              <w:rPr>
                <w:bCs/>
              </w:rPr>
              <w:t>-</w:t>
            </w:r>
            <w:r w:rsidRPr="00055D7A">
              <w:t xml:space="preserve"> PHS Supplemental Grant Application Instructions for use with PHS 398 [paper], PHS 398 [electronic], PHS Fellowship Supplemental Form [electronic], PHS416-1 [p</w:t>
            </w:r>
            <w:r>
              <w:t>aper], and PHS 2012-02 (SBIR)</w:t>
            </w:r>
          </w:p>
        </w:tc>
        <w:tc>
          <w:tcPr>
            <w:tcW w:w="0" w:type="auto"/>
          </w:tcPr>
          <w:p w14:paraId="59C114E2" w14:textId="77777777" w:rsidR="007D7014" w:rsidRDefault="007D7014" w:rsidP="000E4882">
            <w:pPr>
              <w:rPr>
                <w:rFonts w:cs="Arial"/>
                <w:color w:val="000000"/>
              </w:rPr>
            </w:pPr>
            <w:r>
              <w:rPr>
                <w:rFonts w:cs="Arial"/>
                <w:color w:val="000000"/>
              </w:rPr>
              <w:t>Removed instructions for completing human subjects attachments</w:t>
            </w:r>
            <w:r w:rsidRPr="00677563">
              <w:rPr>
                <w:rFonts w:cs="Arial"/>
                <w:color w:val="000000"/>
              </w:rPr>
              <w:t xml:space="preserve"> </w:t>
            </w:r>
            <w:r>
              <w:rPr>
                <w:rFonts w:cs="Arial"/>
                <w:color w:val="000000"/>
              </w:rPr>
              <w:t xml:space="preserve">(these are now included in new </w:t>
            </w:r>
            <w:r w:rsidRPr="003D769D">
              <w:t xml:space="preserve">PHS Human Subjects and Clinical Trial Information </w:t>
            </w:r>
            <w:r>
              <w:t>form</w:t>
            </w:r>
            <w:r>
              <w:rPr>
                <w:rFonts w:cs="Arial"/>
                <w:color w:val="000000"/>
              </w:rPr>
              <w:t>.</w:t>
            </w:r>
          </w:p>
          <w:p w14:paraId="7E7945D7" w14:textId="5F4AFE09" w:rsidR="000E4882" w:rsidRDefault="000E4882" w:rsidP="000E4882">
            <w:r>
              <w:t xml:space="preserve">Streamlined language throughout. </w:t>
            </w:r>
          </w:p>
        </w:tc>
      </w:tr>
      <w:tr w:rsidR="000E4882" w:rsidRPr="00677563" w14:paraId="78F2AAD2" w14:textId="77777777" w:rsidTr="00BB446D">
        <w:trPr>
          <w:trHeight w:val="300"/>
        </w:trPr>
        <w:tc>
          <w:tcPr>
            <w:tcW w:w="0" w:type="auto"/>
            <w:vMerge w:val="restart"/>
          </w:tcPr>
          <w:p w14:paraId="1AEA0B70" w14:textId="34C6D92B" w:rsidR="000E4882" w:rsidRPr="00BE6FAF" w:rsidRDefault="000E4882" w:rsidP="000E4882">
            <w:pPr>
              <w:rPr>
                <w:color w:val="000000"/>
              </w:rPr>
            </w:pPr>
            <w:r>
              <w:rPr>
                <w:color w:val="000000"/>
              </w:rPr>
              <w:t>Attachment 18: Prior Approval Screen Shots</w:t>
            </w:r>
          </w:p>
        </w:tc>
        <w:tc>
          <w:tcPr>
            <w:tcW w:w="0" w:type="auto"/>
            <w:vMerge w:val="restart"/>
          </w:tcPr>
          <w:p w14:paraId="1FC58E59" w14:textId="3B793F94" w:rsidR="000E4882" w:rsidRPr="00C463C9" w:rsidRDefault="000E4882" w:rsidP="000E4882">
            <w:pPr>
              <w:rPr>
                <w:color w:val="000000"/>
              </w:rPr>
            </w:pPr>
            <w:r>
              <w:rPr>
                <w:color w:val="000000"/>
              </w:rPr>
              <w:t xml:space="preserve">Optional electronic submission for existing pre-award prior approval requests. </w:t>
            </w:r>
          </w:p>
        </w:tc>
      </w:tr>
      <w:tr w:rsidR="000E4882" w:rsidRPr="00677563" w14:paraId="4A2705C1" w14:textId="77777777" w:rsidTr="00321CDA">
        <w:trPr>
          <w:trHeight w:val="300"/>
        </w:trPr>
        <w:tc>
          <w:tcPr>
            <w:tcW w:w="0" w:type="auto"/>
            <w:vMerge/>
          </w:tcPr>
          <w:p w14:paraId="30EEF925" w14:textId="77777777" w:rsidR="000E4882" w:rsidRDefault="000E4882" w:rsidP="000E4882">
            <w:pPr>
              <w:rPr>
                <w:rFonts w:cs="Arial"/>
                <w:color w:val="000000"/>
              </w:rPr>
            </w:pPr>
          </w:p>
        </w:tc>
        <w:tc>
          <w:tcPr>
            <w:tcW w:w="0" w:type="auto"/>
            <w:vMerge/>
          </w:tcPr>
          <w:p w14:paraId="5AD8CC6B" w14:textId="77777777" w:rsidR="000E4882" w:rsidRPr="00DC5BF1" w:rsidRDefault="000E4882" w:rsidP="000E4882">
            <w:pPr>
              <w:rPr>
                <w:color w:val="000000"/>
              </w:rPr>
            </w:pPr>
          </w:p>
        </w:tc>
      </w:tr>
      <w:tr w:rsidR="000E4882" w:rsidRPr="00677563" w14:paraId="5F917C09" w14:textId="77777777" w:rsidTr="00321CDA">
        <w:trPr>
          <w:trHeight w:val="300"/>
        </w:trPr>
        <w:tc>
          <w:tcPr>
            <w:tcW w:w="0" w:type="auto"/>
            <w:vMerge/>
          </w:tcPr>
          <w:p w14:paraId="7C29EF91" w14:textId="77777777" w:rsidR="000E4882" w:rsidRDefault="000E4882" w:rsidP="000E4882">
            <w:pPr>
              <w:rPr>
                <w:rFonts w:cs="Arial"/>
                <w:color w:val="000000"/>
              </w:rPr>
            </w:pPr>
          </w:p>
        </w:tc>
        <w:tc>
          <w:tcPr>
            <w:tcW w:w="0" w:type="auto"/>
            <w:vMerge/>
          </w:tcPr>
          <w:p w14:paraId="6FD87F1D" w14:textId="77777777" w:rsidR="000E4882" w:rsidRPr="00DC5BF1" w:rsidRDefault="000E4882" w:rsidP="000E4882">
            <w:pPr>
              <w:rPr>
                <w:color w:val="000000"/>
              </w:rPr>
            </w:pPr>
          </w:p>
        </w:tc>
      </w:tr>
      <w:tr w:rsidR="000E4882" w:rsidRPr="00677563" w14:paraId="10360053" w14:textId="77777777" w:rsidTr="007D7014">
        <w:trPr>
          <w:trHeight w:val="276"/>
        </w:trPr>
        <w:tc>
          <w:tcPr>
            <w:tcW w:w="0" w:type="auto"/>
            <w:vMerge/>
          </w:tcPr>
          <w:p w14:paraId="109026DD" w14:textId="77777777" w:rsidR="000E4882" w:rsidRPr="00677563" w:rsidRDefault="000E4882" w:rsidP="000E4882">
            <w:pPr>
              <w:rPr>
                <w:rFonts w:cs="Arial"/>
                <w:color w:val="000000"/>
              </w:rPr>
            </w:pPr>
          </w:p>
        </w:tc>
        <w:tc>
          <w:tcPr>
            <w:tcW w:w="0" w:type="auto"/>
            <w:vMerge/>
          </w:tcPr>
          <w:p w14:paraId="052FA768" w14:textId="77777777" w:rsidR="000E4882" w:rsidRPr="00677563" w:rsidRDefault="000E4882" w:rsidP="000E4882">
            <w:pPr>
              <w:rPr>
                <w:rFonts w:cs="Arial"/>
                <w:color w:val="000000"/>
              </w:rPr>
            </w:pPr>
          </w:p>
        </w:tc>
      </w:tr>
    </w:tbl>
    <w:p w14:paraId="02B724D5" w14:textId="77777777" w:rsidR="00BE6FAF" w:rsidRDefault="00BE6FAF" w:rsidP="00530196">
      <w:pPr>
        <w:spacing w:line="480" w:lineRule="auto"/>
        <w:ind w:right="-684"/>
        <w:rPr>
          <w:b/>
        </w:rPr>
      </w:pPr>
    </w:p>
    <w:p w14:paraId="470CA717" w14:textId="77777777" w:rsidR="00B61497" w:rsidRDefault="00830BEA" w:rsidP="00262E69">
      <w:pPr>
        <w:pStyle w:val="Heading2"/>
      </w:pPr>
      <w:bookmarkStart w:id="23" w:name="_Toc419964742"/>
      <w:r w:rsidRPr="00D84552">
        <w:t>A.</w:t>
      </w:r>
      <w:r w:rsidR="00067FB0" w:rsidRPr="00D84552">
        <w:t>16.</w:t>
      </w:r>
      <w:r w:rsidRPr="00D84552">
        <w:t xml:space="preserve"> </w:t>
      </w:r>
      <w:r w:rsidR="00B61497" w:rsidRPr="00D84552">
        <w:t>Plans for Tabulation and Publication and Project Time Schedule</w:t>
      </w:r>
      <w:bookmarkEnd w:id="23"/>
    </w:p>
    <w:p w14:paraId="4B730189" w14:textId="77777777" w:rsidR="00262E69" w:rsidRPr="00262E69" w:rsidRDefault="00262E69" w:rsidP="00262E69"/>
    <w:p w14:paraId="160ECFFF" w14:textId="77777777" w:rsidR="00B61497" w:rsidRPr="00847667" w:rsidRDefault="0072367D" w:rsidP="00530196">
      <w:pPr>
        <w:pStyle w:val="BodyTextIndent"/>
        <w:spacing w:line="480" w:lineRule="auto"/>
        <w:ind w:left="0" w:right="-684"/>
        <w:rPr>
          <w:bCs/>
        </w:rPr>
      </w:pPr>
      <w:r w:rsidRPr="00847667">
        <w:rPr>
          <w:bCs/>
        </w:rPr>
        <w:t>T</w:t>
      </w:r>
      <w:r w:rsidR="003C7B8B" w:rsidRPr="00847667">
        <w:rPr>
          <w:bCs/>
        </w:rPr>
        <w:t>here is no tabulation, publication, or project time schedule</w:t>
      </w:r>
      <w:r w:rsidR="008E347F" w:rsidRPr="00847667">
        <w:rPr>
          <w:bCs/>
        </w:rPr>
        <w:t xml:space="preserve"> associated with use of forms</w:t>
      </w:r>
      <w:r w:rsidR="003C7B8B" w:rsidRPr="00847667">
        <w:rPr>
          <w:bCs/>
        </w:rPr>
        <w:t xml:space="preserve">.  </w:t>
      </w:r>
    </w:p>
    <w:p w14:paraId="514E1A57" w14:textId="77777777" w:rsidR="00D84552" w:rsidRDefault="00D84552" w:rsidP="00262E69">
      <w:pPr>
        <w:pStyle w:val="BodyTextIndent"/>
        <w:ind w:left="0" w:right="-684"/>
      </w:pPr>
    </w:p>
    <w:p w14:paraId="3C5557FE" w14:textId="77777777" w:rsidR="00B61497" w:rsidRDefault="00830BEA" w:rsidP="00262E69">
      <w:pPr>
        <w:pStyle w:val="Heading2"/>
      </w:pPr>
      <w:bookmarkStart w:id="24" w:name="_Toc419964743"/>
      <w:r w:rsidRPr="00D84552">
        <w:t>A.</w:t>
      </w:r>
      <w:r w:rsidR="00067FB0" w:rsidRPr="00D84552">
        <w:t>17.</w:t>
      </w:r>
      <w:r w:rsidRPr="00D84552">
        <w:t xml:space="preserve"> </w:t>
      </w:r>
      <w:r w:rsidR="00B61497" w:rsidRPr="00D84552">
        <w:t>Reason(s) Display of OMB Expiration Date is Inappropriate</w:t>
      </w:r>
      <w:bookmarkEnd w:id="24"/>
    </w:p>
    <w:p w14:paraId="311D83B1" w14:textId="77777777" w:rsidR="00262E69" w:rsidRPr="00262E69" w:rsidRDefault="00262E69" w:rsidP="00262E69"/>
    <w:p w14:paraId="5451DDAA" w14:textId="77777777" w:rsidR="00B61497" w:rsidRPr="00847667" w:rsidRDefault="00B61497" w:rsidP="00530196">
      <w:pPr>
        <w:spacing w:line="480" w:lineRule="auto"/>
        <w:ind w:right="-684"/>
        <w:rPr>
          <w:bCs/>
        </w:rPr>
      </w:pPr>
      <w:r w:rsidRPr="004C642A">
        <w:rPr>
          <w:bCs/>
        </w:rPr>
        <w:t xml:space="preserve">The OMB </w:t>
      </w:r>
      <w:r w:rsidR="0072367D" w:rsidRPr="004C642A">
        <w:rPr>
          <w:bCs/>
        </w:rPr>
        <w:t>n</w:t>
      </w:r>
      <w:r w:rsidRPr="004C642A">
        <w:rPr>
          <w:bCs/>
        </w:rPr>
        <w:t xml:space="preserve">umber </w:t>
      </w:r>
      <w:r w:rsidR="007A0573">
        <w:rPr>
          <w:bCs/>
        </w:rPr>
        <w:t xml:space="preserve">and expiration date </w:t>
      </w:r>
      <w:r w:rsidR="002123DC">
        <w:rPr>
          <w:bCs/>
        </w:rPr>
        <w:t>will be displayed in all electronic modules and</w:t>
      </w:r>
      <w:r w:rsidRPr="004C642A">
        <w:rPr>
          <w:bCs/>
        </w:rPr>
        <w:t xml:space="preserve"> on </w:t>
      </w:r>
      <w:r w:rsidR="00A42107" w:rsidRPr="004C642A">
        <w:rPr>
          <w:bCs/>
        </w:rPr>
        <w:t xml:space="preserve">paper </w:t>
      </w:r>
      <w:r w:rsidRPr="004C642A">
        <w:rPr>
          <w:bCs/>
        </w:rPr>
        <w:t>forms</w:t>
      </w:r>
      <w:r w:rsidRPr="00032804">
        <w:rPr>
          <w:bCs/>
        </w:rPr>
        <w:t>.</w:t>
      </w:r>
      <w:r w:rsidR="00A42107" w:rsidRPr="00032804">
        <w:rPr>
          <w:bCs/>
        </w:rPr>
        <w:t xml:space="preserve"> </w:t>
      </w:r>
    </w:p>
    <w:p w14:paraId="63B19DB8" w14:textId="77777777" w:rsidR="00DF554D" w:rsidRDefault="00DF554D" w:rsidP="00262E69">
      <w:pPr>
        <w:ind w:right="-684"/>
        <w:rPr>
          <w:b/>
          <w:bCs/>
        </w:rPr>
      </w:pPr>
    </w:p>
    <w:p w14:paraId="2FFC8951" w14:textId="77777777" w:rsidR="00B61497" w:rsidRDefault="00D84552" w:rsidP="00262E69">
      <w:pPr>
        <w:pStyle w:val="Heading2"/>
      </w:pPr>
      <w:bookmarkStart w:id="25" w:name="_Toc419964744"/>
      <w:r w:rsidRPr="00D84552">
        <w:t>A.</w:t>
      </w:r>
      <w:r w:rsidR="00067FB0" w:rsidRPr="00D84552">
        <w:t>18.</w:t>
      </w:r>
      <w:r w:rsidRPr="00D84552">
        <w:t xml:space="preserve"> </w:t>
      </w:r>
      <w:r w:rsidR="00B61497" w:rsidRPr="00D84552">
        <w:t>Exceptions to Certification for Paperwork Reduction Act Submissions</w:t>
      </w:r>
      <w:bookmarkEnd w:id="25"/>
    </w:p>
    <w:p w14:paraId="062CAA5E" w14:textId="77777777" w:rsidR="00262E69" w:rsidRPr="00262E69" w:rsidRDefault="00262E69" w:rsidP="00262E69"/>
    <w:p w14:paraId="7A9085A0" w14:textId="77777777" w:rsidR="00C4468E" w:rsidRPr="004E0735" w:rsidRDefault="008E482F" w:rsidP="00B71078">
      <w:pPr>
        <w:pStyle w:val="BodyTextIndent"/>
        <w:pBdr>
          <w:bottom w:val="single" w:sz="6" w:space="1" w:color="auto"/>
        </w:pBdr>
        <w:spacing w:line="480" w:lineRule="auto"/>
        <w:ind w:left="0" w:right="-684"/>
        <w:rPr>
          <w:bCs/>
        </w:rPr>
      </w:pPr>
      <w:r w:rsidRPr="004E0735">
        <w:rPr>
          <w:bCs/>
        </w:rPr>
        <w:t>T</w:t>
      </w:r>
      <w:r w:rsidR="00B61497" w:rsidRPr="004E0735">
        <w:rPr>
          <w:bCs/>
        </w:rPr>
        <w:t>his project conforms to all of the 5 CFR 1320.9 requirements</w:t>
      </w:r>
      <w:r w:rsidRPr="004E0735">
        <w:rPr>
          <w:bCs/>
        </w:rPr>
        <w:t>; n</w:t>
      </w:r>
      <w:r w:rsidR="00B61497" w:rsidRPr="004E0735">
        <w:rPr>
          <w:bCs/>
        </w:rPr>
        <w:t>o exceptions are requested.</w:t>
      </w:r>
      <w:r w:rsidR="007E232C" w:rsidRPr="004E0735">
        <w:rPr>
          <w:bCs/>
        </w:rPr>
        <w:t xml:space="preserve"> </w:t>
      </w:r>
    </w:p>
    <w:sectPr w:rsidR="00C4468E" w:rsidRPr="004E0735" w:rsidSect="006D28E1">
      <w:footerReference w:type="even"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5E45E" w14:textId="77777777" w:rsidR="009A4E42" w:rsidRDefault="009A4E42">
      <w:r>
        <w:separator/>
      </w:r>
    </w:p>
  </w:endnote>
  <w:endnote w:type="continuationSeparator" w:id="0">
    <w:p w14:paraId="01F7F657" w14:textId="77777777" w:rsidR="009A4E42" w:rsidRDefault="009A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235B8" w14:textId="77777777" w:rsidR="00C87679" w:rsidRDefault="00C87679" w:rsidP="001476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73A31F" w14:textId="77777777" w:rsidR="00C87679" w:rsidRDefault="00C87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ACBB2" w14:textId="2DC17E86" w:rsidR="00C87679" w:rsidRDefault="00C87679" w:rsidP="001476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4C90">
      <w:rPr>
        <w:rStyle w:val="PageNumber"/>
        <w:noProof/>
      </w:rPr>
      <w:t>20</w:t>
    </w:r>
    <w:r>
      <w:rPr>
        <w:rStyle w:val="PageNumber"/>
      </w:rPr>
      <w:fldChar w:fldCharType="end"/>
    </w:r>
  </w:p>
  <w:p w14:paraId="17552B6E" w14:textId="77777777" w:rsidR="00C87679" w:rsidRDefault="00C87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7B85A" w14:textId="77777777" w:rsidR="009A4E42" w:rsidRDefault="009A4E42">
      <w:r>
        <w:separator/>
      </w:r>
    </w:p>
  </w:footnote>
  <w:footnote w:type="continuationSeparator" w:id="0">
    <w:p w14:paraId="7CA455F6" w14:textId="77777777" w:rsidR="009A4E42" w:rsidRDefault="009A4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1811"/>
    <w:multiLevelType w:val="hybridMultilevel"/>
    <w:tmpl w:val="DFB0F7E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9F365D"/>
    <w:multiLevelType w:val="hybridMultilevel"/>
    <w:tmpl w:val="A6C6A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914F4"/>
    <w:multiLevelType w:val="hybridMultilevel"/>
    <w:tmpl w:val="2396781A"/>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082FCE"/>
    <w:multiLevelType w:val="hybridMultilevel"/>
    <w:tmpl w:val="5A70E842"/>
    <w:lvl w:ilvl="0" w:tplc="0409000D">
      <w:start w:val="1"/>
      <w:numFmt w:val="bullet"/>
      <w:lvlText w:val=""/>
      <w:lvlJc w:val="left"/>
      <w:pPr>
        <w:tabs>
          <w:tab w:val="num" w:pos="720"/>
        </w:tabs>
        <w:ind w:left="720" w:hanging="360"/>
      </w:pPr>
      <w:rPr>
        <w:rFonts w:ascii="Wingdings" w:hAnsi="Wingdings"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263156"/>
    <w:multiLevelType w:val="multilevel"/>
    <w:tmpl w:val="B73273D0"/>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BAB4210"/>
    <w:multiLevelType w:val="hybridMultilevel"/>
    <w:tmpl w:val="3078CB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BC6E77"/>
    <w:multiLevelType w:val="hybridMultilevel"/>
    <w:tmpl w:val="2C1E04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865BAA"/>
    <w:multiLevelType w:val="multilevel"/>
    <w:tmpl w:val="446E8B56"/>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BE3743B"/>
    <w:multiLevelType w:val="hybridMultilevel"/>
    <w:tmpl w:val="81DE7F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3"/>
  </w:num>
  <w:num w:numId="4">
    <w:abstractNumId w:val="8"/>
  </w:num>
  <w:num w:numId="5">
    <w:abstractNumId w:val="7"/>
  </w:num>
  <w:num w:numId="6">
    <w:abstractNumId w:val="4"/>
  </w:num>
  <w:num w:numId="7">
    <w:abstractNumId w:val="5"/>
  </w:num>
  <w:num w:numId="8">
    <w:abstractNumId w:val="1"/>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DB"/>
    <w:rsid w:val="0000020B"/>
    <w:rsid w:val="00000615"/>
    <w:rsid w:val="000007FC"/>
    <w:rsid w:val="00000D8A"/>
    <w:rsid w:val="0000111C"/>
    <w:rsid w:val="00001229"/>
    <w:rsid w:val="00001DDB"/>
    <w:rsid w:val="000020F0"/>
    <w:rsid w:val="0000375C"/>
    <w:rsid w:val="000043A1"/>
    <w:rsid w:val="00010E72"/>
    <w:rsid w:val="000116FC"/>
    <w:rsid w:val="00011E60"/>
    <w:rsid w:val="00015335"/>
    <w:rsid w:val="00015754"/>
    <w:rsid w:val="00020988"/>
    <w:rsid w:val="00020AF6"/>
    <w:rsid w:val="00020D90"/>
    <w:rsid w:val="000229AE"/>
    <w:rsid w:val="00022E00"/>
    <w:rsid w:val="00024970"/>
    <w:rsid w:val="00025045"/>
    <w:rsid w:val="00025D00"/>
    <w:rsid w:val="0002642F"/>
    <w:rsid w:val="00027FB6"/>
    <w:rsid w:val="000307E6"/>
    <w:rsid w:val="00030C36"/>
    <w:rsid w:val="000314CD"/>
    <w:rsid w:val="00032031"/>
    <w:rsid w:val="00032804"/>
    <w:rsid w:val="00034CE4"/>
    <w:rsid w:val="00035EDF"/>
    <w:rsid w:val="00037981"/>
    <w:rsid w:val="00037D28"/>
    <w:rsid w:val="00041C44"/>
    <w:rsid w:val="00042229"/>
    <w:rsid w:val="00044484"/>
    <w:rsid w:val="00046634"/>
    <w:rsid w:val="00047A07"/>
    <w:rsid w:val="00047CDF"/>
    <w:rsid w:val="000503D7"/>
    <w:rsid w:val="00050581"/>
    <w:rsid w:val="0005071D"/>
    <w:rsid w:val="00052179"/>
    <w:rsid w:val="00054901"/>
    <w:rsid w:val="00055D7A"/>
    <w:rsid w:val="0005792F"/>
    <w:rsid w:val="00061364"/>
    <w:rsid w:val="000628D9"/>
    <w:rsid w:val="0006666E"/>
    <w:rsid w:val="00066B84"/>
    <w:rsid w:val="00067AE3"/>
    <w:rsid w:val="00067FB0"/>
    <w:rsid w:val="000702DD"/>
    <w:rsid w:val="00071E3F"/>
    <w:rsid w:val="00072078"/>
    <w:rsid w:val="000738E8"/>
    <w:rsid w:val="00076C08"/>
    <w:rsid w:val="000775AB"/>
    <w:rsid w:val="00080B4C"/>
    <w:rsid w:val="000827CE"/>
    <w:rsid w:val="000842B7"/>
    <w:rsid w:val="00085C31"/>
    <w:rsid w:val="000864E7"/>
    <w:rsid w:val="000873D5"/>
    <w:rsid w:val="000873E8"/>
    <w:rsid w:val="000914AA"/>
    <w:rsid w:val="0009210B"/>
    <w:rsid w:val="000925EC"/>
    <w:rsid w:val="00093C07"/>
    <w:rsid w:val="00094DF6"/>
    <w:rsid w:val="00095A23"/>
    <w:rsid w:val="000A0521"/>
    <w:rsid w:val="000A068F"/>
    <w:rsid w:val="000A13B9"/>
    <w:rsid w:val="000A2660"/>
    <w:rsid w:val="000A499C"/>
    <w:rsid w:val="000A5484"/>
    <w:rsid w:val="000A567C"/>
    <w:rsid w:val="000A61D0"/>
    <w:rsid w:val="000A7437"/>
    <w:rsid w:val="000B16AB"/>
    <w:rsid w:val="000B4D45"/>
    <w:rsid w:val="000B6DF2"/>
    <w:rsid w:val="000C1272"/>
    <w:rsid w:val="000C1E9E"/>
    <w:rsid w:val="000C304A"/>
    <w:rsid w:val="000C3B16"/>
    <w:rsid w:val="000C53F9"/>
    <w:rsid w:val="000C7044"/>
    <w:rsid w:val="000D16C0"/>
    <w:rsid w:val="000D1DAE"/>
    <w:rsid w:val="000D1E26"/>
    <w:rsid w:val="000D2B36"/>
    <w:rsid w:val="000D3CB0"/>
    <w:rsid w:val="000D52DD"/>
    <w:rsid w:val="000D55B9"/>
    <w:rsid w:val="000D696D"/>
    <w:rsid w:val="000D75BB"/>
    <w:rsid w:val="000D77A3"/>
    <w:rsid w:val="000E0E14"/>
    <w:rsid w:val="000E19AE"/>
    <w:rsid w:val="000E41F8"/>
    <w:rsid w:val="000E4882"/>
    <w:rsid w:val="000E7136"/>
    <w:rsid w:val="000F0F80"/>
    <w:rsid w:val="000F1585"/>
    <w:rsid w:val="000F2515"/>
    <w:rsid w:val="000F3621"/>
    <w:rsid w:val="000F3798"/>
    <w:rsid w:val="000F383A"/>
    <w:rsid w:val="000F389D"/>
    <w:rsid w:val="000F46C6"/>
    <w:rsid w:val="000F6AE2"/>
    <w:rsid w:val="000F73DE"/>
    <w:rsid w:val="00101B1D"/>
    <w:rsid w:val="00103706"/>
    <w:rsid w:val="0010435D"/>
    <w:rsid w:val="0010497D"/>
    <w:rsid w:val="00105967"/>
    <w:rsid w:val="00105D36"/>
    <w:rsid w:val="00106C25"/>
    <w:rsid w:val="0010795C"/>
    <w:rsid w:val="0011269B"/>
    <w:rsid w:val="00112C6B"/>
    <w:rsid w:val="00113CE7"/>
    <w:rsid w:val="00113CF7"/>
    <w:rsid w:val="001149CC"/>
    <w:rsid w:val="001163EC"/>
    <w:rsid w:val="00116477"/>
    <w:rsid w:val="001202D8"/>
    <w:rsid w:val="00120382"/>
    <w:rsid w:val="00121319"/>
    <w:rsid w:val="00123773"/>
    <w:rsid w:val="0012467E"/>
    <w:rsid w:val="00127884"/>
    <w:rsid w:val="0013144A"/>
    <w:rsid w:val="00131B51"/>
    <w:rsid w:val="00134C4B"/>
    <w:rsid w:val="00136477"/>
    <w:rsid w:val="00140692"/>
    <w:rsid w:val="001434BB"/>
    <w:rsid w:val="0014392E"/>
    <w:rsid w:val="00144BF1"/>
    <w:rsid w:val="001476C1"/>
    <w:rsid w:val="00147DAB"/>
    <w:rsid w:val="001507D8"/>
    <w:rsid w:val="00152744"/>
    <w:rsid w:val="00152D9A"/>
    <w:rsid w:val="00153C0A"/>
    <w:rsid w:val="0015545A"/>
    <w:rsid w:val="00155AE3"/>
    <w:rsid w:val="0015602F"/>
    <w:rsid w:val="001565F1"/>
    <w:rsid w:val="00156DFC"/>
    <w:rsid w:val="00156E91"/>
    <w:rsid w:val="00157848"/>
    <w:rsid w:val="00160515"/>
    <w:rsid w:val="001608E0"/>
    <w:rsid w:val="001615CC"/>
    <w:rsid w:val="0016325B"/>
    <w:rsid w:val="00163C99"/>
    <w:rsid w:val="00166578"/>
    <w:rsid w:val="00171FE7"/>
    <w:rsid w:val="001756EE"/>
    <w:rsid w:val="0017790A"/>
    <w:rsid w:val="00177A9C"/>
    <w:rsid w:val="00177F88"/>
    <w:rsid w:val="001811E6"/>
    <w:rsid w:val="001811FE"/>
    <w:rsid w:val="001816B2"/>
    <w:rsid w:val="001827AE"/>
    <w:rsid w:val="00182BB0"/>
    <w:rsid w:val="00183AAB"/>
    <w:rsid w:val="00183E92"/>
    <w:rsid w:val="00184EE2"/>
    <w:rsid w:val="001918BF"/>
    <w:rsid w:val="00191E2B"/>
    <w:rsid w:val="00193D0C"/>
    <w:rsid w:val="001948E7"/>
    <w:rsid w:val="0019644F"/>
    <w:rsid w:val="00196899"/>
    <w:rsid w:val="00197831"/>
    <w:rsid w:val="001A31AF"/>
    <w:rsid w:val="001A574C"/>
    <w:rsid w:val="001A596F"/>
    <w:rsid w:val="001A73BD"/>
    <w:rsid w:val="001A7A36"/>
    <w:rsid w:val="001B04FE"/>
    <w:rsid w:val="001B0A4A"/>
    <w:rsid w:val="001B0D9D"/>
    <w:rsid w:val="001B23AD"/>
    <w:rsid w:val="001B3A49"/>
    <w:rsid w:val="001B4671"/>
    <w:rsid w:val="001B5C15"/>
    <w:rsid w:val="001B6DF8"/>
    <w:rsid w:val="001C0B76"/>
    <w:rsid w:val="001C1FD2"/>
    <w:rsid w:val="001C2FB7"/>
    <w:rsid w:val="001C322F"/>
    <w:rsid w:val="001C3799"/>
    <w:rsid w:val="001C435E"/>
    <w:rsid w:val="001C5091"/>
    <w:rsid w:val="001C568A"/>
    <w:rsid w:val="001C5FD0"/>
    <w:rsid w:val="001C62A7"/>
    <w:rsid w:val="001C6642"/>
    <w:rsid w:val="001C6651"/>
    <w:rsid w:val="001C7116"/>
    <w:rsid w:val="001C7C46"/>
    <w:rsid w:val="001C7C9A"/>
    <w:rsid w:val="001D51C7"/>
    <w:rsid w:val="001D5214"/>
    <w:rsid w:val="001D5F9B"/>
    <w:rsid w:val="001E05C4"/>
    <w:rsid w:val="001E0705"/>
    <w:rsid w:val="001E1CBF"/>
    <w:rsid w:val="001E2E02"/>
    <w:rsid w:val="001E3676"/>
    <w:rsid w:val="001E46D2"/>
    <w:rsid w:val="001E4DF1"/>
    <w:rsid w:val="001E68D2"/>
    <w:rsid w:val="001E6F58"/>
    <w:rsid w:val="001F1121"/>
    <w:rsid w:val="001F340D"/>
    <w:rsid w:val="001F42C8"/>
    <w:rsid w:val="001F4C27"/>
    <w:rsid w:val="001F688D"/>
    <w:rsid w:val="002001A2"/>
    <w:rsid w:val="00200511"/>
    <w:rsid w:val="00200BC3"/>
    <w:rsid w:val="002010E2"/>
    <w:rsid w:val="00201F98"/>
    <w:rsid w:val="002066D8"/>
    <w:rsid w:val="002123DC"/>
    <w:rsid w:val="00212908"/>
    <w:rsid w:val="00212DD3"/>
    <w:rsid w:val="00215BF9"/>
    <w:rsid w:val="00217C3B"/>
    <w:rsid w:val="00221EE0"/>
    <w:rsid w:val="00223421"/>
    <w:rsid w:val="0022517C"/>
    <w:rsid w:val="0022605A"/>
    <w:rsid w:val="00226F3B"/>
    <w:rsid w:val="002277C3"/>
    <w:rsid w:val="00230836"/>
    <w:rsid w:val="00230A80"/>
    <w:rsid w:val="00231343"/>
    <w:rsid w:val="002324CF"/>
    <w:rsid w:val="00233D2B"/>
    <w:rsid w:val="00234BA0"/>
    <w:rsid w:val="0023532F"/>
    <w:rsid w:val="0023670A"/>
    <w:rsid w:val="00237BB6"/>
    <w:rsid w:val="00237D3B"/>
    <w:rsid w:val="0024024C"/>
    <w:rsid w:val="00242EE0"/>
    <w:rsid w:val="0024361C"/>
    <w:rsid w:val="00243C75"/>
    <w:rsid w:val="002445CE"/>
    <w:rsid w:val="00245FB7"/>
    <w:rsid w:val="00251F20"/>
    <w:rsid w:val="0025524C"/>
    <w:rsid w:val="00256C34"/>
    <w:rsid w:val="00257244"/>
    <w:rsid w:val="0025732F"/>
    <w:rsid w:val="00257C9D"/>
    <w:rsid w:val="00260339"/>
    <w:rsid w:val="00260CD0"/>
    <w:rsid w:val="00260D7D"/>
    <w:rsid w:val="0026242F"/>
    <w:rsid w:val="00262E69"/>
    <w:rsid w:val="00263037"/>
    <w:rsid w:val="0026591F"/>
    <w:rsid w:val="00265EEE"/>
    <w:rsid w:val="00265EFA"/>
    <w:rsid w:val="00267D97"/>
    <w:rsid w:val="00267FEA"/>
    <w:rsid w:val="0027010F"/>
    <w:rsid w:val="00270927"/>
    <w:rsid w:val="0027164B"/>
    <w:rsid w:val="00277A09"/>
    <w:rsid w:val="002803E4"/>
    <w:rsid w:val="00280F95"/>
    <w:rsid w:val="0028189E"/>
    <w:rsid w:val="00282B33"/>
    <w:rsid w:val="002845C3"/>
    <w:rsid w:val="00285ACF"/>
    <w:rsid w:val="00287B88"/>
    <w:rsid w:val="002907AE"/>
    <w:rsid w:val="002908BA"/>
    <w:rsid w:val="00292924"/>
    <w:rsid w:val="00293260"/>
    <w:rsid w:val="0029358B"/>
    <w:rsid w:val="00295A11"/>
    <w:rsid w:val="002A16FA"/>
    <w:rsid w:val="002A1C0A"/>
    <w:rsid w:val="002A20D8"/>
    <w:rsid w:val="002A2945"/>
    <w:rsid w:val="002A2BAD"/>
    <w:rsid w:val="002A2C8A"/>
    <w:rsid w:val="002A39CD"/>
    <w:rsid w:val="002A3D1A"/>
    <w:rsid w:val="002A688F"/>
    <w:rsid w:val="002B011C"/>
    <w:rsid w:val="002B0E92"/>
    <w:rsid w:val="002B1215"/>
    <w:rsid w:val="002B24BD"/>
    <w:rsid w:val="002B62B0"/>
    <w:rsid w:val="002B6304"/>
    <w:rsid w:val="002B6568"/>
    <w:rsid w:val="002B73A4"/>
    <w:rsid w:val="002B7D46"/>
    <w:rsid w:val="002C364E"/>
    <w:rsid w:val="002C41C7"/>
    <w:rsid w:val="002C4252"/>
    <w:rsid w:val="002C5658"/>
    <w:rsid w:val="002C6D64"/>
    <w:rsid w:val="002C6DA4"/>
    <w:rsid w:val="002C7744"/>
    <w:rsid w:val="002D2FD8"/>
    <w:rsid w:val="002D3793"/>
    <w:rsid w:val="002D39BC"/>
    <w:rsid w:val="002D60D7"/>
    <w:rsid w:val="002D6383"/>
    <w:rsid w:val="002D742F"/>
    <w:rsid w:val="002D7688"/>
    <w:rsid w:val="002D7E05"/>
    <w:rsid w:val="002E0985"/>
    <w:rsid w:val="002E1B66"/>
    <w:rsid w:val="002E2858"/>
    <w:rsid w:val="002E2F3E"/>
    <w:rsid w:val="002E334F"/>
    <w:rsid w:val="002E3557"/>
    <w:rsid w:val="002E40D9"/>
    <w:rsid w:val="002E42C1"/>
    <w:rsid w:val="002E508C"/>
    <w:rsid w:val="002E5253"/>
    <w:rsid w:val="002E5EF4"/>
    <w:rsid w:val="002E6134"/>
    <w:rsid w:val="002E61C9"/>
    <w:rsid w:val="002E6578"/>
    <w:rsid w:val="002E712F"/>
    <w:rsid w:val="002E7400"/>
    <w:rsid w:val="002F1D69"/>
    <w:rsid w:val="002F3F5F"/>
    <w:rsid w:val="002F43A2"/>
    <w:rsid w:val="002F5294"/>
    <w:rsid w:val="002F562F"/>
    <w:rsid w:val="002F6F1C"/>
    <w:rsid w:val="002F7CF3"/>
    <w:rsid w:val="003003AE"/>
    <w:rsid w:val="003007F8"/>
    <w:rsid w:val="003041CE"/>
    <w:rsid w:val="00304570"/>
    <w:rsid w:val="003047B1"/>
    <w:rsid w:val="003048A3"/>
    <w:rsid w:val="00304D43"/>
    <w:rsid w:val="003071CA"/>
    <w:rsid w:val="00307C0B"/>
    <w:rsid w:val="00307C2E"/>
    <w:rsid w:val="00313158"/>
    <w:rsid w:val="00313A13"/>
    <w:rsid w:val="0031424C"/>
    <w:rsid w:val="0031463E"/>
    <w:rsid w:val="00316D76"/>
    <w:rsid w:val="00317AC3"/>
    <w:rsid w:val="003207DA"/>
    <w:rsid w:val="0032092D"/>
    <w:rsid w:val="00321CDA"/>
    <w:rsid w:val="00322763"/>
    <w:rsid w:val="00323989"/>
    <w:rsid w:val="003258D9"/>
    <w:rsid w:val="003266F7"/>
    <w:rsid w:val="003279F0"/>
    <w:rsid w:val="00330D8C"/>
    <w:rsid w:val="00330E76"/>
    <w:rsid w:val="00332A87"/>
    <w:rsid w:val="00332B13"/>
    <w:rsid w:val="003343BF"/>
    <w:rsid w:val="00334EDE"/>
    <w:rsid w:val="00335630"/>
    <w:rsid w:val="00335D3F"/>
    <w:rsid w:val="0033700A"/>
    <w:rsid w:val="00337940"/>
    <w:rsid w:val="00340353"/>
    <w:rsid w:val="003404E9"/>
    <w:rsid w:val="00340D14"/>
    <w:rsid w:val="00343A38"/>
    <w:rsid w:val="0034503E"/>
    <w:rsid w:val="003530F1"/>
    <w:rsid w:val="0035397D"/>
    <w:rsid w:val="00361DFB"/>
    <w:rsid w:val="00361F73"/>
    <w:rsid w:val="0036232E"/>
    <w:rsid w:val="00364DD9"/>
    <w:rsid w:val="00364E74"/>
    <w:rsid w:val="00365E42"/>
    <w:rsid w:val="00367649"/>
    <w:rsid w:val="00372263"/>
    <w:rsid w:val="003722F9"/>
    <w:rsid w:val="003746DC"/>
    <w:rsid w:val="00374A30"/>
    <w:rsid w:val="00380581"/>
    <w:rsid w:val="00381FF3"/>
    <w:rsid w:val="0038217A"/>
    <w:rsid w:val="00382274"/>
    <w:rsid w:val="00383A37"/>
    <w:rsid w:val="00385C96"/>
    <w:rsid w:val="00386ABE"/>
    <w:rsid w:val="00386D2D"/>
    <w:rsid w:val="00390176"/>
    <w:rsid w:val="00390DDF"/>
    <w:rsid w:val="00391B4F"/>
    <w:rsid w:val="00392147"/>
    <w:rsid w:val="0039288A"/>
    <w:rsid w:val="00392FBB"/>
    <w:rsid w:val="00393077"/>
    <w:rsid w:val="00393814"/>
    <w:rsid w:val="0039386F"/>
    <w:rsid w:val="003943AD"/>
    <w:rsid w:val="00396137"/>
    <w:rsid w:val="00396E0A"/>
    <w:rsid w:val="00397080"/>
    <w:rsid w:val="00397F84"/>
    <w:rsid w:val="003A0553"/>
    <w:rsid w:val="003A0BFD"/>
    <w:rsid w:val="003A0D7E"/>
    <w:rsid w:val="003A20FF"/>
    <w:rsid w:val="003A2AB8"/>
    <w:rsid w:val="003A4872"/>
    <w:rsid w:val="003A5ADD"/>
    <w:rsid w:val="003A6CAA"/>
    <w:rsid w:val="003A7125"/>
    <w:rsid w:val="003A7E42"/>
    <w:rsid w:val="003B21A1"/>
    <w:rsid w:val="003B4152"/>
    <w:rsid w:val="003B422E"/>
    <w:rsid w:val="003B510B"/>
    <w:rsid w:val="003B6F40"/>
    <w:rsid w:val="003B6F50"/>
    <w:rsid w:val="003C1010"/>
    <w:rsid w:val="003C121C"/>
    <w:rsid w:val="003C23D6"/>
    <w:rsid w:val="003C245A"/>
    <w:rsid w:val="003C2601"/>
    <w:rsid w:val="003C29CE"/>
    <w:rsid w:val="003C6EC7"/>
    <w:rsid w:val="003C7810"/>
    <w:rsid w:val="003C7B8B"/>
    <w:rsid w:val="003D1088"/>
    <w:rsid w:val="003D1991"/>
    <w:rsid w:val="003D2B41"/>
    <w:rsid w:val="003D546F"/>
    <w:rsid w:val="003D578E"/>
    <w:rsid w:val="003D769D"/>
    <w:rsid w:val="003E00D7"/>
    <w:rsid w:val="003E01A7"/>
    <w:rsid w:val="003E01CB"/>
    <w:rsid w:val="003E0D30"/>
    <w:rsid w:val="003E1BEC"/>
    <w:rsid w:val="003E1EBC"/>
    <w:rsid w:val="003E3DE2"/>
    <w:rsid w:val="003E53EC"/>
    <w:rsid w:val="003E5899"/>
    <w:rsid w:val="003E5931"/>
    <w:rsid w:val="003E742D"/>
    <w:rsid w:val="003F34B9"/>
    <w:rsid w:val="003F4131"/>
    <w:rsid w:val="003F449A"/>
    <w:rsid w:val="003F455E"/>
    <w:rsid w:val="003F5532"/>
    <w:rsid w:val="003F6C80"/>
    <w:rsid w:val="00400272"/>
    <w:rsid w:val="00401260"/>
    <w:rsid w:val="00401E76"/>
    <w:rsid w:val="00402847"/>
    <w:rsid w:val="00402A36"/>
    <w:rsid w:val="004030A5"/>
    <w:rsid w:val="004055A7"/>
    <w:rsid w:val="0040690F"/>
    <w:rsid w:val="004074F8"/>
    <w:rsid w:val="0041073C"/>
    <w:rsid w:val="00410D25"/>
    <w:rsid w:val="00410EE2"/>
    <w:rsid w:val="0041164D"/>
    <w:rsid w:val="0041229D"/>
    <w:rsid w:val="004127AE"/>
    <w:rsid w:val="00412BE6"/>
    <w:rsid w:val="0041304D"/>
    <w:rsid w:val="0041339A"/>
    <w:rsid w:val="00413D71"/>
    <w:rsid w:val="004145A7"/>
    <w:rsid w:val="004152CA"/>
    <w:rsid w:val="004152E6"/>
    <w:rsid w:val="00415FE1"/>
    <w:rsid w:val="004167AB"/>
    <w:rsid w:val="00416B96"/>
    <w:rsid w:val="00420406"/>
    <w:rsid w:val="00421C0D"/>
    <w:rsid w:val="00425536"/>
    <w:rsid w:val="004263C5"/>
    <w:rsid w:val="00426422"/>
    <w:rsid w:val="00426B59"/>
    <w:rsid w:val="004313C0"/>
    <w:rsid w:val="00431C48"/>
    <w:rsid w:val="0043260C"/>
    <w:rsid w:val="00433028"/>
    <w:rsid w:val="00433E45"/>
    <w:rsid w:val="00434610"/>
    <w:rsid w:val="00434727"/>
    <w:rsid w:val="004348DA"/>
    <w:rsid w:val="004352F3"/>
    <w:rsid w:val="00437F35"/>
    <w:rsid w:val="00440202"/>
    <w:rsid w:val="00441004"/>
    <w:rsid w:val="00442636"/>
    <w:rsid w:val="00445118"/>
    <w:rsid w:val="0044511D"/>
    <w:rsid w:val="004515B5"/>
    <w:rsid w:val="00451A9F"/>
    <w:rsid w:val="00452085"/>
    <w:rsid w:val="004528F6"/>
    <w:rsid w:val="00452A50"/>
    <w:rsid w:val="00452C77"/>
    <w:rsid w:val="00454568"/>
    <w:rsid w:val="00460243"/>
    <w:rsid w:val="00460C80"/>
    <w:rsid w:val="00462122"/>
    <w:rsid w:val="00464549"/>
    <w:rsid w:val="004648F4"/>
    <w:rsid w:val="004677B4"/>
    <w:rsid w:val="00467C88"/>
    <w:rsid w:val="00470128"/>
    <w:rsid w:val="00471BFC"/>
    <w:rsid w:val="00473351"/>
    <w:rsid w:val="00473615"/>
    <w:rsid w:val="004739C5"/>
    <w:rsid w:val="00476DF6"/>
    <w:rsid w:val="004775C6"/>
    <w:rsid w:val="00477E5D"/>
    <w:rsid w:val="0048025C"/>
    <w:rsid w:val="0048157E"/>
    <w:rsid w:val="00482A5F"/>
    <w:rsid w:val="00482B80"/>
    <w:rsid w:val="004831A0"/>
    <w:rsid w:val="00485870"/>
    <w:rsid w:val="00485D2C"/>
    <w:rsid w:val="00485F7B"/>
    <w:rsid w:val="0048639A"/>
    <w:rsid w:val="00490C4D"/>
    <w:rsid w:val="00491903"/>
    <w:rsid w:val="004923A9"/>
    <w:rsid w:val="00492561"/>
    <w:rsid w:val="00494726"/>
    <w:rsid w:val="00494D38"/>
    <w:rsid w:val="00495294"/>
    <w:rsid w:val="0049547A"/>
    <w:rsid w:val="00495B7D"/>
    <w:rsid w:val="0049638D"/>
    <w:rsid w:val="00496F27"/>
    <w:rsid w:val="0049752C"/>
    <w:rsid w:val="004A02D6"/>
    <w:rsid w:val="004A0380"/>
    <w:rsid w:val="004A0EE7"/>
    <w:rsid w:val="004A2C0D"/>
    <w:rsid w:val="004A4649"/>
    <w:rsid w:val="004A5A9C"/>
    <w:rsid w:val="004B0D3D"/>
    <w:rsid w:val="004B0D5D"/>
    <w:rsid w:val="004B191A"/>
    <w:rsid w:val="004B3E89"/>
    <w:rsid w:val="004B41BC"/>
    <w:rsid w:val="004B54B8"/>
    <w:rsid w:val="004B55B1"/>
    <w:rsid w:val="004B5759"/>
    <w:rsid w:val="004B5B23"/>
    <w:rsid w:val="004B5EE7"/>
    <w:rsid w:val="004B7534"/>
    <w:rsid w:val="004C2DA8"/>
    <w:rsid w:val="004C4125"/>
    <w:rsid w:val="004C4DB7"/>
    <w:rsid w:val="004C642A"/>
    <w:rsid w:val="004C6AFB"/>
    <w:rsid w:val="004C7514"/>
    <w:rsid w:val="004C75B7"/>
    <w:rsid w:val="004C79C8"/>
    <w:rsid w:val="004C7EE8"/>
    <w:rsid w:val="004D1BC9"/>
    <w:rsid w:val="004D1FE7"/>
    <w:rsid w:val="004D2786"/>
    <w:rsid w:val="004D2BD6"/>
    <w:rsid w:val="004D41D5"/>
    <w:rsid w:val="004D4BE6"/>
    <w:rsid w:val="004D5EC0"/>
    <w:rsid w:val="004E0735"/>
    <w:rsid w:val="004E0C66"/>
    <w:rsid w:val="004E11A3"/>
    <w:rsid w:val="004E1BBF"/>
    <w:rsid w:val="004E2A5F"/>
    <w:rsid w:val="004E2A7D"/>
    <w:rsid w:val="004E40C1"/>
    <w:rsid w:val="004E41C6"/>
    <w:rsid w:val="004E447E"/>
    <w:rsid w:val="004E4969"/>
    <w:rsid w:val="004E4AB0"/>
    <w:rsid w:val="004E5395"/>
    <w:rsid w:val="004E6EC7"/>
    <w:rsid w:val="004E70CC"/>
    <w:rsid w:val="004E7481"/>
    <w:rsid w:val="004E7C0A"/>
    <w:rsid w:val="004F0D4F"/>
    <w:rsid w:val="004F11D4"/>
    <w:rsid w:val="004F158B"/>
    <w:rsid w:val="004F29EA"/>
    <w:rsid w:val="004F399D"/>
    <w:rsid w:val="004F52F6"/>
    <w:rsid w:val="004F70BC"/>
    <w:rsid w:val="004F73D2"/>
    <w:rsid w:val="0050091A"/>
    <w:rsid w:val="0050216F"/>
    <w:rsid w:val="005030F4"/>
    <w:rsid w:val="00504FEC"/>
    <w:rsid w:val="00506A04"/>
    <w:rsid w:val="005071C8"/>
    <w:rsid w:val="0050741B"/>
    <w:rsid w:val="00507D97"/>
    <w:rsid w:val="00507EA1"/>
    <w:rsid w:val="005118B4"/>
    <w:rsid w:val="00512ABB"/>
    <w:rsid w:val="00513971"/>
    <w:rsid w:val="00515814"/>
    <w:rsid w:val="00515C32"/>
    <w:rsid w:val="005206DA"/>
    <w:rsid w:val="00521500"/>
    <w:rsid w:val="0052692A"/>
    <w:rsid w:val="005277E3"/>
    <w:rsid w:val="00527BDD"/>
    <w:rsid w:val="005300A8"/>
    <w:rsid w:val="00530196"/>
    <w:rsid w:val="00530864"/>
    <w:rsid w:val="00531DB3"/>
    <w:rsid w:val="00532CFC"/>
    <w:rsid w:val="005353A1"/>
    <w:rsid w:val="00535C12"/>
    <w:rsid w:val="00537B6F"/>
    <w:rsid w:val="00537D22"/>
    <w:rsid w:val="0054015E"/>
    <w:rsid w:val="00542A0E"/>
    <w:rsid w:val="005438A4"/>
    <w:rsid w:val="00543DF5"/>
    <w:rsid w:val="005467D5"/>
    <w:rsid w:val="005470D5"/>
    <w:rsid w:val="00547B45"/>
    <w:rsid w:val="00550B47"/>
    <w:rsid w:val="00551C11"/>
    <w:rsid w:val="00552446"/>
    <w:rsid w:val="005524C8"/>
    <w:rsid w:val="0055361A"/>
    <w:rsid w:val="00554C2C"/>
    <w:rsid w:val="00560524"/>
    <w:rsid w:val="005607DA"/>
    <w:rsid w:val="005618D8"/>
    <w:rsid w:val="00562A1D"/>
    <w:rsid w:val="00563B23"/>
    <w:rsid w:val="005657C6"/>
    <w:rsid w:val="00567047"/>
    <w:rsid w:val="00567802"/>
    <w:rsid w:val="0056791D"/>
    <w:rsid w:val="005717C6"/>
    <w:rsid w:val="00571F01"/>
    <w:rsid w:val="005758A5"/>
    <w:rsid w:val="00577652"/>
    <w:rsid w:val="00577D46"/>
    <w:rsid w:val="005805D6"/>
    <w:rsid w:val="00581F55"/>
    <w:rsid w:val="005824B9"/>
    <w:rsid w:val="00584A42"/>
    <w:rsid w:val="00585E3E"/>
    <w:rsid w:val="00586D88"/>
    <w:rsid w:val="005872A7"/>
    <w:rsid w:val="00587825"/>
    <w:rsid w:val="00587CCA"/>
    <w:rsid w:val="005915B0"/>
    <w:rsid w:val="00592F3E"/>
    <w:rsid w:val="005936FA"/>
    <w:rsid w:val="00594249"/>
    <w:rsid w:val="0059450B"/>
    <w:rsid w:val="00594A1F"/>
    <w:rsid w:val="00596153"/>
    <w:rsid w:val="00596B5C"/>
    <w:rsid w:val="00597F4A"/>
    <w:rsid w:val="005A0059"/>
    <w:rsid w:val="005A0645"/>
    <w:rsid w:val="005A06E1"/>
    <w:rsid w:val="005A08FE"/>
    <w:rsid w:val="005A0D41"/>
    <w:rsid w:val="005A5615"/>
    <w:rsid w:val="005A5C18"/>
    <w:rsid w:val="005B0D97"/>
    <w:rsid w:val="005B1555"/>
    <w:rsid w:val="005B4099"/>
    <w:rsid w:val="005B4FE8"/>
    <w:rsid w:val="005B77B6"/>
    <w:rsid w:val="005B7E2E"/>
    <w:rsid w:val="005C117F"/>
    <w:rsid w:val="005C1D48"/>
    <w:rsid w:val="005C1F50"/>
    <w:rsid w:val="005C1F78"/>
    <w:rsid w:val="005C3737"/>
    <w:rsid w:val="005C65E0"/>
    <w:rsid w:val="005D241C"/>
    <w:rsid w:val="005D255D"/>
    <w:rsid w:val="005D2CAF"/>
    <w:rsid w:val="005D446A"/>
    <w:rsid w:val="005D48B4"/>
    <w:rsid w:val="005D7495"/>
    <w:rsid w:val="005D7B11"/>
    <w:rsid w:val="005E061E"/>
    <w:rsid w:val="005E20CD"/>
    <w:rsid w:val="005E40A9"/>
    <w:rsid w:val="005E6997"/>
    <w:rsid w:val="005F182E"/>
    <w:rsid w:val="005F24E0"/>
    <w:rsid w:val="005F3670"/>
    <w:rsid w:val="005F6117"/>
    <w:rsid w:val="005F70D5"/>
    <w:rsid w:val="005F7200"/>
    <w:rsid w:val="005F76EC"/>
    <w:rsid w:val="00600BC6"/>
    <w:rsid w:val="0060217C"/>
    <w:rsid w:val="006027C8"/>
    <w:rsid w:val="00602918"/>
    <w:rsid w:val="006034DB"/>
    <w:rsid w:val="006043D4"/>
    <w:rsid w:val="006053D2"/>
    <w:rsid w:val="00605EED"/>
    <w:rsid w:val="0060743D"/>
    <w:rsid w:val="0061193A"/>
    <w:rsid w:val="00611D85"/>
    <w:rsid w:val="00611DA2"/>
    <w:rsid w:val="00611DB3"/>
    <w:rsid w:val="0061294B"/>
    <w:rsid w:val="00612BB8"/>
    <w:rsid w:val="006143E4"/>
    <w:rsid w:val="00614721"/>
    <w:rsid w:val="006155B9"/>
    <w:rsid w:val="00616659"/>
    <w:rsid w:val="006206D8"/>
    <w:rsid w:val="00620B94"/>
    <w:rsid w:val="0062329C"/>
    <w:rsid w:val="00623433"/>
    <w:rsid w:val="0062426C"/>
    <w:rsid w:val="006246D3"/>
    <w:rsid w:val="0062520A"/>
    <w:rsid w:val="0062573A"/>
    <w:rsid w:val="0062758B"/>
    <w:rsid w:val="006306EF"/>
    <w:rsid w:val="00630A89"/>
    <w:rsid w:val="00633317"/>
    <w:rsid w:val="00633887"/>
    <w:rsid w:val="00633FF9"/>
    <w:rsid w:val="00634CBF"/>
    <w:rsid w:val="00635A87"/>
    <w:rsid w:val="0064071F"/>
    <w:rsid w:val="006427FE"/>
    <w:rsid w:val="00644621"/>
    <w:rsid w:val="00644C6A"/>
    <w:rsid w:val="00645CFF"/>
    <w:rsid w:val="00646785"/>
    <w:rsid w:val="00647528"/>
    <w:rsid w:val="0064769F"/>
    <w:rsid w:val="00647CF8"/>
    <w:rsid w:val="00651225"/>
    <w:rsid w:val="00651881"/>
    <w:rsid w:val="0065293E"/>
    <w:rsid w:val="00652CDA"/>
    <w:rsid w:val="00656B2A"/>
    <w:rsid w:val="006621E0"/>
    <w:rsid w:val="00664182"/>
    <w:rsid w:val="00665478"/>
    <w:rsid w:val="00665D10"/>
    <w:rsid w:val="006664F5"/>
    <w:rsid w:val="006716D1"/>
    <w:rsid w:val="00671C05"/>
    <w:rsid w:val="006725C0"/>
    <w:rsid w:val="00673D7E"/>
    <w:rsid w:val="00676877"/>
    <w:rsid w:val="00680FF8"/>
    <w:rsid w:val="00681043"/>
    <w:rsid w:val="00682550"/>
    <w:rsid w:val="00682B5E"/>
    <w:rsid w:val="00682FD5"/>
    <w:rsid w:val="00683535"/>
    <w:rsid w:val="00684214"/>
    <w:rsid w:val="00684300"/>
    <w:rsid w:val="0068498D"/>
    <w:rsid w:val="00684CDB"/>
    <w:rsid w:val="00684DDA"/>
    <w:rsid w:val="006850B7"/>
    <w:rsid w:val="00685636"/>
    <w:rsid w:val="006868BD"/>
    <w:rsid w:val="006873C6"/>
    <w:rsid w:val="00692CC6"/>
    <w:rsid w:val="0069308A"/>
    <w:rsid w:val="00694A00"/>
    <w:rsid w:val="006950BA"/>
    <w:rsid w:val="00696697"/>
    <w:rsid w:val="006A2497"/>
    <w:rsid w:val="006A24A8"/>
    <w:rsid w:val="006A2DDB"/>
    <w:rsid w:val="006A3256"/>
    <w:rsid w:val="006A3EFD"/>
    <w:rsid w:val="006A6997"/>
    <w:rsid w:val="006B11FA"/>
    <w:rsid w:val="006B12E4"/>
    <w:rsid w:val="006B1655"/>
    <w:rsid w:val="006B1B0E"/>
    <w:rsid w:val="006B1E77"/>
    <w:rsid w:val="006B25C8"/>
    <w:rsid w:val="006B2A9B"/>
    <w:rsid w:val="006B3500"/>
    <w:rsid w:val="006B37B5"/>
    <w:rsid w:val="006B3911"/>
    <w:rsid w:val="006B4282"/>
    <w:rsid w:val="006B53F2"/>
    <w:rsid w:val="006B559B"/>
    <w:rsid w:val="006B7963"/>
    <w:rsid w:val="006C0532"/>
    <w:rsid w:val="006C190F"/>
    <w:rsid w:val="006C1D48"/>
    <w:rsid w:val="006C51EF"/>
    <w:rsid w:val="006C6F2B"/>
    <w:rsid w:val="006C7F23"/>
    <w:rsid w:val="006D0829"/>
    <w:rsid w:val="006D2140"/>
    <w:rsid w:val="006D28E1"/>
    <w:rsid w:val="006D2C39"/>
    <w:rsid w:val="006D4934"/>
    <w:rsid w:val="006D4AEB"/>
    <w:rsid w:val="006D4B96"/>
    <w:rsid w:val="006D7C5E"/>
    <w:rsid w:val="006E0D1C"/>
    <w:rsid w:val="006E24CF"/>
    <w:rsid w:val="006E3875"/>
    <w:rsid w:val="006E5210"/>
    <w:rsid w:val="006E5CBF"/>
    <w:rsid w:val="006E71B3"/>
    <w:rsid w:val="006F03E1"/>
    <w:rsid w:val="006F1576"/>
    <w:rsid w:val="006F211F"/>
    <w:rsid w:val="006F28B3"/>
    <w:rsid w:val="006F46DE"/>
    <w:rsid w:val="006F57EC"/>
    <w:rsid w:val="006F66B1"/>
    <w:rsid w:val="006F6C52"/>
    <w:rsid w:val="00700BB6"/>
    <w:rsid w:val="00700D91"/>
    <w:rsid w:val="00703021"/>
    <w:rsid w:val="00703089"/>
    <w:rsid w:val="00704924"/>
    <w:rsid w:val="007061AC"/>
    <w:rsid w:val="00710420"/>
    <w:rsid w:val="007106CB"/>
    <w:rsid w:val="00711A1C"/>
    <w:rsid w:val="00712F36"/>
    <w:rsid w:val="00715772"/>
    <w:rsid w:val="00715E5D"/>
    <w:rsid w:val="007177E0"/>
    <w:rsid w:val="00723643"/>
    <w:rsid w:val="0072367D"/>
    <w:rsid w:val="00724C48"/>
    <w:rsid w:val="00724D57"/>
    <w:rsid w:val="007279A6"/>
    <w:rsid w:val="00730C9E"/>
    <w:rsid w:val="00730D98"/>
    <w:rsid w:val="00730EA7"/>
    <w:rsid w:val="00732703"/>
    <w:rsid w:val="00732841"/>
    <w:rsid w:val="00732A92"/>
    <w:rsid w:val="00733590"/>
    <w:rsid w:val="007345D6"/>
    <w:rsid w:val="007361C6"/>
    <w:rsid w:val="007366D7"/>
    <w:rsid w:val="00737BBC"/>
    <w:rsid w:val="00740ED6"/>
    <w:rsid w:val="00743622"/>
    <w:rsid w:val="00744BEA"/>
    <w:rsid w:val="00744CC3"/>
    <w:rsid w:val="00744DCB"/>
    <w:rsid w:val="00745615"/>
    <w:rsid w:val="007462BD"/>
    <w:rsid w:val="007475C5"/>
    <w:rsid w:val="00747613"/>
    <w:rsid w:val="00747C14"/>
    <w:rsid w:val="00752152"/>
    <w:rsid w:val="007532E8"/>
    <w:rsid w:val="00753479"/>
    <w:rsid w:val="007535C1"/>
    <w:rsid w:val="00753CC5"/>
    <w:rsid w:val="007567B3"/>
    <w:rsid w:val="007603AA"/>
    <w:rsid w:val="007614C2"/>
    <w:rsid w:val="0076221E"/>
    <w:rsid w:val="00762C3A"/>
    <w:rsid w:val="007632BC"/>
    <w:rsid w:val="0076355B"/>
    <w:rsid w:val="00764919"/>
    <w:rsid w:val="00766637"/>
    <w:rsid w:val="00766EC7"/>
    <w:rsid w:val="0077074E"/>
    <w:rsid w:val="00770EAA"/>
    <w:rsid w:val="0077128E"/>
    <w:rsid w:val="00771D9F"/>
    <w:rsid w:val="00773155"/>
    <w:rsid w:val="00773F98"/>
    <w:rsid w:val="00774208"/>
    <w:rsid w:val="00774408"/>
    <w:rsid w:val="00776870"/>
    <w:rsid w:val="0078179A"/>
    <w:rsid w:val="0078185C"/>
    <w:rsid w:val="007828F8"/>
    <w:rsid w:val="00783CE7"/>
    <w:rsid w:val="00783DFB"/>
    <w:rsid w:val="00785E1C"/>
    <w:rsid w:val="0078602C"/>
    <w:rsid w:val="007866E2"/>
    <w:rsid w:val="007870E9"/>
    <w:rsid w:val="0078724E"/>
    <w:rsid w:val="007905BE"/>
    <w:rsid w:val="00794108"/>
    <w:rsid w:val="007943CC"/>
    <w:rsid w:val="0079469F"/>
    <w:rsid w:val="00794AC4"/>
    <w:rsid w:val="007A0146"/>
    <w:rsid w:val="007A0573"/>
    <w:rsid w:val="007A35EC"/>
    <w:rsid w:val="007A55B6"/>
    <w:rsid w:val="007A6832"/>
    <w:rsid w:val="007A6CA6"/>
    <w:rsid w:val="007B0929"/>
    <w:rsid w:val="007B1255"/>
    <w:rsid w:val="007B2B9F"/>
    <w:rsid w:val="007B5A7E"/>
    <w:rsid w:val="007B69CB"/>
    <w:rsid w:val="007B7609"/>
    <w:rsid w:val="007B7A6E"/>
    <w:rsid w:val="007C0487"/>
    <w:rsid w:val="007C0596"/>
    <w:rsid w:val="007C2255"/>
    <w:rsid w:val="007C239D"/>
    <w:rsid w:val="007C2D84"/>
    <w:rsid w:val="007C40F2"/>
    <w:rsid w:val="007C429E"/>
    <w:rsid w:val="007C4982"/>
    <w:rsid w:val="007D0226"/>
    <w:rsid w:val="007D1600"/>
    <w:rsid w:val="007D1CD4"/>
    <w:rsid w:val="007D2F7D"/>
    <w:rsid w:val="007D3D0A"/>
    <w:rsid w:val="007D4C21"/>
    <w:rsid w:val="007D4FB9"/>
    <w:rsid w:val="007D671F"/>
    <w:rsid w:val="007D7014"/>
    <w:rsid w:val="007E082B"/>
    <w:rsid w:val="007E232C"/>
    <w:rsid w:val="007E2E5A"/>
    <w:rsid w:val="007E3172"/>
    <w:rsid w:val="007E3629"/>
    <w:rsid w:val="007E3997"/>
    <w:rsid w:val="007E44CA"/>
    <w:rsid w:val="007E54FE"/>
    <w:rsid w:val="007E5786"/>
    <w:rsid w:val="007E6986"/>
    <w:rsid w:val="007F0554"/>
    <w:rsid w:val="007F13BC"/>
    <w:rsid w:val="007F1900"/>
    <w:rsid w:val="007F2EAA"/>
    <w:rsid w:val="007F4474"/>
    <w:rsid w:val="007F77F6"/>
    <w:rsid w:val="007F791F"/>
    <w:rsid w:val="00801624"/>
    <w:rsid w:val="00802B27"/>
    <w:rsid w:val="00803D9F"/>
    <w:rsid w:val="008103BF"/>
    <w:rsid w:val="00810D1A"/>
    <w:rsid w:val="00812C0A"/>
    <w:rsid w:val="00812EEE"/>
    <w:rsid w:val="008130F8"/>
    <w:rsid w:val="00814CDC"/>
    <w:rsid w:val="00815AAA"/>
    <w:rsid w:val="00816DAF"/>
    <w:rsid w:val="00817616"/>
    <w:rsid w:val="008179EE"/>
    <w:rsid w:val="00817D5F"/>
    <w:rsid w:val="00817DBC"/>
    <w:rsid w:val="00820EAF"/>
    <w:rsid w:val="00821564"/>
    <w:rsid w:val="00821690"/>
    <w:rsid w:val="00825A0E"/>
    <w:rsid w:val="00826242"/>
    <w:rsid w:val="00827AAC"/>
    <w:rsid w:val="00827C16"/>
    <w:rsid w:val="00827D12"/>
    <w:rsid w:val="00827D29"/>
    <w:rsid w:val="00830BEA"/>
    <w:rsid w:val="00831560"/>
    <w:rsid w:val="008318E3"/>
    <w:rsid w:val="00831A4E"/>
    <w:rsid w:val="00831D01"/>
    <w:rsid w:val="0083250D"/>
    <w:rsid w:val="0083321E"/>
    <w:rsid w:val="0083325F"/>
    <w:rsid w:val="00835068"/>
    <w:rsid w:val="00840BB3"/>
    <w:rsid w:val="00840DD0"/>
    <w:rsid w:val="00842F1E"/>
    <w:rsid w:val="00842F30"/>
    <w:rsid w:val="008445A7"/>
    <w:rsid w:val="00844CF3"/>
    <w:rsid w:val="00847667"/>
    <w:rsid w:val="0085066E"/>
    <w:rsid w:val="00850E19"/>
    <w:rsid w:val="008520E7"/>
    <w:rsid w:val="008528A8"/>
    <w:rsid w:val="00853211"/>
    <w:rsid w:val="0085338B"/>
    <w:rsid w:val="0085366E"/>
    <w:rsid w:val="008554E7"/>
    <w:rsid w:val="008554FB"/>
    <w:rsid w:val="0086098F"/>
    <w:rsid w:val="00862F8C"/>
    <w:rsid w:val="008713E0"/>
    <w:rsid w:val="00871BBE"/>
    <w:rsid w:val="00872AD0"/>
    <w:rsid w:val="00875777"/>
    <w:rsid w:val="00875A42"/>
    <w:rsid w:val="008772DA"/>
    <w:rsid w:val="008800E8"/>
    <w:rsid w:val="008801E9"/>
    <w:rsid w:val="008817C4"/>
    <w:rsid w:val="008821C9"/>
    <w:rsid w:val="0088264B"/>
    <w:rsid w:val="00882A3C"/>
    <w:rsid w:val="00883048"/>
    <w:rsid w:val="008839BA"/>
    <w:rsid w:val="00885520"/>
    <w:rsid w:val="0088731C"/>
    <w:rsid w:val="008877F6"/>
    <w:rsid w:val="00887F1D"/>
    <w:rsid w:val="00891E56"/>
    <w:rsid w:val="008920AE"/>
    <w:rsid w:val="00893637"/>
    <w:rsid w:val="008957C0"/>
    <w:rsid w:val="008A08AB"/>
    <w:rsid w:val="008A155E"/>
    <w:rsid w:val="008A2371"/>
    <w:rsid w:val="008A3786"/>
    <w:rsid w:val="008A4065"/>
    <w:rsid w:val="008A543A"/>
    <w:rsid w:val="008A78B7"/>
    <w:rsid w:val="008B0574"/>
    <w:rsid w:val="008B19B0"/>
    <w:rsid w:val="008B2487"/>
    <w:rsid w:val="008B4461"/>
    <w:rsid w:val="008B70CA"/>
    <w:rsid w:val="008C1805"/>
    <w:rsid w:val="008C2015"/>
    <w:rsid w:val="008C36B8"/>
    <w:rsid w:val="008C3DEB"/>
    <w:rsid w:val="008C41CB"/>
    <w:rsid w:val="008C4464"/>
    <w:rsid w:val="008C469F"/>
    <w:rsid w:val="008C6B24"/>
    <w:rsid w:val="008D04FD"/>
    <w:rsid w:val="008D0A42"/>
    <w:rsid w:val="008D1C78"/>
    <w:rsid w:val="008D1C9B"/>
    <w:rsid w:val="008D1E68"/>
    <w:rsid w:val="008D2397"/>
    <w:rsid w:val="008D283B"/>
    <w:rsid w:val="008D2EEC"/>
    <w:rsid w:val="008D566E"/>
    <w:rsid w:val="008D7930"/>
    <w:rsid w:val="008D7A78"/>
    <w:rsid w:val="008E02F9"/>
    <w:rsid w:val="008E0A45"/>
    <w:rsid w:val="008E31B7"/>
    <w:rsid w:val="008E347F"/>
    <w:rsid w:val="008E373D"/>
    <w:rsid w:val="008E3B6D"/>
    <w:rsid w:val="008E3C83"/>
    <w:rsid w:val="008E4144"/>
    <w:rsid w:val="008E482F"/>
    <w:rsid w:val="008E7300"/>
    <w:rsid w:val="008E7773"/>
    <w:rsid w:val="008F078A"/>
    <w:rsid w:val="008F0E8F"/>
    <w:rsid w:val="008F0FA7"/>
    <w:rsid w:val="008F1AEA"/>
    <w:rsid w:val="008F24B4"/>
    <w:rsid w:val="008F3D30"/>
    <w:rsid w:val="008F472C"/>
    <w:rsid w:val="008F4E95"/>
    <w:rsid w:val="008F5AE4"/>
    <w:rsid w:val="008F5BE4"/>
    <w:rsid w:val="008F671F"/>
    <w:rsid w:val="008F7434"/>
    <w:rsid w:val="008F75A5"/>
    <w:rsid w:val="00900570"/>
    <w:rsid w:val="00902E20"/>
    <w:rsid w:val="00903438"/>
    <w:rsid w:val="009058B7"/>
    <w:rsid w:val="00906A24"/>
    <w:rsid w:val="00907F7A"/>
    <w:rsid w:val="00911627"/>
    <w:rsid w:val="009145ED"/>
    <w:rsid w:val="009146C1"/>
    <w:rsid w:val="009150B6"/>
    <w:rsid w:val="00917B93"/>
    <w:rsid w:val="00920396"/>
    <w:rsid w:val="00920B64"/>
    <w:rsid w:val="0092158E"/>
    <w:rsid w:val="00921D23"/>
    <w:rsid w:val="0092293F"/>
    <w:rsid w:val="00922AFE"/>
    <w:rsid w:val="00923AB3"/>
    <w:rsid w:val="0092424A"/>
    <w:rsid w:val="009247EC"/>
    <w:rsid w:val="00925326"/>
    <w:rsid w:val="009263D5"/>
    <w:rsid w:val="00927418"/>
    <w:rsid w:val="00927D66"/>
    <w:rsid w:val="00927E22"/>
    <w:rsid w:val="00930417"/>
    <w:rsid w:val="00931583"/>
    <w:rsid w:val="009337F1"/>
    <w:rsid w:val="009339C9"/>
    <w:rsid w:val="009347CF"/>
    <w:rsid w:val="00934E5B"/>
    <w:rsid w:val="00935A4B"/>
    <w:rsid w:val="009376BB"/>
    <w:rsid w:val="00937802"/>
    <w:rsid w:val="00940A62"/>
    <w:rsid w:val="0094122B"/>
    <w:rsid w:val="0094169A"/>
    <w:rsid w:val="009433F3"/>
    <w:rsid w:val="00943745"/>
    <w:rsid w:val="0094603D"/>
    <w:rsid w:val="0095101E"/>
    <w:rsid w:val="00951B31"/>
    <w:rsid w:val="009524D2"/>
    <w:rsid w:val="00953BD3"/>
    <w:rsid w:val="009550A0"/>
    <w:rsid w:val="00957246"/>
    <w:rsid w:val="009576BC"/>
    <w:rsid w:val="00957F2C"/>
    <w:rsid w:val="00962680"/>
    <w:rsid w:val="00962B02"/>
    <w:rsid w:val="009651EC"/>
    <w:rsid w:val="009657AC"/>
    <w:rsid w:val="0097099B"/>
    <w:rsid w:val="00970CC2"/>
    <w:rsid w:val="00970F84"/>
    <w:rsid w:val="00972892"/>
    <w:rsid w:val="00972E50"/>
    <w:rsid w:val="00973429"/>
    <w:rsid w:val="009735F0"/>
    <w:rsid w:val="00974BD5"/>
    <w:rsid w:val="00975B9F"/>
    <w:rsid w:val="00975F89"/>
    <w:rsid w:val="00976B38"/>
    <w:rsid w:val="0098177D"/>
    <w:rsid w:val="00981B03"/>
    <w:rsid w:val="00982061"/>
    <w:rsid w:val="00982724"/>
    <w:rsid w:val="0098314B"/>
    <w:rsid w:val="009837AB"/>
    <w:rsid w:val="009853A9"/>
    <w:rsid w:val="0098680C"/>
    <w:rsid w:val="00986EDA"/>
    <w:rsid w:val="009928C1"/>
    <w:rsid w:val="0099516C"/>
    <w:rsid w:val="009962AC"/>
    <w:rsid w:val="00997BC6"/>
    <w:rsid w:val="009A0BD0"/>
    <w:rsid w:val="009A0DE2"/>
    <w:rsid w:val="009A1A23"/>
    <w:rsid w:val="009A4E42"/>
    <w:rsid w:val="009A6470"/>
    <w:rsid w:val="009B2B7A"/>
    <w:rsid w:val="009B3715"/>
    <w:rsid w:val="009B38CA"/>
    <w:rsid w:val="009B3BDB"/>
    <w:rsid w:val="009B40A6"/>
    <w:rsid w:val="009B4F04"/>
    <w:rsid w:val="009B7516"/>
    <w:rsid w:val="009B79B0"/>
    <w:rsid w:val="009C0276"/>
    <w:rsid w:val="009C29B9"/>
    <w:rsid w:val="009C48CE"/>
    <w:rsid w:val="009C4EA5"/>
    <w:rsid w:val="009C5362"/>
    <w:rsid w:val="009C5CC7"/>
    <w:rsid w:val="009C6A10"/>
    <w:rsid w:val="009D2221"/>
    <w:rsid w:val="009D3DC8"/>
    <w:rsid w:val="009D4B19"/>
    <w:rsid w:val="009D4C64"/>
    <w:rsid w:val="009D5849"/>
    <w:rsid w:val="009D676F"/>
    <w:rsid w:val="009D7E9C"/>
    <w:rsid w:val="009E18E7"/>
    <w:rsid w:val="009E2795"/>
    <w:rsid w:val="009E2BFF"/>
    <w:rsid w:val="009E54EC"/>
    <w:rsid w:val="009E6FD8"/>
    <w:rsid w:val="009E7CD7"/>
    <w:rsid w:val="009F0966"/>
    <w:rsid w:val="009F213D"/>
    <w:rsid w:val="009F237C"/>
    <w:rsid w:val="009F25F9"/>
    <w:rsid w:val="009F2779"/>
    <w:rsid w:val="009F2F56"/>
    <w:rsid w:val="009F3083"/>
    <w:rsid w:val="009F3843"/>
    <w:rsid w:val="009F3CF8"/>
    <w:rsid w:val="009F5238"/>
    <w:rsid w:val="009F5BBB"/>
    <w:rsid w:val="009F6192"/>
    <w:rsid w:val="009F655A"/>
    <w:rsid w:val="009F67A0"/>
    <w:rsid w:val="009F6D9D"/>
    <w:rsid w:val="009F6EC3"/>
    <w:rsid w:val="009F7297"/>
    <w:rsid w:val="009F74FB"/>
    <w:rsid w:val="00A00325"/>
    <w:rsid w:val="00A006F5"/>
    <w:rsid w:val="00A00F24"/>
    <w:rsid w:val="00A01587"/>
    <w:rsid w:val="00A05C90"/>
    <w:rsid w:val="00A06A7C"/>
    <w:rsid w:val="00A1100E"/>
    <w:rsid w:val="00A11F9D"/>
    <w:rsid w:val="00A145E7"/>
    <w:rsid w:val="00A15A88"/>
    <w:rsid w:val="00A1632A"/>
    <w:rsid w:val="00A16376"/>
    <w:rsid w:val="00A1752A"/>
    <w:rsid w:val="00A17840"/>
    <w:rsid w:val="00A223EF"/>
    <w:rsid w:val="00A2281C"/>
    <w:rsid w:val="00A232B8"/>
    <w:rsid w:val="00A25B82"/>
    <w:rsid w:val="00A27B96"/>
    <w:rsid w:val="00A30801"/>
    <w:rsid w:val="00A33016"/>
    <w:rsid w:val="00A349DC"/>
    <w:rsid w:val="00A35E37"/>
    <w:rsid w:val="00A36509"/>
    <w:rsid w:val="00A375E6"/>
    <w:rsid w:val="00A3785A"/>
    <w:rsid w:val="00A37865"/>
    <w:rsid w:val="00A37F21"/>
    <w:rsid w:val="00A41E86"/>
    <w:rsid w:val="00A42107"/>
    <w:rsid w:val="00A427FF"/>
    <w:rsid w:val="00A4410C"/>
    <w:rsid w:val="00A44C87"/>
    <w:rsid w:val="00A4683E"/>
    <w:rsid w:val="00A47A9B"/>
    <w:rsid w:val="00A47D38"/>
    <w:rsid w:val="00A52CF7"/>
    <w:rsid w:val="00A52D9B"/>
    <w:rsid w:val="00A53164"/>
    <w:rsid w:val="00A546EB"/>
    <w:rsid w:val="00A57769"/>
    <w:rsid w:val="00A61C0C"/>
    <w:rsid w:val="00A62302"/>
    <w:rsid w:val="00A62BC1"/>
    <w:rsid w:val="00A62ED7"/>
    <w:rsid w:val="00A63081"/>
    <w:rsid w:val="00A63FC9"/>
    <w:rsid w:val="00A64064"/>
    <w:rsid w:val="00A67E59"/>
    <w:rsid w:val="00A70198"/>
    <w:rsid w:val="00A7076A"/>
    <w:rsid w:val="00A709CF"/>
    <w:rsid w:val="00A70A63"/>
    <w:rsid w:val="00A72216"/>
    <w:rsid w:val="00A74C52"/>
    <w:rsid w:val="00A7566C"/>
    <w:rsid w:val="00A75A1A"/>
    <w:rsid w:val="00A77433"/>
    <w:rsid w:val="00A77974"/>
    <w:rsid w:val="00A80BA5"/>
    <w:rsid w:val="00A80C13"/>
    <w:rsid w:val="00A80F24"/>
    <w:rsid w:val="00A8232E"/>
    <w:rsid w:val="00A83FB5"/>
    <w:rsid w:val="00A858FC"/>
    <w:rsid w:val="00A86320"/>
    <w:rsid w:val="00A9038B"/>
    <w:rsid w:val="00A9281B"/>
    <w:rsid w:val="00A944EA"/>
    <w:rsid w:val="00A947AB"/>
    <w:rsid w:val="00A95A13"/>
    <w:rsid w:val="00A9616C"/>
    <w:rsid w:val="00A96776"/>
    <w:rsid w:val="00A96C9A"/>
    <w:rsid w:val="00A97833"/>
    <w:rsid w:val="00AA038E"/>
    <w:rsid w:val="00AA2406"/>
    <w:rsid w:val="00AA52E8"/>
    <w:rsid w:val="00AA535A"/>
    <w:rsid w:val="00AA5640"/>
    <w:rsid w:val="00AA5D0A"/>
    <w:rsid w:val="00AB027C"/>
    <w:rsid w:val="00AB0C9B"/>
    <w:rsid w:val="00AB1900"/>
    <w:rsid w:val="00AB2453"/>
    <w:rsid w:val="00AB2B12"/>
    <w:rsid w:val="00AB3E8B"/>
    <w:rsid w:val="00AB48DE"/>
    <w:rsid w:val="00AB4F42"/>
    <w:rsid w:val="00AB64D1"/>
    <w:rsid w:val="00AB6D4C"/>
    <w:rsid w:val="00AB71A8"/>
    <w:rsid w:val="00AC1012"/>
    <w:rsid w:val="00AC11BF"/>
    <w:rsid w:val="00AC36E0"/>
    <w:rsid w:val="00AC38DD"/>
    <w:rsid w:val="00AC3E86"/>
    <w:rsid w:val="00AC4B38"/>
    <w:rsid w:val="00AC5453"/>
    <w:rsid w:val="00AC5EF3"/>
    <w:rsid w:val="00AC602A"/>
    <w:rsid w:val="00AC7D3A"/>
    <w:rsid w:val="00AC7D96"/>
    <w:rsid w:val="00AD13D8"/>
    <w:rsid w:val="00AD25A2"/>
    <w:rsid w:val="00AD37C0"/>
    <w:rsid w:val="00AD537A"/>
    <w:rsid w:val="00AD576D"/>
    <w:rsid w:val="00AD5A7E"/>
    <w:rsid w:val="00AD617B"/>
    <w:rsid w:val="00AD6553"/>
    <w:rsid w:val="00AD6ABA"/>
    <w:rsid w:val="00AE00D2"/>
    <w:rsid w:val="00AE07F3"/>
    <w:rsid w:val="00AE0EC2"/>
    <w:rsid w:val="00AE1999"/>
    <w:rsid w:val="00AE1AC9"/>
    <w:rsid w:val="00AE1BDA"/>
    <w:rsid w:val="00AE49EA"/>
    <w:rsid w:val="00AE5274"/>
    <w:rsid w:val="00AE597A"/>
    <w:rsid w:val="00AF0BFC"/>
    <w:rsid w:val="00AF0DC3"/>
    <w:rsid w:val="00AF2C0A"/>
    <w:rsid w:val="00AF3E64"/>
    <w:rsid w:val="00AF52B3"/>
    <w:rsid w:val="00AF5EF9"/>
    <w:rsid w:val="00AF7767"/>
    <w:rsid w:val="00B0036C"/>
    <w:rsid w:val="00B0070B"/>
    <w:rsid w:val="00B009EE"/>
    <w:rsid w:val="00B01DF4"/>
    <w:rsid w:val="00B02D5F"/>
    <w:rsid w:val="00B066DC"/>
    <w:rsid w:val="00B06D07"/>
    <w:rsid w:val="00B0724E"/>
    <w:rsid w:val="00B1216B"/>
    <w:rsid w:val="00B12440"/>
    <w:rsid w:val="00B1417A"/>
    <w:rsid w:val="00B159E6"/>
    <w:rsid w:val="00B21622"/>
    <w:rsid w:val="00B21BC3"/>
    <w:rsid w:val="00B21E2C"/>
    <w:rsid w:val="00B23453"/>
    <w:rsid w:val="00B2345B"/>
    <w:rsid w:val="00B23567"/>
    <w:rsid w:val="00B2368B"/>
    <w:rsid w:val="00B245E4"/>
    <w:rsid w:val="00B24969"/>
    <w:rsid w:val="00B26226"/>
    <w:rsid w:val="00B26DC1"/>
    <w:rsid w:val="00B3216B"/>
    <w:rsid w:val="00B32486"/>
    <w:rsid w:val="00B32CF7"/>
    <w:rsid w:val="00B32F7E"/>
    <w:rsid w:val="00B33618"/>
    <w:rsid w:val="00B34A7F"/>
    <w:rsid w:val="00B37155"/>
    <w:rsid w:val="00B37274"/>
    <w:rsid w:val="00B40AC6"/>
    <w:rsid w:val="00B4185B"/>
    <w:rsid w:val="00B41EA4"/>
    <w:rsid w:val="00B430D9"/>
    <w:rsid w:val="00B43693"/>
    <w:rsid w:val="00B436EA"/>
    <w:rsid w:val="00B44A5C"/>
    <w:rsid w:val="00B46405"/>
    <w:rsid w:val="00B46ED0"/>
    <w:rsid w:val="00B51B89"/>
    <w:rsid w:val="00B523D3"/>
    <w:rsid w:val="00B535B2"/>
    <w:rsid w:val="00B53D73"/>
    <w:rsid w:val="00B558DE"/>
    <w:rsid w:val="00B568CE"/>
    <w:rsid w:val="00B57CDB"/>
    <w:rsid w:val="00B60F8F"/>
    <w:rsid w:val="00B61250"/>
    <w:rsid w:val="00B61497"/>
    <w:rsid w:val="00B619AB"/>
    <w:rsid w:val="00B62230"/>
    <w:rsid w:val="00B63942"/>
    <w:rsid w:val="00B64B87"/>
    <w:rsid w:val="00B653C3"/>
    <w:rsid w:val="00B67835"/>
    <w:rsid w:val="00B71078"/>
    <w:rsid w:val="00B71D30"/>
    <w:rsid w:val="00B730A2"/>
    <w:rsid w:val="00B73540"/>
    <w:rsid w:val="00B75486"/>
    <w:rsid w:val="00B76F80"/>
    <w:rsid w:val="00B77060"/>
    <w:rsid w:val="00B77267"/>
    <w:rsid w:val="00B77C3B"/>
    <w:rsid w:val="00B77DFF"/>
    <w:rsid w:val="00B818DA"/>
    <w:rsid w:val="00B81DB4"/>
    <w:rsid w:val="00B832C6"/>
    <w:rsid w:val="00B840AE"/>
    <w:rsid w:val="00B8437F"/>
    <w:rsid w:val="00B848D3"/>
    <w:rsid w:val="00B848DE"/>
    <w:rsid w:val="00B87E64"/>
    <w:rsid w:val="00B91D4D"/>
    <w:rsid w:val="00B922FC"/>
    <w:rsid w:val="00B93431"/>
    <w:rsid w:val="00B94E00"/>
    <w:rsid w:val="00B954E1"/>
    <w:rsid w:val="00B95CC0"/>
    <w:rsid w:val="00B962B1"/>
    <w:rsid w:val="00BA1592"/>
    <w:rsid w:val="00BA1D9E"/>
    <w:rsid w:val="00BA2D52"/>
    <w:rsid w:val="00BA2F8A"/>
    <w:rsid w:val="00BA334B"/>
    <w:rsid w:val="00BA3E1A"/>
    <w:rsid w:val="00BA574F"/>
    <w:rsid w:val="00BA6209"/>
    <w:rsid w:val="00BA660D"/>
    <w:rsid w:val="00BA6663"/>
    <w:rsid w:val="00BA6B62"/>
    <w:rsid w:val="00BB055C"/>
    <w:rsid w:val="00BB26CC"/>
    <w:rsid w:val="00BB38E6"/>
    <w:rsid w:val="00BB446D"/>
    <w:rsid w:val="00BB4CEB"/>
    <w:rsid w:val="00BB52D2"/>
    <w:rsid w:val="00BB58A6"/>
    <w:rsid w:val="00BB64FD"/>
    <w:rsid w:val="00BB7747"/>
    <w:rsid w:val="00BB7AA0"/>
    <w:rsid w:val="00BB7D50"/>
    <w:rsid w:val="00BC0036"/>
    <w:rsid w:val="00BC1E41"/>
    <w:rsid w:val="00BC23AF"/>
    <w:rsid w:val="00BC249F"/>
    <w:rsid w:val="00BC28FA"/>
    <w:rsid w:val="00BC5FA7"/>
    <w:rsid w:val="00BC6329"/>
    <w:rsid w:val="00BC6EB3"/>
    <w:rsid w:val="00BD03CE"/>
    <w:rsid w:val="00BD1451"/>
    <w:rsid w:val="00BD24D1"/>
    <w:rsid w:val="00BD256B"/>
    <w:rsid w:val="00BD7633"/>
    <w:rsid w:val="00BE1ED4"/>
    <w:rsid w:val="00BE4382"/>
    <w:rsid w:val="00BE4B28"/>
    <w:rsid w:val="00BE53EC"/>
    <w:rsid w:val="00BE6FAF"/>
    <w:rsid w:val="00BF0CB1"/>
    <w:rsid w:val="00BF1933"/>
    <w:rsid w:val="00BF1A9E"/>
    <w:rsid w:val="00BF24D5"/>
    <w:rsid w:val="00BF252E"/>
    <w:rsid w:val="00BF28EB"/>
    <w:rsid w:val="00BF3F63"/>
    <w:rsid w:val="00BF46C1"/>
    <w:rsid w:val="00BF5AA0"/>
    <w:rsid w:val="00BF6BF5"/>
    <w:rsid w:val="00BF7526"/>
    <w:rsid w:val="00BF7931"/>
    <w:rsid w:val="00C00572"/>
    <w:rsid w:val="00C0363F"/>
    <w:rsid w:val="00C06C1E"/>
    <w:rsid w:val="00C078EE"/>
    <w:rsid w:val="00C079E7"/>
    <w:rsid w:val="00C100B9"/>
    <w:rsid w:val="00C12000"/>
    <w:rsid w:val="00C135DB"/>
    <w:rsid w:val="00C163C6"/>
    <w:rsid w:val="00C17690"/>
    <w:rsid w:val="00C204A8"/>
    <w:rsid w:val="00C20760"/>
    <w:rsid w:val="00C211AC"/>
    <w:rsid w:val="00C221A3"/>
    <w:rsid w:val="00C22762"/>
    <w:rsid w:val="00C22C2F"/>
    <w:rsid w:val="00C22C55"/>
    <w:rsid w:val="00C22CFE"/>
    <w:rsid w:val="00C24D3E"/>
    <w:rsid w:val="00C256F7"/>
    <w:rsid w:val="00C26AD8"/>
    <w:rsid w:val="00C27DD0"/>
    <w:rsid w:val="00C27F4C"/>
    <w:rsid w:val="00C3018D"/>
    <w:rsid w:val="00C30A36"/>
    <w:rsid w:val="00C31AF6"/>
    <w:rsid w:val="00C32AA1"/>
    <w:rsid w:val="00C35C46"/>
    <w:rsid w:val="00C36104"/>
    <w:rsid w:val="00C365C6"/>
    <w:rsid w:val="00C36CA4"/>
    <w:rsid w:val="00C37C52"/>
    <w:rsid w:val="00C40C69"/>
    <w:rsid w:val="00C4250B"/>
    <w:rsid w:val="00C4468E"/>
    <w:rsid w:val="00C44DC6"/>
    <w:rsid w:val="00C462B9"/>
    <w:rsid w:val="00C463C9"/>
    <w:rsid w:val="00C46B55"/>
    <w:rsid w:val="00C4719E"/>
    <w:rsid w:val="00C47C8E"/>
    <w:rsid w:val="00C5144C"/>
    <w:rsid w:val="00C51829"/>
    <w:rsid w:val="00C51942"/>
    <w:rsid w:val="00C531EF"/>
    <w:rsid w:val="00C54F12"/>
    <w:rsid w:val="00C55248"/>
    <w:rsid w:val="00C55334"/>
    <w:rsid w:val="00C5704E"/>
    <w:rsid w:val="00C57C2C"/>
    <w:rsid w:val="00C60DB2"/>
    <w:rsid w:val="00C60FF2"/>
    <w:rsid w:val="00C62D0E"/>
    <w:rsid w:val="00C62DAF"/>
    <w:rsid w:val="00C633FA"/>
    <w:rsid w:val="00C63A7C"/>
    <w:rsid w:val="00C65100"/>
    <w:rsid w:val="00C65195"/>
    <w:rsid w:val="00C65ED5"/>
    <w:rsid w:val="00C6635B"/>
    <w:rsid w:val="00C6755C"/>
    <w:rsid w:val="00C67B42"/>
    <w:rsid w:val="00C67E0D"/>
    <w:rsid w:val="00C703A2"/>
    <w:rsid w:val="00C70B43"/>
    <w:rsid w:val="00C715EC"/>
    <w:rsid w:val="00C716D9"/>
    <w:rsid w:val="00C73A4C"/>
    <w:rsid w:val="00C73BD1"/>
    <w:rsid w:val="00C74AC0"/>
    <w:rsid w:val="00C75F8D"/>
    <w:rsid w:val="00C80162"/>
    <w:rsid w:val="00C815A3"/>
    <w:rsid w:val="00C85485"/>
    <w:rsid w:val="00C865F9"/>
    <w:rsid w:val="00C86B92"/>
    <w:rsid w:val="00C8751E"/>
    <w:rsid w:val="00C87679"/>
    <w:rsid w:val="00C87AD0"/>
    <w:rsid w:val="00C9054B"/>
    <w:rsid w:val="00C91386"/>
    <w:rsid w:val="00C96B5C"/>
    <w:rsid w:val="00C97251"/>
    <w:rsid w:val="00CA0D9D"/>
    <w:rsid w:val="00CA11E9"/>
    <w:rsid w:val="00CA15FA"/>
    <w:rsid w:val="00CA3E0A"/>
    <w:rsid w:val="00CA52D7"/>
    <w:rsid w:val="00CA5C7D"/>
    <w:rsid w:val="00CA5E48"/>
    <w:rsid w:val="00CA5FC7"/>
    <w:rsid w:val="00CB11F2"/>
    <w:rsid w:val="00CB260C"/>
    <w:rsid w:val="00CB390C"/>
    <w:rsid w:val="00CB4DE0"/>
    <w:rsid w:val="00CB6596"/>
    <w:rsid w:val="00CB663F"/>
    <w:rsid w:val="00CB7097"/>
    <w:rsid w:val="00CB70D7"/>
    <w:rsid w:val="00CC0A65"/>
    <w:rsid w:val="00CC2252"/>
    <w:rsid w:val="00CC4368"/>
    <w:rsid w:val="00CC4905"/>
    <w:rsid w:val="00CC5BCF"/>
    <w:rsid w:val="00CD19EC"/>
    <w:rsid w:val="00CD21D5"/>
    <w:rsid w:val="00CD2640"/>
    <w:rsid w:val="00CD3A8A"/>
    <w:rsid w:val="00CD4123"/>
    <w:rsid w:val="00CD5062"/>
    <w:rsid w:val="00CD6C72"/>
    <w:rsid w:val="00CD6DBE"/>
    <w:rsid w:val="00CD77D5"/>
    <w:rsid w:val="00CD78B3"/>
    <w:rsid w:val="00CD7F25"/>
    <w:rsid w:val="00CE149F"/>
    <w:rsid w:val="00CE2AB3"/>
    <w:rsid w:val="00CE373B"/>
    <w:rsid w:val="00CE644F"/>
    <w:rsid w:val="00CE7634"/>
    <w:rsid w:val="00CF1049"/>
    <w:rsid w:val="00CF1EDD"/>
    <w:rsid w:val="00CF2D95"/>
    <w:rsid w:val="00CF4037"/>
    <w:rsid w:val="00CF4496"/>
    <w:rsid w:val="00CF4CA1"/>
    <w:rsid w:val="00CF643B"/>
    <w:rsid w:val="00CF6BE8"/>
    <w:rsid w:val="00D00B32"/>
    <w:rsid w:val="00D02D9C"/>
    <w:rsid w:val="00D05D8D"/>
    <w:rsid w:val="00D0673C"/>
    <w:rsid w:val="00D11958"/>
    <w:rsid w:val="00D11EAB"/>
    <w:rsid w:val="00D14481"/>
    <w:rsid w:val="00D1466B"/>
    <w:rsid w:val="00D172F4"/>
    <w:rsid w:val="00D177ED"/>
    <w:rsid w:val="00D2111B"/>
    <w:rsid w:val="00D2115C"/>
    <w:rsid w:val="00D21B92"/>
    <w:rsid w:val="00D23EEF"/>
    <w:rsid w:val="00D23F72"/>
    <w:rsid w:val="00D26DC2"/>
    <w:rsid w:val="00D313CF"/>
    <w:rsid w:val="00D31B46"/>
    <w:rsid w:val="00D32CA7"/>
    <w:rsid w:val="00D33A73"/>
    <w:rsid w:val="00D33BD0"/>
    <w:rsid w:val="00D33DA0"/>
    <w:rsid w:val="00D34D78"/>
    <w:rsid w:val="00D352B7"/>
    <w:rsid w:val="00D37C55"/>
    <w:rsid w:val="00D401AF"/>
    <w:rsid w:val="00D40234"/>
    <w:rsid w:val="00D41E8D"/>
    <w:rsid w:val="00D422B9"/>
    <w:rsid w:val="00D425AE"/>
    <w:rsid w:val="00D429AD"/>
    <w:rsid w:val="00D437CF"/>
    <w:rsid w:val="00D4388E"/>
    <w:rsid w:val="00D4464B"/>
    <w:rsid w:val="00D47DA4"/>
    <w:rsid w:val="00D502D0"/>
    <w:rsid w:val="00D50A79"/>
    <w:rsid w:val="00D50B9F"/>
    <w:rsid w:val="00D5136C"/>
    <w:rsid w:val="00D524D2"/>
    <w:rsid w:val="00D532E3"/>
    <w:rsid w:val="00D541B9"/>
    <w:rsid w:val="00D543D7"/>
    <w:rsid w:val="00D565A6"/>
    <w:rsid w:val="00D56660"/>
    <w:rsid w:val="00D56AAF"/>
    <w:rsid w:val="00D57287"/>
    <w:rsid w:val="00D57ED8"/>
    <w:rsid w:val="00D6050B"/>
    <w:rsid w:val="00D60DE7"/>
    <w:rsid w:val="00D60E4D"/>
    <w:rsid w:val="00D62364"/>
    <w:rsid w:val="00D639DB"/>
    <w:rsid w:val="00D648EB"/>
    <w:rsid w:val="00D64C88"/>
    <w:rsid w:val="00D65663"/>
    <w:rsid w:val="00D66046"/>
    <w:rsid w:val="00D67692"/>
    <w:rsid w:val="00D67CA7"/>
    <w:rsid w:val="00D70B18"/>
    <w:rsid w:val="00D73CE3"/>
    <w:rsid w:val="00D74F98"/>
    <w:rsid w:val="00D74FAD"/>
    <w:rsid w:val="00D750CB"/>
    <w:rsid w:val="00D7738E"/>
    <w:rsid w:val="00D778B5"/>
    <w:rsid w:val="00D77C79"/>
    <w:rsid w:val="00D77D94"/>
    <w:rsid w:val="00D81168"/>
    <w:rsid w:val="00D8352F"/>
    <w:rsid w:val="00D84552"/>
    <w:rsid w:val="00D84AF7"/>
    <w:rsid w:val="00D8653A"/>
    <w:rsid w:val="00D86C89"/>
    <w:rsid w:val="00D902F7"/>
    <w:rsid w:val="00D9050C"/>
    <w:rsid w:val="00D90BD5"/>
    <w:rsid w:val="00D91436"/>
    <w:rsid w:val="00D92E5F"/>
    <w:rsid w:val="00D942B9"/>
    <w:rsid w:val="00D94B2C"/>
    <w:rsid w:val="00D9546F"/>
    <w:rsid w:val="00D97C86"/>
    <w:rsid w:val="00DA052A"/>
    <w:rsid w:val="00DA2B85"/>
    <w:rsid w:val="00DA619F"/>
    <w:rsid w:val="00DA64B1"/>
    <w:rsid w:val="00DA6703"/>
    <w:rsid w:val="00DA7AB3"/>
    <w:rsid w:val="00DB08C8"/>
    <w:rsid w:val="00DB214A"/>
    <w:rsid w:val="00DB2FCE"/>
    <w:rsid w:val="00DB5CDF"/>
    <w:rsid w:val="00DC06C1"/>
    <w:rsid w:val="00DC0FF3"/>
    <w:rsid w:val="00DC2BDD"/>
    <w:rsid w:val="00DC489B"/>
    <w:rsid w:val="00DC5BF1"/>
    <w:rsid w:val="00DC6A6B"/>
    <w:rsid w:val="00DC7D14"/>
    <w:rsid w:val="00DD0F35"/>
    <w:rsid w:val="00DD4D19"/>
    <w:rsid w:val="00DD5046"/>
    <w:rsid w:val="00DD5C06"/>
    <w:rsid w:val="00DD642F"/>
    <w:rsid w:val="00DD7C31"/>
    <w:rsid w:val="00DE0949"/>
    <w:rsid w:val="00DE17C5"/>
    <w:rsid w:val="00DE2001"/>
    <w:rsid w:val="00DE24AC"/>
    <w:rsid w:val="00DE2789"/>
    <w:rsid w:val="00DE4658"/>
    <w:rsid w:val="00DE4CB9"/>
    <w:rsid w:val="00DE500A"/>
    <w:rsid w:val="00DE5689"/>
    <w:rsid w:val="00DE5AC2"/>
    <w:rsid w:val="00DE6054"/>
    <w:rsid w:val="00DE63B9"/>
    <w:rsid w:val="00DE6637"/>
    <w:rsid w:val="00DE66A2"/>
    <w:rsid w:val="00DE68A8"/>
    <w:rsid w:val="00DE6FE9"/>
    <w:rsid w:val="00DF09BB"/>
    <w:rsid w:val="00DF2823"/>
    <w:rsid w:val="00DF2972"/>
    <w:rsid w:val="00DF403D"/>
    <w:rsid w:val="00DF554D"/>
    <w:rsid w:val="00DF6CD1"/>
    <w:rsid w:val="00DF7C1D"/>
    <w:rsid w:val="00E00E0C"/>
    <w:rsid w:val="00E0301E"/>
    <w:rsid w:val="00E03973"/>
    <w:rsid w:val="00E04E1B"/>
    <w:rsid w:val="00E050EB"/>
    <w:rsid w:val="00E05D34"/>
    <w:rsid w:val="00E06ABF"/>
    <w:rsid w:val="00E12737"/>
    <w:rsid w:val="00E13D3F"/>
    <w:rsid w:val="00E15DE0"/>
    <w:rsid w:val="00E16242"/>
    <w:rsid w:val="00E167CB"/>
    <w:rsid w:val="00E203CA"/>
    <w:rsid w:val="00E208D1"/>
    <w:rsid w:val="00E2270F"/>
    <w:rsid w:val="00E22862"/>
    <w:rsid w:val="00E23142"/>
    <w:rsid w:val="00E23DA5"/>
    <w:rsid w:val="00E23F58"/>
    <w:rsid w:val="00E2475A"/>
    <w:rsid w:val="00E24B50"/>
    <w:rsid w:val="00E255E5"/>
    <w:rsid w:val="00E264A5"/>
    <w:rsid w:val="00E27D96"/>
    <w:rsid w:val="00E30DA5"/>
    <w:rsid w:val="00E31313"/>
    <w:rsid w:val="00E32F89"/>
    <w:rsid w:val="00E34154"/>
    <w:rsid w:val="00E35A4F"/>
    <w:rsid w:val="00E37EC4"/>
    <w:rsid w:val="00E435C0"/>
    <w:rsid w:val="00E441B8"/>
    <w:rsid w:val="00E44233"/>
    <w:rsid w:val="00E446C0"/>
    <w:rsid w:val="00E45903"/>
    <w:rsid w:val="00E470C1"/>
    <w:rsid w:val="00E47470"/>
    <w:rsid w:val="00E47BD0"/>
    <w:rsid w:val="00E47F75"/>
    <w:rsid w:val="00E50F04"/>
    <w:rsid w:val="00E52643"/>
    <w:rsid w:val="00E535E3"/>
    <w:rsid w:val="00E542B5"/>
    <w:rsid w:val="00E56BE3"/>
    <w:rsid w:val="00E56DA9"/>
    <w:rsid w:val="00E56EAD"/>
    <w:rsid w:val="00E5725F"/>
    <w:rsid w:val="00E60278"/>
    <w:rsid w:val="00E61205"/>
    <w:rsid w:val="00E61EB8"/>
    <w:rsid w:val="00E62FFE"/>
    <w:rsid w:val="00E64F02"/>
    <w:rsid w:val="00E66C07"/>
    <w:rsid w:val="00E66CBB"/>
    <w:rsid w:val="00E67C0C"/>
    <w:rsid w:val="00E709BA"/>
    <w:rsid w:val="00E7327D"/>
    <w:rsid w:val="00E73675"/>
    <w:rsid w:val="00E746B1"/>
    <w:rsid w:val="00E74C78"/>
    <w:rsid w:val="00E74EEF"/>
    <w:rsid w:val="00E753D7"/>
    <w:rsid w:val="00E7575C"/>
    <w:rsid w:val="00E75EC4"/>
    <w:rsid w:val="00E76552"/>
    <w:rsid w:val="00E76A65"/>
    <w:rsid w:val="00E80705"/>
    <w:rsid w:val="00E80A17"/>
    <w:rsid w:val="00E833A4"/>
    <w:rsid w:val="00E8549D"/>
    <w:rsid w:val="00E8673B"/>
    <w:rsid w:val="00E870EB"/>
    <w:rsid w:val="00E91E14"/>
    <w:rsid w:val="00E933A3"/>
    <w:rsid w:val="00E94340"/>
    <w:rsid w:val="00E94431"/>
    <w:rsid w:val="00EA1E0F"/>
    <w:rsid w:val="00EA1EBD"/>
    <w:rsid w:val="00EA2520"/>
    <w:rsid w:val="00EA58D1"/>
    <w:rsid w:val="00EA5D0E"/>
    <w:rsid w:val="00EA6F32"/>
    <w:rsid w:val="00EB0D17"/>
    <w:rsid w:val="00EB0F7E"/>
    <w:rsid w:val="00EB27BF"/>
    <w:rsid w:val="00EB33C5"/>
    <w:rsid w:val="00EB6511"/>
    <w:rsid w:val="00EC016B"/>
    <w:rsid w:val="00EC064E"/>
    <w:rsid w:val="00EC0FE2"/>
    <w:rsid w:val="00EC2848"/>
    <w:rsid w:val="00EC371B"/>
    <w:rsid w:val="00ED299F"/>
    <w:rsid w:val="00ED2C39"/>
    <w:rsid w:val="00ED317A"/>
    <w:rsid w:val="00ED32DA"/>
    <w:rsid w:val="00ED3D14"/>
    <w:rsid w:val="00ED557A"/>
    <w:rsid w:val="00EE0133"/>
    <w:rsid w:val="00EE0387"/>
    <w:rsid w:val="00EE0F81"/>
    <w:rsid w:val="00EE1F6B"/>
    <w:rsid w:val="00EE412E"/>
    <w:rsid w:val="00EE4440"/>
    <w:rsid w:val="00EE449F"/>
    <w:rsid w:val="00EE4843"/>
    <w:rsid w:val="00EE60E3"/>
    <w:rsid w:val="00EE64F3"/>
    <w:rsid w:val="00EE72E1"/>
    <w:rsid w:val="00EF08A6"/>
    <w:rsid w:val="00EF357D"/>
    <w:rsid w:val="00EF4A3E"/>
    <w:rsid w:val="00EF62B4"/>
    <w:rsid w:val="00EF6F6A"/>
    <w:rsid w:val="00EF761F"/>
    <w:rsid w:val="00EF7E1E"/>
    <w:rsid w:val="00F00511"/>
    <w:rsid w:val="00F055E3"/>
    <w:rsid w:val="00F05F7D"/>
    <w:rsid w:val="00F061BD"/>
    <w:rsid w:val="00F06495"/>
    <w:rsid w:val="00F109F9"/>
    <w:rsid w:val="00F119B6"/>
    <w:rsid w:val="00F12BCC"/>
    <w:rsid w:val="00F13F99"/>
    <w:rsid w:val="00F14541"/>
    <w:rsid w:val="00F147D8"/>
    <w:rsid w:val="00F14C34"/>
    <w:rsid w:val="00F14C90"/>
    <w:rsid w:val="00F15024"/>
    <w:rsid w:val="00F151D3"/>
    <w:rsid w:val="00F15422"/>
    <w:rsid w:val="00F15E21"/>
    <w:rsid w:val="00F2156A"/>
    <w:rsid w:val="00F224B7"/>
    <w:rsid w:val="00F236C6"/>
    <w:rsid w:val="00F254B5"/>
    <w:rsid w:val="00F26D67"/>
    <w:rsid w:val="00F30497"/>
    <w:rsid w:val="00F30CE3"/>
    <w:rsid w:val="00F30E2F"/>
    <w:rsid w:val="00F316C2"/>
    <w:rsid w:val="00F320E5"/>
    <w:rsid w:val="00F32977"/>
    <w:rsid w:val="00F32F80"/>
    <w:rsid w:val="00F338B7"/>
    <w:rsid w:val="00F3473A"/>
    <w:rsid w:val="00F36F11"/>
    <w:rsid w:val="00F4033C"/>
    <w:rsid w:val="00F41B6D"/>
    <w:rsid w:val="00F42624"/>
    <w:rsid w:val="00F42A3C"/>
    <w:rsid w:val="00F43D75"/>
    <w:rsid w:val="00F44811"/>
    <w:rsid w:val="00F45376"/>
    <w:rsid w:val="00F465C4"/>
    <w:rsid w:val="00F479CF"/>
    <w:rsid w:val="00F50414"/>
    <w:rsid w:val="00F50575"/>
    <w:rsid w:val="00F505AC"/>
    <w:rsid w:val="00F506E3"/>
    <w:rsid w:val="00F50B78"/>
    <w:rsid w:val="00F512AC"/>
    <w:rsid w:val="00F5218D"/>
    <w:rsid w:val="00F5258D"/>
    <w:rsid w:val="00F54F7B"/>
    <w:rsid w:val="00F55618"/>
    <w:rsid w:val="00F60C0E"/>
    <w:rsid w:val="00F617B8"/>
    <w:rsid w:val="00F61F3B"/>
    <w:rsid w:val="00F6244E"/>
    <w:rsid w:val="00F6522F"/>
    <w:rsid w:val="00F65E69"/>
    <w:rsid w:val="00F66BC2"/>
    <w:rsid w:val="00F67278"/>
    <w:rsid w:val="00F705EB"/>
    <w:rsid w:val="00F717A7"/>
    <w:rsid w:val="00F72D9A"/>
    <w:rsid w:val="00F73587"/>
    <w:rsid w:val="00F741D1"/>
    <w:rsid w:val="00F75A9A"/>
    <w:rsid w:val="00F76132"/>
    <w:rsid w:val="00F76CAE"/>
    <w:rsid w:val="00F770A9"/>
    <w:rsid w:val="00F7766B"/>
    <w:rsid w:val="00F80615"/>
    <w:rsid w:val="00F813ED"/>
    <w:rsid w:val="00F83E09"/>
    <w:rsid w:val="00F84552"/>
    <w:rsid w:val="00F8491F"/>
    <w:rsid w:val="00F9060B"/>
    <w:rsid w:val="00F90B56"/>
    <w:rsid w:val="00F93564"/>
    <w:rsid w:val="00F935CA"/>
    <w:rsid w:val="00F9413D"/>
    <w:rsid w:val="00F94377"/>
    <w:rsid w:val="00F95605"/>
    <w:rsid w:val="00F95688"/>
    <w:rsid w:val="00F95714"/>
    <w:rsid w:val="00F969D3"/>
    <w:rsid w:val="00FA0FE3"/>
    <w:rsid w:val="00FA14E4"/>
    <w:rsid w:val="00FA4798"/>
    <w:rsid w:val="00FA4F32"/>
    <w:rsid w:val="00FA5A73"/>
    <w:rsid w:val="00FB0230"/>
    <w:rsid w:val="00FB0BDF"/>
    <w:rsid w:val="00FB4E23"/>
    <w:rsid w:val="00FB4FED"/>
    <w:rsid w:val="00FB76EB"/>
    <w:rsid w:val="00FB7886"/>
    <w:rsid w:val="00FC0A5A"/>
    <w:rsid w:val="00FC0C2D"/>
    <w:rsid w:val="00FC0E1B"/>
    <w:rsid w:val="00FC0FE5"/>
    <w:rsid w:val="00FC2242"/>
    <w:rsid w:val="00FC2DBC"/>
    <w:rsid w:val="00FC6066"/>
    <w:rsid w:val="00FD1363"/>
    <w:rsid w:val="00FD1802"/>
    <w:rsid w:val="00FD2E43"/>
    <w:rsid w:val="00FD5BC3"/>
    <w:rsid w:val="00FD61B9"/>
    <w:rsid w:val="00FD690B"/>
    <w:rsid w:val="00FD6A08"/>
    <w:rsid w:val="00FD7530"/>
    <w:rsid w:val="00FD77CD"/>
    <w:rsid w:val="00FE136F"/>
    <w:rsid w:val="00FE1568"/>
    <w:rsid w:val="00FE2C62"/>
    <w:rsid w:val="00FE3BD8"/>
    <w:rsid w:val="00FE5E10"/>
    <w:rsid w:val="00FE76EE"/>
    <w:rsid w:val="00FE7DC7"/>
    <w:rsid w:val="00FF04CF"/>
    <w:rsid w:val="00FF16C6"/>
    <w:rsid w:val="00FF1CB2"/>
    <w:rsid w:val="00FF1EA1"/>
    <w:rsid w:val="00FF29EF"/>
    <w:rsid w:val="00FF2CFD"/>
    <w:rsid w:val="00FF2D56"/>
    <w:rsid w:val="00FF4BB8"/>
    <w:rsid w:val="00FF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6F6C18"/>
  <w15:docId w15:val="{ED19295A-8AD5-4F5B-B2B0-89610455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65E42"/>
    <w:rPr>
      <w:sz w:val="24"/>
      <w:szCs w:val="24"/>
    </w:rPr>
  </w:style>
  <w:style w:type="paragraph" w:styleId="Heading1">
    <w:name w:val="heading 1"/>
    <w:basedOn w:val="Normal"/>
    <w:next w:val="Normal"/>
    <w:qFormat/>
    <w:rsid w:val="00DE0949"/>
    <w:pPr>
      <w:keepNext/>
      <w:ind w:left="360"/>
      <w:outlineLvl w:val="0"/>
    </w:pPr>
    <w:rPr>
      <w:u w:val="words"/>
    </w:rPr>
  </w:style>
  <w:style w:type="paragraph" w:styleId="Heading2">
    <w:name w:val="heading 2"/>
    <w:basedOn w:val="Normal"/>
    <w:next w:val="Normal"/>
    <w:qFormat/>
    <w:rsid w:val="00DE0949"/>
    <w:pPr>
      <w:keepNext/>
      <w:outlineLvl w:val="1"/>
    </w:pPr>
    <w:rPr>
      <w:b/>
    </w:rPr>
  </w:style>
  <w:style w:type="paragraph" w:styleId="Heading6">
    <w:name w:val="heading 6"/>
    <w:basedOn w:val="Normal"/>
    <w:next w:val="Normal"/>
    <w:qFormat/>
    <w:rsid w:val="00DE0949"/>
    <w:pPr>
      <w:keepNext/>
      <w:ind w:left="720" w:right="-72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E0949"/>
    <w:pPr>
      <w:ind w:left="360"/>
    </w:pPr>
  </w:style>
  <w:style w:type="character" w:customStyle="1" w:styleId="emailstyle17">
    <w:name w:val="emailstyle17"/>
    <w:rsid w:val="00DE0949"/>
    <w:rPr>
      <w:rFonts w:ascii="Arial" w:hAnsi="Arial" w:cs="Arial" w:hint="default"/>
      <w:color w:val="auto"/>
    </w:rPr>
  </w:style>
  <w:style w:type="character" w:styleId="FollowedHyperlink">
    <w:name w:val="FollowedHyperlink"/>
    <w:rsid w:val="00DE0949"/>
    <w:rPr>
      <w:color w:val="800080"/>
      <w:u w:val="single"/>
    </w:rPr>
  </w:style>
  <w:style w:type="character" w:styleId="Hyperlink">
    <w:name w:val="Hyperlink"/>
    <w:uiPriority w:val="99"/>
    <w:rsid w:val="00DE0949"/>
    <w:rPr>
      <w:color w:val="0000FF"/>
      <w:u w:val="single"/>
    </w:rPr>
  </w:style>
  <w:style w:type="paragraph" w:styleId="BodyTextIndent3">
    <w:name w:val="Body Text Indent 3"/>
    <w:basedOn w:val="Normal"/>
    <w:rsid w:val="00DE0949"/>
    <w:pPr>
      <w:ind w:left="720"/>
    </w:pPr>
  </w:style>
  <w:style w:type="paragraph" w:styleId="BlockText">
    <w:name w:val="Block Text"/>
    <w:basedOn w:val="Normal"/>
    <w:rsid w:val="00DE0949"/>
    <w:pPr>
      <w:ind w:left="720" w:right="720"/>
    </w:pPr>
  </w:style>
  <w:style w:type="paragraph" w:styleId="Footer">
    <w:name w:val="footer"/>
    <w:basedOn w:val="Normal"/>
    <w:rsid w:val="00DE0949"/>
    <w:pPr>
      <w:tabs>
        <w:tab w:val="center" w:pos="4320"/>
        <w:tab w:val="right" w:pos="8640"/>
      </w:tabs>
    </w:pPr>
  </w:style>
  <w:style w:type="character" w:styleId="PageNumber">
    <w:name w:val="page number"/>
    <w:basedOn w:val="DefaultParagraphFont"/>
    <w:rsid w:val="00DE0949"/>
  </w:style>
  <w:style w:type="paragraph" w:styleId="BodyText">
    <w:name w:val="Body Text"/>
    <w:basedOn w:val="Normal"/>
    <w:rsid w:val="00DE0949"/>
    <w:pPr>
      <w:spacing w:line="480" w:lineRule="auto"/>
    </w:pPr>
    <w:rPr>
      <w:color w:val="000000"/>
    </w:rPr>
  </w:style>
  <w:style w:type="paragraph" w:styleId="HTMLPreformatted">
    <w:name w:val="HTML Preformatted"/>
    <w:basedOn w:val="Normal"/>
    <w:rsid w:val="00DE0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aketd">
    <w:name w:val="faketd"/>
    <w:basedOn w:val="DefaultParagraphFont"/>
    <w:rsid w:val="00DE0949"/>
  </w:style>
  <w:style w:type="paragraph" w:styleId="BalloonText">
    <w:name w:val="Balloon Text"/>
    <w:basedOn w:val="Normal"/>
    <w:semiHidden/>
    <w:rsid w:val="00B57CDB"/>
    <w:rPr>
      <w:rFonts w:ascii="Tahoma" w:hAnsi="Tahoma" w:cs="Tahoma"/>
      <w:sz w:val="16"/>
      <w:szCs w:val="16"/>
    </w:rPr>
  </w:style>
  <w:style w:type="character" w:styleId="CommentReference">
    <w:name w:val="annotation reference"/>
    <w:semiHidden/>
    <w:rsid w:val="00295A11"/>
    <w:rPr>
      <w:sz w:val="16"/>
      <w:szCs w:val="16"/>
    </w:rPr>
  </w:style>
  <w:style w:type="paragraph" w:styleId="CommentText">
    <w:name w:val="annotation text"/>
    <w:basedOn w:val="Normal"/>
    <w:semiHidden/>
    <w:rsid w:val="00295A11"/>
    <w:rPr>
      <w:sz w:val="20"/>
      <w:szCs w:val="20"/>
    </w:rPr>
  </w:style>
  <w:style w:type="paragraph" w:styleId="CommentSubject">
    <w:name w:val="annotation subject"/>
    <w:basedOn w:val="CommentText"/>
    <w:next w:val="CommentText"/>
    <w:semiHidden/>
    <w:rsid w:val="00295A11"/>
    <w:rPr>
      <w:b/>
      <w:bCs/>
    </w:rPr>
  </w:style>
  <w:style w:type="table" w:styleId="TableGrid">
    <w:name w:val="Table Grid"/>
    <w:basedOn w:val="TableNormal"/>
    <w:rsid w:val="00D47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155B9"/>
    <w:pPr>
      <w:shd w:val="clear" w:color="auto" w:fill="000080"/>
    </w:pPr>
    <w:rPr>
      <w:rFonts w:ascii="Tahoma" w:hAnsi="Tahoma" w:cs="Tahoma"/>
      <w:sz w:val="20"/>
      <w:szCs w:val="20"/>
    </w:rPr>
  </w:style>
  <w:style w:type="paragraph" w:styleId="TOC1">
    <w:name w:val="toc 1"/>
    <w:autoRedefine/>
    <w:uiPriority w:val="39"/>
    <w:rsid w:val="00CE149F"/>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uiPriority w:val="39"/>
    <w:rsid w:val="00CE149F"/>
    <w:pPr>
      <w:tabs>
        <w:tab w:val="left" w:pos="720"/>
        <w:tab w:val="right" w:leader="dot" w:pos="9494"/>
      </w:tabs>
      <w:spacing w:before="120" w:after="120" w:line="240" w:lineRule="atLeast"/>
      <w:ind w:left="720" w:hanging="720"/>
    </w:pPr>
    <w:rPr>
      <w:smallCaps/>
    </w:rPr>
  </w:style>
  <w:style w:type="paragraph" w:customStyle="1" w:styleId="ColorfulList-Accent11">
    <w:name w:val="Colorful List - Accent 11"/>
    <w:basedOn w:val="Normal"/>
    <w:uiPriority w:val="34"/>
    <w:qFormat/>
    <w:rsid w:val="0077128E"/>
    <w:pPr>
      <w:ind w:left="720"/>
    </w:pPr>
  </w:style>
  <w:style w:type="paragraph" w:styleId="NormalWeb">
    <w:name w:val="Normal (Web)"/>
    <w:basedOn w:val="Normal"/>
    <w:uiPriority w:val="99"/>
    <w:unhideWhenUsed/>
    <w:rsid w:val="00957F2C"/>
    <w:pPr>
      <w:spacing w:before="100" w:beforeAutospacing="1" w:after="100" w:afterAutospacing="1"/>
    </w:pPr>
    <w:rPr>
      <w:rFonts w:eastAsia="Calibri"/>
    </w:rPr>
  </w:style>
  <w:style w:type="paragraph" w:customStyle="1" w:styleId="regulartext">
    <w:name w:val="regulartext"/>
    <w:basedOn w:val="Normal"/>
    <w:uiPriority w:val="99"/>
    <w:rsid w:val="00774208"/>
    <w:pPr>
      <w:spacing w:before="100" w:beforeAutospacing="1" w:after="100" w:afterAutospacing="1"/>
    </w:pPr>
    <w:rPr>
      <w:rFonts w:ascii="Arial" w:eastAsia="Calibri" w:hAnsi="Arial" w:cs="Arial"/>
      <w:color w:val="000000"/>
    </w:rPr>
  </w:style>
  <w:style w:type="character" w:styleId="Strong">
    <w:name w:val="Strong"/>
    <w:uiPriority w:val="22"/>
    <w:qFormat/>
    <w:rsid w:val="00F813ED"/>
    <w:rPr>
      <w:b/>
      <w:bCs/>
    </w:rPr>
  </w:style>
  <w:style w:type="character" w:customStyle="1" w:styleId="regulartextbold1">
    <w:name w:val="regulartextbold1"/>
    <w:rsid w:val="002D39BC"/>
    <w:rPr>
      <w:rFonts w:ascii="Arial" w:hAnsi="Arial" w:cs="Arial" w:hint="default"/>
      <w:b/>
      <w:bCs/>
      <w:color w:val="000000"/>
      <w:sz w:val="24"/>
      <w:szCs w:val="24"/>
    </w:rPr>
  </w:style>
  <w:style w:type="character" w:customStyle="1" w:styleId="title1">
    <w:name w:val="title1"/>
    <w:rsid w:val="00665478"/>
    <w:rPr>
      <w:b/>
      <w:bCs/>
      <w:color w:val="993366"/>
      <w:sz w:val="38"/>
      <w:szCs w:val="38"/>
    </w:rPr>
  </w:style>
  <w:style w:type="character" w:customStyle="1" w:styleId="heading31">
    <w:name w:val="heading31"/>
    <w:rsid w:val="005657C6"/>
    <w:rPr>
      <w:rFonts w:ascii="Verdana" w:hAnsi="Verdana" w:hint="default"/>
      <w:b/>
      <w:bCs/>
      <w:sz w:val="32"/>
      <w:szCs w:val="32"/>
    </w:rPr>
  </w:style>
  <w:style w:type="paragraph" w:customStyle="1" w:styleId="ColorfulShading-Accent11">
    <w:name w:val="Colorful Shading - Accent 11"/>
    <w:hidden/>
    <w:uiPriority w:val="99"/>
    <w:semiHidden/>
    <w:rsid w:val="007D0226"/>
    <w:rPr>
      <w:sz w:val="24"/>
      <w:szCs w:val="24"/>
    </w:rPr>
  </w:style>
  <w:style w:type="paragraph" w:styleId="ListParagraph">
    <w:name w:val="List Paragraph"/>
    <w:basedOn w:val="Normal"/>
    <w:uiPriority w:val="34"/>
    <w:qFormat/>
    <w:rsid w:val="0078602C"/>
    <w:pPr>
      <w:ind w:left="720"/>
    </w:pPr>
  </w:style>
  <w:style w:type="paragraph" w:styleId="Header">
    <w:name w:val="header"/>
    <w:basedOn w:val="Normal"/>
    <w:link w:val="HeaderChar"/>
    <w:rsid w:val="00B430D9"/>
    <w:pPr>
      <w:tabs>
        <w:tab w:val="center" w:pos="4680"/>
        <w:tab w:val="right" w:pos="9360"/>
      </w:tabs>
    </w:pPr>
  </w:style>
  <w:style w:type="character" w:customStyle="1" w:styleId="HeaderChar">
    <w:name w:val="Header Char"/>
    <w:basedOn w:val="DefaultParagraphFont"/>
    <w:link w:val="Header"/>
    <w:rsid w:val="00B430D9"/>
    <w:rPr>
      <w:sz w:val="24"/>
      <w:szCs w:val="24"/>
    </w:rPr>
  </w:style>
  <w:style w:type="paragraph" w:customStyle="1" w:styleId="P1-StandPara">
    <w:name w:val="P1-Stand Para"/>
    <w:rsid w:val="00397080"/>
    <w:pPr>
      <w:spacing w:line="480" w:lineRule="auto"/>
      <w:ind w:firstLine="720"/>
    </w:pPr>
    <w:rPr>
      <w:sz w:val="22"/>
    </w:rPr>
  </w:style>
  <w:style w:type="paragraph" w:styleId="Revision">
    <w:name w:val="Revision"/>
    <w:hidden/>
    <w:uiPriority w:val="99"/>
    <w:semiHidden/>
    <w:rsid w:val="003C23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6771">
      <w:bodyDiv w:val="1"/>
      <w:marLeft w:val="0"/>
      <w:marRight w:val="0"/>
      <w:marTop w:val="0"/>
      <w:marBottom w:val="0"/>
      <w:divBdr>
        <w:top w:val="none" w:sz="0" w:space="0" w:color="auto"/>
        <w:left w:val="none" w:sz="0" w:space="0" w:color="auto"/>
        <w:bottom w:val="none" w:sz="0" w:space="0" w:color="auto"/>
        <w:right w:val="none" w:sz="0" w:space="0" w:color="auto"/>
      </w:divBdr>
    </w:div>
    <w:div w:id="75055639">
      <w:bodyDiv w:val="1"/>
      <w:marLeft w:val="0"/>
      <w:marRight w:val="0"/>
      <w:marTop w:val="0"/>
      <w:marBottom w:val="0"/>
      <w:divBdr>
        <w:top w:val="none" w:sz="0" w:space="0" w:color="auto"/>
        <w:left w:val="none" w:sz="0" w:space="0" w:color="auto"/>
        <w:bottom w:val="none" w:sz="0" w:space="0" w:color="auto"/>
        <w:right w:val="none" w:sz="0" w:space="0" w:color="auto"/>
      </w:divBdr>
    </w:div>
    <w:div w:id="130293258">
      <w:bodyDiv w:val="1"/>
      <w:marLeft w:val="0"/>
      <w:marRight w:val="0"/>
      <w:marTop w:val="0"/>
      <w:marBottom w:val="0"/>
      <w:divBdr>
        <w:top w:val="none" w:sz="0" w:space="0" w:color="auto"/>
        <w:left w:val="none" w:sz="0" w:space="0" w:color="auto"/>
        <w:bottom w:val="none" w:sz="0" w:space="0" w:color="auto"/>
        <w:right w:val="none" w:sz="0" w:space="0" w:color="auto"/>
      </w:divBdr>
    </w:div>
    <w:div w:id="182328048">
      <w:bodyDiv w:val="1"/>
      <w:marLeft w:val="0"/>
      <w:marRight w:val="0"/>
      <w:marTop w:val="0"/>
      <w:marBottom w:val="0"/>
      <w:divBdr>
        <w:top w:val="none" w:sz="0" w:space="0" w:color="auto"/>
        <w:left w:val="none" w:sz="0" w:space="0" w:color="auto"/>
        <w:bottom w:val="none" w:sz="0" w:space="0" w:color="auto"/>
        <w:right w:val="none" w:sz="0" w:space="0" w:color="auto"/>
      </w:divBdr>
    </w:div>
    <w:div w:id="197789928">
      <w:bodyDiv w:val="1"/>
      <w:marLeft w:val="0"/>
      <w:marRight w:val="0"/>
      <w:marTop w:val="0"/>
      <w:marBottom w:val="0"/>
      <w:divBdr>
        <w:top w:val="none" w:sz="0" w:space="0" w:color="auto"/>
        <w:left w:val="none" w:sz="0" w:space="0" w:color="auto"/>
        <w:bottom w:val="none" w:sz="0" w:space="0" w:color="auto"/>
        <w:right w:val="none" w:sz="0" w:space="0" w:color="auto"/>
      </w:divBdr>
    </w:div>
    <w:div w:id="210120835">
      <w:bodyDiv w:val="1"/>
      <w:marLeft w:val="0"/>
      <w:marRight w:val="0"/>
      <w:marTop w:val="0"/>
      <w:marBottom w:val="0"/>
      <w:divBdr>
        <w:top w:val="none" w:sz="0" w:space="0" w:color="auto"/>
        <w:left w:val="none" w:sz="0" w:space="0" w:color="auto"/>
        <w:bottom w:val="none" w:sz="0" w:space="0" w:color="auto"/>
        <w:right w:val="none" w:sz="0" w:space="0" w:color="auto"/>
      </w:divBdr>
      <w:divsChild>
        <w:div w:id="266737683">
          <w:marLeft w:val="547"/>
          <w:marRight w:val="0"/>
          <w:marTop w:val="134"/>
          <w:marBottom w:val="0"/>
          <w:divBdr>
            <w:top w:val="none" w:sz="0" w:space="0" w:color="auto"/>
            <w:left w:val="none" w:sz="0" w:space="0" w:color="auto"/>
            <w:bottom w:val="none" w:sz="0" w:space="0" w:color="auto"/>
            <w:right w:val="none" w:sz="0" w:space="0" w:color="auto"/>
          </w:divBdr>
        </w:div>
        <w:div w:id="517741892">
          <w:marLeft w:val="547"/>
          <w:marRight w:val="0"/>
          <w:marTop w:val="134"/>
          <w:marBottom w:val="0"/>
          <w:divBdr>
            <w:top w:val="none" w:sz="0" w:space="0" w:color="auto"/>
            <w:left w:val="none" w:sz="0" w:space="0" w:color="auto"/>
            <w:bottom w:val="none" w:sz="0" w:space="0" w:color="auto"/>
            <w:right w:val="none" w:sz="0" w:space="0" w:color="auto"/>
          </w:divBdr>
        </w:div>
        <w:div w:id="1030187709">
          <w:marLeft w:val="547"/>
          <w:marRight w:val="0"/>
          <w:marTop w:val="134"/>
          <w:marBottom w:val="0"/>
          <w:divBdr>
            <w:top w:val="none" w:sz="0" w:space="0" w:color="auto"/>
            <w:left w:val="none" w:sz="0" w:space="0" w:color="auto"/>
            <w:bottom w:val="none" w:sz="0" w:space="0" w:color="auto"/>
            <w:right w:val="none" w:sz="0" w:space="0" w:color="auto"/>
          </w:divBdr>
        </w:div>
      </w:divsChild>
    </w:div>
    <w:div w:id="263000061">
      <w:bodyDiv w:val="1"/>
      <w:marLeft w:val="0"/>
      <w:marRight w:val="0"/>
      <w:marTop w:val="0"/>
      <w:marBottom w:val="0"/>
      <w:divBdr>
        <w:top w:val="none" w:sz="0" w:space="0" w:color="auto"/>
        <w:left w:val="none" w:sz="0" w:space="0" w:color="auto"/>
        <w:bottom w:val="none" w:sz="0" w:space="0" w:color="auto"/>
        <w:right w:val="none" w:sz="0" w:space="0" w:color="auto"/>
      </w:divBdr>
    </w:div>
    <w:div w:id="338429349">
      <w:bodyDiv w:val="1"/>
      <w:marLeft w:val="0"/>
      <w:marRight w:val="0"/>
      <w:marTop w:val="0"/>
      <w:marBottom w:val="0"/>
      <w:divBdr>
        <w:top w:val="none" w:sz="0" w:space="0" w:color="auto"/>
        <w:left w:val="none" w:sz="0" w:space="0" w:color="auto"/>
        <w:bottom w:val="none" w:sz="0" w:space="0" w:color="auto"/>
        <w:right w:val="none" w:sz="0" w:space="0" w:color="auto"/>
      </w:divBdr>
    </w:div>
    <w:div w:id="415637500">
      <w:bodyDiv w:val="1"/>
      <w:marLeft w:val="0"/>
      <w:marRight w:val="0"/>
      <w:marTop w:val="0"/>
      <w:marBottom w:val="0"/>
      <w:divBdr>
        <w:top w:val="none" w:sz="0" w:space="0" w:color="auto"/>
        <w:left w:val="none" w:sz="0" w:space="0" w:color="auto"/>
        <w:bottom w:val="none" w:sz="0" w:space="0" w:color="auto"/>
        <w:right w:val="none" w:sz="0" w:space="0" w:color="auto"/>
      </w:divBdr>
    </w:div>
    <w:div w:id="551039902">
      <w:bodyDiv w:val="1"/>
      <w:marLeft w:val="0"/>
      <w:marRight w:val="0"/>
      <w:marTop w:val="0"/>
      <w:marBottom w:val="0"/>
      <w:divBdr>
        <w:top w:val="none" w:sz="0" w:space="0" w:color="auto"/>
        <w:left w:val="none" w:sz="0" w:space="0" w:color="auto"/>
        <w:bottom w:val="none" w:sz="0" w:space="0" w:color="auto"/>
        <w:right w:val="none" w:sz="0" w:space="0" w:color="auto"/>
      </w:divBdr>
    </w:div>
    <w:div w:id="554782270">
      <w:bodyDiv w:val="1"/>
      <w:marLeft w:val="0"/>
      <w:marRight w:val="0"/>
      <w:marTop w:val="0"/>
      <w:marBottom w:val="0"/>
      <w:divBdr>
        <w:top w:val="none" w:sz="0" w:space="0" w:color="auto"/>
        <w:left w:val="none" w:sz="0" w:space="0" w:color="auto"/>
        <w:bottom w:val="none" w:sz="0" w:space="0" w:color="auto"/>
        <w:right w:val="none" w:sz="0" w:space="0" w:color="auto"/>
      </w:divBdr>
    </w:div>
    <w:div w:id="573659400">
      <w:bodyDiv w:val="1"/>
      <w:marLeft w:val="0"/>
      <w:marRight w:val="0"/>
      <w:marTop w:val="0"/>
      <w:marBottom w:val="0"/>
      <w:divBdr>
        <w:top w:val="none" w:sz="0" w:space="0" w:color="auto"/>
        <w:left w:val="none" w:sz="0" w:space="0" w:color="auto"/>
        <w:bottom w:val="none" w:sz="0" w:space="0" w:color="auto"/>
        <w:right w:val="none" w:sz="0" w:space="0" w:color="auto"/>
      </w:divBdr>
    </w:div>
    <w:div w:id="725882299">
      <w:bodyDiv w:val="1"/>
      <w:marLeft w:val="0"/>
      <w:marRight w:val="0"/>
      <w:marTop w:val="0"/>
      <w:marBottom w:val="0"/>
      <w:divBdr>
        <w:top w:val="none" w:sz="0" w:space="0" w:color="auto"/>
        <w:left w:val="none" w:sz="0" w:space="0" w:color="auto"/>
        <w:bottom w:val="none" w:sz="0" w:space="0" w:color="auto"/>
        <w:right w:val="none" w:sz="0" w:space="0" w:color="auto"/>
      </w:divBdr>
    </w:div>
    <w:div w:id="733358306">
      <w:bodyDiv w:val="1"/>
      <w:marLeft w:val="0"/>
      <w:marRight w:val="0"/>
      <w:marTop w:val="0"/>
      <w:marBottom w:val="0"/>
      <w:divBdr>
        <w:top w:val="none" w:sz="0" w:space="0" w:color="auto"/>
        <w:left w:val="none" w:sz="0" w:space="0" w:color="auto"/>
        <w:bottom w:val="none" w:sz="0" w:space="0" w:color="auto"/>
        <w:right w:val="none" w:sz="0" w:space="0" w:color="auto"/>
      </w:divBdr>
      <w:divsChild>
        <w:div w:id="692144928">
          <w:marLeft w:val="720"/>
          <w:marRight w:val="720"/>
          <w:marTop w:val="0"/>
          <w:marBottom w:val="720"/>
          <w:divBdr>
            <w:top w:val="none" w:sz="0" w:space="0" w:color="auto"/>
            <w:left w:val="none" w:sz="0" w:space="0" w:color="auto"/>
            <w:bottom w:val="none" w:sz="0" w:space="0" w:color="auto"/>
            <w:right w:val="none" w:sz="0" w:space="0" w:color="auto"/>
          </w:divBdr>
        </w:div>
      </w:divsChild>
    </w:div>
    <w:div w:id="873346979">
      <w:bodyDiv w:val="1"/>
      <w:marLeft w:val="0"/>
      <w:marRight w:val="0"/>
      <w:marTop w:val="0"/>
      <w:marBottom w:val="0"/>
      <w:divBdr>
        <w:top w:val="none" w:sz="0" w:space="0" w:color="auto"/>
        <w:left w:val="none" w:sz="0" w:space="0" w:color="auto"/>
        <w:bottom w:val="none" w:sz="0" w:space="0" w:color="auto"/>
        <w:right w:val="none" w:sz="0" w:space="0" w:color="auto"/>
      </w:divBdr>
    </w:div>
    <w:div w:id="890389418">
      <w:bodyDiv w:val="1"/>
      <w:marLeft w:val="0"/>
      <w:marRight w:val="0"/>
      <w:marTop w:val="0"/>
      <w:marBottom w:val="0"/>
      <w:divBdr>
        <w:top w:val="none" w:sz="0" w:space="0" w:color="auto"/>
        <w:left w:val="none" w:sz="0" w:space="0" w:color="auto"/>
        <w:bottom w:val="none" w:sz="0" w:space="0" w:color="auto"/>
        <w:right w:val="none" w:sz="0" w:space="0" w:color="auto"/>
      </w:divBdr>
    </w:div>
    <w:div w:id="1004168302">
      <w:bodyDiv w:val="1"/>
      <w:marLeft w:val="0"/>
      <w:marRight w:val="0"/>
      <w:marTop w:val="0"/>
      <w:marBottom w:val="0"/>
      <w:divBdr>
        <w:top w:val="none" w:sz="0" w:space="0" w:color="auto"/>
        <w:left w:val="none" w:sz="0" w:space="0" w:color="auto"/>
        <w:bottom w:val="none" w:sz="0" w:space="0" w:color="auto"/>
        <w:right w:val="none" w:sz="0" w:space="0" w:color="auto"/>
      </w:divBdr>
      <w:divsChild>
        <w:div w:id="1940674694">
          <w:marLeft w:val="720"/>
          <w:marRight w:val="720"/>
          <w:marTop w:val="0"/>
          <w:marBottom w:val="720"/>
          <w:divBdr>
            <w:top w:val="none" w:sz="0" w:space="0" w:color="auto"/>
            <w:left w:val="none" w:sz="0" w:space="0" w:color="auto"/>
            <w:bottom w:val="none" w:sz="0" w:space="0" w:color="auto"/>
            <w:right w:val="none" w:sz="0" w:space="0" w:color="auto"/>
          </w:divBdr>
        </w:div>
      </w:divsChild>
    </w:div>
    <w:div w:id="1013150886">
      <w:bodyDiv w:val="1"/>
      <w:marLeft w:val="0"/>
      <w:marRight w:val="0"/>
      <w:marTop w:val="0"/>
      <w:marBottom w:val="0"/>
      <w:divBdr>
        <w:top w:val="none" w:sz="0" w:space="0" w:color="auto"/>
        <w:left w:val="none" w:sz="0" w:space="0" w:color="auto"/>
        <w:bottom w:val="none" w:sz="0" w:space="0" w:color="auto"/>
        <w:right w:val="none" w:sz="0" w:space="0" w:color="auto"/>
      </w:divBdr>
      <w:divsChild>
        <w:div w:id="2049065436">
          <w:marLeft w:val="720"/>
          <w:marRight w:val="720"/>
          <w:marTop w:val="0"/>
          <w:marBottom w:val="720"/>
          <w:divBdr>
            <w:top w:val="none" w:sz="0" w:space="0" w:color="auto"/>
            <w:left w:val="none" w:sz="0" w:space="0" w:color="auto"/>
            <w:bottom w:val="none" w:sz="0" w:space="0" w:color="auto"/>
            <w:right w:val="none" w:sz="0" w:space="0" w:color="auto"/>
          </w:divBdr>
        </w:div>
      </w:divsChild>
    </w:div>
    <w:div w:id="1054698839">
      <w:bodyDiv w:val="1"/>
      <w:marLeft w:val="0"/>
      <w:marRight w:val="0"/>
      <w:marTop w:val="0"/>
      <w:marBottom w:val="0"/>
      <w:divBdr>
        <w:top w:val="none" w:sz="0" w:space="0" w:color="auto"/>
        <w:left w:val="none" w:sz="0" w:space="0" w:color="auto"/>
        <w:bottom w:val="none" w:sz="0" w:space="0" w:color="auto"/>
        <w:right w:val="none" w:sz="0" w:space="0" w:color="auto"/>
      </w:divBdr>
    </w:div>
    <w:div w:id="1066687117">
      <w:bodyDiv w:val="1"/>
      <w:marLeft w:val="0"/>
      <w:marRight w:val="0"/>
      <w:marTop w:val="0"/>
      <w:marBottom w:val="0"/>
      <w:divBdr>
        <w:top w:val="none" w:sz="0" w:space="0" w:color="auto"/>
        <w:left w:val="none" w:sz="0" w:space="0" w:color="auto"/>
        <w:bottom w:val="none" w:sz="0" w:space="0" w:color="auto"/>
        <w:right w:val="none" w:sz="0" w:space="0" w:color="auto"/>
      </w:divBdr>
    </w:div>
    <w:div w:id="1076249468">
      <w:bodyDiv w:val="1"/>
      <w:marLeft w:val="0"/>
      <w:marRight w:val="0"/>
      <w:marTop w:val="0"/>
      <w:marBottom w:val="0"/>
      <w:divBdr>
        <w:top w:val="none" w:sz="0" w:space="0" w:color="auto"/>
        <w:left w:val="none" w:sz="0" w:space="0" w:color="auto"/>
        <w:bottom w:val="none" w:sz="0" w:space="0" w:color="auto"/>
        <w:right w:val="none" w:sz="0" w:space="0" w:color="auto"/>
      </w:divBdr>
    </w:div>
    <w:div w:id="1100178662">
      <w:bodyDiv w:val="1"/>
      <w:marLeft w:val="0"/>
      <w:marRight w:val="0"/>
      <w:marTop w:val="0"/>
      <w:marBottom w:val="0"/>
      <w:divBdr>
        <w:top w:val="none" w:sz="0" w:space="0" w:color="auto"/>
        <w:left w:val="none" w:sz="0" w:space="0" w:color="auto"/>
        <w:bottom w:val="none" w:sz="0" w:space="0" w:color="auto"/>
        <w:right w:val="none" w:sz="0" w:space="0" w:color="auto"/>
      </w:divBdr>
    </w:div>
    <w:div w:id="1176770807">
      <w:bodyDiv w:val="1"/>
      <w:marLeft w:val="0"/>
      <w:marRight w:val="0"/>
      <w:marTop w:val="0"/>
      <w:marBottom w:val="0"/>
      <w:divBdr>
        <w:top w:val="none" w:sz="0" w:space="0" w:color="auto"/>
        <w:left w:val="none" w:sz="0" w:space="0" w:color="auto"/>
        <w:bottom w:val="none" w:sz="0" w:space="0" w:color="auto"/>
        <w:right w:val="none" w:sz="0" w:space="0" w:color="auto"/>
      </w:divBdr>
    </w:div>
    <w:div w:id="1191534922">
      <w:bodyDiv w:val="1"/>
      <w:marLeft w:val="0"/>
      <w:marRight w:val="0"/>
      <w:marTop w:val="0"/>
      <w:marBottom w:val="0"/>
      <w:divBdr>
        <w:top w:val="none" w:sz="0" w:space="0" w:color="auto"/>
        <w:left w:val="none" w:sz="0" w:space="0" w:color="auto"/>
        <w:bottom w:val="none" w:sz="0" w:space="0" w:color="auto"/>
        <w:right w:val="none" w:sz="0" w:space="0" w:color="auto"/>
      </w:divBdr>
      <w:divsChild>
        <w:div w:id="793526548">
          <w:marLeft w:val="720"/>
          <w:marRight w:val="720"/>
          <w:marTop w:val="0"/>
          <w:marBottom w:val="720"/>
          <w:divBdr>
            <w:top w:val="none" w:sz="0" w:space="0" w:color="auto"/>
            <w:left w:val="none" w:sz="0" w:space="0" w:color="auto"/>
            <w:bottom w:val="none" w:sz="0" w:space="0" w:color="auto"/>
            <w:right w:val="none" w:sz="0" w:space="0" w:color="auto"/>
          </w:divBdr>
        </w:div>
      </w:divsChild>
    </w:div>
    <w:div w:id="1211307949">
      <w:bodyDiv w:val="1"/>
      <w:marLeft w:val="0"/>
      <w:marRight w:val="0"/>
      <w:marTop w:val="0"/>
      <w:marBottom w:val="0"/>
      <w:divBdr>
        <w:top w:val="none" w:sz="0" w:space="0" w:color="auto"/>
        <w:left w:val="none" w:sz="0" w:space="0" w:color="auto"/>
        <w:bottom w:val="none" w:sz="0" w:space="0" w:color="auto"/>
        <w:right w:val="none" w:sz="0" w:space="0" w:color="auto"/>
      </w:divBdr>
    </w:div>
    <w:div w:id="1254432854">
      <w:bodyDiv w:val="1"/>
      <w:marLeft w:val="0"/>
      <w:marRight w:val="0"/>
      <w:marTop w:val="0"/>
      <w:marBottom w:val="0"/>
      <w:divBdr>
        <w:top w:val="none" w:sz="0" w:space="0" w:color="auto"/>
        <w:left w:val="none" w:sz="0" w:space="0" w:color="auto"/>
        <w:bottom w:val="none" w:sz="0" w:space="0" w:color="auto"/>
        <w:right w:val="none" w:sz="0" w:space="0" w:color="auto"/>
      </w:divBdr>
      <w:divsChild>
        <w:div w:id="1358044981">
          <w:marLeft w:val="720"/>
          <w:marRight w:val="720"/>
          <w:marTop w:val="0"/>
          <w:marBottom w:val="720"/>
          <w:divBdr>
            <w:top w:val="none" w:sz="0" w:space="0" w:color="auto"/>
            <w:left w:val="none" w:sz="0" w:space="0" w:color="auto"/>
            <w:bottom w:val="none" w:sz="0" w:space="0" w:color="auto"/>
            <w:right w:val="none" w:sz="0" w:space="0" w:color="auto"/>
          </w:divBdr>
        </w:div>
      </w:divsChild>
    </w:div>
    <w:div w:id="1336224670">
      <w:bodyDiv w:val="1"/>
      <w:marLeft w:val="0"/>
      <w:marRight w:val="0"/>
      <w:marTop w:val="0"/>
      <w:marBottom w:val="0"/>
      <w:divBdr>
        <w:top w:val="none" w:sz="0" w:space="0" w:color="auto"/>
        <w:left w:val="none" w:sz="0" w:space="0" w:color="auto"/>
        <w:bottom w:val="none" w:sz="0" w:space="0" w:color="auto"/>
        <w:right w:val="none" w:sz="0" w:space="0" w:color="auto"/>
      </w:divBdr>
    </w:div>
    <w:div w:id="1348023111">
      <w:bodyDiv w:val="1"/>
      <w:marLeft w:val="0"/>
      <w:marRight w:val="0"/>
      <w:marTop w:val="0"/>
      <w:marBottom w:val="0"/>
      <w:divBdr>
        <w:top w:val="none" w:sz="0" w:space="0" w:color="auto"/>
        <w:left w:val="none" w:sz="0" w:space="0" w:color="auto"/>
        <w:bottom w:val="none" w:sz="0" w:space="0" w:color="auto"/>
        <w:right w:val="none" w:sz="0" w:space="0" w:color="auto"/>
      </w:divBdr>
    </w:div>
    <w:div w:id="1362129572">
      <w:bodyDiv w:val="1"/>
      <w:marLeft w:val="0"/>
      <w:marRight w:val="0"/>
      <w:marTop w:val="0"/>
      <w:marBottom w:val="0"/>
      <w:divBdr>
        <w:top w:val="none" w:sz="0" w:space="0" w:color="auto"/>
        <w:left w:val="none" w:sz="0" w:space="0" w:color="auto"/>
        <w:bottom w:val="none" w:sz="0" w:space="0" w:color="auto"/>
        <w:right w:val="none" w:sz="0" w:space="0" w:color="auto"/>
      </w:divBdr>
    </w:div>
    <w:div w:id="1385175789">
      <w:bodyDiv w:val="1"/>
      <w:marLeft w:val="0"/>
      <w:marRight w:val="0"/>
      <w:marTop w:val="0"/>
      <w:marBottom w:val="0"/>
      <w:divBdr>
        <w:top w:val="none" w:sz="0" w:space="0" w:color="auto"/>
        <w:left w:val="none" w:sz="0" w:space="0" w:color="auto"/>
        <w:bottom w:val="none" w:sz="0" w:space="0" w:color="auto"/>
        <w:right w:val="none" w:sz="0" w:space="0" w:color="auto"/>
      </w:divBdr>
    </w:div>
    <w:div w:id="1387224440">
      <w:bodyDiv w:val="1"/>
      <w:marLeft w:val="750"/>
      <w:marRight w:val="750"/>
      <w:marTop w:val="0"/>
      <w:marBottom w:val="0"/>
      <w:divBdr>
        <w:top w:val="none" w:sz="0" w:space="0" w:color="auto"/>
        <w:left w:val="none" w:sz="0" w:space="0" w:color="auto"/>
        <w:bottom w:val="none" w:sz="0" w:space="0" w:color="auto"/>
        <w:right w:val="none" w:sz="0" w:space="0" w:color="auto"/>
      </w:divBdr>
    </w:div>
    <w:div w:id="1490752666">
      <w:bodyDiv w:val="1"/>
      <w:marLeft w:val="0"/>
      <w:marRight w:val="0"/>
      <w:marTop w:val="0"/>
      <w:marBottom w:val="0"/>
      <w:divBdr>
        <w:top w:val="none" w:sz="0" w:space="0" w:color="auto"/>
        <w:left w:val="none" w:sz="0" w:space="0" w:color="auto"/>
        <w:bottom w:val="none" w:sz="0" w:space="0" w:color="auto"/>
        <w:right w:val="none" w:sz="0" w:space="0" w:color="auto"/>
      </w:divBdr>
    </w:div>
    <w:div w:id="1496384787">
      <w:bodyDiv w:val="1"/>
      <w:marLeft w:val="0"/>
      <w:marRight w:val="0"/>
      <w:marTop w:val="0"/>
      <w:marBottom w:val="0"/>
      <w:divBdr>
        <w:top w:val="none" w:sz="0" w:space="0" w:color="auto"/>
        <w:left w:val="none" w:sz="0" w:space="0" w:color="auto"/>
        <w:bottom w:val="none" w:sz="0" w:space="0" w:color="auto"/>
        <w:right w:val="none" w:sz="0" w:space="0" w:color="auto"/>
      </w:divBdr>
    </w:div>
    <w:div w:id="1507943575">
      <w:bodyDiv w:val="1"/>
      <w:marLeft w:val="0"/>
      <w:marRight w:val="0"/>
      <w:marTop w:val="0"/>
      <w:marBottom w:val="0"/>
      <w:divBdr>
        <w:top w:val="none" w:sz="0" w:space="0" w:color="auto"/>
        <w:left w:val="none" w:sz="0" w:space="0" w:color="auto"/>
        <w:bottom w:val="none" w:sz="0" w:space="0" w:color="auto"/>
        <w:right w:val="none" w:sz="0" w:space="0" w:color="auto"/>
      </w:divBdr>
    </w:div>
    <w:div w:id="1511481310">
      <w:bodyDiv w:val="1"/>
      <w:marLeft w:val="0"/>
      <w:marRight w:val="0"/>
      <w:marTop w:val="0"/>
      <w:marBottom w:val="0"/>
      <w:divBdr>
        <w:top w:val="none" w:sz="0" w:space="0" w:color="auto"/>
        <w:left w:val="none" w:sz="0" w:space="0" w:color="auto"/>
        <w:bottom w:val="none" w:sz="0" w:space="0" w:color="auto"/>
        <w:right w:val="none" w:sz="0" w:space="0" w:color="auto"/>
      </w:divBdr>
    </w:div>
    <w:div w:id="1522816210">
      <w:bodyDiv w:val="1"/>
      <w:marLeft w:val="0"/>
      <w:marRight w:val="0"/>
      <w:marTop w:val="0"/>
      <w:marBottom w:val="0"/>
      <w:divBdr>
        <w:top w:val="none" w:sz="0" w:space="0" w:color="auto"/>
        <w:left w:val="none" w:sz="0" w:space="0" w:color="auto"/>
        <w:bottom w:val="none" w:sz="0" w:space="0" w:color="auto"/>
        <w:right w:val="none" w:sz="0" w:space="0" w:color="auto"/>
      </w:divBdr>
      <w:divsChild>
        <w:div w:id="637150700">
          <w:marLeft w:val="720"/>
          <w:marRight w:val="720"/>
          <w:marTop w:val="0"/>
          <w:marBottom w:val="720"/>
          <w:divBdr>
            <w:top w:val="none" w:sz="0" w:space="0" w:color="auto"/>
            <w:left w:val="none" w:sz="0" w:space="0" w:color="auto"/>
            <w:bottom w:val="none" w:sz="0" w:space="0" w:color="auto"/>
            <w:right w:val="none" w:sz="0" w:space="0" w:color="auto"/>
          </w:divBdr>
        </w:div>
      </w:divsChild>
    </w:div>
    <w:div w:id="1582449639">
      <w:bodyDiv w:val="1"/>
      <w:marLeft w:val="0"/>
      <w:marRight w:val="0"/>
      <w:marTop w:val="0"/>
      <w:marBottom w:val="0"/>
      <w:divBdr>
        <w:top w:val="none" w:sz="0" w:space="0" w:color="auto"/>
        <w:left w:val="none" w:sz="0" w:space="0" w:color="auto"/>
        <w:bottom w:val="none" w:sz="0" w:space="0" w:color="auto"/>
        <w:right w:val="none" w:sz="0" w:space="0" w:color="auto"/>
      </w:divBdr>
    </w:div>
    <w:div w:id="1708485043">
      <w:bodyDiv w:val="1"/>
      <w:marLeft w:val="0"/>
      <w:marRight w:val="0"/>
      <w:marTop w:val="0"/>
      <w:marBottom w:val="0"/>
      <w:divBdr>
        <w:top w:val="none" w:sz="0" w:space="0" w:color="auto"/>
        <w:left w:val="none" w:sz="0" w:space="0" w:color="auto"/>
        <w:bottom w:val="none" w:sz="0" w:space="0" w:color="auto"/>
        <w:right w:val="none" w:sz="0" w:space="0" w:color="auto"/>
      </w:divBdr>
    </w:div>
    <w:div w:id="1741058770">
      <w:bodyDiv w:val="1"/>
      <w:marLeft w:val="0"/>
      <w:marRight w:val="0"/>
      <w:marTop w:val="0"/>
      <w:marBottom w:val="0"/>
      <w:divBdr>
        <w:top w:val="none" w:sz="0" w:space="0" w:color="auto"/>
        <w:left w:val="none" w:sz="0" w:space="0" w:color="auto"/>
        <w:bottom w:val="none" w:sz="0" w:space="0" w:color="auto"/>
        <w:right w:val="none" w:sz="0" w:space="0" w:color="auto"/>
      </w:divBdr>
    </w:div>
    <w:div w:id="1743599782">
      <w:bodyDiv w:val="1"/>
      <w:marLeft w:val="0"/>
      <w:marRight w:val="0"/>
      <w:marTop w:val="0"/>
      <w:marBottom w:val="0"/>
      <w:divBdr>
        <w:top w:val="none" w:sz="0" w:space="0" w:color="auto"/>
        <w:left w:val="none" w:sz="0" w:space="0" w:color="auto"/>
        <w:bottom w:val="none" w:sz="0" w:space="0" w:color="auto"/>
        <w:right w:val="none" w:sz="0" w:space="0" w:color="auto"/>
      </w:divBdr>
    </w:div>
    <w:div w:id="1758093446">
      <w:bodyDiv w:val="1"/>
      <w:marLeft w:val="0"/>
      <w:marRight w:val="0"/>
      <w:marTop w:val="0"/>
      <w:marBottom w:val="0"/>
      <w:divBdr>
        <w:top w:val="none" w:sz="0" w:space="0" w:color="auto"/>
        <w:left w:val="none" w:sz="0" w:space="0" w:color="auto"/>
        <w:bottom w:val="none" w:sz="0" w:space="0" w:color="auto"/>
        <w:right w:val="none" w:sz="0" w:space="0" w:color="auto"/>
      </w:divBdr>
    </w:div>
    <w:div w:id="1822304085">
      <w:bodyDiv w:val="1"/>
      <w:marLeft w:val="0"/>
      <w:marRight w:val="0"/>
      <w:marTop w:val="0"/>
      <w:marBottom w:val="0"/>
      <w:divBdr>
        <w:top w:val="none" w:sz="0" w:space="0" w:color="auto"/>
        <w:left w:val="none" w:sz="0" w:space="0" w:color="auto"/>
        <w:bottom w:val="none" w:sz="0" w:space="0" w:color="auto"/>
        <w:right w:val="none" w:sz="0" w:space="0" w:color="auto"/>
      </w:divBdr>
    </w:div>
    <w:div w:id="1883328003">
      <w:bodyDiv w:val="1"/>
      <w:marLeft w:val="0"/>
      <w:marRight w:val="0"/>
      <w:marTop w:val="0"/>
      <w:marBottom w:val="0"/>
      <w:divBdr>
        <w:top w:val="none" w:sz="0" w:space="0" w:color="auto"/>
        <w:left w:val="none" w:sz="0" w:space="0" w:color="auto"/>
        <w:bottom w:val="none" w:sz="0" w:space="0" w:color="auto"/>
        <w:right w:val="none" w:sz="0" w:space="0" w:color="auto"/>
      </w:divBdr>
    </w:div>
    <w:div w:id="1907714984">
      <w:bodyDiv w:val="1"/>
      <w:marLeft w:val="0"/>
      <w:marRight w:val="0"/>
      <w:marTop w:val="0"/>
      <w:marBottom w:val="0"/>
      <w:divBdr>
        <w:top w:val="none" w:sz="0" w:space="0" w:color="auto"/>
        <w:left w:val="none" w:sz="0" w:space="0" w:color="auto"/>
        <w:bottom w:val="none" w:sz="0" w:space="0" w:color="auto"/>
        <w:right w:val="none" w:sz="0" w:space="0" w:color="auto"/>
      </w:divBdr>
      <w:divsChild>
        <w:div w:id="807211599">
          <w:marLeft w:val="720"/>
          <w:marRight w:val="720"/>
          <w:marTop w:val="0"/>
          <w:marBottom w:val="720"/>
          <w:divBdr>
            <w:top w:val="none" w:sz="0" w:space="0" w:color="auto"/>
            <w:left w:val="none" w:sz="0" w:space="0" w:color="auto"/>
            <w:bottom w:val="none" w:sz="0" w:space="0" w:color="auto"/>
            <w:right w:val="none" w:sz="0" w:space="0" w:color="auto"/>
          </w:divBdr>
        </w:div>
      </w:divsChild>
    </w:div>
    <w:div w:id="1919748448">
      <w:bodyDiv w:val="1"/>
      <w:marLeft w:val="0"/>
      <w:marRight w:val="0"/>
      <w:marTop w:val="0"/>
      <w:marBottom w:val="0"/>
      <w:divBdr>
        <w:top w:val="none" w:sz="0" w:space="0" w:color="auto"/>
        <w:left w:val="none" w:sz="0" w:space="0" w:color="auto"/>
        <w:bottom w:val="none" w:sz="0" w:space="0" w:color="auto"/>
        <w:right w:val="none" w:sz="0" w:space="0" w:color="auto"/>
      </w:divBdr>
    </w:div>
    <w:div w:id="1992363820">
      <w:bodyDiv w:val="1"/>
      <w:marLeft w:val="0"/>
      <w:marRight w:val="0"/>
      <w:marTop w:val="0"/>
      <w:marBottom w:val="0"/>
      <w:divBdr>
        <w:top w:val="none" w:sz="0" w:space="0" w:color="auto"/>
        <w:left w:val="none" w:sz="0" w:space="0" w:color="auto"/>
        <w:bottom w:val="none" w:sz="0" w:space="0" w:color="auto"/>
        <w:right w:val="none" w:sz="0" w:space="0" w:color="auto"/>
      </w:divBdr>
    </w:div>
    <w:div w:id="2028483977">
      <w:bodyDiv w:val="1"/>
      <w:marLeft w:val="0"/>
      <w:marRight w:val="0"/>
      <w:marTop w:val="0"/>
      <w:marBottom w:val="0"/>
      <w:divBdr>
        <w:top w:val="none" w:sz="0" w:space="0" w:color="auto"/>
        <w:left w:val="none" w:sz="0" w:space="0" w:color="auto"/>
        <w:bottom w:val="none" w:sz="0" w:space="0" w:color="auto"/>
        <w:right w:val="none" w:sz="0" w:space="0" w:color="auto"/>
      </w:divBdr>
    </w:div>
    <w:div w:id="208348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fanie.harris@nih.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cps/cpsaat39.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ma.od.nih.gov/ms/privacy/pa-files/0036.htm" TargetMode="External"/><Relationship Id="rId4" Type="http://schemas.openxmlformats.org/officeDocument/2006/relationships/settings" Target="settings.xml"/><Relationship Id="rId9" Type="http://schemas.openxmlformats.org/officeDocument/2006/relationships/hyperlink" Target="http://oma.od.nih.gov/ms/privacy/pa-files/0036.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CCDCA-64B6-4AB0-918D-87F03C4A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7770</Words>
  <Characters>44294</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NIH\OD</Company>
  <LinksUpToDate>false</LinksUpToDate>
  <CharactersWithSpaces>51961</CharactersWithSpaces>
  <SharedDoc>false</SharedDoc>
  <HLinks>
    <vt:vector size="12" baseType="variant">
      <vt:variant>
        <vt:i4>7078002</vt:i4>
      </vt:variant>
      <vt:variant>
        <vt:i4>6</vt:i4>
      </vt:variant>
      <vt:variant>
        <vt:i4>0</vt:i4>
      </vt:variant>
      <vt:variant>
        <vt:i4>5</vt:i4>
      </vt:variant>
      <vt:variant>
        <vt:lpwstr>http://oma.od.nih.gov/ms/privacy/pa-files/0036.htm</vt:lpwstr>
      </vt:variant>
      <vt:variant>
        <vt:lpwstr/>
      </vt:variant>
      <vt:variant>
        <vt:i4>7078002</vt:i4>
      </vt:variant>
      <vt:variant>
        <vt:i4>3</vt:i4>
      </vt:variant>
      <vt:variant>
        <vt:i4>0</vt:i4>
      </vt:variant>
      <vt:variant>
        <vt:i4>5</vt:i4>
      </vt:variant>
      <vt:variant>
        <vt:lpwstr>http://oma.od.nih.gov/ms/privacy/pa-files/0036.htm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Charles MacKay</dc:creator>
  <cp:lastModifiedBy>Abdelmouti, Tawanda (NIH/OD) [E]</cp:lastModifiedBy>
  <cp:revision>13</cp:revision>
  <cp:lastPrinted>2017-01-03T13:26:00Z</cp:lastPrinted>
  <dcterms:created xsi:type="dcterms:W3CDTF">2017-01-23T22:45:00Z</dcterms:created>
  <dcterms:modified xsi:type="dcterms:W3CDTF">2017-01-25T15:24:00Z</dcterms:modified>
</cp:coreProperties>
</file>