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B7" w:rsidRPr="00CA26D1" w:rsidRDefault="00340DB7" w:rsidP="005D5557">
      <w:pPr>
        <w:pStyle w:val="CoverPage1"/>
        <w:jc w:val="center"/>
        <w:rPr>
          <w:rFonts w:ascii="Times New Roman" w:hAnsi="Times New Roman"/>
          <w:sz w:val="24"/>
          <w:szCs w:val="24"/>
        </w:rPr>
      </w:pPr>
      <w:bookmarkStart w:id="0" w:name="_GoBack"/>
      <w:bookmarkEnd w:id="0"/>
      <w:r w:rsidRPr="00CA26D1">
        <w:rPr>
          <w:rFonts w:ascii="Times New Roman" w:hAnsi="Times New Roman"/>
          <w:sz w:val="24"/>
          <w:szCs w:val="24"/>
        </w:rPr>
        <w:t>Supporting Statement for Paperwork Reduction Act Submissions – Part A</w:t>
      </w:r>
    </w:p>
    <w:p w:rsidR="00340DB7" w:rsidRPr="00CA26D1" w:rsidRDefault="00340DB7" w:rsidP="005D5557">
      <w:pPr>
        <w:spacing w:after="0" w:line="240" w:lineRule="auto"/>
        <w:jc w:val="center"/>
        <w:rPr>
          <w:rFonts w:ascii="Times New Roman" w:eastAsia="Times New Roman" w:hAnsi="Times New Roman" w:cs="Times New Roman"/>
          <w:b/>
          <w:sz w:val="24"/>
          <w:szCs w:val="24"/>
        </w:rPr>
      </w:pPr>
      <w:r w:rsidRPr="00CA26D1">
        <w:rPr>
          <w:rFonts w:ascii="Times New Roman" w:eastAsia="Times New Roman" w:hAnsi="Times New Roman" w:cs="Times New Roman"/>
          <w:b/>
          <w:sz w:val="24"/>
          <w:szCs w:val="24"/>
        </w:rPr>
        <w:t>Evaluation of Medicare Prior Authorization of PMDs Demonstration</w:t>
      </w:r>
    </w:p>
    <w:p w:rsidR="005D5557" w:rsidRPr="00CA26D1" w:rsidRDefault="005D5557" w:rsidP="005D5557">
      <w:pPr>
        <w:spacing w:after="0" w:line="240" w:lineRule="auto"/>
        <w:jc w:val="center"/>
        <w:rPr>
          <w:rFonts w:ascii="Times New Roman" w:eastAsia="Times New Roman" w:hAnsi="Times New Roman" w:cs="Times New Roman"/>
          <w:b/>
          <w:sz w:val="24"/>
          <w:szCs w:val="24"/>
        </w:rPr>
      </w:pPr>
      <w:r w:rsidRPr="00CA26D1">
        <w:rPr>
          <w:rFonts w:ascii="Times New Roman" w:eastAsia="Times New Roman" w:hAnsi="Times New Roman" w:cs="Times New Roman"/>
          <w:b/>
          <w:sz w:val="24"/>
          <w:szCs w:val="24"/>
        </w:rPr>
        <w:t>CMS-10471/OMB Control Number: 0938-1235</w:t>
      </w:r>
    </w:p>
    <w:p w:rsidR="00340DB7" w:rsidRPr="00CA26D1" w:rsidRDefault="00340DB7" w:rsidP="00D96D03">
      <w:pPr>
        <w:spacing w:after="0" w:line="240" w:lineRule="auto"/>
        <w:rPr>
          <w:rFonts w:ascii="Times New Roman" w:eastAsia="Times New Roman" w:hAnsi="Times New Roman" w:cs="Times New Roman"/>
          <w:sz w:val="24"/>
          <w:szCs w:val="24"/>
        </w:rPr>
      </w:pPr>
    </w:p>
    <w:p w:rsidR="00340DB7" w:rsidRPr="00CA26D1" w:rsidRDefault="00340DB7" w:rsidP="00D96D03">
      <w:pPr>
        <w:keepNext/>
        <w:spacing w:before="240" w:after="240" w:line="240" w:lineRule="auto"/>
        <w:outlineLvl w:val="1"/>
        <w:rPr>
          <w:rFonts w:ascii="Times New Roman" w:eastAsia="Times New Roman" w:hAnsi="Times New Roman" w:cs="Times New Roman"/>
          <w:b/>
          <w:bCs/>
          <w:sz w:val="24"/>
          <w:szCs w:val="24"/>
        </w:rPr>
      </w:pPr>
      <w:r w:rsidRPr="00CA26D1">
        <w:rPr>
          <w:rFonts w:ascii="Times New Roman" w:eastAsia="Times New Roman" w:hAnsi="Times New Roman" w:cs="Times New Roman"/>
          <w:b/>
          <w:bCs/>
          <w:sz w:val="24"/>
          <w:szCs w:val="24"/>
        </w:rPr>
        <w:t>A.  Background</w:t>
      </w:r>
    </w:p>
    <w:p w:rsidR="00340DB7" w:rsidRPr="00CA26D1" w:rsidRDefault="00340DB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The Centers for Medicare &amp; Medicaid Services (CMS) request</w:t>
      </w:r>
      <w:r w:rsidR="00A85D51" w:rsidRPr="00CA26D1">
        <w:rPr>
          <w:rFonts w:ascii="Times New Roman" w:eastAsia="Times New Roman" w:hAnsi="Times New Roman" w:cs="Times New Roman"/>
          <w:sz w:val="24"/>
          <w:szCs w:val="24"/>
        </w:rPr>
        <w:t>s</w:t>
      </w:r>
      <w:r w:rsidRPr="00CA26D1">
        <w:rPr>
          <w:rFonts w:ascii="Times New Roman" w:eastAsia="Times New Roman" w:hAnsi="Times New Roman" w:cs="Times New Roman"/>
          <w:sz w:val="24"/>
          <w:szCs w:val="24"/>
        </w:rPr>
        <w:t xml:space="preserve"> clearance for its primary contractor, </w:t>
      </w:r>
      <w:r w:rsidR="002857FF" w:rsidRPr="00CA26D1">
        <w:rPr>
          <w:rFonts w:ascii="Times New Roman" w:eastAsia="Times New Roman" w:hAnsi="Times New Roman" w:cs="Times New Roman"/>
          <w:sz w:val="24"/>
          <w:szCs w:val="24"/>
        </w:rPr>
        <w:t>Provider Resources, Inc.</w:t>
      </w:r>
      <w:r w:rsidRPr="00CA26D1">
        <w:rPr>
          <w:rFonts w:ascii="Times New Roman" w:eastAsia="Times New Roman" w:hAnsi="Times New Roman" w:cs="Times New Roman"/>
          <w:sz w:val="24"/>
          <w:szCs w:val="24"/>
        </w:rPr>
        <w:t xml:space="preserve">, to gather the qualitative information necessary to evaluate the “Medicare Prior Authorization of Power Mobility Devices (PMDs) Demonstration” (Demonstration).  </w:t>
      </w:r>
    </w:p>
    <w:p w:rsidR="00340DB7" w:rsidRPr="00CA26D1" w:rsidRDefault="00340DB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The purpose of the Demonstration is to ensure that payments for PMDs are appropriate before the claims are paid, thereby preventing the fraud, waste, and abuse in the seven states participating in the Demonstration:  California, Florida, Illinois, Michigan, New York, North Carolina and Texas.  </w:t>
      </w:r>
      <w:r w:rsidR="00006CDD" w:rsidRPr="00CA26D1">
        <w:rPr>
          <w:rFonts w:ascii="Times New Roman" w:hAnsi="Times New Roman" w:cs="Times New Roman"/>
          <w:sz w:val="24"/>
          <w:szCs w:val="24"/>
        </w:rPr>
        <w:t xml:space="preserve">On October 1, 2014, CMS </w:t>
      </w:r>
      <w:r w:rsidR="00E14672" w:rsidRPr="00CA26D1">
        <w:rPr>
          <w:rFonts w:ascii="Times New Roman" w:hAnsi="Times New Roman" w:cs="Times New Roman"/>
          <w:sz w:val="24"/>
          <w:szCs w:val="24"/>
        </w:rPr>
        <w:t xml:space="preserve">extended the demonstration and </w:t>
      </w:r>
      <w:r w:rsidR="00006CDD" w:rsidRPr="00CA26D1">
        <w:rPr>
          <w:rFonts w:ascii="Times New Roman" w:hAnsi="Times New Roman" w:cs="Times New Roman"/>
          <w:sz w:val="24"/>
          <w:szCs w:val="24"/>
        </w:rPr>
        <w:t xml:space="preserve">expanded to 12 additional states (Maryland, New Jersey, Pennsylvania, Indiana, Kentucky, Ohio, Georgia, Tennessee, Louisiana, Missouri, Washington, and Arizona).  </w:t>
      </w:r>
      <w:r w:rsidRPr="00CA26D1">
        <w:rPr>
          <w:rFonts w:ascii="Times New Roman" w:eastAsia="Times New Roman" w:hAnsi="Times New Roman" w:cs="Times New Roman"/>
          <w:sz w:val="24"/>
          <w:szCs w:val="24"/>
        </w:rPr>
        <w:t xml:space="preserve">Additional benefits of the Demonstration include ensuring that a beneficiary's medical condition warrants their medical equipment under existing coverage guidelines and preserving their ability to receive quality products from accredited suppliers.  </w:t>
      </w:r>
    </w:p>
    <w:p w:rsidR="00340DB7" w:rsidRPr="00CA26D1" w:rsidRDefault="00340DB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In order to gather qualitative information for analysis, the evaluation team will use semi-structured interview guides that focus on the direct impact of the Demonstration on stakeholder groups. Stakeholders will be drawn from advocacy organizations, power mobility device supply companies, State and Local Government, and healthcare practitioners.  This PRA package explains the research methodology and data collection strategies designed to minimize the burden placed on research participants, while effectively gathering the data needed for the evaluation of the Demonstration.</w:t>
      </w:r>
    </w:p>
    <w:p w:rsidR="00340DB7" w:rsidRPr="00CA26D1" w:rsidRDefault="00340DB7" w:rsidP="00D96D03">
      <w:pPr>
        <w:keepNext/>
        <w:spacing w:before="240" w:after="240" w:line="240" w:lineRule="auto"/>
        <w:outlineLvl w:val="1"/>
        <w:rPr>
          <w:rFonts w:ascii="Times New Roman" w:eastAsia="Times New Roman" w:hAnsi="Times New Roman" w:cs="Times New Roman"/>
          <w:b/>
          <w:bCs/>
          <w:sz w:val="24"/>
          <w:szCs w:val="24"/>
        </w:rPr>
      </w:pPr>
      <w:r w:rsidRPr="00CA26D1">
        <w:rPr>
          <w:rFonts w:ascii="Times New Roman" w:eastAsia="Times New Roman" w:hAnsi="Times New Roman" w:cs="Times New Roman"/>
          <w:b/>
          <w:bCs/>
          <w:sz w:val="24"/>
          <w:szCs w:val="24"/>
        </w:rPr>
        <w:t>B.  Justification</w:t>
      </w:r>
    </w:p>
    <w:p w:rsidR="00340DB7" w:rsidRPr="00CA26D1" w:rsidRDefault="00340DB7" w:rsidP="003326BF">
      <w:pPr>
        <w:rPr>
          <w:rFonts w:ascii="Times New Roman" w:hAnsi="Times New Roman" w:cs="Times New Roman"/>
          <w:sz w:val="24"/>
          <w:szCs w:val="24"/>
        </w:rPr>
      </w:pPr>
      <w:r w:rsidRPr="00CA26D1">
        <w:rPr>
          <w:rFonts w:ascii="Times New Roman" w:hAnsi="Times New Roman" w:cs="Times New Roman"/>
          <w:sz w:val="24"/>
          <w:szCs w:val="24"/>
        </w:rPr>
        <w:t>1.  Need and Legal Basis</w:t>
      </w:r>
    </w:p>
    <w:p w:rsidR="00340DB7" w:rsidRPr="00CA26D1" w:rsidRDefault="00340DB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The Demonstration began for PMD orders written on or after September 1, 2012 with the intent of reducing fraud and increasing payment accuracy. To determine the extent to which the Demonstration has achieved its goals, CMS contracted with </w:t>
      </w:r>
      <w:r w:rsidR="002857FF" w:rsidRPr="00CA26D1">
        <w:rPr>
          <w:rFonts w:ascii="Times New Roman" w:eastAsia="Times New Roman" w:hAnsi="Times New Roman" w:cs="Times New Roman"/>
          <w:sz w:val="24"/>
          <w:szCs w:val="24"/>
        </w:rPr>
        <w:t>Provider Resources, Inc. (PRI)</w:t>
      </w:r>
      <w:r w:rsidRPr="00CA26D1">
        <w:rPr>
          <w:rFonts w:ascii="Times New Roman" w:eastAsia="Times New Roman" w:hAnsi="Times New Roman" w:cs="Times New Roman"/>
          <w:sz w:val="24"/>
          <w:szCs w:val="24"/>
        </w:rPr>
        <w:t xml:space="preserve"> to evaluate the Demonstration. The information collection is necessary to obtain the qualitative data for the evaluation. </w:t>
      </w:r>
    </w:p>
    <w:p w:rsidR="00340DB7" w:rsidRPr="00CA26D1" w:rsidRDefault="00340DB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The Demonstration and its evaluation are authorized under Section 402(a)(1)(J) of the Social Security Amendments of 1967 (42</w:t>
      </w:r>
      <w:r w:rsidRPr="00CA26D1">
        <w:rPr>
          <w:rFonts w:ascii="Times New Roman" w:eastAsia="Times New Roman" w:hAnsi="Times New Roman" w:cs="Times New Roman"/>
          <w:i/>
          <w:iCs/>
          <w:sz w:val="24"/>
          <w:szCs w:val="24"/>
        </w:rPr>
        <w:t xml:space="preserve"> </w:t>
      </w:r>
      <w:r w:rsidRPr="00CA26D1">
        <w:rPr>
          <w:rFonts w:ascii="Times New Roman" w:eastAsia="Times New Roman" w:hAnsi="Times New Roman" w:cs="Times New Roman"/>
          <w:sz w:val="24"/>
          <w:szCs w:val="24"/>
        </w:rPr>
        <w:t xml:space="preserve">U.S.C. 1395b-1(a)(1)(J)), which permits the Secretary to “develop or demonstrate improved methods for the investigation and prosecution of fraud in the provision of care or services under the health programs established by the Social Security Act.” </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2.  Information Users</w:t>
      </w:r>
    </w:p>
    <w:p w:rsidR="00340DB7" w:rsidRPr="00CA26D1" w:rsidRDefault="00340DB7"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rPr>
          <w:rFonts w:ascii="Times New Roman" w:eastAsia="Times New Roman" w:hAnsi="Times New Roman" w:cs="Times New Roman"/>
          <w:color w:val="FF0000"/>
          <w:sz w:val="24"/>
          <w:szCs w:val="24"/>
        </w:rPr>
      </w:pPr>
      <w:r w:rsidRPr="00CA26D1">
        <w:rPr>
          <w:rFonts w:ascii="Times New Roman" w:eastAsia="Times New Roman" w:hAnsi="Times New Roman" w:cs="Times New Roman"/>
          <w:sz w:val="24"/>
          <w:szCs w:val="24"/>
        </w:rPr>
        <w:lastRenderedPageBreak/>
        <w:t xml:space="preserve">The information will be collected by phone, by the </w:t>
      </w:r>
      <w:r w:rsidR="00ED15F0" w:rsidRPr="00CA26D1">
        <w:rPr>
          <w:rFonts w:ascii="Times New Roman" w:eastAsia="Times New Roman" w:hAnsi="Times New Roman" w:cs="Times New Roman"/>
          <w:sz w:val="24"/>
          <w:szCs w:val="24"/>
        </w:rPr>
        <w:t>Provider Resources, Inc.</w:t>
      </w:r>
      <w:r w:rsidRPr="00CA26D1">
        <w:rPr>
          <w:rFonts w:ascii="Times New Roman" w:eastAsia="Times New Roman" w:hAnsi="Times New Roman" w:cs="Times New Roman"/>
          <w:sz w:val="24"/>
          <w:szCs w:val="24"/>
        </w:rPr>
        <w:t xml:space="preserve"> evaluation team, and for the express purpose of evaluating the Demonstration. As a new collection, the information collected will be used as part of the evaluation of the Demonstration. </w:t>
      </w:r>
      <w:r w:rsidR="00F77A23" w:rsidRPr="00CA26D1">
        <w:rPr>
          <w:rFonts w:ascii="Times New Roman" w:eastAsia="Times New Roman" w:hAnsi="Times New Roman" w:cs="Times New Roman"/>
          <w:sz w:val="24"/>
          <w:szCs w:val="24"/>
        </w:rPr>
        <w:t>This information will be used by the Provider Compliance Group in the Center for</w:t>
      </w:r>
      <w:r w:rsidR="00D96D03" w:rsidRPr="00CA26D1">
        <w:rPr>
          <w:rFonts w:ascii="Times New Roman" w:eastAsia="Times New Roman" w:hAnsi="Times New Roman" w:cs="Times New Roman"/>
          <w:sz w:val="24"/>
          <w:szCs w:val="24"/>
        </w:rPr>
        <w:t xml:space="preserve"> Program Integrity to identify and reduce fraud.</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3.  Use of Information Technology</w:t>
      </w:r>
    </w:p>
    <w:p w:rsidR="00340DB7" w:rsidRPr="00CA26D1" w:rsidRDefault="00340DB7"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This data collection will use digital recording technology to record the interviews, as well as store and manage the audio files. The team will also take notes using Microsoft Word.  There will be no electronic submission of responses. The burden has been reduced to the furthest extent possible by conducting the interviews by phone. </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4.  Duplication of Efforts</w:t>
      </w:r>
    </w:p>
    <w:p w:rsidR="00340DB7" w:rsidRPr="00CA26D1" w:rsidRDefault="00340DB7"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This information collection does not duplicate any other effort and the information cannot be obtained from any other source.</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5.  Small Businesses</w:t>
      </w:r>
    </w:p>
    <w:p w:rsidR="00340DB7" w:rsidRPr="00CA26D1" w:rsidRDefault="00340DB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There may be a number of suppliers, advocates, and/or providers who may own or work for a small business. The following steps are intended to reduce the burden as much as possible on all stakeholders, including small businesses and other small entities: for each interview, the stakeholder will be notified of the expected duration, scheduling will occur via email and interviews will occur by telephone, and no stakeholder will be expected to submit any documentation. </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6.  Less Frequent Collection</w:t>
      </w:r>
    </w:p>
    <w:p w:rsidR="00340DB7" w:rsidRPr="00CA26D1" w:rsidRDefault="00340DB7"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The intent of these interviews is to collect information from a variety of stakeholders to inform the evaluation of the Demonstration from a number of perspectives. Not interviewing these stakeholders or interviewing them less frequently would result in an incomplete evaluation of the Demonstration.  Overall, the evaluation combines both qualitative and quantitative information and focuses on outcomes, successes, and lessons learned from the Demonstration.  The stakeholder interviews are a key component of the evaluation’s overall approach. </w:t>
      </w:r>
    </w:p>
    <w:p w:rsidR="00340DB7" w:rsidRPr="00CA26D1" w:rsidRDefault="00340DB7"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Interviewing stakeholders twice will allow the team to assess the Demonstration periodically throughout its three-year life and is considered necessary for the evaluation. </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7.  Special Circumstances</w:t>
      </w:r>
    </w:p>
    <w:p w:rsidR="00340DB7" w:rsidRPr="00CA26D1" w:rsidRDefault="00340DB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This request is consistent with the general information collection guidelines of 5 CFR 1320.5(d)(2). No special circumstances apply.</w:t>
      </w:r>
      <w:r w:rsidR="00F77A23" w:rsidRPr="00CA26D1">
        <w:rPr>
          <w:rFonts w:ascii="Times New Roman" w:eastAsia="Times New Roman" w:hAnsi="Times New Roman" w:cs="Times New Roman"/>
          <w:sz w:val="24"/>
          <w:szCs w:val="24"/>
        </w:rPr>
        <w:t xml:space="preserve">  </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8.  Federal Register/Outside Consultation</w:t>
      </w:r>
    </w:p>
    <w:p w:rsidR="00F77A23" w:rsidRPr="00CA26D1" w:rsidRDefault="005D555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lastRenderedPageBreak/>
        <w:t xml:space="preserve">A 60-day </w:t>
      </w:r>
      <w:r w:rsidR="00BA15C5" w:rsidRPr="00CA26D1">
        <w:rPr>
          <w:rFonts w:ascii="Times New Roman" w:eastAsia="Times New Roman" w:hAnsi="Times New Roman" w:cs="Times New Roman"/>
          <w:sz w:val="24"/>
          <w:szCs w:val="24"/>
        </w:rPr>
        <w:t xml:space="preserve">Federal Register </w:t>
      </w:r>
      <w:r w:rsidRPr="00CA26D1">
        <w:rPr>
          <w:rFonts w:ascii="Times New Roman" w:eastAsia="Times New Roman" w:hAnsi="Times New Roman" w:cs="Times New Roman"/>
          <w:sz w:val="24"/>
          <w:szCs w:val="24"/>
        </w:rPr>
        <w:t xml:space="preserve">Notice published </w:t>
      </w:r>
      <w:r w:rsidR="00BA15C5" w:rsidRPr="00CA26D1">
        <w:rPr>
          <w:rFonts w:ascii="Times New Roman" w:eastAsia="Times New Roman" w:hAnsi="Times New Roman" w:cs="Times New Roman"/>
          <w:sz w:val="24"/>
          <w:szCs w:val="24"/>
        </w:rPr>
        <w:t xml:space="preserve">February 27, 2017 (82 FR 11921 pages 11921-11923).  </w:t>
      </w:r>
      <w:r w:rsidR="00FD1A95" w:rsidRPr="00CA26D1">
        <w:rPr>
          <w:rFonts w:ascii="Times New Roman" w:eastAsia="Times New Roman" w:hAnsi="Times New Roman" w:cs="Times New Roman"/>
          <w:sz w:val="24"/>
          <w:szCs w:val="24"/>
        </w:rPr>
        <w:t>A single comment was</w:t>
      </w:r>
      <w:r w:rsidR="00BA15C5" w:rsidRPr="00CA26D1">
        <w:rPr>
          <w:rFonts w:ascii="Times New Roman" w:eastAsia="Times New Roman" w:hAnsi="Times New Roman" w:cs="Times New Roman"/>
          <w:sz w:val="24"/>
          <w:szCs w:val="24"/>
        </w:rPr>
        <w:t xml:space="preserve"> received</w:t>
      </w:r>
      <w:r w:rsidR="00F352CE">
        <w:rPr>
          <w:rFonts w:ascii="Times New Roman" w:eastAsia="Times New Roman" w:hAnsi="Times New Roman" w:cs="Times New Roman"/>
          <w:sz w:val="24"/>
          <w:szCs w:val="24"/>
        </w:rPr>
        <w:t xml:space="preserve">.  A 30-day notice </w:t>
      </w:r>
      <w:r w:rsidR="00FD1A95" w:rsidRPr="00CA26D1">
        <w:rPr>
          <w:rFonts w:ascii="Times New Roman" w:eastAsia="Times New Roman" w:hAnsi="Times New Roman" w:cs="Times New Roman"/>
          <w:sz w:val="24"/>
          <w:szCs w:val="24"/>
        </w:rPr>
        <w:t>publish</w:t>
      </w:r>
      <w:r w:rsidR="00F352CE">
        <w:rPr>
          <w:rFonts w:ascii="Times New Roman" w:eastAsia="Times New Roman" w:hAnsi="Times New Roman" w:cs="Times New Roman"/>
          <w:sz w:val="24"/>
          <w:szCs w:val="24"/>
        </w:rPr>
        <w:t>ed May 26, 2017 (82 FR 24350).</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9.  Payments/Gifts to Respondents</w:t>
      </w:r>
    </w:p>
    <w:p w:rsidR="00340DB7" w:rsidRPr="00CA26D1" w:rsidRDefault="00340DB7"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left="432" w:hanging="432"/>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No payment or gifts to respondents will be granted.</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10.  Confidentiality</w:t>
      </w:r>
    </w:p>
    <w:p w:rsidR="00340DB7" w:rsidRPr="00CA26D1" w:rsidRDefault="00340DB7" w:rsidP="00D96D03">
      <w:pPr>
        <w:spacing w:before="240" w:after="120" w:line="240" w:lineRule="auto"/>
        <w:rPr>
          <w:rFonts w:ascii="Times New Roman" w:eastAsia="Times New Roman" w:hAnsi="Times New Roman" w:cs="Times New Roman"/>
          <w:color w:val="000000"/>
          <w:sz w:val="24"/>
          <w:szCs w:val="24"/>
        </w:rPr>
      </w:pPr>
      <w:r w:rsidRPr="00CA26D1">
        <w:rPr>
          <w:rFonts w:ascii="Times New Roman" w:eastAsia="Times New Roman" w:hAnsi="Times New Roman" w:cs="Times New Roman"/>
          <w:color w:val="000000"/>
          <w:sz w:val="24"/>
          <w:szCs w:val="24"/>
        </w:rPr>
        <w:t xml:space="preserve">No assurance of confidentiality will be provided to </w:t>
      </w:r>
      <w:r w:rsidR="00945CA7" w:rsidRPr="00CA26D1">
        <w:rPr>
          <w:rFonts w:ascii="Times New Roman" w:eastAsia="Times New Roman" w:hAnsi="Times New Roman" w:cs="Times New Roman"/>
          <w:color w:val="000000"/>
          <w:sz w:val="24"/>
          <w:szCs w:val="24"/>
        </w:rPr>
        <w:t>respondents;</w:t>
      </w:r>
      <w:r w:rsidRPr="00CA26D1">
        <w:rPr>
          <w:rFonts w:ascii="Times New Roman" w:eastAsia="Times New Roman" w:hAnsi="Times New Roman" w:cs="Times New Roman"/>
          <w:color w:val="000000"/>
          <w:sz w:val="24"/>
          <w:szCs w:val="24"/>
        </w:rPr>
        <w:t xml:space="preserve"> however the following privacy statement will be read to each respondent before their interview begins: </w:t>
      </w:r>
    </w:p>
    <w:p w:rsidR="00340DB7" w:rsidRPr="00CA26D1" w:rsidRDefault="00340DB7" w:rsidP="00D96D03">
      <w:pPr>
        <w:spacing w:before="240" w:after="120" w:line="240" w:lineRule="auto"/>
        <w:rPr>
          <w:rFonts w:ascii="Times New Roman" w:eastAsia="Times New Roman" w:hAnsi="Times New Roman" w:cs="Times New Roman"/>
          <w:i/>
          <w:color w:val="000000"/>
          <w:sz w:val="24"/>
          <w:szCs w:val="24"/>
        </w:rPr>
      </w:pPr>
      <w:r w:rsidRPr="00CA26D1">
        <w:rPr>
          <w:rFonts w:ascii="Times New Roman" w:eastAsia="Times New Roman" w:hAnsi="Times New Roman" w:cs="Times New Roman"/>
          <w:i/>
          <w:color w:val="000000"/>
          <w:sz w:val="24"/>
          <w:szCs w:val="24"/>
        </w:rPr>
        <w:t>We are soliciting input from a range of different types of individuals and appreciate your perspective on these issues. These interviews typically take an hour to an hour-and-a-half. We encourage you (and your staff) to be candid: your honest opinions and comments will be extremely helpful for the purpose of this research</w:t>
      </w:r>
      <w:r w:rsidRPr="00CA26D1">
        <w:rPr>
          <w:rFonts w:ascii="Times New Roman" w:eastAsia="Times New Roman" w:hAnsi="Times New Roman" w:cs="Times New Roman"/>
          <w:b/>
          <w:bCs/>
          <w:i/>
          <w:color w:val="000000"/>
          <w:sz w:val="24"/>
          <w:szCs w:val="24"/>
        </w:rPr>
        <w:t>.  </w:t>
      </w:r>
      <w:r w:rsidRPr="00CA26D1">
        <w:rPr>
          <w:rFonts w:ascii="Times New Roman" w:eastAsia="Times New Roman" w:hAnsi="Times New Roman" w:cs="Times New Roman"/>
          <w:i/>
          <w:color w:val="000000"/>
          <w:sz w:val="24"/>
          <w:szCs w:val="24"/>
        </w:rPr>
        <w:t>For note taking purposes, we would like to ask your permission to record this interview to ensure that we have an accurate record of your comments and feedback.  </w:t>
      </w:r>
      <w:r w:rsidRPr="00CA26D1">
        <w:rPr>
          <w:rFonts w:ascii="Times New Roman" w:eastAsia="Times New Roman" w:hAnsi="Times New Roman" w:cs="Times New Roman"/>
          <w:bCs/>
          <w:i/>
          <w:color w:val="000000"/>
          <w:sz w:val="24"/>
          <w:szCs w:val="24"/>
        </w:rPr>
        <w:t xml:space="preserve">Recordings and interviews notes will not be shared with CMS or anyone outside of the immediate research team, and your privacy will be maintained to the extent provided by law. </w:t>
      </w:r>
      <w:r w:rsidRPr="00CA26D1">
        <w:rPr>
          <w:rFonts w:ascii="Times New Roman" w:eastAsia="Times New Roman" w:hAnsi="Times New Roman" w:cs="Times New Roman"/>
          <w:i/>
          <w:color w:val="000000"/>
          <w:sz w:val="24"/>
          <w:szCs w:val="24"/>
        </w:rPr>
        <w:t>The recordings will remain</w:t>
      </w:r>
      <w:r w:rsidR="00ED15F0" w:rsidRPr="00CA26D1">
        <w:rPr>
          <w:rFonts w:ascii="Times New Roman" w:eastAsia="Times New Roman" w:hAnsi="Times New Roman" w:cs="Times New Roman"/>
          <w:i/>
          <w:color w:val="000000"/>
          <w:sz w:val="24"/>
          <w:szCs w:val="24"/>
        </w:rPr>
        <w:t xml:space="preserve"> PRI’s</w:t>
      </w:r>
      <w:r w:rsidRPr="00CA26D1">
        <w:rPr>
          <w:rFonts w:ascii="Times New Roman" w:eastAsia="Times New Roman" w:hAnsi="Times New Roman" w:cs="Times New Roman"/>
          <w:i/>
          <w:color w:val="000000"/>
          <w:sz w:val="24"/>
          <w:szCs w:val="24"/>
        </w:rPr>
        <w:t xml:space="preserve"> property and will be destroyed following completion of our study. </w:t>
      </w:r>
    </w:p>
    <w:p w:rsidR="00340DB7" w:rsidRPr="00CA26D1" w:rsidRDefault="00340DB7" w:rsidP="00D96D03">
      <w:pPr>
        <w:spacing w:before="240" w:after="120" w:line="240" w:lineRule="auto"/>
        <w:rPr>
          <w:rFonts w:ascii="Times New Roman" w:eastAsia="Times New Roman" w:hAnsi="Times New Roman" w:cs="Times New Roman"/>
          <w:i/>
          <w:color w:val="000000"/>
          <w:sz w:val="24"/>
          <w:szCs w:val="24"/>
        </w:rPr>
      </w:pPr>
      <w:r w:rsidRPr="00CA26D1">
        <w:rPr>
          <w:rFonts w:ascii="Times New Roman" w:eastAsia="Times New Roman" w:hAnsi="Times New Roman" w:cs="Times New Roman"/>
          <w:i/>
          <w:color w:val="000000"/>
          <w:sz w:val="24"/>
          <w:szCs w:val="24"/>
        </w:rPr>
        <w:t xml:space="preserve">Do we have your permission to record this call? </w:t>
      </w:r>
    </w:p>
    <w:p w:rsidR="00340DB7" w:rsidRPr="00CA26D1" w:rsidRDefault="00340DB7" w:rsidP="00D96D03">
      <w:pPr>
        <w:spacing w:before="240" w:after="120" w:line="240" w:lineRule="auto"/>
        <w:rPr>
          <w:rFonts w:ascii="Times New Roman" w:eastAsia="Times New Roman" w:hAnsi="Times New Roman" w:cs="Times New Roman"/>
          <w:i/>
          <w:color w:val="000000"/>
          <w:sz w:val="24"/>
          <w:szCs w:val="24"/>
        </w:rPr>
      </w:pPr>
      <w:r w:rsidRPr="00CA26D1">
        <w:rPr>
          <w:rFonts w:ascii="Times New Roman" w:eastAsia="Times New Roman" w:hAnsi="Times New Roman" w:cs="Times New Roman"/>
          <w:i/>
          <w:iCs/>
          <w:color w:val="3366FF"/>
          <w:sz w:val="24"/>
          <w:szCs w:val="24"/>
        </w:rPr>
        <w:t>[If YES, begin recording. If NO, make sure the note taker knows this and is prepared.]</w:t>
      </w:r>
    </w:p>
    <w:p w:rsidR="00340DB7" w:rsidRPr="00CA26D1" w:rsidRDefault="00340DB7" w:rsidP="00D96D03">
      <w:pPr>
        <w:spacing w:before="240" w:after="120" w:line="240" w:lineRule="auto"/>
        <w:rPr>
          <w:rFonts w:ascii="Times New Roman" w:eastAsia="Times New Roman" w:hAnsi="Times New Roman" w:cs="Times New Roman"/>
          <w:i/>
          <w:color w:val="000000"/>
          <w:sz w:val="24"/>
          <w:szCs w:val="24"/>
        </w:rPr>
      </w:pPr>
      <w:r w:rsidRPr="00CA26D1">
        <w:rPr>
          <w:rFonts w:ascii="Times New Roman" w:eastAsia="Times New Roman" w:hAnsi="Times New Roman" w:cs="Times New Roman"/>
          <w:i/>
          <w:color w:val="000000"/>
          <w:sz w:val="24"/>
          <w:szCs w:val="24"/>
        </w:rPr>
        <w:t>We typically only share information with CMS in an aggregate form so we can be sure to get your candid opinion and CMS is unable to directly identify individuals or organizations. However, from time to time specific examples and/or comments that cannot be de-identified can be very helpful in bringing issues with policy implications to the forefront.  If we identify such an example or comment from our conversation today, we are asking for your permission to attribute it to your organization, and will only do so with your specific verbal consent. However, if you have any privacy and/or confidentiality concerns, you may decline at this time and we will not report any of your comments to CMS except when aggregated with those from other organizations so that they are de-identified.  </w:t>
      </w:r>
    </w:p>
    <w:p w:rsidR="00340DB7" w:rsidRPr="00CA26D1" w:rsidRDefault="00340DB7" w:rsidP="00D96D03">
      <w:pPr>
        <w:spacing w:before="240" w:after="120" w:line="240" w:lineRule="auto"/>
        <w:rPr>
          <w:rFonts w:ascii="Times New Roman" w:eastAsia="Times New Roman" w:hAnsi="Times New Roman" w:cs="Times New Roman"/>
          <w:i/>
          <w:color w:val="000000"/>
          <w:sz w:val="24"/>
          <w:szCs w:val="24"/>
        </w:rPr>
      </w:pPr>
      <w:r w:rsidRPr="00CA26D1">
        <w:rPr>
          <w:rFonts w:ascii="Times New Roman" w:eastAsia="Times New Roman" w:hAnsi="Times New Roman" w:cs="Times New Roman"/>
          <w:i/>
          <w:color w:val="000000"/>
          <w:sz w:val="24"/>
          <w:szCs w:val="24"/>
        </w:rPr>
        <w:t>Should these circumstances occur, do we have your permission or would you like to opt out of any attributable reporting?</w:t>
      </w:r>
    </w:p>
    <w:p w:rsidR="00340DB7" w:rsidRPr="00CA26D1" w:rsidRDefault="00340DB7" w:rsidP="00CA26D1">
      <w:pPr>
        <w:rPr>
          <w:rFonts w:ascii="Times New Roman" w:hAnsi="Times New Roman" w:cs="Times New Roman"/>
          <w:sz w:val="24"/>
          <w:szCs w:val="24"/>
        </w:rPr>
      </w:pPr>
      <w:r w:rsidRPr="00CA26D1">
        <w:rPr>
          <w:rFonts w:ascii="Times New Roman" w:hAnsi="Times New Roman" w:cs="Times New Roman"/>
          <w:sz w:val="24"/>
          <w:szCs w:val="24"/>
        </w:rPr>
        <w:t>11.  Sensitive Questions</w:t>
      </w:r>
    </w:p>
    <w:p w:rsidR="00340DB7" w:rsidRPr="00CA26D1" w:rsidRDefault="00340DB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This collection does not contain any sensitive questions. </w:t>
      </w:r>
    </w:p>
    <w:p w:rsidR="00340DB7" w:rsidRPr="00CA26D1" w:rsidRDefault="00340DB7" w:rsidP="00CA26D1">
      <w:pPr>
        <w:rPr>
          <w:rFonts w:ascii="Times New Roman" w:hAnsi="Times New Roman" w:cs="Times New Roman"/>
        </w:rPr>
      </w:pPr>
      <w:r w:rsidRPr="00CA26D1">
        <w:rPr>
          <w:rFonts w:ascii="Times New Roman" w:hAnsi="Times New Roman" w:cs="Times New Roman"/>
        </w:rPr>
        <w:t>12.  Burden Estimates (Hours &amp; Wages)</w:t>
      </w:r>
    </w:p>
    <w:p w:rsidR="006B0560" w:rsidRPr="00CA26D1" w:rsidRDefault="00340DB7" w:rsidP="00D96D03">
      <w:pPr>
        <w:pStyle w:val="Caption"/>
        <w:keepNext/>
        <w:keepLines/>
        <w:spacing w:after="0"/>
        <w:jc w:val="left"/>
        <w:rPr>
          <w:b w:val="0"/>
          <w:szCs w:val="24"/>
        </w:rPr>
      </w:pPr>
      <w:r w:rsidRPr="00CA26D1">
        <w:rPr>
          <w:b w:val="0"/>
          <w:szCs w:val="24"/>
        </w:rPr>
        <w:t xml:space="preserve">The tables below detail the estimated time and cost burdens associated with each of the stakeholder categories we intend to interview.  </w:t>
      </w:r>
      <w:r w:rsidRPr="00CA26D1">
        <w:rPr>
          <w:b w:val="0"/>
          <w:szCs w:val="24"/>
        </w:rPr>
        <w:fldChar w:fldCharType="begin"/>
      </w:r>
      <w:r w:rsidRPr="00CA26D1">
        <w:rPr>
          <w:b w:val="0"/>
          <w:szCs w:val="24"/>
        </w:rPr>
        <w:instrText xml:space="preserve"> REF _Ref228754408 \h </w:instrText>
      </w:r>
      <w:r w:rsidR="006B0560" w:rsidRPr="00CA26D1">
        <w:rPr>
          <w:b w:val="0"/>
          <w:szCs w:val="24"/>
        </w:rPr>
        <w:instrText xml:space="preserve"> \* MERGEFORMAT </w:instrText>
      </w:r>
      <w:r w:rsidRPr="00CA26D1">
        <w:rPr>
          <w:b w:val="0"/>
          <w:szCs w:val="24"/>
        </w:rPr>
      </w:r>
      <w:r w:rsidRPr="00CA26D1">
        <w:rPr>
          <w:b w:val="0"/>
          <w:szCs w:val="24"/>
        </w:rPr>
        <w:fldChar w:fldCharType="separate"/>
      </w:r>
      <w:r w:rsidR="00163C69" w:rsidRPr="00CA26D1">
        <w:rPr>
          <w:b w:val="0"/>
          <w:color w:val="000000"/>
          <w:szCs w:val="24"/>
        </w:rPr>
        <w:t xml:space="preserve">Table </w:t>
      </w:r>
      <w:r w:rsidR="00163C69" w:rsidRPr="00CA26D1">
        <w:rPr>
          <w:b w:val="0"/>
          <w:bCs w:val="0"/>
          <w:noProof/>
          <w:color w:val="000000"/>
          <w:szCs w:val="24"/>
        </w:rPr>
        <w:t>1</w:t>
      </w:r>
      <w:r w:rsidRPr="00CA26D1">
        <w:rPr>
          <w:b w:val="0"/>
          <w:szCs w:val="24"/>
        </w:rPr>
        <w:fldChar w:fldCharType="end"/>
      </w:r>
      <w:r w:rsidRPr="00CA26D1">
        <w:rPr>
          <w:b w:val="0"/>
          <w:szCs w:val="24"/>
        </w:rPr>
        <w:t xml:space="preserve"> summarizes the annualized cost burden on stakeholders across project years </w:t>
      </w:r>
      <w:r w:rsidR="00F968DC" w:rsidRPr="00CA26D1">
        <w:rPr>
          <w:b w:val="0"/>
          <w:szCs w:val="24"/>
        </w:rPr>
        <w:t>fo</w:t>
      </w:r>
      <w:r w:rsidR="00FC7044" w:rsidRPr="00CA26D1">
        <w:rPr>
          <w:b w:val="0"/>
          <w:szCs w:val="24"/>
        </w:rPr>
        <w:t>u</w:t>
      </w:r>
      <w:r w:rsidR="00F968DC" w:rsidRPr="00CA26D1">
        <w:rPr>
          <w:b w:val="0"/>
          <w:szCs w:val="24"/>
        </w:rPr>
        <w:t>r, five, and six</w:t>
      </w:r>
      <w:r w:rsidR="00945CA7" w:rsidRPr="00CA26D1">
        <w:rPr>
          <w:b w:val="0"/>
          <w:szCs w:val="24"/>
        </w:rPr>
        <w:t>.</w:t>
      </w:r>
      <w:r w:rsidR="001D10D7" w:rsidRPr="00CA26D1">
        <w:rPr>
          <w:b w:val="0"/>
          <w:szCs w:val="24"/>
        </w:rPr>
        <w:tab/>
      </w:r>
      <w:r w:rsidRPr="00CA26D1">
        <w:rPr>
          <w:b w:val="0"/>
          <w:szCs w:val="24"/>
        </w:rPr>
        <w:t>(</w:t>
      </w:r>
      <w:r w:rsidR="00F968DC" w:rsidRPr="00CA26D1">
        <w:rPr>
          <w:b w:val="0"/>
          <w:szCs w:val="24"/>
        </w:rPr>
        <w:t>P</w:t>
      </w:r>
      <w:r w:rsidRPr="00CA26D1">
        <w:rPr>
          <w:b w:val="0"/>
          <w:szCs w:val="24"/>
        </w:rPr>
        <w:t xml:space="preserve">lease </w:t>
      </w:r>
      <w:r w:rsidR="006B0560" w:rsidRPr="00CA26D1">
        <w:rPr>
          <w:b w:val="0"/>
          <w:szCs w:val="24"/>
        </w:rPr>
        <w:t>see Table 3’s description below for an explanation of the “Low” and “High” columns).</w:t>
      </w:r>
    </w:p>
    <w:p w:rsidR="00340DB7" w:rsidRPr="00CA26D1" w:rsidRDefault="00340DB7" w:rsidP="00D96D03">
      <w:pPr>
        <w:spacing w:before="240" w:after="240" w:line="240" w:lineRule="auto"/>
        <w:rPr>
          <w:rFonts w:ascii="Times New Roman" w:eastAsia="Times New Roman" w:hAnsi="Times New Roman" w:cs="Times New Roman"/>
          <w:b/>
          <w:bCs/>
          <w:color w:val="000000"/>
          <w:sz w:val="24"/>
          <w:szCs w:val="24"/>
        </w:rPr>
      </w:pPr>
      <w:bookmarkStart w:id="1" w:name="_Ref228754408"/>
      <w:r w:rsidRPr="00CA26D1">
        <w:rPr>
          <w:rFonts w:ascii="Times New Roman" w:eastAsia="Times New Roman" w:hAnsi="Times New Roman" w:cs="Times New Roman"/>
          <w:b/>
          <w:bCs/>
          <w:color w:val="000000"/>
          <w:sz w:val="24"/>
          <w:szCs w:val="24"/>
        </w:rPr>
        <w:t xml:space="preserve">Table </w:t>
      </w:r>
      <w:r w:rsidRPr="00CA26D1">
        <w:rPr>
          <w:rFonts w:ascii="Times New Roman" w:eastAsia="Times New Roman" w:hAnsi="Times New Roman" w:cs="Times New Roman"/>
          <w:b/>
          <w:bCs/>
          <w:color w:val="000000"/>
          <w:sz w:val="24"/>
          <w:szCs w:val="24"/>
        </w:rPr>
        <w:fldChar w:fldCharType="begin"/>
      </w:r>
      <w:r w:rsidRPr="00CA26D1">
        <w:rPr>
          <w:rFonts w:ascii="Times New Roman" w:eastAsia="Times New Roman" w:hAnsi="Times New Roman" w:cs="Times New Roman"/>
          <w:b/>
          <w:bCs/>
          <w:color w:val="000000"/>
          <w:sz w:val="24"/>
          <w:szCs w:val="24"/>
        </w:rPr>
        <w:instrText xml:space="preserve"> SEQ Table \* ARABIC </w:instrText>
      </w:r>
      <w:r w:rsidRPr="00CA26D1">
        <w:rPr>
          <w:rFonts w:ascii="Times New Roman" w:eastAsia="Times New Roman" w:hAnsi="Times New Roman" w:cs="Times New Roman"/>
          <w:b/>
          <w:bCs/>
          <w:color w:val="000000"/>
          <w:sz w:val="24"/>
          <w:szCs w:val="24"/>
        </w:rPr>
        <w:fldChar w:fldCharType="separate"/>
      </w:r>
      <w:r w:rsidR="00163C69" w:rsidRPr="00CA26D1">
        <w:rPr>
          <w:rFonts w:ascii="Times New Roman" w:eastAsia="Times New Roman" w:hAnsi="Times New Roman" w:cs="Times New Roman"/>
          <w:b/>
          <w:bCs/>
          <w:noProof/>
          <w:color w:val="000000"/>
          <w:sz w:val="24"/>
          <w:szCs w:val="24"/>
        </w:rPr>
        <w:t>1</w:t>
      </w:r>
      <w:r w:rsidRPr="00CA26D1">
        <w:rPr>
          <w:rFonts w:ascii="Times New Roman" w:eastAsia="Times New Roman" w:hAnsi="Times New Roman" w:cs="Times New Roman"/>
          <w:b/>
          <w:bCs/>
          <w:noProof/>
          <w:color w:val="000000"/>
          <w:sz w:val="24"/>
          <w:szCs w:val="24"/>
        </w:rPr>
        <w:fldChar w:fldCharType="end"/>
      </w:r>
      <w:bookmarkEnd w:id="1"/>
      <w:r w:rsidRPr="00CA26D1">
        <w:rPr>
          <w:rFonts w:ascii="Times New Roman" w:eastAsia="Times New Roman" w:hAnsi="Times New Roman" w:cs="Times New Roman"/>
          <w:b/>
          <w:bCs/>
          <w:color w:val="000000"/>
          <w:sz w:val="24"/>
          <w:szCs w:val="24"/>
        </w:rPr>
        <w:t>.  Summary of Annualized Cost Burden on Stakeholders by Year</w:t>
      </w:r>
    </w:p>
    <w:p w:rsidR="00530B27" w:rsidRPr="00CA26D1" w:rsidRDefault="00A65F06" w:rsidP="00A65F06">
      <w:pPr>
        <w:jc w:val="center"/>
        <w:rPr>
          <w:rFonts w:ascii="Times New Roman" w:hAnsi="Times New Roman" w:cs="Times New Roman"/>
          <w:b/>
          <w:sz w:val="24"/>
          <w:szCs w:val="24"/>
        </w:rPr>
      </w:pPr>
      <w:r w:rsidRPr="00CA26D1">
        <w:rPr>
          <w:rFonts w:ascii="Times New Roman" w:hAnsi="Times New Roman" w:cs="Times New Roman"/>
          <w:b/>
          <w:sz w:val="24"/>
          <w:szCs w:val="24"/>
        </w:rPr>
        <w:t>Annual Cost Burden (Estimated) by Project Year and Annually</w:t>
      </w:r>
    </w:p>
    <w:tbl>
      <w:tblPr>
        <w:tblStyle w:val="TableGrid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1. Summary of Annualized Cost Burden on Stakeholders by Year"/>
        <w:tblDescription w:val="Table 1 summarizes the annualized cost burden on stake holders across project years four, five, and six. For Project Years 4, 5 and 6: low $42,220; Expected $49,670, and high $57,120.  Total Cost low $166,660; expected $149.010, and high $171,360.  Average Annual Cost is low-$22,220, expected $49,670, and high is $57,120. "/>
      </w:tblPr>
      <w:tblGrid>
        <w:gridCol w:w="1616"/>
        <w:gridCol w:w="1616"/>
        <w:gridCol w:w="1616"/>
        <w:gridCol w:w="1617"/>
      </w:tblGrid>
      <w:tr w:rsidR="00A65F06" w:rsidRPr="00CA26D1" w:rsidTr="00D56C35">
        <w:trPr>
          <w:trHeight w:val="261"/>
          <w:tblHeader/>
          <w:jc w:val="center"/>
        </w:trPr>
        <w:tc>
          <w:tcPr>
            <w:tcW w:w="1616" w:type="dxa"/>
            <w:shd w:val="clear" w:color="auto" w:fill="C2D69B" w:themeFill="accent3" w:themeFillTint="99"/>
            <w:vAlign w:val="center"/>
          </w:tcPr>
          <w:p w:rsidR="00A65F06" w:rsidRPr="00CA26D1" w:rsidRDefault="00A65F06" w:rsidP="00A65F06">
            <w:pPr>
              <w:spacing w:before="60" w:after="60"/>
              <w:jc w:val="center"/>
              <w:rPr>
                <w:rFonts w:ascii="Times New Roman" w:hAnsi="Times New Roman"/>
                <w:b/>
                <w:sz w:val="24"/>
                <w:szCs w:val="24"/>
              </w:rPr>
            </w:pPr>
            <w:r w:rsidRPr="00CA26D1">
              <w:rPr>
                <w:rFonts w:ascii="Times New Roman" w:hAnsi="Times New Roman"/>
                <w:b/>
                <w:sz w:val="24"/>
                <w:szCs w:val="24"/>
              </w:rPr>
              <w:t>Project Year</w:t>
            </w:r>
          </w:p>
        </w:tc>
        <w:tc>
          <w:tcPr>
            <w:tcW w:w="1616" w:type="dxa"/>
            <w:shd w:val="clear" w:color="auto" w:fill="C2D69B" w:themeFill="accent3" w:themeFillTint="99"/>
            <w:vAlign w:val="center"/>
          </w:tcPr>
          <w:p w:rsidR="00A65F06" w:rsidRPr="00CA26D1" w:rsidRDefault="00A65F06" w:rsidP="00A65F06">
            <w:pPr>
              <w:spacing w:before="60" w:after="60"/>
              <w:jc w:val="center"/>
              <w:rPr>
                <w:rFonts w:ascii="Times New Roman" w:hAnsi="Times New Roman"/>
                <w:b/>
                <w:sz w:val="24"/>
                <w:szCs w:val="24"/>
              </w:rPr>
            </w:pPr>
            <w:r w:rsidRPr="00CA26D1">
              <w:rPr>
                <w:rFonts w:ascii="Times New Roman" w:hAnsi="Times New Roman"/>
                <w:b/>
                <w:sz w:val="24"/>
                <w:szCs w:val="24"/>
              </w:rPr>
              <w:t>Low</w:t>
            </w:r>
          </w:p>
        </w:tc>
        <w:tc>
          <w:tcPr>
            <w:tcW w:w="1616" w:type="dxa"/>
            <w:shd w:val="clear" w:color="auto" w:fill="C2D69B" w:themeFill="accent3" w:themeFillTint="99"/>
            <w:vAlign w:val="center"/>
          </w:tcPr>
          <w:p w:rsidR="00A65F06" w:rsidRPr="00CA26D1" w:rsidRDefault="00A65F06" w:rsidP="00A65F06">
            <w:pPr>
              <w:spacing w:before="60" w:after="60"/>
              <w:jc w:val="center"/>
              <w:rPr>
                <w:rFonts w:ascii="Times New Roman" w:hAnsi="Times New Roman"/>
                <w:b/>
                <w:sz w:val="24"/>
                <w:szCs w:val="24"/>
              </w:rPr>
            </w:pPr>
            <w:r w:rsidRPr="00CA26D1">
              <w:rPr>
                <w:rFonts w:ascii="Times New Roman" w:hAnsi="Times New Roman"/>
                <w:b/>
                <w:sz w:val="24"/>
                <w:szCs w:val="24"/>
              </w:rPr>
              <w:t>Expected</w:t>
            </w:r>
          </w:p>
        </w:tc>
        <w:tc>
          <w:tcPr>
            <w:tcW w:w="1617" w:type="dxa"/>
            <w:shd w:val="clear" w:color="auto" w:fill="C2D69B" w:themeFill="accent3" w:themeFillTint="99"/>
            <w:vAlign w:val="center"/>
          </w:tcPr>
          <w:p w:rsidR="00A65F06" w:rsidRPr="00CA26D1" w:rsidRDefault="00A65F06" w:rsidP="00A65F06">
            <w:pPr>
              <w:spacing w:before="60" w:after="60"/>
              <w:jc w:val="center"/>
              <w:rPr>
                <w:rFonts w:ascii="Times New Roman" w:hAnsi="Times New Roman"/>
                <w:b/>
                <w:sz w:val="24"/>
                <w:szCs w:val="24"/>
              </w:rPr>
            </w:pPr>
            <w:r w:rsidRPr="00CA26D1">
              <w:rPr>
                <w:rFonts w:ascii="Times New Roman" w:hAnsi="Times New Roman"/>
                <w:b/>
                <w:sz w:val="24"/>
                <w:szCs w:val="24"/>
              </w:rPr>
              <w:t>High</w:t>
            </w:r>
          </w:p>
        </w:tc>
      </w:tr>
      <w:tr w:rsidR="005D5557" w:rsidRPr="00CA26D1" w:rsidTr="001D10D7">
        <w:trPr>
          <w:trHeight w:val="261"/>
          <w:jc w:val="center"/>
        </w:trPr>
        <w:tc>
          <w:tcPr>
            <w:tcW w:w="1616" w:type="dxa"/>
            <w:shd w:val="clear" w:color="auto" w:fill="F2F2F2" w:themeFill="background1" w:themeFillShade="F2"/>
            <w:vAlign w:val="center"/>
          </w:tcPr>
          <w:p w:rsidR="00D96D03" w:rsidRPr="00CA26D1" w:rsidRDefault="00D96D03" w:rsidP="00D96D03">
            <w:pPr>
              <w:spacing w:before="60" w:after="60"/>
              <w:rPr>
                <w:rFonts w:ascii="Times New Roman" w:hAnsi="Times New Roman"/>
                <w:sz w:val="24"/>
                <w:szCs w:val="24"/>
              </w:rPr>
            </w:pPr>
            <w:r w:rsidRPr="00CA26D1">
              <w:rPr>
                <w:rFonts w:ascii="Times New Roman" w:hAnsi="Times New Roman"/>
                <w:sz w:val="24"/>
                <w:szCs w:val="24"/>
              </w:rPr>
              <w:t>Project Year 4</w:t>
            </w:r>
          </w:p>
        </w:tc>
        <w:tc>
          <w:tcPr>
            <w:tcW w:w="1616" w:type="dxa"/>
            <w:shd w:val="clear" w:color="auto" w:fill="F2F2F2" w:themeFill="background1" w:themeFillShade="F2"/>
            <w:vAlign w:val="center"/>
          </w:tcPr>
          <w:p w:rsidR="00D96D03" w:rsidRPr="00CA26D1" w:rsidRDefault="00F968DC" w:rsidP="00D96D03">
            <w:pPr>
              <w:spacing w:before="60" w:after="60"/>
              <w:rPr>
                <w:rFonts w:ascii="Times New Roman" w:hAnsi="Times New Roman"/>
                <w:sz w:val="24"/>
                <w:szCs w:val="24"/>
              </w:rPr>
            </w:pPr>
            <w:r w:rsidRPr="00CA26D1">
              <w:rPr>
                <w:rFonts w:ascii="Times New Roman" w:hAnsi="Times New Roman"/>
                <w:sz w:val="24"/>
                <w:szCs w:val="24"/>
              </w:rPr>
              <w:t>$42,220</w:t>
            </w:r>
          </w:p>
        </w:tc>
        <w:tc>
          <w:tcPr>
            <w:tcW w:w="1616" w:type="dxa"/>
            <w:shd w:val="clear" w:color="auto" w:fill="F2F2F2" w:themeFill="background1" w:themeFillShade="F2"/>
            <w:vAlign w:val="center"/>
          </w:tcPr>
          <w:p w:rsidR="00D96D03" w:rsidRPr="00CA26D1" w:rsidRDefault="00F968DC" w:rsidP="00D96D03">
            <w:pPr>
              <w:spacing w:before="60" w:after="60"/>
              <w:rPr>
                <w:rFonts w:ascii="Times New Roman" w:hAnsi="Times New Roman"/>
                <w:sz w:val="24"/>
                <w:szCs w:val="24"/>
              </w:rPr>
            </w:pPr>
            <w:r w:rsidRPr="00CA26D1">
              <w:rPr>
                <w:rFonts w:ascii="Times New Roman" w:hAnsi="Times New Roman"/>
                <w:sz w:val="24"/>
                <w:szCs w:val="24"/>
              </w:rPr>
              <w:t>$49,670</w:t>
            </w:r>
          </w:p>
        </w:tc>
        <w:tc>
          <w:tcPr>
            <w:tcW w:w="1617" w:type="dxa"/>
            <w:shd w:val="clear" w:color="auto" w:fill="F2F2F2" w:themeFill="background1" w:themeFillShade="F2"/>
            <w:vAlign w:val="center"/>
          </w:tcPr>
          <w:p w:rsidR="00D96D03" w:rsidRPr="00CA26D1" w:rsidRDefault="00F968DC" w:rsidP="00D96D03">
            <w:pPr>
              <w:spacing w:before="60" w:after="60"/>
              <w:rPr>
                <w:rFonts w:ascii="Times New Roman" w:hAnsi="Times New Roman"/>
                <w:sz w:val="24"/>
                <w:szCs w:val="24"/>
              </w:rPr>
            </w:pPr>
            <w:r w:rsidRPr="00CA26D1">
              <w:rPr>
                <w:rFonts w:ascii="Times New Roman" w:hAnsi="Times New Roman"/>
                <w:sz w:val="24"/>
                <w:szCs w:val="24"/>
              </w:rPr>
              <w:t>$57,120</w:t>
            </w:r>
          </w:p>
        </w:tc>
      </w:tr>
      <w:tr w:rsidR="00F968DC" w:rsidRPr="00CA26D1" w:rsidTr="001D10D7">
        <w:trPr>
          <w:trHeight w:val="261"/>
          <w:jc w:val="center"/>
        </w:trPr>
        <w:tc>
          <w:tcPr>
            <w:tcW w:w="1616"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Project Year 5</w:t>
            </w:r>
          </w:p>
        </w:tc>
        <w:tc>
          <w:tcPr>
            <w:tcW w:w="1616"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$42,220</w:t>
            </w:r>
          </w:p>
        </w:tc>
        <w:tc>
          <w:tcPr>
            <w:tcW w:w="1616"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$49,670</w:t>
            </w:r>
          </w:p>
        </w:tc>
        <w:tc>
          <w:tcPr>
            <w:tcW w:w="1617"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$57,120</w:t>
            </w:r>
          </w:p>
        </w:tc>
      </w:tr>
      <w:tr w:rsidR="00F968DC" w:rsidRPr="00CA26D1" w:rsidTr="001D10D7">
        <w:trPr>
          <w:trHeight w:val="261"/>
          <w:jc w:val="center"/>
        </w:trPr>
        <w:tc>
          <w:tcPr>
            <w:tcW w:w="1616"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Project Year 6</w:t>
            </w:r>
          </w:p>
        </w:tc>
        <w:tc>
          <w:tcPr>
            <w:tcW w:w="1616"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$42,220</w:t>
            </w:r>
          </w:p>
        </w:tc>
        <w:tc>
          <w:tcPr>
            <w:tcW w:w="1616"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$49,670</w:t>
            </w:r>
          </w:p>
        </w:tc>
        <w:tc>
          <w:tcPr>
            <w:tcW w:w="1617"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$57,120</w:t>
            </w:r>
          </w:p>
        </w:tc>
      </w:tr>
      <w:tr w:rsidR="005D5557" w:rsidRPr="00CA26D1" w:rsidTr="001D10D7">
        <w:trPr>
          <w:trHeight w:val="261"/>
          <w:jc w:val="center"/>
        </w:trPr>
        <w:tc>
          <w:tcPr>
            <w:tcW w:w="1616" w:type="dxa"/>
            <w:shd w:val="clear" w:color="auto" w:fill="F2F2F2" w:themeFill="background1" w:themeFillShade="F2"/>
            <w:vAlign w:val="center"/>
          </w:tcPr>
          <w:p w:rsidR="00340DB7" w:rsidRPr="00CA26D1" w:rsidRDefault="00340DB7" w:rsidP="00D96D03">
            <w:pPr>
              <w:spacing w:before="60" w:after="60"/>
              <w:rPr>
                <w:rFonts w:ascii="Times New Roman" w:hAnsi="Times New Roman"/>
                <w:b/>
                <w:sz w:val="24"/>
                <w:szCs w:val="24"/>
              </w:rPr>
            </w:pPr>
            <w:r w:rsidRPr="00CA26D1">
              <w:rPr>
                <w:rFonts w:ascii="Times New Roman" w:hAnsi="Times New Roman"/>
                <w:b/>
                <w:sz w:val="24"/>
                <w:szCs w:val="24"/>
              </w:rPr>
              <w:t>Total Cost</w:t>
            </w:r>
          </w:p>
        </w:tc>
        <w:tc>
          <w:tcPr>
            <w:tcW w:w="1616" w:type="dxa"/>
            <w:shd w:val="clear" w:color="auto" w:fill="F2F2F2" w:themeFill="background1" w:themeFillShade="F2"/>
            <w:vAlign w:val="center"/>
          </w:tcPr>
          <w:p w:rsidR="00340DB7" w:rsidRPr="00CA26D1" w:rsidRDefault="00F968DC" w:rsidP="00D96D03">
            <w:pPr>
              <w:spacing w:before="60" w:after="60"/>
              <w:rPr>
                <w:rFonts w:ascii="Times New Roman" w:hAnsi="Times New Roman"/>
                <w:b/>
                <w:sz w:val="24"/>
                <w:szCs w:val="24"/>
              </w:rPr>
            </w:pPr>
            <w:r w:rsidRPr="00CA26D1">
              <w:rPr>
                <w:rFonts w:ascii="Times New Roman" w:hAnsi="Times New Roman"/>
                <w:b/>
                <w:sz w:val="24"/>
                <w:szCs w:val="24"/>
              </w:rPr>
              <w:t>$166,660</w:t>
            </w:r>
          </w:p>
        </w:tc>
        <w:tc>
          <w:tcPr>
            <w:tcW w:w="1616" w:type="dxa"/>
            <w:shd w:val="clear" w:color="auto" w:fill="F2F2F2" w:themeFill="background1" w:themeFillShade="F2"/>
            <w:vAlign w:val="center"/>
          </w:tcPr>
          <w:p w:rsidR="00340DB7" w:rsidRPr="00CA26D1" w:rsidRDefault="00F968DC" w:rsidP="00D96D03">
            <w:pPr>
              <w:spacing w:before="60" w:after="60"/>
              <w:rPr>
                <w:rFonts w:ascii="Times New Roman" w:hAnsi="Times New Roman"/>
                <w:b/>
                <w:sz w:val="24"/>
                <w:szCs w:val="24"/>
              </w:rPr>
            </w:pPr>
            <w:r w:rsidRPr="00CA26D1">
              <w:rPr>
                <w:rFonts w:ascii="Times New Roman" w:hAnsi="Times New Roman"/>
                <w:b/>
                <w:sz w:val="24"/>
                <w:szCs w:val="24"/>
              </w:rPr>
              <w:t>$149,010</w:t>
            </w:r>
          </w:p>
        </w:tc>
        <w:tc>
          <w:tcPr>
            <w:tcW w:w="1617" w:type="dxa"/>
            <w:shd w:val="clear" w:color="auto" w:fill="F2F2F2" w:themeFill="background1" w:themeFillShade="F2"/>
            <w:vAlign w:val="center"/>
          </w:tcPr>
          <w:p w:rsidR="00340DB7" w:rsidRPr="00CA26D1" w:rsidRDefault="00F968DC" w:rsidP="00D96D03">
            <w:pPr>
              <w:spacing w:before="60" w:after="60"/>
              <w:rPr>
                <w:rFonts w:ascii="Times New Roman" w:hAnsi="Times New Roman"/>
                <w:b/>
                <w:sz w:val="24"/>
                <w:szCs w:val="24"/>
              </w:rPr>
            </w:pPr>
            <w:r w:rsidRPr="00CA26D1">
              <w:rPr>
                <w:rFonts w:ascii="Times New Roman" w:hAnsi="Times New Roman"/>
                <w:b/>
                <w:sz w:val="24"/>
                <w:szCs w:val="24"/>
              </w:rPr>
              <w:t>$171,360</w:t>
            </w:r>
          </w:p>
        </w:tc>
      </w:tr>
      <w:tr w:rsidR="00F968DC" w:rsidRPr="00CA26D1" w:rsidTr="001D10D7">
        <w:trPr>
          <w:trHeight w:val="261"/>
          <w:jc w:val="center"/>
        </w:trPr>
        <w:tc>
          <w:tcPr>
            <w:tcW w:w="1616" w:type="dxa"/>
            <w:shd w:val="clear" w:color="auto" w:fill="F2F2F2" w:themeFill="background1" w:themeFillShade="F2"/>
            <w:vAlign w:val="center"/>
          </w:tcPr>
          <w:p w:rsidR="00F968DC" w:rsidRPr="00CA26D1" w:rsidRDefault="00F968DC" w:rsidP="00F968DC">
            <w:pPr>
              <w:spacing w:before="60" w:after="60"/>
              <w:rPr>
                <w:rFonts w:ascii="Times New Roman" w:hAnsi="Times New Roman"/>
                <w:b/>
                <w:sz w:val="24"/>
                <w:szCs w:val="24"/>
              </w:rPr>
            </w:pPr>
            <w:r w:rsidRPr="00CA26D1">
              <w:rPr>
                <w:rFonts w:ascii="Times New Roman" w:hAnsi="Times New Roman"/>
                <w:b/>
                <w:sz w:val="24"/>
                <w:szCs w:val="24"/>
              </w:rPr>
              <w:t>Average Annual Cost</w:t>
            </w:r>
          </w:p>
        </w:tc>
        <w:tc>
          <w:tcPr>
            <w:tcW w:w="1616"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$42,220</w:t>
            </w:r>
          </w:p>
        </w:tc>
        <w:tc>
          <w:tcPr>
            <w:tcW w:w="1616"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$49,670</w:t>
            </w:r>
          </w:p>
        </w:tc>
        <w:tc>
          <w:tcPr>
            <w:tcW w:w="1617" w:type="dxa"/>
            <w:shd w:val="clear" w:color="auto" w:fill="F2F2F2" w:themeFill="background1" w:themeFillShade="F2"/>
            <w:vAlign w:val="center"/>
          </w:tcPr>
          <w:p w:rsidR="00F968DC" w:rsidRPr="00CA26D1" w:rsidRDefault="00F968DC" w:rsidP="00F968DC">
            <w:pPr>
              <w:spacing w:before="60" w:after="60"/>
              <w:rPr>
                <w:rFonts w:ascii="Times New Roman" w:hAnsi="Times New Roman"/>
                <w:sz w:val="24"/>
                <w:szCs w:val="24"/>
              </w:rPr>
            </w:pPr>
            <w:r w:rsidRPr="00CA26D1">
              <w:rPr>
                <w:rFonts w:ascii="Times New Roman" w:hAnsi="Times New Roman"/>
                <w:sz w:val="24"/>
                <w:szCs w:val="24"/>
              </w:rPr>
              <w:t>$57,120</w:t>
            </w:r>
          </w:p>
        </w:tc>
      </w:tr>
    </w:tbl>
    <w:p w:rsidR="00340DB7" w:rsidRPr="00CA26D1" w:rsidRDefault="00340DB7"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All interviews, whether for screening, the stakeholder interview, or background research will be conducted over the telephone to minimize burden.  Screenings and interviews will be conducted in </w:t>
      </w:r>
      <w:r w:rsidR="00006CDD" w:rsidRPr="00CA26D1">
        <w:rPr>
          <w:rFonts w:ascii="Times New Roman" w:eastAsia="Times New Roman" w:hAnsi="Times New Roman" w:cs="Times New Roman"/>
          <w:sz w:val="24"/>
          <w:szCs w:val="24"/>
        </w:rPr>
        <w:t xml:space="preserve">each </w:t>
      </w:r>
      <w:r w:rsidRPr="00CA26D1">
        <w:rPr>
          <w:rFonts w:ascii="Times New Roman" w:eastAsia="Times New Roman" w:hAnsi="Times New Roman" w:cs="Times New Roman"/>
          <w:sz w:val="24"/>
          <w:szCs w:val="24"/>
        </w:rPr>
        <w:t>project year</w:t>
      </w:r>
      <w:r w:rsidR="00006CDD" w:rsidRPr="00CA26D1">
        <w:rPr>
          <w:rFonts w:ascii="Times New Roman" w:eastAsia="Times New Roman" w:hAnsi="Times New Roman" w:cs="Times New Roman"/>
          <w:sz w:val="24"/>
          <w:szCs w:val="24"/>
        </w:rPr>
        <w:t xml:space="preserve"> in e</w:t>
      </w:r>
      <w:r w:rsidRPr="00CA26D1">
        <w:rPr>
          <w:rFonts w:ascii="Times New Roman" w:eastAsia="Times New Roman" w:hAnsi="Times New Roman" w:cs="Times New Roman"/>
          <w:sz w:val="24"/>
          <w:szCs w:val="24"/>
        </w:rPr>
        <w:t xml:space="preserve">ach of the Demonstration states, while the background research interviews will be conducted </w:t>
      </w:r>
      <w:r w:rsidR="00E81C35" w:rsidRPr="00CA26D1">
        <w:rPr>
          <w:rFonts w:ascii="Times New Roman" w:eastAsia="Times New Roman" w:hAnsi="Times New Roman" w:cs="Times New Roman"/>
          <w:sz w:val="24"/>
          <w:szCs w:val="24"/>
        </w:rPr>
        <w:t>two</w:t>
      </w:r>
      <w:r w:rsidRPr="00CA26D1">
        <w:rPr>
          <w:rFonts w:ascii="Times New Roman" w:eastAsia="Times New Roman" w:hAnsi="Times New Roman" w:cs="Times New Roman"/>
          <w:sz w:val="24"/>
          <w:szCs w:val="24"/>
        </w:rPr>
        <w:t xml:space="preserve"> times for each stakeholder category in </w:t>
      </w:r>
      <w:r w:rsidR="00006CDD" w:rsidRPr="00CA26D1">
        <w:rPr>
          <w:rFonts w:ascii="Times New Roman" w:eastAsia="Times New Roman" w:hAnsi="Times New Roman" w:cs="Times New Roman"/>
          <w:sz w:val="24"/>
          <w:szCs w:val="24"/>
        </w:rPr>
        <w:t xml:space="preserve">all </w:t>
      </w:r>
      <w:r w:rsidRPr="00CA26D1">
        <w:rPr>
          <w:rFonts w:ascii="Times New Roman" w:eastAsia="Times New Roman" w:hAnsi="Times New Roman" w:cs="Times New Roman"/>
          <w:sz w:val="24"/>
          <w:szCs w:val="24"/>
        </w:rPr>
        <w:t>project years</w:t>
      </w:r>
      <w:r w:rsidR="007B2115" w:rsidRPr="00CA26D1">
        <w:rPr>
          <w:rFonts w:ascii="Times New Roman" w:eastAsia="Times New Roman" w:hAnsi="Times New Roman" w:cs="Times New Roman"/>
          <w:sz w:val="24"/>
          <w:szCs w:val="24"/>
        </w:rPr>
        <w:t xml:space="preserve">.  </w:t>
      </w:r>
      <w:r w:rsidRPr="00CA26D1">
        <w:rPr>
          <w:rFonts w:ascii="Times New Roman" w:eastAsia="Times New Roman" w:hAnsi="Times New Roman" w:cs="Times New Roman"/>
          <w:sz w:val="24"/>
          <w:szCs w:val="24"/>
        </w:rPr>
        <w:t xml:space="preserve"> The annual time burden estimate calculations assume the following: </w:t>
      </w:r>
    </w:p>
    <w:p w:rsidR="00340DB7" w:rsidRPr="00CA26D1" w:rsidRDefault="00340DB7" w:rsidP="00006CDD">
      <w:pPr>
        <w:ind w:firstLine="360"/>
        <w:rPr>
          <w:rFonts w:ascii="Times New Roman" w:hAnsi="Times New Roman" w:cs="Times New Roman"/>
          <w:sz w:val="24"/>
          <w:szCs w:val="24"/>
        </w:rPr>
      </w:pPr>
      <w:r w:rsidRPr="00CA26D1">
        <w:rPr>
          <w:rFonts w:ascii="Times New Roman" w:hAnsi="Times New Roman" w:cs="Times New Roman"/>
          <w:sz w:val="24"/>
          <w:szCs w:val="24"/>
        </w:rPr>
        <w:t xml:space="preserve">30 minutes per screening interview, </w:t>
      </w:r>
    </w:p>
    <w:p w:rsidR="00340DB7" w:rsidRPr="00CA26D1" w:rsidRDefault="00340DB7" w:rsidP="00D96D03">
      <w:pPr>
        <w:spacing w:before="120" w:after="120" w:line="240" w:lineRule="auto"/>
        <w:ind w:left="720" w:hanging="360"/>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90 minutes for each stakeholder interview, </w:t>
      </w:r>
    </w:p>
    <w:p w:rsidR="00006CDD" w:rsidRPr="00CA26D1" w:rsidRDefault="00340DB7" w:rsidP="00D96D03">
      <w:pPr>
        <w:spacing w:before="120" w:after="120" w:line="240" w:lineRule="auto"/>
        <w:ind w:left="720" w:hanging="360"/>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120 minutes for each stakeholder interview</w:t>
      </w:r>
      <w:r w:rsidR="00006CDD" w:rsidRPr="00CA26D1">
        <w:rPr>
          <w:rFonts w:ascii="Times New Roman" w:eastAsia="Times New Roman" w:hAnsi="Times New Roman" w:cs="Times New Roman"/>
          <w:sz w:val="24"/>
          <w:szCs w:val="24"/>
        </w:rPr>
        <w:t>, and</w:t>
      </w:r>
      <w:r w:rsidR="00ED15F0" w:rsidRPr="00CA26D1">
        <w:rPr>
          <w:rFonts w:ascii="Times New Roman" w:eastAsia="Times New Roman" w:hAnsi="Times New Roman" w:cs="Times New Roman"/>
          <w:sz w:val="24"/>
          <w:szCs w:val="24"/>
        </w:rPr>
        <w:t xml:space="preserve"> </w:t>
      </w:r>
    </w:p>
    <w:p w:rsidR="00340DB7" w:rsidRPr="00CA26D1" w:rsidRDefault="00340DB7" w:rsidP="00D96D03">
      <w:pPr>
        <w:spacing w:before="120" w:after="120" w:line="240" w:lineRule="auto"/>
        <w:ind w:left="720" w:hanging="360"/>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90 minutes per</w:t>
      </w:r>
      <w:r w:rsidR="00006CDD" w:rsidRPr="00CA26D1">
        <w:rPr>
          <w:rFonts w:ascii="Times New Roman" w:eastAsia="Times New Roman" w:hAnsi="Times New Roman" w:cs="Times New Roman"/>
          <w:sz w:val="24"/>
          <w:szCs w:val="24"/>
        </w:rPr>
        <w:t xml:space="preserve"> background research interview</w:t>
      </w:r>
      <w:r w:rsidRPr="00CA26D1">
        <w:rPr>
          <w:rFonts w:ascii="Times New Roman" w:eastAsia="Times New Roman" w:hAnsi="Times New Roman" w:cs="Times New Roman"/>
          <w:sz w:val="24"/>
          <w:szCs w:val="24"/>
        </w:rPr>
        <w:t xml:space="preserve"> </w:t>
      </w:r>
    </w:p>
    <w:p w:rsidR="00F321F0" w:rsidRPr="00CA26D1" w:rsidRDefault="00340DB7" w:rsidP="00FD1A95">
      <w:pPr>
        <w:spacing w:before="240" w:after="240" w:line="240" w:lineRule="auto"/>
        <w:rPr>
          <w:rFonts w:ascii="Times New Roman" w:eastAsia="Times New Roman" w:hAnsi="Times New Roman" w:cs="Times New Roman"/>
          <w:sz w:val="24"/>
          <w:szCs w:val="24"/>
        </w:rPr>
      </w:pPr>
      <w:bookmarkStart w:id="2" w:name="_Ref352129234"/>
      <w:r w:rsidRPr="00CA26D1">
        <w:rPr>
          <w:rFonts w:ascii="Times New Roman" w:eastAsia="Times New Roman" w:hAnsi="Times New Roman" w:cs="Times New Roman"/>
          <w:sz w:val="24"/>
          <w:szCs w:val="24"/>
        </w:rPr>
        <w:t xml:space="preserve">When estimating the annual cost burden for each stakeholder, we referenced the </w:t>
      </w:r>
      <w:r w:rsidR="00FC7044" w:rsidRPr="00CA26D1">
        <w:rPr>
          <w:rFonts w:ascii="Times New Roman" w:eastAsia="Times New Roman" w:hAnsi="Times New Roman" w:cs="Times New Roman"/>
          <w:sz w:val="24"/>
          <w:szCs w:val="24"/>
        </w:rPr>
        <w:t xml:space="preserve">May 2015 </w:t>
      </w:r>
      <w:r w:rsidRPr="00CA26D1">
        <w:rPr>
          <w:rFonts w:ascii="Times New Roman" w:eastAsia="Times New Roman" w:hAnsi="Times New Roman" w:cs="Times New Roman"/>
          <w:sz w:val="24"/>
          <w:szCs w:val="24"/>
        </w:rPr>
        <w:t>Bureau of Labor Statistics (BLS) wage estimates</w:t>
      </w:r>
      <w:r w:rsidR="00FC5564">
        <w:rPr>
          <w:rFonts w:ascii="Times New Roman" w:eastAsia="Times New Roman" w:hAnsi="Times New Roman" w:cs="Times New Roman"/>
          <w:sz w:val="24"/>
          <w:szCs w:val="24"/>
        </w:rPr>
        <w:t xml:space="preserve"> (plus 100% fringe benefits rate)</w:t>
      </w:r>
      <w:r w:rsidRPr="00CA26D1">
        <w:rPr>
          <w:rFonts w:ascii="Times New Roman" w:eastAsia="Times New Roman" w:hAnsi="Times New Roman" w:cs="Times New Roman"/>
          <w:sz w:val="24"/>
          <w:szCs w:val="24"/>
        </w:rPr>
        <w:t xml:space="preserve">, as shown in </w:t>
      </w:r>
      <w:r w:rsidRPr="00FC5564">
        <w:rPr>
          <w:rFonts w:ascii="Times New Roman" w:eastAsia="Times New Roman" w:hAnsi="Times New Roman" w:cs="Times New Roman"/>
          <w:sz w:val="24"/>
          <w:szCs w:val="24"/>
        </w:rPr>
        <w:fldChar w:fldCharType="begin"/>
      </w:r>
      <w:r w:rsidRPr="00FC5564">
        <w:rPr>
          <w:rFonts w:ascii="Times New Roman" w:eastAsia="Times New Roman" w:hAnsi="Times New Roman" w:cs="Times New Roman"/>
          <w:sz w:val="24"/>
          <w:szCs w:val="24"/>
        </w:rPr>
        <w:instrText xml:space="preserve"> REF _Ref229135974 \h </w:instrText>
      </w:r>
      <w:r w:rsidR="00D96D03" w:rsidRPr="00FC5564">
        <w:rPr>
          <w:rFonts w:ascii="Times New Roman" w:eastAsia="Times New Roman" w:hAnsi="Times New Roman" w:cs="Times New Roman"/>
          <w:sz w:val="24"/>
          <w:szCs w:val="24"/>
        </w:rPr>
        <w:instrText xml:space="preserve"> \* MERGEFORMAT </w:instrText>
      </w:r>
      <w:r w:rsidRPr="00FC5564">
        <w:rPr>
          <w:rFonts w:ascii="Times New Roman" w:eastAsia="Times New Roman" w:hAnsi="Times New Roman" w:cs="Times New Roman"/>
          <w:sz w:val="24"/>
          <w:szCs w:val="24"/>
        </w:rPr>
      </w:r>
      <w:r w:rsidRPr="00FC5564">
        <w:rPr>
          <w:rFonts w:ascii="Times New Roman" w:eastAsia="Times New Roman" w:hAnsi="Times New Roman" w:cs="Times New Roman"/>
          <w:sz w:val="24"/>
          <w:szCs w:val="24"/>
        </w:rPr>
        <w:fldChar w:fldCharType="separate"/>
      </w:r>
      <w:r w:rsidR="00163C69" w:rsidRPr="00FC5564">
        <w:rPr>
          <w:rFonts w:ascii="Times New Roman" w:eastAsia="Times New Roman" w:hAnsi="Times New Roman" w:cs="Times New Roman"/>
          <w:bCs/>
          <w:sz w:val="24"/>
          <w:szCs w:val="24"/>
        </w:rPr>
        <w:t xml:space="preserve">Table </w:t>
      </w:r>
      <w:r w:rsidR="00163C69" w:rsidRPr="00FC5564">
        <w:rPr>
          <w:rFonts w:ascii="Times New Roman" w:eastAsia="Times New Roman" w:hAnsi="Times New Roman" w:cs="Times New Roman"/>
          <w:bCs/>
          <w:noProof/>
          <w:sz w:val="24"/>
          <w:szCs w:val="24"/>
        </w:rPr>
        <w:t>2</w:t>
      </w:r>
      <w:r w:rsidRPr="00FC5564">
        <w:rPr>
          <w:rFonts w:ascii="Times New Roman" w:eastAsia="Times New Roman" w:hAnsi="Times New Roman" w:cs="Times New Roman"/>
          <w:sz w:val="24"/>
          <w:szCs w:val="24"/>
        </w:rPr>
        <w:fldChar w:fldCharType="end"/>
      </w:r>
      <w:r w:rsidR="00B8220A" w:rsidRPr="00FC5564">
        <w:rPr>
          <w:rFonts w:ascii="Times New Roman" w:eastAsia="Times New Roman" w:hAnsi="Times New Roman" w:cs="Times New Roman"/>
          <w:sz w:val="24"/>
          <w:szCs w:val="24"/>
        </w:rPr>
        <w:t>.</w:t>
      </w:r>
      <w:bookmarkStart w:id="3" w:name="_Ref229135974"/>
      <w:bookmarkEnd w:id="2"/>
      <w:r w:rsidR="00CA26D1">
        <w:rPr>
          <w:rFonts w:ascii="Times New Roman" w:eastAsia="Times New Roman" w:hAnsi="Times New Roman" w:cs="Times New Roman"/>
          <w:sz w:val="24"/>
          <w:szCs w:val="24"/>
        </w:rPr>
        <w:t xml:space="preserve"> </w:t>
      </w:r>
    </w:p>
    <w:p w:rsidR="00340DB7" w:rsidRPr="00CA26D1" w:rsidRDefault="00340DB7" w:rsidP="00FD1A95">
      <w:pPr>
        <w:spacing w:before="240" w:after="240" w:line="240" w:lineRule="auto"/>
        <w:rPr>
          <w:rFonts w:ascii="Times New Roman" w:eastAsia="Times New Roman" w:hAnsi="Times New Roman" w:cs="Times New Roman"/>
          <w:b/>
          <w:bCs/>
          <w:sz w:val="24"/>
          <w:szCs w:val="24"/>
        </w:rPr>
      </w:pPr>
      <w:r w:rsidRPr="00CA26D1">
        <w:rPr>
          <w:rFonts w:ascii="Times New Roman" w:eastAsia="Times New Roman" w:hAnsi="Times New Roman" w:cs="Times New Roman"/>
          <w:b/>
          <w:bCs/>
          <w:sz w:val="24"/>
          <w:szCs w:val="24"/>
        </w:rPr>
        <w:t xml:space="preserve">Table </w:t>
      </w:r>
      <w:r w:rsidRPr="00CA26D1">
        <w:rPr>
          <w:rFonts w:ascii="Times New Roman" w:eastAsia="Times New Roman" w:hAnsi="Times New Roman" w:cs="Times New Roman"/>
          <w:b/>
          <w:bCs/>
          <w:sz w:val="24"/>
          <w:szCs w:val="24"/>
        </w:rPr>
        <w:fldChar w:fldCharType="begin"/>
      </w:r>
      <w:r w:rsidRPr="00CA26D1">
        <w:rPr>
          <w:rFonts w:ascii="Times New Roman" w:eastAsia="Times New Roman" w:hAnsi="Times New Roman" w:cs="Times New Roman"/>
          <w:b/>
          <w:bCs/>
          <w:sz w:val="24"/>
          <w:szCs w:val="24"/>
        </w:rPr>
        <w:instrText xml:space="preserve"> SEQ Table \* ARABIC </w:instrText>
      </w:r>
      <w:r w:rsidRPr="00CA26D1">
        <w:rPr>
          <w:rFonts w:ascii="Times New Roman" w:eastAsia="Times New Roman" w:hAnsi="Times New Roman" w:cs="Times New Roman"/>
          <w:b/>
          <w:bCs/>
          <w:sz w:val="24"/>
          <w:szCs w:val="24"/>
        </w:rPr>
        <w:fldChar w:fldCharType="separate"/>
      </w:r>
      <w:r w:rsidR="00163C69" w:rsidRPr="00CA26D1">
        <w:rPr>
          <w:rFonts w:ascii="Times New Roman" w:eastAsia="Times New Roman" w:hAnsi="Times New Roman" w:cs="Times New Roman"/>
          <w:b/>
          <w:bCs/>
          <w:noProof/>
          <w:sz w:val="24"/>
          <w:szCs w:val="24"/>
        </w:rPr>
        <w:t>2</w:t>
      </w:r>
      <w:r w:rsidRPr="00CA26D1">
        <w:rPr>
          <w:rFonts w:ascii="Times New Roman" w:eastAsia="Times New Roman" w:hAnsi="Times New Roman" w:cs="Times New Roman"/>
          <w:b/>
          <w:bCs/>
          <w:noProof/>
          <w:sz w:val="24"/>
          <w:szCs w:val="24"/>
        </w:rPr>
        <w:fldChar w:fldCharType="end"/>
      </w:r>
      <w:bookmarkEnd w:id="3"/>
      <w:r w:rsidRPr="00CA26D1">
        <w:rPr>
          <w:rFonts w:ascii="Times New Roman" w:eastAsia="Times New Roman" w:hAnsi="Times New Roman" w:cs="Times New Roman"/>
          <w:b/>
          <w:bCs/>
          <w:sz w:val="24"/>
          <w:szCs w:val="24"/>
        </w:rPr>
        <w:t>.  Mean Hourly Wage Estimates for each Stakeholder Category</w:t>
      </w:r>
    </w:p>
    <w:tbl>
      <w:tblPr>
        <w:tblStyle w:val="TableGrid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2.  Mean Hourly Wage Estimates for each Stakeholder Category"/>
        <w:tblDescription w:val="Estimates of annual cost burden for each stakeholder for years 4, 5, and 6.  The May 2015 Bureaaus of Labor Statistics (BLS) wage estimates was used.  For Practitioners in year 4,5, and 6 equals $184.73.  For State and Local Government for years 4, 5, and 6 equals $196.10. For PMD Suppliers for years 4,5, and 6 equals $66.44.  For Advocates for years 4, 5, and 6 equals $47.76."/>
      </w:tblPr>
      <w:tblGrid>
        <w:gridCol w:w="2935"/>
        <w:gridCol w:w="1261"/>
        <w:gridCol w:w="1261"/>
        <w:gridCol w:w="1197"/>
      </w:tblGrid>
      <w:tr w:rsidR="00DE2AE3" w:rsidRPr="00CA26D1" w:rsidTr="00916306">
        <w:trPr>
          <w:trHeight w:val="301"/>
          <w:tblHeader/>
          <w:jc w:val="center"/>
        </w:trPr>
        <w:tc>
          <w:tcPr>
            <w:tcW w:w="2935" w:type="dxa"/>
            <w:tcBorders>
              <w:top w:val="single" w:sz="12" w:space="0" w:color="BFBFBF" w:themeColor="background1" w:themeShade="BF"/>
            </w:tcBorders>
            <w:shd w:val="clear" w:color="auto" w:fill="C2D69B" w:themeFill="accent3" w:themeFillTint="99"/>
            <w:vAlign w:val="center"/>
          </w:tcPr>
          <w:p w:rsidR="00DE2AE3" w:rsidRPr="00CA26D1" w:rsidRDefault="00DE2AE3" w:rsidP="00D96D03">
            <w:pPr>
              <w:keepNext/>
              <w:keepLines/>
              <w:spacing w:before="60" w:after="60"/>
              <w:rPr>
                <w:rFonts w:ascii="Times New Roman" w:hAnsi="Times New Roman"/>
                <w:b/>
                <w:sz w:val="24"/>
                <w:szCs w:val="24"/>
              </w:rPr>
            </w:pPr>
            <w:r w:rsidRPr="00CA26D1">
              <w:rPr>
                <w:rFonts w:ascii="Times New Roman" w:hAnsi="Times New Roman"/>
                <w:b/>
                <w:sz w:val="24"/>
                <w:szCs w:val="24"/>
              </w:rPr>
              <w:t>Stakeholder Category</w:t>
            </w:r>
          </w:p>
        </w:tc>
        <w:tc>
          <w:tcPr>
            <w:tcW w:w="1261" w:type="dxa"/>
            <w:tcBorders>
              <w:top w:val="single" w:sz="12" w:space="0" w:color="BFBFBF" w:themeColor="background1" w:themeShade="BF"/>
            </w:tcBorders>
            <w:shd w:val="clear" w:color="auto" w:fill="C2D69B" w:themeFill="accent3" w:themeFillTint="99"/>
          </w:tcPr>
          <w:p w:rsidR="00DE2AE3" w:rsidRPr="00CA26D1" w:rsidRDefault="00DE2AE3" w:rsidP="00D96D03">
            <w:pPr>
              <w:keepNext/>
              <w:keepLines/>
              <w:spacing w:before="60" w:after="60"/>
              <w:rPr>
                <w:rFonts w:ascii="Times New Roman" w:hAnsi="Times New Roman"/>
                <w:b/>
                <w:sz w:val="24"/>
                <w:szCs w:val="24"/>
              </w:rPr>
            </w:pPr>
            <w:r w:rsidRPr="00CA26D1">
              <w:rPr>
                <w:rFonts w:ascii="Times New Roman" w:hAnsi="Times New Roman"/>
                <w:b/>
                <w:sz w:val="24"/>
                <w:szCs w:val="24"/>
              </w:rPr>
              <w:t>Project Year 4</w:t>
            </w:r>
          </w:p>
        </w:tc>
        <w:tc>
          <w:tcPr>
            <w:tcW w:w="1261" w:type="dxa"/>
            <w:tcBorders>
              <w:top w:val="single" w:sz="12" w:space="0" w:color="BFBFBF" w:themeColor="background1" w:themeShade="BF"/>
            </w:tcBorders>
            <w:shd w:val="clear" w:color="auto" w:fill="C2D69B" w:themeFill="accent3" w:themeFillTint="99"/>
          </w:tcPr>
          <w:p w:rsidR="00DE2AE3" w:rsidRPr="00CA26D1" w:rsidRDefault="00DE2AE3" w:rsidP="00D96D03">
            <w:pPr>
              <w:keepNext/>
              <w:keepLines/>
              <w:spacing w:before="60" w:after="60"/>
              <w:rPr>
                <w:rFonts w:ascii="Times New Roman" w:hAnsi="Times New Roman"/>
                <w:b/>
                <w:sz w:val="24"/>
                <w:szCs w:val="24"/>
              </w:rPr>
            </w:pPr>
            <w:r w:rsidRPr="00CA26D1">
              <w:rPr>
                <w:rFonts w:ascii="Times New Roman" w:hAnsi="Times New Roman"/>
                <w:b/>
                <w:sz w:val="24"/>
                <w:szCs w:val="24"/>
              </w:rPr>
              <w:t>Project Year 5</w:t>
            </w:r>
          </w:p>
        </w:tc>
        <w:tc>
          <w:tcPr>
            <w:tcW w:w="1197" w:type="dxa"/>
            <w:tcBorders>
              <w:top w:val="single" w:sz="12" w:space="0" w:color="BFBFBF" w:themeColor="background1" w:themeShade="BF"/>
            </w:tcBorders>
            <w:shd w:val="clear" w:color="auto" w:fill="C2D69B" w:themeFill="accent3" w:themeFillTint="99"/>
          </w:tcPr>
          <w:p w:rsidR="00DE2AE3" w:rsidRPr="00CA26D1" w:rsidRDefault="00DE2AE3" w:rsidP="00D96D03">
            <w:pPr>
              <w:keepNext/>
              <w:keepLines/>
              <w:spacing w:before="60" w:after="60"/>
              <w:rPr>
                <w:rFonts w:ascii="Times New Roman" w:hAnsi="Times New Roman"/>
                <w:b/>
                <w:sz w:val="24"/>
                <w:szCs w:val="24"/>
              </w:rPr>
            </w:pPr>
            <w:r w:rsidRPr="00CA26D1">
              <w:rPr>
                <w:rFonts w:ascii="Times New Roman" w:hAnsi="Times New Roman"/>
                <w:b/>
                <w:sz w:val="24"/>
                <w:szCs w:val="24"/>
              </w:rPr>
              <w:t>Project Year 6</w:t>
            </w:r>
          </w:p>
        </w:tc>
      </w:tr>
      <w:tr w:rsidR="00B8220A" w:rsidRPr="00CA26D1" w:rsidTr="001731D1">
        <w:trPr>
          <w:trHeight w:val="301"/>
          <w:jc w:val="center"/>
        </w:trPr>
        <w:tc>
          <w:tcPr>
            <w:tcW w:w="2935" w:type="dxa"/>
            <w:tcBorders>
              <w:top w:val="single" w:sz="12" w:space="0" w:color="BFBFBF" w:themeColor="background1" w:themeShade="BF"/>
            </w:tcBorders>
            <w:shd w:val="clear" w:color="auto" w:fill="F2F2F2" w:themeFill="background1" w:themeFillShade="F2"/>
            <w:vAlign w:val="center"/>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Practitioners</w:t>
            </w:r>
          </w:p>
        </w:tc>
        <w:tc>
          <w:tcPr>
            <w:tcW w:w="1261" w:type="dxa"/>
            <w:tcBorders>
              <w:top w:val="single" w:sz="12" w:space="0" w:color="BFBFBF" w:themeColor="background1" w:themeShade="BF"/>
            </w:tcBorders>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$184.72</w:t>
            </w:r>
          </w:p>
        </w:tc>
        <w:tc>
          <w:tcPr>
            <w:tcW w:w="1261" w:type="dxa"/>
            <w:tcBorders>
              <w:top w:val="single" w:sz="12" w:space="0" w:color="BFBFBF" w:themeColor="background1" w:themeShade="BF"/>
            </w:tcBorders>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$184.72</w:t>
            </w:r>
          </w:p>
        </w:tc>
        <w:tc>
          <w:tcPr>
            <w:tcW w:w="1197" w:type="dxa"/>
            <w:tcBorders>
              <w:top w:val="single" w:sz="12" w:space="0" w:color="BFBFBF" w:themeColor="background1" w:themeShade="BF"/>
            </w:tcBorders>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$184.72</w:t>
            </w:r>
          </w:p>
        </w:tc>
      </w:tr>
      <w:tr w:rsidR="00B8220A" w:rsidRPr="00CA26D1" w:rsidTr="001731D1">
        <w:trPr>
          <w:trHeight w:val="301"/>
          <w:jc w:val="center"/>
        </w:trPr>
        <w:tc>
          <w:tcPr>
            <w:tcW w:w="2935" w:type="dxa"/>
            <w:shd w:val="clear" w:color="auto" w:fill="F2F2F2" w:themeFill="background1" w:themeFillShade="F2"/>
            <w:vAlign w:val="center"/>
          </w:tcPr>
          <w:p w:rsidR="00B8220A" w:rsidRPr="00CA26D1" w:rsidRDefault="00B8220A" w:rsidP="00B8220A">
            <w:pPr>
              <w:keepNext/>
              <w:keepLines/>
              <w:spacing w:before="60" w:after="60"/>
              <w:rPr>
                <w:rFonts w:ascii="Times New Roman" w:hAnsi="Times New Roman"/>
                <w:sz w:val="24"/>
                <w:szCs w:val="24"/>
              </w:rPr>
            </w:pPr>
            <w:r w:rsidRPr="00CA26D1">
              <w:rPr>
                <w:rFonts w:ascii="Times New Roman" w:hAnsi="Times New Roman"/>
                <w:sz w:val="24"/>
                <w:szCs w:val="24"/>
              </w:rPr>
              <w:t>State and Local Government</w:t>
            </w:r>
          </w:p>
        </w:tc>
        <w:tc>
          <w:tcPr>
            <w:tcW w:w="1261" w:type="dxa"/>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$106.10</w:t>
            </w:r>
          </w:p>
        </w:tc>
        <w:tc>
          <w:tcPr>
            <w:tcW w:w="1261" w:type="dxa"/>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$106.10</w:t>
            </w:r>
          </w:p>
        </w:tc>
        <w:tc>
          <w:tcPr>
            <w:tcW w:w="1197" w:type="dxa"/>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$106.10</w:t>
            </w:r>
          </w:p>
        </w:tc>
      </w:tr>
      <w:tr w:rsidR="00B8220A" w:rsidRPr="00CA26D1" w:rsidTr="001731D1">
        <w:trPr>
          <w:trHeight w:val="301"/>
          <w:jc w:val="center"/>
        </w:trPr>
        <w:tc>
          <w:tcPr>
            <w:tcW w:w="2935" w:type="dxa"/>
            <w:shd w:val="clear" w:color="auto" w:fill="F2F2F2" w:themeFill="background1" w:themeFillShade="F2"/>
            <w:vAlign w:val="center"/>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PMD Suppliers</w:t>
            </w:r>
          </w:p>
        </w:tc>
        <w:tc>
          <w:tcPr>
            <w:tcW w:w="1261" w:type="dxa"/>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$66.44</w:t>
            </w:r>
          </w:p>
        </w:tc>
        <w:tc>
          <w:tcPr>
            <w:tcW w:w="1261" w:type="dxa"/>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$66.44</w:t>
            </w:r>
          </w:p>
        </w:tc>
        <w:tc>
          <w:tcPr>
            <w:tcW w:w="1197" w:type="dxa"/>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$66.44</w:t>
            </w:r>
          </w:p>
        </w:tc>
      </w:tr>
      <w:tr w:rsidR="00B8220A" w:rsidRPr="00CA26D1" w:rsidTr="001731D1">
        <w:trPr>
          <w:trHeight w:val="301"/>
          <w:jc w:val="center"/>
        </w:trPr>
        <w:tc>
          <w:tcPr>
            <w:tcW w:w="2935" w:type="dxa"/>
            <w:shd w:val="clear" w:color="auto" w:fill="F2F2F2" w:themeFill="background1" w:themeFillShade="F2"/>
            <w:vAlign w:val="center"/>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Advocates</w:t>
            </w:r>
          </w:p>
        </w:tc>
        <w:tc>
          <w:tcPr>
            <w:tcW w:w="1261" w:type="dxa"/>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$47.76</w:t>
            </w:r>
          </w:p>
        </w:tc>
        <w:tc>
          <w:tcPr>
            <w:tcW w:w="1261" w:type="dxa"/>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$47.76</w:t>
            </w:r>
          </w:p>
        </w:tc>
        <w:tc>
          <w:tcPr>
            <w:tcW w:w="1197" w:type="dxa"/>
            <w:shd w:val="clear" w:color="auto" w:fill="F2F2F2" w:themeFill="background1" w:themeFillShade="F2"/>
          </w:tcPr>
          <w:p w:rsidR="00B8220A" w:rsidRPr="00CA26D1" w:rsidRDefault="00B8220A" w:rsidP="00D96D03">
            <w:pPr>
              <w:keepNext/>
              <w:keepLines/>
              <w:spacing w:before="60" w:after="60"/>
              <w:rPr>
                <w:rFonts w:ascii="Times New Roman" w:hAnsi="Times New Roman"/>
                <w:sz w:val="24"/>
                <w:szCs w:val="24"/>
              </w:rPr>
            </w:pPr>
            <w:r w:rsidRPr="00CA26D1">
              <w:rPr>
                <w:rFonts w:ascii="Times New Roman" w:hAnsi="Times New Roman"/>
                <w:sz w:val="24"/>
                <w:szCs w:val="24"/>
              </w:rPr>
              <w:t>$47.76</w:t>
            </w:r>
          </w:p>
        </w:tc>
      </w:tr>
    </w:tbl>
    <w:p w:rsidR="00340DB7" w:rsidRPr="00CA26D1" w:rsidRDefault="00340DB7" w:rsidP="00D96D03">
      <w:pPr>
        <w:spacing w:before="240" w:after="240" w:line="240" w:lineRule="auto"/>
        <w:rPr>
          <w:rFonts w:ascii="Times New Roman" w:eastAsia="Times New Roman" w:hAnsi="Times New Roman" w:cs="Times New Roman"/>
          <w:sz w:val="24"/>
          <w:szCs w:val="24"/>
        </w:rPr>
      </w:pPr>
      <w:r w:rsidRPr="00CA26D1">
        <w:rPr>
          <w:rFonts w:ascii="Times New Roman" w:eastAsia="Times New Roman" w:hAnsi="Times New Roman" w:cs="Times New Roman"/>
          <w:sz w:val="24"/>
          <w:szCs w:val="24"/>
        </w:rPr>
        <w:t xml:space="preserve">For planning purposes, we have estimated the number of interviews we expect to conduct by stakeholder </w:t>
      </w:r>
      <w:r w:rsidR="00AB75EF" w:rsidRPr="00CA26D1">
        <w:rPr>
          <w:rFonts w:ascii="Times New Roman" w:eastAsia="Times New Roman" w:hAnsi="Times New Roman" w:cs="Times New Roman"/>
          <w:sz w:val="24"/>
          <w:szCs w:val="24"/>
        </w:rPr>
        <w:t>category;</w:t>
      </w:r>
      <w:r w:rsidRPr="00CA26D1">
        <w:rPr>
          <w:rFonts w:ascii="Times New Roman" w:eastAsia="Times New Roman" w:hAnsi="Times New Roman" w:cs="Times New Roman"/>
          <w:sz w:val="24"/>
          <w:szCs w:val="24"/>
        </w:rPr>
        <w:t xml:space="preserve"> however we expect the distribution in each state may vary from year to year depending on stakeholder availability and willingness to participate. To illustrate this uncertainty, we have calculated 15% upper and lower bounds for the annual cost burdens to reflect the potential high and low variances on our cost estimates.</w:t>
      </w:r>
    </w:p>
    <w:p w:rsidR="00190895" w:rsidRPr="00CA26D1" w:rsidRDefault="00FC7044" w:rsidP="001D10D7">
      <w:pPr>
        <w:pStyle w:val="Caption"/>
        <w:keepNext/>
        <w:keepLines/>
        <w:spacing w:after="0"/>
        <w:jc w:val="left"/>
        <w:rPr>
          <w:szCs w:val="24"/>
        </w:rPr>
      </w:pPr>
      <w:r w:rsidRPr="00CA26D1">
        <w:rPr>
          <w:b w:val="0"/>
          <w:color w:val="auto"/>
          <w:szCs w:val="24"/>
        </w:rPr>
        <w:t>W</w:t>
      </w:r>
      <w:r w:rsidR="00340DB7" w:rsidRPr="00CA26D1">
        <w:rPr>
          <w:b w:val="0"/>
          <w:color w:val="auto"/>
          <w:szCs w:val="24"/>
        </w:rPr>
        <w:t xml:space="preserve">e expect the overall average annual number interviews to be </w:t>
      </w:r>
      <w:r w:rsidR="00836FEE" w:rsidRPr="00CA26D1">
        <w:rPr>
          <w:b w:val="0"/>
          <w:color w:val="auto"/>
          <w:szCs w:val="24"/>
        </w:rPr>
        <w:t>182</w:t>
      </w:r>
      <w:r w:rsidR="00340DB7" w:rsidRPr="00CA26D1">
        <w:rPr>
          <w:b w:val="0"/>
          <w:color w:val="auto"/>
          <w:szCs w:val="24"/>
        </w:rPr>
        <w:t xml:space="preserve"> for the Private Sector and </w:t>
      </w:r>
      <w:r w:rsidR="00836FEE" w:rsidRPr="00CA26D1">
        <w:rPr>
          <w:b w:val="0"/>
          <w:color w:val="auto"/>
          <w:szCs w:val="24"/>
        </w:rPr>
        <w:t>21</w:t>
      </w:r>
      <w:r w:rsidR="00340DB7" w:rsidRPr="00CA26D1">
        <w:rPr>
          <w:b w:val="0"/>
          <w:color w:val="auto"/>
          <w:szCs w:val="24"/>
        </w:rPr>
        <w:t xml:space="preserve"> for State and Local Government; the average annual hour burdens are </w:t>
      </w:r>
      <w:r w:rsidRPr="00CA26D1">
        <w:rPr>
          <w:b w:val="0"/>
          <w:color w:val="auto"/>
          <w:szCs w:val="24"/>
        </w:rPr>
        <w:t>364</w:t>
      </w:r>
      <w:r w:rsidR="00340DB7" w:rsidRPr="00CA26D1">
        <w:rPr>
          <w:b w:val="0"/>
          <w:color w:val="auto"/>
          <w:szCs w:val="24"/>
        </w:rPr>
        <w:t xml:space="preserve"> and </w:t>
      </w:r>
      <w:r w:rsidRPr="00CA26D1">
        <w:rPr>
          <w:b w:val="0"/>
          <w:color w:val="auto"/>
          <w:szCs w:val="24"/>
        </w:rPr>
        <w:t>42</w:t>
      </w:r>
      <w:r w:rsidR="00340DB7" w:rsidRPr="00CA26D1">
        <w:rPr>
          <w:b w:val="0"/>
          <w:color w:val="auto"/>
          <w:szCs w:val="24"/>
        </w:rPr>
        <w:t xml:space="preserve"> hours, respectively.</w:t>
      </w:r>
      <w:r w:rsidR="001D10D7" w:rsidRPr="00CA26D1">
        <w:rPr>
          <w:b w:val="0"/>
          <w:color w:val="auto"/>
          <w:szCs w:val="24"/>
        </w:rPr>
        <w:tab/>
      </w:r>
    </w:p>
    <w:p w:rsidR="004F3DAD" w:rsidRPr="00CA26D1" w:rsidRDefault="004F3DAD" w:rsidP="00D96D03">
      <w:pPr>
        <w:pStyle w:val="Caption"/>
        <w:keepNext/>
        <w:keepLines/>
        <w:spacing w:after="0"/>
        <w:jc w:val="left"/>
        <w:rPr>
          <w:szCs w:val="24"/>
        </w:rPr>
        <w:sectPr w:rsidR="004F3DAD" w:rsidRPr="00CA26D1" w:rsidSect="004F3DAD">
          <w:footerReference w:type="default" r:id="rId9"/>
          <w:pgSz w:w="12240" w:h="15840"/>
          <w:pgMar w:top="1440" w:right="1440" w:bottom="1440" w:left="1440" w:header="720" w:footer="720" w:gutter="0"/>
          <w:cols w:space="720"/>
          <w:docGrid w:linePitch="360"/>
        </w:sectPr>
      </w:pPr>
      <w:bookmarkStart w:id="4" w:name="_Ref228754750"/>
    </w:p>
    <w:p w:rsidR="00190895" w:rsidRPr="00CA26D1" w:rsidRDefault="00190895" w:rsidP="00163C69">
      <w:pPr>
        <w:pStyle w:val="Caption"/>
        <w:keepNext/>
        <w:keepLines/>
        <w:spacing w:after="0"/>
        <w:jc w:val="left"/>
        <w:rPr>
          <w:szCs w:val="24"/>
        </w:rPr>
      </w:pPr>
      <w:r w:rsidRPr="00CA26D1">
        <w:rPr>
          <w:szCs w:val="24"/>
        </w:rPr>
        <w:t xml:space="preserve">Table </w:t>
      </w:r>
      <w:r w:rsidR="00163C69" w:rsidRPr="00CA26D1">
        <w:rPr>
          <w:szCs w:val="24"/>
        </w:rPr>
        <w:fldChar w:fldCharType="begin"/>
      </w:r>
      <w:r w:rsidR="00163C69" w:rsidRPr="00CA26D1">
        <w:rPr>
          <w:szCs w:val="24"/>
        </w:rPr>
        <w:instrText xml:space="preserve"> SEQ Table \* ARABIC </w:instrText>
      </w:r>
      <w:r w:rsidR="00163C69" w:rsidRPr="00CA26D1">
        <w:rPr>
          <w:szCs w:val="24"/>
        </w:rPr>
        <w:fldChar w:fldCharType="separate"/>
      </w:r>
      <w:r w:rsidR="00163C69" w:rsidRPr="00CA26D1">
        <w:rPr>
          <w:noProof/>
          <w:szCs w:val="24"/>
        </w:rPr>
        <w:t>3</w:t>
      </w:r>
      <w:r w:rsidR="00163C69" w:rsidRPr="00CA26D1">
        <w:rPr>
          <w:noProof/>
          <w:szCs w:val="24"/>
        </w:rPr>
        <w:fldChar w:fldCharType="end"/>
      </w:r>
      <w:bookmarkEnd w:id="4"/>
      <w:r w:rsidRPr="00CA26D1">
        <w:rPr>
          <w:szCs w:val="24"/>
        </w:rPr>
        <w:t>.  Estimated Annualized Cost Burden on Summary Stakeholder</w:t>
      </w:r>
      <w:r w:rsidR="00163C69" w:rsidRPr="00CA26D1">
        <w:rPr>
          <w:szCs w:val="24"/>
        </w:rPr>
        <w:t xml:space="preserve"> </w:t>
      </w:r>
      <w:r w:rsidRPr="00CA26D1">
        <w:rPr>
          <w:szCs w:val="24"/>
        </w:rPr>
        <w:t>Categories</w:t>
      </w:r>
    </w:p>
    <w:p w:rsidR="00163C69" w:rsidRPr="00CA26D1" w:rsidRDefault="00163C69" w:rsidP="00163C69">
      <w:pPr>
        <w:rPr>
          <w:rFonts w:ascii="Times New Roman" w:hAnsi="Times New Roman" w:cs="Times New Roman"/>
          <w:sz w:val="24"/>
          <w:szCs w:val="24"/>
        </w:rPr>
      </w:pPr>
    </w:p>
    <w:tbl>
      <w:tblPr>
        <w:tblStyle w:val="TableGrid"/>
        <w:tblW w:w="1298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3. Estimated Annualized Cost Burden on Summary Stakeholder Categories"/>
        <w:tblDescription w:val="This table shows the estimates for the number of interviews, Annual Time Burden in hours, and annual estimated cost burden by Stakeholder Category for Project years 4, 5, and 6."/>
      </w:tblPr>
      <w:tblGrid>
        <w:gridCol w:w="919"/>
        <w:gridCol w:w="1386"/>
        <w:gridCol w:w="1172"/>
        <w:gridCol w:w="1234"/>
        <w:gridCol w:w="1411"/>
        <w:gridCol w:w="1172"/>
        <w:gridCol w:w="1234"/>
        <w:gridCol w:w="1411"/>
        <w:gridCol w:w="1064"/>
        <w:gridCol w:w="1109"/>
        <w:gridCol w:w="1064"/>
      </w:tblGrid>
      <w:tr w:rsidR="00DC495C" w:rsidRPr="00CA26D1" w:rsidTr="004800C2">
        <w:trPr>
          <w:trHeight w:val="311"/>
          <w:tblHeader/>
          <w:jc w:val="center"/>
        </w:trPr>
        <w:tc>
          <w:tcPr>
            <w:tcW w:w="0" w:type="auto"/>
            <w:vMerge w:val="restart"/>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Project Year</w:t>
            </w:r>
          </w:p>
        </w:tc>
        <w:tc>
          <w:tcPr>
            <w:tcW w:w="0" w:type="auto"/>
            <w:vMerge w:val="restart"/>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Summary Stakeholder Category</w:t>
            </w:r>
          </w:p>
        </w:tc>
        <w:tc>
          <w:tcPr>
            <w:tcW w:w="0" w:type="auto"/>
            <w:gridSpan w:val="3"/>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Number of Interviews</w:t>
            </w:r>
          </w:p>
        </w:tc>
        <w:tc>
          <w:tcPr>
            <w:tcW w:w="0" w:type="auto"/>
            <w:gridSpan w:val="3"/>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Annual Time Burden (Hours)</w:t>
            </w:r>
          </w:p>
        </w:tc>
        <w:tc>
          <w:tcPr>
            <w:tcW w:w="0" w:type="auto"/>
            <w:gridSpan w:val="3"/>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Annual Cost Burden (Estimated)</w:t>
            </w:r>
          </w:p>
        </w:tc>
      </w:tr>
      <w:tr w:rsidR="00DC495C" w:rsidRPr="00CA26D1" w:rsidTr="004800C2">
        <w:trPr>
          <w:trHeight w:val="311"/>
          <w:tblHeader/>
          <w:jc w:val="center"/>
        </w:trPr>
        <w:tc>
          <w:tcPr>
            <w:tcW w:w="0" w:type="auto"/>
            <w:vMerge/>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p>
        </w:tc>
        <w:tc>
          <w:tcPr>
            <w:tcW w:w="0" w:type="auto"/>
            <w:vMerge/>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p>
        </w:tc>
        <w:tc>
          <w:tcPr>
            <w:tcW w:w="0" w:type="auto"/>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Screening</w:t>
            </w:r>
          </w:p>
        </w:tc>
        <w:tc>
          <w:tcPr>
            <w:tcW w:w="0" w:type="auto"/>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Interviews</w:t>
            </w:r>
          </w:p>
        </w:tc>
        <w:tc>
          <w:tcPr>
            <w:tcW w:w="0" w:type="auto"/>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Background Research</w:t>
            </w:r>
          </w:p>
        </w:tc>
        <w:tc>
          <w:tcPr>
            <w:tcW w:w="0" w:type="auto"/>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Screening</w:t>
            </w:r>
          </w:p>
        </w:tc>
        <w:tc>
          <w:tcPr>
            <w:tcW w:w="0" w:type="auto"/>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Interviews</w:t>
            </w:r>
          </w:p>
        </w:tc>
        <w:tc>
          <w:tcPr>
            <w:tcW w:w="0" w:type="auto"/>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Background Research</w:t>
            </w:r>
          </w:p>
        </w:tc>
        <w:tc>
          <w:tcPr>
            <w:tcW w:w="0" w:type="auto"/>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Low</w:t>
            </w:r>
          </w:p>
        </w:tc>
        <w:tc>
          <w:tcPr>
            <w:tcW w:w="0" w:type="auto"/>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Expected</w:t>
            </w:r>
          </w:p>
        </w:tc>
        <w:tc>
          <w:tcPr>
            <w:tcW w:w="0" w:type="auto"/>
            <w:tcBorders>
              <w:bottom w:val="single" w:sz="12" w:space="0" w:color="BFBFBF" w:themeColor="background1" w:themeShade="BF"/>
            </w:tcBorders>
            <w:shd w:val="clear" w:color="auto" w:fill="B0B579"/>
            <w:vAlign w:val="center"/>
          </w:tcPr>
          <w:p w:rsidR="00DC495C" w:rsidRPr="00CA26D1" w:rsidRDefault="00DC495C" w:rsidP="00D96D03">
            <w:pPr>
              <w:pStyle w:val="TableRowHeading"/>
              <w:keepNext/>
              <w:keepLines/>
              <w:jc w:val="left"/>
              <w:rPr>
                <w:rFonts w:ascii="Times New Roman" w:hAnsi="Times New Roman"/>
                <w:sz w:val="24"/>
              </w:rPr>
            </w:pPr>
            <w:r w:rsidRPr="00CA26D1">
              <w:rPr>
                <w:rFonts w:ascii="Times New Roman" w:hAnsi="Times New Roman"/>
                <w:sz w:val="24"/>
              </w:rPr>
              <w:t>High</w:t>
            </w:r>
          </w:p>
        </w:tc>
      </w:tr>
      <w:tr w:rsidR="009153D3" w:rsidRPr="00CA26D1" w:rsidTr="00DC495C">
        <w:trPr>
          <w:trHeight w:val="283"/>
          <w:jc w:val="center"/>
        </w:trPr>
        <w:tc>
          <w:tcPr>
            <w:tcW w:w="0" w:type="auto"/>
            <w:vMerge w:val="restart"/>
            <w:tcBorders>
              <w:top w:val="single" w:sz="12" w:space="0" w:color="BFBFBF" w:themeColor="background1" w:themeShade="BF"/>
            </w:tcBorders>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color w:val="FF0000"/>
                <w:sz w:val="24"/>
              </w:rPr>
            </w:pPr>
            <w:r w:rsidRPr="00CA26D1">
              <w:rPr>
                <w:rFonts w:ascii="Times New Roman" w:hAnsi="Times New Roman"/>
                <w:color w:val="FF0000"/>
                <w:sz w:val="24"/>
              </w:rPr>
              <w:t>4</w:t>
            </w:r>
          </w:p>
        </w:tc>
        <w:tc>
          <w:tcPr>
            <w:tcW w:w="0" w:type="auto"/>
            <w:tcBorders>
              <w:top w:val="single" w:sz="12" w:space="0" w:color="BFBFBF" w:themeColor="background1" w:themeShade="BF"/>
            </w:tcBorders>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Private Sector</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126</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182</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9</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63</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364</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14</w:t>
            </w:r>
          </w:p>
        </w:tc>
        <w:tc>
          <w:tcPr>
            <w:tcW w:w="0" w:type="auto"/>
            <w:tcBorders>
              <w:top w:val="single" w:sz="12" w:space="0" w:color="BFBFBF" w:themeColor="background1" w:themeShade="BF"/>
            </w:tcBorders>
            <w:shd w:val="clear" w:color="auto" w:fill="F2F2F2" w:themeFill="background1" w:themeFillShade="F2"/>
            <w:vAlign w:val="center"/>
          </w:tcPr>
          <w:p w:rsidR="000F0A93" w:rsidRPr="00CA26D1" w:rsidRDefault="009153D3" w:rsidP="000F0A93">
            <w:pPr>
              <w:pStyle w:val="TableText"/>
              <w:keepNext/>
              <w:keepLines/>
              <w:jc w:val="left"/>
              <w:rPr>
                <w:rFonts w:ascii="Times New Roman" w:hAnsi="Times New Roman"/>
                <w:sz w:val="24"/>
              </w:rPr>
            </w:pPr>
            <w:r w:rsidRPr="00CA26D1">
              <w:rPr>
                <w:rFonts w:ascii="Times New Roman" w:hAnsi="Times New Roman"/>
                <w:sz w:val="24"/>
              </w:rPr>
              <w:t>$37,350</w:t>
            </w:r>
          </w:p>
        </w:tc>
        <w:tc>
          <w:tcPr>
            <w:tcW w:w="0" w:type="auto"/>
            <w:tcBorders>
              <w:top w:val="single" w:sz="12" w:space="0" w:color="BFBFBF" w:themeColor="background1" w:themeShade="BF"/>
            </w:tcBorders>
            <w:shd w:val="clear" w:color="auto" w:fill="F2F2F2" w:themeFill="background1" w:themeFillShade="F2"/>
            <w:vAlign w:val="center"/>
          </w:tcPr>
          <w:p w:rsidR="000F0A93" w:rsidRPr="00CA26D1" w:rsidRDefault="009153D3" w:rsidP="000F0A93">
            <w:pPr>
              <w:pStyle w:val="TableText"/>
              <w:keepNext/>
              <w:keepLines/>
              <w:jc w:val="left"/>
              <w:rPr>
                <w:rFonts w:ascii="Times New Roman" w:hAnsi="Times New Roman"/>
                <w:sz w:val="24"/>
              </w:rPr>
            </w:pPr>
            <w:r w:rsidRPr="00CA26D1">
              <w:rPr>
                <w:rFonts w:ascii="Times New Roman" w:hAnsi="Times New Roman"/>
                <w:sz w:val="24"/>
              </w:rPr>
              <w:t>$43,941</w:t>
            </w:r>
          </w:p>
        </w:tc>
        <w:tc>
          <w:tcPr>
            <w:tcW w:w="0" w:type="auto"/>
            <w:tcBorders>
              <w:top w:val="single" w:sz="12" w:space="0" w:color="BFBFBF" w:themeColor="background1" w:themeShade="BF"/>
            </w:tcBorders>
            <w:shd w:val="clear" w:color="auto" w:fill="F2F2F2" w:themeFill="background1" w:themeFillShade="F2"/>
            <w:vAlign w:val="center"/>
          </w:tcPr>
          <w:p w:rsidR="000F0A93" w:rsidRPr="00CA26D1" w:rsidRDefault="009153D3" w:rsidP="000F0A93">
            <w:pPr>
              <w:pStyle w:val="TableText"/>
              <w:keepNext/>
              <w:keepLines/>
              <w:jc w:val="left"/>
              <w:rPr>
                <w:rFonts w:ascii="Times New Roman" w:hAnsi="Times New Roman"/>
                <w:sz w:val="24"/>
              </w:rPr>
            </w:pPr>
            <w:r w:rsidRPr="00CA26D1">
              <w:rPr>
                <w:rFonts w:ascii="Times New Roman" w:hAnsi="Times New Roman"/>
                <w:sz w:val="24"/>
              </w:rPr>
              <w:t>$50,532</w:t>
            </w:r>
          </w:p>
        </w:tc>
      </w:tr>
      <w:tr w:rsidR="009153D3" w:rsidRPr="00CA26D1" w:rsidTr="00DC495C">
        <w:trPr>
          <w:trHeight w:val="464"/>
          <w:jc w:val="center"/>
        </w:trPr>
        <w:tc>
          <w:tcPr>
            <w:tcW w:w="0" w:type="auto"/>
            <w:vMerge/>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color w:val="FF0000"/>
                <w:sz w:val="24"/>
              </w:rPr>
            </w:pP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State and Local Government</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14</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21</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3</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7</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42</w:t>
            </w:r>
          </w:p>
        </w:tc>
        <w:tc>
          <w:tcPr>
            <w:tcW w:w="0" w:type="auto"/>
            <w:shd w:val="clear" w:color="auto" w:fill="F2F2F2" w:themeFill="background1" w:themeFillShade="F2"/>
            <w:vAlign w:val="center"/>
          </w:tcPr>
          <w:p w:rsidR="000F0A93" w:rsidRPr="00CA26D1" w:rsidRDefault="000F0A93" w:rsidP="000F0A93">
            <w:pPr>
              <w:pStyle w:val="TableText"/>
              <w:keepNext/>
              <w:keepLines/>
              <w:jc w:val="left"/>
              <w:rPr>
                <w:rFonts w:ascii="Times New Roman" w:hAnsi="Times New Roman"/>
                <w:sz w:val="24"/>
              </w:rPr>
            </w:pPr>
            <w:r w:rsidRPr="00CA26D1">
              <w:rPr>
                <w:rFonts w:ascii="Times New Roman" w:hAnsi="Times New Roman"/>
                <w:sz w:val="24"/>
              </w:rPr>
              <w:t>5</w:t>
            </w:r>
          </w:p>
        </w:tc>
        <w:tc>
          <w:tcPr>
            <w:tcW w:w="0" w:type="auto"/>
            <w:shd w:val="clear" w:color="auto" w:fill="F2F2F2" w:themeFill="background1" w:themeFillShade="F2"/>
            <w:vAlign w:val="center"/>
          </w:tcPr>
          <w:p w:rsidR="000F0A93" w:rsidRPr="00CA26D1" w:rsidRDefault="00CC4CBC" w:rsidP="000F0A93">
            <w:pPr>
              <w:pStyle w:val="TableText"/>
              <w:keepNext/>
              <w:keepLines/>
              <w:jc w:val="left"/>
              <w:rPr>
                <w:rFonts w:ascii="Times New Roman" w:hAnsi="Times New Roman"/>
                <w:sz w:val="24"/>
              </w:rPr>
            </w:pPr>
            <w:r w:rsidRPr="00CA26D1">
              <w:rPr>
                <w:rFonts w:ascii="Times New Roman" w:hAnsi="Times New Roman"/>
                <w:sz w:val="24"/>
              </w:rPr>
              <w:t>$4,870</w:t>
            </w:r>
          </w:p>
        </w:tc>
        <w:tc>
          <w:tcPr>
            <w:tcW w:w="0" w:type="auto"/>
            <w:shd w:val="clear" w:color="auto" w:fill="F2F2F2" w:themeFill="background1" w:themeFillShade="F2"/>
            <w:vAlign w:val="center"/>
          </w:tcPr>
          <w:p w:rsidR="000F0A93" w:rsidRPr="00CA26D1" w:rsidRDefault="00CC4CBC" w:rsidP="000F0A93">
            <w:pPr>
              <w:pStyle w:val="TableText"/>
              <w:keepNext/>
              <w:keepLines/>
              <w:jc w:val="left"/>
              <w:rPr>
                <w:rFonts w:ascii="Times New Roman" w:hAnsi="Times New Roman"/>
                <w:sz w:val="24"/>
              </w:rPr>
            </w:pPr>
            <w:r w:rsidRPr="00CA26D1">
              <w:rPr>
                <w:rFonts w:ascii="Times New Roman" w:hAnsi="Times New Roman"/>
                <w:sz w:val="24"/>
              </w:rPr>
              <w:t>$5,729</w:t>
            </w:r>
          </w:p>
        </w:tc>
        <w:tc>
          <w:tcPr>
            <w:tcW w:w="0" w:type="auto"/>
            <w:shd w:val="clear" w:color="auto" w:fill="F2F2F2" w:themeFill="background1" w:themeFillShade="F2"/>
            <w:vAlign w:val="center"/>
          </w:tcPr>
          <w:p w:rsidR="000F0A93" w:rsidRPr="00CA26D1" w:rsidRDefault="00CC4CBC" w:rsidP="000F0A93">
            <w:pPr>
              <w:pStyle w:val="TableText"/>
              <w:keepNext/>
              <w:keepLines/>
              <w:jc w:val="left"/>
              <w:rPr>
                <w:rFonts w:ascii="Times New Roman" w:hAnsi="Times New Roman"/>
                <w:sz w:val="24"/>
              </w:rPr>
            </w:pPr>
            <w:r w:rsidRPr="00CA26D1">
              <w:rPr>
                <w:rFonts w:ascii="Times New Roman" w:hAnsi="Times New Roman"/>
                <w:sz w:val="24"/>
              </w:rPr>
              <w:t>$6,588</w:t>
            </w:r>
          </w:p>
        </w:tc>
      </w:tr>
      <w:tr w:rsidR="009153D3" w:rsidRPr="00CA26D1" w:rsidTr="00DC495C">
        <w:trPr>
          <w:trHeight w:val="464"/>
          <w:jc w:val="center"/>
        </w:trPr>
        <w:tc>
          <w:tcPr>
            <w:tcW w:w="0" w:type="auto"/>
            <w:vMerge w:val="restart"/>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color w:val="FF0000"/>
                <w:sz w:val="24"/>
              </w:rPr>
            </w:pPr>
            <w:r w:rsidRPr="00CA26D1">
              <w:rPr>
                <w:rFonts w:ascii="Times New Roman" w:hAnsi="Times New Roman"/>
                <w:color w:val="FF0000"/>
                <w:sz w:val="24"/>
              </w:rPr>
              <w:t>5</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Private Sector</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126</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182</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9</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63</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364</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14</w:t>
            </w:r>
          </w:p>
        </w:tc>
        <w:tc>
          <w:tcPr>
            <w:tcW w:w="0" w:type="auto"/>
            <w:tcBorders>
              <w:top w:val="single" w:sz="12" w:space="0" w:color="BFBFBF" w:themeColor="background1" w:themeShade="BF"/>
            </w:tcBorders>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$37,350</w:t>
            </w:r>
          </w:p>
        </w:tc>
        <w:tc>
          <w:tcPr>
            <w:tcW w:w="0" w:type="auto"/>
            <w:tcBorders>
              <w:top w:val="single" w:sz="12" w:space="0" w:color="BFBFBF" w:themeColor="background1" w:themeShade="BF"/>
            </w:tcBorders>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$43,941</w:t>
            </w:r>
          </w:p>
        </w:tc>
        <w:tc>
          <w:tcPr>
            <w:tcW w:w="0" w:type="auto"/>
            <w:tcBorders>
              <w:top w:val="single" w:sz="12" w:space="0" w:color="BFBFBF" w:themeColor="background1" w:themeShade="BF"/>
            </w:tcBorders>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$50,532</w:t>
            </w:r>
          </w:p>
        </w:tc>
      </w:tr>
      <w:tr w:rsidR="009153D3" w:rsidRPr="00CA26D1" w:rsidTr="00DC495C">
        <w:trPr>
          <w:trHeight w:val="464"/>
          <w:jc w:val="center"/>
        </w:trPr>
        <w:tc>
          <w:tcPr>
            <w:tcW w:w="0" w:type="auto"/>
            <w:vMerge/>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color w:val="FF0000"/>
                <w:sz w:val="24"/>
              </w:rPr>
            </w:pP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State and Local Government</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14</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21</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3</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7</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42</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5</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$4,870</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$5,729</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$6,588</w:t>
            </w:r>
          </w:p>
        </w:tc>
      </w:tr>
      <w:tr w:rsidR="009153D3" w:rsidRPr="00CA26D1" w:rsidTr="00DC495C">
        <w:trPr>
          <w:trHeight w:val="464"/>
          <w:jc w:val="center"/>
        </w:trPr>
        <w:tc>
          <w:tcPr>
            <w:tcW w:w="0" w:type="auto"/>
            <w:vMerge w:val="restart"/>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color w:val="FF0000"/>
                <w:sz w:val="24"/>
              </w:rPr>
            </w:pPr>
            <w:r w:rsidRPr="00CA26D1">
              <w:rPr>
                <w:rFonts w:ascii="Times New Roman" w:hAnsi="Times New Roman"/>
                <w:color w:val="FF0000"/>
                <w:sz w:val="24"/>
              </w:rPr>
              <w:t>6</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Private Sector</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126</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182</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9</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63</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364</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14</w:t>
            </w:r>
          </w:p>
        </w:tc>
        <w:tc>
          <w:tcPr>
            <w:tcW w:w="0" w:type="auto"/>
            <w:tcBorders>
              <w:top w:val="single" w:sz="12" w:space="0" w:color="BFBFBF" w:themeColor="background1" w:themeShade="BF"/>
            </w:tcBorders>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$37,350</w:t>
            </w:r>
          </w:p>
        </w:tc>
        <w:tc>
          <w:tcPr>
            <w:tcW w:w="0" w:type="auto"/>
            <w:tcBorders>
              <w:top w:val="single" w:sz="12" w:space="0" w:color="BFBFBF" w:themeColor="background1" w:themeShade="BF"/>
            </w:tcBorders>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$43,941</w:t>
            </w:r>
          </w:p>
        </w:tc>
        <w:tc>
          <w:tcPr>
            <w:tcW w:w="0" w:type="auto"/>
            <w:tcBorders>
              <w:top w:val="single" w:sz="12" w:space="0" w:color="BFBFBF" w:themeColor="background1" w:themeShade="BF"/>
            </w:tcBorders>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$50,532</w:t>
            </w:r>
          </w:p>
        </w:tc>
      </w:tr>
      <w:tr w:rsidR="009153D3" w:rsidRPr="00CA26D1" w:rsidTr="00DC495C">
        <w:trPr>
          <w:trHeight w:val="283"/>
          <w:jc w:val="center"/>
        </w:trPr>
        <w:tc>
          <w:tcPr>
            <w:tcW w:w="0" w:type="auto"/>
            <w:vMerge/>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color w:val="FF0000"/>
                <w:sz w:val="24"/>
              </w:rPr>
            </w:pP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State and Local Government</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14</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21</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3</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7</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42</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5</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$4,870</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$5,729</w:t>
            </w:r>
          </w:p>
        </w:tc>
        <w:tc>
          <w:tcPr>
            <w:tcW w:w="0" w:type="auto"/>
            <w:shd w:val="clear" w:color="auto" w:fill="F2F2F2" w:themeFill="background1" w:themeFillShade="F2"/>
            <w:vAlign w:val="center"/>
          </w:tcPr>
          <w:p w:rsidR="009153D3" w:rsidRPr="00CA26D1" w:rsidRDefault="009153D3" w:rsidP="009153D3">
            <w:pPr>
              <w:pStyle w:val="TableText"/>
              <w:keepNext/>
              <w:keepLines/>
              <w:jc w:val="left"/>
              <w:rPr>
                <w:rFonts w:ascii="Times New Roman" w:hAnsi="Times New Roman"/>
                <w:sz w:val="24"/>
              </w:rPr>
            </w:pPr>
            <w:r w:rsidRPr="00CA26D1">
              <w:rPr>
                <w:rFonts w:ascii="Times New Roman" w:hAnsi="Times New Roman"/>
                <w:sz w:val="24"/>
              </w:rPr>
              <w:t>$6,588</w:t>
            </w:r>
          </w:p>
        </w:tc>
      </w:tr>
      <w:tr w:rsidR="009153D3" w:rsidRPr="00CA26D1" w:rsidTr="00DC49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0" w:type="auto"/>
            <w:gridSpan w:val="2"/>
          </w:tcPr>
          <w:p w:rsidR="009153D3" w:rsidRPr="00CA26D1" w:rsidRDefault="009153D3" w:rsidP="009153D3">
            <w:pPr>
              <w:pStyle w:val="TableText"/>
              <w:keepNext/>
              <w:keepLines/>
              <w:jc w:val="left"/>
              <w:rPr>
                <w:rFonts w:ascii="Times New Roman" w:hAnsi="Times New Roman"/>
                <w:b/>
                <w:sz w:val="24"/>
              </w:rPr>
            </w:pPr>
            <w:r w:rsidRPr="00CA26D1">
              <w:rPr>
                <w:rFonts w:ascii="Times New Roman" w:hAnsi="Times New Roman"/>
                <w:b/>
                <w:sz w:val="24"/>
              </w:rPr>
              <w:t>Total</w:t>
            </w:r>
          </w:p>
        </w:tc>
        <w:tc>
          <w:tcPr>
            <w:tcW w:w="0" w:type="auto"/>
          </w:tcPr>
          <w:p w:rsidR="009153D3" w:rsidRPr="00CA26D1" w:rsidRDefault="0023000C" w:rsidP="0023000C">
            <w:pPr>
              <w:pStyle w:val="TableText"/>
              <w:keepNext/>
              <w:keepLines/>
              <w:jc w:val="left"/>
              <w:rPr>
                <w:rFonts w:ascii="Times New Roman" w:hAnsi="Times New Roman"/>
                <w:b/>
                <w:sz w:val="24"/>
              </w:rPr>
            </w:pPr>
            <w:r>
              <w:rPr>
                <w:rFonts w:ascii="Times New Roman" w:hAnsi="Times New Roman"/>
                <w:b/>
                <w:sz w:val="24"/>
              </w:rPr>
              <w:t>140</w:t>
            </w:r>
          </w:p>
        </w:tc>
        <w:tc>
          <w:tcPr>
            <w:tcW w:w="0" w:type="auto"/>
          </w:tcPr>
          <w:p w:rsidR="009153D3" w:rsidRPr="00CA26D1" w:rsidRDefault="0023000C" w:rsidP="009153D3">
            <w:pPr>
              <w:pStyle w:val="TableText"/>
              <w:keepNext/>
              <w:keepLines/>
              <w:jc w:val="left"/>
              <w:rPr>
                <w:rFonts w:ascii="Times New Roman" w:hAnsi="Times New Roman"/>
                <w:b/>
                <w:sz w:val="24"/>
              </w:rPr>
            </w:pPr>
            <w:r>
              <w:rPr>
                <w:rFonts w:ascii="Times New Roman" w:hAnsi="Times New Roman"/>
                <w:b/>
                <w:sz w:val="24"/>
              </w:rPr>
              <w:t>203</w:t>
            </w:r>
          </w:p>
        </w:tc>
        <w:tc>
          <w:tcPr>
            <w:tcW w:w="0" w:type="auto"/>
          </w:tcPr>
          <w:p w:rsidR="009153D3" w:rsidRPr="00CA26D1" w:rsidRDefault="0023000C" w:rsidP="009153D3">
            <w:pPr>
              <w:pStyle w:val="TableText"/>
              <w:keepNext/>
              <w:keepLines/>
              <w:jc w:val="left"/>
              <w:rPr>
                <w:rFonts w:ascii="Times New Roman" w:hAnsi="Times New Roman"/>
                <w:b/>
                <w:sz w:val="24"/>
              </w:rPr>
            </w:pPr>
            <w:r>
              <w:rPr>
                <w:rFonts w:ascii="Times New Roman" w:hAnsi="Times New Roman"/>
                <w:b/>
                <w:sz w:val="24"/>
              </w:rPr>
              <w:t>12</w:t>
            </w:r>
          </w:p>
        </w:tc>
        <w:tc>
          <w:tcPr>
            <w:tcW w:w="0" w:type="auto"/>
          </w:tcPr>
          <w:p w:rsidR="009153D3" w:rsidRPr="00CA26D1" w:rsidRDefault="0023000C" w:rsidP="009153D3">
            <w:pPr>
              <w:pStyle w:val="TableText"/>
              <w:keepNext/>
              <w:keepLines/>
              <w:jc w:val="left"/>
              <w:rPr>
                <w:rFonts w:ascii="Times New Roman" w:hAnsi="Times New Roman"/>
                <w:b/>
                <w:sz w:val="24"/>
              </w:rPr>
            </w:pPr>
            <w:r>
              <w:rPr>
                <w:rFonts w:ascii="Times New Roman" w:hAnsi="Times New Roman"/>
                <w:b/>
                <w:sz w:val="24"/>
              </w:rPr>
              <w:t>70</w:t>
            </w:r>
          </w:p>
        </w:tc>
        <w:tc>
          <w:tcPr>
            <w:tcW w:w="0" w:type="auto"/>
          </w:tcPr>
          <w:p w:rsidR="009153D3" w:rsidRPr="00CA26D1" w:rsidRDefault="0023000C" w:rsidP="009153D3">
            <w:pPr>
              <w:pStyle w:val="TableText"/>
              <w:keepNext/>
              <w:keepLines/>
              <w:jc w:val="left"/>
              <w:rPr>
                <w:rFonts w:ascii="Times New Roman" w:hAnsi="Times New Roman"/>
                <w:b/>
                <w:sz w:val="24"/>
              </w:rPr>
            </w:pPr>
            <w:r>
              <w:rPr>
                <w:rFonts w:ascii="Times New Roman" w:hAnsi="Times New Roman"/>
                <w:b/>
                <w:sz w:val="24"/>
              </w:rPr>
              <w:t>406</w:t>
            </w:r>
          </w:p>
        </w:tc>
        <w:tc>
          <w:tcPr>
            <w:tcW w:w="0" w:type="auto"/>
          </w:tcPr>
          <w:p w:rsidR="009153D3" w:rsidRPr="00CA26D1" w:rsidRDefault="0023000C" w:rsidP="009153D3">
            <w:pPr>
              <w:pStyle w:val="TableText"/>
              <w:keepNext/>
              <w:keepLines/>
              <w:jc w:val="left"/>
              <w:rPr>
                <w:rFonts w:ascii="Times New Roman" w:hAnsi="Times New Roman"/>
                <w:b/>
                <w:sz w:val="24"/>
              </w:rPr>
            </w:pPr>
            <w:r>
              <w:rPr>
                <w:rFonts w:ascii="Times New Roman" w:hAnsi="Times New Roman"/>
                <w:b/>
                <w:sz w:val="24"/>
              </w:rPr>
              <w:t>19</w:t>
            </w:r>
          </w:p>
        </w:tc>
        <w:tc>
          <w:tcPr>
            <w:tcW w:w="0" w:type="auto"/>
          </w:tcPr>
          <w:p w:rsidR="009153D3" w:rsidRPr="00CA26D1" w:rsidRDefault="009153D3" w:rsidP="009153D3">
            <w:pPr>
              <w:pStyle w:val="TableText"/>
              <w:keepNext/>
              <w:keepLines/>
              <w:jc w:val="left"/>
              <w:rPr>
                <w:rFonts w:ascii="Times New Roman" w:hAnsi="Times New Roman"/>
                <w:b/>
                <w:sz w:val="24"/>
              </w:rPr>
            </w:pPr>
            <w:r w:rsidRPr="00CA26D1">
              <w:rPr>
                <w:rFonts w:ascii="Times New Roman" w:hAnsi="Times New Roman"/>
                <w:b/>
                <w:sz w:val="24"/>
              </w:rPr>
              <w:t>$126,660</w:t>
            </w:r>
          </w:p>
        </w:tc>
        <w:tc>
          <w:tcPr>
            <w:tcW w:w="0" w:type="auto"/>
          </w:tcPr>
          <w:p w:rsidR="009153D3" w:rsidRPr="00CA26D1" w:rsidRDefault="009153D3" w:rsidP="009153D3">
            <w:pPr>
              <w:pStyle w:val="TableText"/>
              <w:keepNext/>
              <w:keepLines/>
              <w:jc w:val="left"/>
              <w:rPr>
                <w:rFonts w:ascii="Times New Roman" w:hAnsi="Times New Roman"/>
                <w:b/>
                <w:sz w:val="24"/>
              </w:rPr>
            </w:pPr>
            <w:r w:rsidRPr="00CA26D1">
              <w:rPr>
                <w:rFonts w:ascii="Times New Roman" w:hAnsi="Times New Roman"/>
                <w:b/>
                <w:sz w:val="24"/>
              </w:rPr>
              <w:t>$149,010</w:t>
            </w:r>
          </w:p>
        </w:tc>
        <w:tc>
          <w:tcPr>
            <w:tcW w:w="0" w:type="auto"/>
          </w:tcPr>
          <w:p w:rsidR="009153D3" w:rsidRPr="00CA26D1" w:rsidRDefault="009153D3" w:rsidP="009153D3">
            <w:pPr>
              <w:pStyle w:val="TableText"/>
              <w:keepNext/>
              <w:keepLines/>
              <w:jc w:val="left"/>
              <w:rPr>
                <w:rFonts w:ascii="Times New Roman" w:hAnsi="Times New Roman"/>
                <w:b/>
                <w:sz w:val="24"/>
              </w:rPr>
            </w:pPr>
            <w:r w:rsidRPr="00CA26D1">
              <w:rPr>
                <w:rFonts w:ascii="Times New Roman" w:hAnsi="Times New Roman"/>
                <w:b/>
                <w:sz w:val="24"/>
              </w:rPr>
              <w:t>$171,360</w:t>
            </w:r>
          </w:p>
        </w:tc>
      </w:tr>
      <w:tr w:rsidR="00F0183D" w:rsidRPr="00CA26D1" w:rsidTr="00DC49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0" w:type="auto"/>
            <w:gridSpan w:val="2"/>
          </w:tcPr>
          <w:p w:rsidR="00F0183D" w:rsidRPr="00CA26D1" w:rsidRDefault="00F0183D" w:rsidP="009153D3">
            <w:pPr>
              <w:pStyle w:val="TableText"/>
              <w:keepNext/>
              <w:keepLines/>
              <w:jc w:val="left"/>
              <w:rPr>
                <w:rFonts w:ascii="Times New Roman" w:hAnsi="Times New Roman"/>
                <w:b/>
                <w:sz w:val="24"/>
              </w:rPr>
            </w:pPr>
          </w:p>
        </w:tc>
        <w:tc>
          <w:tcPr>
            <w:tcW w:w="0" w:type="auto"/>
          </w:tcPr>
          <w:p w:rsidR="00F0183D" w:rsidRDefault="00F0183D" w:rsidP="0023000C">
            <w:pPr>
              <w:pStyle w:val="TableText"/>
              <w:keepNext/>
              <w:keepLines/>
              <w:jc w:val="left"/>
              <w:rPr>
                <w:rFonts w:ascii="Times New Roman" w:hAnsi="Times New Roman"/>
                <w:b/>
                <w:sz w:val="24"/>
              </w:rPr>
            </w:pPr>
          </w:p>
        </w:tc>
        <w:tc>
          <w:tcPr>
            <w:tcW w:w="0" w:type="auto"/>
          </w:tcPr>
          <w:p w:rsidR="00F0183D" w:rsidRDefault="00F0183D" w:rsidP="009153D3">
            <w:pPr>
              <w:pStyle w:val="TableText"/>
              <w:keepNext/>
              <w:keepLines/>
              <w:jc w:val="left"/>
              <w:rPr>
                <w:rFonts w:ascii="Times New Roman" w:hAnsi="Times New Roman"/>
                <w:b/>
                <w:sz w:val="24"/>
              </w:rPr>
            </w:pPr>
          </w:p>
        </w:tc>
        <w:tc>
          <w:tcPr>
            <w:tcW w:w="0" w:type="auto"/>
          </w:tcPr>
          <w:p w:rsidR="00F0183D" w:rsidRDefault="00F0183D" w:rsidP="009153D3">
            <w:pPr>
              <w:pStyle w:val="TableText"/>
              <w:keepNext/>
              <w:keepLines/>
              <w:jc w:val="left"/>
              <w:rPr>
                <w:rFonts w:ascii="Times New Roman" w:hAnsi="Times New Roman"/>
                <w:b/>
                <w:sz w:val="24"/>
              </w:rPr>
            </w:pPr>
          </w:p>
        </w:tc>
        <w:tc>
          <w:tcPr>
            <w:tcW w:w="0" w:type="auto"/>
          </w:tcPr>
          <w:p w:rsidR="00F0183D" w:rsidRDefault="00F0183D" w:rsidP="009153D3">
            <w:pPr>
              <w:pStyle w:val="TableText"/>
              <w:keepNext/>
              <w:keepLines/>
              <w:jc w:val="left"/>
              <w:rPr>
                <w:rFonts w:ascii="Times New Roman" w:hAnsi="Times New Roman"/>
                <w:b/>
                <w:sz w:val="24"/>
              </w:rPr>
            </w:pPr>
          </w:p>
        </w:tc>
        <w:tc>
          <w:tcPr>
            <w:tcW w:w="0" w:type="auto"/>
          </w:tcPr>
          <w:p w:rsidR="00F0183D" w:rsidRDefault="00F0183D" w:rsidP="009153D3">
            <w:pPr>
              <w:pStyle w:val="TableText"/>
              <w:keepNext/>
              <w:keepLines/>
              <w:jc w:val="left"/>
              <w:rPr>
                <w:rFonts w:ascii="Times New Roman" w:hAnsi="Times New Roman"/>
                <w:b/>
                <w:sz w:val="24"/>
              </w:rPr>
            </w:pPr>
          </w:p>
        </w:tc>
        <w:tc>
          <w:tcPr>
            <w:tcW w:w="0" w:type="auto"/>
          </w:tcPr>
          <w:p w:rsidR="00F0183D" w:rsidRDefault="00F0183D" w:rsidP="009153D3">
            <w:pPr>
              <w:pStyle w:val="TableText"/>
              <w:keepNext/>
              <w:keepLines/>
              <w:jc w:val="left"/>
              <w:rPr>
                <w:rFonts w:ascii="Times New Roman" w:hAnsi="Times New Roman"/>
                <w:b/>
                <w:sz w:val="24"/>
              </w:rPr>
            </w:pPr>
          </w:p>
        </w:tc>
        <w:tc>
          <w:tcPr>
            <w:tcW w:w="0" w:type="auto"/>
          </w:tcPr>
          <w:p w:rsidR="00F0183D" w:rsidRPr="00CA26D1" w:rsidRDefault="00F0183D" w:rsidP="009153D3">
            <w:pPr>
              <w:pStyle w:val="TableText"/>
              <w:keepNext/>
              <w:keepLines/>
              <w:jc w:val="left"/>
              <w:rPr>
                <w:rFonts w:ascii="Times New Roman" w:hAnsi="Times New Roman"/>
                <w:b/>
                <w:sz w:val="24"/>
              </w:rPr>
            </w:pPr>
          </w:p>
        </w:tc>
        <w:tc>
          <w:tcPr>
            <w:tcW w:w="0" w:type="auto"/>
          </w:tcPr>
          <w:p w:rsidR="00F0183D" w:rsidRPr="00CA26D1" w:rsidRDefault="00F0183D" w:rsidP="009153D3">
            <w:pPr>
              <w:pStyle w:val="TableText"/>
              <w:keepNext/>
              <w:keepLines/>
              <w:jc w:val="left"/>
              <w:rPr>
                <w:rFonts w:ascii="Times New Roman" w:hAnsi="Times New Roman"/>
                <w:b/>
                <w:sz w:val="24"/>
              </w:rPr>
            </w:pPr>
          </w:p>
        </w:tc>
        <w:tc>
          <w:tcPr>
            <w:tcW w:w="0" w:type="auto"/>
          </w:tcPr>
          <w:p w:rsidR="00F0183D" w:rsidRPr="00CA26D1" w:rsidRDefault="00F0183D" w:rsidP="009153D3">
            <w:pPr>
              <w:pStyle w:val="TableText"/>
              <w:keepNext/>
              <w:keepLines/>
              <w:jc w:val="left"/>
              <w:rPr>
                <w:rFonts w:ascii="Times New Roman" w:hAnsi="Times New Roman"/>
                <w:b/>
                <w:sz w:val="24"/>
              </w:rPr>
            </w:pPr>
          </w:p>
        </w:tc>
      </w:tr>
    </w:tbl>
    <w:p w:rsidR="00B8220A" w:rsidRPr="00CA26D1" w:rsidRDefault="00B8220A" w:rsidP="00D96D03">
      <w:pPr>
        <w:keepLines/>
        <w:rPr>
          <w:rFonts w:ascii="Times New Roman" w:hAnsi="Times New Roman" w:cs="Times New Roman"/>
          <w:i/>
          <w:iCs/>
          <w:color w:val="000000"/>
          <w:sz w:val="24"/>
          <w:szCs w:val="24"/>
        </w:rPr>
      </w:pPr>
    </w:p>
    <w:p w:rsidR="00B8220A" w:rsidRPr="00CA26D1" w:rsidRDefault="00B8220A">
      <w:pPr>
        <w:rPr>
          <w:rFonts w:ascii="Times New Roman" w:hAnsi="Times New Roman" w:cs="Times New Roman"/>
          <w:i/>
          <w:iCs/>
          <w:color w:val="000000"/>
          <w:sz w:val="24"/>
          <w:szCs w:val="24"/>
        </w:rPr>
      </w:pPr>
      <w:r w:rsidRPr="00CA26D1">
        <w:rPr>
          <w:rFonts w:ascii="Times New Roman" w:hAnsi="Times New Roman" w:cs="Times New Roman"/>
          <w:i/>
          <w:iCs/>
          <w:color w:val="000000"/>
          <w:sz w:val="24"/>
          <w:szCs w:val="24"/>
        </w:rPr>
        <w:br w:type="page"/>
      </w:r>
    </w:p>
    <w:p w:rsidR="004F3DAD" w:rsidRPr="00CA26D1" w:rsidRDefault="004F3DAD" w:rsidP="00D96D03">
      <w:pPr>
        <w:keepLines/>
        <w:rPr>
          <w:rFonts w:ascii="Times New Roman" w:hAnsi="Times New Roman" w:cs="Times New Roman"/>
          <w:i/>
          <w:iCs/>
          <w:color w:val="000000"/>
          <w:sz w:val="24"/>
          <w:szCs w:val="24"/>
        </w:rPr>
      </w:pPr>
    </w:p>
    <w:p w:rsidR="00190895" w:rsidRPr="00CA26D1" w:rsidRDefault="00190895" w:rsidP="00CA26D1">
      <w:pPr>
        <w:rPr>
          <w:rFonts w:ascii="Times New Roman" w:hAnsi="Times New Roman" w:cs="Times New Roman"/>
          <w:sz w:val="24"/>
          <w:szCs w:val="24"/>
        </w:rPr>
      </w:pPr>
      <w:r w:rsidRPr="00CA26D1">
        <w:rPr>
          <w:rFonts w:ascii="Times New Roman" w:hAnsi="Times New Roman" w:cs="Times New Roman"/>
          <w:sz w:val="24"/>
          <w:szCs w:val="24"/>
        </w:rPr>
        <w:t>13.  Capital Costs</w:t>
      </w:r>
    </w:p>
    <w:p w:rsidR="00190895" w:rsidRPr="00CA26D1" w:rsidRDefault="00190895" w:rsidP="00D96D03">
      <w:pPr>
        <w:rPr>
          <w:rFonts w:ascii="Times New Roman" w:hAnsi="Times New Roman" w:cs="Times New Roman"/>
          <w:i/>
          <w:iCs/>
          <w:color w:val="000000"/>
          <w:sz w:val="24"/>
          <w:szCs w:val="24"/>
        </w:rPr>
      </w:pPr>
      <w:r w:rsidRPr="00CA26D1">
        <w:rPr>
          <w:rFonts w:ascii="Times New Roman" w:hAnsi="Times New Roman" w:cs="Times New Roman"/>
          <w:sz w:val="24"/>
          <w:szCs w:val="24"/>
        </w:rPr>
        <w:t>There are no direct costs to respondents other than their time to participate in the study.</w:t>
      </w:r>
    </w:p>
    <w:p w:rsidR="00190895" w:rsidRPr="00CA26D1" w:rsidRDefault="00190895" w:rsidP="00CA26D1">
      <w:pPr>
        <w:rPr>
          <w:rFonts w:ascii="Times New Roman" w:hAnsi="Times New Roman" w:cs="Times New Roman"/>
          <w:sz w:val="24"/>
          <w:szCs w:val="24"/>
        </w:rPr>
      </w:pPr>
      <w:r w:rsidRPr="00CA26D1">
        <w:rPr>
          <w:rFonts w:ascii="Times New Roman" w:hAnsi="Times New Roman" w:cs="Times New Roman"/>
          <w:sz w:val="24"/>
          <w:szCs w:val="24"/>
        </w:rPr>
        <w:t>14.  Cost to Federal Government</w:t>
      </w:r>
    </w:p>
    <w:p w:rsidR="00190895" w:rsidRPr="00CA26D1" w:rsidRDefault="00F968DC" w:rsidP="00D96D03">
      <w:pPr>
        <w:rPr>
          <w:rFonts w:ascii="Times New Roman" w:hAnsi="Times New Roman" w:cs="Times New Roman"/>
          <w:sz w:val="24"/>
          <w:szCs w:val="24"/>
        </w:rPr>
      </w:pPr>
      <w:r w:rsidRPr="00CA26D1">
        <w:rPr>
          <w:rFonts w:ascii="Times New Roman" w:hAnsi="Times New Roman" w:cs="Times New Roman"/>
          <w:sz w:val="24"/>
          <w:szCs w:val="24"/>
        </w:rPr>
        <w:t>Table 4</w:t>
      </w:r>
      <w:r w:rsidR="00190895" w:rsidRPr="00CA26D1">
        <w:rPr>
          <w:rFonts w:ascii="Times New Roman" w:hAnsi="Times New Roman" w:cs="Times New Roman"/>
          <w:sz w:val="24"/>
          <w:szCs w:val="24"/>
        </w:rPr>
        <w:t xml:space="preserve"> below</w:t>
      </w:r>
      <w:r w:rsidR="00AC1814" w:rsidRPr="00CA26D1">
        <w:rPr>
          <w:rFonts w:ascii="Times New Roman" w:hAnsi="Times New Roman" w:cs="Times New Roman"/>
          <w:sz w:val="24"/>
          <w:szCs w:val="24"/>
        </w:rPr>
        <w:t xml:space="preserve"> </w:t>
      </w:r>
      <w:r w:rsidR="00190895" w:rsidRPr="00CA26D1">
        <w:rPr>
          <w:rFonts w:ascii="Times New Roman" w:hAnsi="Times New Roman" w:cs="Times New Roman"/>
          <w:sz w:val="24"/>
          <w:szCs w:val="24"/>
        </w:rPr>
        <w:t xml:space="preserve">details the annual expected costs to the Federal government. These amounts include all direct and indirect costs of the design, data collection, analysis, and reporting phase of the study in regards to the information collection. The estimated cost for each project year is calculated by estimating the percent of effort of the total budget dedicated to the implementation of the stakeholder interviews. </w:t>
      </w:r>
    </w:p>
    <w:p w:rsidR="00190895" w:rsidRPr="00CA26D1" w:rsidRDefault="00190895" w:rsidP="00F321F0">
      <w:pPr>
        <w:pStyle w:val="Caption"/>
        <w:keepNext/>
        <w:jc w:val="left"/>
        <w:rPr>
          <w:color w:val="auto"/>
          <w:szCs w:val="24"/>
        </w:rPr>
      </w:pPr>
      <w:bookmarkStart w:id="5" w:name="_Ref228759979"/>
      <w:r w:rsidRPr="00CA26D1">
        <w:rPr>
          <w:szCs w:val="24"/>
        </w:rPr>
        <w:t xml:space="preserve">Table </w:t>
      </w:r>
      <w:r w:rsidR="00F968DC" w:rsidRPr="00CA26D1">
        <w:rPr>
          <w:szCs w:val="24"/>
        </w:rPr>
        <w:t>4</w:t>
      </w:r>
      <w:bookmarkEnd w:id="5"/>
      <w:r w:rsidRPr="00CA26D1">
        <w:rPr>
          <w:color w:val="auto"/>
          <w:szCs w:val="24"/>
        </w:rPr>
        <w:t>.  Cost to the Federal Government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4. Cost to the Federal Government "/>
        <w:tblDescription w:val="This table details the annual expected costs to the Federal government. These amounts inlcude all direct and indirect costs of the design, data collection, analysis, and reporting phase of the study in regards to the infomration collection. For Research Team Costs for projecty year 4 is $101,592, for project year 5, $103,116, and for project year 6, $105,178."/>
      </w:tblPr>
      <w:tblGrid>
        <w:gridCol w:w="2296"/>
        <w:gridCol w:w="1116"/>
        <w:gridCol w:w="1116"/>
        <w:gridCol w:w="1116"/>
      </w:tblGrid>
      <w:tr w:rsidR="00512881" w:rsidRPr="00CA26D1" w:rsidTr="00916306">
        <w:trPr>
          <w:trHeight w:val="270"/>
          <w:tblHeader/>
          <w:jc w:val="center"/>
        </w:trPr>
        <w:tc>
          <w:tcPr>
            <w:tcW w:w="0" w:type="auto"/>
            <w:tcBorders>
              <w:top w:val="single" w:sz="12" w:space="0" w:color="BFBFBF" w:themeColor="background1" w:themeShade="BF"/>
            </w:tcBorders>
            <w:shd w:val="clear" w:color="auto" w:fill="C2D69B" w:themeFill="accent3" w:themeFillTint="99"/>
            <w:vAlign w:val="center"/>
          </w:tcPr>
          <w:p w:rsidR="00512881" w:rsidRPr="00CA26D1" w:rsidRDefault="00512881" w:rsidP="00D96D03">
            <w:pPr>
              <w:pStyle w:val="TableText"/>
              <w:keepNext/>
              <w:keepLines/>
              <w:jc w:val="left"/>
              <w:rPr>
                <w:rFonts w:ascii="Times New Roman" w:hAnsi="Times New Roman"/>
                <w:b/>
                <w:sz w:val="24"/>
              </w:rPr>
            </w:pPr>
            <w:r w:rsidRPr="00CA26D1">
              <w:rPr>
                <w:rFonts w:ascii="Times New Roman" w:hAnsi="Times New Roman"/>
                <w:b/>
                <w:sz w:val="24"/>
              </w:rPr>
              <w:t>Category</w:t>
            </w:r>
          </w:p>
        </w:tc>
        <w:tc>
          <w:tcPr>
            <w:tcW w:w="1116" w:type="dxa"/>
            <w:tcBorders>
              <w:top w:val="single" w:sz="12" w:space="0" w:color="BFBFBF" w:themeColor="background1" w:themeShade="BF"/>
            </w:tcBorders>
            <w:shd w:val="clear" w:color="auto" w:fill="C2D69B" w:themeFill="accent3" w:themeFillTint="99"/>
          </w:tcPr>
          <w:p w:rsidR="00512881" w:rsidRPr="00CA26D1" w:rsidRDefault="00512881" w:rsidP="00D96D03">
            <w:pPr>
              <w:pStyle w:val="TableText"/>
              <w:keepNext/>
              <w:keepLines/>
              <w:jc w:val="left"/>
              <w:rPr>
                <w:rFonts w:ascii="Times New Roman" w:hAnsi="Times New Roman"/>
                <w:b/>
                <w:sz w:val="24"/>
              </w:rPr>
            </w:pPr>
            <w:r w:rsidRPr="00CA26D1">
              <w:rPr>
                <w:rFonts w:ascii="Times New Roman" w:hAnsi="Times New Roman"/>
                <w:b/>
                <w:sz w:val="24"/>
              </w:rPr>
              <w:t>Project Year 4</w:t>
            </w:r>
          </w:p>
        </w:tc>
        <w:tc>
          <w:tcPr>
            <w:tcW w:w="1116" w:type="dxa"/>
            <w:tcBorders>
              <w:top w:val="single" w:sz="12" w:space="0" w:color="BFBFBF" w:themeColor="background1" w:themeShade="BF"/>
            </w:tcBorders>
            <w:shd w:val="clear" w:color="auto" w:fill="C2D69B" w:themeFill="accent3" w:themeFillTint="99"/>
          </w:tcPr>
          <w:p w:rsidR="00512881" w:rsidRPr="00CA26D1" w:rsidRDefault="00512881" w:rsidP="00D96D03">
            <w:pPr>
              <w:pStyle w:val="TableText"/>
              <w:keepNext/>
              <w:keepLines/>
              <w:jc w:val="left"/>
              <w:rPr>
                <w:rFonts w:ascii="Times New Roman" w:hAnsi="Times New Roman"/>
                <w:b/>
                <w:sz w:val="24"/>
              </w:rPr>
            </w:pPr>
            <w:r w:rsidRPr="00CA26D1">
              <w:rPr>
                <w:rFonts w:ascii="Times New Roman" w:hAnsi="Times New Roman"/>
                <w:b/>
                <w:sz w:val="24"/>
              </w:rPr>
              <w:t>Project Year 5</w:t>
            </w:r>
          </w:p>
        </w:tc>
        <w:tc>
          <w:tcPr>
            <w:tcW w:w="1116" w:type="dxa"/>
            <w:tcBorders>
              <w:top w:val="single" w:sz="12" w:space="0" w:color="BFBFBF" w:themeColor="background1" w:themeShade="BF"/>
            </w:tcBorders>
            <w:shd w:val="clear" w:color="auto" w:fill="C2D69B" w:themeFill="accent3" w:themeFillTint="99"/>
          </w:tcPr>
          <w:p w:rsidR="00512881" w:rsidRPr="00CA26D1" w:rsidRDefault="00512881" w:rsidP="00D96D03">
            <w:pPr>
              <w:pStyle w:val="TableText"/>
              <w:keepNext/>
              <w:keepLines/>
              <w:jc w:val="left"/>
              <w:rPr>
                <w:rFonts w:ascii="Times New Roman" w:hAnsi="Times New Roman"/>
                <w:b/>
                <w:sz w:val="24"/>
              </w:rPr>
            </w:pPr>
            <w:r w:rsidRPr="00CA26D1">
              <w:rPr>
                <w:rFonts w:ascii="Times New Roman" w:hAnsi="Times New Roman"/>
                <w:b/>
                <w:sz w:val="24"/>
              </w:rPr>
              <w:t>Project Year 6</w:t>
            </w:r>
          </w:p>
        </w:tc>
      </w:tr>
      <w:tr w:rsidR="00B8220A" w:rsidRPr="00CA26D1" w:rsidTr="00B8220A">
        <w:trPr>
          <w:trHeight w:val="270"/>
          <w:jc w:val="center"/>
        </w:trPr>
        <w:tc>
          <w:tcPr>
            <w:tcW w:w="0" w:type="auto"/>
            <w:tcBorders>
              <w:top w:val="single" w:sz="12" w:space="0" w:color="BFBFBF" w:themeColor="background1" w:themeShade="BF"/>
            </w:tcBorders>
            <w:shd w:val="clear" w:color="auto" w:fill="F2F2F2" w:themeFill="background1" w:themeFillShade="F2"/>
            <w:vAlign w:val="center"/>
          </w:tcPr>
          <w:p w:rsidR="00B8220A" w:rsidRPr="00CA26D1" w:rsidRDefault="00B8220A" w:rsidP="00D96D03">
            <w:pPr>
              <w:pStyle w:val="TableText"/>
              <w:keepNext/>
              <w:keepLines/>
              <w:jc w:val="left"/>
              <w:rPr>
                <w:rFonts w:ascii="Times New Roman" w:hAnsi="Times New Roman"/>
                <w:sz w:val="24"/>
              </w:rPr>
            </w:pPr>
            <w:r w:rsidRPr="00CA26D1">
              <w:rPr>
                <w:rFonts w:ascii="Times New Roman" w:hAnsi="Times New Roman"/>
                <w:sz w:val="24"/>
              </w:rPr>
              <w:t>Research Team Costs</w:t>
            </w:r>
          </w:p>
        </w:tc>
        <w:tc>
          <w:tcPr>
            <w:tcW w:w="1116" w:type="dxa"/>
            <w:tcBorders>
              <w:top w:val="single" w:sz="12" w:space="0" w:color="BFBFBF" w:themeColor="background1" w:themeShade="BF"/>
            </w:tcBorders>
            <w:shd w:val="clear" w:color="auto" w:fill="F2F2F2" w:themeFill="background1" w:themeFillShade="F2"/>
          </w:tcPr>
          <w:p w:rsidR="00B8220A" w:rsidRPr="00CA26D1" w:rsidRDefault="00B8220A" w:rsidP="00D96D03">
            <w:pPr>
              <w:pStyle w:val="TableText"/>
              <w:keepNext/>
              <w:keepLines/>
              <w:jc w:val="left"/>
              <w:rPr>
                <w:rFonts w:ascii="Times New Roman" w:hAnsi="Times New Roman"/>
                <w:sz w:val="24"/>
              </w:rPr>
            </w:pPr>
            <w:r w:rsidRPr="00CA26D1">
              <w:rPr>
                <w:rFonts w:ascii="Times New Roman" w:hAnsi="Times New Roman"/>
                <w:sz w:val="24"/>
              </w:rPr>
              <w:t>$101,592</w:t>
            </w:r>
          </w:p>
        </w:tc>
        <w:tc>
          <w:tcPr>
            <w:tcW w:w="1116" w:type="dxa"/>
            <w:tcBorders>
              <w:top w:val="single" w:sz="12" w:space="0" w:color="BFBFBF" w:themeColor="background1" w:themeShade="BF"/>
            </w:tcBorders>
            <w:shd w:val="clear" w:color="auto" w:fill="F2F2F2" w:themeFill="background1" w:themeFillShade="F2"/>
          </w:tcPr>
          <w:p w:rsidR="00B8220A" w:rsidRPr="00CA26D1" w:rsidRDefault="00B8220A" w:rsidP="00D96D03">
            <w:pPr>
              <w:pStyle w:val="TableText"/>
              <w:keepNext/>
              <w:keepLines/>
              <w:jc w:val="left"/>
              <w:rPr>
                <w:rFonts w:ascii="Times New Roman" w:hAnsi="Times New Roman"/>
                <w:sz w:val="24"/>
              </w:rPr>
            </w:pPr>
            <w:r w:rsidRPr="00CA26D1">
              <w:rPr>
                <w:rFonts w:ascii="Times New Roman" w:hAnsi="Times New Roman"/>
                <w:sz w:val="24"/>
              </w:rPr>
              <w:t>$103,116</w:t>
            </w:r>
          </w:p>
        </w:tc>
        <w:tc>
          <w:tcPr>
            <w:tcW w:w="1116" w:type="dxa"/>
            <w:tcBorders>
              <w:top w:val="single" w:sz="12" w:space="0" w:color="BFBFBF" w:themeColor="background1" w:themeShade="BF"/>
            </w:tcBorders>
            <w:shd w:val="clear" w:color="auto" w:fill="F2F2F2" w:themeFill="background1" w:themeFillShade="F2"/>
          </w:tcPr>
          <w:p w:rsidR="00B8220A" w:rsidRPr="00CA26D1" w:rsidRDefault="00B8220A" w:rsidP="00D96D03">
            <w:pPr>
              <w:pStyle w:val="TableText"/>
              <w:keepNext/>
              <w:keepLines/>
              <w:jc w:val="left"/>
              <w:rPr>
                <w:rFonts w:ascii="Times New Roman" w:hAnsi="Times New Roman"/>
                <w:sz w:val="24"/>
              </w:rPr>
            </w:pPr>
            <w:r w:rsidRPr="00CA26D1">
              <w:rPr>
                <w:rFonts w:ascii="Times New Roman" w:hAnsi="Times New Roman"/>
                <w:sz w:val="24"/>
              </w:rPr>
              <w:t>$105,178</w:t>
            </w:r>
          </w:p>
        </w:tc>
      </w:tr>
    </w:tbl>
    <w:p w:rsidR="00190895" w:rsidRPr="00CA26D1" w:rsidRDefault="00190895" w:rsidP="00D96D03">
      <w:pPr>
        <w:pStyle w:val="Heading4"/>
        <w:jc w:val="left"/>
        <w:rPr>
          <w:rFonts w:ascii="Times New Roman" w:hAnsi="Times New Roman"/>
          <w:sz w:val="24"/>
          <w:szCs w:val="24"/>
        </w:rPr>
      </w:pPr>
    </w:p>
    <w:p w:rsidR="00190895" w:rsidRPr="00CA26D1" w:rsidRDefault="00190895" w:rsidP="00D96D03">
      <w:pPr>
        <w:pStyle w:val="Heading4"/>
        <w:jc w:val="left"/>
        <w:rPr>
          <w:rFonts w:ascii="Times New Roman" w:hAnsi="Times New Roman"/>
          <w:sz w:val="24"/>
          <w:szCs w:val="24"/>
          <w:u w:val="none"/>
        </w:rPr>
      </w:pPr>
      <w:r w:rsidRPr="00CA26D1">
        <w:rPr>
          <w:rFonts w:ascii="Times New Roman" w:hAnsi="Times New Roman"/>
          <w:sz w:val="24"/>
          <w:szCs w:val="24"/>
          <w:u w:val="none"/>
        </w:rPr>
        <w:t>15.  Changes to Burden</w:t>
      </w:r>
    </w:p>
    <w:p w:rsidR="00103D90" w:rsidRPr="00CA26D1" w:rsidRDefault="00F352CE" w:rsidP="00103D90">
      <w:pPr>
        <w:rPr>
          <w:rFonts w:ascii="Times New Roman" w:hAnsi="Times New Roman" w:cs="Times New Roman"/>
          <w:sz w:val="24"/>
          <w:szCs w:val="24"/>
        </w:rPr>
      </w:pPr>
      <w:r>
        <w:rPr>
          <w:rFonts w:ascii="Times New Roman" w:hAnsi="Times New Roman" w:cs="Times New Roman"/>
          <w:sz w:val="24"/>
          <w:szCs w:val="24"/>
        </w:rPr>
        <w:t>The burden has increased by 166 hours (from 323 hours to 49</w:t>
      </w:r>
      <w:r w:rsidR="005905A4">
        <w:rPr>
          <w:rFonts w:ascii="Times New Roman" w:hAnsi="Times New Roman" w:cs="Times New Roman"/>
          <w:sz w:val="24"/>
          <w:szCs w:val="24"/>
        </w:rPr>
        <w:t>5</w:t>
      </w:r>
      <w:r>
        <w:rPr>
          <w:rFonts w:ascii="Times New Roman" w:hAnsi="Times New Roman" w:cs="Times New Roman"/>
          <w:sz w:val="24"/>
          <w:szCs w:val="24"/>
        </w:rPr>
        <w:t xml:space="preserve"> hours</w:t>
      </w:r>
      <w:r w:rsidR="00FC5564">
        <w:rPr>
          <w:rFonts w:ascii="Times New Roman" w:hAnsi="Times New Roman" w:cs="Times New Roman"/>
          <w:sz w:val="24"/>
          <w:szCs w:val="24"/>
        </w:rPr>
        <w:t>)</w:t>
      </w:r>
      <w:r>
        <w:rPr>
          <w:rFonts w:ascii="Times New Roman" w:hAnsi="Times New Roman" w:cs="Times New Roman"/>
          <w:sz w:val="24"/>
          <w:szCs w:val="24"/>
        </w:rPr>
        <w:t xml:space="preserve">.  The primary reason for this increase is due to background research being conducted twice per project year instead of one time per project year. </w:t>
      </w:r>
    </w:p>
    <w:p w:rsidR="00190895" w:rsidRPr="00CA26D1" w:rsidRDefault="00190895" w:rsidP="00D96D03">
      <w:pPr>
        <w:pStyle w:val="Heading4"/>
        <w:jc w:val="left"/>
        <w:rPr>
          <w:rFonts w:ascii="Times New Roman" w:hAnsi="Times New Roman"/>
          <w:sz w:val="24"/>
          <w:szCs w:val="24"/>
          <w:u w:val="none"/>
        </w:rPr>
      </w:pPr>
      <w:r w:rsidRPr="00CA26D1">
        <w:rPr>
          <w:rFonts w:ascii="Times New Roman" w:hAnsi="Times New Roman"/>
          <w:sz w:val="24"/>
          <w:szCs w:val="24"/>
          <w:u w:val="none"/>
        </w:rPr>
        <w:t>16.  Publication/Tabulation Dates</w:t>
      </w:r>
    </w:p>
    <w:p w:rsidR="00F77A23" w:rsidRPr="00CA26D1" w:rsidRDefault="00190895"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CA26D1">
        <w:rPr>
          <w:rFonts w:ascii="Times New Roman" w:hAnsi="Times New Roman" w:cs="Times New Roman"/>
          <w:sz w:val="24"/>
          <w:szCs w:val="24"/>
        </w:rPr>
        <w:t xml:space="preserve">Overall, the evaluation project’s Period of Performance runs from </w:t>
      </w:r>
      <w:r w:rsidR="00F77A23" w:rsidRPr="00CA26D1">
        <w:rPr>
          <w:rFonts w:ascii="Times New Roman" w:hAnsi="Times New Roman" w:cs="Times New Roman"/>
          <w:sz w:val="24"/>
          <w:szCs w:val="24"/>
        </w:rPr>
        <w:t>approximately</w:t>
      </w:r>
      <w:r w:rsidR="00A06DC6" w:rsidRPr="00CA26D1">
        <w:rPr>
          <w:rFonts w:ascii="Times New Roman" w:hAnsi="Times New Roman" w:cs="Times New Roman"/>
          <w:sz w:val="24"/>
          <w:szCs w:val="24"/>
        </w:rPr>
        <w:t xml:space="preserve"> 11/2013 to 11/201</w:t>
      </w:r>
      <w:r w:rsidR="00F77A23" w:rsidRPr="00CA26D1">
        <w:rPr>
          <w:rFonts w:ascii="Times New Roman" w:hAnsi="Times New Roman" w:cs="Times New Roman"/>
          <w:sz w:val="24"/>
          <w:szCs w:val="24"/>
        </w:rPr>
        <w:t>8</w:t>
      </w:r>
      <w:r w:rsidRPr="00CA26D1">
        <w:rPr>
          <w:rFonts w:ascii="Times New Roman" w:hAnsi="Times New Roman" w:cs="Times New Roman"/>
          <w:sz w:val="24"/>
          <w:szCs w:val="24"/>
        </w:rPr>
        <w:t>.  During this time, the stakeholder interviews will be conducted between</w:t>
      </w:r>
      <w:r w:rsidR="00F77A23" w:rsidRPr="00CA26D1">
        <w:rPr>
          <w:rFonts w:ascii="Times New Roman" w:hAnsi="Times New Roman" w:cs="Times New Roman"/>
          <w:sz w:val="24"/>
          <w:szCs w:val="24"/>
        </w:rPr>
        <w:t xml:space="preserve"> </w:t>
      </w:r>
      <w:r w:rsidR="00E43930" w:rsidRPr="00CA26D1">
        <w:rPr>
          <w:rFonts w:ascii="Times New Roman" w:hAnsi="Times New Roman" w:cs="Times New Roman"/>
          <w:sz w:val="24"/>
          <w:szCs w:val="24"/>
        </w:rPr>
        <w:t>12/2014 to 8/2018</w:t>
      </w:r>
      <w:r w:rsidRPr="00CA26D1">
        <w:rPr>
          <w:rFonts w:ascii="Times New Roman" w:hAnsi="Times New Roman" w:cs="Times New Roman"/>
          <w:sz w:val="24"/>
          <w:szCs w:val="24"/>
        </w:rPr>
        <w:t xml:space="preserve">, and the background research discussions will take place between </w:t>
      </w:r>
      <w:r w:rsidR="00A06DC6" w:rsidRPr="00CA26D1">
        <w:rPr>
          <w:rFonts w:ascii="Times New Roman" w:hAnsi="Times New Roman" w:cs="Times New Roman"/>
          <w:sz w:val="24"/>
          <w:szCs w:val="24"/>
        </w:rPr>
        <w:t xml:space="preserve">11/2013 </w:t>
      </w:r>
      <w:r w:rsidR="00F77A23" w:rsidRPr="00CA26D1">
        <w:rPr>
          <w:rFonts w:ascii="Times New Roman" w:hAnsi="Times New Roman" w:cs="Times New Roman"/>
          <w:sz w:val="24"/>
          <w:szCs w:val="24"/>
        </w:rPr>
        <w:t xml:space="preserve">and </w:t>
      </w:r>
      <w:r w:rsidR="00A06DC6" w:rsidRPr="00CA26D1">
        <w:rPr>
          <w:rFonts w:ascii="Times New Roman" w:hAnsi="Times New Roman" w:cs="Times New Roman"/>
          <w:sz w:val="24"/>
          <w:szCs w:val="24"/>
        </w:rPr>
        <w:t>10/201</w:t>
      </w:r>
      <w:r w:rsidR="00F77A23" w:rsidRPr="00CA26D1">
        <w:rPr>
          <w:rFonts w:ascii="Times New Roman" w:hAnsi="Times New Roman" w:cs="Times New Roman"/>
          <w:sz w:val="24"/>
          <w:szCs w:val="24"/>
        </w:rPr>
        <w:t>8.</w:t>
      </w:r>
    </w:p>
    <w:p w:rsidR="00190895" w:rsidRPr="00CA26D1" w:rsidRDefault="00190895"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CA26D1">
        <w:rPr>
          <w:rFonts w:ascii="Times New Roman" w:hAnsi="Times New Roman" w:cs="Times New Roman"/>
          <w:sz w:val="24"/>
          <w:szCs w:val="24"/>
        </w:rPr>
        <w:t xml:space="preserve">None of the interim reports, or the project’s final report, are expected to be made public.  A potential report to Congress would be authored by CMS, with support from </w:t>
      </w:r>
      <w:r w:rsidR="00FF70A5" w:rsidRPr="00CA26D1">
        <w:rPr>
          <w:rFonts w:ascii="Times New Roman" w:hAnsi="Times New Roman" w:cs="Times New Roman"/>
          <w:sz w:val="24"/>
          <w:szCs w:val="24"/>
        </w:rPr>
        <w:t xml:space="preserve">PRI </w:t>
      </w:r>
      <w:r w:rsidRPr="00CA26D1">
        <w:rPr>
          <w:rFonts w:ascii="Times New Roman" w:hAnsi="Times New Roman" w:cs="Times New Roman"/>
          <w:sz w:val="24"/>
          <w:szCs w:val="24"/>
        </w:rPr>
        <w:t xml:space="preserve">for submission sometime after </w:t>
      </w:r>
      <w:r w:rsidR="00A06DC6" w:rsidRPr="00CA26D1">
        <w:rPr>
          <w:rFonts w:ascii="Times New Roman" w:hAnsi="Times New Roman" w:cs="Times New Roman"/>
          <w:sz w:val="24"/>
          <w:szCs w:val="24"/>
        </w:rPr>
        <w:t>January 201</w:t>
      </w:r>
      <w:r w:rsidR="00F77A23" w:rsidRPr="00CA26D1">
        <w:rPr>
          <w:rFonts w:ascii="Times New Roman" w:hAnsi="Times New Roman" w:cs="Times New Roman"/>
          <w:sz w:val="24"/>
          <w:szCs w:val="24"/>
        </w:rPr>
        <w:t>9.</w:t>
      </w:r>
    </w:p>
    <w:p w:rsidR="00190895" w:rsidRPr="00CA26D1" w:rsidRDefault="00190895" w:rsidP="00D96D03">
      <w:pPr>
        <w:pStyle w:val="Heading4"/>
        <w:jc w:val="left"/>
        <w:rPr>
          <w:rFonts w:ascii="Times New Roman" w:hAnsi="Times New Roman"/>
          <w:sz w:val="24"/>
          <w:szCs w:val="24"/>
          <w:u w:val="none"/>
        </w:rPr>
      </w:pPr>
      <w:r w:rsidRPr="00CA26D1">
        <w:rPr>
          <w:rFonts w:ascii="Times New Roman" w:hAnsi="Times New Roman"/>
          <w:sz w:val="24"/>
          <w:szCs w:val="24"/>
          <w:u w:val="none"/>
        </w:rPr>
        <w:t>17.  Expiration Date</w:t>
      </w:r>
    </w:p>
    <w:p w:rsidR="00190895" w:rsidRPr="00CA26D1" w:rsidRDefault="005D5557" w:rsidP="00D96D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color w:val="FF0000"/>
          <w:sz w:val="24"/>
          <w:szCs w:val="24"/>
        </w:rPr>
      </w:pPr>
      <w:r w:rsidRPr="00CA26D1">
        <w:rPr>
          <w:rFonts w:ascii="Times New Roman" w:hAnsi="Times New Roman" w:cs="Times New Roman"/>
          <w:sz w:val="24"/>
          <w:szCs w:val="24"/>
        </w:rPr>
        <w:t>The expiration date will be displayed on each instrument</w:t>
      </w:r>
      <w:r w:rsidR="00406D1F">
        <w:rPr>
          <w:rFonts w:ascii="Times New Roman" w:hAnsi="Times New Roman" w:cs="Times New Roman"/>
          <w:sz w:val="24"/>
          <w:szCs w:val="24"/>
        </w:rPr>
        <w:t xml:space="preserve"> (page 1 – top right corner)</w:t>
      </w:r>
      <w:r w:rsidRPr="00CA26D1">
        <w:rPr>
          <w:rFonts w:ascii="Times New Roman" w:hAnsi="Times New Roman" w:cs="Times New Roman"/>
          <w:sz w:val="24"/>
          <w:szCs w:val="24"/>
        </w:rPr>
        <w:t>.</w:t>
      </w:r>
    </w:p>
    <w:sectPr w:rsidR="00190895" w:rsidRPr="00CA26D1" w:rsidSect="00B822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50" w:rsidRDefault="00F64550" w:rsidP="00190895">
      <w:pPr>
        <w:spacing w:after="0" w:line="240" w:lineRule="auto"/>
      </w:pPr>
      <w:r>
        <w:separator/>
      </w:r>
    </w:p>
  </w:endnote>
  <w:endnote w:type="continuationSeparator" w:id="0">
    <w:p w:rsidR="00F64550" w:rsidRDefault="00F64550" w:rsidP="0019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42366"/>
      <w:docPartObj>
        <w:docPartGallery w:val="Page Numbers (Bottom of Page)"/>
        <w:docPartUnique/>
      </w:docPartObj>
    </w:sdtPr>
    <w:sdtEndPr>
      <w:rPr>
        <w:noProof/>
      </w:rPr>
    </w:sdtEndPr>
    <w:sdtContent>
      <w:p w:rsidR="005D5557" w:rsidRDefault="005D5557">
        <w:pPr>
          <w:pStyle w:val="Footer"/>
          <w:jc w:val="right"/>
        </w:pPr>
        <w:r>
          <w:fldChar w:fldCharType="begin"/>
        </w:r>
        <w:r>
          <w:instrText xml:space="preserve"> PAGE   \* MERGEFORMAT </w:instrText>
        </w:r>
        <w:r>
          <w:fldChar w:fldCharType="separate"/>
        </w:r>
        <w:r w:rsidR="00E15613">
          <w:rPr>
            <w:noProof/>
          </w:rPr>
          <w:t>1</w:t>
        </w:r>
        <w:r>
          <w:rPr>
            <w:noProof/>
          </w:rPr>
          <w:fldChar w:fldCharType="end"/>
        </w:r>
      </w:p>
    </w:sdtContent>
  </w:sdt>
  <w:p w:rsidR="005D5557" w:rsidRDefault="005D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50" w:rsidRDefault="00F64550" w:rsidP="00190895">
      <w:pPr>
        <w:spacing w:after="0" w:line="240" w:lineRule="auto"/>
      </w:pPr>
      <w:r>
        <w:separator/>
      </w:r>
    </w:p>
  </w:footnote>
  <w:footnote w:type="continuationSeparator" w:id="0">
    <w:p w:rsidR="00F64550" w:rsidRDefault="00F64550" w:rsidP="00190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D145B"/>
    <w:multiLevelType w:val="hybridMultilevel"/>
    <w:tmpl w:val="603EB4EC"/>
    <w:lvl w:ilvl="0" w:tplc="12FA54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B7"/>
    <w:rsid w:val="00006CDD"/>
    <w:rsid w:val="00064DAE"/>
    <w:rsid w:val="00081732"/>
    <w:rsid w:val="000E4EF5"/>
    <w:rsid w:val="000F0A93"/>
    <w:rsid w:val="000F4B68"/>
    <w:rsid w:val="00103D90"/>
    <w:rsid w:val="00133D14"/>
    <w:rsid w:val="00143B29"/>
    <w:rsid w:val="001632FB"/>
    <w:rsid w:val="00163C69"/>
    <w:rsid w:val="001731D1"/>
    <w:rsid w:val="00190895"/>
    <w:rsid w:val="001C655C"/>
    <w:rsid w:val="001D10D7"/>
    <w:rsid w:val="0023000C"/>
    <w:rsid w:val="00241EB8"/>
    <w:rsid w:val="002469D0"/>
    <w:rsid w:val="002602F3"/>
    <w:rsid w:val="00274527"/>
    <w:rsid w:val="002857FF"/>
    <w:rsid w:val="00315600"/>
    <w:rsid w:val="003326BF"/>
    <w:rsid w:val="00340DB7"/>
    <w:rsid w:val="00375766"/>
    <w:rsid w:val="003B5BBE"/>
    <w:rsid w:val="00406D1F"/>
    <w:rsid w:val="00447907"/>
    <w:rsid w:val="004C4655"/>
    <w:rsid w:val="004F0EF0"/>
    <w:rsid w:val="004F3DAD"/>
    <w:rsid w:val="00500026"/>
    <w:rsid w:val="00512881"/>
    <w:rsid w:val="00530B27"/>
    <w:rsid w:val="0053502A"/>
    <w:rsid w:val="005905A4"/>
    <w:rsid w:val="005C7596"/>
    <w:rsid w:val="005D0510"/>
    <w:rsid w:val="005D5557"/>
    <w:rsid w:val="005F7ED3"/>
    <w:rsid w:val="0067121A"/>
    <w:rsid w:val="00682F97"/>
    <w:rsid w:val="006B0560"/>
    <w:rsid w:val="00787500"/>
    <w:rsid w:val="007B2115"/>
    <w:rsid w:val="007D011F"/>
    <w:rsid w:val="00836FEE"/>
    <w:rsid w:val="00837365"/>
    <w:rsid w:val="00872E71"/>
    <w:rsid w:val="00874246"/>
    <w:rsid w:val="008C2F9B"/>
    <w:rsid w:val="009102CE"/>
    <w:rsid w:val="009153D3"/>
    <w:rsid w:val="00916306"/>
    <w:rsid w:val="00945CA7"/>
    <w:rsid w:val="0096387F"/>
    <w:rsid w:val="009C1F1B"/>
    <w:rsid w:val="009C334B"/>
    <w:rsid w:val="009C519B"/>
    <w:rsid w:val="00A0580C"/>
    <w:rsid w:val="00A06DC6"/>
    <w:rsid w:val="00A5459F"/>
    <w:rsid w:val="00A65F06"/>
    <w:rsid w:val="00A85D51"/>
    <w:rsid w:val="00AB75EF"/>
    <w:rsid w:val="00AC1814"/>
    <w:rsid w:val="00AD216F"/>
    <w:rsid w:val="00AF3750"/>
    <w:rsid w:val="00B5020C"/>
    <w:rsid w:val="00B54277"/>
    <w:rsid w:val="00B8220A"/>
    <w:rsid w:val="00BA15C5"/>
    <w:rsid w:val="00BD0821"/>
    <w:rsid w:val="00BD69C4"/>
    <w:rsid w:val="00C53F28"/>
    <w:rsid w:val="00C5517B"/>
    <w:rsid w:val="00CA26D1"/>
    <w:rsid w:val="00CC4CBC"/>
    <w:rsid w:val="00D21D07"/>
    <w:rsid w:val="00D25B29"/>
    <w:rsid w:val="00D33DDC"/>
    <w:rsid w:val="00D56C35"/>
    <w:rsid w:val="00D96D03"/>
    <w:rsid w:val="00DC495C"/>
    <w:rsid w:val="00DE2AE3"/>
    <w:rsid w:val="00E14672"/>
    <w:rsid w:val="00E15613"/>
    <w:rsid w:val="00E43930"/>
    <w:rsid w:val="00E81C35"/>
    <w:rsid w:val="00ED15F0"/>
    <w:rsid w:val="00F0183D"/>
    <w:rsid w:val="00F249D8"/>
    <w:rsid w:val="00F321F0"/>
    <w:rsid w:val="00F352CE"/>
    <w:rsid w:val="00F61B03"/>
    <w:rsid w:val="00F64550"/>
    <w:rsid w:val="00F77A23"/>
    <w:rsid w:val="00F9379F"/>
    <w:rsid w:val="00F968DC"/>
    <w:rsid w:val="00FC5564"/>
    <w:rsid w:val="00FC7044"/>
    <w:rsid w:val="00FD1030"/>
    <w:rsid w:val="00FD1A95"/>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90895"/>
    <w:pPr>
      <w:keepNext/>
      <w:spacing w:after="60" w:line="240" w:lineRule="auto"/>
      <w:jc w:val="both"/>
      <w:outlineLvl w:val="3"/>
    </w:pPr>
    <w:rPr>
      <w:rFonts w:ascii="Arial" w:eastAsia="Times New Roman" w:hAnsi="Arial" w:cs="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B7"/>
    <w:rPr>
      <w:rFonts w:ascii="Tahoma" w:hAnsi="Tahoma" w:cs="Tahoma"/>
      <w:sz w:val="16"/>
      <w:szCs w:val="16"/>
    </w:rPr>
  </w:style>
  <w:style w:type="paragraph" w:customStyle="1" w:styleId="CoverPage1">
    <w:name w:val="Cover Page 1"/>
    <w:basedOn w:val="Normal"/>
    <w:qFormat/>
    <w:rsid w:val="00340DB7"/>
    <w:pPr>
      <w:spacing w:after="0" w:line="240" w:lineRule="auto"/>
      <w:jc w:val="both"/>
    </w:pPr>
    <w:rPr>
      <w:rFonts w:ascii="Arial" w:eastAsia="Times New Roman" w:hAnsi="Arial" w:cs="Times New Roman"/>
      <w:b/>
      <w:sz w:val="28"/>
      <w:szCs w:val="28"/>
    </w:rPr>
  </w:style>
  <w:style w:type="paragraph" w:styleId="CommentText">
    <w:name w:val="annotation text"/>
    <w:basedOn w:val="Normal"/>
    <w:link w:val="CommentTextChar"/>
    <w:uiPriority w:val="99"/>
    <w:semiHidden/>
    <w:unhideWhenUsed/>
    <w:rsid w:val="00340DB7"/>
    <w:pPr>
      <w:spacing w:line="240" w:lineRule="auto"/>
    </w:pPr>
    <w:rPr>
      <w:sz w:val="20"/>
      <w:szCs w:val="20"/>
    </w:rPr>
  </w:style>
  <w:style w:type="character" w:customStyle="1" w:styleId="CommentTextChar">
    <w:name w:val="Comment Text Char"/>
    <w:basedOn w:val="DefaultParagraphFont"/>
    <w:link w:val="CommentText"/>
    <w:uiPriority w:val="99"/>
    <w:semiHidden/>
    <w:rsid w:val="00340DB7"/>
    <w:rPr>
      <w:sz w:val="20"/>
      <w:szCs w:val="20"/>
    </w:rPr>
  </w:style>
  <w:style w:type="table" w:customStyle="1" w:styleId="TableGrid1">
    <w:name w:val="Table Grid1"/>
    <w:basedOn w:val="TableNormal"/>
    <w:next w:val="TableGrid"/>
    <w:uiPriority w:val="59"/>
    <w:rsid w:val="00340DB7"/>
    <w:pPr>
      <w:spacing w:after="0" w:line="240" w:lineRule="auto"/>
    </w:pPr>
    <w:rPr>
      <w:rFonts w:ascii="Times New (W1)" w:eastAsia="Times New Roman" w:hAnsi="Times New (W1)"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340DB7"/>
    <w:rPr>
      <w:sz w:val="18"/>
      <w:szCs w:val="18"/>
    </w:rPr>
  </w:style>
  <w:style w:type="table" w:styleId="TableGrid">
    <w:name w:val="Table Grid"/>
    <w:basedOn w:val="TableNormal"/>
    <w:uiPriority w:val="59"/>
    <w:rsid w:val="0034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90895"/>
    <w:pPr>
      <w:spacing w:before="60" w:after="60" w:line="240" w:lineRule="auto"/>
      <w:jc w:val="center"/>
    </w:pPr>
    <w:rPr>
      <w:rFonts w:ascii="Arial" w:eastAsia="Times New Roman" w:hAnsi="Arial" w:cs="Times New Roman"/>
      <w:sz w:val="20"/>
      <w:szCs w:val="24"/>
    </w:rPr>
  </w:style>
  <w:style w:type="paragraph" w:styleId="Caption">
    <w:name w:val="caption"/>
    <w:basedOn w:val="Normal"/>
    <w:next w:val="Normal"/>
    <w:qFormat/>
    <w:rsid w:val="00190895"/>
    <w:pPr>
      <w:spacing w:before="240" w:after="240" w:line="240" w:lineRule="auto"/>
      <w:jc w:val="center"/>
    </w:pPr>
    <w:rPr>
      <w:rFonts w:ascii="Times New Roman" w:eastAsia="Times New Roman" w:hAnsi="Times New Roman" w:cs="Times New Roman"/>
      <w:b/>
      <w:bCs/>
      <w:color w:val="000000" w:themeColor="text1"/>
      <w:sz w:val="24"/>
      <w:szCs w:val="18"/>
    </w:rPr>
  </w:style>
  <w:style w:type="paragraph" w:customStyle="1" w:styleId="TableRowHeading">
    <w:name w:val="Table Row Heading"/>
    <w:basedOn w:val="TableText"/>
    <w:qFormat/>
    <w:rsid w:val="00190895"/>
    <w:rPr>
      <w:b/>
    </w:rPr>
  </w:style>
  <w:style w:type="character" w:customStyle="1" w:styleId="Heading4Char">
    <w:name w:val="Heading 4 Char"/>
    <w:basedOn w:val="DefaultParagraphFont"/>
    <w:link w:val="Heading4"/>
    <w:rsid w:val="00190895"/>
    <w:rPr>
      <w:rFonts w:ascii="Arial" w:eastAsia="Times New Roman" w:hAnsi="Arial" w:cs="Times New Roman"/>
      <w:bCs/>
      <w:u w:val="single"/>
    </w:rPr>
  </w:style>
  <w:style w:type="paragraph" w:styleId="Header">
    <w:name w:val="header"/>
    <w:basedOn w:val="Normal"/>
    <w:link w:val="HeaderChar"/>
    <w:uiPriority w:val="99"/>
    <w:unhideWhenUsed/>
    <w:rsid w:val="00190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95"/>
  </w:style>
  <w:style w:type="paragraph" w:styleId="Footer">
    <w:name w:val="footer"/>
    <w:basedOn w:val="Normal"/>
    <w:link w:val="FooterChar"/>
    <w:uiPriority w:val="99"/>
    <w:unhideWhenUsed/>
    <w:rsid w:val="00190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95"/>
  </w:style>
  <w:style w:type="paragraph" w:styleId="CommentSubject">
    <w:name w:val="annotation subject"/>
    <w:basedOn w:val="CommentText"/>
    <w:next w:val="CommentText"/>
    <w:link w:val="CommentSubjectChar"/>
    <w:uiPriority w:val="99"/>
    <w:semiHidden/>
    <w:unhideWhenUsed/>
    <w:rsid w:val="00A06DC6"/>
    <w:rPr>
      <w:b/>
      <w:bCs/>
    </w:rPr>
  </w:style>
  <w:style w:type="character" w:customStyle="1" w:styleId="CommentSubjectChar">
    <w:name w:val="Comment Subject Char"/>
    <w:basedOn w:val="CommentTextChar"/>
    <w:link w:val="CommentSubject"/>
    <w:uiPriority w:val="99"/>
    <w:semiHidden/>
    <w:rsid w:val="00A06D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90895"/>
    <w:pPr>
      <w:keepNext/>
      <w:spacing w:after="60" w:line="240" w:lineRule="auto"/>
      <w:jc w:val="both"/>
      <w:outlineLvl w:val="3"/>
    </w:pPr>
    <w:rPr>
      <w:rFonts w:ascii="Arial" w:eastAsia="Times New Roman" w:hAnsi="Arial" w:cs="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B7"/>
    <w:rPr>
      <w:rFonts w:ascii="Tahoma" w:hAnsi="Tahoma" w:cs="Tahoma"/>
      <w:sz w:val="16"/>
      <w:szCs w:val="16"/>
    </w:rPr>
  </w:style>
  <w:style w:type="paragraph" w:customStyle="1" w:styleId="CoverPage1">
    <w:name w:val="Cover Page 1"/>
    <w:basedOn w:val="Normal"/>
    <w:qFormat/>
    <w:rsid w:val="00340DB7"/>
    <w:pPr>
      <w:spacing w:after="0" w:line="240" w:lineRule="auto"/>
      <w:jc w:val="both"/>
    </w:pPr>
    <w:rPr>
      <w:rFonts w:ascii="Arial" w:eastAsia="Times New Roman" w:hAnsi="Arial" w:cs="Times New Roman"/>
      <w:b/>
      <w:sz w:val="28"/>
      <w:szCs w:val="28"/>
    </w:rPr>
  </w:style>
  <w:style w:type="paragraph" w:styleId="CommentText">
    <w:name w:val="annotation text"/>
    <w:basedOn w:val="Normal"/>
    <w:link w:val="CommentTextChar"/>
    <w:uiPriority w:val="99"/>
    <w:semiHidden/>
    <w:unhideWhenUsed/>
    <w:rsid w:val="00340DB7"/>
    <w:pPr>
      <w:spacing w:line="240" w:lineRule="auto"/>
    </w:pPr>
    <w:rPr>
      <w:sz w:val="20"/>
      <w:szCs w:val="20"/>
    </w:rPr>
  </w:style>
  <w:style w:type="character" w:customStyle="1" w:styleId="CommentTextChar">
    <w:name w:val="Comment Text Char"/>
    <w:basedOn w:val="DefaultParagraphFont"/>
    <w:link w:val="CommentText"/>
    <w:uiPriority w:val="99"/>
    <w:semiHidden/>
    <w:rsid w:val="00340DB7"/>
    <w:rPr>
      <w:sz w:val="20"/>
      <w:szCs w:val="20"/>
    </w:rPr>
  </w:style>
  <w:style w:type="table" w:customStyle="1" w:styleId="TableGrid1">
    <w:name w:val="Table Grid1"/>
    <w:basedOn w:val="TableNormal"/>
    <w:next w:val="TableGrid"/>
    <w:uiPriority w:val="59"/>
    <w:rsid w:val="00340DB7"/>
    <w:pPr>
      <w:spacing w:after="0" w:line="240" w:lineRule="auto"/>
    </w:pPr>
    <w:rPr>
      <w:rFonts w:ascii="Times New (W1)" w:eastAsia="Times New Roman" w:hAnsi="Times New (W1)"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340DB7"/>
    <w:rPr>
      <w:sz w:val="18"/>
      <w:szCs w:val="18"/>
    </w:rPr>
  </w:style>
  <w:style w:type="table" w:styleId="TableGrid">
    <w:name w:val="Table Grid"/>
    <w:basedOn w:val="TableNormal"/>
    <w:uiPriority w:val="59"/>
    <w:rsid w:val="0034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90895"/>
    <w:pPr>
      <w:spacing w:before="60" w:after="60" w:line="240" w:lineRule="auto"/>
      <w:jc w:val="center"/>
    </w:pPr>
    <w:rPr>
      <w:rFonts w:ascii="Arial" w:eastAsia="Times New Roman" w:hAnsi="Arial" w:cs="Times New Roman"/>
      <w:sz w:val="20"/>
      <w:szCs w:val="24"/>
    </w:rPr>
  </w:style>
  <w:style w:type="paragraph" w:styleId="Caption">
    <w:name w:val="caption"/>
    <w:basedOn w:val="Normal"/>
    <w:next w:val="Normal"/>
    <w:qFormat/>
    <w:rsid w:val="00190895"/>
    <w:pPr>
      <w:spacing w:before="240" w:after="240" w:line="240" w:lineRule="auto"/>
      <w:jc w:val="center"/>
    </w:pPr>
    <w:rPr>
      <w:rFonts w:ascii="Times New Roman" w:eastAsia="Times New Roman" w:hAnsi="Times New Roman" w:cs="Times New Roman"/>
      <w:b/>
      <w:bCs/>
      <w:color w:val="000000" w:themeColor="text1"/>
      <w:sz w:val="24"/>
      <w:szCs w:val="18"/>
    </w:rPr>
  </w:style>
  <w:style w:type="paragraph" w:customStyle="1" w:styleId="TableRowHeading">
    <w:name w:val="Table Row Heading"/>
    <w:basedOn w:val="TableText"/>
    <w:qFormat/>
    <w:rsid w:val="00190895"/>
    <w:rPr>
      <w:b/>
    </w:rPr>
  </w:style>
  <w:style w:type="character" w:customStyle="1" w:styleId="Heading4Char">
    <w:name w:val="Heading 4 Char"/>
    <w:basedOn w:val="DefaultParagraphFont"/>
    <w:link w:val="Heading4"/>
    <w:rsid w:val="00190895"/>
    <w:rPr>
      <w:rFonts w:ascii="Arial" w:eastAsia="Times New Roman" w:hAnsi="Arial" w:cs="Times New Roman"/>
      <w:bCs/>
      <w:u w:val="single"/>
    </w:rPr>
  </w:style>
  <w:style w:type="paragraph" w:styleId="Header">
    <w:name w:val="header"/>
    <w:basedOn w:val="Normal"/>
    <w:link w:val="HeaderChar"/>
    <w:uiPriority w:val="99"/>
    <w:unhideWhenUsed/>
    <w:rsid w:val="00190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95"/>
  </w:style>
  <w:style w:type="paragraph" w:styleId="Footer">
    <w:name w:val="footer"/>
    <w:basedOn w:val="Normal"/>
    <w:link w:val="FooterChar"/>
    <w:uiPriority w:val="99"/>
    <w:unhideWhenUsed/>
    <w:rsid w:val="00190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95"/>
  </w:style>
  <w:style w:type="paragraph" w:styleId="CommentSubject">
    <w:name w:val="annotation subject"/>
    <w:basedOn w:val="CommentText"/>
    <w:next w:val="CommentText"/>
    <w:link w:val="CommentSubjectChar"/>
    <w:uiPriority w:val="99"/>
    <w:semiHidden/>
    <w:unhideWhenUsed/>
    <w:rsid w:val="00A06DC6"/>
    <w:rPr>
      <w:b/>
      <w:bCs/>
    </w:rPr>
  </w:style>
  <w:style w:type="character" w:customStyle="1" w:styleId="CommentSubjectChar">
    <w:name w:val="Comment Subject Char"/>
    <w:basedOn w:val="CommentTextChar"/>
    <w:link w:val="CommentSubject"/>
    <w:uiPriority w:val="99"/>
    <w:semiHidden/>
    <w:rsid w:val="00A06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1934-2DDB-4C3D-86FF-3BD90393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GLASGOW</dc:creator>
  <cp:lastModifiedBy>SYSTEM</cp:lastModifiedBy>
  <cp:revision>2</cp:revision>
  <cp:lastPrinted>2013-08-14T15:17:00Z</cp:lastPrinted>
  <dcterms:created xsi:type="dcterms:W3CDTF">2017-08-07T15:10:00Z</dcterms:created>
  <dcterms:modified xsi:type="dcterms:W3CDTF">2017-08-07T15:10:00Z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-983897935</vt:i4>
  </property>
  <property fmtid="{D5CDD505-2E9C-101B-9397-08002B2CF9AE}" pid="3" name="_NewReviewCycle">
    <vt:lpwstr/>
  </property>
  <property fmtid="{D5CDD505-2E9C-101B-9397-08002B2CF9AE}" pid="4" name="_EmailSubject">
    <vt:lpwstr>CMS-10471</vt:lpwstr>
  </property>
  <property fmtid="{D5CDD505-2E9C-101B-9397-08002B2CF9AE}" pid="5" name="_AuthorEmail">
    <vt:lpwstr>Debbie.Skinner@cms.hhs.gov</vt:lpwstr>
  </property>
  <property fmtid="{D5CDD505-2E9C-101B-9397-08002B2CF9AE}" pid="6" name="_AuthorEmailDisplayName">
    <vt:lpwstr>Skinner, Debbie A. (CMS/CPI)</vt:lpwstr>
  </property>
  <property fmtid="{D5CDD505-2E9C-101B-9397-08002B2CF9AE}" pid="7" name="_PreviousAdHocReviewCycleID">
    <vt:i4>1264315129</vt:i4>
  </property>
  <property fmtid="{D5CDD505-2E9C-101B-9397-08002B2CF9AE}" pid="8" name="_ReviewingToolsShownOnce">
    <vt:lpwstr/>
  </property>
</Properties>
</file>