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0" w:rsidRDefault="00E97050" w:rsidP="00E97050">
      <w:pPr>
        <w:pStyle w:val="Heading1"/>
        <w:spacing w:before="69"/>
        <w:ind w:left="220" w:firstLine="0"/>
      </w:pPr>
      <w:r>
        <w:t>Appendix B: Public Comments on the Proposed Modification of the ICR</w:t>
      </w:r>
    </w:p>
    <w:p w:rsidR="00E97050" w:rsidRDefault="00E97050" w:rsidP="00E97050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97050" w:rsidRDefault="00E97050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BE58D3">
        <w:rPr>
          <w:rFonts w:ascii="Times New Roman" w:hAnsi="Times New Roman" w:cs="Times New Roman"/>
          <w:sz w:val="24"/>
          <w:szCs w:val="24"/>
        </w:rPr>
        <w:t>Starting in June 2017, HHS will begin to implement pre-enrollment verification of eligibility for all categories of special enrollment periods for all States served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HealthCare.gov platform. Currently, individuals self-attest to their eligibility for many special enrollment periods and submit supporting documentation, but enroll in coverage through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 xml:space="preserve">Exchanges without any pre-enrollment verification. As </w:t>
      </w:r>
      <w:r>
        <w:rPr>
          <w:rFonts w:ascii="Times New Roman" w:hAnsi="Times New Roman" w:cs="Times New Roman"/>
          <w:sz w:val="24"/>
          <w:szCs w:val="24"/>
        </w:rPr>
        <w:t>discussed</w:t>
      </w:r>
      <w:r w:rsidRPr="00BE58D3">
        <w:rPr>
          <w:rFonts w:ascii="Times New Roman" w:hAnsi="Times New Roman" w:cs="Times New Roman"/>
          <w:sz w:val="24"/>
          <w:szCs w:val="24"/>
        </w:rPr>
        <w:t xml:space="preserve"> in the preamble to </w:t>
      </w:r>
      <w:r>
        <w:rPr>
          <w:rFonts w:ascii="Times New Roman" w:hAnsi="Times New Roman" w:cs="Times New Roman"/>
          <w:sz w:val="24"/>
          <w:szCs w:val="24"/>
        </w:rPr>
        <w:t xml:space="preserve">final rule </w:t>
      </w:r>
      <w:r>
        <w:rPr>
          <w:rFonts w:ascii="Times New Roman" w:hAnsi="Times New Roman"/>
        </w:rPr>
        <w:t xml:space="preserve">82 FR 18346, </w:t>
      </w:r>
      <w:r w:rsidRPr="00BE58D3">
        <w:rPr>
          <w:rFonts w:ascii="Times New Roman" w:hAnsi="Times New Roman" w:cs="Times New Roman"/>
          <w:sz w:val="24"/>
          <w:szCs w:val="24"/>
        </w:rPr>
        <w:t>beginning in June 2017, we previously planned to implement a pilot program to conduct pre</w:t>
      </w:r>
      <w:r w:rsidR="00AA0834">
        <w:rPr>
          <w:rFonts w:ascii="Times New Roman" w:hAnsi="Times New Roman" w:cs="Times New Roman"/>
          <w:sz w:val="24"/>
          <w:szCs w:val="24"/>
        </w:rPr>
        <w:t>-</w:t>
      </w:r>
      <w:r w:rsidRPr="00BE58D3">
        <w:rPr>
          <w:rFonts w:ascii="Times New Roman" w:hAnsi="Times New Roman" w:cs="Times New Roman"/>
          <w:sz w:val="24"/>
          <w:szCs w:val="24"/>
        </w:rPr>
        <w:t>enrollment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verification for a sample of 50 percent of consumers attempting to enroll in coverage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through special enrollment periods. We will now expand pre-enrollment verification to all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consumers for applicable special enrollment periods, so that enrollment will be delayed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“pended” until verification of eligibility is completed. Individuals will have to provide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supporting documentation within 30 days. Where possible, the FFE will make every effort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verify an individual’s eligibility for the applicable special enrollment period through automated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electronic means instead of through a consumer’s submission of documentation.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consumers currently provide required supporting documentation even though there is no pre</w:t>
      </w:r>
      <w:r w:rsidR="00AA0834">
        <w:rPr>
          <w:rFonts w:ascii="Times New Roman" w:hAnsi="Times New Roman" w:cs="Times New Roman"/>
          <w:sz w:val="24"/>
          <w:szCs w:val="24"/>
        </w:rPr>
        <w:t>-</w:t>
      </w:r>
      <w:r w:rsidRPr="00BE58D3">
        <w:rPr>
          <w:rFonts w:ascii="Times New Roman" w:hAnsi="Times New Roman" w:cs="Times New Roman"/>
          <w:sz w:val="24"/>
          <w:szCs w:val="24"/>
        </w:rPr>
        <w:t>enrollment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verification process, the provisions will not impose any additional paperwork burden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on consumers.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SBEs that currently do not conduct pre-enrollment verification for special enrollment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periods are encouraged to follow the same approach. States that choose to do so will change 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current approach. Under 5 CFR 1320.3(c</w:t>
      </w:r>
      <w:proofErr w:type="gramStart"/>
      <w:r w:rsidRPr="00BE58D3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BE58D3">
        <w:rPr>
          <w:rFonts w:ascii="Times New Roman" w:hAnsi="Times New Roman" w:cs="Times New Roman"/>
          <w:sz w:val="24"/>
          <w:szCs w:val="24"/>
        </w:rPr>
        <w:t>4), this ICR is not subject to the PRA as we anticipate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it would affect fewer than 10 entities in a 12-month period.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F2B" w:rsidRDefault="00D22F2B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</w:p>
    <w:p w:rsidR="00D22F2B" w:rsidRDefault="00AA0834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Based on enrollment data, we estimate that HHS eligibility support staff members will conduct pre-enrollment verification for an </w:t>
      </w:r>
      <w:r w:rsidRPr="00CC5FE2">
        <w:rPr>
          <w:rFonts w:ascii="Times New Roman" w:hAnsi="Times New Roman" w:cs="Times New Roman"/>
          <w:sz w:val="24"/>
          <w:szCs w:val="24"/>
        </w:rPr>
        <w:t>additional 650,000 individuals.  Once individuals have submitted the required verification documents, we estimate that it will take approximately 12 minutes (at an hourly cost of $40.82) to review and verify submitted verification documents.  The verification process will result in an additional annual burden for the Federal government of 130,000 hours at a cost of $5,306,600.  We have revised the information collection currently approved under CMS control number 0938-1207 (Medicaid and Children’s Health Insurance Programs, Essential Health Benefits in Alternative Benefit Plans, Eligibility Notices, Fair Hearing and Appeal Processes, and Premiums and</w:t>
      </w:r>
      <w:r>
        <w:rPr>
          <w:rFonts w:ascii="Times New Roman" w:hAnsi="Times New Roman" w:cs="Times New Roman"/>
          <w:sz w:val="24"/>
          <w:szCs w:val="24"/>
        </w:rPr>
        <w:t xml:space="preserve"> Cost Sharing; Exchanges, Eligibility and Enrollment) to account for this additional burden. </w:t>
      </w:r>
    </w:p>
    <w:p w:rsidR="00AA0834" w:rsidRDefault="00AA0834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050" w:rsidRDefault="00E97050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r w:rsidRPr="00BE58D3">
        <w:rPr>
          <w:rFonts w:ascii="Times New Roman" w:hAnsi="Times New Roman" w:cs="Times New Roman"/>
          <w:sz w:val="24"/>
          <w:szCs w:val="24"/>
        </w:rPr>
        <w:t>Commenters expressed concerns about the lack of Federal staff and resources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available to adjudicate documents in a timely manner, especially when the work is layered on top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of ongoing post-enrollment documentation verification for inconsistencies. Commenters noted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the increased costs to the Federal government due to increased staffing needs and secure storage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of submitted documents, and the additional time both consumers and assisters will need to spend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to adhere to these new requirements. A few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commenters indicated that a pre-enrollment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verification of special enrollment period eligibility may also affect other entities, such as issuers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and medical providers who would incur costs in re-submitting or refiling claims, processing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retroactive claims, and effectuating retroactive enrollments. One commenter suggested that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HHS’s cost analysis include these costs, as well as the consumer cost of spending time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requesting that claims be re-billed.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F2B" w:rsidRPr="002B5E9F" w:rsidRDefault="00D22F2B" w:rsidP="00D22F2B">
      <w:pPr>
        <w:widowControl/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57AE" w:rsidRDefault="00E97050" w:rsidP="00D22F2B">
      <w:pPr>
        <w:widowControl/>
        <w:autoSpaceDE w:val="0"/>
        <w:autoSpaceDN w:val="0"/>
        <w:adjustRightInd w:val="0"/>
        <w:ind w:firstLine="720"/>
      </w:pPr>
      <w:r w:rsidRPr="00BE58D3">
        <w:rPr>
          <w:rFonts w:ascii="Times New Roman" w:hAnsi="Times New Roman" w:cs="Times New Roman"/>
          <w:sz w:val="24"/>
          <w:szCs w:val="24"/>
        </w:rPr>
        <w:t>We appreciate the concerns about the increased burden and cost that a</w:t>
      </w:r>
      <w:r w:rsidRPr="002B5E9F">
        <w:rPr>
          <w:rFonts w:ascii="Times New Roman" w:hAnsi="Times New Roman" w:cs="Times New Roman"/>
          <w:sz w:val="24"/>
          <w:szCs w:val="24"/>
        </w:rPr>
        <w:t xml:space="preserve"> d</w:t>
      </w:r>
      <w:r w:rsidRPr="00BE58D3">
        <w:rPr>
          <w:rFonts w:ascii="Times New Roman" w:hAnsi="Times New Roman" w:cs="Times New Roman"/>
          <w:sz w:val="24"/>
          <w:szCs w:val="24"/>
        </w:rPr>
        <w:t>ocumentation requirement for pre-enrollment verification of eligibility for special enrollment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periods will have on all entities involved. We are dedicated to reviewing all special enrollment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period documents received as quickly as possible in order to minimize delays. Although we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recognize that gathering and submitting these documents can be difficult and time consuming,</w:t>
      </w:r>
      <w:r w:rsidRPr="002B5E9F">
        <w:rPr>
          <w:rFonts w:ascii="Times New Roman" w:hAnsi="Times New Roman" w:cs="Times New Roman"/>
          <w:sz w:val="24"/>
          <w:szCs w:val="24"/>
        </w:rPr>
        <w:t xml:space="preserve"> we do not believe that this places a new burden on consumers or those providing enrollment assistance since consumers are already required to submit </w:t>
      </w:r>
      <w:r w:rsidRPr="002B5E9F">
        <w:rPr>
          <w:rFonts w:ascii="Times New Roman" w:hAnsi="Times New Roman" w:cs="Times New Roman"/>
          <w:sz w:val="24"/>
          <w:szCs w:val="24"/>
        </w:rPr>
        <w:lastRenderedPageBreak/>
        <w:t xml:space="preserve">documentation to prove their </w:t>
      </w:r>
      <w:r w:rsidRPr="00BE58D3">
        <w:rPr>
          <w:rFonts w:ascii="Times New Roman" w:hAnsi="Times New Roman" w:cs="Times New Roman"/>
          <w:sz w:val="24"/>
          <w:szCs w:val="24"/>
        </w:rPr>
        <w:t>eligibility after enrollment for 5 common special enrollment periods. Because of our plans for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timely document review, we do not believe that new costs will be incurred by issuers, medical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providers, or consumers needing to re-submit, refile, or re-bill for claims for services received</w:t>
      </w:r>
      <w:r w:rsidRPr="002B5E9F">
        <w:rPr>
          <w:rFonts w:ascii="Times New Roman" w:hAnsi="Times New Roman" w:cs="Times New Roman"/>
          <w:sz w:val="24"/>
          <w:szCs w:val="24"/>
        </w:rPr>
        <w:t xml:space="preserve"> </w:t>
      </w:r>
      <w:r w:rsidRPr="00BE58D3">
        <w:rPr>
          <w:rFonts w:ascii="Times New Roman" w:hAnsi="Times New Roman" w:cs="Times New Roman"/>
          <w:sz w:val="24"/>
          <w:szCs w:val="24"/>
        </w:rPr>
        <w:t>due to this new requirement.</w:t>
      </w:r>
    </w:p>
    <w:sectPr w:rsidR="003D57AE" w:rsidSect="00E97050">
      <w:footerReference w:type="default" r:id="rId7"/>
      <w:pgSz w:w="12240" w:h="15840"/>
      <w:pgMar w:top="1220" w:right="1140" w:bottom="1200" w:left="1120" w:header="0" w:footer="9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2D0" w:rsidRDefault="008B75EE">
      <w:r>
        <w:separator/>
      </w:r>
    </w:p>
  </w:endnote>
  <w:endnote w:type="continuationSeparator" w:id="0">
    <w:p w:rsidR="00FC22D0" w:rsidRDefault="008B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4A2" w:rsidRDefault="006C355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ED7D4D" wp14:editId="6EECE3BD">
              <wp:simplePos x="0" y="0"/>
              <wp:positionH relativeFrom="page">
                <wp:posOffset>8993505</wp:posOffset>
              </wp:positionH>
              <wp:positionV relativeFrom="page">
                <wp:posOffset>7023735</wp:posOffset>
              </wp:positionV>
              <wp:extent cx="179070" cy="152400"/>
              <wp:effectExtent l="1905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4A2" w:rsidRDefault="006C3556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2F2B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D7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8.15pt;margin-top:553.05pt;width:14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" filled="f" stroked="f">
              <v:textbox inset="0,0,0,0">
                <w:txbxContent>
                  <w:p w:rsidR="009864A2" w:rsidRDefault="006C3556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2F2B">
                      <w:rPr>
                        <w:rFonts w:ascii="Times New Roman"/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2D0" w:rsidRDefault="008B75EE">
      <w:r>
        <w:separator/>
      </w:r>
    </w:p>
  </w:footnote>
  <w:footnote w:type="continuationSeparator" w:id="0">
    <w:p w:rsidR="00FC22D0" w:rsidRDefault="008B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274A87"/>
    <w:multiLevelType w:val="hybridMultilevel"/>
    <w:tmpl w:val="D8362A2A"/>
    <w:lvl w:ilvl="0" w:tplc="FB048D98">
      <w:start w:val="1"/>
      <w:numFmt w:val="upperLetter"/>
      <w:lvlText w:val="%1."/>
      <w:lvlJc w:val="left"/>
      <w:pPr>
        <w:ind w:left="393" w:hanging="29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7BB425CA">
      <w:start w:val="1"/>
      <w:numFmt w:val="bullet"/>
      <w:lvlText w:val="•"/>
      <w:lvlJc w:val="left"/>
      <w:pPr>
        <w:ind w:left="1318" w:hanging="294"/>
      </w:pPr>
      <w:rPr>
        <w:rFonts w:hint="default"/>
      </w:rPr>
    </w:lvl>
    <w:lvl w:ilvl="2" w:tplc="0E96162E">
      <w:start w:val="1"/>
      <w:numFmt w:val="bullet"/>
      <w:lvlText w:val="•"/>
      <w:lvlJc w:val="left"/>
      <w:pPr>
        <w:ind w:left="2236" w:hanging="294"/>
      </w:pPr>
      <w:rPr>
        <w:rFonts w:hint="default"/>
      </w:rPr>
    </w:lvl>
    <w:lvl w:ilvl="3" w:tplc="4710C582">
      <w:start w:val="1"/>
      <w:numFmt w:val="bullet"/>
      <w:lvlText w:val="•"/>
      <w:lvlJc w:val="left"/>
      <w:pPr>
        <w:ind w:left="3154" w:hanging="294"/>
      </w:pPr>
      <w:rPr>
        <w:rFonts w:hint="default"/>
      </w:rPr>
    </w:lvl>
    <w:lvl w:ilvl="4" w:tplc="96248C56">
      <w:start w:val="1"/>
      <w:numFmt w:val="bullet"/>
      <w:lvlText w:val="•"/>
      <w:lvlJc w:val="left"/>
      <w:pPr>
        <w:ind w:left="4072" w:hanging="294"/>
      </w:pPr>
      <w:rPr>
        <w:rFonts w:hint="default"/>
      </w:rPr>
    </w:lvl>
    <w:lvl w:ilvl="5" w:tplc="324C0C42">
      <w:start w:val="1"/>
      <w:numFmt w:val="bullet"/>
      <w:lvlText w:val="•"/>
      <w:lvlJc w:val="left"/>
      <w:pPr>
        <w:ind w:left="4990" w:hanging="294"/>
      </w:pPr>
      <w:rPr>
        <w:rFonts w:hint="default"/>
      </w:rPr>
    </w:lvl>
    <w:lvl w:ilvl="6" w:tplc="B0CAD118">
      <w:start w:val="1"/>
      <w:numFmt w:val="bullet"/>
      <w:lvlText w:val="•"/>
      <w:lvlJc w:val="left"/>
      <w:pPr>
        <w:ind w:left="5908" w:hanging="294"/>
      </w:pPr>
      <w:rPr>
        <w:rFonts w:hint="default"/>
      </w:rPr>
    </w:lvl>
    <w:lvl w:ilvl="7" w:tplc="1996F258">
      <w:start w:val="1"/>
      <w:numFmt w:val="bullet"/>
      <w:lvlText w:val="•"/>
      <w:lvlJc w:val="left"/>
      <w:pPr>
        <w:ind w:left="6826" w:hanging="294"/>
      </w:pPr>
      <w:rPr>
        <w:rFonts w:hint="default"/>
      </w:rPr>
    </w:lvl>
    <w:lvl w:ilvl="8" w:tplc="D346BD1E">
      <w:start w:val="1"/>
      <w:numFmt w:val="bullet"/>
      <w:lvlText w:val="•"/>
      <w:lvlJc w:val="left"/>
      <w:pPr>
        <w:ind w:left="7744" w:hanging="29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215631"/>
    <w:rsid w:val="002B1694"/>
    <w:rsid w:val="002D2235"/>
    <w:rsid w:val="006C3556"/>
    <w:rsid w:val="008B75EE"/>
    <w:rsid w:val="00AA0834"/>
    <w:rsid w:val="00CC5FE2"/>
    <w:rsid w:val="00D22F2B"/>
    <w:rsid w:val="00E97050"/>
    <w:rsid w:val="00FC22D0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30DEE-04A3-4329-A3A6-B13338B8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70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E97050"/>
    <w:pPr>
      <w:ind w:left="532" w:hanging="4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97050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B1694"/>
  </w:style>
  <w:style w:type="paragraph" w:customStyle="1" w:styleId="TableParagraph">
    <w:name w:val="Table Paragraph"/>
    <w:basedOn w:val="Normal"/>
    <w:uiPriority w:val="1"/>
    <w:qFormat/>
    <w:rsid w:val="002B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4130">
                          <w:marLeft w:val="-225"/>
                          <w:marRight w:val="-225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3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17770">
                                  <w:marLeft w:val="-225"/>
                                  <w:marRight w:val="-225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9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Pesto</dc:creator>
  <cp:keywords/>
  <dc:description/>
  <cp:lastModifiedBy>JAMAA HILL</cp:lastModifiedBy>
  <cp:revision>7</cp:revision>
  <dcterms:created xsi:type="dcterms:W3CDTF">2017-04-24T19:42:00Z</dcterms:created>
  <dcterms:modified xsi:type="dcterms:W3CDTF">2017-05-31T18:15:00Z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760130909</vt:i4>
  </property>
  <property fmtid="{D5CDD505-2E9C-101B-9397-08002B2CF9AE}" pid="3" name="_NewReviewCycle">
    <vt:lpwstr/>
  </property>
  <property fmtid="{D5CDD505-2E9C-101B-9397-08002B2CF9AE}" pid="4" name="_EmailSubject">
    <vt:lpwstr>508/Sign-off PRA Package</vt:lpwstr>
  </property>
  <property fmtid="{D5CDD505-2E9C-101B-9397-08002B2CF9AE}" pid="5" name="_AuthorEmail">
    <vt:lpwstr>catherine.pesto@cms.hhs.gov</vt:lpwstr>
  </property>
  <property fmtid="{D5CDD505-2E9C-101B-9397-08002B2CF9AE}" pid="6" name="_AuthorEmailDisplayName">
    <vt:lpwstr>Pesto, Anne (CMS/CCIIO)</vt:lpwstr>
  </property>
  <property fmtid="{D5CDD505-2E9C-101B-9397-08002B2CF9AE}" pid="7" name="_ReviewingToolsShownOnce">
    <vt:lpwstr/>
  </property>
</Properties>
</file>