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9009" w14:textId="00168E2A" w:rsidR="00285035" w:rsidRPr="00AD0DDE" w:rsidRDefault="00160851" w:rsidP="00285035">
      <w:pPr>
        <w:pStyle w:val="BodyText"/>
        <w:rPr>
          <w:b/>
          <w:bCs/>
        </w:rPr>
      </w:pPr>
      <w:r>
        <w:rPr>
          <w:b/>
          <w:bCs/>
        </w:rPr>
        <w:t>Supporting Statement–</w:t>
      </w:r>
      <w:r w:rsidR="00285035" w:rsidRPr="00AD0DDE">
        <w:rPr>
          <w:b/>
          <w:bCs/>
        </w:rPr>
        <w:t>Part A</w:t>
      </w:r>
    </w:p>
    <w:p w14:paraId="20A09CA9" w14:textId="0D987767" w:rsidR="00285035" w:rsidRPr="00AD0DDE" w:rsidRDefault="00285035" w:rsidP="00885C0E">
      <w:pPr>
        <w:pStyle w:val="BodyText"/>
        <w:rPr>
          <w:b/>
          <w:bCs/>
        </w:rPr>
      </w:pPr>
      <w:r w:rsidRPr="00AD0DDE">
        <w:rPr>
          <w:b/>
          <w:bCs/>
        </w:rPr>
        <w:t xml:space="preserve"> New Proced</w:t>
      </w:r>
      <w:r w:rsidR="006C0103">
        <w:rPr>
          <w:b/>
          <w:bCs/>
        </w:rPr>
        <w:t xml:space="preserve">ural Requirements </w:t>
      </w:r>
      <w:r w:rsidR="00885C0E">
        <w:rPr>
          <w:b/>
          <w:bCs/>
        </w:rPr>
        <w:t xml:space="preserve">beginning with </w:t>
      </w:r>
      <w:r w:rsidR="006C0103">
        <w:rPr>
          <w:b/>
          <w:bCs/>
        </w:rPr>
        <w:t>FY</w:t>
      </w:r>
      <w:r w:rsidR="005417B8">
        <w:rPr>
          <w:b/>
          <w:bCs/>
        </w:rPr>
        <w:t xml:space="preserve"> </w:t>
      </w:r>
      <w:r w:rsidR="006F1782">
        <w:rPr>
          <w:b/>
          <w:bCs/>
        </w:rPr>
        <w:t xml:space="preserve">2019 </w:t>
      </w:r>
      <w:r w:rsidR="00FB2C3A">
        <w:rPr>
          <w:b/>
          <w:bCs/>
        </w:rPr>
        <w:t>PPS-Exempt Cancer Hospital</w:t>
      </w:r>
      <w:r w:rsidRPr="00AD0DDE">
        <w:rPr>
          <w:b/>
          <w:bCs/>
        </w:rPr>
        <w:t xml:space="preserve"> Quality Reporting Program (</w:t>
      </w:r>
      <w:r w:rsidR="00FB2C3A">
        <w:rPr>
          <w:b/>
          <w:bCs/>
        </w:rPr>
        <w:t>PCH</w:t>
      </w:r>
      <w:r w:rsidR="00160851">
        <w:rPr>
          <w:b/>
          <w:bCs/>
        </w:rPr>
        <w:t>QR Program)</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0A33D164" w:rsidR="003742E3" w:rsidRDefault="00922079" w:rsidP="003742E3">
      <w:r>
        <w:t>Beginning with</w:t>
      </w:r>
      <w:r w:rsidR="00494AAC" w:rsidRPr="002C687C">
        <w:t xml:space="preserve"> </w:t>
      </w:r>
      <w:r w:rsidR="00B406A6" w:rsidRPr="002C687C">
        <w:t xml:space="preserve">FY </w:t>
      </w:r>
      <w:r w:rsidR="002C687C" w:rsidRPr="002C687C">
        <w:t>201</w:t>
      </w:r>
      <w:r w:rsidR="00DD6856">
        <w:t>9</w:t>
      </w:r>
      <w:r w:rsidR="00A35FEE">
        <w:t>,</w:t>
      </w:r>
      <w:r w:rsidR="001D53C2">
        <w:t xml:space="preserve"> </w:t>
      </w:r>
      <w:r w:rsidR="00CE7F66">
        <w:t xml:space="preserve">we plan to update the wage rate we use to calculate </w:t>
      </w:r>
      <w:r w:rsidR="00C006F5">
        <w:t>the burden</w:t>
      </w:r>
      <w:r w:rsidR="00CE7F66">
        <w:t xml:space="preserve"> to hospitals of </w:t>
      </w:r>
      <w:r w:rsidR="00C006F5">
        <w:t xml:space="preserve">data collection and submission required for </w:t>
      </w:r>
      <w:r w:rsidR="00CE7F66">
        <w:t xml:space="preserve">participation in the PCHQR Program to </w:t>
      </w:r>
      <w:r w:rsidR="00C006F5">
        <w:t>the wage rate</w:t>
      </w:r>
      <w:r w:rsidR="00CE7F66">
        <w:t xml:space="preserve"> in use by the other </w:t>
      </w:r>
      <w:r w:rsidR="00C006F5">
        <w:t xml:space="preserve">CMS </w:t>
      </w:r>
      <w:r w:rsidR="00CE7F66">
        <w:t xml:space="preserve">quality reporting programs, </w:t>
      </w:r>
      <w:r w:rsidR="00C006F5">
        <w:t>such as</w:t>
      </w:r>
      <w:r w:rsidR="00CE7F66">
        <w:t xml:space="preserve"> the Hospital Inpatient Quality Reporting (IQR) Program. </w:t>
      </w:r>
      <w:r w:rsidR="00B406A6">
        <w:t>For Program Year 2020, w</w:t>
      </w:r>
      <w:r w:rsidR="001D53C2">
        <w:t xml:space="preserve">e </w:t>
      </w:r>
      <w:r w:rsidR="00F90230">
        <w:t xml:space="preserve">plan to </w:t>
      </w:r>
      <w:r w:rsidR="00E94E71">
        <w:t>adopt</w:t>
      </w:r>
      <w:r w:rsidR="0016764F">
        <w:t xml:space="preserve"> </w:t>
      </w:r>
      <w:r w:rsidR="00E94E71">
        <w:t>four</w:t>
      </w:r>
      <w:r w:rsidR="0016764F">
        <w:t xml:space="preserve"> (</w:t>
      </w:r>
      <w:r w:rsidR="00E94E71">
        <w:t>4</w:t>
      </w:r>
      <w:r w:rsidR="0016764F">
        <w:t>) new measure</w:t>
      </w:r>
      <w:r w:rsidR="00E94E71">
        <w:t>s</w:t>
      </w:r>
      <w:r w:rsidR="0016764F">
        <w:t>, which CMS will calculate using administrative claims data</w:t>
      </w:r>
      <w:r w:rsidR="00E94E71">
        <w:t>, and remove three (3) measures that are chart-abstracted</w:t>
      </w:r>
      <w:r w:rsidR="0016764F">
        <w:t>.</w:t>
      </w:r>
      <w:r w:rsidR="00E94E71">
        <w:t xml:space="preserve"> We therefore anticipate an overall reduction in burden given that: 1)</w:t>
      </w:r>
      <w:r w:rsidR="0016764F">
        <w:t xml:space="preserve"> </w:t>
      </w:r>
      <w:r w:rsidR="00C006F5">
        <w:t xml:space="preserve">our revision of the wage rate will reduce the wage rate currently used to calculate burden; 2) </w:t>
      </w:r>
      <w:r w:rsidR="00E94E71">
        <w:t xml:space="preserve">the four proposed </w:t>
      </w:r>
      <w:r w:rsidR="0016764F">
        <w:t>measure</w:t>
      </w:r>
      <w:r w:rsidR="00E94E71">
        <w:t>s</w:t>
      </w:r>
      <w:r w:rsidR="0016764F">
        <w:t xml:space="preserve"> </w:t>
      </w:r>
      <w:r w:rsidR="00E94E71">
        <w:t xml:space="preserve">are </w:t>
      </w:r>
      <w:r w:rsidR="0016764F">
        <w:t>calculated using data that facilities already provide to CMS</w:t>
      </w:r>
      <w:r w:rsidR="00C006F5">
        <w:t xml:space="preserve"> and will</w:t>
      </w:r>
      <w:r w:rsidR="0016764F">
        <w:t xml:space="preserve"> not </w:t>
      </w:r>
      <w:r w:rsidR="00C006F5">
        <w:t xml:space="preserve">impose </w:t>
      </w:r>
      <w:r w:rsidR="0016764F">
        <w:t xml:space="preserve">any new </w:t>
      </w:r>
      <w:r w:rsidR="00C006F5">
        <w:t xml:space="preserve">or additional </w:t>
      </w:r>
      <w:r w:rsidR="0016764F">
        <w:t>burden</w:t>
      </w:r>
      <w:r w:rsidR="00C006F5">
        <w:t xml:space="preserve"> on PCHs</w:t>
      </w:r>
      <w:r w:rsidR="00E94E71">
        <w:t xml:space="preserve">; </w:t>
      </w:r>
      <w:r w:rsidR="00C006F5">
        <w:t>and 3</w:t>
      </w:r>
      <w:r w:rsidR="00E94E71">
        <w:t xml:space="preserve">) </w:t>
      </w:r>
      <w:r w:rsidR="00C006F5">
        <w:t xml:space="preserve">we propose to remove three </w:t>
      </w:r>
      <w:r w:rsidR="00BA5E3E">
        <w:t xml:space="preserve">previously-approved </w:t>
      </w:r>
      <w:r w:rsidR="00C006F5">
        <w:t>chart-ab</w:t>
      </w:r>
      <w:r w:rsidR="00E32AC9">
        <w:t>s</w:t>
      </w:r>
      <w:r w:rsidR="00C006F5">
        <w:t>tracted measures that require data collection and submission on the part of the PCHs</w:t>
      </w:r>
      <w:r w:rsidR="00BA5E3E">
        <w:t>, therefore reducing the</w:t>
      </w:r>
      <w:r w:rsidR="00732D94">
        <w:t xml:space="preserve"> information collection</w:t>
      </w:r>
      <w:r w:rsidR="00BA5E3E">
        <w:t xml:space="preserve"> burden</w:t>
      </w:r>
      <w:r w:rsidR="00C006F5">
        <w:t>.</w:t>
      </w:r>
      <w:r w:rsidR="0016764F">
        <w:t xml:space="preserve"> Therefore, the purpose of this PRA submission is </w:t>
      </w:r>
      <w:r w:rsidR="00C4471C">
        <w:t>revision</w:t>
      </w:r>
      <w:r w:rsidR="0016764F">
        <w:t xml:space="preserve"> of a </w:t>
      </w:r>
      <w:r w:rsidR="00FF23A5">
        <w:t>currently-</w:t>
      </w:r>
      <w:r w:rsidR="0016764F">
        <w:t>approved collection</w:t>
      </w:r>
      <w:r w:rsidR="00726818">
        <w:t xml:space="preserve"> to reduce the information collection burden on the PCHs</w:t>
      </w:r>
      <w:r w:rsidR="0016764F">
        <w:t xml:space="preserve">. </w:t>
      </w:r>
    </w:p>
    <w:p w14:paraId="6BD356BB" w14:textId="77777777" w:rsidR="003742E3" w:rsidRDefault="003742E3" w:rsidP="003742E3"/>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5C629AD6" w:rsidR="00C006F5" w:rsidRDefault="00A43FCA" w:rsidP="00A43FCA">
      <w:pPr>
        <w:pStyle w:val="Default"/>
      </w:pPr>
      <w:r w:rsidRPr="00A43FCA">
        <w:t>Section 1886(</w:t>
      </w:r>
      <w:r w:rsidR="006F1782">
        <w:t>k)(1)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to the Secretary data on quality measures as specified by the Secretary. Such data </w:t>
      </w:r>
      <w:r w:rsidRPr="00A43FCA">
        <w:lastRenderedPageBreak/>
        <w:t xml:space="preserve">shall be submitted 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2A850470" w14:textId="1ECC807F" w:rsidR="00830D4F" w:rsidRDefault="00BF6EB1" w:rsidP="0016764F">
      <w:pPr>
        <w:pStyle w:val="Default"/>
      </w:pPr>
      <w:r>
        <w:t>W</w:t>
      </w:r>
      <w:r w:rsidR="00DB08B5">
        <w:t xml:space="preserve">e </w:t>
      </w:r>
      <w:r w:rsidR="00726818">
        <w:t>are proposing</w:t>
      </w:r>
      <w:r w:rsidR="00481184">
        <w:t xml:space="preserve"> </w:t>
      </w:r>
      <w:r w:rsidR="00726818">
        <w:t>to adopt four (4)</w:t>
      </w:r>
      <w:r w:rsidR="00481184">
        <w:t xml:space="preserve"> </w:t>
      </w:r>
      <w:r w:rsidR="00DB08B5">
        <w:t>new quality measure</w:t>
      </w:r>
      <w:r w:rsidR="00726818">
        <w:t>s into and remove three (3) existing quality measures from</w:t>
      </w:r>
      <w:r w:rsidR="00DB08B5">
        <w:t xml:space="preserve"> the PCHQR </w:t>
      </w:r>
      <w:r w:rsidR="00494AAC">
        <w:t xml:space="preserve">Program </w:t>
      </w:r>
      <w:r w:rsidR="0040212C">
        <w:t xml:space="preserve">in the FY </w:t>
      </w:r>
      <w:r w:rsidR="00726818">
        <w:t xml:space="preserve">2018 </w:t>
      </w:r>
      <w:r w:rsidR="0040212C">
        <w:t xml:space="preserve">IPPS/LTCH </w:t>
      </w:r>
      <w:r w:rsidR="0016764F">
        <w:t xml:space="preserve">PPS </w:t>
      </w:r>
      <w:r w:rsidR="00726818">
        <w:t>Proposed</w:t>
      </w:r>
      <w:r w:rsidR="00821768">
        <w:t xml:space="preserve"> </w:t>
      </w:r>
      <w:r w:rsidR="0016764F">
        <w:t>R</w:t>
      </w:r>
      <w:r w:rsidR="0040212C">
        <w:t>ule</w:t>
      </w:r>
      <w:r w:rsidR="0016764F">
        <w:t xml:space="preserve">. </w:t>
      </w:r>
      <w:r w:rsidR="00726818">
        <w:t>We are proposing to adopt</w:t>
      </w:r>
      <w:r w:rsidR="008C3809">
        <w:t xml:space="preserve"> the following new quality measures beginning with the FY 2020 program year</w:t>
      </w:r>
      <w:r w:rsidR="00726818">
        <w:t xml:space="preserve">: 1) </w:t>
      </w:r>
      <w:r w:rsidR="00C56666" w:rsidRPr="00DC4265">
        <w:rPr>
          <w:rFonts w:eastAsia="Times New Roman"/>
        </w:rPr>
        <w:t xml:space="preserve">Proportion of Patients Who Died from Cancer Receiving Chemotherapy in the Last 14 Days of Life (NQF #0210); </w:t>
      </w:r>
      <w:r w:rsidR="00C56666">
        <w:rPr>
          <w:rFonts w:eastAsia="Times New Roman"/>
        </w:rPr>
        <w:t xml:space="preserve">2) </w:t>
      </w:r>
      <w:r w:rsidR="00C56666" w:rsidRPr="00DC4265">
        <w:rPr>
          <w:rFonts w:eastAsia="Times New Roman"/>
        </w:rPr>
        <w:t xml:space="preserve">Proportion of Patients Who Died from Cancer Admitted to the ICU in the Last 30 Days of Life (NQF #0213); </w:t>
      </w:r>
      <w:r w:rsidR="00C56666">
        <w:rPr>
          <w:rFonts w:eastAsia="Times New Roman"/>
        </w:rPr>
        <w:t xml:space="preserve">3) </w:t>
      </w:r>
      <w:r w:rsidR="00C56666" w:rsidRPr="00DC4265">
        <w:rPr>
          <w:rFonts w:eastAsia="Times New Roman"/>
        </w:rPr>
        <w:t xml:space="preserve">Proportion of Patients Who Died from Cancer Not Admitted to Hospice (NQF #0215); and </w:t>
      </w:r>
      <w:r w:rsidR="00C56666">
        <w:rPr>
          <w:rFonts w:eastAsia="Times New Roman"/>
        </w:rPr>
        <w:t xml:space="preserve">4) </w:t>
      </w:r>
      <w:r w:rsidR="00C56666" w:rsidRPr="00DC4265">
        <w:rPr>
          <w:rFonts w:eastAsia="Times New Roman"/>
        </w:rPr>
        <w:t>Proportion of Patients Who Died from Cancer Admitted to Hospice for Less Than Three Days (NQF #0216).</w:t>
      </w:r>
      <w:r w:rsidR="00C56666">
        <w:t xml:space="preserve"> </w:t>
      </w:r>
      <w:r w:rsidR="0016764F">
        <w:t xml:space="preserve">As previously noted, </w:t>
      </w:r>
      <w:r w:rsidR="00C56666">
        <w:t xml:space="preserve">these </w:t>
      </w:r>
      <w:r w:rsidR="0016764F">
        <w:t>measure</w:t>
      </w:r>
      <w:r w:rsidR="00C56666">
        <w:t>s</w:t>
      </w:r>
      <w:r w:rsidR="0016764F">
        <w:t xml:space="preserve"> </w:t>
      </w:r>
      <w:r w:rsidR="00C56666">
        <w:t xml:space="preserve">will be </w:t>
      </w:r>
      <w:r w:rsidR="0016764F">
        <w:t xml:space="preserve">calculated by CMS using administrative claims data, and therefore </w:t>
      </w:r>
      <w:r w:rsidR="00C56666">
        <w:t>do</w:t>
      </w:r>
      <w:r w:rsidR="0016764F">
        <w:t xml:space="preserve"> not pose any additional data collection burden on PCHs, as they already submit administrative claims data for the purpose of payment</w:t>
      </w:r>
      <w:r w:rsidR="007302C8">
        <w:t>.</w:t>
      </w:r>
      <w:r w:rsidR="00481184">
        <w:t xml:space="preserve"> </w:t>
      </w:r>
    </w:p>
    <w:p w14:paraId="0E9B3F23" w14:textId="77777777" w:rsidR="00C56666" w:rsidRDefault="00C56666" w:rsidP="0016764F">
      <w:pPr>
        <w:pStyle w:val="Default"/>
      </w:pPr>
    </w:p>
    <w:p w14:paraId="23C1F779" w14:textId="347C18C5" w:rsidR="00C56666" w:rsidRDefault="00C56666" w:rsidP="0016764F">
      <w:pPr>
        <w:pStyle w:val="Default"/>
      </w:pPr>
      <w:r>
        <w:t>In addition, we are proposing to remove the following three (3) quality measures</w:t>
      </w:r>
      <w:r w:rsidR="008C3809">
        <w:t xml:space="preserve"> beginning with the FY 2020 program year</w:t>
      </w:r>
      <w:r>
        <w:t xml:space="preserve">: </w:t>
      </w:r>
      <w:r w:rsidR="008C3809">
        <w:t xml:space="preserve">1) </w:t>
      </w:r>
      <w:r w:rsidRPr="002243AF">
        <w:rPr>
          <w:rFonts w:eastAsia="Times New Roman"/>
        </w:rPr>
        <w:t>Adjuvant Chemotherapy is Considered or Administered Within 4 Months (120 Days) of Diagnosis to Patients Under the Age of 80 with AJCC III (Lymph Node Positive) Colon Cancer (PCH-01/NQF #0223)</w:t>
      </w:r>
      <w:r>
        <w:rPr>
          <w:rFonts w:eastAsia="Times New Roman"/>
        </w:rPr>
        <w:t xml:space="preserve">; 2) </w:t>
      </w:r>
      <w:r w:rsidRPr="002243AF">
        <w:rPr>
          <w:rFonts w:eastAsia="Times New Roman"/>
        </w:rPr>
        <w:t>Combination Chemotherapy is Considered or Administered Within 4 Months (120 Days) of Diagnosis for Women Under 70 with AJCC T1c, or Stage II or III Hormone Receptor Negative Breast Cancer (PCH-02/NQF #0559)</w:t>
      </w:r>
      <w:r>
        <w:rPr>
          <w:rFonts w:eastAsia="Times New Roman"/>
        </w:rPr>
        <w:t xml:space="preserve">; and 3) </w:t>
      </w:r>
      <w:r w:rsidRPr="002243AF">
        <w:rPr>
          <w:rFonts w:eastAsia="Times New Roman"/>
        </w:rPr>
        <w:t>Adjuvant Hormonal Therapy (PCH-03/NQF #0220).</w:t>
      </w:r>
      <w:r w:rsidR="00FF23A5">
        <w:rPr>
          <w:rFonts w:eastAsia="Times New Roman"/>
        </w:rPr>
        <w:t xml:space="preserve"> </w:t>
      </w:r>
      <w:r>
        <w:rPr>
          <w:rFonts w:eastAsia="Times New Roman"/>
        </w:rPr>
        <w:t>As these measures are collected by the PCHs through chart abstraction, we anticipate that their removal will result in a reduction of burden on the PCHs.</w:t>
      </w:r>
    </w:p>
    <w:p w14:paraId="0E887AE3" w14:textId="0F1D8FCF" w:rsidR="003742E3" w:rsidRDefault="003742E3" w:rsidP="003742E3">
      <w:pPr>
        <w:pStyle w:val="Default"/>
      </w:pPr>
    </w:p>
    <w:p w14:paraId="134FEDB9" w14:textId="63591000" w:rsidR="00A32CDB" w:rsidRPr="00A32CDB" w:rsidRDefault="00A32CDB" w:rsidP="003742E3">
      <w:pPr>
        <w:pStyle w:val="Default"/>
      </w:pPr>
      <w:r w:rsidRPr="00A32CDB">
        <w:t xml:space="preserve">As a result of these policy changes, we </w:t>
      </w:r>
      <w:r w:rsidR="0016764F">
        <w:t xml:space="preserve">anticipate </w:t>
      </w:r>
      <w:r w:rsidR="007118C2">
        <w:t>an overall reduction</w:t>
      </w:r>
      <w:r w:rsidR="0016764F">
        <w:t xml:space="preserve"> in burden for facilities.</w:t>
      </w:r>
    </w:p>
    <w:p w14:paraId="7C5F933E" w14:textId="77777777"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15730D36"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DD524E" w:rsidRPr="00DD524E">
        <w:t>and 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lastRenderedPageBreak/>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6867AA8E"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the state and national average. The website presents the quality measures in consumer-friendly language and provides a tool to assist consumers in the selection of a hospital. Modeling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6D956583" w14:textId="639F6C9B"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0D030D">
        <w:t xml:space="preserve">thirteen </w:t>
      </w:r>
      <w:r w:rsidR="00FC5558">
        <w:t>(</w:t>
      </w:r>
      <w:r w:rsidR="000D030D">
        <w:t>13</w:t>
      </w:r>
      <w:r w:rsidR="00FC5558">
        <w:t>)</w:t>
      </w:r>
      <w:r>
        <w:t xml:space="preserve"> </w:t>
      </w:r>
      <w:r w:rsidR="000D030D">
        <w:t xml:space="preserve">existing, </w:t>
      </w:r>
      <w:r>
        <w:t>finalized measures being retained in the program.</w:t>
      </w:r>
    </w:p>
    <w:p w14:paraId="11EDDAED" w14:textId="77777777" w:rsidR="002E752D" w:rsidRDefault="002E752D" w:rsidP="004C5A27"/>
    <w:p w14:paraId="6CF46753" w14:textId="3B841CFD" w:rsidR="002E752D" w:rsidRDefault="002E752D" w:rsidP="004C5A27">
      <w:r>
        <w:t xml:space="preserve">This year, we </w:t>
      </w:r>
      <w:r w:rsidR="000D030D">
        <w:t>propose to add</w:t>
      </w:r>
      <w:r>
        <w:t xml:space="preserve"> </w:t>
      </w:r>
      <w:r w:rsidR="000D030D">
        <w:t xml:space="preserve">four (4) </w:t>
      </w:r>
      <w:r>
        <w:t>measure</w:t>
      </w:r>
      <w:r w:rsidR="000D030D">
        <w:t>s</w:t>
      </w:r>
      <w:r w:rsidR="00FF23A5">
        <w:t xml:space="preserve"> to the PCHQR Program. </w:t>
      </w:r>
      <w:r>
        <w:t>Because the new measure</w:t>
      </w:r>
      <w:r w:rsidR="000D030D">
        <w:t>s</w:t>
      </w:r>
      <w:r>
        <w:t xml:space="preserve"> </w:t>
      </w:r>
      <w:r w:rsidR="000D030D">
        <w:t xml:space="preserve">are </w:t>
      </w:r>
      <w:r>
        <w:t xml:space="preserve">calculated by CMS using administrative claims data, </w:t>
      </w:r>
      <w:r w:rsidR="0019382B">
        <w:t>we anticipate that there will be</w:t>
      </w:r>
      <w:r w:rsidR="00994253">
        <w:t xml:space="preserve"> </w:t>
      </w:r>
      <w:r>
        <w:t xml:space="preserve">no impact on </w:t>
      </w:r>
      <w:r w:rsidR="00994253">
        <w:t xml:space="preserve">the </w:t>
      </w:r>
      <w:r w:rsidR="0019382B">
        <w:t xml:space="preserve">Information Technology in use by the </w:t>
      </w:r>
      <w:r w:rsidR="00994253">
        <w:t xml:space="preserve">11 </w:t>
      </w:r>
      <w:r>
        <w:t>PCH</w:t>
      </w:r>
      <w:r w:rsidR="00994253">
        <w:t>s</w:t>
      </w:r>
      <w:r>
        <w:t>.</w:t>
      </w:r>
    </w:p>
    <w:p w14:paraId="6A8B3426" w14:textId="77777777" w:rsidR="000D030D" w:rsidRDefault="000D030D" w:rsidP="004C5A27"/>
    <w:p w14:paraId="1A31C3F1" w14:textId="55BF83B5" w:rsidR="000D030D" w:rsidRDefault="000D030D" w:rsidP="004C5A27">
      <w:r>
        <w:t>This year, we also propose to remove three (3) me</w:t>
      </w:r>
      <w:r w:rsidR="00FF23A5">
        <w:t xml:space="preserve">asures from the PCHQR Program. </w:t>
      </w:r>
      <w:r>
        <w:t>These chart-abstracted measures require review and abstraction by the PCHs and so we anticipate that their removal will result in a reduction of burden on the facilities, including those who maintain their medical records in electronic format.</w:t>
      </w:r>
    </w:p>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5FE4CB76" w:rsidR="00DD524E" w:rsidRDefault="00FC5558" w:rsidP="00DD524E">
      <w:r>
        <w:t>Where possible, w</w:t>
      </w:r>
      <w:r w:rsidR="00830D4F">
        <w:t>e have selected measures that are currently reported through a common mechanism (</w:t>
      </w:r>
      <w:r>
        <w:t xml:space="preserve">such as the </w:t>
      </w:r>
      <w:r w:rsidR="00830D4F">
        <w:t>C</w:t>
      </w:r>
      <w:r w:rsidR="005032F3">
        <w:t xml:space="preserve">enters for </w:t>
      </w:r>
      <w:r w:rsidR="00830D4F">
        <w:t>D</w:t>
      </w:r>
      <w:r w:rsidR="005032F3">
        <w:t xml:space="preserve">isease </w:t>
      </w:r>
      <w:r w:rsidR="00830D4F">
        <w:t>C</w:t>
      </w:r>
      <w:r w:rsidR="005032F3">
        <w:t>ontrol and Prevention (CDC)</w:t>
      </w:r>
      <w:r w:rsidR="00830D4F">
        <w:t xml:space="preserve"> N</w:t>
      </w:r>
      <w:r w:rsidR="00223432">
        <w:t xml:space="preserve">ational </w:t>
      </w:r>
      <w:r w:rsidR="00830D4F">
        <w:t>H</w:t>
      </w:r>
      <w:r w:rsidR="00223432">
        <w:t xml:space="preserve">ealthcare </w:t>
      </w:r>
      <w:r w:rsidR="00830D4F">
        <w:t>S</w:t>
      </w:r>
      <w:r w:rsidR="00223432">
        <w:t xml:space="preserve">afety </w:t>
      </w:r>
      <w:r w:rsidR="00830D4F">
        <w:t>N</w:t>
      </w:r>
      <w:r w:rsidR="00223432">
        <w:t>etwork (NHSN)</w:t>
      </w:r>
      <w:r w:rsidR="00830D4F">
        <w:t>) for all hospitals to conduct uniform measure reporting across settings. We will leverage data reported to the CDC through the NHSN and not require duplicate reporting.</w:t>
      </w:r>
      <w:r>
        <w:t xml:space="preserve"> The additional measure</w:t>
      </w:r>
      <w:r w:rsidR="005C557D">
        <w:t>s</w:t>
      </w:r>
      <w:r>
        <w:t xml:space="preserve"> </w:t>
      </w:r>
      <w:r w:rsidR="005C557D">
        <w:t>proposed</w:t>
      </w:r>
      <w:r w:rsidR="00886648">
        <w:t xml:space="preserve"> </w:t>
      </w:r>
      <w:r>
        <w:t xml:space="preserve">in the </w:t>
      </w:r>
      <w:r w:rsidR="000B6329">
        <w:t xml:space="preserve">FY </w:t>
      </w:r>
      <w:r w:rsidR="005C557D">
        <w:t xml:space="preserve">2018 </w:t>
      </w:r>
      <w:r>
        <w:t xml:space="preserve">IPPS/LTCH PPS </w:t>
      </w:r>
      <w:r w:rsidR="005C557D">
        <w:t>Proposed</w:t>
      </w:r>
      <w:r w:rsidR="00886648">
        <w:t xml:space="preserve"> </w:t>
      </w:r>
      <w:r w:rsidR="00821768">
        <w:t>R</w:t>
      </w:r>
      <w:r w:rsidR="000B6329">
        <w:t xml:space="preserve">ule </w:t>
      </w:r>
      <w:r>
        <w:t xml:space="preserve">do not require duplicate reporting because </w:t>
      </w:r>
      <w:r w:rsidR="005C557D">
        <w:t>they use</w:t>
      </w:r>
      <w:r>
        <w:t xml:space="preserve"> data that facilities are already reporting to CMS as part of the claims process.</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3FC6DDAF"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 xml:space="preserve">This effort will assist small </w:t>
      </w:r>
      <w:r w:rsidR="00DD524E">
        <w:t>PCH</w:t>
      </w:r>
      <w:r w:rsidRPr="00AD0DDE">
        <w:t xml:space="preserve"> providers in gathering information for their own quality improvement efforts. For example, we </w:t>
      </w:r>
      <w:r w:rsidRPr="00AD0DDE">
        <w:lastRenderedPageBreak/>
        <w:t xml:space="preserve">will be providing a help-desk hotline for troubleshooting purposes and 24/7 free information available on the </w:t>
      </w:r>
      <w:proofErr w:type="spellStart"/>
      <w:r w:rsidRPr="00AD0DDE">
        <w:t>QualityNet</w:t>
      </w:r>
      <w:proofErr w:type="spellEnd"/>
      <w:r w:rsidRPr="00AD0DDE">
        <w:t xml:space="preserve">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6ABA981F" w:rsidR="00E73383" w:rsidRDefault="00FC5558" w:rsidP="00285035">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Pr="00AD0DDE">
        <w:t>.</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77777777" w:rsidR="00285035" w:rsidRPr="00AD0DDE" w:rsidRDefault="00285035" w:rsidP="00285035">
      <w:pPr>
        <w:ind w:firstLine="720"/>
      </w:pPr>
    </w:p>
    <w:p w14:paraId="1E452B44" w14:textId="4B3366D4" w:rsidR="00DD524E" w:rsidRDefault="00DD524E" w:rsidP="00DD5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PCHs will have to abide with the reporting procedures set forth by the CDC and CMS to collect measures.</w:t>
      </w:r>
    </w:p>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0675837A" w14:textId="6F116B51" w:rsidR="00023A8E"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w:t>
      </w:r>
      <w:r w:rsidR="005C557D">
        <w:t>are soliciting</w:t>
      </w:r>
      <w:r>
        <w:t xml:space="preserve"> comments on the </w:t>
      </w:r>
      <w:r w:rsidR="00023A8E">
        <w:t>program and measure</w:t>
      </w:r>
      <w:r>
        <w:t xml:space="preserve"> requirements through the </w:t>
      </w:r>
      <w:r w:rsidR="00E67123">
        <w:t xml:space="preserve">FY </w:t>
      </w:r>
      <w:r w:rsidR="005C557D">
        <w:t xml:space="preserve">2018 </w:t>
      </w:r>
      <w:r w:rsidR="005002DC">
        <w:t xml:space="preserve">IPPS/LTCH PPS </w:t>
      </w:r>
      <w:r w:rsidR="005C557D">
        <w:t>Proposed</w:t>
      </w:r>
      <w:r w:rsidR="00821768">
        <w:t xml:space="preserve"> Rule</w:t>
      </w:r>
      <w:r w:rsidR="005C557D">
        <w:t xml:space="preserve"> </w:t>
      </w:r>
      <w:r w:rsidR="00C95C85">
        <w:t>which is scheduled to publish</w:t>
      </w:r>
      <w:r w:rsidR="00732D94">
        <w:t xml:space="preserve"> April </w:t>
      </w:r>
      <w:r w:rsidR="003A0CE9">
        <w:t>28</w:t>
      </w:r>
      <w:r w:rsidR="00732D94">
        <w:t>, 2017</w:t>
      </w:r>
      <w:r w:rsidR="003A0CE9">
        <w:t xml:space="preserve"> (82 FR 19796)</w:t>
      </w:r>
      <w:r w:rsidR="00732D94">
        <w:t xml:space="preserve">.  </w:t>
      </w:r>
      <w:r w:rsidR="00732D94" w:rsidDel="00732D94">
        <w:t xml:space="preserve"> </w:t>
      </w:r>
      <w:r w:rsidR="00C95C85">
        <w:t xml:space="preserve">We </w:t>
      </w:r>
      <w:r w:rsidR="005C557D">
        <w:t>will respond to those comments in the corresponding final rule</w:t>
      </w:r>
      <w:r w:rsidR="005D5AAA">
        <w:t xml:space="preserve">. </w:t>
      </w:r>
    </w:p>
    <w:p w14:paraId="3D0C63E3" w14:textId="1586D731" w:rsidR="00285035" w:rsidRPr="00AD0DDE" w:rsidRDefault="005C557D"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Additionally, w</w:t>
      </w:r>
      <w:r w:rsidR="005756DF">
        <w:t xml:space="preserve">e </w:t>
      </w:r>
      <w:r>
        <w:t xml:space="preserve">will </w:t>
      </w:r>
      <w:r w:rsidR="00892972">
        <w:t xml:space="preserve">continue to work </w:t>
      </w:r>
      <w:r w:rsidR="005756DF">
        <w:t>clos</w:t>
      </w:r>
      <w:r w:rsidR="00FC5558">
        <w:t>ely with the reporting entities,</w:t>
      </w:r>
      <w:r w:rsidR="00892972">
        <w:t xml:space="preserve"> </w:t>
      </w:r>
      <w:r>
        <w:t xml:space="preserve">represented by </w:t>
      </w:r>
      <w:r w:rsidR="002E752D">
        <w:t xml:space="preserve">the </w:t>
      </w:r>
      <w:r w:rsidR="00892972">
        <w:t>Alliance for Dedicated Cancer Centers,</w:t>
      </w:r>
      <w:r w:rsidR="005756DF">
        <w:t xml:space="preserve"> and the individual PCHs on details pertaining to the Program.</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2832D793" w:rsidR="00285035" w:rsidRPr="00AD0DDE" w:rsidRDefault="00285035" w:rsidP="00285035">
      <w:r w:rsidRPr="00AD0DDE">
        <w:t>No payments or gifts will be given to respondents for participation.</w:t>
      </w:r>
    </w:p>
    <w:p w14:paraId="53C20AC0" w14:textId="77777777" w:rsidR="00285035" w:rsidRPr="00AD0DDE" w:rsidRDefault="00285035" w:rsidP="00285035">
      <w:pPr>
        <w:ind w:firstLine="720"/>
      </w:pPr>
    </w:p>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4164B750" w:rsidR="00FC5558" w:rsidRPr="00AD0DDE" w:rsidRDefault="00FC5558" w:rsidP="00FC5558">
      <w:r w:rsidRPr="00AD0DDE">
        <w:t xml:space="preserve">All information collected under this initiative </w:t>
      </w:r>
      <w:r>
        <w:t xml:space="preserve">is </w:t>
      </w:r>
      <w:r w:rsidRPr="00AD0DDE">
        <w:t>maintained in strict accordance with statutes and regulations governing confidentiality requirements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p>
    <w:p w14:paraId="434C65E7" w14:textId="77777777" w:rsidR="00FC5558" w:rsidRPr="00FC5558" w:rsidRDefault="00FC5558" w:rsidP="00FC5558">
      <w:pPr>
        <w:pStyle w:val="ListParagraph"/>
        <w:ind w:left="360"/>
      </w:pPr>
    </w:p>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QR Program a</w:t>
      </w:r>
      <w:r w:rsidR="00622509">
        <w:t>re calculated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6A103F24"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FBD6798" w14:textId="3E0E6616" w:rsidR="00622509" w:rsidRDefault="00622509" w:rsidP="00FF23A5">
      <w:pPr>
        <w:pStyle w:val="Default"/>
        <w:numPr>
          <w:ilvl w:val="0"/>
          <w:numId w:val="15"/>
        </w:numPr>
      </w:pPr>
      <w:r>
        <w:t>We estimate an hourly labor cost (wage plus fringe and overhead) of $32.84/hour.</w:t>
      </w:r>
    </w:p>
    <w:p w14:paraId="3F73C214" w14:textId="77777777"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1"/>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408D3AEF" w14:textId="77777777" w:rsidR="008234DD" w:rsidRPr="00922079" w:rsidRDefault="008234DD" w:rsidP="00FF23A5">
      <w:pPr>
        <w:pStyle w:val="Default"/>
      </w:pPr>
    </w:p>
    <w:p w14:paraId="051ABC4B" w14:textId="7F9F6A3D" w:rsidR="008234DD" w:rsidRDefault="008234DD" w:rsidP="00FF23A5">
      <w:pPr>
        <w:pStyle w:val="Default"/>
      </w:pPr>
      <w:r w:rsidRPr="00922079">
        <w:t>Using estimates established in the FY 2013 IPPS/LTCH PPS final rule (77 FR 53667), we estimate th</w:t>
      </w:r>
      <w:r w:rsidR="00C47D1A" w:rsidRPr="00922079">
        <w:t>e hourly burden for</w:t>
      </w:r>
      <w:r w:rsidRPr="00922079">
        <w:t xml:space="preserve"> each PCH </w:t>
      </w:r>
      <w:r w:rsidR="00C47D1A" w:rsidRPr="00922079">
        <w:t xml:space="preserve">for the collection, submission, and training of personnel for submitting quality measure data for </w:t>
      </w:r>
      <w:r w:rsidR="001E28AC" w:rsidRPr="00922079">
        <w:t xml:space="preserve">one </w:t>
      </w:r>
      <w:r w:rsidR="00192865" w:rsidRPr="00922079">
        <w:t xml:space="preserve">(1) </w:t>
      </w:r>
      <w:r w:rsidR="00C47D1A" w:rsidRPr="00922079">
        <w:t xml:space="preserve">chart-abstracted measure </w:t>
      </w:r>
      <w:r w:rsidR="001E28AC" w:rsidRPr="00922079">
        <w:t>is</w:t>
      </w:r>
      <w:r w:rsidR="00C47D1A" w:rsidRPr="00922079">
        <w:t xml:space="preserve"> approximately 1,258</w:t>
      </w:r>
      <w:r w:rsidR="00AF4F8F" w:rsidRPr="00922079">
        <w:t>.7</w:t>
      </w:r>
      <w:r w:rsidR="00C47D1A" w:rsidRPr="00922079">
        <w:t xml:space="preserve"> hours</w:t>
      </w:r>
      <w:r w:rsidR="00C47D1A" w:rsidRPr="00922079">
        <w:rPr>
          <w:rStyle w:val="FootnoteReference"/>
        </w:rPr>
        <w:footnoteReference w:id="2"/>
      </w:r>
      <w:r w:rsidR="00C47D1A" w:rsidRPr="00922079">
        <w:t xml:space="preserve"> per year</w:t>
      </w:r>
      <w:r w:rsidR="00585408" w:rsidRPr="00922079">
        <w:t xml:space="preserve">, or </w:t>
      </w:r>
      <w:r w:rsidR="00162E79" w:rsidRPr="00922079">
        <w:t>104.9 hours per month (1,258.7 hours per year / 12 months)</w:t>
      </w:r>
      <w:r w:rsidRPr="00922079">
        <w:t>.</w:t>
      </w:r>
    </w:p>
    <w:p w14:paraId="5F412E4E" w14:textId="77777777" w:rsidR="00A575AE" w:rsidRDefault="00A575AE"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1BA89E95" w14:textId="79A1CFB7" w:rsidR="00622509" w:rsidRDefault="005B5ACA" w:rsidP="00FF23A5">
      <w:pPr>
        <w:pStyle w:val="Default"/>
      </w:pPr>
      <w:r>
        <w:t xml:space="preserve">We previously used the hourly wage rate for registered nurses from </w:t>
      </w:r>
      <w:hyperlink r:id="rId8" w:history="1">
        <w:r w:rsidRPr="006755E5">
          <w:rPr>
            <w:rStyle w:val="Hyperlink"/>
          </w:rPr>
          <w:t>www.salary.com</w:t>
        </w:r>
      </w:hyperlink>
      <w:r>
        <w:t xml:space="preserve"> of $33</w:t>
      </w:r>
      <w:r w:rsidR="00BD27D2">
        <w:t>/hour</w:t>
      </w:r>
      <w:r w:rsidR="00622509">
        <w:t xml:space="preserve"> to calculate the cost to PCHs of data collection and submission to the PCHQR Program</w:t>
      </w:r>
      <w:r w:rsidR="00A40CDE">
        <w:t xml:space="preserve">. </w:t>
      </w:r>
      <w:r>
        <w:t xml:space="preserve">To account for fringe benefits and overhead, which can vary from institution to institution, we estimated an additional $33 for </w:t>
      </w:r>
      <w:r w:rsidR="00A40CDE">
        <w:t xml:space="preserve">a total wage rate of $66/hour. </w:t>
      </w:r>
      <w:r>
        <w:t>However, our experience working with our data analysis contractors and those performing chart abstraction indicates that this work is performed by a different labor category than</w:t>
      </w:r>
      <w:r w:rsidR="00A40CDE">
        <w:t xml:space="preserve"> we previously thought. </w:t>
      </w:r>
      <w:r>
        <w:t>In addition, our previous labor cost is different from those used in other quality reporting and value-based pu</w:t>
      </w:r>
      <w:r w:rsidR="00A40CDE">
        <w:t>rchasing programs, and we do no</w:t>
      </w:r>
      <w:r>
        <w:t>t</w:t>
      </w:r>
      <w:r w:rsidR="00A40CDE">
        <w:t xml:space="preserve"> </w:t>
      </w:r>
      <w:r>
        <w:t>believe there is a justification for these different values given the similarity in qualit</w:t>
      </w:r>
      <w:r w:rsidR="00A40CDE">
        <w:t xml:space="preserve">y measures and required staff. </w:t>
      </w:r>
      <w:r>
        <w:t>Therefore, to align th</w:t>
      </w:r>
      <w:r w:rsidR="00622509">
        <w:t>e</w:t>
      </w:r>
      <w:r>
        <w:t xml:space="preserve"> estimated hourly labor costs (hourly wage plus fringe benefits and overhead) used to calculate burden in the PHCQR Program with those used in other CMS quality reporting programs, including the Hospital IQR Program, we are revis</w:t>
      </w:r>
      <w:r w:rsidR="00622509">
        <w:t>ing</w:t>
      </w:r>
      <w:r>
        <w:t xml:space="preserve"> our hourly labor cost to $32.84.</w:t>
      </w:r>
    </w:p>
    <w:p w14:paraId="0FF5322A" w14:textId="77777777" w:rsidR="005B5ACA" w:rsidRDefault="005B5ACA" w:rsidP="00FF23A5">
      <w:pPr>
        <w:pStyle w:val="Default"/>
      </w:pPr>
    </w:p>
    <w:p w14:paraId="4C922968" w14:textId="1E6F77E3" w:rsidR="005B5ACA" w:rsidRDefault="005B5ACA" w:rsidP="00FF23A5">
      <w:pPr>
        <w:pStyle w:val="Default"/>
      </w:pPr>
      <w:r>
        <w:lastRenderedPageBreak/>
        <w:t xml:space="preserve">This labor cost is based on the Bureau of Labor Statistics (BLS) wage for a Medical Records and </w:t>
      </w:r>
      <w:r w:rsidR="00A40CDE">
        <w:t xml:space="preserve">Health Information Technician. </w:t>
      </w:r>
      <w:r>
        <w:t>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According to the BLS, the median pay for Medical Records and Health Information Technicians is $16.42 per hour,</w:t>
      </w:r>
      <w:r w:rsidR="00661874">
        <w:rPr>
          <w:rStyle w:val="FootnoteReference"/>
        </w:rPr>
        <w:footnoteReference w:id="3"/>
      </w:r>
      <w:r>
        <w:t xml:space="preserve"> before inclusion of overhead and fringe benefits.</w:t>
      </w:r>
    </w:p>
    <w:p w14:paraId="1E4B64CF" w14:textId="77777777" w:rsidR="005B5ACA" w:rsidRDefault="005B5ACA" w:rsidP="00FF23A5">
      <w:pPr>
        <w:pStyle w:val="Default"/>
        <w:ind w:left="990"/>
      </w:pPr>
    </w:p>
    <w:p w14:paraId="4D670D80" w14:textId="0144338A" w:rsidR="005B5ACA" w:rsidRDefault="005B5ACA" w:rsidP="00FF23A5">
      <w:pPr>
        <w:pStyle w:val="Default"/>
      </w:pPr>
      <w:r>
        <w:t xml:space="preserve">Obtaining data on overhead costs is challenging because overhead costs vary across PCHs, and cost elements assigned as “indirect” or “overhead” costs, as opposed to direct costs or employee wages, are subject to </w:t>
      </w:r>
      <w:r w:rsidR="00633EBB">
        <w:t>interpretation</w:t>
      </w:r>
      <w:r w:rsidR="00A40CDE">
        <w:t xml:space="preserve"> at the facility level. </w:t>
      </w:r>
      <w:r>
        <w:t xml:space="preserve">Therefore, we </w:t>
      </w:r>
      <w:r w:rsidR="00622509">
        <w:t xml:space="preserve">estimate </w:t>
      </w:r>
      <w:r>
        <w:t>the cost of overhead, including fringe benefits, at 100 percent of the mean hourly wage, as is currently done in other C</w:t>
      </w:r>
      <w:r w:rsidR="00A40CDE">
        <w:t xml:space="preserve">MS quality reporting programs. </w:t>
      </w:r>
      <w:r>
        <w:t>This is necessarily a rough adjustment, because fringe benefits and overhead costs vary significan</w:t>
      </w:r>
      <w:r w:rsidR="00A40CDE">
        <w:t xml:space="preserve">tly from employer to employer. </w:t>
      </w:r>
      <w:r>
        <w:t>Nonetheless, we believe that doubling the hourly wage rate ($16.42 x 2 = $32.84) to estimate total cost is a reasonab</w:t>
      </w:r>
      <w:r w:rsidR="00A40CDE">
        <w:t xml:space="preserve">ly accurate estimation method. </w:t>
      </w:r>
      <w:r>
        <w:t xml:space="preserve">Accordingly, we </w:t>
      </w:r>
      <w:r w:rsidR="00622509">
        <w:t>will</w:t>
      </w:r>
      <w:r>
        <w:t xml:space="preserve"> use an hourly labor cost estimate of $32.84 ($16.42 salary</w:t>
      </w:r>
      <w:r w:rsidR="00A40CDE">
        <w:t xml:space="preserve"> plus</w:t>
      </w:r>
      <w:r>
        <w:t xml:space="preserve"> $16.42 fringe and overhead) for ca</w:t>
      </w:r>
      <w:r w:rsidR="00A40CDE">
        <w:t xml:space="preserve">lculation of burden forthwith. </w:t>
      </w:r>
      <w:r>
        <w:t>We have applied this revision to our calculation of burden for this request for amendment to our existing information collection and detail the calculations below.</w:t>
      </w:r>
    </w:p>
    <w:p w14:paraId="24161FA9" w14:textId="77777777" w:rsidR="00983240" w:rsidRDefault="00983240" w:rsidP="00983240"/>
    <w:p w14:paraId="691D7988" w14:textId="2535CBE2" w:rsidR="00C133AF" w:rsidRPr="00160851" w:rsidRDefault="00C133AF" w:rsidP="00160851">
      <w:pPr>
        <w:pStyle w:val="ListParagraph"/>
        <w:numPr>
          <w:ilvl w:val="0"/>
          <w:numId w:val="16"/>
        </w:numPr>
        <w:ind w:left="270" w:hanging="270"/>
        <w:rPr>
          <w:b/>
        </w:rPr>
      </w:pPr>
      <w:r w:rsidRPr="00160851">
        <w:rPr>
          <w:b/>
        </w:rPr>
        <w:t>FY 20</w:t>
      </w:r>
      <w:r w:rsidR="00346CF8" w:rsidRPr="00160851">
        <w:rPr>
          <w:b/>
        </w:rPr>
        <w:t>1</w:t>
      </w:r>
      <w:r w:rsidR="00922079" w:rsidRPr="00160851">
        <w:rPr>
          <w:b/>
        </w:rPr>
        <w:t>9</w:t>
      </w:r>
      <w:r w:rsidRPr="00160851">
        <w:rPr>
          <w:b/>
        </w:rPr>
        <w:t xml:space="preserve"> </w:t>
      </w:r>
      <w:r w:rsidR="00922079" w:rsidRPr="00160851">
        <w:rPr>
          <w:b/>
        </w:rPr>
        <w:t>Program Year Wage Rate Revision</w:t>
      </w:r>
    </w:p>
    <w:p w14:paraId="3DF5548C" w14:textId="4104D0D5" w:rsidR="0015426E" w:rsidRDefault="00D85AA2" w:rsidP="00B56479">
      <w:r>
        <w:t xml:space="preserve">Our previously approved burden is </w:t>
      </w:r>
      <w:r w:rsidR="00B56479">
        <w:rPr>
          <w:rFonts w:eastAsiaTheme="minorHAnsi"/>
        </w:rPr>
        <w:t>400,</w:t>
      </w:r>
      <w:r w:rsidR="003E0A44">
        <w:rPr>
          <w:rFonts w:eastAsiaTheme="minorHAnsi"/>
        </w:rPr>
        <w:t xml:space="preserve">620 </w:t>
      </w:r>
      <w:r w:rsidR="00B56479">
        <w:rPr>
          <w:rFonts w:eastAsiaTheme="minorHAnsi"/>
        </w:rPr>
        <w:t>responses</w:t>
      </w:r>
      <w:r w:rsidR="00614ACB">
        <w:t xml:space="preserve"> </w:t>
      </w:r>
      <w:r w:rsidR="001F75D7" w:rsidRPr="00CE3EF4">
        <w:rPr>
          <w:rStyle w:val="CommentReference"/>
          <w:sz w:val="24"/>
          <w:szCs w:val="24"/>
        </w:rPr>
        <w:t>and</w:t>
      </w:r>
      <w:r w:rsidR="00614ACB">
        <w:t xml:space="preserve"> </w:t>
      </w:r>
      <w:r w:rsidR="00B56479">
        <w:rPr>
          <w:rFonts w:eastAsiaTheme="minorHAnsi"/>
        </w:rPr>
        <w:t>200,42</w:t>
      </w:r>
      <w:r w:rsidR="003E0A44">
        <w:rPr>
          <w:rFonts w:eastAsiaTheme="minorHAnsi"/>
        </w:rPr>
        <w:t>3</w:t>
      </w:r>
      <w:r w:rsidR="0015426E">
        <w:rPr>
          <w:rFonts w:eastAsiaTheme="minorHAnsi"/>
        </w:rPr>
        <w:t xml:space="preserve"> </w:t>
      </w:r>
      <w:r w:rsidR="00614ACB">
        <w:t>hours across the 11 PCHs</w:t>
      </w:r>
      <w:r w:rsidR="00953D13">
        <w:t xml:space="preserve"> associated with the reporting requirements for the 16 previously finalized measures for the FY 2019 program year</w:t>
      </w:r>
      <w:r w:rsidR="00614ACB">
        <w:t xml:space="preserve">. </w:t>
      </w:r>
      <w:r w:rsidR="00B56479">
        <w:t>Using our previously approved wage and overhead rate of $66/hour</w:t>
      </w:r>
      <w:r w:rsidR="00B56479">
        <w:rPr>
          <w:rStyle w:val="FootnoteReference"/>
        </w:rPr>
        <w:footnoteReference w:id="4"/>
      </w:r>
      <w:r w:rsidR="00B56479">
        <w:t xml:space="preserve"> our previously approved cost burden is $13,</w:t>
      </w:r>
      <w:r w:rsidR="00DA2AA4">
        <w:t>227,918</w:t>
      </w:r>
      <w:r w:rsidR="00B56479">
        <w:t xml:space="preserve"> </w:t>
      </w:r>
      <w:r w:rsidR="00D04DC5">
        <w:t xml:space="preserve">(200,423 hours x $66 per hour) </w:t>
      </w:r>
      <w:r w:rsidR="00B56479">
        <w:t xml:space="preserve">across the 11 PCHs. </w:t>
      </w:r>
      <w:r w:rsidR="0015426E">
        <w:t>A summary of the currently approved burden is reflected in Table A.</w:t>
      </w:r>
    </w:p>
    <w:p w14:paraId="75A2ECDE" w14:textId="77777777" w:rsidR="00CD5B1D" w:rsidRDefault="00CD5B1D" w:rsidP="00B56479"/>
    <w:p w14:paraId="63E6987E" w14:textId="77777777" w:rsidR="00CD5B1D" w:rsidRDefault="00CD5B1D" w:rsidP="00CD5B1D">
      <w:r>
        <w:t>Table A. Currently Approved Burden</w:t>
      </w:r>
    </w:p>
    <w:p w14:paraId="20750E5D" w14:textId="77777777" w:rsidR="00CD5B1D" w:rsidRDefault="00CD5B1D" w:rsidP="00CD5B1D"/>
    <w:tbl>
      <w:tblPr>
        <w:tblStyle w:val="TableGrid"/>
        <w:tblW w:w="0" w:type="auto"/>
        <w:tblLook w:val="04A0" w:firstRow="1" w:lastRow="0" w:firstColumn="1" w:lastColumn="0" w:noHBand="0" w:noVBand="1"/>
        <w:tblCaption w:val="Comparison of Currently-Approved Burden for Existing Sixteen Measures per Facility and for all Facilities"/>
        <w:tblDescription w:val="The number of responses for the existing 16 measures is thirty-six thousand, four hundred twenty per facility and four hundred thousand, six hundred twenty for all facilities.  This calculates to a time burden of eighteen thousand, two hundred twenty point seven hours per facility and two hundred thousand, four hundred twenty-three hours for all facilities.  This calculates to a cost burden at the previously approved hourly wage rate of sixty-six dollars per hour of one million, two hundred two thousand, five hundred thirty-eight dollars per facility and thirteen million, two hundred twenty-seven, nine hundred eighteen hours for all facilities."/>
      </w:tblPr>
      <w:tblGrid>
        <w:gridCol w:w="2605"/>
        <w:gridCol w:w="2970"/>
        <w:gridCol w:w="3600"/>
      </w:tblGrid>
      <w:tr w:rsidR="00CD5B1D" w14:paraId="663FB39A" w14:textId="77777777" w:rsidTr="00C36936">
        <w:trPr>
          <w:cantSplit/>
          <w:tblHeader/>
        </w:trPr>
        <w:tc>
          <w:tcPr>
            <w:tcW w:w="2605" w:type="dxa"/>
          </w:tcPr>
          <w:p w14:paraId="45B4D18A" w14:textId="77777777" w:rsidR="00CD5B1D" w:rsidRPr="00986E58" w:rsidRDefault="00CD5B1D" w:rsidP="004C6DF1">
            <w:pPr>
              <w:rPr>
                <w:b/>
                <w:sz w:val="20"/>
                <w:szCs w:val="20"/>
              </w:rPr>
            </w:pPr>
            <w:r>
              <w:rPr>
                <w:b/>
                <w:sz w:val="20"/>
                <w:szCs w:val="20"/>
              </w:rPr>
              <w:t xml:space="preserve">Existing 16 Measures </w:t>
            </w:r>
          </w:p>
        </w:tc>
        <w:tc>
          <w:tcPr>
            <w:tcW w:w="2970" w:type="dxa"/>
          </w:tcPr>
          <w:p w14:paraId="44D7671C" w14:textId="77777777" w:rsidR="00CD5B1D" w:rsidRPr="00986E58" w:rsidRDefault="00CD5B1D" w:rsidP="004C6DF1">
            <w:pPr>
              <w:rPr>
                <w:b/>
                <w:sz w:val="20"/>
                <w:szCs w:val="20"/>
              </w:rPr>
            </w:pPr>
            <w:r w:rsidRPr="00986E58">
              <w:rPr>
                <w:b/>
                <w:sz w:val="20"/>
                <w:szCs w:val="20"/>
              </w:rPr>
              <w:t>Per Facility</w:t>
            </w:r>
          </w:p>
        </w:tc>
        <w:tc>
          <w:tcPr>
            <w:tcW w:w="3600" w:type="dxa"/>
          </w:tcPr>
          <w:p w14:paraId="169B7E0F" w14:textId="77777777" w:rsidR="00CD5B1D" w:rsidRPr="00986E58" w:rsidRDefault="00CD5B1D" w:rsidP="004C6DF1">
            <w:pPr>
              <w:rPr>
                <w:b/>
                <w:sz w:val="20"/>
                <w:szCs w:val="20"/>
              </w:rPr>
            </w:pPr>
            <w:r w:rsidRPr="00986E58">
              <w:rPr>
                <w:b/>
                <w:sz w:val="20"/>
                <w:szCs w:val="20"/>
              </w:rPr>
              <w:t>All Facilities</w:t>
            </w:r>
          </w:p>
        </w:tc>
      </w:tr>
      <w:tr w:rsidR="00CD5B1D" w14:paraId="3345E7FD" w14:textId="77777777" w:rsidTr="004C6DF1">
        <w:tc>
          <w:tcPr>
            <w:tcW w:w="2605" w:type="dxa"/>
          </w:tcPr>
          <w:p w14:paraId="34DA16F4" w14:textId="77777777" w:rsidR="00CD5B1D" w:rsidRPr="001074F8" w:rsidRDefault="00CD5B1D" w:rsidP="004C6DF1">
            <w:pPr>
              <w:rPr>
                <w:sz w:val="20"/>
                <w:szCs w:val="20"/>
              </w:rPr>
            </w:pPr>
            <w:r>
              <w:rPr>
                <w:sz w:val="20"/>
                <w:szCs w:val="20"/>
              </w:rPr>
              <w:t>Number of Responses</w:t>
            </w:r>
          </w:p>
        </w:tc>
        <w:tc>
          <w:tcPr>
            <w:tcW w:w="2970" w:type="dxa"/>
          </w:tcPr>
          <w:p w14:paraId="2DAF59B8" w14:textId="77777777" w:rsidR="00CD5B1D" w:rsidRPr="001074F8" w:rsidRDefault="00CD5B1D" w:rsidP="004C6DF1">
            <w:pPr>
              <w:rPr>
                <w:sz w:val="20"/>
                <w:szCs w:val="20"/>
              </w:rPr>
            </w:pPr>
            <w:r>
              <w:rPr>
                <w:sz w:val="20"/>
                <w:szCs w:val="20"/>
              </w:rPr>
              <w:t>36,420</w:t>
            </w:r>
          </w:p>
        </w:tc>
        <w:tc>
          <w:tcPr>
            <w:tcW w:w="3600" w:type="dxa"/>
          </w:tcPr>
          <w:p w14:paraId="3B11C1D5" w14:textId="77777777" w:rsidR="00CD5B1D" w:rsidRPr="001074F8" w:rsidRDefault="00CD5B1D" w:rsidP="004C6DF1">
            <w:pPr>
              <w:rPr>
                <w:sz w:val="20"/>
                <w:szCs w:val="20"/>
              </w:rPr>
            </w:pPr>
            <w:r>
              <w:rPr>
                <w:sz w:val="20"/>
                <w:szCs w:val="20"/>
              </w:rPr>
              <w:t>400,620 responses</w:t>
            </w:r>
          </w:p>
        </w:tc>
      </w:tr>
      <w:tr w:rsidR="00CD5B1D" w14:paraId="3BC74DD4" w14:textId="77777777" w:rsidTr="004C6DF1">
        <w:tc>
          <w:tcPr>
            <w:tcW w:w="2605" w:type="dxa"/>
          </w:tcPr>
          <w:p w14:paraId="1BE1A60F" w14:textId="77777777" w:rsidR="00CD5B1D" w:rsidRPr="001074F8" w:rsidRDefault="00CD5B1D" w:rsidP="004C6DF1">
            <w:pPr>
              <w:rPr>
                <w:sz w:val="20"/>
                <w:szCs w:val="20"/>
              </w:rPr>
            </w:pPr>
            <w:r>
              <w:rPr>
                <w:sz w:val="20"/>
                <w:szCs w:val="20"/>
              </w:rPr>
              <w:t>Hours</w:t>
            </w:r>
          </w:p>
        </w:tc>
        <w:tc>
          <w:tcPr>
            <w:tcW w:w="2970" w:type="dxa"/>
          </w:tcPr>
          <w:p w14:paraId="3AAC5C6D" w14:textId="77777777" w:rsidR="00CD5B1D" w:rsidRPr="001074F8" w:rsidRDefault="00CD5B1D" w:rsidP="004C6DF1">
            <w:pPr>
              <w:rPr>
                <w:sz w:val="20"/>
                <w:szCs w:val="20"/>
              </w:rPr>
            </w:pPr>
            <w:r>
              <w:rPr>
                <w:sz w:val="20"/>
                <w:szCs w:val="20"/>
              </w:rPr>
              <w:t>18,220.27</w:t>
            </w:r>
          </w:p>
        </w:tc>
        <w:tc>
          <w:tcPr>
            <w:tcW w:w="3600" w:type="dxa"/>
          </w:tcPr>
          <w:p w14:paraId="01628650" w14:textId="77777777" w:rsidR="00CD5B1D" w:rsidRPr="001074F8" w:rsidRDefault="00CD5B1D" w:rsidP="004C6DF1">
            <w:pPr>
              <w:rPr>
                <w:sz w:val="20"/>
                <w:szCs w:val="20"/>
              </w:rPr>
            </w:pPr>
            <w:r>
              <w:rPr>
                <w:sz w:val="20"/>
                <w:szCs w:val="20"/>
              </w:rPr>
              <w:t>200,423 hours</w:t>
            </w:r>
          </w:p>
        </w:tc>
      </w:tr>
      <w:tr w:rsidR="00CD5B1D" w14:paraId="4D5BB159" w14:textId="77777777" w:rsidTr="004C6DF1">
        <w:trPr>
          <w:trHeight w:val="215"/>
        </w:trPr>
        <w:tc>
          <w:tcPr>
            <w:tcW w:w="2605" w:type="dxa"/>
          </w:tcPr>
          <w:p w14:paraId="6801A2A5" w14:textId="594AB817" w:rsidR="00CD5B1D" w:rsidRDefault="00CD5B1D" w:rsidP="004C6DF1">
            <w:pPr>
              <w:rPr>
                <w:sz w:val="20"/>
                <w:szCs w:val="20"/>
              </w:rPr>
            </w:pPr>
            <w:r>
              <w:rPr>
                <w:sz w:val="20"/>
                <w:szCs w:val="20"/>
              </w:rPr>
              <w:t>Cost</w:t>
            </w:r>
            <w:r w:rsidR="002D7AC0">
              <w:rPr>
                <w:sz w:val="20"/>
                <w:szCs w:val="20"/>
              </w:rPr>
              <w:t xml:space="preserve"> ($66/hour)</w:t>
            </w:r>
          </w:p>
        </w:tc>
        <w:tc>
          <w:tcPr>
            <w:tcW w:w="2970" w:type="dxa"/>
          </w:tcPr>
          <w:p w14:paraId="21C97713" w14:textId="77777777" w:rsidR="00CD5B1D" w:rsidRPr="001074F8" w:rsidRDefault="00CD5B1D" w:rsidP="004C6DF1">
            <w:pPr>
              <w:rPr>
                <w:sz w:val="20"/>
                <w:szCs w:val="20"/>
              </w:rPr>
            </w:pPr>
            <w:r>
              <w:rPr>
                <w:sz w:val="20"/>
                <w:szCs w:val="20"/>
              </w:rPr>
              <w:t>$1,202,538</w:t>
            </w:r>
          </w:p>
        </w:tc>
        <w:tc>
          <w:tcPr>
            <w:tcW w:w="3600" w:type="dxa"/>
          </w:tcPr>
          <w:p w14:paraId="48E9D34B" w14:textId="77777777" w:rsidR="00CD5B1D" w:rsidRDefault="00CD5B1D" w:rsidP="004C6DF1">
            <w:pPr>
              <w:rPr>
                <w:sz w:val="20"/>
                <w:szCs w:val="20"/>
              </w:rPr>
            </w:pPr>
            <w:r>
              <w:rPr>
                <w:sz w:val="20"/>
                <w:szCs w:val="20"/>
              </w:rPr>
              <w:t>$13,227,918</w:t>
            </w:r>
          </w:p>
        </w:tc>
      </w:tr>
    </w:tbl>
    <w:p w14:paraId="31A58300" w14:textId="77777777" w:rsidR="00CD5B1D" w:rsidRDefault="00CD5B1D" w:rsidP="00B56479"/>
    <w:p w14:paraId="6BEFE2BC" w14:textId="0F0392DC" w:rsidR="00CD5B1D" w:rsidRDefault="00CD5B1D" w:rsidP="00B56479">
      <w:r>
        <w:t xml:space="preserve">Applying our revised wage and overhead rate of $32.84 discussed above, the revision to the previously approved cost burden is a reduction in cost across the 11 PCHs of </w:t>
      </w:r>
      <w:r w:rsidR="002D7AC0">
        <w:t>$6,646,028</w:t>
      </w:r>
      <w:r>
        <w:t xml:space="preserve">, for a </w:t>
      </w:r>
      <w:r w:rsidR="000E6EFF">
        <w:t xml:space="preserve">revised </w:t>
      </w:r>
      <w:r>
        <w:t>total cost burden of $</w:t>
      </w:r>
      <w:r w:rsidR="002D7AC0">
        <w:t>6,581,890</w:t>
      </w:r>
      <w:r w:rsidR="008817FB">
        <w:t xml:space="preserve"> annually (</w:t>
      </w:r>
      <w:r w:rsidR="00696C13">
        <w:t>200,423</w:t>
      </w:r>
      <w:r w:rsidR="008817FB">
        <w:t xml:space="preserve"> hours x $32.84 per hour)</w:t>
      </w:r>
      <w:r w:rsidR="00D45779">
        <w:t xml:space="preserve">. </w:t>
      </w:r>
      <w:r>
        <w:t>A comparison of the previously approved and the revised burden is reflected in Table B.</w:t>
      </w:r>
    </w:p>
    <w:p w14:paraId="51AF79A6" w14:textId="77777777" w:rsidR="00CD5B1D" w:rsidRDefault="00CD5B1D" w:rsidP="00B56479"/>
    <w:p w14:paraId="0166C14F" w14:textId="77777777" w:rsidR="00C36936" w:rsidRDefault="00C36936">
      <w:pPr>
        <w:jc w:val="center"/>
      </w:pPr>
      <w:r>
        <w:br w:type="page"/>
      </w:r>
    </w:p>
    <w:p w14:paraId="08EDDF90" w14:textId="13BAD414" w:rsidR="00CD5B1D" w:rsidRDefault="00CD5B1D" w:rsidP="00CD5B1D">
      <w:r>
        <w:lastRenderedPageBreak/>
        <w:t>Table B. Burden Comparison (Previously Approved and Revised</w:t>
      </w:r>
      <w:r w:rsidR="00BD27D2">
        <w:t xml:space="preserve"> Wage Rate</w:t>
      </w:r>
      <w:r>
        <w:t>)</w:t>
      </w:r>
    </w:p>
    <w:p w14:paraId="28A653EE" w14:textId="77777777" w:rsidR="00CD5B1D" w:rsidRDefault="00CD5B1D" w:rsidP="00CD5B1D"/>
    <w:tbl>
      <w:tblPr>
        <w:tblStyle w:val="TableGrid"/>
        <w:tblW w:w="0" w:type="auto"/>
        <w:tblLook w:val="04A0" w:firstRow="1" w:lastRow="0" w:firstColumn="1" w:lastColumn="0" w:noHBand="0" w:noVBand="1"/>
        <w:tblCaption w:val="Comparison of the difference in wage rates per facility and for all facilities for the existing sixteen measures."/>
        <w:tblDescription w:val="This table compares the difference in burden per facility and for all facilities between the previously approved wage rate of sixty-six dollars per hour and the revised wage rate of thirty-two dollars and eighty-four cents per hour.  In this table the number of responses and the hourly burden remain constant.  For each facility the number of responses is thirty-six thousand, four hundred twenty and the hourly burden is eighteen-thousand, two hundred twenty point two seven. For all facilities, the number of responses is four hundred thousand, six hundred twenty and the hourly burden is two hundred thousand, four hundred twenty-three.  Using the old previously approved hourly wage rate of sixty-six dollars per hour, the cost burden is one million, two hundred two thousand, five hundred thirty-eight dollars per facility, and thirteen million, two hundred twenty seven thousand, nine hundred eighteen for all facilities.  Using the revised wage rate of thirty-two dollars and eighty-four cents per hour, the cost per facility is five hundred ninety-eight thousand three hundred fifty-four dollars and for all facilities is six million, five hundred eighty-one thousand eight hundred ninety dollars.  This is a cost difference of six hundred four thousand, one hundred eighty-four dollars less per facility and six million, six hundred forty-six thousand, twenty-eight dollars less for all facilities."/>
      </w:tblPr>
      <w:tblGrid>
        <w:gridCol w:w="1740"/>
        <w:gridCol w:w="1931"/>
        <w:gridCol w:w="2265"/>
        <w:gridCol w:w="1707"/>
        <w:gridCol w:w="1707"/>
      </w:tblGrid>
      <w:tr w:rsidR="00CD5B1D" w14:paraId="0F1546A2" w14:textId="71FF2251" w:rsidTr="00C36936">
        <w:trPr>
          <w:cantSplit/>
          <w:trHeight w:val="782"/>
          <w:tblHeader/>
        </w:trPr>
        <w:tc>
          <w:tcPr>
            <w:tcW w:w="1740" w:type="dxa"/>
          </w:tcPr>
          <w:p w14:paraId="0FEEA948" w14:textId="77777777" w:rsidR="00CD5B1D" w:rsidRPr="00986E58" w:rsidRDefault="00CD5B1D" w:rsidP="004C6DF1">
            <w:pPr>
              <w:rPr>
                <w:b/>
                <w:sz w:val="20"/>
                <w:szCs w:val="20"/>
              </w:rPr>
            </w:pPr>
            <w:r>
              <w:rPr>
                <w:b/>
                <w:sz w:val="20"/>
                <w:szCs w:val="20"/>
              </w:rPr>
              <w:t xml:space="preserve">Existing 16 Measures </w:t>
            </w:r>
          </w:p>
        </w:tc>
        <w:tc>
          <w:tcPr>
            <w:tcW w:w="1931" w:type="dxa"/>
          </w:tcPr>
          <w:p w14:paraId="34E6D84E" w14:textId="170500E7" w:rsidR="00CD5B1D" w:rsidRDefault="00CD5B1D" w:rsidP="004C6DF1">
            <w:pPr>
              <w:rPr>
                <w:b/>
                <w:sz w:val="20"/>
                <w:szCs w:val="20"/>
              </w:rPr>
            </w:pPr>
            <w:r>
              <w:rPr>
                <w:b/>
                <w:sz w:val="20"/>
                <w:szCs w:val="20"/>
              </w:rPr>
              <w:t>Previously Approved Burden</w:t>
            </w:r>
          </w:p>
          <w:p w14:paraId="51E0DE23" w14:textId="5A32F012" w:rsidR="002607CA" w:rsidRPr="00986E58" w:rsidRDefault="00CD5B1D" w:rsidP="00922079">
            <w:pPr>
              <w:rPr>
                <w:b/>
                <w:sz w:val="20"/>
                <w:szCs w:val="20"/>
              </w:rPr>
            </w:pPr>
            <w:r w:rsidRPr="00986E58">
              <w:rPr>
                <w:b/>
                <w:sz w:val="20"/>
                <w:szCs w:val="20"/>
              </w:rPr>
              <w:t>Per Facility</w:t>
            </w:r>
            <w:r w:rsidR="00922079">
              <w:rPr>
                <w:b/>
                <w:sz w:val="20"/>
                <w:szCs w:val="20"/>
              </w:rPr>
              <w:t xml:space="preserve"> </w:t>
            </w:r>
          </w:p>
        </w:tc>
        <w:tc>
          <w:tcPr>
            <w:tcW w:w="2265" w:type="dxa"/>
          </w:tcPr>
          <w:p w14:paraId="36006C38" w14:textId="49447310" w:rsidR="00CD5B1D" w:rsidRDefault="00CD5B1D" w:rsidP="004C6DF1">
            <w:pPr>
              <w:rPr>
                <w:b/>
                <w:sz w:val="20"/>
                <w:szCs w:val="20"/>
              </w:rPr>
            </w:pPr>
            <w:r>
              <w:rPr>
                <w:b/>
                <w:sz w:val="20"/>
                <w:szCs w:val="20"/>
              </w:rPr>
              <w:t>Previously Approved Burden</w:t>
            </w:r>
          </w:p>
          <w:p w14:paraId="3AB6BA49" w14:textId="0E63DC80" w:rsidR="002607CA" w:rsidRPr="00986E58" w:rsidRDefault="00CD5B1D" w:rsidP="00C36936">
            <w:pPr>
              <w:rPr>
                <w:b/>
                <w:sz w:val="20"/>
                <w:szCs w:val="20"/>
              </w:rPr>
            </w:pPr>
            <w:r w:rsidRPr="00986E58">
              <w:rPr>
                <w:b/>
                <w:sz w:val="20"/>
                <w:szCs w:val="20"/>
              </w:rPr>
              <w:t>All Facilities</w:t>
            </w:r>
          </w:p>
        </w:tc>
        <w:tc>
          <w:tcPr>
            <w:tcW w:w="1707" w:type="dxa"/>
          </w:tcPr>
          <w:p w14:paraId="71854D1A" w14:textId="42EFF98A" w:rsidR="00CD5B1D" w:rsidRPr="00986E58" w:rsidRDefault="00CD5B1D" w:rsidP="00C83112">
            <w:pPr>
              <w:rPr>
                <w:b/>
                <w:sz w:val="20"/>
                <w:szCs w:val="20"/>
              </w:rPr>
            </w:pPr>
            <w:r>
              <w:rPr>
                <w:b/>
                <w:sz w:val="20"/>
                <w:szCs w:val="20"/>
              </w:rPr>
              <w:t>Revised Burden Per Facility</w:t>
            </w:r>
            <w:r w:rsidR="00C83112">
              <w:rPr>
                <w:b/>
                <w:sz w:val="20"/>
                <w:szCs w:val="20"/>
              </w:rPr>
              <w:t xml:space="preserve"> </w:t>
            </w:r>
          </w:p>
        </w:tc>
        <w:tc>
          <w:tcPr>
            <w:tcW w:w="1707" w:type="dxa"/>
          </w:tcPr>
          <w:p w14:paraId="63D47A2E" w14:textId="0B44F1D0" w:rsidR="00CD5B1D" w:rsidRPr="00986E58" w:rsidRDefault="00CD5B1D" w:rsidP="00C83112">
            <w:pPr>
              <w:rPr>
                <w:b/>
                <w:sz w:val="20"/>
                <w:szCs w:val="20"/>
              </w:rPr>
            </w:pPr>
            <w:r>
              <w:rPr>
                <w:b/>
                <w:sz w:val="20"/>
                <w:szCs w:val="20"/>
              </w:rPr>
              <w:t>Revised Burden All Facilities</w:t>
            </w:r>
            <w:r w:rsidR="00C83112">
              <w:rPr>
                <w:b/>
                <w:sz w:val="20"/>
                <w:szCs w:val="20"/>
              </w:rPr>
              <w:t xml:space="preserve"> </w:t>
            </w:r>
          </w:p>
        </w:tc>
      </w:tr>
      <w:tr w:rsidR="00CD5B1D" w14:paraId="6039C0CC" w14:textId="6960212F" w:rsidTr="00FF23A5">
        <w:trPr>
          <w:trHeight w:val="485"/>
        </w:trPr>
        <w:tc>
          <w:tcPr>
            <w:tcW w:w="1740" w:type="dxa"/>
          </w:tcPr>
          <w:p w14:paraId="3E436C99" w14:textId="77777777" w:rsidR="00CD5B1D" w:rsidRPr="001074F8" w:rsidRDefault="00CD5B1D" w:rsidP="004C6DF1">
            <w:pPr>
              <w:rPr>
                <w:sz w:val="20"/>
                <w:szCs w:val="20"/>
              </w:rPr>
            </w:pPr>
            <w:r>
              <w:rPr>
                <w:sz w:val="20"/>
                <w:szCs w:val="20"/>
              </w:rPr>
              <w:t>Number of Responses</w:t>
            </w:r>
          </w:p>
        </w:tc>
        <w:tc>
          <w:tcPr>
            <w:tcW w:w="1931" w:type="dxa"/>
          </w:tcPr>
          <w:p w14:paraId="3BAA08D1" w14:textId="77777777" w:rsidR="00CD5B1D" w:rsidRPr="001074F8" w:rsidRDefault="00CD5B1D" w:rsidP="004C6DF1">
            <w:pPr>
              <w:rPr>
                <w:sz w:val="20"/>
                <w:szCs w:val="20"/>
              </w:rPr>
            </w:pPr>
            <w:r>
              <w:rPr>
                <w:sz w:val="20"/>
                <w:szCs w:val="20"/>
              </w:rPr>
              <w:t>36,420</w:t>
            </w:r>
          </w:p>
        </w:tc>
        <w:tc>
          <w:tcPr>
            <w:tcW w:w="2265" w:type="dxa"/>
          </w:tcPr>
          <w:p w14:paraId="05210E99" w14:textId="39D71C5F" w:rsidR="00CD5B1D" w:rsidRPr="001074F8" w:rsidRDefault="00CD5B1D" w:rsidP="00CD5B1D">
            <w:pPr>
              <w:rPr>
                <w:sz w:val="20"/>
                <w:szCs w:val="20"/>
              </w:rPr>
            </w:pPr>
            <w:r>
              <w:rPr>
                <w:sz w:val="20"/>
                <w:szCs w:val="20"/>
              </w:rPr>
              <w:t>400,620</w:t>
            </w:r>
          </w:p>
        </w:tc>
        <w:tc>
          <w:tcPr>
            <w:tcW w:w="1707" w:type="dxa"/>
          </w:tcPr>
          <w:p w14:paraId="6F706791" w14:textId="028DFD89" w:rsidR="00CD5B1D" w:rsidRDefault="00CD5B1D" w:rsidP="004C6DF1">
            <w:pPr>
              <w:rPr>
                <w:sz w:val="20"/>
                <w:szCs w:val="20"/>
              </w:rPr>
            </w:pPr>
            <w:r>
              <w:rPr>
                <w:sz w:val="20"/>
                <w:szCs w:val="20"/>
              </w:rPr>
              <w:t>36,420</w:t>
            </w:r>
          </w:p>
        </w:tc>
        <w:tc>
          <w:tcPr>
            <w:tcW w:w="1707" w:type="dxa"/>
          </w:tcPr>
          <w:p w14:paraId="27E5E630" w14:textId="1C441C01" w:rsidR="00CD5B1D" w:rsidRDefault="00CD5B1D" w:rsidP="004C6DF1">
            <w:pPr>
              <w:rPr>
                <w:sz w:val="20"/>
                <w:szCs w:val="20"/>
              </w:rPr>
            </w:pPr>
            <w:r>
              <w:rPr>
                <w:sz w:val="20"/>
                <w:szCs w:val="20"/>
              </w:rPr>
              <w:t>400,620</w:t>
            </w:r>
          </w:p>
        </w:tc>
      </w:tr>
      <w:tr w:rsidR="00CD5B1D" w14:paraId="172728EB" w14:textId="39BC784F" w:rsidTr="00FF23A5">
        <w:tc>
          <w:tcPr>
            <w:tcW w:w="1740" w:type="dxa"/>
          </w:tcPr>
          <w:p w14:paraId="22A63B50" w14:textId="77777777" w:rsidR="00CD5B1D" w:rsidRPr="001074F8" w:rsidRDefault="00CD5B1D" w:rsidP="004C6DF1">
            <w:pPr>
              <w:rPr>
                <w:sz w:val="20"/>
                <w:szCs w:val="20"/>
              </w:rPr>
            </w:pPr>
            <w:r>
              <w:rPr>
                <w:sz w:val="20"/>
                <w:szCs w:val="20"/>
              </w:rPr>
              <w:t>Hours</w:t>
            </w:r>
          </w:p>
        </w:tc>
        <w:tc>
          <w:tcPr>
            <w:tcW w:w="1931" w:type="dxa"/>
          </w:tcPr>
          <w:p w14:paraId="5E3E2070" w14:textId="77777777" w:rsidR="00CD5B1D" w:rsidRPr="001074F8" w:rsidRDefault="00CD5B1D" w:rsidP="004C6DF1">
            <w:pPr>
              <w:rPr>
                <w:sz w:val="20"/>
                <w:szCs w:val="20"/>
              </w:rPr>
            </w:pPr>
            <w:r>
              <w:rPr>
                <w:sz w:val="20"/>
                <w:szCs w:val="20"/>
              </w:rPr>
              <w:t>18,220.27</w:t>
            </w:r>
          </w:p>
        </w:tc>
        <w:tc>
          <w:tcPr>
            <w:tcW w:w="2265" w:type="dxa"/>
          </w:tcPr>
          <w:p w14:paraId="106F4142" w14:textId="2125EF98" w:rsidR="00CD5B1D" w:rsidRPr="001074F8" w:rsidRDefault="00CD5B1D" w:rsidP="004C6DF1">
            <w:pPr>
              <w:rPr>
                <w:sz w:val="20"/>
                <w:szCs w:val="20"/>
              </w:rPr>
            </w:pPr>
            <w:r>
              <w:rPr>
                <w:sz w:val="20"/>
                <w:szCs w:val="20"/>
              </w:rPr>
              <w:t>200,423</w:t>
            </w:r>
          </w:p>
        </w:tc>
        <w:tc>
          <w:tcPr>
            <w:tcW w:w="1707" w:type="dxa"/>
          </w:tcPr>
          <w:p w14:paraId="730D168C" w14:textId="476552B7" w:rsidR="00CD5B1D" w:rsidRDefault="00CD5B1D" w:rsidP="004C6DF1">
            <w:pPr>
              <w:rPr>
                <w:sz w:val="20"/>
                <w:szCs w:val="20"/>
              </w:rPr>
            </w:pPr>
            <w:r>
              <w:rPr>
                <w:sz w:val="20"/>
                <w:szCs w:val="20"/>
              </w:rPr>
              <w:t>18,220.27</w:t>
            </w:r>
          </w:p>
        </w:tc>
        <w:tc>
          <w:tcPr>
            <w:tcW w:w="1707" w:type="dxa"/>
          </w:tcPr>
          <w:p w14:paraId="0E60435F" w14:textId="15230EAD" w:rsidR="00CD5B1D" w:rsidRDefault="00CD5B1D" w:rsidP="004C6DF1">
            <w:pPr>
              <w:rPr>
                <w:sz w:val="20"/>
                <w:szCs w:val="20"/>
              </w:rPr>
            </w:pPr>
            <w:r>
              <w:rPr>
                <w:sz w:val="20"/>
                <w:szCs w:val="20"/>
              </w:rPr>
              <w:t>200,423</w:t>
            </w:r>
          </w:p>
        </w:tc>
      </w:tr>
      <w:tr w:rsidR="00CD5B1D" w14:paraId="792F3E93" w14:textId="1E0550BB" w:rsidTr="00FF23A5">
        <w:trPr>
          <w:trHeight w:val="215"/>
        </w:trPr>
        <w:tc>
          <w:tcPr>
            <w:tcW w:w="1740" w:type="dxa"/>
          </w:tcPr>
          <w:p w14:paraId="54596BBA" w14:textId="22852805" w:rsidR="00CD5B1D" w:rsidRDefault="00CD5B1D" w:rsidP="004C6DF1">
            <w:pPr>
              <w:rPr>
                <w:sz w:val="20"/>
                <w:szCs w:val="20"/>
              </w:rPr>
            </w:pPr>
            <w:r>
              <w:rPr>
                <w:sz w:val="20"/>
                <w:szCs w:val="20"/>
              </w:rPr>
              <w:t>Cost</w:t>
            </w:r>
            <w:r w:rsidR="002D7AC0">
              <w:rPr>
                <w:sz w:val="20"/>
                <w:szCs w:val="20"/>
              </w:rPr>
              <w:t xml:space="preserve"> ($32.84/hour)</w:t>
            </w:r>
          </w:p>
        </w:tc>
        <w:tc>
          <w:tcPr>
            <w:tcW w:w="1931" w:type="dxa"/>
          </w:tcPr>
          <w:p w14:paraId="0586ACCB" w14:textId="77777777" w:rsidR="00CD5B1D" w:rsidRPr="001074F8" w:rsidRDefault="00CD5B1D" w:rsidP="004C6DF1">
            <w:pPr>
              <w:rPr>
                <w:sz w:val="20"/>
                <w:szCs w:val="20"/>
              </w:rPr>
            </w:pPr>
            <w:r>
              <w:rPr>
                <w:sz w:val="20"/>
                <w:szCs w:val="20"/>
              </w:rPr>
              <w:t>$1,202,538</w:t>
            </w:r>
          </w:p>
        </w:tc>
        <w:tc>
          <w:tcPr>
            <w:tcW w:w="2265" w:type="dxa"/>
          </w:tcPr>
          <w:p w14:paraId="1A9FA2A4" w14:textId="77777777" w:rsidR="00CD5B1D" w:rsidRDefault="00CD5B1D" w:rsidP="004C6DF1">
            <w:pPr>
              <w:rPr>
                <w:sz w:val="20"/>
                <w:szCs w:val="20"/>
              </w:rPr>
            </w:pPr>
            <w:r>
              <w:rPr>
                <w:sz w:val="20"/>
                <w:szCs w:val="20"/>
              </w:rPr>
              <w:t>$13,227,918</w:t>
            </w:r>
          </w:p>
        </w:tc>
        <w:tc>
          <w:tcPr>
            <w:tcW w:w="1707" w:type="dxa"/>
          </w:tcPr>
          <w:p w14:paraId="6A4D4B36" w14:textId="7DC64E0E" w:rsidR="00CD5B1D" w:rsidRDefault="002D7AC0" w:rsidP="004C6DF1">
            <w:pPr>
              <w:rPr>
                <w:sz w:val="20"/>
                <w:szCs w:val="20"/>
              </w:rPr>
            </w:pPr>
            <w:r>
              <w:rPr>
                <w:sz w:val="20"/>
                <w:szCs w:val="20"/>
              </w:rPr>
              <w:t>$598,354</w:t>
            </w:r>
          </w:p>
        </w:tc>
        <w:tc>
          <w:tcPr>
            <w:tcW w:w="1707" w:type="dxa"/>
          </w:tcPr>
          <w:p w14:paraId="4CF6D8C5" w14:textId="3BAD5F1B" w:rsidR="00CD5B1D" w:rsidRDefault="002D7AC0" w:rsidP="004C6DF1">
            <w:pPr>
              <w:rPr>
                <w:sz w:val="20"/>
                <w:szCs w:val="20"/>
              </w:rPr>
            </w:pPr>
            <w:r>
              <w:rPr>
                <w:sz w:val="20"/>
                <w:szCs w:val="20"/>
              </w:rPr>
              <w:t>$6,581,890</w:t>
            </w:r>
          </w:p>
        </w:tc>
      </w:tr>
      <w:tr w:rsidR="002607CA" w14:paraId="4EAFEFE2" w14:textId="77777777" w:rsidTr="00FF23A5">
        <w:trPr>
          <w:trHeight w:val="215"/>
        </w:trPr>
        <w:tc>
          <w:tcPr>
            <w:tcW w:w="1740" w:type="dxa"/>
          </w:tcPr>
          <w:p w14:paraId="22CCFA84" w14:textId="090BEA3F" w:rsidR="002607CA" w:rsidRDefault="002607CA" w:rsidP="004C6DF1">
            <w:pPr>
              <w:rPr>
                <w:b/>
                <w:sz w:val="20"/>
                <w:szCs w:val="20"/>
              </w:rPr>
            </w:pPr>
            <w:r>
              <w:rPr>
                <w:b/>
                <w:sz w:val="20"/>
                <w:szCs w:val="20"/>
              </w:rPr>
              <w:t>Change in Burden</w:t>
            </w:r>
            <w:r w:rsidR="00C83112">
              <w:rPr>
                <w:b/>
                <w:sz w:val="20"/>
                <w:szCs w:val="20"/>
              </w:rPr>
              <w:t xml:space="preserve"> due to Wage Rate</w:t>
            </w:r>
          </w:p>
          <w:p w14:paraId="1691AC62" w14:textId="205ACDFB" w:rsidR="002607CA" w:rsidRPr="00C83112" w:rsidRDefault="00C83112" w:rsidP="00922079">
            <w:pPr>
              <w:rPr>
                <w:b/>
                <w:sz w:val="20"/>
                <w:szCs w:val="20"/>
              </w:rPr>
            </w:pPr>
            <w:r>
              <w:rPr>
                <w:b/>
                <w:sz w:val="20"/>
                <w:szCs w:val="20"/>
              </w:rPr>
              <w:t xml:space="preserve">Beginning </w:t>
            </w:r>
            <w:r w:rsidR="00922079">
              <w:rPr>
                <w:b/>
                <w:sz w:val="20"/>
                <w:szCs w:val="20"/>
              </w:rPr>
              <w:t>FY 2019 Program Year</w:t>
            </w:r>
          </w:p>
        </w:tc>
        <w:tc>
          <w:tcPr>
            <w:tcW w:w="1931" w:type="dxa"/>
          </w:tcPr>
          <w:p w14:paraId="6D8EDACE" w14:textId="77777777" w:rsidR="002607CA" w:rsidRDefault="002607CA" w:rsidP="004C6DF1">
            <w:pPr>
              <w:rPr>
                <w:sz w:val="20"/>
                <w:szCs w:val="20"/>
              </w:rPr>
            </w:pPr>
          </w:p>
        </w:tc>
        <w:tc>
          <w:tcPr>
            <w:tcW w:w="2265" w:type="dxa"/>
          </w:tcPr>
          <w:p w14:paraId="1C6CFB50" w14:textId="77777777" w:rsidR="002607CA" w:rsidRDefault="002607CA" w:rsidP="004C6DF1">
            <w:pPr>
              <w:rPr>
                <w:sz w:val="20"/>
                <w:szCs w:val="20"/>
              </w:rPr>
            </w:pPr>
          </w:p>
        </w:tc>
        <w:tc>
          <w:tcPr>
            <w:tcW w:w="1707" w:type="dxa"/>
          </w:tcPr>
          <w:p w14:paraId="1BF1E3E3" w14:textId="0C2CBEA3" w:rsidR="002607CA" w:rsidRPr="00C83112" w:rsidRDefault="002607CA" w:rsidP="004C6DF1">
            <w:pPr>
              <w:rPr>
                <w:b/>
                <w:sz w:val="20"/>
                <w:szCs w:val="20"/>
              </w:rPr>
            </w:pPr>
            <w:r>
              <w:rPr>
                <w:b/>
                <w:sz w:val="20"/>
                <w:szCs w:val="20"/>
              </w:rPr>
              <w:t>-</w:t>
            </w:r>
            <w:r w:rsidRPr="00C83112">
              <w:rPr>
                <w:b/>
                <w:sz w:val="20"/>
                <w:szCs w:val="20"/>
              </w:rPr>
              <w:t>$604,184</w:t>
            </w:r>
          </w:p>
        </w:tc>
        <w:tc>
          <w:tcPr>
            <w:tcW w:w="1707" w:type="dxa"/>
          </w:tcPr>
          <w:p w14:paraId="29C03B4E" w14:textId="4D2F1888" w:rsidR="002607CA" w:rsidRPr="00C83112" w:rsidRDefault="002607CA" w:rsidP="004C6DF1">
            <w:pPr>
              <w:rPr>
                <w:b/>
                <w:sz w:val="20"/>
                <w:szCs w:val="20"/>
              </w:rPr>
            </w:pPr>
            <w:r>
              <w:rPr>
                <w:b/>
                <w:sz w:val="20"/>
                <w:szCs w:val="20"/>
              </w:rPr>
              <w:t>-$6,646,028</w:t>
            </w:r>
          </w:p>
        </w:tc>
      </w:tr>
    </w:tbl>
    <w:p w14:paraId="6CA8F96A" w14:textId="6F6EE20D" w:rsidR="00D04DC5" w:rsidRDefault="00D04DC5" w:rsidP="00B56479"/>
    <w:p w14:paraId="29754727" w14:textId="4CC032F8" w:rsidR="00D04DC5" w:rsidRPr="00922079" w:rsidRDefault="00D04DC5" w:rsidP="00B56479">
      <w:pPr>
        <w:rPr>
          <w:b/>
        </w:rPr>
      </w:pPr>
      <w:r w:rsidRPr="002607CA">
        <w:rPr>
          <w:b/>
        </w:rPr>
        <w:t xml:space="preserve">C. </w:t>
      </w:r>
      <w:r w:rsidRPr="00922079">
        <w:rPr>
          <w:b/>
        </w:rPr>
        <w:t>FY 2020 Burden Estimate</w:t>
      </w:r>
    </w:p>
    <w:p w14:paraId="5FA0C28F" w14:textId="7F1DCB4B" w:rsidR="001074F8" w:rsidRPr="00113872" w:rsidRDefault="00B56479" w:rsidP="00C83112">
      <w:pPr>
        <w:pStyle w:val="FootnoteText"/>
      </w:pPr>
      <w:r w:rsidRPr="00922079">
        <w:rPr>
          <w:sz w:val="24"/>
          <w:szCs w:val="24"/>
        </w:rPr>
        <w:t xml:space="preserve">We are proposing </w:t>
      </w:r>
      <w:r w:rsidR="0015426E" w:rsidRPr="00922079">
        <w:rPr>
          <w:sz w:val="24"/>
          <w:szCs w:val="24"/>
        </w:rPr>
        <w:t>a</w:t>
      </w:r>
      <w:r w:rsidR="002D7AC0" w:rsidRPr="00922079">
        <w:rPr>
          <w:sz w:val="24"/>
          <w:szCs w:val="24"/>
        </w:rPr>
        <w:t>n additional</w:t>
      </w:r>
      <w:r w:rsidR="0015426E" w:rsidRPr="00922079">
        <w:rPr>
          <w:sz w:val="24"/>
          <w:szCs w:val="24"/>
        </w:rPr>
        <w:t xml:space="preserve"> reduction</w:t>
      </w:r>
      <w:r w:rsidRPr="00922079">
        <w:rPr>
          <w:sz w:val="24"/>
          <w:szCs w:val="24"/>
        </w:rPr>
        <w:t xml:space="preserve"> to this previously approved burden in this PRA submission.</w:t>
      </w:r>
      <w:r w:rsidR="00A40CDE" w:rsidRPr="00922079">
        <w:rPr>
          <w:sz w:val="24"/>
          <w:szCs w:val="24"/>
        </w:rPr>
        <w:t xml:space="preserve"> </w:t>
      </w:r>
      <w:r w:rsidR="0015426E" w:rsidRPr="00922079">
        <w:rPr>
          <w:sz w:val="24"/>
          <w:szCs w:val="24"/>
        </w:rPr>
        <w:t>Based on the FY 2013 IPPS/LTCH Final Rule (77 FR 53667) finalized estimates of the burden of collecting measure information, submitting measure information, and training personnel, we estimate the reduction in burden provided by the proposed removal of three chart-abstracted measures to be</w:t>
      </w:r>
      <w:r w:rsidR="00771916">
        <w:rPr>
          <w:sz w:val="24"/>
          <w:szCs w:val="24"/>
        </w:rPr>
        <w:t xml:space="preserve"> a reduction of</w:t>
      </w:r>
      <w:r w:rsidR="0015426E" w:rsidRPr="00922079">
        <w:rPr>
          <w:sz w:val="24"/>
          <w:szCs w:val="24"/>
        </w:rPr>
        <w:t xml:space="preserve"> approximately </w:t>
      </w:r>
      <w:r w:rsidR="00A775F0">
        <w:rPr>
          <w:sz w:val="24"/>
          <w:szCs w:val="24"/>
        </w:rPr>
        <w:t>75,119 responses across all 11 PCHs</w:t>
      </w:r>
      <w:r w:rsidR="00A171B1">
        <w:rPr>
          <w:sz w:val="24"/>
          <w:szCs w:val="24"/>
        </w:rPr>
        <w:t xml:space="preserve"> (400,620 total responses / 16 existing measures x 3 chart-abstracted measures being removed = 75,119).</w:t>
      </w:r>
      <w:r w:rsidR="00771916">
        <w:rPr>
          <w:sz w:val="24"/>
          <w:szCs w:val="24"/>
        </w:rPr>
        <w:t xml:space="preserve"> </w:t>
      </w:r>
      <w:r w:rsidR="00BF733C">
        <w:rPr>
          <w:sz w:val="24"/>
          <w:szCs w:val="24"/>
        </w:rPr>
        <w:t xml:space="preserve">As compared to our previously finalized count of </w:t>
      </w:r>
      <w:r w:rsidR="00771916">
        <w:rPr>
          <w:sz w:val="24"/>
          <w:szCs w:val="24"/>
        </w:rPr>
        <w:t>400,620 responses</w:t>
      </w:r>
      <w:r w:rsidR="00BF733C">
        <w:rPr>
          <w:sz w:val="24"/>
          <w:szCs w:val="24"/>
        </w:rPr>
        <w:t xml:space="preserve">, we estimate a revised burden of </w:t>
      </w:r>
      <w:r w:rsidR="00771916">
        <w:rPr>
          <w:sz w:val="24"/>
          <w:szCs w:val="24"/>
        </w:rPr>
        <w:t xml:space="preserve">325,501 responses </w:t>
      </w:r>
      <w:r w:rsidR="00BF733C">
        <w:rPr>
          <w:sz w:val="24"/>
          <w:szCs w:val="24"/>
        </w:rPr>
        <w:t xml:space="preserve">total (400,620 – 75,119 </w:t>
      </w:r>
      <w:r w:rsidR="00771916">
        <w:rPr>
          <w:sz w:val="24"/>
          <w:szCs w:val="24"/>
        </w:rPr>
        <w:t xml:space="preserve">= </w:t>
      </w:r>
      <w:r w:rsidR="00BF733C">
        <w:rPr>
          <w:sz w:val="24"/>
          <w:szCs w:val="24"/>
        </w:rPr>
        <w:t>325,501</w:t>
      </w:r>
      <w:r w:rsidR="00771916">
        <w:rPr>
          <w:sz w:val="24"/>
          <w:szCs w:val="24"/>
        </w:rPr>
        <w:t xml:space="preserve">) </w:t>
      </w:r>
      <w:r w:rsidR="00BF733C">
        <w:rPr>
          <w:sz w:val="24"/>
          <w:szCs w:val="24"/>
        </w:rPr>
        <w:t xml:space="preserve">and </w:t>
      </w:r>
      <w:r w:rsidR="00771916">
        <w:rPr>
          <w:sz w:val="24"/>
          <w:szCs w:val="24"/>
        </w:rPr>
        <w:t xml:space="preserve">29,591 responses per </w:t>
      </w:r>
      <w:r w:rsidR="00BF733C">
        <w:rPr>
          <w:sz w:val="24"/>
          <w:szCs w:val="24"/>
        </w:rPr>
        <w:t>PCH (325,501 / 11 = 29,591)</w:t>
      </w:r>
      <w:r w:rsidR="00A775F0">
        <w:rPr>
          <w:sz w:val="24"/>
          <w:szCs w:val="24"/>
        </w:rPr>
        <w:t xml:space="preserve">. This reduction is equivalent to </w:t>
      </w:r>
      <w:r w:rsidR="0015426E" w:rsidRPr="00922079">
        <w:rPr>
          <w:sz w:val="24"/>
          <w:szCs w:val="24"/>
        </w:rPr>
        <w:t>3,776 hours per year</w:t>
      </w:r>
      <w:r w:rsidR="00585408" w:rsidRPr="00922079">
        <w:rPr>
          <w:sz w:val="24"/>
          <w:szCs w:val="24"/>
        </w:rPr>
        <w:t xml:space="preserve"> (1,258.7 hours per PCH per </w:t>
      </w:r>
      <w:r w:rsidR="00CF3EE0" w:rsidRPr="00922079">
        <w:rPr>
          <w:sz w:val="24"/>
          <w:szCs w:val="24"/>
        </w:rPr>
        <w:t xml:space="preserve">chart-abstracted </w:t>
      </w:r>
      <w:r w:rsidR="00585408" w:rsidRPr="00922079">
        <w:rPr>
          <w:sz w:val="24"/>
          <w:szCs w:val="24"/>
        </w:rPr>
        <w:t xml:space="preserve">measure x 3 </w:t>
      </w:r>
      <w:r w:rsidR="00CF3EE0" w:rsidRPr="00922079">
        <w:rPr>
          <w:sz w:val="24"/>
          <w:szCs w:val="24"/>
        </w:rPr>
        <w:t xml:space="preserve">chart-abstracted </w:t>
      </w:r>
      <w:r w:rsidR="00585408" w:rsidRPr="00922079">
        <w:rPr>
          <w:sz w:val="24"/>
          <w:szCs w:val="24"/>
        </w:rPr>
        <w:t>measures)</w:t>
      </w:r>
      <w:r w:rsidR="0015426E" w:rsidRPr="00922079">
        <w:rPr>
          <w:sz w:val="24"/>
          <w:szCs w:val="24"/>
        </w:rPr>
        <w:t xml:space="preserve"> for each PCH, or an average reduction in burden of 315 hours per month per PCH</w:t>
      </w:r>
      <w:r w:rsidR="00CF3EE0" w:rsidRPr="00922079">
        <w:rPr>
          <w:sz w:val="24"/>
          <w:szCs w:val="24"/>
        </w:rPr>
        <w:t xml:space="preserve"> (104.9 hours per month per chart-abstracted measure x 3 chart-abstracted measures)</w:t>
      </w:r>
      <w:r w:rsidR="0015426E" w:rsidRPr="00922079">
        <w:rPr>
          <w:sz w:val="24"/>
          <w:szCs w:val="24"/>
        </w:rPr>
        <w:t xml:space="preserve">. </w:t>
      </w:r>
      <w:r w:rsidR="00633EBB" w:rsidRPr="00922079">
        <w:rPr>
          <w:sz w:val="24"/>
          <w:szCs w:val="24"/>
        </w:rPr>
        <w:t>We therefore estimate a reduction in hourly burden of chart abstraction and data submission of approximately 41,53</w:t>
      </w:r>
      <w:r w:rsidR="000D28B4">
        <w:rPr>
          <w:sz w:val="24"/>
          <w:szCs w:val="24"/>
        </w:rPr>
        <w:t>8</w:t>
      </w:r>
      <w:r w:rsidR="00633EBB" w:rsidRPr="00922079">
        <w:rPr>
          <w:sz w:val="24"/>
          <w:szCs w:val="24"/>
        </w:rPr>
        <w:t xml:space="preserve"> hours per year across the 11 PCHs (3,776 </w:t>
      </w:r>
      <w:r w:rsidR="00633EBB">
        <w:rPr>
          <w:sz w:val="24"/>
          <w:szCs w:val="24"/>
        </w:rPr>
        <w:t xml:space="preserve">fewer </w:t>
      </w:r>
      <w:r w:rsidR="00633EBB" w:rsidRPr="00922079">
        <w:rPr>
          <w:sz w:val="24"/>
          <w:szCs w:val="24"/>
        </w:rPr>
        <w:t>hour</w:t>
      </w:r>
      <w:r w:rsidR="00633EBB">
        <w:rPr>
          <w:sz w:val="24"/>
          <w:szCs w:val="24"/>
        </w:rPr>
        <w:t>s</w:t>
      </w:r>
      <w:r w:rsidR="00633EBB" w:rsidRPr="00922079">
        <w:rPr>
          <w:sz w:val="24"/>
          <w:szCs w:val="24"/>
        </w:rPr>
        <w:t xml:space="preserve"> per year per PCH x 11 PCHs). </w:t>
      </w:r>
      <w:r w:rsidR="0015426E" w:rsidRPr="00922079">
        <w:rPr>
          <w:sz w:val="24"/>
          <w:szCs w:val="24"/>
        </w:rPr>
        <w:t>This reduction in burden would result in a concurrent reduction in annual labor costs of $</w:t>
      </w:r>
      <w:r w:rsidR="00B7330F" w:rsidRPr="00922079">
        <w:rPr>
          <w:sz w:val="24"/>
          <w:szCs w:val="24"/>
        </w:rPr>
        <w:t>1,</w:t>
      </w:r>
      <w:r w:rsidR="00991AF5" w:rsidRPr="00922079">
        <w:rPr>
          <w:sz w:val="24"/>
          <w:szCs w:val="24"/>
        </w:rPr>
        <w:t>364</w:t>
      </w:r>
      <w:r w:rsidR="00B7330F" w:rsidRPr="00922079">
        <w:rPr>
          <w:sz w:val="24"/>
          <w:szCs w:val="24"/>
        </w:rPr>
        <w:t>,</w:t>
      </w:r>
      <w:r w:rsidR="00991AF5" w:rsidRPr="00922079">
        <w:rPr>
          <w:sz w:val="24"/>
          <w:szCs w:val="24"/>
        </w:rPr>
        <w:t xml:space="preserve">042 </w:t>
      </w:r>
      <w:r w:rsidR="00143828" w:rsidRPr="00922079">
        <w:rPr>
          <w:sz w:val="24"/>
          <w:szCs w:val="24"/>
        </w:rPr>
        <w:t>(</w:t>
      </w:r>
      <w:r w:rsidR="001B704B" w:rsidRPr="00922079">
        <w:rPr>
          <w:sz w:val="24"/>
          <w:szCs w:val="24"/>
        </w:rPr>
        <w:t>41,536</w:t>
      </w:r>
      <w:r w:rsidR="00143828" w:rsidRPr="00922079">
        <w:rPr>
          <w:sz w:val="24"/>
          <w:szCs w:val="24"/>
        </w:rPr>
        <w:t xml:space="preserve"> hours x $32.84 per hour) </w:t>
      </w:r>
      <w:r w:rsidR="0015426E" w:rsidRPr="00922079">
        <w:rPr>
          <w:sz w:val="24"/>
          <w:szCs w:val="24"/>
        </w:rPr>
        <w:t>across the 11 PCHs</w:t>
      </w:r>
      <w:r w:rsidR="009502D2" w:rsidRPr="00922079">
        <w:rPr>
          <w:sz w:val="24"/>
          <w:szCs w:val="24"/>
        </w:rPr>
        <w:t xml:space="preserve">. We further </w:t>
      </w:r>
      <w:r w:rsidR="006B3A8B" w:rsidRPr="00922079">
        <w:rPr>
          <w:sz w:val="24"/>
          <w:szCs w:val="24"/>
        </w:rPr>
        <w:t>estimate a total hourly burden of</w:t>
      </w:r>
      <w:r w:rsidR="009502D2" w:rsidRPr="00922079">
        <w:rPr>
          <w:sz w:val="24"/>
          <w:szCs w:val="24"/>
        </w:rPr>
        <w:t xml:space="preserve"> 158,887 burden hours across the 11 PCHs for data collection and submission of the remaining measures </w:t>
      </w:r>
      <w:r w:rsidR="002E750F" w:rsidRPr="00922079">
        <w:rPr>
          <w:sz w:val="24"/>
          <w:szCs w:val="24"/>
        </w:rPr>
        <w:t xml:space="preserve">(200,423 hours across all PCHs for all previously finalized measures – </w:t>
      </w:r>
      <w:r w:rsidR="00071889">
        <w:rPr>
          <w:sz w:val="24"/>
          <w:szCs w:val="24"/>
        </w:rPr>
        <w:t>41,53</w:t>
      </w:r>
      <w:r w:rsidR="000D28B4">
        <w:rPr>
          <w:sz w:val="24"/>
          <w:szCs w:val="24"/>
        </w:rPr>
        <w:t>8</w:t>
      </w:r>
      <w:r w:rsidR="002E750F" w:rsidRPr="00922079">
        <w:rPr>
          <w:sz w:val="24"/>
          <w:szCs w:val="24"/>
        </w:rPr>
        <w:t xml:space="preserve"> hour reduction in burden across all PCHs) </w:t>
      </w:r>
      <w:r w:rsidR="009502D2" w:rsidRPr="00922079">
        <w:rPr>
          <w:sz w:val="24"/>
          <w:szCs w:val="24"/>
        </w:rPr>
        <w:t xml:space="preserve">and a </w:t>
      </w:r>
      <w:r w:rsidR="0015426E" w:rsidRPr="00922079">
        <w:rPr>
          <w:sz w:val="24"/>
          <w:szCs w:val="24"/>
        </w:rPr>
        <w:t xml:space="preserve">total annual labor cost for all 11 </w:t>
      </w:r>
      <w:r w:rsidR="009502D2" w:rsidRPr="00922079">
        <w:rPr>
          <w:sz w:val="24"/>
          <w:szCs w:val="24"/>
        </w:rPr>
        <w:t xml:space="preserve">PCHs </w:t>
      </w:r>
      <w:r w:rsidR="0015426E" w:rsidRPr="00922079">
        <w:rPr>
          <w:sz w:val="24"/>
          <w:szCs w:val="24"/>
        </w:rPr>
        <w:t xml:space="preserve">of </w:t>
      </w:r>
      <w:r w:rsidR="00DF6B2D" w:rsidRPr="00922079">
        <w:rPr>
          <w:sz w:val="24"/>
          <w:szCs w:val="24"/>
        </w:rPr>
        <w:t>$</w:t>
      </w:r>
      <w:r w:rsidR="00B7330F" w:rsidRPr="00922079">
        <w:rPr>
          <w:sz w:val="24"/>
          <w:szCs w:val="24"/>
        </w:rPr>
        <w:t>5,</w:t>
      </w:r>
      <w:r w:rsidR="00991AF5" w:rsidRPr="00922079">
        <w:rPr>
          <w:sz w:val="24"/>
          <w:szCs w:val="24"/>
        </w:rPr>
        <w:t>217,848</w:t>
      </w:r>
      <w:r w:rsidR="00D04DC5" w:rsidRPr="00922079">
        <w:rPr>
          <w:sz w:val="24"/>
          <w:szCs w:val="24"/>
        </w:rPr>
        <w:t xml:space="preserve"> (</w:t>
      </w:r>
      <w:r w:rsidR="00991AF5" w:rsidRPr="00922079">
        <w:rPr>
          <w:sz w:val="24"/>
          <w:szCs w:val="24"/>
        </w:rPr>
        <w:t>158,887</w:t>
      </w:r>
      <w:r w:rsidR="00D04DC5" w:rsidRPr="00922079">
        <w:rPr>
          <w:sz w:val="24"/>
          <w:szCs w:val="24"/>
        </w:rPr>
        <w:t xml:space="preserve"> hours x $32.</w:t>
      </w:r>
      <w:r w:rsidR="005A1C5F" w:rsidRPr="00922079">
        <w:rPr>
          <w:sz w:val="24"/>
          <w:szCs w:val="24"/>
        </w:rPr>
        <w:t>8</w:t>
      </w:r>
      <w:r w:rsidR="00D04DC5" w:rsidRPr="00922079">
        <w:rPr>
          <w:sz w:val="24"/>
          <w:szCs w:val="24"/>
        </w:rPr>
        <w:t>4 per hour)</w:t>
      </w:r>
      <w:r w:rsidR="00953D13" w:rsidRPr="00922079">
        <w:rPr>
          <w:sz w:val="24"/>
          <w:szCs w:val="24"/>
        </w:rPr>
        <w:t xml:space="preserve"> for the FY 2020 program year</w:t>
      </w:r>
      <w:r w:rsidR="00A40CDE" w:rsidRPr="00922079">
        <w:rPr>
          <w:sz w:val="24"/>
          <w:szCs w:val="24"/>
        </w:rPr>
        <w:t xml:space="preserve">. </w:t>
      </w:r>
      <w:r w:rsidR="00DF6B2D" w:rsidRPr="00922079">
        <w:rPr>
          <w:sz w:val="24"/>
          <w:szCs w:val="24"/>
        </w:rPr>
        <w:t>A</w:t>
      </w:r>
      <w:r w:rsidR="00DF6B2D" w:rsidRPr="00991AF5">
        <w:rPr>
          <w:sz w:val="24"/>
          <w:szCs w:val="24"/>
        </w:rPr>
        <w:t xml:space="preserve"> summary of the change in burden is reflected in Table </w:t>
      </w:r>
      <w:r w:rsidR="00A40CDE" w:rsidRPr="00991AF5">
        <w:rPr>
          <w:sz w:val="24"/>
          <w:szCs w:val="24"/>
        </w:rPr>
        <w:t>C</w:t>
      </w:r>
      <w:r w:rsidR="00DF6B2D" w:rsidRPr="00991AF5">
        <w:rPr>
          <w:sz w:val="24"/>
          <w:szCs w:val="24"/>
        </w:rPr>
        <w:t>.</w:t>
      </w:r>
    </w:p>
    <w:p w14:paraId="4D45A75A" w14:textId="77777777" w:rsidR="001074F8" w:rsidRDefault="001074F8" w:rsidP="00B56479"/>
    <w:p w14:paraId="5AD55F4C" w14:textId="4934A4D5" w:rsidR="00DF6B2D" w:rsidRDefault="00DF6B2D" w:rsidP="00B56479">
      <w:r>
        <w:t xml:space="preserve">Table </w:t>
      </w:r>
      <w:r w:rsidR="002D7AC0">
        <w:t>C</w:t>
      </w:r>
      <w:r>
        <w:t>. Comparison of Currently Approved Burden with Proposed Reduction in Burden Due to Removal of Three (3) Chart-Abstracted Measures</w:t>
      </w:r>
      <w:r w:rsidR="002D7AC0">
        <w:t>*</w:t>
      </w:r>
    </w:p>
    <w:p w14:paraId="43CE9402" w14:textId="77777777" w:rsidR="00DF6B2D" w:rsidRDefault="00DF6B2D" w:rsidP="00B56479"/>
    <w:tbl>
      <w:tblPr>
        <w:tblStyle w:val="TableGrid"/>
        <w:tblW w:w="0" w:type="auto"/>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605"/>
        <w:gridCol w:w="2970"/>
        <w:gridCol w:w="3600"/>
      </w:tblGrid>
      <w:tr w:rsidR="006866C6" w14:paraId="70AF323F" w14:textId="77777777" w:rsidTr="00C36936">
        <w:trPr>
          <w:cantSplit/>
          <w:tblHeader/>
        </w:trPr>
        <w:tc>
          <w:tcPr>
            <w:tcW w:w="2605" w:type="dxa"/>
          </w:tcPr>
          <w:p w14:paraId="570F19EB" w14:textId="77347C4C" w:rsidR="006866C6" w:rsidRPr="00986E58" w:rsidRDefault="00C36936" w:rsidP="00D4100D">
            <w:pPr>
              <w:rPr>
                <w:b/>
                <w:sz w:val="20"/>
                <w:szCs w:val="20"/>
              </w:rPr>
            </w:pPr>
            <w:r>
              <w:rPr>
                <w:b/>
                <w:sz w:val="20"/>
                <w:szCs w:val="20"/>
              </w:rPr>
              <w:t>Burden</w:t>
            </w:r>
          </w:p>
        </w:tc>
        <w:tc>
          <w:tcPr>
            <w:tcW w:w="2970" w:type="dxa"/>
          </w:tcPr>
          <w:p w14:paraId="79623E42" w14:textId="7E52B057" w:rsidR="006866C6" w:rsidRPr="00986E58" w:rsidRDefault="004742D1" w:rsidP="00D4100D">
            <w:pPr>
              <w:rPr>
                <w:b/>
                <w:sz w:val="20"/>
                <w:szCs w:val="20"/>
              </w:rPr>
            </w:pPr>
            <w:r>
              <w:rPr>
                <w:b/>
                <w:sz w:val="20"/>
                <w:szCs w:val="20"/>
              </w:rPr>
              <w:t>Existing</w:t>
            </w:r>
            <w:r w:rsidR="00FD77C9">
              <w:rPr>
                <w:b/>
                <w:sz w:val="20"/>
                <w:szCs w:val="20"/>
              </w:rPr>
              <w:t xml:space="preserve"> 16</w:t>
            </w:r>
            <w:r>
              <w:rPr>
                <w:b/>
                <w:sz w:val="20"/>
                <w:szCs w:val="20"/>
              </w:rPr>
              <w:t xml:space="preserve"> Measures/</w:t>
            </w:r>
            <w:r w:rsidR="00C36936">
              <w:rPr>
                <w:b/>
                <w:sz w:val="20"/>
                <w:szCs w:val="20"/>
              </w:rPr>
              <w:br/>
            </w:r>
            <w:r>
              <w:rPr>
                <w:b/>
                <w:sz w:val="20"/>
                <w:szCs w:val="20"/>
              </w:rPr>
              <w:t>All Facilities</w:t>
            </w:r>
          </w:p>
        </w:tc>
        <w:tc>
          <w:tcPr>
            <w:tcW w:w="3600" w:type="dxa"/>
          </w:tcPr>
          <w:p w14:paraId="48FB6DC6" w14:textId="70D6D7BD" w:rsidR="006866C6" w:rsidRPr="00986E58" w:rsidRDefault="00B34446" w:rsidP="00D4100D">
            <w:pPr>
              <w:rPr>
                <w:b/>
                <w:sz w:val="20"/>
                <w:szCs w:val="20"/>
              </w:rPr>
            </w:pPr>
            <w:r>
              <w:rPr>
                <w:b/>
                <w:sz w:val="20"/>
                <w:szCs w:val="20"/>
              </w:rPr>
              <w:t xml:space="preserve">After </w:t>
            </w:r>
            <w:r w:rsidR="004742D1">
              <w:rPr>
                <w:b/>
                <w:sz w:val="20"/>
                <w:szCs w:val="20"/>
              </w:rPr>
              <w:t>Removal of Three Measures/</w:t>
            </w:r>
            <w:r w:rsidR="00C36936">
              <w:rPr>
                <w:b/>
                <w:sz w:val="20"/>
                <w:szCs w:val="20"/>
              </w:rPr>
              <w:br/>
            </w:r>
            <w:r w:rsidR="004742D1">
              <w:rPr>
                <w:b/>
                <w:sz w:val="20"/>
                <w:szCs w:val="20"/>
              </w:rPr>
              <w:t>All Facilities</w:t>
            </w:r>
          </w:p>
        </w:tc>
      </w:tr>
      <w:tr w:rsidR="006866C6" w14:paraId="50233A36" w14:textId="77777777" w:rsidTr="00986B7D">
        <w:trPr>
          <w:trHeight w:val="251"/>
        </w:trPr>
        <w:tc>
          <w:tcPr>
            <w:tcW w:w="2605" w:type="dxa"/>
          </w:tcPr>
          <w:p w14:paraId="476EB177" w14:textId="77777777" w:rsidR="006866C6" w:rsidRPr="001074F8" w:rsidRDefault="006866C6" w:rsidP="00D4100D">
            <w:pPr>
              <w:rPr>
                <w:sz w:val="20"/>
                <w:szCs w:val="20"/>
              </w:rPr>
            </w:pPr>
            <w:r>
              <w:rPr>
                <w:sz w:val="20"/>
                <w:szCs w:val="20"/>
              </w:rPr>
              <w:t>Hours</w:t>
            </w:r>
          </w:p>
        </w:tc>
        <w:tc>
          <w:tcPr>
            <w:tcW w:w="2970" w:type="dxa"/>
          </w:tcPr>
          <w:p w14:paraId="7C9AF061" w14:textId="29D2858F" w:rsidR="006866C6" w:rsidRPr="001074F8" w:rsidRDefault="004742D1" w:rsidP="00D4100D">
            <w:pPr>
              <w:rPr>
                <w:sz w:val="20"/>
                <w:szCs w:val="20"/>
              </w:rPr>
            </w:pPr>
            <w:r>
              <w:rPr>
                <w:sz w:val="20"/>
                <w:szCs w:val="20"/>
              </w:rPr>
              <w:t>200,423</w:t>
            </w:r>
          </w:p>
        </w:tc>
        <w:tc>
          <w:tcPr>
            <w:tcW w:w="3600" w:type="dxa"/>
          </w:tcPr>
          <w:p w14:paraId="5F04A462" w14:textId="40293D41" w:rsidR="006866C6" w:rsidRPr="001074F8" w:rsidRDefault="001B704B" w:rsidP="00D4100D">
            <w:pPr>
              <w:rPr>
                <w:sz w:val="20"/>
                <w:szCs w:val="20"/>
              </w:rPr>
            </w:pPr>
            <w:r>
              <w:rPr>
                <w:sz w:val="20"/>
                <w:szCs w:val="20"/>
              </w:rPr>
              <w:t>158,887</w:t>
            </w:r>
          </w:p>
        </w:tc>
      </w:tr>
      <w:tr w:rsidR="00732948" w14:paraId="36EC0343" w14:textId="77777777" w:rsidTr="00986B7D">
        <w:trPr>
          <w:trHeight w:val="251"/>
        </w:trPr>
        <w:tc>
          <w:tcPr>
            <w:tcW w:w="2605" w:type="dxa"/>
          </w:tcPr>
          <w:p w14:paraId="39645CCC" w14:textId="03786D6F" w:rsidR="00732948" w:rsidRDefault="00732948" w:rsidP="00D4100D">
            <w:pPr>
              <w:rPr>
                <w:sz w:val="20"/>
                <w:szCs w:val="20"/>
              </w:rPr>
            </w:pPr>
            <w:r>
              <w:rPr>
                <w:sz w:val="20"/>
                <w:szCs w:val="20"/>
              </w:rPr>
              <w:t>Responses</w:t>
            </w:r>
          </w:p>
        </w:tc>
        <w:tc>
          <w:tcPr>
            <w:tcW w:w="2970" w:type="dxa"/>
          </w:tcPr>
          <w:p w14:paraId="5A48C1A8" w14:textId="3AD7B2C9" w:rsidR="00732948" w:rsidRDefault="00C805E9" w:rsidP="00D4100D">
            <w:pPr>
              <w:rPr>
                <w:sz w:val="20"/>
                <w:szCs w:val="20"/>
              </w:rPr>
            </w:pPr>
            <w:r>
              <w:rPr>
                <w:sz w:val="20"/>
                <w:szCs w:val="20"/>
              </w:rPr>
              <w:t>400,620</w:t>
            </w:r>
          </w:p>
        </w:tc>
        <w:tc>
          <w:tcPr>
            <w:tcW w:w="3600" w:type="dxa"/>
          </w:tcPr>
          <w:p w14:paraId="343A2D63" w14:textId="5942F757" w:rsidR="00732948" w:rsidRDefault="00F261B6" w:rsidP="00D4100D">
            <w:pPr>
              <w:rPr>
                <w:sz w:val="20"/>
                <w:szCs w:val="20"/>
              </w:rPr>
            </w:pPr>
            <w:r>
              <w:rPr>
                <w:sz w:val="20"/>
                <w:szCs w:val="20"/>
              </w:rPr>
              <w:t>325,501</w:t>
            </w:r>
          </w:p>
        </w:tc>
      </w:tr>
      <w:tr w:rsidR="006866C6" w14:paraId="1DBDBC85" w14:textId="77777777" w:rsidTr="00D4100D">
        <w:trPr>
          <w:trHeight w:val="215"/>
        </w:trPr>
        <w:tc>
          <w:tcPr>
            <w:tcW w:w="2605" w:type="dxa"/>
          </w:tcPr>
          <w:p w14:paraId="727D180F" w14:textId="77777777" w:rsidR="006866C6" w:rsidRDefault="006866C6" w:rsidP="00D4100D">
            <w:pPr>
              <w:rPr>
                <w:sz w:val="20"/>
                <w:szCs w:val="20"/>
              </w:rPr>
            </w:pPr>
            <w:r>
              <w:rPr>
                <w:sz w:val="20"/>
                <w:szCs w:val="20"/>
              </w:rPr>
              <w:t>Cost</w:t>
            </w:r>
          </w:p>
        </w:tc>
        <w:tc>
          <w:tcPr>
            <w:tcW w:w="2970" w:type="dxa"/>
          </w:tcPr>
          <w:p w14:paraId="4410ED9C" w14:textId="03A45D45" w:rsidR="006866C6" w:rsidRPr="001074F8" w:rsidRDefault="004742D1" w:rsidP="002D7AC0">
            <w:pPr>
              <w:rPr>
                <w:sz w:val="20"/>
                <w:szCs w:val="20"/>
              </w:rPr>
            </w:pPr>
            <w:r>
              <w:rPr>
                <w:sz w:val="20"/>
                <w:szCs w:val="20"/>
              </w:rPr>
              <w:t>$</w:t>
            </w:r>
            <w:r w:rsidR="002D7AC0">
              <w:rPr>
                <w:sz w:val="20"/>
                <w:szCs w:val="20"/>
              </w:rPr>
              <w:t>6,581,890</w:t>
            </w:r>
          </w:p>
        </w:tc>
        <w:tc>
          <w:tcPr>
            <w:tcW w:w="3600" w:type="dxa"/>
          </w:tcPr>
          <w:p w14:paraId="587864BE" w14:textId="091FB418" w:rsidR="006866C6" w:rsidRDefault="006866C6" w:rsidP="00991AF5">
            <w:pPr>
              <w:rPr>
                <w:sz w:val="20"/>
                <w:szCs w:val="20"/>
              </w:rPr>
            </w:pPr>
            <w:r>
              <w:rPr>
                <w:sz w:val="20"/>
                <w:szCs w:val="20"/>
              </w:rPr>
              <w:t>$</w:t>
            </w:r>
            <w:r w:rsidR="00B34446">
              <w:rPr>
                <w:sz w:val="20"/>
                <w:szCs w:val="20"/>
              </w:rPr>
              <w:t>5,</w:t>
            </w:r>
            <w:r w:rsidR="00991AF5">
              <w:rPr>
                <w:sz w:val="20"/>
                <w:szCs w:val="20"/>
              </w:rPr>
              <w:t>217,848</w:t>
            </w:r>
          </w:p>
        </w:tc>
      </w:tr>
    </w:tbl>
    <w:p w14:paraId="58B44A0D" w14:textId="06CA325A" w:rsidR="00DF6B2D" w:rsidRPr="00FF23A5" w:rsidRDefault="002D7AC0" w:rsidP="00B56479">
      <w:pPr>
        <w:rPr>
          <w:sz w:val="18"/>
          <w:szCs w:val="18"/>
        </w:rPr>
      </w:pPr>
      <w:r>
        <w:rPr>
          <w:sz w:val="18"/>
          <w:szCs w:val="18"/>
        </w:rPr>
        <w:t>*This comparison employs the revised wage cost of $32.84/hour.</w:t>
      </w:r>
    </w:p>
    <w:p w14:paraId="73D2CF4B" w14:textId="49623514" w:rsidR="00DF6B2D" w:rsidRDefault="00986B7D" w:rsidP="00986B7D">
      <w:pPr>
        <w:tabs>
          <w:tab w:val="left" w:pos="8202"/>
        </w:tabs>
      </w:pPr>
      <w:r>
        <w:tab/>
      </w:r>
    </w:p>
    <w:p w14:paraId="0B0FF6B8" w14:textId="2B73F6B4" w:rsidR="0092545A" w:rsidRDefault="001074F8" w:rsidP="00B56479">
      <w:pPr>
        <w:rPr>
          <w:rFonts w:eastAsiaTheme="minorHAnsi"/>
        </w:rPr>
      </w:pPr>
      <w:r>
        <w:lastRenderedPageBreak/>
        <w:t>Beginning in FY</w:t>
      </w:r>
      <w:r w:rsidR="00346CF8">
        <w:t xml:space="preserve"> </w:t>
      </w:r>
      <w:r>
        <w:t>20</w:t>
      </w:r>
      <w:r w:rsidR="00922079">
        <w:t>20</w:t>
      </w:r>
      <w:r>
        <w:t xml:space="preserve">, CMS is </w:t>
      </w:r>
      <w:r w:rsidR="00986B7D">
        <w:t>proposing to add four</w:t>
      </w:r>
      <w:r>
        <w:t xml:space="preserve"> (</w:t>
      </w:r>
      <w:r w:rsidR="00986B7D">
        <w:t>4</w:t>
      </w:r>
      <w:r>
        <w:t>) additional measure</w:t>
      </w:r>
      <w:r w:rsidR="00986B7D">
        <w:t>s</w:t>
      </w:r>
      <w:r>
        <w:t xml:space="preserve">, which </w:t>
      </w:r>
      <w:r w:rsidR="00986B7D">
        <w:t xml:space="preserve">are </w:t>
      </w:r>
      <w:r>
        <w:t xml:space="preserve">calculated by CMS using </w:t>
      </w:r>
      <w:r w:rsidR="00986B7D">
        <w:t xml:space="preserve">Medicare </w:t>
      </w:r>
      <w:r>
        <w:t>claims</w:t>
      </w:r>
      <w:r w:rsidR="00986B7D">
        <w:t xml:space="preserve"> data</w:t>
      </w:r>
      <w:r w:rsidR="00A40CDE">
        <w:t xml:space="preserve">. </w:t>
      </w:r>
      <w:r>
        <w:t xml:space="preserve">Because </w:t>
      </w:r>
      <w:r w:rsidR="00986B7D">
        <w:t>they are</w:t>
      </w:r>
      <w:r>
        <w:t xml:space="preserve"> calculated using claims</w:t>
      </w:r>
      <w:r w:rsidR="00986B7D">
        <w:t xml:space="preserve"> data</w:t>
      </w:r>
      <w:r>
        <w:t xml:space="preserve">, </w:t>
      </w:r>
      <w:r w:rsidR="00986B7D">
        <w:t xml:space="preserve">these </w:t>
      </w:r>
      <w:r>
        <w:t>measure</w:t>
      </w:r>
      <w:r w:rsidR="00986B7D">
        <w:t>s</w:t>
      </w:r>
      <w:r>
        <w:t xml:space="preserve"> will have no burden on the 11 PCHs.</w:t>
      </w:r>
      <w:r w:rsidR="00A40CDE">
        <w:t xml:space="preserve"> </w:t>
      </w:r>
      <w:r w:rsidR="00B7330F">
        <w:t>Measures that are calculated using claims data rely on information submitted by the PCHs as part of their reimbursement process and are ca</w:t>
      </w:r>
      <w:r w:rsidR="00A40CDE">
        <w:t>lculated by CMS, not the PCHs.</w:t>
      </w:r>
    </w:p>
    <w:p w14:paraId="4E0EEF64" w14:textId="7FCFC8D0" w:rsidR="00DB08B5" w:rsidRPr="00C129BE" w:rsidRDefault="00DB08B5" w:rsidP="00257854">
      <w:pPr>
        <w:rPr>
          <w:rFonts w:eastAsiaTheme="minorHAnsi"/>
          <w:color w:val="1F497D"/>
          <w:sz w:val="20"/>
          <w:szCs w:val="20"/>
        </w:rPr>
      </w:pP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being placed on </w:t>
      </w:r>
      <w:r w:rsidR="00A573F2">
        <w:t>PCH</w:t>
      </w:r>
      <w:r w:rsidRPr="00AD0DDE">
        <w:t>s.</w:t>
      </w:r>
    </w:p>
    <w:p w14:paraId="7DD09666" w14:textId="77777777" w:rsidR="00285035" w:rsidRPr="00AD0DDE" w:rsidRDefault="00285035" w:rsidP="00285035">
      <w:pPr>
        <w:ind w:firstLine="720"/>
      </w:pP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0652572E"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sidRPr="005A6EE1">
        <w:rPr>
          <w:rStyle w:val="FootnoteReference"/>
        </w:rPr>
        <w:t xml:space="preserve"> </w:t>
      </w:r>
      <w:r>
        <w:rPr>
          <w:rStyle w:val="FootnoteReference"/>
        </w:rPr>
        <w:footnoteReference w:id="5"/>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43FD7C76" w14:textId="4E6E7740" w:rsidR="00557951" w:rsidRDefault="00B56479" w:rsidP="009F0F33">
      <w:r>
        <w:t xml:space="preserve">We are </w:t>
      </w:r>
      <w:r w:rsidR="00986B7D">
        <w:t>proposing a reduction to a</w:t>
      </w:r>
      <w:r>
        <w:t xml:space="preserve"> previously approved burden. In the </w:t>
      </w:r>
      <w:r w:rsidR="000B6329">
        <w:t xml:space="preserve">FY </w:t>
      </w:r>
      <w:r w:rsidR="00986B7D">
        <w:t xml:space="preserve">2018 </w:t>
      </w:r>
      <w:r>
        <w:t xml:space="preserve">IPPS/LTCH PPS </w:t>
      </w:r>
      <w:r w:rsidR="000D28B4">
        <w:t>Proposed Rule</w:t>
      </w:r>
      <w:r w:rsidR="000B6329">
        <w:t>,</w:t>
      </w:r>
      <w:r>
        <w:t xml:space="preserve"> we </w:t>
      </w:r>
      <w:r w:rsidR="00986B7D">
        <w:t xml:space="preserve">are </w:t>
      </w:r>
      <w:r w:rsidR="00B7330F">
        <w:t>proposing a revision to the wage rate used to calculate burden</w:t>
      </w:r>
      <w:r w:rsidR="00A051FE">
        <w:t xml:space="preserve"> for the PCHQR Program</w:t>
      </w:r>
      <w:r w:rsidR="00B7330F">
        <w:t>.</w:t>
      </w:r>
      <w:r w:rsidR="00160851">
        <w:t xml:space="preserve"> </w:t>
      </w:r>
      <w:r w:rsidR="00B31F75">
        <w:t xml:space="preserve">The decrease in the cost </w:t>
      </w:r>
      <w:r w:rsidR="00DC27FD">
        <w:t xml:space="preserve">from the previous $66 hourly wage rate (wage plus overhead and fringe) to $32.84 hourly wage rate (wage plus overhead and fringe) </w:t>
      </w:r>
      <w:r w:rsidR="00B31F75">
        <w:t>is</w:t>
      </w:r>
      <w:r w:rsidR="00DC27FD">
        <w:t xml:space="preserve"> a reduction of $604,184 per facility and $6,646,028 for all 11 facilities</w:t>
      </w:r>
      <w:r w:rsidR="00B31F75">
        <w:t>.</w:t>
      </w:r>
      <w:r w:rsidR="00B7330F">
        <w:t xml:space="preserve"> We are also </w:t>
      </w:r>
      <w:r w:rsidR="00986B7D">
        <w:t>proposing the removal of three (3) chart-abstracted measures</w:t>
      </w:r>
      <w:r>
        <w:t xml:space="preserve"> </w:t>
      </w:r>
      <w:r w:rsidR="00986B7D">
        <w:t>from</w:t>
      </w:r>
      <w:r>
        <w:t xml:space="preserve"> the PCHQR Program, </w:t>
      </w:r>
      <w:r w:rsidR="00986B7D">
        <w:t xml:space="preserve">which will reduce the information </w:t>
      </w:r>
      <w:r w:rsidR="00A40CDE">
        <w:t>collection burden on the PCHs.</w:t>
      </w:r>
      <w:r w:rsidR="00B31F75">
        <w:t xml:space="preserve"> The change in the burden is</w:t>
      </w:r>
      <w:r w:rsidR="00DC27FD">
        <w:t xml:space="preserve"> a reduction of approximately </w:t>
      </w:r>
      <w:r w:rsidR="00071889">
        <w:t>41,53</w:t>
      </w:r>
      <w:r w:rsidR="000D28B4">
        <w:t>8</w:t>
      </w:r>
      <w:bookmarkStart w:id="0" w:name="_GoBack"/>
      <w:bookmarkEnd w:id="0"/>
      <w:r w:rsidR="00DC27FD">
        <w:t xml:space="preserve"> hours and $1,364,042 annually across all 11 facilities.</w:t>
      </w:r>
      <w:r w:rsidR="00A40CDE">
        <w:t xml:space="preserve"> </w:t>
      </w:r>
      <w:r w:rsidR="00B7330F">
        <w:t>Finally, while w</w:t>
      </w:r>
      <w:r w:rsidR="00986B7D">
        <w:t xml:space="preserve">e are also proposing to introduce four (4) measures, these </w:t>
      </w:r>
      <w:r>
        <w:t>measure</w:t>
      </w:r>
      <w:r w:rsidR="00986B7D">
        <w:t>s</w:t>
      </w:r>
      <w:r>
        <w:t xml:space="preserve"> </w:t>
      </w:r>
      <w:r w:rsidR="00986B7D">
        <w:t xml:space="preserve">are </w:t>
      </w:r>
      <w:r>
        <w:t>calculated by CMS using data which facilities already provide as part of the claims process</w:t>
      </w:r>
      <w:r w:rsidR="00B7330F">
        <w:t xml:space="preserve"> and are not anticipated to impose any additional burden on the PCHs</w:t>
      </w:r>
      <w:r>
        <w:t>.</w:t>
      </w:r>
    </w:p>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50A1E1AA" w:rsidR="00285035" w:rsidRDefault="0058110C" w:rsidP="00285035">
      <w:r>
        <w:t>Table D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64555EF0" w:rsidR="00203F7B" w:rsidRDefault="00EC6239" w:rsidP="00285035">
      <w:r>
        <w:t>Table D.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5EB67B57" w:rsidR="00203F7B" w:rsidRDefault="00203F7B" w:rsidP="00986B7D">
            <w:pPr>
              <w:rPr>
                <w:rFonts w:eastAsiaTheme="minorHAnsi"/>
              </w:rPr>
            </w:pPr>
            <w:r>
              <w:t>04/</w:t>
            </w:r>
            <w:r w:rsidR="00986B7D">
              <w:t>xx</w:t>
            </w:r>
            <w:r>
              <w:t>/</w:t>
            </w:r>
            <w:r w:rsidR="00986B7D">
              <w:t>2017</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4C740F33" w:rsidR="00203F7B" w:rsidRDefault="00203F7B" w:rsidP="00986B7D">
            <w:pPr>
              <w:rPr>
                <w:rFonts w:eastAsiaTheme="minorHAnsi"/>
              </w:rPr>
            </w:pPr>
            <w:r>
              <w:t>08/</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9A9D835" w:rsidR="00203F7B" w:rsidRDefault="00203F7B" w:rsidP="00986B7D">
            <w:pPr>
              <w:rPr>
                <w:rFonts w:eastAsiaTheme="minorHAnsi"/>
              </w:rPr>
            </w:pPr>
            <w:r>
              <w:t>10/01/</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0DA96345"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136D337"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506E4DD" w:rsidR="00203F7B" w:rsidRDefault="00203F7B" w:rsidP="00986B7D">
            <w:pPr>
              <w:rPr>
                <w:rFonts w:eastAsiaTheme="minorHAnsi"/>
              </w:rPr>
            </w:pPr>
            <w:r>
              <w:t>12/31/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61E54805" w:rsidR="00203F7B" w:rsidRDefault="00203F7B" w:rsidP="00986B7D">
            <w:pPr>
              <w:rPr>
                <w:rFonts w:eastAsiaTheme="minorHAnsi"/>
              </w:rPr>
            </w:pPr>
            <w:r>
              <w:lastRenderedPageBreak/>
              <w:t>7/1/</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DB1191F" w:rsidR="00203F7B" w:rsidRDefault="00203F7B" w:rsidP="00986B7D">
            <w:pPr>
              <w:rPr>
                <w:rFonts w:ascii="Calibri" w:eastAsiaTheme="minorHAnsi" w:hAnsi="Calibr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58710CF" w:rsidR="00203F7B" w:rsidRDefault="00203F7B" w:rsidP="00986B7D">
            <w:pPr>
              <w:rPr>
                <w:rFonts w:eastAsiaTheme="minorHAns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7777777" w:rsidR="00285035" w:rsidRDefault="00285035" w:rsidP="00285035"/>
    <w:p w14:paraId="560D2786" w14:textId="77777777" w:rsidR="00C36936" w:rsidRDefault="00C36936">
      <w:pPr>
        <w:jc w:val="center"/>
        <w:rPr>
          <w:b/>
        </w:rPr>
      </w:pPr>
      <w:r>
        <w:rPr>
          <w:b/>
        </w:rPr>
        <w:br w:type="page"/>
      </w:r>
    </w:p>
    <w:p w14:paraId="6D80C595" w14:textId="206B78FC" w:rsidR="00285035" w:rsidRPr="00AD0DDE" w:rsidRDefault="00285035" w:rsidP="00285035">
      <w:pPr>
        <w:pStyle w:val="ListParagraph"/>
        <w:numPr>
          <w:ilvl w:val="1"/>
          <w:numId w:val="2"/>
        </w:numPr>
      </w:pPr>
      <w:r w:rsidRPr="00AD0DDE">
        <w:rPr>
          <w:b/>
        </w:rPr>
        <w:lastRenderedPageBreak/>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594E8" w14:textId="77777777" w:rsidR="0066076B" w:rsidRDefault="0066076B" w:rsidP="00285035">
      <w:r>
        <w:separator/>
      </w:r>
    </w:p>
  </w:endnote>
  <w:endnote w:type="continuationSeparator" w:id="0">
    <w:p w14:paraId="5BFD874B" w14:textId="77777777" w:rsidR="0066076B" w:rsidRDefault="0066076B"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217B6" w14:textId="77777777" w:rsidR="0066076B" w:rsidRDefault="0066076B" w:rsidP="00285035">
      <w:r>
        <w:separator/>
      </w:r>
    </w:p>
  </w:footnote>
  <w:footnote w:type="continuationSeparator" w:id="0">
    <w:p w14:paraId="67103E2A" w14:textId="77777777" w:rsidR="0066076B" w:rsidRDefault="0066076B" w:rsidP="00285035">
      <w:r>
        <w:continuationSeparator/>
      </w:r>
    </w:p>
  </w:footnote>
  <w:footnote w:id="1">
    <w:p w14:paraId="367D268A" w14:textId="56949D9D" w:rsidR="00982DC1" w:rsidRPr="00922079" w:rsidRDefault="00982DC1">
      <w:pPr>
        <w:pStyle w:val="FootnoteText"/>
      </w:pPr>
      <w:r w:rsidRPr="00922079">
        <w:rPr>
          <w:rStyle w:val="FootnoteReference"/>
        </w:rPr>
        <w:footnoteRef/>
      </w:r>
      <w:r w:rsidRPr="00922079">
        <w:t xml:space="preserve"> United States Government Accountability Office, “Hospi</w:t>
      </w:r>
      <w:r w:rsidR="00661874">
        <w:t>t</w:t>
      </w:r>
      <w:r w:rsidRPr="00922079">
        <w:t>al Quality Data: HHS Should Specify Steps and Time Frame for Using Information Technology to Collect and Submit Data. Report. April 2007. Available at: http://www.gao.gov/assets/260/259673.pdf.</w:t>
      </w:r>
    </w:p>
  </w:footnote>
  <w:footnote w:id="2">
    <w:p w14:paraId="44AB437F" w14:textId="1B46892A" w:rsidR="00C47D1A" w:rsidRDefault="00C47D1A">
      <w:pPr>
        <w:pStyle w:val="FootnoteText"/>
      </w:pPr>
      <w:r w:rsidRPr="00922079">
        <w:rPr>
          <w:rStyle w:val="FootnoteReference"/>
        </w:rPr>
        <w:footnoteRef/>
      </w:r>
      <w:r w:rsidRPr="00922079">
        <w:t xml:space="preserve"> In the FY 2013 IPPS/LTCH PPS final rule (77 FR 523667), we estimated that the annual hourly burden for the collection, submission, and training of personnel for submitting all quality measure data would be approximately 6,293.5 hours per year for five (5) finalized measures.  We therefore estimate the annual hourly burden for</w:t>
      </w:r>
      <w:r w:rsidR="00063B8F" w:rsidRPr="00922079">
        <w:t xml:space="preserve"> one (1) PCH to collect and submit</w:t>
      </w:r>
      <w:r w:rsidRPr="00922079">
        <w:t xml:space="preserve"> a single chart-abstracted measure to be 1,258.7 hours (6,293.5 hours for five measures / 5 measures).</w:t>
      </w:r>
      <w:r>
        <w:t xml:space="preserve"> </w:t>
      </w:r>
    </w:p>
  </w:footnote>
  <w:footnote w:id="3">
    <w:p w14:paraId="35570FDD" w14:textId="011E60FE" w:rsidR="00661874" w:rsidRDefault="00661874">
      <w:pPr>
        <w:pStyle w:val="FootnoteText"/>
      </w:pPr>
      <w:r>
        <w:rPr>
          <w:rStyle w:val="FootnoteReference"/>
        </w:rPr>
        <w:footnoteRef/>
      </w:r>
      <w:r>
        <w:t xml:space="preserve"> </w:t>
      </w:r>
      <w:r w:rsidR="00DC27FD" w:rsidRPr="00DC27FD">
        <w:t>https://www.bls.gov/oes/2012/may/oes292071.htm</w:t>
      </w:r>
      <w:r w:rsidR="00DC27FD">
        <w:t>.</w:t>
      </w:r>
    </w:p>
  </w:footnote>
  <w:footnote w:id="4">
    <w:p w14:paraId="68C03729" w14:textId="14CE105E" w:rsidR="00B56479" w:rsidRDefault="00B56479">
      <w:pPr>
        <w:pStyle w:val="FootnoteText"/>
      </w:pPr>
      <w:r>
        <w:rPr>
          <w:rStyle w:val="FootnoteReference"/>
        </w:rPr>
        <w:footnoteRef/>
      </w:r>
      <w:r>
        <w:t xml:space="preserve"> </w:t>
      </w:r>
      <w:hyperlink r:id="rId1" w:history="1">
        <w:r w:rsidRPr="00075997">
          <w:rPr>
            <w:rStyle w:val="Hyperlink"/>
            <w:rFonts w:eastAsiaTheme="minorHAnsi"/>
          </w:rPr>
          <w:t>www.salary.com</w:t>
        </w:r>
      </w:hyperlink>
      <w:r>
        <w:rPr>
          <w:rFonts w:eastAsiaTheme="minorHAnsi"/>
          <w:color w:val="000000"/>
        </w:rPr>
        <w:t xml:space="preserve"> (Estimates are based on base pay rate plus overhead and fringe benefits of a Registered Nurse labor skill).</w:t>
      </w:r>
    </w:p>
  </w:footnote>
  <w:footnote w:id="5">
    <w:p w14:paraId="276FC7D7" w14:textId="77777777" w:rsidR="005A6EE1" w:rsidRDefault="005A6EE1"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243F"/>
    <w:rsid w:val="00002820"/>
    <w:rsid w:val="00002E97"/>
    <w:rsid w:val="000174DA"/>
    <w:rsid w:val="00020C46"/>
    <w:rsid w:val="00023A8E"/>
    <w:rsid w:val="00024065"/>
    <w:rsid w:val="00027737"/>
    <w:rsid w:val="00037E26"/>
    <w:rsid w:val="00040CC7"/>
    <w:rsid w:val="00046E8E"/>
    <w:rsid w:val="00052E03"/>
    <w:rsid w:val="00055625"/>
    <w:rsid w:val="00060031"/>
    <w:rsid w:val="00063B8F"/>
    <w:rsid w:val="00064C74"/>
    <w:rsid w:val="000713FB"/>
    <w:rsid w:val="000715C2"/>
    <w:rsid w:val="00071889"/>
    <w:rsid w:val="00073B82"/>
    <w:rsid w:val="0007426F"/>
    <w:rsid w:val="00085746"/>
    <w:rsid w:val="000860A3"/>
    <w:rsid w:val="000931FB"/>
    <w:rsid w:val="000A01D5"/>
    <w:rsid w:val="000A0784"/>
    <w:rsid w:val="000B2619"/>
    <w:rsid w:val="000B42A5"/>
    <w:rsid w:val="000B6329"/>
    <w:rsid w:val="000B6751"/>
    <w:rsid w:val="000C1B11"/>
    <w:rsid w:val="000C2BD8"/>
    <w:rsid w:val="000D030D"/>
    <w:rsid w:val="000D274F"/>
    <w:rsid w:val="000D28B4"/>
    <w:rsid w:val="000D5BBE"/>
    <w:rsid w:val="000E34B1"/>
    <w:rsid w:val="000E668D"/>
    <w:rsid w:val="000E6EFF"/>
    <w:rsid w:val="001074F8"/>
    <w:rsid w:val="00110D60"/>
    <w:rsid w:val="00113872"/>
    <w:rsid w:val="00121C7B"/>
    <w:rsid w:val="00124026"/>
    <w:rsid w:val="00137743"/>
    <w:rsid w:val="00143828"/>
    <w:rsid w:val="001460A6"/>
    <w:rsid w:val="00150100"/>
    <w:rsid w:val="00151B44"/>
    <w:rsid w:val="0015426E"/>
    <w:rsid w:val="00160851"/>
    <w:rsid w:val="00162E79"/>
    <w:rsid w:val="001656F4"/>
    <w:rsid w:val="001671D2"/>
    <w:rsid w:val="0016764F"/>
    <w:rsid w:val="00177052"/>
    <w:rsid w:val="00190112"/>
    <w:rsid w:val="00192865"/>
    <w:rsid w:val="00192C5A"/>
    <w:rsid w:val="0019382B"/>
    <w:rsid w:val="001A30C6"/>
    <w:rsid w:val="001B3F85"/>
    <w:rsid w:val="001B704B"/>
    <w:rsid w:val="001B74B1"/>
    <w:rsid w:val="001C0F6A"/>
    <w:rsid w:val="001C6401"/>
    <w:rsid w:val="001D1247"/>
    <w:rsid w:val="001D2CE6"/>
    <w:rsid w:val="001D3B67"/>
    <w:rsid w:val="001D53C2"/>
    <w:rsid w:val="001E2677"/>
    <w:rsid w:val="001E28AC"/>
    <w:rsid w:val="001E3E12"/>
    <w:rsid w:val="001E3E6E"/>
    <w:rsid w:val="001E4A8D"/>
    <w:rsid w:val="001E6CDB"/>
    <w:rsid w:val="001F0D8B"/>
    <w:rsid w:val="001F18A8"/>
    <w:rsid w:val="001F2334"/>
    <w:rsid w:val="001F47BB"/>
    <w:rsid w:val="001F6090"/>
    <w:rsid w:val="001F73F1"/>
    <w:rsid w:val="001F75D7"/>
    <w:rsid w:val="00203F7B"/>
    <w:rsid w:val="002106BC"/>
    <w:rsid w:val="00223432"/>
    <w:rsid w:val="002237EE"/>
    <w:rsid w:val="002300D5"/>
    <w:rsid w:val="002416A7"/>
    <w:rsid w:val="00241D67"/>
    <w:rsid w:val="002508D9"/>
    <w:rsid w:val="00251B18"/>
    <w:rsid w:val="00252FB8"/>
    <w:rsid w:val="002546F1"/>
    <w:rsid w:val="0025487E"/>
    <w:rsid w:val="002557DE"/>
    <w:rsid w:val="00255DEB"/>
    <w:rsid w:val="00256575"/>
    <w:rsid w:val="00257854"/>
    <w:rsid w:val="002607CA"/>
    <w:rsid w:val="00262E82"/>
    <w:rsid w:val="00285035"/>
    <w:rsid w:val="002908DA"/>
    <w:rsid w:val="002B5895"/>
    <w:rsid w:val="002C687C"/>
    <w:rsid w:val="002D06F8"/>
    <w:rsid w:val="002D209E"/>
    <w:rsid w:val="002D2752"/>
    <w:rsid w:val="002D5947"/>
    <w:rsid w:val="002D71F0"/>
    <w:rsid w:val="002D7AC0"/>
    <w:rsid w:val="002E750F"/>
    <w:rsid w:val="002E752D"/>
    <w:rsid w:val="002F3AE9"/>
    <w:rsid w:val="00300F31"/>
    <w:rsid w:val="00301F76"/>
    <w:rsid w:val="00303C4C"/>
    <w:rsid w:val="00303F7F"/>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6169"/>
    <w:rsid w:val="003727A1"/>
    <w:rsid w:val="003742E3"/>
    <w:rsid w:val="003744DF"/>
    <w:rsid w:val="00375BB6"/>
    <w:rsid w:val="003773FF"/>
    <w:rsid w:val="00390E58"/>
    <w:rsid w:val="003913BD"/>
    <w:rsid w:val="00391516"/>
    <w:rsid w:val="00392D4D"/>
    <w:rsid w:val="00393E07"/>
    <w:rsid w:val="00397D19"/>
    <w:rsid w:val="00397FFD"/>
    <w:rsid w:val="003A0CE9"/>
    <w:rsid w:val="003A1848"/>
    <w:rsid w:val="003A2DB8"/>
    <w:rsid w:val="003A4802"/>
    <w:rsid w:val="003B6022"/>
    <w:rsid w:val="003D2890"/>
    <w:rsid w:val="003D5E90"/>
    <w:rsid w:val="003D6308"/>
    <w:rsid w:val="003E0A44"/>
    <w:rsid w:val="003E7D50"/>
    <w:rsid w:val="003F00FA"/>
    <w:rsid w:val="0040212C"/>
    <w:rsid w:val="00403149"/>
    <w:rsid w:val="00410A1F"/>
    <w:rsid w:val="00420119"/>
    <w:rsid w:val="00424823"/>
    <w:rsid w:val="004274E7"/>
    <w:rsid w:val="00432344"/>
    <w:rsid w:val="00436B2D"/>
    <w:rsid w:val="0044343B"/>
    <w:rsid w:val="004447FF"/>
    <w:rsid w:val="0045324E"/>
    <w:rsid w:val="004551F9"/>
    <w:rsid w:val="00456019"/>
    <w:rsid w:val="00463F70"/>
    <w:rsid w:val="004673D3"/>
    <w:rsid w:val="0047347C"/>
    <w:rsid w:val="004742D1"/>
    <w:rsid w:val="00475192"/>
    <w:rsid w:val="004810C9"/>
    <w:rsid w:val="00481184"/>
    <w:rsid w:val="00483136"/>
    <w:rsid w:val="00484C96"/>
    <w:rsid w:val="00494AAC"/>
    <w:rsid w:val="00495506"/>
    <w:rsid w:val="004A29D9"/>
    <w:rsid w:val="004B45B6"/>
    <w:rsid w:val="004B56F7"/>
    <w:rsid w:val="004B68EE"/>
    <w:rsid w:val="004C2F11"/>
    <w:rsid w:val="004C3DCF"/>
    <w:rsid w:val="004C5A27"/>
    <w:rsid w:val="004D3549"/>
    <w:rsid w:val="004D4FCE"/>
    <w:rsid w:val="004D763B"/>
    <w:rsid w:val="004E4542"/>
    <w:rsid w:val="004F1BAD"/>
    <w:rsid w:val="004F2EBF"/>
    <w:rsid w:val="004F5F4D"/>
    <w:rsid w:val="005002DC"/>
    <w:rsid w:val="00500B8F"/>
    <w:rsid w:val="005032F3"/>
    <w:rsid w:val="00504BB6"/>
    <w:rsid w:val="00514C0D"/>
    <w:rsid w:val="00520DF1"/>
    <w:rsid w:val="00522117"/>
    <w:rsid w:val="00537496"/>
    <w:rsid w:val="005417B8"/>
    <w:rsid w:val="005425BC"/>
    <w:rsid w:val="005532DF"/>
    <w:rsid w:val="0055392C"/>
    <w:rsid w:val="00554E09"/>
    <w:rsid w:val="00557951"/>
    <w:rsid w:val="00565BE7"/>
    <w:rsid w:val="0057057F"/>
    <w:rsid w:val="005756DF"/>
    <w:rsid w:val="0058110C"/>
    <w:rsid w:val="00583719"/>
    <w:rsid w:val="00585408"/>
    <w:rsid w:val="005859FE"/>
    <w:rsid w:val="00585F0F"/>
    <w:rsid w:val="00592734"/>
    <w:rsid w:val="005935FE"/>
    <w:rsid w:val="005A0AE6"/>
    <w:rsid w:val="005A1C5F"/>
    <w:rsid w:val="005A6EE1"/>
    <w:rsid w:val="005B4CBD"/>
    <w:rsid w:val="005B5ACA"/>
    <w:rsid w:val="005B76F2"/>
    <w:rsid w:val="005B7CD9"/>
    <w:rsid w:val="005C1B3D"/>
    <w:rsid w:val="005C274A"/>
    <w:rsid w:val="005C557D"/>
    <w:rsid w:val="005D3598"/>
    <w:rsid w:val="005D5AAA"/>
    <w:rsid w:val="005D659F"/>
    <w:rsid w:val="005E0485"/>
    <w:rsid w:val="005E2A6A"/>
    <w:rsid w:val="005E7CD6"/>
    <w:rsid w:val="005F08DC"/>
    <w:rsid w:val="005F2154"/>
    <w:rsid w:val="005F57E4"/>
    <w:rsid w:val="006011DF"/>
    <w:rsid w:val="006038BC"/>
    <w:rsid w:val="00604D0B"/>
    <w:rsid w:val="00610C42"/>
    <w:rsid w:val="006125AD"/>
    <w:rsid w:val="00614125"/>
    <w:rsid w:val="00614ACB"/>
    <w:rsid w:val="00620AA7"/>
    <w:rsid w:val="00622509"/>
    <w:rsid w:val="00623B82"/>
    <w:rsid w:val="00625C28"/>
    <w:rsid w:val="00631682"/>
    <w:rsid w:val="00633EBB"/>
    <w:rsid w:val="00636FCA"/>
    <w:rsid w:val="006433B1"/>
    <w:rsid w:val="006451FC"/>
    <w:rsid w:val="00645CA8"/>
    <w:rsid w:val="0065381C"/>
    <w:rsid w:val="00653DC4"/>
    <w:rsid w:val="00657947"/>
    <w:rsid w:val="0066076B"/>
    <w:rsid w:val="00661874"/>
    <w:rsid w:val="00663755"/>
    <w:rsid w:val="006640AA"/>
    <w:rsid w:val="006666FE"/>
    <w:rsid w:val="0067318B"/>
    <w:rsid w:val="0067603F"/>
    <w:rsid w:val="00685120"/>
    <w:rsid w:val="006866C6"/>
    <w:rsid w:val="00693AEF"/>
    <w:rsid w:val="00696C13"/>
    <w:rsid w:val="00697C76"/>
    <w:rsid w:val="006A25AE"/>
    <w:rsid w:val="006A44C4"/>
    <w:rsid w:val="006A651B"/>
    <w:rsid w:val="006B06AA"/>
    <w:rsid w:val="006B3255"/>
    <w:rsid w:val="006B3A8B"/>
    <w:rsid w:val="006C0103"/>
    <w:rsid w:val="006C0553"/>
    <w:rsid w:val="006D7136"/>
    <w:rsid w:val="006E1CBC"/>
    <w:rsid w:val="006E29D9"/>
    <w:rsid w:val="006E4E1F"/>
    <w:rsid w:val="006E61DC"/>
    <w:rsid w:val="006E7FB9"/>
    <w:rsid w:val="006F1782"/>
    <w:rsid w:val="007036D5"/>
    <w:rsid w:val="00704FE9"/>
    <w:rsid w:val="007068D5"/>
    <w:rsid w:val="007118C2"/>
    <w:rsid w:val="007124FC"/>
    <w:rsid w:val="00714070"/>
    <w:rsid w:val="00717032"/>
    <w:rsid w:val="00723308"/>
    <w:rsid w:val="00726818"/>
    <w:rsid w:val="007302C8"/>
    <w:rsid w:val="00731899"/>
    <w:rsid w:val="00731F42"/>
    <w:rsid w:val="00732948"/>
    <w:rsid w:val="00732D94"/>
    <w:rsid w:val="007478FE"/>
    <w:rsid w:val="007534B5"/>
    <w:rsid w:val="00755771"/>
    <w:rsid w:val="0076017D"/>
    <w:rsid w:val="0076398B"/>
    <w:rsid w:val="00763EB0"/>
    <w:rsid w:val="00771916"/>
    <w:rsid w:val="00773EEF"/>
    <w:rsid w:val="00774A30"/>
    <w:rsid w:val="007769FA"/>
    <w:rsid w:val="00780460"/>
    <w:rsid w:val="0078340C"/>
    <w:rsid w:val="00783C73"/>
    <w:rsid w:val="00785B13"/>
    <w:rsid w:val="00786F97"/>
    <w:rsid w:val="00787732"/>
    <w:rsid w:val="00787750"/>
    <w:rsid w:val="00791BB0"/>
    <w:rsid w:val="00792087"/>
    <w:rsid w:val="007A3AD5"/>
    <w:rsid w:val="007A6DF7"/>
    <w:rsid w:val="007A769B"/>
    <w:rsid w:val="007B2CE4"/>
    <w:rsid w:val="007B6F52"/>
    <w:rsid w:val="007C1511"/>
    <w:rsid w:val="007D5DBE"/>
    <w:rsid w:val="007D705E"/>
    <w:rsid w:val="007E326B"/>
    <w:rsid w:val="007E558E"/>
    <w:rsid w:val="007F3D0A"/>
    <w:rsid w:val="00802FA1"/>
    <w:rsid w:val="008055C8"/>
    <w:rsid w:val="00807EC4"/>
    <w:rsid w:val="00811DEA"/>
    <w:rsid w:val="00812A3B"/>
    <w:rsid w:val="008135D4"/>
    <w:rsid w:val="00816E24"/>
    <w:rsid w:val="0082076F"/>
    <w:rsid w:val="00821768"/>
    <w:rsid w:val="008234DD"/>
    <w:rsid w:val="00826227"/>
    <w:rsid w:val="00830D4F"/>
    <w:rsid w:val="00835E64"/>
    <w:rsid w:val="0083602C"/>
    <w:rsid w:val="008423DC"/>
    <w:rsid w:val="008447C7"/>
    <w:rsid w:val="00864F95"/>
    <w:rsid w:val="008817FB"/>
    <w:rsid w:val="00885C0E"/>
    <w:rsid w:val="00886648"/>
    <w:rsid w:val="00892972"/>
    <w:rsid w:val="00893939"/>
    <w:rsid w:val="00897FE9"/>
    <w:rsid w:val="008B1FE7"/>
    <w:rsid w:val="008B2D0B"/>
    <w:rsid w:val="008B3831"/>
    <w:rsid w:val="008B5E85"/>
    <w:rsid w:val="008B6510"/>
    <w:rsid w:val="008B7D00"/>
    <w:rsid w:val="008C0131"/>
    <w:rsid w:val="008C075C"/>
    <w:rsid w:val="008C3809"/>
    <w:rsid w:val="008D0958"/>
    <w:rsid w:val="008D3977"/>
    <w:rsid w:val="008E6ABA"/>
    <w:rsid w:val="008F0206"/>
    <w:rsid w:val="009028FE"/>
    <w:rsid w:val="009030F0"/>
    <w:rsid w:val="009147E3"/>
    <w:rsid w:val="00922079"/>
    <w:rsid w:val="0092292E"/>
    <w:rsid w:val="00923D60"/>
    <w:rsid w:val="0092494D"/>
    <w:rsid w:val="0092545A"/>
    <w:rsid w:val="00930DA0"/>
    <w:rsid w:val="00931FFE"/>
    <w:rsid w:val="009352D2"/>
    <w:rsid w:val="00937F81"/>
    <w:rsid w:val="00942B7E"/>
    <w:rsid w:val="00942C36"/>
    <w:rsid w:val="00943BB0"/>
    <w:rsid w:val="00944715"/>
    <w:rsid w:val="0094699B"/>
    <w:rsid w:val="009471E5"/>
    <w:rsid w:val="009502D2"/>
    <w:rsid w:val="00951426"/>
    <w:rsid w:val="00953D13"/>
    <w:rsid w:val="00956F57"/>
    <w:rsid w:val="0096668B"/>
    <w:rsid w:val="00982DC1"/>
    <w:rsid w:val="00983240"/>
    <w:rsid w:val="0098603F"/>
    <w:rsid w:val="00986494"/>
    <w:rsid w:val="00986B7D"/>
    <w:rsid w:val="00986E58"/>
    <w:rsid w:val="00991AF5"/>
    <w:rsid w:val="00994253"/>
    <w:rsid w:val="009A281D"/>
    <w:rsid w:val="009B05A7"/>
    <w:rsid w:val="009C0714"/>
    <w:rsid w:val="009C4392"/>
    <w:rsid w:val="009C5477"/>
    <w:rsid w:val="009C5947"/>
    <w:rsid w:val="009C5AB2"/>
    <w:rsid w:val="009D7191"/>
    <w:rsid w:val="009E0A15"/>
    <w:rsid w:val="009E290D"/>
    <w:rsid w:val="009E5E61"/>
    <w:rsid w:val="009F0F33"/>
    <w:rsid w:val="009F5E4F"/>
    <w:rsid w:val="00A005BE"/>
    <w:rsid w:val="00A051FE"/>
    <w:rsid w:val="00A068A3"/>
    <w:rsid w:val="00A11795"/>
    <w:rsid w:val="00A171B1"/>
    <w:rsid w:val="00A21014"/>
    <w:rsid w:val="00A2393E"/>
    <w:rsid w:val="00A270CF"/>
    <w:rsid w:val="00A32CDB"/>
    <w:rsid w:val="00A35FEE"/>
    <w:rsid w:val="00A40CDE"/>
    <w:rsid w:val="00A43FCA"/>
    <w:rsid w:val="00A55392"/>
    <w:rsid w:val="00A573F2"/>
    <w:rsid w:val="00A575AE"/>
    <w:rsid w:val="00A75B76"/>
    <w:rsid w:val="00A775F0"/>
    <w:rsid w:val="00A80463"/>
    <w:rsid w:val="00A823DB"/>
    <w:rsid w:val="00A82968"/>
    <w:rsid w:val="00A86887"/>
    <w:rsid w:val="00AA77A5"/>
    <w:rsid w:val="00AC0D24"/>
    <w:rsid w:val="00AC5D0A"/>
    <w:rsid w:val="00AC7FA7"/>
    <w:rsid w:val="00AD164C"/>
    <w:rsid w:val="00AD46FC"/>
    <w:rsid w:val="00AD5917"/>
    <w:rsid w:val="00AD7873"/>
    <w:rsid w:val="00AF1955"/>
    <w:rsid w:val="00AF4F8F"/>
    <w:rsid w:val="00AF6E0F"/>
    <w:rsid w:val="00B14673"/>
    <w:rsid w:val="00B24ADB"/>
    <w:rsid w:val="00B27539"/>
    <w:rsid w:val="00B3132B"/>
    <w:rsid w:val="00B31F75"/>
    <w:rsid w:val="00B34446"/>
    <w:rsid w:val="00B406A6"/>
    <w:rsid w:val="00B41FDF"/>
    <w:rsid w:val="00B429C1"/>
    <w:rsid w:val="00B429D6"/>
    <w:rsid w:val="00B47980"/>
    <w:rsid w:val="00B54451"/>
    <w:rsid w:val="00B56479"/>
    <w:rsid w:val="00B7330F"/>
    <w:rsid w:val="00B74338"/>
    <w:rsid w:val="00B81609"/>
    <w:rsid w:val="00B864FF"/>
    <w:rsid w:val="00B87EC7"/>
    <w:rsid w:val="00B97975"/>
    <w:rsid w:val="00BA43B9"/>
    <w:rsid w:val="00BA5412"/>
    <w:rsid w:val="00BA5E3E"/>
    <w:rsid w:val="00BA7C0C"/>
    <w:rsid w:val="00BB0000"/>
    <w:rsid w:val="00BC1E0E"/>
    <w:rsid w:val="00BC7DAB"/>
    <w:rsid w:val="00BD0ED3"/>
    <w:rsid w:val="00BD27D2"/>
    <w:rsid w:val="00BD5B48"/>
    <w:rsid w:val="00BD7554"/>
    <w:rsid w:val="00BD796B"/>
    <w:rsid w:val="00BE1D34"/>
    <w:rsid w:val="00BE4750"/>
    <w:rsid w:val="00BF2BE3"/>
    <w:rsid w:val="00BF3F2F"/>
    <w:rsid w:val="00BF6EB1"/>
    <w:rsid w:val="00BF733C"/>
    <w:rsid w:val="00C006F5"/>
    <w:rsid w:val="00C0091E"/>
    <w:rsid w:val="00C045E7"/>
    <w:rsid w:val="00C129BE"/>
    <w:rsid w:val="00C131D4"/>
    <w:rsid w:val="00C133AF"/>
    <w:rsid w:val="00C13487"/>
    <w:rsid w:val="00C170A5"/>
    <w:rsid w:val="00C20056"/>
    <w:rsid w:val="00C36936"/>
    <w:rsid w:val="00C3791A"/>
    <w:rsid w:val="00C37FAC"/>
    <w:rsid w:val="00C41BFA"/>
    <w:rsid w:val="00C43550"/>
    <w:rsid w:val="00C4471C"/>
    <w:rsid w:val="00C47D1A"/>
    <w:rsid w:val="00C56666"/>
    <w:rsid w:val="00C72A3F"/>
    <w:rsid w:val="00C72A4E"/>
    <w:rsid w:val="00C73142"/>
    <w:rsid w:val="00C73865"/>
    <w:rsid w:val="00C744B2"/>
    <w:rsid w:val="00C7578C"/>
    <w:rsid w:val="00C75983"/>
    <w:rsid w:val="00C805E9"/>
    <w:rsid w:val="00C83112"/>
    <w:rsid w:val="00C9528C"/>
    <w:rsid w:val="00C95C85"/>
    <w:rsid w:val="00CB3A25"/>
    <w:rsid w:val="00CB57CF"/>
    <w:rsid w:val="00CB5BA2"/>
    <w:rsid w:val="00CB79C6"/>
    <w:rsid w:val="00CC21B0"/>
    <w:rsid w:val="00CC64F0"/>
    <w:rsid w:val="00CD0153"/>
    <w:rsid w:val="00CD54B2"/>
    <w:rsid w:val="00CD5B1D"/>
    <w:rsid w:val="00CE0A94"/>
    <w:rsid w:val="00CE3479"/>
    <w:rsid w:val="00CE3EF4"/>
    <w:rsid w:val="00CE7F66"/>
    <w:rsid w:val="00CF0CEF"/>
    <w:rsid w:val="00CF3EE0"/>
    <w:rsid w:val="00D00B77"/>
    <w:rsid w:val="00D02F12"/>
    <w:rsid w:val="00D048EE"/>
    <w:rsid w:val="00D04DC5"/>
    <w:rsid w:val="00D13697"/>
    <w:rsid w:val="00D1645E"/>
    <w:rsid w:val="00D214AC"/>
    <w:rsid w:val="00D22CBE"/>
    <w:rsid w:val="00D2600A"/>
    <w:rsid w:val="00D30464"/>
    <w:rsid w:val="00D33A2A"/>
    <w:rsid w:val="00D33EE6"/>
    <w:rsid w:val="00D36A82"/>
    <w:rsid w:val="00D41BC8"/>
    <w:rsid w:val="00D45779"/>
    <w:rsid w:val="00D46773"/>
    <w:rsid w:val="00D50425"/>
    <w:rsid w:val="00D50680"/>
    <w:rsid w:val="00D51DE3"/>
    <w:rsid w:val="00D53D74"/>
    <w:rsid w:val="00D54428"/>
    <w:rsid w:val="00D56936"/>
    <w:rsid w:val="00D571A7"/>
    <w:rsid w:val="00D6066B"/>
    <w:rsid w:val="00D67DE9"/>
    <w:rsid w:val="00D72B9B"/>
    <w:rsid w:val="00D72F26"/>
    <w:rsid w:val="00D76D48"/>
    <w:rsid w:val="00D83EEE"/>
    <w:rsid w:val="00D84D97"/>
    <w:rsid w:val="00D85AA2"/>
    <w:rsid w:val="00D90CB7"/>
    <w:rsid w:val="00D91C22"/>
    <w:rsid w:val="00D94930"/>
    <w:rsid w:val="00DA1465"/>
    <w:rsid w:val="00DA2AA4"/>
    <w:rsid w:val="00DA5AF8"/>
    <w:rsid w:val="00DA76B2"/>
    <w:rsid w:val="00DB08B5"/>
    <w:rsid w:val="00DB11DD"/>
    <w:rsid w:val="00DC0F5F"/>
    <w:rsid w:val="00DC2164"/>
    <w:rsid w:val="00DC27FD"/>
    <w:rsid w:val="00DC6B62"/>
    <w:rsid w:val="00DC71D9"/>
    <w:rsid w:val="00DD524E"/>
    <w:rsid w:val="00DD6856"/>
    <w:rsid w:val="00DE0DAB"/>
    <w:rsid w:val="00DE20AF"/>
    <w:rsid w:val="00DE6C90"/>
    <w:rsid w:val="00DE7A79"/>
    <w:rsid w:val="00DF6B2D"/>
    <w:rsid w:val="00E00E70"/>
    <w:rsid w:val="00E0537F"/>
    <w:rsid w:val="00E07276"/>
    <w:rsid w:val="00E079E9"/>
    <w:rsid w:val="00E16C69"/>
    <w:rsid w:val="00E21C15"/>
    <w:rsid w:val="00E305D9"/>
    <w:rsid w:val="00E32AC9"/>
    <w:rsid w:val="00E353BF"/>
    <w:rsid w:val="00E40876"/>
    <w:rsid w:val="00E462F9"/>
    <w:rsid w:val="00E54143"/>
    <w:rsid w:val="00E55BAB"/>
    <w:rsid w:val="00E61F6B"/>
    <w:rsid w:val="00E62172"/>
    <w:rsid w:val="00E67123"/>
    <w:rsid w:val="00E73383"/>
    <w:rsid w:val="00E75055"/>
    <w:rsid w:val="00E75453"/>
    <w:rsid w:val="00E76F60"/>
    <w:rsid w:val="00E92D86"/>
    <w:rsid w:val="00E94E71"/>
    <w:rsid w:val="00EA3C0C"/>
    <w:rsid w:val="00EB033F"/>
    <w:rsid w:val="00EB35A2"/>
    <w:rsid w:val="00EC18A0"/>
    <w:rsid w:val="00EC617B"/>
    <w:rsid w:val="00EC6239"/>
    <w:rsid w:val="00EC78E5"/>
    <w:rsid w:val="00ED27A6"/>
    <w:rsid w:val="00EE409E"/>
    <w:rsid w:val="00EE430D"/>
    <w:rsid w:val="00F00DC5"/>
    <w:rsid w:val="00F0339B"/>
    <w:rsid w:val="00F0624F"/>
    <w:rsid w:val="00F11831"/>
    <w:rsid w:val="00F12F18"/>
    <w:rsid w:val="00F138C8"/>
    <w:rsid w:val="00F16050"/>
    <w:rsid w:val="00F2142C"/>
    <w:rsid w:val="00F234F1"/>
    <w:rsid w:val="00F25E7B"/>
    <w:rsid w:val="00F261B6"/>
    <w:rsid w:val="00F36E3D"/>
    <w:rsid w:val="00F374CB"/>
    <w:rsid w:val="00F437D7"/>
    <w:rsid w:val="00F61965"/>
    <w:rsid w:val="00F6794F"/>
    <w:rsid w:val="00F702EA"/>
    <w:rsid w:val="00F72C3B"/>
    <w:rsid w:val="00F77908"/>
    <w:rsid w:val="00F84B94"/>
    <w:rsid w:val="00F90230"/>
    <w:rsid w:val="00F9172E"/>
    <w:rsid w:val="00F9338A"/>
    <w:rsid w:val="00F9753A"/>
    <w:rsid w:val="00FA06C1"/>
    <w:rsid w:val="00FA11EA"/>
    <w:rsid w:val="00FA2499"/>
    <w:rsid w:val="00FA27D8"/>
    <w:rsid w:val="00FA3536"/>
    <w:rsid w:val="00FA4384"/>
    <w:rsid w:val="00FB026E"/>
    <w:rsid w:val="00FB2C3A"/>
    <w:rsid w:val="00FB67D0"/>
    <w:rsid w:val="00FC4645"/>
    <w:rsid w:val="00FC5558"/>
    <w:rsid w:val="00FC5D69"/>
    <w:rsid w:val="00FD272E"/>
    <w:rsid w:val="00FD77C9"/>
    <w:rsid w:val="00FE3710"/>
    <w:rsid w:val="00FE4837"/>
    <w:rsid w:val="00FF23A5"/>
    <w:rsid w:val="00FF2654"/>
    <w:rsid w:val="00FF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ar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l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1FB2-72B9-492B-8EC4-9D5B5C67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CMS-10431 FY 2019 PCHQR Supporting Statement A</vt:lpstr>
    </vt:vector>
  </TitlesOfParts>
  <Company/>
  <LinksUpToDate>false</LinksUpToDate>
  <CharactersWithSpaces>21118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CMS-10431 FY 2019 PCHQR Supporting Statement A</dc:title>
  <dc:creator/>
  <cp:keywords>CMS, PCHQR, PRA, FY 2019</cp:keywords>
  <cp:lastModifiedBy/>
  <cp:revision>1</cp:revision>
  <dcterms:created xsi:type="dcterms:W3CDTF">2017-06-02T14:58:00Z</dcterms:created>
  <dcterms:modified xsi:type="dcterms:W3CDTF">2017-06-06T17:23:00Z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1762428771</vt:i4>
  </property>
</Properties>
</file>