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94" w:rsidP="00096441" w:rsidRDefault="00716F94" w14:paraId="26AA265F" w14:textId="77777777">
      <w:pPr>
        <w:pStyle w:val="B1BodyCopy"/>
      </w:pPr>
    </w:p>
    <w:p w:rsidR="009B4A51" w:rsidP="00716F94" w:rsidRDefault="009B4A51" w14:paraId="688EE0D4" w14:textId="77777777">
      <w:pPr>
        <w:spacing w:after="0"/>
        <w:rPr>
          <w:rFonts w:asciiTheme="majorHAnsi" w:hAnsiTheme="majorHAnsi"/>
          <w:b/>
        </w:rPr>
      </w:pPr>
    </w:p>
    <w:p w:rsidR="009B4A51" w:rsidP="009B4A51" w:rsidRDefault="009B4A51" w14:paraId="4C540872" w14:textId="77777777">
      <w:pPr>
        <w:spacing w:after="0"/>
        <w:jc w:val="center"/>
        <w:rPr>
          <w:rFonts w:asciiTheme="majorHAnsi" w:hAnsiTheme="majorHAnsi"/>
          <w:b/>
        </w:rPr>
      </w:pPr>
    </w:p>
    <w:p w:rsidR="009B4A51" w:rsidP="009B4A51" w:rsidRDefault="009B4A51" w14:paraId="4ED4D8AD" w14:textId="77777777">
      <w:pPr>
        <w:spacing w:after="0"/>
        <w:jc w:val="center"/>
        <w:rPr>
          <w:rFonts w:asciiTheme="majorHAnsi" w:hAnsiTheme="majorHAnsi"/>
          <w:b/>
        </w:rPr>
      </w:pPr>
    </w:p>
    <w:p w:rsidR="009B4A51" w:rsidP="009B4A51" w:rsidRDefault="009B4A51" w14:paraId="568947D4" w14:textId="77777777">
      <w:pPr>
        <w:spacing w:after="0"/>
        <w:jc w:val="center"/>
        <w:rPr>
          <w:rFonts w:asciiTheme="majorHAnsi" w:hAnsiTheme="majorHAnsi"/>
          <w:color w:val="0033CC"/>
          <w:sz w:val="28"/>
        </w:rPr>
      </w:pPr>
    </w:p>
    <w:p w:rsidR="00667C89" w:rsidP="009B4A51" w:rsidRDefault="00667C89" w14:paraId="6B9567D4" w14:textId="77777777">
      <w:pPr>
        <w:spacing w:after="0"/>
        <w:jc w:val="center"/>
        <w:rPr>
          <w:rFonts w:asciiTheme="majorHAnsi" w:hAnsiTheme="majorHAnsi"/>
          <w:color w:val="0033CC"/>
          <w:sz w:val="28"/>
        </w:rPr>
      </w:pPr>
    </w:p>
    <w:p w:rsidR="009B4A51" w:rsidP="009B4A51" w:rsidRDefault="009B4A51" w14:paraId="5DBD2BB9" w14:textId="77777777">
      <w:pPr>
        <w:spacing w:after="0"/>
        <w:jc w:val="center"/>
        <w:rPr>
          <w:rFonts w:asciiTheme="majorHAnsi" w:hAnsiTheme="majorHAnsi"/>
          <w:sz w:val="32"/>
        </w:rPr>
      </w:pPr>
    </w:p>
    <w:p w:rsidR="009B4A51" w:rsidP="009B4A51" w:rsidRDefault="009B4A51" w14:paraId="3D432DDA" w14:textId="77777777">
      <w:pPr>
        <w:spacing w:after="0"/>
        <w:jc w:val="center"/>
        <w:rPr>
          <w:rFonts w:asciiTheme="majorHAnsi" w:hAnsiTheme="majorHAnsi"/>
          <w:sz w:val="32"/>
        </w:rPr>
      </w:pPr>
    </w:p>
    <w:p w:rsidRPr="00333BBE" w:rsidR="00AA3192" w:rsidP="00484011" w:rsidRDefault="001D3C32" w14:paraId="5542CF46" w14:textId="1DC2A6DC">
      <w:pPr>
        <w:spacing w:after="0"/>
        <w:jc w:val="center"/>
        <w:rPr>
          <w:rFonts w:asciiTheme="majorHAnsi" w:hAnsiTheme="majorHAnsi"/>
          <w:b/>
        </w:rPr>
      </w:pPr>
      <w:r w:rsidRPr="001D3C32">
        <w:rPr>
          <w:rFonts w:asciiTheme="majorHAnsi" w:hAnsiTheme="majorHAnsi"/>
          <w:b/>
          <w:sz w:val="40"/>
        </w:rPr>
        <w:t>Virtual Human Service Delivery under COVID-19: Scan of Implementation and Lessons Learned</w:t>
      </w:r>
    </w:p>
    <w:p w:rsidRPr="00333BBE" w:rsidR="00DD3E04" w:rsidP="00DD3E04" w:rsidRDefault="00DD3E04" w14:paraId="7F168A6A" w14:textId="77777777">
      <w:pPr>
        <w:spacing w:after="0"/>
        <w:jc w:val="center"/>
        <w:rPr>
          <w:rFonts w:asciiTheme="majorHAnsi" w:hAnsiTheme="majorHAnsi"/>
        </w:rPr>
      </w:pPr>
      <w:r w:rsidRPr="00333BBE">
        <w:rPr>
          <w:rFonts w:asciiTheme="majorHAnsi" w:hAnsiTheme="majorHAnsi"/>
        </w:rPr>
        <w:t>ASPE Generic Information Collection Request</w:t>
      </w:r>
    </w:p>
    <w:p w:rsidRPr="0041582B" w:rsidR="00DD3E04" w:rsidP="00DD3E04" w:rsidRDefault="00DD3E04" w14:paraId="1EC90A7B" w14:textId="77777777">
      <w:pPr>
        <w:pStyle w:val="Header"/>
        <w:tabs>
          <w:tab w:val="clear" w:pos="4680"/>
        </w:tabs>
        <w:jc w:val="center"/>
        <w:rPr>
          <w:rFonts w:asciiTheme="majorHAnsi" w:hAnsiTheme="majorHAnsi"/>
        </w:rPr>
      </w:pPr>
      <w:r w:rsidRPr="0041582B">
        <w:rPr>
          <w:rFonts w:asciiTheme="majorHAnsi" w:hAnsiTheme="majorHAnsi"/>
        </w:rPr>
        <w:t>OMB No. 0990-0421</w:t>
      </w:r>
    </w:p>
    <w:p w:rsidRPr="00333BBE" w:rsidR="009B4A51" w:rsidP="00716F94" w:rsidRDefault="009B4A51" w14:paraId="21A3E1D5" w14:textId="77777777">
      <w:pPr>
        <w:spacing w:after="0"/>
        <w:rPr>
          <w:rFonts w:asciiTheme="majorHAnsi" w:hAnsiTheme="majorHAnsi"/>
          <w:b/>
        </w:rPr>
      </w:pPr>
    </w:p>
    <w:p w:rsidRPr="00333BBE" w:rsidR="009B4A51" w:rsidP="00716F94" w:rsidRDefault="009B4A51" w14:paraId="271B775B" w14:textId="77777777">
      <w:pPr>
        <w:spacing w:after="0"/>
        <w:rPr>
          <w:rFonts w:asciiTheme="majorHAnsi" w:hAnsiTheme="majorHAnsi"/>
          <w:b/>
        </w:rPr>
      </w:pPr>
    </w:p>
    <w:p w:rsidRPr="00333BBE" w:rsidR="00AA3192" w:rsidP="00716F94" w:rsidRDefault="00AA3192" w14:paraId="63BEA2C4" w14:textId="77777777">
      <w:pPr>
        <w:spacing w:after="0"/>
        <w:rPr>
          <w:rFonts w:asciiTheme="majorHAnsi" w:hAnsiTheme="majorHAnsi"/>
          <w:b/>
        </w:rPr>
      </w:pPr>
    </w:p>
    <w:p w:rsidRPr="00333BBE" w:rsidR="00AA3192" w:rsidP="00716F94" w:rsidRDefault="00AA3192" w14:paraId="237728B3" w14:textId="77777777">
      <w:pPr>
        <w:spacing w:after="0"/>
        <w:rPr>
          <w:rFonts w:asciiTheme="majorHAnsi" w:hAnsiTheme="majorHAnsi"/>
          <w:b/>
        </w:rPr>
      </w:pPr>
    </w:p>
    <w:p w:rsidRPr="00333BBE" w:rsidR="009B4A51" w:rsidP="009B4A51" w:rsidRDefault="009B4A51" w14:paraId="2D61194B" w14:textId="77777777">
      <w:pPr>
        <w:spacing w:after="0"/>
        <w:jc w:val="center"/>
        <w:rPr>
          <w:rFonts w:asciiTheme="majorHAnsi" w:hAnsiTheme="majorHAnsi"/>
          <w:sz w:val="32"/>
        </w:rPr>
      </w:pPr>
      <w:r w:rsidRPr="00333BBE">
        <w:rPr>
          <w:rFonts w:asciiTheme="majorHAnsi" w:hAnsiTheme="majorHAnsi"/>
          <w:b/>
          <w:sz w:val="32"/>
        </w:rPr>
        <w:t>Supporting Statement – Section A</w:t>
      </w:r>
    </w:p>
    <w:p w:rsidRPr="00333BBE" w:rsidR="009B4A51" w:rsidP="00716F94" w:rsidRDefault="009B4A51" w14:paraId="011429EB" w14:textId="77777777">
      <w:pPr>
        <w:spacing w:after="0"/>
        <w:rPr>
          <w:rFonts w:asciiTheme="majorHAnsi" w:hAnsiTheme="majorHAnsi"/>
          <w:b/>
        </w:rPr>
      </w:pPr>
    </w:p>
    <w:p w:rsidRPr="00333BBE" w:rsidR="00484011" w:rsidP="00716F94" w:rsidRDefault="00484011" w14:paraId="7D98BD69" w14:textId="77777777">
      <w:pPr>
        <w:spacing w:after="0"/>
        <w:rPr>
          <w:rFonts w:asciiTheme="majorHAnsi" w:hAnsiTheme="majorHAnsi"/>
          <w:b/>
        </w:rPr>
      </w:pPr>
    </w:p>
    <w:p w:rsidRPr="00333BBE" w:rsidR="00AA3192" w:rsidP="00716F94" w:rsidRDefault="00AA3192" w14:paraId="67A76951" w14:textId="77777777">
      <w:pPr>
        <w:spacing w:after="0"/>
        <w:rPr>
          <w:rFonts w:asciiTheme="majorHAnsi" w:hAnsiTheme="majorHAnsi"/>
          <w:b/>
        </w:rPr>
      </w:pPr>
    </w:p>
    <w:p w:rsidRPr="00333BBE" w:rsidR="009B4A51" w:rsidP="00716F94" w:rsidRDefault="009B4A51" w14:paraId="1C803DB1" w14:textId="77777777">
      <w:pPr>
        <w:spacing w:after="0"/>
        <w:rPr>
          <w:rFonts w:asciiTheme="majorHAnsi" w:hAnsiTheme="majorHAnsi"/>
          <w:b/>
        </w:rPr>
      </w:pPr>
    </w:p>
    <w:p w:rsidRPr="00333BBE" w:rsidR="009B4A51" w:rsidP="00716F94" w:rsidRDefault="009B4A51" w14:paraId="7ECB6D0A" w14:textId="77777777">
      <w:pPr>
        <w:spacing w:after="0"/>
        <w:rPr>
          <w:rFonts w:asciiTheme="majorHAnsi" w:hAnsiTheme="majorHAnsi"/>
          <w:b/>
        </w:rPr>
      </w:pPr>
    </w:p>
    <w:p w:rsidRPr="00333BBE" w:rsidR="00187D5A" w:rsidP="00716F94" w:rsidRDefault="00187D5A" w14:paraId="5D230C3F" w14:textId="77777777">
      <w:pPr>
        <w:spacing w:after="0"/>
        <w:rPr>
          <w:rFonts w:asciiTheme="majorHAnsi" w:hAnsiTheme="majorHAnsi"/>
          <w:b/>
        </w:rPr>
      </w:pPr>
    </w:p>
    <w:p w:rsidRPr="00333BBE" w:rsidR="009B4A51" w:rsidP="009B4A51" w:rsidRDefault="009B4A51" w14:paraId="2499B138" w14:textId="7278465B">
      <w:pPr>
        <w:spacing w:after="0"/>
        <w:jc w:val="center"/>
        <w:rPr>
          <w:rFonts w:asciiTheme="majorHAnsi" w:hAnsiTheme="majorHAnsi"/>
        </w:rPr>
      </w:pPr>
      <w:r w:rsidRPr="003135E5">
        <w:rPr>
          <w:rFonts w:asciiTheme="majorHAnsi" w:hAnsiTheme="majorHAnsi"/>
          <w:b/>
        </w:rPr>
        <w:t>Submitted:</w:t>
      </w:r>
      <w:r w:rsidRPr="003135E5">
        <w:rPr>
          <w:rFonts w:asciiTheme="majorHAnsi" w:hAnsiTheme="majorHAnsi"/>
        </w:rPr>
        <w:t xml:space="preserve"> </w:t>
      </w:r>
      <w:r w:rsidRPr="00225AE3" w:rsidR="00B417C1">
        <w:rPr>
          <w:rFonts w:asciiTheme="majorHAnsi" w:hAnsiTheme="majorHAnsi"/>
        </w:rPr>
        <w:t>June 1</w:t>
      </w:r>
      <w:r w:rsidRPr="00225AE3" w:rsidR="00A2471B">
        <w:rPr>
          <w:rFonts w:asciiTheme="majorHAnsi" w:hAnsiTheme="majorHAnsi"/>
        </w:rPr>
        <w:t>,</w:t>
      </w:r>
      <w:r w:rsidRPr="003135E5" w:rsidR="00A2471B">
        <w:rPr>
          <w:rFonts w:asciiTheme="majorHAnsi" w:hAnsiTheme="majorHAnsi"/>
        </w:rPr>
        <w:t xml:space="preserve"> 2020</w:t>
      </w:r>
    </w:p>
    <w:p w:rsidRPr="00333BBE" w:rsidR="009B4A51" w:rsidP="00716F94" w:rsidRDefault="009B4A51" w14:paraId="37306D23" w14:textId="77777777">
      <w:pPr>
        <w:spacing w:after="0"/>
        <w:rPr>
          <w:rFonts w:asciiTheme="majorHAnsi" w:hAnsiTheme="majorHAnsi"/>
          <w:b/>
        </w:rPr>
      </w:pPr>
    </w:p>
    <w:p w:rsidRPr="00333BBE" w:rsidR="009B4A51" w:rsidP="00716F94" w:rsidRDefault="009B4A51" w14:paraId="57D7AF9B" w14:textId="77777777">
      <w:pPr>
        <w:spacing w:after="0"/>
        <w:rPr>
          <w:rFonts w:asciiTheme="majorHAnsi" w:hAnsiTheme="majorHAnsi"/>
          <w:b/>
        </w:rPr>
      </w:pPr>
    </w:p>
    <w:p w:rsidRPr="00333BBE" w:rsidR="009B4A51" w:rsidP="00716F94" w:rsidRDefault="009B4A51" w14:paraId="0878A9A0" w14:textId="77777777">
      <w:pPr>
        <w:spacing w:after="0"/>
        <w:rPr>
          <w:rFonts w:asciiTheme="majorHAnsi" w:hAnsiTheme="majorHAnsi"/>
          <w:b/>
        </w:rPr>
      </w:pPr>
    </w:p>
    <w:p w:rsidRPr="00333BBE" w:rsidR="00AA3192" w:rsidP="00716F94" w:rsidRDefault="00AA3192" w14:paraId="18100A36" w14:textId="77777777">
      <w:pPr>
        <w:spacing w:after="0"/>
        <w:rPr>
          <w:rFonts w:asciiTheme="majorHAnsi" w:hAnsiTheme="majorHAnsi"/>
          <w:b/>
        </w:rPr>
      </w:pPr>
    </w:p>
    <w:p w:rsidRPr="00333BBE" w:rsidR="00AA3192" w:rsidP="00716F94" w:rsidRDefault="00AA3192" w14:paraId="3A647E1A" w14:textId="77777777">
      <w:pPr>
        <w:spacing w:after="0"/>
        <w:rPr>
          <w:rFonts w:asciiTheme="majorHAnsi" w:hAnsiTheme="majorHAnsi"/>
          <w:b/>
        </w:rPr>
      </w:pPr>
    </w:p>
    <w:p w:rsidRPr="00333BBE" w:rsidR="009B4A51" w:rsidP="00716F94" w:rsidRDefault="009B4A51" w14:paraId="3C468609" w14:textId="77777777">
      <w:pPr>
        <w:spacing w:after="0"/>
        <w:rPr>
          <w:rFonts w:asciiTheme="majorHAnsi" w:hAnsiTheme="majorHAnsi"/>
          <w:b/>
        </w:rPr>
      </w:pPr>
    </w:p>
    <w:p w:rsidRPr="0041582B" w:rsidR="00321B51" w:rsidP="000B0962" w:rsidRDefault="00716F94" w14:paraId="7890D1E5" w14:textId="77777777">
      <w:pPr>
        <w:spacing w:after="0"/>
        <w:rPr>
          <w:rFonts w:asciiTheme="majorHAnsi" w:hAnsiTheme="majorHAnsi"/>
        </w:rPr>
      </w:pPr>
      <w:r w:rsidRPr="00333BBE">
        <w:rPr>
          <w:rFonts w:asciiTheme="majorHAnsi" w:hAnsiTheme="majorHAnsi"/>
          <w:b/>
          <w:u w:val="single"/>
        </w:rPr>
        <w:t>P</w:t>
      </w:r>
      <w:r w:rsidRPr="00333BBE" w:rsidR="00667C89">
        <w:rPr>
          <w:rFonts w:asciiTheme="majorHAnsi" w:hAnsiTheme="majorHAnsi"/>
          <w:b/>
          <w:u w:val="single"/>
        </w:rPr>
        <w:t>rogram Official/Project Officer</w:t>
      </w:r>
      <w:r w:rsidRPr="0041582B" w:rsidR="000B0962">
        <w:rPr>
          <w:rFonts w:asciiTheme="majorHAnsi" w:hAnsiTheme="majorHAnsi"/>
        </w:rPr>
        <w:tab/>
      </w:r>
    </w:p>
    <w:p w:rsidRPr="00333BBE" w:rsidR="00321B51" w:rsidP="000B0962" w:rsidRDefault="00F041F9" w14:paraId="66D13B18" w14:textId="1DE7439B">
      <w:pPr>
        <w:spacing w:after="0" w:line="240" w:lineRule="auto"/>
        <w:rPr>
          <w:rFonts w:asciiTheme="majorHAnsi" w:hAnsiTheme="majorHAnsi"/>
        </w:rPr>
      </w:pPr>
      <w:r>
        <w:rPr>
          <w:rFonts w:asciiTheme="majorHAnsi" w:hAnsiTheme="majorHAnsi"/>
        </w:rPr>
        <w:t>Pamela Winston</w:t>
      </w:r>
    </w:p>
    <w:p w:rsidRPr="00333BBE" w:rsidR="00321B51" w:rsidP="000B0962" w:rsidRDefault="0099163E" w14:paraId="03D50022" w14:textId="52B48C9A">
      <w:pPr>
        <w:spacing w:after="0" w:line="240" w:lineRule="auto"/>
        <w:rPr>
          <w:rFonts w:asciiTheme="majorHAnsi" w:hAnsiTheme="majorHAnsi"/>
        </w:rPr>
      </w:pPr>
      <w:r>
        <w:rPr>
          <w:rFonts w:asciiTheme="majorHAnsi" w:hAnsiTheme="majorHAnsi"/>
        </w:rPr>
        <w:t>Social Science Analyst</w:t>
      </w:r>
    </w:p>
    <w:p w:rsidRPr="00333BBE" w:rsidR="008F6F07" w:rsidP="008F6F07" w:rsidRDefault="008F6F07" w14:paraId="1D72C7DC" w14:textId="77777777">
      <w:pPr>
        <w:spacing w:after="0" w:line="240" w:lineRule="auto"/>
        <w:rPr>
          <w:rFonts w:asciiTheme="majorHAnsi" w:hAnsiTheme="majorHAnsi"/>
        </w:rPr>
      </w:pPr>
      <w:r w:rsidRPr="00333BBE">
        <w:rPr>
          <w:rFonts w:asciiTheme="majorHAnsi" w:hAnsiTheme="majorHAnsi"/>
        </w:rPr>
        <w:t>U.S. Department of Health and Human Services</w:t>
      </w:r>
    </w:p>
    <w:p w:rsidRPr="00333BBE" w:rsidR="008F6F07" w:rsidP="008F6F07" w:rsidRDefault="008F6F07" w14:paraId="5769FC8A" w14:textId="77777777">
      <w:pPr>
        <w:spacing w:after="0" w:line="240" w:lineRule="auto"/>
        <w:rPr>
          <w:rFonts w:asciiTheme="majorHAnsi" w:hAnsiTheme="majorHAnsi"/>
        </w:rPr>
      </w:pPr>
      <w:r w:rsidRPr="00333BBE">
        <w:rPr>
          <w:rFonts w:asciiTheme="majorHAnsi" w:hAnsiTheme="majorHAnsi"/>
        </w:rPr>
        <w:t>Office of the Assistant Secretary for Planning and Evaluation</w:t>
      </w:r>
    </w:p>
    <w:p w:rsidRPr="00333BBE" w:rsidR="008F6F07" w:rsidP="000B0962" w:rsidRDefault="008F6F07" w14:paraId="180A2E20" w14:textId="77777777">
      <w:pPr>
        <w:spacing w:after="0" w:line="240" w:lineRule="auto"/>
        <w:rPr>
          <w:rFonts w:asciiTheme="majorHAnsi" w:hAnsiTheme="majorHAnsi"/>
        </w:rPr>
      </w:pPr>
      <w:r w:rsidRPr="00333BBE">
        <w:rPr>
          <w:rFonts w:asciiTheme="majorHAnsi" w:hAnsiTheme="majorHAnsi"/>
        </w:rPr>
        <w:t>200 Independence Avenue, SW, Washington, D.C. 20201</w:t>
      </w:r>
    </w:p>
    <w:p w:rsidRPr="00333BBE" w:rsidR="00321B51" w:rsidP="000B0962" w:rsidRDefault="000467BF" w14:paraId="59983BFE" w14:textId="79588676">
      <w:pPr>
        <w:spacing w:after="0" w:line="240" w:lineRule="auto"/>
        <w:rPr>
          <w:rFonts w:asciiTheme="majorHAnsi" w:hAnsiTheme="majorHAnsi"/>
        </w:rPr>
      </w:pPr>
      <w:r w:rsidRPr="000467BF">
        <w:rPr>
          <w:rFonts w:asciiTheme="majorHAnsi" w:hAnsiTheme="majorHAnsi"/>
        </w:rPr>
        <w:t xml:space="preserve">202-774-4952 </w:t>
      </w:r>
    </w:p>
    <w:p w:rsidRPr="00333BBE" w:rsidR="00321B51" w:rsidP="000B0962" w:rsidRDefault="00A97460" w14:paraId="40426C38" w14:textId="79E9DF01">
      <w:pPr>
        <w:spacing w:after="0" w:line="240" w:lineRule="auto"/>
        <w:rPr>
          <w:rFonts w:asciiTheme="majorHAnsi" w:hAnsiTheme="majorHAnsi"/>
        </w:rPr>
      </w:pPr>
      <w:hyperlink w:history="1" r:id="rId8">
        <w:r w:rsidRPr="0007325C" w:rsidR="00F041F9">
          <w:rPr>
            <w:rStyle w:val="Hyperlink"/>
            <w:rFonts w:asciiTheme="majorHAnsi" w:hAnsiTheme="majorHAnsi"/>
          </w:rPr>
          <w:t>Pamela.Winston@HHS.gov</w:t>
        </w:r>
      </w:hyperlink>
    </w:p>
    <w:p w:rsidR="000B0962" w:rsidP="00716F94" w:rsidRDefault="000B0962" w14:paraId="4F3E7E3A" w14:textId="73D89FBA">
      <w:pPr>
        <w:spacing w:after="0"/>
        <w:rPr>
          <w:rFonts w:asciiTheme="majorHAnsi" w:hAnsiTheme="majorHAnsi"/>
        </w:rPr>
      </w:pPr>
    </w:p>
    <w:p w:rsidR="00F041F9" w:rsidP="00716F94" w:rsidRDefault="00F041F9" w14:paraId="587490B7" w14:textId="77777777">
      <w:pPr>
        <w:spacing w:after="0"/>
        <w:rPr>
          <w:rFonts w:asciiTheme="majorHAnsi" w:hAnsiTheme="majorHAnsi"/>
        </w:rPr>
      </w:pPr>
    </w:p>
    <w:p w:rsidRPr="00333BBE" w:rsidR="00FB4DBE" w:rsidP="00716F94" w:rsidRDefault="00FB4DBE" w14:paraId="236133EB" w14:textId="77777777">
      <w:pPr>
        <w:spacing w:after="0"/>
        <w:rPr>
          <w:rFonts w:asciiTheme="majorHAnsi" w:hAnsiTheme="majorHAnsi"/>
        </w:rPr>
      </w:pPr>
    </w:p>
    <w:p w:rsidRPr="00333BBE" w:rsidR="000B0962" w:rsidP="00716F94" w:rsidRDefault="000B0962" w14:paraId="2B7D67C4" w14:textId="77777777">
      <w:pPr>
        <w:spacing w:after="0"/>
        <w:rPr>
          <w:rFonts w:asciiTheme="majorHAnsi" w:hAnsiTheme="majorHAnsi"/>
        </w:rPr>
      </w:pPr>
    </w:p>
    <w:p w:rsidRPr="00333BBE" w:rsidR="00CD1EA8" w:rsidP="00716F94" w:rsidRDefault="00CD1EA8" w14:paraId="050284E0" w14:textId="77777777">
      <w:pPr>
        <w:spacing w:after="0"/>
        <w:rPr>
          <w:rFonts w:asciiTheme="majorHAnsi" w:hAnsiTheme="majorHAnsi"/>
          <w:b/>
          <w:sz w:val="28"/>
        </w:rPr>
      </w:pPr>
      <w:r w:rsidRPr="00333BBE">
        <w:rPr>
          <w:rFonts w:asciiTheme="majorHAnsi" w:hAnsiTheme="majorHAnsi"/>
          <w:b/>
          <w:sz w:val="28"/>
        </w:rPr>
        <w:t>Section A</w:t>
      </w:r>
      <w:r w:rsidRPr="00333BBE" w:rsidR="00B12F51">
        <w:rPr>
          <w:rFonts w:asciiTheme="majorHAnsi" w:hAnsiTheme="majorHAnsi"/>
          <w:b/>
          <w:sz w:val="28"/>
        </w:rPr>
        <w:t xml:space="preserve"> – Justification</w:t>
      </w:r>
    </w:p>
    <w:p w:rsidRPr="00333BBE" w:rsidR="00B12F51" w:rsidP="00716F94" w:rsidRDefault="00B12F51" w14:paraId="4CB04178" w14:textId="1CA3E2E3">
      <w:pPr>
        <w:spacing w:after="0"/>
        <w:rPr>
          <w:rFonts w:asciiTheme="majorHAnsi" w:hAnsiTheme="majorHAnsi"/>
          <w:b/>
        </w:rPr>
      </w:pPr>
    </w:p>
    <w:p w:rsidRPr="0041582B" w:rsidR="00CD1EA8" w:rsidP="00B12F51" w:rsidRDefault="00B12F51" w14:paraId="20CC65FF" w14:textId="028E41ED">
      <w:pPr>
        <w:pStyle w:val="ListParagraph"/>
        <w:numPr>
          <w:ilvl w:val="0"/>
          <w:numId w:val="2"/>
        </w:numPr>
        <w:spacing w:after="0"/>
        <w:rPr>
          <w:rFonts w:asciiTheme="majorHAnsi" w:hAnsiTheme="majorHAnsi"/>
          <w:b/>
          <w:sz w:val="24"/>
          <w:szCs w:val="24"/>
        </w:rPr>
      </w:pPr>
      <w:r w:rsidRPr="0041582B">
        <w:rPr>
          <w:rFonts w:asciiTheme="majorHAnsi" w:hAnsiTheme="majorHAnsi"/>
          <w:b/>
          <w:sz w:val="24"/>
          <w:szCs w:val="24"/>
        </w:rPr>
        <w:t>Circumstances Making the Collection of Information Necessary</w:t>
      </w:r>
      <w:r w:rsidR="00291BBA">
        <w:rPr>
          <w:rFonts w:asciiTheme="majorHAnsi" w:hAnsiTheme="majorHAnsi"/>
          <w:b/>
          <w:sz w:val="24"/>
          <w:szCs w:val="24"/>
        </w:rPr>
        <w:t xml:space="preserve"> </w:t>
      </w:r>
    </w:p>
    <w:p w:rsidRPr="0041582B" w:rsidR="00E33E1B" w:rsidP="009D373D" w:rsidRDefault="00E33E1B" w14:paraId="5C71B376" w14:textId="77777777">
      <w:pPr>
        <w:spacing w:after="0"/>
        <w:ind w:left="720"/>
        <w:rPr>
          <w:rFonts w:asciiTheme="majorHAnsi" w:hAnsiTheme="majorHAnsi"/>
          <w:b/>
          <w:sz w:val="24"/>
          <w:szCs w:val="24"/>
        </w:rPr>
      </w:pPr>
    </w:p>
    <w:p w:rsidR="001E2830" w:rsidP="003F40BF" w:rsidRDefault="003F40BF" w14:paraId="5D47E6DD" w14:textId="360A2D33">
      <w:pPr>
        <w:pStyle w:val="Header"/>
        <w:ind w:left="720"/>
        <w:rPr>
          <w:rFonts w:asciiTheme="majorHAnsi" w:hAnsiTheme="majorHAnsi" w:cstheme="minorHAnsi"/>
          <w:sz w:val="24"/>
          <w:szCs w:val="24"/>
        </w:rPr>
      </w:pPr>
      <w:r>
        <w:rPr>
          <w:rFonts w:asciiTheme="majorHAnsi" w:hAnsiTheme="majorHAnsi" w:cstheme="minorHAnsi"/>
          <w:sz w:val="24"/>
          <w:szCs w:val="24"/>
        </w:rPr>
        <w:t>As the</w:t>
      </w:r>
      <w:r w:rsidRPr="003F40BF">
        <w:rPr>
          <w:rFonts w:asciiTheme="majorHAnsi" w:hAnsiTheme="majorHAnsi" w:cstheme="minorHAnsi"/>
          <w:sz w:val="24"/>
          <w:szCs w:val="24"/>
        </w:rPr>
        <w:t xml:space="preserve"> COVID-19 pandemic</w:t>
      </w:r>
      <w:r>
        <w:rPr>
          <w:rFonts w:asciiTheme="majorHAnsi" w:hAnsiTheme="majorHAnsi" w:cstheme="minorHAnsi"/>
          <w:sz w:val="24"/>
          <w:szCs w:val="24"/>
        </w:rPr>
        <w:t xml:space="preserve"> unfolded</w:t>
      </w:r>
      <w:r w:rsidRPr="003F40BF">
        <w:rPr>
          <w:rFonts w:asciiTheme="majorHAnsi" w:hAnsiTheme="majorHAnsi" w:cstheme="minorHAnsi"/>
          <w:sz w:val="24"/>
          <w:szCs w:val="24"/>
        </w:rPr>
        <w:t>, government and public health officials aske</w:t>
      </w:r>
      <w:r w:rsidR="00521AEB">
        <w:rPr>
          <w:rFonts w:asciiTheme="majorHAnsi" w:hAnsiTheme="majorHAnsi" w:cstheme="minorHAnsi"/>
          <w:sz w:val="24"/>
          <w:szCs w:val="24"/>
        </w:rPr>
        <w:t>d the public to engage in physical</w:t>
      </w:r>
      <w:r w:rsidRPr="003F40BF">
        <w:rPr>
          <w:rFonts w:asciiTheme="majorHAnsi" w:hAnsiTheme="majorHAnsi" w:cstheme="minorHAnsi"/>
          <w:sz w:val="24"/>
          <w:szCs w:val="24"/>
        </w:rPr>
        <w:t xml:space="preserve"> distancing</w:t>
      </w:r>
      <w:r>
        <w:rPr>
          <w:rFonts w:asciiTheme="majorHAnsi" w:hAnsiTheme="majorHAnsi" w:cstheme="minorHAnsi"/>
          <w:sz w:val="24"/>
          <w:szCs w:val="24"/>
        </w:rPr>
        <w:t xml:space="preserve"> t</w:t>
      </w:r>
      <w:r w:rsidRPr="003F40BF">
        <w:rPr>
          <w:rFonts w:asciiTheme="majorHAnsi" w:hAnsiTheme="majorHAnsi" w:cstheme="minorHAnsi"/>
          <w:sz w:val="24"/>
          <w:szCs w:val="24"/>
        </w:rPr>
        <w:t>o limit viral transmission</w:t>
      </w:r>
      <w:r>
        <w:rPr>
          <w:rFonts w:asciiTheme="majorHAnsi" w:hAnsiTheme="majorHAnsi" w:cstheme="minorHAnsi"/>
          <w:sz w:val="24"/>
          <w:szCs w:val="24"/>
        </w:rPr>
        <w:t>. M</w:t>
      </w:r>
      <w:r w:rsidRPr="003F40BF">
        <w:rPr>
          <w:rFonts w:asciiTheme="majorHAnsi" w:hAnsiTheme="majorHAnsi" w:cstheme="minorHAnsi"/>
          <w:sz w:val="24"/>
          <w:szCs w:val="24"/>
        </w:rPr>
        <w:t xml:space="preserve">any human services agencies </w:t>
      </w:r>
      <w:r>
        <w:rPr>
          <w:rFonts w:asciiTheme="majorHAnsi" w:hAnsiTheme="majorHAnsi" w:cstheme="minorHAnsi"/>
          <w:sz w:val="24"/>
          <w:szCs w:val="24"/>
        </w:rPr>
        <w:t xml:space="preserve">shifted </w:t>
      </w:r>
      <w:r w:rsidR="00936907">
        <w:rPr>
          <w:rFonts w:asciiTheme="majorHAnsi" w:hAnsiTheme="majorHAnsi" w:cstheme="minorHAnsi"/>
          <w:sz w:val="24"/>
          <w:szCs w:val="24"/>
        </w:rPr>
        <w:t xml:space="preserve">from in-person services </w:t>
      </w:r>
      <w:r>
        <w:rPr>
          <w:rFonts w:asciiTheme="majorHAnsi" w:hAnsiTheme="majorHAnsi" w:cstheme="minorHAnsi"/>
          <w:sz w:val="24"/>
          <w:szCs w:val="24"/>
        </w:rPr>
        <w:t xml:space="preserve">to </w:t>
      </w:r>
      <w:r w:rsidRPr="003F40BF">
        <w:rPr>
          <w:rFonts w:asciiTheme="majorHAnsi" w:hAnsiTheme="majorHAnsi" w:cstheme="minorHAnsi"/>
          <w:sz w:val="24"/>
          <w:szCs w:val="24"/>
        </w:rPr>
        <w:t xml:space="preserve">providing services </w:t>
      </w:r>
      <w:r>
        <w:rPr>
          <w:rFonts w:asciiTheme="majorHAnsi" w:hAnsiTheme="majorHAnsi" w:cstheme="minorHAnsi"/>
          <w:sz w:val="24"/>
          <w:szCs w:val="24"/>
        </w:rPr>
        <w:t xml:space="preserve">primarily </w:t>
      </w:r>
      <w:r w:rsidR="00521AEB">
        <w:rPr>
          <w:rFonts w:asciiTheme="majorHAnsi" w:hAnsiTheme="majorHAnsi" w:cstheme="minorHAnsi"/>
          <w:sz w:val="24"/>
          <w:szCs w:val="24"/>
        </w:rPr>
        <w:t xml:space="preserve">by videoconference, </w:t>
      </w:r>
      <w:r w:rsidRPr="003F40BF">
        <w:rPr>
          <w:rFonts w:asciiTheme="majorHAnsi" w:hAnsiTheme="majorHAnsi" w:cstheme="minorHAnsi"/>
          <w:sz w:val="24"/>
          <w:szCs w:val="24"/>
        </w:rPr>
        <w:t>over the telephone</w:t>
      </w:r>
      <w:r w:rsidR="00521AEB">
        <w:rPr>
          <w:rFonts w:asciiTheme="majorHAnsi" w:hAnsiTheme="majorHAnsi" w:cstheme="minorHAnsi"/>
          <w:sz w:val="24"/>
          <w:szCs w:val="24"/>
        </w:rPr>
        <w:t>, or otherwise online</w:t>
      </w:r>
      <w:r w:rsidRPr="003F40BF">
        <w:rPr>
          <w:rFonts w:asciiTheme="majorHAnsi" w:hAnsiTheme="majorHAnsi" w:cstheme="minorHAnsi"/>
          <w:sz w:val="24"/>
          <w:szCs w:val="24"/>
        </w:rPr>
        <w:t>. This has created challenges for a field where services such as child protection</w:t>
      </w:r>
      <w:r w:rsidR="000357EE">
        <w:rPr>
          <w:rFonts w:asciiTheme="majorHAnsi" w:hAnsiTheme="majorHAnsi" w:cstheme="minorHAnsi"/>
          <w:sz w:val="24"/>
          <w:szCs w:val="24"/>
        </w:rPr>
        <w:t>, home visiting,</w:t>
      </w:r>
      <w:r w:rsidRPr="003F40BF">
        <w:rPr>
          <w:rFonts w:asciiTheme="majorHAnsi" w:hAnsiTheme="majorHAnsi" w:cstheme="minorHAnsi"/>
          <w:sz w:val="24"/>
          <w:szCs w:val="24"/>
        </w:rPr>
        <w:t xml:space="preserve"> and </w:t>
      </w:r>
      <w:r w:rsidR="000D3E00">
        <w:rPr>
          <w:rFonts w:asciiTheme="majorHAnsi" w:hAnsiTheme="majorHAnsi" w:cstheme="minorHAnsi"/>
          <w:sz w:val="24"/>
          <w:szCs w:val="24"/>
        </w:rPr>
        <w:t xml:space="preserve">case management </w:t>
      </w:r>
      <w:r w:rsidRPr="003F40BF">
        <w:rPr>
          <w:rFonts w:asciiTheme="majorHAnsi" w:hAnsiTheme="majorHAnsi" w:cstheme="minorHAnsi"/>
          <w:sz w:val="24"/>
          <w:szCs w:val="24"/>
        </w:rPr>
        <w:t>are often delivered face to face. Many human services organizations quickly tr</w:t>
      </w:r>
      <w:r>
        <w:rPr>
          <w:rFonts w:asciiTheme="majorHAnsi" w:hAnsiTheme="majorHAnsi" w:cstheme="minorHAnsi"/>
          <w:sz w:val="24"/>
          <w:szCs w:val="24"/>
        </w:rPr>
        <w:t xml:space="preserve">ied </w:t>
      </w:r>
      <w:r w:rsidRPr="003F40BF">
        <w:rPr>
          <w:rFonts w:asciiTheme="majorHAnsi" w:hAnsiTheme="majorHAnsi" w:cstheme="minorHAnsi"/>
          <w:sz w:val="24"/>
          <w:szCs w:val="24"/>
        </w:rPr>
        <w:t xml:space="preserve">to establish or scale up virtual </w:t>
      </w:r>
      <w:r>
        <w:rPr>
          <w:rFonts w:asciiTheme="majorHAnsi" w:hAnsiTheme="majorHAnsi" w:cstheme="minorHAnsi"/>
          <w:sz w:val="24"/>
          <w:szCs w:val="24"/>
        </w:rPr>
        <w:t xml:space="preserve">service delivery </w:t>
      </w:r>
      <w:r w:rsidRPr="003F40BF">
        <w:rPr>
          <w:rFonts w:asciiTheme="majorHAnsi" w:hAnsiTheme="majorHAnsi" w:cstheme="minorHAnsi"/>
          <w:sz w:val="24"/>
          <w:szCs w:val="24"/>
        </w:rPr>
        <w:t xml:space="preserve">systems.  At the same time, </w:t>
      </w:r>
      <w:r w:rsidR="001E2830">
        <w:rPr>
          <w:rFonts w:asciiTheme="majorHAnsi" w:hAnsiTheme="majorHAnsi" w:cstheme="minorHAnsi"/>
          <w:sz w:val="24"/>
          <w:szCs w:val="24"/>
        </w:rPr>
        <w:t xml:space="preserve">agency staff indicate that </w:t>
      </w:r>
      <w:r w:rsidRPr="003F40BF">
        <w:rPr>
          <w:rFonts w:asciiTheme="majorHAnsi" w:hAnsiTheme="majorHAnsi" w:cstheme="minorHAnsi"/>
          <w:sz w:val="24"/>
          <w:szCs w:val="24"/>
        </w:rPr>
        <w:t xml:space="preserve">because of the economic challenges accompanying the pandemic, </w:t>
      </w:r>
      <w:r w:rsidR="001E2830">
        <w:rPr>
          <w:rFonts w:asciiTheme="majorHAnsi" w:hAnsiTheme="majorHAnsi" w:cstheme="minorHAnsi"/>
          <w:sz w:val="24"/>
          <w:szCs w:val="24"/>
        </w:rPr>
        <w:t xml:space="preserve">they </w:t>
      </w:r>
      <w:r w:rsidR="00936907">
        <w:rPr>
          <w:rFonts w:asciiTheme="majorHAnsi" w:hAnsiTheme="majorHAnsi" w:cstheme="minorHAnsi"/>
          <w:sz w:val="24"/>
          <w:szCs w:val="24"/>
        </w:rPr>
        <w:t xml:space="preserve">often </w:t>
      </w:r>
      <w:r w:rsidR="001E2830">
        <w:rPr>
          <w:rFonts w:asciiTheme="majorHAnsi" w:hAnsiTheme="majorHAnsi" w:cstheme="minorHAnsi"/>
          <w:sz w:val="24"/>
          <w:szCs w:val="24"/>
        </w:rPr>
        <w:t xml:space="preserve">saw </w:t>
      </w:r>
      <w:r w:rsidRPr="003F40BF">
        <w:rPr>
          <w:rFonts w:asciiTheme="majorHAnsi" w:hAnsiTheme="majorHAnsi" w:cstheme="minorHAnsi"/>
          <w:sz w:val="24"/>
          <w:szCs w:val="24"/>
        </w:rPr>
        <w:t>a sharp increase in service demand.</w:t>
      </w:r>
      <w:r w:rsidR="00B417C1">
        <w:rPr>
          <w:rStyle w:val="FootnoteReference"/>
          <w:rFonts w:asciiTheme="majorHAnsi" w:hAnsiTheme="majorHAnsi" w:cstheme="minorHAnsi"/>
          <w:sz w:val="24"/>
          <w:szCs w:val="24"/>
        </w:rPr>
        <w:footnoteReference w:id="1"/>
      </w:r>
    </w:p>
    <w:p w:rsidR="001E2830" w:rsidP="003F40BF" w:rsidRDefault="001E2830" w14:paraId="33DB4CB2" w14:textId="77777777">
      <w:pPr>
        <w:pStyle w:val="Header"/>
        <w:ind w:left="720"/>
        <w:rPr>
          <w:rFonts w:asciiTheme="majorHAnsi" w:hAnsiTheme="majorHAnsi" w:cstheme="minorHAnsi"/>
          <w:sz w:val="24"/>
          <w:szCs w:val="24"/>
        </w:rPr>
      </w:pPr>
    </w:p>
    <w:p w:rsidR="001E2830" w:rsidP="003F40BF" w:rsidRDefault="004736CF" w14:paraId="1F3BFC70" w14:textId="75422A3B">
      <w:pPr>
        <w:pStyle w:val="Header"/>
        <w:ind w:left="720"/>
        <w:rPr>
          <w:rFonts w:asciiTheme="majorHAnsi" w:hAnsiTheme="majorHAnsi" w:cstheme="minorHAnsi"/>
          <w:sz w:val="24"/>
          <w:szCs w:val="24"/>
        </w:rPr>
      </w:pPr>
      <w:r>
        <w:rPr>
          <w:rFonts w:asciiTheme="majorHAnsi" w:hAnsiTheme="majorHAnsi" w:cstheme="minorHAnsi"/>
          <w:sz w:val="24"/>
          <w:szCs w:val="24"/>
        </w:rPr>
        <w:t>Many human services</w:t>
      </w:r>
      <w:r w:rsidR="001E2830">
        <w:rPr>
          <w:rFonts w:asciiTheme="majorHAnsi" w:hAnsiTheme="majorHAnsi" w:cstheme="minorHAnsi"/>
          <w:sz w:val="24"/>
          <w:szCs w:val="24"/>
        </w:rPr>
        <w:t xml:space="preserve"> agencies operated </w:t>
      </w:r>
      <w:r w:rsidR="00521AEB">
        <w:rPr>
          <w:rFonts w:asciiTheme="majorHAnsi" w:hAnsiTheme="majorHAnsi" w:cstheme="minorHAnsi"/>
          <w:sz w:val="24"/>
          <w:szCs w:val="24"/>
        </w:rPr>
        <w:t>without much information to guide them.</w:t>
      </w:r>
      <w:r w:rsidR="001E2830">
        <w:rPr>
          <w:rFonts w:asciiTheme="majorHAnsi" w:hAnsiTheme="majorHAnsi" w:cstheme="minorHAnsi"/>
          <w:sz w:val="24"/>
          <w:szCs w:val="24"/>
        </w:rPr>
        <w:t xml:space="preserve">  While substantial research exists about tele-</w:t>
      </w:r>
      <w:r w:rsidRPr="001E2830" w:rsidR="001E2830">
        <w:rPr>
          <w:rFonts w:asciiTheme="majorHAnsi" w:hAnsiTheme="majorHAnsi" w:cstheme="minorHAnsi"/>
          <w:i/>
          <w:sz w:val="24"/>
          <w:szCs w:val="24"/>
        </w:rPr>
        <w:t>health</w:t>
      </w:r>
      <w:r w:rsidR="001E2830">
        <w:rPr>
          <w:rFonts w:asciiTheme="majorHAnsi" w:hAnsiTheme="majorHAnsi" w:cstheme="minorHAnsi"/>
          <w:sz w:val="24"/>
          <w:szCs w:val="24"/>
        </w:rPr>
        <w:t xml:space="preserve"> service delivery</w:t>
      </w:r>
      <w:r w:rsidR="00521AEB">
        <w:rPr>
          <w:rFonts w:asciiTheme="majorHAnsi" w:hAnsiTheme="majorHAnsi" w:cstheme="minorHAnsi"/>
          <w:sz w:val="24"/>
          <w:szCs w:val="24"/>
        </w:rPr>
        <w:t>,</w:t>
      </w:r>
      <w:r w:rsidR="00C37A4B">
        <w:rPr>
          <w:rStyle w:val="FootnoteReference"/>
          <w:rFonts w:asciiTheme="majorHAnsi" w:hAnsiTheme="majorHAnsi" w:cstheme="minorHAnsi"/>
          <w:sz w:val="24"/>
          <w:szCs w:val="24"/>
        </w:rPr>
        <w:footnoteReference w:id="2"/>
      </w:r>
      <w:r w:rsidR="00521AEB">
        <w:rPr>
          <w:rFonts w:asciiTheme="majorHAnsi" w:hAnsiTheme="majorHAnsi" w:cstheme="minorHAnsi"/>
          <w:sz w:val="24"/>
          <w:szCs w:val="24"/>
        </w:rPr>
        <w:t xml:space="preserve"> very little</w:t>
      </w:r>
      <w:r w:rsidR="001E2830">
        <w:rPr>
          <w:rFonts w:asciiTheme="majorHAnsi" w:hAnsiTheme="majorHAnsi" w:cstheme="minorHAnsi"/>
          <w:sz w:val="24"/>
          <w:szCs w:val="24"/>
        </w:rPr>
        <w:t xml:space="preserve"> has been conducted to date on the virtual delivery of </w:t>
      </w:r>
      <w:r w:rsidRPr="001E2830" w:rsidR="001E2830">
        <w:rPr>
          <w:rFonts w:asciiTheme="majorHAnsi" w:hAnsiTheme="majorHAnsi" w:cstheme="minorHAnsi"/>
          <w:i/>
          <w:sz w:val="24"/>
          <w:szCs w:val="24"/>
        </w:rPr>
        <w:t>human services</w:t>
      </w:r>
      <w:r w:rsidR="001E2830">
        <w:rPr>
          <w:rFonts w:asciiTheme="majorHAnsi" w:hAnsiTheme="majorHAnsi" w:cstheme="minorHAnsi"/>
          <w:sz w:val="24"/>
          <w:szCs w:val="24"/>
        </w:rPr>
        <w:t xml:space="preserve">. A number of rapid-response efforts have been undertaken in the past </w:t>
      </w:r>
      <w:r w:rsidR="00521AEB">
        <w:rPr>
          <w:rFonts w:asciiTheme="majorHAnsi" w:hAnsiTheme="majorHAnsi" w:cstheme="minorHAnsi"/>
          <w:sz w:val="24"/>
          <w:szCs w:val="24"/>
        </w:rPr>
        <w:t>few</w:t>
      </w:r>
      <w:r w:rsidR="00457F38">
        <w:rPr>
          <w:rFonts w:asciiTheme="majorHAnsi" w:hAnsiTheme="majorHAnsi" w:cstheme="minorHAnsi"/>
          <w:sz w:val="24"/>
          <w:szCs w:val="24"/>
        </w:rPr>
        <w:t xml:space="preserve"> </w:t>
      </w:r>
      <w:r w:rsidR="001E2830">
        <w:rPr>
          <w:rFonts w:asciiTheme="majorHAnsi" w:hAnsiTheme="majorHAnsi" w:cstheme="minorHAnsi"/>
          <w:sz w:val="24"/>
          <w:szCs w:val="24"/>
        </w:rPr>
        <w:t xml:space="preserve">months to develop and </w:t>
      </w:r>
      <w:r w:rsidR="007C0106">
        <w:rPr>
          <w:rFonts w:asciiTheme="majorHAnsi" w:hAnsiTheme="majorHAnsi" w:cstheme="minorHAnsi"/>
          <w:sz w:val="24"/>
          <w:szCs w:val="24"/>
        </w:rPr>
        <w:t>distribute</w:t>
      </w:r>
      <w:r w:rsidR="001E2830">
        <w:rPr>
          <w:rFonts w:asciiTheme="majorHAnsi" w:hAnsiTheme="majorHAnsi" w:cstheme="minorHAnsi"/>
          <w:sz w:val="24"/>
          <w:szCs w:val="24"/>
        </w:rPr>
        <w:t xml:space="preserve"> guidance </w:t>
      </w:r>
      <w:r>
        <w:rPr>
          <w:rFonts w:asciiTheme="majorHAnsi" w:hAnsiTheme="majorHAnsi" w:cstheme="minorHAnsi"/>
          <w:sz w:val="24"/>
          <w:szCs w:val="24"/>
        </w:rPr>
        <w:t xml:space="preserve">quickly </w:t>
      </w:r>
      <w:r w:rsidR="001E2830">
        <w:rPr>
          <w:rFonts w:asciiTheme="majorHAnsi" w:hAnsiTheme="majorHAnsi" w:cstheme="minorHAnsi"/>
          <w:sz w:val="24"/>
          <w:szCs w:val="24"/>
        </w:rPr>
        <w:t xml:space="preserve">to human services agencies shifting </w:t>
      </w:r>
      <w:r w:rsidR="00457F38">
        <w:rPr>
          <w:rFonts w:asciiTheme="majorHAnsi" w:hAnsiTheme="majorHAnsi" w:cstheme="minorHAnsi"/>
          <w:sz w:val="24"/>
          <w:szCs w:val="24"/>
        </w:rPr>
        <w:t xml:space="preserve">from an in-person </w:t>
      </w:r>
      <w:r w:rsidR="001E2830">
        <w:rPr>
          <w:rFonts w:asciiTheme="majorHAnsi" w:hAnsiTheme="majorHAnsi" w:cstheme="minorHAnsi"/>
          <w:sz w:val="24"/>
          <w:szCs w:val="24"/>
        </w:rPr>
        <w:t>to a virtual environment, often drawing from tele-health research.</w:t>
      </w:r>
      <w:r w:rsidR="00C37A4B">
        <w:rPr>
          <w:rStyle w:val="FootnoteReference"/>
          <w:rFonts w:asciiTheme="majorHAnsi" w:hAnsiTheme="majorHAnsi" w:cstheme="minorHAnsi"/>
          <w:sz w:val="24"/>
          <w:szCs w:val="24"/>
        </w:rPr>
        <w:footnoteReference w:id="3"/>
      </w:r>
      <w:r w:rsidR="001E2830">
        <w:rPr>
          <w:rFonts w:asciiTheme="majorHAnsi" w:hAnsiTheme="majorHAnsi" w:cstheme="minorHAnsi"/>
          <w:sz w:val="24"/>
          <w:szCs w:val="24"/>
        </w:rPr>
        <w:t xml:space="preserve"> But the importance and </w:t>
      </w:r>
      <w:r w:rsidRPr="003F40BF" w:rsidR="003F40BF">
        <w:rPr>
          <w:rFonts w:asciiTheme="majorHAnsi" w:hAnsiTheme="majorHAnsi" w:cstheme="minorHAnsi"/>
          <w:sz w:val="24"/>
          <w:szCs w:val="24"/>
        </w:rPr>
        <w:t xml:space="preserve">complexity of </w:t>
      </w:r>
      <w:r w:rsidR="001E2830">
        <w:rPr>
          <w:rFonts w:asciiTheme="majorHAnsi" w:hAnsiTheme="majorHAnsi" w:cstheme="minorHAnsi"/>
          <w:sz w:val="24"/>
          <w:szCs w:val="24"/>
        </w:rPr>
        <w:t>operating critical human services delivery systems virtually</w:t>
      </w:r>
      <w:r w:rsidR="00521AEB">
        <w:rPr>
          <w:rFonts w:asciiTheme="majorHAnsi" w:hAnsiTheme="majorHAnsi" w:cstheme="minorHAnsi"/>
          <w:sz w:val="24"/>
          <w:szCs w:val="24"/>
        </w:rPr>
        <w:t xml:space="preserve"> and effectively</w:t>
      </w:r>
      <w:r w:rsidR="008838F8">
        <w:rPr>
          <w:rFonts w:asciiTheme="majorHAnsi" w:hAnsiTheme="majorHAnsi" w:cstheme="minorHAnsi"/>
          <w:sz w:val="24"/>
          <w:szCs w:val="24"/>
        </w:rPr>
        <w:t>, currently</w:t>
      </w:r>
      <w:r w:rsidR="007349ED">
        <w:rPr>
          <w:rFonts w:asciiTheme="majorHAnsi" w:hAnsiTheme="majorHAnsi" w:cstheme="minorHAnsi"/>
          <w:sz w:val="24"/>
          <w:szCs w:val="24"/>
        </w:rPr>
        <w:t>,</w:t>
      </w:r>
      <w:r w:rsidR="008838F8">
        <w:rPr>
          <w:rFonts w:asciiTheme="majorHAnsi" w:hAnsiTheme="majorHAnsi" w:cstheme="minorHAnsi"/>
          <w:sz w:val="24"/>
          <w:szCs w:val="24"/>
        </w:rPr>
        <w:t xml:space="preserve"> and</w:t>
      </w:r>
      <w:r w:rsidR="00457F38">
        <w:rPr>
          <w:rFonts w:asciiTheme="majorHAnsi" w:hAnsiTheme="majorHAnsi" w:cstheme="minorHAnsi"/>
          <w:sz w:val="24"/>
          <w:szCs w:val="24"/>
        </w:rPr>
        <w:t xml:space="preserve"> into the future</w:t>
      </w:r>
      <w:r w:rsidR="008838F8">
        <w:rPr>
          <w:rFonts w:asciiTheme="majorHAnsi" w:hAnsiTheme="majorHAnsi" w:cstheme="minorHAnsi"/>
          <w:sz w:val="24"/>
          <w:szCs w:val="24"/>
        </w:rPr>
        <w:t>,</w:t>
      </w:r>
      <w:r w:rsidR="001E2830">
        <w:rPr>
          <w:rFonts w:asciiTheme="majorHAnsi" w:hAnsiTheme="majorHAnsi" w:cstheme="minorHAnsi"/>
          <w:sz w:val="24"/>
          <w:szCs w:val="24"/>
        </w:rPr>
        <w:t xml:space="preserve"> </w:t>
      </w:r>
      <w:r w:rsidRPr="003F40BF" w:rsidR="003F40BF">
        <w:rPr>
          <w:rFonts w:asciiTheme="majorHAnsi" w:hAnsiTheme="majorHAnsi" w:cstheme="minorHAnsi"/>
          <w:sz w:val="24"/>
          <w:szCs w:val="24"/>
        </w:rPr>
        <w:t>will require sustained attention and ongoing innovation.</w:t>
      </w:r>
      <w:r w:rsidR="001E2830">
        <w:rPr>
          <w:rFonts w:asciiTheme="majorHAnsi" w:hAnsiTheme="majorHAnsi" w:cstheme="minorHAnsi"/>
          <w:sz w:val="24"/>
          <w:szCs w:val="24"/>
        </w:rPr>
        <w:t xml:space="preserve"> </w:t>
      </w:r>
    </w:p>
    <w:p w:rsidR="001E2830" w:rsidP="003F40BF" w:rsidRDefault="001E2830" w14:paraId="30348FD4" w14:textId="77777777">
      <w:pPr>
        <w:pStyle w:val="Header"/>
        <w:ind w:left="720"/>
        <w:rPr>
          <w:rFonts w:asciiTheme="majorHAnsi" w:hAnsiTheme="majorHAnsi" w:cstheme="minorHAnsi"/>
          <w:sz w:val="24"/>
          <w:szCs w:val="24"/>
        </w:rPr>
      </w:pPr>
    </w:p>
    <w:p w:rsidR="00775598" w:rsidP="004736CF" w:rsidRDefault="00DA4CD5" w14:paraId="2836B346" w14:textId="50D0A5E3">
      <w:pPr>
        <w:pStyle w:val="Header"/>
        <w:ind w:left="720"/>
        <w:rPr>
          <w:rFonts w:asciiTheme="majorHAnsi" w:hAnsiTheme="majorHAnsi" w:cstheme="minorHAnsi"/>
          <w:sz w:val="24"/>
          <w:szCs w:val="24"/>
        </w:rPr>
      </w:pPr>
      <w:r>
        <w:rPr>
          <w:rFonts w:asciiTheme="majorHAnsi" w:hAnsiTheme="majorHAnsi" w:cstheme="minorHAnsi"/>
          <w:sz w:val="24"/>
          <w:szCs w:val="24"/>
        </w:rPr>
        <w:t>We expect t</w:t>
      </w:r>
      <w:r w:rsidR="001E2830">
        <w:rPr>
          <w:rFonts w:asciiTheme="majorHAnsi" w:hAnsiTheme="majorHAnsi" w:cstheme="minorHAnsi"/>
          <w:sz w:val="24"/>
          <w:szCs w:val="24"/>
        </w:rPr>
        <w:t xml:space="preserve">his study </w:t>
      </w:r>
      <w:r w:rsidR="00775598">
        <w:rPr>
          <w:rFonts w:asciiTheme="majorHAnsi" w:hAnsiTheme="majorHAnsi" w:cstheme="minorHAnsi"/>
          <w:sz w:val="24"/>
          <w:szCs w:val="24"/>
        </w:rPr>
        <w:t xml:space="preserve">to </w:t>
      </w:r>
      <w:r w:rsidR="001E2830">
        <w:rPr>
          <w:rFonts w:asciiTheme="majorHAnsi" w:hAnsiTheme="majorHAnsi" w:cstheme="minorHAnsi"/>
          <w:sz w:val="24"/>
          <w:szCs w:val="24"/>
        </w:rPr>
        <w:t xml:space="preserve">offer a more systematic exploration of virtual human services delivery </w:t>
      </w:r>
      <w:r w:rsidRPr="0054639E" w:rsidR="001E2830">
        <w:rPr>
          <w:rFonts w:asciiTheme="majorHAnsi" w:hAnsiTheme="majorHAnsi" w:cstheme="minorHAnsi"/>
          <w:sz w:val="24"/>
          <w:szCs w:val="24"/>
        </w:rPr>
        <w:t xml:space="preserve">than </w:t>
      </w:r>
      <w:r w:rsidRPr="005B706E" w:rsidR="001E2830">
        <w:rPr>
          <w:rFonts w:asciiTheme="majorHAnsi" w:hAnsiTheme="majorHAnsi" w:cstheme="minorHAnsi"/>
          <w:sz w:val="24"/>
          <w:szCs w:val="24"/>
        </w:rPr>
        <w:t xml:space="preserve">currently </w:t>
      </w:r>
      <w:r w:rsidRPr="005B706E" w:rsidR="004736CF">
        <w:rPr>
          <w:rFonts w:asciiTheme="majorHAnsi" w:hAnsiTheme="majorHAnsi" w:cstheme="minorHAnsi"/>
          <w:sz w:val="24"/>
          <w:szCs w:val="24"/>
        </w:rPr>
        <w:t>available elsewhere</w:t>
      </w:r>
      <w:r w:rsidRPr="0054639E" w:rsidR="001E2830">
        <w:rPr>
          <w:rFonts w:asciiTheme="majorHAnsi" w:hAnsiTheme="majorHAnsi" w:cstheme="minorHAnsi"/>
          <w:sz w:val="24"/>
          <w:szCs w:val="24"/>
        </w:rPr>
        <w:t xml:space="preserve">. </w:t>
      </w:r>
      <w:r w:rsidRPr="0054639E" w:rsidR="004736CF">
        <w:rPr>
          <w:rFonts w:asciiTheme="majorHAnsi" w:hAnsiTheme="majorHAnsi" w:cstheme="minorHAnsi"/>
          <w:sz w:val="24"/>
          <w:szCs w:val="24"/>
        </w:rPr>
        <w:t>Working</w:t>
      </w:r>
      <w:r w:rsidR="004736CF">
        <w:rPr>
          <w:rFonts w:asciiTheme="majorHAnsi" w:hAnsiTheme="majorHAnsi" w:cstheme="minorHAnsi"/>
          <w:sz w:val="24"/>
          <w:szCs w:val="24"/>
        </w:rPr>
        <w:t xml:space="preserve"> with a </w:t>
      </w:r>
      <w:r>
        <w:rPr>
          <w:rFonts w:asciiTheme="majorHAnsi" w:hAnsiTheme="majorHAnsi" w:cstheme="minorHAnsi"/>
          <w:sz w:val="24"/>
          <w:szCs w:val="24"/>
        </w:rPr>
        <w:t>contractor</w:t>
      </w:r>
      <w:r w:rsidR="00DB3331">
        <w:rPr>
          <w:rFonts w:asciiTheme="majorHAnsi" w:hAnsiTheme="majorHAnsi" w:cstheme="minorHAnsi"/>
          <w:sz w:val="24"/>
          <w:szCs w:val="24"/>
        </w:rPr>
        <w:t>, Mathematica,</w:t>
      </w:r>
      <w:r w:rsidR="00775598">
        <w:rPr>
          <w:rFonts w:asciiTheme="majorHAnsi" w:hAnsiTheme="majorHAnsi" w:cstheme="minorHAnsi"/>
          <w:sz w:val="24"/>
          <w:szCs w:val="24"/>
        </w:rPr>
        <w:t xml:space="preserve"> to assist with</w:t>
      </w:r>
      <w:r>
        <w:rPr>
          <w:rFonts w:asciiTheme="majorHAnsi" w:hAnsiTheme="majorHAnsi" w:cstheme="minorHAnsi"/>
          <w:sz w:val="24"/>
          <w:szCs w:val="24"/>
        </w:rPr>
        <w:t xml:space="preserve"> </w:t>
      </w:r>
      <w:r w:rsidR="004736CF">
        <w:rPr>
          <w:rFonts w:asciiTheme="majorHAnsi" w:hAnsiTheme="majorHAnsi" w:cstheme="minorHAnsi"/>
          <w:sz w:val="24"/>
          <w:szCs w:val="24"/>
        </w:rPr>
        <w:t xml:space="preserve">data collection, ASPE will </w:t>
      </w:r>
      <w:r w:rsidRPr="004736CF" w:rsidR="004736CF">
        <w:rPr>
          <w:rFonts w:asciiTheme="majorHAnsi" w:hAnsiTheme="majorHAnsi" w:cstheme="minorHAnsi"/>
          <w:sz w:val="24"/>
          <w:szCs w:val="24"/>
        </w:rPr>
        <w:t>conduct a scan of</w:t>
      </w:r>
      <w:r>
        <w:rPr>
          <w:rFonts w:asciiTheme="majorHAnsi" w:hAnsiTheme="majorHAnsi" w:cstheme="minorHAnsi"/>
          <w:sz w:val="24"/>
          <w:szCs w:val="24"/>
        </w:rPr>
        <w:t xml:space="preserve"> a </w:t>
      </w:r>
      <w:r w:rsidR="00521AEB">
        <w:rPr>
          <w:rFonts w:asciiTheme="majorHAnsi" w:hAnsiTheme="majorHAnsi" w:cstheme="minorHAnsi"/>
          <w:sz w:val="24"/>
          <w:szCs w:val="24"/>
        </w:rPr>
        <w:t>purposive</w:t>
      </w:r>
      <w:r w:rsidR="002F1F32">
        <w:rPr>
          <w:rFonts w:asciiTheme="majorHAnsi" w:hAnsiTheme="majorHAnsi" w:cstheme="minorHAnsi"/>
          <w:sz w:val="24"/>
          <w:szCs w:val="24"/>
        </w:rPr>
        <w:t>ly selected</w:t>
      </w:r>
      <w:r>
        <w:rPr>
          <w:rFonts w:asciiTheme="majorHAnsi" w:hAnsiTheme="majorHAnsi" w:cstheme="minorHAnsi"/>
          <w:sz w:val="24"/>
          <w:szCs w:val="24"/>
        </w:rPr>
        <w:t xml:space="preserve"> sample of</w:t>
      </w:r>
      <w:r w:rsidRPr="004736CF" w:rsidR="004736CF">
        <w:rPr>
          <w:rFonts w:asciiTheme="majorHAnsi" w:hAnsiTheme="majorHAnsi" w:cstheme="minorHAnsi"/>
          <w:sz w:val="24"/>
          <w:szCs w:val="24"/>
        </w:rPr>
        <w:t xml:space="preserve"> human services programs to help </w:t>
      </w:r>
      <w:r w:rsidR="004736CF">
        <w:rPr>
          <w:rFonts w:asciiTheme="majorHAnsi" w:hAnsiTheme="majorHAnsi" w:cstheme="minorHAnsi"/>
          <w:sz w:val="24"/>
          <w:szCs w:val="24"/>
        </w:rPr>
        <w:t xml:space="preserve">HHS identify </w:t>
      </w:r>
      <w:r w:rsidRPr="004736CF" w:rsidR="004736CF">
        <w:rPr>
          <w:rFonts w:asciiTheme="majorHAnsi" w:hAnsiTheme="majorHAnsi" w:cstheme="minorHAnsi"/>
          <w:sz w:val="24"/>
          <w:szCs w:val="24"/>
        </w:rPr>
        <w:t>preliminary lessons about delivering human services virtually</w:t>
      </w:r>
      <w:r w:rsidR="00775598">
        <w:rPr>
          <w:rFonts w:asciiTheme="majorHAnsi" w:hAnsiTheme="majorHAnsi" w:cstheme="minorHAnsi"/>
          <w:sz w:val="24"/>
          <w:szCs w:val="24"/>
        </w:rPr>
        <w:t xml:space="preserve"> (</w:t>
      </w:r>
      <w:r w:rsidR="004736CF">
        <w:rPr>
          <w:rFonts w:asciiTheme="majorHAnsi" w:hAnsiTheme="majorHAnsi" w:cstheme="minorHAnsi"/>
          <w:sz w:val="24"/>
          <w:szCs w:val="24"/>
        </w:rPr>
        <w:t xml:space="preserve">primarily </w:t>
      </w:r>
      <w:r w:rsidRPr="004736CF" w:rsidR="004736CF">
        <w:rPr>
          <w:rFonts w:asciiTheme="majorHAnsi" w:hAnsiTheme="majorHAnsi" w:cstheme="minorHAnsi"/>
          <w:sz w:val="24"/>
          <w:szCs w:val="24"/>
        </w:rPr>
        <w:t>via videoconferencing, telephone, text, email, instant messaging, web, etc.</w:t>
      </w:r>
      <w:r w:rsidR="00775598">
        <w:rPr>
          <w:rFonts w:asciiTheme="majorHAnsi" w:hAnsiTheme="majorHAnsi" w:cstheme="minorHAnsi"/>
          <w:sz w:val="24"/>
          <w:szCs w:val="24"/>
        </w:rPr>
        <w:t>).</w:t>
      </w:r>
      <w:r w:rsidR="004736CF">
        <w:rPr>
          <w:rFonts w:asciiTheme="majorHAnsi" w:hAnsiTheme="majorHAnsi" w:cstheme="minorHAnsi"/>
          <w:sz w:val="24"/>
          <w:szCs w:val="24"/>
        </w:rPr>
        <w:t xml:space="preserve"> </w:t>
      </w:r>
      <w:r w:rsidRPr="004736CF" w:rsidR="004736CF">
        <w:rPr>
          <w:rFonts w:asciiTheme="majorHAnsi" w:hAnsiTheme="majorHAnsi" w:cstheme="minorHAnsi"/>
          <w:sz w:val="24"/>
          <w:szCs w:val="24"/>
        </w:rPr>
        <w:t xml:space="preserve"> ASPE </w:t>
      </w:r>
      <w:r w:rsidR="004736CF">
        <w:rPr>
          <w:rFonts w:asciiTheme="majorHAnsi" w:hAnsiTheme="majorHAnsi" w:cstheme="minorHAnsi"/>
          <w:sz w:val="24"/>
          <w:szCs w:val="24"/>
        </w:rPr>
        <w:t xml:space="preserve">expects </w:t>
      </w:r>
      <w:r w:rsidRPr="004736CF" w:rsidR="004736CF">
        <w:rPr>
          <w:rFonts w:asciiTheme="majorHAnsi" w:hAnsiTheme="majorHAnsi" w:cstheme="minorHAnsi"/>
          <w:sz w:val="24"/>
          <w:szCs w:val="24"/>
        </w:rPr>
        <w:t xml:space="preserve">to identify and leverage </w:t>
      </w:r>
      <w:r w:rsidR="00775598">
        <w:rPr>
          <w:rFonts w:asciiTheme="majorHAnsi" w:hAnsiTheme="majorHAnsi" w:cstheme="minorHAnsi"/>
          <w:sz w:val="24"/>
          <w:szCs w:val="24"/>
        </w:rPr>
        <w:t xml:space="preserve">preliminary </w:t>
      </w:r>
      <w:r w:rsidRPr="004736CF" w:rsidR="004736CF">
        <w:rPr>
          <w:rFonts w:asciiTheme="majorHAnsi" w:hAnsiTheme="majorHAnsi" w:cstheme="minorHAnsi"/>
          <w:sz w:val="24"/>
          <w:szCs w:val="24"/>
        </w:rPr>
        <w:t xml:space="preserve">lessons from the extensive transition to virtual services in Spring 2020 due to the COVID-19 pandemic and related state and local public health orders. </w:t>
      </w:r>
      <w:r w:rsidR="004736CF">
        <w:rPr>
          <w:rFonts w:asciiTheme="majorHAnsi" w:hAnsiTheme="majorHAnsi" w:cstheme="minorHAnsi"/>
          <w:sz w:val="24"/>
          <w:szCs w:val="24"/>
        </w:rPr>
        <w:t xml:space="preserve"> </w:t>
      </w:r>
      <w:r w:rsidRPr="004736CF" w:rsidR="004736CF">
        <w:rPr>
          <w:rFonts w:asciiTheme="majorHAnsi" w:hAnsiTheme="majorHAnsi" w:cstheme="minorHAnsi"/>
          <w:sz w:val="24"/>
          <w:szCs w:val="24"/>
        </w:rPr>
        <w:t>Our goal is to explore a range of programs</w:t>
      </w:r>
      <w:r>
        <w:rPr>
          <w:rFonts w:asciiTheme="majorHAnsi" w:hAnsiTheme="majorHAnsi" w:cstheme="minorHAnsi"/>
          <w:sz w:val="24"/>
          <w:szCs w:val="24"/>
        </w:rPr>
        <w:t xml:space="preserve"> and</w:t>
      </w:r>
      <w:r w:rsidRPr="004736CF" w:rsidR="004736CF">
        <w:rPr>
          <w:rFonts w:asciiTheme="majorHAnsi" w:hAnsiTheme="majorHAnsi" w:cstheme="minorHAnsi"/>
          <w:sz w:val="24"/>
          <w:szCs w:val="24"/>
        </w:rPr>
        <w:t xml:space="preserve"> services</w:t>
      </w:r>
      <w:r>
        <w:rPr>
          <w:rFonts w:asciiTheme="majorHAnsi" w:hAnsiTheme="majorHAnsi" w:cstheme="minorHAnsi"/>
          <w:sz w:val="24"/>
          <w:szCs w:val="24"/>
        </w:rPr>
        <w:t xml:space="preserve"> </w:t>
      </w:r>
      <w:r w:rsidRPr="004736CF" w:rsidR="004736CF">
        <w:rPr>
          <w:rFonts w:asciiTheme="majorHAnsi" w:hAnsiTheme="majorHAnsi" w:cstheme="minorHAnsi"/>
          <w:sz w:val="24"/>
          <w:szCs w:val="24"/>
        </w:rPr>
        <w:t xml:space="preserve">where human services are being offered </w:t>
      </w:r>
      <w:r w:rsidR="00775598">
        <w:rPr>
          <w:rFonts w:asciiTheme="majorHAnsi" w:hAnsiTheme="majorHAnsi" w:cstheme="minorHAnsi"/>
          <w:sz w:val="24"/>
          <w:szCs w:val="24"/>
        </w:rPr>
        <w:t>largely</w:t>
      </w:r>
      <w:r w:rsidRPr="004736CF" w:rsidR="004736CF">
        <w:rPr>
          <w:rFonts w:asciiTheme="majorHAnsi" w:hAnsiTheme="majorHAnsi" w:cstheme="minorHAnsi"/>
          <w:sz w:val="24"/>
          <w:szCs w:val="24"/>
        </w:rPr>
        <w:t xml:space="preserve"> virtually for the first time in response to the pandemic. </w:t>
      </w:r>
    </w:p>
    <w:p w:rsidR="00775598" w:rsidP="004736CF" w:rsidRDefault="00775598" w14:paraId="1B61D64D" w14:textId="77777777">
      <w:pPr>
        <w:pStyle w:val="Header"/>
        <w:ind w:left="720"/>
        <w:rPr>
          <w:rFonts w:asciiTheme="majorHAnsi" w:hAnsiTheme="majorHAnsi" w:cstheme="minorHAnsi"/>
          <w:sz w:val="24"/>
          <w:szCs w:val="24"/>
        </w:rPr>
      </w:pPr>
    </w:p>
    <w:p w:rsidR="001C186A" w:rsidP="004736CF" w:rsidRDefault="004736CF" w14:paraId="29EDE070" w14:textId="2BE2459D">
      <w:pPr>
        <w:pStyle w:val="Header"/>
        <w:ind w:left="720"/>
        <w:rPr>
          <w:rFonts w:asciiTheme="majorHAnsi" w:hAnsiTheme="majorHAnsi" w:cstheme="minorHAnsi"/>
          <w:sz w:val="24"/>
          <w:szCs w:val="24"/>
        </w:rPr>
      </w:pPr>
      <w:r w:rsidRPr="001C186A">
        <w:rPr>
          <w:rFonts w:asciiTheme="majorHAnsi" w:hAnsiTheme="majorHAnsi" w:cstheme="minorHAnsi"/>
          <w:sz w:val="24"/>
          <w:szCs w:val="24"/>
        </w:rPr>
        <w:t xml:space="preserve">We aim to understand how the services are provided, and to identify successes, challenges, and </w:t>
      </w:r>
      <w:r w:rsidR="00936907">
        <w:rPr>
          <w:rFonts w:asciiTheme="majorHAnsi" w:hAnsiTheme="majorHAnsi" w:cstheme="minorHAnsi"/>
          <w:sz w:val="24"/>
          <w:szCs w:val="24"/>
        </w:rPr>
        <w:t xml:space="preserve">preliminary </w:t>
      </w:r>
      <w:r w:rsidRPr="001C186A">
        <w:rPr>
          <w:rFonts w:asciiTheme="majorHAnsi" w:hAnsiTheme="majorHAnsi" w:cstheme="minorHAnsi"/>
          <w:sz w:val="24"/>
          <w:szCs w:val="24"/>
        </w:rPr>
        <w:t xml:space="preserve">lessons learned from this shift in service approach. We are particularly interested in perceptions related to effectiveness—where there is </w:t>
      </w:r>
      <w:r w:rsidR="002F1F32">
        <w:rPr>
          <w:rFonts w:asciiTheme="majorHAnsi" w:hAnsiTheme="majorHAnsi" w:cstheme="minorHAnsi"/>
          <w:sz w:val="24"/>
          <w:szCs w:val="24"/>
        </w:rPr>
        <w:t xml:space="preserve">an understanding </w:t>
      </w:r>
      <w:r w:rsidRPr="001C186A">
        <w:rPr>
          <w:rFonts w:asciiTheme="majorHAnsi" w:hAnsiTheme="majorHAnsi" w:cstheme="minorHAnsi"/>
          <w:sz w:val="24"/>
          <w:szCs w:val="24"/>
        </w:rPr>
        <w:t>that services are delivered less well, as well, or better than in person</w:t>
      </w:r>
      <w:r w:rsidR="002F1F32">
        <w:rPr>
          <w:rFonts w:asciiTheme="majorHAnsi" w:hAnsiTheme="majorHAnsi" w:cstheme="minorHAnsi"/>
          <w:sz w:val="24"/>
          <w:szCs w:val="24"/>
        </w:rPr>
        <w:t>, and the reasons for this</w:t>
      </w:r>
      <w:r w:rsidR="00936907">
        <w:rPr>
          <w:rFonts w:asciiTheme="majorHAnsi" w:hAnsiTheme="majorHAnsi" w:cstheme="minorHAnsi"/>
          <w:sz w:val="24"/>
          <w:szCs w:val="24"/>
        </w:rPr>
        <w:t xml:space="preserve"> perception</w:t>
      </w:r>
      <w:r w:rsidRPr="001C186A">
        <w:rPr>
          <w:rFonts w:asciiTheme="majorHAnsi" w:hAnsiTheme="majorHAnsi" w:cstheme="minorHAnsi"/>
          <w:sz w:val="24"/>
          <w:szCs w:val="24"/>
        </w:rPr>
        <w:t>.  We expect the scan to focus on a range of human services (e.g. child welfare, early lear</w:t>
      </w:r>
      <w:r w:rsidRPr="001C186A" w:rsidR="00C1090A">
        <w:rPr>
          <w:rFonts w:asciiTheme="majorHAnsi" w:hAnsiTheme="majorHAnsi" w:cstheme="minorHAnsi"/>
          <w:sz w:val="24"/>
          <w:szCs w:val="24"/>
        </w:rPr>
        <w:t>ning and development, T</w:t>
      </w:r>
      <w:r w:rsidRPr="001C186A" w:rsidR="001C186A">
        <w:rPr>
          <w:rFonts w:asciiTheme="majorHAnsi" w:hAnsiTheme="majorHAnsi" w:cstheme="minorHAnsi"/>
          <w:sz w:val="24"/>
          <w:szCs w:val="24"/>
        </w:rPr>
        <w:t xml:space="preserve">emporary </w:t>
      </w:r>
      <w:r w:rsidRPr="001C186A" w:rsidR="00C1090A">
        <w:rPr>
          <w:rFonts w:asciiTheme="majorHAnsi" w:hAnsiTheme="majorHAnsi" w:cstheme="minorHAnsi"/>
          <w:sz w:val="24"/>
          <w:szCs w:val="24"/>
        </w:rPr>
        <w:t>A</w:t>
      </w:r>
      <w:r w:rsidRPr="001C186A" w:rsidR="001C186A">
        <w:rPr>
          <w:rFonts w:asciiTheme="majorHAnsi" w:hAnsiTheme="majorHAnsi" w:cstheme="minorHAnsi"/>
          <w:sz w:val="24"/>
          <w:szCs w:val="24"/>
        </w:rPr>
        <w:t xml:space="preserve">ssistance for </w:t>
      </w:r>
      <w:r w:rsidRPr="001C186A" w:rsidR="00C1090A">
        <w:rPr>
          <w:rFonts w:asciiTheme="majorHAnsi" w:hAnsiTheme="majorHAnsi" w:cstheme="minorHAnsi"/>
          <w:sz w:val="24"/>
          <w:szCs w:val="24"/>
        </w:rPr>
        <w:t>N</w:t>
      </w:r>
      <w:r w:rsidRPr="001C186A" w:rsidR="001C186A">
        <w:rPr>
          <w:rFonts w:asciiTheme="majorHAnsi" w:hAnsiTheme="majorHAnsi" w:cstheme="minorHAnsi"/>
          <w:sz w:val="24"/>
          <w:szCs w:val="24"/>
        </w:rPr>
        <w:t xml:space="preserve">eedy </w:t>
      </w:r>
      <w:r w:rsidRPr="001C186A" w:rsidR="00C1090A">
        <w:rPr>
          <w:rFonts w:asciiTheme="majorHAnsi" w:hAnsiTheme="majorHAnsi" w:cstheme="minorHAnsi"/>
          <w:sz w:val="24"/>
          <w:szCs w:val="24"/>
        </w:rPr>
        <w:t>F</w:t>
      </w:r>
      <w:r w:rsidRPr="001C186A" w:rsidR="001C186A">
        <w:rPr>
          <w:rFonts w:asciiTheme="majorHAnsi" w:hAnsiTheme="majorHAnsi" w:cstheme="minorHAnsi"/>
          <w:sz w:val="24"/>
          <w:szCs w:val="24"/>
        </w:rPr>
        <w:t>amilies</w:t>
      </w:r>
      <w:r w:rsidRPr="001C186A">
        <w:rPr>
          <w:rFonts w:asciiTheme="majorHAnsi" w:hAnsiTheme="majorHAnsi" w:cstheme="minorHAnsi"/>
          <w:sz w:val="24"/>
          <w:szCs w:val="24"/>
        </w:rPr>
        <w:t>, home visiting,</w:t>
      </w:r>
      <w:r w:rsidR="00E40A99">
        <w:rPr>
          <w:rFonts w:asciiTheme="majorHAnsi" w:hAnsiTheme="majorHAnsi" w:cstheme="minorHAnsi"/>
          <w:sz w:val="24"/>
          <w:szCs w:val="24"/>
        </w:rPr>
        <w:t xml:space="preserve"> human </w:t>
      </w:r>
      <w:r w:rsidRPr="001C186A">
        <w:rPr>
          <w:rFonts w:asciiTheme="majorHAnsi" w:hAnsiTheme="majorHAnsi" w:cstheme="minorHAnsi"/>
          <w:sz w:val="24"/>
          <w:szCs w:val="24"/>
        </w:rPr>
        <w:t>trafficking, intimate partner violence, family strengthening</w:t>
      </w:r>
      <w:r w:rsidR="00936907">
        <w:rPr>
          <w:rFonts w:asciiTheme="majorHAnsi" w:hAnsiTheme="majorHAnsi" w:cstheme="minorHAnsi"/>
          <w:sz w:val="24"/>
          <w:szCs w:val="24"/>
        </w:rPr>
        <w:t xml:space="preserve">, </w:t>
      </w:r>
      <w:r w:rsidR="004326C1">
        <w:rPr>
          <w:rFonts w:asciiTheme="majorHAnsi" w:hAnsiTheme="majorHAnsi" w:cstheme="minorHAnsi"/>
          <w:sz w:val="24"/>
          <w:szCs w:val="24"/>
        </w:rPr>
        <w:t xml:space="preserve">and </w:t>
      </w:r>
      <w:r w:rsidR="00E40A99">
        <w:rPr>
          <w:rFonts w:asciiTheme="majorHAnsi" w:hAnsiTheme="majorHAnsi" w:cstheme="minorHAnsi"/>
          <w:sz w:val="24"/>
          <w:szCs w:val="24"/>
        </w:rPr>
        <w:t>fatherhood programs</w:t>
      </w:r>
      <w:r w:rsidRPr="001C186A">
        <w:rPr>
          <w:rFonts w:asciiTheme="majorHAnsi" w:hAnsiTheme="majorHAnsi" w:cstheme="minorHAnsi"/>
          <w:sz w:val="24"/>
          <w:szCs w:val="24"/>
        </w:rPr>
        <w:t xml:space="preserve">). </w:t>
      </w:r>
    </w:p>
    <w:p w:rsidR="001C186A" w:rsidP="004736CF" w:rsidRDefault="001C186A" w14:paraId="56888E56" w14:textId="77777777">
      <w:pPr>
        <w:pStyle w:val="Header"/>
        <w:ind w:left="720"/>
        <w:rPr>
          <w:rFonts w:asciiTheme="majorHAnsi" w:hAnsiTheme="majorHAnsi" w:cstheme="minorHAnsi"/>
          <w:sz w:val="24"/>
          <w:szCs w:val="24"/>
        </w:rPr>
      </w:pPr>
    </w:p>
    <w:p w:rsidR="0033682E" w:rsidP="004736CF" w:rsidRDefault="004736CF" w14:paraId="1E7657ED" w14:textId="0EB102C6">
      <w:pPr>
        <w:pStyle w:val="Header"/>
        <w:ind w:left="720"/>
        <w:rPr>
          <w:rFonts w:asciiTheme="majorHAnsi" w:hAnsiTheme="majorHAnsi" w:cstheme="minorHAnsi"/>
          <w:sz w:val="24"/>
          <w:szCs w:val="24"/>
        </w:rPr>
      </w:pPr>
      <w:r w:rsidRPr="001C186A">
        <w:rPr>
          <w:rFonts w:asciiTheme="majorHAnsi" w:hAnsiTheme="majorHAnsi" w:cstheme="minorHAnsi"/>
          <w:sz w:val="24"/>
          <w:szCs w:val="24"/>
        </w:rPr>
        <w:t xml:space="preserve">We anticipate focusing on </w:t>
      </w:r>
      <w:r w:rsidRPr="001C186A" w:rsidR="001C186A">
        <w:rPr>
          <w:rFonts w:asciiTheme="majorHAnsi" w:hAnsiTheme="majorHAnsi" w:cstheme="minorHAnsi"/>
          <w:sz w:val="24"/>
          <w:szCs w:val="24"/>
        </w:rPr>
        <w:t xml:space="preserve">programs </w:t>
      </w:r>
      <w:r w:rsidR="0033682E">
        <w:rPr>
          <w:rFonts w:asciiTheme="majorHAnsi" w:hAnsiTheme="majorHAnsi" w:cstheme="minorHAnsi"/>
          <w:sz w:val="24"/>
          <w:szCs w:val="24"/>
        </w:rPr>
        <w:t>provided by</w:t>
      </w:r>
      <w:r w:rsidR="002F1F32">
        <w:rPr>
          <w:rFonts w:asciiTheme="majorHAnsi" w:hAnsiTheme="majorHAnsi" w:cstheme="minorHAnsi"/>
          <w:sz w:val="24"/>
          <w:szCs w:val="24"/>
        </w:rPr>
        <w:t xml:space="preserve"> about 18</w:t>
      </w:r>
      <w:r w:rsidRPr="001C186A" w:rsidR="001C186A">
        <w:rPr>
          <w:rFonts w:asciiTheme="majorHAnsi" w:hAnsiTheme="majorHAnsi" w:cstheme="minorHAnsi"/>
          <w:sz w:val="24"/>
          <w:szCs w:val="24"/>
        </w:rPr>
        <w:t xml:space="preserve"> </w:t>
      </w:r>
      <w:r w:rsidRPr="001C186A">
        <w:rPr>
          <w:rFonts w:asciiTheme="majorHAnsi" w:hAnsiTheme="majorHAnsi" w:cstheme="minorHAnsi"/>
          <w:sz w:val="24"/>
          <w:szCs w:val="24"/>
        </w:rPr>
        <w:t>community</w:t>
      </w:r>
      <w:r w:rsidRPr="001C186A" w:rsidR="001C186A">
        <w:rPr>
          <w:rFonts w:asciiTheme="majorHAnsi" w:hAnsiTheme="majorHAnsi" w:cstheme="minorHAnsi"/>
          <w:sz w:val="24"/>
          <w:szCs w:val="24"/>
        </w:rPr>
        <w:t>-</w:t>
      </w:r>
      <w:r w:rsidR="002F1F32">
        <w:rPr>
          <w:rFonts w:asciiTheme="majorHAnsi" w:hAnsiTheme="majorHAnsi" w:cstheme="minorHAnsi"/>
          <w:sz w:val="24"/>
          <w:szCs w:val="24"/>
        </w:rPr>
        <w:t>level grantees or agencies</w:t>
      </w:r>
      <w:r w:rsidRPr="001C186A">
        <w:rPr>
          <w:rFonts w:asciiTheme="majorHAnsi" w:hAnsiTheme="majorHAnsi" w:cstheme="minorHAnsi"/>
          <w:sz w:val="24"/>
          <w:szCs w:val="24"/>
        </w:rPr>
        <w:t xml:space="preserve"> in </w:t>
      </w:r>
      <w:r w:rsidRPr="001C186A" w:rsidR="00C1090A">
        <w:rPr>
          <w:rFonts w:asciiTheme="majorHAnsi" w:hAnsiTheme="majorHAnsi" w:cstheme="minorHAnsi"/>
          <w:sz w:val="24"/>
          <w:szCs w:val="24"/>
        </w:rPr>
        <w:t xml:space="preserve">about </w:t>
      </w:r>
      <w:r w:rsidRPr="001C186A">
        <w:rPr>
          <w:rFonts w:asciiTheme="majorHAnsi" w:hAnsiTheme="majorHAnsi" w:cstheme="minorHAnsi"/>
          <w:sz w:val="24"/>
          <w:szCs w:val="24"/>
        </w:rPr>
        <w:t>six states, serving a range of populations</w:t>
      </w:r>
      <w:r w:rsidRPr="001C186A" w:rsidR="001C186A">
        <w:rPr>
          <w:rFonts w:asciiTheme="majorHAnsi" w:hAnsiTheme="majorHAnsi" w:cstheme="minorHAnsi"/>
          <w:sz w:val="24"/>
          <w:szCs w:val="24"/>
        </w:rPr>
        <w:t xml:space="preserve">. </w:t>
      </w:r>
      <w:r w:rsidR="001C186A">
        <w:rPr>
          <w:rFonts w:asciiTheme="majorHAnsi" w:hAnsiTheme="majorHAnsi" w:cstheme="minorHAnsi"/>
          <w:sz w:val="24"/>
          <w:szCs w:val="24"/>
        </w:rPr>
        <w:t>Programs will vary in how much they have relied on in-person versus virtual service delivery in the past (e.g. child welfare services have tended to emphasize face-to-face cont</w:t>
      </w:r>
      <w:r w:rsidR="0033682E">
        <w:rPr>
          <w:rFonts w:asciiTheme="majorHAnsi" w:hAnsiTheme="majorHAnsi" w:cstheme="minorHAnsi"/>
          <w:sz w:val="24"/>
          <w:szCs w:val="24"/>
        </w:rPr>
        <w:t xml:space="preserve">act, while </w:t>
      </w:r>
      <w:r w:rsidR="002F1F32">
        <w:rPr>
          <w:rFonts w:asciiTheme="majorHAnsi" w:hAnsiTheme="majorHAnsi" w:cstheme="minorHAnsi"/>
          <w:sz w:val="24"/>
          <w:szCs w:val="24"/>
        </w:rPr>
        <w:t xml:space="preserve">some </w:t>
      </w:r>
      <w:r w:rsidR="0033682E">
        <w:rPr>
          <w:rFonts w:asciiTheme="majorHAnsi" w:hAnsiTheme="majorHAnsi" w:cstheme="minorHAnsi"/>
          <w:sz w:val="24"/>
          <w:szCs w:val="24"/>
        </w:rPr>
        <w:t xml:space="preserve">TANF </w:t>
      </w:r>
      <w:r w:rsidR="002F1F32">
        <w:rPr>
          <w:rFonts w:asciiTheme="majorHAnsi" w:hAnsiTheme="majorHAnsi" w:cstheme="minorHAnsi"/>
          <w:sz w:val="24"/>
          <w:szCs w:val="24"/>
        </w:rPr>
        <w:t xml:space="preserve">programs have </w:t>
      </w:r>
      <w:r w:rsidR="0033682E">
        <w:rPr>
          <w:rFonts w:asciiTheme="majorHAnsi" w:hAnsiTheme="majorHAnsi" w:cstheme="minorHAnsi"/>
          <w:sz w:val="24"/>
          <w:szCs w:val="24"/>
        </w:rPr>
        <w:t xml:space="preserve">included </w:t>
      </w:r>
      <w:r w:rsidR="00936907">
        <w:rPr>
          <w:rFonts w:asciiTheme="majorHAnsi" w:hAnsiTheme="majorHAnsi" w:cstheme="minorHAnsi"/>
          <w:sz w:val="24"/>
          <w:szCs w:val="24"/>
        </w:rPr>
        <w:t xml:space="preserve">some </w:t>
      </w:r>
      <w:r w:rsidR="0033682E">
        <w:rPr>
          <w:rFonts w:asciiTheme="majorHAnsi" w:hAnsiTheme="majorHAnsi" w:cstheme="minorHAnsi"/>
          <w:sz w:val="24"/>
          <w:szCs w:val="24"/>
        </w:rPr>
        <w:t xml:space="preserve">virtual elements in the past). </w:t>
      </w:r>
      <w:r w:rsidRPr="001C186A" w:rsidR="001C186A">
        <w:rPr>
          <w:rFonts w:asciiTheme="majorHAnsi" w:hAnsiTheme="majorHAnsi" w:cstheme="minorHAnsi"/>
          <w:sz w:val="24"/>
          <w:szCs w:val="24"/>
        </w:rPr>
        <w:t>We seek t</w:t>
      </w:r>
      <w:r w:rsidRPr="001C186A">
        <w:rPr>
          <w:rFonts w:asciiTheme="majorHAnsi" w:hAnsiTheme="majorHAnsi" w:cstheme="minorHAnsi"/>
          <w:sz w:val="24"/>
          <w:szCs w:val="24"/>
        </w:rPr>
        <w:t xml:space="preserve">o gain perspectives from key informants that include </w:t>
      </w:r>
      <w:r w:rsidRPr="001C186A" w:rsidR="001C186A">
        <w:rPr>
          <w:rFonts w:asciiTheme="majorHAnsi" w:hAnsiTheme="majorHAnsi" w:cstheme="minorHAnsi"/>
          <w:sz w:val="24"/>
          <w:szCs w:val="24"/>
        </w:rPr>
        <w:t xml:space="preserve">administrators </w:t>
      </w:r>
      <w:r w:rsidR="00936907">
        <w:rPr>
          <w:rFonts w:asciiTheme="majorHAnsi" w:hAnsiTheme="majorHAnsi" w:cstheme="minorHAnsi"/>
          <w:sz w:val="24"/>
          <w:szCs w:val="24"/>
        </w:rPr>
        <w:t xml:space="preserve">and managers </w:t>
      </w:r>
      <w:r w:rsidRPr="001C186A">
        <w:rPr>
          <w:rFonts w:asciiTheme="majorHAnsi" w:hAnsiTheme="majorHAnsi" w:cstheme="minorHAnsi"/>
          <w:sz w:val="24"/>
          <w:szCs w:val="24"/>
        </w:rPr>
        <w:t>at the state</w:t>
      </w:r>
      <w:r w:rsidRPr="001C186A" w:rsidR="001C186A">
        <w:rPr>
          <w:rFonts w:asciiTheme="majorHAnsi" w:hAnsiTheme="majorHAnsi" w:cstheme="minorHAnsi"/>
          <w:sz w:val="24"/>
          <w:szCs w:val="24"/>
        </w:rPr>
        <w:t xml:space="preserve">, </w:t>
      </w:r>
      <w:r w:rsidRPr="001C186A">
        <w:rPr>
          <w:rFonts w:asciiTheme="majorHAnsi" w:hAnsiTheme="majorHAnsi" w:cstheme="minorHAnsi"/>
          <w:sz w:val="24"/>
          <w:szCs w:val="24"/>
        </w:rPr>
        <w:t>local</w:t>
      </w:r>
      <w:r w:rsidRPr="001C186A" w:rsidR="001C186A">
        <w:rPr>
          <w:rFonts w:asciiTheme="majorHAnsi" w:hAnsiTheme="majorHAnsi" w:cstheme="minorHAnsi"/>
          <w:sz w:val="24"/>
          <w:szCs w:val="24"/>
        </w:rPr>
        <w:t>, Tribal, and community</w:t>
      </w:r>
      <w:r w:rsidRPr="001C186A">
        <w:rPr>
          <w:rFonts w:asciiTheme="majorHAnsi" w:hAnsiTheme="majorHAnsi" w:cstheme="minorHAnsi"/>
          <w:sz w:val="24"/>
          <w:szCs w:val="24"/>
        </w:rPr>
        <w:t xml:space="preserve"> level</w:t>
      </w:r>
      <w:r w:rsidRPr="001C186A" w:rsidR="001C186A">
        <w:rPr>
          <w:rFonts w:asciiTheme="majorHAnsi" w:hAnsiTheme="majorHAnsi" w:cstheme="minorHAnsi"/>
          <w:sz w:val="24"/>
          <w:szCs w:val="24"/>
        </w:rPr>
        <w:t>s;</w:t>
      </w:r>
      <w:r w:rsidRPr="001C186A">
        <w:rPr>
          <w:rFonts w:asciiTheme="majorHAnsi" w:hAnsiTheme="majorHAnsi" w:cstheme="minorHAnsi"/>
          <w:sz w:val="24"/>
          <w:szCs w:val="24"/>
        </w:rPr>
        <w:t xml:space="preserve"> </w:t>
      </w:r>
      <w:r w:rsidRPr="001C186A" w:rsidR="00C1090A">
        <w:rPr>
          <w:rFonts w:asciiTheme="majorHAnsi" w:hAnsiTheme="majorHAnsi" w:cstheme="minorHAnsi"/>
          <w:sz w:val="24"/>
          <w:szCs w:val="24"/>
        </w:rPr>
        <w:t>front line staff</w:t>
      </w:r>
      <w:r w:rsidRPr="001C186A" w:rsidR="001C186A">
        <w:rPr>
          <w:rFonts w:asciiTheme="majorHAnsi" w:hAnsiTheme="majorHAnsi" w:cstheme="minorHAnsi"/>
          <w:sz w:val="24"/>
          <w:szCs w:val="24"/>
        </w:rPr>
        <w:t>;</w:t>
      </w:r>
      <w:r w:rsidRPr="001C186A" w:rsidR="00C1090A">
        <w:rPr>
          <w:rFonts w:asciiTheme="majorHAnsi" w:hAnsiTheme="majorHAnsi" w:cstheme="minorHAnsi"/>
          <w:sz w:val="24"/>
          <w:szCs w:val="24"/>
        </w:rPr>
        <w:t xml:space="preserve"> </w:t>
      </w:r>
      <w:r w:rsidRPr="001C186A">
        <w:rPr>
          <w:rFonts w:asciiTheme="majorHAnsi" w:hAnsiTheme="majorHAnsi" w:cstheme="minorHAnsi"/>
          <w:sz w:val="24"/>
          <w:szCs w:val="24"/>
        </w:rPr>
        <w:t xml:space="preserve">and clients/families. </w:t>
      </w:r>
      <w:r w:rsidRPr="001C186A" w:rsidR="001C186A">
        <w:rPr>
          <w:rFonts w:asciiTheme="majorHAnsi" w:hAnsiTheme="majorHAnsi" w:cstheme="minorHAnsi"/>
          <w:sz w:val="24"/>
          <w:szCs w:val="24"/>
        </w:rPr>
        <w:t xml:space="preserve">The main data collection methods are expected to be </w:t>
      </w:r>
      <w:r w:rsidR="00936907">
        <w:rPr>
          <w:rFonts w:asciiTheme="majorHAnsi" w:hAnsiTheme="majorHAnsi" w:cstheme="minorHAnsi"/>
          <w:sz w:val="24"/>
          <w:szCs w:val="24"/>
        </w:rPr>
        <w:t xml:space="preserve">semi-structured </w:t>
      </w:r>
      <w:r w:rsidRPr="001C186A" w:rsidR="001C186A">
        <w:rPr>
          <w:rFonts w:asciiTheme="majorHAnsi" w:hAnsiTheme="majorHAnsi" w:cstheme="minorHAnsi"/>
          <w:sz w:val="24"/>
          <w:szCs w:val="24"/>
        </w:rPr>
        <w:t>key informant conversations and focus groups</w:t>
      </w:r>
      <w:r w:rsidR="002F1F32">
        <w:rPr>
          <w:rFonts w:asciiTheme="majorHAnsi" w:hAnsiTheme="majorHAnsi" w:cstheme="minorHAnsi"/>
          <w:sz w:val="24"/>
          <w:szCs w:val="24"/>
        </w:rPr>
        <w:t>.</w:t>
      </w:r>
      <w:r w:rsidR="0033682E">
        <w:rPr>
          <w:rFonts w:asciiTheme="majorHAnsi" w:hAnsiTheme="majorHAnsi" w:cstheme="minorHAnsi"/>
          <w:sz w:val="24"/>
          <w:szCs w:val="24"/>
        </w:rPr>
        <w:t xml:space="preserve">  </w:t>
      </w:r>
    </w:p>
    <w:p w:rsidR="0033682E" w:rsidP="004736CF" w:rsidRDefault="0033682E" w14:paraId="43D1C087" w14:textId="77777777">
      <w:pPr>
        <w:pStyle w:val="Header"/>
        <w:ind w:left="720"/>
        <w:rPr>
          <w:rFonts w:asciiTheme="majorHAnsi" w:hAnsiTheme="majorHAnsi" w:cstheme="minorHAnsi"/>
          <w:sz w:val="24"/>
          <w:szCs w:val="24"/>
        </w:rPr>
      </w:pPr>
    </w:p>
    <w:p w:rsidR="002F1F32" w:rsidP="004736CF" w:rsidRDefault="002F1F32" w14:paraId="66959A6C" w14:textId="77777777">
      <w:pPr>
        <w:pStyle w:val="Header"/>
        <w:ind w:left="720"/>
        <w:rPr>
          <w:rFonts w:asciiTheme="majorHAnsi" w:hAnsiTheme="majorHAnsi" w:cstheme="minorHAnsi"/>
          <w:sz w:val="24"/>
          <w:szCs w:val="24"/>
        </w:rPr>
      </w:pPr>
      <w:r>
        <w:rPr>
          <w:rFonts w:asciiTheme="majorHAnsi" w:hAnsiTheme="majorHAnsi" w:cstheme="minorHAnsi"/>
          <w:sz w:val="24"/>
          <w:szCs w:val="24"/>
        </w:rPr>
        <w:t>We understand that t</w:t>
      </w:r>
      <w:r w:rsidR="0033682E">
        <w:rPr>
          <w:rFonts w:asciiTheme="majorHAnsi" w:hAnsiTheme="majorHAnsi" w:cstheme="minorHAnsi"/>
          <w:sz w:val="24"/>
          <w:szCs w:val="24"/>
        </w:rPr>
        <w:t>he data we collect from</w:t>
      </w:r>
      <w:r w:rsidR="00513696">
        <w:rPr>
          <w:rFonts w:asciiTheme="majorHAnsi" w:hAnsiTheme="majorHAnsi" w:cstheme="minorHAnsi"/>
          <w:sz w:val="24"/>
          <w:szCs w:val="24"/>
        </w:rPr>
        <w:t xml:space="preserve"> the purposive </w:t>
      </w:r>
      <w:r>
        <w:rPr>
          <w:rFonts w:asciiTheme="majorHAnsi" w:hAnsiTheme="majorHAnsi" w:cstheme="minorHAnsi"/>
          <w:sz w:val="24"/>
          <w:szCs w:val="24"/>
        </w:rPr>
        <w:t>sample of programs will</w:t>
      </w:r>
    </w:p>
    <w:p w:rsidR="004736CF" w:rsidP="004736CF" w:rsidRDefault="002F1F32" w14:paraId="78678673" w14:textId="0DF97B8B">
      <w:pPr>
        <w:pStyle w:val="Header"/>
        <w:ind w:left="720"/>
        <w:rPr>
          <w:rFonts w:asciiTheme="majorHAnsi" w:hAnsiTheme="majorHAnsi" w:cstheme="minorHAnsi"/>
          <w:sz w:val="24"/>
          <w:szCs w:val="24"/>
        </w:rPr>
      </w:pPr>
      <w:r>
        <w:rPr>
          <w:rFonts w:asciiTheme="majorHAnsi" w:hAnsiTheme="majorHAnsi" w:cstheme="minorHAnsi"/>
          <w:sz w:val="24"/>
          <w:szCs w:val="24"/>
        </w:rPr>
        <w:t xml:space="preserve">be </w:t>
      </w:r>
      <w:r w:rsidR="004F1FC9">
        <w:rPr>
          <w:rFonts w:asciiTheme="majorHAnsi" w:hAnsiTheme="majorHAnsi" w:cstheme="minorHAnsi"/>
          <w:sz w:val="24"/>
          <w:szCs w:val="24"/>
        </w:rPr>
        <w:t xml:space="preserve">qualitative and not </w:t>
      </w:r>
      <w:r w:rsidR="0033682E">
        <w:rPr>
          <w:rFonts w:asciiTheme="majorHAnsi" w:hAnsiTheme="majorHAnsi" w:cstheme="minorHAnsi"/>
          <w:sz w:val="24"/>
          <w:szCs w:val="24"/>
        </w:rPr>
        <w:t>generalizable</w:t>
      </w:r>
      <w:r w:rsidR="00513696">
        <w:rPr>
          <w:rFonts w:asciiTheme="majorHAnsi" w:hAnsiTheme="majorHAnsi" w:cstheme="minorHAnsi"/>
          <w:sz w:val="24"/>
          <w:szCs w:val="24"/>
        </w:rPr>
        <w:t xml:space="preserve"> across HHS</w:t>
      </w:r>
      <w:r w:rsidR="0033682E">
        <w:rPr>
          <w:rFonts w:asciiTheme="majorHAnsi" w:hAnsiTheme="majorHAnsi" w:cstheme="minorHAnsi"/>
          <w:sz w:val="24"/>
          <w:szCs w:val="24"/>
        </w:rPr>
        <w:t xml:space="preserve"> </w:t>
      </w:r>
      <w:r w:rsidR="00936907">
        <w:rPr>
          <w:rFonts w:asciiTheme="majorHAnsi" w:hAnsiTheme="majorHAnsi" w:cstheme="minorHAnsi"/>
          <w:sz w:val="24"/>
          <w:szCs w:val="24"/>
        </w:rPr>
        <w:t xml:space="preserve">or other federal </w:t>
      </w:r>
      <w:r w:rsidR="0033682E">
        <w:rPr>
          <w:rFonts w:asciiTheme="majorHAnsi" w:hAnsiTheme="majorHAnsi" w:cstheme="minorHAnsi"/>
          <w:sz w:val="24"/>
          <w:szCs w:val="24"/>
        </w:rPr>
        <w:t xml:space="preserve">programs or </w:t>
      </w:r>
      <w:r w:rsidR="003135E5">
        <w:rPr>
          <w:rFonts w:asciiTheme="majorHAnsi" w:hAnsiTheme="majorHAnsi" w:cstheme="minorHAnsi"/>
          <w:sz w:val="24"/>
          <w:szCs w:val="24"/>
        </w:rPr>
        <w:t xml:space="preserve">across </w:t>
      </w:r>
      <w:r w:rsidR="0033682E">
        <w:rPr>
          <w:rFonts w:asciiTheme="majorHAnsi" w:hAnsiTheme="majorHAnsi" w:cstheme="minorHAnsi"/>
          <w:sz w:val="24"/>
          <w:szCs w:val="24"/>
        </w:rPr>
        <w:t xml:space="preserve">locations, but can provide illustrative information for others </w:t>
      </w:r>
      <w:r w:rsidR="0064757D">
        <w:rPr>
          <w:rFonts w:asciiTheme="majorHAnsi" w:hAnsiTheme="majorHAnsi" w:cstheme="minorHAnsi"/>
          <w:sz w:val="24"/>
          <w:szCs w:val="24"/>
        </w:rPr>
        <w:t xml:space="preserve">considering ways </w:t>
      </w:r>
      <w:r w:rsidR="0033682E">
        <w:rPr>
          <w:rFonts w:asciiTheme="majorHAnsi" w:hAnsiTheme="majorHAnsi" w:cstheme="minorHAnsi"/>
          <w:sz w:val="24"/>
          <w:szCs w:val="24"/>
        </w:rPr>
        <w:t>to improve their delivery of human services</w:t>
      </w:r>
      <w:r w:rsidR="0064757D">
        <w:rPr>
          <w:rFonts w:asciiTheme="majorHAnsi" w:hAnsiTheme="majorHAnsi" w:cstheme="minorHAnsi"/>
          <w:sz w:val="24"/>
          <w:szCs w:val="24"/>
        </w:rPr>
        <w:t xml:space="preserve"> by virtual methods</w:t>
      </w:r>
      <w:r w:rsidR="0033682E">
        <w:rPr>
          <w:rFonts w:asciiTheme="majorHAnsi" w:hAnsiTheme="majorHAnsi" w:cstheme="minorHAnsi"/>
          <w:sz w:val="24"/>
          <w:szCs w:val="24"/>
        </w:rPr>
        <w:t xml:space="preserve">. </w:t>
      </w:r>
      <w:r w:rsidRPr="004736CF" w:rsidR="004736CF">
        <w:rPr>
          <w:rFonts w:asciiTheme="majorHAnsi" w:hAnsiTheme="majorHAnsi" w:cstheme="minorHAnsi"/>
          <w:sz w:val="24"/>
          <w:szCs w:val="24"/>
        </w:rPr>
        <w:t xml:space="preserve">This project will help </w:t>
      </w:r>
      <w:r w:rsidR="001C186A">
        <w:rPr>
          <w:rFonts w:asciiTheme="majorHAnsi" w:hAnsiTheme="majorHAnsi" w:cstheme="minorHAnsi"/>
          <w:sz w:val="24"/>
          <w:szCs w:val="24"/>
        </w:rPr>
        <w:t xml:space="preserve">to </w:t>
      </w:r>
      <w:r w:rsidRPr="004736CF" w:rsidR="004736CF">
        <w:rPr>
          <w:rFonts w:asciiTheme="majorHAnsi" w:hAnsiTheme="majorHAnsi" w:cstheme="minorHAnsi"/>
          <w:sz w:val="24"/>
          <w:szCs w:val="24"/>
        </w:rPr>
        <w:t xml:space="preserve">identify early lessons about virtual human services delivery across a range of programs, </w:t>
      </w:r>
      <w:r w:rsidR="007C0106">
        <w:rPr>
          <w:rFonts w:asciiTheme="majorHAnsi" w:hAnsiTheme="majorHAnsi" w:cstheme="minorHAnsi"/>
          <w:sz w:val="24"/>
          <w:szCs w:val="24"/>
        </w:rPr>
        <w:t xml:space="preserve">and is </w:t>
      </w:r>
      <w:r w:rsidRPr="004736CF" w:rsidR="004736CF">
        <w:rPr>
          <w:rFonts w:asciiTheme="majorHAnsi" w:hAnsiTheme="majorHAnsi" w:cstheme="minorHAnsi"/>
          <w:sz w:val="24"/>
          <w:szCs w:val="24"/>
        </w:rPr>
        <w:t>likely to be of interest to policymakers</w:t>
      </w:r>
      <w:r w:rsidR="0064757D">
        <w:rPr>
          <w:rFonts w:asciiTheme="majorHAnsi" w:hAnsiTheme="majorHAnsi" w:cstheme="minorHAnsi"/>
          <w:sz w:val="24"/>
          <w:szCs w:val="24"/>
        </w:rPr>
        <w:t xml:space="preserve">, </w:t>
      </w:r>
      <w:r w:rsidR="00936907">
        <w:rPr>
          <w:rFonts w:asciiTheme="majorHAnsi" w:hAnsiTheme="majorHAnsi" w:cstheme="minorHAnsi"/>
          <w:sz w:val="24"/>
          <w:szCs w:val="24"/>
        </w:rPr>
        <w:t xml:space="preserve">program </w:t>
      </w:r>
      <w:r w:rsidR="0064757D">
        <w:rPr>
          <w:rFonts w:asciiTheme="majorHAnsi" w:hAnsiTheme="majorHAnsi" w:cstheme="minorHAnsi"/>
          <w:sz w:val="24"/>
          <w:szCs w:val="24"/>
        </w:rPr>
        <w:t>administrators</w:t>
      </w:r>
      <w:r w:rsidR="00936907">
        <w:rPr>
          <w:rFonts w:asciiTheme="majorHAnsi" w:hAnsiTheme="majorHAnsi" w:cstheme="minorHAnsi"/>
          <w:sz w:val="24"/>
          <w:szCs w:val="24"/>
        </w:rPr>
        <w:t xml:space="preserve"> and managers</w:t>
      </w:r>
      <w:r w:rsidR="0064757D">
        <w:rPr>
          <w:rFonts w:asciiTheme="majorHAnsi" w:hAnsiTheme="majorHAnsi" w:cstheme="minorHAnsi"/>
          <w:sz w:val="24"/>
          <w:szCs w:val="24"/>
        </w:rPr>
        <w:t>,</w:t>
      </w:r>
      <w:r w:rsidRPr="004736CF" w:rsidR="004736CF">
        <w:rPr>
          <w:rFonts w:asciiTheme="majorHAnsi" w:hAnsiTheme="majorHAnsi" w:cstheme="minorHAnsi"/>
          <w:sz w:val="24"/>
          <w:szCs w:val="24"/>
        </w:rPr>
        <w:t xml:space="preserve"> and </w:t>
      </w:r>
      <w:r w:rsidR="0064757D">
        <w:rPr>
          <w:rFonts w:asciiTheme="majorHAnsi" w:hAnsiTheme="majorHAnsi" w:cstheme="minorHAnsi"/>
          <w:sz w:val="24"/>
          <w:szCs w:val="24"/>
        </w:rPr>
        <w:t xml:space="preserve">frontline </w:t>
      </w:r>
      <w:r w:rsidRPr="004736CF" w:rsidR="004736CF">
        <w:rPr>
          <w:rFonts w:asciiTheme="majorHAnsi" w:hAnsiTheme="majorHAnsi" w:cstheme="minorHAnsi"/>
          <w:sz w:val="24"/>
          <w:szCs w:val="24"/>
        </w:rPr>
        <w:t xml:space="preserve">service providers. It will also help ASPE develop future research priorities. </w:t>
      </w:r>
    </w:p>
    <w:p w:rsidRPr="0041582B" w:rsidR="009A703D" w:rsidP="00E54C79" w:rsidRDefault="009A703D" w14:paraId="7369DF16" w14:textId="77777777">
      <w:pPr>
        <w:pStyle w:val="Header"/>
        <w:tabs>
          <w:tab w:val="clear" w:pos="4680"/>
        </w:tabs>
        <w:spacing w:line="276" w:lineRule="auto"/>
        <w:rPr>
          <w:rFonts w:asciiTheme="majorHAnsi" w:hAnsiTheme="majorHAnsi"/>
          <w:sz w:val="24"/>
          <w:szCs w:val="24"/>
        </w:rPr>
      </w:pPr>
    </w:p>
    <w:p w:rsidRPr="001E4B2C" w:rsidR="004C475A" w:rsidP="001E4B2C" w:rsidRDefault="00B12F51" w14:paraId="1CA06041" w14:textId="7BC15EB3">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Purpose and Use of the Information Collection</w:t>
      </w:r>
    </w:p>
    <w:p w:rsidRPr="00C75DDC" w:rsidR="004C475A" w:rsidP="001E4B2C" w:rsidRDefault="004C475A" w14:paraId="405ADC06" w14:textId="2BE89D68">
      <w:pPr>
        <w:spacing w:after="0" w:line="240" w:lineRule="auto"/>
        <w:ind w:left="450"/>
        <w:rPr>
          <w:rFonts w:asciiTheme="majorHAnsi" w:hAnsiTheme="majorHAnsi"/>
          <w:sz w:val="24"/>
          <w:szCs w:val="24"/>
        </w:rPr>
      </w:pPr>
    </w:p>
    <w:p w:rsidR="00C75DDC" w:rsidP="00C75DDC" w:rsidRDefault="00F9432C" w14:paraId="1FDE2A5E" w14:textId="59A16165">
      <w:pPr>
        <w:spacing w:after="0" w:line="240" w:lineRule="auto"/>
        <w:ind w:left="450"/>
        <w:rPr>
          <w:rFonts w:asciiTheme="majorHAnsi" w:hAnsiTheme="majorHAnsi"/>
          <w:sz w:val="24"/>
          <w:szCs w:val="24"/>
        </w:rPr>
      </w:pPr>
      <w:r w:rsidRPr="00C75DDC">
        <w:rPr>
          <w:rFonts w:asciiTheme="majorHAnsi" w:hAnsiTheme="majorHAnsi"/>
          <w:sz w:val="24"/>
          <w:szCs w:val="24"/>
        </w:rPr>
        <w:t xml:space="preserve">Recent ASPE-sponsored </w:t>
      </w:r>
      <w:r w:rsidR="004F1FC9">
        <w:rPr>
          <w:rFonts w:asciiTheme="majorHAnsi" w:hAnsiTheme="majorHAnsi"/>
          <w:sz w:val="24"/>
          <w:szCs w:val="24"/>
        </w:rPr>
        <w:t>exploration</w:t>
      </w:r>
      <w:r w:rsidR="00014C1E">
        <w:rPr>
          <w:rFonts w:asciiTheme="majorHAnsi" w:hAnsiTheme="majorHAnsi"/>
          <w:sz w:val="24"/>
          <w:szCs w:val="24"/>
        </w:rPr>
        <w:t>s</w:t>
      </w:r>
      <w:r w:rsidRPr="00C75DDC" w:rsidR="00C75DDC">
        <w:rPr>
          <w:rFonts w:asciiTheme="majorHAnsi" w:hAnsiTheme="majorHAnsi"/>
          <w:sz w:val="24"/>
          <w:szCs w:val="24"/>
        </w:rPr>
        <w:t xml:space="preserve"> of virtual methods in human services identified several</w:t>
      </w:r>
      <w:r w:rsidR="00C75DDC">
        <w:rPr>
          <w:rFonts w:asciiTheme="majorHAnsi" w:hAnsiTheme="majorHAnsi"/>
          <w:sz w:val="24"/>
          <w:szCs w:val="24"/>
        </w:rPr>
        <w:t xml:space="preserve"> important</w:t>
      </w:r>
      <w:r w:rsidRPr="00C75DDC" w:rsidR="00C75DDC">
        <w:rPr>
          <w:rFonts w:asciiTheme="majorHAnsi" w:hAnsiTheme="majorHAnsi"/>
          <w:sz w:val="24"/>
          <w:szCs w:val="24"/>
        </w:rPr>
        <w:t xml:space="preserve"> research gaps</w:t>
      </w:r>
      <w:r w:rsidR="00C75DDC">
        <w:rPr>
          <w:rFonts w:asciiTheme="majorHAnsi" w:hAnsiTheme="majorHAnsi"/>
          <w:sz w:val="24"/>
          <w:szCs w:val="24"/>
        </w:rPr>
        <w:t>, including documentation of current program approaches, successes</w:t>
      </w:r>
      <w:r w:rsidR="001C2BEA">
        <w:rPr>
          <w:rFonts w:asciiTheme="majorHAnsi" w:hAnsiTheme="majorHAnsi"/>
          <w:sz w:val="24"/>
          <w:szCs w:val="24"/>
        </w:rPr>
        <w:t>,</w:t>
      </w:r>
      <w:r w:rsidR="00C75DDC">
        <w:rPr>
          <w:rFonts w:asciiTheme="majorHAnsi" w:hAnsiTheme="majorHAnsi"/>
          <w:sz w:val="24"/>
          <w:szCs w:val="24"/>
        </w:rPr>
        <w:t xml:space="preserve"> and challenges; identification of program components that can best be delivered virtually (or, conversely, that cannot be delivered ef</w:t>
      </w:r>
      <w:r w:rsidR="0064757D">
        <w:rPr>
          <w:rFonts w:asciiTheme="majorHAnsi" w:hAnsiTheme="majorHAnsi"/>
          <w:sz w:val="24"/>
          <w:szCs w:val="24"/>
        </w:rPr>
        <w:t>fectively)</w:t>
      </w:r>
      <w:r w:rsidR="00014C1E">
        <w:rPr>
          <w:rFonts w:asciiTheme="majorHAnsi" w:hAnsiTheme="majorHAnsi"/>
          <w:sz w:val="24"/>
          <w:szCs w:val="24"/>
        </w:rPr>
        <w:t>;</w:t>
      </w:r>
      <w:r w:rsidR="0064757D">
        <w:rPr>
          <w:rFonts w:asciiTheme="majorHAnsi" w:hAnsiTheme="majorHAnsi"/>
          <w:sz w:val="24"/>
          <w:szCs w:val="24"/>
        </w:rPr>
        <w:t xml:space="preserve"> and identification</w:t>
      </w:r>
      <w:r w:rsidR="00C75DDC">
        <w:rPr>
          <w:rFonts w:asciiTheme="majorHAnsi" w:hAnsiTheme="majorHAnsi"/>
          <w:sz w:val="24"/>
          <w:szCs w:val="24"/>
        </w:rPr>
        <w:t xml:space="preserve"> of </w:t>
      </w:r>
      <w:r w:rsidR="001C2BEA">
        <w:rPr>
          <w:rFonts w:asciiTheme="majorHAnsi" w:hAnsiTheme="majorHAnsi"/>
          <w:sz w:val="24"/>
          <w:szCs w:val="24"/>
        </w:rPr>
        <w:t xml:space="preserve">potential </w:t>
      </w:r>
      <w:r w:rsidR="00C75DDC">
        <w:rPr>
          <w:rFonts w:asciiTheme="majorHAnsi" w:hAnsiTheme="majorHAnsi"/>
          <w:sz w:val="24"/>
          <w:szCs w:val="24"/>
        </w:rPr>
        <w:t>measures/indicators of service effectiveness</w:t>
      </w:r>
      <w:r w:rsidRPr="00C75DDC" w:rsidR="00C75DDC">
        <w:rPr>
          <w:rFonts w:asciiTheme="majorHAnsi" w:hAnsiTheme="majorHAnsi"/>
          <w:sz w:val="24"/>
          <w:szCs w:val="24"/>
        </w:rPr>
        <w:t xml:space="preserve">. </w:t>
      </w:r>
    </w:p>
    <w:p w:rsidR="00F9432C" w:rsidP="001E4B2C" w:rsidRDefault="00F9432C" w14:paraId="1BB8EF3A" w14:textId="77777777">
      <w:pPr>
        <w:spacing w:after="0" w:line="240" w:lineRule="auto"/>
        <w:ind w:left="450"/>
        <w:rPr>
          <w:rFonts w:asciiTheme="majorHAnsi" w:hAnsiTheme="majorHAnsi"/>
          <w:sz w:val="24"/>
          <w:szCs w:val="24"/>
        </w:rPr>
      </w:pPr>
    </w:p>
    <w:p w:rsidR="001E4B2C" w:rsidP="001E4B2C" w:rsidRDefault="00C75DDC" w14:paraId="15EB7AB9" w14:textId="6AE4AEB3">
      <w:pPr>
        <w:spacing w:after="0" w:line="240" w:lineRule="auto"/>
        <w:ind w:left="450"/>
        <w:rPr>
          <w:rFonts w:asciiTheme="majorHAnsi" w:hAnsiTheme="majorHAnsi"/>
          <w:sz w:val="24"/>
          <w:szCs w:val="24"/>
        </w:rPr>
      </w:pPr>
      <w:r>
        <w:rPr>
          <w:rFonts w:asciiTheme="majorHAnsi" w:hAnsiTheme="majorHAnsi"/>
          <w:sz w:val="24"/>
          <w:szCs w:val="24"/>
        </w:rPr>
        <w:t xml:space="preserve">This study will address </w:t>
      </w:r>
      <w:r w:rsidR="0064757D">
        <w:rPr>
          <w:rFonts w:asciiTheme="majorHAnsi" w:hAnsiTheme="majorHAnsi"/>
          <w:sz w:val="24"/>
          <w:szCs w:val="24"/>
        </w:rPr>
        <w:t xml:space="preserve">some of </w:t>
      </w:r>
      <w:r>
        <w:rPr>
          <w:rFonts w:asciiTheme="majorHAnsi" w:hAnsiTheme="majorHAnsi"/>
          <w:sz w:val="24"/>
          <w:szCs w:val="24"/>
        </w:rPr>
        <w:t xml:space="preserve">these and other </w:t>
      </w:r>
      <w:r w:rsidR="00943037">
        <w:rPr>
          <w:rFonts w:asciiTheme="majorHAnsi" w:hAnsiTheme="majorHAnsi"/>
          <w:sz w:val="24"/>
          <w:szCs w:val="24"/>
        </w:rPr>
        <w:t xml:space="preserve">important </w:t>
      </w:r>
      <w:r>
        <w:rPr>
          <w:rFonts w:asciiTheme="majorHAnsi" w:hAnsiTheme="majorHAnsi"/>
          <w:sz w:val="24"/>
          <w:szCs w:val="24"/>
        </w:rPr>
        <w:t>gaps</w:t>
      </w:r>
      <w:r w:rsidR="00014C1E">
        <w:rPr>
          <w:rFonts w:asciiTheme="majorHAnsi" w:hAnsiTheme="majorHAnsi"/>
          <w:sz w:val="24"/>
          <w:szCs w:val="24"/>
        </w:rPr>
        <w:t>, gathering stakeholder perceptions to better inform our understanding of these issues</w:t>
      </w:r>
      <w:r w:rsidR="00457F38">
        <w:rPr>
          <w:rFonts w:asciiTheme="majorHAnsi" w:hAnsiTheme="majorHAnsi"/>
          <w:sz w:val="24"/>
          <w:szCs w:val="24"/>
        </w:rPr>
        <w:t>.</w:t>
      </w:r>
      <w:r>
        <w:rPr>
          <w:rFonts w:asciiTheme="majorHAnsi" w:hAnsiTheme="majorHAnsi"/>
          <w:sz w:val="24"/>
          <w:szCs w:val="24"/>
        </w:rPr>
        <w:t xml:space="preserve"> </w:t>
      </w:r>
      <w:r w:rsidR="002579E2">
        <w:rPr>
          <w:rFonts w:asciiTheme="majorHAnsi" w:hAnsiTheme="majorHAnsi"/>
          <w:sz w:val="24"/>
          <w:szCs w:val="24"/>
        </w:rPr>
        <w:t xml:space="preserve">Our </w:t>
      </w:r>
      <w:r w:rsidR="00943037">
        <w:rPr>
          <w:rFonts w:asciiTheme="majorHAnsi" w:hAnsiTheme="majorHAnsi"/>
          <w:sz w:val="24"/>
          <w:szCs w:val="24"/>
        </w:rPr>
        <w:t xml:space="preserve">key </w:t>
      </w:r>
      <w:r w:rsidR="002579E2">
        <w:rPr>
          <w:rFonts w:asciiTheme="majorHAnsi" w:hAnsiTheme="majorHAnsi"/>
          <w:sz w:val="24"/>
          <w:szCs w:val="24"/>
        </w:rPr>
        <w:t>research questions</w:t>
      </w:r>
      <w:r w:rsidR="0064757D">
        <w:rPr>
          <w:rFonts w:asciiTheme="majorHAnsi" w:hAnsiTheme="majorHAnsi"/>
          <w:sz w:val="24"/>
          <w:szCs w:val="24"/>
        </w:rPr>
        <w:t xml:space="preserve"> for the study program sites</w:t>
      </w:r>
      <w:r w:rsidR="002579E2">
        <w:rPr>
          <w:rFonts w:asciiTheme="majorHAnsi" w:hAnsiTheme="majorHAnsi"/>
          <w:sz w:val="24"/>
          <w:szCs w:val="24"/>
        </w:rPr>
        <w:t xml:space="preserve"> include:</w:t>
      </w:r>
    </w:p>
    <w:p w:rsidR="00943037" w:rsidP="001E4B2C" w:rsidRDefault="00943037" w14:paraId="2FF1F665" w14:textId="77777777">
      <w:pPr>
        <w:spacing w:after="0" w:line="240" w:lineRule="auto"/>
        <w:ind w:left="450"/>
        <w:rPr>
          <w:rFonts w:asciiTheme="majorHAnsi" w:hAnsiTheme="majorHAnsi"/>
          <w:sz w:val="24"/>
          <w:szCs w:val="24"/>
        </w:rPr>
      </w:pPr>
    </w:p>
    <w:p w:rsidRPr="005B706E" w:rsidR="004C70C4" w:rsidP="00943037" w:rsidRDefault="004C70C4" w14:paraId="5F8FC6C9" w14:textId="5B1B33F8">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What specific human services are delivered virtually, and how (</w:t>
      </w:r>
      <w:r w:rsidRPr="005B706E" w:rsidR="009F5ADF">
        <w:rPr>
          <w:rFonts w:asciiTheme="majorHAnsi" w:hAnsiTheme="majorHAnsi"/>
          <w:sz w:val="24"/>
          <w:szCs w:val="24"/>
        </w:rPr>
        <w:t xml:space="preserve">service component, </w:t>
      </w:r>
      <w:r w:rsidRPr="005B706E">
        <w:rPr>
          <w:rFonts w:asciiTheme="majorHAnsi" w:hAnsiTheme="majorHAnsi"/>
          <w:sz w:val="24"/>
          <w:szCs w:val="24"/>
        </w:rPr>
        <w:t xml:space="preserve">mode, etc.)? </w:t>
      </w:r>
    </w:p>
    <w:p w:rsidRPr="005B706E" w:rsidR="004C70C4" w:rsidP="00943037" w:rsidRDefault="004C70C4" w14:paraId="29C9FE8A" w14:textId="515019C9">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What have been the major successes</w:t>
      </w:r>
      <w:r w:rsidRPr="005B706E" w:rsidR="009F5ADF">
        <w:rPr>
          <w:rFonts w:asciiTheme="majorHAnsi" w:hAnsiTheme="majorHAnsi"/>
          <w:sz w:val="24"/>
          <w:szCs w:val="24"/>
        </w:rPr>
        <w:t xml:space="preserve"> to date</w:t>
      </w:r>
      <w:r w:rsidRPr="005B706E">
        <w:rPr>
          <w:rFonts w:asciiTheme="majorHAnsi" w:hAnsiTheme="majorHAnsi"/>
          <w:sz w:val="24"/>
          <w:szCs w:val="24"/>
        </w:rPr>
        <w:t xml:space="preserve"> in delivering human services virtually?</w:t>
      </w:r>
    </w:p>
    <w:p w:rsidRPr="005B706E" w:rsidR="004C70C4" w:rsidP="00943037" w:rsidRDefault="004C70C4" w14:paraId="4536AEBA" w14:textId="77777777">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lastRenderedPageBreak/>
        <w:t>What have been the major challenges with delivering human services virtually?</w:t>
      </w:r>
    </w:p>
    <w:p w:rsidRPr="005B706E" w:rsidR="004C70C4" w:rsidP="00943037" w:rsidRDefault="004C70C4" w14:paraId="5DD9F10E" w14:textId="77777777">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What is the evidence of effectiveness for virtual human services compared with in- person?</w:t>
      </w:r>
    </w:p>
    <w:p w:rsidRPr="005B706E" w:rsidR="004C70C4" w:rsidP="00943037" w:rsidRDefault="004C70C4" w14:paraId="0D019DFA" w14:textId="79731545">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 xml:space="preserve">What lessons do </w:t>
      </w:r>
      <w:r w:rsidRPr="005B706E" w:rsidR="009F5ADF">
        <w:rPr>
          <w:rFonts w:asciiTheme="majorHAnsi" w:hAnsiTheme="majorHAnsi"/>
          <w:sz w:val="24"/>
          <w:szCs w:val="24"/>
        </w:rPr>
        <w:t>stakeholders</w:t>
      </w:r>
      <w:r w:rsidRPr="005B706E">
        <w:rPr>
          <w:rFonts w:asciiTheme="majorHAnsi" w:hAnsiTheme="majorHAnsi"/>
          <w:sz w:val="24"/>
          <w:szCs w:val="24"/>
        </w:rPr>
        <w:t xml:space="preserve"> identify about delivering human services virtually?</w:t>
      </w:r>
    </w:p>
    <w:p w:rsidRPr="005B706E" w:rsidR="004C70C4" w:rsidP="00943037" w:rsidRDefault="004C70C4" w14:paraId="121624EA" w14:textId="29B7CC65">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 xml:space="preserve">To what extent do </w:t>
      </w:r>
      <w:r w:rsidRPr="005B706E" w:rsidR="009F5ADF">
        <w:rPr>
          <w:rFonts w:asciiTheme="majorHAnsi" w:hAnsiTheme="majorHAnsi"/>
          <w:sz w:val="24"/>
          <w:szCs w:val="24"/>
        </w:rPr>
        <w:t xml:space="preserve">stakeholders </w:t>
      </w:r>
      <w:r w:rsidRPr="005B706E">
        <w:rPr>
          <w:rFonts w:asciiTheme="majorHAnsi" w:hAnsiTheme="majorHAnsi"/>
          <w:sz w:val="24"/>
          <w:szCs w:val="24"/>
        </w:rPr>
        <w:t>view virtual human services delivery as part of a long-term trend versus a short-term response to the pandemic?</w:t>
      </w:r>
    </w:p>
    <w:p w:rsidRPr="005B706E" w:rsidR="004C70C4" w:rsidP="00943037" w:rsidRDefault="004C70C4" w14:paraId="7692D51C" w14:textId="37C93B9F">
      <w:pPr>
        <w:numPr>
          <w:ilvl w:val="0"/>
          <w:numId w:val="38"/>
        </w:numPr>
        <w:spacing w:after="0" w:line="240" w:lineRule="auto"/>
        <w:rPr>
          <w:rFonts w:asciiTheme="majorHAnsi" w:hAnsiTheme="majorHAnsi"/>
          <w:sz w:val="24"/>
          <w:szCs w:val="24"/>
        </w:rPr>
      </w:pPr>
      <w:r w:rsidRPr="005B706E">
        <w:rPr>
          <w:rFonts w:asciiTheme="majorHAnsi" w:hAnsiTheme="majorHAnsi"/>
          <w:sz w:val="24"/>
          <w:szCs w:val="24"/>
        </w:rPr>
        <w:t xml:space="preserve">What priorities for future research around virtual human services delivery do </w:t>
      </w:r>
      <w:r w:rsidRPr="005B706E" w:rsidR="009F5ADF">
        <w:rPr>
          <w:rFonts w:asciiTheme="majorHAnsi" w:hAnsiTheme="majorHAnsi"/>
          <w:sz w:val="24"/>
          <w:szCs w:val="24"/>
        </w:rPr>
        <w:t xml:space="preserve">stakeholders </w:t>
      </w:r>
      <w:r w:rsidRPr="005B706E">
        <w:rPr>
          <w:rFonts w:asciiTheme="majorHAnsi" w:hAnsiTheme="majorHAnsi"/>
          <w:sz w:val="24"/>
          <w:szCs w:val="24"/>
        </w:rPr>
        <w:t xml:space="preserve">identify? </w:t>
      </w:r>
    </w:p>
    <w:p w:rsidRPr="00014C1E" w:rsidR="002579E2" w:rsidP="001E4B2C" w:rsidRDefault="002579E2" w14:paraId="39AA4395" w14:textId="43DA17C0">
      <w:pPr>
        <w:spacing w:after="0" w:line="240" w:lineRule="auto"/>
        <w:ind w:left="450"/>
        <w:rPr>
          <w:rFonts w:asciiTheme="majorHAnsi" w:hAnsiTheme="majorHAnsi"/>
          <w:sz w:val="24"/>
          <w:szCs w:val="24"/>
        </w:rPr>
      </w:pPr>
    </w:p>
    <w:p w:rsidRPr="0041582B" w:rsidR="00B12F51" w:rsidP="007760B3" w:rsidRDefault="00B47055" w14:paraId="68A70572"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Use of Improved Information Technology and Burden Reduction</w:t>
      </w:r>
    </w:p>
    <w:p w:rsidRPr="0041582B" w:rsidR="00E8736B" w:rsidP="007760B3" w:rsidRDefault="003D223D" w14:paraId="6A88C74B" w14:textId="6024DDEB">
      <w:pPr>
        <w:pStyle w:val="ListParagraph"/>
        <w:spacing w:after="0" w:line="240" w:lineRule="auto"/>
        <w:ind w:left="810"/>
        <w:rPr>
          <w:rFonts w:asciiTheme="majorHAnsi" w:hAnsiTheme="majorHAnsi"/>
          <w:sz w:val="24"/>
          <w:szCs w:val="24"/>
        </w:rPr>
      </w:pPr>
      <w:r>
        <w:rPr>
          <w:rFonts w:asciiTheme="majorHAnsi" w:hAnsiTheme="majorHAnsi"/>
          <w:sz w:val="24"/>
          <w:szCs w:val="24"/>
        </w:rPr>
        <w:t>Q</w:t>
      </w:r>
      <w:r w:rsidR="002579E2">
        <w:rPr>
          <w:rFonts w:asciiTheme="majorHAnsi" w:hAnsiTheme="majorHAnsi"/>
          <w:sz w:val="24"/>
          <w:szCs w:val="24"/>
        </w:rPr>
        <w:t xml:space="preserve">ualitative </w:t>
      </w:r>
      <w:r w:rsidR="006751CE">
        <w:rPr>
          <w:rFonts w:asciiTheme="majorHAnsi" w:hAnsiTheme="majorHAnsi"/>
          <w:sz w:val="24"/>
          <w:szCs w:val="24"/>
        </w:rPr>
        <w:t xml:space="preserve">semi-structured discussions </w:t>
      </w:r>
      <w:r w:rsidR="002579E2">
        <w:rPr>
          <w:rFonts w:asciiTheme="majorHAnsi" w:hAnsiTheme="majorHAnsi"/>
          <w:sz w:val="24"/>
          <w:szCs w:val="24"/>
        </w:rPr>
        <w:t xml:space="preserve">will be conducted by </w:t>
      </w:r>
      <w:r w:rsidR="006751CE">
        <w:rPr>
          <w:rFonts w:asciiTheme="majorHAnsi" w:hAnsiTheme="majorHAnsi"/>
          <w:sz w:val="24"/>
          <w:szCs w:val="24"/>
        </w:rPr>
        <w:t>videoconference and/or phone</w:t>
      </w:r>
      <w:r w:rsidR="002579E2">
        <w:rPr>
          <w:rFonts w:asciiTheme="majorHAnsi" w:hAnsiTheme="majorHAnsi"/>
          <w:sz w:val="24"/>
          <w:szCs w:val="24"/>
        </w:rPr>
        <w:t xml:space="preserve">. This should minimize the burden on individual respondents and allow us to schedule </w:t>
      </w:r>
      <w:r w:rsidR="006751CE">
        <w:rPr>
          <w:rFonts w:asciiTheme="majorHAnsi" w:hAnsiTheme="majorHAnsi"/>
          <w:sz w:val="24"/>
          <w:szCs w:val="24"/>
        </w:rPr>
        <w:t xml:space="preserve">discussions </w:t>
      </w:r>
      <w:r w:rsidR="002579E2">
        <w:rPr>
          <w:rFonts w:asciiTheme="majorHAnsi" w:hAnsiTheme="majorHAnsi"/>
          <w:sz w:val="24"/>
          <w:szCs w:val="24"/>
        </w:rPr>
        <w:t>at the convenience of respondents.</w:t>
      </w:r>
      <w:r w:rsidRPr="0041582B" w:rsidR="00307E99">
        <w:rPr>
          <w:rFonts w:asciiTheme="majorHAnsi" w:hAnsiTheme="majorHAnsi"/>
          <w:sz w:val="24"/>
          <w:szCs w:val="24"/>
        </w:rPr>
        <w:t xml:space="preserve"> </w:t>
      </w:r>
    </w:p>
    <w:p w:rsidRPr="0041582B" w:rsidR="00B47055" w:rsidP="007760B3" w:rsidRDefault="00B47055" w14:paraId="1C528322" w14:textId="77777777">
      <w:pPr>
        <w:pStyle w:val="ListParagraph"/>
        <w:spacing w:after="0" w:line="240" w:lineRule="auto"/>
        <w:rPr>
          <w:rFonts w:asciiTheme="majorHAnsi" w:hAnsiTheme="majorHAnsi"/>
          <w:sz w:val="24"/>
          <w:szCs w:val="24"/>
        </w:rPr>
      </w:pPr>
    </w:p>
    <w:p w:rsidRPr="0041582B" w:rsidR="00B47055" w:rsidP="007760B3" w:rsidRDefault="00B47055" w14:paraId="247D5EA2"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Efforts to Identify Duplication and Use of Similar Information</w:t>
      </w:r>
    </w:p>
    <w:p w:rsidRPr="0041582B" w:rsidR="00563683" w:rsidP="007760B3" w:rsidRDefault="00943037" w14:paraId="2DE03E76" w14:textId="6345A394">
      <w:pPr>
        <w:pStyle w:val="ListParagraph"/>
        <w:spacing w:after="0" w:line="240" w:lineRule="auto"/>
        <w:ind w:left="810"/>
        <w:rPr>
          <w:rFonts w:asciiTheme="majorHAnsi" w:hAnsiTheme="majorHAnsi"/>
          <w:sz w:val="24"/>
          <w:szCs w:val="24"/>
        </w:rPr>
      </w:pPr>
      <w:r>
        <w:rPr>
          <w:rFonts w:asciiTheme="majorHAnsi" w:hAnsiTheme="majorHAnsi"/>
          <w:sz w:val="24"/>
          <w:szCs w:val="24"/>
        </w:rPr>
        <w:t xml:space="preserve">In preparation for writing a recent </w:t>
      </w:r>
      <w:r w:rsidR="001C2BEA">
        <w:rPr>
          <w:rFonts w:asciiTheme="majorHAnsi" w:hAnsiTheme="majorHAnsi"/>
          <w:sz w:val="24"/>
          <w:szCs w:val="24"/>
        </w:rPr>
        <w:t xml:space="preserve">(March 2020) </w:t>
      </w:r>
      <w:r>
        <w:rPr>
          <w:rFonts w:asciiTheme="majorHAnsi" w:hAnsiTheme="majorHAnsi"/>
          <w:sz w:val="24"/>
          <w:szCs w:val="24"/>
        </w:rPr>
        <w:t xml:space="preserve">ASPE </w:t>
      </w:r>
      <w:hyperlink w:history="1" r:id="rId9">
        <w:r w:rsidRPr="00507391">
          <w:rPr>
            <w:rStyle w:val="Hyperlink"/>
            <w:rFonts w:asciiTheme="majorHAnsi" w:hAnsiTheme="majorHAnsi"/>
            <w:sz w:val="24"/>
            <w:szCs w:val="24"/>
          </w:rPr>
          <w:t>brief</w:t>
        </w:r>
      </w:hyperlink>
      <w:r>
        <w:rPr>
          <w:rFonts w:asciiTheme="majorHAnsi" w:hAnsiTheme="majorHAnsi"/>
          <w:sz w:val="24"/>
          <w:szCs w:val="24"/>
        </w:rPr>
        <w:t xml:space="preserve"> on virtual case management </w:t>
      </w:r>
      <w:r w:rsidR="00507391">
        <w:rPr>
          <w:rFonts w:asciiTheme="majorHAnsi" w:hAnsiTheme="majorHAnsi"/>
          <w:sz w:val="24"/>
          <w:szCs w:val="24"/>
        </w:rPr>
        <w:t xml:space="preserve">considerations and resources for </w:t>
      </w:r>
      <w:r>
        <w:rPr>
          <w:rFonts w:asciiTheme="majorHAnsi" w:hAnsiTheme="majorHAnsi"/>
          <w:sz w:val="24"/>
          <w:szCs w:val="24"/>
        </w:rPr>
        <w:t>human services</w:t>
      </w:r>
      <w:r w:rsidR="00507391">
        <w:rPr>
          <w:rFonts w:asciiTheme="majorHAnsi" w:hAnsiTheme="majorHAnsi"/>
          <w:sz w:val="24"/>
          <w:szCs w:val="24"/>
        </w:rPr>
        <w:t xml:space="preserve"> programs</w:t>
      </w:r>
      <w:r w:rsidR="006751CE">
        <w:rPr>
          <w:rFonts w:asciiTheme="majorHAnsi" w:hAnsiTheme="majorHAnsi"/>
          <w:sz w:val="24"/>
          <w:szCs w:val="24"/>
        </w:rPr>
        <w:t>,</w:t>
      </w:r>
      <w:r>
        <w:rPr>
          <w:rFonts w:asciiTheme="majorHAnsi" w:hAnsiTheme="majorHAnsi"/>
          <w:sz w:val="24"/>
          <w:szCs w:val="24"/>
        </w:rPr>
        <w:t xml:space="preserve"> we </w:t>
      </w:r>
      <w:r w:rsidR="00193BE3">
        <w:rPr>
          <w:rFonts w:asciiTheme="majorHAnsi" w:hAnsiTheme="majorHAnsi"/>
          <w:sz w:val="24"/>
          <w:szCs w:val="24"/>
        </w:rPr>
        <w:t xml:space="preserve">conducted a literature </w:t>
      </w:r>
      <w:r>
        <w:rPr>
          <w:rFonts w:asciiTheme="majorHAnsi" w:hAnsiTheme="majorHAnsi"/>
          <w:sz w:val="24"/>
          <w:szCs w:val="24"/>
        </w:rPr>
        <w:t xml:space="preserve">scan </w:t>
      </w:r>
      <w:r w:rsidR="00193BE3">
        <w:rPr>
          <w:rFonts w:asciiTheme="majorHAnsi" w:hAnsiTheme="majorHAnsi"/>
          <w:sz w:val="24"/>
          <w:szCs w:val="24"/>
        </w:rPr>
        <w:t xml:space="preserve">to identify previous </w:t>
      </w:r>
      <w:r w:rsidR="006751CE">
        <w:rPr>
          <w:rFonts w:asciiTheme="majorHAnsi" w:hAnsiTheme="majorHAnsi"/>
          <w:sz w:val="24"/>
          <w:szCs w:val="24"/>
        </w:rPr>
        <w:t>research on</w:t>
      </w:r>
      <w:r w:rsidR="00193BE3">
        <w:rPr>
          <w:rFonts w:asciiTheme="majorHAnsi" w:hAnsiTheme="majorHAnsi"/>
          <w:sz w:val="24"/>
          <w:szCs w:val="24"/>
        </w:rPr>
        <w:t xml:space="preserve"> </w:t>
      </w:r>
      <w:r>
        <w:rPr>
          <w:rFonts w:asciiTheme="majorHAnsi" w:hAnsiTheme="majorHAnsi"/>
          <w:sz w:val="24"/>
          <w:szCs w:val="24"/>
        </w:rPr>
        <w:t>this issue</w:t>
      </w:r>
      <w:r w:rsidR="00193BE3">
        <w:rPr>
          <w:rFonts w:asciiTheme="majorHAnsi" w:hAnsiTheme="majorHAnsi"/>
          <w:sz w:val="24"/>
          <w:szCs w:val="24"/>
        </w:rPr>
        <w:t>. We located no</w:t>
      </w:r>
      <w:r>
        <w:rPr>
          <w:rFonts w:asciiTheme="majorHAnsi" w:hAnsiTheme="majorHAnsi"/>
          <w:sz w:val="24"/>
          <w:szCs w:val="24"/>
        </w:rPr>
        <w:t xml:space="preserve"> comprehensive </w:t>
      </w:r>
      <w:r w:rsidR="00193BE3">
        <w:rPr>
          <w:rFonts w:asciiTheme="majorHAnsi" w:hAnsiTheme="majorHAnsi"/>
          <w:sz w:val="24"/>
          <w:szCs w:val="24"/>
        </w:rPr>
        <w:t xml:space="preserve">studies of </w:t>
      </w:r>
      <w:r>
        <w:rPr>
          <w:rFonts w:asciiTheme="majorHAnsi" w:hAnsiTheme="majorHAnsi"/>
          <w:sz w:val="24"/>
          <w:szCs w:val="24"/>
        </w:rPr>
        <w:t>the use of virtual methods in human services</w:t>
      </w:r>
      <w:r w:rsidR="006751CE">
        <w:rPr>
          <w:rFonts w:asciiTheme="majorHAnsi" w:hAnsiTheme="majorHAnsi"/>
          <w:sz w:val="24"/>
          <w:szCs w:val="24"/>
        </w:rPr>
        <w:t>, and a limited number of studies addressing specific program areas, such as home visiting</w:t>
      </w:r>
      <w:r>
        <w:rPr>
          <w:rFonts w:asciiTheme="majorHAnsi" w:hAnsiTheme="majorHAnsi"/>
          <w:sz w:val="24"/>
          <w:szCs w:val="24"/>
        </w:rPr>
        <w:t>.</w:t>
      </w:r>
      <w:r w:rsidR="00014C1E">
        <w:rPr>
          <w:rStyle w:val="FootnoteReference"/>
          <w:rFonts w:asciiTheme="majorHAnsi" w:hAnsiTheme="majorHAnsi"/>
          <w:sz w:val="24"/>
          <w:szCs w:val="24"/>
        </w:rPr>
        <w:footnoteReference w:id="4"/>
      </w:r>
      <w:r>
        <w:rPr>
          <w:rFonts w:asciiTheme="majorHAnsi" w:hAnsiTheme="majorHAnsi"/>
          <w:sz w:val="24"/>
          <w:szCs w:val="24"/>
        </w:rPr>
        <w:t xml:space="preserve">  Experts consulted for a recent </w:t>
      </w:r>
      <w:r w:rsidR="00014C1E">
        <w:rPr>
          <w:rFonts w:asciiTheme="majorHAnsi" w:hAnsiTheme="majorHAnsi"/>
          <w:sz w:val="24"/>
          <w:szCs w:val="24"/>
        </w:rPr>
        <w:t>(</w:t>
      </w:r>
      <w:r w:rsidR="00E33165">
        <w:rPr>
          <w:rFonts w:asciiTheme="majorHAnsi" w:hAnsiTheme="majorHAnsi"/>
          <w:sz w:val="24"/>
          <w:szCs w:val="24"/>
        </w:rPr>
        <w:t xml:space="preserve">April </w:t>
      </w:r>
      <w:r w:rsidR="00014C1E">
        <w:rPr>
          <w:rFonts w:asciiTheme="majorHAnsi" w:hAnsiTheme="majorHAnsi"/>
          <w:sz w:val="24"/>
          <w:szCs w:val="24"/>
        </w:rPr>
        <w:t xml:space="preserve">28, 2020) </w:t>
      </w:r>
      <w:r>
        <w:rPr>
          <w:rFonts w:asciiTheme="majorHAnsi" w:hAnsiTheme="majorHAnsi"/>
          <w:sz w:val="24"/>
          <w:szCs w:val="24"/>
        </w:rPr>
        <w:t>ASPE-sponsored panel</w:t>
      </w:r>
      <w:r w:rsidR="00A651B6">
        <w:rPr>
          <w:rFonts w:asciiTheme="majorHAnsi" w:hAnsiTheme="majorHAnsi"/>
          <w:sz w:val="24"/>
          <w:szCs w:val="24"/>
        </w:rPr>
        <w:t xml:space="preserve">, </w:t>
      </w:r>
      <w:r w:rsidRPr="005B706E" w:rsidR="00A651B6">
        <w:rPr>
          <w:rFonts w:asciiTheme="majorHAnsi" w:hAnsiTheme="majorHAnsi"/>
          <w:i/>
          <w:sz w:val="24"/>
          <w:szCs w:val="24"/>
        </w:rPr>
        <w:t>Virtual Learning Exchange: Considerations for Successful Virtual Case Management in Human Services</w:t>
      </w:r>
      <w:r w:rsidR="00A651B6">
        <w:rPr>
          <w:rFonts w:asciiTheme="majorHAnsi" w:hAnsiTheme="majorHAnsi"/>
          <w:sz w:val="24"/>
          <w:szCs w:val="24"/>
        </w:rPr>
        <w:t>, c</w:t>
      </w:r>
      <w:r>
        <w:rPr>
          <w:rFonts w:asciiTheme="majorHAnsi" w:hAnsiTheme="majorHAnsi"/>
          <w:sz w:val="24"/>
          <w:szCs w:val="24"/>
        </w:rPr>
        <w:t xml:space="preserve">onfirmed the dearth of research in this area, as have others with whom we have consulted within the Administration for Children and Families </w:t>
      </w:r>
      <w:r w:rsidR="006751CE">
        <w:rPr>
          <w:rFonts w:asciiTheme="majorHAnsi" w:hAnsiTheme="majorHAnsi"/>
          <w:sz w:val="24"/>
          <w:szCs w:val="24"/>
        </w:rPr>
        <w:t xml:space="preserve">(ACF) </w:t>
      </w:r>
      <w:r>
        <w:rPr>
          <w:rFonts w:asciiTheme="majorHAnsi" w:hAnsiTheme="majorHAnsi"/>
          <w:sz w:val="24"/>
          <w:szCs w:val="24"/>
        </w:rPr>
        <w:t xml:space="preserve">at HHS, the American Public Human Services Association, and </w:t>
      </w:r>
      <w:r w:rsidR="006751CE">
        <w:rPr>
          <w:rFonts w:asciiTheme="majorHAnsi" w:hAnsiTheme="majorHAnsi"/>
          <w:sz w:val="24"/>
          <w:szCs w:val="24"/>
        </w:rPr>
        <w:t xml:space="preserve">national </w:t>
      </w:r>
      <w:r>
        <w:rPr>
          <w:rFonts w:asciiTheme="majorHAnsi" w:hAnsiTheme="majorHAnsi"/>
          <w:sz w:val="24"/>
          <w:szCs w:val="24"/>
        </w:rPr>
        <w:t xml:space="preserve">other organizations.  </w:t>
      </w:r>
    </w:p>
    <w:p w:rsidRPr="0041582B" w:rsidR="00E33E1B" w:rsidP="007760B3" w:rsidRDefault="00E33E1B" w14:paraId="0EC90CFC" w14:textId="77777777">
      <w:pPr>
        <w:pStyle w:val="ListParagraph"/>
        <w:spacing w:after="0" w:line="240" w:lineRule="auto"/>
        <w:rPr>
          <w:rFonts w:asciiTheme="majorHAnsi" w:hAnsiTheme="majorHAnsi"/>
          <w:sz w:val="24"/>
          <w:szCs w:val="24"/>
        </w:rPr>
      </w:pPr>
    </w:p>
    <w:p w:rsidRPr="0041582B" w:rsidR="00B12F51" w:rsidP="007760B3" w:rsidRDefault="00B47055" w14:paraId="5203EA6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Impact on Small Businesses or Other Small Entities</w:t>
      </w:r>
    </w:p>
    <w:p w:rsidRPr="0041582B" w:rsidR="0053557D" w:rsidP="007760B3" w:rsidRDefault="00D26A64" w14:paraId="7B443680"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N</w:t>
      </w:r>
      <w:r w:rsidRPr="0041582B" w:rsidR="00AF2252">
        <w:rPr>
          <w:rFonts w:asciiTheme="majorHAnsi" w:hAnsiTheme="majorHAnsi"/>
          <w:sz w:val="24"/>
          <w:szCs w:val="24"/>
        </w:rPr>
        <w:t>o small businesses will be involved in this data collection</w:t>
      </w:r>
      <w:r w:rsidRPr="0041582B">
        <w:rPr>
          <w:rFonts w:asciiTheme="majorHAnsi" w:hAnsiTheme="majorHAnsi"/>
          <w:sz w:val="24"/>
          <w:szCs w:val="24"/>
        </w:rPr>
        <w:t>.</w:t>
      </w:r>
    </w:p>
    <w:p w:rsidRPr="0041582B" w:rsidR="00BB7B23" w:rsidP="007760B3" w:rsidRDefault="00BB7B23" w14:paraId="02EBB87A" w14:textId="77777777">
      <w:pPr>
        <w:pStyle w:val="ListParagraph"/>
        <w:spacing w:after="0" w:line="240" w:lineRule="auto"/>
        <w:rPr>
          <w:rFonts w:asciiTheme="majorHAnsi" w:hAnsiTheme="majorHAnsi"/>
          <w:sz w:val="24"/>
          <w:szCs w:val="24"/>
        </w:rPr>
      </w:pPr>
    </w:p>
    <w:p w:rsidRPr="0041582B" w:rsidR="00C768E5" w:rsidP="007760B3" w:rsidRDefault="00B47055" w14:paraId="2810CA0F"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Consequences of Collecting the Information Less Frequently</w:t>
      </w:r>
      <w:r w:rsidRPr="0041582B">
        <w:rPr>
          <w:rFonts w:asciiTheme="majorHAnsi" w:hAnsiTheme="majorHAnsi"/>
          <w:b/>
          <w:sz w:val="24"/>
          <w:szCs w:val="24"/>
        </w:rPr>
        <w:t xml:space="preserve"> </w:t>
      </w:r>
      <w:r w:rsidRPr="0041582B" w:rsidR="00D95FBF">
        <w:rPr>
          <w:rFonts w:asciiTheme="majorHAnsi" w:hAnsiTheme="majorHAnsi"/>
          <w:b/>
          <w:sz w:val="24"/>
          <w:szCs w:val="24"/>
        </w:rPr>
        <w:t xml:space="preserve">   </w:t>
      </w:r>
    </w:p>
    <w:p w:rsidRPr="0041582B" w:rsidR="00607F7C" w:rsidP="007760B3" w:rsidRDefault="00607F7C" w14:paraId="27245B99" w14:textId="68FB798A">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 xml:space="preserve">This request is for </w:t>
      </w:r>
      <w:r w:rsidRPr="0041582B" w:rsidR="00667C89">
        <w:rPr>
          <w:rFonts w:asciiTheme="majorHAnsi" w:hAnsiTheme="majorHAnsi"/>
          <w:sz w:val="24"/>
          <w:szCs w:val="24"/>
        </w:rPr>
        <w:t xml:space="preserve">a </w:t>
      </w:r>
      <w:r w:rsidR="006751CE">
        <w:rPr>
          <w:rFonts w:asciiTheme="majorHAnsi" w:hAnsiTheme="majorHAnsi"/>
          <w:sz w:val="24"/>
          <w:szCs w:val="24"/>
        </w:rPr>
        <w:t>one-</w:t>
      </w:r>
      <w:r w:rsidRPr="0041582B" w:rsidR="00BC5BB2">
        <w:rPr>
          <w:rFonts w:asciiTheme="majorHAnsi" w:hAnsiTheme="majorHAnsi"/>
          <w:sz w:val="24"/>
          <w:szCs w:val="24"/>
        </w:rPr>
        <w:t>time data collection.</w:t>
      </w:r>
      <w:r w:rsidRPr="0041582B" w:rsidR="0053557D">
        <w:rPr>
          <w:rFonts w:asciiTheme="majorHAnsi" w:hAnsiTheme="majorHAnsi"/>
          <w:sz w:val="24"/>
          <w:szCs w:val="24"/>
        </w:rPr>
        <w:t xml:space="preserve"> </w:t>
      </w:r>
      <w:r w:rsidR="00FC56D5">
        <w:rPr>
          <w:rFonts w:asciiTheme="majorHAnsi" w:hAnsiTheme="majorHAnsi"/>
          <w:sz w:val="24"/>
          <w:szCs w:val="24"/>
        </w:rPr>
        <w:t>Less frequently would mean collecting no data at all.</w:t>
      </w:r>
    </w:p>
    <w:p w:rsidRPr="0041582B" w:rsidR="00BF11A1" w:rsidP="007760B3" w:rsidRDefault="00BF11A1" w14:paraId="38DAC543" w14:textId="77777777">
      <w:pPr>
        <w:spacing w:after="0" w:line="240" w:lineRule="auto"/>
        <w:rPr>
          <w:rFonts w:asciiTheme="majorHAnsi" w:hAnsiTheme="majorHAnsi"/>
          <w:sz w:val="24"/>
          <w:szCs w:val="24"/>
        </w:rPr>
      </w:pPr>
    </w:p>
    <w:p w:rsidRPr="0041582B" w:rsidR="00B12F51" w:rsidP="007760B3" w:rsidRDefault="00B47055" w14:paraId="3BCE7C8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Special Circumstances Relating to the Guidelines of 5 CFR 1320.5</w:t>
      </w:r>
    </w:p>
    <w:p w:rsidRPr="0041582B" w:rsidR="00F52BCC" w:rsidP="007760B3" w:rsidRDefault="00A809AA" w14:paraId="7B8BEAB5"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 xml:space="preserve">There are no special circumstances with this information collection package. </w:t>
      </w:r>
      <w:r w:rsidRPr="0041582B" w:rsidR="00835CA7">
        <w:rPr>
          <w:rFonts w:asciiTheme="majorHAnsi" w:hAnsiTheme="majorHAnsi"/>
          <w:sz w:val="24"/>
          <w:szCs w:val="24"/>
        </w:rPr>
        <w:t>This request fully complies with the regulation 5 CFR 1320.5</w:t>
      </w:r>
      <w:r w:rsidRPr="0041582B" w:rsidR="00D95FBF">
        <w:rPr>
          <w:rFonts w:asciiTheme="majorHAnsi" w:hAnsiTheme="majorHAnsi"/>
          <w:sz w:val="24"/>
          <w:szCs w:val="24"/>
        </w:rPr>
        <w:t xml:space="preserve"> and will be voluntary</w:t>
      </w:r>
      <w:r w:rsidRPr="0041582B" w:rsidR="00835CA7">
        <w:rPr>
          <w:rFonts w:asciiTheme="majorHAnsi" w:hAnsiTheme="majorHAnsi"/>
          <w:sz w:val="24"/>
          <w:szCs w:val="24"/>
        </w:rPr>
        <w:t>.</w:t>
      </w:r>
    </w:p>
    <w:p w:rsidRPr="0041582B" w:rsidR="00F52BCC" w:rsidP="007760B3" w:rsidRDefault="00F52BCC" w14:paraId="41B80D47" w14:textId="77777777">
      <w:pPr>
        <w:pStyle w:val="ListParagraph"/>
        <w:spacing w:after="0" w:line="240" w:lineRule="auto"/>
        <w:rPr>
          <w:rFonts w:asciiTheme="majorHAnsi" w:hAnsiTheme="majorHAnsi"/>
          <w:sz w:val="24"/>
          <w:szCs w:val="24"/>
        </w:rPr>
      </w:pPr>
    </w:p>
    <w:p w:rsidRPr="0041582B" w:rsidR="00B12F51" w:rsidP="007760B3" w:rsidRDefault="0088467A" w14:paraId="4CE22972" w14:textId="77777777">
      <w:pPr>
        <w:pStyle w:val="ListParagraph"/>
        <w:numPr>
          <w:ilvl w:val="0"/>
          <w:numId w:val="2"/>
        </w:numPr>
        <w:spacing w:after="0" w:line="240" w:lineRule="auto"/>
        <w:rPr>
          <w:rFonts w:asciiTheme="majorHAnsi" w:hAnsiTheme="majorHAnsi"/>
          <w:b/>
          <w:bCs/>
          <w:sz w:val="24"/>
          <w:szCs w:val="24"/>
        </w:rPr>
      </w:pPr>
      <w:r w:rsidRPr="0041582B">
        <w:rPr>
          <w:rFonts w:asciiTheme="majorHAnsi" w:hAnsiTheme="majorHAnsi"/>
          <w:b/>
          <w:bCs/>
          <w:sz w:val="24"/>
          <w:szCs w:val="24"/>
        </w:rPr>
        <w:t>Comments in Response to the Federal Register Notice and Efforts to Consult Outside the Agency</w:t>
      </w:r>
    </w:p>
    <w:p w:rsidRPr="0041582B" w:rsidR="00F52BCC" w:rsidP="007760B3" w:rsidRDefault="00033BA0" w14:paraId="1B5CCD4A" w14:textId="77777777">
      <w:pPr>
        <w:pStyle w:val="BlockText"/>
        <w:spacing w:line="240" w:lineRule="auto"/>
        <w:ind w:left="810"/>
        <w:rPr>
          <w:sz w:val="24"/>
          <w:szCs w:val="24"/>
        </w:rPr>
      </w:pPr>
      <w:r w:rsidRPr="0041582B">
        <w:rPr>
          <w:sz w:val="24"/>
          <w:szCs w:val="24"/>
        </w:rPr>
        <w:lastRenderedPageBreak/>
        <w:t>This data collection is being conducted using the Generic Information Collection mechanism through ASPE – OMB No. 0990-0421, therefore no Federal Register notice is required.</w:t>
      </w:r>
    </w:p>
    <w:p w:rsidRPr="0041582B" w:rsidR="00B12F51" w:rsidP="007760B3" w:rsidRDefault="0088467A" w14:paraId="523C3F50"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Explanation of Any Payment or Gift to Respondents</w:t>
      </w:r>
    </w:p>
    <w:p w:rsidR="00F52BCC" w:rsidP="000F4D08" w:rsidRDefault="000F4D08" w14:paraId="2FAA0604" w14:textId="3D155303">
      <w:pPr>
        <w:pStyle w:val="ListParagraph"/>
        <w:spacing w:after="0" w:line="240" w:lineRule="auto"/>
        <w:ind w:left="810"/>
        <w:rPr>
          <w:rFonts w:asciiTheme="majorHAnsi" w:hAnsiTheme="majorHAnsi"/>
          <w:sz w:val="24"/>
          <w:szCs w:val="24"/>
        </w:rPr>
      </w:pPr>
      <w:r>
        <w:rPr>
          <w:rFonts w:asciiTheme="majorHAnsi" w:hAnsiTheme="majorHAnsi"/>
          <w:sz w:val="24"/>
          <w:szCs w:val="24"/>
        </w:rPr>
        <w:t>Respondents to this data collection fall into two categories:  professionals</w:t>
      </w:r>
      <w:r w:rsidR="002D74FB">
        <w:rPr>
          <w:rFonts w:asciiTheme="majorHAnsi" w:hAnsiTheme="majorHAnsi"/>
          <w:sz w:val="24"/>
          <w:szCs w:val="24"/>
        </w:rPr>
        <w:t xml:space="preserve"> (</w:t>
      </w:r>
      <w:r w:rsidR="001C2BEA">
        <w:rPr>
          <w:rFonts w:asciiTheme="majorHAnsi" w:hAnsiTheme="majorHAnsi"/>
          <w:sz w:val="24"/>
          <w:szCs w:val="24"/>
        </w:rPr>
        <w:t xml:space="preserve">program </w:t>
      </w:r>
      <w:r w:rsidR="002D74FB">
        <w:rPr>
          <w:rFonts w:asciiTheme="majorHAnsi" w:hAnsiTheme="majorHAnsi"/>
          <w:sz w:val="24"/>
          <w:szCs w:val="24"/>
        </w:rPr>
        <w:t>administrators</w:t>
      </w:r>
      <w:r w:rsidR="001C2BEA">
        <w:rPr>
          <w:rFonts w:asciiTheme="majorHAnsi" w:hAnsiTheme="majorHAnsi"/>
          <w:sz w:val="24"/>
          <w:szCs w:val="24"/>
        </w:rPr>
        <w:t xml:space="preserve">/managers </w:t>
      </w:r>
      <w:r w:rsidR="0015763F">
        <w:rPr>
          <w:rFonts w:asciiTheme="majorHAnsi" w:hAnsiTheme="majorHAnsi"/>
          <w:sz w:val="24"/>
          <w:szCs w:val="24"/>
        </w:rPr>
        <w:t>and frontline staff, such as</w:t>
      </w:r>
      <w:r w:rsidR="002D74FB">
        <w:rPr>
          <w:rFonts w:asciiTheme="majorHAnsi" w:hAnsiTheme="majorHAnsi"/>
          <w:sz w:val="24"/>
          <w:szCs w:val="24"/>
        </w:rPr>
        <w:t xml:space="preserve"> caseworkers</w:t>
      </w:r>
      <w:r w:rsidR="006751CE">
        <w:rPr>
          <w:rFonts w:asciiTheme="majorHAnsi" w:hAnsiTheme="majorHAnsi"/>
          <w:sz w:val="24"/>
          <w:szCs w:val="24"/>
        </w:rPr>
        <w:t xml:space="preserve"> or home visitors</w:t>
      </w:r>
      <w:r w:rsidR="0015763F">
        <w:rPr>
          <w:rFonts w:asciiTheme="majorHAnsi" w:hAnsiTheme="majorHAnsi"/>
          <w:sz w:val="24"/>
          <w:szCs w:val="24"/>
        </w:rPr>
        <w:t>)</w:t>
      </w:r>
      <w:r>
        <w:rPr>
          <w:rFonts w:asciiTheme="majorHAnsi" w:hAnsiTheme="majorHAnsi"/>
          <w:sz w:val="24"/>
          <w:szCs w:val="24"/>
        </w:rPr>
        <w:t xml:space="preserve"> who will be responding</w:t>
      </w:r>
      <w:r w:rsidR="002D74FB">
        <w:rPr>
          <w:rFonts w:asciiTheme="majorHAnsi" w:hAnsiTheme="majorHAnsi"/>
          <w:sz w:val="24"/>
          <w:szCs w:val="24"/>
        </w:rPr>
        <w:t xml:space="preserve"> in their professional </w:t>
      </w:r>
      <w:r w:rsidRPr="00014C1E" w:rsidR="002D74FB">
        <w:rPr>
          <w:rFonts w:asciiTheme="majorHAnsi" w:hAnsiTheme="majorHAnsi"/>
          <w:sz w:val="24"/>
          <w:szCs w:val="24"/>
        </w:rPr>
        <w:t>capacities (</w:t>
      </w:r>
      <w:r w:rsidRPr="005B706E" w:rsidR="006751CE">
        <w:rPr>
          <w:rFonts w:asciiTheme="majorHAnsi" w:hAnsiTheme="majorHAnsi"/>
          <w:sz w:val="24"/>
          <w:szCs w:val="24"/>
        </w:rPr>
        <w:t>about 72</w:t>
      </w:r>
      <w:r w:rsidRPr="00014C1E" w:rsidR="002D74FB">
        <w:rPr>
          <w:rFonts w:asciiTheme="majorHAnsi" w:hAnsiTheme="majorHAnsi"/>
          <w:sz w:val="24"/>
          <w:szCs w:val="24"/>
        </w:rPr>
        <w:t>)</w:t>
      </w:r>
      <w:r w:rsidRPr="00014C1E">
        <w:rPr>
          <w:rFonts w:asciiTheme="majorHAnsi" w:hAnsiTheme="majorHAnsi"/>
          <w:sz w:val="24"/>
          <w:szCs w:val="24"/>
        </w:rPr>
        <w:t xml:space="preserve">, and </w:t>
      </w:r>
      <w:r w:rsidRPr="005B706E" w:rsidR="0015763F">
        <w:rPr>
          <w:rFonts w:asciiTheme="majorHAnsi" w:hAnsiTheme="majorHAnsi"/>
          <w:sz w:val="24"/>
          <w:szCs w:val="24"/>
        </w:rPr>
        <w:t xml:space="preserve">clients </w:t>
      </w:r>
      <w:r w:rsidRPr="005B706E">
        <w:rPr>
          <w:rFonts w:asciiTheme="majorHAnsi" w:hAnsiTheme="majorHAnsi"/>
          <w:sz w:val="24"/>
          <w:szCs w:val="24"/>
        </w:rPr>
        <w:t xml:space="preserve">including </w:t>
      </w:r>
      <w:r w:rsidRPr="005B706E" w:rsidR="0015763F">
        <w:rPr>
          <w:rFonts w:asciiTheme="majorHAnsi" w:hAnsiTheme="majorHAnsi"/>
          <w:sz w:val="24"/>
          <w:szCs w:val="24"/>
        </w:rPr>
        <w:t xml:space="preserve">adults and young adults participating in human services programs such as Head Start (as parents) or TANF </w:t>
      </w:r>
      <w:r w:rsidRPr="005B706E" w:rsidR="002D74FB">
        <w:rPr>
          <w:rFonts w:asciiTheme="majorHAnsi" w:hAnsiTheme="majorHAnsi"/>
          <w:sz w:val="24"/>
          <w:szCs w:val="24"/>
        </w:rPr>
        <w:t>(</w:t>
      </w:r>
      <w:r w:rsidRPr="005B706E" w:rsidR="0015763F">
        <w:rPr>
          <w:rFonts w:asciiTheme="majorHAnsi" w:hAnsiTheme="majorHAnsi"/>
          <w:sz w:val="24"/>
          <w:szCs w:val="24"/>
        </w:rPr>
        <w:t>a total of about 42</w:t>
      </w:r>
      <w:r w:rsidRPr="00014C1E" w:rsidR="002D74FB">
        <w:rPr>
          <w:rFonts w:asciiTheme="majorHAnsi" w:hAnsiTheme="majorHAnsi"/>
          <w:sz w:val="24"/>
          <w:szCs w:val="24"/>
        </w:rPr>
        <w:t>)</w:t>
      </w:r>
      <w:r w:rsidRPr="00014C1E">
        <w:rPr>
          <w:rFonts w:asciiTheme="majorHAnsi" w:hAnsiTheme="majorHAnsi"/>
          <w:sz w:val="24"/>
          <w:szCs w:val="24"/>
        </w:rPr>
        <w:t xml:space="preserve">. The professional respondents will not be compensated. For the non-professional respondents, we plan to provide a </w:t>
      </w:r>
      <w:r w:rsidRPr="005B706E">
        <w:rPr>
          <w:rFonts w:asciiTheme="majorHAnsi" w:hAnsiTheme="majorHAnsi"/>
          <w:sz w:val="24"/>
          <w:szCs w:val="24"/>
        </w:rPr>
        <w:t>$</w:t>
      </w:r>
      <w:r w:rsidRPr="005B706E" w:rsidR="0015763F">
        <w:rPr>
          <w:rFonts w:asciiTheme="majorHAnsi" w:hAnsiTheme="majorHAnsi"/>
          <w:sz w:val="24"/>
          <w:szCs w:val="24"/>
        </w:rPr>
        <w:t>25</w:t>
      </w:r>
      <w:r w:rsidRPr="00014C1E">
        <w:rPr>
          <w:rFonts w:asciiTheme="majorHAnsi" w:hAnsiTheme="majorHAnsi"/>
          <w:sz w:val="24"/>
          <w:szCs w:val="24"/>
        </w:rPr>
        <w:t xml:space="preserve"> Visa Gift Card to thank them for their participation</w:t>
      </w:r>
      <w:r w:rsidR="00A2471B">
        <w:rPr>
          <w:rFonts w:asciiTheme="majorHAnsi" w:hAnsiTheme="majorHAnsi"/>
          <w:sz w:val="24"/>
          <w:szCs w:val="24"/>
        </w:rPr>
        <w:t xml:space="preserve"> and recognize the value of their lived experience</w:t>
      </w:r>
      <w:r>
        <w:rPr>
          <w:rFonts w:asciiTheme="majorHAnsi" w:hAnsiTheme="majorHAnsi"/>
          <w:sz w:val="24"/>
          <w:szCs w:val="24"/>
        </w:rPr>
        <w:t>. These respondents are voluntarily sharing with us their important perspectives</w:t>
      </w:r>
      <w:r w:rsidR="002D74FB">
        <w:rPr>
          <w:rFonts w:asciiTheme="majorHAnsi" w:hAnsiTheme="majorHAnsi"/>
          <w:sz w:val="24"/>
          <w:szCs w:val="24"/>
        </w:rPr>
        <w:t xml:space="preserve"> and the gift cards communicate to them that we value their time</w:t>
      </w:r>
      <w:r>
        <w:rPr>
          <w:rFonts w:asciiTheme="majorHAnsi" w:hAnsiTheme="majorHAnsi"/>
          <w:sz w:val="24"/>
          <w:szCs w:val="24"/>
        </w:rPr>
        <w:t xml:space="preserve">. While professional respondents will be talking with us as part of their professional roles, the nonprofessional respondents are not otherwise </w:t>
      </w:r>
      <w:r w:rsidR="00A2471B">
        <w:rPr>
          <w:rFonts w:asciiTheme="majorHAnsi" w:hAnsiTheme="majorHAnsi"/>
          <w:sz w:val="24"/>
          <w:szCs w:val="24"/>
        </w:rPr>
        <w:t>compensated</w:t>
      </w:r>
      <w:r>
        <w:rPr>
          <w:rFonts w:asciiTheme="majorHAnsi" w:hAnsiTheme="majorHAnsi"/>
          <w:sz w:val="24"/>
          <w:szCs w:val="24"/>
        </w:rPr>
        <w:t xml:space="preserve"> for their time in providing their perspectives. </w:t>
      </w:r>
    </w:p>
    <w:p w:rsidR="000F4D08" w:rsidP="000F4D08" w:rsidRDefault="000F4D08" w14:paraId="22703398" w14:textId="4F8682CF">
      <w:pPr>
        <w:pStyle w:val="ListParagraph"/>
        <w:spacing w:after="0" w:line="240" w:lineRule="auto"/>
        <w:ind w:left="810"/>
        <w:rPr>
          <w:rFonts w:asciiTheme="majorHAnsi" w:hAnsiTheme="majorHAnsi"/>
          <w:sz w:val="24"/>
          <w:szCs w:val="24"/>
        </w:rPr>
      </w:pPr>
    </w:p>
    <w:p w:rsidR="000F4D08" w:rsidP="000F4D08" w:rsidRDefault="00147140" w14:paraId="76550F72" w14:textId="5FDB2A5F">
      <w:pPr>
        <w:pStyle w:val="ListParagraph"/>
        <w:spacing w:after="0" w:line="240" w:lineRule="auto"/>
        <w:ind w:left="810"/>
        <w:rPr>
          <w:rFonts w:asciiTheme="majorHAnsi" w:hAnsiTheme="majorHAnsi"/>
          <w:sz w:val="24"/>
          <w:szCs w:val="24"/>
        </w:rPr>
      </w:pPr>
      <w:r>
        <w:rPr>
          <w:rFonts w:asciiTheme="majorHAnsi" w:hAnsiTheme="majorHAnsi"/>
          <w:sz w:val="24"/>
          <w:szCs w:val="24"/>
        </w:rPr>
        <w:t xml:space="preserve">Evidence shows that remuneration bolsters recruitment and attendance at </w:t>
      </w:r>
      <w:r w:rsidR="0015763F">
        <w:rPr>
          <w:rFonts w:asciiTheme="majorHAnsi" w:hAnsiTheme="majorHAnsi"/>
          <w:sz w:val="24"/>
          <w:szCs w:val="24"/>
        </w:rPr>
        <w:t>focus groups. Many</w:t>
      </w:r>
      <w:r>
        <w:rPr>
          <w:rFonts w:asciiTheme="majorHAnsi" w:hAnsiTheme="majorHAnsi"/>
          <w:sz w:val="24"/>
          <w:szCs w:val="24"/>
        </w:rPr>
        <w:t xml:space="preserve"> of these respondents are parents who </w:t>
      </w:r>
      <w:r w:rsidR="0015763F">
        <w:rPr>
          <w:rFonts w:asciiTheme="majorHAnsi" w:hAnsiTheme="majorHAnsi"/>
          <w:sz w:val="24"/>
          <w:szCs w:val="24"/>
        </w:rPr>
        <w:t xml:space="preserve">may be working or </w:t>
      </w:r>
      <w:r>
        <w:rPr>
          <w:rFonts w:asciiTheme="majorHAnsi" w:hAnsiTheme="majorHAnsi"/>
          <w:sz w:val="24"/>
          <w:szCs w:val="24"/>
        </w:rPr>
        <w:t xml:space="preserve">are </w:t>
      </w:r>
      <w:r w:rsidR="0015763F">
        <w:rPr>
          <w:rFonts w:asciiTheme="majorHAnsi" w:hAnsiTheme="majorHAnsi"/>
          <w:sz w:val="24"/>
          <w:szCs w:val="24"/>
        </w:rPr>
        <w:t xml:space="preserve">otherwise </w:t>
      </w:r>
      <w:r>
        <w:rPr>
          <w:rFonts w:asciiTheme="majorHAnsi" w:hAnsiTheme="majorHAnsi"/>
          <w:sz w:val="24"/>
          <w:szCs w:val="24"/>
        </w:rPr>
        <w:t xml:space="preserve">busy, and most are likely to be low income and thus face additional barriers to participating in the interview. To ensure that our incentive is not coercive, consent scripts indicate and interviewers will be trained to make it very clear that participants who choose to leave the </w:t>
      </w:r>
      <w:r w:rsidRPr="00014C1E">
        <w:rPr>
          <w:rFonts w:asciiTheme="majorHAnsi" w:hAnsiTheme="majorHAnsi"/>
          <w:sz w:val="24"/>
          <w:szCs w:val="24"/>
        </w:rPr>
        <w:t>group early or who prefer not to respond to certain quest</w:t>
      </w:r>
      <w:r w:rsidRPr="00014C1E" w:rsidR="0015763F">
        <w:rPr>
          <w:rFonts w:asciiTheme="majorHAnsi" w:hAnsiTheme="majorHAnsi"/>
          <w:sz w:val="24"/>
          <w:szCs w:val="24"/>
        </w:rPr>
        <w:t>ions will still receive the $</w:t>
      </w:r>
      <w:r w:rsidRPr="005B706E" w:rsidR="0015763F">
        <w:rPr>
          <w:rFonts w:asciiTheme="majorHAnsi" w:hAnsiTheme="majorHAnsi"/>
          <w:sz w:val="24"/>
          <w:szCs w:val="24"/>
        </w:rPr>
        <w:t>25</w:t>
      </w:r>
      <w:r w:rsidRPr="00014C1E" w:rsidR="0015763F">
        <w:rPr>
          <w:rFonts w:asciiTheme="majorHAnsi" w:hAnsiTheme="majorHAnsi"/>
          <w:sz w:val="24"/>
          <w:szCs w:val="24"/>
        </w:rPr>
        <w:t xml:space="preserve"> </w:t>
      </w:r>
      <w:r w:rsidRPr="00014C1E">
        <w:rPr>
          <w:rFonts w:asciiTheme="majorHAnsi" w:hAnsiTheme="majorHAnsi"/>
          <w:sz w:val="24"/>
          <w:szCs w:val="24"/>
        </w:rPr>
        <w:t>gift card. Mathematica staff will</w:t>
      </w:r>
      <w:r w:rsidRPr="005B706E">
        <w:rPr>
          <w:rFonts w:asciiTheme="majorHAnsi" w:hAnsiTheme="majorHAnsi"/>
          <w:sz w:val="24"/>
          <w:szCs w:val="24"/>
        </w:rPr>
        <w:t xml:space="preserve"> track the cards that are paid out by completing a log</w:t>
      </w:r>
      <w:r>
        <w:rPr>
          <w:rFonts w:asciiTheme="majorHAnsi" w:hAnsiTheme="majorHAnsi"/>
          <w:sz w:val="24"/>
          <w:szCs w:val="24"/>
        </w:rPr>
        <w:t xml:space="preserve"> when they send the gift card to participants.</w:t>
      </w:r>
    </w:p>
    <w:p w:rsidRPr="0041582B" w:rsidR="000F4D08" w:rsidP="000F4D08" w:rsidRDefault="000F4D08" w14:paraId="621749B2" w14:textId="77777777">
      <w:pPr>
        <w:pStyle w:val="ListParagraph"/>
        <w:spacing w:after="0" w:line="240" w:lineRule="auto"/>
        <w:ind w:left="810"/>
        <w:rPr>
          <w:rFonts w:asciiTheme="majorHAnsi" w:hAnsiTheme="majorHAnsi"/>
          <w:sz w:val="24"/>
          <w:szCs w:val="24"/>
        </w:rPr>
      </w:pPr>
    </w:p>
    <w:p w:rsidRPr="0041582B" w:rsidR="00B12F51" w:rsidP="007760B3" w:rsidRDefault="0088467A" w14:paraId="28B58186"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 xml:space="preserve"> </w:t>
      </w:r>
      <w:r w:rsidRPr="0041582B">
        <w:rPr>
          <w:rFonts w:asciiTheme="majorHAnsi" w:hAnsiTheme="majorHAnsi"/>
          <w:b/>
          <w:bCs/>
          <w:sz w:val="24"/>
          <w:szCs w:val="24"/>
        </w:rPr>
        <w:t>Assurance of Confidentiality Provided to Respondents</w:t>
      </w:r>
    </w:p>
    <w:p w:rsidR="00565EA9" w:rsidP="007760B3" w:rsidRDefault="00FC7C4A" w14:paraId="5636C2C0" w14:textId="1712001F">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 xml:space="preserve">Data collected in this study will be kept private to the extent allowed by law. </w:t>
      </w:r>
      <w:r w:rsidRPr="0041582B" w:rsidR="00033BA0">
        <w:rPr>
          <w:rFonts w:asciiTheme="majorHAnsi" w:hAnsiTheme="majorHAnsi"/>
          <w:sz w:val="24"/>
          <w:szCs w:val="24"/>
        </w:rPr>
        <w:t xml:space="preserve">The </w:t>
      </w:r>
      <w:r w:rsidRPr="00FF6BE0" w:rsidR="00033BA0">
        <w:rPr>
          <w:rFonts w:asciiTheme="majorHAnsi" w:hAnsiTheme="majorHAnsi"/>
          <w:sz w:val="24"/>
          <w:szCs w:val="24"/>
        </w:rPr>
        <w:t>Privacy Act does not apply to this data collection.</w:t>
      </w:r>
      <w:r w:rsidRPr="0041582B" w:rsidR="00033BA0">
        <w:rPr>
          <w:rFonts w:asciiTheme="majorHAnsi" w:hAnsiTheme="majorHAnsi"/>
          <w:sz w:val="24"/>
          <w:szCs w:val="24"/>
        </w:rPr>
        <w:t xml:space="preserve"> State and local </w:t>
      </w:r>
      <w:r w:rsidR="001C2BEA">
        <w:rPr>
          <w:rFonts w:asciiTheme="majorHAnsi" w:hAnsiTheme="majorHAnsi"/>
          <w:sz w:val="24"/>
          <w:szCs w:val="24"/>
        </w:rPr>
        <w:t xml:space="preserve">program </w:t>
      </w:r>
      <w:r w:rsidRPr="0041582B" w:rsidR="00033BA0">
        <w:rPr>
          <w:rFonts w:asciiTheme="majorHAnsi" w:hAnsiTheme="majorHAnsi"/>
          <w:sz w:val="24"/>
          <w:szCs w:val="24"/>
        </w:rPr>
        <w:t>administrators</w:t>
      </w:r>
      <w:r w:rsidR="001C2BEA">
        <w:rPr>
          <w:rFonts w:asciiTheme="majorHAnsi" w:hAnsiTheme="majorHAnsi"/>
          <w:sz w:val="24"/>
          <w:szCs w:val="24"/>
        </w:rPr>
        <w:t>/managers</w:t>
      </w:r>
      <w:r w:rsidRPr="0041582B" w:rsidR="00033BA0">
        <w:rPr>
          <w:rFonts w:asciiTheme="majorHAnsi" w:hAnsiTheme="majorHAnsi"/>
          <w:sz w:val="24"/>
          <w:szCs w:val="24"/>
        </w:rPr>
        <w:t xml:space="preserve"> and practitioners who answer questions will be answering in their official roles and will not be asked about, nor will they provide, sensitive individually identifiable information. </w:t>
      </w:r>
    </w:p>
    <w:p w:rsidR="00C87F6E" w:rsidP="007760B3" w:rsidRDefault="00C87F6E" w14:paraId="03DE3F4C" w14:textId="0AD1371E">
      <w:pPr>
        <w:pStyle w:val="ListParagraph"/>
        <w:autoSpaceDE w:val="0"/>
        <w:autoSpaceDN w:val="0"/>
        <w:adjustRightInd w:val="0"/>
        <w:spacing w:after="0" w:line="240" w:lineRule="auto"/>
        <w:ind w:left="810"/>
        <w:rPr>
          <w:rFonts w:asciiTheme="majorHAnsi" w:hAnsiTheme="majorHAnsi"/>
          <w:sz w:val="24"/>
          <w:szCs w:val="24"/>
        </w:rPr>
      </w:pPr>
    </w:p>
    <w:p w:rsidR="006F51C3" w:rsidP="007760B3" w:rsidRDefault="00FC56D5" w14:paraId="00D6AB32" w14:textId="43278088">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With respect to non-professional respondents, o</w:t>
      </w:r>
      <w:r w:rsidR="00C87F6E">
        <w:rPr>
          <w:rFonts w:asciiTheme="majorHAnsi" w:hAnsiTheme="majorHAnsi"/>
          <w:sz w:val="24"/>
          <w:szCs w:val="24"/>
        </w:rPr>
        <w:t xml:space="preserve">ur contractor will collect only that identifying information needed to </w:t>
      </w:r>
      <w:r w:rsidRPr="00A97460" w:rsidR="00C87F6E">
        <w:rPr>
          <w:rFonts w:asciiTheme="majorHAnsi" w:hAnsiTheme="majorHAnsi"/>
          <w:sz w:val="24"/>
          <w:szCs w:val="24"/>
        </w:rPr>
        <w:t>schedule interviews and</w:t>
      </w:r>
      <w:r w:rsidRPr="00A97460" w:rsidR="00FF6BE0">
        <w:rPr>
          <w:rFonts w:asciiTheme="majorHAnsi" w:hAnsiTheme="majorHAnsi"/>
          <w:sz w:val="24"/>
          <w:szCs w:val="24"/>
        </w:rPr>
        <w:t xml:space="preserve"> </w:t>
      </w:r>
      <w:r w:rsidRPr="00A97460" w:rsidR="00C87F6E">
        <w:rPr>
          <w:rFonts w:asciiTheme="majorHAnsi" w:hAnsiTheme="majorHAnsi"/>
          <w:sz w:val="24"/>
          <w:szCs w:val="24"/>
        </w:rPr>
        <w:t xml:space="preserve">to send gift cards in appreciation of their participation. </w:t>
      </w:r>
      <w:r w:rsidRPr="00A97460" w:rsidR="006F51C3">
        <w:rPr>
          <w:rFonts w:asciiTheme="majorHAnsi" w:hAnsiTheme="majorHAnsi"/>
          <w:sz w:val="24"/>
          <w:szCs w:val="24"/>
        </w:rPr>
        <w:t xml:space="preserve">The names of study participants will </w:t>
      </w:r>
      <w:r w:rsidRPr="00A97460" w:rsidR="00F21624">
        <w:rPr>
          <w:rFonts w:asciiTheme="majorHAnsi" w:hAnsiTheme="majorHAnsi"/>
          <w:sz w:val="24"/>
          <w:szCs w:val="24"/>
        </w:rPr>
        <w:t>be kept private to extent allowed by law,</w:t>
      </w:r>
      <w:r w:rsidRPr="00A97460" w:rsidR="006F51C3">
        <w:rPr>
          <w:rFonts w:asciiTheme="majorHAnsi" w:hAnsiTheme="majorHAnsi"/>
          <w:sz w:val="24"/>
          <w:szCs w:val="24"/>
        </w:rPr>
        <w:t xml:space="preserve"> and will not be used in the analysis or writing the study findings, regardless of whether the names were mentioned in an interview and therefore became part of the transcripts. </w:t>
      </w:r>
      <w:r w:rsidRPr="00A97460" w:rsidR="00FF6BE0">
        <w:rPr>
          <w:rFonts w:asciiTheme="majorHAnsi" w:hAnsiTheme="majorHAnsi"/>
          <w:sz w:val="24"/>
          <w:szCs w:val="24"/>
        </w:rPr>
        <w:t xml:space="preserve"> </w:t>
      </w:r>
      <w:r w:rsidRPr="00A97460" w:rsidR="006F51C3">
        <w:rPr>
          <w:rFonts w:asciiTheme="majorHAnsi" w:hAnsiTheme="majorHAnsi"/>
          <w:sz w:val="24"/>
          <w:szCs w:val="24"/>
        </w:rPr>
        <w:t>All</w:t>
      </w:r>
      <w:r w:rsidR="006F51C3">
        <w:rPr>
          <w:rFonts w:asciiTheme="majorHAnsi" w:hAnsiTheme="majorHAnsi"/>
          <w:sz w:val="24"/>
          <w:szCs w:val="24"/>
        </w:rPr>
        <w:t xml:space="preserve"> </w:t>
      </w:r>
      <w:r w:rsidR="00DB3331">
        <w:rPr>
          <w:rFonts w:asciiTheme="majorHAnsi" w:hAnsiTheme="majorHAnsi"/>
          <w:sz w:val="24"/>
          <w:szCs w:val="24"/>
        </w:rPr>
        <w:t>focus group participants will be asked to choose a pseudonym for purposes of the group discussion, and will be</w:t>
      </w:r>
      <w:bookmarkStart w:name="_GoBack" w:id="0"/>
      <w:bookmarkEnd w:id="0"/>
      <w:r w:rsidR="00DB3331">
        <w:rPr>
          <w:rFonts w:asciiTheme="majorHAnsi" w:hAnsiTheme="majorHAnsi"/>
          <w:sz w:val="24"/>
          <w:szCs w:val="24"/>
        </w:rPr>
        <w:t xml:space="preserve"> referred to by that name, or by </w:t>
      </w:r>
      <w:r w:rsidR="006F51C3">
        <w:rPr>
          <w:rFonts w:asciiTheme="majorHAnsi" w:hAnsiTheme="majorHAnsi"/>
          <w:sz w:val="24"/>
          <w:szCs w:val="24"/>
        </w:rPr>
        <w:t>generic roles that identifying only their respondent type (</w:t>
      </w:r>
      <w:r w:rsidR="00DB3331">
        <w:rPr>
          <w:rFonts w:asciiTheme="majorHAnsi" w:hAnsiTheme="majorHAnsi"/>
          <w:sz w:val="24"/>
          <w:szCs w:val="24"/>
        </w:rPr>
        <w:t xml:space="preserve">e.g. Head Start parent or </w:t>
      </w:r>
      <w:r w:rsidR="006F51C3">
        <w:rPr>
          <w:rFonts w:asciiTheme="majorHAnsi" w:hAnsiTheme="majorHAnsi"/>
          <w:sz w:val="24"/>
          <w:szCs w:val="24"/>
        </w:rPr>
        <w:t xml:space="preserve">former foster youth). </w:t>
      </w:r>
      <w:r w:rsidR="00FF6BE0">
        <w:rPr>
          <w:rFonts w:asciiTheme="majorHAnsi" w:hAnsiTheme="majorHAnsi"/>
          <w:sz w:val="24"/>
          <w:szCs w:val="24"/>
        </w:rPr>
        <w:t xml:space="preserve"> They will be asked to complete a short demographic form at the beginning of the focus group (</w:t>
      </w:r>
      <w:r w:rsidRPr="003135E5" w:rsidR="00FF6BE0">
        <w:rPr>
          <w:rFonts w:asciiTheme="majorHAnsi" w:hAnsiTheme="majorHAnsi"/>
          <w:sz w:val="24"/>
          <w:szCs w:val="24"/>
        </w:rPr>
        <w:t>Attachment C, described further in Supporting Statement B), but will be asked t</w:t>
      </w:r>
      <w:r w:rsidR="00FF6BE0">
        <w:rPr>
          <w:rFonts w:asciiTheme="majorHAnsi" w:hAnsiTheme="majorHAnsi"/>
          <w:sz w:val="24"/>
          <w:szCs w:val="24"/>
        </w:rPr>
        <w:t xml:space="preserve">o </w:t>
      </w:r>
      <w:r w:rsidR="00FF6BE0">
        <w:rPr>
          <w:rFonts w:asciiTheme="majorHAnsi" w:hAnsiTheme="majorHAnsi"/>
          <w:sz w:val="24"/>
          <w:szCs w:val="24"/>
        </w:rPr>
        <w:lastRenderedPageBreak/>
        <w:t xml:space="preserve">use their pseudonym when completing that form. </w:t>
      </w:r>
      <w:r>
        <w:rPr>
          <w:rFonts w:asciiTheme="majorHAnsi" w:hAnsiTheme="majorHAnsi"/>
          <w:sz w:val="24"/>
          <w:szCs w:val="24"/>
        </w:rPr>
        <w:t xml:space="preserve">In addition, no </w:t>
      </w:r>
      <w:r w:rsidR="00DB3331">
        <w:rPr>
          <w:rFonts w:asciiTheme="majorHAnsi" w:hAnsiTheme="majorHAnsi"/>
          <w:sz w:val="24"/>
          <w:szCs w:val="24"/>
        </w:rPr>
        <w:t xml:space="preserve">actual </w:t>
      </w:r>
      <w:r w:rsidR="006F51C3">
        <w:rPr>
          <w:rFonts w:asciiTheme="majorHAnsi" w:hAnsiTheme="majorHAnsi"/>
          <w:sz w:val="24"/>
          <w:szCs w:val="24"/>
        </w:rPr>
        <w:t xml:space="preserve">names </w:t>
      </w:r>
      <w:r>
        <w:rPr>
          <w:rFonts w:asciiTheme="majorHAnsi" w:hAnsiTheme="majorHAnsi"/>
          <w:sz w:val="24"/>
          <w:szCs w:val="24"/>
        </w:rPr>
        <w:t xml:space="preserve">will </w:t>
      </w:r>
      <w:r w:rsidR="006F51C3">
        <w:rPr>
          <w:rFonts w:asciiTheme="majorHAnsi" w:hAnsiTheme="majorHAnsi"/>
          <w:sz w:val="24"/>
          <w:szCs w:val="24"/>
        </w:rPr>
        <w:t>be used when documenting the interview notes for analysis.</w:t>
      </w:r>
    </w:p>
    <w:p w:rsidRPr="006F51C3" w:rsidR="00FC7C4A" w:rsidP="006F51C3" w:rsidRDefault="00FC7C4A" w14:paraId="5CBB7A96" w14:textId="591E0E71">
      <w:pPr>
        <w:autoSpaceDE w:val="0"/>
        <w:autoSpaceDN w:val="0"/>
        <w:adjustRightInd w:val="0"/>
        <w:spacing w:after="0" w:line="240" w:lineRule="auto"/>
        <w:rPr>
          <w:rFonts w:asciiTheme="majorHAnsi" w:hAnsiTheme="majorHAnsi"/>
          <w:sz w:val="24"/>
          <w:szCs w:val="24"/>
        </w:rPr>
      </w:pPr>
    </w:p>
    <w:p w:rsidRPr="0041582B" w:rsidR="00FC7C4A" w:rsidP="007760B3" w:rsidRDefault="00FC7C4A" w14:paraId="650CC045" w14:textId="76344EDE">
      <w:pPr>
        <w:pStyle w:val="ListParagraph"/>
        <w:autoSpaceDE w:val="0"/>
        <w:autoSpaceDN w:val="0"/>
        <w:adjustRightInd w:val="0"/>
        <w:spacing w:after="0" w:line="240" w:lineRule="auto"/>
        <w:ind w:left="810"/>
        <w:rPr>
          <w:rFonts w:asciiTheme="majorHAnsi" w:hAnsiTheme="majorHAnsi"/>
          <w:sz w:val="24"/>
          <w:szCs w:val="24"/>
        </w:rPr>
      </w:pPr>
      <w:r>
        <w:rPr>
          <w:rFonts w:asciiTheme="majorHAnsi" w:hAnsiTheme="majorHAnsi"/>
          <w:sz w:val="24"/>
          <w:szCs w:val="24"/>
        </w:rPr>
        <w:t xml:space="preserve">This data collection is being reviewed by </w:t>
      </w:r>
      <w:r w:rsidR="006F51C3">
        <w:rPr>
          <w:rFonts w:asciiTheme="majorHAnsi" w:hAnsiTheme="majorHAnsi"/>
          <w:sz w:val="24"/>
          <w:szCs w:val="24"/>
        </w:rPr>
        <w:t xml:space="preserve">our contractor’s external IRB. </w:t>
      </w:r>
    </w:p>
    <w:p w:rsidRPr="0041582B" w:rsidR="00F52BCC" w:rsidP="007760B3" w:rsidRDefault="00F52BCC" w14:paraId="0DDA2E1F" w14:textId="77777777">
      <w:pPr>
        <w:spacing w:after="0" w:line="240" w:lineRule="auto"/>
        <w:rPr>
          <w:rFonts w:asciiTheme="majorHAnsi" w:hAnsiTheme="majorHAnsi"/>
          <w:sz w:val="24"/>
          <w:szCs w:val="24"/>
        </w:rPr>
      </w:pPr>
    </w:p>
    <w:p w:rsidRPr="0041582B" w:rsidR="00B12F51" w:rsidP="007760B3" w:rsidRDefault="0088467A" w14:paraId="06282419"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Justification for Sensitive Questions</w:t>
      </w:r>
    </w:p>
    <w:p w:rsidR="00085BB0" w:rsidP="007760B3" w:rsidRDefault="003C31C9" w14:paraId="4F3FBB60" w14:textId="77777777">
      <w:pPr>
        <w:pStyle w:val="ListParagraph"/>
        <w:tabs>
          <w:tab w:val="left" w:pos="810"/>
        </w:tabs>
        <w:spacing w:after="0" w:line="240" w:lineRule="auto"/>
        <w:ind w:left="810"/>
        <w:rPr>
          <w:rFonts w:asciiTheme="majorHAnsi" w:hAnsiTheme="majorHAnsi"/>
          <w:sz w:val="24"/>
          <w:szCs w:val="24"/>
        </w:rPr>
      </w:pPr>
      <w:r w:rsidRPr="0041582B">
        <w:rPr>
          <w:rFonts w:asciiTheme="majorHAnsi" w:hAnsiTheme="majorHAnsi"/>
          <w:sz w:val="24"/>
          <w:szCs w:val="24"/>
        </w:rPr>
        <w:t>No information will be collected</w:t>
      </w:r>
      <w:r w:rsidRPr="0041582B" w:rsidR="00616090">
        <w:rPr>
          <w:rFonts w:asciiTheme="majorHAnsi" w:hAnsiTheme="majorHAnsi"/>
          <w:sz w:val="24"/>
          <w:szCs w:val="24"/>
        </w:rPr>
        <w:t xml:space="preserve"> </w:t>
      </w:r>
      <w:r w:rsidR="00CF47D2">
        <w:rPr>
          <w:rFonts w:asciiTheme="majorHAnsi" w:hAnsiTheme="majorHAnsi"/>
          <w:sz w:val="24"/>
          <w:szCs w:val="24"/>
        </w:rPr>
        <w:t xml:space="preserve">from professional respondents </w:t>
      </w:r>
      <w:r w:rsidRPr="0041582B" w:rsidR="00616090">
        <w:rPr>
          <w:rFonts w:asciiTheme="majorHAnsi" w:hAnsiTheme="majorHAnsi"/>
          <w:sz w:val="24"/>
          <w:szCs w:val="24"/>
        </w:rPr>
        <w:t xml:space="preserve">that </w:t>
      </w:r>
      <w:r w:rsidRPr="0041582B" w:rsidR="002C34ED">
        <w:rPr>
          <w:rFonts w:asciiTheme="majorHAnsi" w:hAnsiTheme="majorHAnsi"/>
          <w:sz w:val="24"/>
          <w:szCs w:val="24"/>
        </w:rPr>
        <w:t>is</w:t>
      </w:r>
      <w:r w:rsidRPr="0041582B" w:rsidR="00616090">
        <w:rPr>
          <w:rFonts w:asciiTheme="majorHAnsi" w:hAnsiTheme="majorHAnsi"/>
          <w:sz w:val="24"/>
          <w:szCs w:val="24"/>
        </w:rPr>
        <w:t xml:space="preserve"> of personal or sensitive nature</w:t>
      </w:r>
      <w:r w:rsidRPr="0041582B" w:rsidR="00D26A64">
        <w:rPr>
          <w:rFonts w:asciiTheme="majorHAnsi" w:hAnsiTheme="majorHAnsi"/>
          <w:sz w:val="24"/>
          <w:szCs w:val="24"/>
        </w:rPr>
        <w:t>.</w:t>
      </w:r>
      <w:r w:rsidR="00CF47D2">
        <w:rPr>
          <w:rFonts w:asciiTheme="majorHAnsi" w:hAnsiTheme="majorHAnsi"/>
          <w:sz w:val="24"/>
          <w:szCs w:val="24"/>
        </w:rPr>
        <w:t xml:space="preserve"> </w:t>
      </w:r>
    </w:p>
    <w:p w:rsidR="00085BB0" w:rsidP="007760B3" w:rsidRDefault="00085BB0" w14:paraId="41120EF0" w14:textId="77777777">
      <w:pPr>
        <w:pStyle w:val="ListParagraph"/>
        <w:tabs>
          <w:tab w:val="left" w:pos="810"/>
        </w:tabs>
        <w:spacing w:after="0" w:line="240" w:lineRule="auto"/>
        <w:ind w:left="810"/>
        <w:rPr>
          <w:rFonts w:asciiTheme="majorHAnsi" w:hAnsiTheme="majorHAnsi"/>
          <w:sz w:val="24"/>
          <w:szCs w:val="24"/>
        </w:rPr>
      </w:pPr>
    </w:p>
    <w:p w:rsidRPr="00B818C1" w:rsidR="00F52BCC" w:rsidP="00B818C1" w:rsidRDefault="00CF47D2" w14:paraId="4CFD7579" w14:textId="77E3AAAC">
      <w:pPr>
        <w:pStyle w:val="ListParagraph"/>
        <w:tabs>
          <w:tab w:val="left" w:pos="810"/>
        </w:tabs>
        <w:spacing w:after="0" w:line="240" w:lineRule="auto"/>
        <w:ind w:left="810"/>
        <w:rPr>
          <w:rFonts w:asciiTheme="majorHAnsi" w:hAnsiTheme="majorHAnsi"/>
          <w:sz w:val="24"/>
          <w:szCs w:val="24"/>
        </w:rPr>
      </w:pPr>
      <w:r>
        <w:rPr>
          <w:rFonts w:asciiTheme="majorHAnsi" w:hAnsiTheme="majorHAnsi"/>
          <w:sz w:val="24"/>
          <w:szCs w:val="24"/>
        </w:rPr>
        <w:t>For the non-</w:t>
      </w:r>
      <w:r w:rsidR="00F84FD6">
        <w:rPr>
          <w:rFonts w:asciiTheme="majorHAnsi" w:hAnsiTheme="majorHAnsi"/>
          <w:sz w:val="24"/>
          <w:szCs w:val="24"/>
        </w:rPr>
        <w:t>professional respondents, in some cases, participation in human services can, by its</w:t>
      </w:r>
      <w:r>
        <w:rPr>
          <w:rFonts w:asciiTheme="majorHAnsi" w:hAnsiTheme="majorHAnsi"/>
          <w:sz w:val="24"/>
          <w:szCs w:val="24"/>
        </w:rPr>
        <w:t xml:space="preserve"> nature</w:t>
      </w:r>
      <w:r w:rsidR="00F84FD6">
        <w:rPr>
          <w:rFonts w:asciiTheme="majorHAnsi" w:hAnsiTheme="majorHAnsi"/>
          <w:sz w:val="24"/>
          <w:szCs w:val="24"/>
        </w:rPr>
        <w:t xml:space="preserve">, be </w:t>
      </w:r>
      <w:r>
        <w:rPr>
          <w:rFonts w:asciiTheme="majorHAnsi" w:hAnsiTheme="majorHAnsi"/>
          <w:sz w:val="24"/>
          <w:szCs w:val="24"/>
        </w:rPr>
        <w:t>personal</w:t>
      </w:r>
      <w:r w:rsidR="00AD43B2">
        <w:rPr>
          <w:rFonts w:asciiTheme="majorHAnsi" w:hAnsiTheme="majorHAnsi"/>
          <w:sz w:val="24"/>
          <w:szCs w:val="24"/>
        </w:rPr>
        <w:t xml:space="preserve"> and emotional</w:t>
      </w:r>
      <w:r w:rsidR="00085BB0">
        <w:rPr>
          <w:rFonts w:asciiTheme="majorHAnsi" w:hAnsiTheme="majorHAnsi"/>
          <w:sz w:val="24"/>
          <w:szCs w:val="24"/>
        </w:rPr>
        <w:t>.</w:t>
      </w:r>
      <w:r>
        <w:rPr>
          <w:rFonts w:asciiTheme="majorHAnsi" w:hAnsiTheme="majorHAnsi"/>
          <w:sz w:val="24"/>
          <w:szCs w:val="24"/>
        </w:rPr>
        <w:t xml:space="preserve"> However, the perspectives of clients are particularly valuable since they</w:t>
      </w:r>
      <w:r w:rsidR="00F84FD6">
        <w:rPr>
          <w:rFonts w:asciiTheme="majorHAnsi" w:hAnsiTheme="majorHAnsi"/>
          <w:sz w:val="24"/>
          <w:szCs w:val="24"/>
        </w:rPr>
        <w:t xml:space="preserve"> are the most directly affected</w:t>
      </w:r>
      <w:r>
        <w:rPr>
          <w:rFonts w:asciiTheme="majorHAnsi" w:hAnsiTheme="majorHAnsi"/>
          <w:sz w:val="24"/>
          <w:szCs w:val="24"/>
        </w:rPr>
        <w:t xml:space="preserve"> by </w:t>
      </w:r>
      <w:r w:rsidR="00F84FD6">
        <w:rPr>
          <w:rFonts w:asciiTheme="majorHAnsi" w:hAnsiTheme="majorHAnsi"/>
          <w:sz w:val="24"/>
          <w:szCs w:val="24"/>
        </w:rPr>
        <w:t xml:space="preserve">changes in </w:t>
      </w:r>
      <w:r>
        <w:rPr>
          <w:rFonts w:asciiTheme="majorHAnsi" w:hAnsiTheme="majorHAnsi"/>
          <w:sz w:val="24"/>
          <w:szCs w:val="24"/>
        </w:rPr>
        <w:t>policies and practices</w:t>
      </w:r>
      <w:r w:rsidR="00F84FD6">
        <w:rPr>
          <w:rFonts w:asciiTheme="majorHAnsi" w:hAnsiTheme="majorHAnsi"/>
          <w:sz w:val="24"/>
          <w:szCs w:val="24"/>
        </w:rPr>
        <w:t xml:space="preserve"> affecting human services delivery</w:t>
      </w:r>
      <w:r>
        <w:rPr>
          <w:rFonts w:asciiTheme="majorHAnsi" w:hAnsiTheme="majorHAnsi"/>
          <w:sz w:val="24"/>
          <w:szCs w:val="24"/>
        </w:rPr>
        <w:t xml:space="preserve">. We will recruit our nonprofessional respondents </w:t>
      </w:r>
      <w:r w:rsidR="00F84FD6">
        <w:rPr>
          <w:rFonts w:asciiTheme="majorHAnsi" w:hAnsiTheme="majorHAnsi"/>
          <w:sz w:val="24"/>
          <w:szCs w:val="24"/>
        </w:rPr>
        <w:t xml:space="preserve">by publicizing the focus groups with </w:t>
      </w:r>
      <w:r>
        <w:rPr>
          <w:rFonts w:asciiTheme="majorHAnsi" w:hAnsiTheme="majorHAnsi"/>
          <w:sz w:val="24"/>
          <w:szCs w:val="24"/>
        </w:rPr>
        <w:t xml:space="preserve">the </w:t>
      </w:r>
      <w:r w:rsidR="00F84FD6">
        <w:rPr>
          <w:rFonts w:asciiTheme="majorHAnsi" w:hAnsiTheme="majorHAnsi"/>
          <w:sz w:val="24"/>
          <w:szCs w:val="24"/>
        </w:rPr>
        <w:t xml:space="preserve">local agencies and programs being studied through </w:t>
      </w:r>
      <w:r w:rsidR="00B1715E">
        <w:rPr>
          <w:rFonts w:asciiTheme="majorHAnsi" w:hAnsiTheme="majorHAnsi"/>
          <w:sz w:val="24"/>
          <w:szCs w:val="24"/>
        </w:rPr>
        <w:t xml:space="preserve">strategies such as email, </w:t>
      </w:r>
      <w:r w:rsidR="00F22EA4">
        <w:rPr>
          <w:rFonts w:asciiTheme="majorHAnsi" w:hAnsiTheme="majorHAnsi"/>
          <w:sz w:val="24"/>
          <w:szCs w:val="24"/>
        </w:rPr>
        <w:t xml:space="preserve">digital posters or flyers, </w:t>
      </w:r>
      <w:r w:rsidR="00B1715E">
        <w:rPr>
          <w:rFonts w:asciiTheme="majorHAnsi" w:hAnsiTheme="majorHAnsi"/>
          <w:sz w:val="24"/>
          <w:szCs w:val="24"/>
        </w:rPr>
        <w:t>and</w:t>
      </w:r>
      <w:r w:rsidR="00F84FD6">
        <w:rPr>
          <w:rFonts w:asciiTheme="majorHAnsi" w:hAnsiTheme="majorHAnsi"/>
          <w:sz w:val="24"/>
          <w:szCs w:val="24"/>
        </w:rPr>
        <w:t xml:space="preserve"> word of mouth, making clear that participation, or nonparticipation, has no bearing on the services they receive. Potential focus group participants will be reminded multiple times during the recruitment process, and again prior to the discussions themselves, that participation is entirely voluntary</w:t>
      </w:r>
      <w:r w:rsidR="00085BB0">
        <w:rPr>
          <w:rFonts w:asciiTheme="majorHAnsi" w:hAnsiTheme="majorHAnsi"/>
          <w:sz w:val="24"/>
          <w:szCs w:val="24"/>
        </w:rPr>
        <w:t>.</w:t>
      </w:r>
      <w:r w:rsidR="00F84FD6">
        <w:rPr>
          <w:rFonts w:asciiTheme="majorHAnsi" w:hAnsiTheme="majorHAnsi"/>
          <w:sz w:val="24"/>
          <w:szCs w:val="24"/>
        </w:rPr>
        <w:t xml:space="preserve"> They will also be reminded that during the group discussions, they can dec</w:t>
      </w:r>
      <w:r w:rsidR="00B818C1">
        <w:rPr>
          <w:rFonts w:asciiTheme="majorHAnsi" w:hAnsiTheme="majorHAnsi"/>
          <w:sz w:val="24"/>
          <w:szCs w:val="24"/>
        </w:rPr>
        <w:t>line to respond to any question</w:t>
      </w:r>
      <w:r w:rsidRPr="00B818C1" w:rsidR="00F84FD6">
        <w:rPr>
          <w:rFonts w:asciiTheme="majorHAnsi" w:hAnsiTheme="majorHAnsi"/>
          <w:sz w:val="24"/>
          <w:szCs w:val="24"/>
        </w:rPr>
        <w:t xml:space="preserve"> and may leave the group at any time. </w:t>
      </w:r>
      <w:r w:rsidRPr="00B818C1" w:rsidR="00085BB0">
        <w:rPr>
          <w:rFonts w:asciiTheme="majorHAnsi" w:hAnsiTheme="majorHAnsi"/>
          <w:sz w:val="24"/>
          <w:szCs w:val="24"/>
        </w:rPr>
        <w:t>We believe this will</w:t>
      </w:r>
      <w:r w:rsidRPr="00B818C1" w:rsidR="00AD43B2">
        <w:rPr>
          <w:rFonts w:asciiTheme="majorHAnsi" w:hAnsiTheme="majorHAnsi"/>
          <w:sz w:val="24"/>
          <w:szCs w:val="24"/>
        </w:rPr>
        <w:t xml:space="preserve"> minimize the intrusiveness experienced</w:t>
      </w:r>
      <w:r w:rsidRPr="00B818C1" w:rsidR="00085BB0">
        <w:rPr>
          <w:rFonts w:asciiTheme="majorHAnsi" w:hAnsiTheme="majorHAnsi"/>
          <w:sz w:val="24"/>
          <w:szCs w:val="24"/>
        </w:rPr>
        <w:t xml:space="preserve"> by </w:t>
      </w:r>
      <w:r w:rsidRPr="00B818C1" w:rsidR="00AD1C9D">
        <w:rPr>
          <w:rFonts w:asciiTheme="majorHAnsi" w:hAnsiTheme="majorHAnsi"/>
          <w:sz w:val="24"/>
          <w:szCs w:val="24"/>
        </w:rPr>
        <w:t>these</w:t>
      </w:r>
      <w:r w:rsidRPr="00B818C1" w:rsidR="00AD43B2">
        <w:rPr>
          <w:rFonts w:asciiTheme="majorHAnsi" w:hAnsiTheme="majorHAnsi"/>
          <w:sz w:val="24"/>
          <w:szCs w:val="24"/>
        </w:rPr>
        <w:t xml:space="preserve"> participants.</w:t>
      </w:r>
      <w:r w:rsidRPr="00B818C1" w:rsidR="00F84FD6">
        <w:rPr>
          <w:rFonts w:asciiTheme="majorHAnsi" w:hAnsiTheme="majorHAnsi"/>
          <w:sz w:val="24"/>
          <w:szCs w:val="24"/>
        </w:rPr>
        <w:t xml:space="preserve"> </w:t>
      </w:r>
    </w:p>
    <w:p w:rsidR="00B1265C" w:rsidP="007760B3" w:rsidRDefault="00B1265C" w14:paraId="388835B5" w14:textId="5FCD8240">
      <w:pPr>
        <w:pStyle w:val="ListParagraph"/>
        <w:tabs>
          <w:tab w:val="left" w:pos="810"/>
        </w:tabs>
        <w:spacing w:after="0" w:line="240" w:lineRule="auto"/>
        <w:ind w:left="810"/>
        <w:rPr>
          <w:rFonts w:asciiTheme="majorHAnsi" w:hAnsiTheme="majorHAnsi"/>
          <w:sz w:val="24"/>
          <w:szCs w:val="24"/>
        </w:rPr>
      </w:pPr>
    </w:p>
    <w:p w:rsidRPr="00F22EA4" w:rsidR="00B1265C" w:rsidP="007760B3" w:rsidRDefault="00B1265C" w14:paraId="6A0AB0DB" w14:textId="4C38236A">
      <w:pPr>
        <w:pStyle w:val="ListParagraph"/>
        <w:tabs>
          <w:tab w:val="left" w:pos="810"/>
        </w:tabs>
        <w:spacing w:after="0" w:line="240" w:lineRule="auto"/>
        <w:ind w:left="810"/>
        <w:rPr>
          <w:rFonts w:asciiTheme="majorHAnsi" w:hAnsiTheme="majorHAnsi"/>
          <w:sz w:val="24"/>
          <w:szCs w:val="24"/>
        </w:rPr>
      </w:pPr>
      <w:r>
        <w:rPr>
          <w:rFonts w:asciiTheme="majorHAnsi" w:hAnsiTheme="majorHAnsi"/>
          <w:sz w:val="24"/>
          <w:szCs w:val="24"/>
        </w:rPr>
        <w:t xml:space="preserve">We do not intend to </w:t>
      </w:r>
      <w:r w:rsidR="00B818C1">
        <w:rPr>
          <w:rFonts w:asciiTheme="majorHAnsi" w:hAnsiTheme="majorHAnsi"/>
          <w:sz w:val="24"/>
          <w:szCs w:val="24"/>
        </w:rPr>
        <w:t>ask about the specifics of participants’</w:t>
      </w:r>
      <w:r>
        <w:rPr>
          <w:rFonts w:asciiTheme="majorHAnsi" w:hAnsiTheme="majorHAnsi"/>
          <w:sz w:val="24"/>
          <w:szCs w:val="24"/>
        </w:rPr>
        <w:t xml:space="preserve"> </w:t>
      </w:r>
      <w:r w:rsidR="00F84FD6">
        <w:rPr>
          <w:rFonts w:asciiTheme="majorHAnsi" w:hAnsiTheme="majorHAnsi"/>
          <w:sz w:val="24"/>
          <w:szCs w:val="24"/>
        </w:rPr>
        <w:t xml:space="preserve">personal </w:t>
      </w:r>
      <w:r>
        <w:rPr>
          <w:rFonts w:asciiTheme="majorHAnsi" w:hAnsiTheme="majorHAnsi"/>
          <w:sz w:val="24"/>
          <w:szCs w:val="24"/>
        </w:rPr>
        <w:t xml:space="preserve">situations, </w:t>
      </w:r>
      <w:r w:rsidRPr="00F22EA4">
        <w:rPr>
          <w:rFonts w:asciiTheme="majorHAnsi" w:hAnsiTheme="majorHAnsi"/>
          <w:sz w:val="24"/>
          <w:szCs w:val="24"/>
        </w:rPr>
        <w:t xml:space="preserve">but will focus on how they experienced the </w:t>
      </w:r>
      <w:r w:rsidRPr="00F22EA4" w:rsidR="00F84FD6">
        <w:rPr>
          <w:rFonts w:asciiTheme="majorHAnsi" w:hAnsiTheme="majorHAnsi"/>
          <w:sz w:val="24"/>
          <w:szCs w:val="24"/>
        </w:rPr>
        <w:t>system</w:t>
      </w:r>
      <w:r w:rsidRPr="00F22EA4">
        <w:rPr>
          <w:rFonts w:asciiTheme="majorHAnsi" w:hAnsiTheme="majorHAnsi"/>
          <w:sz w:val="24"/>
          <w:szCs w:val="24"/>
        </w:rPr>
        <w:t>s</w:t>
      </w:r>
      <w:r w:rsidRPr="00F22EA4" w:rsidR="00F84FD6">
        <w:rPr>
          <w:rFonts w:asciiTheme="majorHAnsi" w:hAnsiTheme="majorHAnsi"/>
          <w:sz w:val="24"/>
          <w:szCs w:val="24"/>
        </w:rPr>
        <w:t xml:space="preserve">’ delivery </w:t>
      </w:r>
      <w:r w:rsidRPr="00F22EA4" w:rsidR="00B818C1">
        <w:rPr>
          <w:rFonts w:asciiTheme="majorHAnsi" w:hAnsiTheme="majorHAnsi"/>
          <w:sz w:val="24"/>
          <w:szCs w:val="24"/>
        </w:rPr>
        <w:t xml:space="preserve">of services </w:t>
      </w:r>
      <w:r w:rsidRPr="00F22EA4" w:rsidR="00F84FD6">
        <w:rPr>
          <w:rFonts w:asciiTheme="majorHAnsi" w:hAnsiTheme="majorHAnsi"/>
          <w:sz w:val="24"/>
          <w:szCs w:val="24"/>
        </w:rPr>
        <w:t>using virtual methods and</w:t>
      </w:r>
      <w:r w:rsidRPr="005B706E" w:rsidR="00B818C1">
        <w:rPr>
          <w:rFonts w:asciiTheme="majorHAnsi" w:hAnsiTheme="majorHAnsi"/>
          <w:sz w:val="24"/>
          <w:szCs w:val="24"/>
        </w:rPr>
        <w:t xml:space="preserve"> how they compare with similar program services they have received in </w:t>
      </w:r>
      <w:r w:rsidRPr="005B706E" w:rsidR="00F84FD6">
        <w:rPr>
          <w:rFonts w:asciiTheme="majorHAnsi" w:hAnsiTheme="majorHAnsi"/>
          <w:sz w:val="24"/>
          <w:szCs w:val="24"/>
        </w:rPr>
        <w:t>person prior to the programs’ adoption of virtual human service delivery</w:t>
      </w:r>
      <w:r w:rsidRPr="005B706E" w:rsidR="00B818C1">
        <w:rPr>
          <w:rFonts w:asciiTheme="majorHAnsi" w:hAnsiTheme="majorHAnsi"/>
          <w:sz w:val="24"/>
          <w:szCs w:val="24"/>
        </w:rPr>
        <w:t xml:space="preserve"> </w:t>
      </w:r>
      <w:r w:rsidRPr="005B706E" w:rsidR="00F84FD6">
        <w:rPr>
          <w:rFonts w:asciiTheme="majorHAnsi" w:hAnsiTheme="majorHAnsi"/>
          <w:sz w:val="24"/>
          <w:szCs w:val="24"/>
        </w:rPr>
        <w:t>(pre- and post-COVID)</w:t>
      </w:r>
      <w:r w:rsidRPr="00F22EA4" w:rsidR="00F84FD6">
        <w:rPr>
          <w:rFonts w:asciiTheme="majorHAnsi" w:hAnsiTheme="majorHAnsi"/>
          <w:sz w:val="24"/>
          <w:szCs w:val="24"/>
        </w:rPr>
        <w:t xml:space="preserve">. </w:t>
      </w:r>
    </w:p>
    <w:p w:rsidRPr="005B706E" w:rsidR="00616090" w:rsidP="007760B3" w:rsidRDefault="00616090" w14:paraId="32908B1C" w14:textId="77777777">
      <w:pPr>
        <w:spacing w:after="0" w:line="240" w:lineRule="auto"/>
        <w:rPr>
          <w:rFonts w:asciiTheme="majorHAnsi" w:hAnsiTheme="majorHAnsi"/>
          <w:sz w:val="24"/>
          <w:szCs w:val="24"/>
        </w:rPr>
      </w:pPr>
    </w:p>
    <w:p w:rsidRPr="005B706E" w:rsidR="00B64BFA" w:rsidP="007760B3" w:rsidRDefault="0088467A" w14:paraId="6E357714" w14:textId="77777777">
      <w:pPr>
        <w:pStyle w:val="ListParagraph"/>
        <w:numPr>
          <w:ilvl w:val="0"/>
          <w:numId w:val="2"/>
        </w:numPr>
        <w:spacing w:after="0" w:line="240" w:lineRule="auto"/>
        <w:rPr>
          <w:rFonts w:asciiTheme="majorHAnsi" w:hAnsiTheme="majorHAnsi"/>
          <w:b/>
          <w:sz w:val="24"/>
          <w:szCs w:val="24"/>
        </w:rPr>
      </w:pPr>
      <w:r w:rsidRPr="005B706E">
        <w:rPr>
          <w:rFonts w:asciiTheme="majorHAnsi" w:hAnsiTheme="majorHAnsi"/>
          <w:b/>
          <w:bCs/>
          <w:sz w:val="24"/>
          <w:szCs w:val="24"/>
        </w:rPr>
        <w:t>Estimates of Annualized Burden Hours and Costs</w:t>
      </w:r>
    </w:p>
    <w:p w:rsidRPr="00327A65" w:rsidR="002F27AD" w:rsidP="007760B3" w:rsidRDefault="00B64BFA" w14:paraId="68E51FFC" w14:textId="73B8178A">
      <w:pPr>
        <w:pStyle w:val="ListParagraph"/>
        <w:autoSpaceDE w:val="0"/>
        <w:autoSpaceDN w:val="0"/>
        <w:adjustRightInd w:val="0"/>
        <w:spacing w:line="240" w:lineRule="auto"/>
        <w:ind w:left="810"/>
        <w:rPr>
          <w:rFonts w:asciiTheme="majorHAnsi" w:hAnsiTheme="majorHAnsi"/>
          <w:sz w:val="24"/>
          <w:szCs w:val="24"/>
        </w:rPr>
      </w:pPr>
      <w:r w:rsidRPr="005B706E">
        <w:rPr>
          <w:rFonts w:asciiTheme="majorHAnsi" w:hAnsiTheme="majorHAnsi"/>
          <w:color w:val="000000"/>
          <w:sz w:val="24"/>
          <w:szCs w:val="24"/>
        </w:rPr>
        <w:t>The estimate for burden hours is</w:t>
      </w:r>
      <w:r w:rsidRPr="005B706E" w:rsidR="002529F8">
        <w:rPr>
          <w:rFonts w:asciiTheme="majorHAnsi" w:hAnsiTheme="majorHAnsi"/>
          <w:color w:val="000000"/>
          <w:sz w:val="24"/>
          <w:szCs w:val="24"/>
        </w:rPr>
        <w:t xml:space="preserve"> </w:t>
      </w:r>
      <w:r w:rsidRPr="005B706E" w:rsidR="002F27AD">
        <w:rPr>
          <w:rFonts w:asciiTheme="majorHAnsi" w:hAnsiTheme="majorHAnsi"/>
          <w:color w:val="000000"/>
          <w:sz w:val="24"/>
          <w:szCs w:val="24"/>
        </w:rPr>
        <w:t>60</w:t>
      </w:r>
      <w:r w:rsidRPr="005B706E" w:rsidR="003D1B08">
        <w:rPr>
          <w:rFonts w:asciiTheme="majorHAnsi" w:hAnsiTheme="majorHAnsi"/>
          <w:color w:val="000000"/>
          <w:sz w:val="24"/>
          <w:szCs w:val="24"/>
        </w:rPr>
        <w:t xml:space="preserve"> minutes per response</w:t>
      </w:r>
      <w:r w:rsidRPr="005B706E" w:rsidR="008C3432">
        <w:rPr>
          <w:rFonts w:asciiTheme="majorHAnsi" w:hAnsiTheme="majorHAnsi"/>
          <w:color w:val="000000"/>
          <w:sz w:val="24"/>
          <w:szCs w:val="24"/>
        </w:rPr>
        <w:t xml:space="preserve"> from administrators and </w:t>
      </w:r>
      <w:r w:rsidRPr="005B706E" w:rsidR="00F84FD6">
        <w:rPr>
          <w:rFonts w:asciiTheme="majorHAnsi" w:hAnsiTheme="majorHAnsi"/>
          <w:color w:val="000000"/>
          <w:sz w:val="24"/>
          <w:szCs w:val="24"/>
        </w:rPr>
        <w:t xml:space="preserve">frontline staff, </w:t>
      </w:r>
      <w:r w:rsidRPr="005B706E" w:rsidR="002F27AD">
        <w:rPr>
          <w:rFonts w:asciiTheme="majorHAnsi" w:hAnsiTheme="majorHAnsi"/>
          <w:color w:val="000000"/>
          <w:sz w:val="24"/>
          <w:szCs w:val="24"/>
        </w:rPr>
        <w:t xml:space="preserve">and </w:t>
      </w:r>
      <w:r w:rsidRPr="005B706E" w:rsidR="00B474EC">
        <w:rPr>
          <w:rFonts w:asciiTheme="majorHAnsi" w:hAnsiTheme="majorHAnsi"/>
          <w:color w:val="000000"/>
          <w:sz w:val="24"/>
          <w:szCs w:val="24"/>
        </w:rPr>
        <w:t>9</w:t>
      </w:r>
      <w:r w:rsidRPr="005B706E" w:rsidR="00CD10AF">
        <w:rPr>
          <w:rFonts w:asciiTheme="majorHAnsi" w:hAnsiTheme="majorHAnsi"/>
          <w:color w:val="000000"/>
          <w:sz w:val="24"/>
          <w:szCs w:val="24"/>
        </w:rPr>
        <w:t>0 minutes per response from</w:t>
      </w:r>
      <w:r w:rsidRPr="005B706E" w:rsidR="002F27AD">
        <w:rPr>
          <w:rFonts w:asciiTheme="majorHAnsi" w:hAnsiTheme="majorHAnsi"/>
          <w:color w:val="000000"/>
          <w:sz w:val="24"/>
          <w:szCs w:val="24"/>
        </w:rPr>
        <w:t xml:space="preserve"> </w:t>
      </w:r>
      <w:r w:rsidRPr="005B706E" w:rsidR="00F84FD6">
        <w:rPr>
          <w:rFonts w:asciiTheme="majorHAnsi" w:hAnsiTheme="majorHAnsi"/>
          <w:color w:val="000000"/>
          <w:sz w:val="24"/>
          <w:szCs w:val="24"/>
        </w:rPr>
        <w:t>program participants</w:t>
      </w:r>
      <w:r w:rsidRPr="005B706E" w:rsidR="002F27AD">
        <w:rPr>
          <w:rFonts w:asciiTheme="majorHAnsi" w:hAnsiTheme="majorHAnsi"/>
          <w:color w:val="000000"/>
          <w:sz w:val="24"/>
          <w:szCs w:val="24"/>
        </w:rPr>
        <w:t>.</w:t>
      </w:r>
      <w:r w:rsidRPr="005B706E" w:rsidR="00CD10AF">
        <w:rPr>
          <w:rFonts w:asciiTheme="majorHAnsi" w:hAnsiTheme="majorHAnsi"/>
          <w:color w:val="000000"/>
          <w:sz w:val="24"/>
          <w:szCs w:val="24"/>
        </w:rPr>
        <w:t xml:space="preserve"> </w:t>
      </w:r>
      <w:r w:rsidRPr="005B706E" w:rsidR="00B04F34">
        <w:rPr>
          <w:rFonts w:asciiTheme="majorHAnsi" w:hAnsiTheme="majorHAnsi"/>
          <w:color w:val="000000"/>
          <w:sz w:val="24"/>
          <w:szCs w:val="24"/>
        </w:rPr>
        <w:t>For the scan, w</w:t>
      </w:r>
      <w:r w:rsidRPr="005B706E" w:rsidR="00213BF9">
        <w:rPr>
          <w:rFonts w:asciiTheme="majorHAnsi" w:hAnsiTheme="majorHAnsi"/>
          <w:sz w:val="24"/>
          <w:szCs w:val="24"/>
        </w:rPr>
        <w:t xml:space="preserve">e plan to interview </w:t>
      </w:r>
      <w:r w:rsidRPr="005B706E" w:rsidR="00AD1C9D">
        <w:rPr>
          <w:rFonts w:asciiTheme="majorHAnsi" w:hAnsiTheme="majorHAnsi"/>
          <w:sz w:val="24"/>
          <w:szCs w:val="24"/>
        </w:rPr>
        <w:t>approximately</w:t>
      </w:r>
      <w:r w:rsidRPr="005B706E" w:rsidR="002F27AD">
        <w:rPr>
          <w:rFonts w:asciiTheme="majorHAnsi" w:hAnsiTheme="majorHAnsi"/>
          <w:sz w:val="24"/>
          <w:szCs w:val="24"/>
        </w:rPr>
        <w:t xml:space="preserve"> </w:t>
      </w:r>
      <w:r w:rsidRPr="005B706E" w:rsidR="00B818C1">
        <w:rPr>
          <w:rFonts w:asciiTheme="majorHAnsi" w:hAnsiTheme="majorHAnsi"/>
          <w:sz w:val="24"/>
          <w:szCs w:val="24"/>
        </w:rPr>
        <w:t>72</w:t>
      </w:r>
      <w:r w:rsidRPr="00F22EA4" w:rsidR="00F84FD6">
        <w:rPr>
          <w:rFonts w:asciiTheme="majorHAnsi" w:hAnsiTheme="majorHAnsi"/>
          <w:sz w:val="24"/>
          <w:szCs w:val="24"/>
        </w:rPr>
        <w:t xml:space="preserve"> </w:t>
      </w:r>
      <w:r w:rsidRPr="00F22EA4" w:rsidR="002F27AD">
        <w:rPr>
          <w:rFonts w:asciiTheme="majorHAnsi" w:hAnsiTheme="majorHAnsi"/>
          <w:sz w:val="24"/>
          <w:szCs w:val="24"/>
        </w:rPr>
        <w:t xml:space="preserve">professional respondents </w:t>
      </w:r>
      <w:r w:rsidRPr="00F22EA4" w:rsidR="00AD1C9D">
        <w:rPr>
          <w:rFonts w:asciiTheme="majorHAnsi" w:hAnsiTheme="majorHAnsi"/>
          <w:sz w:val="24"/>
          <w:szCs w:val="24"/>
        </w:rPr>
        <w:t>across</w:t>
      </w:r>
      <w:r w:rsidRPr="00F22EA4" w:rsidR="00B04F34">
        <w:rPr>
          <w:rFonts w:asciiTheme="majorHAnsi" w:hAnsiTheme="majorHAnsi"/>
          <w:sz w:val="24"/>
          <w:szCs w:val="24"/>
        </w:rPr>
        <w:t xml:space="preserve"> </w:t>
      </w:r>
      <w:r w:rsidRPr="005B706E" w:rsidR="00B818C1">
        <w:rPr>
          <w:rFonts w:asciiTheme="majorHAnsi" w:hAnsiTheme="majorHAnsi"/>
          <w:sz w:val="24"/>
          <w:szCs w:val="24"/>
        </w:rPr>
        <w:t>18</w:t>
      </w:r>
      <w:r w:rsidRPr="00F22EA4" w:rsidR="002F27AD">
        <w:rPr>
          <w:rFonts w:asciiTheme="majorHAnsi" w:hAnsiTheme="majorHAnsi"/>
          <w:sz w:val="24"/>
          <w:szCs w:val="24"/>
        </w:rPr>
        <w:t xml:space="preserve"> </w:t>
      </w:r>
      <w:r w:rsidRPr="00F22EA4" w:rsidR="00B04F34">
        <w:rPr>
          <w:rFonts w:asciiTheme="majorHAnsi" w:hAnsiTheme="majorHAnsi"/>
          <w:sz w:val="24"/>
          <w:szCs w:val="24"/>
        </w:rPr>
        <w:t xml:space="preserve">programs in </w:t>
      </w:r>
      <w:r w:rsidRPr="005B706E" w:rsidR="00B04F34">
        <w:rPr>
          <w:rFonts w:asciiTheme="majorHAnsi" w:hAnsiTheme="majorHAnsi"/>
          <w:sz w:val="24"/>
          <w:szCs w:val="24"/>
        </w:rPr>
        <w:t>6</w:t>
      </w:r>
      <w:r w:rsidRPr="00F22EA4" w:rsidR="00B04F34">
        <w:rPr>
          <w:rFonts w:asciiTheme="majorHAnsi" w:hAnsiTheme="majorHAnsi"/>
          <w:sz w:val="24"/>
          <w:szCs w:val="24"/>
        </w:rPr>
        <w:t xml:space="preserve"> states</w:t>
      </w:r>
      <w:r w:rsidRPr="00F22EA4" w:rsidR="002F27AD">
        <w:rPr>
          <w:rFonts w:asciiTheme="majorHAnsi" w:hAnsiTheme="majorHAnsi"/>
          <w:sz w:val="24"/>
          <w:szCs w:val="24"/>
        </w:rPr>
        <w:t xml:space="preserve">. For the nonprofessional respondents </w:t>
      </w:r>
      <w:r w:rsidRPr="00F22EA4" w:rsidR="00B04F34">
        <w:rPr>
          <w:rFonts w:asciiTheme="majorHAnsi" w:hAnsiTheme="majorHAnsi"/>
          <w:sz w:val="24"/>
          <w:szCs w:val="24"/>
        </w:rPr>
        <w:t>(program participants) we plan to</w:t>
      </w:r>
      <w:r w:rsidRPr="00F22EA4" w:rsidR="002F27AD">
        <w:rPr>
          <w:rFonts w:asciiTheme="majorHAnsi" w:hAnsiTheme="majorHAnsi"/>
          <w:sz w:val="24"/>
          <w:szCs w:val="24"/>
        </w:rPr>
        <w:t xml:space="preserve"> conduct </w:t>
      </w:r>
      <w:r w:rsidRPr="00F22EA4" w:rsidR="00B1715E">
        <w:rPr>
          <w:rFonts w:asciiTheme="majorHAnsi" w:hAnsiTheme="majorHAnsi"/>
          <w:sz w:val="24"/>
          <w:szCs w:val="24"/>
        </w:rPr>
        <w:t xml:space="preserve">about </w:t>
      </w:r>
      <w:r w:rsidRPr="005B706E" w:rsidR="00B04F34">
        <w:rPr>
          <w:rFonts w:asciiTheme="majorHAnsi" w:hAnsiTheme="majorHAnsi"/>
          <w:sz w:val="24"/>
          <w:szCs w:val="24"/>
        </w:rPr>
        <w:t>six</w:t>
      </w:r>
      <w:r w:rsidRPr="00F22EA4" w:rsidR="00B04F34">
        <w:rPr>
          <w:rFonts w:asciiTheme="majorHAnsi" w:hAnsiTheme="majorHAnsi"/>
          <w:sz w:val="24"/>
          <w:szCs w:val="24"/>
        </w:rPr>
        <w:t xml:space="preserve"> focus groups—</w:t>
      </w:r>
      <w:r w:rsidRPr="00F22EA4" w:rsidR="00B1715E">
        <w:rPr>
          <w:rFonts w:asciiTheme="majorHAnsi" w:hAnsiTheme="majorHAnsi"/>
          <w:sz w:val="24"/>
          <w:szCs w:val="24"/>
        </w:rPr>
        <w:t xml:space="preserve">likely </w:t>
      </w:r>
      <w:r w:rsidRPr="00F22EA4" w:rsidR="00B04F34">
        <w:rPr>
          <w:rFonts w:asciiTheme="majorHAnsi" w:hAnsiTheme="majorHAnsi"/>
          <w:sz w:val="24"/>
          <w:szCs w:val="24"/>
        </w:rPr>
        <w:t>one for a single program in each</w:t>
      </w:r>
      <w:r w:rsidR="00B04F34">
        <w:rPr>
          <w:rFonts w:asciiTheme="majorHAnsi" w:hAnsiTheme="majorHAnsi"/>
          <w:sz w:val="24"/>
          <w:szCs w:val="24"/>
        </w:rPr>
        <w:t xml:space="preserve"> </w:t>
      </w:r>
      <w:r w:rsidRPr="00F22EA4" w:rsidR="00B04F34">
        <w:rPr>
          <w:rFonts w:asciiTheme="majorHAnsi" w:hAnsiTheme="majorHAnsi"/>
          <w:sz w:val="24"/>
          <w:szCs w:val="24"/>
        </w:rPr>
        <w:t>of the six states</w:t>
      </w:r>
      <w:r w:rsidRPr="00F22EA4" w:rsidR="00327A65">
        <w:rPr>
          <w:rFonts w:asciiTheme="majorHAnsi" w:hAnsiTheme="majorHAnsi"/>
          <w:sz w:val="24"/>
          <w:szCs w:val="24"/>
        </w:rPr>
        <w:t xml:space="preserve">, for a total of </w:t>
      </w:r>
      <w:r w:rsidRPr="00F22EA4" w:rsidR="00B1715E">
        <w:rPr>
          <w:rFonts w:asciiTheme="majorHAnsi" w:hAnsiTheme="majorHAnsi"/>
          <w:sz w:val="24"/>
          <w:szCs w:val="24"/>
        </w:rPr>
        <w:t xml:space="preserve">approximately </w:t>
      </w:r>
      <w:r w:rsidRPr="005B706E" w:rsidR="00B04F34">
        <w:rPr>
          <w:rFonts w:asciiTheme="majorHAnsi" w:hAnsiTheme="majorHAnsi"/>
          <w:sz w:val="24"/>
          <w:szCs w:val="24"/>
        </w:rPr>
        <w:t>42</w:t>
      </w:r>
      <w:r w:rsidRPr="005B706E" w:rsidR="00327A65">
        <w:rPr>
          <w:rFonts w:asciiTheme="majorHAnsi" w:hAnsiTheme="majorHAnsi"/>
          <w:sz w:val="24"/>
          <w:szCs w:val="24"/>
        </w:rPr>
        <w:t xml:space="preserve"> nonprofessional respondents</w:t>
      </w:r>
      <w:r w:rsidRPr="005B706E" w:rsidR="00B04F34">
        <w:rPr>
          <w:rFonts w:asciiTheme="majorHAnsi" w:hAnsiTheme="majorHAnsi"/>
          <w:sz w:val="24"/>
          <w:szCs w:val="24"/>
        </w:rPr>
        <w:t xml:space="preserve"> (an estimated 7 in each group)</w:t>
      </w:r>
      <w:r w:rsidRPr="00F22EA4" w:rsidR="00327A65">
        <w:rPr>
          <w:rFonts w:asciiTheme="majorHAnsi" w:hAnsiTheme="majorHAnsi"/>
          <w:sz w:val="24"/>
          <w:szCs w:val="24"/>
        </w:rPr>
        <w:t>.</w:t>
      </w:r>
      <w:r w:rsidRPr="00327A65" w:rsidR="00327A65">
        <w:rPr>
          <w:rFonts w:asciiTheme="majorHAnsi" w:hAnsiTheme="majorHAnsi"/>
          <w:sz w:val="24"/>
          <w:szCs w:val="24"/>
        </w:rPr>
        <w:t xml:space="preserve"> </w:t>
      </w:r>
      <w:r w:rsidRPr="00327A65" w:rsidR="002F27AD">
        <w:rPr>
          <w:rFonts w:asciiTheme="majorHAnsi" w:hAnsiTheme="majorHAnsi"/>
          <w:sz w:val="24"/>
          <w:szCs w:val="24"/>
        </w:rPr>
        <w:t xml:space="preserve"> </w:t>
      </w:r>
    </w:p>
    <w:p w:rsidR="00BA6BB4" w:rsidP="00BA6BB4" w:rsidRDefault="009E2921" w14:paraId="6BB938FE" w14:textId="741777D3">
      <w:pPr>
        <w:autoSpaceDE w:val="0"/>
        <w:autoSpaceDN w:val="0"/>
        <w:adjustRightInd w:val="0"/>
        <w:spacing w:line="240" w:lineRule="auto"/>
        <w:rPr>
          <w:rFonts w:asciiTheme="majorHAnsi" w:hAnsiTheme="majorHAnsi"/>
          <w:color w:val="000000"/>
          <w:sz w:val="24"/>
          <w:szCs w:val="24"/>
        </w:rPr>
      </w:pPr>
      <w:r w:rsidRPr="00BA6BB4">
        <w:rPr>
          <w:rFonts w:asciiTheme="majorHAnsi" w:hAnsiTheme="majorHAnsi"/>
          <w:color w:val="000000"/>
          <w:sz w:val="24"/>
          <w:szCs w:val="24"/>
        </w:rPr>
        <w:t>Table A-1</w:t>
      </w:r>
      <w:r w:rsidRPr="00BA6BB4" w:rsidR="00A578C2">
        <w:rPr>
          <w:rFonts w:asciiTheme="majorHAnsi" w:hAnsiTheme="majorHAnsi"/>
          <w:color w:val="000000"/>
          <w:sz w:val="24"/>
          <w:szCs w:val="24"/>
        </w:rPr>
        <w:t xml:space="preserve"> shows estimated burden and cost information.</w:t>
      </w:r>
      <w:r w:rsidR="00A87DF6">
        <w:rPr>
          <w:rFonts w:asciiTheme="majorHAnsi" w:hAnsiTheme="majorHAnsi"/>
          <w:color w:val="000000"/>
          <w:sz w:val="24"/>
          <w:szCs w:val="24"/>
        </w:rPr>
        <w:t xml:space="preserve"> </w:t>
      </w:r>
    </w:p>
    <w:p w:rsidR="00BA6BB4" w:rsidRDefault="00BA6BB4" w14:paraId="363FF03E" w14:textId="77777777">
      <w:pPr>
        <w:rPr>
          <w:rFonts w:asciiTheme="majorHAnsi" w:hAnsiTheme="majorHAnsi"/>
          <w:color w:val="000000"/>
          <w:sz w:val="24"/>
          <w:szCs w:val="24"/>
        </w:rPr>
      </w:pPr>
      <w:r>
        <w:rPr>
          <w:rFonts w:asciiTheme="majorHAnsi" w:hAnsiTheme="majorHAnsi"/>
          <w:color w:val="000000"/>
          <w:sz w:val="24"/>
          <w:szCs w:val="24"/>
        </w:rPr>
        <w:br w:type="page"/>
      </w:r>
    </w:p>
    <w:p w:rsidRPr="00BA6BB4" w:rsidR="00BA6BB4" w:rsidP="00BA6BB4" w:rsidRDefault="009E2921" w14:paraId="65536725" w14:textId="77777777">
      <w:pPr>
        <w:pStyle w:val="TableTitle"/>
        <w:rPr>
          <w:rFonts w:ascii="Arial" w:hAnsi="Arial"/>
        </w:rPr>
      </w:pPr>
      <w:r w:rsidRPr="0041582B">
        <w:rPr>
          <w:sz w:val="24"/>
          <w:szCs w:val="24"/>
          <w:u w:val="single"/>
        </w:rPr>
        <w:lastRenderedPageBreak/>
        <w:t>Table A-1</w:t>
      </w:r>
      <w:r w:rsidRPr="0041582B" w:rsidR="005A59E5">
        <w:rPr>
          <w:sz w:val="24"/>
          <w:szCs w:val="24"/>
        </w:rPr>
        <w:t xml:space="preserve">: </w:t>
      </w:r>
      <w:r w:rsidRPr="00BA6BB4" w:rsidR="00BA6BB4">
        <w:rPr>
          <w:rFonts w:ascii="Arial" w:hAnsi="Arial"/>
        </w:rPr>
        <w:t xml:space="preserve">Table 3. Estimated annualized burden hours and costs to respondents </w:t>
      </w:r>
    </w:p>
    <w:tbl>
      <w:tblPr>
        <w:tblStyle w:val="TableGrid1"/>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3"/>
        <w:gridCol w:w="1336"/>
        <w:gridCol w:w="1197"/>
        <w:gridCol w:w="1076"/>
        <w:gridCol w:w="1400"/>
        <w:gridCol w:w="1179"/>
        <w:gridCol w:w="1396"/>
      </w:tblGrid>
      <w:tr w:rsidRPr="00BA6BB4" w:rsidR="00BA6BB4" w:rsidTr="00BA6BB4" w14:paraId="1668D73F" w14:textId="77777777">
        <w:tc>
          <w:tcPr>
            <w:tcW w:w="850" w:type="pct"/>
            <w:shd w:val="clear" w:color="auto" w:fill="046B5C"/>
            <w:vAlign w:val="bottom"/>
            <w:hideMark/>
          </w:tcPr>
          <w:p w:rsidRPr="00BA6BB4" w:rsidR="00BA6BB4" w:rsidP="00BA6BB4" w:rsidRDefault="00BA6BB4" w14:paraId="4BA8E45C" w14:textId="77777777">
            <w:pPr>
              <w:spacing w:before="120" w:after="60"/>
              <w:textboxTightWrap w:val="allLines"/>
              <w:rPr>
                <w:rFonts w:ascii="Arial" w:hAnsi="Arial"/>
                <w:b/>
                <w:color w:val="FFFFFF"/>
                <w:sz w:val="18"/>
                <w:szCs w:val="18"/>
              </w:rPr>
            </w:pPr>
            <w:r w:rsidRPr="00BA6BB4">
              <w:rPr>
                <w:rFonts w:ascii="Arial" w:hAnsi="Arial"/>
                <w:b/>
                <w:color w:val="FFFFFF"/>
                <w:sz w:val="18"/>
                <w:szCs w:val="18"/>
              </w:rPr>
              <w:t>Type of respondent</w:t>
            </w:r>
          </w:p>
        </w:tc>
        <w:tc>
          <w:tcPr>
            <w:tcW w:w="731" w:type="pct"/>
            <w:shd w:val="clear" w:color="auto" w:fill="046B5C"/>
            <w:vAlign w:val="bottom"/>
            <w:hideMark/>
          </w:tcPr>
          <w:p w:rsidRPr="00BA6BB4" w:rsidR="00BA6BB4" w:rsidP="00BA6BB4" w:rsidRDefault="00BA6BB4" w14:paraId="294D892C"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Number of respondents</w:t>
            </w:r>
          </w:p>
        </w:tc>
        <w:tc>
          <w:tcPr>
            <w:tcW w:w="655" w:type="pct"/>
            <w:shd w:val="clear" w:color="auto" w:fill="046B5C"/>
            <w:vAlign w:val="bottom"/>
            <w:hideMark/>
          </w:tcPr>
          <w:p w:rsidRPr="00BA6BB4" w:rsidR="00BA6BB4" w:rsidP="00BA6BB4" w:rsidRDefault="00BA6BB4" w14:paraId="1E94181B"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 xml:space="preserve">Number of responses per respondent </w:t>
            </w:r>
          </w:p>
        </w:tc>
        <w:tc>
          <w:tcPr>
            <w:tcW w:w="589" w:type="pct"/>
            <w:shd w:val="clear" w:color="auto" w:fill="046B5C"/>
            <w:vAlign w:val="bottom"/>
            <w:hideMark/>
          </w:tcPr>
          <w:p w:rsidRPr="00BA6BB4" w:rsidR="00BA6BB4" w:rsidP="00BA6BB4" w:rsidRDefault="00BA6BB4" w14:paraId="326D8359" w14:textId="2103F9A0">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Avera</w:t>
            </w:r>
            <w:r>
              <w:rPr>
                <w:rFonts w:ascii="Arial" w:hAnsi="Arial"/>
                <w:b/>
                <w:color w:val="FFFFFF"/>
                <w:sz w:val="18"/>
                <w:szCs w:val="18"/>
              </w:rPr>
              <w:t>ge burden per response (in minutes</w:t>
            </w:r>
            <w:r w:rsidRPr="00BA6BB4">
              <w:rPr>
                <w:rFonts w:ascii="Arial" w:hAnsi="Arial"/>
                <w:b/>
                <w:color w:val="FFFFFF"/>
                <w:sz w:val="18"/>
                <w:szCs w:val="18"/>
              </w:rPr>
              <w:t xml:space="preserve">) </w:t>
            </w:r>
          </w:p>
        </w:tc>
        <w:tc>
          <w:tcPr>
            <w:tcW w:w="766" w:type="pct"/>
            <w:shd w:val="clear" w:color="auto" w:fill="046B5C"/>
            <w:vAlign w:val="bottom"/>
            <w:hideMark/>
          </w:tcPr>
          <w:p w:rsidRPr="00BA6BB4" w:rsidR="00BA6BB4" w:rsidP="00BA6BB4" w:rsidRDefault="00BA6BB4" w14:paraId="2E54C85F"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Total burden hours</w:t>
            </w:r>
            <w:r w:rsidRPr="00BA6BB4">
              <w:rPr>
                <w:rFonts w:ascii="Arial" w:hAnsi="Arial"/>
                <w:b/>
                <w:color w:val="FFFFFF"/>
                <w:sz w:val="18"/>
                <w:szCs w:val="18"/>
                <w:vertAlign w:val="superscript"/>
              </w:rPr>
              <w:t xml:space="preserve"> </w:t>
            </w:r>
          </w:p>
        </w:tc>
        <w:tc>
          <w:tcPr>
            <w:tcW w:w="645" w:type="pct"/>
            <w:shd w:val="clear" w:color="auto" w:fill="046B5C"/>
          </w:tcPr>
          <w:p w:rsidRPr="00BA6BB4" w:rsidR="00BA6BB4" w:rsidP="00BA6BB4" w:rsidRDefault="00BA6BB4" w14:paraId="0597B297" w14:textId="77777777">
            <w:pPr>
              <w:spacing w:before="120" w:after="60"/>
              <w:jc w:val="center"/>
              <w:textboxTightWrap w:val="allLines"/>
              <w:rPr>
                <w:rFonts w:ascii="Arial" w:hAnsi="Arial"/>
                <w:b/>
                <w:color w:val="FFFFFF"/>
                <w:sz w:val="18"/>
                <w:szCs w:val="18"/>
              </w:rPr>
            </w:pPr>
          </w:p>
          <w:p w:rsidRPr="00BA6BB4" w:rsidR="00BA6BB4" w:rsidP="00BA6BB4" w:rsidRDefault="00BA6BB4" w14:paraId="27AB08AC"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Hourly Wage Rate</w:t>
            </w:r>
            <w:r w:rsidRPr="00BA6BB4">
              <w:rPr>
                <w:rFonts w:ascii="Arial" w:hAnsi="Arial"/>
                <w:b/>
                <w:color w:val="FFFFFF"/>
                <w:sz w:val="18"/>
                <w:szCs w:val="18"/>
                <w:vertAlign w:val="superscript"/>
              </w:rPr>
              <w:footnoteReference w:id="5"/>
            </w:r>
          </w:p>
        </w:tc>
        <w:tc>
          <w:tcPr>
            <w:tcW w:w="764" w:type="pct"/>
            <w:shd w:val="clear" w:color="auto" w:fill="046B5C"/>
          </w:tcPr>
          <w:p w:rsidRPr="00BA6BB4" w:rsidR="00BA6BB4" w:rsidP="00BA6BB4" w:rsidRDefault="00BA6BB4" w14:paraId="677882B4" w14:textId="77777777">
            <w:pPr>
              <w:spacing w:before="120" w:after="60"/>
              <w:jc w:val="center"/>
              <w:textboxTightWrap w:val="allLines"/>
              <w:rPr>
                <w:rFonts w:ascii="Arial" w:hAnsi="Arial"/>
                <w:b/>
                <w:color w:val="FFFFFF"/>
                <w:sz w:val="18"/>
                <w:szCs w:val="18"/>
              </w:rPr>
            </w:pPr>
          </w:p>
          <w:p w:rsidRPr="00BA6BB4" w:rsidR="00BA6BB4" w:rsidP="00BA6BB4" w:rsidRDefault="00BA6BB4" w14:paraId="153B1387" w14:textId="77777777">
            <w:pPr>
              <w:spacing w:before="120" w:after="60"/>
              <w:jc w:val="center"/>
              <w:textboxTightWrap w:val="allLines"/>
              <w:rPr>
                <w:rFonts w:ascii="Arial" w:hAnsi="Arial"/>
                <w:b/>
                <w:color w:val="FFFFFF"/>
                <w:sz w:val="18"/>
                <w:szCs w:val="18"/>
              </w:rPr>
            </w:pPr>
            <w:r w:rsidRPr="00BA6BB4">
              <w:rPr>
                <w:rFonts w:ascii="Arial" w:hAnsi="Arial"/>
                <w:b/>
                <w:color w:val="FFFFFF"/>
                <w:sz w:val="18"/>
                <w:szCs w:val="18"/>
              </w:rPr>
              <w:t>Total Respondent Costs</w:t>
            </w:r>
          </w:p>
        </w:tc>
      </w:tr>
      <w:tr w:rsidRPr="00BA6BB4" w:rsidR="00BA6BB4" w:rsidTr="00BA6BB4" w14:paraId="00B6EA6D" w14:textId="77777777">
        <w:tc>
          <w:tcPr>
            <w:tcW w:w="850" w:type="pct"/>
            <w:hideMark/>
          </w:tcPr>
          <w:p w:rsidRPr="00BA6BB4" w:rsidR="00BA6BB4" w:rsidP="0088140E" w:rsidRDefault="0088140E" w14:paraId="4F163E03" w14:textId="5552778F">
            <w:pPr>
              <w:spacing w:after="60"/>
              <w:rPr>
                <w:rFonts w:ascii="Arial" w:hAnsi="Arial"/>
                <w:sz w:val="18"/>
                <w:szCs w:val="18"/>
              </w:rPr>
            </w:pPr>
            <w:r w:rsidRPr="0088140E">
              <w:rPr>
                <w:rFonts w:ascii="Arial" w:hAnsi="Arial"/>
                <w:sz w:val="18"/>
                <w:szCs w:val="18"/>
              </w:rPr>
              <w:t>State, local, tribal</w:t>
            </w:r>
            <w:r>
              <w:rPr>
                <w:rFonts w:ascii="Arial" w:hAnsi="Arial"/>
                <w:sz w:val="18"/>
                <w:szCs w:val="18"/>
              </w:rPr>
              <w:t>, or community</w:t>
            </w:r>
            <w:r w:rsidRPr="0088140E">
              <w:rPr>
                <w:rFonts w:ascii="Arial" w:hAnsi="Arial"/>
                <w:sz w:val="18"/>
                <w:szCs w:val="18"/>
              </w:rPr>
              <w:t xml:space="preserve"> human services program administrators</w:t>
            </w:r>
            <w:r w:rsidR="00B1715E">
              <w:rPr>
                <w:rFonts w:ascii="Arial" w:hAnsi="Arial"/>
                <w:sz w:val="18"/>
                <w:szCs w:val="18"/>
              </w:rPr>
              <w:t xml:space="preserve"> or managers</w:t>
            </w:r>
          </w:p>
        </w:tc>
        <w:tc>
          <w:tcPr>
            <w:tcW w:w="731" w:type="pct"/>
            <w:hideMark/>
          </w:tcPr>
          <w:p w:rsidRPr="00BA6BB4" w:rsidR="00BA6BB4" w:rsidP="00BA6BB4" w:rsidRDefault="00B818C1" w14:paraId="2355E6C9" w14:textId="32645891">
            <w:pPr>
              <w:spacing w:after="60"/>
              <w:jc w:val="center"/>
              <w:rPr>
                <w:rFonts w:ascii="Arial" w:hAnsi="Arial" w:cs="Arial"/>
                <w:sz w:val="18"/>
                <w:szCs w:val="18"/>
              </w:rPr>
            </w:pPr>
            <w:r>
              <w:rPr>
                <w:rFonts w:ascii="Arial" w:hAnsi="Arial" w:cs="Arial"/>
                <w:sz w:val="18"/>
                <w:szCs w:val="18"/>
              </w:rPr>
              <w:t>36</w:t>
            </w:r>
          </w:p>
        </w:tc>
        <w:tc>
          <w:tcPr>
            <w:tcW w:w="655" w:type="pct"/>
            <w:hideMark/>
          </w:tcPr>
          <w:p w:rsidRPr="00BA6BB4" w:rsidR="00BA6BB4" w:rsidP="00BA6BB4" w:rsidRDefault="00BA6BB4" w14:paraId="318383DD" w14:textId="77777777">
            <w:pPr>
              <w:spacing w:after="60"/>
              <w:jc w:val="center"/>
              <w:rPr>
                <w:rFonts w:ascii="Arial" w:hAnsi="Arial" w:cs="Arial"/>
                <w:sz w:val="18"/>
                <w:szCs w:val="18"/>
              </w:rPr>
            </w:pPr>
            <w:r w:rsidRPr="00BA6BB4">
              <w:rPr>
                <w:rFonts w:ascii="Arial" w:hAnsi="Arial" w:cs="Arial"/>
                <w:sz w:val="18"/>
                <w:szCs w:val="18"/>
              </w:rPr>
              <w:t>1</w:t>
            </w:r>
          </w:p>
        </w:tc>
        <w:tc>
          <w:tcPr>
            <w:tcW w:w="589" w:type="pct"/>
            <w:hideMark/>
          </w:tcPr>
          <w:p w:rsidRPr="00BA6BB4" w:rsidR="00BA6BB4" w:rsidP="00BA6BB4" w:rsidRDefault="00BA6BB4" w14:paraId="1D667CC5" w14:textId="5F1B23E3">
            <w:pPr>
              <w:spacing w:after="60"/>
              <w:jc w:val="center"/>
              <w:rPr>
                <w:rFonts w:ascii="Arial" w:hAnsi="Arial" w:cs="Arial"/>
                <w:sz w:val="18"/>
                <w:szCs w:val="18"/>
              </w:rPr>
            </w:pPr>
            <w:r>
              <w:rPr>
                <w:rFonts w:ascii="Arial" w:hAnsi="Arial" w:cs="Arial"/>
                <w:sz w:val="18"/>
                <w:szCs w:val="18"/>
              </w:rPr>
              <w:t>60</w:t>
            </w:r>
          </w:p>
        </w:tc>
        <w:tc>
          <w:tcPr>
            <w:tcW w:w="766" w:type="pct"/>
            <w:hideMark/>
          </w:tcPr>
          <w:p w:rsidRPr="00BA6BB4" w:rsidR="00BA6BB4" w:rsidP="00BA6BB4" w:rsidRDefault="00B818C1" w14:paraId="7FCD4FFA" w14:textId="5286F7F8">
            <w:pPr>
              <w:spacing w:after="60"/>
              <w:jc w:val="center"/>
              <w:rPr>
                <w:rFonts w:ascii="Arial" w:hAnsi="Arial" w:cs="Arial"/>
                <w:sz w:val="18"/>
                <w:szCs w:val="18"/>
              </w:rPr>
            </w:pPr>
            <w:r>
              <w:rPr>
                <w:rFonts w:ascii="Arial" w:hAnsi="Arial" w:cs="Arial"/>
                <w:sz w:val="18"/>
                <w:szCs w:val="18"/>
              </w:rPr>
              <w:t>36</w:t>
            </w:r>
          </w:p>
        </w:tc>
        <w:tc>
          <w:tcPr>
            <w:tcW w:w="645" w:type="pct"/>
            <w:hideMark/>
          </w:tcPr>
          <w:p w:rsidRPr="00BA6BB4" w:rsidR="00BA6BB4" w:rsidP="00BA6BB4" w:rsidRDefault="00A03001" w14:paraId="028235CA" w14:textId="4C9DDEA9">
            <w:pPr>
              <w:spacing w:after="60"/>
              <w:jc w:val="center"/>
              <w:rPr>
                <w:rFonts w:ascii="Arial" w:hAnsi="Arial" w:cs="Arial"/>
                <w:sz w:val="18"/>
                <w:szCs w:val="18"/>
              </w:rPr>
            </w:pPr>
            <w:r>
              <w:rPr>
                <w:rFonts w:ascii="Arial" w:hAnsi="Arial" w:cs="Arial"/>
                <w:sz w:val="18"/>
                <w:szCs w:val="18"/>
              </w:rPr>
              <w:t>$35.05</w:t>
            </w:r>
          </w:p>
        </w:tc>
        <w:tc>
          <w:tcPr>
            <w:tcW w:w="764" w:type="pct"/>
            <w:hideMark/>
          </w:tcPr>
          <w:p w:rsidRPr="00BA6BB4" w:rsidR="00BA6BB4" w:rsidP="00B818C1" w:rsidRDefault="0088140E" w14:paraId="5856458C" w14:textId="358C244B">
            <w:pPr>
              <w:spacing w:after="60"/>
              <w:jc w:val="center"/>
              <w:rPr>
                <w:rFonts w:ascii="Arial" w:hAnsi="Arial" w:cs="Arial"/>
                <w:sz w:val="18"/>
                <w:szCs w:val="18"/>
              </w:rPr>
            </w:pPr>
            <w:r>
              <w:rPr>
                <w:rFonts w:ascii="Arial" w:hAnsi="Arial" w:cs="Arial"/>
                <w:sz w:val="18"/>
                <w:szCs w:val="18"/>
              </w:rPr>
              <w:t>$</w:t>
            </w:r>
            <w:r w:rsidR="00A24D71">
              <w:rPr>
                <w:rFonts w:ascii="Arial" w:hAnsi="Arial" w:cs="Arial"/>
                <w:sz w:val="18"/>
                <w:szCs w:val="18"/>
              </w:rPr>
              <w:t>1261.80</w:t>
            </w:r>
          </w:p>
        </w:tc>
      </w:tr>
      <w:tr w:rsidRPr="00BA6BB4" w:rsidR="00BA6BB4" w:rsidTr="00BA6BB4" w14:paraId="0312285A" w14:textId="77777777">
        <w:tc>
          <w:tcPr>
            <w:tcW w:w="850" w:type="pct"/>
            <w:shd w:val="clear" w:color="auto" w:fill="E0D4B5"/>
            <w:hideMark/>
          </w:tcPr>
          <w:p w:rsidRPr="00BA6BB4" w:rsidR="00BA6BB4" w:rsidP="00BA6BB4" w:rsidRDefault="0088140E" w14:paraId="044C048F" w14:textId="6E85BB3F">
            <w:pPr>
              <w:spacing w:after="60"/>
              <w:rPr>
                <w:rFonts w:ascii="Arial" w:hAnsi="Arial"/>
                <w:sz w:val="18"/>
                <w:szCs w:val="18"/>
              </w:rPr>
            </w:pPr>
            <w:r w:rsidRPr="0088140E">
              <w:rPr>
                <w:rFonts w:ascii="Arial" w:hAnsi="Arial"/>
                <w:sz w:val="18"/>
                <w:szCs w:val="18"/>
              </w:rPr>
              <w:t>State, local, tribal, or community human services program front line staff</w:t>
            </w:r>
          </w:p>
        </w:tc>
        <w:tc>
          <w:tcPr>
            <w:tcW w:w="731" w:type="pct"/>
            <w:shd w:val="clear" w:color="auto" w:fill="E0D4B5"/>
            <w:hideMark/>
          </w:tcPr>
          <w:p w:rsidRPr="00BA6BB4" w:rsidR="00BA6BB4" w:rsidP="00BA6BB4" w:rsidRDefault="00B818C1" w14:paraId="735794D3" w14:textId="79DA6CEB">
            <w:pPr>
              <w:spacing w:after="60"/>
              <w:jc w:val="center"/>
              <w:rPr>
                <w:rFonts w:ascii="Arial" w:hAnsi="Arial" w:cs="Arial"/>
                <w:sz w:val="18"/>
                <w:szCs w:val="18"/>
              </w:rPr>
            </w:pPr>
            <w:r>
              <w:rPr>
                <w:rFonts w:ascii="Arial" w:hAnsi="Arial" w:cs="Arial"/>
                <w:sz w:val="18"/>
                <w:szCs w:val="18"/>
              </w:rPr>
              <w:t>36</w:t>
            </w:r>
          </w:p>
        </w:tc>
        <w:tc>
          <w:tcPr>
            <w:tcW w:w="655" w:type="pct"/>
            <w:shd w:val="clear" w:color="auto" w:fill="E0D4B5"/>
            <w:hideMark/>
          </w:tcPr>
          <w:p w:rsidRPr="00BA6BB4" w:rsidR="00BA6BB4" w:rsidP="00BA6BB4" w:rsidRDefault="00BA6BB4" w14:paraId="01F554CE"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E0D4B5"/>
            <w:hideMark/>
          </w:tcPr>
          <w:p w:rsidRPr="00BA6BB4" w:rsidR="00BA6BB4" w:rsidP="00BA6BB4" w:rsidRDefault="00BA6BB4" w14:paraId="3BC31783" w14:textId="63E4AB16">
            <w:pPr>
              <w:spacing w:after="60"/>
              <w:jc w:val="center"/>
              <w:rPr>
                <w:rFonts w:ascii="Arial" w:hAnsi="Arial" w:cs="Arial"/>
                <w:sz w:val="18"/>
                <w:szCs w:val="18"/>
              </w:rPr>
            </w:pPr>
            <w:r>
              <w:rPr>
                <w:rFonts w:ascii="Arial" w:hAnsi="Arial" w:cs="Arial"/>
                <w:sz w:val="18"/>
                <w:szCs w:val="18"/>
              </w:rPr>
              <w:t>60</w:t>
            </w:r>
          </w:p>
        </w:tc>
        <w:tc>
          <w:tcPr>
            <w:tcW w:w="766" w:type="pct"/>
            <w:shd w:val="clear" w:color="auto" w:fill="E0D4B5"/>
            <w:hideMark/>
          </w:tcPr>
          <w:p w:rsidRPr="00BA6BB4" w:rsidR="00BA6BB4" w:rsidP="00BA6BB4" w:rsidRDefault="00B818C1" w14:paraId="4669CAAB" w14:textId="55A393E1">
            <w:pPr>
              <w:spacing w:after="60"/>
              <w:jc w:val="center"/>
              <w:rPr>
                <w:rFonts w:ascii="Arial" w:hAnsi="Arial" w:cs="Arial"/>
                <w:sz w:val="18"/>
                <w:szCs w:val="18"/>
              </w:rPr>
            </w:pPr>
            <w:r>
              <w:rPr>
                <w:rFonts w:ascii="Arial" w:hAnsi="Arial" w:cs="Arial"/>
                <w:sz w:val="18"/>
                <w:szCs w:val="18"/>
              </w:rPr>
              <w:t>36</w:t>
            </w:r>
          </w:p>
        </w:tc>
        <w:tc>
          <w:tcPr>
            <w:tcW w:w="645" w:type="pct"/>
            <w:shd w:val="clear" w:color="auto" w:fill="E0D4B5"/>
            <w:hideMark/>
          </w:tcPr>
          <w:p w:rsidRPr="00BA6BB4" w:rsidR="00BA6BB4" w:rsidP="00BA6BB4" w:rsidRDefault="00AC6903" w14:paraId="6390D6F0" w14:textId="1BD4E069">
            <w:pPr>
              <w:spacing w:after="60"/>
              <w:jc w:val="center"/>
              <w:rPr>
                <w:rFonts w:ascii="Arial" w:hAnsi="Arial" w:cs="Arial"/>
                <w:sz w:val="18"/>
                <w:szCs w:val="18"/>
              </w:rPr>
            </w:pPr>
            <w:r>
              <w:rPr>
                <w:rFonts w:ascii="Arial" w:hAnsi="Arial" w:cs="Arial"/>
                <w:sz w:val="18"/>
                <w:szCs w:val="18"/>
              </w:rPr>
              <w:t>$24.27</w:t>
            </w:r>
          </w:p>
        </w:tc>
        <w:tc>
          <w:tcPr>
            <w:tcW w:w="764" w:type="pct"/>
            <w:shd w:val="clear" w:color="auto" w:fill="E0D4B5"/>
            <w:hideMark/>
          </w:tcPr>
          <w:p w:rsidRPr="00BA6BB4" w:rsidR="00BA6BB4" w:rsidP="00BA6BB4" w:rsidRDefault="00BA6BB4" w14:paraId="4692A6B4" w14:textId="3924564A">
            <w:pPr>
              <w:spacing w:after="60"/>
              <w:jc w:val="center"/>
              <w:rPr>
                <w:rFonts w:ascii="Arial" w:hAnsi="Arial" w:cs="Arial"/>
                <w:sz w:val="18"/>
                <w:szCs w:val="18"/>
              </w:rPr>
            </w:pPr>
            <w:r w:rsidRPr="00BA6BB4">
              <w:rPr>
                <w:rFonts w:ascii="Arial" w:hAnsi="Arial" w:cs="Arial"/>
                <w:sz w:val="18"/>
                <w:szCs w:val="18"/>
              </w:rPr>
              <w:t>$</w:t>
            </w:r>
            <w:r w:rsidR="00A24D71">
              <w:rPr>
                <w:rFonts w:ascii="Arial" w:hAnsi="Arial" w:cs="Arial"/>
                <w:sz w:val="18"/>
                <w:szCs w:val="18"/>
              </w:rPr>
              <w:t>873.72</w:t>
            </w:r>
          </w:p>
        </w:tc>
      </w:tr>
      <w:tr w:rsidRPr="00BA6BB4" w:rsidR="00BA6BB4" w:rsidTr="00BA6BB4" w14:paraId="19E68102" w14:textId="77777777">
        <w:tc>
          <w:tcPr>
            <w:tcW w:w="850" w:type="pct"/>
            <w:shd w:val="clear" w:color="auto" w:fill="FFFFFF"/>
            <w:hideMark/>
          </w:tcPr>
          <w:p w:rsidRPr="00BA6BB4" w:rsidR="00BA6BB4" w:rsidP="00BA6BB4" w:rsidRDefault="0088140E" w14:paraId="400F67F9" w14:textId="3B9D9075">
            <w:pPr>
              <w:spacing w:after="60"/>
              <w:rPr>
                <w:rFonts w:ascii="Arial" w:hAnsi="Arial"/>
                <w:sz w:val="18"/>
                <w:szCs w:val="18"/>
              </w:rPr>
            </w:pPr>
            <w:r w:rsidRPr="0088140E">
              <w:rPr>
                <w:rFonts w:ascii="Arial" w:hAnsi="Arial"/>
                <w:sz w:val="18"/>
                <w:szCs w:val="18"/>
              </w:rPr>
              <w:t>Adult or young adult program clients</w:t>
            </w:r>
          </w:p>
        </w:tc>
        <w:tc>
          <w:tcPr>
            <w:tcW w:w="731" w:type="pct"/>
            <w:shd w:val="clear" w:color="auto" w:fill="FFFFFF"/>
            <w:hideMark/>
          </w:tcPr>
          <w:p w:rsidRPr="00BA6BB4" w:rsidR="00BA6BB4" w:rsidP="00BA6BB4" w:rsidRDefault="0088140E" w14:paraId="2A148005" w14:textId="0D57D4B7">
            <w:pPr>
              <w:spacing w:after="60"/>
              <w:jc w:val="center"/>
              <w:rPr>
                <w:rFonts w:ascii="Arial" w:hAnsi="Arial" w:cs="Arial"/>
                <w:sz w:val="18"/>
                <w:szCs w:val="18"/>
              </w:rPr>
            </w:pPr>
            <w:r>
              <w:rPr>
                <w:rFonts w:ascii="Arial" w:hAnsi="Arial" w:cs="Arial"/>
                <w:sz w:val="18"/>
                <w:szCs w:val="18"/>
              </w:rPr>
              <w:t>42</w:t>
            </w:r>
          </w:p>
        </w:tc>
        <w:tc>
          <w:tcPr>
            <w:tcW w:w="655" w:type="pct"/>
            <w:shd w:val="clear" w:color="auto" w:fill="FFFFFF"/>
            <w:hideMark/>
          </w:tcPr>
          <w:p w:rsidRPr="00BA6BB4" w:rsidR="00BA6BB4" w:rsidP="00BA6BB4" w:rsidRDefault="00BA6BB4" w14:paraId="6F7FFB02" w14:textId="77777777">
            <w:pPr>
              <w:spacing w:after="60"/>
              <w:jc w:val="center"/>
              <w:rPr>
                <w:rFonts w:ascii="Arial" w:hAnsi="Arial" w:cs="Arial"/>
                <w:sz w:val="18"/>
                <w:szCs w:val="18"/>
              </w:rPr>
            </w:pPr>
            <w:r w:rsidRPr="00BA6BB4">
              <w:rPr>
                <w:rFonts w:ascii="Arial" w:hAnsi="Arial" w:cs="Arial"/>
                <w:sz w:val="18"/>
                <w:szCs w:val="18"/>
              </w:rPr>
              <w:t>1</w:t>
            </w:r>
          </w:p>
        </w:tc>
        <w:tc>
          <w:tcPr>
            <w:tcW w:w="589" w:type="pct"/>
            <w:shd w:val="clear" w:color="auto" w:fill="FFFFFF"/>
            <w:hideMark/>
          </w:tcPr>
          <w:p w:rsidRPr="00BA6BB4" w:rsidR="00BA6BB4" w:rsidP="00BA6BB4" w:rsidRDefault="00BA6BB4" w14:paraId="1BCD689A" w14:textId="577806D1">
            <w:pPr>
              <w:spacing w:after="60"/>
              <w:jc w:val="center"/>
              <w:rPr>
                <w:rFonts w:ascii="Arial" w:hAnsi="Arial" w:cs="Arial"/>
                <w:sz w:val="18"/>
                <w:szCs w:val="18"/>
              </w:rPr>
            </w:pPr>
            <w:r>
              <w:rPr>
                <w:rFonts w:ascii="Arial" w:hAnsi="Arial" w:cs="Arial"/>
                <w:sz w:val="18"/>
                <w:szCs w:val="18"/>
              </w:rPr>
              <w:t>90</w:t>
            </w:r>
          </w:p>
        </w:tc>
        <w:tc>
          <w:tcPr>
            <w:tcW w:w="766" w:type="pct"/>
            <w:shd w:val="clear" w:color="auto" w:fill="FFFFFF"/>
            <w:hideMark/>
          </w:tcPr>
          <w:p w:rsidRPr="00BA6BB4" w:rsidR="00BA6BB4" w:rsidP="00BA6BB4" w:rsidRDefault="0088140E" w14:paraId="32328C93" w14:textId="142D1132">
            <w:pPr>
              <w:spacing w:after="60"/>
              <w:jc w:val="center"/>
              <w:rPr>
                <w:rFonts w:ascii="Arial" w:hAnsi="Arial" w:cs="Arial"/>
                <w:sz w:val="18"/>
                <w:szCs w:val="18"/>
              </w:rPr>
            </w:pPr>
            <w:r>
              <w:rPr>
                <w:rFonts w:ascii="Arial" w:hAnsi="Arial" w:cs="Arial"/>
                <w:sz w:val="18"/>
                <w:szCs w:val="18"/>
              </w:rPr>
              <w:t>63</w:t>
            </w:r>
          </w:p>
        </w:tc>
        <w:tc>
          <w:tcPr>
            <w:tcW w:w="645" w:type="pct"/>
            <w:shd w:val="clear" w:color="auto" w:fill="FFFFFF"/>
            <w:hideMark/>
          </w:tcPr>
          <w:p w:rsidRPr="00BA6BB4" w:rsidR="00BA6BB4" w:rsidP="00BA6BB4" w:rsidRDefault="00AC6903" w14:paraId="5847B8D2" w14:textId="278FF595">
            <w:pPr>
              <w:spacing w:after="60"/>
              <w:jc w:val="center"/>
              <w:rPr>
                <w:rFonts w:ascii="Arial" w:hAnsi="Arial" w:cs="Arial"/>
                <w:sz w:val="18"/>
                <w:szCs w:val="18"/>
              </w:rPr>
            </w:pPr>
            <w:r>
              <w:rPr>
                <w:rFonts w:ascii="Arial" w:hAnsi="Arial" w:cs="Arial"/>
                <w:sz w:val="18"/>
                <w:szCs w:val="18"/>
              </w:rPr>
              <w:t>$15.03</w:t>
            </w:r>
          </w:p>
        </w:tc>
        <w:tc>
          <w:tcPr>
            <w:tcW w:w="764" w:type="pct"/>
            <w:shd w:val="clear" w:color="auto" w:fill="FFFFFF"/>
            <w:hideMark/>
          </w:tcPr>
          <w:p w:rsidRPr="00BA6BB4" w:rsidR="00BA6BB4" w:rsidP="00BA6BB4" w:rsidRDefault="00BA6BB4" w14:paraId="528A2CD3" w14:textId="5D67F3B8">
            <w:pPr>
              <w:spacing w:after="60"/>
              <w:jc w:val="center"/>
              <w:rPr>
                <w:rFonts w:ascii="Arial" w:hAnsi="Arial" w:cs="Arial"/>
                <w:sz w:val="18"/>
                <w:szCs w:val="18"/>
              </w:rPr>
            </w:pPr>
            <w:r w:rsidRPr="00BA6BB4">
              <w:rPr>
                <w:rFonts w:ascii="Arial" w:hAnsi="Arial" w:cs="Arial"/>
                <w:sz w:val="18"/>
                <w:szCs w:val="18"/>
              </w:rPr>
              <w:t>$</w:t>
            </w:r>
            <w:r w:rsidR="00A24D71">
              <w:rPr>
                <w:rFonts w:ascii="Arial" w:hAnsi="Arial" w:cs="Arial"/>
                <w:sz w:val="18"/>
                <w:szCs w:val="18"/>
              </w:rPr>
              <w:t>946.89</w:t>
            </w:r>
          </w:p>
        </w:tc>
      </w:tr>
      <w:tr w:rsidRPr="00BA6BB4" w:rsidR="00BA6BB4" w:rsidTr="00BA6BB4" w14:paraId="3FC8249E" w14:textId="77777777">
        <w:tc>
          <w:tcPr>
            <w:tcW w:w="850" w:type="pct"/>
            <w:tcBorders>
              <w:top w:val="single" w:color="auto" w:sz="4" w:space="0"/>
              <w:left w:val="nil"/>
              <w:bottom w:val="single" w:color="auto" w:sz="4" w:space="0"/>
              <w:right w:val="nil"/>
            </w:tcBorders>
            <w:shd w:val="clear" w:color="auto" w:fill="FFFFFF"/>
            <w:hideMark/>
          </w:tcPr>
          <w:p w:rsidRPr="00BA6BB4" w:rsidR="00BA6BB4" w:rsidP="00BA6BB4" w:rsidRDefault="00BA6BB4" w14:paraId="79F0D26C" w14:textId="77777777">
            <w:pPr>
              <w:spacing w:after="60"/>
              <w:rPr>
                <w:rFonts w:ascii="Arial" w:hAnsi="Arial"/>
                <w:b/>
                <w:bCs/>
                <w:sz w:val="18"/>
                <w:szCs w:val="18"/>
              </w:rPr>
            </w:pPr>
            <w:r w:rsidRPr="00BA6BB4">
              <w:rPr>
                <w:rFonts w:ascii="Arial" w:hAnsi="Arial"/>
                <w:b/>
                <w:bCs/>
                <w:sz w:val="18"/>
                <w:szCs w:val="18"/>
              </w:rPr>
              <w:t>Total</w:t>
            </w:r>
          </w:p>
        </w:tc>
        <w:tc>
          <w:tcPr>
            <w:tcW w:w="731" w:type="pct"/>
            <w:tcBorders>
              <w:top w:val="single" w:color="auto" w:sz="4" w:space="0"/>
              <w:left w:val="nil"/>
              <w:bottom w:val="single" w:color="auto" w:sz="4" w:space="0"/>
              <w:right w:val="nil"/>
            </w:tcBorders>
            <w:shd w:val="clear" w:color="auto" w:fill="FFFFFF"/>
            <w:hideMark/>
          </w:tcPr>
          <w:p w:rsidRPr="00BA6BB4" w:rsidR="00BA6BB4" w:rsidP="00BA6BB4" w:rsidRDefault="00B818C1" w14:paraId="26C569EE" w14:textId="4D218ECC">
            <w:pPr>
              <w:spacing w:after="60"/>
              <w:jc w:val="center"/>
              <w:rPr>
                <w:rFonts w:ascii="Arial" w:hAnsi="Arial" w:cs="Arial"/>
                <w:b/>
                <w:bCs/>
                <w:sz w:val="18"/>
                <w:szCs w:val="18"/>
              </w:rPr>
            </w:pPr>
            <w:r>
              <w:rPr>
                <w:rFonts w:ascii="Arial" w:hAnsi="Arial" w:cs="Arial"/>
                <w:sz w:val="18"/>
                <w:szCs w:val="18"/>
              </w:rPr>
              <w:t>114</w:t>
            </w:r>
          </w:p>
        </w:tc>
        <w:tc>
          <w:tcPr>
            <w:tcW w:w="655" w:type="pct"/>
            <w:tcBorders>
              <w:top w:val="single" w:color="auto" w:sz="4" w:space="0"/>
              <w:left w:val="nil"/>
              <w:bottom w:val="single" w:color="auto" w:sz="4" w:space="0"/>
              <w:right w:val="nil"/>
            </w:tcBorders>
            <w:shd w:val="clear" w:color="auto" w:fill="FFFFFF"/>
            <w:hideMark/>
          </w:tcPr>
          <w:p w:rsidRPr="00BA6BB4" w:rsidR="00BA6BB4" w:rsidP="00BA6BB4" w:rsidRDefault="00BA6BB4" w14:paraId="7E7D8A20" w14:textId="77777777">
            <w:pPr>
              <w:spacing w:after="60"/>
              <w:jc w:val="center"/>
              <w:rPr>
                <w:rFonts w:ascii="Arial" w:hAnsi="Arial" w:cs="Arial"/>
                <w:b/>
                <w:bCs/>
                <w:sz w:val="18"/>
                <w:szCs w:val="18"/>
              </w:rPr>
            </w:pPr>
            <w:r w:rsidRPr="00BA6BB4">
              <w:rPr>
                <w:rFonts w:ascii="Arial" w:hAnsi="Arial" w:cs="Arial"/>
                <w:sz w:val="18"/>
                <w:szCs w:val="18"/>
              </w:rPr>
              <w:t>1</w:t>
            </w:r>
          </w:p>
        </w:tc>
        <w:tc>
          <w:tcPr>
            <w:tcW w:w="589" w:type="pct"/>
            <w:tcBorders>
              <w:top w:val="single" w:color="auto" w:sz="4" w:space="0"/>
              <w:left w:val="nil"/>
              <w:bottom w:val="single" w:color="auto" w:sz="4" w:space="0"/>
              <w:right w:val="nil"/>
            </w:tcBorders>
            <w:shd w:val="clear" w:color="auto" w:fill="FFFFFF"/>
            <w:hideMark/>
          </w:tcPr>
          <w:p w:rsidRPr="00BA6BB4" w:rsidR="00BA6BB4" w:rsidP="00BA6BB4" w:rsidRDefault="00BA6BB4" w14:paraId="3128F672" w14:textId="77777777">
            <w:pPr>
              <w:spacing w:after="60"/>
              <w:jc w:val="center"/>
              <w:rPr>
                <w:rFonts w:ascii="Arial" w:hAnsi="Arial" w:cs="Arial"/>
                <w:b/>
                <w:bCs/>
                <w:sz w:val="18"/>
                <w:szCs w:val="18"/>
              </w:rPr>
            </w:pPr>
            <w:r w:rsidRPr="00BA6BB4">
              <w:rPr>
                <w:rFonts w:ascii="Arial" w:hAnsi="Arial" w:cs="Arial"/>
                <w:sz w:val="18"/>
                <w:szCs w:val="18"/>
              </w:rPr>
              <w:t>-</w:t>
            </w:r>
          </w:p>
        </w:tc>
        <w:tc>
          <w:tcPr>
            <w:tcW w:w="766" w:type="pct"/>
            <w:tcBorders>
              <w:top w:val="single" w:color="auto" w:sz="4" w:space="0"/>
              <w:left w:val="nil"/>
              <w:bottom w:val="single" w:color="auto" w:sz="4" w:space="0"/>
              <w:right w:val="nil"/>
            </w:tcBorders>
            <w:shd w:val="clear" w:color="auto" w:fill="FFFFFF"/>
            <w:hideMark/>
          </w:tcPr>
          <w:p w:rsidRPr="00BA6BB4" w:rsidR="00BA6BB4" w:rsidP="00BA6BB4" w:rsidRDefault="00B818C1" w14:paraId="0B8340F8" w14:textId="7F07F6F1">
            <w:pPr>
              <w:spacing w:after="60"/>
              <w:jc w:val="center"/>
              <w:rPr>
                <w:rFonts w:ascii="Arial" w:hAnsi="Arial" w:cs="Arial"/>
                <w:b/>
                <w:bCs/>
                <w:sz w:val="18"/>
                <w:szCs w:val="18"/>
              </w:rPr>
            </w:pPr>
            <w:r>
              <w:rPr>
                <w:rFonts w:ascii="Arial" w:hAnsi="Arial" w:cs="Arial"/>
                <w:sz w:val="18"/>
                <w:szCs w:val="18"/>
              </w:rPr>
              <w:t>135</w:t>
            </w:r>
          </w:p>
        </w:tc>
        <w:tc>
          <w:tcPr>
            <w:tcW w:w="645" w:type="pct"/>
            <w:tcBorders>
              <w:top w:val="single" w:color="auto" w:sz="4" w:space="0"/>
              <w:left w:val="nil"/>
              <w:bottom w:val="single" w:color="auto" w:sz="4" w:space="0"/>
              <w:right w:val="nil"/>
            </w:tcBorders>
            <w:shd w:val="clear" w:color="auto" w:fill="FFFFFF"/>
            <w:hideMark/>
          </w:tcPr>
          <w:p w:rsidRPr="00BA6BB4" w:rsidR="00BA6BB4" w:rsidP="00BA6BB4" w:rsidRDefault="00BA6BB4" w14:paraId="45601D7F" w14:textId="77777777">
            <w:pPr>
              <w:spacing w:after="60"/>
              <w:jc w:val="center"/>
              <w:rPr>
                <w:rFonts w:ascii="Arial" w:hAnsi="Arial" w:cs="Arial"/>
                <w:b/>
                <w:bCs/>
                <w:sz w:val="18"/>
                <w:szCs w:val="18"/>
              </w:rPr>
            </w:pPr>
            <w:r w:rsidRPr="00BA6BB4">
              <w:rPr>
                <w:rFonts w:ascii="Arial" w:hAnsi="Arial" w:cs="Arial"/>
                <w:sz w:val="18"/>
                <w:szCs w:val="18"/>
              </w:rPr>
              <w:t>-</w:t>
            </w:r>
          </w:p>
        </w:tc>
        <w:tc>
          <w:tcPr>
            <w:tcW w:w="764" w:type="pct"/>
            <w:tcBorders>
              <w:top w:val="single" w:color="auto" w:sz="4" w:space="0"/>
              <w:left w:val="nil"/>
              <w:bottom w:val="single" w:color="auto" w:sz="4" w:space="0"/>
              <w:right w:val="nil"/>
            </w:tcBorders>
            <w:shd w:val="clear" w:color="auto" w:fill="FFFFFF"/>
            <w:hideMark/>
          </w:tcPr>
          <w:p w:rsidRPr="00BA6BB4" w:rsidR="00BA6BB4" w:rsidP="00BA6BB4" w:rsidRDefault="00A24D71" w14:paraId="13585BD8" w14:textId="3BEFD982">
            <w:pPr>
              <w:spacing w:after="60"/>
              <w:jc w:val="center"/>
              <w:rPr>
                <w:rFonts w:ascii="Arial" w:hAnsi="Arial" w:cs="Arial"/>
                <w:b/>
                <w:bCs/>
                <w:sz w:val="18"/>
                <w:szCs w:val="18"/>
              </w:rPr>
            </w:pPr>
            <w:r>
              <w:rPr>
                <w:rFonts w:ascii="Arial" w:hAnsi="Arial" w:cs="Arial"/>
                <w:sz w:val="18"/>
                <w:szCs w:val="18"/>
              </w:rPr>
              <w:t>$3,082.41</w:t>
            </w:r>
          </w:p>
        </w:tc>
      </w:tr>
    </w:tbl>
    <w:p w:rsidR="00ED47AB" w:rsidP="00BA6BB4" w:rsidRDefault="00ED47AB" w14:paraId="2A5DEC04" w14:textId="7B7F7FB6">
      <w:pPr>
        <w:rPr>
          <w:rFonts w:asciiTheme="majorHAnsi" w:hAnsiTheme="majorHAnsi"/>
          <w:b/>
          <w:bCs/>
          <w:sz w:val="24"/>
          <w:szCs w:val="24"/>
        </w:rPr>
      </w:pPr>
    </w:p>
    <w:p w:rsidRPr="0041582B" w:rsidR="00B12F51" w:rsidP="0041582B" w:rsidRDefault="0088467A" w14:paraId="4A7BD478" w14:textId="77777777">
      <w:pPr>
        <w:pStyle w:val="ListParagraph"/>
        <w:numPr>
          <w:ilvl w:val="0"/>
          <w:numId w:val="2"/>
        </w:numPr>
        <w:spacing w:after="0" w:line="240" w:lineRule="auto"/>
        <w:rPr>
          <w:rFonts w:asciiTheme="majorHAnsi" w:hAnsiTheme="majorHAnsi"/>
          <w:b/>
          <w:bCs/>
          <w:sz w:val="24"/>
          <w:szCs w:val="24"/>
        </w:rPr>
      </w:pPr>
      <w:r w:rsidRPr="0041582B">
        <w:rPr>
          <w:rFonts w:asciiTheme="majorHAnsi" w:hAnsiTheme="majorHAnsi"/>
          <w:b/>
          <w:bCs/>
          <w:sz w:val="24"/>
          <w:szCs w:val="24"/>
        </w:rPr>
        <w:t>Estimates of Other Total Annual Cost Burden to Respondents or Record Keepers</w:t>
      </w:r>
    </w:p>
    <w:p w:rsidRPr="0041582B" w:rsidR="003C31C9" w:rsidP="0041582B" w:rsidRDefault="003C31C9" w14:paraId="0B92E281" w14:textId="77777777">
      <w:pPr>
        <w:pStyle w:val="CM89"/>
        <w:ind w:left="720"/>
        <w:rPr>
          <w:rFonts w:cs="Times New Roman" w:asciiTheme="majorHAnsi" w:hAnsiTheme="majorHAnsi"/>
          <w:color w:val="000000"/>
        </w:rPr>
      </w:pPr>
      <w:r w:rsidRPr="0041582B">
        <w:rPr>
          <w:rFonts w:cs="Times New Roman" w:asciiTheme="majorHAnsi" w:hAnsiTheme="majorHAnsi"/>
          <w:color w:val="000000"/>
        </w:rPr>
        <w:t xml:space="preserve">There will be no direct costs to the respondents other than their time to participate in each </w:t>
      </w:r>
      <w:r w:rsidRPr="0041582B" w:rsidR="00525E61">
        <w:rPr>
          <w:rFonts w:cs="Times New Roman" w:asciiTheme="majorHAnsi" w:hAnsiTheme="majorHAnsi"/>
          <w:color w:val="000000"/>
        </w:rPr>
        <w:t>data collection</w:t>
      </w:r>
      <w:r w:rsidRPr="0041582B">
        <w:rPr>
          <w:rFonts w:cs="Times New Roman" w:asciiTheme="majorHAnsi" w:hAnsiTheme="majorHAnsi"/>
          <w:color w:val="000000"/>
        </w:rPr>
        <w:t>.</w:t>
      </w:r>
    </w:p>
    <w:p w:rsidR="00FB4DBE" w:rsidP="00FB4DBE" w:rsidRDefault="00FB4DBE" w14:paraId="6B721460" w14:textId="77777777">
      <w:pPr>
        <w:spacing w:line="240" w:lineRule="auto"/>
        <w:rPr>
          <w:rFonts w:asciiTheme="majorHAnsi" w:hAnsiTheme="majorHAnsi"/>
          <w:sz w:val="24"/>
          <w:szCs w:val="24"/>
        </w:rPr>
      </w:pPr>
    </w:p>
    <w:p w:rsidRPr="006463BE" w:rsidR="00B12F51" w:rsidP="006463BE" w:rsidRDefault="0088467A" w14:paraId="43791B4E" w14:textId="740C4C4D">
      <w:pPr>
        <w:pStyle w:val="ListParagraph"/>
        <w:numPr>
          <w:ilvl w:val="0"/>
          <w:numId w:val="2"/>
        </w:numPr>
        <w:spacing w:line="240" w:lineRule="auto"/>
        <w:rPr>
          <w:rFonts w:asciiTheme="majorHAnsi" w:hAnsiTheme="majorHAnsi"/>
          <w:b/>
          <w:sz w:val="24"/>
          <w:szCs w:val="24"/>
        </w:rPr>
      </w:pPr>
      <w:r w:rsidRPr="006463BE">
        <w:rPr>
          <w:rFonts w:asciiTheme="majorHAnsi" w:hAnsiTheme="majorHAnsi"/>
          <w:b/>
          <w:bCs/>
          <w:sz w:val="24"/>
          <w:szCs w:val="24"/>
        </w:rPr>
        <w:t>Annualized Cost to the Government</w:t>
      </w:r>
      <w:r w:rsidRPr="006463BE" w:rsidR="00D75750">
        <w:rPr>
          <w:rFonts w:asciiTheme="majorHAnsi" w:hAnsiTheme="majorHAnsi"/>
          <w:b/>
          <w:bCs/>
          <w:sz w:val="24"/>
          <w:szCs w:val="24"/>
        </w:rPr>
        <w:t xml:space="preserve"> </w:t>
      </w:r>
    </w:p>
    <w:p w:rsidRPr="0041582B" w:rsidR="00AB3C4C" w:rsidP="0041582B" w:rsidRDefault="00AB3C4C" w14:paraId="181946F8" w14:textId="435CD6DC">
      <w:pPr>
        <w:pStyle w:val="BlockText"/>
        <w:spacing w:after="0" w:line="240" w:lineRule="auto"/>
        <w:ind w:firstLine="90"/>
        <w:rPr>
          <w:sz w:val="24"/>
          <w:szCs w:val="24"/>
        </w:rPr>
      </w:pPr>
      <w:r w:rsidRPr="0041582B">
        <w:rPr>
          <w:sz w:val="24"/>
          <w:szCs w:val="24"/>
        </w:rPr>
        <w:t xml:space="preserve">The cost of the government task order attributable to the work is </w:t>
      </w:r>
      <w:r w:rsidRPr="00297A03">
        <w:rPr>
          <w:sz w:val="24"/>
          <w:szCs w:val="24"/>
        </w:rPr>
        <w:t>$</w:t>
      </w:r>
      <w:r w:rsidRPr="005B706E" w:rsidR="00297A03">
        <w:rPr>
          <w:sz w:val="24"/>
          <w:szCs w:val="24"/>
        </w:rPr>
        <w:t>2999.64</w:t>
      </w:r>
      <w:r w:rsidRPr="00297A03">
        <w:rPr>
          <w:sz w:val="24"/>
          <w:szCs w:val="24"/>
        </w:rPr>
        <w:t>.</w:t>
      </w:r>
      <w:r w:rsidRPr="0041582B">
        <w:rPr>
          <w:sz w:val="24"/>
          <w:szCs w:val="24"/>
        </w:rPr>
        <w:t xml:space="preserve">  </w:t>
      </w:r>
    </w:p>
    <w:p w:rsidRPr="0041582B" w:rsidR="008E0683" w:rsidP="0041582B" w:rsidRDefault="008E0683" w14:paraId="1CC46473" w14:textId="77777777">
      <w:pPr>
        <w:pStyle w:val="ListParagraph"/>
        <w:autoSpaceDE w:val="0"/>
        <w:autoSpaceDN w:val="0"/>
        <w:adjustRightInd w:val="0"/>
        <w:spacing w:line="240" w:lineRule="auto"/>
        <w:ind w:right="720"/>
        <w:rPr>
          <w:rFonts w:asciiTheme="majorHAnsi" w:hAnsiTheme="majorHAnsi"/>
          <w:sz w:val="24"/>
          <w:szCs w:val="24"/>
        </w:rPr>
      </w:pPr>
    </w:p>
    <w:p w:rsidRPr="0041582B" w:rsidR="004841F1" w:rsidP="0041582B" w:rsidRDefault="008E0683" w14:paraId="354E46C7" w14:textId="635D394A">
      <w:pPr>
        <w:pStyle w:val="ListParagraph"/>
        <w:autoSpaceDE w:val="0"/>
        <w:autoSpaceDN w:val="0"/>
        <w:adjustRightInd w:val="0"/>
        <w:spacing w:line="240" w:lineRule="auto"/>
        <w:ind w:left="-90" w:right="720"/>
        <w:rPr>
          <w:rFonts w:asciiTheme="majorHAnsi" w:hAnsiTheme="majorHAnsi"/>
          <w:sz w:val="24"/>
          <w:szCs w:val="24"/>
        </w:rPr>
      </w:pPr>
      <w:r w:rsidRPr="0041582B">
        <w:rPr>
          <w:rFonts w:asciiTheme="majorHAnsi" w:hAnsiTheme="majorHAnsi"/>
          <w:b/>
          <w:sz w:val="24"/>
          <w:szCs w:val="24"/>
          <w:u w:val="single"/>
        </w:rPr>
        <w:t>Table A-</w:t>
      </w:r>
      <w:r w:rsidRPr="0041582B" w:rsidR="00022072">
        <w:rPr>
          <w:rFonts w:asciiTheme="majorHAnsi" w:hAnsiTheme="majorHAnsi"/>
          <w:b/>
          <w:sz w:val="24"/>
          <w:szCs w:val="24"/>
          <w:u w:val="single"/>
        </w:rPr>
        <w:t>2</w:t>
      </w:r>
      <w:r w:rsidRPr="0041582B">
        <w:rPr>
          <w:rFonts w:asciiTheme="majorHAnsi" w:hAnsiTheme="majorHAnsi"/>
          <w:b/>
          <w:sz w:val="24"/>
          <w:szCs w:val="24"/>
        </w:rPr>
        <w:t>:</w:t>
      </w:r>
      <w:r w:rsidRPr="0041582B">
        <w:rPr>
          <w:rFonts w:asciiTheme="majorHAnsi" w:hAnsiTheme="majorHAnsi"/>
          <w:sz w:val="24"/>
          <w:szCs w:val="24"/>
        </w:rPr>
        <w:t xml:space="preserve"> Estimated Annualized Cost to the Federal Government</w:t>
      </w:r>
    </w:p>
    <w:tbl>
      <w:tblPr>
        <w:tblStyle w:val="TableGrid"/>
        <w:tblW w:w="0" w:type="auto"/>
        <w:tblLook w:val="04A0" w:firstRow="1" w:lastRow="0" w:firstColumn="1" w:lastColumn="0" w:noHBand="0" w:noVBand="1"/>
      </w:tblPr>
      <w:tblGrid>
        <w:gridCol w:w="4378"/>
        <w:gridCol w:w="1943"/>
        <w:gridCol w:w="1592"/>
        <w:gridCol w:w="1437"/>
      </w:tblGrid>
      <w:tr w:rsidRPr="005B706E" w:rsidR="004841F1" w:rsidTr="00A0436C" w14:paraId="32283CC9" w14:textId="77777777">
        <w:trPr>
          <w:trHeight w:val="593"/>
        </w:trPr>
        <w:tc>
          <w:tcPr>
            <w:tcW w:w="4378" w:type="dxa"/>
            <w:tcBorders>
              <w:bottom w:val="single" w:color="auto" w:sz="12" w:space="0"/>
            </w:tcBorders>
            <w:shd w:val="clear" w:color="auto" w:fill="D9D9D9" w:themeFill="background1" w:themeFillShade="D9"/>
            <w:vAlign w:val="center"/>
          </w:tcPr>
          <w:p w:rsidRPr="00297A03" w:rsidR="004841F1" w:rsidP="007760B3" w:rsidRDefault="004841F1" w14:paraId="16FE0036" w14:textId="77777777">
            <w:pPr>
              <w:jc w:val="center"/>
              <w:rPr>
                <w:rFonts w:asciiTheme="majorHAnsi" w:hAnsiTheme="majorHAnsi"/>
                <w:b/>
                <w:sz w:val="24"/>
                <w:szCs w:val="24"/>
              </w:rPr>
            </w:pPr>
            <w:r w:rsidRPr="00297A03">
              <w:rPr>
                <w:rFonts w:asciiTheme="majorHAnsi" w:hAnsiTheme="majorHAnsi"/>
                <w:b/>
                <w:sz w:val="24"/>
                <w:szCs w:val="24"/>
              </w:rPr>
              <w:t>Staff (FTE)</w:t>
            </w:r>
            <w:r w:rsidRPr="00297A03" w:rsidR="007A0D73">
              <w:rPr>
                <w:rFonts w:asciiTheme="majorHAnsi" w:hAnsiTheme="majorHAnsi"/>
                <w:b/>
                <w:sz w:val="24"/>
                <w:szCs w:val="24"/>
              </w:rPr>
              <w:t xml:space="preserve"> </w:t>
            </w:r>
          </w:p>
        </w:tc>
        <w:tc>
          <w:tcPr>
            <w:tcW w:w="1943" w:type="dxa"/>
            <w:tcBorders>
              <w:bottom w:val="single" w:color="auto" w:sz="12" w:space="0"/>
            </w:tcBorders>
            <w:shd w:val="clear" w:color="auto" w:fill="D9D9D9" w:themeFill="background1" w:themeFillShade="D9"/>
            <w:vAlign w:val="center"/>
          </w:tcPr>
          <w:p w:rsidRPr="00297A03" w:rsidR="004841F1" w:rsidP="0088140E" w:rsidRDefault="004841F1" w14:paraId="295AC8C6" w14:textId="1790397A">
            <w:pPr>
              <w:jc w:val="center"/>
              <w:rPr>
                <w:rFonts w:asciiTheme="majorHAnsi" w:hAnsiTheme="majorHAnsi"/>
                <w:b/>
                <w:sz w:val="24"/>
                <w:szCs w:val="24"/>
              </w:rPr>
            </w:pPr>
            <w:r w:rsidRPr="00A42FF7">
              <w:rPr>
                <w:rFonts w:asciiTheme="majorHAnsi" w:hAnsiTheme="majorHAnsi"/>
                <w:b/>
                <w:sz w:val="24"/>
                <w:szCs w:val="24"/>
              </w:rPr>
              <w:t xml:space="preserve">Average Hours </w:t>
            </w:r>
            <w:r w:rsidRPr="005B706E">
              <w:rPr>
                <w:rFonts w:asciiTheme="majorHAnsi" w:hAnsiTheme="majorHAnsi"/>
                <w:b/>
                <w:sz w:val="24"/>
                <w:szCs w:val="24"/>
              </w:rPr>
              <w:t xml:space="preserve">per </w:t>
            </w:r>
            <w:r w:rsidRPr="005B706E" w:rsidR="00AD529C">
              <w:rPr>
                <w:rFonts w:asciiTheme="majorHAnsi" w:hAnsiTheme="majorHAnsi"/>
                <w:b/>
                <w:sz w:val="24"/>
                <w:szCs w:val="24"/>
              </w:rPr>
              <w:t>S</w:t>
            </w:r>
            <w:r w:rsidRPr="005B706E" w:rsidR="0088140E">
              <w:rPr>
                <w:rFonts w:asciiTheme="majorHAnsi" w:hAnsiTheme="majorHAnsi"/>
                <w:b/>
                <w:sz w:val="24"/>
                <w:szCs w:val="24"/>
              </w:rPr>
              <w:t>ta</w:t>
            </w:r>
            <w:r w:rsidRPr="005B706E" w:rsidR="00AD529C">
              <w:rPr>
                <w:rFonts w:asciiTheme="majorHAnsi" w:hAnsiTheme="majorHAnsi"/>
                <w:b/>
                <w:sz w:val="24"/>
                <w:szCs w:val="24"/>
              </w:rPr>
              <w:t>te</w:t>
            </w:r>
          </w:p>
        </w:tc>
        <w:tc>
          <w:tcPr>
            <w:tcW w:w="1592" w:type="dxa"/>
            <w:tcBorders>
              <w:bottom w:val="single" w:color="auto" w:sz="12" w:space="0"/>
            </w:tcBorders>
            <w:shd w:val="clear" w:color="auto" w:fill="D9D9D9" w:themeFill="background1" w:themeFillShade="D9"/>
            <w:vAlign w:val="center"/>
          </w:tcPr>
          <w:p w:rsidRPr="005B706E" w:rsidR="004841F1" w:rsidP="007760B3" w:rsidRDefault="004841F1" w14:paraId="1AD50D67" w14:textId="77777777">
            <w:pPr>
              <w:jc w:val="center"/>
              <w:rPr>
                <w:rFonts w:asciiTheme="majorHAnsi" w:hAnsiTheme="majorHAnsi"/>
                <w:b/>
                <w:sz w:val="24"/>
                <w:szCs w:val="24"/>
              </w:rPr>
            </w:pPr>
            <w:r w:rsidRPr="005B706E">
              <w:rPr>
                <w:rFonts w:asciiTheme="majorHAnsi" w:hAnsiTheme="majorHAnsi"/>
                <w:b/>
                <w:sz w:val="24"/>
                <w:szCs w:val="24"/>
              </w:rPr>
              <w:t>Average Hourly Rate</w:t>
            </w:r>
          </w:p>
        </w:tc>
        <w:tc>
          <w:tcPr>
            <w:tcW w:w="1437" w:type="dxa"/>
            <w:tcBorders>
              <w:bottom w:val="single" w:color="auto" w:sz="12" w:space="0"/>
            </w:tcBorders>
            <w:shd w:val="clear" w:color="auto" w:fill="D9D9D9" w:themeFill="background1" w:themeFillShade="D9"/>
            <w:vAlign w:val="center"/>
          </w:tcPr>
          <w:p w:rsidRPr="005B706E" w:rsidR="004841F1" w:rsidP="007760B3" w:rsidRDefault="004841F1" w14:paraId="7A6FE81B" w14:textId="785CB831">
            <w:pPr>
              <w:jc w:val="center"/>
              <w:rPr>
                <w:rFonts w:asciiTheme="majorHAnsi" w:hAnsiTheme="majorHAnsi"/>
                <w:b/>
                <w:sz w:val="24"/>
                <w:szCs w:val="24"/>
              </w:rPr>
            </w:pPr>
            <w:r w:rsidRPr="005B706E">
              <w:rPr>
                <w:rFonts w:asciiTheme="majorHAnsi" w:hAnsiTheme="majorHAnsi"/>
                <w:b/>
                <w:sz w:val="24"/>
                <w:szCs w:val="24"/>
              </w:rPr>
              <w:t>Average Cost</w:t>
            </w:r>
            <w:r w:rsidRPr="005B706E" w:rsidR="00F22EA4">
              <w:rPr>
                <w:rFonts w:asciiTheme="majorHAnsi" w:hAnsiTheme="majorHAnsi"/>
                <w:b/>
                <w:sz w:val="24"/>
                <w:szCs w:val="24"/>
              </w:rPr>
              <w:t xml:space="preserve"> per State</w:t>
            </w:r>
          </w:p>
        </w:tc>
      </w:tr>
      <w:tr w:rsidRPr="005B706E" w:rsidR="004841F1" w:rsidTr="00A0436C" w14:paraId="2239C228" w14:textId="77777777">
        <w:tc>
          <w:tcPr>
            <w:tcW w:w="4378" w:type="dxa"/>
            <w:tcBorders>
              <w:top w:val="single" w:color="auto" w:sz="12" w:space="0"/>
            </w:tcBorders>
          </w:tcPr>
          <w:p w:rsidRPr="005B706E" w:rsidR="004841F1" w:rsidP="007760B3" w:rsidRDefault="00BE4B52" w14:paraId="4CB0B0ED" w14:textId="4CF55C6F">
            <w:pPr>
              <w:jc w:val="center"/>
              <w:rPr>
                <w:rFonts w:asciiTheme="majorHAnsi" w:hAnsiTheme="majorHAnsi"/>
                <w:sz w:val="24"/>
                <w:szCs w:val="24"/>
              </w:rPr>
            </w:pPr>
            <w:r w:rsidRPr="005B706E">
              <w:rPr>
                <w:rFonts w:asciiTheme="majorHAnsi" w:hAnsiTheme="majorHAnsi"/>
                <w:sz w:val="24"/>
                <w:szCs w:val="24"/>
              </w:rPr>
              <w:t>S</w:t>
            </w:r>
            <w:r w:rsidRPr="005B706E" w:rsidR="00A0436C">
              <w:rPr>
                <w:rFonts w:asciiTheme="majorHAnsi" w:hAnsiTheme="majorHAnsi"/>
                <w:sz w:val="24"/>
                <w:szCs w:val="24"/>
              </w:rPr>
              <w:t xml:space="preserve">ocial </w:t>
            </w:r>
            <w:r w:rsidRPr="005B706E" w:rsidR="0088140E">
              <w:rPr>
                <w:rFonts w:asciiTheme="majorHAnsi" w:hAnsiTheme="majorHAnsi"/>
                <w:sz w:val="24"/>
                <w:szCs w:val="24"/>
              </w:rPr>
              <w:t>Science Analyst, GS 14</w:t>
            </w:r>
          </w:p>
        </w:tc>
        <w:tc>
          <w:tcPr>
            <w:tcW w:w="1943" w:type="dxa"/>
            <w:tcBorders>
              <w:top w:val="single" w:color="auto" w:sz="12" w:space="0"/>
            </w:tcBorders>
          </w:tcPr>
          <w:p w:rsidRPr="005B706E" w:rsidR="004841F1" w:rsidP="007760B3" w:rsidRDefault="00F22EA4" w14:paraId="31805FFF" w14:textId="5BAB7D7A">
            <w:pPr>
              <w:jc w:val="center"/>
              <w:rPr>
                <w:rFonts w:asciiTheme="majorHAnsi" w:hAnsiTheme="majorHAnsi"/>
                <w:sz w:val="24"/>
                <w:szCs w:val="24"/>
              </w:rPr>
            </w:pPr>
            <w:r w:rsidRPr="005B706E">
              <w:rPr>
                <w:rFonts w:asciiTheme="majorHAnsi" w:hAnsiTheme="majorHAnsi"/>
                <w:sz w:val="24"/>
                <w:szCs w:val="24"/>
              </w:rPr>
              <w:t>10</w:t>
            </w:r>
          </w:p>
        </w:tc>
        <w:tc>
          <w:tcPr>
            <w:tcW w:w="1592" w:type="dxa"/>
            <w:tcBorders>
              <w:top w:val="single" w:color="auto" w:sz="12" w:space="0"/>
            </w:tcBorders>
          </w:tcPr>
          <w:p w:rsidRPr="005B706E" w:rsidR="004841F1" w:rsidP="00BE4B52" w:rsidRDefault="00F22EA4" w14:paraId="24EF82B2" w14:textId="4ECEDBDD">
            <w:pPr>
              <w:rPr>
                <w:rFonts w:asciiTheme="majorHAnsi" w:hAnsiTheme="majorHAnsi"/>
                <w:sz w:val="24"/>
                <w:szCs w:val="24"/>
              </w:rPr>
            </w:pPr>
            <w:r w:rsidRPr="005B706E">
              <w:rPr>
                <w:rFonts w:asciiTheme="majorHAnsi" w:hAnsiTheme="majorHAnsi"/>
                <w:sz w:val="24"/>
                <w:szCs w:val="24"/>
              </w:rPr>
              <w:t>$49.94</w:t>
            </w:r>
            <w:r w:rsidRPr="005B706E" w:rsidR="00321B51">
              <w:rPr>
                <w:rFonts w:asciiTheme="majorHAnsi" w:hAnsiTheme="majorHAnsi"/>
                <w:sz w:val="24"/>
                <w:szCs w:val="24"/>
              </w:rPr>
              <w:t xml:space="preserve"> </w:t>
            </w:r>
          </w:p>
        </w:tc>
        <w:tc>
          <w:tcPr>
            <w:tcW w:w="1437" w:type="dxa"/>
            <w:tcBorders>
              <w:top w:val="single" w:color="auto" w:sz="12" w:space="0"/>
            </w:tcBorders>
          </w:tcPr>
          <w:p w:rsidRPr="00297A03" w:rsidR="004841F1" w:rsidP="007760B3" w:rsidRDefault="009872E8" w14:paraId="13759DF7" w14:textId="01879E1B">
            <w:pPr>
              <w:jc w:val="center"/>
              <w:rPr>
                <w:rFonts w:asciiTheme="majorHAnsi" w:hAnsiTheme="majorHAnsi"/>
                <w:sz w:val="24"/>
                <w:szCs w:val="24"/>
              </w:rPr>
            </w:pPr>
            <w:r>
              <w:rPr>
                <w:rFonts w:asciiTheme="majorHAnsi" w:hAnsiTheme="majorHAnsi"/>
                <w:sz w:val="24"/>
                <w:szCs w:val="24"/>
              </w:rPr>
              <w:t>$</w:t>
            </w:r>
            <w:r w:rsidRPr="005B706E" w:rsidR="00F22EA4">
              <w:rPr>
                <w:rFonts w:asciiTheme="majorHAnsi" w:hAnsiTheme="majorHAnsi"/>
                <w:sz w:val="24"/>
                <w:szCs w:val="24"/>
              </w:rPr>
              <w:t>499.40</w:t>
            </w:r>
          </w:p>
        </w:tc>
      </w:tr>
      <w:tr w:rsidRPr="00333BBE" w:rsidR="004824FA" w:rsidTr="00A0436C" w14:paraId="5CE689E8" w14:textId="77777777">
        <w:trPr>
          <w:trHeight w:val="332"/>
        </w:trPr>
        <w:tc>
          <w:tcPr>
            <w:tcW w:w="7913" w:type="dxa"/>
            <w:gridSpan w:val="3"/>
            <w:vAlign w:val="center"/>
          </w:tcPr>
          <w:p w:rsidRPr="005B706E" w:rsidR="004824FA" w:rsidP="0088140E" w:rsidRDefault="004824FA" w14:paraId="1CDA3F91" w14:textId="25D8A2EC">
            <w:pPr>
              <w:jc w:val="right"/>
              <w:rPr>
                <w:rFonts w:asciiTheme="majorHAnsi" w:hAnsiTheme="majorHAnsi"/>
                <w:b/>
                <w:sz w:val="24"/>
                <w:szCs w:val="24"/>
              </w:rPr>
            </w:pPr>
            <w:r w:rsidRPr="005B706E">
              <w:rPr>
                <w:rFonts w:asciiTheme="majorHAnsi" w:hAnsiTheme="majorHAnsi"/>
                <w:b/>
                <w:sz w:val="24"/>
                <w:szCs w:val="24"/>
              </w:rPr>
              <w:t xml:space="preserve">Estimated Total Cost of </w:t>
            </w:r>
            <w:r w:rsidRPr="005B706E" w:rsidR="006B4DDC">
              <w:rPr>
                <w:rFonts w:asciiTheme="majorHAnsi" w:hAnsiTheme="majorHAnsi"/>
                <w:b/>
                <w:sz w:val="24"/>
                <w:szCs w:val="24"/>
              </w:rPr>
              <w:t>Information</w:t>
            </w:r>
            <w:r w:rsidRPr="005B706E">
              <w:rPr>
                <w:rFonts w:asciiTheme="majorHAnsi" w:hAnsiTheme="majorHAnsi"/>
                <w:b/>
                <w:sz w:val="24"/>
                <w:szCs w:val="24"/>
              </w:rPr>
              <w:t xml:space="preserve"> Collection</w:t>
            </w:r>
            <w:r w:rsidRPr="005B706E" w:rsidR="0088140E">
              <w:rPr>
                <w:rFonts w:asciiTheme="majorHAnsi" w:hAnsiTheme="majorHAnsi"/>
                <w:b/>
                <w:sz w:val="24"/>
                <w:szCs w:val="24"/>
              </w:rPr>
              <w:t xml:space="preserve"> (x6</w:t>
            </w:r>
            <w:r w:rsidRPr="005B706E" w:rsidR="00A0436C">
              <w:rPr>
                <w:rFonts w:asciiTheme="majorHAnsi" w:hAnsiTheme="majorHAnsi"/>
                <w:b/>
                <w:sz w:val="24"/>
                <w:szCs w:val="24"/>
              </w:rPr>
              <w:t xml:space="preserve"> s</w:t>
            </w:r>
            <w:r w:rsidRPr="005B706E" w:rsidR="0088140E">
              <w:rPr>
                <w:rFonts w:asciiTheme="majorHAnsi" w:hAnsiTheme="majorHAnsi"/>
                <w:b/>
                <w:sz w:val="24"/>
                <w:szCs w:val="24"/>
              </w:rPr>
              <w:t>ta</w:t>
            </w:r>
            <w:r w:rsidRPr="005B706E" w:rsidR="00A0436C">
              <w:rPr>
                <w:rFonts w:asciiTheme="majorHAnsi" w:hAnsiTheme="majorHAnsi"/>
                <w:b/>
                <w:sz w:val="24"/>
                <w:szCs w:val="24"/>
              </w:rPr>
              <w:t>tes)</w:t>
            </w:r>
          </w:p>
        </w:tc>
        <w:tc>
          <w:tcPr>
            <w:tcW w:w="1437" w:type="dxa"/>
            <w:vAlign w:val="center"/>
          </w:tcPr>
          <w:p w:rsidRPr="0041582B" w:rsidR="004824FA" w:rsidP="007760B3" w:rsidRDefault="009872E8" w14:paraId="7BC558A4" w14:textId="2F5F9AF3">
            <w:pPr>
              <w:jc w:val="center"/>
              <w:rPr>
                <w:rFonts w:asciiTheme="majorHAnsi" w:hAnsiTheme="majorHAnsi"/>
                <w:b/>
                <w:sz w:val="24"/>
                <w:szCs w:val="24"/>
              </w:rPr>
            </w:pPr>
            <w:r>
              <w:rPr>
                <w:rFonts w:asciiTheme="majorHAnsi" w:hAnsiTheme="majorHAnsi"/>
                <w:b/>
                <w:sz w:val="24"/>
                <w:szCs w:val="24"/>
              </w:rPr>
              <w:t>$</w:t>
            </w:r>
            <w:r w:rsidRPr="005B706E" w:rsidR="00DC7729">
              <w:rPr>
                <w:rFonts w:asciiTheme="majorHAnsi" w:hAnsiTheme="majorHAnsi"/>
                <w:b/>
                <w:sz w:val="24"/>
                <w:szCs w:val="24"/>
              </w:rPr>
              <w:t>299</w:t>
            </w:r>
            <w:r>
              <w:rPr>
                <w:rFonts w:asciiTheme="majorHAnsi" w:hAnsiTheme="majorHAnsi"/>
                <w:b/>
                <w:sz w:val="24"/>
                <w:szCs w:val="24"/>
              </w:rPr>
              <w:t>6.40</w:t>
            </w:r>
          </w:p>
        </w:tc>
      </w:tr>
    </w:tbl>
    <w:p w:rsidRPr="0041582B" w:rsidR="004841F1" w:rsidP="0041582B" w:rsidRDefault="004841F1" w14:paraId="13456CB7" w14:textId="77777777">
      <w:pPr>
        <w:spacing w:after="0" w:line="240" w:lineRule="auto"/>
        <w:rPr>
          <w:rFonts w:asciiTheme="majorHAnsi" w:hAnsiTheme="majorHAnsi"/>
          <w:sz w:val="24"/>
          <w:szCs w:val="24"/>
        </w:rPr>
      </w:pPr>
    </w:p>
    <w:p w:rsidRPr="0041582B" w:rsidR="00B12F51" w:rsidP="0041582B" w:rsidRDefault="00D75750" w14:paraId="69685D61"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Explanation for Program Changes or Adjustments</w:t>
      </w:r>
    </w:p>
    <w:p w:rsidRPr="0041582B" w:rsidR="00F52BCC" w:rsidP="0041582B" w:rsidRDefault="003C7C5D" w14:paraId="63D33537" w14:textId="77777777">
      <w:pPr>
        <w:pStyle w:val="ListParagraph"/>
        <w:spacing w:after="0" w:line="240" w:lineRule="auto"/>
        <w:ind w:firstLine="90"/>
        <w:rPr>
          <w:rFonts w:asciiTheme="majorHAnsi" w:hAnsiTheme="majorHAnsi"/>
          <w:sz w:val="24"/>
          <w:szCs w:val="24"/>
        </w:rPr>
      </w:pPr>
      <w:r w:rsidRPr="0041582B">
        <w:rPr>
          <w:rFonts w:asciiTheme="majorHAnsi" w:hAnsiTheme="majorHAnsi"/>
          <w:sz w:val="24"/>
          <w:szCs w:val="24"/>
        </w:rPr>
        <w:t>This is a new data collection.</w:t>
      </w:r>
    </w:p>
    <w:p w:rsidRPr="0041582B" w:rsidR="00F52BCC" w:rsidP="0041582B" w:rsidRDefault="00F52BCC" w14:paraId="38AD7D29" w14:textId="77777777">
      <w:pPr>
        <w:pStyle w:val="ListParagraph"/>
        <w:spacing w:after="0" w:line="240" w:lineRule="auto"/>
        <w:rPr>
          <w:rFonts w:asciiTheme="majorHAnsi" w:hAnsiTheme="majorHAnsi"/>
          <w:sz w:val="24"/>
          <w:szCs w:val="24"/>
        </w:rPr>
      </w:pPr>
    </w:p>
    <w:p w:rsidRPr="0041582B" w:rsidR="00B12F51" w:rsidP="0041582B" w:rsidRDefault="00616090" w14:paraId="72A7633C" w14:textId="369AD586">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Plan</w:t>
      </w:r>
      <w:r w:rsidRPr="0041582B" w:rsidR="00D75750">
        <w:rPr>
          <w:rFonts w:asciiTheme="majorHAnsi" w:hAnsiTheme="majorHAnsi"/>
          <w:b/>
          <w:sz w:val="24"/>
          <w:szCs w:val="24"/>
        </w:rPr>
        <w:t>s</w:t>
      </w:r>
      <w:r w:rsidRPr="0041582B" w:rsidR="00D75750">
        <w:rPr>
          <w:rFonts w:asciiTheme="majorHAnsi" w:hAnsiTheme="majorHAnsi"/>
          <w:b/>
          <w:bCs/>
          <w:sz w:val="24"/>
          <w:szCs w:val="24"/>
        </w:rPr>
        <w:t xml:space="preserve"> for Tabulation and Publication and Project Time Schedule</w:t>
      </w:r>
      <w:r w:rsidR="009C167E">
        <w:rPr>
          <w:rFonts w:asciiTheme="majorHAnsi" w:hAnsiTheme="majorHAnsi"/>
          <w:b/>
          <w:bCs/>
          <w:sz w:val="24"/>
          <w:szCs w:val="24"/>
        </w:rPr>
        <w:t xml:space="preserve"> </w:t>
      </w:r>
    </w:p>
    <w:p w:rsidRPr="004F512E" w:rsidR="00030C55" w:rsidP="0041582B" w:rsidRDefault="005A20FB" w14:paraId="1A96F0BB" w14:textId="410DC0DE">
      <w:pPr>
        <w:pStyle w:val="ListParagraph"/>
        <w:spacing w:after="0" w:line="240" w:lineRule="auto"/>
        <w:ind w:left="810"/>
        <w:rPr>
          <w:rFonts w:asciiTheme="majorHAnsi" w:hAnsiTheme="majorHAnsi"/>
          <w:sz w:val="24"/>
          <w:szCs w:val="24"/>
        </w:rPr>
      </w:pPr>
      <w:r w:rsidRPr="004F512E">
        <w:rPr>
          <w:rFonts w:asciiTheme="majorHAnsi" w:hAnsiTheme="majorHAnsi"/>
          <w:sz w:val="24"/>
          <w:szCs w:val="24"/>
        </w:rPr>
        <w:t xml:space="preserve">After the </w:t>
      </w:r>
      <w:r w:rsidRPr="004F512E" w:rsidR="00B818C1">
        <w:rPr>
          <w:rFonts w:asciiTheme="majorHAnsi" w:hAnsiTheme="majorHAnsi"/>
          <w:sz w:val="24"/>
          <w:szCs w:val="24"/>
        </w:rPr>
        <w:t>data collection</w:t>
      </w:r>
      <w:r w:rsidRPr="004F512E" w:rsidR="00B04F34">
        <w:rPr>
          <w:rFonts w:asciiTheme="majorHAnsi" w:hAnsiTheme="majorHAnsi"/>
          <w:sz w:val="24"/>
          <w:szCs w:val="24"/>
        </w:rPr>
        <w:t>,</w:t>
      </w:r>
      <w:r w:rsidRPr="004F512E">
        <w:rPr>
          <w:rFonts w:asciiTheme="majorHAnsi" w:hAnsiTheme="majorHAnsi"/>
          <w:sz w:val="24"/>
          <w:szCs w:val="24"/>
        </w:rPr>
        <w:t xml:space="preserve"> </w:t>
      </w:r>
      <w:r w:rsidRPr="004F512E" w:rsidR="00B04F34">
        <w:rPr>
          <w:rFonts w:asciiTheme="majorHAnsi" w:hAnsiTheme="majorHAnsi"/>
          <w:sz w:val="24"/>
          <w:szCs w:val="24"/>
        </w:rPr>
        <w:t xml:space="preserve">Mathematica will provide </w:t>
      </w:r>
      <w:r w:rsidR="00B463CA">
        <w:rPr>
          <w:rFonts w:asciiTheme="majorHAnsi" w:hAnsiTheme="majorHAnsi"/>
          <w:sz w:val="24"/>
          <w:szCs w:val="24"/>
        </w:rPr>
        <w:t xml:space="preserve">ASPE with </w:t>
      </w:r>
      <w:r w:rsidRPr="004F512E" w:rsidR="00B04F34">
        <w:rPr>
          <w:rFonts w:asciiTheme="majorHAnsi" w:hAnsiTheme="majorHAnsi"/>
          <w:sz w:val="24"/>
          <w:szCs w:val="24"/>
        </w:rPr>
        <w:t xml:space="preserve">notes from each </w:t>
      </w:r>
      <w:r w:rsidRPr="004F512E" w:rsidR="00B818C1">
        <w:rPr>
          <w:rFonts w:asciiTheme="majorHAnsi" w:hAnsiTheme="majorHAnsi"/>
          <w:sz w:val="24"/>
          <w:szCs w:val="24"/>
        </w:rPr>
        <w:t xml:space="preserve">individual </w:t>
      </w:r>
      <w:r w:rsidRPr="004F512E" w:rsidR="00B04F34">
        <w:rPr>
          <w:rFonts w:asciiTheme="majorHAnsi" w:hAnsiTheme="majorHAnsi"/>
          <w:sz w:val="24"/>
          <w:szCs w:val="24"/>
        </w:rPr>
        <w:t>interview, as well as a transcript and summary memo for each focus group,</w:t>
      </w:r>
      <w:r w:rsidRPr="004F512E">
        <w:rPr>
          <w:rFonts w:asciiTheme="majorHAnsi" w:hAnsiTheme="majorHAnsi"/>
          <w:sz w:val="24"/>
          <w:szCs w:val="24"/>
        </w:rPr>
        <w:t xml:space="preserve"> using standardized templates to document key findings across participants</w:t>
      </w:r>
      <w:r w:rsidRPr="004F512E" w:rsidR="00170FF1">
        <w:rPr>
          <w:rFonts w:asciiTheme="majorHAnsi" w:hAnsiTheme="majorHAnsi"/>
          <w:sz w:val="24"/>
          <w:szCs w:val="24"/>
        </w:rPr>
        <w:t xml:space="preserve">. </w:t>
      </w:r>
      <w:r w:rsidRPr="004F512E" w:rsidR="00B818C1">
        <w:rPr>
          <w:rFonts w:asciiTheme="majorHAnsi" w:hAnsiTheme="majorHAnsi"/>
          <w:sz w:val="24"/>
          <w:szCs w:val="24"/>
        </w:rPr>
        <w:t xml:space="preserve"> They will also provide a synthesis memo of the qualitative findings. </w:t>
      </w:r>
    </w:p>
    <w:p w:rsidRPr="004F512E" w:rsidR="00E45F91" w:rsidP="0041582B" w:rsidRDefault="00E45F91" w14:paraId="08931D3B" w14:textId="77777777">
      <w:pPr>
        <w:pStyle w:val="ListParagraph"/>
        <w:spacing w:after="0" w:line="240" w:lineRule="auto"/>
        <w:ind w:left="810"/>
        <w:rPr>
          <w:rFonts w:asciiTheme="majorHAnsi" w:hAnsiTheme="majorHAnsi"/>
          <w:sz w:val="24"/>
          <w:szCs w:val="24"/>
        </w:rPr>
      </w:pPr>
    </w:p>
    <w:p w:rsidRPr="004F512E" w:rsidR="0079208C" w:rsidP="0041582B" w:rsidRDefault="000905AD" w14:paraId="2B9DFA32" w14:textId="4BD75436">
      <w:pPr>
        <w:pStyle w:val="ListParagraph"/>
        <w:spacing w:after="0" w:line="240" w:lineRule="auto"/>
        <w:ind w:left="810"/>
        <w:rPr>
          <w:rFonts w:asciiTheme="majorHAnsi" w:hAnsiTheme="majorHAnsi"/>
          <w:sz w:val="24"/>
          <w:szCs w:val="24"/>
        </w:rPr>
      </w:pPr>
      <w:r w:rsidRPr="004F512E">
        <w:rPr>
          <w:rFonts w:asciiTheme="majorHAnsi" w:hAnsiTheme="majorHAnsi"/>
          <w:sz w:val="24"/>
          <w:szCs w:val="24"/>
        </w:rPr>
        <w:t xml:space="preserve">ASPE will synthesize </w:t>
      </w:r>
      <w:r w:rsidRPr="004F512E" w:rsidR="00B818C1">
        <w:rPr>
          <w:rFonts w:asciiTheme="majorHAnsi" w:hAnsiTheme="majorHAnsi"/>
          <w:sz w:val="24"/>
          <w:szCs w:val="24"/>
        </w:rPr>
        <w:t xml:space="preserve">the </w:t>
      </w:r>
      <w:r w:rsidRPr="004F512E">
        <w:rPr>
          <w:rFonts w:asciiTheme="majorHAnsi" w:hAnsiTheme="majorHAnsi"/>
          <w:sz w:val="24"/>
          <w:szCs w:val="24"/>
        </w:rPr>
        <w:t>qualitative findings</w:t>
      </w:r>
      <w:r w:rsidRPr="004F512E" w:rsidR="00462ADD">
        <w:rPr>
          <w:rFonts w:asciiTheme="majorHAnsi" w:hAnsiTheme="majorHAnsi"/>
          <w:sz w:val="24"/>
          <w:szCs w:val="24"/>
        </w:rPr>
        <w:t xml:space="preserve">, </w:t>
      </w:r>
      <w:r w:rsidRPr="004F512E">
        <w:rPr>
          <w:rFonts w:asciiTheme="majorHAnsi" w:hAnsiTheme="majorHAnsi"/>
          <w:sz w:val="24"/>
          <w:szCs w:val="24"/>
        </w:rPr>
        <w:t xml:space="preserve">and present the results in one or more research briefs summarizing the </w:t>
      </w:r>
      <w:r w:rsidRPr="004F512E" w:rsidR="00B818C1">
        <w:rPr>
          <w:rFonts w:asciiTheme="majorHAnsi" w:hAnsiTheme="majorHAnsi"/>
          <w:sz w:val="24"/>
          <w:szCs w:val="24"/>
        </w:rPr>
        <w:t xml:space="preserve">study </w:t>
      </w:r>
      <w:r w:rsidRPr="004F512E">
        <w:rPr>
          <w:rFonts w:asciiTheme="majorHAnsi" w:hAnsiTheme="majorHAnsi"/>
          <w:sz w:val="24"/>
          <w:szCs w:val="24"/>
        </w:rPr>
        <w:t xml:space="preserve">findings. </w:t>
      </w:r>
      <w:r w:rsidRPr="004F512E" w:rsidR="00F72E87">
        <w:rPr>
          <w:rFonts w:asciiTheme="majorHAnsi" w:hAnsiTheme="majorHAnsi"/>
          <w:sz w:val="24"/>
          <w:szCs w:val="24"/>
        </w:rPr>
        <w:t xml:space="preserve">ASPE plans to publically disseminate the overarching findings from this study. The dissemination </w:t>
      </w:r>
      <w:r w:rsidRPr="004F512E" w:rsidR="008A6C3C">
        <w:rPr>
          <w:rFonts w:asciiTheme="majorHAnsi" w:hAnsiTheme="majorHAnsi"/>
          <w:sz w:val="24"/>
          <w:szCs w:val="24"/>
        </w:rPr>
        <w:t xml:space="preserve">plan </w:t>
      </w:r>
      <w:r w:rsidRPr="004F512E" w:rsidR="00F72E87">
        <w:rPr>
          <w:rFonts w:asciiTheme="majorHAnsi" w:hAnsiTheme="majorHAnsi"/>
          <w:sz w:val="24"/>
          <w:szCs w:val="24"/>
        </w:rPr>
        <w:t>has not yet been determined, but could include</w:t>
      </w:r>
      <w:r w:rsidRPr="004F512E" w:rsidR="00EA7636">
        <w:rPr>
          <w:rFonts w:asciiTheme="majorHAnsi" w:hAnsiTheme="majorHAnsi"/>
          <w:sz w:val="24"/>
          <w:szCs w:val="24"/>
        </w:rPr>
        <w:t xml:space="preserve"> </w:t>
      </w:r>
      <w:r w:rsidRPr="004F512E" w:rsidR="00F72E87">
        <w:rPr>
          <w:rFonts w:asciiTheme="majorHAnsi" w:hAnsiTheme="majorHAnsi"/>
          <w:sz w:val="24"/>
          <w:szCs w:val="24"/>
        </w:rPr>
        <w:t>presentation</w:t>
      </w:r>
      <w:r w:rsidRPr="004F512E" w:rsidR="00B71549">
        <w:rPr>
          <w:rFonts w:asciiTheme="majorHAnsi" w:hAnsiTheme="majorHAnsi"/>
          <w:sz w:val="24"/>
          <w:szCs w:val="24"/>
        </w:rPr>
        <w:t>s</w:t>
      </w:r>
      <w:r w:rsidRPr="004F512E" w:rsidR="00F72E87">
        <w:rPr>
          <w:rFonts w:asciiTheme="majorHAnsi" w:hAnsiTheme="majorHAnsi"/>
          <w:sz w:val="24"/>
          <w:szCs w:val="24"/>
        </w:rPr>
        <w:t xml:space="preserve">, </w:t>
      </w:r>
      <w:r w:rsidRPr="004F512E" w:rsidR="00D15A84">
        <w:rPr>
          <w:rFonts w:asciiTheme="majorHAnsi" w:hAnsiTheme="majorHAnsi"/>
          <w:sz w:val="24"/>
          <w:szCs w:val="24"/>
        </w:rPr>
        <w:t xml:space="preserve">webinars, </w:t>
      </w:r>
      <w:r w:rsidRPr="004F512E" w:rsidR="00462ADD">
        <w:rPr>
          <w:rFonts w:asciiTheme="majorHAnsi" w:hAnsiTheme="majorHAnsi"/>
          <w:sz w:val="24"/>
          <w:szCs w:val="24"/>
        </w:rPr>
        <w:t xml:space="preserve">briefs, or </w:t>
      </w:r>
      <w:r w:rsidRPr="004F512E" w:rsidR="00DD5A91">
        <w:rPr>
          <w:rFonts w:asciiTheme="majorHAnsi" w:hAnsiTheme="majorHAnsi"/>
          <w:sz w:val="24"/>
          <w:szCs w:val="24"/>
        </w:rPr>
        <w:t>other written products</w:t>
      </w:r>
      <w:r w:rsidRPr="004F512E" w:rsidR="00F72E87">
        <w:rPr>
          <w:rFonts w:asciiTheme="majorHAnsi" w:hAnsiTheme="majorHAnsi"/>
          <w:sz w:val="24"/>
          <w:szCs w:val="24"/>
        </w:rPr>
        <w:t>.</w:t>
      </w:r>
    </w:p>
    <w:p w:rsidRPr="004F512E" w:rsidR="005A20FB" w:rsidP="0041582B" w:rsidRDefault="005A20FB" w14:paraId="669415D8" w14:textId="77777777">
      <w:pPr>
        <w:pStyle w:val="ListParagraph"/>
        <w:spacing w:after="0" w:line="240" w:lineRule="auto"/>
        <w:rPr>
          <w:rFonts w:asciiTheme="majorHAnsi" w:hAnsiTheme="majorHAnsi"/>
          <w:sz w:val="24"/>
          <w:szCs w:val="24"/>
        </w:rPr>
      </w:pPr>
    </w:p>
    <w:p w:rsidRPr="0041582B" w:rsidR="000A71DF" w:rsidP="0041582B" w:rsidRDefault="000A71DF" w14:paraId="5A16FCD3" w14:textId="77777777">
      <w:pPr>
        <w:spacing w:after="0" w:line="240" w:lineRule="auto"/>
        <w:ind w:firstLine="810"/>
        <w:rPr>
          <w:rFonts w:asciiTheme="majorHAnsi" w:hAnsiTheme="majorHAnsi"/>
          <w:sz w:val="24"/>
          <w:szCs w:val="24"/>
          <w:u w:val="single"/>
        </w:rPr>
      </w:pPr>
      <w:r w:rsidRPr="004F512E">
        <w:rPr>
          <w:rFonts w:asciiTheme="majorHAnsi" w:hAnsiTheme="majorHAnsi"/>
          <w:sz w:val="24"/>
          <w:szCs w:val="24"/>
          <w:u w:val="single"/>
        </w:rPr>
        <w:t>Project Time Schedule</w:t>
      </w:r>
    </w:p>
    <w:p w:rsidRPr="0004157B" w:rsidR="0004157B" w:rsidP="0041582B" w:rsidRDefault="009C167E" w14:paraId="03AE500F" w14:textId="47775260">
      <w:pPr>
        <w:pStyle w:val="ListParagraph"/>
        <w:numPr>
          <w:ilvl w:val="0"/>
          <w:numId w:val="25"/>
        </w:numPr>
        <w:spacing w:after="0" w:line="240" w:lineRule="auto"/>
        <w:rPr>
          <w:rFonts w:asciiTheme="majorHAnsi" w:hAnsiTheme="majorHAnsi"/>
          <w:sz w:val="24"/>
          <w:szCs w:val="24"/>
          <w:u w:val="single"/>
        </w:rPr>
      </w:pPr>
      <w:r>
        <w:rPr>
          <w:rFonts w:asciiTheme="majorHAnsi" w:hAnsiTheme="majorHAnsi"/>
          <w:sz w:val="24"/>
          <w:szCs w:val="24"/>
        </w:rPr>
        <w:t xml:space="preserve">June </w:t>
      </w:r>
      <w:r w:rsidRPr="0004157B" w:rsidR="0004157B">
        <w:rPr>
          <w:rFonts w:asciiTheme="majorHAnsi" w:hAnsiTheme="majorHAnsi"/>
          <w:sz w:val="24"/>
          <w:szCs w:val="24"/>
        </w:rPr>
        <w:t>2020</w:t>
      </w:r>
      <w:r w:rsidRPr="0004157B" w:rsidR="002754E5">
        <w:rPr>
          <w:rFonts w:asciiTheme="majorHAnsi" w:hAnsiTheme="majorHAnsi"/>
          <w:sz w:val="24"/>
          <w:szCs w:val="24"/>
        </w:rPr>
        <w:t xml:space="preserve">: </w:t>
      </w:r>
      <w:r w:rsidR="00B818C1">
        <w:rPr>
          <w:rFonts w:asciiTheme="majorHAnsi" w:hAnsiTheme="majorHAnsi"/>
          <w:sz w:val="24"/>
          <w:szCs w:val="24"/>
        </w:rPr>
        <w:t>ASPE and Mathematica s</w:t>
      </w:r>
      <w:r w:rsidRPr="0004157B" w:rsidR="0004157B">
        <w:rPr>
          <w:rFonts w:asciiTheme="majorHAnsi" w:hAnsiTheme="majorHAnsi"/>
          <w:sz w:val="24"/>
          <w:szCs w:val="24"/>
        </w:rPr>
        <w:t>eek OMB and IRB approval</w:t>
      </w:r>
    </w:p>
    <w:p w:rsidRPr="0004157B" w:rsidR="00451C47" w:rsidP="0041582B" w:rsidRDefault="009C167E" w14:paraId="4B858F13" w14:textId="7D3D6951">
      <w:pPr>
        <w:pStyle w:val="ListParagraph"/>
        <w:numPr>
          <w:ilvl w:val="0"/>
          <w:numId w:val="25"/>
        </w:numPr>
        <w:spacing w:after="0" w:line="240" w:lineRule="auto"/>
        <w:rPr>
          <w:rFonts w:asciiTheme="majorHAnsi" w:hAnsiTheme="majorHAnsi"/>
          <w:sz w:val="24"/>
          <w:szCs w:val="24"/>
          <w:u w:val="single"/>
        </w:rPr>
      </w:pPr>
      <w:r>
        <w:rPr>
          <w:rFonts w:asciiTheme="majorHAnsi" w:hAnsiTheme="majorHAnsi"/>
          <w:sz w:val="24"/>
          <w:szCs w:val="24"/>
        </w:rPr>
        <w:t>June-August</w:t>
      </w:r>
      <w:r w:rsidRPr="0004157B" w:rsidR="0004157B">
        <w:rPr>
          <w:rFonts w:asciiTheme="majorHAnsi" w:hAnsiTheme="majorHAnsi"/>
          <w:sz w:val="24"/>
          <w:szCs w:val="24"/>
        </w:rPr>
        <w:t xml:space="preserve"> 2020: </w:t>
      </w:r>
      <w:r w:rsidR="00B818C1">
        <w:rPr>
          <w:rFonts w:asciiTheme="majorHAnsi" w:hAnsiTheme="majorHAnsi"/>
          <w:sz w:val="24"/>
          <w:szCs w:val="24"/>
        </w:rPr>
        <w:t>Mathematica conducts o</w:t>
      </w:r>
      <w:r w:rsidRPr="0004157B" w:rsidR="002754E5">
        <w:rPr>
          <w:rFonts w:asciiTheme="majorHAnsi" w:hAnsiTheme="majorHAnsi"/>
          <w:sz w:val="24"/>
          <w:szCs w:val="24"/>
        </w:rPr>
        <w:t>utreach</w:t>
      </w:r>
      <w:r w:rsidRPr="0004157B" w:rsidR="0004157B">
        <w:rPr>
          <w:rFonts w:asciiTheme="majorHAnsi" w:hAnsiTheme="majorHAnsi"/>
          <w:sz w:val="24"/>
          <w:szCs w:val="24"/>
        </w:rPr>
        <w:t>, schedule</w:t>
      </w:r>
      <w:r w:rsidR="003B5FA8">
        <w:rPr>
          <w:rFonts w:asciiTheme="majorHAnsi" w:hAnsiTheme="majorHAnsi"/>
          <w:sz w:val="24"/>
          <w:szCs w:val="24"/>
        </w:rPr>
        <w:t>s,</w:t>
      </w:r>
      <w:r w:rsidRPr="0004157B" w:rsidR="0004157B">
        <w:rPr>
          <w:rFonts w:asciiTheme="majorHAnsi" w:hAnsiTheme="majorHAnsi"/>
          <w:sz w:val="24"/>
          <w:szCs w:val="24"/>
        </w:rPr>
        <w:t xml:space="preserve"> and conduct</w:t>
      </w:r>
      <w:r w:rsidR="003B5FA8">
        <w:rPr>
          <w:rFonts w:asciiTheme="majorHAnsi" w:hAnsiTheme="majorHAnsi"/>
          <w:sz w:val="24"/>
          <w:szCs w:val="24"/>
        </w:rPr>
        <w:t>s</w:t>
      </w:r>
      <w:r w:rsidRPr="0004157B" w:rsidR="0004157B">
        <w:rPr>
          <w:rFonts w:asciiTheme="majorHAnsi" w:hAnsiTheme="majorHAnsi"/>
          <w:sz w:val="24"/>
          <w:szCs w:val="24"/>
        </w:rPr>
        <w:t xml:space="preserve"> </w:t>
      </w:r>
      <w:r>
        <w:rPr>
          <w:rFonts w:asciiTheme="majorHAnsi" w:hAnsiTheme="majorHAnsi"/>
          <w:sz w:val="24"/>
          <w:szCs w:val="24"/>
        </w:rPr>
        <w:t xml:space="preserve">discussions with </w:t>
      </w:r>
      <w:r w:rsidR="003B5FA8">
        <w:rPr>
          <w:rFonts w:asciiTheme="majorHAnsi" w:hAnsiTheme="majorHAnsi"/>
          <w:sz w:val="24"/>
          <w:szCs w:val="24"/>
        </w:rPr>
        <w:t xml:space="preserve">respondents </w:t>
      </w:r>
      <w:r>
        <w:rPr>
          <w:rFonts w:asciiTheme="majorHAnsi" w:hAnsiTheme="majorHAnsi"/>
          <w:sz w:val="24"/>
          <w:szCs w:val="24"/>
        </w:rPr>
        <w:t>and focus groups with participants</w:t>
      </w:r>
    </w:p>
    <w:p w:rsidRPr="00AD1C9D" w:rsidR="002754E5" w:rsidP="0041582B" w:rsidRDefault="0004157B" w14:paraId="5D994619" w14:textId="19D19FCC">
      <w:pPr>
        <w:pStyle w:val="ListParagraph"/>
        <w:numPr>
          <w:ilvl w:val="0"/>
          <w:numId w:val="25"/>
        </w:numPr>
        <w:spacing w:after="0" w:line="240" w:lineRule="auto"/>
        <w:rPr>
          <w:rFonts w:asciiTheme="majorHAnsi" w:hAnsiTheme="majorHAnsi"/>
          <w:sz w:val="24"/>
          <w:szCs w:val="24"/>
          <w:u w:val="single"/>
        </w:rPr>
      </w:pPr>
      <w:r w:rsidRPr="0004157B">
        <w:rPr>
          <w:rFonts w:asciiTheme="majorHAnsi" w:hAnsiTheme="majorHAnsi"/>
          <w:sz w:val="24"/>
          <w:szCs w:val="24"/>
        </w:rPr>
        <w:t>June/July/August 2020</w:t>
      </w:r>
      <w:r w:rsidRPr="0004157B" w:rsidR="002754E5">
        <w:rPr>
          <w:rFonts w:asciiTheme="majorHAnsi" w:hAnsiTheme="majorHAnsi"/>
          <w:sz w:val="24"/>
          <w:szCs w:val="24"/>
        </w:rPr>
        <w:t xml:space="preserve">: </w:t>
      </w:r>
      <w:r w:rsidR="003B5FA8">
        <w:rPr>
          <w:rFonts w:asciiTheme="majorHAnsi" w:hAnsiTheme="majorHAnsi"/>
          <w:sz w:val="24"/>
          <w:szCs w:val="24"/>
        </w:rPr>
        <w:t xml:space="preserve">Mathematica </w:t>
      </w:r>
      <w:r w:rsidR="009C167E">
        <w:rPr>
          <w:rFonts w:asciiTheme="majorHAnsi" w:hAnsiTheme="majorHAnsi"/>
          <w:sz w:val="24"/>
          <w:szCs w:val="24"/>
        </w:rPr>
        <w:t>a</w:t>
      </w:r>
      <w:r w:rsidRPr="0004157B" w:rsidR="002754E5">
        <w:rPr>
          <w:rFonts w:asciiTheme="majorHAnsi" w:hAnsiTheme="majorHAnsi"/>
          <w:sz w:val="24"/>
          <w:szCs w:val="24"/>
        </w:rPr>
        <w:t>nalyze</w:t>
      </w:r>
      <w:r w:rsidR="009C167E">
        <w:rPr>
          <w:rFonts w:asciiTheme="majorHAnsi" w:hAnsiTheme="majorHAnsi"/>
          <w:sz w:val="24"/>
          <w:szCs w:val="24"/>
        </w:rPr>
        <w:t>s</w:t>
      </w:r>
      <w:r w:rsidRPr="0004157B" w:rsidR="002754E5">
        <w:rPr>
          <w:rFonts w:asciiTheme="majorHAnsi" w:hAnsiTheme="majorHAnsi"/>
          <w:sz w:val="24"/>
          <w:szCs w:val="24"/>
        </w:rPr>
        <w:t xml:space="preserve"> </w:t>
      </w:r>
      <w:r w:rsidRPr="0004157B" w:rsidR="00DD3E04">
        <w:rPr>
          <w:rFonts w:asciiTheme="majorHAnsi" w:hAnsiTheme="majorHAnsi"/>
          <w:sz w:val="24"/>
          <w:szCs w:val="24"/>
        </w:rPr>
        <w:t xml:space="preserve">discussion </w:t>
      </w:r>
      <w:r w:rsidR="009C167E">
        <w:rPr>
          <w:rFonts w:asciiTheme="majorHAnsi" w:hAnsiTheme="majorHAnsi"/>
          <w:sz w:val="24"/>
          <w:szCs w:val="24"/>
        </w:rPr>
        <w:t xml:space="preserve">and focus </w:t>
      </w:r>
      <w:r w:rsidRPr="0004157B" w:rsidR="00DD3E04">
        <w:rPr>
          <w:rFonts w:asciiTheme="majorHAnsi" w:hAnsiTheme="majorHAnsi"/>
          <w:sz w:val="24"/>
          <w:szCs w:val="24"/>
        </w:rPr>
        <w:t xml:space="preserve">group </w:t>
      </w:r>
      <w:r w:rsidRPr="0004157B" w:rsidR="004D29D3">
        <w:rPr>
          <w:rFonts w:asciiTheme="majorHAnsi" w:hAnsiTheme="majorHAnsi"/>
          <w:sz w:val="24"/>
          <w:szCs w:val="24"/>
        </w:rPr>
        <w:t>findings and submit</w:t>
      </w:r>
      <w:r w:rsidR="009C167E">
        <w:rPr>
          <w:rFonts w:asciiTheme="majorHAnsi" w:hAnsiTheme="majorHAnsi"/>
          <w:sz w:val="24"/>
          <w:szCs w:val="24"/>
        </w:rPr>
        <w:t>s</w:t>
      </w:r>
      <w:r w:rsidRPr="0004157B" w:rsidR="002754E5">
        <w:rPr>
          <w:rFonts w:asciiTheme="majorHAnsi" w:hAnsiTheme="majorHAnsi"/>
          <w:sz w:val="24"/>
          <w:szCs w:val="24"/>
        </w:rPr>
        <w:t xml:space="preserve"> summary </w:t>
      </w:r>
      <w:r w:rsidR="003B5FA8">
        <w:rPr>
          <w:rFonts w:asciiTheme="majorHAnsi" w:hAnsiTheme="majorHAnsi"/>
          <w:sz w:val="24"/>
          <w:szCs w:val="24"/>
        </w:rPr>
        <w:t xml:space="preserve">memos </w:t>
      </w:r>
      <w:r w:rsidRPr="0004157B" w:rsidR="004D29D3">
        <w:rPr>
          <w:rFonts w:asciiTheme="majorHAnsi" w:hAnsiTheme="majorHAnsi"/>
          <w:sz w:val="24"/>
          <w:szCs w:val="24"/>
        </w:rPr>
        <w:t>to ASPE</w:t>
      </w:r>
    </w:p>
    <w:p w:rsidRPr="0004157B" w:rsidR="00AD1C9D" w:rsidP="0041582B" w:rsidRDefault="009C167E" w14:paraId="6A2F603D" w14:textId="70E8D558">
      <w:pPr>
        <w:pStyle w:val="ListParagraph"/>
        <w:numPr>
          <w:ilvl w:val="0"/>
          <w:numId w:val="25"/>
        </w:numPr>
        <w:spacing w:after="0" w:line="240" w:lineRule="auto"/>
        <w:rPr>
          <w:rFonts w:asciiTheme="majorHAnsi" w:hAnsiTheme="majorHAnsi"/>
          <w:sz w:val="24"/>
          <w:szCs w:val="24"/>
          <w:u w:val="single"/>
        </w:rPr>
      </w:pPr>
      <w:r>
        <w:rPr>
          <w:rFonts w:asciiTheme="majorHAnsi" w:hAnsiTheme="majorHAnsi"/>
          <w:sz w:val="24"/>
          <w:szCs w:val="24"/>
        </w:rPr>
        <w:t xml:space="preserve">September-November </w:t>
      </w:r>
      <w:r w:rsidR="00AD1C9D">
        <w:rPr>
          <w:rFonts w:asciiTheme="majorHAnsi" w:hAnsiTheme="majorHAnsi"/>
          <w:sz w:val="24"/>
          <w:szCs w:val="24"/>
        </w:rPr>
        <w:t xml:space="preserve">2020: ASPE staff </w:t>
      </w:r>
      <w:r>
        <w:rPr>
          <w:rFonts w:asciiTheme="majorHAnsi" w:hAnsiTheme="majorHAnsi"/>
          <w:sz w:val="24"/>
          <w:szCs w:val="24"/>
        </w:rPr>
        <w:t xml:space="preserve">develops </w:t>
      </w:r>
      <w:r w:rsidR="003B5FA8">
        <w:rPr>
          <w:rFonts w:asciiTheme="majorHAnsi" w:hAnsiTheme="majorHAnsi"/>
          <w:sz w:val="24"/>
          <w:szCs w:val="24"/>
        </w:rPr>
        <w:t xml:space="preserve">a </w:t>
      </w:r>
      <w:r>
        <w:rPr>
          <w:rFonts w:asciiTheme="majorHAnsi" w:hAnsiTheme="majorHAnsi"/>
          <w:sz w:val="24"/>
          <w:szCs w:val="24"/>
        </w:rPr>
        <w:t>brief, memos</w:t>
      </w:r>
      <w:r w:rsidR="003B5FA8">
        <w:rPr>
          <w:rFonts w:asciiTheme="majorHAnsi" w:hAnsiTheme="majorHAnsi"/>
          <w:sz w:val="24"/>
          <w:szCs w:val="24"/>
        </w:rPr>
        <w:t>,</w:t>
      </w:r>
      <w:r>
        <w:rPr>
          <w:rFonts w:asciiTheme="majorHAnsi" w:hAnsiTheme="majorHAnsi"/>
          <w:sz w:val="24"/>
          <w:szCs w:val="24"/>
        </w:rPr>
        <w:t xml:space="preserve"> and other </w:t>
      </w:r>
      <w:r w:rsidR="00AD1C9D">
        <w:rPr>
          <w:rFonts w:asciiTheme="majorHAnsi" w:hAnsiTheme="majorHAnsi"/>
          <w:sz w:val="24"/>
          <w:szCs w:val="24"/>
        </w:rPr>
        <w:t>products</w:t>
      </w:r>
      <w:r w:rsidR="00B463CA">
        <w:rPr>
          <w:rFonts w:asciiTheme="majorHAnsi" w:hAnsiTheme="majorHAnsi"/>
          <w:sz w:val="24"/>
          <w:szCs w:val="24"/>
        </w:rPr>
        <w:t xml:space="preserve"> as appropriate</w:t>
      </w:r>
    </w:p>
    <w:p w:rsidRPr="0041582B" w:rsidR="000A71DF" w:rsidP="0041582B" w:rsidRDefault="000A71DF" w14:paraId="5C2308CB" w14:textId="77777777">
      <w:pPr>
        <w:pStyle w:val="ListParagraph"/>
        <w:spacing w:after="0" w:line="240" w:lineRule="auto"/>
        <w:rPr>
          <w:rFonts w:asciiTheme="majorHAnsi" w:hAnsiTheme="majorHAnsi"/>
          <w:sz w:val="24"/>
          <w:szCs w:val="24"/>
        </w:rPr>
      </w:pPr>
    </w:p>
    <w:p w:rsidRPr="0041582B" w:rsidR="00B12F51" w:rsidP="0041582B" w:rsidRDefault="00D75750" w14:paraId="47153A2C"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bCs/>
          <w:sz w:val="24"/>
          <w:szCs w:val="24"/>
        </w:rPr>
        <w:t xml:space="preserve">Reason(s) Display of OMB Expiration </w:t>
      </w:r>
      <w:r w:rsidRPr="0041582B">
        <w:rPr>
          <w:rFonts w:asciiTheme="majorHAnsi" w:hAnsiTheme="majorHAnsi"/>
          <w:b/>
          <w:sz w:val="24"/>
          <w:szCs w:val="24"/>
        </w:rPr>
        <w:t xml:space="preserve">Date </w:t>
      </w:r>
      <w:r w:rsidRPr="0041582B">
        <w:rPr>
          <w:rFonts w:asciiTheme="majorHAnsi" w:hAnsiTheme="majorHAnsi"/>
          <w:b/>
          <w:bCs/>
          <w:sz w:val="24"/>
          <w:szCs w:val="24"/>
        </w:rPr>
        <w:t>is Inappropriate</w:t>
      </w:r>
    </w:p>
    <w:p w:rsidRPr="0041582B" w:rsidR="00F52BCC" w:rsidP="0041582B" w:rsidRDefault="00180D45" w14:paraId="14658F71" w14:textId="77777777">
      <w:pPr>
        <w:pStyle w:val="ListParagraph"/>
        <w:spacing w:after="0" w:line="240" w:lineRule="auto"/>
        <w:ind w:firstLine="90"/>
        <w:rPr>
          <w:rFonts w:asciiTheme="majorHAnsi" w:hAnsiTheme="majorHAnsi"/>
          <w:sz w:val="24"/>
          <w:szCs w:val="24"/>
        </w:rPr>
      </w:pPr>
      <w:r w:rsidRPr="0041582B">
        <w:rPr>
          <w:rFonts w:asciiTheme="majorHAnsi" w:hAnsiTheme="majorHAnsi"/>
          <w:sz w:val="24"/>
          <w:szCs w:val="24"/>
        </w:rPr>
        <w:t>We are requesting no exemption.</w:t>
      </w:r>
    </w:p>
    <w:p w:rsidRPr="0041582B" w:rsidR="00F52BCC" w:rsidP="0041582B" w:rsidRDefault="00F52BCC" w14:paraId="173C9348" w14:textId="77777777">
      <w:pPr>
        <w:pStyle w:val="ListParagraph"/>
        <w:spacing w:after="0" w:line="240" w:lineRule="auto"/>
        <w:rPr>
          <w:rFonts w:asciiTheme="majorHAnsi" w:hAnsiTheme="majorHAnsi"/>
          <w:sz w:val="24"/>
          <w:szCs w:val="24"/>
        </w:rPr>
      </w:pPr>
    </w:p>
    <w:p w:rsidRPr="0041582B" w:rsidR="00B12F51" w:rsidP="0041582B" w:rsidRDefault="00B12F51" w14:paraId="09EAF199" w14:textId="77777777">
      <w:pPr>
        <w:pStyle w:val="ListParagraph"/>
        <w:numPr>
          <w:ilvl w:val="0"/>
          <w:numId w:val="2"/>
        </w:numPr>
        <w:spacing w:after="0" w:line="240" w:lineRule="auto"/>
        <w:rPr>
          <w:rFonts w:asciiTheme="majorHAnsi" w:hAnsiTheme="majorHAnsi"/>
          <w:b/>
          <w:sz w:val="24"/>
          <w:szCs w:val="24"/>
        </w:rPr>
      </w:pPr>
      <w:r w:rsidRPr="0041582B">
        <w:rPr>
          <w:rFonts w:asciiTheme="majorHAnsi" w:hAnsiTheme="majorHAnsi"/>
          <w:b/>
          <w:sz w:val="24"/>
          <w:szCs w:val="24"/>
        </w:rPr>
        <w:t>Exceptions to Certification for Paperwork Reduction Act Submissions</w:t>
      </w:r>
    </w:p>
    <w:p w:rsidRPr="0041582B" w:rsidR="00385BB5" w:rsidP="0041582B" w:rsidRDefault="0031279F" w14:paraId="15433627" w14:textId="77777777">
      <w:pPr>
        <w:pStyle w:val="ListParagraph"/>
        <w:spacing w:after="0" w:line="240" w:lineRule="auto"/>
        <w:ind w:left="810"/>
        <w:rPr>
          <w:rFonts w:asciiTheme="majorHAnsi" w:hAnsiTheme="majorHAnsi"/>
          <w:sz w:val="24"/>
          <w:szCs w:val="24"/>
        </w:rPr>
      </w:pPr>
      <w:r w:rsidRPr="0041582B">
        <w:rPr>
          <w:rFonts w:asciiTheme="majorHAnsi" w:hAnsiTheme="majorHAnsi"/>
          <w:sz w:val="24"/>
          <w:szCs w:val="24"/>
        </w:rPr>
        <w:t>There are no exceptions to the certification.</w:t>
      </w:r>
      <w:r w:rsidRPr="0041582B" w:rsidR="00180D45">
        <w:rPr>
          <w:rFonts w:asciiTheme="majorHAnsi" w:hAnsiTheme="majorHAnsi"/>
          <w:sz w:val="24"/>
          <w:szCs w:val="24"/>
        </w:rPr>
        <w:t xml:space="preserve"> These activities comply with the requirements in 5 CFR 1320.9.</w:t>
      </w:r>
    </w:p>
    <w:p w:rsidRPr="0041582B" w:rsidR="007958FD" w:rsidP="0041582B" w:rsidRDefault="007958FD" w14:paraId="4E813927" w14:textId="77777777">
      <w:pPr>
        <w:pStyle w:val="ListParagraph"/>
        <w:spacing w:after="0" w:line="240" w:lineRule="auto"/>
        <w:rPr>
          <w:rFonts w:asciiTheme="majorHAnsi" w:hAnsiTheme="majorHAnsi"/>
          <w:sz w:val="24"/>
          <w:szCs w:val="24"/>
        </w:rPr>
      </w:pPr>
    </w:p>
    <w:p w:rsidRPr="0041582B" w:rsidR="00A36419" w:rsidP="0041582B" w:rsidRDefault="00A36419" w14:paraId="6CC694D5" w14:textId="77777777">
      <w:pPr>
        <w:spacing w:after="0" w:line="240" w:lineRule="auto"/>
        <w:rPr>
          <w:rFonts w:asciiTheme="majorHAnsi" w:hAnsiTheme="majorHAnsi"/>
          <w:b/>
          <w:sz w:val="28"/>
        </w:rPr>
      </w:pPr>
      <w:r w:rsidRPr="00333BBE">
        <w:rPr>
          <w:rFonts w:asciiTheme="majorHAnsi" w:hAnsiTheme="majorHAnsi"/>
          <w:b/>
          <w:sz w:val="28"/>
        </w:rPr>
        <w:t>LIST OF ATTACHMENTS</w:t>
      </w:r>
      <w:r w:rsidRPr="0041582B" w:rsidR="00A33E90">
        <w:rPr>
          <w:rFonts w:asciiTheme="majorHAnsi" w:hAnsiTheme="majorHAnsi"/>
          <w:b/>
          <w:sz w:val="28"/>
        </w:rPr>
        <w:t xml:space="preserve"> – Section A</w:t>
      </w:r>
    </w:p>
    <w:p w:rsidRPr="0041582B" w:rsidR="006B5E55" w:rsidP="0041582B" w:rsidRDefault="006B5E55" w14:paraId="1948922D" w14:textId="77777777">
      <w:pPr>
        <w:spacing w:after="0" w:line="240" w:lineRule="auto"/>
        <w:rPr>
          <w:rFonts w:asciiTheme="majorHAnsi" w:hAnsiTheme="majorHAnsi"/>
          <w:sz w:val="24"/>
          <w:szCs w:val="24"/>
        </w:rPr>
      </w:pPr>
      <w:r w:rsidRPr="0041582B">
        <w:rPr>
          <w:rFonts w:asciiTheme="majorHAnsi" w:hAnsiTheme="majorHAnsi"/>
          <w:sz w:val="24"/>
          <w:szCs w:val="24"/>
        </w:rPr>
        <w:t>Note: Attachments are included as separate files as instructed.</w:t>
      </w:r>
    </w:p>
    <w:p w:rsidRPr="0041582B" w:rsidR="00A36419" w:rsidP="007760B3" w:rsidRDefault="00A36419" w14:paraId="101C7BAD" w14:textId="77777777">
      <w:pPr>
        <w:spacing w:after="0" w:line="240" w:lineRule="auto"/>
        <w:rPr>
          <w:rFonts w:asciiTheme="majorHAnsi" w:hAnsiTheme="majorHAnsi"/>
          <w:sz w:val="24"/>
          <w:szCs w:val="24"/>
        </w:rPr>
      </w:pPr>
    </w:p>
    <w:p w:rsidRPr="005416F2" w:rsidR="005A74B5" w:rsidP="007760B3" w:rsidRDefault="00AD2E65" w14:paraId="2FC15F96" w14:textId="3FA78F08">
      <w:pPr>
        <w:pStyle w:val="ListParagraph"/>
        <w:numPr>
          <w:ilvl w:val="0"/>
          <w:numId w:val="27"/>
        </w:numPr>
        <w:spacing w:line="240" w:lineRule="auto"/>
        <w:rPr>
          <w:rFonts w:asciiTheme="majorHAnsi" w:hAnsiTheme="majorHAnsi"/>
          <w:sz w:val="24"/>
          <w:szCs w:val="24"/>
        </w:rPr>
      </w:pPr>
      <w:r w:rsidRPr="005416F2">
        <w:rPr>
          <w:rFonts w:asciiTheme="majorHAnsi" w:hAnsiTheme="majorHAnsi"/>
          <w:sz w:val="24"/>
          <w:szCs w:val="24"/>
        </w:rPr>
        <w:t>Attachment A</w:t>
      </w:r>
      <w:r w:rsidRPr="005416F2" w:rsidR="00AD1C9D">
        <w:rPr>
          <w:rFonts w:asciiTheme="majorHAnsi" w:hAnsiTheme="majorHAnsi"/>
          <w:sz w:val="24"/>
          <w:szCs w:val="24"/>
        </w:rPr>
        <w:t>:</w:t>
      </w:r>
      <w:r w:rsidRPr="005416F2" w:rsidR="00791962">
        <w:rPr>
          <w:rFonts w:asciiTheme="majorHAnsi" w:hAnsiTheme="majorHAnsi"/>
          <w:sz w:val="24"/>
          <w:szCs w:val="24"/>
        </w:rPr>
        <w:t xml:space="preserve"> </w:t>
      </w:r>
      <w:r w:rsidRPr="005416F2" w:rsidR="00AD1C9D">
        <w:rPr>
          <w:rFonts w:asciiTheme="majorHAnsi" w:hAnsiTheme="majorHAnsi"/>
          <w:sz w:val="24"/>
          <w:szCs w:val="24"/>
        </w:rPr>
        <w:t xml:space="preserve"> </w:t>
      </w:r>
      <w:r w:rsidRPr="005416F2" w:rsidR="00CC42F0">
        <w:rPr>
          <w:rFonts w:asciiTheme="majorHAnsi" w:hAnsiTheme="majorHAnsi"/>
          <w:sz w:val="24"/>
          <w:szCs w:val="24"/>
        </w:rPr>
        <w:t>Recruitment emails</w:t>
      </w:r>
    </w:p>
    <w:p w:rsidRPr="005416F2" w:rsidR="000E6577" w:rsidP="00634EF0" w:rsidRDefault="00AD1C9D" w14:paraId="010FE088" w14:textId="6BC684C1">
      <w:pPr>
        <w:pStyle w:val="ListParagraph"/>
        <w:numPr>
          <w:ilvl w:val="0"/>
          <w:numId w:val="27"/>
        </w:numPr>
        <w:spacing w:line="240" w:lineRule="auto"/>
        <w:rPr>
          <w:rFonts w:asciiTheme="majorHAnsi" w:hAnsiTheme="majorHAnsi"/>
          <w:sz w:val="24"/>
          <w:szCs w:val="24"/>
        </w:rPr>
      </w:pPr>
      <w:r w:rsidRPr="005416F2">
        <w:rPr>
          <w:rFonts w:asciiTheme="majorHAnsi" w:hAnsiTheme="majorHAnsi"/>
          <w:sz w:val="24"/>
          <w:szCs w:val="24"/>
        </w:rPr>
        <w:t>Attachment B:</w:t>
      </w:r>
      <w:r w:rsidRPr="005416F2" w:rsidR="003327E3">
        <w:rPr>
          <w:rFonts w:asciiTheme="majorHAnsi" w:hAnsiTheme="majorHAnsi"/>
          <w:sz w:val="24"/>
          <w:szCs w:val="24"/>
        </w:rPr>
        <w:t xml:space="preserve"> </w:t>
      </w:r>
      <w:r w:rsidRPr="005416F2">
        <w:rPr>
          <w:rFonts w:asciiTheme="majorHAnsi" w:hAnsiTheme="majorHAnsi"/>
          <w:sz w:val="24"/>
          <w:szCs w:val="24"/>
        </w:rPr>
        <w:t xml:space="preserve"> </w:t>
      </w:r>
      <w:r w:rsidRPr="005416F2" w:rsidR="00C226CA">
        <w:rPr>
          <w:rFonts w:asciiTheme="majorHAnsi" w:hAnsiTheme="majorHAnsi"/>
          <w:sz w:val="24"/>
          <w:szCs w:val="24"/>
        </w:rPr>
        <w:t>Semi-structured d</w:t>
      </w:r>
      <w:r w:rsidRPr="005416F2">
        <w:rPr>
          <w:rFonts w:asciiTheme="majorHAnsi" w:hAnsiTheme="majorHAnsi"/>
          <w:sz w:val="24"/>
          <w:szCs w:val="24"/>
        </w:rPr>
        <w:t>iscussion g</w:t>
      </w:r>
      <w:r w:rsidRPr="005416F2" w:rsidR="00CC42F0">
        <w:rPr>
          <w:rFonts w:asciiTheme="majorHAnsi" w:hAnsiTheme="majorHAnsi"/>
          <w:sz w:val="24"/>
          <w:szCs w:val="24"/>
        </w:rPr>
        <w:t>uides</w:t>
      </w:r>
      <w:r w:rsidRPr="005416F2" w:rsidR="00FF1FDC">
        <w:rPr>
          <w:rFonts w:asciiTheme="majorHAnsi" w:hAnsiTheme="majorHAnsi"/>
          <w:sz w:val="24"/>
          <w:szCs w:val="24"/>
        </w:rPr>
        <w:t>, including consent scripts</w:t>
      </w:r>
    </w:p>
    <w:p w:rsidRPr="005416F2" w:rsidR="00291F0C" w:rsidP="00634EF0" w:rsidRDefault="00291F0C" w14:paraId="51C2115D" w14:textId="1E77F516">
      <w:pPr>
        <w:pStyle w:val="ListParagraph"/>
        <w:numPr>
          <w:ilvl w:val="0"/>
          <w:numId w:val="27"/>
        </w:numPr>
        <w:spacing w:line="240" w:lineRule="auto"/>
        <w:rPr>
          <w:rFonts w:asciiTheme="majorHAnsi" w:hAnsiTheme="majorHAnsi"/>
          <w:sz w:val="24"/>
          <w:szCs w:val="24"/>
        </w:rPr>
      </w:pPr>
      <w:r w:rsidRPr="005416F2">
        <w:rPr>
          <w:rFonts w:asciiTheme="majorHAnsi" w:hAnsiTheme="majorHAnsi"/>
          <w:sz w:val="24"/>
          <w:szCs w:val="24"/>
        </w:rPr>
        <w:t>Attachment C:  Demographic questionnaire</w:t>
      </w:r>
    </w:p>
    <w:sectPr w:rsidRPr="005416F2" w:rsidR="00291F0C"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2328" w14:textId="77777777" w:rsidR="001D05A4" w:rsidRDefault="001D05A4" w:rsidP="00716F94">
      <w:pPr>
        <w:spacing w:after="0" w:line="240" w:lineRule="auto"/>
      </w:pPr>
      <w:r>
        <w:separator/>
      </w:r>
    </w:p>
  </w:endnote>
  <w:endnote w:type="continuationSeparator" w:id="0">
    <w:p w14:paraId="7A935401" w14:textId="77777777" w:rsidR="001D05A4" w:rsidRDefault="001D05A4"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380BA1D" w14:textId="77E21410" w:rsidR="0057445F" w:rsidRPr="004A5A73" w:rsidRDefault="0057445F" w:rsidP="004A5A73">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A97460">
              <w:rPr>
                <w:b/>
                <w:noProof/>
              </w:rPr>
              <w:t>6</w:t>
            </w:r>
            <w:r>
              <w:rPr>
                <w:b/>
                <w:sz w:val="24"/>
                <w:szCs w:val="24"/>
              </w:rPr>
              <w:fldChar w:fldCharType="end"/>
            </w:r>
            <w:r>
              <w:t xml:space="preserve"> of </w:t>
            </w:r>
            <w:r w:rsidR="004A5A73">
              <w:rPr>
                <w:b/>
                <w:szCs w:val="24"/>
              </w:rPr>
              <w:t>8</w:t>
            </w:r>
          </w:p>
        </w:sdtContent>
      </w:sdt>
    </w:sdtContent>
  </w:sdt>
  <w:p w14:paraId="6C70BE87" w14:textId="77777777" w:rsidR="0057445F" w:rsidRDefault="0057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1566A" w14:textId="77777777" w:rsidR="001D05A4" w:rsidRDefault="001D05A4" w:rsidP="00716F94">
      <w:pPr>
        <w:spacing w:after="0" w:line="240" w:lineRule="auto"/>
      </w:pPr>
      <w:r>
        <w:separator/>
      </w:r>
    </w:p>
  </w:footnote>
  <w:footnote w:type="continuationSeparator" w:id="0">
    <w:p w14:paraId="7F3DE41B" w14:textId="77777777" w:rsidR="001D05A4" w:rsidRDefault="001D05A4" w:rsidP="00716F94">
      <w:pPr>
        <w:spacing w:after="0" w:line="240" w:lineRule="auto"/>
      </w:pPr>
      <w:r>
        <w:continuationSeparator/>
      </w:r>
    </w:p>
  </w:footnote>
  <w:footnote w:id="1">
    <w:p w14:paraId="7551275E" w14:textId="39452AE3" w:rsidR="00B417C1" w:rsidRDefault="00B417C1">
      <w:pPr>
        <w:pStyle w:val="FootnoteText"/>
      </w:pPr>
      <w:r>
        <w:rPr>
          <w:rStyle w:val="FootnoteReference"/>
        </w:rPr>
        <w:footnoteRef/>
      </w:r>
      <w:r>
        <w:t xml:space="preserve"> State TANF leaders presenting on “</w:t>
      </w:r>
      <w:r w:rsidRPr="00B417C1">
        <w:t>TANF Responses to COVID-19 – Voices from the Field</w:t>
      </w:r>
      <w:r>
        <w:t>,” an April 29, 2020, webinar</w:t>
      </w:r>
      <w:r w:rsidR="003135E5">
        <w:t xml:space="preserve"> via Zoom</w:t>
      </w:r>
      <w:r>
        <w:t xml:space="preserve"> sponsored by the National Association of Welfare Research and Statistics. </w:t>
      </w:r>
    </w:p>
  </w:footnote>
  <w:footnote w:id="2">
    <w:p w14:paraId="4542A499" w14:textId="2E175ACA" w:rsidR="00C37A4B" w:rsidRDefault="00C37A4B">
      <w:pPr>
        <w:pStyle w:val="FootnoteText"/>
      </w:pPr>
      <w:r>
        <w:rPr>
          <w:rStyle w:val="FootnoteReference"/>
        </w:rPr>
        <w:footnoteRef/>
      </w:r>
      <w:r>
        <w:t xml:space="preserve"> See, for example: </w:t>
      </w:r>
      <w:r>
        <w:rPr>
          <w:bCs/>
        </w:rPr>
        <w:t>“</w:t>
      </w:r>
      <w:r w:rsidRPr="00270FF8">
        <w:rPr>
          <w:bCs/>
        </w:rPr>
        <w:t>The National Consortium of Telehealth Resource Centers</w:t>
      </w:r>
      <w:r>
        <w:rPr>
          <w:bCs/>
        </w:rPr>
        <w:t xml:space="preserve">.” </w:t>
      </w:r>
      <w:r>
        <w:t xml:space="preserve">Tools and Resources. (2020) </w:t>
      </w:r>
      <w:r w:rsidRPr="00270FF8">
        <w:t>Health Resources and Services Administration (HRSA)</w:t>
      </w:r>
      <w:r>
        <w:t xml:space="preserve">/HHS. </w:t>
      </w:r>
      <w:hyperlink r:id="rId1" w:history="1">
        <w:r w:rsidRPr="00BD0BFA">
          <w:rPr>
            <w:rStyle w:val="Hyperlink"/>
          </w:rPr>
          <w:t>https://www.telehealthresourcecenter.org/</w:t>
        </w:r>
      </w:hyperlink>
    </w:p>
  </w:footnote>
  <w:footnote w:id="3">
    <w:p w14:paraId="3C3FF65F" w14:textId="3D4418B0" w:rsidR="00C37A4B" w:rsidRDefault="00C37A4B">
      <w:pPr>
        <w:pStyle w:val="FootnoteText"/>
      </w:pPr>
      <w:r>
        <w:rPr>
          <w:rStyle w:val="FootnoteReference"/>
        </w:rPr>
        <w:footnoteRef/>
      </w:r>
      <w:r>
        <w:t xml:space="preserve"> These include: </w:t>
      </w:r>
      <w:r w:rsidR="0054639E">
        <w:t xml:space="preserve">Annette </w:t>
      </w:r>
      <w:r>
        <w:t xml:space="preserve">Waters, </w:t>
      </w:r>
      <w:r w:rsidR="0054639E">
        <w:t xml:space="preserve">Pamela </w:t>
      </w:r>
      <w:r>
        <w:t xml:space="preserve">Winston, and </w:t>
      </w:r>
      <w:r w:rsidR="0054639E">
        <w:t xml:space="preserve">Robin </w:t>
      </w:r>
      <w:r>
        <w:t>Ghertner (2020), “</w:t>
      </w:r>
      <w:hyperlink r:id="rId2" w:history="1">
        <w:r w:rsidRPr="00C37A4B">
          <w:rPr>
            <w:rStyle w:val="Hyperlink"/>
          </w:rPr>
          <w:t>Virtual Case Management Considerations and Resources for Human Services Programs</w:t>
        </w:r>
      </w:hyperlink>
      <w:r w:rsidR="0054639E">
        <w:t>;</w:t>
      </w:r>
      <w:r>
        <w:t>” Lauren Supplee and Sarah Shea Crowne (2020), “</w:t>
      </w:r>
      <w:hyperlink r:id="rId3" w:history="1">
        <w:r w:rsidRPr="00C37A4B">
          <w:rPr>
            <w:rStyle w:val="Hyperlink"/>
          </w:rPr>
          <w:t xml:space="preserve">During the COVID-19 </w:t>
        </w:r>
        <w:r w:rsidR="0054639E">
          <w:rPr>
            <w:rStyle w:val="Hyperlink"/>
          </w:rPr>
          <w:t>Pandemic, T</w:t>
        </w:r>
        <w:r w:rsidRPr="00C37A4B">
          <w:rPr>
            <w:rStyle w:val="Hyperlink"/>
          </w:rPr>
          <w:t xml:space="preserve">elehealth </w:t>
        </w:r>
        <w:r w:rsidR="0054639E">
          <w:rPr>
            <w:rStyle w:val="Hyperlink"/>
          </w:rPr>
          <w:t>Can Help Connect Home Visiting Services to F</w:t>
        </w:r>
        <w:r w:rsidRPr="00C37A4B">
          <w:rPr>
            <w:rStyle w:val="Hyperlink"/>
          </w:rPr>
          <w:t>amilies</w:t>
        </w:r>
      </w:hyperlink>
      <w:r w:rsidR="0054639E">
        <w:t>;</w:t>
      </w:r>
      <w:r>
        <w:t xml:space="preserve">” and </w:t>
      </w:r>
      <w:r w:rsidR="0054639E">
        <w:t xml:space="preserve">an internal ASPE-Institute for Research on Poverty/University of Wisconsin “learning exchange” for federal human services staff on March 28, 2020, entitled </w:t>
      </w:r>
      <w:r>
        <w:t>“</w:t>
      </w:r>
      <w:r w:rsidR="0054639E" w:rsidRPr="0054639E">
        <w:t>Considerations for Successful Virtual Case Management in Human Service Delivery</w:t>
      </w:r>
      <w:r w:rsidR="0054639E">
        <w:t>.</w:t>
      </w:r>
      <w:r>
        <w:t>”</w:t>
      </w:r>
    </w:p>
  </w:footnote>
  <w:footnote w:id="4">
    <w:p w14:paraId="5C97955E" w14:textId="5A55941B" w:rsidR="00014C1E" w:rsidRDefault="00014C1E">
      <w:pPr>
        <w:pStyle w:val="FootnoteText"/>
      </w:pPr>
      <w:r>
        <w:rPr>
          <w:rStyle w:val="FootnoteReference"/>
        </w:rPr>
        <w:footnoteRef/>
      </w:r>
      <w:r>
        <w:t xml:space="preserve"> See Supplee and Crowne (2020).</w:t>
      </w:r>
    </w:p>
  </w:footnote>
  <w:footnote w:id="5">
    <w:p w14:paraId="0FE44A6A" w14:textId="095F90B9" w:rsidR="00BA6BB4" w:rsidRPr="00073C84" w:rsidRDefault="00BA6BB4" w:rsidP="00BA6BB4">
      <w:pPr>
        <w:pStyle w:val="FootnoteText"/>
        <w:rPr>
          <w:rFonts w:asciiTheme="majorHAnsi" w:hAnsiTheme="majorHAnsi"/>
        </w:rPr>
      </w:pPr>
      <w:r>
        <w:rPr>
          <w:rStyle w:val="FootnoteReference"/>
        </w:rPr>
        <w:footnoteRef/>
      </w:r>
      <w:r>
        <w:t xml:space="preserve"> </w:t>
      </w:r>
      <w:r w:rsidRPr="00073C84">
        <w:rPr>
          <w:rFonts w:asciiTheme="majorHAnsi" w:hAnsiTheme="majorHAnsi"/>
          <w:color w:val="000000"/>
        </w:rPr>
        <w:t>Estimates for the average hourly wage for respondents are based on th</w:t>
      </w:r>
      <w:r w:rsidR="00A03001">
        <w:rPr>
          <w:rFonts w:asciiTheme="majorHAnsi" w:hAnsiTheme="majorHAnsi"/>
          <w:color w:val="000000"/>
        </w:rPr>
        <w:t>e Department of Labor (DOL) 2019</w:t>
      </w:r>
      <w:r w:rsidRPr="00073C84">
        <w:rPr>
          <w:rFonts w:asciiTheme="majorHAnsi" w:hAnsiTheme="majorHAnsi"/>
          <w:color w:val="000000"/>
        </w:rPr>
        <w:t xml:space="preserve"> National Occupational Employment and Wage Estimates (</w:t>
      </w:r>
      <w:hyperlink r:id="rId4" w:history="1">
        <w:r w:rsidRPr="00073C84">
          <w:rPr>
            <w:rStyle w:val="Hyperlink"/>
            <w:rFonts w:asciiTheme="majorHAnsi" w:hAnsiTheme="majorHAnsi"/>
            <w:color w:val="000000"/>
          </w:rPr>
          <w:t>https://www.bls.gov/oes/current/oes_nat.htm</w:t>
        </w:r>
      </w:hyperlink>
      <w:r w:rsidRPr="00073C84">
        <w:rPr>
          <w:rFonts w:asciiTheme="majorHAnsi" w:hAnsiTheme="majorHAnsi"/>
          <w:color w:val="000000"/>
        </w:rPr>
        <w:t>).</w:t>
      </w:r>
      <w:r w:rsidR="00B46F86">
        <w:rPr>
          <w:rFonts w:asciiTheme="majorHAnsi" w:hAnsiTheme="majorHAnsi"/>
          <w:color w:val="000000"/>
        </w:rPr>
        <w:t xml:space="preserve"> To estimate, we used average wages for: social and community service managers, community and social service occupations, and personal care and service occupations.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2A65" w14:textId="26344A99" w:rsidR="0057445F" w:rsidRPr="00716F94" w:rsidRDefault="0057445F" w:rsidP="00484011">
    <w:pPr>
      <w:pStyle w:val="Header"/>
      <w:tabs>
        <w:tab w:val="clear" w:pos="4680"/>
      </w:tabs>
      <w:rPr>
        <w:color w:val="0033CC"/>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93A03"/>
    <w:multiLevelType w:val="hybridMultilevel"/>
    <w:tmpl w:val="B0FA1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B7B03"/>
    <w:multiLevelType w:val="hybridMultilevel"/>
    <w:tmpl w:val="C68A1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535EF"/>
    <w:multiLevelType w:val="hybridMultilevel"/>
    <w:tmpl w:val="99560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C28A0"/>
    <w:multiLevelType w:val="hybridMultilevel"/>
    <w:tmpl w:val="8E20D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116B9"/>
    <w:multiLevelType w:val="hybridMultilevel"/>
    <w:tmpl w:val="BA7C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52B86"/>
    <w:multiLevelType w:val="hybridMultilevel"/>
    <w:tmpl w:val="D06EA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ED56CF"/>
    <w:multiLevelType w:val="hybridMultilevel"/>
    <w:tmpl w:val="322C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429D1"/>
    <w:multiLevelType w:val="hybridMultilevel"/>
    <w:tmpl w:val="0502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36257"/>
    <w:multiLevelType w:val="hybridMultilevel"/>
    <w:tmpl w:val="D4CC1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C448F"/>
    <w:multiLevelType w:val="hybridMultilevel"/>
    <w:tmpl w:val="C0D07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10237D"/>
    <w:multiLevelType w:val="hybridMultilevel"/>
    <w:tmpl w:val="49D276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593C26F8"/>
    <w:multiLevelType w:val="hybridMultilevel"/>
    <w:tmpl w:val="6CA2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6D1CB4"/>
    <w:multiLevelType w:val="hybridMultilevel"/>
    <w:tmpl w:val="CB5C08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E059D"/>
    <w:multiLevelType w:val="hybridMultilevel"/>
    <w:tmpl w:val="1780D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6"/>
  </w:num>
  <w:num w:numId="4">
    <w:abstractNumId w:val="14"/>
  </w:num>
  <w:num w:numId="5">
    <w:abstractNumId w:val="21"/>
  </w:num>
  <w:num w:numId="6">
    <w:abstractNumId w:val="11"/>
  </w:num>
  <w:num w:numId="7">
    <w:abstractNumId w:val="0"/>
  </w:num>
  <w:num w:numId="8">
    <w:abstractNumId w:val="6"/>
  </w:num>
  <w:num w:numId="9">
    <w:abstractNumId w:val="13"/>
  </w:num>
  <w:num w:numId="10">
    <w:abstractNumId w:val="28"/>
  </w:num>
  <w:num w:numId="11">
    <w:abstractNumId w:val="2"/>
  </w:num>
  <w:num w:numId="12">
    <w:abstractNumId w:val="35"/>
  </w:num>
  <w:num w:numId="13">
    <w:abstractNumId w:val="9"/>
  </w:num>
  <w:num w:numId="14">
    <w:abstractNumId w:val="3"/>
  </w:num>
  <w:num w:numId="15">
    <w:abstractNumId w:val="31"/>
  </w:num>
  <w:num w:numId="16">
    <w:abstractNumId w:val="33"/>
  </w:num>
  <w:num w:numId="17">
    <w:abstractNumId w:val="34"/>
  </w:num>
  <w:num w:numId="18">
    <w:abstractNumId w:val="16"/>
  </w:num>
  <w:num w:numId="19">
    <w:abstractNumId w:val="37"/>
  </w:num>
  <w:num w:numId="20">
    <w:abstractNumId w:val="24"/>
  </w:num>
  <w:num w:numId="21">
    <w:abstractNumId w:val="29"/>
  </w:num>
  <w:num w:numId="22">
    <w:abstractNumId w:val="22"/>
  </w:num>
  <w:num w:numId="23">
    <w:abstractNumId w:val="8"/>
  </w:num>
  <w:num w:numId="24">
    <w:abstractNumId w:val="26"/>
  </w:num>
  <w:num w:numId="25">
    <w:abstractNumId w:val="32"/>
  </w:num>
  <w:num w:numId="26">
    <w:abstractNumId w:val="7"/>
  </w:num>
  <w:num w:numId="27">
    <w:abstractNumId w:val="10"/>
  </w:num>
  <w:num w:numId="28">
    <w:abstractNumId w:val="19"/>
  </w:num>
  <w:num w:numId="29">
    <w:abstractNumId w:val="15"/>
  </w:num>
  <w:num w:numId="30">
    <w:abstractNumId w:val="12"/>
  </w:num>
  <w:num w:numId="31">
    <w:abstractNumId w:val="5"/>
  </w:num>
  <w:num w:numId="32">
    <w:abstractNumId w:val="18"/>
  </w:num>
  <w:num w:numId="33">
    <w:abstractNumId w:val="25"/>
  </w:num>
  <w:num w:numId="34">
    <w:abstractNumId w:val="4"/>
  </w:num>
  <w:num w:numId="35">
    <w:abstractNumId w:val="20"/>
  </w:num>
  <w:num w:numId="36">
    <w:abstractNumId w:val="27"/>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1A98"/>
    <w:rsid w:val="00011F8D"/>
    <w:rsid w:val="000130B4"/>
    <w:rsid w:val="00014361"/>
    <w:rsid w:val="00014C1E"/>
    <w:rsid w:val="0002003E"/>
    <w:rsid w:val="00022072"/>
    <w:rsid w:val="00030C55"/>
    <w:rsid w:val="000323A9"/>
    <w:rsid w:val="00033BA0"/>
    <w:rsid w:val="000357EE"/>
    <w:rsid w:val="0003770F"/>
    <w:rsid w:val="0004157B"/>
    <w:rsid w:val="000417FB"/>
    <w:rsid w:val="000467BF"/>
    <w:rsid w:val="000474FB"/>
    <w:rsid w:val="00053A92"/>
    <w:rsid w:val="00054839"/>
    <w:rsid w:val="00057F36"/>
    <w:rsid w:val="00073C84"/>
    <w:rsid w:val="000810E5"/>
    <w:rsid w:val="00085BB0"/>
    <w:rsid w:val="00085C5E"/>
    <w:rsid w:val="000905AD"/>
    <w:rsid w:val="00096441"/>
    <w:rsid w:val="00096B2A"/>
    <w:rsid w:val="000A1F30"/>
    <w:rsid w:val="000A2D0C"/>
    <w:rsid w:val="000A71DF"/>
    <w:rsid w:val="000B0962"/>
    <w:rsid w:val="000B2CBC"/>
    <w:rsid w:val="000B7657"/>
    <w:rsid w:val="000C52CD"/>
    <w:rsid w:val="000C75AF"/>
    <w:rsid w:val="000D14B8"/>
    <w:rsid w:val="000D3E00"/>
    <w:rsid w:val="000D522D"/>
    <w:rsid w:val="000E2189"/>
    <w:rsid w:val="000E6577"/>
    <w:rsid w:val="000E6B82"/>
    <w:rsid w:val="000E7A19"/>
    <w:rsid w:val="000F4D08"/>
    <w:rsid w:val="00103BF0"/>
    <w:rsid w:val="00104A1B"/>
    <w:rsid w:val="0010707D"/>
    <w:rsid w:val="001177DD"/>
    <w:rsid w:val="00133CE4"/>
    <w:rsid w:val="00135334"/>
    <w:rsid w:val="001412D4"/>
    <w:rsid w:val="00144F64"/>
    <w:rsid w:val="00145D62"/>
    <w:rsid w:val="00147140"/>
    <w:rsid w:val="00151567"/>
    <w:rsid w:val="0015763F"/>
    <w:rsid w:val="00163731"/>
    <w:rsid w:val="00163E17"/>
    <w:rsid w:val="00166F9E"/>
    <w:rsid w:val="00167880"/>
    <w:rsid w:val="001705EB"/>
    <w:rsid w:val="00170FF1"/>
    <w:rsid w:val="00175270"/>
    <w:rsid w:val="00180D45"/>
    <w:rsid w:val="00182585"/>
    <w:rsid w:val="00183401"/>
    <w:rsid w:val="00187870"/>
    <w:rsid w:val="00187D5A"/>
    <w:rsid w:val="00193BE3"/>
    <w:rsid w:val="00196938"/>
    <w:rsid w:val="001972D7"/>
    <w:rsid w:val="001A28F6"/>
    <w:rsid w:val="001A7CEF"/>
    <w:rsid w:val="001B10AD"/>
    <w:rsid w:val="001B2831"/>
    <w:rsid w:val="001B4065"/>
    <w:rsid w:val="001C0493"/>
    <w:rsid w:val="001C186A"/>
    <w:rsid w:val="001C26E8"/>
    <w:rsid w:val="001C28AD"/>
    <w:rsid w:val="001C2BEA"/>
    <w:rsid w:val="001C6D59"/>
    <w:rsid w:val="001D05A4"/>
    <w:rsid w:val="001D3C32"/>
    <w:rsid w:val="001D3D7B"/>
    <w:rsid w:val="001D5A90"/>
    <w:rsid w:val="001D7FCB"/>
    <w:rsid w:val="001E121F"/>
    <w:rsid w:val="001E2830"/>
    <w:rsid w:val="001E2B99"/>
    <w:rsid w:val="001E4B2C"/>
    <w:rsid w:val="001E69B6"/>
    <w:rsid w:val="001F1D8C"/>
    <w:rsid w:val="001F4DBB"/>
    <w:rsid w:val="00200391"/>
    <w:rsid w:val="00201E82"/>
    <w:rsid w:val="00202D07"/>
    <w:rsid w:val="0020312D"/>
    <w:rsid w:val="002053C2"/>
    <w:rsid w:val="00206A1E"/>
    <w:rsid w:val="00206E33"/>
    <w:rsid w:val="00210519"/>
    <w:rsid w:val="00213BF9"/>
    <w:rsid w:val="00225AE3"/>
    <w:rsid w:val="00227259"/>
    <w:rsid w:val="00234683"/>
    <w:rsid w:val="00234A91"/>
    <w:rsid w:val="00240B5B"/>
    <w:rsid w:val="00241B17"/>
    <w:rsid w:val="00241C81"/>
    <w:rsid w:val="002529F8"/>
    <w:rsid w:val="002579E2"/>
    <w:rsid w:val="00257A1C"/>
    <w:rsid w:val="0027234C"/>
    <w:rsid w:val="002754E5"/>
    <w:rsid w:val="00281795"/>
    <w:rsid w:val="00283506"/>
    <w:rsid w:val="002850E3"/>
    <w:rsid w:val="0028611F"/>
    <w:rsid w:val="00287A2D"/>
    <w:rsid w:val="00287E2F"/>
    <w:rsid w:val="00291BBA"/>
    <w:rsid w:val="00291F0C"/>
    <w:rsid w:val="00292E38"/>
    <w:rsid w:val="00297A03"/>
    <w:rsid w:val="002A1948"/>
    <w:rsid w:val="002A5AA0"/>
    <w:rsid w:val="002B3AFE"/>
    <w:rsid w:val="002C0633"/>
    <w:rsid w:val="002C0877"/>
    <w:rsid w:val="002C1783"/>
    <w:rsid w:val="002C2AE2"/>
    <w:rsid w:val="002C34ED"/>
    <w:rsid w:val="002D0DCE"/>
    <w:rsid w:val="002D46FC"/>
    <w:rsid w:val="002D4A0B"/>
    <w:rsid w:val="002D6515"/>
    <w:rsid w:val="002D7403"/>
    <w:rsid w:val="002D74FB"/>
    <w:rsid w:val="002E2B10"/>
    <w:rsid w:val="002E73B0"/>
    <w:rsid w:val="002E7866"/>
    <w:rsid w:val="002F1502"/>
    <w:rsid w:val="002F1F32"/>
    <w:rsid w:val="002F2069"/>
    <w:rsid w:val="002F27AD"/>
    <w:rsid w:val="002F61A9"/>
    <w:rsid w:val="002F71A2"/>
    <w:rsid w:val="003041AD"/>
    <w:rsid w:val="00307E99"/>
    <w:rsid w:val="0031279F"/>
    <w:rsid w:val="003135E5"/>
    <w:rsid w:val="0031682C"/>
    <w:rsid w:val="00316F00"/>
    <w:rsid w:val="00320D78"/>
    <w:rsid w:val="00321B51"/>
    <w:rsid w:val="00327A65"/>
    <w:rsid w:val="003327E3"/>
    <w:rsid w:val="00333BBE"/>
    <w:rsid w:val="00333BE4"/>
    <w:rsid w:val="0033682E"/>
    <w:rsid w:val="00336D96"/>
    <w:rsid w:val="00337CAB"/>
    <w:rsid w:val="00344F07"/>
    <w:rsid w:val="003469C8"/>
    <w:rsid w:val="00350C8C"/>
    <w:rsid w:val="00351C48"/>
    <w:rsid w:val="00355EA4"/>
    <w:rsid w:val="00362D89"/>
    <w:rsid w:val="003635BE"/>
    <w:rsid w:val="00365045"/>
    <w:rsid w:val="00366B5E"/>
    <w:rsid w:val="0037241E"/>
    <w:rsid w:val="0038158D"/>
    <w:rsid w:val="00382660"/>
    <w:rsid w:val="003844F1"/>
    <w:rsid w:val="00385BB5"/>
    <w:rsid w:val="00386BC2"/>
    <w:rsid w:val="003B125E"/>
    <w:rsid w:val="003B5EE0"/>
    <w:rsid w:val="003B5FA8"/>
    <w:rsid w:val="003C31C9"/>
    <w:rsid w:val="003C4961"/>
    <w:rsid w:val="003C4AEB"/>
    <w:rsid w:val="003C4E96"/>
    <w:rsid w:val="003C6602"/>
    <w:rsid w:val="003C7C5D"/>
    <w:rsid w:val="003D071B"/>
    <w:rsid w:val="003D0AD2"/>
    <w:rsid w:val="003D13E4"/>
    <w:rsid w:val="003D1B08"/>
    <w:rsid w:val="003D223D"/>
    <w:rsid w:val="003D4951"/>
    <w:rsid w:val="003F40BF"/>
    <w:rsid w:val="003F5913"/>
    <w:rsid w:val="004024F8"/>
    <w:rsid w:val="00405696"/>
    <w:rsid w:val="0041159A"/>
    <w:rsid w:val="00414559"/>
    <w:rsid w:val="0041582B"/>
    <w:rsid w:val="00421A8F"/>
    <w:rsid w:val="004305A8"/>
    <w:rsid w:val="00431EA1"/>
    <w:rsid w:val="004326C1"/>
    <w:rsid w:val="00433D4E"/>
    <w:rsid w:val="004353D5"/>
    <w:rsid w:val="00441D5C"/>
    <w:rsid w:val="00443CA0"/>
    <w:rsid w:val="00446FF9"/>
    <w:rsid w:val="00447C25"/>
    <w:rsid w:val="00450E14"/>
    <w:rsid w:val="00451C47"/>
    <w:rsid w:val="00453D65"/>
    <w:rsid w:val="00457A22"/>
    <w:rsid w:val="00457F38"/>
    <w:rsid w:val="00462ADD"/>
    <w:rsid w:val="00462C65"/>
    <w:rsid w:val="004674E7"/>
    <w:rsid w:val="00467B14"/>
    <w:rsid w:val="0047138F"/>
    <w:rsid w:val="004736CF"/>
    <w:rsid w:val="00474EDA"/>
    <w:rsid w:val="004824FA"/>
    <w:rsid w:val="00484011"/>
    <w:rsid w:val="004841F1"/>
    <w:rsid w:val="00487D17"/>
    <w:rsid w:val="004A1E3A"/>
    <w:rsid w:val="004A305B"/>
    <w:rsid w:val="004A5A73"/>
    <w:rsid w:val="004B03E9"/>
    <w:rsid w:val="004B46D6"/>
    <w:rsid w:val="004C0BF6"/>
    <w:rsid w:val="004C1070"/>
    <w:rsid w:val="004C4464"/>
    <w:rsid w:val="004C475A"/>
    <w:rsid w:val="004C4AEA"/>
    <w:rsid w:val="004C70C4"/>
    <w:rsid w:val="004D0430"/>
    <w:rsid w:val="004D04FF"/>
    <w:rsid w:val="004D1023"/>
    <w:rsid w:val="004D1DAA"/>
    <w:rsid w:val="004D20C8"/>
    <w:rsid w:val="004D29D3"/>
    <w:rsid w:val="004D4EB1"/>
    <w:rsid w:val="004D6563"/>
    <w:rsid w:val="004E003C"/>
    <w:rsid w:val="004E16EB"/>
    <w:rsid w:val="004E6665"/>
    <w:rsid w:val="004F1FC9"/>
    <w:rsid w:val="004F512E"/>
    <w:rsid w:val="004F634E"/>
    <w:rsid w:val="004F67A8"/>
    <w:rsid w:val="004F6E19"/>
    <w:rsid w:val="005051AC"/>
    <w:rsid w:val="005070F6"/>
    <w:rsid w:val="00507391"/>
    <w:rsid w:val="00512993"/>
    <w:rsid w:val="00512CDC"/>
    <w:rsid w:val="00513696"/>
    <w:rsid w:val="0051582C"/>
    <w:rsid w:val="00521AEB"/>
    <w:rsid w:val="00522014"/>
    <w:rsid w:val="00522A50"/>
    <w:rsid w:val="00525E61"/>
    <w:rsid w:val="005268BF"/>
    <w:rsid w:val="0052691C"/>
    <w:rsid w:val="00527225"/>
    <w:rsid w:val="0053557D"/>
    <w:rsid w:val="005410E3"/>
    <w:rsid w:val="005416F2"/>
    <w:rsid w:val="0054639E"/>
    <w:rsid w:val="005463DE"/>
    <w:rsid w:val="00546DC2"/>
    <w:rsid w:val="005542E8"/>
    <w:rsid w:val="00556630"/>
    <w:rsid w:val="0055686D"/>
    <w:rsid w:val="00563683"/>
    <w:rsid w:val="00565EA9"/>
    <w:rsid w:val="0057445F"/>
    <w:rsid w:val="005800EE"/>
    <w:rsid w:val="005869D6"/>
    <w:rsid w:val="0059331E"/>
    <w:rsid w:val="00594619"/>
    <w:rsid w:val="00597783"/>
    <w:rsid w:val="005A20FB"/>
    <w:rsid w:val="005A33F6"/>
    <w:rsid w:val="005A59E5"/>
    <w:rsid w:val="005A74B5"/>
    <w:rsid w:val="005B3D9A"/>
    <w:rsid w:val="005B470C"/>
    <w:rsid w:val="005B484B"/>
    <w:rsid w:val="005B706E"/>
    <w:rsid w:val="005B7440"/>
    <w:rsid w:val="005D00DB"/>
    <w:rsid w:val="005D6CB2"/>
    <w:rsid w:val="005E0FA7"/>
    <w:rsid w:val="005E2150"/>
    <w:rsid w:val="005E2995"/>
    <w:rsid w:val="005E3176"/>
    <w:rsid w:val="005E3835"/>
    <w:rsid w:val="005E455B"/>
    <w:rsid w:val="005E7DD7"/>
    <w:rsid w:val="005F3EBA"/>
    <w:rsid w:val="005F3FEF"/>
    <w:rsid w:val="005F77E1"/>
    <w:rsid w:val="00600C4F"/>
    <w:rsid w:val="00606127"/>
    <w:rsid w:val="00607F7C"/>
    <w:rsid w:val="006102DA"/>
    <w:rsid w:val="00611404"/>
    <w:rsid w:val="00616090"/>
    <w:rsid w:val="006315A3"/>
    <w:rsid w:val="00632208"/>
    <w:rsid w:val="00634EF0"/>
    <w:rsid w:val="0064297E"/>
    <w:rsid w:val="006463BE"/>
    <w:rsid w:val="0064757D"/>
    <w:rsid w:val="00655148"/>
    <w:rsid w:val="006579A2"/>
    <w:rsid w:val="00667C89"/>
    <w:rsid w:val="006711EE"/>
    <w:rsid w:val="006751CE"/>
    <w:rsid w:val="006752CA"/>
    <w:rsid w:val="00676D28"/>
    <w:rsid w:val="006809BB"/>
    <w:rsid w:val="006809FD"/>
    <w:rsid w:val="00684F7E"/>
    <w:rsid w:val="00691D1F"/>
    <w:rsid w:val="006955BA"/>
    <w:rsid w:val="006971DF"/>
    <w:rsid w:val="00697BAE"/>
    <w:rsid w:val="006A1380"/>
    <w:rsid w:val="006B252F"/>
    <w:rsid w:val="006B4DDC"/>
    <w:rsid w:val="006B5E55"/>
    <w:rsid w:val="006C0F9B"/>
    <w:rsid w:val="006C4DA7"/>
    <w:rsid w:val="006C571A"/>
    <w:rsid w:val="006C59AB"/>
    <w:rsid w:val="006D25A1"/>
    <w:rsid w:val="006D76B6"/>
    <w:rsid w:val="006E14E9"/>
    <w:rsid w:val="006F09A2"/>
    <w:rsid w:val="006F51C3"/>
    <w:rsid w:val="006F6856"/>
    <w:rsid w:val="007008E7"/>
    <w:rsid w:val="00704B3A"/>
    <w:rsid w:val="007105C0"/>
    <w:rsid w:val="007145D0"/>
    <w:rsid w:val="00716680"/>
    <w:rsid w:val="00716F94"/>
    <w:rsid w:val="00721651"/>
    <w:rsid w:val="00723498"/>
    <w:rsid w:val="007302B0"/>
    <w:rsid w:val="007349ED"/>
    <w:rsid w:val="00741579"/>
    <w:rsid w:val="00745096"/>
    <w:rsid w:val="0075188E"/>
    <w:rsid w:val="0076001C"/>
    <w:rsid w:val="00760E12"/>
    <w:rsid w:val="00763CF3"/>
    <w:rsid w:val="00766F9D"/>
    <w:rsid w:val="00772293"/>
    <w:rsid w:val="00774660"/>
    <w:rsid w:val="00775598"/>
    <w:rsid w:val="007760B3"/>
    <w:rsid w:val="00776981"/>
    <w:rsid w:val="00781AE3"/>
    <w:rsid w:val="00783B4C"/>
    <w:rsid w:val="00783C75"/>
    <w:rsid w:val="00783CC1"/>
    <w:rsid w:val="00784619"/>
    <w:rsid w:val="00784C5C"/>
    <w:rsid w:val="00784D50"/>
    <w:rsid w:val="0078627B"/>
    <w:rsid w:val="0078765B"/>
    <w:rsid w:val="00791962"/>
    <w:rsid w:val="0079208C"/>
    <w:rsid w:val="00794E32"/>
    <w:rsid w:val="007958FD"/>
    <w:rsid w:val="007A0D73"/>
    <w:rsid w:val="007A26A3"/>
    <w:rsid w:val="007A7685"/>
    <w:rsid w:val="007B305A"/>
    <w:rsid w:val="007B6820"/>
    <w:rsid w:val="007C0106"/>
    <w:rsid w:val="007C0929"/>
    <w:rsid w:val="007D371C"/>
    <w:rsid w:val="007E575D"/>
    <w:rsid w:val="007E6AEF"/>
    <w:rsid w:val="008073B8"/>
    <w:rsid w:val="00815C7D"/>
    <w:rsid w:val="00817941"/>
    <w:rsid w:val="008229E4"/>
    <w:rsid w:val="00823547"/>
    <w:rsid w:val="008261AB"/>
    <w:rsid w:val="008269AB"/>
    <w:rsid w:val="00834C91"/>
    <w:rsid w:val="00834EF9"/>
    <w:rsid w:val="00834FAF"/>
    <w:rsid w:val="00835CA7"/>
    <w:rsid w:val="008370D4"/>
    <w:rsid w:val="008414AD"/>
    <w:rsid w:val="008428D9"/>
    <w:rsid w:val="00850392"/>
    <w:rsid w:val="00856CE1"/>
    <w:rsid w:val="00876243"/>
    <w:rsid w:val="0088140E"/>
    <w:rsid w:val="0088336D"/>
    <w:rsid w:val="008838F8"/>
    <w:rsid w:val="0088467A"/>
    <w:rsid w:val="00884DB9"/>
    <w:rsid w:val="008A534C"/>
    <w:rsid w:val="008A6C3C"/>
    <w:rsid w:val="008B563F"/>
    <w:rsid w:val="008C3432"/>
    <w:rsid w:val="008C67D2"/>
    <w:rsid w:val="008C7B89"/>
    <w:rsid w:val="008E0683"/>
    <w:rsid w:val="008F4756"/>
    <w:rsid w:val="008F47AF"/>
    <w:rsid w:val="008F6F07"/>
    <w:rsid w:val="009019EC"/>
    <w:rsid w:val="00902DD9"/>
    <w:rsid w:val="00911486"/>
    <w:rsid w:val="00912486"/>
    <w:rsid w:val="009129CA"/>
    <w:rsid w:val="009170B7"/>
    <w:rsid w:val="009206B6"/>
    <w:rsid w:val="009252DC"/>
    <w:rsid w:val="00925771"/>
    <w:rsid w:val="009263C1"/>
    <w:rsid w:val="0093606F"/>
    <w:rsid w:val="00936907"/>
    <w:rsid w:val="00941B4F"/>
    <w:rsid w:val="00941C40"/>
    <w:rsid w:val="00943037"/>
    <w:rsid w:val="009518C0"/>
    <w:rsid w:val="0095210F"/>
    <w:rsid w:val="0095486F"/>
    <w:rsid w:val="00963CE3"/>
    <w:rsid w:val="00964F18"/>
    <w:rsid w:val="0097415F"/>
    <w:rsid w:val="00974424"/>
    <w:rsid w:val="00984B79"/>
    <w:rsid w:val="0098500F"/>
    <w:rsid w:val="009872E8"/>
    <w:rsid w:val="00987F76"/>
    <w:rsid w:val="0099163E"/>
    <w:rsid w:val="00993088"/>
    <w:rsid w:val="00994A3E"/>
    <w:rsid w:val="0099664F"/>
    <w:rsid w:val="00996FB7"/>
    <w:rsid w:val="00997241"/>
    <w:rsid w:val="00997D5D"/>
    <w:rsid w:val="009A0447"/>
    <w:rsid w:val="009A0548"/>
    <w:rsid w:val="009A2CE5"/>
    <w:rsid w:val="009A4B59"/>
    <w:rsid w:val="009A4E39"/>
    <w:rsid w:val="009A703D"/>
    <w:rsid w:val="009B2C75"/>
    <w:rsid w:val="009B367E"/>
    <w:rsid w:val="009B4A51"/>
    <w:rsid w:val="009C167E"/>
    <w:rsid w:val="009C28B1"/>
    <w:rsid w:val="009C61AD"/>
    <w:rsid w:val="009C6697"/>
    <w:rsid w:val="009D373D"/>
    <w:rsid w:val="009D4067"/>
    <w:rsid w:val="009D436B"/>
    <w:rsid w:val="009D7B2C"/>
    <w:rsid w:val="009E0801"/>
    <w:rsid w:val="009E1D05"/>
    <w:rsid w:val="009E2921"/>
    <w:rsid w:val="009F5ADF"/>
    <w:rsid w:val="009F61D2"/>
    <w:rsid w:val="009F7DE0"/>
    <w:rsid w:val="00A03001"/>
    <w:rsid w:val="00A0436C"/>
    <w:rsid w:val="00A05973"/>
    <w:rsid w:val="00A11B0C"/>
    <w:rsid w:val="00A166D2"/>
    <w:rsid w:val="00A2471B"/>
    <w:rsid w:val="00A24D71"/>
    <w:rsid w:val="00A320A4"/>
    <w:rsid w:val="00A33B35"/>
    <w:rsid w:val="00A33E90"/>
    <w:rsid w:val="00A36419"/>
    <w:rsid w:val="00A36803"/>
    <w:rsid w:val="00A42FF7"/>
    <w:rsid w:val="00A44921"/>
    <w:rsid w:val="00A44CCD"/>
    <w:rsid w:val="00A578C2"/>
    <w:rsid w:val="00A607BB"/>
    <w:rsid w:val="00A651B6"/>
    <w:rsid w:val="00A72652"/>
    <w:rsid w:val="00A75D1C"/>
    <w:rsid w:val="00A809AA"/>
    <w:rsid w:val="00A849B3"/>
    <w:rsid w:val="00A8510D"/>
    <w:rsid w:val="00A86AF3"/>
    <w:rsid w:val="00A87DF6"/>
    <w:rsid w:val="00A90AFF"/>
    <w:rsid w:val="00A90BDC"/>
    <w:rsid w:val="00A95477"/>
    <w:rsid w:val="00A97460"/>
    <w:rsid w:val="00A975A9"/>
    <w:rsid w:val="00AA3192"/>
    <w:rsid w:val="00AA4F8F"/>
    <w:rsid w:val="00AB0486"/>
    <w:rsid w:val="00AB251E"/>
    <w:rsid w:val="00AB3608"/>
    <w:rsid w:val="00AB3C4C"/>
    <w:rsid w:val="00AB408D"/>
    <w:rsid w:val="00AB515C"/>
    <w:rsid w:val="00AC5C48"/>
    <w:rsid w:val="00AC63E3"/>
    <w:rsid w:val="00AC6903"/>
    <w:rsid w:val="00AC6A5F"/>
    <w:rsid w:val="00AD052C"/>
    <w:rsid w:val="00AD1C9D"/>
    <w:rsid w:val="00AD2E65"/>
    <w:rsid w:val="00AD43B2"/>
    <w:rsid w:val="00AD529C"/>
    <w:rsid w:val="00AF0B7F"/>
    <w:rsid w:val="00AF0CF4"/>
    <w:rsid w:val="00AF2252"/>
    <w:rsid w:val="00B005AE"/>
    <w:rsid w:val="00B00B12"/>
    <w:rsid w:val="00B04F34"/>
    <w:rsid w:val="00B07188"/>
    <w:rsid w:val="00B1129F"/>
    <w:rsid w:val="00B11D61"/>
    <w:rsid w:val="00B1265C"/>
    <w:rsid w:val="00B12F51"/>
    <w:rsid w:val="00B14732"/>
    <w:rsid w:val="00B1715E"/>
    <w:rsid w:val="00B2524D"/>
    <w:rsid w:val="00B2751E"/>
    <w:rsid w:val="00B3650C"/>
    <w:rsid w:val="00B37A1E"/>
    <w:rsid w:val="00B417C1"/>
    <w:rsid w:val="00B463CA"/>
    <w:rsid w:val="00B46F86"/>
    <w:rsid w:val="00B47055"/>
    <w:rsid w:val="00B474EC"/>
    <w:rsid w:val="00B62EC6"/>
    <w:rsid w:val="00B64984"/>
    <w:rsid w:val="00B64BFA"/>
    <w:rsid w:val="00B71549"/>
    <w:rsid w:val="00B71E63"/>
    <w:rsid w:val="00B818C1"/>
    <w:rsid w:val="00B83212"/>
    <w:rsid w:val="00B85DE4"/>
    <w:rsid w:val="00B87AAD"/>
    <w:rsid w:val="00B91A31"/>
    <w:rsid w:val="00B96B6E"/>
    <w:rsid w:val="00BA6BB4"/>
    <w:rsid w:val="00BA6C28"/>
    <w:rsid w:val="00BA6DB4"/>
    <w:rsid w:val="00BB7B23"/>
    <w:rsid w:val="00BC3F3C"/>
    <w:rsid w:val="00BC5BB2"/>
    <w:rsid w:val="00BD4BB4"/>
    <w:rsid w:val="00BD768D"/>
    <w:rsid w:val="00BE4B52"/>
    <w:rsid w:val="00BE738E"/>
    <w:rsid w:val="00BF11A1"/>
    <w:rsid w:val="00BF2F2A"/>
    <w:rsid w:val="00BF3F54"/>
    <w:rsid w:val="00C00697"/>
    <w:rsid w:val="00C0376C"/>
    <w:rsid w:val="00C06D77"/>
    <w:rsid w:val="00C10506"/>
    <w:rsid w:val="00C1090A"/>
    <w:rsid w:val="00C14BA6"/>
    <w:rsid w:val="00C226CA"/>
    <w:rsid w:val="00C3485C"/>
    <w:rsid w:val="00C34BB2"/>
    <w:rsid w:val="00C37906"/>
    <w:rsid w:val="00C37A4B"/>
    <w:rsid w:val="00C4090E"/>
    <w:rsid w:val="00C544A4"/>
    <w:rsid w:val="00C75DDC"/>
    <w:rsid w:val="00C768E5"/>
    <w:rsid w:val="00C8629C"/>
    <w:rsid w:val="00C87F6E"/>
    <w:rsid w:val="00C91EA5"/>
    <w:rsid w:val="00CA1ADD"/>
    <w:rsid w:val="00CA2004"/>
    <w:rsid w:val="00CA5B99"/>
    <w:rsid w:val="00CB0933"/>
    <w:rsid w:val="00CB334D"/>
    <w:rsid w:val="00CB56D5"/>
    <w:rsid w:val="00CB59C7"/>
    <w:rsid w:val="00CC42F0"/>
    <w:rsid w:val="00CD10AF"/>
    <w:rsid w:val="00CD1EA8"/>
    <w:rsid w:val="00CE0208"/>
    <w:rsid w:val="00CF47D2"/>
    <w:rsid w:val="00CF53DB"/>
    <w:rsid w:val="00CF5ABD"/>
    <w:rsid w:val="00CF63CE"/>
    <w:rsid w:val="00CF762E"/>
    <w:rsid w:val="00D05529"/>
    <w:rsid w:val="00D067C1"/>
    <w:rsid w:val="00D1364F"/>
    <w:rsid w:val="00D13B13"/>
    <w:rsid w:val="00D13D53"/>
    <w:rsid w:val="00D15A84"/>
    <w:rsid w:val="00D16E78"/>
    <w:rsid w:val="00D17D3D"/>
    <w:rsid w:val="00D201D3"/>
    <w:rsid w:val="00D267D5"/>
    <w:rsid w:val="00D26A64"/>
    <w:rsid w:val="00D26DCF"/>
    <w:rsid w:val="00D27049"/>
    <w:rsid w:val="00D31720"/>
    <w:rsid w:val="00D3315E"/>
    <w:rsid w:val="00D52B9A"/>
    <w:rsid w:val="00D5367E"/>
    <w:rsid w:val="00D53B1E"/>
    <w:rsid w:val="00D707C9"/>
    <w:rsid w:val="00D75750"/>
    <w:rsid w:val="00D84EF0"/>
    <w:rsid w:val="00D861ED"/>
    <w:rsid w:val="00D873E0"/>
    <w:rsid w:val="00D94F8B"/>
    <w:rsid w:val="00D95FBF"/>
    <w:rsid w:val="00DA1A2C"/>
    <w:rsid w:val="00DA4CD5"/>
    <w:rsid w:val="00DA5988"/>
    <w:rsid w:val="00DB3331"/>
    <w:rsid w:val="00DB7F78"/>
    <w:rsid w:val="00DC0184"/>
    <w:rsid w:val="00DC317C"/>
    <w:rsid w:val="00DC36E1"/>
    <w:rsid w:val="00DC4FF2"/>
    <w:rsid w:val="00DC60EA"/>
    <w:rsid w:val="00DC7729"/>
    <w:rsid w:val="00DC79CC"/>
    <w:rsid w:val="00DD3E04"/>
    <w:rsid w:val="00DD5A91"/>
    <w:rsid w:val="00DF531A"/>
    <w:rsid w:val="00E046D6"/>
    <w:rsid w:val="00E10D39"/>
    <w:rsid w:val="00E134F4"/>
    <w:rsid w:val="00E162E0"/>
    <w:rsid w:val="00E23568"/>
    <w:rsid w:val="00E245B5"/>
    <w:rsid w:val="00E33165"/>
    <w:rsid w:val="00E33E1B"/>
    <w:rsid w:val="00E34D3E"/>
    <w:rsid w:val="00E40A99"/>
    <w:rsid w:val="00E41CBA"/>
    <w:rsid w:val="00E43138"/>
    <w:rsid w:val="00E44C16"/>
    <w:rsid w:val="00E45F91"/>
    <w:rsid w:val="00E54C79"/>
    <w:rsid w:val="00E720E9"/>
    <w:rsid w:val="00E75C86"/>
    <w:rsid w:val="00E81C5E"/>
    <w:rsid w:val="00E81F6F"/>
    <w:rsid w:val="00E83B3C"/>
    <w:rsid w:val="00E8736B"/>
    <w:rsid w:val="00E879B8"/>
    <w:rsid w:val="00E90275"/>
    <w:rsid w:val="00E925D4"/>
    <w:rsid w:val="00E97226"/>
    <w:rsid w:val="00EA2B44"/>
    <w:rsid w:val="00EA33EF"/>
    <w:rsid w:val="00EA7636"/>
    <w:rsid w:val="00EB6867"/>
    <w:rsid w:val="00EC4FFD"/>
    <w:rsid w:val="00EC58F5"/>
    <w:rsid w:val="00EC5EFC"/>
    <w:rsid w:val="00ED3ED3"/>
    <w:rsid w:val="00ED47AB"/>
    <w:rsid w:val="00ED6DF6"/>
    <w:rsid w:val="00EF33CD"/>
    <w:rsid w:val="00EF3E69"/>
    <w:rsid w:val="00F041F9"/>
    <w:rsid w:val="00F12924"/>
    <w:rsid w:val="00F202CF"/>
    <w:rsid w:val="00F20C9B"/>
    <w:rsid w:val="00F21624"/>
    <w:rsid w:val="00F22EA4"/>
    <w:rsid w:val="00F239A7"/>
    <w:rsid w:val="00F300CB"/>
    <w:rsid w:val="00F30C4B"/>
    <w:rsid w:val="00F4271B"/>
    <w:rsid w:val="00F42C3A"/>
    <w:rsid w:val="00F430A3"/>
    <w:rsid w:val="00F4644E"/>
    <w:rsid w:val="00F52BCC"/>
    <w:rsid w:val="00F5313F"/>
    <w:rsid w:val="00F55439"/>
    <w:rsid w:val="00F6730C"/>
    <w:rsid w:val="00F72E87"/>
    <w:rsid w:val="00F81135"/>
    <w:rsid w:val="00F81A48"/>
    <w:rsid w:val="00F84FD6"/>
    <w:rsid w:val="00F9432C"/>
    <w:rsid w:val="00F97F93"/>
    <w:rsid w:val="00FA680D"/>
    <w:rsid w:val="00FB24F1"/>
    <w:rsid w:val="00FB4DBE"/>
    <w:rsid w:val="00FB62BC"/>
    <w:rsid w:val="00FB7E7A"/>
    <w:rsid w:val="00FC3169"/>
    <w:rsid w:val="00FC3214"/>
    <w:rsid w:val="00FC56D5"/>
    <w:rsid w:val="00FC7C4A"/>
    <w:rsid w:val="00FD17C9"/>
    <w:rsid w:val="00FD2A5B"/>
    <w:rsid w:val="00FD69BE"/>
    <w:rsid w:val="00FD731A"/>
    <w:rsid w:val="00FE6A5C"/>
    <w:rsid w:val="00FF1FDC"/>
    <w:rsid w:val="00FF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F7141"/>
  <w15:docId w15:val="{B120594A-9EEE-4B56-9F67-293441E1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4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BlockText">
    <w:name w:val="Block Text"/>
    <w:basedOn w:val="Normal"/>
    <w:uiPriority w:val="99"/>
    <w:unhideWhenUsed/>
    <w:rsid w:val="00033BA0"/>
    <w:pPr>
      <w:autoSpaceDE w:val="0"/>
      <w:autoSpaceDN w:val="0"/>
      <w:adjustRightInd w:val="0"/>
      <w:ind w:left="720" w:right="720"/>
    </w:pPr>
    <w:rPr>
      <w:rFonts w:asciiTheme="majorHAnsi" w:hAnsiTheme="majorHAnsi"/>
    </w:rPr>
  </w:style>
  <w:style w:type="character" w:styleId="FollowedHyperlink">
    <w:name w:val="FollowedHyperlink"/>
    <w:basedOn w:val="DefaultParagraphFont"/>
    <w:uiPriority w:val="99"/>
    <w:semiHidden/>
    <w:unhideWhenUsed/>
    <w:rsid w:val="003D1B08"/>
    <w:rPr>
      <w:color w:val="800080" w:themeColor="followedHyperlink"/>
      <w:u w:val="single"/>
    </w:rPr>
  </w:style>
  <w:style w:type="paragraph" w:styleId="BodyTextIndent">
    <w:name w:val="Body Text Indent"/>
    <w:basedOn w:val="Normal"/>
    <w:link w:val="BodyTextIndentChar"/>
    <w:uiPriority w:val="99"/>
    <w:unhideWhenUsed/>
    <w:rsid w:val="00791962"/>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791962"/>
    <w:rPr>
      <w:rFonts w:asciiTheme="majorHAnsi" w:hAnsiTheme="majorHAnsi"/>
    </w:rPr>
  </w:style>
  <w:style w:type="paragraph" w:styleId="FootnoteText">
    <w:name w:val="footnote text"/>
    <w:basedOn w:val="Normal"/>
    <w:link w:val="FootnoteTextChar"/>
    <w:uiPriority w:val="99"/>
    <w:semiHidden/>
    <w:unhideWhenUsed/>
    <w:rsid w:val="00D05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055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529"/>
    <w:rPr>
      <w:vertAlign w:val="superscript"/>
    </w:rPr>
  </w:style>
  <w:style w:type="character" w:customStyle="1" w:styleId="Heading1Char">
    <w:name w:val="Heading 1 Char"/>
    <w:basedOn w:val="DefaultParagraphFont"/>
    <w:link w:val="Heading1"/>
    <w:uiPriority w:val="9"/>
    <w:rsid w:val="00414559"/>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31682C"/>
  </w:style>
  <w:style w:type="paragraph" w:customStyle="1" w:styleId="TableHeaderCenter">
    <w:name w:val="Table Header Center"/>
    <w:basedOn w:val="Normal"/>
    <w:qFormat/>
    <w:rsid w:val="00327A65"/>
    <w:pPr>
      <w:spacing w:before="120" w:after="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itle">
    <w:name w:val="Table Title"/>
    <w:basedOn w:val="Normal"/>
    <w:next w:val="Normal"/>
    <w:uiPriority w:val="1"/>
    <w:qFormat/>
    <w:rsid w:val="00327A65"/>
    <w:pPr>
      <w:keepNext/>
      <w:spacing w:before="360" w:after="60" w:line="290" w:lineRule="exact"/>
    </w:pPr>
    <w:rPr>
      <w:rFonts w:asciiTheme="majorHAnsi" w:eastAsia="Times New Roman" w:hAnsiTheme="majorHAnsi" w:cs="Times New Roman"/>
      <w:b/>
      <w:szCs w:val="20"/>
    </w:rPr>
  </w:style>
  <w:style w:type="paragraph" w:customStyle="1" w:styleId="TableTextLeft">
    <w:name w:val="Table Text Left"/>
    <w:basedOn w:val="Normal"/>
    <w:uiPriority w:val="1"/>
    <w:qFormat/>
    <w:rsid w:val="00327A65"/>
    <w:pPr>
      <w:spacing w:after="0" w:line="240" w:lineRule="auto"/>
    </w:pPr>
    <w:rPr>
      <w:rFonts w:asciiTheme="majorHAnsi" w:eastAsia="Times New Roman" w:hAnsiTheme="majorHAnsi" w:cs="Times New Roman"/>
      <w:sz w:val="20"/>
      <w:szCs w:val="20"/>
    </w:rPr>
  </w:style>
  <w:style w:type="paragraph" w:customStyle="1" w:styleId="TableFootnoteCaption">
    <w:name w:val="Table Footnote_Caption"/>
    <w:qFormat/>
    <w:rsid w:val="00327A65"/>
    <w:pPr>
      <w:tabs>
        <w:tab w:val="left" w:pos="1080"/>
      </w:tabs>
      <w:spacing w:before="60" w:after="0" w:line="240" w:lineRule="auto"/>
    </w:pPr>
    <w:rPr>
      <w:rFonts w:ascii="Arial" w:eastAsia="Times New Roman" w:hAnsi="Arial" w:cs="Times New Roman"/>
      <w:sz w:val="18"/>
      <w:szCs w:val="20"/>
    </w:rPr>
  </w:style>
  <w:style w:type="table" w:customStyle="1" w:styleId="TableGrid1">
    <w:name w:val="Table Grid1"/>
    <w:basedOn w:val="TableNormal"/>
    <w:next w:val="TableGrid"/>
    <w:uiPriority w:val="59"/>
    <w:rsid w:val="00BA6BB4"/>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847">
      <w:bodyDiv w:val="1"/>
      <w:marLeft w:val="0"/>
      <w:marRight w:val="0"/>
      <w:marTop w:val="0"/>
      <w:marBottom w:val="0"/>
      <w:divBdr>
        <w:top w:val="none" w:sz="0" w:space="0" w:color="auto"/>
        <w:left w:val="none" w:sz="0" w:space="0" w:color="auto"/>
        <w:bottom w:val="none" w:sz="0" w:space="0" w:color="auto"/>
        <w:right w:val="none" w:sz="0" w:space="0" w:color="auto"/>
      </w:divBdr>
    </w:div>
    <w:div w:id="252053244">
      <w:bodyDiv w:val="1"/>
      <w:marLeft w:val="0"/>
      <w:marRight w:val="0"/>
      <w:marTop w:val="0"/>
      <w:marBottom w:val="0"/>
      <w:divBdr>
        <w:top w:val="none" w:sz="0" w:space="0" w:color="auto"/>
        <w:left w:val="none" w:sz="0" w:space="0" w:color="auto"/>
        <w:bottom w:val="none" w:sz="0" w:space="0" w:color="auto"/>
        <w:right w:val="none" w:sz="0" w:space="0" w:color="auto"/>
      </w:divBdr>
    </w:div>
    <w:div w:id="269824389">
      <w:bodyDiv w:val="1"/>
      <w:marLeft w:val="0"/>
      <w:marRight w:val="0"/>
      <w:marTop w:val="0"/>
      <w:marBottom w:val="0"/>
      <w:divBdr>
        <w:top w:val="none" w:sz="0" w:space="0" w:color="auto"/>
        <w:left w:val="none" w:sz="0" w:space="0" w:color="auto"/>
        <w:bottom w:val="none" w:sz="0" w:space="0" w:color="auto"/>
        <w:right w:val="none" w:sz="0" w:space="0" w:color="auto"/>
      </w:divBdr>
    </w:div>
    <w:div w:id="549148225">
      <w:bodyDiv w:val="1"/>
      <w:marLeft w:val="0"/>
      <w:marRight w:val="0"/>
      <w:marTop w:val="0"/>
      <w:marBottom w:val="0"/>
      <w:divBdr>
        <w:top w:val="none" w:sz="0" w:space="0" w:color="auto"/>
        <w:left w:val="none" w:sz="0" w:space="0" w:color="auto"/>
        <w:bottom w:val="none" w:sz="0" w:space="0" w:color="auto"/>
        <w:right w:val="none" w:sz="0" w:space="0" w:color="auto"/>
      </w:divBdr>
      <w:divsChild>
        <w:div w:id="1298535593">
          <w:marLeft w:val="0"/>
          <w:marRight w:val="1"/>
          <w:marTop w:val="0"/>
          <w:marBottom w:val="0"/>
          <w:divBdr>
            <w:top w:val="none" w:sz="0" w:space="0" w:color="auto"/>
            <w:left w:val="none" w:sz="0" w:space="0" w:color="auto"/>
            <w:bottom w:val="none" w:sz="0" w:space="0" w:color="auto"/>
            <w:right w:val="none" w:sz="0" w:space="0" w:color="auto"/>
          </w:divBdr>
          <w:divsChild>
            <w:div w:id="898318899">
              <w:marLeft w:val="0"/>
              <w:marRight w:val="0"/>
              <w:marTop w:val="0"/>
              <w:marBottom w:val="0"/>
              <w:divBdr>
                <w:top w:val="none" w:sz="0" w:space="0" w:color="auto"/>
                <w:left w:val="none" w:sz="0" w:space="0" w:color="auto"/>
                <w:bottom w:val="none" w:sz="0" w:space="0" w:color="auto"/>
                <w:right w:val="none" w:sz="0" w:space="0" w:color="auto"/>
              </w:divBdr>
              <w:divsChild>
                <w:div w:id="770971888">
                  <w:marLeft w:val="0"/>
                  <w:marRight w:val="1"/>
                  <w:marTop w:val="0"/>
                  <w:marBottom w:val="0"/>
                  <w:divBdr>
                    <w:top w:val="none" w:sz="0" w:space="0" w:color="auto"/>
                    <w:left w:val="none" w:sz="0" w:space="0" w:color="auto"/>
                    <w:bottom w:val="none" w:sz="0" w:space="0" w:color="auto"/>
                    <w:right w:val="none" w:sz="0" w:space="0" w:color="auto"/>
                  </w:divBdr>
                  <w:divsChild>
                    <w:div w:id="538208144">
                      <w:marLeft w:val="0"/>
                      <w:marRight w:val="0"/>
                      <w:marTop w:val="0"/>
                      <w:marBottom w:val="0"/>
                      <w:divBdr>
                        <w:top w:val="none" w:sz="0" w:space="0" w:color="auto"/>
                        <w:left w:val="none" w:sz="0" w:space="0" w:color="auto"/>
                        <w:bottom w:val="none" w:sz="0" w:space="0" w:color="auto"/>
                        <w:right w:val="none" w:sz="0" w:space="0" w:color="auto"/>
                      </w:divBdr>
                      <w:divsChild>
                        <w:div w:id="1895267895">
                          <w:marLeft w:val="0"/>
                          <w:marRight w:val="0"/>
                          <w:marTop w:val="0"/>
                          <w:marBottom w:val="0"/>
                          <w:divBdr>
                            <w:top w:val="none" w:sz="0" w:space="0" w:color="auto"/>
                            <w:left w:val="none" w:sz="0" w:space="0" w:color="auto"/>
                            <w:bottom w:val="none" w:sz="0" w:space="0" w:color="auto"/>
                            <w:right w:val="none" w:sz="0" w:space="0" w:color="auto"/>
                          </w:divBdr>
                          <w:divsChild>
                            <w:div w:id="603463271">
                              <w:marLeft w:val="0"/>
                              <w:marRight w:val="0"/>
                              <w:marTop w:val="120"/>
                              <w:marBottom w:val="360"/>
                              <w:divBdr>
                                <w:top w:val="none" w:sz="0" w:space="0" w:color="auto"/>
                                <w:left w:val="none" w:sz="0" w:space="0" w:color="auto"/>
                                <w:bottom w:val="none" w:sz="0" w:space="0" w:color="auto"/>
                                <w:right w:val="none" w:sz="0" w:space="0" w:color="auto"/>
                              </w:divBdr>
                              <w:divsChild>
                                <w:div w:id="259729098">
                                  <w:marLeft w:val="0"/>
                                  <w:marRight w:val="0"/>
                                  <w:marTop w:val="0"/>
                                  <w:marBottom w:val="0"/>
                                  <w:divBdr>
                                    <w:top w:val="none" w:sz="0" w:space="0" w:color="auto"/>
                                    <w:left w:val="none" w:sz="0" w:space="0" w:color="auto"/>
                                    <w:bottom w:val="none" w:sz="0" w:space="0" w:color="auto"/>
                                    <w:right w:val="none" w:sz="0" w:space="0" w:color="auto"/>
                                  </w:divBdr>
                                </w:div>
                                <w:div w:id="8511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003581">
      <w:bodyDiv w:val="1"/>
      <w:marLeft w:val="0"/>
      <w:marRight w:val="0"/>
      <w:marTop w:val="0"/>
      <w:marBottom w:val="0"/>
      <w:divBdr>
        <w:top w:val="none" w:sz="0" w:space="0" w:color="auto"/>
        <w:left w:val="none" w:sz="0" w:space="0" w:color="auto"/>
        <w:bottom w:val="none" w:sz="0" w:space="0" w:color="auto"/>
        <w:right w:val="none" w:sz="0" w:space="0" w:color="auto"/>
      </w:divBdr>
    </w:div>
    <w:div w:id="692993988">
      <w:bodyDiv w:val="1"/>
      <w:marLeft w:val="0"/>
      <w:marRight w:val="0"/>
      <w:marTop w:val="0"/>
      <w:marBottom w:val="0"/>
      <w:divBdr>
        <w:top w:val="none" w:sz="0" w:space="0" w:color="auto"/>
        <w:left w:val="none" w:sz="0" w:space="0" w:color="auto"/>
        <w:bottom w:val="none" w:sz="0" w:space="0" w:color="auto"/>
        <w:right w:val="none" w:sz="0" w:space="0" w:color="auto"/>
      </w:divBdr>
    </w:div>
    <w:div w:id="703287747">
      <w:bodyDiv w:val="1"/>
      <w:marLeft w:val="0"/>
      <w:marRight w:val="0"/>
      <w:marTop w:val="0"/>
      <w:marBottom w:val="0"/>
      <w:divBdr>
        <w:top w:val="none" w:sz="0" w:space="0" w:color="auto"/>
        <w:left w:val="none" w:sz="0" w:space="0" w:color="auto"/>
        <w:bottom w:val="none" w:sz="0" w:space="0" w:color="auto"/>
        <w:right w:val="none" w:sz="0" w:space="0" w:color="auto"/>
      </w:divBdr>
    </w:div>
    <w:div w:id="804809637">
      <w:bodyDiv w:val="1"/>
      <w:marLeft w:val="0"/>
      <w:marRight w:val="0"/>
      <w:marTop w:val="0"/>
      <w:marBottom w:val="0"/>
      <w:divBdr>
        <w:top w:val="none" w:sz="0" w:space="0" w:color="auto"/>
        <w:left w:val="none" w:sz="0" w:space="0" w:color="auto"/>
        <w:bottom w:val="none" w:sz="0" w:space="0" w:color="auto"/>
        <w:right w:val="none" w:sz="0" w:space="0" w:color="auto"/>
      </w:divBdr>
    </w:div>
    <w:div w:id="136363476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67005546">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16951129">
      <w:bodyDiv w:val="1"/>
      <w:marLeft w:val="0"/>
      <w:marRight w:val="0"/>
      <w:marTop w:val="0"/>
      <w:marBottom w:val="0"/>
      <w:divBdr>
        <w:top w:val="none" w:sz="0" w:space="0" w:color="auto"/>
        <w:left w:val="none" w:sz="0" w:space="0" w:color="auto"/>
        <w:bottom w:val="none" w:sz="0" w:space="0" w:color="auto"/>
        <w:right w:val="none" w:sz="0" w:space="0" w:color="auto"/>
      </w:divBdr>
    </w:div>
    <w:div w:id="1867789875">
      <w:bodyDiv w:val="1"/>
      <w:marLeft w:val="0"/>
      <w:marRight w:val="0"/>
      <w:marTop w:val="0"/>
      <w:marBottom w:val="0"/>
      <w:divBdr>
        <w:top w:val="none" w:sz="0" w:space="0" w:color="auto"/>
        <w:left w:val="none" w:sz="0" w:space="0" w:color="auto"/>
        <w:bottom w:val="none" w:sz="0" w:space="0" w:color="auto"/>
        <w:right w:val="none" w:sz="0" w:space="0" w:color="auto"/>
      </w:divBdr>
    </w:div>
    <w:div w:id="20676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Winston@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pe.hhs.gov/system/files/pdf/263581/Virtual_Case_Management_Considerat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ildtrends.org/during-the-covid-19-pandemic-telehealth-can-help-connect-home-visiting-services-to-families" TargetMode="External"/><Relationship Id="rId2" Type="http://schemas.openxmlformats.org/officeDocument/2006/relationships/hyperlink" Target="https://aspe.hhs.gov/pdf-report/virtual-case-management" TargetMode="External"/><Relationship Id="rId1" Type="http://schemas.openxmlformats.org/officeDocument/2006/relationships/hyperlink" Target="https://www.telehealthresourcecenter.org/" TargetMode="External"/><Relationship Id="rId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44C2-E65E-4A5B-8E8F-BA476154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Funn, Sherrette (OS/ASA/OCIO)</cp:lastModifiedBy>
  <cp:revision>2</cp:revision>
  <cp:lastPrinted>2020-02-05T22:21:00Z</cp:lastPrinted>
  <dcterms:created xsi:type="dcterms:W3CDTF">2020-06-04T19:43:00Z</dcterms:created>
  <dcterms:modified xsi:type="dcterms:W3CDTF">2020-06-04T19:43:00Z</dcterms:modified>
</cp:coreProperties>
</file>