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cx2="http://schemas.microsoft.com/office/drawing/2015/10/21/chart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12A6" w:rsidRDefault="00280988" w14:paraId="3277B876" w14:textId="77777777">
      <w:pPr>
        <w:spacing w:after="0" w:line="259" w:lineRule="auto"/>
        <w:ind w:left="190" w:hanging="10"/>
        <w:jc w:val="center"/>
      </w:pPr>
      <w:bookmarkStart w:name="_GoBack" w:id="0"/>
      <w:bookmarkEnd w:id="0"/>
      <w:r>
        <w:rPr>
          <w:b/>
          <w:sz w:val="28"/>
        </w:rPr>
        <w:t xml:space="preserve">DOCUMENTATION FOR THE GENERIC CLEARANCE </w:t>
      </w:r>
    </w:p>
    <w:p w:rsidR="00FF12A6" w:rsidRDefault="00280988" w14:paraId="35EC4D87" w14:textId="77777777">
      <w:pPr>
        <w:spacing w:after="0" w:line="259" w:lineRule="auto"/>
        <w:ind w:left="190" w:right="179" w:hanging="10"/>
        <w:jc w:val="center"/>
      </w:pPr>
      <w:r>
        <w:rPr>
          <w:b/>
          <w:sz w:val="28"/>
        </w:rPr>
        <w:t xml:space="preserve">FOR THE COLLECTION OF QUALITATIVE RESEARCH &amp; </w:t>
      </w:r>
    </w:p>
    <w:p w:rsidRPr="0099763D" w:rsidR="00FF12A6" w:rsidRDefault="00280988" w14:paraId="4566F288" w14:textId="6F628DC8">
      <w:pPr>
        <w:spacing w:after="0" w:line="259" w:lineRule="auto"/>
        <w:ind w:left="190" w:right="176" w:hanging="10"/>
        <w:jc w:val="center"/>
        <w:rPr>
          <w:sz w:val="28"/>
        </w:rPr>
      </w:pPr>
      <w:r>
        <w:rPr>
          <w:b/>
          <w:sz w:val="28"/>
        </w:rPr>
        <w:t>ASSESSMENT</w:t>
      </w:r>
      <w:r w:rsidRPr="0099763D">
        <w:rPr>
          <w:sz w:val="28"/>
        </w:rPr>
        <w:t xml:space="preserve"> </w:t>
      </w:r>
      <w:r w:rsidRPr="0099763D" w:rsidR="0099763D">
        <w:rPr>
          <w:sz w:val="28"/>
        </w:rPr>
        <w:t>– 0990-0421</w:t>
      </w:r>
    </w:p>
    <w:p w:rsidR="00FF12A6" w:rsidRDefault="00280988" w14:paraId="197337FB" w14:textId="77777777">
      <w:pPr>
        <w:spacing w:after="0" w:line="259" w:lineRule="auto"/>
        <w:ind w:left="0" w:firstLine="0"/>
      </w:pPr>
      <w:r>
        <w:t xml:space="preserve"> </w:t>
      </w:r>
    </w:p>
    <w:p w:rsidR="00FF12A6" w:rsidRDefault="00280988" w14:paraId="74375339" w14:textId="77777777">
      <w:pPr>
        <w:spacing w:after="4" w:line="259" w:lineRule="auto"/>
        <w:ind w:left="0" w:right="-2" w:firstLine="0"/>
      </w:pPr>
      <w:r>
        <w:rPr>
          <w:rFonts w:ascii="Calibri" w:hAnsi="Calibri" w:eastAsia="Calibri" w:cs="Calibri"/>
          <w:noProof/>
          <w:sz w:val="22"/>
        </w:rPr>
        <mc:AlternateContent>
          <mc:Choice Requires="wpg">
            <w:drawing>
              <wp:inline distT="0" distB="0" distL="0" distR="0" wp14:anchorId="680B0C93" wp14:editId="0AEE5453">
                <wp:extent cx="5943600" cy="19050"/>
                <wp:effectExtent l="0" t="0" r="0" b="0"/>
                <wp:docPr id="6744" name="Group 6744"/>
                <wp:cNvGraphicFramePr/>
                <a:graphic xmlns:a="http://schemas.openxmlformats.org/drawingml/2006/main">
                  <a:graphicData uri="http://schemas.microsoft.com/office/word/2010/wordprocessingGroup">
                    <wpg:wgp>
                      <wpg:cNvGrpSpPr/>
                      <wpg:grpSpPr>
                        <a:xfrm>
                          <a:off x="0" y="0"/>
                          <a:ext cx="5943600" cy="19050"/>
                          <a:chOff x="0" y="0"/>
                          <a:chExt cx="5943600" cy="19050"/>
                        </a:xfrm>
                      </wpg:grpSpPr>
                      <wps:wsp>
                        <wps:cNvPr id="239" name="Shape 239"/>
                        <wps:cNvSpPr/>
                        <wps:spPr>
                          <a:xfrm>
                            <a:off x="0" y="0"/>
                            <a:ext cx="5943600" cy="0"/>
                          </a:xfrm>
                          <a:custGeom>
                            <a:avLst/>
                            <a:gdLst/>
                            <a:ahLst/>
                            <a:cxnLst/>
                            <a:rect l="0" t="0" r="0" b="0"/>
                            <a:pathLst>
                              <a:path w="5943600">
                                <a:moveTo>
                                  <a:pt x="0" y="0"/>
                                </a:moveTo>
                                <a:lnTo>
                                  <a:pt x="5943600" y="0"/>
                                </a:lnTo>
                              </a:path>
                            </a:pathLst>
                          </a:custGeom>
                          <a:ln w="19050"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a="http://schemas.openxmlformats.org/drawingml/2006/main" xmlns:cx2="http://schemas.microsoft.com/office/drawing/2015/10/21/chartex">
            <w:pict>
              <v:group id="Group 6744" style="width:468pt;height:1.5pt;mso-position-horizontal-relative:char;mso-position-vertical-relative:line" coordsize="59436,190">
                <v:shape id="Shape 239" style="position:absolute;width:59436;height:0;left:0;top:0;" coordsize="5943600,0" path="m0,0l5943600,0">
                  <v:stroke on="true" weight="1.5pt" color="#000000" joinstyle="round" endcap="flat"/>
                  <v:fill on="false" color="#000000" opacity="0"/>
                </v:shape>
              </v:group>
            </w:pict>
          </mc:Fallback>
        </mc:AlternateContent>
      </w:r>
    </w:p>
    <w:p w:rsidR="00590B97" w:rsidP="00AB3BC8" w:rsidRDefault="00280988" w14:paraId="29F98099" w14:textId="1B782ADC">
      <w:pPr>
        <w:spacing w:after="96" w:line="259" w:lineRule="auto"/>
        <w:ind w:left="0" w:firstLine="0"/>
      </w:pPr>
      <w:r>
        <w:t xml:space="preserve"> </w:t>
      </w:r>
      <w:r>
        <w:rPr>
          <w:b/>
        </w:rPr>
        <w:t>TITLE OF INFORMATION COLLECTION:</w:t>
      </w:r>
      <w:r>
        <w:t xml:space="preserve"> </w:t>
      </w:r>
      <w:r w:rsidR="00A8754B">
        <w:t xml:space="preserve">Maximizing </w:t>
      </w:r>
      <w:proofErr w:type="gramStart"/>
      <w:r w:rsidR="00A8754B">
        <w:t>The</w:t>
      </w:r>
      <w:proofErr w:type="gramEnd"/>
      <w:r w:rsidR="00A8754B">
        <w:t xml:space="preserve"> Promise of Health Information Technology through the Promotion of Interoperability: Value-Based Care</w:t>
      </w:r>
    </w:p>
    <w:p w:rsidR="00FF12A6" w:rsidP="00590B97" w:rsidRDefault="00280988" w14:paraId="63C74240" w14:textId="77777777">
      <w:pPr>
        <w:ind w:left="-15" w:firstLine="0"/>
      </w:pPr>
      <w:r>
        <w:t xml:space="preserve"> </w:t>
      </w:r>
    </w:p>
    <w:p w:rsidR="00FF12A6" w:rsidRDefault="00280988" w14:paraId="6E4574D4" w14:textId="77777777">
      <w:pPr>
        <w:spacing w:after="0" w:line="259" w:lineRule="auto"/>
        <w:ind w:left="-5" w:hanging="10"/>
      </w:pPr>
      <w:r>
        <w:rPr>
          <w:b/>
        </w:rPr>
        <w:t xml:space="preserve">[X] INTERVIEWS </w:t>
      </w:r>
    </w:p>
    <w:p w:rsidR="00FF12A6" w:rsidRDefault="00A36E73" w14:paraId="799FD236" w14:textId="055945FB">
      <w:pPr>
        <w:spacing w:after="0" w:line="259" w:lineRule="auto"/>
        <w:ind w:left="-5" w:hanging="10"/>
      </w:pPr>
      <w:r>
        <w:rPr>
          <w:b/>
        </w:rPr>
        <w:t>[</w:t>
      </w:r>
      <w:r w:rsidR="0047527D">
        <w:rPr>
          <w:b/>
        </w:rPr>
        <w:t xml:space="preserve"> </w:t>
      </w:r>
      <w:r w:rsidRPr="001877F3" w:rsidR="00280988">
        <w:rPr>
          <w:b/>
        </w:rPr>
        <w:t>] SMALL DISCUSSION GROUPS</w:t>
      </w:r>
      <w:r w:rsidR="00280988">
        <w:rPr>
          <w:b/>
        </w:rPr>
        <w:t xml:space="preserve"> </w:t>
      </w:r>
    </w:p>
    <w:p w:rsidR="00FF12A6" w:rsidRDefault="00280988" w14:paraId="035062B9" w14:textId="77777777">
      <w:pPr>
        <w:spacing w:after="0" w:line="259" w:lineRule="auto"/>
        <w:ind w:left="-5" w:hanging="10"/>
      </w:pPr>
      <w:r>
        <w:rPr>
          <w:b/>
        </w:rPr>
        <w:t xml:space="preserve">[ ] FOCUS GROUPS </w:t>
      </w:r>
    </w:p>
    <w:p w:rsidR="00FF12A6" w:rsidRDefault="00280988" w14:paraId="3DE8057C" w14:textId="77777777">
      <w:pPr>
        <w:spacing w:after="0" w:line="259" w:lineRule="auto"/>
        <w:ind w:left="-5" w:hanging="10"/>
      </w:pPr>
      <w:r>
        <w:rPr>
          <w:b/>
        </w:rPr>
        <w:t xml:space="preserve">[ ] QUESTIONNAIRES </w:t>
      </w:r>
    </w:p>
    <w:p w:rsidR="00FF12A6" w:rsidRDefault="00280988" w14:paraId="09273B52" w14:textId="77777777">
      <w:pPr>
        <w:spacing w:after="0" w:line="259" w:lineRule="auto"/>
        <w:ind w:left="-5" w:hanging="10"/>
      </w:pPr>
      <w:r>
        <w:rPr>
          <w:b/>
        </w:rPr>
        <w:t>[ ] OTHER (EXPLAIN</w:t>
      </w:r>
      <w:proofErr w:type="gramStart"/>
      <w:r>
        <w:rPr>
          <w:b/>
        </w:rPr>
        <w:t>: )</w:t>
      </w:r>
      <w:proofErr w:type="gramEnd"/>
      <w:r>
        <w:rPr>
          <w:b/>
        </w:rPr>
        <w:t xml:space="preserve"> </w:t>
      </w:r>
    </w:p>
    <w:p w:rsidR="00FF12A6" w:rsidRDefault="00280988" w14:paraId="411B7807" w14:textId="77777777">
      <w:pPr>
        <w:spacing w:after="0" w:line="259" w:lineRule="auto"/>
        <w:ind w:left="0" w:firstLine="0"/>
      </w:pPr>
      <w:r>
        <w:rPr>
          <w:b/>
        </w:rPr>
        <w:t xml:space="preserve"> </w:t>
      </w:r>
    </w:p>
    <w:p w:rsidR="00FF12A6" w:rsidRDefault="00280988" w14:paraId="55D88A12" w14:textId="77777777">
      <w:pPr>
        <w:spacing w:after="95" w:line="259" w:lineRule="auto"/>
        <w:ind w:left="-5" w:hanging="10"/>
      </w:pPr>
      <w:r>
        <w:rPr>
          <w:b/>
        </w:rPr>
        <w:t>DESCRIPTION OF THIS SPECIFIC COLLECTION</w:t>
      </w:r>
      <w:r>
        <w:t xml:space="preserve"> </w:t>
      </w:r>
    </w:p>
    <w:p w:rsidR="009C6298" w:rsidP="00550C08" w:rsidRDefault="00280988" w14:paraId="5E2BB8C4" w14:textId="31AE4E72">
      <w:pPr>
        <w:numPr>
          <w:ilvl w:val="0"/>
          <w:numId w:val="1"/>
        </w:numPr>
      </w:pPr>
      <w:r>
        <w:rPr>
          <w:b/>
        </w:rPr>
        <w:t>Intended purpose:</w:t>
      </w:r>
      <w:r>
        <w:t xml:space="preserve"> To </w:t>
      </w:r>
      <w:r w:rsidR="00097D5B">
        <w:t>collect</w:t>
      </w:r>
      <w:r w:rsidR="00D6258A">
        <w:t xml:space="preserve"> </w:t>
      </w:r>
      <w:r>
        <w:t>information from</w:t>
      </w:r>
      <w:r w:rsidR="004F795F">
        <w:t xml:space="preserve"> a range of relevant stakeholders including</w:t>
      </w:r>
      <w:r>
        <w:t xml:space="preserve"> </w:t>
      </w:r>
      <w:r w:rsidR="00B517F0">
        <w:t xml:space="preserve">health care </w:t>
      </w:r>
      <w:r w:rsidR="009C6298">
        <w:t>providers</w:t>
      </w:r>
      <w:r w:rsidR="004F795F">
        <w:t xml:space="preserve"> and care coordinators</w:t>
      </w:r>
      <w:r w:rsidR="009C6298">
        <w:t xml:space="preserve">, </w:t>
      </w:r>
      <w:r w:rsidR="00B517F0">
        <w:t xml:space="preserve">administrators, regional and state policymakers, payers, </w:t>
      </w:r>
      <w:r w:rsidR="004F795F">
        <w:t>and health information exchange organizations, about the extent to which data integration are occurring, the existing barriers and facilitators to data</w:t>
      </w:r>
      <w:r w:rsidR="00B2651C">
        <w:t xml:space="preserve"> interoperability</w:t>
      </w:r>
      <w:r w:rsidR="004F795F">
        <w:t xml:space="preserve">, and its use to support value-based care. </w:t>
      </w:r>
    </w:p>
    <w:p w:rsidR="00C276D9" w:rsidP="00C276D9" w:rsidRDefault="00C276D9" w14:paraId="008393ED" w14:textId="77777777">
      <w:pPr>
        <w:ind w:firstLine="0"/>
      </w:pPr>
    </w:p>
    <w:p w:rsidR="00C276D9" w:rsidP="00D6258A" w:rsidRDefault="00280988" w14:paraId="1EBF9BF1" w14:textId="49B2B15F">
      <w:pPr>
        <w:numPr>
          <w:ilvl w:val="0"/>
          <w:numId w:val="1"/>
        </w:numPr>
      </w:pPr>
      <w:r>
        <w:rPr>
          <w:b/>
        </w:rPr>
        <w:t xml:space="preserve">Need for the collection: </w:t>
      </w:r>
      <w:r>
        <w:t xml:space="preserve">Data from interviews are needed to </w:t>
      </w:r>
      <w:r w:rsidR="00550C08">
        <w:t>inform</w:t>
      </w:r>
      <w:r>
        <w:t xml:space="preserve"> the U.S. Department of Health and Human Services (HHS) Office of the Assistant Secretary for Planning and Evaluation (ASPE)</w:t>
      </w:r>
      <w:r w:rsidR="00550C08">
        <w:t>’s</w:t>
      </w:r>
      <w:r>
        <w:t xml:space="preserve"> </w:t>
      </w:r>
      <w:r w:rsidR="00550C08">
        <w:t xml:space="preserve">and the </w:t>
      </w:r>
      <w:r w:rsidRPr="00D6258A" w:rsidR="00D6258A">
        <w:t>Office of the National Coordinator for Health Information Technology</w:t>
      </w:r>
      <w:r w:rsidR="00D6258A">
        <w:t xml:space="preserve"> (ONC</w:t>
      </w:r>
      <w:r w:rsidR="00550C08">
        <w:t xml:space="preserve">)’s understanding </w:t>
      </w:r>
      <w:r w:rsidR="00411335">
        <w:t xml:space="preserve">of the process </w:t>
      </w:r>
      <w:r w:rsidR="00C3362F">
        <w:t xml:space="preserve">of data </w:t>
      </w:r>
      <w:r w:rsidR="00C3362F">
        <w:lastRenderedPageBreak/>
        <w:t xml:space="preserve">integration and extent to which </w:t>
      </w:r>
      <w:r w:rsidR="00411335">
        <w:t xml:space="preserve">integration </w:t>
      </w:r>
      <w:r w:rsidR="00C3362F">
        <w:t xml:space="preserve">occurs </w:t>
      </w:r>
      <w:r w:rsidR="00411335">
        <w:t>across major exchange partners</w:t>
      </w:r>
      <w:r w:rsidR="00C3362F">
        <w:t>—including the barrie</w:t>
      </w:r>
      <w:r w:rsidR="00B51746">
        <w:t>rs and facilitators to integrating</w:t>
      </w:r>
      <w:r w:rsidR="00C3362F">
        <w:t xml:space="preserve"> data from outside sources</w:t>
      </w:r>
      <w:r w:rsidR="00C276D9">
        <w:t xml:space="preserve">. This information will inform future work to define, measure and promote more widespread, advanced levels of data integration to support value-based care. </w:t>
      </w:r>
    </w:p>
    <w:p w:rsidR="00C276D9" w:rsidP="00C276D9" w:rsidRDefault="00C276D9" w14:paraId="21A48A51" w14:textId="77777777">
      <w:pPr>
        <w:ind w:firstLine="0"/>
      </w:pPr>
    </w:p>
    <w:p w:rsidR="00FF12A6" w:rsidP="00C73F1A" w:rsidRDefault="00280988" w14:paraId="28CEFCF9" w14:textId="4E3C65D9">
      <w:pPr>
        <w:pStyle w:val="ListParagraph"/>
        <w:numPr>
          <w:ilvl w:val="0"/>
          <w:numId w:val="1"/>
        </w:numPr>
      </w:pPr>
      <w:r w:rsidRPr="00A6517B">
        <w:rPr>
          <w:b/>
        </w:rPr>
        <w:t xml:space="preserve">Planned use of the data: </w:t>
      </w:r>
      <w:r w:rsidR="00974653">
        <w:t xml:space="preserve">The qualitative data will be used as part of </w:t>
      </w:r>
      <w:r w:rsidR="0085408B">
        <w:t>an in-depth assessment of five case study</w:t>
      </w:r>
      <w:r w:rsidR="008D68EB">
        <w:t xml:space="preserve"> </w:t>
      </w:r>
      <w:r w:rsidR="0085408B">
        <w:t xml:space="preserve">sites </w:t>
      </w:r>
      <w:r>
        <w:t>to identify</w:t>
      </w:r>
      <w:r w:rsidR="0085408B">
        <w:t xml:space="preserve"> what data integration looks like on the ground, to identify</w:t>
      </w:r>
      <w:r w:rsidRPr="00A6517B" w:rsidR="00A6517B">
        <w:t xml:space="preserve"> factors</w:t>
      </w:r>
      <w:r w:rsidR="00A6517B">
        <w:t xml:space="preserve"> that may promote or impede </w:t>
      </w:r>
      <w:r w:rsidR="00974653">
        <w:t>interoperability</w:t>
      </w:r>
      <w:r w:rsidR="00E64ABE">
        <w:t xml:space="preserve">, </w:t>
      </w:r>
      <w:r w:rsidR="0085408B">
        <w:t xml:space="preserve">as well as the use of data integration to promote </w:t>
      </w:r>
      <w:r w:rsidR="00626950">
        <w:t>patient</w:t>
      </w:r>
      <w:r w:rsidR="0085408B">
        <w:t xml:space="preserve"> care. </w:t>
      </w:r>
      <w:r>
        <w:t>The results will be summarized in a</w:t>
      </w:r>
      <w:r w:rsidR="00F519A8">
        <w:t xml:space="preserve"> final</w:t>
      </w:r>
      <w:r w:rsidR="007666F3">
        <w:t xml:space="preserve"> case study</w:t>
      </w:r>
      <w:r w:rsidR="00F519A8">
        <w:t xml:space="preserve"> report </w:t>
      </w:r>
      <w:r>
        <w:t>for ASPE</w:t>
      </w:r>
      <w:r w:rsidR="00F519A8">
        <w:t xml:space="preserve"> and </w:t>
      </w:r>
      <w:r w:rsidR="00A6517B">
        <w:t>O</w:t>
      </w:r>
      <w:r w:rsidR="00C276D9">
        <w:t>NC</w:t>
      </w:r>
      <w:r>
        <w:t xml:space="preserve">. </w:t>
      </w:r>
    </w:p>
    <w:p w:rsidR="00054760" w:rsidP="005F1117" w:rsidRDefault="00054760" w14:paraId="0AC23ECB" w14:textId="77777777">
      <w:pPr>
        <w:pStyle w:val="ListParagraph"/>
      </w:pPr>
    </w:p>
    <w:p w:rsidR="005F1117" w:rsidP="005F1117" w:rsidRDefault="00054760" w14:paraId="284AF9FB" w14:textId="48F4846F">
      <w:pPr>
        <w:pStyle w:val="ListParagraph"/>
        <w:ind w:left="370" w:firstLine="0"/>
      </w:pPr>
      <w:r>
        <w:t xml:space="preserve">Results of this study are expected to inform ASPE and ONC on future research proposals that may identify and further investigate promising approaches to strengthen interoperability.  </w:t>
      </w:r>
      <w:r w:rsidRPr="00466EF2">
        <w:t>Since 2014, ONC has measured interoperability based on the extent to which providers engage in electronically sending, receiving, finding, and integrating electronic health information. Among these four domains of interoperability, providers have struggled the most with data integration. ONC’s Cures Act Final Rule implements mandates under the 21</w:t>
      </w:r>
      <w:r w:rsidRPr="00054760">
        <w:rPr>
          <w:vertAlign w:val="superscript"/>
        </w:rPr>
        <w:t>st</w:t>
      </w:r>
      <w:r w:rsidRPr="00466EF2">
        <w:t xml:space="preserve"> Cures Act and is designed to further the seamless and secure access, exchange, and use of electronic health information. Therefore, identifying promising approaches as well as specific barriers hindering data integration will be helpful to guide ONC’s work related to advancing interoperability.  The findings from this work will help to inform ONC’s data standardization efforts and well as interoperability measurement. The results from this work may also be used to identify specific policy solutions or education needed to address providers’ concerns about incorporating data. The nature of the next steps related to this work will depend on the findings; however, having greater insight into these issues will provide ONC with the information it needs to guide its future actions to address a known problem.   </w:t>
      </w:r>
    </w:p>
    <w:p w:rsidR="005F1117" w:rsidP="005F1117" w:rsidRDefault="005F1117" w14:paraId="67896F90" w14:textId="77777777">
      <w:pPr>
        <w:pStyle w:val="ListParagraph"/>
        <w:ind w:left="370" w:firstLine="0"/>
      </w:pPr>
    </w:p>
    <w:p w:rsidR="00FF12A6" w:rsidP="005F1117" w:rsidRDefault="00280988" w14:paraId="4C73BAE9" w14:textId="445A2762">
      <w:pPr>
        <w:pStyle w:val="ListParagraph"/>
        <w:numPr>
          <w:ilvl w:val="0"/>
          <w:numId w:val="1"/>
        </w:numPr>
      </w:pPr>
      <w:r w:rsidRPr="005F1117">
        <w:rPr>
          <w:b/>
        </w:rPr>
        <w:t xml:space="preserve">Date(s) and location(s): </w:t>
      </w:r>
      <w:r w:rsidRPr="001877F3">
        <w:t>Interviews will be conducted</w:t>
      </w:r>
      <w:r w:rsidR="0027209A">
        <w:t xml:space="preserve"> via phone </w:t>
      </w:r>
      <w:r w:rsidRPr="001877F3">
        <w:t>across</w:t>
      </w:r>
      <w:r w:rsidR="00B2651C">
        <w:t xml:space="preserve"> five</w:t>
      </w:r>
      <w:r w:rsidR="00786248">
        <w:t xml:space="preserve"> Hospital Referral Region (HRR) sites in</w:t>
      </w:r>
      <w:r w:rsidRPr="001877F3">
        <w:t xml:space="preserve"> the country.</w:t>
      </w:r>
      <w:r w:rsidR="00C22F6F">
        <w:t xml:space="preserve"> </w:t>
      </w:r>
      <w:r w:rsidR="001744E4">
        <w:t xml:space="preserve">Accordingly, each site will consist of hospitals and their referral partners </w:t>
      </w:r>
      <w:r w:rsidR="0049156D">
        <w:t xml:space="preserve">(i.e., office-based physicians, home health agencies, and skilled nursing facilities) with whom they share a large volume of patients and are engaged in efforts to share and integrate data about their patients. </w:t>
      </w:r>
      <w:r w:rsidR="001744E4">
        <w:t xml:space="preserve">The sites </w:t>
      </w:r>
      <w:r w:rsidR="00704083">
        <w:t>will represent a</w:t>
      </w:r>
      <w:r w:rsidRPr="00C22F6F" w:rsidR="00C22F6F">
        <w:t xml:space="preserve"> range</w:t>
      </w:r>
      <w:r w:rsidR="00704083">
        <w:t xml:space="preserve"> of HRR characteristics such as number of hospitals</w:t>
      </w:r>
      <w:r w:rsidR="0063528E">
        <w:t>,</w:t>
      </w:r>
      <w:r w:rsidR="00704083">
        <w:t xml:space="preserve"> </w:t>
      </w:r>
      <w:r w:rsidR="003B4B55">
        <w:t xml:space="preserve">level of </w:t>
      </w:r>
      <w:r w:rsidR="00704083">
        <w:t>engagement in data integration,</w:t>
      </w:r>
      <w:r w:rsidR="003B4B55">
        <w:t xml:space="preserve"> </w:t>
      </w:r>
      <w:r w:rsidR="0063528E">
        <w:t xml:space="preserve">state </w:t>
      </w:r>
      <w:r w:rsidR="00704083">
        <w:t>maturity in value-based care</w:t>
      </w:r>
      <w:r w:rsidR="00B51218">
        <w:t xml:space="preserve">, </w:t>
      </w:r>
      <w:r w:rsidR="0063528E">
        <w:t>use</w:t>
      </w:r>
      <w:r w:rsidR="00B51218">
        <w:t xml:space="preserve"> </w:t>
      </w:r>
      <w:r w:rsidRPr="00C22F6F" w:rsidR="00B51218">
        <w:t xml:space="preserve">of a </w:t>
      </w:r>
      <w:r w:rsidR="00B51218">
        <w:t>national exc</w:t>
      </w:r>
      <w:r w:rsidR="0063528E">
        <w:t>hange network among hospitals, and the variety of</w:t>
      </w:r>
      <w:r w:rsidRPr="00FC75C5" w:rsidR="00B51218">
        <w:t xml:space="preserve"> E</w:t>
      </w:r>
      <w:r w:rsidR="00B51218">
        <w:t>H</w:t>
      </w:r>
      <w:r w:rsidRPr="00FC75C5" w:rsidR="00B51218">
        <w:t>R vendor</w:t>
      </w:r>
      <w:r w:rsidR="0063528E">
        <w:t>s.</w:t>
      </w:r>
      <w:r w:rsidR="001905BE">
        <w:t xml:space="preserve"> In consultation with</w:t>
      </w:r>
      <w:r w:rsidR="00C22F6F">
        <w:t xml:space="preserve"> </w:t>
      </w:r>
      <w:r w:rsidR="0063174D">
        <w:t>ASPE</w:t>
      </w:r>
      <w:r>
        <w:t xml:space="preserve"> </w:t>
      </w:r>
      <w:r w:rsidR="00C22F6F">
        <w:t>&amp; ONC</w:t>
      </w:r>
      <w:r w:rsidR="001905BE">
        <w:t>, the Urban Institute team will</w:t>
      </w:r>
      <w:r w:rsidR="00A6517B">
        <w:t xml:space="preserve"> </w:t>
      </w:r>
      <w:r>
        <w:t>select</w:t>
      </w:r>
      <w:r w:rsidR="001905BE">
        <w:t xml:space="preserve"> five</w:t>
      </w:r>
      <w:r>
        <w:t xml:space="preserve"> sites </w:t>
      </w:r>
      <w:r w:rsidR="001905BE">
        <w:t xml:space="preserve">based on </w:t>
      </w:r>
      <w:r w:rsidR="003B4B55">
        <w:t>these HRR characteristics</w:t>
      </w:r>
      <w:r w:rsidR="001905BE">
        <w:t>.</w:t>
      </w:r>
      <w:r w:rsidRPr="001877F3">
        <w:t xml:space="preserve"> Please see </w:t>
      </w:r>
      <w:r w:rsidRPr="008340E5">
        <w:t>A</w:t>
      </w:r>
      <w:r w:rsidRPr="008340E5" w:rsidR="00E64ABE">
        <w:t>ttachment A</w:t>
      </w:r>
      <w:r w:rsidRPr="001877F3" w:rsidR="00E64ABE">
        <w:t xml:space="preserve"> for detailed description of site selection criteria</w:t>
      </w:r>
      <w:r w:rsidRPr="001877F3">
        <w:t>.</w:t>
      </w:r>
      <w:r>
        <w:t xml:space="preserve"> Data collection will occur between </w:t>
      </w:r>
      <w:r w:rsidR="001905BE">
        <w:t xml:space="preserve">April </w:t>
      </w:r>
      <w:r>
        <w:t xml:space="preserve">and </w:t>
      </w:r>
      <w:r w:rsidR="001905BE">
        <w:t>June</w:t>
      </w:r>
      <w:r>
        <w:t xml:space="preserve"> 20</w:t>
      </w:r>
      <w:r w:rsidR="00A6517B">
        <w:t>20</w:t>
      </w:r>
      <w:r>
        <w:t xml:space="preserve">. </w:t>
      </w:r>
    </w:p>
    <w:p w:rsidR="0063528E" w:rsidRDefault="0063528E" w14:paraId="7A7AB749" w14:textId="77777777">
      <w:pPr>
        <w:spacing w:after="0" w:line="259" w:lineRule="auto"/>
        <w:ind w:left="0" w:firstLine="0"/>
      </w:pPr>
    </w:p>
    <w:p w:rsidR="00FF12A6" w:rsidRDefault="00280988" w14:paraId="51A0AF1F" w14:textId="6D013811">
      <w:pPr>
        <w:numPr>
          <w:ilvl w:val="0"/>
          <w:numId w:val="1"/>
        </w:numPr>
      </w:pPr>
      <w:r>
        <w:rPr>
          <w:b/>
        </w:rPr>
        <w:t>Collection procedures:</w:t>
      </w:r>
      <w:r>
        <w:t xml:space="preserve"> </w:t>
      </w:r>
      <w:r w:rsidR="00A6517B">
        <w:t>The Urban Institute</w:t>
      </w:r>
      <w:r>
        <w:t xml:space="preserve"> staff will conduct</w:t>
      </w:r>
      <w:r w:rsidR="00344D01">
        <w:t xml:space="preserve"> </w:t>
      </w:r>
      <w:r w:rsidR="00032135">
        <w:t xml:space="preserve">interviews </w:t>
      </w:r>
      <w:r>
        <w:t>via telephone</w:t>
      </w:r>
      <w:r w:rsidR="00DF2FB4">
        <w:t xml:space="preserve">. </w:t>
      </w:r>
      <w:r w:rsidR="001877F3">
        <w:t>A d</w:t>
      </w:r>
      <w:r>
        <w:t xml:space="preserve">iscussion guide will be used to guide the semi-structured interviews, which are estimated to last between </w:t>
      </w:r>
      <w:r w:rsidR="00DF2FB4">
        <w:t>3</w:t>
      </w:r>
      <w:r w:rsidR="00A6517B">
        <w:t>0</w:t>
      </w:r>
      <w:r>
        <w:t xml:space="preserve"> to </w:t>
      </w:r>
      <w:r w:rsidR="00A6517B">
        <w:t>9</w:t>
      </w:r>
      <w:r>
        <w:t xml:space="preserve">0 minutes. </w:t>
      </w:r>
    </w:p>
    <w:p w:rsidR="00FF12A6" w:rsidRDefault="00280988" w14:paraId="1C6B13FA" w14:textId="77777777">
      <w:pPr>
        <w:spacing w:after="0" w:line="259" w:lineRule="auto"/>
        <w:ind w:left="0" w:firstLine="0"/>
      </w:pPr>
      <w:r>
        <w:t xml:space="preserve"> </w:t>
      </w:r>
    </w:p>
    <w:p w:rsidR="00FF12A6" w:rsidP="001F4A47" w:rsidRDefault="00280988" w14:paraId="7A894C8D" w14:textId="5448F7DD">
      <w:pPr>
        <w:numPr>
          <w:ilvl w:val="0"/>
          <w:numId w:val="1"/>
        </w:numPr>
      </w:pPr>
      <w:r>
        <w:rPr>
          <w:b/>
        </w:rPr>
        <w:t xml:space="preserve">Number of collections (e.g., focus groups, surveys, </w:t>
      </w:r>
      <w:proofErr w:type="gramStart"/>
      <w:r>
        <w:rPr>
          <w:b/>
        </w:rPr>
        <w:t>sessions</w:t>
      </w:r>
      <w:proofErr w:type="gramEnd"/>
      <w:r>
        <w:rPr>
          <w:b/>
        </w:rPr>
        <w:t>):</w:t>
      </w:r>
      <w:r>
        <w:t xml:space="preserve"> Each study participant will be asked to participate in one interview. We will conduct an average of </w:t>
      </w:r>
      <w:r w:rsidR="00032135">
        <w:t xml:space="preserve">7 </w:t>
      </w:r>
      <w:r>
        <w:t>interviews per</w:t>
      </w:r>
      <w:r w:rsidR="001744E4">
        <w:t xml:space="preserve"> HRR</w:t>
      </w:r>
      <w:r>
        <w:t xml:space="preserve"> site for a total of </w:t>
      </w:r>
      <w:r w:rsidR="003F00AA">
        <w:t xml:space="preserve">35 interviews </w:t>
      </w:r>
      <w:r>
        <w:t xml:space="preserve">across all </w:t>
      </w:r>
      <w:r w:rsidR="003F00AA">
        <w:t>5</w:t>
      </w:r>
      <w:r>
        <w:t xml:space="preserve"> sites. </w:t>
      </w:r>
    </w:p>
    <w:p w:rsidR="001F4A47" w:rsidP="001F4A47" w:rsidRDefault="001F4A47" w14:paraId="1BD5479C" w14:textId="77777777">
      <w:pPr>
        <w:pStyle w:val="ListParagraph"/>
      </w:pPr>
    </w:p>
    <w:p w:rsidR="00FF12A6" w:rsidP="00FE6C65" w:rsidRDefault="00280988" w14:paraId="004ABB2E" w14:textId="75850012">
      <w:pPr>
        <w:numPr>
          <w:ilvl w:val="0"/>
          <w:numId w:val="1"/>
        </w:numPr>
      </w:pPr>
      <w:r>
        <w:rPr>
          <w:b/>
        </w:rPr>
        <w:t>Description of respondents/participants:</w:t>
      </w:r>
      <w:r w:rsidRPr="00FE6C65">
        <w:t xml:space="preserve"> </w:t>
      </w:r>
      <w:r w:rsidR="00FE6C65">
        <w:t>Participants will include</w:t>
      </w:r>
      <w:r w:rsidRPr="00FE6C65" w:rsidR="00FE6C65">
        <w:t xml:space="preserve"> </w:t>
      </w:r>
      <w:r w:rsidR="00E90614">
        <w:t xml:space="preserve">stakeholders most relevant to understanding data integration at each site and will vary by site.  Participants may include </w:t>
      </w:r>
      <w:r w:rsidRPr="00FE6C65" w:rsidR="00FE6C65">
        <w:t>providers, health IT staff and administrators f</w:t>
      </w:r>
      <w:r w:rsidR="00717B8F">
        <w:t xml:space="preserve">rom </w:t>
      </w:r>
      <w:r w:rsidR="00FE2A71">
        <w:t>hospitals and their referral partners</w:t>
      </w:r>
      <w:r w:rsidR="00717B8F">
        <w:t xml:space="preserve">; accountable care organization (ACO) </w:t>
      </w:r>
      <w:r w:rsidRPr="00FE6C65" w:rsidR="00FE6C65">
        <w:t xml:space="preserve">or health system administrators; representatives from the </w:t>
      </w:r>
      <w:r w:rsidR="00717B8F">
        <w:t>health information organization (HIO)</w:t>
      </w:r>
      <w:r w:rsidRPr="00FE6C65" w:rsidR="00FE6C65">
        <w:t xml:space="preserve"> or vendor network; quality improvement</w:t>
      </w:r>
      <w:r w:rsidR="00E90614">
        <w:t>,</w:t>
      </w:r>
      <w:r w:rsidRPr="00FE6C65" w:rsidR="00FE6C65">
        <w:t xml:space="preserve"> technical assistance</w:t>
      </w:r>
      <w:r w:rsidR="00E90614">
        <w:t>,</w:t>
      </w:r>
      <w:r w:rsidRPr="00FE6C65" w:rsidR="00FE6C65">
        <w:t xml:space="preserve"> community-</w:t>
      </w:r>
      <w:r w:rsidRPr="00FE6C65" w:rsidR="00FE6C65">
        <w:lastRenderedPageBreak/>
        <w:t>based or other organizations providing care coordination services; public and private payers with initiatives to incentivize value-based care, the state health IT coordinator, regional CMS and state Medicaid HITECH staff, professional associations, and patient advocates.</w:t>
      </w:r>
    </w:p>
    <w:p w:rsidR="00FF12A6" w:rsidRDefault="00280988" w14:paraId="4DFB9439" w14:textId="77777777">
      <w:pPr>
        <w:spacing w:after="0" w:line="259" w:lineRule="auto"/>
        <w:ind w:left="360" w:firstLine="0"/>
      </w:pPr>
      <w:r>
        <w:rPr>
          <w:b/>
        </w:rPr>
        <w:t xml:space="preserve"> </w:t>
      </w:r>
    </w:p>
    <w:p w:rsidR="00FF12A6" w:rsidRDefault="00280988" w14:paraId="4772379C" w14:textId="58430E78">
      <w:pPr>
        <w:numPr>
          <w:ilvl w:val="0"/>
          <w:numId w:val="1"/>
        </w:numPr>
      </w:pPr>
      <w:r>
        <w:rPr>
          <w:b/>
        </w:rPr>
        <w:t xml:space="preserve">Description of how results will be used: </w:t>
      </w:r>
      <w:r w:rsidR="00472AD6">
        <w:t>The Urban Institute</w:t>
      </w:r>
      <w:r>
        <w:t xml:space="preserve"> staff will summarize key themes and findings in a </w:t>
      </w:r>
      <w:r w:rsidR="00032135">
        <w:t xml:space="preserve">final </w:t>
      </w:r>
      <w:r w:rsidR="007666F3">
        <w:t xml:space="preserve">case study </w:t>
      </w:r>
      <w:r w:rsidR="0063528E">
        <w:t>report</w:t>
      </w:r>
      <w:r>
        <w:t xml:space="preserve"> for ASPE</w:t>
      </w:r>
      <w:r w:rsidR="00032135">
        <w:t xml:space="preserve"> &amp; ONC</w:t>
      </w:r>
      <w:r>
        <w:t>.</w:t>
      </w:r>
      <w:r w:rsidR="0063528E">
        <w:t xml:space="preserve"> The team will also present findings in a federal briefing to ASPE &amp; ONC leadership, as well as through a webinar. </w:t>
      </w:r>
      <w:r>
        <w:t xml:space="preserve"> The resul</w:t>
      </w:r>
      <w:r w:rsidR="00626950">
        <w:t>ts are expected to inform</w:t>
      </w:r>
      <w:r>
        <w:t xml:space="preserve"> </w:t>
      </w:r>
      <w:r w:rsidR="00032135">
        <w:t>ASPE and ONC</w:t>
      </w:r>
      <w:r>
        <w:t xml:space="preserve"> on futur</w:t>
      </w:r>
      <w:r w:rsidR="00626950">
        <w:t>e research proposal</w:t>
      </w:r>
      <w:r w:rsidR="006F7522">
        <w:t>s</w:t>
      </w:r>
      <w:r w:rsidR="00626950">
        <w:t xml:space="preserve"> to strengthen interoperability. </w:t>
      </w:r>
    </w:p>
    <w:p w:rsidR="00054760" w:rsidP="005F1117" w:rsidRDefault="00054760" w14:paraId="00BECF29" w14:textId="77777777">
      <w:pPr>
        <w:pStyle w:val="ListParagraph"/>
      </w:pPr>
    </w:p>
    <w:p w:rsidR="00054760" w:rsidP="005F1117" w:rsidRDefault="00054760" w14:paraId="1180847B" w14:textId="77777777">
      <w:pPr>
        <w:ind w:firstLine="0"/>
      </w:pPr>
    </w:p>
    <w:p w:rsidR="00FF12A6" w:rsidRDefault="00FF12A6" w14:paraId="03CC28ED" w14:textId="34849D48">
      <w:pPr>
        <w:spacing w:after="0" w:line="259" w:lineRule="auto"/>
        <w:ind w:left="0" w:firstLine="0"/>
      </w:pPr>
    </w:p>
    <w:p w:rsidR="00FF12A6" w:rsidP="00054760" w:rsidRDefault="00280988" w14:paraId="4A4AC9FD" w14:textId="754CB888">
      <w:pPr>
        <w:numPr>
          <w:ilvl w:val="0"/>
          <w:numId w:val="1"/>
        </w:numPr>
      </w:pPr>
      <w:r>
        <w:rPr>
          <w:b/>
        </w:rPr>
        <w:t>Description of how results will or will not be disseminated and why or why not:</w:t>
      </w:r>
      <w:r>
        <w:t xml:space="preserve"> </w:t>
      </w:r>
      <w:r w:rsidR="00054760">
        <w:t>ASPE &amp; ONC plan to publically disseminate the overarching findings from this study by publicly posting the case study report.</w:t>
      </w:r>
    </w:p>
    <w:p w:rsidR="00FF12A6" w:rsidRDefault="00280988" w14:paraId="3233CA19" w14:textId="77777777">
      <w:pPr>
        <w:spacing w:after="97" w:line="259" w:lineRule="auto"/>
        <w:ind w:left="720" w:firstLine="0"/>
      </w:pPr>
      <w:r>
        <w:rPr>
          <w:b/>
        </w:rPr>
        <w:t xml:space="preserve"> </w:t>
      </w:r>
    </w:p>
    <w:p w:rsidR="00FF12A6" w:rsidRDefault="00280988" w14:paraId="07DCFD19" w14:textId="77777777">
      <w:pPr>
        <w:spacing w:after="91" w:line="259" w:lineRule="auto"/>
        <w:ind w:left="-5" w:hanging="10"/>
      </w:pPr>
      <w:r>
        <w:rPr>
          <w:b/>
        </w:rPr>
        <w:t xml:space="preserve">AMOUNT OF ANY PROPOSED STIPEND OR INCENTIVE – NONE </w:t>
      </w:r>
    </w:p>
    <w:p w:rsidR="00891B57" w:rsidRDefault="00280988" w14:paraId="74CC87BC" w14:textId="22236DE6">
      <w:pPr>
        <w:spacing w:after="0" w:line="259" w:lineRule="auto"/>
        <w:ind w:left="0" w:firstLine="0"/>
      </w:pPr>
      <w:r>
        <w:t xml:space="preserve"> </w:t>
      </w:r>
    </w:p>
    <w:p w:rsidR="00891B57" w:rsidRDefault="00891B57" w14:paraId="28E2F632" w14:textId="390D40F0">
      <w:pPr>
        <w:spacing w:after="0" w:line="259" w:lineRule="auto"/>
        <w:ind w:left="0" w:firstLine="0"/>
      </w:pPr>
    </w:p>
    <w:p w:rsidR="00891B57" w:rsidRDefault="00891B57" w14:paraId="4C810DF4" w14:textId="77777777">
      <w:pPr>
        <w:spacing w:after="0" w:line="259" w:lineRule="auto"/>
        <w:ind w:left="0" w:firstLine="0"/>
      </w:pPr>
    </w:p>
    <w:p w:rsidR="00FF12A6" w:rsidRDefault="00280988" w14:paraId="77A3CAFF" w14:textId="20A4959D">
      <w:pPr>
        <w:spacing w:after="0" w:line="239" w:lineRule="auto"/>
        <w:ind w:left="0" w:firstLine="0"/>
      </w:pPr>
      <w:r>
        <w:rPr>
          <w:b/>
        </w:rPr>
        <w:t>BURDEN HOUR COMPUTATION</w:t>
      </w:r>
      <w:r>
        <w:t xml:space="preserve"> </w:t>
      </w:r>
      <w:r>
        <w:rPr>
          <w:i/>
        </w:rPr>
        <w:t xml:space="preserve">(Number of responses (X) estimated response or participation time in </w:t>
      </w:r>
      <w:r w:rsidR="006B3D23">
        <w:rPr>
          <w:i/>
        </w:rPr>
        <w:t>hours</w:t>
      </w:r>
      <w:r>
        <w:rPr>
          <w:i/>
        </w:rPr>
        <w:t xml:space="preserve"> (/60) = annual burden hours): </w:t>
      </w:r>
    </w:p>
    <w:p w:rsidR="00FF12A6" w:rsidRDefault="00280988" w14:paraId="61AF9817" w14:textId="1FEF4263">
      <w:pPr>
        <w:spacing w:after="0" w:line="259" w:lineRule="auto"/>
        <w:ind w:left="0" w:firstLine="0"/>
        <w:rPr>
          <w:i/>
        </w:rPr>
      </w:pPr>
      <w:r>
        <w:rPr>
          <w:i/>
        </w:rPr>
        <w:t xml:space="preserve"> </w:t>
      </w:r>
    </w:p>
    <w:tbl>
      <w:tblPr>
        <w:tblStyle w:val="TableGrid"/>
        <w:tblW w:w="9737" w:type="dxa"/>
        <w:tblInd w:w="-46" w:type="dxa"/>
        <w:tblCellMar>
          <w:top w:w="49" w:type="dxa"/>
          <w:left w:w="115" w:type="dxa"/>
          <w:right w:w="67" w:type="dxa"/>
        </w:tblCellMar>
        <w:tblLook w:val="04A0" w:firstRow="1" w:lastRow="0" w:firstColumn="1" w:lastColumn="0" w:noHBand="0" w:noVBand="1"/>
      </w:tblPr>
      <w:tblGrid>
        <w:gridCol w:w="2581"/>
        <w:gridCol w:w="1279"/>
        <w:gridCol w:w="1427"/>
        <w:gridCol w:w="1333"/>
        <w:gridCol w:w="899"/>
        <w:gridCol w:w="983"/>
        <w:gridCol w:w="1235"/>
      </w:tblGrid>
      <w:tr w:rsidRPr="00826AE7" w:rsidR="00BC493B" w:rsidTr="001F49C3" w14:paraId="1BF1E608" w14:textId="77777777">
        <w:trPr>
          <w:trHeight w:val="1364"/>
        </w:trPr>
        <w:tc>
          <w:tcPr>
            <w:tcW w:w="2581" w:type="dxa"/>
            <w:tcBorders>
              <w:top w:val="single" w:color="000000" w:sz="4" w:space="0"/>
              <w:left w:val="single" w:color="000000" w:sz="4" w:space="0"/>
              <w:bottom w:val="single" w:color="000000" w:sz="12" w:space="0"/>
              <w:right w:val="single" w:color="000000" w:sz="4" w:space="0"/>
            </w:tcBorders>
            <w:shd w:val="clear" w:color="auto" w:fill="D9D9D9"/>
            <w:vAlign w:val="center"/>
          </w:tcPr>
          <w:p w:rsidRPr="00826AE7" w:rsidR="00BC493B" w:rsidP="001F49C3" w:rsidRDefault="00BC493B" w14:paraId="37F55744" w14:textId="77777777">
            <w:pPr>
              <w:spacing w:after="0" w:line="259" w:lineRule="auto"/>
              <w:ind w:left="0" w:firstLine="0"/>
              <w:rPr>
                <w:sz w:val="20"/>
                <w:szCs w:val="20"/>
              </w:rPr>
            </w:pPr>
            <w:r w:rsidRPr="00826AE7">
              <w:rPr>
                <w:b/>
                <w:sz w:val="20"/>
                <w:szCs w:val="20"/>
              </w:rPr>
              <w:t xml:space="preserve">Type of Respondent </w:t>
            </w:r>
          </w:p>
        </w:tc>
        <w:tc>
          <w:tcPr>
            <w:tcW w:w="1279" w:type="dxa"/>
            <w:tcBorders>
              <w:top w:val="single" w:color="000000" w:sz="4" w:space="0"/>
              <w:left w:val="single" w:color="000000" w:sz="4" w:space="0"/>
              <w:bottom w:val="single" w:color="000000" w:sz="12" w:space="0"/>
              <w:right w:val="single" w:color="000000" w:sz="4" w:space="0"/>
            </w:tcBorders>
            <w:shd w:val="clear" w:color="auto" w:fill="D9D9D9"/>
            <w:vAlign w:val="center"/>
          </w:tcPr>
          <w:p w:rsidRPr="00826AE7" w:rsidR="00BC493B" w:rsidP="001F49C3" w:rsidRDefault="00BC493B" w14:paraId="5A21A552" w14:textId="77777777">
            <w:pPr>
              <w:spacing w:after="15" w:line="259" w:lineRule="auto"/>
              <w:ind w:left="0" w:right="51" w:firstLine="0"/>
              <w:jc w:val="center"/>
              <w:rPr>
                <w:sz w:val="20"/>
                <w:szCs w:val="20"/>
              </w:rPr>
            </w:pPr>
            <w:r w:rsidRPr="00826AE7">
              <w:rPr>
                <w:b/>
                <w:sz w:val="20"/>
                <w:szCs w:val="20"/>
              </w:rPr>
              <w:t xml:space="preserve">No. of </w:t>
            </w:r>
          </w:p>
          <w:p w:rsidRPr="00826AE7" w:rsidR="00BC493B" w:rsidP="001F49C3" w:rsidRDefault="00BC493B" w14:paraId="57D00E8F" w14:textId="77777777">
            <w:pPr>
              <w:spacing w:after="0" w:line="259" w:lineRule="auto"/>
              <w:ind w:left="7" w:firstLine="0"/>
              <w:rPr>
                <w:sz w:val="20"/>
                <w:szCs w:val="20"/>
              </w:rPr>
            </w:pPr>
            <w:r w:rsidRPr="00826AE7">
              <w:rPr>
                <w:b/>
                <w:sz w:val="20"/>
                <w:szCs w:val="20"/>
              </w:rPr>
              <w:t xml:space="preserve">Respondents </w:t>
            </w:r>
          </w:p>
        </w:tc>
        <w:tc>
          <w:tcPr>
            <w:tcW w:w="1427" w:type="dxa"/>
            <w:tcBorders>
              <w:top w:val="single" w:color="000000" w:sz="4" w:space="0"/>
              <w:left w:val="single" w:color="000000" w:sz="4" w:space="0"/>
              <w:bottom w:val="single" w:color="000000" w:sz="12" w:space="0"/>
              <w:right w:val="single" w:color="000000" w:sz="4" w:space="0"/>
            </w:tcBorders>
            <w:shd w:val="clear" w:color="auto" w:fill="D9D9D9"/>
            <w:vAlign w:val="center"/>
          </w:tcPr>
          <w:p w:rsidRPr="00826AE7" w:rsidR="00BC493B" w:rsidP="001F49C3" w:rsidRDefault="00BC493B" w14:paraId="63CB60A2" w14:textId="77777777">
            <w:pPr>
              <w:spacing w:after="15" w:line="259" w:lineRule="auto"/>
              <w:ind w:left="0" w:right="52" w:firstLine="0"/>
              <w:jc w:val="center"/>
              <w:rPr>
                <w:sz w:val="20"/>
                <w:szCs w:val="20"/>
              </w:rPr>
            </w:pPr>
            <w:r w:rsidRPr="00826AE7">
              <w:rPr>
                <w:b/>
                <w:sz w:val="20"/>
                <w:szCs w:val="20"/>
              </w:rPr>
              <w:t xml:space="preserve">No. of </w:t>
            </w:r>
          </w:p>
          <w:p w:rsidRPr="00826AE7" w:rsidR="00BC493B" w:rsidP="001F49C3" w:rsidRDefault="00BC493B" w14:paraId="0C471B25" w14:textId="77777777">
            <w:pPr>
              <w:spacing w:line="274" w:lineRule="auto"/>
              <w:ind w:left="0" w:firstLine="0"/>
              <w:jc w:val="center"/>
              <w:rPr>
                <w:sz w:val="20"/>
                <w:szCs w:val="20"/>
              </w:rPr>
            </w:pPr>
            <w:r w:rsidRPr="00826AE7">
              <w:rPr>
                <w:b/>
                <w:sz w:val="20"/>
                <w:szCs w:val="20"/>
              </w:rPr>
              <w:t xml:space="preserve">Responses per </w:t>
            </w:r>
          </w:p>
          <w:p w:rsidRPr="00826AE7" w:rsidR="00BC493B" w:rsidP="001F49C3" w:rsidRDefault="00BC493B" w14:paraId="1EE90A53" w14:textId="77777777">
            <w:pPr>
              <w:spacing w:after="0" w:line="259" w:lineRule="auto"/>
              <w:ind w:left="7" w:firstLine="0"/>
              <w:rPr>
                <w:sz w:val="20"/>
                <w:szCs w:val="20"/>
              </w:rPr>
            </w:pPr>
            <w:r w:rsidRPr="00826AE7">
              <w:rPr>
                <w:b/>
                <w:sz w:val="20"/>
                <w:szCs w:val="20"/>
              </w:rPr>
              <w:t xml:space="preserve">Respondent </w:t>
            </w:r>
          </w:p>
        </w:tc>
        <w:tc>
          <w:tcPr>
            <w:tcW w:w="1333" w:type="dxa"/>
            <w:tcBorders>
              <w:top w:val="single" w:color="000000" w:sz="4" w:space="0"/>
              <w:left w:val="single" w:color="000000" w:sz="4" w:space="0"/>
              <w:bottom w:val="single" w:color="000000" w:sz="12" w:space="0"/>
              <w:right w:val="single" w:color="000000" w:sz="4" w:space="0"/>
            </w:tcBorders>
            <w:shd w:val="clear" w:color="auto" w:fill="D9D9D9"/>
            <w:vAlign w:val="center"/>
          </w:tcPr>
          <w:p w:rsidRPr="00826AE7" w:rsidR="00BC493B" w:rsidP="001F49C3" w:rsidRDefault="00BC493B" w14:paraId="6D3DC840" w14:textId="77777777">
            <w:pPr>
              <w:spacing w:after="15" w:line="259" w:lineRule="auto"/>
              <w:ind w:left="0" w:right="57" w:firstLine="0"/>
              <w:jc w:val="center"/>
              <w:rPr>
                <w:sz w:val="20"/>
                <w:szCs w:val="20"/>
              </w:rPr>
            </w:pPr>
            <w:r w:rsidRPr="00826AE7">
              <w:rPr>
                <w:b/>
                <w:sz w:val="20"/>
                <w:szCs w:val="20"/>
              </w:rPr>
              <w:t xml:space="preserve">Average </w:t>
            </w:r>
          </w:p>
          <w:p w:rsidRPr="00826AE7" w:rsidR="00BC493B" w:rsidP="001F49C3" w:rsidRDefault="00BC493B" w14:paraId="76381EA1" w14:textId="77777777">
            <w:pPr>
              <w:spacing w:after="15" w:line="259" w:lineRule="auto"/>
              <w:ind w:left="32" w:firstLine="0"/>
              <w:rPr>
                <w:sz w:val="20"/>
                <w:szCs w:val="20"/>
              </w:rPr>
            </w:pPr>
            <w:r w:rsidRPr="00826AE7">
              <w:rPr>
                <w:b/>
                <w:sz w:val="20"/>
                <w:szCs w:val="20"/>
              </w:rPr>
              <w:t xml:space="preserve">Burden per </w:t>
            </w:r>
          </w:p>
          <w:p w:rsidRPr="00826AE7" w:rsidR="00BC493B" w:rsidP="001F49C3" w:rsidRDefault="00BC493B" w14:paraId="61FC0F88" w14:textId="77777777">
            <w:pPr>
              <w:spacing w:after="18" w:line="259" w:lineRule="auto"/>
              <w:ind w:left="0" w:right="55" w:firstLine="0"/>
              <w:jc w:val="center"/>
              <w:rPr>
                <w:sz w:val="20"/>
                <w:szCs w:val="20"/>
              </w:rPr>
            </w:pPr>
            <w:r w:rsidRPr="00826AE7">
              <w:rPr>
                <w:b/>
                <w:sz w:val="20"/>
                <w:szCs w:val="20"/>
              </w:rPr>
              <w:t xml:space="preserve">Response </w:t>
            </w:r>
          </w:p>
          <w:p w:rsidRPr="00826AE7" w:rsidR="00BC493B" w:rsidP="001F49C3" w:rsidRDefault="00BC493B" w14:paraId="1DECB6CA" w14:textId="77777777">
            <w:pPr>
              <w:spacing w:after="0" w:line="259" w:lineRule="auto"/>
              <w:ind w:left="0" w:right="57" w:firstLine="0"/>
              <w:jc w:val="center"/>
              <w:rPr>
                <w:sz w:val="20"/>
                <w:szCs w:val="20"/>
              </w:rPr>
            </w:pPr>
            <w:r w:rsidRPr="00826AE7">
              <w:rPr>
                <w:b/>
                <w:sz w:val="20"/>
                <w:szCs w:val="20"/>
              </w:rPr>
              <w:t xml:space="preserve">(in </w:t>
            </w:r>
            <w:r>
              <w:rPr>
                <w:b/>
                <w:sz w:val="20"/>
                <w:szCs w:val="20"/>
              </w:rPr>
              <w:t>Hours</w:t>
            </w:r>
            <w:r w:rsidRPr="00826AE7">
              <w:rPr>
                <w:b/>
                <w:sz w:val="20"/>
                <w:szCs w:val="20"/>
              </w:rPr>
              <w:t xml:space="preserve">) </w:t>
            </w:r>
          </w:p>
        </w:tc>
        <w:tc>
          <w:tcPr>
            <w:tcW w:w="899" w:type="dxa"/>
            <w:tcBorders>
              <w:top w:val="single" w:color="000000" w:sz="4" w:space="0"/>
              <w:left w:val="single" w:color="000000" w:sz="4" w:space="0"/>
              <w:bottom w:val="single" w:color="000000" w:sz="12" w:space="0"/>
              <w:right w:val="single" w:color="000000" w:sz="4" w:space="0"/>
            </w:tcBorders>
            <w:shd w:val="clear" w:color="auto" w:fill="D9D9D9"/>
            <w:vAlign w:val="center"/>
          </w:tcPr>
          <w:p w:rsidRPr="00826AE7" w:rsidR="00BC493B" w:rsidP="001F49C3" w:rsidRDefault="00BC493B" w14:paraId="1D2D29D1" w14:textId="77777777">
            <w:pPr>
              <w:spacing w:after="15" w:line="259" w:lineRule="auto"/>
              <w:ind w:left="0" w:right="51" w:firstLine="0"/>
              <w:jc w:val="center"/>
              <w:rPr>
                <w:sz w:val="20"/>
                <w:szCs w:val="20"/>
              </w:rPr>
            </w:pPr>
            <w:r w:rsidRPr="00826AE7">
              <w:rPr>
                <w:b/>
                <w:sz w:val="20"/>
                <w:szCs w:val="20"/>
              </w:rPr>
              <w:t xml:space="preserve">Total </w:t>
            </w:r>
          </w:p>
          <w:p w:rsidRPr="00826AE7" w:rsidR="00BC493B" w:rsidP="001F49C3" w:rsidRDefault="00BC493B" w14:paraId="68AA06DF" w14:textId="77777777">
            <w:pPr>
              <w:spacing w:after="15" w:line="259" w:lineRule="auto"/>
              <w:ind w:left="0" w:right="52" w:firstLine="0"/>
              <w:jc w:val="center"/>
              <w:rPr>
                <w:sz w:val="20"/>
                <w:szCs w:val="20"/>
              </w:rPr>
            </w:pPr>
            <w:r w:rsidRPr="00826AE7">
              <w:rPr>
                <w:b/>
                <w:sz w:val="20"/>
                <w:szCs w:val="20"/>
              </w:rPr>
              <w:t xml:space="preserve">Burden </w:t>
            </w:r>
          </w:p>
          <w:p w:rsidRPr="00826AE7" w:rsidR="00BC493B" w:rsidP="001F49C3" w:rsidRDefault="00BC493B" w14:paraId="5DD691F2" w14:textId="77777777">
            <w:pPr>
              <w:spacing w:after="0" w:line="259" w:lineRule="auto"/>
              <w:ind w:left="0" w:right="54" w:firstLine="0"/>
              <w:jc w:val="center"/>
              <w:rPr>
                <w:sz w:val="20"/>
                <w:szCs w:val="20"/>
              </w:rPr>
            </w:pPr>
            <w:r w:rsidRPr="00826AE7">
              <w:rPr>
                <w:b/>
                <w:sz w:val="20"/>
                <w:szCs w:val="20"/>
              </w:rPr>
              <w:t xml:space="preserve">Hours </w:t>
            </w:r>
          </w:p>
        </w:tc>
        <w:tc>
          <w:tcPr>
            <w:tcW w:w="983" w:type="dxa"/>
            <w:tcBorders>
              <w:top w:val="single" w:color="000000" w:sz="4" w:space="0"/>
              <w:left w:val="single" w:color="000000" w:sz="4" w:space="0"/>
              <w:bottom w:val="single" w:color="000000" w:sz="12" w:space="0"/>
              <w:right w:val="single" w:color="000000" w:sz="4" w:space="0"/>
            </w:tcBorders>
            <w:shd w:val="clear" w:color="auto" w:fill="D9D9D9"/>
            <w:vAlign w:val="center"/>
          </w:tcPr>
          <w:p w:rsidRPr="00826AE7" w:rsidR="00BC493B" w:rsidP="001F49C3" w:rsidRDefault="00BC493B" w14:paraId="0BA9D133" w14:textId="77777777">
            <w:pPr>
              <w:spacing w:after="15" w:line="259" w:lineRule="auto"/>
              <w:ind w:left="59" w:firstLine="0"/>
              <w:rPr>
                <w:sz w:val="20"/>
                <w:szCs w:val="20"/>
              </w:rPr>
            </w:pPr>
            <w:r w:rsidRPr="00826AE7">
              <w:rPr>
                <w:b/>
                <w:sz w:val="20"/>
                <w:szCs w:val="20"/>
              </w:rPr>
              <w:t xml:space="preserve">Hourly </w:t>
            </w:r>
          </w:p>
          <w:p w:rsidRPr="00826AE7" w:rsidR="00BC493B" w:rsidP="001F49C3" w:rsidRDefault="00BC493B" w14:paraId="0CCB54AB" w14:textId="77777777">
            <w:pPr>
              <w:spacing w:after="15" w:line="259" w:lineRule="auto"/>
              <w:ind w:left="0" w:right="55" w:firstLine="0"/>
              <w:jc w:val="center"/>
              <w:rPr>
                <w:sz w:val="20"/>
                <w:szCs w:val="20"/>
              </w:rPr>
            </w:pPr>
            <w:r w:rsidRPr="00826AE7">
              <w:rPr>
                <w:b/>
                <w:sz w:val="20"/>
                <w:szCs w:val="20"/>
              </w:rPr>
              <w:t xml:space="preserve">Wage </w:t>
            </w:r>
          </w:p>
          <w:p w:rsidRPr="00826AE7" w:rsidR="00BC493B" w:rsidP="001F49C3" w:rsidRDefault="00BC493B" w14:paraId="6F7BCE01" w14:textId="77777777">
            <w:pPr>
              <w:spacing w:after="0" w:line="259" w:lineRule="auto"/>
              <w:ind w:left="0" w:right="55" w:firstLine="0"/>
              <w:jc w:val="center"/>
              <w:rPr>
                <w:sz w:val="20"/>
                <w:szCs w:val="20"/>
              </w:rPr>
            </w:pPr>
            <w:r w:rsidRPr="00826AE7">
              <w:rPr>
                <w:b/>
                <w:sz w:val="20"/>
                <w:szCs w:val="20"/>
              </w:rPr>
              <w:t xml:space="preserve">Rate </w:t>
            </w:r>
          </w:p>
        </w:tc>
        <w:tc>
          <w:tcPr>
            <w:tcW w:w="1235" w:type="dxa"/>
            <w:tcBorders>
              <w:top w:val="single" w:color="000000" w:sz="4" w:space="0"/>
              <w:left w:val="single" w:color="000000" w:sz="4" w:space="0"/>
              <w:bottom w:val="single" w:color="000000" w:sz="12" w:space="0"/>
              <w:right w:val="single" w:color="000000" w:sz="4" w:space="0"/>
            </w:tcBorders>
            <w:shd w:val="clear" w:color="auto" w:fill="D9D9D9"/>
            <w:vAlign w:val="center"/>
          </w:tcPr>
          <w:p w:rsidRPr="00826AE7" w:rsidR="00BC493B" w:rsidP="001F49C3" w:rsidRDefault="00BC493B" w14:paraId="7B9AEACE" w14:textId="77777777">
            <w:pPr>
              <w:spacing w:after="15" w:line="259" w:lineRule="auto"/>
              <w:ind w:left="0" w:right="51" w:firstLine="0"/>
              <w:jc w:val="center"/>
              <w:rPr>
                <w:sz w:val="20"/>
                <w:szCs w:val="20"/>
              </w:rPr>
            </w:pPr>
            <w:r w:rsidRPr="00826AE7">
              <w:rPr>
                <w:b/>
                <w:sz w:val="20"/>
                <w:szCs w:val="20"/>
              </w:rPr>
              <w:t xml:space="preserve">Total </w:t>
            </w:r>
          </w:p>
          <w:p w:rsidRPr="00826AE7" w:rsidR="00BC493B" w:rsidP="001F49C3" w:rsidRDefault="00BC493B" w14:paraId="012ED727" w14:textId="77777777">
            <w:pPr>
              <w:spacing w:after="15" w:line="259" w:lineRule="auto"/>
              <w:ind w:left="17" w:firstLine="0"/>
              <w:rPr>
                <w:sz w:val="20"/>
                <w:szCs w:val="20"/>
              </w:rPr>
            </w:pPr>
            <w:r w:rsidRPr="00826AE7">
              <w:rPr>
                <w:b/>
                <w:sz w:val="20"/>
                <w:szCs w:val="20"/>
              </w:rPr>
              <w:t xml:space="preserve">Respondent </w:t>
            </w:r>
          </w:p>
          <w:p w:rsidRPr="00826AE7" w:rsidR="00BC493B" w:rsidP="001F49C3" w:rsidRDefault="00BC493B" w14:paraId="7D009F72" w14:textId="77777777">
            <w:pPr>
              <w:spacing w:after="0" w:line="259" w:lineRule="auto"/>
              <w:ind w:left="0" w:right="50" w:firstLine="0"/>
              <w:jc w:val="center"/>
              <w:rPr>
                <w:sz w:val="20"/>
                <w:szCs w:val="20"/>
              </w:rPr>
            </w:pPr>
            <w:r w:rsidRPr="00826AE7">
              <w:rPr>
                <w:b/>
                <w:sz w:val="20"/>
                <w:szCs w:val="20"/>
              </w:rPr>
              <w:t xml:space="preserve">Costs </w:t>
            </w:r>
          </w:p>
        </w:tc>
      </w:tr>
      <w:tr w:rsidRPr="00826AE7" w:rsidR="002C699D" w:rsidTr="002C699D" w14:paraId="31E98B6B" w14:textId="77777777">
        <w:trPr>
          <w:trHeight w:val="569"/>
        </w:trPr>
        <w:tc>
          <w:tcPr>
            <w:tcW w:w="2581" w:type="dxa"/>
            <w:tcBorders>
              <w:top w:val="single" w:color="000000" w:sz="12" w:space="0"/>
              <w:left w:val="single" w:color="000000" w:sz="4" w:space="0"/>
              <w:bottom w:val="single" w:color="000000" w:sz="12" w:space="0"/>
              <w:right w:val="single" w:color="000000" w:sz="4" w:space="0"/>
            </w:tcBorders>
          </w:tcPr>
          <w:p w:rsidR="002C699D" w:rsidP="002C699D" w:rsidRDefault="002C699D" w14:paraId="4F712415" w14:textId="0A0AB34D">
            <w:pPr>
              <w:spacing w:after="0" w:line="259" w:lineRule="auto"/>
              <w:ind w:left="0" w:firstLine="0"/>
              <w:jc w:val="center"/>
              <w:rPr>
                <w:sz w:val="20"/>
                <w:szCs w:val="20"/>
              </w:rPr>
            </w:pPr>
            <w:r>
              <w:rPr>
                <w:sz w:val="20"/>
                <w:szCs w:val="20"/>
              </w:rPr>
              <w:lastRenderedPageBreak/>
              <w:t>Chief executives</w:t>
            </w:r>
          </w:p>
        </w:tc>
        <w:tc>
          <w:tcPr>
            <w:tcW w:w="1279" w:type="dxa"/>
            <w:tcBorders>
              <w:top w:val="single" w:color="000000" w:sz="12" w:space="0"/>
              <w:left w:val="nil"/>
              <w:bottom w:val="single" w:color="000000" w:sz="12" w:space="0"/>
              <w:right w:val="single" w:color="000000" w:sz="8" w:space="0"/>
            </w:tcBorders>
            <w:shd w:val="clear" w:color="auto" w:fill="auto"/>
            <w:vAlign w:val="center"/>
          </w:tcPr>
          <w:p w:rsidR="002C699D" w:rsidP="002C699D" w:rsidRDefault="002C699D" w14:paraId="42820CF3" w14:textId="60516632">
            <w:pPr>
              <w:spacing w:after="0" w:line="259" w:lineRule="auto"/>
              <w:ind w:left="0" w:right="48" w:firstLine="0"/>
              <w:jc w:val="center"/>
              <w:rPr>
                <w:sz w:val="20"/>
                <w:szCs w:val="20"/>
              </w:rPr>
            </w:pPr>
            <w:r>
              <w:rPr>
                <w:sz w:val="20"/>
                <w:szCs w:val="20"/>
              </w:rPr>
              <w:t>5</w:t>
            </w:r>
          </w:p>
        </w:tc>
        <w:tc>
          <w:tcPr>
            <w:tcW w:w="1427" w:type="dxa"/>
            <w:tcBorders>
              <w:top w:val="single" w:color="000000" w:sz="12" w:space="0"/>
              <w:left w:val="nil"/>
              <w:bottom w:val="single" w:color="000000" w:sz="12" w:space="0"/>
              <w:right w:val="single" w:color="000000" w:sz="8" w:space="0"/>
            </w:tcBorders>
            <w:shd w:val="clear" w:color="auto" w:fill="auto"/>
            <w:vAlign w:val="center"/>
          </w:tcPr>
          <w:p w:rsidRPr="00826AE7" w:rsidR="002C699D" w:rsidP="002C699D" w:rsidRDefault="002C699D" w14:paraId="12379F85" w14:textId="7CE5CD77">
            <w:pPr>
              <w:spacing w:after="0" w:line="259" w:lineRule="auto"/>
              <w:ind w:left="0" w:right="50" w:firstLine="0"/>
              <w:jc w:val="center"/>
              <w:rPr>
                <w:sz w:val="20"/>
                <w:szCs w:val="20"/>
              </w:rPr>
            </w:pPr>
            <w:r>
              <w:rPr>
                <w:sz w:val="20"/>
                <w:szCs w:val="20"/>
              </w:rPr>
              <w:t>1</w:t>
            </w:r>
          </w:p>
        </w:tc>
        <w:tc>
          <w:tcPr>
            <w:tcW w:w="1333" w:type="dxa"/>
            <w:tcBorders>
              <w:top w:val="single" w:color="000000" w:sz="12" w:space="0"/>
              <w:left w:val="nil"/>
              <w:bottom w:val="single" w:color="000000" w:sz="12" w:space="0"/>
              <w:right w:val="single" w:color="000000" w:sz="8" w:space="0"/>
            </w:tcBorders>
            <w:shd w:val="clear" w:color="auto" w:fill="auto"/>
            <w:vAlign w:val="center"/>
          </w:tcPr>
          <w:p w:rsidR="002C699D" w:rsidP="002C699D" w:rsidRDefault="002C699D" w14:paraId="7AEF719A" w14:textId="37FD2FDA">
            <w:pPr>
              <w:spacing w:after="0" w:line="259" w:lineRule="auto"/>
              <w:ind w:left="0" w:right="55" w:firstLine="0"/>
              <w:jc w:val="center"/>
              <w:rPr>
                <w:sz w:val="20"/>
                <w:szCs w:val="20"/>
              </w:rPr>
            </w:pPr>
            <w:r>
              <w:rPr>
                <w:sz w:val="20"/>
                <w:szCs w:val="20"/>
              </w:rPr>
              <w:t>1</w:t>
            </w:r>
          </w:p>
        </w:tc>
        <w:tc>
          <w:tcPr>
            <w:tcW w:w="899" w:type="dxa"/>
            <w:tcBorders>
              <w:top w:val="single" w:color="000000" w:sz="12" w:space="0"/>
              <w:left w:val="nil"/>
              <w:bottom w:val="single" w:color="000000" w:sz="12" w:space="0"/>
              <w:right w:val="single" w:color="000000" w:sz="8" w:space="0"/>
            </w:tcBorders>
            <w:shd w:val="clear" w:color="auto" w:fill="auto"/>
            <w:vAlign w:val="center"/>
          </w:tcPr>
          <w:p w:rsidR="002C699D" w:rsidP="002C699D" w:rsidRDefault="002C699D" w14:paraId="4EE61B4D" w14:textId="072472AC">
            <w:pPr>
              <w:spacing w:after="0" w:line="259" w:lineRule="auto"/>
              <w:ind w:left="0" w:right="52" w:firstLine="0"/>
              <w:jc w:val="center"/>
              <w:rPr>
                <w:sz w:val="20"/>
                <w:szCs w:val="20"/>
              </w:rPr>
            </w:pPr>
            <w:r>
              <w:rPr>
                <w:sz w:val="20"/>
                <w:szCs w:val="20"/>
              </w:rPr>
              <w:t>5</w:t>
            </w:r>
          </w:p>
        </w:tc>
        <w:tc>
          <w:tcPr>
            <w:tcW w:w="983" w:type="dxa"/>
            <w:tcBorders>
              <w:top w:val="single" w:color="000000" w:sz="12" w:space="0"/>
              <w:left w:val="nil"/>
              <w:bottom w:val="single" w:color="000000" w:sz="12" w:space="0"/>
              <w:right w:val="single" w:color="000000" w:sz="8" w:space="0"/>
            </w:tcBorders>
            <w:shd w:val="clear" w:color="auto" w:fill="auto"/>
            <w:vAlign w:val="center"/>
          </w:tcPr>
          <w:p w:rsidR="002C699D" w:rsidP="002C699D" w:rsidRDefault="002C699D" w14:paraId="6CB24AA3" w14:textId="3A52C049">
            <w:pPr>
              <w:spacing w:after="0" w:line="259" w:lineRule="auto"/>
              <w:ind w:left="0" w:right="55" w:firstLine="0"/>
              <w:jc w:val="center"/>
              <w:rPr>
                <w:sz w:val="20"/>
                <w:szCs w:val="20"/>
              </w:rPr>
            </w:pPr>
            <w:r>
              <w:rPr>
                <w:sz w:val="20"/>
                <w:szCs w:val="20"/>
              </w:rPr>
              <w:t>$96.22</w:t>
            </w:r>
          </w:p>
        </w:tc>
        <w:tc>
          <w:tcPr>
            <w:tcW w:w="1235" w:type="dxa"/>
            <w:tcBorders>
              <w:top w:val="single" w:color="000000" w:sz="12" w:space="0"/>
              <w:left w:val="nil"/>
              <w:bottom w:val="single" w:color="000000" w:sz="12" w:space="0"/>
              <w:right w:val="single" w:color="000000" w:sz="8" w:space="0"/>
            </w:tcBorders>
            <w:shd w:val="clear" w:color="auto" w:fill="auto"/>
            <w:vAlign w:val="center"/>
          </w:tcPr>
          <w:p w:rsidRPr="002C699D" w:rsidR="002C699D" w:rsidP="002C699D" w:rsidRDefault="002C699D" w14:paraId="0EE63E1D" w14:textId="0E2548CF">
            <w:pPr>
              <w:spacing w:after="0" w:line="259" w:lineRule="auto"/>
              <w:ind w:left="0" w:right="50" w:firstLine="0"/>
              <w:jc w:val="center"/>
              <w:rPr>
                <w:sz w:val="20"/>
                <w:szCs w:val="20"/>
              </w:rPr>
            </w:pPr>
            <w:r w:rsidRPr="002C699D">
              <w:rPr>
                <w:sz w:val="20"/>
                <w:szCs w:val="20"/>
              </w:rPr>
              <w:t>$481.10</w:t>
            </w:r>
          </w:p>
        </w:tc>
      </w:tr>
      <w:tr w:rsidRPr="00826AE7" w:rsidR="002C699D" w:rsidTr="002C699D" w14:paraId="39A43016" w14:textId="77777777">
        <w:trPr>
          <w:trHeight w:val="569"/>
        </w:trPr>
        <w:tc>
          <w:tcPr>
            <w:tcW w:w="2581" w:type="dxa"/>
            <w:tcBorders>
              <w:top w:val="single" w:color="000000" w:sz="12" w:space="0"/>
              <w:left w:val="single" w:color="000000" w:sz="4" w:space="0"/>
              <w:bottom w:val="single" w:color="000000" w:sz="12" w:space="0"/>
              <w:right w:val="single" w:color="000000" w:sz="4" w:space="0"/>
            </w:tcBorders>
          </w:tcPr>
          <w:p w:rsidR="002C699D" w:rsidP="002C699D" w:rsidRDefault="002C699D" w14:paraId="6E642E61" w14:textId="589982FF">
            <w:pPr>
              <w:spacing w:after="0" w:line="259" w:lineRule="auto"/>
              <w:ind w:left="0" w:firstLine="0"/>
              <w:jc w:val="center"/>
              <w:rPr>
                <w:sz w:val="20"/>
                <w:szCs w:val="20"/>
              </w:rPr>
            </w:pPr>
            <w:r>
              <w:rPr>
                <w:sz w:val="20"/>
                <w:szCs w:val="20"/>
              </w:rPr>
              <w:t>General and operations managers</w:t>
            </w:r>
          </w:p>
        </w:tc>
        <w:tc>
          <w:tcPr>
            <w:tcW w:w="1279" w:type="dxa"/>
            <w:tcBorders>
              <w:top w:val="single" w:color="000000" w:sz="12" w:space="0"/>
              <w:left w:val="nil"/>
              <w:bottom w:val="single" w:color="000000" w:sz="12" w:space="0"/>
              <w:right w:val="single" w:color="000000" w:sz="8" w:space="0"/>
            </w:tcBorders>
            <w:shd w:val="clear" w:color="auto" w:fill="auto"/>
            <w:vAlign w:val="center"/>
          </w:tcPr>
          <w:p w:rsidR="002C699D" w:rsidP="002C699D" w:rsidRDefault="002C699D" w14:paraId="14543F5E" w14:textId="0365B260">
            <w:pPr>
              <w:spacing w:after="0" w:line="259" w:lineRule="auto"/>
              <w:ind w:left="0" w:right="48" w:firstLine="0"/>
              <w:jc w:val="center"/>
              <w:rPr>
                <w:sz w:val="20"/>
                <w:szCs w:val="20"/>
              </w:rPr>
            </w:pPr>
            <w:r>
              <w:rPr>
                <w:sz w:val="20"/>
                <w:szCs w:val="20"/>
              </w:rPr>
              <w:t>5</w:t>
            </w:r>
          </w:p>
        </w:tc>
        <w:tc>
          <w:tcPr>
            <w:tcW w:w="1427" w:type="dxa"/>
            <w:tcBorders>
              <w:top w:val="single" w:color="000000" w:sz="12" w:space="0"/>
              <w:left w:val="nil"/>
              <w:bottom w:val="single" w:color="000000" w:sz="12" w:space="0"/>
              <w:right w:val="single" w:color="000000" w:sz="8" w:space="0"/>
            </w:tcBorders>
            <w:shd w:val="clear" w:color="auto" w:fill="auto"/>
            <w:vAlign w:val="center"/>
          </w:tcPr>
          <w:p w:rsidRPr="00826AE7" w:rsidR="002C699D" w:rsidP="002C699D" w:rsidRDefault="002C699D" w14:paraId="7F0FC400" w14:textId="76A08C8C">
            <w:pPr>
              <w:spacing w:after="0" w:line="259" w:lineRule="auto"/>
              <w:ind w:left="0" w:right="50" w:firstLine="0"/>
              <w:jc w:val="center"/>
              <w:rPr>
                <w:sz w:val="20"/>
                <w:szCs w:val="20"/>
              </w:rPr>
            </w:pPr>
            <w:r>
              <w:rPr>
                <w:sz w:val="20"/>
                <w:szCs w:val="20"/>
              </w:rPr>
              <w:t>1</w:t>
            </w:r>
          </w:p>
        </w:tc>
        <w:tc>
          <w:tcPr>
            <w:tcW w:w="1333" w:type="dxa"/>
            <w:tcBorders>
              <w:top w:val="single" w:color="000000" w:sz="12" w:space="0"/>
              <w:left w:val="nil"/>
              <w:bottom w:val="single" w:color="000000" w:sz="12" w:space="0"/>
              <w:right w:val="single" w:color="000000" w:sz="8" w:space="0"/>
            </w:tcBorders>
            <w:shd w:val="clear" w:color="auto" w:fill="auto"/>
            <w:vAlign w:val="center"/>
          </w:tcPr>
          <w:p w:rsidR="002C699D" w:rsidP="002C699D" w:rsidRDefault="002C699D" w14:paraId="1ADF1F73" w14:textId="3F5BC0DF">
            <w:pPr>
              <w:spacing w:after="0" w:line="259" w:lineRule="auto"/>
              <w:ind w:left="0" w:right="55" w:firstLine="0"/>
              <w:jc w:val="center"/>
              <w:rPr>
                <w:sz w:val="20"/>
                <w:szCs w:val="20"/>
              </w:rPr>
            </w:pPr>
            <w:r>
              <w:rPr>
                <w:sz w:val="20"/>
                <w:szCs w:val="20"/>
              </w:rPr>
              <w:t>1</w:t>
            </w:r>
          </w:p>
        </w:tc>
        <w:tc>
          <w:tcPr>
            <w:tcW w:w="899" w:type="dxa"/>
            <w:tcBorders>
              <w:top w:val="single" w:color="000000" w:sz="12" w:space="0"/>
              <w:left w:val="nil"/>
              <w:bottom w:val="single" w:color="000000" w:sz="12" w:space="0"/>
              <w:right w:val="single" w:color="000000" w:sz="8" w:space="0"/>
            </w:tcBorders>
            <w:shd w:val="clear" w:color="auto" w:fill="auto"/>
            <w:vAlign w:val="center"/>
          </w:tcPr>
          <w:p w:rsidR="002C699D" w:rsidP="002C699D" w:rsidRDefault="002C699D" w14:paraId="7CC64488" w14:textId="204EB625">
            <w:pPr>
              <w:spacing w:after="0" w:line="259" w:lineRule="auto"/>
              <w:ind w:left="0" w:right="52" w:firstLine="0"/>
              <w:jc w:val="center"/>
              <w:rPr>
                <w:sz w:val="20"/>
                <w:szCs w:val="20"/>
              </w:rPr>
            </w:pPr>
            <w:r>
              <w:rPr>
                <w:sz w:val="20"/>
                <w:szCs w:val="20"/>
              </w:rPr>
              <w:t>5</w:t>
            </w:r>
          </w:p>
        </w:tc>
        <w:tc>
          <w:tcPr>
            <w:tcW w:w="983" w:type="dxa"/>
            <w:tcBorders>
              <w:top w:val="single" w:color="000000" w:sz="12" w:space="0"/>
              <w:left w:val="nil"/>
              <w:bottom w:val="single" w:color="000000" w:sz="12" w:space="0"/>
              <w:right w:val="single" w:color="000000" w:sz="8" w:space="0"/>
            </w:tcBorders>
            <w:shd w:val="clear" w:color="auto" w:fill="auto"/>
            <w:vAlign w:val="center"/>
          </w:tcPr>
          <w:p w:rsidR="002C699D" w:rsidP="002C699D" w:rsidRDefault="002C699D" w14:paraId="5D4019BA" w14:textId="656C0985">
            <w:pPr>
              <w:spacing w:after="0" w:line="259" w:lineRule="auto"/>
              <w:ind w:left="0" w:right="55" w:firstLine="0"/>
              <w:jc w:val="center"/>
              <w:rPr>
                <w:sz w:val="20"/>
                <w:szCs w:val="20"/>
              </w:rPr>
            </w:pPr>
            <w:r>
              <w:rPr>
                <w:sz w:val="20"/>
                <w:szCs w:val="20"/>
              </w:rPr>
              <w:t>$59.56</w:t>
            </w:r>
          </w:p>
        </w:tc>
        <w:tc>
          <w:tcPr>
            <w:tcW w:w="1235" w:type="dxa"/>
            <w:tcBorders>
              <w:top w:val="single" w:color="000000" w:sz="12" w:space="0"/>
              <w:left w:val="nil"/>
              <w:bottom w:val="single" w:color="000000" w:sz="12" w:space="0"/>
              <w:right w:val="single" w:color="000000" w:sz="8" w:space="0"/>
            </w:tcBorders>
            <w:shd w:val="clear" w:color="auto" w:fill="auto"/>
            <w:vAlign w:val="center"/>
          </w:tcPr>
          <w:p w:rsidRPr="002C699D" w:rsidR="002C699D" w:rsidP="002C699D" w:rsidRDefault="002C699D" w14:paraId="7F27EC61" w14:textId="4766EBFD">
            <w:pPr>
              <w:spacing w:after="0" w:line="259" w:lineRule="auto"/>
              <w:ind w:left="0" w:right="50" w:firstLine="0"/>
              <w:jc w:val="center"/>
              <w:rPr>
                <w:sz w:val="20"/>
                <w:szCs w:val="20"/>
              </w:rPr>
            </w:pPr>
            <w:r w:rsidRPr="002C699D">
              <w:rPr>
                <w:sz w:val="20"/>
                <w:szCs w:val="20"/>
              </w:rPr>
              <w:t>$297.80</w:t>
            </w:r>
          </w:p>
        </w:tc>
      </w:tr>
      <w:tr w:rsidRPr="00826AE7" w:rsidR="002C699D" w:rsidTr="002C699D" w14:paraId="313A03D6" w14:textId="77777777">
        <w:trPr>
          <w:trHeight w:val="569"/>
        </w:trPr>
        <w:tc>
          <w:tcPr>
            <w:tcW w:w="2581" w:type="dxa"/>
            <w:tcBorders>
              <w:top w:val="single" w:color="000000" w:sz="12" w:space="0"/>
              <w:left w:val="single" w:color="000000" w:sz="4" w:space="0"/>
              <w:bottom w:val="single" w:color="000000" w:sz="12" w:space="0"/>
              <w:right w:val="single" w:color="000000" w:sz="4" w:space="0"/>
            </w:tcBorders>
          </w:tcPr>
          <w:p w:rsidRPr="00826AE7" w:rsidR="002C699D" w:rsidP="002C699D" w:rsidRDefault="002C699D" w14:paraId="2A128B76" w14:textId="6317A860">
            <w:pPr>
              <w:spacing w:after="0" w:line="259" w:lineRule="auto"/>
              <w:ind w:left="0" w:firstLine="0"/>
              <w:jc w:val="center"/>
              <w:rPr>
                <w:sz w:val="20"/>
                <w:szCs w:val="20"/>
              </w:rPr>
            </w:pPr>
            <w:r>
              <w:rPr>
                <w:sz w:val="20"/>
                <w:szCs w:val="20"/>
              </w:rPr>
              <w:t>Medical and health service managers</w:t>
            </w:r>
          </w:p>
        </w:tc>
        <w:tc>
          <w:tcPr>
            <w:tcW w:w="1279" w:type="dxa"/>
            <w:tcBorders>
              <w:top w:val="single" w:color="000000" w:sz="12" w:space="0"/>
              <w:left w:val="nil"/>
              <w:bottom w:val="single" w:color="000000" w:sz="12" w:space="0"/>
              <w:right w:val="single" w:color="000000" w:sz="8" w:space="0"/>
            </w:tcBorders>
            <w:shd w:val="clear" w:color="auto" w:fill="auto"/>
            <w:vAlign w:val="center"/>
          </w:tcPr>
          <w:p w:rsidRPr="00826AE7" w:rsidR="002C699D" w:rsidP="002C699D" w:rsidRDefault="002C699D" w14:paraId="247CFD71" w14:textId="37E6144C">
            <w:pPr>
              <w:spacing w:after="0" w:line="259" w:lineRule="auto"/>
              <w:ind w:left="0" w:right="48" w:firstLine="0"/>
              <w:jc w:val="center"/>
              <w:rPr>
                <w:sz w:val="20"/>
                <w:szCs w:val="20"/>
              </w:rPr>
            </w:pPr>
            <w:r>
              <w:rPr>
                <w:sz w:val="20"/>
                <w:szCs w:val="20"/>
              </w:rPr>
              <w:t>10</w:t>
            </w:r>
          </w:p>
        </w:tc>
        <w:tc>
          <w:tcPr>
            <w:tcW w:w="1427" w:type="dxa"/>
            <w:tcBorders>
              <w:top w:val="single" w:color="000000" w:sz="12" w:space="0"/>
              <w:left w:val="nil"/>
              <w:bottom w:val="single" w:color="000000" w:sz="12" w:space="0"/>
              <w:right w:val="single" w:color="000000" w:sz="8" w:space="0"/>
            </w:tcBorders>
            <w:shd w:val="clear" w:color="auto" w:fill="auto"/>
            <w:vAlign w:val="center"/>
          </w:tcPr>
          <w:p w:rsidRPr="00826AE7" w:rsidR="002C699D" w:rsidP="002C699D" w:rsidRDefault="002C699D" w14:paraId="6A13AE24" w14:textId="77777777">
            <w:pPr>
              <w:spacing w:after="0" w:line="259" w:lineRule="auto"/>
              <w:ind w:left="0" w:right="50" w:firstLine="0"/>
              <w:jc w:val="center"/>
              <w:rPr>
                <w:sz w:val="20"/>
                <w:szCs w:val="20"/>
              </w:rPr>
            </w:pPr>
            <w:r w:rsidRPr="00826AE7">
              <w:rPr>
                <w:sz w:val="20"/>
                <w:szCs w:val="20"/>
              </w:rPr>
              <w:t>1</w:t>
            </w:r>
          </w:p>
        </w:tc>
        <w:tc>
          <w:tcPr>
            <w:tcW w:w="1333" w:type="dxa"/>
            <w:tcBorders>
              <w:top w:val="single" w:color="000000" w:sz="12" w:space="0"/>
              <w:left w:val="nil"/>
              <w:bottom w:val="single" w:color="000000" w:sz="12" w:space="0"/>
              <w:right w:val="single" w:color="000000" w:sz="8" w:space="0"/>
            </w:tcBorders>
            <w:shd w:val="clear" w:color="auto" w:fill="auto"/>
            <w:vAlign w:val="center"/>
          </w:tcPr>
          <w:p w:rsidRPr="00826AE7" w:rsidR="002C699D" w:rsidP="002C699D" w:rsidRDefault="002C699D" w14:paraId="100C8FF8" w14:textId="77777777">
            <w:pPr>
              <w:spacing w:after="0" w:line="259" w:lineRule="auto"/>
              <w:ind w:left="0" w:right="55" w:firstLine="0"/>
              <w:jc w:val="center"/>
              <w:rPr>
                <w:sz w:val="20"/>
                <w:szCs w:val="20"/>
              </w:rPr>
            </w:pPr>
            <w:r>
              <w:rPr>
                <w:sz w:val="20"/>
                <w:szCs w:val="20"/>
              </w:rPr>
              <w:t>1</w:t>
            </w:r>
          </w:p>
        </w:tc>
        <w:tc>
          <w:tcPr>
            <w:tcW w:w="899" w:type="dxa"/>
            <w:tcBorders>
              <w:top w:val="single" w:color="000000" w:sz="12" w:space="0"/>
              <w:left w:val="nil"/>
              <w:bottom w:val="single" w:color="000000" w:sz="12" w:space="0"/>
              <w:right w:val="single" w:color="000000" w:sz="8" w:space="0"/>
            </w:tcBorders>
            <w:shd w:val="clear" w:color="auto" w:fill="auto"/>
            <w:vAlign w:val="center"/>
          </w:tcPr>
          <w:p w:rsidRPr="00826AE7" w:rsidR="002C699D" w:rsidP="002C699D" w:rsidRDefault="002C699D" w14:paraId="4CFBDE5B" w14:textId="77777777">
            <w:pPr>
              <w:spacing w:after="0" w:line="259" w:lineRule="auto"/>
              <w:ind w:left="0" w:right="52" w:firstLine="0"/>
              <w:jc w:val="center"/>
              <w:rPr>
                <w:sz w:val="20"/>
                <w:szCs w:val="20"/>
              </w:rPr>
            </w:pPr>
            <w:r>
              <w:rPr>
                <w:sz w:val="20"/>
                <w:szCs w:val="20"/>
              </w:rPr>
              <w:t>10</w:t>
            </w:r>
          </w:p>
        </w:tc>
        <w:tc>
          <w:tcPr>
            <w:tcW w:w="983" w:type="dxa"/>
            <w:tcBorders>
              <w:top w:val="single" w:color="000000" w:sz="12" w:space="0"/>
              <w:left w:val="nil"/>
              <w:bottom w:val="single" w:color="000000" w:sz="12" w:space="0"/>
              <w:right w:val="single" w:color="000000" w:sz="8" w:space="0"/>
            </w:tcBorders>
            <w:shd w:val="clear" w:color="auto" w:fill="auto"/>
            <w:vAlign w:val="center"/>
          </w:tcPr>
          <w:p w:rsidRPr="00826AE7" w:rsidR="002C699D" w:rsidP="002C699D" w:rsidRDefault="002C699D" w14:paraId="758E2AE9" w14:textId="36DD7E47">
            <w:pPr>
              <w:spacing w:after="0" w:line="259" w:lineRule="auto"/>
              <w:ind w:left="0" w:right="55" w:firstLine="0"/>
              <w:jc w:val="center"/>
              <w:rPr>
                <w:sz w:val="20"/>
                <w:szCs w:val="20"/>
              </w:rPr>
            </w:pPr>
            <w:r>
              <w:rPr>
                <w:sz w:val="20"/>
                <w:szCs w:val="20"/>
              </w:rPr>
              <w:t>$54.68</w:t>
            </w:r>
          </w:p>
        </w:tc>
        <w:tc>
          <w:tcPr>
            <w:tcW w:w="1235" w:type="dxa"/>
            <w:tcBorders>
              <w:top w:val="single" w:color="000000" w:sz="12" w:space="0"/>
              <w:left w:val="nil"/>
              <w:bottom w:val="single" w:color="000000" w:sz="12" w:space="0"/>
              <w:right w:val="single" w:color="000000" w:sz="8" w:space="0"/>
            </w:tcBorders>
            <w:shd w:val="clear" w:color="auto" w:fill="auto"/>
            <w:vAlign w:val="center"/>
          </w:tcPr>
          <w:p w:rsidRPr="002C699D" w:rsidR="002C699D" w:rsidP="002C699D" w:rsidRDefault="002C699D" w14:paraId="6A113563" w14:textId="52782AFE">
            <w:pPr>
              <w:spacing w:after="0" w:line="259" w:lineRule="auto"/>
              <w:ind w:left="0" w:right="50" w:firstLine="0"/>
              <w:jc w:val="center"/>
              <w:rPr>
                <w:sz w:val="20"/>
                <w:szCs w:val="20"/>
              </w:rPr>
            </w:pPr>
            <w:r w:rsidRPr="002C699D">
              <w:rPr>
                <w:sz w:val="20"/>
                <w:szCs w:val="20"/>
              </w:rPr>
              <w:t>$546.80</w:t>
            </w:r>
          </w:p>
        </w:tc>
      </w:tr>
      <w:tr w:rsidRPr="00826AE7" w:rsidR="002C699D" w:rsidTr="002C699D" w14:paraId="1FBF56E8" w14:textId="77777777">
        <w:trPr>
          <w:trHeight w:val="838"/>
        </w:trPr>
        <w:tc>
          <w:tcPr>
            <w:tcW w:w="2581" w:type="dxa"/>
            <w:tcBorders>
              <w:top w:val="single" w:color="000000" w:sz="12" w:space="0"/>
              <w:left w:val="single" w:color="000000" w:sz="4" w:space="0"/>
              <w:bottom w:val="single" w:color="000000" w:sz="12" w:space="0"/>
              <w:right w:val="single" w:color="000000" w:sz="4" w:space="0"/>
            </w:tcBorders>
          </w:tcPr>
          <w:p w:rsidR="002C699D" w:rsidP="002C699D" w:rsidRDefault="002C699D" w14:paraId="19B1FFA9" w14:textId="3F1A461A">
            <w:pPr>
              <w:spacing w:after="15" w:line="259" w:lineRule="auto"/>
              <w:ind w:left="67" w:firstLine="0"/>
              <w:jc w:val="center"/>
              <w:rPr>
                <w:sz w:val="20"/>
                <w:szCs w:val="20"/>
              </w:rPr>
            </w:pPr>
            <w:r>
              <w:rPr>
                <w:sz w:val="20"/>
                <w:szCs w:val="20"/>
              </w:rPr>
              <w:t>Family and general practitioners</w:t>
            </w:r>
          </w:p>
        </w:tc>
        <w:tc>
          <w:tcPr>
            <w:tcW w:w="1279" w:type="dxa"/>
            <w:tcBorders>
              <w:top w:val="nil"/>
              <w:left w:val="single" w:color="000000" w:sz="8" w:space="0"/>
              <w:bottom w:val="single" w:color="000000" w:sz="12" w:space="0"/>
              <w:right w:val="single" w:color="000000" w:sz="8" w:space="0"/>
            </w:tcBorders>
            <w:shd w:val="clear" w:color="auto" w:fill="auto"/>
            <w:vAlign w:val="center"/>
          </w:tcPr>
          <w:p w:rsidR="002C699D" w:rsidP="002C699D" w:rsidRDefault="002C699D" w14:paraId="5CA9C4D8" w14:textId="72D475DF">
            <w:pPr>
              <w:spacing w:after="0" w:line="259" w:lineRule="auto"/>
              <w:ind w:left="0" w:right="48" w:firstLine="0"/>
              <w:jc w:val="center"/>
              <w:rPr>
                <w:sz w:val="20"/>
                <w:szCs w:val="20"/>
              </w:rPr>
            </w:pPr>
            <w:r>
              <w:rPr>
                <w:sz w:val="20"/>
                <w:szCs w:val="20"/>
              </w:rPr>
              <w:t>5</w:t>
            </w:r>
          </w:p>
        </w:tc>
        <w:tc>
          <w:tcPr>
            <w:tcW w:w="1427" w:type="dxa"/>
            <w:tcBorders>
              <w:top w:val="nil"/>
              <w:left w:val="single" w:color="000000" w:sz="8" w:space="0"/>
              <w:bottom w:val="single" w:color="000000" w:sz="12" w:space="0"/>
              <w:right w:val="single" w:color="000000" w:sz="8" w:space="0"/>
            </w:tcBorders>
            <w:shd w:val="clear" w:color="auto" w:fill="auto"/>
            <w:vAlign w:val="center"/>
          </w:tcPr>
          <w:p w:rsidRPr="00826AE7" w:rsidR="002C699D" w:rsidP="002C699D" w:rsidRDefault="002C699D" w14:paraId="77F17320" w14:textId="77777777">
            <w:pPr>
              <w:spacing w:after="0" w:line="259" w:lineRule="auto"/>
              <w:ind w:left="0" w:right="50" w:firstLine="0"/>
              <w:jc w:val="center"/>
              <w:rPr>
                <w:sz w:val="20"/>
                <w:szCs w:val="20"/>
              </w:rPr>
            </w:pPr>
            <w:r>
              <w:rPr>
                <w:sz w:val="20"/>
                <w:szCs w:val="20"/>
              </w:rPr>
              <w:t>1</w:t>
            </w:r>
          </w:p>
        </w:tc>
        <w:tc>
          <w:tcPr>
            <w:tcW w:w="1333" w:type="dxa"/>
            <w:tcBorders>
              <w:top w:val="nil"/>
              <w:left w:val="single" w:color="000000" w:sz="8" w:space="0"/>
              <w:bottom w:val="single" w:color="000000" w:sz="12" w:space="0"/>
              <w:right w:val="single" w:color="000000" w:sz="8" w:space="0"/>
            </w:tcBorders>
            <w:shd w:val="clear" w:color="auto" w:fill="auto"/>
            <w:vAlign w:val="center"/>
          </w:tcPr>
          <w:p w:rsidR="002C699D" w:rsidP="002C699D" w:rsidRDefault="002C699D" w14:paraId="04DA789B" w14:textId="76D91E2D">
            <w:pPr>
              <w:spacing w:after="0" w:line="259" w:lineRule="auto"/>
              <w:ind w:left="0" w:right="55" w:firstLine="0"/>
              <w:jc w:val="center"/>
              <w:rPr>
                <w:sz w:val="20"/>
                <w:szCs w:val="20"/>
              </w:rPr>
            </w:pPr>
            <w:r>
              <w:rPr>
                <w:sz w:val="20"/>
                <w:szCs w:val="20"/>
              </w:rPr>
              <w:t>1</w:t>
            </w:r>
          </w:p>
        </w:tc>
        <w:tc>
          <w:tcPr>
            <w:tcW w:w="899" w:type="dxa"/>
            <w:tcBorders>
              <w:top w:val="nil"/>
              <w:left w:val="single" w:color="000000" w:sz="8" w:space="0"/>
              <w:bottom w:val="single" w:color="000000" w:sz="12" w:space="0"/>
              <w:right w:val="single" w:color="000000" w:sz="8" w:space="0"/>
            </w:tcBorders>
            <w:shd w:val="clear" w:color="auto" w:fill="auto"/>
            <w:vAlign w:val="center"/>
          </w:tcPr>
          <w:p w:rsidR="002C699D" w:rsidP="002C699D" w:rsidRDefault="002C699D" w14:paraId="4C518E07" w14:textId="1DAD1E8A">
            <w:pPr>
              <w:spacing w:after="0" w:line="259" w:lineRule="auto"/>
              <w:ind w:left="0" w:right="52" w:firstLine="0"/>
              <w:jc w:val="center"/>
              <w:rPr>
                <w:sz w:val="20"/>
                <w:szCs w:val="20"/>
              </w:rPr>
            </w:pPr>
            <w:r>
              <w:rPr>
                <w:sz w:val="20"/>
                <w:szCs w:val="20"/>
              </w:rPr>
              <w:t>5</w:t>
            </w:r>
          </w:p>
        </w:tc>
        <w:tc>
          <w:tcPr>
            <w:tcW w:w="983" w:type="dxa"/>
            <w:tcBorders>
              <w:top w:val="nil"/>
              <w:left w:val="single" w:color="000000" w:sz="8" w:space="0"/>
              <w:bottom w:val="single" w:color="000000" w:sz="12" w:space="0"/>
              <w:right w:val="single" w:color="000000" w:sz="8" w:space="0"/>
            </w:tcBorders>
            <w:shd w:val="clear" w:color="auto" w:fill="auto"/>
            <w:vAlign w:val="center"/>
          </w:tcPr>
          <w:p w:rsidRPr="00826AE7" w:rsidR="002C699D" w:rsidP="002C699D" w:rsidRDefault="002C699D" w14:paraId="6FC27377" w14:textId="2F469D30">
            <w:pPr>
              <w:spacing w:after="0" w:line="259" w:lineRule="auto"/>
              <w:ind w:left="0" w:right="55" w:firstLine="0"/>
              <w:jc w:val="center"/>
              <w:rPr>
                <w:sz w:val="20"/>
                <w:szCs w:val="20"/>
              </w:rPr>
            </w:pPr>
            <w:r>
              <w:rPr>
                <w:sz w:val="20"/>
                <w:szCs w:val="20"/>
              </w:rPr>
              <w:t>101.82</w:t>
            </w:r>
          </w:p>
        </w:tc>
        <w:tc>
          <w:tcPr>
            <w:tcW w:w="1235" w:type="dxa"/>
            <w:tcBorders>
              <w:top w:val="nil"/>
              <w:left w:val="single" w:color="000000" w:sz="8" w:space="0"/>
              <w:bottom w:val="single" w:color="000000" w:sz="12" w:space="0"/>
              <w:right w:val="single" w:color="000000" w:sz="8" w:space="0"/>
            </w:tcBorders>
            <w:shd w:val="clear" w:color="auto" w:fill="auto"/>
            <w:vAlign w:val="center"/>
          </w:tcPr>
          <w:p w:rsidRPr="002C699D" w:rsidR="002C699D" w:rsidP="002C699D" w:rsidRDefault="002C699D" w14:paraId="11D47CAB" w14:textId="67162332">
            <w:pPr>
              <w:spacing w:after="0" w:line="259" w:lineRule="auto"/>
              <w:ind w:left="0" w:right="52" w:firstLine="0"/>
              <w:jc w:val="center"/>
              <w:rPr>
                <w:sz w:val="20"/>
                <w:szCs w:val="20"/>
              </w:rPr>
            </w:pPr>
            <w:r w:rsidRPr="002C699D">
              <w:rPr>
                <w:sz w:val="20"/>
                <w:szCs w:val="20"/>
              </w:rPr>
              <w:t>$509.10</w:t>
            </w:r>
          </w:p>
        </w:tc>
      </w:tr>
      <w:tr w:rsidRPr="00826AE7" w:rsidR="002C699D" w:rsidTr="002C699D" w14:paraId="1A742B4E" w14:textId="77777777">
        <w:trPr>
          <w:trHeight w:val="571"/>
        </w:trPr>
        <w:tc>
          <w:tcPr>
            <w:tcW w:w="2581" w:type="dxa"/>
            <w:tcBorders>
              <w:top w:val="single" w:color="000000" w:sz="12" w:space="0"/>
              <w:left w:val="single" w:color="000000" w:sz="4" w:space="0"/>
              <w:bottom w:val="single" w:color="000000" w:sz="12" w:space="0"/>
              <w:right w:val="single" w:color="000000" w:sz="4" w:space="0"/>
            </w:tcBorders>
          </w:tcPr>
          <w:p w:rsidRPr="00826AE7" w:rsidR="002C699D" w:rsidP="002C699D" w:rsidRDefault="002C699D" w14:paraId="0A75D142" w14:textId="0F83E4CD">
            <w:pPr>
              <w:spacing w:after="0" w:line="259" w:lineRule="auto"/>
              <w:ind w:left="0" w:firstLine="0"/>
              <w:jc w:val="center"/>
              <w:rPr>
                <w:sz w:val="20"/>
                <w:szCs w:val="20"/>
              </w:rPr>
            </w:pPr>
            <w:r>
              <w:rPr>
                <w:sz w:val="20"/>
                <w:szCs w:val="20"/>
              </w:rPr>
              <w:t xml:space="preserve">Medical records and health information technicians </w:t>
            </w:r>
            <w:r w:rsidRPr="00826AE7">
              <w:rPr>
                <w:sz w:val="20"/>
                <w:szCs w:val="20"/>
              </w:rPr>
              <w:t xml:space="preserve"> </w:t>
            </w:r>
          </w:p>
        </w:tc>
        <w:tc>
          <w:tcPr>
            <w:tcW w:w="1279" w:type="dxa"/>
            <w:tcBorders>
              <w:top w:val="nil"/>
              <w:left w:val="nil"/>
              <w:bottom w:val="single" w:color="000000" w:sz="12" w:space="0"/>
              <w:right w:val="single" w:color="000000" w:sz="8" w:space="0"/>
            </w:tcBorders>
            <w:shd w:val="clear" w:color="auto" w:fill="auto"/>
            <w:vAlign w:val="center"/>
          </w:tcPr>
          <w:p w:rsidRPr="00826AE7" w:rsidR="002C699D" w:rsidP="002C699D" w:rsidRDefault="002C699D" w14:paraId="64E995AF" w14:textId="5AC69EF5">
            <w:pPr>
              <w:spacing w:after="0" w:line="259" w:lineRule="auto"/>
              <w:ind w:left="0" w:right="48" w:firstLine="0"/>
              <w:jc w:val="center"/>
              <w:rPr>
                <w:sz w:val="20"/>
                <w:szCs w:val="20"/>
              </w:rPr>
            </w:pPr>
            <w:r>
              <w:rPr>
                <w:sz w:val="20"/>
                <w:szCs w:val="20"/>
              </w:rPr>
              <w:t>5</w:t>
            </w:r>
          </w:p>
        </w:tc>
        <w:tc>
          <w:tcPr>
            <w:tcW w:w="1427" w:type="dxa"/>
            <w:tcBorders>
              <w:top w:val="nil"/>
              <w:left w:val="nil"/>
              <w:bottom w:val="single" w:color="000000" w:sz="12" w:space="0"/>
              <w:right w:val="single" w:color="000000" w:sz="8" w:space="0"/>
            </w:tcBorders>
            <w:shd w:val="clear" w:color="auto" w:fill="auto"/>
            <w:vAlign w:val="center"/>
          </w:tcPr>
          <w:p w:rsidRPr="00826AE7" w:rsidR="002C699D" w:rsidP="002C699D" w:rsidRDefault="002C699D" w14:paraId="70204A11" w14:textId="77777777">
            <w:pPr>
              <w:spacing w:after="0" w:line="259" w:lineRule="auto"/>
              <w:ind w:left="0" w:right="50" w:firstLine="0"/>
              <w:jc w:val="center"/>
              <w:rPr>
                <w:sz w:val="20"/>
                <w:szCs w:val="20"/>
              </w:rPr>
            </w:pPr>
            <w:r w:rsidRPr="00826AE7">
              <w:rPr>
                <w:sz w:val="20"/>
                <w:szCs w:val="20"/>
              </w:rPr>
              <w:t>1</w:t>
            </w:r>
          </w:p>
        </w:tc>
        <w:tc>
          <w:tcPr>
            <w:tcW w:w="1333" w:type="dxa"/>
            <w:tcBorders>
              <w:top w:val="nil"/>
              <w:left w:val="nil"/>
              <w:bottom w:val="single" w:color="000000" w:sz="12" w:space="0"/>
              <w:right w:val="single" w:color="000000" w:sz="8" w:space="0"/>
            </w:tcBorders>
            <w:shd w:val="clear" w:color="auto" w:fill="auto"/>
            <w:vAlign w:val="center"/>
          </w:tcPr>
          <w:p w:rsidRPr="00826AE7" w:rsidR="002C699D" w:rsidP="002C699D" w:rsidRDefault="002C699D" w14:paraId="21C652CF" w14:textId="77777777">
            <w:pPr>
              <w:spacing w:after="0" w:line="259" w:lineRule="auto"/>
              <w:ind w:left="0" w:right="55" w:firstLine="0"/>
              <w:jc w:val="center"/>
              <w:rPr>
                <w:sz w:val="20"/>
                <w:szCs w:val="20"/>
              </w:rPr>
            </w:pPr>
            <w:r>
              <w:rPr>
                <w:sz w:val="20"/>
                <w:szCs w:val="20"/>
              </w:rPr>
              <w:t>1</w:t>
            </w:r>
          </w:p>
        </w:tc>
        <w:tc>
          <w:tcPr>
            <w:tcW w:w="899" w:type="dxa"/>
            <w:tcBorders>
              <w:top w:val="nil"/>
              <w:left w:val="nil"/>
              <w:bottom w:val="single" w:color="000000" w:sz="12" w:space="0"/>
              <w:right w:val="single" w:color="000000" w:sz="8" w:space="0"/>
            </w:tcBorders>
            <w:shd w:val="clear" w:color="auto" w:fill="auto"/>
            <w:vAlign w:val="center"/>
          </w:tcPr>
          <w:p w:rsidRPr="00826AE7" w:rsidR="002C699D" w:rsidP="002C699D" w:rsidRDefault="002C699D" w14:paraId="50638094" w14:textId="1E5EC627">
            <w:pPr>
              <w:spacing w:after="0" w:line="259" w:lineRule="auto"/>
              <w:ind w:left="0" w:right="52" w:firstLine="0"/>
              <w:jc w:val="center"/>
              <w:rPr>
                <w:sz w:val="20"/>
                <w:szCs w:val="20"/>
              </w:rPr>
            </w:pPr>
            <w:r>
              <w:rPr>
                <w:sz w:val="20"/>
                <w:szCs w:val="20"/>
              </w:rPr>
              <w:t>5</w:t>
            </w:r>
          </w:p>
        </w:tc>
        <w:tc>
          <w:tcPr>
            <w:tcW w:w="983" w:type="dxa"/>
            <w:tcBorders>
              <w:top w:val="nil"/>
              <w:left w:val="nil"/>
              <w:bottom w:val="single" w:color="000000" w:sz="12" w:space="0"/>
              <w:right w:val="single" w:color="000000" w:sz="8" w:space="0"/>
            </w:tcBorders>
            <w:shd w:val="clear" w:color="auto" w:fill="auto"/>
            <w:vAlign w:val="center"/>
          </w:tcPr>
          <w:p w:rsidRPr="00826AE7" w:rsidR="002C699D" w:rsidP="002C699D" w:rsidRDefault="002C699D" w14:paraId="14487C25" w14:textId="2954BE90">
            <w:pPr>
              <w:spacing w:after="0" w:line="259" w:lineRule="auto"/>
              <w:ind w:left="0" w:right="55" w:firstLine="0"/>
              <w:jc w:val="center"/>
              <w:rPr>
                <w:sz w:val="20"/>
                <w:szCs w:val="20"/>
              </w:rPr>
            </w:pPr>
            <w:r>
              <w:rPr>
                <w:sz w:val="20"/>
                <w:szCs w:val="20"/>
              </w:rPr>
              <w:t>21.16</w:t>
            </w:r>
          </w:p>
        </w:tc>
        <w:tc>
          <w:tcPr>
            <w:tcW w:w="1235" w:type="dxa"/>
            <w:tcBorders>
              <w:top w:val="nil"/>
              <w:left w:val="nil"/>
              <w:bottom w:val="single" w:color="000000" w:sz="12" w:space="0"/>
              <w:right w:val="single" w:color="000000" w:sz="8" w:space="0"/>
            </w:tcBorders>
            <w:shd w:val="clear" w:color="auto" w:fill="auto"/>
            <w:vAlign w:val="center"/>
          </w:tcPr>
          <w:p w:rsidRPr="002C699D" w:rsidR="002C699D" w:rsidP="002C699D" w:rsidRDefault="002C699D" w14:paraId="3BCF4AC5" w14:textId="57511598">
            <w:pPr>
              <w:spacing w:after="0" w:line="259" w:lineRule="auto"/>
              <w:ind w:left="0" w:right="50" w:firstLine="0"/>
              <w:jc w:val="center"/>
              <w:rPr>
                <w:sz w:val="20"/>
                <w:szCs w:val="20"/>
              </w:rPr>
            </w:pPr>
            <w:r w:rsidRPr="002C699D">
              <w:rPr>
                <w:sz w:val="20"/>
                <w:szCs w:val="20"/>
              </w:rPr>
              <w:t>$105.80</w:t>
            </w:r>
          </w:p>
        </w:tc>
      </w:tr>
      <w:tr w:rsidRPr="00826AE7" w:rsidR="002C699D" w:rsidTr="002C699D" w14:paraId="6985C82C" w14:textId="77777777">
        <w:trPr>
          <w:trHeight w:val="569"/>
        </w:trPr>
        <w:tc>
          <w:tcPr>
            <w:tcW w:w="2581" w:type="dxa"/>
            <w:tcBorders>
              <w:top w:val="single" w:color="000000" w:sz="12" w:space="0"/>
              <w:left w:val="single" w:color="000000" w:sz="4" w:space="0"/>
              <w:bottom w:val="single" w:color="000000" w:sz="12" w:space="0"/>
              <w:right w:val="single" w:color="000000" w:sz="4" w:space="0"/>
            </w:tcBorders>
          </w:tcPr>
          <w:p w:rsidRPr="00826AE7" w:rsidR="002C699D" w:rsidP="002C699D" w:rsidRDefault="002C699D" w14:paraId="75AE0A9A" w14:textId="1F2B9BE6">
            <w:pPr>
              <w:spacing w:after="0" w:line="259" w:lineRule="auto"/>
              <w:ind w:left="0" w:right="57" w:firstLine="0"/>
              <w:jc w:val="center"/>
              <w:rPr>
                <w:sz w:val="20"/>
                <w:szCs w:val="20"/>
              </w:rPr>
            </w:pPr>
            <w:r w:rsidRPr="00BC493B">
              <w:rPr>
                <w:sz w:val="20"/>
                <w:szCs w:val="20"/>
              </w:rPr>
              <w:t>Database and Systems Administrators and Network Architects</w:t>
            </w:r>
          </w:p>
        </w:tc>
        <w:tc>
          <w:tcPr>
            <w:tcW w:w="1279" w:type="dxa"/>
            <w:tcBorders>
              <w:top w:val="nil"/>
              <w:left w:val="single" w:color="000000" w:sz="8" w:space="0"/>
              <w:bottom w:val="single" w:color="000000" w:sz="12" w:space="0"/>
              <w:right w:val="single" w:color="000000" w:sz="8" w:space="0"/>
            </w:tcBorders>
            <w:shd w:val="clear" w:color="auto" w:fill="auto"/>
            <w:vAlign w:val="center"/>
          </w:tcPr>
          <w:p w:rsidRPr="00826AE7" w:rsidR="002C699D" w:rsidP="002C699D" w:rsidRDefault="002C699D" w14:paraId="30D9A9C9" w14:textId="4BCAEB35">
            <w:pPr>
              <w:spacing w:after="0" w:line="259" w:lineRule="auto"/>
              <w:ind w:left="0" w:right="48" w:firstLine="0"/>
              <w:jc w:val="center"/>
              <w:rPr>
                <w:sz w:val="20"/>
                <w:szCs w:val="20"/>
              </w:rPr>
            </w:pPr>
            <w:r>
              <w:rPr>
                <w:sz w:val="20"/>
                <w:szCs w:val="20"/>
              </w:rPr>
              <w:t>5</w:t>
            </w:r>
          </w:p>
        </w:tc>
        <w:tc>
          <w:tcPr>
            <w:tcW w:w="1427" w:type="dxa"/>
            <w:tcBorders>
              <w:top w:val="nil"/>
              <w:left w:val="single" w:color="000000" w:sz="8" w:space="0"/>
              <w:bottom w:val="single" w:color="000000" w:sz="12" w:space="0"/>
              <w:right w:val="single" w:color="000000" w:sz="8" w:space="0"/>
            </w:tcBorders>
            <w:shd w:val="clear" w:color="auto" w:fill="auto"/>
            <w:vAlign w:val="center"/>
          </w:tcPr>
          <w:p w:rsidRPr="00826AE7" w:rsidR="002C699D" w:rsidP="002C699D" w:rsidRDefault="002C699D" w14:paraId="295356F8" w14:textId="77777777">
            <w:pPr>
              <w:spacing w:after="0" w:line="259" w:lineRule="auto"/>
              <w:ind w:left="0" w:right="50" w:firstLine="0"/>
              <w:jc w:val="center"/>
              <w:rPr>
                <w:sz w:val="20"/>
                <w:szCs w:val="20"/>
              </w:rPr>
            </w:pPr>
            <w:r w:rsidRPr="00826AE7">
              <w:rPr>
                <w:sz w:val="20"/>
                <w:szCs w:val="20"/>
              </w:rPr>
              <w:t>1</w:t>
            </w:r>
          </w:p>
        </w:tc>
        <w:tc>
          <w:tcPr>
            <w:tcW w:w="1333" w:type="dxa"/>
            <w:tcBorders>
              <w:top w:val="nil"/>
              <w:left w:val="single" w:color="000000" w:sz="8" w:space="0"/>
              <w:bottom w:val="single" w:color="000000" w:sz="12" w:space="0"/>
              <w:right w:val="single" w:color="000000" w:sz="8" w:space="0"/>
            </w:tcBorders>
            <w:shd w:val="clear" w:color="auto" w:fill="auto"/>
            <w:vAlign w:val="center"/>
          </w:tcPr>
          <w:p w:rsidRPr="00826AE7" w:rsidR="002C699D" w:rsidP="002C699D" w:rsidRDefault="002C699D" w14:paraId="7D3C1E7D" w14:textId="77777777">
            <w:pPr>
              <w:spacing w:after="0" w:line="259" w:lineRule="auto"/>
              <w:ind w:left="0" w:right="55" w:firstLine="0"/>
              <w:jc w:val="center"/>
              <w:rPr>
                <w:sz w:val="20"/>
                <w:szCs w:val="20"/>
              </w:rPr>
            </w:pPr>
            <w:r>
              <w:rPr>
                <w:sz w:val="20"/>
                <w:szCs w:val="20"/>
              </w:rPr>
              <w:t>1</w:t>
            </w:r>
          </w:p>
        </w:tc>
        <w:tc>
          <w:tcPr>
            <w:tcW w:w="899" w:type="dxa"/>
            <w:tcBorders>
              <w:top w:val="nil"/>
              <w:left w:val="single" w:color="000000" w:sz="8" w:space="0"/>
              <w:bottom w:val="single" w:color="000000" w:sz="12" w:space="0"/>
              <w:right w:val="single" w:color="000000" w:sz="8" w:space="0"/>
            </w:tcBorders>
            <w:shd w:val="clear" w:color="auto" w:fill="auto"/>
            <w:vAlign w:val="center"/>
          </w:tcPr>
          <w:p w:rsidRPr="00826AE7" w:rsidR="002C699D" w:rsidP="002C699D" w:rsidRDefault="002C699D" w14:paraId="066A9CAC" w14:textId="392A6737">
            <w:pPr>
              <w:spacing w:after="0" w:line="259" w:lineRule="auto"/>
              <w:ind w:left="0" w:right="52" w:firstLine="0"/>
              <w:jc w:val="center"/>
              <w:rPr>
                <w:sz w:val="20"/>
                <w:szCs w:val="20"/>
              </w:rPr>
            </w:pPr>
            <w:r>
              <w:rPr>
                <w:sz w:val="20"/>
                <w:szCs w:val="20"/>
              </w:rPr>
              <w:t>5</w:t>
            </w:r>
          </w:p>
        </w:tc>
        <w:tc>
          <w:tcPr>
            <w:tcW w:w="983" w:type="dxa"/>
            <w:tcBorders>
              <w:top w:val="nil"/>
              <w:left w:val="single" w:color="000000" w:sz="8" w:space="0"/>
              <w:bottom w:val="single" w:color="000000" w:sz="12" w:space="0"/>
              <w:right w:val="single" w:color="000000" w:sz="8" w:space="0"/>
            </w:tcBorders>
            <w:shd w:val="clear" w:color="auto" w:fill="auto"/>
            <w:vAlign w:val="center"/>
          </w:tcPr>
          <w:p w:rsidRPr="00826AE7" w:rsidR="002C699D" w:rsidP="002C699D" w:rsidRDefault="002C699D" w14:paraId="43091E51" w14:textId="3AD9E669">
            <w:pPr>
              <w:spacing w:after="0" w:line="259" w:lineRule="auto"/>
              <w:ind w:left="0" w:right="55" w:firstLine="0"/>
              <w:jc w:val="center"/>
              <w:rPr>
                <w:sz w:val="20"/>
                <w:szCs w:val="20"/>
              </w:rPr>
            </w:pPr>
            <w:r>
              <w:rPr>
                <w:sz w:val="20"/>
                <w:szCs w:val="20"/>
              </w:rPr>
              <w:t>45.09</w:t>
            </w:r>
          </w:p>
        </w:tc>
        <w:tc>
          <w:tcPr>
            <w:tcW w:w="1235" w:type="dxa"/>
            <w:tcBorders>
              <w:top w:val="nil"/>
              <w:left w:val="single" w:color="000000" w:sz="8" w:space="0"/>
              <w:bottom w:val="single" w:color="000000" w:sz="12" w:space="0"/>
              <w:right w:val="single" w:color="000000" w:sz="8" w:space="0"/>
            </w:tcBorders>
            <w:shd w:val="clear" w:color="auto" w:fill="auto"/>
            <w:vAlign w:val="center"/>
          </w:tcPr>
          <w:p w:rsidRPr="002C699D" w:rsidR="002C699D" w:rsidP="002C699D" w:rsidRDefault="002C699D" w14:paraId="4FDCED3B" w14:textId="5CB65FA7">
            <w:pPr>
              <w:spacing w:after="0" w:line="259" w:lineRule="auto"/>
              <w:ind w:left="0" w:right="52" w:firstLine="0"/>
              <w:jc w:val="center"/>
              <w:rPr>
                <w:sz w:val="20"/>
                <w:szCs w:val="20"/>
              </w:rPr>
            </w:pPr>
            <w:r w:rsidRPr="002C699D">
              <w:rPr>
                <w:sz w:val="20"/>
                <w:szCs w:val="20"/>
              </w:rPr>
              <w:t>$225.45</w:t>
            </w:r>
          </w:p>
        </w:tc>
      </w:tr>
      <w:tr w:rsidRPr="0047527D" w:rsidR="002C699D" w:rsidTr="001F49C3" w14:paraId="3076B9DC" w14:textId="77777777">
        <w:trPr>
          <w:trHeight w:val="430"/>
        </w:trPr>
        <w:tc>
          <w:tcPr>
            <w:tcW w:w="2581" w:type="dxa"/>
            <w:tcBorders>
              <w:top w:val="single" w:color="000000" w:sz="4" w:space="0"/>
              <w:left w:val="single" w:color="000000" w:sz="4" w:space="0"/>
              <w:bottom w:val="single" w:color="000000" w:sz="4" w:space="0"/>
              <w:right w:val="single" w:color="000000" w:sz="4" w:space="0"/>
            </w:tcBorders>
            <w:vAlign w:val="center"/>
          </w:tcPr>
          <w:p w:rsidRPr="00826AE7" w:rsidR="002C699D" w:rsidP="002C699D" w:rsidRDefault="002C699D" w14:paraId="46C0D188" w14:textId="77777777">
            <w:pPr>
              <w:spacing w:after="0" w:line="259" w:lineRule="auto"/>
              <w:ind w:left="0" w:right="45" w:firstLine="0"/>
              <w:jc w:val="right"/>
              <w:rPr>
                <w:sz w:val="20"/>
                <w:szCs w:val="20"/>
              </w:rPr>
            </w:pPr>
            <w:r w:rsidRPr="00826AE7">
              <w:rPr>
                <w:b/>
                <w:sz w:val="20"/>
                <w:szCs w:val="20"/>
              </w:rPr>
              <w:t xml:space="preserve">TOTALS </w:t>
            </w:r>
          </w:p>
        </w:tc>
        <w:tc>
          <w:tcPr>
            <w:tcW w:w="1279" w:type="dxa"/>
            <w:tcBorders>
              <w:top w:val="single" w:color="000000" w:sz="4" w:space="0"/>
              <w:left w:val="single" w:color="000000" w:sz="4" w:space="0"/>
              <w:bottom w:val="single" w:color="000000" w:sz="4" w:space="0"/>
              <w:right w:val="single" w:color="000000" w:sz="4" w:space="0"/>
            </w:tcBorders>
          </w:tcPr>
          <w:p w:rsidRPr="00826AE7" w:rsidR="002C699D" w:rsidP="002C699D" w:rsidRDefault="002C699D" w14:paraId="6E3331AF" w14:textId="77777777">
            <w:pPr>
              <w:spacing w:after="0" w:line="259" w:lineRule="auto"/>
              <w:ind w:left="0" w:right="49" w:firstLine="0"/>
              <w:jc w:val="center"/>
              <w:rPr>
                <w:sz w:val="20"/>
                <w:szCs w:val="20"/>
              </w:rPr>
            </w:pPr>
            <w:r>
              <w:rPr>
                <w:sz w:val="20"/>
                <w:szCs w:val="20"/>
              </w:rPr>
              <w:t>35</w:t>
            </w:r>
          </w:p>
        </w:tc>
        <w:tc>
          <w:tcPr>
            <w:tcW w:w="1427" w:type="dxa"/>
            <w:tcBorders>
              <w:top w:val="single" w:color="000000" w:sz="4" w:space="0"/>
              <w:left w:val="single" w:color="000000" w:sz="4" w:space="0"/>
              <w:bottom w:val="single" w:color="000000" w:sz="4" w:space="0"/>
              <w:right w:val="single" w:color="000000" w:sz="4" w:space="0"/>
            </w:tcBorders>
          </w:tcPr>
          <w:p w:rsidRPr="00826AE7" w:rsidR="002C699D" w:rsidP="002C699D" w:rsidRDefault="002C699D" w14:paraId="3D05FA44" w14:textId="76C89834">
            <w:pPr>
              <w:spacing w:after="0" w:line="259" w:lineRule="auto"/>
              <w:ind w:left="0" w:right="50" w:firstLine="0"/>
              <w:jc w:val="center"/>
              <w:rPr>
                <w:sz w:val="20"/>
                <w:szCs w:val="20"/>
              </w:rPr>
            </w:pPr>
            <w:r>
              <w:rPr>
                <w:sz w:val="20"/>
                <w:szCs w:val="20"/>
              </w:rPr>
              <w:t>35</w:t>
            </w:r>
          </w:p>
        </w:tc>
        <w:tc>
          <w:tcPr>
            <w:tcW w:w="1333" w:type="dxa"/>
            <w:tcBorders>
              <w:top w:val="single" w:color="000000" w:sz="4" w:space="0"/>
              <w:left w:val="single" w:color="000000" w:sz="4" w:space="0"/>
              <w:bottom w:val="single" w:color="000000" w:sz="4" w:space="0"/>
              <w:right w:val="single" w:color="000000" w:sz="4" w:space="0"/>
            </w:tcBorders>
            <w:shd w:val="clear" w:color="auto" w:fill="D9D9D9"/>
          </w:tcPr>
          <w:p w:rsidRPr="00826AE7" w:rsidR="002C699D" w:rsidP="002C699D" w:rsidRDefault="002C699D" w14:paraId="295EC790" w14:textId="77777777">
            <w:pPr>
              <w:spacing w:after="0" w:line="259" w:lineRule="auto"/>
              <w:ind w:left="0" w:right="8" w:firstLine="0"/>
              <w:rPr>
                <w:sz w:val="20"/>
                <w:szCs w:val="20"/>
              </w:rPr>
            </w:pPr>
          </w:p>
        </w:tc>
        <w:tc>
          <w:tcPr>
            <w:tcW w:w="899" w:type="dxa"/>
            <w:tcBorders>
              <w:top w:val="single" w:color="000000" w:sz="4" w:space="0"/>
              <w:left w:val="single" w:color="000000" w:sz="4" w:space="0"/>
              <w:bottom w:val="single" w:color="000000" w:sz="4" w:space="0"/>
              <w:right w:val="single" w:color="000000" w:sz="4" w:space="0"/>
            </w:tcBorders>
          </w:tcPr>
          <w:p w:rsidRPr="00826AE7" w:rsidR="002C699D" w:rsidP="002C699D" w:rsidRDefault="002C699D" w14:paraId="341AB661" w14:textId="7347F008">
            <w:pPr>
              <w:spacing w:after="0" w:line="259" w:lineRule="auto"/>
              <w:ind w:left="0" w:right="52" w:firstLine="0"/>
              <w:jc w:val="center"/>
              <w:rPr>
                <w:sz w:val="20"/>
                <w:szCs w:val="20"/>
              </w:rPr>
            </w:pPr>
            <w:r>
              <w:rPr>
                <w:sz w:val="20"/>
                <w:szCs w:val="20"/>
              </w:rPr>
              <w:t>35</w:t>
            </w:r>
          </w:p>
        </w:tc>
        <w:tc>
          <w:tcPr>
            <w:tcW w:w="983" w:type="dxa"/>
            <w:tcBorders>
              <w:top w:val="single" w:color="000000" w:sz="4" w:space="0"/>
              <w:left w:val="single" w:color="000000" w:sz="4" w:space="0"/>
              <w:bottom w:val="single" w:color="000000" w:sz="4" w:space="0"/>
              <w:right w:val="single" w:color="000000" w:sz="4" w:space="0"/>
            </w:tcBorders>
            <w:shd w:val="clear" w:color="auto" w:fill="D9D9D9"/>
          </w:tcPr>
          <w:p w:rsidRPr="00826AE7" w:rsidR="002C699D" w:rsidP="002C699D" w:rsidRDefault="002C699D" w14:paraId="7FD3839F" w14:textId="77777777">
            <w:pPr>
              <w:spacing w:after="0" w:line="259" w:lineRule="auto"/>
              <w:ind w:left="0" w:right="9" w:firstLine="0"/>
              <w:jc w:val="center"/>
              <w:rPr>
                <w:sz w:val="20"/>
                <w:szCs w:val="20"/>
              </w:rPr>
            </w:pPr>
          </w:p>
        </w:tc>
        <w:tc>
          <w:tcPr>
            <w:tcW w:w="1235" w:type="dxa"/>
            <w:tcBorders>
              <w:top w:val="single" w:color="000000" w:sz="4" w:space="0"/>
              <w:left w:val="single" w:color="000000" w:sz="4" w:space="0"/>
              <w:bottom w:val="single" w:color="000000" w:sz="4" w:space="0"/>
              <w:right w:val="single" w:color="000000" w:sz="4" w:space="0"/>
            </w:tcBorders>
          </w:tcPr>
          <w:p w:rsidRPr="002C699D" w:rsidR="002C699D" w:rsidP="002C699D" w:rsidRDefault="002C699D" w14:paraId="706D698A" w14:textId="5B807809">
            <w:pPr>
              <w:spacing w:after="0" w:line="259" w:lineRule="auto"/>
              <w:ind w:left="0" w:right="50" w:firstLine="0"/>
              <w:jc w:val="center"/>
              <w:rPr>
                <w:sz w:val="20"/>
                <w:szCs w:val="20"/>
              </w:rPr>
            </w:pPr>
            <w:r w:rsidRPr="002C699D">
              <w:rPr>
                <w:sz w:val="20"/>
                <w:szCs w:val="20"/>
              </w:rPr>
              <w:t>$2,166.05</w:t>
            </w:r>
          </w:p>
        </w:tc>
      </w:tr>
    </w:tbl>
    <w:p w:rsidRPr="00BC493B" w:rsidR="00BC493B" w:rsidRDefault="00BC493B" w14:paraId="38D2829E" w14:textId="0B404DFF">
      <w:pPr>
        <w:spacing w:after="0" w:line="259" w:lineRule="auto"/>
        <w:ind w:left="0" w:firstLine="0"/>
      </w:pPr>
    </w:p>
    <w:p w:rsidR="00BC493B" w:rsidRDefault="00BC493B" w14:paraId="3CFCF120" w14:textId="77777777">
      <w:pPr>
        <w:spacing w:after="0" w:line="259" w:lineRule="auto"/>
        <w:ind w:left="0" w:firstLine="0"/>
      </w:pPr>
    </w:p>
    <w:p w:rsidR="00FF12A6" w:rsidRDefault="00FF12A6" w14:paraId="1BE7F395" w14:textId="059CB2F8">
      <w:pPr>
        <w:spacing w:after="0" w:line="259" w:lineRule="auto"/>
        <w:ind w:left="0" w:firstLine="0"/>
      </w:pPr>
    </w:p>
    <w:p w:rsidR="00252979" w:rsidRDefault="00252979" w14:paraId="03F84FB6" w14:textId="77777777">
      <w:pPr>
        <w:spacing w:after="91" w:line="259" w:lineRule="auto"/>
        <w:ind w:left="0" w:firstLine="0"/>
        <w:rPr>
          <w:b/>
          <w:u w:val="single" w:color="000000"/>
        </w:rPr>
      </w:pPr>
    </w:p>
    <w:p w:rsidR="00FF12A6" w:rsidRDefault="00280988" w14:paraId="2C7850A1" w14:textId="07E554F1">
      <w:pPr>
        <w:spacing w:after="91" w:line="259" w:lineRule="auto"/>
        <w:ind w:left="0" w:firstLine="0"/>
      </w:pPr>
      <w:r>
        <w:rPr>
          <w:b/>
          <w:u w:val="single" w:color="000000"/>
        </w:rPr>
        <w:t>OTHER SUPPORTING INFORMATION</w:t>
      </w:r>
      <w:r>
        <w:rPr>
          <w:b/>
        </w:rPr>
        <w:t xml:space="preserve">  </w:t>
      </w:r>
    </w:p>
    <w:p w:rsidR="00FF12A6" w:rsidRDefault="00280988" w14:paraId="1EB9FE7E" w14:textId="77777777">
      <w:pPr>
        <w:spacing w:after="0" w:line="259" w:lineRule="auto"/>
        <w:ind w:left="0" w:firstLine="0"/>
      </w:pPr>
      <w:r>
        <w:t xml:space="preserve"> </w:t>
      </w:r>
    </w:p>
    <w:p w:rsidR="00FF12A6" w:rsidRDefault="00280988" w14:paraId="6064DE9F" w14:textId="76DAB89E">
      <w:pPr>
        <w:spacing w:after="0" w:line="259" w:lineRule="auto"/>
        <w:ind w:left="-5" w:hanging="10"/>
      </w:pPr>
      <w:r>
        <w:rPr>
          <w:b/>
        </w:rPr>
        <w:t xml:space="preserve">REQUESTED APPROVAL DATE:   </w:t>
      </w:r>
      <w:r w:rsidR="008340E5">
        <w:t>June 30, 2020</w:t>
      </w:r>
    </w:p>
    <w:p w:rsidR="00CA559D" w:rsidRDefault="00CA559D" w14:paraId="0ED37A74" w14:textId="77777777">
      <w:pPr>
        <w:spacing w:after="0" w:line="259" w:lineRule="auto"/>
        <w:ind w:left="-5" w:hanging="10"/>
        <w:rPr>
          <w:b/>
        </w:rPr>
      </w:pPr>
    </w:p>
    <w:p w:rsidR="00FF12A6" w:rsidRDefault="00280988" w14:paraId="18BD521B" w14:textId="75045410">
      <w:pPr>
        <w:spacing w:after="0" w:line="259" w:lineRule="auto"/>
        <w:ind w:left="-5" w:hanging="10"/>
      </w:pPr>
      <w:r>
        <w:rPr>
          <w:b/>
        </w:rPr>
        <w:t xml:space="preserve">NAME OF CONTACT PERSON: </w:t>
      </w:r>
      <w:r>
        <w:t xml:space="preserve"> </w:t>
      </w:r>
      <w:r w:rsidR="00270A4C">
        <w:t>Amanda Cash</w:t>
      </w:r>
    </w:p>
    <w:p w:rsidR="00FF12A6" w:rsidRDefault="00280988" w14:paraId="32038F34" w14:textId="77777777">
      <w:pPr>
        <w:spacing w:after="0" w:line="259" w:lineRule="auto"/>
        <w:ind w:left="0" w:firstLine="0"/>
      </w:pPr>
      <w:r>
        <w:t xml:space="preserve"> </w:t>
      </w:r>
    </w:p>
    <w:p w:rsidR="00FF12A6" w:rsidRDefault="00280988" w14:paraId="4D999CF9" w14:textId="0639A19B">
      <w:pPr>
        <w:spacing w:after="0" w:line="259" w:lineRule="auto"/>
        <w:ind w:left="-5" w:hanging="10"/>
      </w:pPr>
      <w:r>
        <w:rPr>
          <w:b/>
        </w:rPr>
        <w:t xml:space="preserve">TELEPHONE NUMBER: </w:t>
      </w:r>
      <w:r w:rsidRPr="00212A20" w:rsidR="00212A20">
        <w:t>202-730-3114</w:t>
      </w:r>
    </w:p>
    <w:p w:rsidR="00FF12A6" w:rsidRDefault="00280988" w14:paraId="1927E98E" w14:textId="77777777">
      <w:pPr>
        <w:spacing w:after="0" w:line="259" w:lineRule="auto"/>
        <w:ind w:left="0" w:firstLine="0"/>
      </w:pPr>
      <w:r>
        <w:t xml:space="preserve"> </w:t>
      </w:r>
    </w:p>
    <w:p w:rsidR="00FF12A6" w:rsidRDefault="00280988" w14:paraId="2B37B20C" w14:textId="77777777">
      <w:pPr>
        <w:ind w:left="-15" w:firstLine="0"/>
      </w:pPr>
      <w:r>
        <w:rPr>
          <w:b/>
        </w:rPr>
        <w:t xml:space="preserve">DEPARTMENT/OFFICE/BUREAU: </w:t>
      </w:r>
    </w:p>
    <w:p w:rsidR="00FF12A6" w:rsidRDefault="00280988" w14:paraId="12B63873" w14:textId="77777777">
      <w:pPr>
        <w:ind w:left="-15" w:firstLine="0"/>
      </w:pPr>
      <w:r>
        <w:t xml:space="preserve">Office of the Assistant Secretary for Planning and Evaluation </w:t>
      </w:r>
    </w:p>
    <w:p w:rsidR="00FF12A6" w:rsidRDefault="00280988" w14:paraId="73A04F31" w14:textId="77777777">
      <w:pPr>
        <w:ind w:left="-15" w:firstLine="0"/>
      </w:pPr>
      <w:r>
        <w:t xml:space="preserve">U.S. Department of Health and Human Services </w:t>
      </w:r>
    </w:p>
    <w:sectPr w:rsidR="00FF12A6">
      <w:footerReference w:type="even" r:id="rId7"/>
      <w:footerReference w:type="default" r:id="rId8"/>
      <w:footerReference w:type="first" r:id="rId9"/>
      <w:footnotePr>
        <w:numRestart w:val="eachPage"/>
      </w:footnotePr>
      <w:pgSz w:w="12240" w:h="15840"/>
      <w:pgMar w:top="725" w:right="1442" w:bottom="1437" w:left="1440" w:header="720" w:footer="72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D91511" w14:textId="77777777" w:rsidR="00DA4049" w:rsidRDefault="00DA4049">
      <w:pPr>
        <w:spacing w:after="0" w:line="240" w:lineRule="auto"/>
      </w:pPr>
      <w:r>
        <w:separator/>
      </w:r>
    </w:p>
  </w:endnote>
  <w:endnote w:type="continuationSeparator" w:id="0">
    <w:p w14:paraId="1F3A44ED" w14:textId="77777777" w:rsidR="00DA4049" w:rsidRDefault="00DA40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15E4A4" w14:textId="77777777" w:rsidR="00FF12A6" w:rsidRDefault="00280988">
    <w:pPr>
      <w:spacing w:after="0" w:line="259" w:lineRule="auto"/>
      <w:ind w:left="2" w:firstLine="0"/>
      <w:jc w:val="center"/>
    </w:pPr>
    <w:r>
      <w:fldChar w:fldCharType="begin"/>
    </w:r>
    <w:r>
      <w:instrText xml:space="preserve"> PAGE   \* MERGEFORMAT </w:instrText>
    </w:r>
    <w:r>
      <w:fldChar w:fldCharType="separate"/>
    </w:r>
    <w:r>
      <w:rPr>
        <w:sz w:val="20"/>
      </w:rPr>
      <w:t>1</w:t>
    </w:r>
    <w:r>
      <w:rPr>
        <w:sz w:val="20"/>
      </w:rPr>
      <w:fldChar w:fldCharType="end"/>
    </w:r>
    <w:r>
      <w:rPr>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2328B0" w14:textId="4B2BFDF6" w:rsidR="00FF12A6" w:rsidRDefault="00280988">
    <w:pPr>
      <w:spacing w:after="0" w:line="259" w:lineRule="auto"/>
      <w:ind w:left="2" w:firstLine="0"/>
      <w:jc w:val="center"/>
    </w:pPr>
    <w:r>
      <w:fldChar w:fldCharType="begin"/>
    </w:r>
    <w:r>
      <w:instrText xml:space="preserve"> PAGE   \* MERGEFORMAT </w:instrText>
    </w:r>
    <w:r>
      <w:fldChar w:fldCharType="separate"/>
    </w:r>
    <w:r w:rsidR="000D6E58" w:rsidRPr="000D6E58">
      <w:rPr>
        <w:noProof/>
        <w:sz w:val="20"/>
      </w:rPr>
      <w:t>3</w:t>
    </w:r>
    <w:r>
      <w:rPr>
        <w:sz w:val="20"/>
      </w:rPr>
      <w:fldChar w:fldCharType="end"/>
    </w:r>
    <w:r>
      <w:rPr>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F4361A" w14:textId="77777777" w:rsidR="00FF12A6" w:rsidRDefault="00280988">
    <w:pPr>
      <w:spacing w:after="0" w:line="259" w:lineRule="auto"/>
      <w:ind w:left="2" w:firstLine="0"/>
      <w:jc w:val="center"/>
    </w:pPr>
    <w:r>
      <w:fldChar w:fldCharType="begin"/>
    </w:r>
    <w:r>
      <w:instrText xml:space="preserve"> PAGE   \* MERGEFORMAT </w:instrText>
    </w:r>
    <w:r>
      <w:fldChar w:fldCharType="separate"/>
    </w:r>
    <w:r>
      <w:rPr>
        <w:sz w:val="20"/>
      </w:rPr>
      <w:t>1</w:t>
    </w:r>
    <w:r>
      <w:rPr>
        <w:sz w:val="20"/>
      </w:rPr>
      <w:fldChar w:fldCharType="end"/>
    </w:r>
    <w:r>
      <w:rPr>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E8C56A" w14:textId="77777777" w:rsidR="00DA4049" w:rsidRDefault="00DA4049">
      <w:pPr>
        <w:spacing w:after="0" w:line="293" w:lineRule="auto"/>
        <w:ind w:left="0" w:firstLine="0"/>
      </w:pPr>
      <w:r>
        <w:separator/>
      </w:r>
    </w:p>
  </w:footnote>
  <w:footnote w:type="continuationSeparator" w:id="0">
    <w:p w14:paraId="39AAB02D" w14:textId="77777777" w:rsidR="00DA4049" w:rsidRDefault="00DA4049">
      <w:pPr>
        <w:spacing w:after="0" w:line="293" w:lineRule="auto"/>
        <w:ind w:left="0" w:firstLin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D6354A"/>
    <w:multiLevelType w:val="hybridMultilevel"/>
    <w:tmpl w:val="2946CD7E"/>
    <w:lvl w:ilvl="0" w:tplc="068C6436">
      <w:start w:val="1"/>
      <w:numFmt w:val="decimal"/>
      <w:lvlText w:val="%1."/>
      <w:lvlJc w:val="left"/>
      <w:pPr>
        <w:ind w:left="3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5B2F68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A023D4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3A4014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D76A4A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CA4C69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DAC510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9A050F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B3A820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5EA37016"/>
    <w:multiLevelType w:val="hybridMultilevel"/>
    <w:tmpl w:val="A5C873CA"/>
    <w:lvl w:ilvl="0" w:tplc="E3561D0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12A6"/>
    <w:rsid w:val="00032135"/>
    <w:rsid w:val="00033946"/>
    <w:rsid w:val="00054760"/>
    <w:rsid w:val="00071B63"/>
    <w:rsid w:val="00097D5B"/>
    <w:rsid w:val="000D6E58"/>
    <w:rsid w:val="0016203F"/>
    <w:rsid w:val="001744E4"/>
    <w:rsid w:val="001877F3"/>
    <w:rsid w:val="001905BE"/>
    <w:rsid w:val="001F4A47"/>
    <w:rsid w:val="00212A20"/>
    <w:rsid w:val="00252979"/>
    <w:rsid w:val="00270A4C"/>
    <w:rsid w:val="0027209A"/>
    <w:rsid w:val="00280988"/>
    <w:rsid w:val="002C699D"/>
    <w:rsid w:val="002F7E0D"/>
    <w:rsid w:val="00301EE0"/>
    <w:rsid w:val="00343F40"/>
    <w:rsid w:val="00344D01"/>
    <w:rsid w:val="0039492D"/>
    <w:rsid w:val="003B4B55"/>
    <w:rsid w:val="003D46AF"/>
    <w:rsid w:val="003F00AA"/>
    <w:rsid w:val="00411335"/>
    <w:rsid w:val="0047239D"/>
    <w:rsid w:val="00472AD6"/>
    <w:rsid w:val="0047527D"/>
    <w:rsid w:val="0049156D"/>
    <w:rsid w:val="00497997"/>
    <w:rsid w:val="004B0B35"/>
    <w:rsid w:val="004F795F"/>
    <w:rsid w:val="00550C08"/>
    <w:rsid w:val="00590B97"/>
    <w:rsid w:val="005C281B"/>
    <w:rsid w:val="005D3A8F"/>
    <w:rsid w:val="005F1117"/>
    <w:rsid w:val="005F709C"/>
    <w:rsid w:val="00626950"/>
    <w:rsid w:val="00627DE9"/>
    <w:rsid w:val="0063174D"/>
    <w:rsid w:val="0063528E"/>
    <w:rsid w:val="006B2D12"/>
    <w:rsid w:val="006B3D23"/>
    <w:rsid w:val="006F4202"/>
    <w:rsid w:val="006F7522"/>
    <w:rsid w:val="00704083"/>
    <w:rsid w:val="00717B8F"/>
    <w:rsid w:val="0073739C"/>
    <w:rsid w:val="007666F3"/>
    <w:rsid w:val="00786248"/>
    <w:rsid w:val="007A1F5C"/>
    <w:rsid w:val="007A282D"/>
    <w:rsid w:val="007A73F2"/>
    <w:rsid w:val="007F710D"/>
    <w:rsid w:val="00810D8C"/>
    <w:rsid w:val="00826AE7"/>
    <w:rsid w:val="008340E5"/>
    <w:rsid w:val="0085408B"/>
    <w:rsid w:val="00856C8F"/>
    <w:rsid w:val="00891B57"/>
    <w:rsid w:val="008D68EB"/>
    <w:rsid w:val="00901324"/>
    <w:rsid w:val="00907885"/>
    <w:rsid w:val="0092012B"/>
    <w:rsid w:val="00974653"/>
    <w:rsid w:val="0099763D"/>
    <w:rsid w:val="009A2560"/>
    <w:rsid w:val="009C6298"/>
    <w:rsid w:val="00A026EC"/>
    <w:rsid w:val="00A36A01"/>
    <w:rsid w:val="00A36E73"/>
    <w:rsid w:val="00A6517B"/>
    <w:rsid w:val="00A8754B"/>
    <w:rsid w:val="00A90D0B"/>
    <w:rsid w:val="00AA2E86"/>
    <w:rsid w:val="00AB3BC8"/>
    <w:rsid w:val="00B2651C"/>
    <w:rsid w:val="00B51218"/>
    <w:rsid w:val="00B51746"/>
    <w:rsid w:val="00B517F0"/>
    <w:rsid w:val="00BA438A"/>
    <w:rsid w:val="00BC493B"/>
    <w:rsid w:val="00BD3F48"/>
    <w:rsid w:val="00C22F6F"/>
    <w:rsid w:val="00C276D9"/>
    <w:rsid w:val="00C3362F"/>
    <w:rsid w:val="00C33A56"/>
    <w:rsid w:val="00C33CCD"/>
    <w:rsid w:val="00C73F1A"/>
    <w:rsid w:val="00CA559D"/>
    <w:rsid w:val="00CB332E"/>
    <w:rsid w:val="00CF5C8A"/>
    <w:rsid w:val="00D6258A"/>
    <w:rsid w:val="00D87110"/>
    <w:rsid w:val="00D917F2"/>
    <w:rsid w:val="00D94E66"/>
    <w:rsid w:val="00DA4049"/>
    <w:rsid w:val="00DB36B7"/>
    <w:rsid w:val="00DF2FB4"/>
    <w:rsid w:val="00E60DEA"/>
    <w:rsid w:val="00E64ABE"/>
    <w:rsid w:val="00E830F0"/>
    <w:rsid w:val="00E90614"/>
    <w:rsid w:val="00F11660"/>
    <w:rsid w:val="00F519A8"/>
    <w:rsid w:val="00F850F1"/>
    <w:rsid w:val="00FC3EE4"/>
    <w:rsid w:val="00FC75C5"/>
    <w:rsid w:val="00FE2A71"/>
    <w:rsid w:val="00FE6C65"/>
    <w:rsid w:val="00FF12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610BF4"/>
  <w15:docId w15:val="{DC145071-EA6A-40C7-A4B5-F6A112F08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3" w:line="249" w:lineRule="auto"/>
      <w:ind w:left="370" w:hanging="370"/>
    </w:pPr>
    <w:rPr>
      <w:rFonts w:ascii="Times New Roman" w:eastAsia="Times New Roman" w:hAnsi="Times New Roman" w:cs="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otnotedescription">
    <w:name w:val="footnote description"/>
    <w:next w:val="Normal"/>
    <w:link w:val="footnotedescriptionChar"/>
    <w:hidden/>
    <w:pPr>
      <w:spacing w:after="0" w:line="293" w:lineRule="auto"/>
    </w:pPr>
    <w:rPr>
      <w:rFonts w:ascii="Calibri" w:eastAsia="Calibri" w:hAnsi="Calibri" w:cs="Calibri"/>
      <w:color w:val="000000"/>
      <w:sz w:val="20"/>
    </w:rPr>
  </w:style>
  <w:style w:type="character" w:customStyle="1" w:styleId="footnotedescriptionChar">
    <w:name w:val="footnote description Char"/>
    <w:link w:val="footnotedescription"/>
    <w:rPr>
      <w:rFonts w:ascii="Calibri" w:eastAsia="Calibri" w:hAnsi="Calibri" w:cs="Calibri"/>
      <w:color w:val="000000"/>
      <w:sz w:val="20"/>
    </w:rPr>
  </w:style>
  <w:style w:type="character" w:customStyle="1" w:styleId="footnotemark">
    <w:name w:val="footnote mark"/>
    <w:hidden/>
    <w:rPr>
      <w:rFonts w:ascii="Times New Roman" w:eastAsia="Times New Roman" w:hAnsi="Times New Roman" w:cs="Times New Roman"/>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A6517B"/>
    <w:pPr>
      <w:ind w:left="720"/>
      <w:contextualSpacing/>
    </w:pPr>
  </w:style>
  <w:style w:type="character" w:styleId="CommentReference">
    <w:name w:val="annotation reference"/>
    <w:basedOn w:val="DefaultParagraphFont"/>
    <w:uiPriority w:val="99"/>
    <w:semiHidden/>
    <w:unhideWhenUsed/>
    <w:rsid w:val="00280988"/>
    <w:rPr>
      <w:sz w:val="16"/>
      <w:szCs w:val="16"/>
    </w:rPr>
  </w:style>
  <w:style w:type="paragraph" w:styleId="CommentText">
    <w:name w:val="annotation text"/>
    <w:basedOn w:val="Normal"/>
    <w:link w:val="CommentTextChar"/>
    <w:uiPriority w:val="99"/>
    <w:semiHidden/>
    <w:unhideWhenUsed/>
    <w:rsid w:val="00280988"/>
    <w:pPr>
      <w:spacing w:line="240" w:lineRule="auto"/>
    </w:pPr>
    <w:rPr>
      <w:sz w:val="20"/>
      <w:szCs w:val="20"/>
    </w:rPr>
  </w:style>
  <w:style w:type="character" w:customStyle="1" w:styleId="CommentTextChar">
    <w:name w:val="Comment Text Char"/>
    <w:basedOn w:val="DefaultParagraphFont"/>
    <w:link w:val="CommentText"/>
    <w:uiPriority w:val="99"/>
    <w:semiHidden/>
    <w:rsid w:val="00280988"/>
    <w:rPr>
      <w:rFonts w:ascii="Times New Roman" w:eastAsia="Times New Roman" w:hAnsi="Times New Roman"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280988"/>
    <w:rPr>
      <w:b/>
      <w:bCs/>
    </w:rPr>
  </w:style>
  <w:style w:type="character" w:customStyle="1" w:styleId="CommentSubjectChar">
    <w:name w:val="Comment Subject Char"/>
    <w:basedOn w:val="CommentTextChar"/>
    <w:link w:val="CommentSubject"/>
    <w:uiPriority w:val="99"/>
    <w:semiHidden/>
    <w:rsid w:val="00280988"/>
    <w:rPr>
      <w:rFonts w:ascii="Times New Roman" w:eastAsia="Times New Roman" w:hAnsi="Times New Roman" w:cs="Times New Roman"/>
      <w:b/>
      <w:bCs/>
      <w:color w:val="000000"/>
      <w:sz w:val="20"/>
      <w:szCs w:val="20"/>
    </w:rPr>
  </w:style>
  <w:style w:type="paragraph" w:styleId="BalloonText">
    <w:name w:val="Balloon Text"/>
    <w:basedOn w:val="Normal"/>
    <w:link w:val="BalloonTextChar"/>
    <w:uiPriority w:val="99"/>
    <w:semiHidden/>
    <w:unhideWhenUsed/>
    <w:rsid w:val="0028098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0988"/>
    <w:rPr>
      <w:rFonts w:ascii="Segoe UI" w:eastAsia="Times New Roman" w:hAnsi="Segoe UI" w:cs="Segoe UI"/>
      <w:color w:val="000000"/>
      <w:sz w:val="18"/>
      <w:szCs w:val="18"/>
    </w:rPr>
  </w:style>
  <w:style w:type="character" w:customStyle="1" w:styleId="highlight">
    <w:name w:val="highlight"/>
    <w:basedOn w:val="DefaultParagraphFont"/>
    <w:rsid w:val="00B517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8427503">
      <w:bodyDiv w:val="1"/>
      <w:marLeft w:val="0"/>
      <w:marRight w:val="0"/>
      <w:marTop w:val="0"/>
      <w:marBottom w:val="0"/>
      <w:divBdr>
        <w:top w:val="none" w:sz="0" w:space="0" w:color="auto"/>
        <w:left w:val="none" w:sz="0" w:space="0" w:color="auto"/>
        <w:bottom w:val="none" w:sz="0" w:space="0" w:color="auto"/>
        <w:right w:val="none" w:sz="0" w:space="0" w:color="auto"/>
      </w:divBdr>
      <w:divsChild>
        <w:div w:id="395473119">
          <w:marLeft w:val="0"/>
          <w:marRight w:val="0"/>
          <w:marTop w:val="0"/>
          <w:marBottom w:val="0"/>
          <w:divBdr>
            <w:top w:val="none" w:sz="0" w:space="0" w:color="auto"/>
            <w:left w:val="none" w:sz="0" w:space="0" w:color="auto"/>
            <w:bottom w:val="none" w:sz="0" w:space="0" w:color="auto"/>
            <w:right w:val="none" w:sz="0" w:space="0" w:color="auto"/>
          </w:divBdr>
          <w:divsChild>
            <w:div w:id="1622691432">
              <w:marLeft w:val="0"/>
              <w:marRight w:val="0"/>
              <w:marTop w:val="0"/>
              <w:marBottom w:val="0"/>
              <w:divBdr>
                <w:top w:val="none" w:sz="0" w:space="0" w:color="auto"/>
                <w:left w:val="none" w:sz="0" w:space="0" w:color="auto"/>
                <w:bottom w:val="none" w:sz="0" w:space="0" w:color="auto"/>
                <w:right w:val="none" w:sz="0" w:space="0" w:color="auto"/>
              </w:divBdr>
              <w:divsChild>
                <w:div w:id="1908609882">
                  <w:marLeft w:val="0"/>
                  <w:marRight w:val="0"/>
                  <w:marTop w:val="0"/>
                  <w:marBottom w:val="0"/>
                  <w:divBdr>
                    <w:top w:val="none" w:sz="0" w:space="0" w:color="auto"/>
                    <w:left w:val="none" w:sz="0" w:space="0" w:color="auto"/>
                    <w:bottom w:val="none" w:sz="0" w:space="0" w:color="auto"/>
                    <w:right w:val="none" w:sz="0" w:space="0" w:color="auto"/>
                  </w:divBdr>
                  <w:divsChild>
                    <w:div w:id="250430702">
                      <w:marLeft w:val="0"/>
                      <w:marRight w:val="0"/>
                      <w:marTop w:val="0"/>
                      <w:marBottom w:val="0"/>
                      <w:divBdr>
                        <w:top w:val="none" w:sz="0" w:space="0" w:color="auto"/>
                        <w:left w:val="none" w:sz="0" w:space="0" w:color="auto"/>
                        <w:bottom w:val="none" w:sz="0" w:space="0" w:color="auto"/>
                        <w:right w:val="none" w:sz="0" w:space="0" w:color="auto"/>
                      </w:divBdr>
                      <w:divsChild>
                        <w:div w:id="2105759217">
                          <w:marLeft w:val="13380"/>
                          <w:marRight w:val="0"/>
                          <w:marTop w:val="0"/>
                          <w:marBottom w:val="0"/>
                          <w:divBdr>
                            <w:top w:val="none" w:sz="0" w:space="0" w:color="auto"/>
                            <w:left w:val="none" w:sz="0" w:space="0" w:color="auto"/>
                            <w:bottom w:val="none" w:sz="0" w:space="0" w:color="auto"/>
                            <w:right w:val="none" w:sz="0" w:space="0" w:color="auto"/>
                          </w:divBdr>
                          <w:divsChild>
                            <w:div w:id="962230721">
                              <w:marLeft w:val="0"/>
                              <w:marRight w:val="0"/>
                              <w:marTop w:val="0"/>
                              <w:marBottom w:val="405"/>
                              <w:divBdr>
                                <w:top w:val="none" w:sz="0" w:space="0" w:color="auto"/>
                                <w:left w:val="none" w:sz="0" w:space="0" w:color="auto"/>
                                <w:bottom w:val="none" w:sz="0" w:space="0" w:color="auto"/>
                                <w:right w:val="none" w:sz="0" w:space="0" w:color="auto"/>
                              </w:divBdr>
                              <w:divsChild>
                                <w:div w:id="815875041">
                                  <w:marLeft w:val="0"/>
                                  <w:marRight w:val="0"/>
                                  <w:marTop w:val="0"/>
                                  <w:marBottom w:val="0"/>
                                  <w:divBdr>
                                    <w:top w:val="none" w:sz="0" w:space="0" w:color="auto"/>
                                    <w:left w:val="none" w:sz="0" w:space="0" w:color="auto"/>
                                    <w:bottom w:val="none" w:sz="0" w:space="0" w:color="auto"/>
                                    <w:right w:val="none" w:sz="0" w:space="0" w:color="auto"/>
                                  </w:divBdr>
                                  <w:divsChild>
                                    <w:div w:id="14814620">
                                      <w:marLeft w:val="0"/>
                                      <w:marRight w:val="0"/>
                                      <w:marTop w:val="0"/>
                                      <w:marBottom w:val="0"/>
                                      <w:divBdr>
                                        <w:top w:val="none" w:sz="0" w:space="0" w:color="auto"/>
                                        <w:left w:val="none" w:sz="0" w:space="0" w:color="auto"/>
                                        <w:bottom w:val="none" w:sz="0" w:space="0" w:color="auto"/>
                                        <w:right w:val="none" w:sz="0" w:space="0" w:color="auto"/>
                                      </w:divBdr>
                                      <w:divsChild>
                                        <w:div w:id="1678116124">
                                          <w:marLeft w:val="0"/>
                                          <w:marRight w:val="0"/>
                                          <w:marTop w:val="0"/>
                                          <w:marBottom w:val="0"/>
                                          <w:divBdr>
                                            <w:top w:val="none" w:sz="0" w:space="0" w:color="auto"/>
                                            <w:left w:val="none" w:sz="0" w:space="0" w:color="auto"/>
                                            <w:bottom w:val="none" w:sz="0" w:space="0" w:color="auto"/>
                                            <w:right w:val="none" w:sz="0" w:space="0" w:color="auto"/>
                                          </w:divBdr>
                                          <w:divsChild>
                                            <w:div w:id="1932467435">
                                              <w:marLeft w:val="0"/>
                                              <w:marRight w:val="0"/>
                                              <w:marTop w:val="0"/>
                                              <w:marBottom w:val="0"/>
                                              <w:divBdr>
                                                <w:top w:val="none" w:sz="0" w:space="0" w:color="auto"/>
                                                <w:left w:val="none" w:sz="0" w:space="0" w:color="auto"/>
                                                <w:bottom w:val="none" w:sz="0" w:space="0" w:color="auto"/>
                                                <w:right w:val="none" w:sz="0" w:space="0" w:color="auto"/>
                                              </w:divBdr>
                                              <w:divsChild>
                                                <w:div w:id="480735129">
                                                  <w:marLeft w:val="0"/>
                                                  <w:marRight w:val="0"/>
                                                  <w:marTop w:val="0"/>
                                                  <w:marBottom w:val="0"/>
                                                  <w:divBdr>
                                                    <w:top w:val="none" w:sz="0" w:space="0" w:color="auto"/>
                                                    <w:left w:val="none" w:sz="0" w:space="0" w:color="auto"/>
                                                    <w:bottom w:val="none" w:sz="0" w:space="0" w:color="auto"/>
                                                    <w:right w:val="none" w:sz="0" w:space="0" w:color="auto"/>
                                                  </w:divBdr>
                                                  <w:divsChild>
                                                    <w:div w:id="1723673307">
                                                      <w:marLeft w:val="0"/>
                                                      <w:marRight w:val="0"/>
                                                      <w:marTop w:val="0"/>
                                                      <w:marBottom w:val="0"/>
                                                      <w:divBdr>
                                                        <w:top w:val="none" w:sz="0" w:space="0" w:color="auto"/>
                                                        <w:left w:val="none" w:sz="0" w:space="0" w:color="auto"/>
                                                        <w:bottom w:val="none" w:sz="0" w:space="0" w:color="auto"/>
                                                        <w:right w:val="none" w:sz="0" w:space="0" w:color="auto"/>
                                                      </w:divBdr>
                                                      <w:divsChild>
                                                        <w:div w:id="2120643044">
                                                          <w:marLeft w:val="0"/>
                                                          <w:marRight w:val="0"/>
                                                          <w:marTop w:val="0"/>
                                                          <w:marBottom w:val="0"/>
                                                          <w:divBdr>
                                                            <w:top w:val="none" w:sz="0" w:space="0" w:color="auto"/>
                                                            <w:left w:val="none" w:sz="0" w:space="0" w:color="auto"/>
                                                            <w:bottom w:val="none" w:sz="0" w:space="0" w:color="auto"/>
                                                            <w:right w:val="none" w:sz="0" w:space="0" w:color="auto"/>
                                                          </w:divBdr>
                                                          <w:divsChild>
                                                            <w:div w:id="1906522606">
                                                              <w:marLeft w:val="0"/>
                                                              <w:marRight w:val="0"/>
                                                              <w:marTop w:val="0"/>
                                                              <w:marBottom w:val="0"/>
                                                              <w:divBdr>
                                                                <w:top w:val="none" w:sz="0" w:space="0" w:color="auto"/>
                                                                <w:left w:val="none" w:sz="0" w:space="0" w:color="auto"/>
                                                                <w:bottom w:val="none" w:sz="0" w:space="0" w:color="auto"/>
                                                                <w:right w:val="none" w:sz="0" w:space="0" w:color="auto"/>
                                                              </w:divBdr>
                                                              <w:divsChild>
                                                                <w:div w:id="1744720454">
                                                                  <w:marLeft w:val="0"/>
                                                                  <w:marRight w:val="0"/>
                                                                  <w:marTop w:val="0"/>
                                                                  <w:marBottom w:val="0"/>
                                                                  <w:divBdr>
                                                                    <w:top w:val="none" w:sz="0" w:space="0" w:color="auto"/>
                                                                    <w:left w:val="none" w:sz="0" w:space="0" w:color="auto"/>
                                                                    <w:bottom w:val="none" w:sz="0" w:space="0" w:color="auto"/>
                                                                    <w:right w:val="none" w:sz="0" w:space="0" w:color="auto"/>
                                                                  </w:divBdr>
                                                                  <w:divsChild>
                                                                    <w:div w:id="535586215">
                                                                      <w:marLeft w:val="0"/>
                                                                      <w:marRight w:val="0"/>
                                                                      <w:marTop w:val="0"/>
                                                                      <w:marBottom w:val="0"/>
                                                                      <w:divBdr>
                                                                        <w:top w:val="none" w:sz="0" w:space="0" w:color="auto"/>
                                                                        <w:left w:val="none" w:sz="0" w:space="0" w:color="auto"/>
                                                                        <w:bottom w:val="none" w:sz="0" w:space="0" w:color="auto"/>
                                                                        <w:right w:val="none" w:sz="0" w:space="0" w:color="auto"/>
                                                                      </w:divBdr>
                                                                      <w:divsChild>
                                                                        <w:div w:id="2107652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1041</Words>
  <Characters>5936</Characters>
  <Application>Microsoft Office Word</Application>
  <DocSecurity>4</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Urban Institute</Company>
  <LinksUpToDate>false</LinksUpToDate>
  <CharactersWithSpaces>6964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Allen, Eva</dc:creator>
  <cp:keywords/>
  <cp:lastModifiedBy>Funn, Sherrette (OS/ASA/OCIO)</cp:lastModifiedBy>
  <cp:revision>2</cp:revision>
  <dcterms:created xsi:type="dcterms:W3CDTF">2020-10-28T20:30:00Z</dcterms:created>
  <dcterms:modified xsi:type="dcterms:W3CDTF">2020-10-28T20:30:00Z</dcterms:modified>
</cp:coreProperties>
</file>