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E74C" w14:textId="77777777" w:rsidR="003F1C7A" w:rsidRDefault="003F1C7A">
      <w:pPr>
        <w:pStyle w:val="Heading2"/>
        <w:tabs>
          <w:tab w:val="left" w:pos="900"/>
        </w:tabs>
        <w:ind w:right="-180"/>
        <w:rPr>
          <w:sz w:val="28"/>
        </w:rPr>
      </w:pPr>
      <w:bookmarkStart w:id="0" w:name="_GoBack"/>
      <w:bookmarkEnd w:id="0"/>
      <w:r>
        <w:rPr>
          <w:sz w:val="28"/>
        </w:rPr>
        <w:t>DOCUMENTATION FOR THE GENERIC CLEARANCE</w:t>
      </w:r>
    </w:p>
    <w:p w14:paraId="2B4B1139" w14:textId="77777777" w:rsidR="003F1C7A" w:rsidRDefault="0037375D">
      <w:pPr>
        <w:jc w:val="center"/>
      </w:pPr>
      <w:r>
        <w:rPr>
          <w:b/>
          <w:sz w:val="28"/>
        </w:rPr>
        <w:t>FOR THE COLLECTION OF QUALITATIVE RESEARCH &amp; ASSESSMENT</w:t>
      </w:r>
    </w:p>
    <w:p w14:paraId="79E07D8A" w14:textId="77777777" w:rsidR="003F1C7A" w:rsidRDefault="003F1C7A" w:rsidP="00213106"/>
    <w:p w14:paraId="343D0790" w14:textId="77777777" w:rsidR="003F1C7A" w:rsidRDefault="00F04E7C" w:rsidP="00DE3FBF">
      <w:pPr>
        <w:overflowPunct w:val="0"/>
        <w:textAlignment w:val="baseline"/>
      </w:pPr>
      <w:r>
        <w:rPr>
          <w:noProof/>
        </w:rPr>
        <mc:AlternateContent>
          <mc:Choice Requires="wps">
            <w:drawing>
              <wp:anchor distT="0" distB="0" distL="114300" distR="114300" simplePos="0" relativeHeight="251657728" behindDoc="0" locked="0" layoutInCell="0" allowOverlap="1" wp14:anchorId="431915FD" wp14:editId="346D6666">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7C763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457FB40" w14:textId="5231F0C7" w:rsidR="003F1C7A" w:rsidRPr="002E2018" w:rsidRDefault="003F1C7A" w:rsidP="00DE3FBF">
      <w:pPr>
        <w:overflowPunct w:val="0"/>
        <w:textAlignment w:val="baseline"/>
        <w:rPr>
          <w:b/>
        </w:rPr>
      </w:pPr>
      <w:r>
        <w:rPr>
          <w:b/>
        </w:rPr>
        <w:t>TITLE OF INFORMATION COLLECTION:</w:t>
      </w:r>
    </w:p>
    <w:p w14:paraId="5E4E9B38" w14:textId="77777777" w:rsidR="00D95F55" w:rsidRDefault="00D95F55" w:rsidP="00DE3FBF">
      <w:pPr>
        <w:overflowPunct w:val="0"/>
        <w:textAlignment w:val="baseline"/>
      </w:pPr>
    </w:p>
    <w:p w14:paraId="08A58C70" w14:textId="18295E5F" w:rsidR="00D95F55" w:rsidRPr="00D95F55" w:rsidRDefault="00F05A8C" w:rsidP="00DE3FBF">
      <w:pPr>
        <w:overflowPunct w:val="0"/>
        <w:textAlignment w:val="baseline"/>
        <w:rPr>
          <w:bCs/>
        </w:rPr>
      </w:pPr>
      <w:r>
        <w:t>Improving the Efficiency of Clinical Trials for Drug</w:t>
      </w:r>
      <w:r w:rsidR="00DE3FBF">
        <w:t xml:space="preserve"> and Medical Device</w:t>
      </w:r>
      <w:r>
        <w:t xml:space="preserve"> Development</w:t>
      </w:r>
      <w:r w:rsidR="004F50F3">
        <w:t>—</w:t>
      </w:r>
      <w:r>
        <w:t xml:space="preserve">Expert </w:t>
      </w:r>
      <w:r w:rsidR="004D25AF">
        <w:t>Questionnaire</w:t>
      </w:r>
    </w:p>
    <w:p w14:paraId="5209570A" w14:textId="77777777" w:rsidR="003F1C7A" w:rsidRDefault="003F1C7A" w:rsidP="00DE3FBF">
      <w:pPr>
        <w:overflowPunct w:val="0"/>
        <w:textAlignment w:val="baseline"/>
      </w:pPr>
    </w:p>
    <w:p w14:paraId="4B5CF6DF" w14:textId="170E4F83" w:rsidR="0037375D" w:rsidRPr="0037375D" w:rsidRDefault="003F1C7A" w:rsidP="00DE3FBF">
      <w:pPr>
        <w:overflowPunct w:val="0"/>
        <w:textAlignment w:val="baseline"/>
        <w:rPr>
          <w:b/>
          <w:bCs/>
        </w:rPr>
      </w:pPr>
      <w:r w:rsidRPr="0037375D">
        <w:rPr>
          <w:b/>
          <w:bCs/>
        </w:rPr>
        <w:t>[</w:t>
      </w:r>
      <w:r w:rsidR="00F05A8C">
        <w:rPr>
          <w:b/>
          <w:bCs/>
        </w:rPr>
        <w:t xml:space="preserve">   </w:t>
      </w:r>
      <w:r w:rsidRPr="0037375D">
        <w:rPr>
          <w:b/>
          <w:bCs/>
        </w:rPr>
        <w:t xml:space="preserve">] </w:t>
      </w:r>
      <w:r w:rsidR="0037375D" w:rsidRPr="0037375D">
        <w:rPr>
          <w:b/>
          <w:bCs/>
        </w:rPr>
        <w:t>INTERVIEWS</w:t>
      </w:r>
    </w:p>
    <w:p w14:paraId="4877937E" w14:textId="77777777" w:rsidR="0037375D" w:rsidRPr="0037375D" w:rsidRDefault="0037375D" w:rsidP="00DE3FBF">
      <w:pPr>
        <w:overflowPunct w:val="0"/>
        <w:textAlignment w:val="baseline"/>
        <w:rPr>
          <w:b/>
          <w:bCs/>
        </w:rPr>
      </w:pPr>
      <w:r w:rsidRPr="0037375D">
        <w:rPr>
          <w:b/>
          <w:bCs/>
        </w:rPr>
        <w:t>[</w:t>
      </w:r>
      <w:r w:rsidR="00F05A8C">
        <w:rPr>
          <w:b/>
          <w:bCs/>
        </w:rPr>
        <w:t xml:space="preserve"> </w:t>
      </w:r>
      <w:r w:rsidRPr="0037375D">
        <w:rPr>
          <w:b/>
          <w:bCs/>
        </w:rPr>
        <w:t xml:space="preserve"> </w:t>
      </w:r>
      <w:r w:rsidR="00F05A8C">
        <w:rPr>
          <w:b/>
          <w:bCs/>
        </w:rPr>
        <w:t xml:space="preserve"> </w:t>
      </w:r>
      <w:r w:rsidRPr="0037375D">
        <w:rPr>
          <w:b/>
          <w:bCs/>
        </w:rPr>
        <w:t>] SMALL DISCUSSION GROUPS</w:t>
      </w:r>
    </w:p>
    <w:p w14:paraId="2E621161" w14:textId="77777777" w:rsidR="003F1C7A" w:rsidRPr="0037375D" w:rsidRDefault="003F1C7A" w:rsidP="00DE3FBF">
      <w:pPr>
        <w:overflowPunct w:val="0"/>
        <w:textAlignment w:val="baseline"/>
        <w:rPr>
          <w:b/>
          <w:bCs/>
        </w:rPr>
      </w:pPr>
      <w:r w:rsidRPr="0037375D">
        <w:rPr>
          <w:b/>
          <w:bCs/>
        </w:rPr>
        <w:t xml:space="preserve">[ </w:t>
      </w:r>
      <w:r w:rsidR="00F05A8C">
        <w:rPr>
          <w:b/>
          <w:bCs/>
        </w:rPr>
        <w:t xml:space="preserve">  </w:t>
      </w:r>
      <w:r w:rsidRPr="0037375D">
        <w:rPr>
          <w:b/>
          <w:bCs/>
        </w:rPr>
        <w:t>] FOCUS GROUP</w:t>
      </w:r>
      <w:r w:rsidR="0037375D" w:rsidRPr="0037375D">
        <w:rPr>
          <w:b/>
          <w:bCs/>
        </w:rPr>
        <w:t>S</w:t>
      </w:r>
    </w:p>
    <w:p w14:paraId="03419075" w14:textId="77777777" w:rsidR="0037375D" w:rsidRPr="0037375D" w:rsidRDefault="0037375D" w:rsidP="00DE3FBF">
      <w:pPr>
        <w:overflowPunct w:val="0"/>
        <w:textAlignment w:val="baseline"/>
        <w:rPr>
          <w:b/>
          <w:bCs/>
        </w:rPr>
      </w:pPr>
      <w:r w:rsidRPr="0037375D">
        <w:rPr>
          <w:b/>
          <w:bCs/>
        </w:rPr>
        <w:t>[</w:t>
      </w:r>
      <w:r w:rsidR="00F05A8C">
        <w:rPr>
          <w:b/>
          <w:bCs/>
        </w:rPr>
        <w:t>X</w:t>
      </w:r>
      <w:r w:rsidRPr="0037375D">
        <w:rPr>
          <w:b/>
          <w:bCs/>
        </w:rPr>
        <w:t>] QUESTIONNAIRES</w:t>
      </w:r>
    </w:p>
    <w:p w14:paraId="054F804B" w14:textId="77777777" w:rsidR="0037375D" w:rsidRPr="0037375D" w:rsidRDefault="0037375D" w:rsidP="00DE3FBF">
      <w:pPr>
        <w:overflowPunct w:val="0"/>
        <w:textAlignment w:val="baseline"/>
        <w:rPr>
          <w:b/>
          <w:bCs/>
        </w:rPr>
      </w:pPr>
      <w:r w:rsidRPr="0037375D">
        <w:rPr>
          <w:b/>
          <w:bCs/>
        </w:rPr>
        <w:t>[</w:t>
      </w:r>
      <w:r w:rsidR="00F05A8C">
        <w:rPr>
          <w:b/>
          <w:bCs/>
        </w:rPr>
        <w:t xml:space="preserve">  </w:t>
      </w:r>
      <w:r w:rsidRPr="0037375D">
        <w:rPr>
          <w:b/>
          <w:bCs/>
        </w:rPr>
        <w:t xml:space="preserve"> ] OTHER (EXPLAIN: )</w:t>
      </w:r>
    </w:p>
    <w:p w14:paraId="55F98208" w14:textId="77777777" w:rsidR="003F1C7A" w:rsidRDefault="003F1C7A" w:rsidP="00DE3FBF">
      <w:pPr>
        <w:overflowPunct w:val="0"/>
        <w:textAlignment w:val="baseline"/>
        <w:rPr>
          <w:b/>
        </w:rPr>
      </w:pPr>
    </w:p>
    <w:p w14:paraId="5FFE53FF" w14:textId="33E94DC7" w:rsidR="003F1C7A" w:rsidRDefault="003F1C7A" w:rsidP="00DE3FBF">
      <w:pPr>
        <w:overflowPunct w:val="0"/>
        <w:textAlignment w:val="baseline"/>
      </w:pPr>
      <w:r>
        <w:rPr>
          <w:b/>
        </w:rPr>
        <w:t>DESCRIPTION OF THIS SPECIFIC COLLECTION</w:t>
      </w:r>
      <w:r>
        <w:t xml:space="preserve"> </w:t>
      </w:r>
    </w:p>
    <w:p w14:paraId="18598AAF" w14:textId="77777777" w:rsidR="00DE3FBF" w:rsidRDefault="00DE3FBF" w:rsidP="00DE3FBF">
      <w:pPr>
        <w:overflowPunct w:val="0"/>
        <w:textAlignment w:val="baseline"/>
      </w:pPr>
    </w:p>
    <w:p w14:paraId="3AE94C28" w14:textId="77777777" w:rsidR="003F1C7A" w:rsidRPr="00DE3FBF" w:rsidRDefault="0037375D" w:rsidP="0037375D">
      <w:pPr>
        <w:numPr>
          <w:ilvl w:val="0"/>
          <w:numId w:val="15"/>
        </w:numPr>
        <w:tabs>
          <w:tab w:val="num" w:pos="720"/>
        </w:tabs>
        <w:ind w:left="360"/>
        <w:rPr>
          <w:b/>
        </w:rPr>
      </w:pPr>
      <w:r w:rsidRPr="00DE3FBF">
        <w:rPr>
          <w:b/>
        </w:rPr>
        <w:t>Intended purpose</w:t>
      </w:r>
    </w:p>
    <w:p w14:paraId="231B714D" w14:textId="77777777" w:rsidR="00515B88" w:rsidRDefault="00515B88" w:rsidP="00515B88"/>
    <w:p w14:paraId="044FB393" w14:textId="4005F5C4" w:rsidR="006731A3" w:rsidRDefault="0027429E" w:rsidP="00794B9A">
      <w:pPr>
        <w:overflowPunct w:val="0"/>
        <w:textAlignment w:val="baseline"/>
      </w:pPr>
      <w:r w:rsidRPr="001376EF">
        <w:t>The U.S. Department of Health and Human Services Office of the Assistant Secretary for Planning and Evaluation (HHS/ASPE</w:t>
      </w:r>
      <w:r w:rsidR="001A7EFB">
        <w:t>)</w:t>
      </w:r>
      <w:r w:rsidR="001A7EFB" w:rsidRPr="001A7EFB">
        <w:t xml:space="preserve"> has an ongoing interest in encouraging drug</w:t>
      </w:r>
      <w:r w:rsidR="001A7EFB">
        <w:t>,</w:t>
      </w:r>
      <w:r w:rsidR="001A7EFB" w:rsidRPr="001A7EFB">
        <w:t xml:space="preserve"> device</w:t>
      </w:r>
      <w:r w:rsidR="001A7EFB">
        <w:t>, and vaccine</w:t>
      </w:r>
      <w:r w:rsidR="001A7EFB" w:rsidRPr="001A7EFB">
        <w:t xml:space="preserve"> development while containing costs. </w:t>
      </w:r>
      <w:r w:rsidR="001A7EFB">
        <w:t xml:space="preserve">HHS/ASPE has </w:t>
      </w:r>
      <w:r w:rsidRPr="001376EF">
        <w:t xml:space="preserve">awarded a contract to </w:t>
      </w:r>
      <w:r w:rsidR="00F05A8C">
        <w:t>Eastern Research Group, Inc. (ERG)</w:t>
      </w:r>
      <w:r w:rsidR="00F05A8C" w:rsidRPr="00F05A8C">
        <w:t xml:space="preserve"> </w:t>
      </w:r>
      <w:r w:rsidR="00F05A8C">
        <w:t>identify</w:t>
      </w:r>
      <w:r w:rsidR="00F05A8C" w:rsidRPr="00F05A8C">
        <w:t xml:space="preserve"> possible interventions that would reduce the time and cost of conducting clinical trials</w:t>
      </w:r>
      <w:r w:rsidR="00F671EC">
        <w:t>,</w:t>
      </w:r>
      <w:r w:rsidR="00F05A8C" w:rsidRPr="00F05A8C">
        <w:t xml:space="preserve"> and</w:t>
      </w:r>
      <w:r w:rsidR="00F671EC">
        <w:t xml:space="preserve"> to</w:t>
      </w:r>
      <w:r w:rsidR="00F05A8C" w:rsidRPr="00F05A8C">
        <w:t xml:space="preserve"> model the clinical trial decision-making</w:t>
      </w:r>
      <w:r w:rsidR="001A7EFB">
        <w:t xml:space="preserve"> process</w:t>
      </w:r>
      <w:r w:rsidRPr="001376EF">
        <w:t xml:space="preserve">. </w:t>
      </w:r>
      <w:r w:rsidR="00794B9A">
        <w:t xml:space="preserve">As part of this contract ERG is </w:t>
      </w:r>
      <w:r w:rsidR="006731A3">
        <w:t>updating an existing</w:t>
      </w:r>
      <w:r w:rsidR="00794B9A">
        <w:t xml:space="preserve"> expected net present value</w:t>
      </w:r>
      <w:r w:rsidR="006731A3">
        <w:t xml:space="preserve"> (ENPV)</w:t>
      </w:r>
      <w:r w:rsidR="00794B9A">
        <w:t xml:space="preserve"> model of the drug development decision process</w:t>
      </w:r>
      <w:r w:rsidR="006731A3">
        <w:rPr>
          <w:rStyle w:val="FootnoteReference"/>
        </w:rPr>
        <w:footnoteReference w:id="1"/>
      </w:r>
      <w:r w:rsidR="00794B9A">
        <w:t xml:space="preserve">.  This model </w:t>
      </w:r>
      <w:r w:rsidR="006731A3">
        <w:t>estimates</w:t>
      </w:r>
      <w:r w:rsidR="00794B9A">
        <w:t xml:space="preserve"> the </w:t>
      </w:r>
      <w:r w:rsidR="006731A3">
        <w:t>impacts</w:t>
      </w:r>
      <w:r w:rsidR="00794B9A">
        <w:t xml:space="preserve"> of uncertainty, clinical trial characteristics, and time on the cost of innovative drug and device development</w:t>
      </w:r>
      <w:r w:rsidR="006731A3">
        <w:t xml:space="preserve"> and</w:t>
      </w:r>
      <w:r w:rsidR="00794B9A">
        <w:t xml:space="preserve"> estimates likely market sizes for innovative drugs</w:t>
      </w:r>
      <w:r w:rsidR="006731A3">
        <w:t xml:space="preserve"> and devices</w:t>
      </w:r>
      <w:r w:rsidR="00794B9A">
        <w:t xml:space="preserve">. The model allows users to explore the impact of policy interventions on the ENPV by entering likely values for changes in model parameters. This study will elicit opinions from key experts, including academic researchers and industry representatives, using an online questionnaire to provide insight into likely impacts of various policy interventions to guide the model. </w:t>
      </w:r>
    </w:p>
    <w:p w14:paraId="36396681" w14:textId="56E1DDE5" w:rsidR="006731A3" w:rsidRDefault="0044528D" w:rsidP="00794B9A">
      <w:pPr>
        <w:overflowPunct w:val="0"/>
        <w:textAlignment w:val="baseline"/>
      </w:pPr>
      <w:r>
        <w:t>The ENPV model</w:t>
      </w:r>
      <w:r w:rsidR="006731A3">
        <w:t xml:space="preserve"> draws information from multiple sources. This study is intended to be used with the results of a literature review to inform estimates of the impact of policy interventions.</w:t>
      </w:r>
    </w:p>
    <w:p w14:paraId="6ED6577C" w14:textId="7E288A21" w:rsidR="0027429E" w:rsidRPr="001376EF" w:rsidRDefault="0027429E" w:rsidP="0027429E">
      <w:pPr>
        <w:overflowPunct w:val="0"/>
        <w:textAlignment w:val="baseline"/>
      </w:pPr>
    </w:p>
    <w:p w14:paraId="2FE718F3" w14:textId="77777777" w:rsidR="00515B88" w:rsidRDefault="00515B88" w:rsidP="00515B88"/>
    <w:p w14:paraId="4FB4E124" w14:textId="77777777" w:rsidR="003F1C7A" w:rsidRPr="00DE3FBF" w:rsidRDefault="003F1C7A" w:rsidP="0037375D">
      <w:pPr>
        <w:numPr>
          <w:ilvl w:val="0"/>
          <w:numId w:val="15"/>
        </w:numPr>
        <w:tabs>
          <w:tab w:val="num" w:pos="720"/>
        </w:tabs>
        <w:ind w:left="360"/>
        <w:rPr>
          <w:b/>
        </w:rPr>
      </w:pPr>
      <w:r w:rsidRPr="00DE3FBF">
        <w:rPr>
          <w:b/>
        </w:rPr>
        <w:t>N</w:t>
      </w:r>
      <w:r w:rsidR="0037375D" w:rsidRPr="00DE3FBF">
        <w:rPr>
          <w:b/>
        </w:rPr>
        <w:t>eed for the collection</w:t>
      </w:r>
    </w:p>
    <w:p w14:paraId="692E0B20" w14:textId="77777777" w:rsidR="00515B88" w:rsidRDefault="00515B88" w:rsidP="00515B88"/>
    <w:p w14:paraId="266DBDCB" w14:textId="04133917" w:rsidR="00D95F55" w:rsidRDefault="00D95F55" w:rsidP="00D95F55">
      <w:r>
        <w:t>To our knowledge, there is no information that has been or is currently being collected similar to these</w:t>
      </w:r>
      <w:r w:rsidR="00151EBD">
        <w:t xml:space="preserve"> questions that will be asked</w:t>
      </w:r>
      <w:r w:rsidR="00FA5555">
        <w:t xml:space="preserve">. </w:t>
      </w:r>
      <w:r>
        <w:t xml:space="preserve">This is an exploratory study to answer questions that we currently do not have the data to answer. </w:t>
      </w:r>
      <w:r w:rsidR="00794B9A">
        <w:t xml:space="preserve">This study has been developed in consultation with </w:t>
      </w:r>
      <w:r w:rsidR="00794B9A">
        <w:lastRenderedPageBreak/>
        <w:t>experts from the Food and Drug Administration, National Institutes of Health, and Office of the Assistant Secretary for Health.</w:t>
      </w:r>
    </w:p>
    <w:p w14:paraId="5B16CF30" w14:textId="77777777" w:rsidR="00D95F55" w:rsidRDefault="00D95F55" w:rsidP="00D95F55"/>
    <w:p w14:paraId="1517585B" w14:textId="77777777" w:rsidR="003F1C7A" w:rsidRPr="00213106" w:rsidRDefault="0037375D" w:rsidP="0037375D">
      <w:pPr>
        <w:numPr>
          <w:ilvl w:val="0"/>
          <w:numId w:val="15"/>
        </w:numPr>
        <w:tabs>
          <w:tab w:val="num" w:pos="720"/>
        </w:tabs>
        <w:ind w:left="360"/>
        <w:rPr>
          <w:b/>
        </w:rPr>
      </w:pPr>
      <w:r w:rsidRPr="00213106">
        <w:rPr>
          <w:b/>
        </w:rPr>
        <w:t>Planned use of the data</w:t>
      </w:r>
    </w:p>
    <w:p w14:paraId="3BA54E76" w14:textId="77777777" w:rsidR="0037375D" w:rsidRDefault="0037375D" w:rsidP="00DE3FBF">
      <w:pPr>
        <w:overflowPunct w:val="0"/>
        <w:textAlignment w:val="baseline"/>
      </w:pPr>
    </w:p>
    <w:p w14:paraId="4FBFCF92" w14:textId="6B035458" w:rsidR="00515B88" w:rsidRDefault="00F671EC" w:rsidP="0037375D">
      <w:r>
        <w:t xml:space="preserve">The data collected through this </w:t>
      </w:r>
      <w:r w:rsidR="00FA5555">
        <w:t>questionnaire</w:t>
      </w:r>
      <w:r>
        <w:t xml:space="preserve"> will </w:t>
      </w:r>
      <w:r w:rsidR="009E4E53">
        <w:t>inform the</w:t>
      </w:r>
      <w:r w:rsidR="006731A3">
        <w:t xml:space="preserve"> range of estimates for the impacts of potential interventions on</w:t>
      </w:r>
      <w:r w:rsidR="009E4E53">
        <w:t xml:space="preserve"> </w:t>
      </w:r>
      <w:r>
        <w:t xml:space="preserve">in the </w:t>
      </w:r>
      <w:r w:rsidRPr="00F671EC">
        <w:t>operational</w:t>
      </w:r>
      <w:r w:rsidR="0044528D">
        <w:t xml:space="preserve"> ENPV</w:t>
      </w:r>
      <w:r w:rsidRPr="00F671EC">
        <w:t xml:space="preserve"> model of clinical trial decision-making</w:t>
      </w:r>
      <w:r>
        <w:t xml:space="preserve">. The </w:t>
      </w:r>
      <w:r w:rsidRPr="00F671EC">
        <w:t xml:space="preserve">model </w:t>
      </w:r>
      <w:r>
        <w:t xml:space="preserve">examines </w:t>
      </w:r>
      <w:r w:rsidRPr="00F671EC">
        <w:t>the decision-making process for a drug</w:t>
      </w:r>
      <w:r w:rsidR="002E2018">
        <w:t>/device</w:t>
      </w:r>
      <w:r w:rsidRPr="00F671EC">
        <w:t xml:space="preserve"> sponsor as a stylized decision tree that looks at the process for formulating a clinical trial from the point of view of an expected-revenue-maximizing sponsor in the face of uncertainty (or risk). </w:t>
      </w:r>
      <w:r>
        <w:t xml:space="preserve">The data collected through this </w:t>
      </w:r>
      <w:r w:rsidR="004D25AF">
        <w:t>questionnaire</w:t>
      </w:r>
      <w:r w:rsidR="004D25AF" w:rsidRPr="00F671EC">
        <w:t xml:space="preserve"> </w:t>
      </w:r>
      <w:r>
        <w:t>will be used in the model to estimate the impacts of several interventions on clinical trial costs, duration, and probability of success.</w:t>
      </w:r>
      <w:r w:rsidR="006731A3">
        <w:t xml:space="preserve"> The model is currently used only internally by ASPE, NIH, and FDA economists to examine potential implications of different types of initiatives on clinical trial costs as well as the returns to drug developers.</w:t>
      </w:r>
    </w:p>
    <w:p w14:paraId="549B6E17" w14:textId="6718E644" w:rsidR="00213106" w:rsidRDefault="00213106">
      <w:pPr>
        <w:rPr>
          <w:b/>
        </w:rPr>
      </w:pPr>
    </w:p>
    <w:p w14:paraId="49617C13" w14:textId="33295B2C" w:rsidR="003F1C7A" w:rsidRPr="00213106" w:rsidRDefault="0037375D" w:rsidP="0037375D">
      <w:pPr>
        <w:numPr>
          <w:ilvl w:val="0"/>
          <w:numId w:val="15"/>
        </w:numPr>
        <w:tabs>
          <w:tab w:val="num" w:pos="720"/>
        </w:tabs>
        <w:ind w:left="360"/>
        <w:rPr>
          <w:b/>
        </w:rPr>
      </w:pPr>
      <w:r w:rsidRPr="00213106">
        <w:rPr>
          <w:b/>
        </w:rPr>
        <w:t>Date(s) and location(s)</w:t>
      </w:r>
      <w:r w:rsidR="003F1C7A" w:rsidRPr="00213106">
        <w:rPr>
          <w:b/>
        </w:rPr>
        <w:t xml:space="preserve"> </w:t>
      </w:r>
    </w:p>
    <w:p w14:paraId="3BE1B42D" w14:textId="77777777" w:rsidR="00515B88" w:rsidRDefault="00515B88" w:rsidP="00DE3FBF">
      <w:pPr>
        <w:overflowPunct w:val="0"/>
        <w:textAlignment w:val="baseline"/>
      </w:pPr>
    </w:p>
    <w:p w14:paraId="5CCA02EE" w14:textId="7B246713" w:rsidR="00515B88" w:rsidRDefault="00515B88" w:rsidP="0037375D">
      <w:r>
        <w:t xml:space="preserve">Data collection will begin </w:t>
      </w:r>
      <w:r w:rsidR="00E36908">
        <w:t xml:space="preserve">after obtaining OMB approval, </w:t>
      </w:r>
      <w:r w:rsidR="004D53D2">
        <w:t xml:space="preserve">provisionally estimated to be </w:t>
      </w:r>
      <w:r w:rsidR="00E36908">
        <w:t>i</w:t>
      </w:r>
      <w:r>
        <w:t xml:space="preserve">n </w:t>
      </w:r>
      <w:r w:rsidR="006731A3">
        <w:t xml:space="preserve">January </w:t>
      </w:r>
      <w:r w:rsidR="00F671EC">
        <w:t>2017</w:t>
      </w:r>
      <w:r>
        <w:t xml:space="preserve"> and </w:t>
      </w:r>
      <w:r w:rsidR="00E36908">
        <w:t>continue for approximately one month</w:t>
      </w:r>
      <w:r w:rsidR="00D95F55">
        <w:t>.</w:t>
      </w:r>
    </w:p>
    <w:p w14:paraId="4CDF4378" w14:textId="77777777" w:rsidR="00D95F55" w:rsidRDefault="00D95F55" w:rsidP="0037375D"/>
    <w:p w14:paraId="2C2C38B9" w14:textId="77777777" w:rsidR="00E26798" w:rsidRPr="00213106" w:rsidRDefault="003F1C7A" w:rsidP="0037375D">
      <w:pPr>
        <w:numPr>
          <w:ilvl w:val="0"/>
          <w:numId w:val="15"/>
        </w:numPr>
        <w:tabs>
          <w:tab w:val="num" w:pos="720"/>
        </w:tabs>
        <w:ind w:left="360"/>
        <w:rPr>
          <w:b/>
        </w:rPr>
      </w:pPr>
      <w:bookmarkStart w:id="1" w:name="_Ref487009635"/>
      <w:r w:rsidRPr="00213106">
        <w:rPr>
          <w:b/>
        </w:rPr>
        <w:t>Collection procedures</w:t>
      </w:r>
      <w:bookmarkEnd w:id="1"/>
      <w:r w:rsidR="0037375D" w:rsidRPr="00213106">
        <w:rPr>
          <w:b/>
        </w:rPr>
        <w:t xml:space="preserve"> </w:t>
      </w:r>
    </w:p>
    <w:p w14:paraId="3788DACA" w14:textId="77777777" w:rsidR="0037375D" w:rsidRDefault="0037375D" w:rsidP="0037375D"/>
    <w:p w14:paraId="183E3919" w14:textId="4DC9D27C" w:rsidR="001A7EFB" w:rsidRDefault="00726C08" w:rsidP="00D95F55">
      <w:pPr>
        <w:rPr>
          <w:rFonts w:cs="Calibri"/>
        </w:rPr>
      </w:pPr>
      <w:r>
        <w:rPr>
          <w:rFonts w:cs="Calibri"/>
        </w:rPr>
        <w:t>We</w:t>
      </w:r>
      <w:r w:rsidR="001A7EFB">
        <w:rPr>
          <w:rFonts w:cs="Calibri"/>
        </w:rPr>
        <w:t xml:space="preserve"> will develop an online </w:t>
      </w:r>
      <w:r w:rsidR="00FA5555">
        <w:rPr>
          <w:rFonts w:cs="Calibri"/>
        </w:rPr>
        <w:t>questionnaire</w:t>
      </w:r>
      <w:r w:rsidR="001A7EFB">
        <w:rPr>
          <w:rFonts w:cs="Calibri"/>
        </w:rPr>
        <w:t xml:space="preserve"> to be administered to experts in the clinical trial field, including academics, physicians, industry representatives,</w:t>
      </w:r>
      <w:r w:rsidR="0098642E">
        <w:rPr>
          <w:rFonts w:cs="Calibri"/>
        </w:rPr>
        <w:t xml:space="preserve"> and venture capitalists. The </w:t>
      </w:r>
      <w:r w:rsidR="00FA5555">
        <w:rPr>
          <w:rFonts w:cs="Calibri"/>
        </w:rPr>
        <w:t>questionnaire</w:t>
      </w:r>
      <w:r w:rsidR="0098642E">
        <w:rPr>
          <w:rFonts w:cs="Calibri"/>
        </w:rPr>
        <w:t xml:space="preserve"> will </w:t>
      </w:r>
      <w:r w:rsidR="00FA5555">
        <w:rPr>
          <w:rFonts w:cs="Calibri"/>
        </w:rPr>
        <w:t xml:space="preserve">elicit </w:t>
      </w:r>
      <w:r w:rsidR="002E2018">
        <w:rPr>
          <w:rFonts w:cs="Calibri"/>
        </w:rPr>
        <w:t>estimates of</w:t>
      </w:r>
      <w:r w:rsidR="0098642E">
        <w:rPr>
          <w:rFonts w:cs="Calibri"/>
        </w:rPr>
        <w:t xml:space="preserve"> the impact of </w:t>
      </w:r>
      <w:r w:rsidR="00FA5555">
        <w:rPr>
          <w:rFonts w:cs="Calibri"/>
        </w:rPr>
        <w:t xml:space="preserve">different types of </w:t>
      </w:r>
      <w:r w:rsidR="0098642E">
        <w:rPr>
          <w:rFonts w:cs="Calibri"/>
        </w:rPr>
        <w:t>intervention</w:t>
      </w:r>
      <w:r w:rsidR="00FA5555">
        <w:rPr>
          <w:rFonts w:cs="Calibri"/>
        </w:rPr>
        <w:t>s</w:t>
      </w:r>
      <w:r w:rsidR="0098642E">
        <w:rPr>
          <w:rFonts w:cs="Calibri"/>
        </w:rPr>
        <w:t xml:space="preserve"> on the clinical trial process</w:t>
      </w:r>
      <w:r w:rsidR="00FA5555">
        <w:rPr>
          <w:rFonts w:cs="Calibri"/>
        </w:rPr>
        <w:t xml:space="preserve">. We will ask experts to explain their reasoning behind the estimates they provide and will conduct follow-up interviews if answers are ambiguous. </w:t>
      </w:r>
      <w:r w:rsidR="005559CF">
        <w:rPr>
          <w:rFonts w:cs="Calibri"/>
        </w:rPr>
        <w:t>The interventions to be included are:</w:t>
      </w:r>
    </w:p>
    <w:p w14:paraId="26213306" w14:textId="77777777" w:rsidR="005559CF" w:rsidRDefault="005559CF" w:rsidP="00D95F55">
      <w:pPr>
        <w:rPr>
          <w:rFonts w:cs="Calibri"/>
        </w:rPr>
      </w:pPr>
    </w:p>
    <w:p w14:paraId="62AF36D5" w14:textId="77777777" w:rsidR="0019770E" w:rsidRPr="0019770E" w:rsidRDefault="0019770E" w:rsidP="00213106">
      <w:pPr>
        <w:pStyle w:val="ListParagraph"/>
        <w:numPr>
          <w:ilvl w:val="0"/>
          <w:numId w:val="22"/>
        </w:numPr>
        <w:rPr>
          <w:rFonts w:cs="Calibri"/>
        </w:rPr>
      </w:pPr>
      <w:r w:rsidRPr="0019770E">
        <w:rPr>
          <w:rFonts w:cs="Calibri"/>
        </w:rPr>
        <w:t>Wider use of mobile technologies, including electronic data capture (EDC)</w:t>
      </w:r>
      <w:r>
        <w:rPr>
          <w:rFonts w:cs="Calibri"/>
        </w:rPr>
        <w:t>.</w:t>
      </w:r>
    </w:p>
    <w:p w14:paraId="76D7786B" w14:textId="77777777" w:rsidR="0019770E" w:rsidRPr="0019770E" w:rsidRDefault="0019770E" w:rsidP="00213106">
      <w:pPr>
        <w:pStyle w:val="ListParagraph"/>
        <w:numPr>
          <w:ilvl w:val="0"/>
          <w:numId w:val="22"/>
        </w:numPr>
        <w:rPr>
          <w:rFonts w:cs="Calibri"/>
        </w:rPr>
      </w:pPr>
      <w:r w:rsidRPr="0019770E">
        <w:rPr>
          <w:rFonts w:cs="Calibri"/>
        </w:rPr>
        <w:t>Simplified clinical trial protocols and reduced amendments</w:t>
      </w:r>
      <w:r>
        <w:rPr>
          <w:rFonts w:cs="Calibri"/>
        </w:rPr>
        <w:t>.</w:t>
      </w:r>
    </w:p>
    <w:p w14:paraId="4333A86B" w14:textId="77777777" w:rsidR="0019770E" w:rsidRPr="0019770E" w:rsidRDefault="0019770E" w:rsidP="00213106">
      <w:pPr>
        <w:pStyle w:val="ListParagraph"/>
        <w:numPr>
          <w:ilvl w:val="0"/>
          <w:numId w:val="22"/>
        </w:numPr>
        <w:rPr>
          <w:rFonts w:cs="Calibri"/>
        </w:rPr>
      </w:pPr>
      <w:r w:rsidRPr="0019770E">
        <w:rPr>
          <w:rFonts w:cs="Calibri"/>
        </w:rPr>
        <w:t>Reduced source data verification (SDV)</w:t>
      </w:r>
      <w:r>
        <w:rPr>
          <w:rFonts w:cs="Calibri"/>
        </w:rPr>
        <w:t>.</w:t>
      </w:r>
    </w:p>
    <w:p w14:paraId="2FD0DAFA" w14:textId="77777777" w:rsidR="0019770E" w:rsidRPr="0019770E" w:rsidRDefault="0019770E" w:rsidP="00213106">
      <w:pPr>
        <w:pStyle w:val="ListParagraph"/>
        <w:numPr>
          <w:ilvl w:val="0"/>
          <w:numId w:val="22"/>
        </w:numPr>
        <w:rPr>
          <w:rFonts w:cs="Calibri"/>
        </w:rPr>
      </w:pPr>
      <w:r w:rsidRPr="0019770E">
        <w:rPr>
          <w:rFonts w:cs="Calibri"/>
        </w:rPr>
        <w:t>Improvements in the FDA review process</w:t>
      </w:r>
      <w:r>
        <w:rPr>
          <w:rFonts w:cs="Calibri"/>
        </w:rPr>
        <w:t>.</w:t>
      </w:r>
    </w:p>
    <w:p w14:paraId="7A6D74F2" w14:textId="77777777" w:rsidR="0019770E" w:rsidRPr="0019770E" w:rsidRDefault="0019770E" w:rsidP="00213106">
      <w:pPr>
        <w:pStyle w:val="ListParagraph"/>
        <w:numPr>
          <w:ilvl w:val="0"/>
          <w:numId w:val="22"/>
        </w:numPr>
        <w:rPr>
          <w:rFonts w:cs="Calibri"/>
        </w:rPr>
      </w:pPr>
      <w:r>
        <w:rPr>
          <w:rFonts w:cs="Calibri"/>
        </w:rPr>
        <w:t>Staged approval process.</w:t>
      </w:r>
    </w:p>
    <w:p w14:paraId="542C56BB" w14:textId="77777777" w:rsidR="0019770E" w:rsidRPr="0019770E" w:rsidRDefault="0019770E" w:rsidP="00213106">
      <w:pPr>
        <w:pStyle w:val="ListParagraph"/>
        <w:numPr>
          <w:ilvl w:val="0"/>
          <w:numId w:val="22"/>
        </w:numPr>
        <w:rPr>
          <w:rFonts w:cs="Calibri"/>
        </w:rPr>
      </w:pPr>
      <w:r w:rsidRPr="0019770E">
        <w:rPr>
          <w:rFonts w:cs="Calibri"/>
        </w:rPr>
        <w:t>Biomarkers as surrogate endpoints</w:t>
      </w:r>
      <w:r>
        <w:rPr>
          <w:rFonts w:cs="Calibri"/>
        </w:rPr>
        <w:t>.</w:t>
      </w:r>
    </w:p>
    <w:p w14:paraId="440836A6" w14:textId="77777777" w:rsidR="0019770E" w:rsidRPr="0019770E" w:rsidRDefault="0019770E" w:rsidP="00213106">
      <w:pPr>
        <w:pStyle w:val="ListParagraph"/>
        <w:numPr>
          <w:ilvl w:val="0"/>
          <w:numId w:val="22"/>
        </w:numPr>
        <w:rPr>
          <w:rFonts w:cs="Calibri"/>
        </w:rPr>
      </w:pPr>
      <w:r w:rsidRPr="0019770E">
        <w:rPr>
          <w:rFonts w:cs="Calibri"/>
        </w:rPr>
        <w:t>Predictive/prognostic biomarkers</w:t>
      </w:r>
      <w:r>
        <w:rPr>
          <w:rFonts w:cs="Calibri"/>
        </w:rPr>
        <w:t>.</w:t>
      </w:r>
    </w:p>
    <w:p w14:paraId="0A255BAB" w14:textId="77777777" w:rsidR="0019770E" w:rsidRPr="0019770E" w:rsidRDefault="0019770E" w:rsidP="00213106">
      <w:pPr>
        <w:pStyle w:val="ListParagraph"/>
        <w:numPr>
          <w:ilvl w:val="0"/>
          <w:numId w:val="22"/>
        </w:numPr>
        <w:rPr>
          <w:rFonts w:cs="Calibri"/>
        </w:rPr>
      </w:pPr>
      <w:r w:rsidRPr="0019770E">
        <w:rPr>
          <w:rFonts w:cs="Calibri"/>
        </w:rPr>
        <w:t>Use of electronic health records (EHR)</w:t>
      </w:r>
      <w:r>
        <w:rPr>
          <w:rFonts w:cs="Calibri"/>
        </w:rPr>
        <w:t>.</w:t>
      </w:r>
    </w:p>
    <w:p w14:paraId="563A6F09" w14:textId="77777777" w:rsidR="0019770E" w:rsidRPr="0019770E" w:rsidRDefault="0019770E" w:rsidP="00213106">
      <w:pPr>
        <w:pStyle w:val="ListParagraph"/>
        <w:numPr>
          <w:ilvl w:val="0"/>
          <w:numId w:val="22"/>
        </w:numPr>
        <w:rPr>
          <w:rFonts w:cs="Calibri"/>
        </w:rPr>
      </w:pPr>
      <w:r w:rsidRPr="0019770E">
        <w:rPr>
          <w:rFonts w:cs="Calibri"/>
        </w:rPr>
        <w:t>Use of registry data</w:t>
      </w:r>
      <w:r>
        <w:rPr>
          <w:rFonts w:cs="Calibri"/>
        </w:rPr>
        <w:t>.</w:t>
      </w:r>
    </w:p>
    <w:p w14:paraId="1AC283CA" w14:textId="69DBFBC8" w:rsidR="0019770E" w:rsidRPr="0019770E" w:rsidRDefault="002E2018" w:rsidP="00213106">
      <w:pPr>
        <w:pStyle w:val="ListParagraph"/>
        <w:numPr>
          <w:ilvl w:val="0"/>
          <w:numId w:val="22"/>
        </w:numPr>
        <w:rPr>
          <w:rFonts w:cs="Calibri"/>
        </w:rPr>
      </w:pPr>
      <w:r>
        <w:rPr>
          <w:rFonts w:cs="Calibri"/>
        </w:rPr>
        <w:t xml:space="preserve">Use of </w:t>
      </w:r>
      <w:r w:rsidR="0019770E" w:rsidRPr="0019770E">
        <w:rPr>
          <w:rFonts w:cs="Calibri"/>
        </w:rPr>
        <w:t>adaptive design</w:t>
      </w:r>
      <w:r w:rsidR="0019770E">
        <w:rPr>
          <w:rFonts w:cs="Calibri"/>
        </w:rPr>
        <w:t>.</w:t>
      </w:r>
    </w:p>
    <w:p w14:paraId="334695DB" w14:textId="414AD0E3" w:rsidR="0019770E" w:rsidRPr="0019770E" w:rsidRDefault="002E2018" w:rsidP="00213106">
      <w:pPr>
        <w:pStyle w:val="ListParagraph"/>
        <w:numPr>
          <w:ilvl w:val="0"/>
          <w:numId w:val="22"/>
        </w:numPr>
        <w:rPr>
          <w:rFonts w:cs="Calibri"/>
        </w:rPr>
      </w:pPr>
      <w:r>
        <w:rPr>
          <w:rFonts w:cs="Calibri"/>
        </w:rPr>
        <w:t>U</w:t>
      </w:r>
      <w:r w:rsidR="0019770E" w:rsidRPr="0019770E">
        <w:rPr>
          <w:rFonts w:cs="Calibri"/>
        </w:rPr>
        <w:t>se of standardized contracts</w:t>
      </w:r>
      <w:r w:rsidR="0019770E">
        <w:rPr>
          <w:rFonts w:cs="Calibri"/>
        </w:rPr>
        <w:t>.</w:t>
      </w:r>
    </w:p>
    <w:p w14:paraId="35EFB240" w14:textId="48642E5C" w:rsidR="001A7EFB" w:rsidRDefault="002E2018" w:rsidP="00213106">
      <w:pPr>
        <w:pStyle w:val="ListParagraph"/>
        <w:numPr>
          <w:ilvl w:val="0"/>
          <w:numId w:val="22"/>
        </w:numPr>
        <w:rPr>
          <w:rFonts w:cs="Calibri"/>
        </w:rPr>
      </w:pPr>
      <w:r>
        <w:rPr>
          <w:rFonts w:cs="Calibri"/>
        </w:rPr>
        <w:t>U</w:t>
      </w:r>
      <w:r w:rsidR="0019770E" w:rsidRPr="0019770E">
        <w:rPr>
          <w:rFonts w:cs="Calibri"/>
        </w:rPr>
        <w:t>se of central IRBs</w:t>
      </w:r>
      <w:r w:rsidR="00D907C3">
        <w:rPr>
          <w:rFonts w:cs="Calibri"/>
        </w:rPr>
        <w:t xml:space="preserve"> (for medical devices only)</w:t>
      </w:r>
      <w:r w:rsidR="0019770E">
        <w:rPr>
          <w:rFonts w:cs="Calibri"/>
        </w:rPr>
        <w:t>.</w:t>
      </w:r>
    </w:p>
    <w:p w14:paraId="1D2532C1" w14:textId="072D754D" w:rsidR="00D907C3" w:rsidRDefault="00D907C3" w:rsidP="00D907C3">
      <w:pPr>
        <w:pStyle w:val="ListParagraph"/>
        <w:numPr>
          <w:ilvl w:val="0"/>
          <w:numId w:val="22"/>
        </w:numPr>
        <w:rPr>
          <w:rFonts w:cs="Calibri"/>
        </w:rPr>
      </w:pPr>
      <w:r w:rsidRPr="00D907C3">
        <w:rPr>
          <w:rFonts w:cs="Calibri"/>
        </w:rPr>
        <w:t>CDC/NIH developing epidemiological data on disease incidence</w:t>
      </w:r>
      <w:r>
        <w:rPr>
          <w:rFonts w:cs="Calibri"/>
        </w:rPr>
        <w:t xml:space="preserve"> (for vaccines only).</w:t>
      </w:r>
    </w:p>
    <w:p w14:paraId="75F9D0A7" w14:textId="5780E349" w:rsidR="00D907C3" w:rsidRPr="0019770E" w:rsidRDefault="00D907C3" w:rsidP="00D907C3">
      <w:pPr>
        <w:pStyle w:val="ListParagraph"/>
        <w:numPr>
          <w:ilvl w:val="0"/>
          <w:numId w:val="22"/>
        </w:numPr>
        <w:rPr>
          <w:rFonts w:cs="Calibri"/>
        </w:rPr>
      </w:pPr>
      <w:r w:rsidRPr="00D907C3">
        <w:rPr>
          <w:rFonts w:cs="Calibri"/>
        </w:rPr>
        <w:t>Federally supported cGMP-compliant manufacturing facilities</w:t>
      </w:r>
      <w:r>
        <w:rPr>
          <w:rFonts w:cs="Calibri"/>
        </w:rPr>
        <w:t xml:space="preserve"> (for vaccines only).</w:t>
      </w:r>
    </w:p>
    <w:p w14:paraId="479603DC" w14:textId="77777777" w:rsidR="0019770E" w:rsidRDefault="0019770E" w:rsidP="0019770E">
      <w:pPr>
        <w:rPr>
          <w:rFonts w:cs="Calibri"/>
        </w:rPr>
      </w:pPr>
    </w:p>
    <w:p w14:paraId="611EFB1E" w14:textId="66932978" w:rsidR="00D95F55" w:rsidRPr="00AF5D8A" w:rsidRDefault="0019770E" w:rsidP="00D95F55">
      <w:pPr>
        <w:rPr>
          <w:rFonts w:cs="Calibri"/>
        </w:rPr>
      </w:pPr>
      <w:r>
        <w:rPr>
          <w:rFonts w:cs="Calibri"/>
        </w:rPr>
        <w:lastRenderedPageBreak/>
        <w:t xml:space="preserve">The </w:t>
      </w:r>
      <w:r w:rsidR="00FA5555">
        <w:rPr>
          <w:rFonts w:cs="Calibri"/>
        </w:rPr>
        <w:t>questionnaire</w:t>
      </w:r>
      <w:r>
        <w:rPr>
          <w:rFonts w:cs="Calibri"/>
        </w:rPr>
        <w:t xml:space="preserve"> will be designed to minimize respondent burden, w</w:t>
      </w:r>
      <w:r w:rsidR="00FA5555">
        <w:rPr>
          <w:rFonts w:cs="Calibri"/>
        </w:rPr>
        <w:t>e anticipate that it will take 6</w:t>
      </w:r>
      <w:r>
        <w:rPr>
          <w:rFonts w:cs="Calibri"/>
        </w:rPr>
        <w:t xml:space="preserve">0 minutes or less to complete. </w:t>
      </w:r>
      <w:r w:rsidR="002E2018">
        <w:rPr>
          <w:rFonts w:cs="Calibri"/>
        </w:rPr>
        <w:t xml:space="preserve">Respondents will be able to complete the questionnaire at their own pace depending on their own schedules using their computers, tablets, or smartphones. </w:t>
      </w:r>
      <w:r>
        <w:rPr>
          <w:rFonts w:cs="Calibri"/>
        </w:rPr>
        <w:t>We</w:t>
      </w:r>
      <w:r w:rsidR="0027429E">
        <w:rPr>
          <w:rFonts w:cs="Calibri"/>
        </w:rPr>
        <w:t xml:space="preserve"> will not be asking for any personally identifiable information.</w:t>
      </w:r>
      <w:r w:rsidR="00D95F55">
        <w:rPr>
          <w:rFonts w:cs="Calibri"/>
        </w:rPr>
        <w:t xml:space="preserve"> </w:t>
      </w:r>
    </w:p>
    <w:p w14:paraId="0661E13D" w14:textId="77777777" w:rsidR="00BA26BF" w:rsidRPr="00BA26BF" w:rsidRDefault="00BA26BF" w:rsidP="0037375D">
      <w:pPr>
        <w:rPr>
          <w:rFonts w:cs="Calibri"/>
        </w:rPr>
      </w:pPr>
    </w:p>
    <w:p w14:paraId="740AA81D" w14:textId="77777777" w:rsidR="003F1C7A" w:rsidRPr="00213106" w:rsidRDefault="003F1C7A" w:rsidP="0037375D">
      <w:pPr>
        <w:numPr>
          <w:ilvl w:val="0"/>
          <w:numId w:val="15"/>
        </w:numPr>
        <w:tabs>
          <w:tab w:val="num" w:pos="720"/>
        </w:tabs>
        <w:ind w:left="360"/>
        <w:rPr>
          <w:b/>
        </w:rPr>
      </w:pPr>
      <w:r w:rsidRPr="00213106">
        <w:rPr>
          <w:b/>
        </w:rPr>
        <w:t xml:space="preserve">Number of </w:t>
      </w:r>
      <w:r w:rsidR="0037375D" w:rsidRPr="00213106">
        <w:rPr>
          <w:b/>
        </w:rPr>
        <w:t xml:space="preserve">collections (e.g., </w:t>
      </w:r>
      <w:r w:rsidRPr="00213106">
        <w:rPr>
          <w:b/>
        </w:rPr>
        <w:t>focus groups, surveys, sessions</w:t>
      </w:r>
      <w:r w:rsidR="0037375D" w:rsidRPr="00213106">
        <w:rPr>
          <w:b/>
        </w:rPr>
        <w:t>)</w:t>
      </w:r>
      <w:r w:rsidRPr="00213106">
        <w:rPr>
          <w:b/>
        </w:rPr>
        <w:t xml:space="preserve"> </w:t>
      </w:r>
    </w:p>
    <w:p w14:paraId="57E06143" w14:textId="77777777" w:rsidR="0037375D" w:rsidRDefault="0037375D" w:rsidP="0037375D"/>
    <w:p w14:paraId="56002393" w14:textId="6246BF11" w:rsidR="001977DC" w:rsidRDefault="00BA26BF" w:rsidP="0037375D">
      <w:pPr>
        <w:rPr>
          <w:rFonts w:cs="Calibri"/>
        </w:rPr>
      </w:pPr>
      <w:r>
        <w:rPr>
          <w:rFonts w:cs="Calibri"/>
        </w:rPr>
        <w:t>We anticipate a samp</w:t>
      </w:r>
      <w:r w:rsidR="00670388">
        <w:rPr>
          <w:rFonts w:cs="Calibri"/>
        </w:rPr>
        <w:t xml:space="preserve">le of approximately </w:t>
      </w:r>
      <w:r w:rsidR="0019770E">
        <w:rPr>
          <w:rFonts w:cs="Calibri"/>
        </w:rPr>
        <w:t>30-40</w:t>
      </w:r>
      <w:r w:rsidR="00D95F55" w:rsidRPr="00AF5D8A">
        <w:rPr>
          <w:rFonts w:cs="Calibri"/>
        </w:rPr>
        <w:t xml:space="preserve"> </w:t>
      </w:r>
      <w:r w:rsidR="0019770E">
        <w:rPr>
          <w:rFonts w:cs="Calibri"/>
        </w:rPr>
        <w:t xml:space="preserve">experts to be contacted </w:t>
      </w:r>
      <w:r w:rsidR="00FA5555">
        <w:rPr>
          <w:rFonts w:cs="Calibri"/>
        </w:rPr>
        <w:t>for the study</w:t>
      </w:r>
      <w:r w:rsidR="0019770E">
        <w:rPr>
          <w:rFonts w:cs="Calibri"/>
        </w:rPr>
        <w:t>.</w:t>
      </w:r>
      <w:r w:rsidR="00D95F55" w:rsidRPr="00AF5D8A">
        <w:rPr>
          <w:rFonts w:cs="Calibri"/>
        </w:rPr>
        <w:t xml:space="preserve">  </w:t>
      </w:r>
    </w:p>
    <w:p w14:paraId="5E61AF3E" w14:textId="77777777" w:rsidR="00D95F55" w:rsidRDefault="00D95F55" w:rsidP="0037375D"/>
    <w:p w14:paraId="648CCC7E" w14:textId="77777777" w:rsidR="00E26798" w:rsidRPr="00213106" w:rsidRDefault="003F1C7A" w:rsidP="0037375D">
      <w:pPr>
        <w:numPr>
          <w:ilvl w:val="0"/>
          <w:numId w:val="15"/>
        </w:numPr>
        <w:tabs>
          <w:tab w:val="num" w:pos="720"/>
        </w:tabs>
        <w:ind w:left="360"/>
        <w:rPr>
          <w:b/>
        </w:rPr>
      </w:pPr>
      <w:r w:rsidRPr="00213106">
        <w:rPr>
          <w:b/>
        </w:rPr>
        <w:t>Descript</w:t>
      </w:r>
      <w:r w:rsidR="0037375D" w:rsidRPr="00213106">
        <w:rPr>
          <w:b/>
        </w:rPr>
        <w:t>ion of respondents/participants</w:t>
      </w:r>
    </w:p>
    <w:p w14:paraId="088DD7FE" w14:textId="77777777" w:rsidR="00AA071E" w:rsidRDefault="00AA071E" w:rsidP="00EB6C38">
      <w:pPr>
        <w:pStyle w:val="ColorfulList-Accent11"/>
        <w:ind w:left="0"/>
        <w:rPr>
          <w:b/>
        </w:rPr>
      </w:pPr>
    </w:p>
    <w:p w14:paraId="0023D07C" w14:textId="0D7D09FC" w:rsidR="00213106" w:rsidRDefault="00BA26BF" w:rsidP="007D11E3">
      <w:pPr>
        <w:widowControl w:val="0"/>
        <w:autoSpaceDE w:val="0"/>
        <w:autoSpaceDN w:val="0"/>
        <w:adjustRightInd w:val="0"/>
      </w:pPr>
      <w:r>
        <w:t xml:space="preserve">Respondents will be </w:t>
      </w:r>
      <w:r w:rsidR="0019770E" w:rsidRPr="0019770E">
        <w:t xml:space="preserve">experts in the clinical </w:t>
      </w:r>
      <w:r w:rsidR="00FA5555">
        <w:t>trial field, including academic researchers</w:t>
      </w:r>
      <w:r w:rsidR="0019770E" w:rsidRPr="0019770E">
        <w:t>, physicians, industry representatives, and venture capitalists</w:t>
      </w:r>
      <w:r w:rsidR="0019770E">
        <w:t>.</w:t>
      </w:r>
    </w:p>
    <w:p w14:paraId="10F4B821" w14:textId="77777777" w:rsidR="002E2018" w:rsidRDefault="002E2018" w:rsidP="007D11E3">
      <w:pPr>
        <w:widowControl w:val="0"/>
        <w:autoSpaceDE w:val="0"/>
        <w:autoSpaceDN w:val="0"/>
        <w:adjustRightInd w:val="0"/>
        <w:rPr>
          <w:b/>
        </w:rPr>
      </w:pPr>
    </w:p>
    <w:p w14:paraId="7449AAAD" w14:textId="7876C9AC" w:rsidR="00AA071E" w:rsidRDefault="00AA071E" w:rsidP="0037375D">
      <w:pPr>
        <w:numPr>
          <w:ilvl w:val="0"/>
          <w:numId w:val="15"/>
        </w:numPr>
        <w:tabs>
          <w:tab w:val="num" w:pos="720"/>
        </w:tabs>
        <w:ind w:left="360"/>
        <w:rPr>
          <w:b/>
        </w:rPr>
      </w:pPr>
      <w:r>
        <w:rPr>
          <w:b/>
        </w:rPr>
        <w:t xml:space="preserve">Description of how results will be used </w:t>
      </w:r>
    </w:p>
    <w:p w14:paraId="4925B5B8" w14:textId="77777777" w:rsidR="00AA071E" w:rsidRDefault="00AA071E" w:rsidP="00AA071E">
      <w:pPr>
        <w:rPr>
          <w:b/>
        </w:rPr>
      </w:pPr>
    </w:p>
    <w:p w14:paraId="46B92BE2" w14:textId="132D02B1" w:rsidR="00D74E92" w:rsidRDefault="0019770E" w:rsidP="00AA071E">
      <w:r>
        <w:t xml:space="preserve">The results will be used in conjunction with other data as part of a decision-making model, to estimate the impact of the interventions listed in item </w:t>
      </w:r>
      <w:r>
        <w:fldChar w:fldCharType="begin"/>
      </w:r>
      <w:r>
        <w:instrText xml:space="preserve"> REF _Ref487009635 \r \h </w:instrText>
      </w:r>
      <w:r>
        <w:fldChar w:fldCharType="separate"/>
      </w:r>
      <w:r>
        <w:t>5</w:t>
      </w:r>
      <w:r>
        <w:fldChar w:fldCharType="end"/>
      </w:r>
      <w:r>
        <w:t xml:space="preserve"> on the clinical trial cost, duration, and probability of success, which in turn affect the </w:t>
      </w:r>
      <w:r w:rsidRPr="0019770E">
        <w:t xml:space="preserve">expected net present value (eNPV) to </w:t>
      </w:r>
      <w:r>
        <w:t>a trial</w:t>
      </w:r>
      <w:r w:rsidRPr="0019770E">
        <w:t xml:space="preserve"> sponsor</w:t>
      </w:r>
      <w:r>
        <w:t xml:space="preserve">. </w:t>
      </w:r>
    </w:p>
    <w:p w14:paraId="48D5675A" w14:textId="77777777" w:rsidR="00D74E92" w:rsidRDefault="00D74E92" w:rsidP="00AA071E">
      <w:pPr>
        <w:rPr>
          <w:b/>
        </w:rPr>
      </w:pPr>
    </w:p>
    <w:p w14:paraId="3DEAB0E7" w14:textId="77777777" w:rsidR="00AA071E" w:rsidRPr="00E26798" w:rsidRDefault="00AA071E" w:rsidP="0037375D">
      <w:pPr>
        <w:numPr>
          <w:ilvl w:val="0"/>
          <w:numId w:val="15"/>
        </w:numPr>
        <w:tabs>
          <w:tab w:val="num" w:pos="720"/>
        </w:tabs>
        <w:ind w:left="360"/>
        <w:rPr>
          <w:b/>
        </w:rPr>
      </w:pPr>
      <w:r>
        <w:rPr>
          <w:b/>
        </w:rPr>
        <w:t>Description of how results will or will not be disseminated and why or why not</w:t>
      </w:r>
    </w:p>
    <w:p w14:paraId="6F915326" w14:textId="77777777" w:rsidR="00E26798" w:rsidRDefault="00E26798" w:rsidP="00B85163">
      <w:pPr>
        <w:pStyle w:val="ColorfulList-Accent11"/>
        <w:ind w:left="0"/>
        <w:rPr>
          <w:b/>
        </w:rPr>
      </w:pPr>
    </w:p>
    <w:p w14:paraId="352FD2B7" w14:textId="0236FEA4" w:rsidR="00B913B9" w:rsidRDefault="00C6202E" w:rsidP="00DE3FBF">
      <w:pPr>
        <w:overflowPunct w:val="0"/>
        <w:textAlignment w:val="baseline"/>
      </w:pPr>
      <w:r>
        <w:t xml:space="preserve">The results of this model will be </w:t>
      </w:r>
      <w:r w:rsidR="004D25AF">
        <w:t>comp</w:t>
      </w:r>
      <w:r w:rsidR="00AF4C3A">
        <w:t>i</w:t>
      </w:r>
      <w:r w:rsidR="004D25AF">
        <w:t>led in a final report that may be posted on ASPE’s website</w:t>
      </w:r>
      <w:r w:rsidR="007C0B28">
        <w:t>.</w:t>
      </w:r>
      <w:r w:rsidR="00407084">
        <w:t xml:space="preserve"> </w:t>
      </w:r>
      <w:r w:rsidR="00FA5555">
        <w:t xml:space="preserve">The responses to the questionnaire will be kept confidential; only aggregate results </w:t>
      </w:r>
      <w:r w:rsidR="002E2018">
        <w:t xml:space="preserve">will be used </w:t>
      </w:r>
      <w:r w:rsidR="00FA5555">
        <w:t>in the clinical trial decision-making model.</w:t>
      </w:r>
    </w:p>
    <w:p w14:paraId="18F4D5FB" w14:textId="77777777" w:rsidR="00DE3FBF" w:rsidRDefault="00DE3FBF" w:rsidP="00DE3FBF">
      <w:pPr>
        <w:overflowPunct w:val="0"/>
        <w:textAlignment w:val="baseline"/>
        <w:rPr>
          <w:b/>
        </w:rPr>
      </w:pPr>
    </w:p>
    <w:p w14:paraId="06B37E57" w14:textId="77777777" w:rsidR="003F1C7A" w:rsidRDefault="003F1C7A" w:rsidP="00DE3FBF">
      <w:pPr>
        <w:overflowPunct w:val="0"/>
        <w:textAlignment w:val="baseline"/>
        <w:rPr>
          <w:b/>
        </w:rPr>
      </w:pPr>
      <w:r w:rsidRPr="00E26798">
        <w:rPr>
          <w:b/>
        </w:rPr>
        <w:t>AMOUNT OF ANY PROPOSED STIPEND OR INCENTIVE</w:t>
      </w:r>
    </w:p>
    <w:p w14:paraId="738AE89F" w14:textId="77777777" w:rsidR="00213106" w:rsidRDefault="00213106" w:rsidP="00DE3FBF">
      <w:pPr>
        <w:overflowPunct w:val="0"/>
        <w:textAlignment w:val="baseline"/>
      </w:pPr>
    </w:p>
    <w:p w14:paraId="2F028A80" w14:textId="12218273" w:rsidR="00EB6C38" w:rsidRDefault="00EB6C38" w:rsidP="00DE3FBF">
      <w:pPr>
        <w:overflowPunct w:val="0"/>
        <w:textAlignment w:val="baseline"/>
      </w:pPr>
    </w:p>
    <w:p w14:paraId="5A9EB40A" w14:textId="2A9632D8" w:rsidR="001D64E1" w:rsidRPr="00EB6C38" w:rsidRDefault="001D64E1" w:rsidP="00DE3FBF">
      <w:pPr>
        <w:overflowPunct w:val="0"/>
        <w:textAlignment w:val="baseline"/>
      </w:pPr>
      <w:r>
        <w:t>No stipend will be provided</w:t>
      </w:r>
      <w:r w:rsidR="0044528D">
        <w:t>, although we are concerned that this will have a negative impact on participation.</w:t>
      </w:r>
    </w:p>
    <w:p w14:paraId="0F882180" w14:textId="77777777" w:rsidR="003F1C7A" w:rsidRDefault="003F1C7A"/>
    <w:p w14:paraId="7479EC89" w14:textId="77777777" w:rsidR="003F1C7A" w:rsidRDefault="003F1C7A" w:rsidP="00DE3FBF">
      <w:pPr>
        <w:overflowPunct w:val="0"/>
        <w:textAlignment w:val="baseline"/>
        <w:rPr>
          <w:i/>
        </w:rPr>
      </w:pPr>
      <w:r>
        <w:rPr>
          <w:b/>
        </w:rPr>
        <w:t>BURDEN HOUR COMPUTATION</w:t>
      </w:r>
      <w:r>
        <w:t xml:space="preserve"> </w:t>
      </w:r>
      <w:r>
        <w:rPr>
          <w:i/>
        </w:rPr>
        <w:t>(Number of responses (X) estimated response or participation time in minutes (/60) = annual burden hours):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530"/>
        <w:gridCol w:w="1350"/>
        <w:gridCol w:w="1170"/>
        <w:gridCol w:w="990"/>
        <w:gridCol w:w="900"/>
        <w:gridCol w:w="1355"/>
      </w:tblGrid>
      <w:tr w:rsidR="00670388" w:rsidRPr="007D11E3" w14:paraId="08CCD36D" w14:textId="77777777" w:rsidTr="002E2018">
        <w:trPr>
          <w:jc w:val="center"/>
        </w:trPr>
        <w:tc>
          <w:tcPr>
            <w:tcW w:w="2065" w:type="dxa"/>
            <w:shd w:val="clear" w:color="auto" w:fill="D9D9D9"/>
            <w:vAlign w:val="center"/>
            <w:hideMark/>
          </w:tcPr>
          <w:p w14:paraId="79720F72" w14:textId="77777777" w:rsidR="00670388" w:rsidRPr="007D11E3" w:rsidRDefault="00670388" w:rsidP="00DE3FBF">
            <w:pPr>
              <w:ind w:left="72"/>
              <w:rPr>
                <w:rFonts w:asciiTheme="minorHAnsi" w:hAnsiTheme="minorHAnsi" w:cstheme="minorHAnsi"/>
                <w:b/>
                <w:sz w:val="20"/>
                <w:szCs w:val="20"/>
              </w:rPr>
            </w:pPr>
            <w:bookmarkStart w:id="2" w:name="_Hlk494889914"/>
            <w:r w:rsidRPr="007D11E3">
              <w:rPr>
                <w:rFonts w:asciiTheme="minorHAnsi" w:hAnsiTheme="minorHAnsi" w:cstheme="minorHAnsi"/>
                <w:b/>
                <w:sz w:val="20"/>
                <w:szCs w:val="20"/>
              </w:rPr>
              <w:t>Type of Respondent</w:t>
            </w:r>
          </w:p>
        </w:tc>
        <w:tc>
          <w:tcPr>
            <w:tcW w:w="1530" w:type="dxa"/>
            <w:shd w:val="clear" w:color="auto" w:fill="D9D9D9"/>
            <w:vAlign w:val="center"/>
            <w:hideMark/>
          </w:tcPr>
          <w:p w14:paraId="27C77B0E" w14:textId="77777777" w:rsidR="00670388" w:rsidRPr="007D11E3" w:rsidRDefault="00670388" w:rsidP="00DE3FBF">
            <w:pPr>
              <w:ind w:left="72"/>
              <w:jc w:val="center"/>
              <w:rPr>
                <w:rFonts w:asciiTheme="minorHAnsi" w:hAnsiTheme="minorHAnsi" w:cstheme="minorHAnsi"/>
                <w:b/>
                <w:sz w:val="20"/>
                <w:szCs w:val="20"/>
              </w:rPr>
            </w:pPr>
            <w:r w:rsidRPr="007D11E3">
              <w:rPr>
                <w:rFonts w:asciiTheme="minorHAnsi" w:hAnsiTheme="minorHAnsi" w:cstheme="minorHAnsi"/>
                <w:b/>
                <w:sz w:val="20"/>
                <w:szCs w:val="20"/>
              </w:rPr>
              <w:t>No. of Respondents</w:t>
            </w:r>
          </w:p>
        </w:tc>
        <w:tc>
          <w:tcPr>
            <w:tcW w:w="1350" w:type="dxa"/>
            <w:shd w:val="clear" w:color="auto" w:fill="D9D9D9"/>
            <w:vAlign w:val="center"/>
            <w:hideMark/>
          </w:tcPr>
          <w:p w14:paraId="2AC89EA1" w14:textId="77777777" w:rsidR="00670388" w:rsidRPr="007D11E3" w:rsidRDefault="00670388" w:rsidP="00DE3FBF">
            <w:pPr>
              <w:ind w:left="72"/>
              <w:jc w:val="center"/>
              <w:rPr>
                <w:rFonts w:asciiTheme="minorHAnsi" w:hAnsiTheme="minorHAnsi" w:cstheme="minorHAnsi"/>
                <w:b/>
                <w:sz w:val="20"/>
                <w:szCs w:val="20"/>
              </w:rPr>
            </w:pPr>
            <w:r w:rsidRPr="007D11E3">
              <w:rPr>
                <w:rFonts w:asciiTheme="minorHAnsi" w:hAnsiTheme="minorHAnsi" w:cstheme="minorHAnsi"/>
                <w:b/>
                <w:sz w:val="20"/>
                <w:szCs w:val="20"/>
              </w:rPr>
              <w:t>No. of Responses per Respondent</w:t>
            </w:r>
          </w:p>
        </w:tc>
        <w:tc>
          <w:tcPr>
            <w:tcW w:w="1170" w:type="dxa"/>
            <w:shd w:val="clear" w:color="auto" w:fill="D9D9D9"/>
            <w:vAlign w:val="center"/>
            <w:hideMark/>
          </w:tcPr>
          <w:p w14:paraId="6D7A5875" w14:textId="77777777" w:rsidR="00670388" w:rsidRPr="007D11E3" w:rsidRDefault="00670388" w:rsidP="00DE3FBF">
            <w:pPr>
              <w:ind w:left="72"/>
              <w:jc w:val="center"/>
              <w:rPr>
                <w:rFonts w:asciiTheme="minorHAnsi" w:hAnsiTheme="minorHAnsi" w:cstheme="minorHAnsi"/>
                <w:b/>
                <w:sz w:val="20"/>
                <w:szCs w:val="20"/>
              </w:rPr>
            </w:pPr>
            <w:r w:rsidRPr="007D11E3">
              <w:rPr>
                <w:rFonts w:asciiTheme="minorHAnsi" w:hAnsiTheme="minorHAnsi" w:cstheme="minorHAnsi"/>
                <w:b/>
                <w:sz w:val="20"/>
                <w:szCs w:val="20"/>
              </w:rPr>
              <w:t>Average Burden per Response (in hours)</w:t>
            </w:r>
          </w:p>
        </w:tc>
        <w:tc>
          <w:tcPr>
            <w:tcW w:w="990" w:type="dxa"/>
            <w:shd w:val="clear" w:color="auto" w:fill="D9D9D9"/>
            <w:vAlign w:val="center"/>
            <w:hideMark/>
          </w:tcPr>
          <w:p w14:paraId="09A075C5" w14:textId="77777777" w:rsidR="00670388" w:rsidRPr="007D11E3" w:rsidRDefault="00670388" w:rsidP="00DE3FBF">
            <w:pPr>
              <w:ind w:left="72"/>
              <w:jc w:val="center"/>
              <w:rPr>
                <w:rFonts w:asciiTheme="minorHAnsi" w:hAnsiTheme="minorHAnsi" w:cstheme="minorHAnsi"/>
                <w:b/>
                <w:sz w:val="20"/>
                <w:szCs w:val="20"/>
              </w:rPr>
            </w:pPr>
            <w:r w:rsidRPr="007D11E3">
              <w:rPr>
                <w:rFonts w:asciiTheme="minorHAnsi" w:hAnsiTheme="minorHAnsi" w:cstheme="minorHAnsi"/>
                <w:b/>
                <w:sz w:val="20"/>
                <w:szCs w:val="20"/>
              </w:rPr>
              <w:t>Total Burden Hours</w:t>
            </w:r>
          </w:p>
        </w:tc>
        <w:tc>
          <w:tcPr>
            <w:tcW w:w="900" w:type="dxa"/>
            <w:shd w:val="clear" w:color="auto" w:fill="D9D9D9"/>
            <w:vAlign w:val="center"/>
            <w:hideMark/>
          </w:tcPr>
          <w:p w14:paraId="6BD2C461" w14:textId="77777777" w:rsidR="00670388" w:rsidRPr="007D11E3" w:rsidRDefault="00670388" w:rsidP="00DE3FBF">
            <w:pPr>
              <w:ind w:left="72"/>
              <w:jc w:val="center"/>
              <w:rPr>
                <w:rFonts w:asciiTheme="minorHAnsi" w:hAnsiTheme="minorHAnsi" w:cstheme="minorHAnsi"/>
                <w:b/>
                <w:sz w:val="20"/>
                <w:szCs w:val="20"/>
              </w:rPr>
            </w:pPr>
            <w:r w:rsidRPr="007D11E3">
              <w:rPr>
                <w:rFonts w:asciiTheme="minorHAnsi" w:hAnsiTheme="minorHAnsi" w:cstheme="minorHAnsi"/>
                <w:b/>
                <w:sz w:val="20"/>
                <w:szCs w:val="20"/>
              </w:rPr>
              <w:t>Hourly Wage Rate</w:t>
            </w:r>
          </w:p>
        </w:tc>
        <w:tc>
          <w:tcPr>
            <w:tcW w:w="1355" w:type="dxa"/>
            <w:shd w:val="clear" w:color="auto" w:fill="D9D9D9"/>
            <w:vAlign w:val="center"/>
            <w:hideMark/>
          </w:tcPr>
          <w:p w14:paraId="0FC4B7D3" w14:textId="77777777" w:rsidR="00670388" w:rsidRPr="007D11E3" w:rsidRDefault="00670388" w:rsidP="00DE3FBF">
            <w:pPr>
              <w:ind w:left="72"/>
              <w:jc w:val="center"/>
              <w:rPr>
                <w:rFonts w:asciiTheme="minorHAnsi" w:hAnsiTheme="minorHAnsi" w:cstheme="minorHAnsi"/>
                <w:b/>
                <w:sz w:val="20"/>
                <w:szCs w:val="20"/>
              </w:rPr>
            </w:pPr>
            <w:r w:rsidRPr="007D11E3">
              <w:rPr>
                <w:rFonts w:asciiTheme="minorHAnsi" w:hAnsiTheme="minorHAnsi" w:cstheme="minorHAnsi"/>
                <w:b/>
                <w:sz w:val="20"/>
                <w:szCs w:val="20"/>
              </w:rPr>
              <w:t>Total Respondent Costs</w:t>
            </w:r>
          </w:p>
        </w:tc>
      </w:tr>
      <w:tr w:rsidR="00A51518" w:rsidRPr="007D11E3" w14:paraId="11E2E512" w14:textId="77777777" w:rsidTr="002E2018">
        <w:trPr>
          <w:jc w:val="center"/>
        </w:trPr>
        <w:tc>
          <w:tcPr>
            <w:tcW w:w="2065" w:type="dxa"/>
            <w:vAlign w:val="center"/>
            <w:hideMark/>
          </w:tcPr>
          <w:p w14:paraId="34D7B1CC" w14:textId="77777777" w:rsidR="00A51518" w:rsidRPr="007D11E3" w:rsidRDefault="00A51518" w:rsidP="00DE3FBF">
            <w:pPr>
              <w:ind w:left="72"/>
              <w:rPr>
                <w:rFonts w:asciiTheme="minorHAnsi" w:hAnsiTheme="minorHAnsi" w:cstheme="minorHAnsi"/>
                <w:sz w:val="20"/>
                <w:szCs w:val="20"/>
              </w:rPr>
            </w:pPr>
            <w:r w:rsidRPr="007D11E3">
              <w:rPr>
                <w:rFonts w:asciiTheme="minorHAnsi" w:hAnsiTheme="minorHAnsi" w:cstheme="minorHAnsi"/>
                <w:sz w:val="20"/>
                <w:szCs w:val="20"/>
              </w:rPr>
              <w:t>Clinical trial experts</w:t>
            </w:r>
          </w:p>
        </w:tc>
        <w:tc>
          <w:tcPr>
            <w:tcW w:w="1530" w:type="dxa"/>
            <w:vAlign w:val="center"/>
            <w:hideMark/>
          </w:tcPr>
          <w:p w14:paraId="51CCB799" w14:textId="77777777"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40</w:t>
            </w:r>
          </w:p>
        </w:tc>
        <w:tc>
          <w:tcPr>
            <w:tcW w:w="1350" w:type="dxa"/>
            <w:vAlign w:val="center"/>
            <w:hideMark/>
          </w:tcPr>
          <w:p w14:paraId="35AC5647" w14:textId="77777777"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1</w:t>
            </w:r>
          </w:p>
        </w:tc>
        <w:tc>
          <w:tcPr>
            <w:tcW w:w="1170" w:type="dxa"/>
            <w:vAlign w:val="center"/>
            <w:hideMark/>
          </w:tcPr>
          <w:p w14:paraId="2F76B8A3" w14:textId="0BE6A85D"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1</w:t>
            </w:r>
          </w:p>
        </w:tc>
        <w:tc>
          <w:tcPr>
            <w:tcW w:w="990" w:type="dxa"/>
            <w:vAlign w:val="center"/>
            <w:hideMark/>
          </w:tcPr>
          <w:p w14:paraId="78960CB1" w14:textId="32E22AFD"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40</w:t>
            </w:r>
          </w:p>
        </w:tc>
        <w:tc>
          <w:tcPr>
            <w:tcW w:w="900" w:type="dxa"/>
            <w:vAlign w:val="center"/>
            <w:hideMark/>
          </w:tcPr>
          <w:p w14:paraId="2F71ED72" w14:textId="7A5BB0C4"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$78.40</w:t>
            </w:r>
          </w:p>
        </w:tc>
        <w:tc>
          <w:tcPr>
            <w:tcW w:w="1355" w:type="dxa"/>
            <w:vAlign w:val="center"/>
            <w:hideMark/>
          </w:tcPr>
          <w:p w14:paraId="40AEEDBB" w14:textId="2391A57F" w:rsidR="00A51518" w:rsidRPr="007D11E3" w:rsidRDefault="00EE141B" w:rsidP="00DE3FBF">
            <w:pPr>
              <w:jc w:val="right"/>
              <w:rPr>
                <w:rFonts w:asciiTheme="minorHAnsi" w:hAnsiTheme="minorHAnsi" w:cstheme="minorHAnsi"/>
                <w:color w:val="000000"/>
                <w:sz w:val="20"/>
                <w:szCs w:val="20"/>
              </w:rPr>
            </w:pPr>
            <w:r>
              <w:rPr>
                <w:rFonts w:asciiTheme="minorHAnsi" w:hAnsiTheme="minorHAnsi" w:cstheme="minorHAnsi"/>
                <w:color w:val="000000"/>
                <w:sz w:val="20"/>
                <w:szCs w:val="20"/>
              </w:rPr>
              <w:t>$3,136.00</w:t>
            </w:r>
          </w:p>
        </w:tc>
      </w:tr>
      <w:tr w:rsidR="00A51518" w:rsidRPr="007D11E3" w14:paraId="1F16341F" w14:textId="77777777" w:rsidTr="002E2018">
        <w:trPr>
          <w:jc w:val="center"/>
        </w:trPr>
        <w:tc>
          <w:tcPr>
            <w:tcW w:w="2065" w:type="dxa"/>
            <w:tcBorders>
              <w:bottom w:val="single" w:sz="4" w:space="0" w:color="000000"/>
            </w:tcBorders>
            <w:vAlign w:val="center"/>
            <w:hideMark/>
          </w:tcPr>
          <w:p w14:paraId="487A979D" w14:textId="77777777" w:rsidR="00A51518" w:rsidRPr="007D11E3" w:rsidRDefault="00A51518" w:rsidP="00DE3FBF">
            <w:pPr>
              <w:ind w:left="72"/>
              <w:rPr>
                <w:rFonts w:asciiTheme="minorHAnsi" w:hAnsiTheme="minorHAnsi" w:cstheme="minorHAnsi"/>
                <w:sz w:val="20"/>
                <w:szCs w:val="20"/>
              </w:rPr>
            </w:pPr>
            <w:r w:rsidRPr="007D11E3">
              <w:rPr>
                <w:rFonts w:asciiTheme="minorHAnsi" w:hAnsiTheme="minorHAnsi" w:cstheme="minorHAnsi"/>
                <w:sz w:val="20"/>
                <w:szCs w:val="20"/>
              </w:rPr>
              <w:t>TOTALS</w:t>
            </w:r>
          </w:p>
        </w:tc>
        <w:tc>
          <w:tcPr>
            <w:tcW w:w="1530" w:type="dxa"/>
            <w:tcBorders>
              <w:bottom w:val="single" w:sz="4" w:space="0" w:color="000000"/>
            </w:tcBorders>
            <w:vAlign w:val="center"/>
            <w:hideMark/>
          </w:tcPr>
          <w:p w14:paraId="22174518" w14:textId="77777777"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40</w:t>
            </w:r>
          </w:p>
        </w:tc>
        <w:tc>
          <w:tcPr>
            <w:tcW w:w="1350" w:type="dxa"/>
            <w:tcBorders>
              <w:bottom w:val="single" w:sz="4" w:space="0" w:color="000000"/>
            </w:tcBorders>
            <w:vAlign w:val="center"/>
          </w:tcPr>
          <w:p w14:paraId="71C26223" w14:textId="77777777"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40</w:t>
            </w:r>
          </w:p>
        </w:tc>
        <w:tc>
          <w:tcPr>
            <w:tcW w:w="1170" w:type="dxa"/>
            <w:tcBorders>
              <w:bottom w:val="single" w:sz="4" w:space="0" w:color="000000"/>
            </w:tcBorders>
            <w:shd w:val="clear" w:color="auto" w:fill="D9D9D9"/>
            <w:vAlign w:val="center"/>
          </w:tcPr>
          <w:p w14:paraId="493BD04D" w14:textId="4DE3FC0F" w:rsidR="00A51518" w:rsidRPr="007D11E3" w:rsidRDefault="00A51518" w:rsidP="00DE3FBF">
            <w:pPr>
              <w:rPr>
                <w:rFonts w:asciiTheme="minorHAnsi" w:hAnsiTheme="minorHAnsi" w:cstheme="minorHAnsi"/>
                <w:color w:val="000000"/>
                <w:sz w:val="20"/>
                <w:szCs w:val="20"/>
              </w:rPr>
            </w:pPr>
          </w:p>
        </w:tc>
        <w:tc>
          <w:tcPr>
            <w:tcW w:w="990" w:type="dxa"/>
            <w:tcBorders>
              <w:bottom w:val="single" w:sz="4" w:space="0" w:color="000000"/>
            </w:tcBorders>
            <w:vAlign w:val="center"/>
            <w:hideMark/>
          </w:tcPr>
          <w:p w14:paraId="16B2EFEB" w14:textId="43A39C27"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40</w:t>
            </w:r>
          </w:p>
        </w:tc>
        <w:tc>
          <w:tcPr>
            <w:tcW w:w="900" w:type="dxa"/>
            <w:tcBorders>
              <w:bottom w:val="single" w:sz="4" w:space="0" w:color="000000"/>
            </w:tcBorders>
            <w:shd w:val="clear" w:color="auto" w:fill="D9D9D9"/>
            <w:vAlign w:val="center"/>
          </w:tcPr>
          <w:p w14:paraId="69AACAF5" w14:textId="3E6B3ADD" w:rsidR="00A51518" w:rsidRPr="007D11E3" w:rsidRDefault="00A51518" w:rsidP="00DE3FBF">
            <w:pPr>
              <w:rPr>
                <w:rFonts w:asciiTheme="minorHAnsi" w:hAnsiTheme="minorHAnsi" w:cstheme="minorHAnsi"/>
                <w:color w:val="000000"/>
                <w:sz w:val="20"/>
                <w:szCs w:val="20"/>
              </w:rPr>
            </w:pPr>
          </w:p>
        </w:tc>
        <w:tc>
          <w:tcPr>
            <w:tcW w:w="1355" w:type="dxa"/>
            <w:tcBorders>
              <w:bottom w:val="single" w:sz="4" w:space="0" w:color="000000"/>
            </w:tcBorders>
            <w:vAlign w:val="center"/>
            <w:hideMark/>
          </w:tcPr>
          <w:p w14:paraId="583908DF" w14:textId="32CC5C38" w:rsidR="00A51518" w:rsidRPr="007D11E3" w:rsidRDefault="00A51518" w:rsidP="00DE3FBF">
            <w:pPr>
              <w:jc w:val="right"/>
              <w:rPr>
                <w:rFonts w:asciiTheme="minorHAnsi" w:hAnsiTheme="minorHAnsi" w:cstheme="minorHAnsi"/>
                <w:color w:val="000000"/>
                <w:sz w:val="20"/>
                <w:szCs w:val="20"/>
              </w:rPr>
            </w:pPr>
            <w:r w:rsidRPr="007D11E3">
              <w:rPr>
                <w:rFonts w:asciiTheme="minorHAnsi" w:hAnsiTheme="minorHAnsi" w:cstheme="minorHAnsi"/>
                <w:color w:val="000000"/>
                <w:sz w:val="20"/>
                <w:szCs w:val="20"/>
              </w:rPr>
              <w:t>$3,136.00</w:t>
            </w:r>
          </w:p>
        </w:tc>
      </w:tr>
      <w:tr w:rsidR="00431AC2" w:rsidRPr="007D11E3" w14:paraId="76722D9A" w14:textId="77777777" w:rsidTr="00DE3FBF">
        <w:trPr>
          <w:jc w:val="center"/>
        </w:trPr>
        <w:tc>
          <w:tcPr>
            <w:tcW w:w="9360" w:type="dxa"/>
            <w:gridSpan w:val="7"/>
            <w:tcBorders>
              <w:left w:val="nil"/>
              <w:bottom w:val="nil"/>
              <w:right w:val="nil"/>
            </w:tcBorders>
            <w:vAlign w:val="center"/>
          </w:tcPr>
          <w:p w14:paraId="14950E6A" w14:textId="77777777" w:rsidR="00431AC2" w:rsidRPr="007D11E3" w:rsidRDefault="00431AC2" w:rsidP="00DE3FBF">
            <w:pPr>
              <w:rPr>
                <w:rFonts w:asciiTheme="minorHAnsi" w:hAnsiTheme="minorHAnsi" w:cstheme="minorHAnsi"/>
                <w:color w:val="000000"/>
                <w:sz w:val="20"/>
                <w:szCs w:val="20"/>
              </w:rPr>
            </w:pPr>
            <w:r w:rsidRPr="007D11E3">
              <w:rPr>
                <w:rFonts w:asciiTheme="minorHAnsi" w:hAnsiTheme="minorHAnsi" w:cstheme="minorHAnsi"/>
                <w:color w:val="000000"/>
                <w:sz w:val="20"/>
                <w:szCs w:val="20"/>
              </w:rPr>
              <w:t>Sources: Bureau of Labor Statistics (BLS). 2017. Employer Costs for Employee Compensation Supplementary Tables Historical Data December 2006 – December 2016. Available at https://www.bls.gov/ncs/ect/sp/ecsuphst.pdf (Accessed March 24, 2017).</w:t>
            </w:r>
            <w:r w:rsidRPr="007D11E3">
              <w:rPr>
                <w:rFonts w:asciiTheme="minorHAnsi" w:hAnsiTheme="minorHAnsi" w:cstheme="minorHAnsi"/>
                <w:color w:val="000000"/>
                <w:sz w:val="20"/>
                <w:szCs w:val="20"/>
              </w:rPr>
              <w:br/>
              <w:t>Rice, C. 2002. Wage Rates for Economic Analysis of the Toxics Release Inventory Program. June 10, 2002</w:t>
            </w:r>
            <w:r w:rsidRPr="007D11E3">
              <w:rPr>
                <w:rFonts w:asciiTheme="minorHAnsi" w:hAnsiTheme="minorHAnsi" w:cstheme="minorHAnsi"/>
                <w:color w:val="000000"/>
                <w:sz w:val="20"/>
                <w:szCs w:val="20"/>
              </w:rPr>
              <w:br/>
              <w:t>Environmental Protection Agency (EPA). 2002. Revised Economic Analysis for the Amended Inventory Update Rule: Final report. August, 2002. Docket ID: EPA-HQ-OPPT-2002-0054-0260. Available at http://www.regulations.gov/#!documentDetail;D=EPA-HQ-OPPT-2002-0054-0260 (Accessed January 28, 2015).</w:t>
            </w:r>
          </w:p>
          <w:p w14:paraId="6E5CBAAB" w14:textId="65B93A8C" w:rsidR="00DE3FBF" w:rsidRPr="007D11E3" w:rsidRDefault="00DE3FBF" w:rsidP="00DE3FBF">
            <w:pPr>
              <w:rPr>
                <w:rFonts w:asciiTheme="minorHAnsi" w:hAnsiTheme="minorHAnsi" w:cstheme="minorHAnsi"/>
                <w:color w:val="000000"/>
                <w:sz w:val="20"/>
                <w:szCs w:val="20"/>
              </w:rPr>
            </w:pPr>
            <w:r w:rsidRPr="007D11E3">
              <w:rPr>
                <w:rFonts w:asciiTheme="minorHAnsi" w:hAnsiTheme="minorHAnsi" w:cstheme="minorHAnsi"/>
                <w:color w:val="000000"/>
                <w:sz w:val="20"/>
                <w:szCs w:val="20"/>
              </w:rPr>
              <w:t>Note: Wage used is the loaded hourly wage for professional/technical personnel, with a 17 percent overhead rate applied.</w:t>
            </w:r>
          </w:p>
        </w:tc>
      </w:tr>
      <w:bookmarkEnd w:id="2"/>
    </w:tbl>
    <w:p w14:paraId="1EAED56F" w14:textId="77777777" w:rsidR="003F1C7A" w:rsidRDefault="003F1C7A" w:rsidP="00DE3FBF">
      <w:pPr>
        <w:overflowPunct w:val="0"/>
        <w:textAlignment w:val="baseline"/>
      </w:pPr>
    </w:p>
    <w:p w14:paraId="343ECF87" w14:textId="77777777" w:rsidR="003F1C7A" w:rsidRDefault="003F1C7A" w:rsidP="00DE3FBF">
      <w:pPr>
        <w:overflowPunct w:val="0"/>
        <w:textAlignment w:val="baseline"/>
        <w:rPr>
          <w:b/>
        </w:rPr>
      </w:pPr>
      <w:r>
        <w:rPr>
          <w:b/>
        </w:rPr>
        <w:t>BURDEN COST COMPUTATION</w:t>
      </w:r>
    </w:p>
    <w:tbl>
      <w:tblPr>
        <w:tblStyle w:val="TableGrid"/>
        <w:tblW w:w="9360" w:type="dxa"/>
        <w:jc w:val="center"/>
        <w:tblLook w:val="04A0" w:firstRow="1" w:lastRow="0" w:firstColumn="1" w:lastColumn="0" w:noHBand="0" w:noVBand="1"/>
      </w:tblPr>
      <w:tblGrid>
        <w:gridCol w:w="3825"/>
        <w:gridCol w:w="1956"/>
        <w:gridCol w:w="1708"/>
        <w:gridCol w:w="1871"/>
      </w:tblGrid>
      <w:tr w:rsidR="00670388" w:rsidRPr="007D11E3" w14:paraId="69D1FBEA" w14:textId="77777777" w:rsidTr="00DE3FBF">
        <w:trPr>
          <w:jc w:val="center"/>
        </w:trPr>
        <w:tc>
          <w:tcPr>
            <w:tcW w:w="3825" w:type="dxa"/>
            <w:shd w:val="clear" w:color="auto" w:fill="D9D9D9"/>
            <w:vAlign w:val="center"/>
            <w:hideMark/>
          </w:tcPr>
          <w:p w14:paraId="68AC3D77" w14:textId="77777777" w:rsidR="00670388" w:rsidRPr="007D11E3" w:rsidRDefault="00670388" w:rsidP="00DE3FBF">
            <w:pPr>
              <w:rPr>
                <w:rFonts w:asciiTheme="minorHAnsi" w:eastAsia="Times New Roman" w:hAnsiTheme="minorHAnsi" w:cstheme="minorHAnsi"/>
                <w:b/>
                <w:sz w:val="20"/>
                <w:szCs w:val="20"/>
              </w:rPr>
            </w:pPr>
            <w:bookmarkStart w:id="3" w:name="_Hlk494889949"/>
            <w:r w:rsidRPr="007D11E3">
              <w:rPr>
                <w:rFonts w:asciiTheme="minorHAnsi" w:eastAsia="Times New Roman" w:hAnsiTheme="minorHAnsi" w:cstheme="minorHAnsi"/>
                <w:b/>
                <w:sz w:val="20"/>
                <w:szCs w:val="20"/>
              </w:rPr>
              <w:t xml:space="preserve">Staff (FTE) </w:t>
            </w:r>
          </w:p>
        </w:tc>
        <w:tc>
          <w:tcPr>
            <w:tcW w:w="1956" w:type="dxa"/>
            <w:shd w:val="clear" w:color="auto" w:fill="D9D9D9"/>
            <w:vAlign w:val="center"/>
            <w:hideMark/>
          </w:tcPr>
          <w:p w14:paraId="32BEECC0" w14:textId="77777777" w:rsidR="00670388" w:rsidRPr="007D11E3" w:rsidRDefault="00670388" w:rsidP="002E2018">
            <w:pPr>
              <w:ind w:left="29"/>
              <w:jc w:val="center"/>
              <w:rPr>
                <w:rFonts w:asciiTheme="minorHAnsi" w:eastAsia="Times New Roman" w:hAnsiTheme="minorHAnsi" w:cstheme="minorHAnsi"/>
                <w:b/>
                <w:sz w:val="20"/>
                <w:szCs w:val="20"/>
              </w:rPr>
            </w:pPr>
            <w:r w:rsidRPr="007D11E3">
              <w:rPr>
                <w:rFonts w:asciiTheme="minorHAnsi" w:eastAsia="Times New Roman" w:hAnsiTheme="minorHAnsi" w:cstheme="minorHAnsi"/>
                <w:b/>
                <w:sz w:val="20"/>
                <w:szCs w:val="20"/>
              </w:rPr>
              <w:t>Average Hours per Collection</w:t>
            </w:r>
          </w:p>
        </w:tc>
        <w:tc>
          <w:tcPr>
            <w:tcW w:w="1708" w:type="dxa"/>
            <w:shd w:val="clear" w:color="auto" w:fill="D9D9D9"/>
            <w:vAlign w:val="center"/>
            <w:hideMark/>
          </w:tcPr>
          <w:p w14:paraId="618D5884" w14:textId="77777777" w:rsidR="00670388" w:rsidRPr="007D11E3" w:rsidRDefault="00670388" w:rsidP="002E2018">
            <w:pPr>
              <w:jc w:val="center"/>
              <w:rPr>
                <w:rFonts w:asciiTheme="minorHAnsi" w:eastAsia="Times New Roman" w:hAnsiTheme="minorHAnsi" w:cstheme="minorHAnsi"/>
                <w:b/>
                <w:sz w:val="20"/>
                <w:szCs w:val="20"/>
              </w:rPr>
            </w:pPr>
            <w:r w:rsidRPr="007D11E3">
              <w:rPr>
                <w:rFonts w:asciiTheme="minorHAnsi" w:eastAsia="Times New Roman" w:hAnsiTheme="minorHAnsi" w:cstheme="minorHAnsi"/>
                <w:b/>
                <w:sz w:val="20"/>
                <w:szCs w:val="20"/>
              </w:rPr>
              <w:t>Average Hourly Rate</w:t>
            </w:r>
          </w:p>
        </w:tc>
        <w:tc>
          <w:tcPr>
            <w:tcW w:w="1871" w:type="dxa"/>
            <w:shd w:val="clear" w:color="auto" w:fill="D9D9D9"/>
            <w:vAlign w:val="center"/>
            <w:hideMark/>
          </w:tcPr>
          <w:p w14:paraId="0689A6D5" w14:textId="77777777" w:rsidR="00670388" w:rsidRPr="007D11E3" w:rsidRDefault="00670388" w:rsidP="002E2018">
            <w:pPr>
              <w:jc w:val="center"/>
              <w:rPr>
                <w:rFonts w:asciiTheme="minorHAnsi" w:eastAsia="Times New Roman" w:hAnsiTheme="minorHAnsi" w:cstheme="minorHAnsi"/>
                <w:b/>
                <w:sz w:val="20"/>
                <w:szCs w:val="20"/>
              </w:rPr>
            </w:pPr>
            <w:r w:rsidRPr="007D11E3">
              <w:rPr>
                <w:rFonts w:asciiTheme="minorHAnsi" w:eastAsia="Times New Roman" w:hAnsiTheme="minorHAnsi" w:cstheme="minorHAnsi"/>
                <w:b/>
                <w:sz w:val="20"/>
                <w:szCs w:val="20"/>
              </w:rPr>
              <w:t>Average Cost</w:t>
            </w:r>
          </w:p>
        </w:tc>
      </w:tr>
      <w:tr w:rsidR="007B4AA3" w:rsidRPr="007D11E3" w14:paraId="6ECC77E3" w14:textId="77777777" w:rsidTr="00DE3FBF">
        <w:trPr>
          <w:jc w:val="center"/>
        </w:trPr>
        <w:tc>
          <w:tcPr>
            <w:tcW w:w="3825" w:type="dxa"/>
            <w:hideMark/>
          </w:tcPr>
          <w:p w14:paraId="37BA253D" w14:textId="77777777" w:rsidR="007B4AA3" w:rsidRPr="007D11E3" w:rsidRDefault="007B4AA3" w:rsidP="00DE3FBF">
            <w:pPr>
              <w:rPr>
                <w:rFonts w:asciiTheme="minorHAnsi" w:eastAsia="Times New Roman" w:hAnsiTheme="minorHAnsi" w:cstheme="minorHAnsi"/>
                <w:sz w:val="20"/>
                <w:szCs w:val="20"/>
              </w:rPr>
            </w:pPr>
            <w:r w:rsidRPr="007D11E3">
              <w:rPr>
                <w:rFonts w:asciiTheme="minorHAnsi" w:eastAsia="Times New Roman" w:hAnsiTheme="minorHAnsi" w:cstheme="minorHAnsi"/>
                <w:sz w:val="20"/>
                <w:szCs w:val="20"/>
              </w:rPr>
              <w:t>Social Science Analyst, GS 11</w:t>
            </w:r>
          </w:p>
        </w:tc>
        <w:tc>
          <w:tcPr>
            <w:tcW w:w="1956" w:type="dxa"/>
            <w:vAlign w:val="bottom"/>
            <w:hideMark/>
          </w:tcPr>
          <w:p w14:paraId="7B3357D8" w14:textId="22EFAFED" w:rsidR="007B4AA3" w:rsidRPr="007D11E3" w:rsidRDefault="00556F13" w:rsidP="00DE3FBF">
            <w:pPr>
              <w:ind w:left="29"/>
              <w:jc w:val="right"/>
              <w:rPr>
                <w:rFonts w:asciiTheme="minorHAnsi" w:eastAsia="Times New Roman" w:hAnsiTheme="minorHAnsi" w:cstheme="minorHAnsi"/>
                <w:sz w:val="20"/>
                <w:szCs w:val="20"/>
              </w:rPr>
            </w:pPr>
            <w:r>
              <w:rPr>
                <w:rFonts w:asciiTheme="minorHAnsi" w:hAnsiTheme="minorHAnsi" w:cstheme="minorHAnsi"/>
                <w:color w:val="000000"/>
                <w:sz w:val="20"/>
                <w:szCs w:val="20"/>
              </w:rPr>
              <w:t>30</w:t>
            </w:r>
          </w:p>
        </w:tc>
        <w:tc>
          <w:tcPr>
            <w:tcW w:w="1708" w:type="dxa"/>
            <w:vAlign w:val="bottom"/>
            <w:hideMark/>
          </w:tcPr>
          <w:p w14:paraId="7BBDECA1" w14:textId="037E8650" w:rsidR="007B4AA3" w:rsidRPr="007D11E3" w:rsidRDefault="007B4AA3" w:rsidP="00DE3FBF">
            <w:pPr>
              <w:jc w:val="right"/>
              <w:rPr>
                <w:rFonts w:asciiTheme="minorHAnsi" w:eastAsia="Times New Roman" w:hAnsiTheme="minorHAnsi" w:cstheme="minorHAnsi"/>
                <w:sz w:val="20"/>
                <w:szCs w:val="20"/>
              </w:rPr>
            </w:pPr>
            <w:r w:rsidRPr="007D11E3">
              <w:rPr>
                <w:rFonts w:asciiTheme="minorHAnsi" w:hAnsiTheme="minorHAnsi" w:cstheme="minorHAnsi"/>
                <w:color w:val="000000"/>
                <w:sz w:val="20"/>
                <w:szCs w:val="20"/>
              </w:rPr>
              <w:t>$57.79</w:t>
            </w:r>
          </w:p>
        </w:tc>
        <w:tc>
          <w:tcPr>
            <w:tcW w:w="1871" w:type="dxa"/>
            <w:vAlign w:val="bottom"/>
            <w:hideMark/>
          </w:tcPr>
          <w:p w14:paraId="402BE3BC" w14:textId="7AAFD886" w:rsidR="007B4AA3" w:rsidRPr="007D11E3" w:rsidRDefault="007B4AA3" w:rsidP="00DE3FBF">
            <w:pPr>
              <w:jc w:val="right"/>
              <w:rPr>
                <w:rFonts w:asciiTheme="minorHAnsi" w:eastAsia="Times New Roman" w:hAnsiTheme="minorHAnsi" w:cstheme="minorHAnsi"/>
                <w:sz w:val="20"/>
                <w:szCs w:val="20"/>
              </w:rPr>
            </w:pPr>
            <w:r w:rsidRPr="007D11E3">
              <w:rPr>
                <w:rFonts w:asciiTheme="minorHAnsi" w:hAnsiTheme="minorHAnsi" w:cstheme="minorHAnsi"/>
                <w:color w:val="000000"/>
                <w:sz w:val="20"/>
                <w:szCs w:val="20"/>
              </w:rPr>
              <w:t>$1,733.70</w:t>
            </w:r>
          </w:p>
        </w:tc>
      </w:tr>
      <w:tr w:rsidR="007B4AA3" w:rsidRPr="007D11E3" w14:paraId="416536F5" w14:textId="77777777" w:rsidTr="00DE3FBF">
        <w:trPr>
          <w:jc w:val="center"/>
        </w:trPr>
        <w:tc>
          <w:tcPr>
            <w:tcW w:w="3825" w:type="dxa"/>
            <w:hideMark/>
          </w:tcPr>
          <w:p w14:paraId="35204271" w14:textId="77777777" w:rsidR="007B4AA3" w:rsidRPr="007D11E3" w:rsidRDefault="007B4AA3" w:rsidP="00DE3FBF">
            <w:pPr>
              <w:rPr>
                <w:rFonts w:asciiTheme="minorHAnsi" w:eastAsia="Times New Roman" w:hAnsiTheme="minorHAnsi" w:cstheme="minorHAnsi"/>
                <w:sz w:val="20"/>
                <w:szCs w:val="20"/>
              </w:rPr>
            </w:pPr>
            <w:r w:rsidRPr="007D11E3">
              <w:rPr>
                <w:rFonts w:asciiTheme="minorHAnsi" w:eastAsia="Times New Roman" w:hAnsiTheme="minorHAnsi" w:cstheme="minorHAnsi"/>
                <w:sz w:val="20"/>
                <w:szCs w:val="20"/>
              </w:rPr>
              <w:t>Social Science Analyst, GS 15</w:t>
            </w:r>
          </w:p>
        </w:tc>
        <w:tc>
          <w:tcPr>
            <w:tcW w:w="1956" w:type="dxa"/>
            <w:vAlign w:val="bottom"/>
            <w:hideMark/>
          </w:tcPr>
          <w:p w14:paraId="31A1B002" w14:textId="3874FE4D" w:rsidR="007B4AA3" w:rsidRPr="007D11E3" w:rsidRDefault="00556F13" w:rsidP="00DE3FBF">
            <w:pPr>
              <w:ind w:left="29"/>
              <w:jc w:val="right"/>
              <w:rPr>
                <w:rFonts w:asciiTheme="minorHAnsi" w:eastAsia="Times New Roman" w:hAnsiTheme="minorHAnsi" w:cstheme="minorHAnsi"/>
                <w:sz w:val="20"/>
                <w:szCs w:val="20"/>
              </w:rPr>
            </w:pPr>
            <w:r>
              <w:rPr>
                <w:rFonts w:asciiTheme="minorHAnsi" w:hAnsiTheme="minorHAnsi" w:cstheme="minorHAnsi"/>
                <w:color w:val="000000"/>
                <w:sz w:val="20"/>
                <w:szCs w:val="20"/>
              </w:rPr>
              <w:t>20</w:t>
            </w:r>
          </w:p>
        </w:tc>
        <w:tc>
          <w:tcPr>
            <w:tcW w:w="1708" w:type="dxa"/>
            <w:vAlign w:val="bottom"/>
            <w:hideMark/>
          </w:tcPr>
          <w:p w14:paraId="22EA1718" w14:textId="0512D572" w:rsidR="007B4AA3" w:rsidRPr="007D11E3" w:rsidRDefault="00A63B69" w:rsidP="00DE3FBF">
            <w:pPr>
              <w:jc w:val="right"/>
              <w:rPr>
                <w:rFonts w:asciiTheme="minorHAnsi" w:eastAsia="Times New Roman" w:hAnsiTheme="minorHAnsi" w:cstheme="minorHAnsi"/>
                <w:sz w:val="20"/>
                <w:szCs w:val="20"/>
              </w:rPr>
            </w:pPr>
            <w:r>
              <w:rPr>
                <w:rFonts w:asciiTheme="minorHAnsi" w:hAnsiTheme="minorHAnsi" w:cstheme="minorHAnsi"/>
                <w:color w:val="000000"/>
                <w:sz w:val="20"/>
                <w:szCs w:val="20"/>
              </w:rPr>
              <w:t>$114.50</w:t>
            </w:r>
          </w:p>
        </w:tc>
        <w:tc>
          <w:tcPr>
            <w:tcW w:w="1871" w:type="dxa"/>
            <w:vAlign w:val="bottom"/>
            <w:hideMark/>
          </w:tcPr>
          <w:p w14:paraId="0984A972" w14:textId="44E35890" w:rsidR="007B4AA3" w:rsidRPr="007D11E3" w:rsidRDefault="007B4AA3" w:rsidP="00DE3FBF">
            <w:pPr>
              <w:jc w:val="right"/>
              <w:rPr>
                <w:rFonts w:asciiTheme="minorHAnsi" w:eastAsia="Times New Roman" w:hAnsiTheme="minorHAnsi" w:cstheme="minorHAnsi"/>
                <w:sz w:val="20"/>
                <w:szCs w:val="20"/>
              </w:rPr>
            </w:pPr>
            <w:r w:rsidRPr="007D11E3">
              <w:rPr>
                <w:rFonts w:asciiTheme="minorHAnsi" w:hAnsiTheme="minorHAnsi" w:cstheme="minorHAnsi"/>
                <w:color w:val="000000"/>
                <w:sz w:val="20"/>
                <w:szCs w:val="20"/>
              </w:rPr>
              <w:t>$2,290.00</w:t>
            </w:r>
          </w:p>
        </w:tc>
      </w:tr>
      <w:tr w:rsidR="007B4AA3" w:rsidRPr="007D11E3" w14:paraId="0191B55C" w14:textId="77777777" w:rsidTr="00DE3FBF">
        <w:trPr>
          <w:jc w:val="center"/>
        </w:trPr>
        <w:tc>
          <w:tcPr>
            <w:tcW w:w="7489" w:type="dxa"/>
            <w:gridSpan w:val="3"/>
            <w:tcBorders>
              <w:bottom w:val="single" w:sz="4" w:space="0" w:color="auto"/>
            </w:tcBorders>
            <w:vAlign w:val="center"/>
            <w:hideMark/>
          </w:tcPr>
          <w:p w14:paraId="78409633" w14:textId="77777777" w:rsidR="007B4AA3" w:rsidRPr="007D11E3" w:rsidRDefault="007B4AA3" w:rsidP="00DE3FBF">
            <w:pPr>
              <w:rPr>
                <w:rFonts w:asciiTheme="minorHAnsi" w:eastAsia="Times New Roman" w:hAnsiTheme="minorHAnsi" w:cstheme="minorHAnsi"/>
                <w:sz w:val="20"/>
                <w:szCs w:val="20"/>
              </w:rPr>
            </w:pPr>
            <w:r w:rsidRPr="007D11E3">
              <w:rPr>
                <w:rFonts w:asciiTheme="minorHAnsi" w:eastAsia="Times New Roman" w:hAnsiTheme="minorHAnsi" w:cstheme="minorHAnsi"/>
                <w:sz w:val="20"/>
                <w:szCs w:val="20"/>
              </w:rPr>
              <w:t>Estimated Total Cost of Information Collection</w:t>
            </w:r>
          </w:p>
        </w:tc>
        <w:tc>
          <w:tcPr>
            <w:tcW w:w="1871" w:type="dxa"/>
            <w:tcBorders>
              <w:bottom w:val="single" w:sz="4" w:space="0" w:color="auto"/>
            </w:tcBorders>
            <w:vAlign w:val="center"/>
            <w:hideMark/>
          </w:tcPr>
          <w:p w14:paraId="60CF08CE" w14:textId="2041F3E8" w:rsidR="007B4AA3" w:rsidRPr="007D11E3" w:rsidRDefault="007B4AA3" w:rsidP="00DE3FBF">
            <w:pPr>
              <w:jc w:val="right"/>
              <w:rPr>
                <w:rFonts w:asciiTheme="minorHAnsi" w:eastAsia="Times New Roman" w:hAnsiTheme="minorHAnsi" w:cstheme="minorHAnsi"/>
                <w:sz w:val="20"/>
                <w:szCs w:val="20"/>
              </w:rPr>
            </w:pPr>
            <w:r w:rsidRPr="007D11E3">
              <w:rPr>
                <w:rFonts w:asciiTheme="minorHAnsi" w:hAnsiTheme="minorHAnsi" w:cstheme="minorHAnsi"/>
                <w:color w:val="000000"/>
                <w:sz w:val="20"/>
                <w:szCs w:val="20"/>
              </w:rPr>
              <w:t>$3,253.70</w:t>
            </w:r>
          </w:p>
        </w:tc>
      </w:tr>
      <w:tr w:rsidR="00431AC2" w:rsidRPr="007D11E3" w14:paraId="173DCFC3" w14:textId="77777777" w:rsidTr="00DE3FBF">
        <w:trPr>
          <w:jc w:val="center"/>
        </w:trPr>
        <w:tc>
          <w:tcPr>
            <w:tcW w:w="9360" w:type="dxa"/>
            <w:gridSpan w:val="4"/>
            <w:tcBorders>
              <w:left w:val="nil"/>
              <w:bottom w:val="nil"/>
              <w:right w:val="nil"/>
            </w:tcBorders>
            <w:vAlign w:val="center"/>
          </w:tcPr>
          <w:p w14:paraId="13E7A7CB" w14:textId="77777777" w:rsidR="00431AC2" w:rsidRPr="007D11E3" w:rsidRDefault="00431AC2" w:rsidP="00431AC2">
            <w:pPr>
              <w:rPr>
                <w:rFonts w:asciiTheme="minorHAnsi" w:hAnsiTheme="minorHAnsi" w:cstheme="minorHAnsi"/>
                <w:color w:val="000000"/>
                <w:sz w:val="20"/>
                <w:szCs w:val="20"/>
              </w:rPr>
            </w:pPr>
            <w:r w:rsidRPr="007D11E3">
              <w:rPr>
                <w:rFonts w:asciiTheme="minorHAnsi" w:hAnsiTheme="minorHAnsi" w:cstheme="minorHAnsi"/>
                <w:color w:val="000000"/>
                <w:sz w:val="20"/>
                <w:szCs w:val="20"/>
              </w:rPr>
              <w:t>Source: US Office of Personnel Management (OPM). 2017. Salary Table 201-DCB (LEO) (Hourly Rate) - Effective January 2017. Available at https://www.opm.gov/policy-data-oversight/pay-leave/salaries-wages/salary-tables/17Tables/html/DCB_h.aspx (Accessed March 24, 2017).</w:t>
            </w:r>
          </w:p>
          <w:p w14:paraId="78D8262F" w14:textId="7C1C2540" w:rsidR="00DE3FBF" w:rsidRPr="007D11E3" w:rsidRDefault="00DE3FBF" w:rsidP="00431AC2">
            <w:pPr>
              <w:rPr>
                <w:rFonts w:asciiTheme="minorHAnsi" w:hAnsiTheme="minorHAnsi" w:cstheme="minorHAnsi"/>
                <w:color w:val="000000"/>
                <w:sz w:val="20"/>
                <w:szCs w:val="20"/>
              </w:rPr>
            </w:pPr>
            <w:r w:rsidRPr="007D11E3">
              <w:rPr>
                <w:rFonts w:asciiTheme="minorHAnsi" w:hAnsiTheme="minorHAnsi" w:cstheme="minorHAnsi"/>
                <w:color w:val="000000"/>
                <w:sz w:val="20"/>
                <w:szCs w:val="20"/>
              </w:rPr>
              <w:t>Note: A 60 percent fringe and overhead factor is applied to base wages.</w:t>
            </w:r>
          </w:p>
        </w:tc>
      </w:tr>
      <w:bookmarkEnd w:id="3"/>
    </w:tbl>
    <w:p w14:paraId="0D08630C" w14:textId="0090D300" w:rsidR="007D11E3" w:rsidRDefault="007D11E3">
      <w:pPr>
        <w:rPr>
          <w:b/>
          <w:bCs/>
          <w:u w:val="single"/>
        </w:rPr>
      </w:pPr>
    </w:p>
    <w:p w14:paraId="3AC89788" w14:textId="72D91505" w:rsidR="003F1C7A" w:rsidRDefault="0037375D" w:rsidP="00DE3FBF">
      <w:pPr>
        <w:overflowPunct w:val="0"/>
        <w:textAlignment w:val="baseline"/>
        <w:rPr>
          <w:b/>
          <w:bCs/>
        </w:rPr>
      </w:pPr>
      <w:r>
        <w:rPr>
          <w:b/>
          <w:bCs/>
          <w:u w:val="single"/>
        </w:rPr>
        <w:t>OTHER SUPPORTING</w:t>
      </w:r>
      <w:r w:rsidR="003F1C7A">
        <w:rPr>
          <w:b/>
          <w:bCs/>
          <w:u w:val="single"/>
        </w:rPr>
        <w:t xml:space="preserve"> INFORMATION</w:t>
      </w:r>
      <w:r w:rsidR="003F1C7A">
        <w:rPr>
          <w:b/>
          <w:bCs/>
        </w:rPr>
        <w:t xml:space="preserve"> </w:t>
      </w:r>
    </w:p>
    <w:p w14:paraId="3C6A0A68" w14:textId="77777777" w:rsidR="003F1C7A" w:rsidRDefault="003F1C7A" w:rsidP="00DE3FBF">
      <w:pPr>
        <w:overflowPunct w:val="0"/>
        <w:textAlignment w:val="baseline"/>
      </w:pPr>
    </w:p>
    <w:p w14:paraId="4B1E14FE" w14:textId="2E11EBD3" w:rsidR="003F1C7A" w:rsidRDefault="00213106" w:rsidP="00DE3FBF">
      <w:pPr>
        <w:overflowPunct w:val="0"/>
        <w:textAlignment w:val="baseline"/>
        <w:rPr>
          <w:b/>
        </w:rPr>
      </w:pPr>
      <w:r>
        <w:rPr>
          <w:b/>
        </w:rPr>
        <w:t xml:space="preserve">REQUESTED APPROVAL DATE: </w:t>
      </w:r>
      <w:r w:rsidR="000478B4">
        <w:t>December 5</w:t>
      </w:r>
      <w:r w:rsidR="0034405E">
        <w:t>, 2017</w:t>
      </w:r>
    </w:p>
    <w:p w14:paraId="5C182C9D" w14:textId="77777777" w:rsidR="00F31B72" w:rsidRDefault="00F31B72" w:rsidP="00DE3FBF">
      <w:pPr>
        <w:overflowPunct w:val="0"/>
        <w:textAlignment w:val="baseline"/>
        <w:rPr>
          <w:b/>
        </w:rPr>
      </w:pPr>
    </w:p>
    <w:p w14:paraId="267462CC" w14:textId="726754FD" w:rsidR="003F1C7A" w:rsidRPr="00494400" w:rsidRDefault="004F50F3" w:rsidP="00DE3FBF">
      <w:pPr>
        <w:overflowPunct w:val="0"/>
        <w:textAlignment w:val="baseline"/>
        <w:rPr>
          <w:color w:val="1F497D"/>
        </w:rPr>
      </w:pPr>
      <w:r>
        <w:rPr>
          <w:b/>
        </w:rPr>
        <w:t xml:space="preserve">NAME OF CONTACT PERSON: </w:t>
      </w:r>
      <w:r w:rsidR="001B5C8B">
        <w:t>Amber Jessup</w:t>
      </w:r>
      <w:r w:rsidR="00494400" w:rsidRPr="00494400">
        <w:t xml:space="preserve">, Contracting Officer Representative, </w:t>
      </w:r>
      <w:r w:rsidR="005F6463">
        <w:t>Senior Economist</w:t>
      </w:r>
      <w:r w:rsidR="00494400" w:rsidRPr="00494400">
        <w:t>, HHS/ASPE</w:t>
      </w:r>
    </w:p>
    <w:p w14:paraId="59FEE4D4" w14:textId="77777777" w:rsidR="003F1C7A" w:rsidRDefault="003F1C7A" w:rsidP="00DE3FBF">
      <w:pPr>
        <w:overflowPunct w:val="0"/>
        <w:textAlignment w:val="baseline"/>
      </w:pPr>
    </w:p>
    <w:p w14:paraId="229D861D" w14:textId="50995AD0" w:rsidR="0037375D" w:rsidRDefault="00DE3FBF" w:rsidP="00DE3FBF">
      <w:pPr>
        <w:overflowPunct w:val="0"/>
        <w:textAlignment w:val="baseline"/>
        <w:rPr>
          <w:b/>
        </w:rPr>
      </w:pPr>
      <w:r>
        <w:rPr>
          <w:b/>
        </w:rPr>
        <w:t xml:space="preserve">TELEPHONE NUMBER: </w:t>
      </w:r>
      <w:r w:rsidR="004F50F3">
        <w:t>202.</w:t>
      </w:r>
      <w:r w:rsidR="005F6463" w:rsidRPr="005F6463">
        <w:t>690</w:t>
      </w:r>
      <w:r w:rsidR="005F6463">
        <w:t>.</w:t>
      </w:r>
      <w:r w:rsidR="00726C08">
        <w:t>7100</w:t>
      </w:r>
      <w:r w:rsidR="004F50F3">
        <w:t xml:space="preserve">; </w:t>
      </w:r>
      <w:r w:rsidR="005F6463">
        <w:t>Amber.Jessup</w:t>
      </w:r>
      <w:r w:rsidR="00494400" w:rsidRPr="00494400">
        <w:t>@hhs.gov</w:t>
      </w:r>
    </w:p>
    <w:p w14:paraId="102ECBFF" w14:textId="77777777" w:rsidR="0037375D" w:rsidRDefault="0037375D" w:rsidP="00DE3FBF">
      <w:pPr>
        <w:overflowPunct w:val="0"/>
        <w:textAlignment w:val="baseline"/>
      </w:pPr>
    </w:p>
    <w:p w14:paraId="6E54B7B9" w14:textId="77777777" w:rsidR="003F1C7A" w:rsidRPr="00494400" w:rsidRDefault="003F1C7A" w:rsidP="00DE3FBF">
      <w:pPr>
        <w:overflowPunct w:val="0"/>
        <w:textAlignment w:val="baseline"/>
      </w:pPr>
      <w:r>
        <w:rPr>
          <w:b/>
        </w:rPr>
        <w:t>DEPARTMENT</w:t>
      </w:r>
      <w:r w:rsidR="0037375D">
        <w:rPr>
          <w:b/>
        </w:rPr>
        <w:t>/O</w:t>
      </w:r>
      <w:r>
        <w:rPr>
          <w:b/>
        </w:rPr>
        <w:t>FFICE</w:t>
      </w:r>
      <w:r w:rsidR="0037375D">
        <w:rPr>
          <w:b/>
        </w:rPr>
        <w:t>/BUREAU</w:t>
      </w:r>
      <w:r>
        <w:rPr>
          <w:b/>
        </w:rPr>
        <w:t xml:space="preserve">: </w:t>
      </w:r>
      <w:r w:rsidR="00494400" w:rsidRPr="00494400">
        <w:t>U.S. Department of Health and Human Services (HHS), Assistant Secretary of Planning and Evaluation (ASPE)</w:t>
      </w:r>
      <w:r w:rsidR="004F50F3">
        <w:t>, Science and Data Policy (SDP)</w:t>
      </w:r>
    </w:p>
    <w:sectPr w:rsidR="003F1C7A" w:rsidRPr="00494400" w:rsidSect="00DE3FBF">
      <w:footerReference w:type="default" r:id="rId9"/>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88CD7" w15:done="0"/>
  <w15:commentEx w15:paraId="470C96AB" w15:paraIdParent="32A88CD7" w15:done="0"/>
  <w15:commentEx w15:paraId="341A1FD5" w15:done="0"/>
  <w15:commentEx w15:paraId="51CBD595" w15:paraIdParent="341A1FD5" w15:done="0"/>
  <w15:commentEx w15:paraId="79BD7CB3" w15:done="0"/>
  <w15:commentEx w15:paraId="37470C00" w15:paraIdParent="79BD7CB3" w15:done="0"/>
  <w15:commentEx w15:paraId="5AA47F20" w15:done="0"/>
  <w15:commentEx w15:paraId="538BB528" w15:paraIdParent="5AA47F20" w15:done="0"/>
  <w15:commentEx w15:paraId="38680DB2" w15:done="0"/>
  <w15:commentEx w15:paraId="3A48B4B9" w15:paraIdParent="38680DB2" w15:done="0"/>
  <w15:commentEx w15:paraId="3AAB5821" w15:done="0"/>
  <w15:commentEx w15:paraId="006DBDE8" w15:paraIdParent="3AAB58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88CD7" w16cid:durableId="1DB7F93F"/>
  <w16cid:commentId w16cid:paraId="470C96AB" w16cid:durableId="1DB82E54"/>
  <w16cid:commentId w16cid:paraId="341A1FD5" w16cid:durableId="1DB7F940"/>
  <w16cid:commentId w16cid:paraId="51CBD595" w16cid:durableId="1DB7FAB0"/>
  <w16cid:commentId w16cid:paraId="79BD7CB3" w16cid:durableId="1DB7F941"/>
  <w16cid:commentId w16cid:paraId="37470C00" w16cid:durableId="1DB7FD69"/>
  <w16cid:commentId w16cid:paraId="5AA47F20" w16cid:durableId="1DB7F942"/>
  <w16cid:commentId w16cid:paraId="538BB528" w16cid:durableId="1DB8038A"/>
  <w16cid:commentId w16cid:paraId="38680DB2" w16cid:durableId="1DB7F943"/>
  <w16cid:commentId w16cid:paraId="3A48B4B9" w16cid:durableId="1DB805B7"/>
  <w16cid:commentId w16cid:paraId="3AAB5821" w16cid:durableId="1DB7F944"/>
  <w16cid:commentId w16cid:paraId="006DBDE8" w16cid:durableId="1DB805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C52D" w14:textId="77777777" w:rsidR="0097767E" w:rsidRDefault="0097767E">
      <w:r>
        <w:separator/>
      </w:r>
    </w:p>
  </w:endnote>
  <w:endnote w:type="continuationSeparator" w:id="0">
    <w:p w14:paraId="2CA2447E" w14:textId="77777777" w:rsidR="0097767E" w:rsidRDefault="009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52886"/>
      <w:docPartObj>
        <w:docPartGallery w:val="Page Numbers (Bottom of Page)"/>
        <w:docPartUnique/>
      </w:docPartObj>
    </w:sdtPr>
    <w:sdtEndPr>
      <w:rPr>
        <w:noProof/>
      </w:rPr>
    </w:sdtEndPr>
    <w:sdtContent>
      <w:p w14:paraId="5E86B627" w14:textId="62640582" w:rsidR="004A43FE" w:rsidRDefault="004A43FE">
        <w:pPr>
          <w:pStyle w:val="Footer"/>
          <w:jc w:val="right"/>
        </w:pPr>
        <w:r>
          <w:fldChar w:fldCharType="begin"/>
        </w:r>
        <w:r>
          <w:instrText xml:space="preserve"> PAGE   \* MERGEFORMAT </w:instrText>
        </w:r>
        <w:r>
          <w:fldChar w:fldCharType="separate"/>
        </w:r>
        <w:r w:rsidR="00340D7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9C3F5" w14:textId="77777777" w:rsidR="0097767E" w:rsidRDefault="0097767E">
      <w:r>
        <w:separator/>
      </w:r>
    </w:p>
  </w:footnote>
  <w:footnote w:type="continuationSeparator" w:id="0">
    <w:p w14:paraId="4605C275" w14:textId="77777777" w:rsidR="0097767E" w:rsidRDefault="0097767E">
      <w:r>
        <w:continuationSeparator/>
      </w:r>
    </w:p>
  </w:footnote>
  <w:footnote w:id="1">
    <w:p w14:paraId="69D40FEB" w14:textId="06BFC3FF" w:rsidR="006731A3" w:rsidRDefault="006731A3" w:rsidP="006731A3">
      <w:pPr>
        <w:pStyle w:val="CommentText"/>
      </w:pPr>
      <w:r>
        <w:rPr>
          <w:rStyle w:val="FootnoteReference"/>
        </w:rPr>
        <w:footnoteRef/>
      </w:r>
      <w:r>
        <w:t xml:space="preserve"> A description on that model is publicly available in Appendix C of the document at:</w:t>
      </w:r>
    </w:p>
    <w:p w14:paraId="23E5FA9B" w14:textId="0773A302" w:rsidR="006731A3" w:rsidRDefault="00340D75" w:rsidP="006731A3">
      <w:pPr>
        <w:pStyle w:val="FootnoteText"/>
      </w:pPr>
      <w:hyperlink r:id="rId1" w:history="1">
        <w:r w:rsidR="006731A3" w:rsidRPr="0082107B">
          <w:rPr>
            <w:rStyle w:val="Hyperlink"/>
          </w:rPr>
          <w:t>https://aspe.hhs.gov/report/examination-clinical-trial-costs-and-barriers-drug-development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CAB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FC2B4E"/>
    <w:multiLevelType w:val="hybridMultilevel"/>
    <w:tmpl w:val="3774D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FCA5839"/>
    <w:multiLevelType w:val="hybridMultilevel"/>
    <w:tmpl w:val="B502C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5"/>
  </w:num>
  <w:num w:numId="6">
    <w:abstractNumId w:val="3"/>
  </w:num>
  <w:num w:numId="7">
    <w:abstractNumId w:val="11"/>
  </w:num>
  <w:num w:numId="8">
    <w:abstractNumId w:val="16"/>
  </w:num>
  <w:num w:numId="9">
    <w:abstractNumId w:val="12"/>
  </w:num>
  <w:num w:numId="10">
    <w:abstractNumId w:val="4"/>
  </w:num>
  <w:num w:numId="11">
    <w:abstractNumId w:val="6"/>
  </w:num>
  <w:num w:numId="12">
    <w:abstractNumId w:val="8"/>
  </w:num>
  <w:num w:numId="13">
    <w:abstractNumId w:val="2"/>
  </w:num>
  <w:num w:numId="14">
    <w:abstractNumId w:val="10"/>
  </w:num>
  <w:num w:numId="15">
    <w:abstractNumId w:val="17"/>
  </w:num>
  <w:num w:numId="16">
    <w:abstractNumId w:val="15"/>
  </w:num>
  <w:num w:numId="17">
    <w:abstractNumId w:val="1"/>
  </w:num>
  <w:num w:numId="18">
    <w:abstractNumId w:val="9"/>
  </w:num>
  <w:num w:numId="19">
    <w:abstractNumId w:val="7"/>
  </w:num>
  <w:num w:numId="20">
    <w:abstractNumId w:val="0"/>
  </w:num>
  <w:num w:numId="21">
    <w:abstractNumId w:val="18"/>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ggins">
    <w15:presenceInfo w15:providerId="None" w15:userId="Higgins"/>
  </w15:person>
  <w15:person w15:author="ASERTKAYA">
    <w15:presenceInfo w15:providerId="None" w15:userId="ASERT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4275"/>
    <w:rsid w:val="000138A8"/>
    <w:rsid w:val="000237E3"/>
    <w:rsid w:val="000478B4"/>
    <w:rsid w:val="00080DA7"/>
    <w:rsid w:val="000B52E6"/>
    <w:rsid w:val="000D2933"/>
    <w:rsid w:val="000F72AE"/>
    <w:rsid w:val="001515CD"/>
    <w:rsid w:val="00151EBD"/>
    <w:rsid w:val="001676D4"/>
    <w:rsid w:val="0019770E"/>
    <w:rsid w:val="001977DC"/>
    <w:rsid w:val="001A7EFB"/>
    <w:rsid w:val="001B5C8B"/>
    <w:rsid w:val="001D4084"/>
    <w:rsid w:val="001D64E1"/>
    <w:rsid w:val="00213106"/>
    <w:rsid w:val="002451ED"/>
    <w:rsid w:val="002541BA"/>
    <w:rsid w:val="0027429E"/>
    <w:rsid w:val="002967A1"/>
    <w:rsid w:val="002B12EA"/>
    <w:rsid w:val="002E2018"/>
    <w:rsid w:val="002E2C45"/>
    <w:rsid w:val="00305C1A"/>
    <w:rsid w:val="00307977"/>
    <w:rsid w:val="00311FFC"/>
    <w:rsid w:val="00331A65"/>
    <w:rsid w:val="00340D75"/>
    <w:rsid w:val="0034405E"/>
    <w:rsid w:val="0037375D"/>
    <w:rsid w:val="003D2411"/>
    <w:rsid w:val="003D565D"/>
    <w:rsid w:val="003F1C7A"/>
    <w:rsid w:val="003F471D"/>
    <w:rsid w:val="003F6582"/>
    <w:rsid w:val="00403932"/>
    <w:rsid w:val="00407084"/>
    <w:rsid w:val="00421A22"/>
    <w:rsid w:val="00427DF3"/>
    <w:rsid w:val="00431AC2"/>
    <w:rsid w:val="004441C8"/>
    <w:rsid w:val="0044528D"/>
    <w:rsid w:val="00451C2D"/>
    <w:rsid w:val="00466B22"/>
    <w:rsid w:val="00494400"/>
    <w:rsid w:val="004A43FE"/>
    <w:rsid w:val="004C35B5"/>
    <w:rsid w:val="004D25AF"/>
    <w:rsid w:val="004D53D2"/>
    <w:rsid w:val="004F50F3"/>
    <w:rsid w:val="00500D70"/>
    <w:rsid w:val="00515B88"/>
    <w:rsid w:val="00525D6B"/>
    <w:rsid w:val="005559CF"/>
    <w:rsid w:val="00556F13"/>
    <w:rsid w:val="00590193"/>
    <w:rsid w:val="005F6463"/>
    <w:rsid w:val="00604D2F"/>
    <w:rsid w:val="00646229"/>
    <w:rsid w:val="006701B0"/>
    <w:rsid w:val="00670388"/>
    <w:rsid w:val="006731A3"/>
    <w:rsid w:val="006A0C49"/>
    <w:rsid w:val="006A22F2"/>
    <w:rsid w:val="007209B7"/>
    <w:rsid w:val="00726C08"/>
    <w:rsid w:val="00744F5B"/>
    <w:rsid w:val="00747488"/>
    <w:rsid w:val="00794B9A"/>
    <w:rsid w:val="007A3FD1"/>
    <w:rsid w:val="007B4AA3"/>
    <w:rsid w:val="007C0B28"/>
    <w:rsid w:val="007C1653"/>
    <w:rsid w:val="007D068A"/>
    <w:rsid w:val="007D11E3"/>
    <w:rsid w:val="007D2536"/>
    <w:rsid w:val="007D7115"/>
    <w:rsid w:val="008122B5"/>
    <w:rsid w:val="00812981"/>
    <w:rsid w:val="0085104F"/>
    <w:rsid w:val="0086072A"/>
    <w:rsid w:val="00867D63"/>
    <w:rsid w:val="00895649"/>
    <w:rsid w:val="008A6905"/>
    <w:rsid w:val="008B6DF7"/>
    <w:rsid w:val="00945328"/>
    <w:rsid w:val="00974A13"/>
    <w:rsid w:val="0097767E"/>
    <w:rsid w:val="0098642E"/>
    <w:rsid w:val="009E4E53"/>
    <w:rsid w:val="00A20231"/>
    <w:rsid w:val="00A333FF"/>
    <w:rsid w:val="00A35087"/>
    <w:rsid w:val="00A51518"/>
    <w:rsid w:val="00A63B69"/>
    <w:rsid w:val="00A778DE"/>
    <w:rsid w:val="00A960D1"/>
    <w:rsid w:val="00AA071E"/>
    <w:rsid w:val="00AA1B5E"/>
    <w:rsid w:val="00AF4C3A"/>
    <w:rsid w:val="00B0212C"/>
    <w:rsid w:val="00B148F7"/>
    <w:rsid w:val="00B35A7B"/>
    <w:rsid w:val="00B63F9F"/>
    <w:rsid w:val="00B654D8"/>
    <w:rsid w:val="00B85163"/>
    <w:rsid w:val="00B913B9"/>
    <w:rsid w:val="00BA26BF"/>
    <w:rsid w:val="00BF22FA"/>
    <w:rsid w:val="00C14E1E"/>
    <w:rsid w:val="00C4506F"/>
    <w:rsid w:val="00C46869"/>
    <w:rsid w:val="00C6202E"/>
    <w:rsid w:val="00C80ACA"/>
    <w:rsid w:val="00C81D88"/>
    <w:rsid w:val="00CF23B8"/>
    <w:rsid w:val="00D629B1"/>
    <w:rsid w:val="00D74E92"/>
    <w:rsid w:val="00D77E9E"/>
    <w:rsid w:val="00D90313"/>
    <w:rsid w:val="00D907C3"/>
    <w:rsid w:val="00D93469"/>
    <w:rsid w:val="00D95F55"/>
    <w:rsid w:val="00DA6ABB"/>
    <w:rsid w:val="00DB1E3E"/>
    <w:rsid w:val="00DE3FBF"/>
    <w:rsid w:val="00DF0BAD"/>
    <w:rsid w:val="00E26798"/>
    <w:rsid w:val="00E36908"/>
    <w:rsid w:val="00E377D5"/>
    <w:rsid w:val="00E4326D"/>
    <w:rsid w:val="00E5147B"/>
    <w:rsid w:val="00E750F6"/>
    <w:rsid w:val="00E75964"/>
    <w:rsid w:val="00EB6C38"/>
    <w:rsid w:val="00ED2248"/>
    <w:rsid w:val="00ED569A"/>
    <w:rsid w:val="00ED67D5"/>
    <w:rsid w:val="00EE141B"/>
    <w:rsid w:val="00F04E7C"/>
    <w:rsid w:val="00F05A8C"/>
    <w:rsid w:val="00F31B72"/>
    <w:rsid w:val="00F36698"/>
    <w:rsid w:val="00F4346D"/>
    <w:rsid w:val="00F46464"/>
    <w:rsid w:val="00F47970"/>
    <w:rsid w:val="00F671EC"/>
    <w:rsid w:val="00F73A47"/>
    <w:rsid w:val="00FA5555"/>
    <w:rsid w:val="00FD00D8"/>
    <w:rsid w:val="00FD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E3"/>
    <w:rPr>
      <w:rFonts w:ascii="Calibri" w:hAnsi="Calibri"/>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link w:val="BodyTextChar"/>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ColorfulList-Accent11">
    <w:name w:val="Colorful List - Accent 1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unhideWhenUsed/>
    <w:rsid w:val="00F31B72"/>
    <w:rPr>
      <w:sz w:val="20"/>
      <w:szCs w:val="20"/>
    </w:rPr>
  </w:style>
  <w:style w:type="character" w:customStyle="1" w:styleId="CommentTextChar">
    <w:name w:val="Comment Text Char"/>
    <w:basedOn w:val="DefaultParagraphFont"/>
    <w:link w:val="CommentText"/>
    <w:uiPriority w:val="99"/>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70E"/>
    <w:pPr>
      <w:ind w:left="720"/>
      <w:contextualSpacing/>
    </w:pPr>
  </w:style>
  <w:style w:type="character" w:customStyle="1" w:styleId="FooterChar">
    <w:name w:val="Footer Char"/>
    <w:basedOn w:val="DefaultParagraphFont"/>
    <w:link w:val="Footer"/>
    <w:uiPriority w:val="99"/>
    <w:rsid w:val="00EE141B"/>
    <w:rPr>
      <w:rFonts w:ascii="Calibri" w:hAnsi="Calibri"/>
      <w:sz w:val="24"/>
      <w:szCs w:val="24"/>
    </w:rPr>
  </w:style>
  <w:style w:type="character" w:customStyle="1" w:styleId="UnresolvedMention">
    <w:name w:val="Unresolved Mention"/>
    <w:basedOn w:val="DefaultParagraphFont"/>
    <w:uiPriority w:val="99"/>
    <w:semiHidden/>
    <w:unhideWhenUsed/>
    <w:rsid w:val="00FD00D8"/>
    <w:rPr>
      <w:color w:val="808080"/>
      <w:shd w:val="clear" w:color="auto" w:fill="E6E6E6"/>
    </w:rPr>
  </w:style>
  <w:style w:type="paragraph" w:styleId="BodyTextFirstIndent">
    <w:name w:val="Body Text First Indent"/>
    <w:basedOn w:val="BodyText"/>
    <w:link w:val="BodyTextFirstIndentChar"/>
    <w:uiPriority w:val="99"/>
    <w:unhideWhenUsed/>
    <w:rsid w:val="00794B9A"/>
    <w:pPr>
      <w:widowControl/>
      <w:spacing w:after="200" w:line="276" w:lineRule="auto"/>
      <w:ind w:firstLine="360"/>
    </w:pPr>
    <w:rPr>
      <w:rFonts w:asciiTheme="minorHAnsi" w:eastAsiaTheme="minorHAnsi" w:hAnsiTheme="minorHAnsi" w:cstheme="minorBidi"/>
      <w:i w:val="0"/>
      <w:iCs w:val="0"/>
      <w:snapToGrid/>
      <w:sz w:val="22"/>
      <w:szCs w:val="22"/>
    </w:rPr>
  </w:style>
  <w:style w:type="character" w:customStyle="1" w:styleId="BodyTextChar">
    <w:name w:val="Body Text Char"/>
    <w:basedOn w:val="DefaultParagraphFont"/>
    <w:link w:val="BodyText"/>
    <w:semiHidden/>
    <w:rsid w:val="00794B9A"/>
    <w:rPr>
      <w:rFonts w:ascii="Calibri" w:hAnsi="Calibri"/>
      <w:i/>
      <w:iCs/>
      <w:snapToGrid w:val="0"/>
    </w:rPr>
  </w:style>
  <w:style w:type="character" w:customStyle="1" w:styleId="BodyTextFirstIndentChar">
    <w:name w:val="Body Text First Indent Char"/>
    <w:basedOn w:val="BodyTextChar"/>
    <w:link w:val="BodyTextFirstIndent"/>
    <w:uiPriority w:val="99"/>
    <w:rsid w:val="00794B9A"/>
    <w:rPr>
      <w:rFonts w:asciiTheme="minorHAnsi" w:eastAsiaTheme="minorHAnsi" w:hAnsiTheme="minorHAnsi" w:cstheme="minorBidi"/>
      <w:i w:val="0"/>
      <w:iCs w:val="0"/>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E3"/>
    <w:rPr>
      <w:rFonts w:ascii="Calibri" w:hAnsi="Calibri"/>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link w:val="BodyTextChar"/>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ColorfulList-Accent11">
    <w:name w:val="Colorful List - Accent 1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unhideWhenUsed/>
    <w:rsid w:val="00F31B72"/>
    <w:rPr>
      <w:sz w:val="20"/>
      <w:szCs w:val="20"/>
    </w:rPr>
  </w:style>
  <w:style w:type="character" w:customStyle="1" w:styleId="CommentTextChar">
    <w:name w:val="Comment Text Char"/>
    <w:basedOn w:val="DefaultParagraphFont"/>
    <w:link w:val="CommentText"/>
    <w:uiPriority w:val="99"/>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70E"/>
    <w:pPr>
      <w:ind w:left="720"/>
      <w:contextualSpacing/>
    </w:pPr>
  </w:style>
  <w:style w:type="character" w:customStyle="1" w:styleId="FooterChar">
    <w:name w:val="Footer Char"/>
    <w:basedOn w:val="DefaultParagraphFont"/>
    <w:link w:val="Footer"/>
    <w:uiPriority w:val="99"/>
    <w:rsid w:val="00EE141B"/>
    <w:rPr>
      <w:rFonts w:ascii="Calibri" w:hAnsi="Calibri"/>
      <w:sz w:val="24"/>
      <w:szCs w:val="24"/>
    </w:rPr>
  </w:style>
  <w:style w:type="character" w:customStyle="1" w:styleId="UnresolvedMention">
    <w:name w:val="Unresolved Mention"/>
    <w:basedOn w:val="DefaultParagraphFont"/>
    <w:uiPriority w:val="99"/>
    <w:semiHidden/>
    <w:unhideWhenUsed/>
    <w:rsid w:val="00FD00D8"/>
    <w:rPr>
      <w:color w:val="808080"/>
      <w:shd w:val="clear" w:color="auto" w:fill="E6E6E6"/>
    </w:rPr>
  </w:style>
  <w:style w:type="paragraph" w:styleId="BodyTextFirstIndent">
    <w:name w:val="Body Text First Indent"/>
    <w:basedOn w:val="BodyText"/>
    <w:link w:val="BodyTextFirstIndentChar"/>
    <w:uiPriority w:val="99"/>
    <w:unhideWhenUsed/>
    <w:rsid w:val="00794B9A"/>
    <w:pPr>
      <w:widowControl/>
      <w:spacing w:after="200" w:line="276" w:lineRule="auto"/>
      <w:ind w:firstLine="360"/>
    </w:pPr>
    <w:rPr>
      <w:rFonts w:asciiTheme="minorHAnsi" w:eastAsiaTheme="minorHAnsi" w:hAnsiTheme="minorHAnsi" w:cstheme="minorBidi"/>
      <w:i w:val="0"/>
      <w:iCs w:val="0"/>
      <w:snapToGrid/>
      <w:sz w:val="22"/>
      <w:szCs w:val="22"/>
    </w:rPr>
  </w:style>
  <w:style w:type="character" w:customStyle="1" w:styleId="BodyTextChar">
    <w:name w:val="Body Text Char"/>
    <w:basedOn w:val="DefaultParagraphFont"/>
    <w:link w:val="BodyText"/>
    <w:semiHidden/>
    <w:rsid w:val="00794B9A"/>
    <w:rPr>
      <w:rFonts w:ascii="Calibri" w:hAnsi="Calibri"/>
      <w:i/>
      <w:iCs/>
      <w:snapToGrid w:val="0"/>
    </w:rPr>
  </w:style>
  <w:style w:type="character" w:customStyle="1" w:styleId="BodyTextFirstIndentChar">
    <w:name w:val="Body Text First Indent Char"/>
    <w:basedOn w:val="BodyTextChar"/>
    <w:link w:val="BodyTextFirstIndent"/>
    <w:uiPriority w:val="99"/>
    <w:rsid w:val="00794B9A"/>
    <w:rPr>
      <w:rFonts w:asciiTheme="minorHAnsi" w:eastAsiaTheme="minorHAnsi" w:hAnsiTheme="minorHAnsi" w:cstheme="minorBidi"/>
      <w:i w:val="0"/>
      <w:iCs w:val="0"/>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3792">
      <w:bodyDiv w:val="1"/>
      <w:marLeft w:val="0"/>
      <w:marRight w:val="0"/>
      <w:marTop w:val="0"/>
      <w:marBottom w:val="0"/>
      <w:divBdr>
        <w:top w:val="none" w:sz="0" w:space="0" w:color="auto"/>
        <w:left w:val="none" w:sz="0" w:space="0" w:color="auto"/>
        <w:bottom w:val="none" w:sz="0" w:space="0" w:color="auto"/>
        <w:right w:val="none" w:sz="0" w:space="0" w:color="auto"/>
      </w:divBdr>
    </w:div>
    <w:div w:id="1210412013">
      <w:bodyDiv w:val="1"/>
      <w:marLeft w:val="0"/>
      <w:marRight w:val="0"/>
      <w:marTop w:val="0"/>
      <w:marBottom w:val="0"/>
      <w:divBdr>
        <w:top w:val="none" w:sz="0" w:space="0" w:color="auto"/>
        <w:left w:val="none" w:sz="0" w:space="0" w:color="auto"/>
        <w:bottom w:val="none" w:sz="0" w:space="0" w:color="auto"/>
        <w:right w:val="none" w:sz="0" w:space="0" w:color="auto"/>
      </w:divBdr>
    </w:div>
    <w:div w:id="15962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aspe.hhs.gov/report/examination-clinical-trial-costs-and-barriers-drug-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06ED-03FB-4564-990A-F4201B9C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2014-07-24T17:07:00Z</cp:lastPrinted>
  <dcterms:created xsi:type="dcterms:W3CDTF">2017-12-04T17:27:00Z</dcterms:created>
  <dcterms:modified xsi:type="dcterms:W3CDTF">2017-12-04T17:27:00Z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