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58AA" w14:textId="77777777"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>DOCUMENTATION FOR THE GENERIC CLEARANCE</w:t>
      </w:r>
    </w:p>
    <w:p w14:paraId="0E514216" w14:textId="41EC6CA6" w:rsidR="003F1C7A" w:rsidRDefault="0037375D">
      <w:pPr>
        <w:jc w:val="center"/>
      </w:pPr>
      <w:r>
        <w:rPr>
          <w:b/>
          <w:sz w:val="28"/>
        </w:rPr>
        <w:t xml:space="preserve">FOR THE COLLECTION OF QUALITATIVE RESEARCH </w:t>
      </w:r>
      <w:r w:rsidR="005E1C38">
        <w:rPr>
          <w:b/>
          <w:sz w:val="28"/>
        </w:rPr>
        <w:t>AND</w:t>
      </w:r>
      <w:r>
        <w:rPr>
          <w:b/>
          <w:sz w:val="28"/>
        </w:rPr>
        <w:t xml:space="preserve"> ASSESSMENT</w:t>
      </w:r>
    </w:p>
    <w:p w14:paraId="5E60EEAD" w14:textId="77777777" w:rsidR="003F1C7A" w:rsidRDefault="003F1C7A"/>
    <w:p w14:paraId="47B154E3" w14:textId="77777777" w:rsidR="003F1C7A" w:rsidRDefault="00F04E7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81C3FE" wp14:editId="1348B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CF599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791273D5" w14:textId="77777777" w:rsidR="003F1C7A" w:rsidRDefault="003F1C7A">
      <w:pPr>
        <w:spacing w:before="120"/>
      </w:pPr>
      <w:r>
        <w:rPr>
          <w:b/>
        </w:rPr>
        <w:t>TITLE OF INFORMATION COLLECTION:</w:t>
      </w:r>
      <w:r>
        <w:t xml:space="preserve">  </w:t>
      </w:r>
    </w:p>
    <w:p w14:paraId="53F2BDBF" w14:textId="77777777" w:rsidR="00D95F55" w:rsidRDefault="00D95F55">
      <w:pPr>
        <w:spacing w:before="120"/>
      </w:pPr>
    </w:p>
    <w:p w14:paraId="22661C89" w14:textId="1DD41ED9" w:rsidR="00D95F55" w:rsidRPr="00D95F55" w:rsidRDefault="00115DCA" w:rsidP="00D95F55">
      <w:pPr>
        <w:rPr>
          <w:bCs/>
        </w:rPr>
      </w:pPr>
      <w:r>
        <w:t>T</w:t>
      </w:r>
      <w:r w:rsidR="00FC2F66">
        <w:t xml:space="preserve">rafficking </w:t>
      </w:r>
      <w:r>
        <w:t>V</w:t>
      </w:r>
      <w:r w:rsidR="00FC2F66">
        <w:t xml:space="preserve">ictim </w:t>
      </w:r>
      <w:r>
        <w:t>A</w:t>
      </w:r>
      <w:r w:rsidR="00FC2F66">
        <w:t xml:space="preserve">ssistance </w:t>
      </w:r>
      <w:r>
        <w:t>P</w:t>
      </w:r>
      <w:r w:rsidR="00FC2F66">
        <w:t>rogram</w:t>
      </w:r>
      <w:r>
        <w:t xml:space="preserve"> Assessment</w:t>
      </w:r>
      <w:r w:rsidR="004F50F3">
        <w:t>—Key Informant Interviews</w:t>
      </w:r>
      <w:r>
        <w:t xml:space="preserve"> and Focus Groups</w:t>
      </w:r>
    </w:p>
    <w:p w14:paraId="42616692" w14:textId="77777777" w:rsidR="003F1C7A" w:rsidRDefault="003F1C7A"/>
    <w:p w14:paraId="2DA8CEB9" w14:textId="77777777" w:rsidR="0037375D" w:rsidRP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B913B9">
        <w:rPr>
          <w:b/>
          <w:bCs/>
          <w:sz w:val="24"/>
        </w:rPr>
        <w:t>X</w:t>
      </w:r>
      <w:r w:rsidRPr="0037375D">
        <w:rPr>
          <w:b/>
          <w:bCs/>
          <w:sz w:val="24"/>
        </w:rPr>
        <w:t xml:space="preserve">] </w:t>
      </w:r>
      <w:r w:rsidR="0037375D" w:rsidRP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14:paraId="400F6753" w14:textId="77777777"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SMALL DISCUSSION GROUPS</w:t>
      </w:r>
    </w:p>
    <w:p w14:paraId="29FBA602" w14:textId="77777777" w:rsidR="003F1C7A" w:rsidRP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115DCA">
        <w:rPr>
          <w:b/>
          <w:bCs/>
          <w:sz w:val="24"/>
        </w:rPr>
        <w:t>X</w:t>
      </w:r>
      <w:r w:rsidRPr="0037375D">
        <w:rPr>
          <w:b/>
          <w:bCs/>
          <w:sz w:val="24"/>
        </w:rPr>
        <w:t>] FOCUS GROUP</w:t>
      </w:r>
      <w:r w:rsidR="0037375D" w:rsidRPr="0037375D">
        <w:rPr>
          <w:b/>
          <w:bCs/>
          <w:sz w:val="24"/>
        </w:rPr>
        <w:t>S</w:t>
      </w:r>
    </w:p>
    <w:p w14:paraId="361C5FD0" w14:textId="4F05B300"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441C11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>] QUESTIONNAIRES</w:t>
      </w:r>
    </w:p>
    <w:p w14:paraId="7994742B" w14:textId="6E957A7F"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OTHER (EXPLAIN:)</w:t>
      </w:r>
    </w:p>
    <w:p w14:paraId="4F398C02" w14:textId="77777777" w:rsidR="003F1C7A" w:rsidRDefault="003F1C7A">
      <w:pPr>
        <w:rPr>
          <w:b/>
        </w:rPr>
      </w:pPr>
    </w:p>
    <w:p w14:paraId="6DBD0243" w14:textId="77777777"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14:paraId="070CC6DE" w14:textId="2610EF8D" w:rsidR="003F1C7A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 xml:space="preserve">Intended </w:t>
      </w:r>
      <w:r w:rsidR="00E30D58">
        <w:rPr>
          <w:b/>
        </w:rPr>
        <w:t>P</w:t>
      </w:r>
      <w:r>
        <w:rPr>
          <w:b/>
        </w:rPr>
        <w:t>urpose</w:t>
      </w:r>
    </w:p>
    <w:p w14:paraId="1035F650" w14:textId="77777777" w:rsidR="00515B88" w:rsidRDefault="00515B88" w:rsidP="00515B88"/>
    <w:p w14:paraId="01370F5E" w14:textId="3485A354" w:rsidR="00115DCA" w:rsidRDefault="00D41599" w:rsidP="0027429E">
      <w:pPr>
        <w:overflowPunct w:val="0"/>
        <w:textAlignment w:val="baseline"/>
      </w:pPr>
      <w:r>
        <w:t>The U.S. Department of Health and Human Services Office of the Assistant Secretary for Planning and Evaluation (HHS/ASPE), in partnership with t</w:t>
      </w:r>
      <w:r w:rsidR="00115DCA" w:rsidRPr="0044620B">
        <w:t>he Administration for Children and Families (ACF</w:t>
      </w:r>
      <w:r w:rsidR="006821F1">
        <w:t>),</w:t>
      </w:r>
      <w:r>
        <w:t xml:space="preserve"> </w:t>
      </w:r>
      <w:r w:rsidR="00115DCA" w:rsidRPr="0044620B">
        <w:t xml:space="preserve">is seeking approval </w:t>
      </w:r>
      <w:r w:rsidR="005E1C38">
        <w:t>from</w:t>
      </w:r>
      <w:r w:rsidR="00115DCA" w:rsidRPr="0044620B">
        <w:t xml:space="preserve"> </w:t>
      </w:r>
      <w:r w:rsidR="005E1C38">
        <w:t xml:space="preserve">the </w:t>
      </w:r>
      <w:r w:rsidR="005E1C38" w:rsidRPr="005E1C38">
        <w:t xml:space="preserve">Office of Management and Budget </w:t>
      </w:r>
      <w:r w:rsidR="00115DCA" w:rsidRPr="0044620B">
        <w:t>for a new information collection</w:t>
      </w:r>
      <w:r w:rsidR="007518DF">
        <w:t xml:space="preserve"> request</w:t>
      </w:r>
      <w:r w:rsidR="00115DCA" w:rsidRPr="0044620B">
        <w:t>. In collaboration with ASPE</w:t>
      </w:r>
      <w:r>
        <w:t xml:space="preserve"> and ACF</w:t>
      </w:r>
      <w:r w:rsidR="00115DCA" w:rsidRPr="0044620B">
        <w:t xml:space="preserve">, </w:t>
      </w:r>
      <w:r w:rsidR="00547F85">
        <w:t>a contractor</w:t>
      </w:r>
      <w:r w:rsidR="00115DCA" w:rsidRPr="0044620B">
        <w:t xml:space="preserve"> is </w:t>
      </w:r>
      <w:r w:rsidR="00441C11">
        <w:t>conducting</w:t>
      </w:r>
      <w:r w:rsidR="00115DCA" w:rsidRPr="0044620B">
        <w:t xml:space="preserve"> this assessment </w:t>
      </w:r>
      <w:r w:rsidR="00547F85">
        <w:t>funded by</w:t>
      </w:r>
      <w:r w:rsidR="00115DCA" w:rsidRPr="0044620B">
        <w:t xml:space="preserve"> </w:t>
      </w:r>
      <w:r w:rsidR="006821F1">
        <w:t xml:space="preserve">ACF’s </w:t>
      </w:r>
      <w:r w:rsidR="00115DCA" w:rsidRPr="0044620B">
        <w:t>O</w:t>
      </w:r>
      <w:r w:rsidR="00285536">
        <w:t xml:space="preserve">ffice </w:t>
      </w:r>
      <w:r w:rsidR="00E25D85">
        <w:t xml:space="preserve">on </w:t>
      </w:r>
      <w:r w:rsidR="00115DCA" w:rsidRPr="0044620B">
        <w:t>T</w:t>
      </w:r>
      <w:r w:rsidR="00285536">
        <w:t xml:space="preserve">rafficking in </w:t>
      </w:r>
      <w:r w:rsidR="00115DCA" w:rsidRPr="0044620B">
        <w:t>P</w:t>
      </w:r>
      <w:r w:rsidR="00285536">
        <w:t>ersons</w:t>
      </w:r>
      <w:r w:rsidR="006821F1">
        <w:t xml:space="preserve"> </w:t>
      </w:r>
      <w:r w:rsidR="005E1C38">
        <w:t xml:space="preserve">(OTIP) </w:t>
      </w:r>
      <w:r w:rsidR="006821F1">
        <w:t>of the Trafficking Victim Assistance Program (TVAP)</w:t>
      </w:r>
      <w:r w:rsidR="00115DCA" w:rsidRPr="0044620B">
        <w:t xml:space="preserve">. </w:t>
      </w:r>
      <w:r w:rsidR="00115DCA">
        <w:t xml:space="preserve">In order to document and describe the </w:t>
      </w:r>
      <w:r w:rsidR="006821F1">
        <w:t xml:space="preserve">relative </w:t>
      </w:r>
      <w:r w:rsidR="00115DCA">
        <w:t xml:space="preserve">strengths and weaknesses of the current </w:t>
      </w:r>
      <w:r>
        <w:t xml:space="preserve">and alternative </w:t>
      </w:r>
      <w:r w:rsidR="00115DCA">
        <w:t xml:space="preserve">grant </w:t>
      </w:r>
      <w:r>
        <w:t xml:space="preserve">and funding </w:t>
      </w:r>
      <w:r w:rsidR="00115DCA">
        <w:t>structure</w:t>
      </w:r>
      <w:r>
        <w:t>s</w:t>
      </w:r>
      <w:r w:rsidR="00115DCA">
        <w:t xml:space="preserve"> for trafficking services, </w:t>
      </w:r>
      <w:r w:rsidR="00547F85">
        <w:t>this study will consist of</w:t>
      </w:r>
      <w:r w:rsidR="00115DCA">
        <w:t xml:space="preserve"> (1)</w:t>
      </w:r>
      <w:r w:rsidR="00C65D48">
        <w:t xml:space="preserve"> key informant</w:t>
      </w:r>
      <w:r w:rsidR="00115DCA" w:rsidRPr="0044620B">
        <w:t xml:space="preserve"> interviews with </w:t>
      </w:r>
      <w:r w:rsidR="00441C11">
        <w:t xml:space="preserve">a sample of </w:t>
      </w:r>
      <w:r>
        <w:t xml:space="preserve">fiscal year </w:t>
      </w:r>
      <w:r w:rsidR="00115DCA" w:rsidRPr="0044620B">
        <w:t xml:space="preserve">2016 </w:t>
      </w:r>
      <w:r w:rsidR="00CD0D6E">
        <w:t xml:space="preserve">TVAP grantees and </w:t>
      </w:r>
      <w:r w:rsidR="007A6131">
        <w:t>subrecipients</w:t>
      </w:r>
      <w:r w:rsidR="00115DCA" w:rsidRPr="0044620B">
        <w:t xml:space="preserve"> </w:t>
      </w:r>
      <w:r>
        <w:t xml:space="preserve">and </w:t>
      </w:r>
      <w:r w:rsidR="00115DCA" w:rsidRPr="0044620B">
        <w:t xml:space="preserve">(2) focus groups </w:t>
      </w:r>
      <w:r w:rsidR="00D1332A">
        <w:t xml:space="preserve">with </w:t>
      </w:r>
      <w:r w:rsidR="00C65D48">
        <w:t xml:space="preserve">TVAP </w:t>
      </w:r>
      <w:r w:rsidR="007A6131">
        <w:t>subrecipients</w:t>
      </w:r>
      <w:r w:rsidR="006821F1">
        <w:t xml:space="preserve"> </w:t>
      </w:r>
      <w:r w:rsidR="00115DCA" w:rsidRPr="0044620B">
        <w:t xml:space="preserve">with extensive knowledge of trafficking-related grants or </w:t>
      </w:r>
      <w:r w:rsidR="00115DCA">
        <w:t xml:space="preserve">funding allocation models. </w:t>
      </w:r>
      <w:r w:rsidR="006821F1">
        <w:t>Grantee and subrecipient</w:t>
      </w:r>
      <w:r w:rsidR="00115DCA">
        <w:t xml:space="preserve"> </w:t>
      </w:r>
      <w:r w:rsidR="00441C11">
        <w:t xml:space="preserve">key </w:t>
      </w:r>
      <w:r w:rsidR="00115DCA">
        <w:t xml:space="preserve">informants will </w:t>
      </w:r>
      <w:r w:rsidR="00441C11">
        <w:t>vary based on their</w:t>
      </w:r>
      <w:r w:rsidR="00115DCA">
        <w:t xml:space="preserve"> role in their organization </w:t>
      </w:r>
      <w:r w:rsidR="00115DCA" w:rsidRPr="0044620B">
        <w:t>(e.g., grant administrators, case managers, and service r</w:t>
      </w:r>
      <w:r w:rsidR="00115DCA">
        <w:t xml:space="preserve">eferral contacts) and have extensive knowledge of </w:t>
      </w:r>
      <w:r w:rsidR="00D54AE3">
        <w:t xml:space="preserve">funding models for trafficking services (e.g., </w:t>
      </w:r>
      <w:r w:rsidR="00C91338">
        <w:t>per capita</w:t>
      </w:r>
      <w:r w:rsidR="00D54AE3">
        <w:t xml:space="preserve">). </w:t>
      </w:r>
    </w:p>
    <w:p w14:paraId="38553462" w14:textId="77777777" w:rsidR="00115DCA" w:rsidRDefault="00115DCA" w:rsidP="0027429E">
      <w:pPr>
        <w:overflowPunct w:val="0"/>
        <w:textAlignment w:val="baseline"/>
      </w:pPr>
    </w:p>
    <w:p w14:paraId="37C76606" w14:textId="6E71958D" w:rsidR="003F1C7A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 xml:space="preserve">eed for the </w:t>
      </w:r>
      <w:r w:rsidR="00E30D58">
        <w:rPr>
          <w:b/>
        </w:rPr>
        <w:t>C</w:t>
      </w:r>
      <w:r w:rsidR="0037375D">
        <w:rPr>
          <w:b/>
        </w:rPr>
        <w:t>ollection</w:t>
      </w:r>
    </w:p>
    <w:p w14:paraId="77A1D1FD" w14:textId="77777777" w:rsidR="00515B88" w:rsidRDefault="00515B88" w:rsidP="00515B88"/>
    <w:p w14:paraId="1601C0A3" w14:textId="23107B9D" w:rsidR="00115DCA" w:rsidRPr="004F47A0" w:rsidRDefault="00115DCA" w:rsidP="00115DCA">
      <w:r w:rsidRPr="004F47A0">
        <w:t xml:space="preserve">To our knowledge, there is no information that has been or is currently being collected </w:t>
      </w:r>
      <w:r>
        <w:t>similar to these</w:t>
      </w:r>
      <w:r w:rsidR="00C544DC">
        <w:t xml:space="preserve"> data</w:t>
      </w:r>
      <w:r>
        <w:t>. An assessment of the implementation of TVAP has not been conducted previously</w:t>
      </w:r>
      <w:r w:rsidR="005E1C38">
        <w:t>,</w:t>
      </w:r>
      <w:r>
        <w:t xml:space="preserve"> and no data exists to address the goals of this assessment.</w:t>
      </w:r>
    </w:p>
    <w:p w14:paraId="5C47EC14" w14:textId="77777777" w:rsidR="00D95F55" w:rsidRDefault="00D95F55" w:rsidP="00D95F55"/>
    <w:p w14:paraId="4E38A451" w14:textId="40B2AE25" w:rsidR="003F1C7A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 xml:space="preserve">Planned </w:t>
      </w:r>
      <w:r w:rsidR="00E30D58">
        <w:rPr>
          <w:b/>
        </w:rPr>
        <w:t>U</w:t>
      </w:r>
      <w:r>
        <w:rPr>
          <w:b/>
        </w:rPr>
        <w:t xml:space="preserve">se of the </w:t>
      </w:r>
      <w:r w:rsidR="00E30D58">
        <w:rPr>
          <w:b/>
        </w:rPr>
        <w:t>D</w:t>
      </w:r>
      <w:r>
        <w:rPr>
          <w:b/>
        </w:rPr>
        <w:t>ata</w:t>
      </w:r>
    </w:p>
    <w:p w14:paraId="6E04843A" w14:textId="77777777" w:rsidR="0037375D" w:rsidRDefault="0037375D" w:rsidP="0037375D"/>
    <w:p w14:paraId="3E5185E1" w14:textId="58B2273C" w:rsidR="00515B88" w:rsidRDefault="00515B88" w:rsidP="0037375D">
      <w:r>
        <w:t xml:space="preserve">Data will be collected and used for </w:t>
      </w:r>
      <w:r w:rsidR="00115DCA">
        <w:t xml:space="preserve">documenting </w:t>
      </w:r>
      <w:r w:rsidR="00115DCA" w:rsidRPr="0044620B">
        <w:t xml:space="preserve">perceptions and experiences related to the current </w:t>
      </w:r>
      <w:r w:rsidR="00C544DC">
        <w:t xml:space="preserve">regional </w:t>
      </w:r>
      <w:r w:rsidR="00115DCA" w:rsidRPr="0044620B">
        <w:t xml:space="preserve">grant structure </w:t>
      </w:r>
      <w:r w:rsidR="00CD0D6E">
        <w:t>and per capita funding model</w:t>
      </w:r>
      <w:r w:rsidR="00115DCA" w:rsidRPr="0044620B">
        <w:t xml:space="preserve"> </w:t>
      </w:r>
      <w:r w:rsidR="00D41599">
        <w:t xml:space="preserve">and </w:t>
      </w:r>
      <w:r w:rsidR="00115DCA">
        <w:t xml:space="preserve">identifying </w:t>
      </w:r>
      <w:r w:rsidR="00115DCA" w:rsidRPr="0044620B">
        <w:t>alternative approaches for funding trafficking services</w:t>
      </w:r>
      <w:r w:rsidR="00D41599">
        <w:t>. In addition, a social network survey, for which we will be submitting a separate</w:t>
      </w:r>
      <w:r w:rsidR="00547F85">
        <w:t xml:space="preserve"> full</w:t>
      </w:r>
      <w:r w:rsidR="00D41599">
        <w:t xml:space="preserve"> </w:t>
      </w:r>
      <w:r w:rsidR="00532DB5">
        <w:t>I</w:t>
      </w:r>
      <w:r w:rsidR="00D41599">
        <w:t xml:space="preserve">nformation </w:t>
      </w:r>
      <w:r w:rsidR="00532DB5">
        <w:t>C</w:t>
      </w:r>
      <w:r w:rsidR="00D41599">
        <w:t xml:space="preserve">ollection </w:t>
      </w:r>
      <w:r w:rsidR="00532DB5">
        <w:t>R</w:t>
      </w:r>
      <w:r w:rsidR="00D41599">
        <w:t xml:space="preserve">equest package, will be used to </w:t>
      </w:r>
      <w:r w:rsidR="00CD0D6E">
        <w:t>examin</w:t>
      </w:r>
      <w:r w:rsidR="00D41599">
        <w:t>e</w:t>
      </w:r>
      <w:r w:rsidR="00CD0D6E">
        <w:t xml:space="preserve"> the </w:t>
      </w:r>
      <w:r w:rsidR="006821F1">
        <w:t xml:space="preserve">estimated cost of services as well as the </w:t>
      </w:r>
      <w:r w:rsidR="00CD0D6E">
        <w:t xml:space="preserve">type and extent of the relationship between </w:t>
      </w:r>
      <w:r w:rsidR="00CD0D6E" w:rsidRPr="0044620B">
        <w:t xml:space="preserve">grantees, </w:t>
      </w:r>
      <w:r w:rsidR="007A6131">
        <w:t>sub</w:t>
      </w:r>
      <w:r w:rsidR="007A6131" w:rsidRPr="0044620B">
        <w:t>recipients</w:t>
      </w:r>
      <w:r w:rsidR="00CD0D6E" w:rsidRPr="0044620B">
        <w:t>, and other service providers operating in subrecipient areas</w:t>
      </w:r>
      <w:r w:rsidR="00285536">
        <w:t xml:space="preserve">, </w:t>
      </w:r>
      <w:r w:rsidR="006821F1">
        <w:t xml:space="preserve">including </w:t>
      </w:r>
      <w:r w:rsidR="00285536">
        <w:lastRenderedPageBreak/>
        <w:t>service</w:t>
      </w:r>
      <w:r w:rsidR="006821F1">
        <w:t xml:space="preserve"> referrals </w:t>
      </w:r>
      <w:r w:rsidR="00285536">
        <w:t>and service coordination.</w:t>
      </w:r>
      <w:r w:rsidR="00285536" w:rsidDel="00285536">
        <w:t xml:space="preserve"> </w:t>
      </w:r>
      <w:r w:rsidR="00547F85">
        <w:t xml:space="preserve">The 60 day notice published on March </w:t>
      </w:r>
      <w:r w:rsidR="00C04857">
        <w:t>5</w:t>
      </w:r>
      <w:r w:rsidR="00547F85">
        <w:t xml:space="preserve">, 2018 </w:t>
      </w:r>
      <w:r w:rsidR="00C04857">
        <w:t>(</w:t>
      </w:r>
      <w:r w:rsidR="009C0F45">
        <w:t xml:space="preserve">Vol </w:t>
      </w:r>
      <w:r w:rsidR="00C04857">
        <w:t>83</w:t>
      </w:r>
      <w:r w:rsidR="009C0F45">
        <w:t xml:space="preserve"> #43, pages 9325-9326)</w:t>
      </w:r>
      <w:r w:rsidR="00C04857">
        <w:t xml:space="preserve"> </w:t>
      </w:r>
      <w:r w:rsidR="00547F85">
        <w:t>for that information collection request.</w:t>
      </w:r>
    </w:p>
    <w:p w14:paraId="0B8F44E4" w14:textId="309C5D1F" w:rsidR="009C0F45" w:rsidRDefault="009C0F45" w:rsidP="0037375D"/>
    <w:p w14:paraId="3AEEAEA6" w14:textId="21CFA566" w:rsidR="003F1C7A" w:rsidRPr="0037375D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 xml:space="preserve">Date(s) and </w:t>
      </w:r>
      <w:r w:rsidR="00E30D58">
        <w:rPr>
          <w:b/>
        </w:rPr>
        <w:t>L</w:t>
      </w:r>
      <w:r>
        <w:rPr>
          <w:b/>
        </w:rPr>
        <w:t>ocation(s)</w:t>
      </w:r>
      <w:r w:rsidR="003F1C7A" w:rsidRPr="00E26798">
        <w:rPr>
          <w:b/>
        </w:rPr>
        <w:t xml:space="preserve"> </w:t>
      </w:r>
    </w:p>
    <w:p w14:paraId="71AEE101" w14:textId="77777777" w:rsidR="00515B88" w:rsidRDefault="00515B88" w:rsidP="0037375D"/>
    <w:p w14:paraId="5CFAE73C" w14:textId="3608F95F" w:rsidR="00515B88" w:rsidRDefault="00515B88" w:rsidP="0037375D">
      <w:r>
        <w:t xml:space="preserve">Data collection </w:t>
      </w:r>
      <w:r w:rsidR="00D41599">
        <w:t xml:space="preserve">through the interviews and focus groups </w:t>
      </w:r>
      <w:r>
        <w:t xml:space="preserve">will begin in </w:t>
      </w:r>
      <w:r w:rsidR="00D41599">
        <w:t xml:space="preserve">April </w:t>
      </w:r>
      <w:r w:rsidR="00115DCA">
        <w:t>2018</w:t>
      </w:r>
      <w:r>
        <w:t xml:space="preserve"> and continue </w:t>
      </w:r>
      <w:r w:rsidR="00C544DC">
        <w:t xml:space="preserve">no later than </w:t>
      </w:r>
      <w:r w:rsidR="009B5312">
        <w:t>September</w:t>
      </w:r>
      <w:r w:rsidR="00D41599">
        <w:t xml:space="preserve"> </w:t>
      </w:r>
      <w:r w:rsidR="009B5312">
        <w:t>2018</w:t>
      </w:r>
      <w:r w:rsidR="00D95F55">
        <w:t>.</w:t>
      </w:r>
    </w:p>
    <w:p w14:paraId="2085DD03" w14:textId="77777777" w:rsidR="00D95F55" w:rsidRDefault="00D95F55" w:rsidP="0037375D"/>
    <w:p w14:paraId="4A7C8B5D" w14:textId="4A21CF61" w:rsidR="00E26798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Collection </w:t>
      </w:r>
      <w:r w:rsidR="00E30D58">
        <w:rPr>
          <w:b/>
        </w:rPr>
        <w:t>P</w:t>
      </w:r>
      <w:r w:rsidRPr="00E26798">
        <w:rPr>
          <w:b/>
        </w:rPr>
        <w:t>rocedures</w:t>
      </w:r>
    </w:p>
    <w:p w14:paraId="26FB4F5F" w14:textId="77777777" w:rsidR="0037375D" w:rsidRDefault="0037375D" w:rsidP="0037375D"/>
    <w:p w14:paraId="1220A829" w14:textId="57B4FF87" w:rsidR="00115DCA" w:rsidRDefault="00115DCA" w:rsidP="00D11F06">
      <w:pPr>
        <w:widowControl w:val="0"/>
        <w:autoSpaceDE w:val="0"/>
        <w:autoSpaceDN w:val="0"/>
        <w:adjustRightInd w:val="0"/>
        <w:rPr>
          <w:rFonts w:cs="Calibri"/>
        </w:rPr>
      </w:pPr>
      <w:r w:rsidRPr="00115DCA">
        <w:rPr>
          <w:rFonts w:cs="Calibri"/>
        </w:rPr>
        <w:t xml:space="preserve">We have </w:t>
      </w:r>
      <w:r>
        <w:rPr>
          <w:rFonts w:cs="Calibri"/>
        </w:rPr>
        <w:t xml:space="preserve">developed </w:t>
      </w:r>
      <w:r w:rsidR="00A026F8">
        <w:rPr>
          <w:rFonts w:cs="Calibri"/>
        </w:rPr>
        <w:t>two</w:t>
      </w:r>
      <w:r>
        <w:rPr>
          <w:rFonts w:cs="Calibri"/>
        </w:rPr>
        <w:t xml:space="preserve"> </w:t>
      </w:r>
      <w:r w:rsidR="009238D1">
        <w:rPr>
          <w:rFonts w:cs="Calibri"/>
        </w:rPr>
        <w:t xml:space="preserve">semi structured </w:t>
      </w:r>
      <w:r>
        <w:rPr>
          <w:rFonts w:cs="Calibri"/>
        </w:rPr>
        <w:t>interview protocol</w:t>
      </w:r>
      <w:r w:rsidR="00A026F8">
        <w:rPr>
          <w:rFonts w:cs="Calibri"/>
        </w:rPr>
        <w:t>s</w:t>
      </w:r>
      <w:r w:rsidR="00C65D48">
        <w:rPr>
          <w:rFonts w:cs="Calibri"/>
        </w:rPr>
        <w:t xml:space="preserve"> (not more than </w:t>
      </w:r>
      <w:r w:rsidR="00051898">
        <w:rPr>
          <w:rFonts w:cs="Calibri"/>
        </w:rPr>
        <w:t>1</w:t>
      </w:r>
      <w:r w:rsidR="00C65D48">
        <w:rPr>
          <w:rFonts w:cs="Calibri"/>
        </w:rPr>
        <w:t xml:space="preserve"> hour in length)</w:t>
      </w:r>
      <w:r>
        <w:rPr>
          <w:rFonts w:cs="Calibri"/>
        </w:rPr>
        <w:t xml:space="preserve"> that will be administered</w:t>
      </w:r>
      <w:r w:rsidR="00C65D48">
        <w:rPr>
          <w:rFonts w:cs="Calibri"/>
        </w:rPr>
        <w:t xml:space="preserve"> in</w:t>
      </w:r>
      <w:r w:rsidR="00051898">
        <w:rPr>
          <w:rFonts w:cs="Calibri"/>
        </w:rPr>
        <w:t xml:space="preserve"> </w:t>
      </w:r>
      <w:r w:rsidR="00C65D48">
        <w:rPr>
          <w:rFonts w:cs="Calibri"/>
        </w:rPr>
        <w:t>person</w:t>
      </w:r>
      <w:r w:rsidR="006C1226">
        <w:rPr>
          <w:rFonts w:cs="Calibri"/>
        </w:rPr>
        <w:t xml:space="preserve"> during site visits at grantee locations</w:t>
      </w:r>
      <w:r w:rsidR="00C65D48">
        <w:rPr>
          <w:rFonts w:cs="Calibri"/>
        </w:rPr>
        <w:t>, when convenient, or virtually</w:t>
      </w:r>
      <w:r>
        <w:rPr>
          <w:rFonts w:cs="Calibri"/>
        </w:rPr>
        <w:t xml:space="preserve"> to key informant staff at grantee and </w:t>
      </w:r>
      <w:r w:rsidR="007A6131">
        <w:rPr>
          <w:rFonts w:cs="Calibri"/>
        </w:rPr>
        <w:t>subrecipient</w:t>
      </w:r>
      <w:r>
        <w:rPr>
          <w:rFonts w:cs="Calibri"/>
        </w:rPr>
        <w:t xml:space="preserve"> organizations. The staff selected </w:t>
      </w:r>
      <w:r w:rsidR="00C544DC">
        <w:rPr>
          <w:rFonts w:cs="Calibri"/>
        </w:rPr>
        <w:t xml:space="preserve">will include case managers, service referral contacts, and grant administrators and </w:t>
      </w:r>
      <w:r>
        <w:rPr>
          <w:rFonts w:cs="Calibri"/>
        </w:rPr>
        <w:t>will represent their organization and provid</w:t>
      </w:r>
      <w:r w:rsidR="00051898">
        <w:rPr>
          <w:rFonts w:cs="Calibri"/>
        </w:rPr>
        <w:t>e</w:t>
      </w:r>
      <w:r>
        <w:rPr>
          <w:rFonts w:cs="Calibri"/>
        </w:rPr>
        <w:t xml:space="preserve"> information about their organization</w:t>
      </w:r>
      <w:r w:rsidR="00C544DC">
        <w:rPr>
          <w:rFonts w:cs="Calibri"/>
        </w:rPr>
        <w:t xml:space="preserve"> in their professional capacity</w:t>
      </w:r>
      <w:r>
        <w:rPr>
          <w:rFonts w:cs="Calibri"/>
        </w:rPr>
        <w:t xml:space="preserve">. </w:t>
      </w:r>
      <w:r w:rsidR="00C65D48">
        <w:rPr>
          <w:rFonts w:cs="Calibri"/>
        </w:rPr>
        <w:t>Although we will collect key informant names and contact information for the purposes of recruiting participants and scheduling interviews, w</w:t>
      </w:r>
      <w:r>
        <w:rPr>
          <w:rFonts w:cs="Calibri"/>
        </w:rPr>
        <w:t xml:space="preserve">e will not ask for </w:t>
      </w:r>
      <w:r w:rsidR="00C65D48">
        <w:rPr>
          <w:rFonts w:cs="Calibri"/>
        </w:rPr>
        <w:t xml:space="preserve">additional </w:t>
      </w:r>
      <w:r>
        <w:rPr>
          <w:rFonts w:cs="Calibri"/>
        </w:rPr>
        <w:t xml:space="preserve">personally identifying or sensitive information. We anticipate a sample of </w:t>
      </w:r>
      <w:r w:rsidR="0095169B">
        <w:rPr>
          <w:rFonts w:cs="Calibri"/>
        </w:rPr>
        <w:t xml:space="preserve">up to </w:t>
      </w:r>
      <w:r>
        <w:rPr>
          <w:rFonts w:cs="Calibri"/>
        </w:rPr>
        <w:t>50 key staff to be selected for interviews</w:t>
      </w:r>
      <w:r w:rsidR="00D41599">
        <w:rPr>
          <w:rFonts w:cs="Calibri"/>
        </w:rPr>
        <w:t xml:space="preserve">, including </w:t>
      </w:r>
      <w:r w:rsidR="00285536">
        <w:rPr>
          <w:rFonts w:cs="Calibri"/>
        </w:rPr>
        <w:t>9 key staff</w:t>
      </w:r>
      <w:r w:rsidR="00D41599">
        <w:rPr>
          <w:rFonts w:cs="Calibri"/>
        </w:rPr>
        <w:t xml:space="preserve"> from the </w:t>
      </w:r>
      <w:r w:rsidR="0095169B">
        <w:rPr>
          <w:rFonts w:cs="Calibri"/>
        </w:rPr>
        <w:t xml:space="preserve">3 </w:t>
      </w:r>
      <w:r w:rsidR="00D41599">
        <w:rPr>
          <w:rFonts w:cs="Calibri"/>
        </w:rPr>
        <w:t>grantee</w:t>
      </w:r>
      <w:r w:rsidR="0095169B">
        <w:rPr>
          <w:rFonts w:cs="Calibri"/>
        </w:rPr>
        <w:t xml:space="preserve"> organizations</w:t>
      </w:r>
      <w:r w:rsidR="00D41599">
        <w:rPr>
          <w:rFonts w:cs="Calibri"/>
        </w:rPr>
        <w:t xml:space="preserve"> and </w:t>
      </w:r>
      <w:r w:rsidR="0095169B">
        <w:rPr>
          <w:rFonts w:cs="Calibri"/>
        </w:rPr>
        <w:t xml:space="preserve">approximately </w:t>
      </w:r>
      <w:r w:rsidR="00285536">
        <w:rPr>
          <w:rFonts w:cs="Calibri"/>
        </w:rPr>
        <w:t>41 key staff</w:t>
      </w:r>
      <w:r w:rsidR="00D41599">
        <w:rPr>
          <w:rFonts w:cs="Calibri"/>
        </w:rPr>
        <w:t xml:space="preserve"> from subrecipient organizations</w:t>
      </w:r>
      <w:r>
        <w:rPr>
          <w:rFonts w:cs="Calibri"/>
        </w:rPr>
        <w:t xml:space="preserve">. </w:t>
      </w:r>
      <w:r w:rsidR="00D1332A">
        <w:t xml:space="preserve">At each of the three grantee organizations, we will seek to interview three types of key grantee staff: grant administrator, lead case manager, and lead service referral contact. At each subrecipient organization, we will seek to interview the lead case manager. </w:t>
      </w:r>
    </w:p>
    <w:p w14:paraId="09DFECAA" w14:textId="77777777" w:rsidR="00115DCA" w:rsidRDefault="00115DCA" w:rsidP="00D95F55">
      <w:pPr>
        <w:rPr>
          <w:rFonts w:cs="Calibri"/>
        </w:rPr>
      </w:pPr>
    </w:p>
    <w:p w14:paraId="6E86D8F9" w14:textId="4AEC902D" w:rsidR="00115DCA" w:rsidRDefault="00C65D48" w:rsidP="00D95F55">
      <w:pPr>
        <w:rPr>
          <w:rFonts w:cs="Calibri"/>
        </w:rPr>
      </w:pPr>
      <w:r>
        <w:rPr>
          <w:rFonts w:cs="Calibri"/>
        </w:rPr>
        <w:t xml:space="preserve">Topics for </w:t>
      </w:r>
      <w:r w:rsidR="00614A6A">
        <w:rPr>
          <w:rFonts w:cs="Calibri"/>
        </w:rPr>
        <w:t xml:space="preserve">both </w:t>
      </w:r>
      <w:r>
        <w:rPr>
          <w:rFonts w:cs="Calibri"/>
        </w:rPr>
        <w:t xml:space="preserve">grantee </w:t>
      </w:r>
      <w:r w:rsidR="00B60231">
        <w:rPr>
          <w:rFonts w:cs="Calibri"/>
        </w:rPr>
        <w:t xml:space="preserve">and subrecipient interviews are </w:t>
      </w:r>
      <w:r w:rsidR="00293A22">
        <w:rPr>
          <w:rFonts w:cs="Calibri"/>
        </w:rPr>
        <w:t xml:space="preserve">related to the TVAP </w:t>
      </w:r>
      <w:r w:rsidR="00B60231">
        <w:rPr>
          <w:rFonts w:cs="Calibri"/>
        </w:rPr>
        <w:t xml:space="preserve">funding </w:t>
      </w:r>
      <w:r w:rsidR="00293A22">
        <w:rPr>
          <w:rFonts w:cs="Calibri"/>
        </w:rPr>
        <w:t>model</w:t>
      </w:r>
      <w:r w:rsidR="00B60231">
        <w:rPr>
          <w:rFonts w:cs="Calibri"/>
        </w:rPr>
        <w:t xml:space="preserve"> and include (1) </w:t>
      </w:r>
      <w:r w:rsidR="00160456">
        <w:t xml:space="preserve">funding and </w:t>
      </w:r>
      <w:r w:rsidR="00C544DC">
        <w:t xml:space="preserve">regional </w:t>
      </w:r>
      <w:r w:rsidR="00160456">
        <w:t>structure of TVAP</w:t>
      </w:r>
      <w:r w:rsidR="00051898">
        <w:t>;</w:t>
      </w:r>
      <w:r w:rsidR="00160456" w:rsidRPr="0066383F">
        <w:t xml:space="preserve"> </w:t>
      </w:r>
      <w:r w:rsidR="00B60231">
        <w:t xml:space="preserve">(2) </w:t>
      </w:r>
      <w:r w:rsidR="00160456" w:rsidRPr="0066383F">
        <w:t>meeting the needs of different types of victims</w:t>
      </w:r>
      <w:r w:rsidR="006A63C4">
        <w:t>;</w:t>
      </w:r>
      <w:r w:rsidR="00160456" w:rsidRPr="0066383F">
        <w:t xml:space="preserve"> </w:t>
      </w:r>
      <w:r w:rsidR="00D1332A">
        <w:t xml:space="preserve">(3) </w:t>
      </w:r>
      <w:r w:rsidR="00160456">
        <w:t>challenges and successes</w:t>
      </w:r>
      <w:r w:rsidR="00C544DC">
        <w:t xml:space="preserve"> related to the program</w:t>
      </w:r>
      <w:r w:rsidR="00051898">
        <w:t>;</w:t>
      </w:r>
      <w:r w:rsidR="00160456">
        <w:t xml:space="preserve"> </w:t>
      </w:r>
      <w:r w:rsidR="00B60231">
        <w:t>(</w:t>
      </w:r>
      <w:r w:rsidR="00D1332A">
        <w:t>4</w:t>
      </w:r>
      <w:r w:rsidR="00B60231">
        <w:t xml:space="preserve">) </w:t>
      </w:r>
      <w:r w:rsidR="00160456" w:rsidRPr="0066383F">
        <w:t>alternative funding models</w:t>
      </w:r>
      <w:r w:rsidR="00051898">
        <w:t>;</w:t>
      </w:r>
      <w:r w:rsidR="00160456" w:rsidRPr="0066383F">
        <w:t xml:space="preserve"> and </w:t>
      </w:r>
      <w:r w:rsidR="00B60231">
        <w:t>(</w:t>
      </w:r>
      <w:r w:rsidR="00D1332A">
        <w:t>5</w:t>
      </w:r>
      <w:r w:rsidR="00B60231">
        <w:t xml:space="preserve">) </w:t>
      </w:r>
      <w:r w:rsidR="00160456">
        <w:t>information</w:t>
      </w:r>
      <w:r w:rsidR="00160456" w:rsidRPr="0066383F">
        <w:t xml:space="preserve"> and resources</w:t>
      </w:r>
      <w:r w:rsidR="00293A22">
        <w:rPr>
          <w:rFonts w:cs="Calibri"/>
        </w:rPr>
        <w:t>. Each interview will be tailored to incorporate specific discussions based on the individual’s experiences with TVAP</w:t>
      </w:r>
      <w:r w:rsidR="00A026F8">
        <w:rPr>
          <w:rFonts w:cs="Calibri"/>
        </w:rPr>
        <w:t xml:space="preserve"> and their organization’s role in the program (i.e., grantee or subrecipient)</w:t>
      </w:r>
      <w:r w:rsidR="00293A22">
        <w:rPr>
          <w:rFonts w:cs="Calibri"/>
        </w:rPr>
        <w:t xml:space="preserve">.  </w:t>
      </w:r>
    </w:p>
    <w:p w14:paraId="463EB088" w14:textId="77777777" w:rsidR="00115DCA" w:rsidRDefault="00115DCA" w:rsidP="00D95F55">
      <w:pPr>
        <w:rPr>
          <w:rFonts w:cs="Calibri"/>
        </w:rPr>
      </w:pPr>
    </w:p>
    <w:p w14:paraId="6E0736C8" w14:textId="15E3C976" w:rsidR="00293A22" w:rsidRDefault="00115DCA" w:rsidP="00293A22">
      <w:pPr>
        <w:rPr>
          <w:rFonts w:cs="Calibri"/>
        </w:rPr>
      </w:pPr>
      <w:r w:rsidRPr="00A026F8">
        <w:rPr>
          <w:rFonts w:cs="Calibri"/>
        </w:rPr>
        <w:t xml:space="preserve">We have developed </w:t>
      </w:r>
      <w:r w:rsidR="00D1332A">
        <w:rPr>
          <w:rFonts w:cs="Calibri"/>
        </w:rPr>
        <w:t>a</w:t>
      </w:r>
      <w:r w:rsidR="00D1332A" w:rsidRPr="00A026F8">
        <w:rPr>
          <w:rFonts w:cs="Calibri"/>
        </w:rPr>
        <w:t xml:space="preserve"> </w:t>
      </w:r>
      <w:r w:rsidR="00995B4B">
        <w:rPr>
          <w:rFonts w:cs="Calibri"/>
        </w:rPr>
        <w:t xml:space="preserve">semi structured </w:t>
      </w:r>
      <w:r w:rsidRPr="00A026F8">
        <w:rPr>
          <w:rFonts w:cs="Calibri"/>
        </w:rPr>
        <w:t>focus group protocol that will be administered</w:t>
      </w:r>
      <w:r w:rsidR="00A026F8">
        <w:rPr>
          <w:rFonts w:cs="Calibri"/>
        </w:rPr>
        <w:t xml:space="preserve"> to </w:t>
      </w:r>
      <w:r w:rsidR="00C544DC">
        <w:rPr>
          <w:rFonts w:cs="Calibri"/>
        </w:rPr>
        <w:t xml:space="preserve">two </w:t>
      </w:r>
      <w:r w:rsidR="00A026F8">
        <w:rPr>
          <w:rFonts w:cs="Calibri"/>
        </w:rPr>
        <w:t xml:space="preserve">different audiences: </w:t>
      </w:r>
      <w:r w:rsidR="000C7613">
        <w:rPr>
          <w:rFonts w:cs="Calibri"/>
        </w:rPr>
        <w:t xml:space="preserve">(1) </w:t>
      </w:r>
      <w:r w:rsidR="00D1332A">
        <w:rPr>
          <w:rFonts w:cs="Calibri"/>
        </w:rPr>
        <w:t xml:space="preserve">12 participants from </w:t>
      </w:r>
      <w:r w:rsidR="00A026F8">
        <w:rPr>
          <w:rFonts w:cs="Calibri"/>
        </w:rPr>
        <w:t xml:space="preserve">large (i.e., more than </w:t>
      </w:r>
      <w:r w:rsidR="00882EED">
        <w:rPr>
          <w:rFonts w:cs="Calibri"/>
        </w:rPr>
        <w:t xml:space="preserve">five </w:t>
      </w:r>
      <w:r w:rsidR="00A026F8">
        <w:rPr>
          <w:rFonts w:cs="Calibri"/>
        </w:rPr>
        <w:t xml:space="preserve">clients served per year) TVAP </w:t>
      </w:r>
      <w:r w:rsidR="007A6131">
        <w:rPr>
          <w:rFonts w:cs="Calibri"/>
        </w:rPr>
        <w:t>subrecipients</w:t>
      </w:r>
      <w:r w:rsidR="00882EED">
        <w:rPr>
          <w:rFonts w:cs="Calibri"/>
        </w:rPr>
        <w:t>;</w:t>
      </w:r>
      <w:r w:rsidR="00A026F8">
        <w:rPr>
          <w:rFonts w:cs="Calibri"/>
        </w:rPr>
        <w:t xml:space="preserve"> and</w:t>
      </w:r>
      <w:r w:rsidR="000C7613">
        <w:rPr>
          <w:rFonts w:cs="Calibri"/>
        </w:rPr>
        <w:t xml:space="preserve"> (</w:t>
      </w:r>
      <w:r w:rsidR="00C544DC">
        <w:rPr>
          <w:rFonts w:cs="Calibri"/>
        </w:rPr>
        <w:t>2</w:t>
      </w:r>
      <w:r w:rsidR="000C7613">
        <w:rPr>
          <w:rFonts w:cs="Calibri"/>
        </w:rPr>
        <w:t>)</w:t>
      </w:r>
      <w:r w:rsidR="00A026F8">
        <w:rPr>
          <w:rFonts w:cs="Calibri"/>
        </w:rPr>
        <w:t xml:space="preserve"> </w:t>
      </w:r>
      <w:r w:rsidR="00D1332A">
        <w:rPr>
          <w:rFonts w:cs="Calibri"/>
        </w:rPr>
        <w:t xml:space="preserve">12 </w:t>
      </w:r>
      <w:r w:rsidR="006A63C4">
        <w:rPr>
          <w:rFonts w:cs="Calibri"/>
        </w:rPr>
        <w:t>participants</w:t>
      </w:r>
      <w:r w:rsidR="00D1332A">
        <w:rPr>
          <w:rFonts w:cs="Calibri"/>
        </w:rPr>
        <w:t xml:space="preserve"> from </w:t>
      </w:r>
      <w:r w:rsidR="00A026F8">
        <w:rPr>
          <w:rFonts w:cs="Calibri"/>
        </w:rPr>
        <w:t xml:space="preserve">small (i.e., less than </w:t>
      </w:r>
      <w:r w:rsidR="00882EED">
        <w:rPr>
          <w:rFonts w:cs="Calibri"/>
        </w:rPr>
        <w:t xml:space="preserve">five </w:t>
      </w:r>
      <w:r w:rsidR="00A026F8">
        <w:rPr>
          <w:rFonts w:cs="Calibri"/>
        </w:rPr>
        <w:t xml:space="preserve">clients served per year) TVAP </w:t>
      </w:r>
      <w:r w:rsidR="007A6131">
        <w:rPr>
          <w:rFonts w:cs="Calibri"/>
        </w:rPr>
        <w:t>subrecipients</w:t>
      </w:r>
      <w:r w:rsidR="00A026F8">
        <w:rPr>
          <w:rFonts w:cs="Calibri"/>
        </w:rPr>
        <w:t xml:space="preserve">. </w:t>
      </w:r>
      <w:r w:rsidR="00882EED">
        <w:rPr>
          <w:rFonts w:cs="Calibri"/>
        </w:rPr>
        <w:t>S</w:t>
      </w:r>
      <w:r w:rsidR="00293A22" w:rsidRPr="00A026F8">
        <w:rPr>
          <w:rFonts w:cs="Calibri"/>
        </w:rPr>
        <w:t xml:space="preserve">elected </w:t>
      </w:r>
      <w:r w:rsidR="00882EED" w:rsidRPr="00A026F8">
        <w:rPr>
          <w:rFonts w:cs="Calibri"/>
        </w:rPr>
        <w:t xml:space="preserve">staff </w:t>
      </w:r>
      <w:r w:rsidR="00293A22" w:rsidRPr="00A026F8">
        <w:rPr>
          <w:rFonts w:cs="Calibri"/>
        </w:rPr>
        <w:t>will represent their organization and provid</w:t>
      </w:r>
      <w:r w:rsidR="00882EED">
        <w:rPr>
          <w:rFonts w:cs="Calibri"/>
        </w:rPr>
        <w:t>e</w:t>
      </w:r>
      <w:r w:rsidR="00293A22" w:rsidRPr="00A026F8">
        <w:rPr>
          <w:rFonts w:cs="Calibri"/>
        </w:rPr>
        <w:t xml:space="preserve"> information about their organization. </w:t>
      </w:r>
      <w:r w:rsidR="00C65D48">
        <w:rPr>
          <w:rFonts w:cs="Calibri"/>
        </w:rPr>
        <w:t xml:space="preserve">Although we will collect key informant names and contact information for the purposes of recruiting participants and scheduling </w:t>
      </w:r>
      <w:r w:rsidR="006C1226">
        <w:rPr>
          <w:rFonts w:cs="Calibri"/>
        </w:rPr>
        <w:t>focus groups</w:t>
      </w:r>
      <w:r w:rsidR="00C65D48">
        <w:rPr>
          <w:rFonts w:cs="Calibri"/>
        </w:rPr>
        <w:t>, w</w:t>
      </w:r>
      <w:r w:rsidR="00293A22" w:rsidRPr="00A026F8">
        <w:rPr>
          <w:rFonts w:cs="Calibri"/>
        </w:rPr>
        <w:t xml:space="preserve">e will not ask for </w:t>
      </w:r>
      <w:r w:rsidR="00C65D48">
        <w:rPr>
          <w:rFonts w:cs="Calibri"/>
        </w:rPr>
        <w:t xml:space="preserve">additional </w:t>
      </w:r>
      <w:r w:rsidR="00293A22" w:rsidRPr="00A026F8">
        <w:rPr>
          <w:rFonts w:cs="Calibri"/>
        </w:rPr>
        <w:t xml:space="preserve">personally identifying or sensitive information. We anticipate a </w:t>
      </w:r>
      <w:r w:rsidR="00D1332A">
        <w:rPr>
          <w:rFonts w:cs="Calibri"/>
        </w:rPr>
        <w:t xml:space="preserve">total </w:t>
      </w:r>
      <w:r w:rsidR="00293A22" w:rsidRPr="00A026F8">
        <w:rPr>
          <w:rFonts w:cs="Calibri"/>
        </w:rPr>
        <w:t xml:space="preserve">sample of </w:t>
      </w:r>
      <w:r w:rsidR="00285536" w:rsidRPr="00A026F8">
        <w:rPr>
          <w:rFonts w:cs="Calibri"/>
        </w:rPr>
        <w:t>24</w:t>
      </w:r>
      <w:r w:rsidR="00EE4F4E" w:rsidRPr="00A026F8">
        <w:rPr>
          <w:rFonts w:cs="Calibri"/>
        </w:rPr>
        <w:t xml:space="preserve"> </w:t>
      </w:r>
      <w:r w:rsidR="00A026F8">
        <w:rPr>
          <w:rFonts w:cs="Calibri"/>
        </w:rPr>
        <w:t>TVAP</w:t>
      </w:r>
      <w:r w:rsidR="00A026F8" w:rsidRPr="00A026F8">
        <w:rPr>
          <w:rFonts w:cs="Calibri"/>
        </w:rPr>
        <w:t xml:space="preserve"> </w:t>
      </w:r>
      <w:r w:rsidR="007A6131">
        <w:rPr>
          <w:rFonts w:cs="Calibri"/>
        </w:rPr>
        <w:t>subrecipient</w:t>
      </w:r>
      <w:r w:rsidR="00C65D48" w:rsidRPr="00A026F8">
        <w:rPr>
          <w:rFonts w:cs="Calibri"/>
        </w:rPr>
        <w:t xml:space="preserve"> </w:t>
      </w:r>
      <w:r w:rsidR="00293A22" w:rsidRPr="00A026F8">
        <w:rPr>
          <w:rFonts w:cs="Calibri"/>
        </w:rPr>
        <w:t>staff</w:t>
      </w:r>
      <w:r w:rsidR="00C544DC">
        <w:rPr>
          <w:rFonts w:cs="Calibri"/>
        </w:rPr>
        <w:t xml:space="preserve"> </w:t>
      </w:r>
      <w:r w:rsidR="00293A22" w:rsidRPr="00A026F8">
        <w:rPr>
          <w:rFonts w:cs="Calibri"/>
        </w:rPr>
        <w:t xml:space="preserve"> to be selected for participation in </w:t>
      </w:r>
      <w:r w:rsidR="006C1226">
        <w:rPr>
          <w:rFonts w:cs="Calibri"/>
        </w:rPr>
        <w:t xml:space="preserve">the </w:t>
      </w:r>
      <w:r w:rsidR="00C544DC">
        <w:rPr>
          <w:rFonts w:cs="Calibri"/>
        </w:rPr>
        <w:t xml:space="preserve">two </w:t>
      </w:r>
      <w:r w:rsidR="00293A22" w:rsidRPr="00A026F8">
        <w:rPr>
          <w:rFonts w:cs="Calibri"/>
        </w:rPr>
        <w:t>focus groups</w:t>
      </w:r>
      <w:r w:rsidR="00A026F8">
        <w:rPr>
          <w:rFonts w:cs="Calibri"/>
        </w:rPr>
        <w:t>.</w:t>
      </w:r>
      <w:r w:rsidR="00D1332A">
        <w:rPr>
          <w:rFonts w:cs="Calibri"/>
        </w:rPr>
        <w:t xml:space="preserve"> Participants will be those who serve in an oversight role, e.g. program manager, program coordinator, or grant administrator. </w:t>
      </w:r>
    </w:p>
    <w:p w14:paraId="25CD8DA5" w14:textId="77777777" w:rsidR="00293A22" w:rsidRDefault="00293A22" w:rsidP="00D95F55">
      <w:pPr>
        <w:rPr>
          <w:rFonts w:cs="Calibri"/>
        </w:rPr>
      </w:pPr>
    </w:p>
    <w:p w14:paraId="59BFB780" w14:textId="56BF1B7C" w:rsidR="00293A22" w:rsidRDefault="00C77D8D" w:rsidP="00293A22">
      <w:pPr>
        <w:rPr>
          <w:rFonts w:cs="Calibri"/>
        </w:rPr>
      </w:pPr>
      <w:r>
        <w:rPr>
          <w:rFonts w:cs="Calibri"/>
        </w:rPr>
        <w:t xml:space="preserve">The focus group protocol includes the following topics: </w:t>
      </w:r>
      <w:r w:rsidR="00B60231">
        <w:rPr>
          <w:rFonts w:cs="Calibri"/>
        </w:rPr>
        <w:t xml:space="preserve">(1) </w:t>
      </w:r>
      <w:r>
        <w:rPr>
          <w:rFonts w:cs="Calibri"/>
        </w:rPr>
        <w:t>perceptions of TVAP per capita funding (e.g., ability to meet needs of different types of victims, flexibility of funding model, challenges</w:t>
      </w:r>
      <w:r w:rsidR="00C544DC">
        <w:rPr>
          <w:rFonts w:cs="Calibri"/>
        </w:rPr>
        <w:t xml:space="preserve"> of the model</w:t>
      </w:r>
      <w:r>
        <w:rPr>
          <w:rFonts w:cs="Calibri"/>
        </w:rPr>
        <w:t>, unmet needs resulting from funding model)</w:t>
      </w:r>
      <w:r w:rsidR="00B60231">
        <w:rPr>
          <w:rFonts w:cs="Calibri"/>
        </w:rPr>
        <w:t>;</w:t>
      </w:r>
      <w:r>
        <w:rPr>
          <w:rFonts w:cs="Calibri"/>
        </w:rPr>
        <w:t xml:space="preserve"> </w:t>
      </w:r>
      <w:r w:rsidR="00B60231">
        <w:rPr>
          <w:rFonts w:cs="Calibri"/>
        </w:rPr>
        <w:t xml:space="preserve">(2) </w:t>
      </w:r>
      <w:r>
        <w:rPr>
          <w:rFonts w:cs="Calibri"/>
        </w:rPr>
        <w:t>perceptions of other types of funding</w:t>
      </w:r>
      <w:r w:rsidR="006A63C4">
        <w:rPr>
          <w:rFonts w:cs="Calibri"/>
        </w:rPr>
        <w:t>; and (3) general questions and suggestions for TVAP</w:t>
      </w:r>
      <w:r>
        <w:rPr>
          <w:rFonts w:cs="Calibri"/>
        </w:rPr>
        <w:t>.</w:t>
      </w:r>
      <w:r w:rsidRPr="00C77D8D">
        <w:rPr>
          <w:rFonts w:cs="Calibri"/>
        </w:rPr>
        <w:t xml:space="preserve"> </w:t>
      </w:r>
      <w:r w:rsidR="00293A22">
        <w:rPr>
          <w:rFonts w:cs="Calibri"/>
        </w:rPr>
        <w:t xml:space="preserve">Each focus group will be tailored to incorporate specific discussions based on the </w:t>
      </w:r>
      <w:r w:rsidR="00D1332A">
        <w:rPr>
          <w:rFonts w:cs="Calibri"/>
        </w:rPr>
        <w:t xml:space="preserve">participants’ </w:t>
      </w:r>
      <w:r w:rsidR="00293A22">
        <w:rPr>
          <w:rFonts w:cs="Calibri"/>
        </w:rPr>
        <w:t xml:space="preserve">experiences with TVAP or other funding models.  </w:t>
      </w:r>
    </w:p>
    <w:p w14:paraId="23021C97" w14:textId="319D781E" w:rsidR="00CD0D6E" w:rsidRDefault="00CD0D6E" w:rsidP="00293A22">
      <w:pPr>
        <w:rPr>
          <w:rFonts w:cs="Calibri"/>
        </w:rPr>
      </w:pPr>
    </w:p>
    <w:p w14:paraId="72D3B23E" w14:textId="31BF37C8" w:rsidR="00CD0D6E" w:rsidRPr="00CD0D6E" w:rsidRDefault="00CD0D6E" w:rsidP="00CD0D6E">
      <w:pPr>
        <w:rPr>
          <w:rFonts w:cs="Calibri"/>
        </w:rPr>
      </w:pPr>
      <w:r w:rsidRPr="00CD0D6E">
        <w:rPr>
          <w:rFonts w:cs="Calibri"/>
        </w:rPr>
        <w:lastRenderedPageBreak/>
        <w:t xml:space="preserve">We have </w:t>
      </w:r>
      <w:r w:rsidR="00D1332A">
        <w:rPr>
          <w:rFonts w:cs="Calibri"/>
        </w:rPr>
        <w:t xml:space="preserve">also </w:t>
      </w:r>
      <w:r w:rsidRPr="00CD0D6E">
        <w:rPr>
          <w:rFonts w:cs="Calibri"/>
        </w:rPr>
        <w:t xml:space="preserve">developed a </w:t>
      </w:r>
      <w:r w:rsidR="00F953D8">
        <w:rPr>
          <w:rFonts w:cs="Calibri"/>
        </w:rPr>
        <w:t xml:space="preserve">social network </w:t>
      </w:r>
      <w:r w:rsidRPr="00CD0D6E">
        <w:rPr>
          <w:rFonts w:cs="Calibri"/>
        </w:rPr>
        <w:t>survey to measure the type and extent of connections between TVAP grantee</w:t>
      </w:r>
      <w:r w:rsidR="00315F62">
        <w:rPr>
          <w:rFonts w:cs="Calibri"/>
        </w:rPr>
        <w:t>s</w:t>
      </w:r>
      <w:r w:rsidRPr="00CD0D6E">
        <w:rPr>
          <w:rFonts w:cs="Calibri"/>
        </w:rPr>
        <w:t xml:space="preserve"> and subrecipient organizations. The survey will be administered online using an online survey tool.</w:t>
      </w:r>
      <w:r w:rsidR="00F953D8">
        <w:rPr>
          <w:rFonts w:cs="Calibri"/>
        </w:rPr>
        <w:t xml:space="preserve"> We will seek approval for this social net</w:t>
      </w:r>
      <w:r w:rsidR="00D155F4">
        <w:rPr>
          <w:rFonts w:cs="Calibri"/>
        </w:rPr>
        <w:t>work survey through a separate Information Collection R</w:t>
      </w:r>
      <w:r w:rsidR="00F953D8">
        <w:rPr>
          <w:rFonts w:cs="Calibri"/>
        </w:rPr>
        <w:t>equest package</w:t>
      </w:r>
      <w:r w:rsidR="00547F85">
        <w:rPr>
          <w:rFonts w:cs="Calibri"/>
        </w:rPr>
        <w:t xml:space="preserve"> (ICR)</w:t>
      </w:r>
      <w:r w:rsidR="00F953D8">
        <w:rPr>
          <w:rFonts w:cs="Calibri"/>
        </w:rPr>
        <w:t xml:space="preserve">. </w:t>
      </w:r>
      <w:r w:rsidR="00B60231">
        <w:rPr>
          <w:rFonts w:cs="Calibri"/>
        </w:rPr>
        <w:t xml:space="preserve"> </w:t>
      </w:r>
      <w:r w:rsidR="00547F85">
        <w:rPr>
          <w:rFonts w:cs="Calibri"/>
        </w:rPr>
        <w:t xml:space="preserve">The notice for this ICR published on March </w:t>
      </w:r>
      <w:r w:rsidR="000A778D">
        <w:rPr>
          <w:rFonts w:cs="Calibri"/>
        </w:rPr>
        <w:t>5</w:t>
      </w:r>
      <w:r w:rsidR="00547F85">
        <w:rPr>
          <w:rFonts w:cs="Calibri"/>
        </w:rPr>
        <w:t>, 2018, as noted above.</w:t>
      </w:r>
    </w:p>
    <w:p w14:paraId="2AEF8B0F" w14:textId="335644EE" w:rsidR="00BA26BF" w:rsidRPr="00BA26BF" w:rsidRDefault="00BA26BF" w:rsidP="0037375D">
      <w:pPr>
        <w:rPr>
          <w:rFonts w:cs="Calibri"/>
        </w:rPr>
      </w:pPr>
    </w:p>
    <w:p w14:paraId="42B684F5" w14:textId="291DAA49" w:rsidR="003F1C7A" w:rsidRPr="0037375D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E30D58">
        <w:rPr>
          <w:b/>
        </w:rPr>
        <w:t>C</w:t>
      </w:r>
      <w:r w:rsidR="0037375D">
        <w:rPr>
          <w:b/>
        </w:rPr>
        <w:t xml:space="preserve">ollections (e.g., </w:t>
      </w:r>
      <w:r w:rsidRPr="00E26798">
        <w:rPr>
          <w:b/>
        </w:rPr>
        <w:t>focus groups, surveys, sessions</w:t>
      </w:r>
      <w:r w:rsidR="0037375D">
        <w:rPr>
          <w:b/>
        </w:rPr>
        <w:t>)</w:t>
      </w:r>
      <w:r w:rsidRPr="00E26798">
        <w:rPr>
          <w:b/>
        </w:rPr>
        <w:t xml:space="preserve"> </w:t>
      </w:r>
    </w:p>
    <w:p w14:paraId="6F1781EB" w14:textId="77777777" w:rsidR="0037375D" w:rsidRDefault="0037375D" w:rsidP="0037375D"/>
    <w:p w14:paraId="73E0092E" w14:textId="37D1F86C" w:rsidR="001977DC" w:rsidRDefault="00BA26BF" w:rsidP="0037375D">
      <w:pPr>
        <w:rPr>
          <w:rFonts w:cs="Calibri"/>
        </w:rPr>
      </w:pPr>
      <w:r>
        <w:rPr>
          <w:rFonts w:cs="Calibri"/>
        </w:rPr>
        <w:t>We anticipate a samp</w:t>
      </w:r>
      <w:r w:rsidR="00670388">
        <w:rPr>
          <w:rFonts w:cs="Calibri"/>
        </w:rPr>
        <w:t xml:space="preserve">le of approximately </w:t>
      </w:r>
      <w:r>
        <w:rPr>
          <w:rFonts w:cs="Calibri"/>
        </w:rPr>
        <w:t>50</w:t>
      </w:r>
      <w:r w:rsidR="00D95F55" w:rsidRPr="00AF5D8A">
        <w:rPr>
          <w:rFonts w:cs="Calibri"/>
        </w:rPr>
        <w:t xml:space="preserve"> </w:t>
      </w:r>
      <w:r>
        <w:rPr>
          <w:rFonts w:cs="Calibri"/>
        </w:rPr>
        <w:t xml:space="preserve">key </w:t>
      </w:r>
      <w:r w:rsidR="00CD0D6E">
        <w:rPr>
          <w:rFonts w:cs="Calibri"/>
        </w:rPr>
        <w:t xml:space="preserve">grantee and subrecipient </w:t>
      </w:r>
      <w:r>
        <w:rPr>
          <w:rFonts w:cs="Calibri"/>
        </w:rPr>
        <w:t>staff</w:t>
      </w:r>
      <w:r w:rsidR="006C1226">
        <w:rPr>
          <w:rFonts w:cs="Calibri"/>
        </w:rPr>
        <w:t xml:space="preserve"> (i.e., 9 key grantee staff and 41 key subrecipient staff)</w:t>
      </w:r>
      <w:r>
        <w:rPr>
          <w:rFonts w:cs="Calibri"/>
        </w:rPr>
        <w:t xml:space="preserve"> to be selected</w:t>
      </w:r>
      <w:r w:rsidR="00CD0D6E">
        <w:rPr>
          <w:rFonts w:cs="Calibri"/>
        </w:rPr>
        <w:t xml:space="preserve"> for</w:t>
      </w:r>
      <w:r w:rsidR="00C544DC">
        <w:rPr>
          <w:rFonts w:cs="Calibri"/>
        </w:rPr>
        <w:t xml:space="preserve"> in-depth</w:t>
      </w:r>
      <w:r w:rsidR="009238D1">
        <w:rPr>
          <w:rFonts w:cs="Calibri"/>
        </w:rPr>
        <w:t>, semi structured</w:t>
      </w:r>
      <w:r w:rsidR="00CD0D6E">
        <w:rPr>
          <w:rFonts w:cs="Calibri"/>
        </w:rPr>
        <w:t xml:space="preserve"> interviews</w:t>
      </w:r>
      <w:r w:rsidR="00D155F4">
        <w:rPr>
          <w:rFonts w:cs="Calibri"/>
        </w:rPr>
        <w:t xml:space="preserve"> </w:t>
      </w:r>
      <w:r w:rsidR="00D16BEE">
        <w:rPr>
          <w:rFonts w:cs="Calibri"/>
        </w:rPr>
        <w:t xml:space="preserve">and </w:t>
      </w:r>
      <w:r w:rsidR="00A026F8">
        <w:rPr>
          <w:rFonts w:cs="Calibri"/>
        </w:rPr>
        <w:t>a sample of</w:t>
      </w:r>
      <w:r w:rsidR="00F953D8">
        <w:rPr>
          <w:rFonts w:cs="Calibri"/>
        </w:rPr>
        <w:t xml:space="preserve"> </w:t>
      </w:r>
      <w:r w:rsidR="00D16BEE">
        <w:rPr>
          <w:rFonts w:cs="Calibri"/>
        </w:rPr>
        <w:t xml:space="preserve">24 </w:t>
      </w:r>
      <w:r w:rsidR="00A026F8">
        <w:rPr>
          <w:rFonts w:cs="Calibri"/>
        </w:rPr>
        <w:t xml:space="preserve">staff from current TVAP </w:t>
      </w:r>
      <w:r w:rsidR="007A6131">
        <w:rPr>
          <w:rFonts w:cs="Calibri"/>
        </w:rPr>
        <w:t>subrecipients</w:t>
      </w:r>
      <w:r w:rsidR="00C65D48">
        <w:rPr>
          <w:rFonts w:cs="Calibri"/>
        </w:rPr>
        <w:t xml:space="preserve"> </w:t>
      </w:r>
      <w:r w:rsidR="00A026F8">
        <w:rPr>
          <w:rFonts w:cs="Calibri"/>
        </w:rPr>
        <w:t xml:space="preserve">(i.e., 12 staff from TVAP </w:t>
      </w:r>
      <w:r w:rsidR="007A6131">
        <w:rPr>
          <w:rFonts w:cs="Calibri"/>
        </w:rPr>
        <w:t>subrecipients</w:t>
      </w:r>
      <w:r w:rsidR="00C65D48">
        <w:rPr>
          <w:rFonts w:cs="Calibri"/>
        </w:rPr>
        <w:t xml:space="preserve"> </w:t>
      </w:r>
      <w:r w:rsidR="00A026F8">
        <w:rPr>
          <w:rFonts w:cs="Calibri"/>
        </w:rPr>
        <w:t xml:space="preserve">with </w:t>
      </w:r>
      <w:r w:rsidR="004A4D23">
        <w:rPr>
          <w:rFonts w:cs="Calibri"/>
        </w:rPr>
        <w:t xml:space="preserve">a </w:t>
      </w:r>
      <w:r w:rsidR="00A026F8">
        <w:rPr>
          <w:rFonts w:cs="Calibri"/>
        </w:rPr>
        <w:t xml:space="preserve">large caseload and 12 staff from TVAP </w:t>
      </w:r>
      <w:r w:rsidR="007A6131">
        <w:rPr>
          <w:rFonts w:cs="Calibri"/>
        </w:rPr>
        <w:t>subrecipients</w:t>
      </w:r>
      <w:r w:rsidR="00C65D48">
        <w:rPr>
          <w:rFonts w:cs="Calibri"/>
        </w:rPr>
        <w:t xml:space="preserve"> </w:t>
      </w:r>
      <w:r w:rsidR="00A026F8">
        <w:rPr>
          <w:rFonts w:cs="Calibri"/>
        </w:rPr>
        <w:t>with</w:t>
      </w:r>
      <w:r w:rsidR="004A4D23">
        <w:rPr>
          <w:rFonts w:cs="Calibri"/>
        </w:rPr>
        <w:t xml:space="preserve"> a</w:t>
      </w:r>
      <w:r w:rsidR="00A026F8">
        <w:rPr>
          <w:rFonts w:cs="Calibri"/>
        </w:rPr>
        <w:t xml:space="preserve"> small caseload)</w:t>
      </w:r>
      <w:r w:rsidR="00D16BEE">
        <w:rPr>
          <w:rFonts w:cs="Calibri"/>
        </w:rPr>
        <w:t xml:space="preserve"> to be selected for 2 focus groups.</w:t>
      </w:r>
      <w:r w:rsidR="00293A22">
        <w:rPr>
          <w:rFonts w:cs="Calibri"/>
        </w:rPr>
        <w:t xml:space="preserve"> </w:t>
      </w:r>
      <w:r w:rsidR="00D95F55" w:rsidRPr="00AF5D8A">
        <w:rPr>
          <w:rFonts w:cs="Calibri"/>
        </w:rPr>
        <w:t xml:space="preserve"> </w:t>
      </w:r>
    </w:p>
    <w:p w14:paraId="74CD30CE" w14:textId="77777777" w:rsidR="00D95F55" w:rsidRDefault="00D95F55" w:rsidP="0037375D"/>
    <w:p w14:paraId="7ED63BDA" w14:textId="603BE3A2" w:rsidR="00E26798" w:rsidRDefault="003F1C7A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E26798">
        <w:rPr>
          <w:b/>
        </w:rPr>
        <w:t>Descript</w:t>
      </w:r>
      <w:r w:rsidR="0037375D">
        <w:rPr>
          <w:b/>
        </w:rPr>
        <w:t xml:space="preserve">ion of </w:t>
      </w:r>
      <w:r w:rsidR="00E30D58">
        <w:rPr>
          <w:b/>
        </w:rPr>
        <w:t>R</w:t>
      </w:r>
      <w:r w:rsidR="0037375D">
        <w:rPr>
          <w:b/>
        </w:rPr>
        <w:t>espondents/</w:t>
      </w:r>
      <w:r w:rsidR="00E30D58">
        <w:rPr>
          <w:b/>
        </w:rPr>
        <w:t>P</w:t>
      </w:r>
      <w:r w:rsidR="0037375D">
        <w:rPr>
          <w:b/>
        </w:rPr>
        <w:t>articipants</w:t>
      </w:r>
    </w:p>
    <w:p w14:paraId="7BC3257C" w14:textId="77777777" w:rsidR="00AA071E" w:rsidRDefault="00AA071E" w:rsidP="00EB6C38">
      <w:pPr>
        <w:pStyle w:val="ColorfulList-Accent11"/>
        <w:ind w:left="0"/>
        <w:rPr>
          <w:b/>
        </w:rPr>
      </w:pPr>
    </w:p>
    <w:p w14:paraId="0881F9AA" w14:textId="143E0BCA" w:rsidR="00EB6C38" w:rsidRPr="00EB6C38" w:rsidRDefault="00BA26BF" w:rsidP="00EB6C38">
      <w:pPr>
        <w:widowControl w:val="0"/>
        <w:autoSpaceDE w:val="0"/>
        <w:autoSpaceDN w:val="0"/>
        <w:adjustRightInd w:val="0"/>
      </w:pPr>
      <w:r>
        <w:t>Respondents will</w:t>
      </w:r>
      <w:r w:rsidR="006C1226">
        <w:t xml:space="preserve"> serve</w:t>
      </w:r>
      <w:r>
        <w:t xml:space="preserve"> </w:t>
      </w:r>
      <w:r w:rsidR="00527481">
        <w:t xml:space="preserve">in a </w:t>
      </w:r>
      <w:r w:rsidR="00F953D8">
        <w:t xml:space="preserve">variety </w:t>
      </w:r>
      <w:r w:rsidR="00527481">
        <w:t xml:space="preserve">of roles in their organization </w:t>
      </w:r>
      <w:r w:rsidR="00527481" w:rsidRPr="0044620B">
        <w:t>(e.g., grant administrators, case managers, and service r</w:t>
      </w:r>
      <w:r w:rsidR="00527481">
        <w:t>eferral contacts) and have extensive knowledge of</w:t>
      </w:r>
      <w:r w:rsidR="00D16BEE">
        <w:t xml:space="preserve"> funding models for trafficking services (e.g., </w:t>
      </w:r>
      <w:r w:rsidR="00527481">
        <w:t>TVAP</w:t>
      </w:r>
      <w:r w:rsidR="00D16BEE">
        <w:t>)</w:t>
      </w:r>
      <w:r>
        <w:t>.</w:t>
      </w:r>
    </w:p>
    <w:p w14:paraId="7D53ACB8" w14:textId="77777777" w:rsidR="00EB6C38" w:rsidRDefault="00EB6C38" w:rsidP="00EB6C38">
      <w:pPr>
        <w:pStyle w:val="ColorfulList-Accent11"/>
        <w:ind w:left="0"/>
        <w:rPr>
          <w:b/>
        </w:rPr>
      </w:pPr>
    </w:p>
    <w:p w14:paraId="0E16175E" w14:textId="07B14214" w:rsidR="00AA071E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Description of </w:t>
      </w:r>
      <w:r w:rsidR="00E30D58">
        <w:rPr>
          <w:b/>
        </w:rPr>
        <w:t>H</w:t>
      </w:r>
      <w:r>
        <w:rPr>
          <w:b/>
        </w:rPr>
        <w:t xml:space="preserve">ow </w:t>
      </w:r>
      <w:r w:rsidR="00E30D58">
        <w:rPr>
          <w:b/>
        </w:rPr>
        <w:t>R</w:t>
      </w:r>
      <w:r>
        <w:rPr>
          <w:b/>
        </w:rPr>
        <w:t xml:space="preserve">esults </w:t>
      </w:r>
      <w:r w:rsidR="00E30D58">
        <w:rPr>
          <w:b/>
        </w:rPr>
        <w:t>W</w:t>
      </w:r>
      <w:r>
        <w:rPr>
          <w:b/>
        </w:rPr>
        <w:t xml:space="preserve">ill </w:t>
      </w:r>
      <w:r w:rsidR="00E30D58">
        <w:rPr>
          <w:b/>
        </w:rPr>
        <w:t>B</w:t>
      </w:r>
      <w:r>
        <w:rPr>
          <w:b/>
        </w:rPr>
        <w:t xml:space="preserve">e </w:t>
      </w:r>
      <w:r w:rsidR="00E30D58">
        <w:rPr>
          <w:b/>
        </w:rPr>
        <w:t>U</w:t>
      </w:r>
      <w:r>
        <w:rPr>
          <w:b/>
        </w:rPr>
        <w:t xml:space="preserve">sed </w:t>
      </w:r>
    </w:p>
    <w:p w14:paraId="008B22D5" w14:textId="77777777" w:rsidR="00AA071E" w:rsidRDefault="00AA071E" w:rsidP="00AA071E">
      <w:pPr>
        <w:rPr>
          <w:b/>
        </w:rPr>
      </w:pPr>
    </w:p>
    <w:p w14:paraId="74C3E2E6" w14:textId="5CBFE121" w:rsidR="00D74E92" w:rsidRDefault="00D95F55" w:rsidP="00AA071E">
      <w:r>
        <w:t xml:space="preserve">Results will be used to </w:t>
      </w:r>
      <w:r w:rsidR="00CD0D6E">
        <w:t xml:space="preserve">document </w:t>
      </w:r>
      <w:r w:rsidR="00CD0D6E" w:rsidRPr="0044620B">
        <w:t xml:space="preserve">perceptions and experiences related to the current grant structure </w:t>
      </w:r>
      <w:r w:rsidR="00CD0D6E">
        <w:t>and per capita funding model</w:t>
      </w:r>
      <w:r w:rsidR="007C421A">
        <w:t xml:space="preserve">, potential alternative funding approaches for trafficking services, and challenges related to funding trafficking services. </w:t>
      </w:r>
    </w:p>
    <w:p w14:paraId="19E48120" w14:textId="77777777" w:rsidR="00D74E92" w:rsidRDefault="00D74E92" w:rsidP="00AA071E">
      <w:pPr>
        <w:rPr>
          <w:b/>
        </w:rPr>
      </w:pPr>
    </w:p>
    <w:p w14:paraId="6E3A7978" w14:textId="7EEC5956" w:rsidR="00AA071E" w:rsidRPr="00E26798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Description of </w:t>
      </w:r>
      <w:r w:rsidR="00E30D58">
        <w:rPr>
          <w:b/>
        </w:rPr>
        <w:t>H</w:t>
      </w:r>
      <w:r>
        <w:rPr>
          <w:b/>
        </w:rPr>
        <w:t xml:space="preserve">ow </w:t>
      </w:r>
      <w:r w:rsidR="00E30D58">
        <w:rPr>
          <w:b/>
        </w:rPr>
        <w:t>R</w:t>
      </w:r>
      <w:r>
        <w:rPr>
          <w:b/>
        </w:rPr>
        <w:t xml:space="preserve">esults </w:t>
      </w:r>
      <w:r w:rsidR="00E30D58">
        <w:rPr>
          <w:b/>
        </w:rPr>
        <w:t>W</w:t>
      </w:r>
      <w:r>
        <w:rPr>
          <w:b/>
        </w:rPr>
        <w:t>ill</w:t>
      </w:r>
      <w:r w:rsidR="00E30D58">
        <w:rPr>
          <w:b/>
        </w:rPr>
        <w:t>/W</w:t>
      </w:r>
      <w:r>
        <w:rPr>
          <w:b/>
        </w:rPr>
        <w:t xml:space="preserve">ill </w:t>
      </w:r>
      <w:r w:rsidR="00E30D58">
        <w:rPr>
          <w:b/>
        </w:rPr>
        <w:t>N</w:t>
      </w:r>
      <w:r>
        <w:rPr>
          <w:b/>
        </w:rPr>
        <w:t xml:space="preserve">ot </w:t>
      </w:r>
      <w:r w:rsidR="00E30D58">
        <w:rPr>
          <w:b/>
        </w:rPr>
        <w:t>B</w:t>
      </w:r>
      <w:r>
        <w:rPr>
          <w:b/>
        </w:rPr>
        <w:t xml:space="preserve">e </w:t>
      </w:r>
      <w:r w:rsidR="00E30D58">
        <w:rPr>
          <w:b/>
        </w:rPr>
        <w:t>D</w:t>
      </w:r>
      <w:r>
        <w:rPr>
          <w:b/>
        </w:rPr>
        <w:t xml:space="preserve">isseminated and </w:t>
      </w:r>
      <w:r w:rsidR="00E30D58">
        <w:rPr>
          <w:b/>
        </w:rPr>
        <w:t>W</w:t>
      </w:r>
      <w:r>
        <w:rPr>
          <w:b/>
        </w:rPr>
        <w:t xml:space="preserve">hy or </w:t>
      </w:r>
      <w:r w:rsidR="00E30D58">
        <w:rPr>
          <w:b/>
        </w:rPr>
        <w:t>W</w:t>
      </w:r>
      <w:r>
        <w:rPr>
          <w:b/>
        </w:rPr>
        <w:t xml:space="preserve">hy </w:t>
      </w:r>
      <w:r w:rsidR="00E30D58">
        <w:rPr>
          <w:b/>
        </w:rPr>
        <w:t>N</w:t>
      </w:r>
      <w:r>
        <w:rPr>
          <w:b/>
        </w:rPr>
        <w:t>ot</w:t>
      </w:r>
    </w:p>
    <w:p w14:paraId="5452F06C" w14:textId="77777777" w:rsidR="00E26798" w:rsidRDefault="00E26798" w:rsidP="00B85163">
      <w:pPr>
        <w:pStyle w:val="ColorfulList-Accent11"/>
        <w:ind w:left="0"/>
        <w:rPr>
          <w:b/>
        </w:rPr>
      </w:pPr>
    </w:p>
    <w:p w14:paraId="0CDE3495" w14:textId="75FC3CA8" w:rsidR="00604D2F" w:rsidRDefault="00D95F55" w:rsidP="00B913B9">
      <w:pPr>
        <w:pStyle w:val="ColorfulList-Accent11"/>
        <w:ind w:left="0"/>
      </w:pPr>
      <w:r>
        <w:t xml:space="preserve">We will </w:t>
      </w:r>
      <w:r w:rsidR="00527481">
        <w:t xml:space="preserve">not </w:t>
      </w:r>
      <w:r w:rsidR="00CD0D6E">
        <w:t xml:space="preserve">publish the </w:t>
      </w:r>
      <w:r>
        <w:t xml:space="preserve">results </w:t>
      </w:r>
      <w:r w:rsidR="00CD0D6E">
        <w:t xml:space="preserve">of the interviews or focus groups </w:t>
      </w:r>
      <w:r w:rsidR="00527481">
        <w:t>or share them publicly</w:t>
      </w:r>
      <w:r>
        <w:t>.</w:t>
      </w:r>
      <w:r w:rsidR="00F953D8">
        <w:t xml:space="preserve"> Results are intended to inform potential administrative program design decisions. </w:t>
      </w:r>
    </w:p>
    <w:p w14:paraId="4393E755" w14:textId="77777777" w:rsidR="00B913B9" w:rsidRDefault="00B913B9" w:rsidP="00B913B9">
      <w:pPr>
        <w:pStyle w:val="ColorfulList-Accent11"/>
        <w:ind w:left="0"/>
        <w:rPr>
          <w:b/>
        </w:rPr>
      </w:pPr>
    </w:p>
    <w:p w14:paraId="1C1E925B" w14:textId="77777777" w:rsidR="003F1C7A" w:rsidRDefault="003F1C7A" w:rsidP="00E26798">
      <w:pPr>
        <w:spacing w:before="120" w:after="120"/>
        <w:rPr>
          <w:b/>
        </w:rPr>
      </w:pPr>
      <w:r w:rsidRPr="00E26798">
        <w:rPr>
          <w:b/>
        </w:rPr>
        <w:t>AMOUNT OF ANY PROPOSED STIPEND OR INCENTIVE</w:t>
      </w:r>
    </w:p>
    <w:p w14:paraId="5BE164CE" w14:textId="33C50022" w:rsidR="00EB6C38" w:rsidRPr="00EB6C38" w:rsidRDefault="00D95F55" w:rsidP="00E26798">
      <w:pPr>
        <w:spacing w:before="120" w:after="120"/>
      </w:pPr>
      <w:r>
        <w:t>There is no proposed stipend</w:t>
      </w:r>
      <w:r w:rsidR="004F50F3">
        <w:t xml:space="preserve"> or incentive</w:t>
      </w:r>
      <w:r w:rsidR="00F953D8">
        <w:t xml:space="preserve"> for either interview or focus group participants</w:t>
      </w:r>
      <w:r w:rsidR="004F50F3">
        <w:t>.</w:t>
      </w:r>
    </w:p>
    <w:p w14:paraId="70E51211" w14:textId="77777777" w:rsidR="003F1C7A" w:rsidRDefault="003F1C7A"/>
    <w:p w14:paraId="1EF31136" w14:textId="77777777" w:rsidR="003F1C7A" w:rsidRDefault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6DE801FB" w14:textId="77777777" w:rsidR="00670388" w:rsidRDefault="00670388">
      <w:pPr>
        <w:rPr>
          <w:i/>
        </w:rPr>
      </w:pP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800"/>
        <w:gridCol w:w="1260"/>
        <w:gridCol w:w="1080"/>
        <w:gridCol w:w="990"/>
        <w:gridCol w:w="1368"/>
      </w:tblGrid>
      <w:tr w:rsidR="00D16BEE" w:rsidRPr="00D16BEE" w14:paraId="0F546237" w14:textId="77777777" w:rsidTr="00391592">
        <w:trPr>
          <w:trHeight w:val="149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6C84F5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Type of Respondent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359361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No. of Respondents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63CB21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No. of Responses per Respondent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747121" w14:textId="194C0B4E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 xml:space="preserve">Average Burden per Response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24C50C" w14:textId="57529613" w:rsidR="00D16BEE" w:rsidRPr="00AB1B9D" w:rsidRDefault="00D16BEE" w:rsidP="00D711A0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Total Burden Hours</w:t>
            </w:r>
            <w:r w:rsidR="003708EA">
              <w:rPr>
                <w:rFonts w:eastAsiaTheme="minorEastAsia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A830D4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Hourly Wage Rate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661C31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Total Respondent Costs</w:t>
            </w:r>
          </w:p>
        </w:tc>
      </w:tr>
      <w:tr w:rsidR="00D16BEE" w:rsidRPr="00D16BEE" w14:paraId="727EF129" w14:textId="77777777" w:rsidTr="00391592"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865D" w14:textId="4C2C2975" w:rsidR="00D16BEE" w:rsidRPr="00AB1B9D" w:rsidRDefault="00D16BEE" w:rsidP="00D16BEE">
            <w:pPr>
              <w:spacing w:line="276" w:lineRule="auto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TVAP grantees (</w:t>
            </w:r>
            <w:r w:rsidR="00614A6A" w:rsidRPr="00AB1B9D">
              <w:rPr>
                <w:rFonts w:eastAsiaTheme="minorEastAsia"/>
              </w:rPr>
              <w:t>i</w:t>
            </w:r>
            <w:r w:rsidRPr="00AB1B9D">
              <w:rPr>
                <w:rFonts w:eastAsiaTheme="minorEastAsia"/>
              </w:rPr>
              <w:t>nterviews)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61F9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9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4C2C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0F1A" w14:textId="553F5906" w:rsidR="00D16BEE" w:rsidRPr="00AB1B9D" w:rsidRDefault="00C544DC" w:rsidP="00D16BEE">
            <w:pPr>
              <w:spacing w:line="276" w:lineRule="auto"/>
              <w:ind w:left="72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  <w:r w:rsidR="00D711A0">
              <w:rPr>
                <w:rFonts w:eastAsiaTheme="minorEastAsia"/>
              </w:rPr>
              <w:t>/60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1584" w14:textId="3490A5C5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9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1DDA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$57.11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172D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$513.99</w:t>
            </w:r>
          </w:p>
        </w:tc>
      </w:tr>
      <w:tr w:rsidR="00D16BEE" w:rsidRPr="00D16BEE" w14:paraId="520D9918" w14:textId="77777777" w:rsidTr="00391592"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AD9B" w14:textId="7A472E1E" w:rsidR="00D16BEE" w:rsidRPr="00AB1B9D" w:rsidRDefault="00D16BEE" w:rsidP="00D16BEE">
            <w:pPr>
              <w:spacing w:line="276" w:lineRule="auto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 xml:space="preserve">TVAP </w:t>
            </w:r>
            <w:r w:rsidR="007A6131" w:rsidRPr="00AB1B9D">
              <w:rPr>
                <w:rFonts w:eastAsiaTheme="minorEastAsia"/>
              </w:rPr>
              <w:t>subrecipients</w:t>
            </w:r>
            <w:r w:rsidRPr="00AB1B9D">
              <w:rPr>
                <w:rFonts w:eastAsiaTheme="minorEastAsia"/>
              </w:rPr>
              <w:t xml:space="preserve"> (</w:t>
            </w:r>
            <w:r w:rsidR="00614A6A" w:rsidRPr="00AB1B9D">
              <w:rPr>
                <w:rFonts w:eastAsiaTheme="minorEastAsia"/>
              </w:rPr>
              <w:t>i</w:t>
            </w:r>
            <w:r w:rsidRPr="00AB1B9D">
              <w:rPr>
                <w:rFonts w:eastAsiaTheme="minorEastAsia"/>
              </w:rPr>
              <w:t>nterviews)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C297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41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E5F0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DBD0" w14:textId="17C1272B" w:rsidR="00D16BEE" w:rsidRPr="00AB1B9D" w:rsidRDefault="00C544DC" w:rsidP="00D16BEE">
            <w:pPr>
              <w:spacing w:line="276" w:lineRule="auto"/>
              <w:ind w:left="72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  <w:r w:rsidR="00D711A0">
              <w:rPr>
                <w:rFonts w:eastAsiaTheme="minorEastAsia"/>
              </w:rPr>
              <w:t>/60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A2B" w14:textId="27CB379C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41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5B22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$57.11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F667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$2,341.51</w:t>
            </w:r>
          </w:p>
        </w:tc>
      </w:tr>
      <w:tr w:rsidR="00D16BEE" w:rsidRPr="00D16BEE" w14:paraId="0B8D3210" w14:textId="77777777" w:rsidTr="00391592"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D57E" w14:textId="5E9B53D1" w:rsidR="00D16BEE" w:rsidRPr="00AB1B9D" w:rsidRDefault="00A026F8" w:rsidP="00F215DC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 xml:space="preserve">TVAP </w:t>
            </w:r>
            <w:r w:rsidR="007A6131" w:rsidRPr="00AB1B9D">
              <w:rPr>
                <w:rFonts w:eastAsiaTheme="minorEastAsia"/>
              </w:rPr>
              <w:t>subrecipients</w:t>
            </w:r>
            <w:r w:rsidR="00F215DC" w:rsidRPr="00AB1B9D">
              <w:rPr>
                <w:rFonts w:eastAsiaTheme="minorEastAsia"/>
              </w:rPr>
              <w:t xml:space="preserve"> </w:t>
            </w:r>
            <w:r w:rsidR="00D16BEE" w:rsidRPr="00AB1B9D">
              <w:rPr>
                <w:rFonts w:eastAsiaTheme="minorEastAsia"/>
              </w:rPr>
              <w:t>(focus groups)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35EF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24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1912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9C22" w14:textId="6808503F" w:rsidR="00D16BEE" w:rsidRPr="00AB1B9D" w:rsidRDefault="00C544DC" w:rsidP="00D16BEE">
            <w:pPr>
              <w:spacing w:line="276" w:lineRule="auto"/>
              <w:ind w:left="72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  <w:r w:rsidR="00D711A0">
              <w:rPr>
                <w:rFonts w:eastAsiaTheme="minorEastAsia"/>
              </w:rPr>
              <w:t>/60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A0F6" w14:textId="65D14C1A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24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EAB0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$57.11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C4D" w14:textId="15DFDE5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$1,370.64</w:t>
            </w:r>
          </w:p>
        </w:tc>
      </w:tr>
      <w:tr w:rsidR="00D16BEE" w:rsidRPr="00D16BEE" w14:paraId="7C60442B" w14:textId="77777777" w:rsidTr="00391592">
        <w:trPr>
          <w:trHeight w:hRule="exact" w:val="43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4C5B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TOTALS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C0FE8" w14:textId="325F0A8B" w:rsidR="00D16BEE" w:rsidRPr="00AB1B9D" w:rsidRDefault="00A026F8" w:rsidP="00D16BEE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10BE" w14:textId="06F54596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AE4496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CFC4" w14:textId="3810037F" w:rsidR="00D16BEE" w:rsidRPr="00AB1B9D" w:rsidRDefault="00A026F8" w:rsidP="00F65C80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43832" w14:textId="77777777" w:rsidR="00D16BEE" w:rsidRPr="00AB1B9D" w:rsidRDefault="00D16BEE" w:rsidP="00D16BEE">
            <w:pPr>
              <w:spacing w:line="276" w:lineRule="auto"/>
              <w:ind w:left="72"/>
              <w:rPr>
                <w:rFonts w:eastAsiaTheme="minorEastAsi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8D29" w14:textId="17B5373C" w:rsidR="00D16BEE" w:rsidRPr="00AB1B9D" w:rsidRDefault="00A026F8" w:rsidP="00F65C80">
            <w:pPr>
              <w:spacing w:line="276" w:lineRule="auto"/>
              <w:ind w:left="72"/>
              <w:rPr>
                <w:rFonts w:eastAsiaTheme="minorEastAsia"/>
              </w:rPr>
            </w:pPr>
            <w:r w:rsidRPr="00AB1B9D">
              <w:rPr>
                <w:rFonts w:eastAsiaTheme="minorEastAsia"/>
              </w:rPr>
              <w:t>$4</w:t>
            </w:r>
            <w:r w:rsidR="00CB1DDC" w:rsidRPr="00AB1B9D">
              <w:rPr>
                <w:rFonts w:eastAsiaTheme="minorEastAsia"/>
              </w:rPr>
              <w:t>,</w:t>
            </w:r>
            <w:r w:rsidRPr="00AB1B9D">
              <w:rPr>
                <w:rFonts w:eastAsiaTheme="minorEastAsia"/>
              </w:rPr>
              <w:t>226.14</w:t>
            </w:r>
          </w:p>
        </w:tc>
      </w:tr>
    </w:tbl>
    <w:p w14:paraId="736CEA57" w14:textId="77777777" w:rsidR="003F1C7A" w:rsidRDefault="003F1C7A">
      <w:pPr>
        <w:keepNext/>
        <w:keepLines/>
        <w:rPr>
          <w:b/>
        </w:rPr>
      </w:pPr>
    </w:p>
    <w:p w14:paraId="34670E48" w14:textId="77777777" w:rsidR="003F1C7A" w:rsidRDefault="003F1C7A"/>
    <w:p w14:paraId="709BB19A" w14:textId="77777777" w:rsidR="003F1C7A" w:rsidRDefault="003F1C7A">
      <w:pPr>
        <w:spacing w:after="120"/>
        <w:rPr>
          <w:b/>
        </w:rPr>
      </w:pPr>
      <w:r>
        <w:rPr>
          <w:b/>
        </w:rPr>
        <w:t>BURDEN COST COMPUTATION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4"/>
        <w:gridCol w:w="1974"/>
        <w:gridCol w:w="1749"/>
        <w:gridCol w:w="1749"/>
      </w:tblGrid>
      <w:tr w:rsidR="00670388" w:rsidRPr="00670388" w14:paraId="7E4BC4F6" w14:textId="77777777" w:rsidTr="00BD1D80">
        <w:trPr>
          <w:trHeight w:val="5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F94BCC" w14:textId="77777777" w:rsidR="00670388" w:rsidRPr="00AB1B9D" w:rsidRDefault="00670388" w:rsidP="00670388">
            <w:pPr>
              <w:ind w:left="720"/>
              <w:rPr>
                <w:rFonts w:ascii="Times New Roman" w:eastAsia="Times New Roman" w:hAnsi="Times New Roman"/>
              </w:rPr>
            </w:pPr>
            <w:r w:rsidRPr="00AB1B9D">
              <w:rPr>
                <w:rFonts w:ascii="Times New Roman" w:hAnsi="Times New Roman"/>
              </w:rPr>
              <w:t xml:space="preserve">Staff (FTE)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D857C" w14:textId="77777777" w:rsidR="00670388" w:rsidRPr="00AB1B9D" w:rsidRDefault="00670388" w:rsidP="00670388">
            <w:pPr>
              <w:ind w:left="720"/>
              <w:rPr>
                <w:rFonts w:ascii="Times New Roman" w:eastAsia="Times New Roman" w:hAnsi="Times New Roman"/>
              </w:rPr>
            </w:pPr>
            <w:r w:rsidRPr="00AB1B9D">
              <w:rPr>
                <w:rFonts w:ascii="Times New Roman" w:hAnsi="Times New Roman"/>
              </w:rPr>
              <w:t>Average Hours per Collection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56BE9E" w14:textId="77777777" w:rsidR="00670388" w:rsidRPr="00AB1B9D" w:rsidRDefault="00670388" w:rsidP="00670388">
            <w:pPr>
              <w:ind w:left="720"/>
              <w:rPr>
                <w:rFonts w:ascii="Times New Roman" w:eastAsia="Times New Roman" w:hAnsi="Times New Roman"/>
              </w:rPr>
            </w:pPr>
            <w:r w:rsidRPr="00AB1B9D">
              <w:rPr>
                <w:rFonts w:ascii="Times New Roman" w:hAnsi="Times New Roman"/>
              </w:rPr>
              <w:t>Average Hourly Rate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B5B56" w14:textId="77777777" w:rsidR="00670388" w:rsidRPr="00AB1B9D" w:rsidRDefault="00670388" w:rsidP="00670388">
            <w:pPr>
              <w:ind w:left="720"/>
              <w:rPr>
                <w:rFonts w:ascii="Times New Roman" w:eastAsia="Times New Roman" w:hAnsi="Times New Roman"/>
              </w:rPr>
            </w:pPr>
            <w:r w:rsidRPr="00AB1B9D">
              <w:rPr>
                <w:rFonts w:ascii="Times New Roman" w:hAnsi="Times New Roman"/>
              </w:rPr>
              <w:t>Average Cost</w:t>
            </w:r>
          </w:p>
        </w:tc>
      </w:tr>
      <w:tr w:rsidR="00BD1D80" w:rsidRPr="00670388" w14:paraId="1A356306" w14:textId="77777777" w:rsidTr="00527481">
        <w:tc>
          <w:tcPr>
            <w:tcW w:w="4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697" w14:textId="42ED50DB" w:rsidR="00BD1D80" w:rsidRPr="00AB1B9D" w:rsidRDefault="00BD1D80" w:rsidP="00BD1D80">
            <w:pPr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Social Science Analyst, GS 11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732" w14:textId="2543AEE3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200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8EC" w14:textId="3098FF53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33.00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4D2" w14:textId="7887EA37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$6,600</w:t>
            </w:r>
          </w:p>
        </w:tc>
      </w:tr>
      <w:tr w:rsidR="00BD1D80" w:rsidRPr="00670388" w14:paraId="712BE869" w14:textId="77777777" w:rsidTr="00BD1D80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A2A4" w14:textId="5000193A" w:rsidR="00BD1D80" w:rsidRPr="00AB1B9D" w:rsidRDefault="00BD1D80" w:rsidP="00BD1D80">
            <w:pPr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Social Science Analyst, GS 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FAA" w14:textId="2ED4A1A2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160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E8A" w14:textId="2E499C58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76.00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F8B" w14:textId="58FFA34D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$12,160</w:t>
            </w:r>
          </w:p>
        </w:tc>
      </w:tr>
      <w:tr w:rsidR="00670388" w:rsidRPr="00670388" w14:paraId="10BD0937" w14:textId="77777777" w:rsidTr="00BD1D80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A15" w14:textId="77777777" w:rsidR="00670388" w:rsidRPr="00AB1B9D" w:rsidRDefault="00670388" w:rsidP="00670388">
            <w:pPr>
              <w:ind w:left="720"/>
              <w:rPr>
                <w:rFonts w:ascii="Cambria" w:eastAsia="Times New Roman" w:hAnsi="Cambr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DE0" w14:textId="77777777" w:rsidR="00670388" w:rsidRPr="00AB1B9D" w:rsidRDefault="00670388" w:rsidP="00670388">
            <w:pPr>
              <w:ind w:left="720"/>
              <w:rPr>
                <w:rFonts w:ascii="Cambria" w:eastAsia="Times New Roman" w:hAnsi="Cambr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079" w14:textId="77777777" w:rsidR="00670388" w:rsidRPr="00AB1B9D" w:rsidRDefault="00670388" w:rsidP="00670388">
            <w:pPr>
              <w:ind w:left="720"/>
              <w:rPr>
                <w:rFonts w:ascii="Cambria" w:eastAsia="Times New Roman" w:hAnsi="Cambr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157" w14:textId="77777777" w:rsidR="00670388" w:rsidRPr="00AB1B9D" w:rsidRDefault="00670388" w:rsidP="00670388">
            <w:pPr>
              <w:ind w:left="720"/>
              <w:rPr>
                <w:rFonts w:ascii="Cambria" w:eastAsia="Times New Roman" w:hAnsi="Cambria"/>
              </w:rPr>
            </w:pPr>
          </w:p>
        </w:tc>
      </w:tr>
      <w:tr w:rsidR="00BD1D80" w:rsidRPr="00670388" w14:paraId="0A0DF58E" w14:textId="77777777" w:rsidTr="00BD1D80">
        <w:trPr>
          <w:trHeight w:val="332"/>
        </w:trPr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7F5" w14:textId="594F5815" w:rsidR="00BD1D80" w:rsidRPr="00AB1B9D" w:rsidRDefault="00BD1D80" w:rsidP="00BD1D80">
            <w:pPr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Estimated Total Cost of Information Collection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7596" w14:textId="53F2F239" w:rsidR="00BD1D80" w:rsidRPr="00AB1B9D" w:rsidRDefault="00BD1D80" w:rsidP="00BD1D80">
            <w:pPr>
              <w:ind w:left="720"/>
              <w:rPr>
                <w:rFonts w:ascii="Cambria" w:eastAsia="Times New Roman" w:hAnsi="Cambria"/>
              </w:rPr>
            </w:pPr>
            <w:r w:rsidRPr="00614A6A">
              <w:rPr>
                <w:rFonts w:ascii="Times New Roman" w:hAnsi="Times New Roman"/>
              </w:rPr>
              <w:t>$18,760</w:t>
            </w:r>
          </w:p>
        </w:tc>
      </w:tr>
    </w:tbl>
    <w:p w14:paraId="5491F804" w14:textId="77777777" w:rsidR="0037375D" w:rsidRDefault="0037375D">
      <w:pPr>
        <w:pStyle w:val="BodyTextIndent"/>
        <w:tabs>
          <w:tab w:val="left" w:pos="360"/>
        </w:tabs>
        <w:spacing w:after="120"/>
        <w:ind w:left="0"/>
        <w:rPr>
          <w:bCs/>
          <w:sz w:val="24"/>
        </w:rPr>
      </w:pPr>
    </w:p>
    <w:p w14:paraId="7EE48A77" w14:textId="77777777" w:rsidR="003F1C7A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OTHER SUPPORTING</w:t>
      </w:r>
      <w:r w:rsidR="003F1C7A">
        <w:rPr>
          <w:b/>
          <w:bCs/>
          <w:sz w:val="24"/>
          <w:u w:val="single"/>
        </w:rPr>
        <w:t xml:space="preserve"> INFORMATION</w:t>
      </w:r>
      <w:r w:rsidR="003F1C7A">
        <w:rPr>
          <w:b/>
          <w:bCs/>
          <w:sz w:val="24"/>
        </w:rPr>
        <w:t xml:space="preserve"> </w:t>
      </w:r>
    </w:p>
    <w:p w14:paraId="20A0EF58" w14:textId="77777777"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14:paraId="590ABD09" w14:textId="2729B116" w:rsidR="003F1C7A" w:rsidRDefault="003F1C7A">
      <w:pPr>
        <w:rPr>
          <w:b/>
        </w:rPr>
      </w:pPr>
      <w:r>
        <w:rPr>
          <w:b/>
        </w:rPr>
        <w:t xml:space="preserve">REQUESTED APPROVAL DATE:  </w:t>
      </w:r>
      <w:r w:rsidR="00507F9F" w:rsidRPr="000A778D">
        <w:t xml:space="preserve">April </w:t>
      </w:r>
      <w:r w:rsidR="000A778D">
        <w:t>1</w:t>
      </w:r>
      <w:r w:rsidR="00507F9F" w:rsidRPr="000A778D">
        <w:t>6</w:t>
      </w:r>
      <w:r w:rsidR="00ED67D5" w:rsidRPr="000A778D">
        <w:t>, 201</w:t>
      </w:r>
      <w:r w:rsidR="00D16BEE" w:rsidRPr="000A778D">
        <w:t>8</w:t>
      </w:r>
    </w:p>
    <w:p w14:paraId="0C02F9B5" w14:textId="77777777" w:rsidR="00F31B72" w:rsidRDefault="00F31B72">
      <w:pPr>
        <w:rPr>
          <w:b/>
        </w:rPr>
      </w:pPr>
    </w:p>
    <w:p w14:paraId="69325CC2" w14:textId="3AC72812" w:rsidR="003F1C7A" w:rsidRPr="00494400" w:rsidRDefault="004F50F3">
      <w:pPr>
        <w:rPr>
          <w:color w:val="1F497D"/>
        </w:rPr>
      </w:pPr>
      <w:r>
        <w:rPr>
          <w:b/>
        </w:rPr>
        <w:t xml:space="preserve">NAME OF CONTACT PERSON: </w:t>
      </w:r>
      <w:r w:rsidR="003F3BAB">
        <w:t>Amanda Benton</w:t>
      </w:r>
      <w:r w:rsidR="00494400" w:rsidRPr="00494400">
        <w:t>, Contracting Officer</w:t>
      </w:r>
      <w:r w:rsidR="00614A6A">
        <w:t>’s</w:t>
      </w:r>
      <w:r w:rsidR="00494400" w:rsidRPr="00494400">
        <w:t xml:space="preserve"> Representative, </w:t>
      </w:r>
      <w:r>
        <w:t>Social Science</w:t>
      </w:r>
      <w:r w:rsidR="00494400" w:rsidRPr="00494400">
        <w:t xml:space="preserve"> Analyst, HHS/ASPE</w:t>
      </w:r>
    </w:p>
    <w:p w14:paraId="4C1D6DAB" w14:textId="77777777" w:rsidR="003F1C7A" w:rsidRDefault="003F1C7A"/>
    <w:p w14:paraId="2005283E" w14:textId="43B1B949" w:rsidR="0037375D" w:rsidRDefault="00494400">
      <w:pPr>
        <w:rPr>
          <w:b/>
        </w:rPr>
      </w:pPr>
      <w:r>
        <w:rPr>
          <w:b/>
        </w:rPr>
        <w:t xml:space="preserve">TELEPHONE NUMBER:  </w:t>
      </w:r>
      <w:r w:rsidR="004F50F3">
        <w:t>202</w:t>
      </w:r>
      <w:r w:rsidR="00614A6A" w:rsidRPr="00614A6A">
        <w:t>–</w:t>
      </w:r>
      <w:r w:rsidR="003F3BAB">
        <w:t>690</w:t>
      </w:r>
      <w:r w:rsidR="00614A6A" w:rsidRPr="00614A6A">
        <w:t>–</w:t>
      </w:r>
      <w:r w:rsidR="00F953D8">
        <w:t>7290</w:t>
      </w:r>
      <w:r w:rsidR="004F50F3">
        <w:t xml:space="preserve">; </w:t>
      </w:r>
      <w:r w:rsidR="003F3BAB">
        <w:t>Amanda.Benton</w:t>
      </w:r>
      <w:r w:rsidRPr="00494400">
        <w:t>@hhs.gov</w:t>
      </w:r>
    </w:p>
    <w:p w14:paraId="00E59451" w14:textId="77777777" w:rsidR="0037375D" w:rsidRDefault="0037375D"/>
    <w:p w14:paraId="027786FA" w14:textId="4A5BC1C3" w:rsidR="003F1C7A" w:rsidRPr="00494400" w:rsidRDefault="003F1C7A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  <w:r w:rsidR="00494400" w:rsidRPr="00494400">
        <w:t>U.S. Department of Health and Human Services (HHS), Assistant Secretary of Planning and Evaluation (ASPE)</w:t>
      </w:r>
      <w:r w:rsidR="004F50F3">
        <w:t xml:space="preserve">, </w:t>
      </w:r>
      <w:r w:rsidR="003F3BAB">
        <w:t xml:space="preserve">Human Services </w:t>
      </w:r>
      <w:r w:rsidR="004F50F3">
        <w:t>Policy (</w:t>
      </w:r>
      <w:r w:rsidR="003F3BAB">
        <w:t>HSP</w:t>
      </w:r>
      <w:r w:rsidR="004F50F3">
        <w:t>)</w:t>
      </w:r>
    </w:p>
    <w:sectPr w:rsidR="003F1C7A" w:rsidRPr="00494400" w:rsidSect="00D95F55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E2A4B" w14:textId="77777777" w:rsidR="00E50588" w:rsidRDefault="00E50588">
      <w:r>
        <w:separator/>
      </w:r>
    </w:p>
  </w:endnote>
  <w:endnote w:type="continuationSeparator" w:id="0">
    <w:p w14:paraId="7CBAFC6F" w14:textId="77777777" w:rsidR="00E50588" w:rsidRDefault="00E5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7B29" w14:textId="44BCD68E" w:rsidR="00D95F55" w:rsidRDefault="00D95F5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24CA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64A46" w14:textId="77777777" w:rsidR="00E50588" w:rsidRDefault="00E50588">
      <w:r>
        <w:separator/>
      </w:r>
    </w:p>
  </w:footnote>
  <w:footnote w:type="continuationSeparator" w:id="0">
    <w:p w14:paraId="1EE335FC" w14:textId="77777777" w:rsidR="00E50588" w:rsidRDefault="00E5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CAB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9"/>
  </w:num>
  <w:num w:numId="5">
    <w:abstractNumId w:val="5"/>
  </w:num>
  <w:num w:numId="6">
    <w:abstractNumId w:val="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2"/>
  </w:num>
  <w:num w:numId="14">
    <w:abstractNumId w:val="10"/>
  </w:num>
  <w:num w:numId="15">
    <w:abstractNumId w:val="16"/>
  </w:num>
  <w:num w:numId="16">
    <w:abstractNumId w:val="14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4675"/>
    <w:rsid w:val="00006B95"/>
    <w:rsid w:val="00007EC3"/>
    <w:rsid w:val="00016353"/>
    <w:rsid w:val="000237E3"/>
    <w:rsid w:val="00051898"/>
    <w:rsid w:val="000577A1"/>
    <w:rsid w:val="00080DA7"/>
    <w:rsid w:val="000A70E2"/>
    <w:rsid w:val="000A778D"/>
    <w:rsid w:val="000B52E6"/>
    <w:rsid w:val="000C7613"/>
    <w:rsid w:val="000C7625"/>
    <w:rsid w:val="000E3C8D"/>
    <w:rsid w:val="000F2A55"/>
    <w:rsid w:val="0010342A"/>
    <w:rsid w:val="00115DCA"/>
    <w:rsid w:val="00147F47"/>
    <w:rsid w:val="001515CD"/>
    <w:rsid w:val="00151EBD"/>
    <w:rsid w:val="00160456"/>
    <w:rsid w:val="00160AA1"/>
    <w:rsid w:val="001676D4"/>
    <w:rsid w:val="001977DC"/>
    <w:rsid w:val="001B3174"/>
    <w:rsid w:val="001D4084"/>
    <w:rsid w:val="001F4BCC"/>
    <w:rsid w:val="0020680D"/>
    <w:rsid w:val="0021176B"/>
    <w:rsid w:val="00224CA9"/>
    <w:rsid w:val="002451ED"/>
    <w:rsid w:val="002541BA"/>
    <w:rsid w:val="0027429E"/>
    <w:rsid w:val="00281A4C"/>
    <w:rsid w:val="00285536"/>
    <w:rsid w:val="00293A22"/>
    <w:rsid w:val="002E02AC"/>
    <w:rsid w:val="002E2C45"/>
    <w:rsid w:val="00305C1A"/>
    <w:rsid w:val="00307977"/>
    <w:rsid w:val="00311FFC"/>
    <w:rsid w:val="00315F62"/>
    <w:rsid w:val="0033155F"/>
    <w:rsid w:val="00331A65"/>
    <w:rsid w:val="00355907"/>
    <w:rsid w:val="003708EA"/>
    <w:rsid w:val="00371380"/>
    <w:rsid w:val="0037375D"/>
    <w:rsid w:val="00376B0A"/>
    <w:rsid w:val="0038020E"/>
    <w:rsid w:val="003837E3"/>
    <w:rsid w:val="003A0555"/>
    <w:rsid w:val="003A26A3"/>
    <w:rsid w:val="003A6DED"/>
    <w:rsid w:val="003B7F95"/>
    <w:rsid w:val="003D332B"/>
    <w:rsid w:val="003E5CC4"/>
    <w:rsid w:val="003F1C7A"/>
    <w:rsid w:val="003F3BAB"/>
    <w:rsid w:val="003F6582"/>
    <w:rsid w:val="00403932"/>
    <w:rsid w:val="00410C4D"/>
    <w:rsid w:val="00421A22"/>
    <w:rsid w:val="00427DF3"/>
    <w:rsid w:val="00441C11"/>
    <w:rsid w:val="004441C8"/>
    <w:rsid w:val="00451C2D"/>
    <w:rsid w:val="00466B22"/>
    <w:rsid w:val="004916B5"/>
    <w:rsid w:val="00494400"/>
    <w:rsid w:val="004A4D23"/>
    <w:rsid w:val="004C35B5"/>
    <w:rsid w:val="004D330E"/>
    <w:rsid w:val="004F0163"/>
    <w:rsid w:val="004F3569"/>
    <w:rsid w:val="004F50F3"/>
    <w:rsid w:val="004F6CE1"/>
    <w:rsid w:val="00500D70"/>
    <w:rsid w:val="00507F9F"/>
    <w:rsid w:val="00515B88"/>
    <w:rsid w:val="0051649C"/>
    <w:rsid w:val="005204E2"/>
    <w:rsid w:val="00525D6B"/>
    <w:rsid w:val="0052722C"/>
    <w:rsid w:val="00527481"/>
    <w:rsid w:val="00532DB5"/>
    <w:rsid w:val="00537C9B"/>
    <w:rsid w:val="00547F85"/>
    <w:rsid w:val="005707C9"/>
    <w:rsid w:val="00576F36"/>
    <w:rsid w:val="00590193"/>
    <w:rsid w:val="005E1C38"/>
    <w:rsid w:val="005F5FCC"/>
    <w:rsid w:val="00604D2F"/>
    <w:rsid w:val="00614A6A"/>
    <w:rsid w:val="0064554D"/>
    <w:rsid w:val="00646229"/>
    <w:rsid w:val="00660A9C"/>
    <w:rsid w:val="00670388"/>
    <w:rsid w:val="006821F1"/>
    <w:rsid w:val="006865C1"/>
    <w:rsid w:val="006A22F2"/>
    <w:rsid w:val="006A63C4"/>
    <w:rsid w:val="006C1226"/>
    <w:rsid w:val="0073722B"/>
    <w:rsid w:val="00744F5B"/>
    <w:rsid w:val="007518DF"/>
    <w:rsid w:val="007640AB"/>
    <w:rsid w:val="00764DF1"/>
    <w:rsid w:val="00797A93"/>
    <w:rsid w:val="007A3FD1"/>
    <w:rsid w:val="007A6131"/>
    <w:rsid w:val="007B261C"/>
    <w:rsid w:val="007C1653"/>
    <w:rsid w:val="007C421A"/>
    <w:rsid w:val="007C5787"/>
    <w:rsid w:val="007D068A"/>
    <w:rsid w:val="007D2536"/>
    <w:rsid w:val="007D6B55"/>
    <w:rsid w:val="007D7115"/>
    <w:rsid w:val="007E5DA7"/>
    <w:rsid w:val="0081179E"/>
    <w:rsid w:val="00812981"/>
    <w:rsid w:val="00812EAF"/>
    <w:rsid w:val="00846938"/>
    <w:rsid w:val="00867D63"/>
    <w:rsid w:val="00875176"/>
    <w:rsid w:val="00875E46"/>
    <w:rsid w:val="008809A4"/>
    <w:rsid w:val="00882EED"/>
    <w:rsid w:val="00895649"/>
    <w:rsid w:val="008A6905"/>
    <w:rsid w:val="008B6DF7"/>
    <w:rsid w:val="008F65BA"/>
    <w:rsid w:val="009238D1"/>
    <w:rsid w:val="00945328"/>
    <w:rsid w:val="0095169B"/>
    <w:rsid w:val="009676A5"/>
    <w:rsid w:val="00974A13"/>
    <w:rsid w:val="009843AB"/>
    <w:rsid w:val="0099375C"/>
    <w:rsid w:val="00995B4B"/>
    <w:rsid w:val="009B5312"/>
    <w:rsid w:val="009C0F45"/>
    <w:rsid w:val="009C3E73"/>
    <w:rsid w:val="009D66E0"/>
    <w:rsid w:val="00A026F8"/>
    <w:rsid w:val="00A24143"/>
    <w:rsid w:val="00A333FF"/>
    <w:rsid w:val="00A40735"/>
    <w:rsid w:val="00A43061"/>
    <w:rsid w:val="00A46247"/>
    <w:rsid w:val="00A965DA"/>
    <w:rsid w:val="00AA071E"/>
    <w:rsid w:val="00AB1B9D"/>
    <w:rsid w:val="00AD456E"/>
    <w:rsid w:val="00AF161A"/>
    <w:rsid w:val="00B0212C"/>
    <w:rsid w:val="00B30082"/>
    <w:rsid w:val="00B35A7B"/>
    <w:rsid w:val="00B367D0"/>
    <w:rsid w:val="00B43572"/>
    <w:rsid w:val="00B60231"/>
    <w:rsid w:val="00B654D8"/>
    <w:rsid w:val="00B702EA"/>
    <w:rsid w:val="00B85163"/>
    <w:rsid w:val="00B913B9"/>
    <w:rsid w:val="00BA26BF"/>
    <w:rsid w:val="00BD1D80"/>
    <w:rsid w:val="00BF22FA"/>
    <w:rsid w:val="00C04857"/>
    <w:rsid w:val="00C10767"/>
    <w:rsid w:val="00C544DC"/>
    <w:rsid w:val="00C65D48"/>
    <w:rsid w:val="00C660CC"/>
    <w:rsid w:val="00C77D8D"/>
    <w:rsid w:val="00C80ACA"/>
    <w:rsid w:val="00C91338"/>
    <w:rsid w:val="00C96229"/>
    <w:rsid w:val="00CB1DDC"/>
    <w:rsid w:val="00CB3D6E"/>
    <w:rsid w:val="00CC0D4F"/>
    <w:rsid w:val="00CD0D6E"/>
    <w:rsid w:val="00CD37EF"/>
    <w:rsid w:val="00D11F06"/>
    <w:rsid w:val="00D1332A"/>
    <w:rsid w:val="00D155F4"/>
    <w:rsid w:val="00D16BEE"/>
    <w:rsid w:val="00D41599"/>
    <w:rsid w:val="00D54AE3"/>
    <w:rsid w:val="00D629B1"/>
    <w:rsid w:val="00D711A0"/>
    <w:rsid w:val="00D7295C"/>
    <w:rsid w:val="00D74E92"/>
    <w:rsid w:val="00D77E9E"/>
    <w:rsid w:val="00D90313"/>
    <w:rsid w:val="00D93469"/>
    <w:rsid w:val="00D95F55"/>
    <w:rsid w:val="00DB1E3E"/>
    <w:rsid w:val="00DE355F"/>
    <w:rsid w:val="00E25D85"/>
    <w:rsid w:val="00E26798"/>
    <w:rsid w:val="00E30D58"/>
    <w:rsid w:val="00E32971"/>
    <w:rsid w:val="00E377D5"/>
    <w:rsid w:val="00E50588"/>
    <w:rsid w:val="00E5147B"/>
    <w:rsid w:val="00E750F6"/>
    <w:rsid w:val="00E75964"/>
    <w:rsid w:val="00EA4AFA"/>
    <w:rsid w:val="00EB3D0F"/>
    <w:rsid w:val="00EB6C38"/>
    <w:rsid w:val="00EC3A45"/>
    <w:rsid w:val="00ED605F"/>
    <w:rsid w:val="00ED67D5"/>
    <w:rsid w:val="00EE310C"/>
    <w:rsid w:val="00EE4F4E"/>
    <w:rsid w:val="00EF12A3"/>
    <w:rsid w:val="00F04E7C"/>
    <w:rsid w:val="00F215DC"/>
    <w:rsid w:val="00F31B72"/>
    <w:rsid w:val="00F36698"/>
    <w:rsid w:val="00F65C80"/>
    <w:rsid w:val="00F704F5"/>
    <w:rsid w:val="00F73A47"/>
    <w:rsid w:val="00F82274"/>
    <w:rsid w:val="00F953D8"/>
    <w:rsid w:val="00FC2F66"/>
    <w:rsid w:val="00FD0796"/>
    <w:rsid w:val="00FD4EE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344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5B88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15B88"/>
    <w:rPr>
      <w:rFonts w:eastAsia="Calibri"/>
    </w:rPr>
  </w:style>
  <w:style w:type="character" w:styleId="FootnoteReference">
    <w:name w:val="footnote reference"/>
    <w:uiPriority w:val="99"/>
    <w:semiHidden/>
    <w:unhideWhenUsed/>
    <w:rsid w:val="00515B8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3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1B72"/>
    <w:rPr>
      <w:b/>
      <w:bCs/>
    </w:rPr>
  </w:style>
  <w:style w:type="character" w:customStyle="1" w:styleId="ColorfulList-Accent1Char">
    <w:name w:val="Colorful List - Accent 1 Char"/>
    <w:link w:val="ColorfulList-Accent11"/>
    <w:uiPriority w:val="34"/>
    <w:locked/>
    <w:rsid w:val="00D95F55"/>
    <w:rPr>
      <w:sz w:val="24"/>
      <w:szCs w:val="24"/>
    </w:rPr>
  </w:style>
  <w:style w:type="table" w:styleId="TableGrid">
    <w:name w:val="Table Grid"/>
    <w:basedOn w:val="TableNormal"/>
    <w:uiPriority w:val="59"/>
    <w:rsid w:val="00670388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5B88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15B88"/>
    <w:rPr>
      <w:rFonts w:eastAsia="Calibri"/>
    </w:rPr>
  </w:style>
  <w:style w:type="character" w:styleId="FootnoteReference">
    <w:name w:val="footnote reference"/>
    <w:uiPriority w:val="99"/>
    <w:semiHidden/>
    <w:unhideWhenUsed/>
    <w:rsid w:val="00515B8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3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1B72"/>
    <w:rPr>
      <w:b/>
      <w:bCs/>
    </w:rPr>
  </w:style>
  <w:style w:type="character" w:customStyle="1" w:styleId="ColorfulList-Accent1Char">
    <w:name w:val="Colorful List - Accent 1 Char"/>
    <w:link w:val="ColorfulList-Accent11"/>
    <w:uiPriority w:val="34"/>
    <w:locked/>
    <w:rsid w:val="00D95F55"/>
    <w:rPr>
      <w:sz w:val="24"/>
      <w:szCs w:val="24"/>
    </w:rPr>
  </w:style>
  <w:style w:type="table" w:styleId="TableGrid">
    <w:name w:val="Table Grid"/>
    <w:basedOn w:val="TableNormal"/>
    <w:uiPriority w:val="59"/>
    <w:rsid w:val="00670388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420F3FA5F1B40A737E523CEBBE305" ma:contentTypeVersion="0" ma:contentTypeDescription="Create a new document." ma:contentTypeScope="" ma:versionID="81120a892b8dfdcec3916f5467158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7329-A4BF-4A58-9F71-479826977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37D6-4741-46E2-85A0-B062E952F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53DD04-BE90-42E9-BF81-4BD25507A21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E686BD-3451-49BF-A4F6-E0797447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SYSTEM</cp:lastModifiedBy>
  <cp:revision>2</cp:revision>
  <cp:lastPrinted>2014-07-24T17:07:00Z</cp:lastPrinted>
  <dcterms:created xsi:type="dcterms:W3CDTF">2018-04-10T14:52:00Z</dcterms:created>
  <dcterms:modified xsi:type="dcterms:W3CDTF">2018-04-10T14:52:00Z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0x0101005AB420F3FA5F1B40A737E523CEBBE305</vt:lpwstr>
  </property>
</Properties>
</file>