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F94" w:rsidP="00716F94" w:rsidRDefault="00716F94" w14:paraId="0D1F9D8D" w14:textId="268303E3">
      <w:pPr>
        <w:spacing w:after="0"/>
        <w:rPr>
          <w:rFonts w:asciiTheme="majorHAnsi" w:hAnsiTheme="majorHAnsi"/>
          <w:b/>
        </w:rPr>
      </w:pPr>
    </w:p>
    <w:p w:rsidR="009B4A51" w:rsidP="00716F94" w:rsidRDefault="009B4A51" w14:paraId="10EBEEB6" w14:textId="77777777">
      <w:pPr>
        <w:spacing w:after="0"/>
        <w:rPr>
          <w:rFonts w:asciiTheme="majorHAnsi" w:hAnsiTheme="majorHAnsi"/>
          <w:b/>
        </w:rPr>
      </w:pPr>
    </w:p>
    <w:p w:rsidR="009B4A51" w:rsidP="009B4A51" w:rsidRDefault="009B4A51" w14:paraId="46317058" w14:textId="77777777">
      <w:pPr>
        <w:spacing w:after="0"/>
        <w:jc w:val="center"/>
        <w:rPr>
          <w:rFonts w:asciiTheme="majorHAnsi" w:hAnsiTheme="majorHAnsi"/>
          <w:b/>
        </w:rPr>
      </w:pPr>
    </w:p>
    <w:p w:rsidR="009B4A51" w:rsidP="009B4A51" w:rsidRDefault="009B4A51" w14:paraId="71AFAA98" w14:textId="77777777">
      <w:pPr>
        <w:spacing w:after="0"/>
        <w:jc w:val="center"/>
        <w:rPr>
          <w:rFonts w:asciiTheme="majorHAnsi" w:hAnsiTheme="majorHAnsi"/>
          <w:b/>
        </w:rPr>
      </w:pPr>
    </w:p>
    <w:p w:rsidR="009B4A51" w:rsidP="009B4A51" w:rsidRDefault="009B4A51" w14:paraId="7B30861F" w14:textId="77777777">
      <w:pPr>
        <w:spacing w:after="0"/>
        <w:jc w:val="center"/>
        <w:rPr>
          <w:rFonts w:asciiTheme="majorHAnsi" w:hAnsiTheme="majorHAnsi"/>
          <w:color w:val="0033CC"/>
          <w:sz w:val="28"/>
        </w:rPr>
      </w:pPr>
    </w:p>
    <w:p w:rsidR="00667C89" w:rsidP="009B4A51" w:rsidRDefault="00667C89" w14:paraId="0F964BAD" w14:textId="77777777">
      <w:pPr>
        <w:spacing w:after="0"/>
        <w:jc w:val="center"/>
        <w:rPr>
          <w:rFonts w:asciiTheme="majorHAnsi" w:hAnsiTheme="majorHAnsi"/>
          <w:color w:val="0033CC"/>
          <w:sz w:val="28"/>
        </w:rPr>
      </w:pPr>
    </w:p>
    <w:p w:rsidR="009B4A51" w:rsidP="009B4A51" w:rsidRDefault="009B4A51" w14:paraId="13E1DB6E" w14:textId="77777777">
      <w:pPr>
        <w:spacing w:after="0"/>
        <w:jc w:val="center"/>
        <w:rPr>
          <w:rFonts w:asciiTheme="majorHAnsi" w:hAnsiTheme="majorHAnsi"/>
          <w:sz w:val="32"/>
        </w:rPr>
      </w:pPr>
    </w:p>
    <w:p w:rsidR="009B4A51" w:rsidP="009B4A51" w:rsidRDefault="009B4A51" w14:paraId="5AABCB8C" w14:textId="77777777">
      <w:pPr>
        <w:spacing w:after="0"/>
        <w:jc w:val="center"/>
        <w:rPr>
          <w:rFonts w:asciiTheme="majorHAnsi" w:hAnsiTheme="majorHAnsi"/>
          <w:sz w:val="32"/>
        </w:rPr>
      </w:pPr>
    </w:p>
    <w:p w:rsidR="00AA3192" w:rsidP="008D5479" w:rsidRDefault="00561DDD" w14:paraId="79F825AD" w14:textId="5387DB65">
      <w:pPr>
        <w:spacing w:after="0"/>
        <w:jc w:val="center"/>
        <w:rPr>
          <w:rFonts w:asciiTheme="majorHAnsi" w:hAnsiTheme="majorHAnsi"/>
          <w:b/>
        </w:rPr>
      </w:pPr>
      <w:r>
        <w:rPr>
          <w:rFonts w:asciiTheme="majorHAnsi" w:hAnsiTheme="majorHAnsi"/>
          <w:b/>
          <w:sz w:val="40"/>
        </w:rPr>
        <w:t>Exceptions to Termination</w:t>
      </w:r>
      <w:r w:rsidR="00344CDE">
        <w:rPr>
          <w:rFonts w:asciiTheme="majorHAnsi" w:hAnsiTheme="majorHAnsi"/>
          <w:b/>
          <w:sz w:val="40"/>
        </w:rPr>
        <w:t xml:space="preserve"> of Parental Rights Timelines for Children in Foster Care</w:t>
      </w:r>
    </w:p>
    <w:p w:rsidRPr="00AA3192" w:rsidR="008D5479" w:rsidP="008D5479" w:rsidRDefault="008D5479" w14:paraId="44CFC1C5" w14:textId="77777777">
      <w:pPr>
        <w:spacing w:after="0"/>
        <w:jc w:val="center"/>
        <w:rPr>
          <w:rFonts w:asciiTheme="majorHAnsi" w:hAnsiTheme="majorHAnsi"/>
        </w:rPr>
      </w:pPr>
      <w:r>
        <w:rPr>
          <w:rFonts w:asciiTheme="majorHAnsi" w:hAnsiTheme="majorHAnsi"/>
        </w:rPr>
        <w:t>ASPE Generic Information Collection</w:t>
      </w:r>
      <w:r w:rsidRPr="00AA3192">
        <w:rPr>
          <w:rFonts w:asciiTheme="majorHAnsi" w:hAnsiTheme="majorHAnsi"/>
        </w:rPr>
        <w:t xml:space="preserve"> Request</w:t>
      </w:r>
    </w:p>
    <w:p w:rsidRPr="00AA3192" w:rsidR="008D5479" w:rsidP="008D5479" w:rsidRDefault="008D5479" w14:paraId="71498EC3" w14:textId="77777777">
      <w:pPr>
        <w:pStyle w:val="Header"/>
        <w:tabs>
          <w:tab w:val="clear" w:pos="4680"/>
        </w:tabs>
        <w:jc w:val="center"/>
      </w:pPr>
      <w:r w:rsidRPr="00AA3192">
        <w:t>OMB No.</w:t>
      </w:r>
      <w:r>
        <w:t xml:space="preserve"> 0990-0421</w:t>
      </w:r>
    </w:p>
    <w:p w:rsidR="009B4A51" w:rsidP="00716F94" w:rsidRDefault="009B4A51" w14:paraId="4C401F31" w14:textId="77777777">
      <w:pPr>
        <w:spacing w:after="0"/>
        <w:rPr>
          <w:rFonts w:asciiTheme="majorHAnsi" w:hAnsiTheme="majorHAnsi"/>
          <w:b/>
        </w:rPr>
      </w:pPr>
    </w:p>
    <w:p w:rsidR="009B4A51" w:rsidP="00716F94" w:rsidRDefault="009B4A51" w14:paraId="52F9661A" w14:textId="77777777">
      <w:pPr>
        <w:spacing w:after="0"/>
        <w:rPr>
          <w:rFonts w:asciiTheme="majorHAnsi" w:hAnsiTheme="majorHAnsi"/>
          <w:b/>
        </w:rPr>
      </w:pPr>
    </w:p>
    <w:p w:rsidR="00AA3192" w:rsidP="00716F94" w:rsidRDefault="00AA3192" w14:paraId="44CEE257" w14:textId="77777777">
      <w:pPr>
        <w:spacing w:after="0"/>
        <w:rPr>
          <w:rFonts w:asciiTheme="majorHAnsi" w:hAnsiTheme="majorHAnsi"/>
          <w:b/>
        </w:rPr>
      </w:pPr>
    </w:p>
    <w:p w:rsidR="00AA3192" w:rsidP="00716F94" w:rsidRDefault="00AA3192" w14:paraId="4FCDF6DA" w14:textId="77777777">
      <w:pPr>
        <w:spacing w:after="0"/>
        <w:rPr>
          <w:rFonts w:asciiTheme="majorHAnsi" w:hAnsiTheme="majorHAnsi"/>
          <w:b/>
        </w:rPr>
      </w:pPr>
    </w:p>
    <w:p w:rsidRPr="00AA3192" w:rsidR="009B4A51" w:rsidP="009B4A51" w:rsidRDefault="009B4A51" w14:paraId="2B83DB78" w14:textId="77777777">
      <w:pPr>
        <w:spacing w:after="0"/>
        <w:jc w:val="center"/>
        <w:rPr>
          <w:rFonts w:asciiTheme="majorHAnsi" w:hAnsiTheme="majorHAnsi"/>
          <w:sz w:val="32"/>
        </w:rPr>
      </w:pPr>
      <w:r w:rsidRPr="00AA3192">
        <w:rPr>
          <w:rFonts w:asciiTheme="majorHAnsi" w:hAnsiTheme="majorHAnsi"/>
          <w:b/>
          <w:sz w:val="32"/>
        </w:rPr>
        <w:t xml:space="preserve">Supporting Statement – Section </w:t>
      </w:r>
      <w:r w:rsidR="00601392">
        <w:rPr>
          <w:rFonts w:asciiTheme="majorHAnsi" w:hAnsiTheme="majorHAnsi"/>
          <w:b/>
          <w:sz w:val="32"/>
        </w:rPr>
        <w:t>B</w:t>
      </w:r>
    </w:p>
    <w:p w:rsidR="009B4A51" w:rsidP="00716F94" w:rsidRDefault="009B4A51" w14:paraId="7C874F00" w14:textId="77777777">
      <w:pPr>
        <w:spacing w:after="0"/>
        <w:rPr>
          <w:rFonts w:asciiTheme="majorHAnsi" w:hAnsiTheme="majorHAnsi"/>
          <w:b/>
        </w:rPr>
      </w:pPr>
    </w:p>
    <w:p w:rsidR="00484011" w:rsidP="00716F94" w:rsidRDefault="00484011" w14:paraId="6DEEACFB" w14:textId="77777777">
      <w:pPr>
        <w:spacing w:after="0"/>
        <w:rPr>
          <w:rFonts w:asciiTheme="majorHAnsi" w:hAnsiTheme="majorHAnsi"/>
          <w:b/>
        </w:rPr>
      </w:pPr>
    </w:p>
    <w:p w:rsidR="00AA3192" w:rsidP="00716F94" w:rsidRDefault="00AA3192" w14:paraId="786F0E4B" w14:textId="77777777">
      <w:pPr>
        <w:spacing w:after="0"/>
        <w:rPr>
          <w:rFonts w:asciiTheme="majorHAnsi" w:hAnsiTheme="majorHAnsi"/>
          <w:b/>
        </w:rPr>
      </w:pPr>
    </w:p>
    <w:p w:rsidR="009B4A51" w:rsidP="00716F94" w:rsidRDefault="009B4A51" w14:paraId="57844FDA" w14:textId="77777777">
      <w:pPr>
        <w:spacing w:after="0"/>
        <w:rPr>
          <w:rFonts w:asciiTheme="majorHAnsi" w:hAnsiTheme="majorHAnsi"/>
          <w:b/>
        </w:rPr>
      </w:pPr>
    </w:p>
    <w:p w:rsidR="009B4A51" w:rsidP="00716F94" w:rsidRDefault="009B4A51" w14:paraId="09F83ABC" w14:textId="77777777">
      <w:pPr>
        <w:spacing w:after="0"/>
        <w:rPr>
          <w:rFonts w:asciiTheme="majorHAnsi" w:hAnsiTheme="majorHAnsi"/>
          <w:b/>
        </w:rPr>
      </w:pPr>
    </w:p>
    <w:p w:rsidR="00187D5A" w:rsidP="00716F94" w:rsidRDefault="00187D5A" w14:paraId="12F1FE4A" w14:textId="77777777">
      <w:pPr>
        <w:spacing w:after="0"/>
        <w:rPr>
          <w:rFonts w:asciiTheme="majorHAnsi" w:hAnsiTheme="majorHAnsi"/>
          <w:b/>
        </w:rPr>
      </w:pPr>
    </w:p>
    <w:p w:rsidRPr="009B4A51" w:rsidR="009B4A51" w:rsidP="00CB3B8B" w:rsidRDefault="009B4A51" w14:paraId="68B51500" w14:textId="19D421A5">
      <w:pPr>
        <w:spacing w:after="0"/>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sidR="00CB3B8B">
        <w:rPr>
          <w:rFonts w:asciiTheme="majorHAnsi" w:hAnsiTheme="majorHAnsi"/>
        </w:rPr>
        <w:t>February 11</w:t>
      </w:r>
      <w:bookmarkStart w:name="_GoBack" w:id="0"/>
      <w:bookmarkEnd w:id="0"/>
      <w:r w:rsidR="007870CE">
        <w:rPr>
          <w:rFonts w:asciiTheme="majorHAnsi" w:hAnsiTheme="majorHAnsi"/>
        </w:rPr>
        <w:t>, 2020</w:t>
      </w:r>
    </w:p>
    <w:p w:rsidR="009B4A51" w:rsidP="00716F94" w:rsidRDefault="009B4A51" w14:paraId="05F3A314" w14:textId="77777777">
      <w:pPr>
        <w:spacing w:after="0"/>
        <w:rPr>
          <w:rFonts w:asciiTheme="majorHAnsi" w:hAnsiTheme="majorHAnsi"/>
          <w:b/>
        </w:rPr>
      </w:pPr>
    </w:p>
    <w:p w:rsidR="009B4A51" w:rsidP="00716F94" w:rsidRDefault="009B4A51" w14:paraId="6EC3F654" w14:textId="77777777">
      <w:pPr>
        <w:spacing w:after="0"/>
        <w:rPr>
          <w:rFonts w:asciiTheme="majorHAnsi" w:hAnsiTheme="majorHAnsi"/>
          <w:b/>
        </w:rPr>
      </w:pPr>
    </w:p>
    <w:p w:rsidR="009B4A51" w:rsidP="00716F94" w:rsidRDefault="009B4A51" w14:paraId="6ECDD9F7" w14:textId="77777777">
      <w:pPr>
        <w:spacing w:after="0"/>
        <w:rPr>
          <w:rFonts w:asciiTheme="majorHAnsi" w:hAnsiTheme="majorHAnsi"/>
          <w:b/>
        </w:rPr>
      </w:pPr>
    </w:p>
    <w:p w:rsidR="00AA3192" w:rsidP="00716F94" w:rsidRDefault="00AA3192" w14:paraId="6A2FD6D5" w14:textId="77777777">
      <w:pPr>
        <w:spacing w:after="0"/>
        <w:rPr>
          <w:rFonts w:asciiTheme="majorHAnsi" w:hAnsiTheme="majorHAnsi"/>
          <w:b/>
        </w:rPr>
      </w:pPr>
    </w:p>
    <w:p w:rsidR="00AA3192" w:rsidP="00716F94" w:rsidRDefault="00AA3192" w14:paraId="48519E31" w14:textId="77777777">
      <w:pPr>
        <w:spacing w:after="0"/>
        <w:rPr>
          <w:rFonts w:asciiTheme="majorHAnsi" w:hAnsiTheme="majorHAnsi"/>
          <w:b/>
        </w:rPr>
      </w:pPr>
    </w:p>
    <w:p w:rsidR="009B4A51" w:rsidP="00716F94" w:rsidRDefault="009B4A51" w14:paraId="7E2E9E74" w14:textId="77777777">
      <w:pPr>
        <w:spacing w:after="0"/>
        <w:rPr>
          <w:rFonts w:asciiTheme="majorHAnsi" w:hAnsiTheme="majorHAnsi"/>
          <w:b/>
        </w:rPr>
      </w:pPr>
    </w:p>
    <w:p w:rsidRPr="00667C89" w:rsidR="00667C89" w:rsidP="00716F94" w:rsidRDefault="00716F94" w14:paraId="5D81D47B" w14:textId="77777777">
      <w:pPr>
        <w:spacing w:after="0"/>
        <w:rPr>
          <w:rFonts w:asciiTheme="majorHAnsi" w:hAnsiTheme="majorHAnsi"/>
          <w:b/>
          <w:u w:val="single"/>
        </w:rPr>
      </w:pPr>
      <w:r w:rsidRPr="00667C89">
        <w:rPr>
          <w:rFonts w:asciiTheme="majorHAnsi" w:hAnsiTheme="majorHAnsi"/>
          <w:b/>
          <w:u w:val="single"/>
        </w:rPr>
        <w:t>P</w:t>
      </w:r>
      <w:r w:rsidRPr="00667C89" w:rsidR="00667C89">
        <w:rPr>
          <w:rFonts w:asciiTheme="majorHAnsi" w:hAnsiTheme="majorHAnsi"/>
          <w:b/>
          <w:u w:val="single"/>
        </w:rPr>
        <w:t>rogram Official/Project Officer</w:t>
      </w:r>
    </w:p>
    <w:p w:rsidRPr="00996FB7" w:rsidR="008D5479" w:rsidP="008D5479" w:rsidRDefault="008D5479" w14:paraId="13179EC0" w14:textId="77777777">
      <w:pPr>
        <w:spacing w:after="0" w:line="240" w:lineRule="auto"/>
        <w:rPr>
          <w:rFonts w:asciiTheme="majorHAnsi" w:hAnsiTheme="majorHAnsi"/>
        </w:rPr>
      </w:pPr>
      <w:r w:rsidRPr="00996FB7">
        <w:rPr>
          <w:rFonts w:asciiTheme="majorHAnsi" w:hAnsiTheme="majorHAnsi"/>
        </w:rPr>
        <w:t>Laura Radel</w:t>
      </w:r>
    </w:p>
    <w:p w:rsidRPr="00996FB7" w:rsidR="008D5479" w:rsidP="008D5479" w:rsidRDefault="008D5479" w14:paraId="0C31D603" w14:textId="77777777">
      <w:pPr>
        <w:spacing w:after="0" w:line="240" w:lineRule="auto"/>
        <w:rPr>
          <w:rFonts w:asciiTheme="majorHAnsi" w:hAnsiTheme="majorHAnsi"/>
        </w:rPr>
      </w:pPr>
      <w:r w:rsidRPr="00996FB7">
        <w:rPr>
          <w:rFonts w:asciiTheme="majorHAnsi" w:hAnsiTheme="majorHAnsi"/>
        </w:rPr>
        <w:t>Senior Social Science Analyst</w:t>
      </w:r>
    </w:p>
    <w:p w:rsidRPr="00996FB7" w:rsidR="008D5479" w:rsidP="008D5479" w:rsidRDefault="008D5479" w14:paraId="6EEBF5A6" w14:textId="77777777">
      <w:pPr>
        <w:spacing w:after="0" w:line="240" w:lineRule="auto"/>
        <w:rPr>
          <w:rFonts w:asciiTheme="majorHAnsi" w:hAnsiTheme="majorHAnsi"/>
        </w:rPr>
      </w:pPr>
      <w:r w:rsidRPr="00996FB7">
        <w:rPr>
          <w:rFonts w:asciiTheme="majorHAnsi" w:hAnsiTheme="majorHAnsi"/>
        </w:rPr>
        <w:t>U.S. Department of Health and Human Services</w:t>
      </w:r>
    </w:p>
    <w:p w:rsidRPr="00996FB7" w:rsidR="008D5479" w:rsidP="008D5479" w:rsidRDefault="008D5479" w14:paraId="6D3BC2DC" w14:textId="77777777">
      <w:pPr>
        <w:spacing w:after="0" w:line="240" w:lineRule="auto"/>
        <w:rPr>
          <w:rFonts w:asciiTheme="majorHAnsi" w:hAnsiTheme="majorHAnsi"/>
        </w:rPr>
      </w:pPr>
      <w:r w:rsidRPr="00996FB7">
        <w:rPr>
          <w:rFonts w:asciiTheme="majorHAnsi" w:hAnsiTheme="majorHAnsi"/>
        </w:rPr>
        <w:t>Office of the Assistant Secretary for Planning and Evaluation</w:t>
      </w:r>
    </w:p>
    <w:p w:rsidRPr="00996FB7" w:rsidR="008D5479" w:rsidP="008D5479" w:rsidRDefault="008D5479" w14:paraId="28AF5EF2" w14:textId="77777777">
      <w:pPr>
        <w:spacing w:after="0" w:line="240" w:lineRule="auto"/>
        <w:rPr>
          <w:rFonts w:asciiTheme="majorHAnsi" w:hAnsiTheme="majorHAnsi"/>
        </w:rPr>
      </w:pPr>
      <w:r w:rsidRPr="00996FB7">
        <w:rPr>
          <w:rFonts w:asciiTheme="majorHAnsi" w:hAnsiTheme="majorHAnsi"/>
        </w:rPr>
        <w:t>200 Independence Avenue, SW, Washington, D.C. 20201</w:t>
      </w:r>
    </w:p>
    <w:p w:rsidRPr="00996FB7" w:rsidR="008D5479" w:rsidP="008D5479" w:rsidRDefault="00344CDE" w14:paraId="6ADA287A" w14:textId="5068728F">
      <w:pPr>
        <w:spacing w:after="0" w:line="240" w:lineRule="auto"/>
        <w:rPr>
          <w:rFonts w:asciiTheme="majorHAnsi" w:hAnsiTheme="majorHAnsi"/>
        </w:rPr>
      </w:pPr>
      <w:r>
        <w:rPr>
          <w:rFonts w:asciiTheme="majorHAnsi" w:hAnsiTheme="majorHAnsi"/>
        </w:rPr>
        <w:t>202-730-3927</w:t>
      </w:r>
      <w:r w:rsidR="008975E1">
        <w:rPr>
          <w:rFonts w:asciiTheme="majorHAnsi" w:hAnsiTheme="majorHAnsi"/>
        </w:rPr>
        <w:t xml:space="preserve"> (phone and fax)</w:t>
      </w:r>
    </w:p>
    <w:p w:rsidRPr="008D5479" w:rsidR="00F725B5" w:rsidP="008D5479" w:rsidRDefault="00CB3B8B" w14:paraId="36A41E67" w14:textId="0E42DFBC">
      <w:pPr>
        <w:spacing w:after="0" w:line="240" w:lineRule="auto"/>
        <w:rPr>
          <w:rFonts w:asciiTheme="majorHAnsi" w:hAnsiTheme="majorHAnsi"/>
        </w:rPr>
      </w:pPr>
      <w:hyperlink w:history="1" r:id="rId8">
        <w:r w:rsidRPr="00996FB7" w:rsidR="008D5479">
          <w:rPr>
            <w:rFonts w:asciiTheme="majorHAnsi" w:hAnsiTheme="majorHAnsi"/>
          </w:rPr>
          <w:t>Laura.Radel@HHS.gov</w:t>
        </w:r>
      </w:hyperlink>
    </w:p>
    <w:p w:rsidR="00CB39DC" w:rsidRDefault="00CB39DC" w14:paraId="28A48D64" w14:textId="77777777">
      <w:pPr>
        <w:rPr>
          <w:rFonts w:asciiTheme="majorHAnsi" w:hAnsiTheme="majorHAnsi"/>
          <w:b/>
          <w:sz w:val="28"/>
        </w:rPr>
      </w:pPr>
      <w:r>
        <w:rPr>
          <w:rFonts w:asciiTheme="majorHAnsi" w:hAnsiTheme="majorHAnsi"/>
          <w:b/>
          <w:sz w:val="28"/>
        </w:rPr>
        <w:br w:type="page"/>
      </w:r>
    </w:p>
    <w:p w:rsidRPr="00F52BCC" w:rsidR="00B12F51" w:rsidP="00220A58" w:rsidRDefault="00B12F51" w14:paraId="512F1E79" w14:textId="7881DA67">
      <w:pPr>
        <w:spacing w:after="0" w:line="240" w:lineRule="auto"/>
        <w:rPr>
          <w:rFonts w:asciiTheme="majorHAnsi" w:hAnsiTheme="majorHAnsi"/>
          <w:sz w:val="28"/>
        </w:rPr>
      </w:pPr>
      <w:r w:rsidRPr="00F52BCC">
        <w:rPr>
          <w:rFonts w:asciiTheme="majorHAnsi" w:hAnsiTheme="majorHAnsi"/>
          <w:b/>
          <w:sz w:val="28"/>
        </w:rPr>
        <w:lastRenderedPageBreak/>
        <w:t xml:space="preserve">Section B – </w:t>
      </w:r>
      <w:r w:rsidRPr="00F52BCC" w:rsidR="00287E2F">
        <w:rPr>
          <w:rFonts w:asciiTheme="majorHAnsi" w:hAnsiTheme="majorHAnsi"/>
          <w:b/>
          <w:sz w:val="28"/>
        </w:rPr>
        <w:t>Data Collection Procedures</w:t>
      </w:r>
    </w:p>
    <w:p w:rsidR="00287E2F" w:rsidP="00220A58" w:rsidRDefault="00287E2F" w14:paraId="17B0E59F" w14:textId="77777777">
      <w:pPr>
        <w:spacing w:after="0" w:line="240" w:lineRule="auto"/>
        <w:rPr>
          <w:rFonts w:asciiTheme="majorHAnsi" w:hAnsiTheme="majorHAnsi"/>
        </w:rPr>
      </w:pPr>
    </w:p>
    <w:p w:rsidRPr="00220A58" w:rsidR="00A75D1C" w:rsidP="00220A58" w:rsidRDefault="009759F3" w14:paraId="7865BA2F" w14:textId="77777777">
      <w:pPr>
        <w:pStyle w:val="ListParagraph"/>
        <w:numPr>
          <w:ilvl w:val="0"/>
          <w:numId w:val="3"/>
        </w:numPr>
        <w:spacing w:after="0" w:line="240" w:lineRule="auto"/>
        <w:rPr>
          <w:rFonts w:asciiTheme="majorHAnsi" w:hAnsiTheme="majorHAnsi"/>
          <w:b/>
        </w:rPr>
      </w:pPr>
      <w:r w:rsidRPr="00220A58">
        <w:rPr>
          <w:rFonts w:asciiTheme="majorHAnsi" w:hAnsiTheme="majorHAnsi"/>
          <w:b/>
          <w:bCs/>
        </w:rPr>
        <w:t>Respondent Universe and Sampling Methods</w:t>
      </w:r>
      <w:r w:rsidRPr="00220A58" w:rsidR="00A305CE">
        <w:rPr>
          <w:rFonts w:asciiTheme="majorHAnsi" w:hAnsiTheme="majorHAnsi"/>
        </w:rPr>
        <w:t xml:space="preserve"> </w:t>
      </w:r>
    </w:p>
    <w:p w:rsidRPr="00AB3171" w:rsidR="00AB3171" w:rsidP="00220A58" w:rsidRDefault="00AB3171" w14:paraId="391C002E" w14:textId="3BECFEDA">
      <w:pPr>
        <w:spacing w:before="240" w:after="240" w:line="240" w:lineRule="auto"/>
        <w:rPr>
          <w:rFonts w:eastAsia="Times New Roman" w:cs="Times New Roman" w:asciiTheme="majorHAnsi" w:hAnsiTheme="majorHAnsi"/>
        </w:rPr>
      </w:pPr>
      <w:r w:rsidRPr="00AB3171">
        <w:rPr>
          <w:rFonts w:eastAsia="Times New Roman" w:cs="Times New Roman" w:asciiTheme="majorHAnsi" w:hAnsiTheme="majorHAnsi"/>
        </w:rPr>
        <w:t xml:space="preserve">Two types of qualitative data collection will be conducted with respondents: </w:t>
      </w:r>
    </w:p>
    <w:p w:rsidRPr="00220A58" w:rsidR="00AB3171" w:rsidP="00220A58" w:rsidRDefault="00AB3171" w14:paraId="023FABF9" w14:textId="330012F1">
      <w:pPr>
        <w:pStyle w:val="ListParagraph"/>
        <w:numPr>
          <w:ilvl w:val="0"/>
          <w:numId w:val="27"/>
        </w:numPr>
        <w:spacing w:before="120" w:after="120" w:line="240" w:lineRule="auto"/>
        <w:rPr>
          <w:rFonts w:eastAsia="Times New Roman" w:cs="Times New Roman" w:asciiTheme="majorHAnsi" w:hAnsiTheme="majorHAnsi"/>
        </w:rPr>
      </w:pPr>
      <w:r w:rsidRPr="00220A58">
        <w:rPr>
          <w:rFonts w:eastAsia="Times New Roman" w:cs="Times New Roman" w:asciiTheme="majorHAnsi" w:hAnsiTheme="majorHAnsi"/>
          <w:b/>
        </w:rPr>
        <w:t>Virtual site visits with professionals</w:t>
      </w:r>
      <w:r w:rsidR="007870CE">
        <w:rPr>
          <w:rFonts w:eastAsia="Times New Roman" w:cs="Times New Roman" w:asciiTheme="majorHAnsi" w:hAnsiTheme="majorHAnsi"/>
          <w:b/>
        </w:rPr>
        <w:t xml:space="preserve"> involved in termination of parental rights </w:t>
      </w:r>
      <w:r w:rsidR="00AC506F">
        <w:rPr>
          <w:rFonts w:eastAsia="Times New Roman" w:cs="Times New Roman" w:asciiTheme="majorHAnsi" w:hAnsiTheme="majorHAnsi"/>
          <w:b/>
        </w:rPr>
        <w:t xml:space="preserve">(TPR) </w:t>
      </w:r>
      <w:r w:rsidR="007870CE">
        <w:rPr>
          <w:rFonts w:eastAsia="Times New Roman" w:cs="Times New Roman" w:asciiTheme="majorHAnsi" w:hAnsiTheme="majorHAnsi"/>
          <w:b/>
        </w:rPr>
        <w:t>decisions</w:t>
      </w:r>
      <w:r w:rsidRPr="00220A58">
        <w:rPr>
          <w:rFonts w:eastAsia="Times New Roman" w:cs="Times New Roman" w:asciiTheme="majorHAnsi" w:hAnsiTheme="majorHAnsi"/>
          <w:b/>
          <w:bCs/>
        </w:rPr>
        <w:t>.</w:t>
      </w:r>
      <w:r w:rsidRPr="00220A58">
        <w:rPr>
          <w:rFonts w:eastAsia="Times New Roman" w:cs="Times New Roman" w:asciiTheme="majorHAnsi" w:hAnsiTheme="majorHAnsi"/>
        </w:rPr>
        <w:t xml:space="preserve"> ASPE’s contractor, Mathematica, will conduct four virtual site visits. Each site visit will involve up to four or five </w:t>
      </w:r>
      <w:r w:rsidR="00AC506F">
        <w:rPr>
          <w:rFonts w:eastAsia="Times New Roman" w:cs="Times New Roman" w:asciiTheme="majorHAnsi" w:hAnsiTheme="majorHAnsi"/>
        </w:rPr>
        <w:t xml:space="preserve">small group or individual </w:t>
      </w:r>
      <w:r w:rsidRPr="00220A58">
        <w:rPr>
          <w:rFonts w:eastAsia="Times New Roman" w:cs="Times New Roman" w:asciiTheme="majorHAnsi" w:hAnsiTheme="majorHAnsi"/>
        </w:rPr>
        <w:t>telephone interviews</w:t>
      </w:r>
      <w:r w:rsidR="00AC506F">
        <w:rPr>
          <w:rFonts w:eastAsia="Times New Roman" w:cs="Times New Roman" w:asciiTheme="majorHAnsi" w:hAnsiTheme="majorHAnsi"/>
        </w:rPr>
        <w:t>.</w:t>
      </w:r>
      <w:r w:rsidRPr="00220A58">
        <w:rPr>
          <w:rFonts w:eastAsia="Times New Roman" w:cs="Times New Roman" w:asciiTheme="majorHAnsi" w:hAnsiTheme="majorHAnsi"/>
        </w:rPr>
        <w:t xml:space="preserve"> The professionals could include: (1) child welfare administrators or caseworkers; (2) judges, court personnel, or attorneys; and (3) other professionals or stakeholders who may be involved in the TPR process.</w:t>
      </w:r>
    </w:p>
    <w:p w:rsidRPr="00220A58" w:rsidR="00AB3171" w:rsidP="00220A58" w:rsidRDefault="00AB3171" w14:paraId="356B1455" w14:textId="77777777">
      <w:pPr>
        <w:pStyle w:val="ListParagraph"/>
        <w:spacing w:before="120" w:after="120" w:line="240" w:lineRule="auto"/>
        <w:rPr>
          <w:rFonts w:eastAsia="Times New Roman" w:cs="Times New Roman" w:asciiTheme="majorHAnsi" w:hAnsiTheme="majorHAnsi"/>
        </w:rPr>
      </w:pPr>
    </w:p>
    <w:p w:rsidRPr="00220A58" w:rsidR="00AB3171" w:rsidP="00220A58" w:rsidRDefault="00AB3171" w14:paraId="3F34F466" w14:textId="0082ED91">
      <w:pPr>
        <w:pStyle w:val="ListParagraph"/>
        <w:numPr>
          <w:ilvl w:val="0"/>
          <w:numId w:val="27"/>
        </w:numPr>
        <w:spacing w:before="120" w:after="120" w:line="240" w:lineRule="auto"/>
        <w:rPr>
          <w:rFonts w:eastAsia="Times New Roman" w:cs="Times New Roman" w:asciiTheme="majorHAnsi" w:hAnsiTheme="majorHAnsi"/>
        </w:rPr>
      </w:pPr>
      <w:r w:rsidRPr="00220A58">
        <w:rPr>
          <w:rFonts w:eastAsia="Times New Roman" w:cs="Times New Roman" w:asciiTheme="majorHAnsi" w:hAnsiTheme="majorHAnsi"/>
          <w:b/>
        </w:rPr>
        <w:t>Small group telephone interviews with parents and former foster youth</w:t>
      </w:r>
      <w:r w:rsidRPr="00220A58">
        <w:rPr>
          <w:rFonts w:eastAsia="Times New Roman" w:cs="Times New Roman" w:asciiTheme="majorHAnsi" w:hAnsiTheme="majorHAnsi"/>
          <w:b/>
          <w:bCs/>
        </w:rPr>
        <w:t>.</w:t>
      </w:r>
      <w:r w:rsidRPr="00220A58">
        <w:rPr>
          <w:rFonts w:eastAsia="Times New Roman" w:cs="Times New Roman" w:asciiTheme="majorHAnsi" w:hAnsiTheme="majorHAnsi"/>
        </w:rPr>
        <w:t xml:space="preserve"> Mathematica will also conduct three small group interviews via telephone or webinar with individuals who have experienced the TPR process as a parent or a</w:t>
      </w:r>
      <w:r w:rsidR="00AC506F">
        <w:rPr>
          <w:rFonts w:eastAsia="Times New Roman" w:cs="Times New Roman" w:asciiTheme="majorHAnsi" w:hAnsiTheme="majorHAnsi"/>
        </w:rPr>
        <w:t xml:space="preserve"> child. Participants may include</w:t>
      </w:r>
      <w:r w:rsidRPr="00220A58">
        <w:rPr>
          <w:rFonts w:eastAsia="Times New Roman" w:cs="Times New Roman" w:asciiTheme="majorHAnsi" w:hAnsiTheme="majorHAnsi"/>
        </w:rPr>
        <w:t xml:space="preserve">: (1) biological parents whose children experienced TPR, (2) foster or adoptive parents with TPR experience, and (3) </w:t>
      </w:r>
      <w:r w:rsidR="00AC506F">
        <w:rPr>
          <w:rFonts w:eastAsia="Times New Roman" w:cs="Times New Roman" w:asciiTheme="majorHAnsi" w:hAnsiTheme="majorHAnsi"/>
        </w:rPr>
        <w:t xml:space="preserve">young </w:t>
      </w:r>
      <w:r w:rsidRPr="00220A58">
        <w:rPr>
          <w:rFonts w:eastAsia="Times New Roman" w:cs="Times New Roman" w:asciiTheme="majorHAnsi" w:hAnsiTheme="majorHAnsi"/>
        </w:rPr>
        <w:t xml:space="preserve">adults who are former foster youth. </w:t>
      </w:r>
    </w:p>
    <w:p w:rsidRPr="00220A58" w:rsidR="00220A58" w:rsidP="002827C9" w:rsidRDefault="00220A58" w14:paraId="544BBB1E" w14:textId="57F31595">
      <w:pPr>
        <w:spacing w:before="120" w:after="120" w:line="240" w:lineRule="auto"/>
        <w:ind w:left="1080" w:hanging="360"/>
        <w:rPr>
          <w:rFonts w:asciiTheme="majorHAnsi" w:hAnsiTheme="majorHAnsi"/>
          <w:b/>
        </w:rPr>
      </w:pPr>
      <w:r w:rsidRPr="00220A58">
        <w:rPr>
          <w:rFonts w:asciiTheme="majorHAnsi" w:hAnsiTheme="majorHAnsi"/>
          <w:b/>
        </w:rPr>
        <w:t>Site Selection</w:t>
      </w:r>
    </w:p>
    <w:p w:rsidRPr="00220A58" w:rsidR="00220A58" w:rsidP="002827C9" w:rsidRDefault="00220A58" w14:paraId="3497A34B" w14:textId="7020B5A8">
      <w:pPr>
        <w:spacing w:before="240" w:after="240" w:line="240" w:lineRule="auto"/>
        <w:ind w:left="720"/>
        <w:rPr>
          <w:rFonts w:eastAsia="Times New Roman" w:cs="Times New Roman" w:asciiTheme="majorHAnsi" w:hAnsiTheme="majorHAnsi"/>
        </w:rPr>
      </w:pPr>
      <w:r w:rsidRPr="00220A58">
        <w:rPr>
          <w:rFonts w:eastAsia="Times New Roman" w:cs="Times New Roman" w:asciiTheme="majorHAnsi" w:hAnsiTheme="majorHAnsi"/>
        </w:rPr>
        <w:t xml:space="preserve">We used several sources of information to select sites for the virtual site visits, including findings from ASPE’s intramural analysis of TPR, which is based on </w:t>
      </w:r>
      <w:r w:rsidR="00850621">
        <w:rPr>
          <w:rFonts w:eastAsia="Times New Roman" w:cs="Times New Roman" w:asciiTheme="majorHAnsi" w:hAnsiTheme="majorHAnsi"/>
        </w:rPr>
        <w:t xml:space="preserve">data from </w:t>
      </w:r>
      <w:r w:rsidRPr="00220A58">
        <w:rPr>
          <w:rFonts w:eastAsia="Times New Roman" w:cs="Times New Roman" w:asciiTheme="majorHAnsi" w:hAnsiTheme="majorHAnsi"/>
        </w:rPr>
        <w:t xml:space="preserve">the </w:t>
      </w:r>
      <w:r w:rsidR="00850621">
        <w:rPr>
          <w:rFonts w:eastAsia="Times New Roman" w:cs="Times New Roman" w:asciiTheme="majorHAnsi" w:hAnsiTheme="majorHAnsi"/>
        </w:rPr>
        <w:t xml:space="preserve">Administration for Children and Families’ administrative data on foster care, the Adoption and Foster Care Analysis and Reporting System, or </w:t>
      </w:r>
      <w:r w:rsidRPr="00220A58">
        <w:rPr>
          <w:rFonts w:eastAsia="Times New Roman" w:cs="Times New Roman" w:asciiTheme="majorHAnsi" w:hAnsiTheme="majorHAnsi"/>
        </w:rPr>
        <w:t>AFCARS</w:t>
      </w:r>
      <w:r w:rsidR="00850621">
        <w:rPr>
          <w:rFonts w:eastAsia="Times New Roman" w:cs="Times New Roman" w:asciiTheme="majorHAnsi" w:hAnsiTheme="majorHAnsi"/>
        </w:rPr>
        <w:t>, as well as findings on timely TPR from federal child welfare monitoring visits (t</w:t>
      </w:r>
      <w:r w:rsidRPr="00220A58">
        <w:rPr>
          <w:rFonts w:eastAsia="Times New Roman" w:cs="Times New Roman" w:asciiTheme="majorHAnsi" w:hAnsiTheme="majorHAnsi"/>
        </w:rPr>
        <w:t>he C</w:t>
      </w:r>
      <w:r>
        <w:rPr>
          <w:rFonts w:eastAsia="Times New Roman" w:cs="Times New Roman" w:asciiTheme="majorHAnsi" w:hAnsiTheme="majorHAnsi"/>
        </w:rPr>
        <w:t xml:space="preserve">hild and Family Services Review (CFSR) </w:t>
      </w:r>
      <w:r w:rsidRPr="00220A58">
        <w:rPr>
          <w:rFonts w:eastAsia="Times New Roman" w:cs="Times New Roman" w:asciiTheme="majorHAnsi" w:hAnsiTheme="majorHAnsi"/>
        </w:rPr>
        <w:t>and P</w:t>
      </w:r>
      <w:r>
        <w:rPr>
          <w:rFonts w:eastAsia="Times New Roman" w:cs="Times New Roman" w:asciiTheme="majorHAnsi" w:hAnsiTheme="majorHAnsi"/>
        </w:rPr>
        <w:t>rogram Improvement Plan</w:t>
      </w:r>
      <w:r w:rsidR="00850621">
        <w:rPr>
          <w:rFonts w:eastAsia="Times New Roman" w:cs="Times New Roman" w:asciiTheme="majorHAnsi" w:hAnsiTheme="majorHAnsi"/>
        </w:rPr>
        <w:t>s</w:t>
      </w:r>
      <w:r>
        <w:rPr>
          <w:rFonts w:eastAsia="Times New Roman" w:cs="Times New Roman" w:asciiTheme="majorHAnsi" w:hAnsiTheme="majorHAnsi"/>
        </w:rPr>
        <w:t xml:space="preserve"> (P</w:t>
      </w:r>
      <w:r w:rsidRPr="00220A58">
        <w:rPr>
          <w:rFonts w:eastAsia="Times New Roman" w:cs="Times New Roman" w:asciiTheme="majorHAnsi" w:hAnsiTheme="majorHAnsi"/>
        </w:rPr>
        <w:t>IP</w:t>
      </w:r>
      <w:r>
        <w:rPr>
          <w:rFonts w:eastAsia="Times New Roman" w:cs="Times New Roman" w:asciiTheme="majorHAnsi" w:hAnsiTheme="majorHAnsi"/>
        </w:rPr>
        <w:t>)</w:t>
      </w:r>
      <w:r w:rsidR="00850621">
        <w:rPr>
          <w:rFonts w:eastAsia="Times New Roman" w:cs="Times New Roman" w:asciiTheme="majorHAnsi" w:hAnsiTheme="majorHAnsi"/>
        </w:rPr>
        <w:t>).</w:t>
      </w:r>
      <w:r w:rsidRPr="00220A58">
        <w:rPr>
          <w:rFonts w:eastAsia="Times New Roman" w:cs="Times New Roman" w:asciiTheme="majorHAnsi" w:hAnsiTheme="majorHAnsi"/>
        </w:rPr>
        <w:t xml:space="preserve"> Specifically, the CFSR information helped us to identify sites that may be achieving the TPR timeliness standards and those that may not. For those that are not, we reviewed what corrective strategies they have specif</w:t>
      </w:r>
      <w:r w:rsidR="00850621">
        <w:rPr>
          <w:rFonts w:eastAsia="Times New Roman" w:cs="Times New Roman" w:asciiTheme="majorHAnsi" w:hAnsiTheme="majorHAnsi"/>
        </w:rPr>
        <w:t>ied in their PIP. Also, the AFCA</w:t>
      </w:r>
      <w:r w:rsidRPr="00220A58">
        <w:rPr>
          <w:rFonts w:eastAsia="Times New Roman" w:cs="Times New Roman" w:asciiTheme="majorHAnsi" w:hAnsiTheme="majorHAnsi"/>
        </w:rPr>
        <w:t xml:space="preserve">RS data provided information about what states have higher or lower percentages of cases with TPRs, the timeliness of TPRs, and the use of relative placements when in foster care after the ASFA timeline. In addition to these sources of information, we asked key informants to recommend sites that we should visit, such as those that may be using innovative strategies to achieve timely TPRs or those with practices which may cause delays in the TPR process. </w:t>
      </w:r>
    </w:p>
    <w:p w:rsidRPr="00220A58" w:rsidR="00220A58" w:rsidP="002827C9" w:rsidRDefault="00220A58" w14:paraId="38603403" w14:textId="77777777">
      <w:pPr>
        <w:spacing w:after="240" w:line="240" w:lineRule="auto"/>
        <w:ind w:left="720"/>
        <w:rPr>
          <w:rFonts w:eastAsia="Times New Roman" w:cs="Times New Roman" w:asciiTheme="majorHAnsi" w:hAnsiTheme="majorHAnsi"/>
        </w:rPr>
      </w:pPr>
      <w:r w:rsidRPr="00220A58">
        <w:rPr>
          <w:rFonts w:eastAsia="Times New Roman" w:cs="Times New Roman" w:asciiTheme="majorHAnsi" w:hAnsiTheme="majorHAnsi"/>
        </w:rPr>
        <w:t xml:space="preserve">We selected six sites for virtual visits, four primary sites and two back-up sites. To understand the range of perspectives and practices with regard to TPR processes, among the primary sites, we selected two sites that appear to have timely TPR practices according to the range of information sources we looked at, and two sites that look to have slower TPR processes or fewer cases that experience TPR.   </w:t>
      </w:r>
    </w:p>
    <w:p w:rsidRPr="00220A58" w:rsidR="00220A58" w:rsidP="002827C9" w:rsidRDefault="00220A58" w14:paraId="5DB820AB" w14:textId="77777777">
      <w:pPr>
        <w:spacing w:after="240" w:line="240" w:lineRule="auto"/>
        <w:ind w:left="720"/>
        <w:rPr>
          <w:rFonts w:eastAsia="Times New Roman" w:cs="Times New Roman" w:asciiTheme="majorHAnsi" w:hAnsiTheme="majorHAnsi"/>
        </w:rPr>
      </w:pPr>
      <w:r w:rsidRPr="00220A58">
        <w:rPr>
          <w:rFonts w:eastAsia="Times New Roman" w:cs="Times New Roman" w:asciiTheme="majorHAnsi" w:hAnsiTheme="majorHAnsi"/>
        </w:rPr>
        <w:t xml:space="preserve">The information from AFCARS and the CFSR/PIPs are at the state level, but we will ideally aim to identify sites at a more local level, such as a county or local jurisdiction. To do so, we will ask state-level participants in our initial interviews to recommend local sites or we will identify the largest locality within a given state. </w:t>
      </w:r>
    </w:p>
    <w:p w:rsidRPr="00220A58" w:rsidR="00220A58" w:rsidP="002827C9" w:rsidRDefault="00220A58" w14:paraId="7BCA2831" w14:textId="77777777">
      <w:pPr>
        <w:spacing w:after="240" w:line="240" w:lineRule="auto"/>
        <w:ind w:left="720"/>
        <w:rPr>
          <w:rFonts w:eastAsia="Times New Roman" w:cs="Times New Roman" w:asciiTheme="majorHAnsi" w:hAnsiTheme="majorHAnsi"/>
        </w:rPr>
      </w:pPr>
      <w:r w:rsidRPr="00220A58">
        <w:rPr>
          <w:rFonts w:eastAsia="Times New Roman" w:cs="Times New Roman" w:asciiTheme="majorHAnsi" w:hAnsiTheme="majorHAnsi"/>
        </w:rPr>
        <w:t xml:space="preserve">Table 1 shows the six recommend study sites, four of which were suggested as the primary sites and two of which were suggested as back-up sites. </w:t>
      </w:r>
    </w:p>
    <w:p w:rsidRPr="00220A58" w:rsidR="00220A58" w:rsidP="00220A58" w:rsidRDefault="00AC506F" w14:paraId="1574EB78" w14:textId="2098243C">
      <w:pPr>
        <w:keepNext/>
        <w:spacing w:before="360" w:after="60" w:line="240" w:lineRule="auto"/>
        <w:rPr>
          <w:rFonts w:eastAsia="Times New Roman" w:cs="Times New Roman" w:asciiTheme="majorHAnsi" w:hAnsiTheme="majorHAnsi"/>
          <w:b/>
        </w:rPr>
      </w:pPr>
      <w:r>
        <w:rPr>
          <w:rFonts w:eastAsia="Times New Roman" w:cs="Times New Roman" w:asciiTheme="majorHAnsi" w:hAnsiTheme="majorHAnsi"/>
          <w:b/>
        </w:rPr>
        <w:lastRenderedPageBreak/>
        <w:t>Table 1. Site selection summary</w:t>
      </w: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90"/>
        <w:gridCol w:w="1281"/>
        <w:gridCol w:w="1304"/>
        <w:gridCol w:w="4384"/>
        <w:gridCol w:w="1201"/>
      </w:tblGrid>
      <w:tr w:rsidRPr="00220A58" w:rsidR="00220A58" w:rsidTr="00966402" w14:paraId="76298FF9" w14:textId="77777777">
        <w:tc>
          <w:tcPr>
            <w:tcW w:w="554" w:type="pct"/>
            <w:shd w:val="clear" w:color="auto" w:fill="046B5C"/>
            <w:vAlign w:val="bottom"/>
          </w:tcPr>
          <w:p w:rsidRPr="00220A58" w:rsidR="00220A58" w:rsidP="00220A58" w:rsidRDefault="00220A58" w14:paraId="417A2440" w14:textId="77777777">
            <w:pPr>
              <w:spacing w:before="120" w:after="60"/>
              <w:textboxTightWrap w:val="allLines"/>
              <w:rPr>
                <w:rFonts w:eastAsia="Times New Roman" w:cs="Times New Roman" w:asciiTheme="majorHAnsi" w:hAnsiTheme="majorHAnsi"/>
                <w:b/>
                <w:color w:val="FFFFFF"/>
                <w:sz w:val="22"/>
                <w:szCs w:val="22"/>
              </w:rPr>
            </w:pPr>
            <w:r w:rsidRPr="00220A58">
              <w:rPr>
                <w:rFonts w:eastAsia="Times New Roman" w:cs="Times New Roman" w:asciiTheme="majorHAnsi" w:hAnsiTheme="majorHAnsi"/>
                <w:b/>
                <w:color w:val="FFFFFF"/>
                <w:sz w:val="22"/>
                <w:szCs w:val="22"/>
              </w:rPr>
              <w:t>State</w:t>
            </w:r>
          </w:p>
        </w:tc>
        <w:tc>
          <w:tcPr>
            <w:tcW w:w="705" w:type="pct"/>
            <w:shd w:val="clear" w:color="auto" w:fill="046B5C"/>
            <w:vAlign w:val="bottom"/>
          </w:tcPr>
          <w:p w:rsidRPr="00220A58" w:rsidR="00220A58" w:rsidP="00220A58" w:rsidRDefault="00220A58" w14:paraId="05CD73EF" w14:textId="77777777">
            <w:pPr>
              <w:spacing w:before="120" w:after="60"/>
              <w:jc w:val="center"/>
              <w:textboxTightWrap w:val="allLines"/>
              <w:rPr>
                <w:rFonts w:eastAsia="Times New Roman" w:cs="Times New Roman" w:asciiTheme="majorHAnsi" w:hAnsiTheme="majorHAnsi"/>
                <w:b/>
                <w:color w:val="FFFFFF"/>
                <w:sz w:val="22"/>
                <w:szCs w:val="22"/>
              </w:rPr>
            </w:pPr>
            <w:r w:rsidRPr="00220A58">
              <w:rPr>
                <w:rFonts w:eastAsia="Times New Roman" w:cs="Times New Roman" w:asciiTheme="majorHAnsi" w:hAnsiTheme="majorHAnsi"/>
                <w:b/>
                <w:color w:val="FFFFFF"/>
                <w:sz w:val="22"/>
                <w:szCs w:val="22"/>
              </w:rPr>
              <w:t xml:space="preserve">Percent of cases with </w:t>
            </w:r>
            <w:proofErr w:type="spellStart"/>
            <w:r w:rsidRPr="00220A58">
              <w:rPr>
                <w:rFonts w:eastAsia="Times New Roman" w:cs="Times New Roman" w:asciiTheme="majorHAnsi" w:hAnsiTheme="majorHAnsi"/>
                <w:b/>
                <w:color w:val="FFFFFF"/>
                <w:sz w:val="22"/>
                <w:szCs w:val="22"/>
              </w:rPr>
              <w:t>TPR</w:t>
            </w:r>
            <w:r w:rsidRPr="00220A58">
              <w:rPr>
                <w:rFonts w:eastAsia="Times New Roman" w:cs="Times New Roman" w:asciiTheme="majorHAnsi" w:hAnsiTheme="majorHAnsi"/>
                <w:b/>
                <w:color w:val="FFFFFF"/>
                <w:sz w:val="22"/>
                <w:szCs w:val="22"/>
                <w:vertAlign w:val="superscript"/>
              </w:rPr>
              <w:t>a</w:t>
            </w:r>
            <w:proofErr w:type="spellEnd"/>
          </w:p>
        </w:tc>
        <w:tc>
          <w:tcPr>
            <w:tcW w:w="717" w:type="pct"/>
            <w:shd w:val="clear" w:color="auto" w:fill="046B5C"/>
            <w:vAlign w:val="bottom"/>
          </w:tcPr>
          <w:p w:rsidRPr="00220A58" w:rsidR="00220A58" w:rsidP="00220A58" w:rsidRDefault="00220A58" w14:paraId="35E552A5" w14:textId="77777777">
            <w:pPr>
              <w:spacing w:before="120" w:after="60"/>
              <w:jc w:val="center"/>
              <w:textboxTightWrap w:val="allLines"/>
              <w:rPr>
                <w:rFonts w:eastAsia="Times New Roman" w:cs="Times New Roman" w:asciiTheme="majorHAnsi" w:hAnsiTheme="majorHAnsi"/>
                <w:b/>
                <w:color w:val="FFFFFF"/>
                <w:sz w:val="22"/>
                <w:szCs w:val="22"/>
              </w:rPr>
            </w:pPr>
            <w:r w:rsidRPr="00220A58">
              <w:rPr>
                <w:rFonts w:eastAsia="Times New Roman" w:cs="Times New Roman" w:asciiTheme="majorHAnsi" w:hAnsiTheme="majorHAnsi"/>
                <w:b/>
                <w:color w:val="FFFFFF"/>
                <w:sz w:val="22"/>
                <w:szCs w:val="22"/>
              </w:rPr>
              <w:t xml:space="preserve">Percent of TPR cases with TPR before 17 </w:t>
            </w:r>
            <w:proofErr w:type="spellStart"/>
            <w:r w:rsidRPr="00220A58">
              <w:rPr>
                <w:rFonts w:eastAsia="Times New Roman" w:cs="Times New Roman" w:asciiTheme="majorHAnsi" w:hAnsiTheme="majorHAnsi"/>
                <w:b/>
                <w:color w:val="FFFFFF"/>
                <w:sz w:val="22"/>
                <w:szCs w:val="22"/>
              </w:rPr>
              <w:t>months</w:t>
            </w:r>
            <w:r w:rsidRPr="00220A58">
              <w:rPr>
                <w:rFonts w:eastAsia="Times New Roman" w:cs="Times New Roman" w:asciiTheme="majorHAnsi" w:hAnsiTheme="majorHAnsi"/>
                <w:b/>
                <w:color w:val="FFFFFF"/>
                <w:sz w:val="22"/>
                <w:szCs w:val="22"/>
                <w:vertAlign w:val="superscript"/>
              </w:rPr>
              <w:t>a</w:t>
            </w:r>
            <w:proofErr w:type="spellEnd"/>
          </w:p>
        </w:tc>
        <w:tc>
          <w:tcPr>
            <w:tcW w:w="2362" w:type="pct"/>
            <w:shd w:val="clear" w:color="auto" w:fill="046B5C"/>
            <w:vAlign w:val="bottom"/>
          </w:tcPr>
          <w:p w:rsidRPr="00220A58" w:rsidR="00220A58" w:rsidP="00220A58" w:rsidRDefault="00220A58" w14:paraId="39A04DF9" w14:textId="77777777">
            <w:pPr>
              <w:spacing w:before="120" w:after="60"/>
              <w:jc w:val="center"/>
              <w:textboxTightWrap w:val="allLines"/>
              <w:rPr>
                <w:rFonts w:eastAsia="Times New Roman" w:cs="Times New Roman" w:asciiTheme="majorHAnsi" w:hAnsiTheme="majorHAnsi"/>
                <w:b/>
                <w:color w:val="FFFFFF"/>
                <w:sz w:val="22"/>
                <w:szCs w:val="22"/>
              </w:rPr>
            </w:pPr>
            <w:r w:rsidRPr="00220A58">
              <w:rPr>
                <w:rFonts w:eastAsia="Times New Roman" w:cs="Times New Roman" w:asciiTheme="majorHAnsi" w:hAnsiTheme="majorHAnsi"/>
                <w:b/>
                <w:color w:val="FFFFFF"/>
                <w:sz w:val="22"/>
                <w:szCs w:val="22"/>
              </w:rPr>
              <w:t>Rationale for selection</w:t>
            </w:r>
          </w:p>
        </w:tc>
        <w:tc>
          <w:tcPr>
            <w:tcW w:w="662" w:type="pct"/>
            <w:shd w:val="clear" w:color="auto" w:fill="046B5C"/>
            <w:vAlign w:val="bottom"/>
          </w:tcPr>
          <w:p w:rsidRPr="00220A58" w:rsidR="00220A58" w:rsidP="00220A58" w:rsidRDefault="00850621" w14:paraId="55DC0E9D" w14:textId="37C457DD">
            <w:pPr>
              <w:spacing w:before="120" w:after="60"/>
              <w:jc w:val="center"/>
              <w:textboxTightWrap w:val="allLines"/>
              <w:rPr>
                <w:rFonts w:eastAsia="Times New Roman" w:cs="Times New Roman" w:asciiTheme="majorHAnsi" w:hAnsiTheme="majorHAnsi"/>
                <w:b/>
                <w:color w:val="FFFFFF"/>
                <w:sz w:val="22"/>
                <w:szCs w:val="22"/>
              </w:rPr>
            </w:pPr>
            <w:r>
              <w:rPr>
                <w:rFonts w:eastAsia="Times New Roman" w:cs="Times New Roman" w:asciiTheme="majorHAnsi" w:hAnsiTheme="majorHAnsi"/>
                <w:b/>
                <w:color w:val="FFFFFF"/>
                <w:sz w:val="22"/>
                <w:szCs w:val="22"/>
              </w:rPr>
              <w:t>P</w:t>
            </w:r>
            <w:r w:rsidRPr="00220A58" w:rsidR="00220A58">
              <w:rPr>
                <w:rFonts w:eastAsia="Times New Roman" w:cs="Times New Roman" w:asciiTheme="majorHAnsi" w:hAnsiTheme="majorHAnsi"/>
                <w:b/>
                <w:color w:val="FFFFFF"/>
                <w:sz w:val="22"/>
                <w:szCs w:val="22"/>
              </w:rPr>
              <w:t xml:space="preserve">rimary or back-up site </w:t>
            </w:r>
          </w:p>
        </w:tc>
      </w:tr>
      <w:tr w:rsidRPr="00220A58" w:rsidR="00220A58" w:rsidTr="00966402" w14:paraId="186AD433" w14:textId="77777777">
        <w:tc>
          <w:tcPr>
            <w:tcW w:w="5000" w:type="pct"/>
            <w:gridSpan w:val="5"/>
            <w:shd w:val="clear" w:color="auto" w:fill="0B2949"/>
          </w:tcPr>
          <w:p w:rsidRPr="00220A58" w:rsidR="00220A58" w:rsidP="00220A58" w:rsidRDefault="00220A58" w14:paraId="338535B9" w14:textId="77777777">
            <w:pPr>
              <w:spacing w:before="60" w:after="60"/>
              <w:rPr>
                <w:rFonts w:eastAsia="Times New Roman" w:cs="Times New Roman" w:asciiTheme="majorHAnsi" w:hAnsiTheme="majorHAnsi"/>
                <w:b/>
                <w:color w:val="FFFFFF"/>
                <w:sz w:val="22"/>
                <w:szCs w:val="22"/>
              </w:rPr>
            </w:pPr>
            <w:r w:rsidRPr="00220A58">
              <w:rPr>
                <w:rFonts w:eastAsia="Times New Roman" w:cs="Times New Roman" w:asciiTheme="majorHAnsi" w:hAnsiTheme="majorHAnsi"/>
                <w:b/>
                <w:color w:val="FFFFFF"/>
                <w:sz w:val="22"/>
                <w:szCs w:val="22"/>
              </w:rPr>
              <w:t>Sites with timely TPRs</w:t>
            </w:r>
          </w:p>
        </w:tc>
      </w:tr>
      <w:tr w:rsidRPr="00220A58" w:rsidR="00220A58" w:rsidTr="00966402" w14:paraId="0AF0FDBB" w14:textId="77777777">
        <w:tc>
          <w:tcPr>
            <w:tcW w:w="554" w:type="pct"/>
          </w:tcPr>
          <w:p w:rsidRPr="00220A58" w:rsidR="00220A58" w:rsidP="00220A58" w:rsidRDefault="00220A58" w14:paraId="555B61C6" w14:textId="77777777">
            <w:pPr>
              <w:spacing w:before="40" w:after="40"/>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Texas</w:t>
            </w:r>
          </w:p>
        </w:tc>
        <w:tc>
          <w:tcPr>
            <w:tcW w:w="705" w:type="pct"/>
          </w:tcPr>
          <w:p w:rsidRPr="00220A58" w:rsidR="00220A58" w:rsidP="00220A58" w:rsidRDefault="00220A58" w14:paraId="2DC2BA14" w14:textId="77777777">
            <w:pPr>
              <w:spacing w:before="40" w:after="40"/>
              <w:jc w:val="center"/>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36.9%</w:t>
            </w:r>
          </w:p>
        </w:tc>
        <w:tc>
          <w:tcPr>
            <w:tcW w:w="717" w:type="pct"/>
          </w:tcPr>
          <w:p w:rsidRPr="00220A58" w:rsidR="00220A58" w:rsidP="00220A58" w:rsidRDefault="00220A58" w14:paraId="2269603E" w14:textId="77777777">
            <w:pPr>
              <w:spacing w:before="40" w:after="40"/>
              <w:jc w:val="center"/>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89.5%</w:t>
            </w:r>
          </w:p>
        </w:tc>
        <w:tc>
          <w:tcPr>
            <w:tcW w:w="2362" w:type="pct"/>
          </w:tcPr>
          <w:p w:rsidRPr="00220A58" w:rsidR="00220A58" w:rsidP="00220A58" w:rsidRDefault="00220A58" w14:paraId="3F9DEF3C" w14:textId="77777777">
            <w:pPr>
              <w:spacing w:before="40" w:after="40"/>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High rates of TPR; high percentage of cases with TPR occurring before ASFA timeline; early TPR filing practices; key informant recommendation</w:t>
            </w:r>
          </w:p>
        </w:tc>
        <w:tc>
          <w:tcPr>
            <w:tcW w:w="662" w:type="pct"/>
          </w:tcPr>
          <w:p w:rsidRPr="00220A58" w:rsidR="00220A58" w:rsidP="00220A58" w:rsidRDefault="00220A58" w14:paraId="28EF99EE" w14:textId="77777777">
            <w:pPr>
              <w:spacing w:before="40" w:after="40"/>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Primary</w:t>
            </w:r>
          </w:p>
        </w:tc>
      </w:tr>
      <w:tr w:rsidRPr="00220A58" w:rsidR="00220A58" w:rsidTr="00966402" w14:paraId="3519D7ED" w14:textId="77777777">
        <w:tc>
          <w:tcPr>
            <w:tcW w:w="554" w:type="pct"/>
            <w:shd w:val="clear" w:color="auto" w:fill="E0D4B5"/>
          </w:tcPr>
          <w:p w:rsidRPr="00220A58" w:rsidR="00220A58" w:rsidP="00220A58" w:rsidRDefault="00220A58" w14:paraId="5A42A03C" w14:textId="77777777">
            <w:pPr>
              <w:spacing w:before="40" w:after="40"/>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Utah</w:t>
            </w:r>
          </w:p>
        </w:tc>
        <w:tc>
          <w:tcPr>
            <w:tcW w:w="705" w:type="pct"/>
            <w:shd w:val="clear" w:color="auto" w:fill="E0D4B5"/>
          </w:tcPr>
          <w:p w:rsidRPr="00220A58" w:rsidR="00220A58" w:rsidP="00220A58" w:rsidRDefault="00220A58" w14:paraId="490A0B91" w14:textId="77777777">
            <w:pPr>
              <w:jc w:val="center"/>
              <w:rPr>
                <w:rFonts w:eastAsia="Times New Roman" w:cs="Times New Roman" w:asciiTheme="majorHAnsi" w:hAnsiTheme="majorHAnsi"/>
                <w:sz w:val="22"/>
                <w:szCs w:val="22"/>
              </w:rPr>
            </w:pPr>
            <w:r w:rsidRPr="00220A58">
              <w:rPr>
                <w:rFonts w:eastAsia="Times New Roman" w:cs="Arial" w:asciiTheme="majorHAnsi" w:hAnsiTheme="majorHAnsi"/>
                <w:sz w:val="22"/>
                <w:szCs w:val="22"/>
              </w:rPr>
              <w:t>29.4%</w:t>
            </w:r>
          </w:p>
        </w:tc>
        <w:tc>
          <w:tcPr>
            <w:tcW w:w="717" w:type="pct"/>
            <w:shd w:val="clear" w:color="auto" w:fill="E0D4B5"/>
          </w:tcPr>
          <w:p w:rsidRPr="00220A58" w:rsidR="00220A58" w:rsidP="00220A58" w:rsidRDefault="00220A58" w14:paraId="216A977D" w14:textId="77777777">
            <w:pPr>
              <w:spacing w:before="40" w:after="40"/>
              <w:jc w:val="center"/>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87.8%</w:t>
            </w:r>
          </w:p>
        </w:tc>
        <w:tc>
          <w:tcPr>
            <w:tcW w:w="2362" w:type="pct"/>
            <w:shd w:val="clear" w:color="auto" w:fill="E0D4B5"/>
          </w:tcPr>
          <w:p w:rsidRPr="00220A58" w:rsidR="00220A58" w:rsidP="00220A58" w:rsidRDefault="00220A58" w14:paraId="114259C6" w14:textId="77777777">
            <w:pPr>
              <w:spacing w:before="40" w:after="40"/>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Met CFSR standard for TPR; relatively high rates of TPR; high percentage of cases with TPR occurring before ASFA timeline; key informant recommendation</w:t>
            </w:r>
          </w:p>
        </w:tc>
        <w:tc>
          <w:tcPr>
            <w:tcW w:w="662" w:type="pct"/>
            <w:shd w:val="clear" w:color="auto" w:fill="E0D4B5"/>
          </w:tcPr>
          <w:p w:rsidRPr="00220A58" w:rsidR="00220A58" w:rsidP="00220A58" w:rsidRDefault="00220A58" w14:paraId="397ABFB8" w14:textId="77777777">
            <w:pPr>
              <w:spacing w:before="40" w:after="40"/>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Primary</w:t>
            </w:r>
          </w:p>
        </w:tc>
      </w:tr>
      <w:tr w:rsidRPr="00220A58" w:rsidR="00220A58" w:rsidTr="00966402" w14:paraId="10EC1154" w14:textId="77777777">
        <w:tc>
          <w:tcPr>
            <w:tcW w:w="554" w:type="pct"/>
            <w:tcBorders>
              <w:bottom w:val="single" w:color="auto" w:sz="4" w:space="0"/>
            </w:tcBorders>
          </w:tcPr>
          <w:p w:rsidRPr="00220A58" w:rsidR="00220A58" w:rsidP="00220A58" w:rsidRDefault="00220A58" w14:paraId="3B7D7005" w14:textId="77777777">
            <w:pPr>
              <w:spacing w:before="40" w:after="40"/>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West Virginia</w:t>
            </w:r>
          </w:p>
        </w:tc>
        <w:tc>
          <w:tcPr>
            <w:tcW w:w="705" w:type="pct"/>
            <w:tcBorders>
              <w:bottom w:val="single" w:color="auto" w:sz="4" w:space="0"/>
            </w:tcBorders>
          </w:tcPr>
          <w:p w:rsidRPr="00220A58" w:rsidR="00220A58" w:rsidP="00220A58" w:rsidRDefault="00220A58" w14:paraId="563F5040" w14:textId="77777777">
            <w:pPr>
              <w:jc w:val="center"/>
              <w:rPr>
                <w:rFonts w:eastAsia="Times New Roman" w:cs="Times New Roman" w:asciiTheme="majorHAnsi" w:hAnsiTheme="majorHAnsi"/>
                <w:sz w:val="22"/>
                <w:szCs w:val="22"/>
              </w:rPr>
            </w:pPr>
            <w:r w:rsidRPr="00220A58">
              <w:rPr>
                <w:rFonts w:eastAsia="Times New Roman" w:cs="Arial" w:asciiTheme="majorHAnsi" w:hAnsiTheme="majorHAnsi"/>
                <w:sz w:val="22"/>
                <w:szCs w:val="22"/>
              </w:rPr>
              <w:t>30.1%</w:t>
            </w:r>
          </w:p>
        </w:tc>
        <w:tc>
          <w:tcPr>
            <w:tcW w:w="717" w:type="pct"/>
            <w:tcBorders>
              <w:bottom w:val="single" w:color="auto" w:sz="4" w:space="0"/>
            </w:tcBorders>
          </w:tcPr>
          <w:p w:rsidRPr="00220A58" w:rsidR="00220A58" w:rsidP="00220A58" w:rsidRDefault="00220A58" w14:paraId="55F67852" w14:textId="77777777">
            <w:pPr>
              <w:spacing w:before="40" w:after="40"/>
              <w:jc w:val="center"/>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85.0%</w:t>
            </w:r>
          </w:p>
        </w:tc>
        <w:tc>
          <w:tcPr>
            <w:tcW w:w="2362" w:type="pct"/>
            <w:tcBorders>
              <w:bottom w:val="single" w:color="auto" w:sz="4" w:space="0"/>
            </w:tcBorders>
          </w:tcPr>
          <w:p w:rsidRPr="00220A58" w:rsidR="00220A58" w:rsidP="00220A58" w:rsidRDefault="00220A58" w14:paraId="6B72D028" w14:textId="77777777">
            <w:pPr>
              <w:spacing w:before="40" w:after="40"/>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Met CFSR standard for TPR; relatively high rates of TPR; high percentage of cases with TPR occurring before ASFA timeline; low rates of relative placement</w:t>
            </w:r>
          </w:p>
        </w:tc>
        <w:tc>
          <w:tcPr>
            <w:tcW w:w="662" w:type="pct"/>
            <w:tcBorders>
              <w:bottom w:val="single" w:color="auto" w:sz="4" w:space="0"/>
            </w:tcBorders>
          </w:tcPr>
          <w:p w:rsidRPr="00220A58" w:rsidR="00220A58" w:rsidP="00220A58" w:rsidRDefault="00220A58" w14:paraId="2EA87DBA" w14:textId="77777777">
            <w:pPr>
              <w:spacing w:before="40" w:after="40"/>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Back-up</w:t>
            </w:r>
          </w:p>
        </w:tc>
      </w:tr>
      <w:tr w:rsidRPr="00220A58" w:rsidR="00220A58" w:rsidTr="00966402" w14:paraId="7743C73E" w14:textId="77777777">
        <w:tc>
          <w:tcPr>
            <w:tcW w:w="5000" w:type="pct"/>
            <w:gridSpan w:val="5"/>
            <w:tcBorders>
              <w:top w:val="single" w:color="auto" w:sz="4" w:space="0"/>
            </w:tcBorders>
            <w:shd w:val="clear" w:color="auto" w:fill="0B2949"/>
          </w:tcPr>
          <w:p w:rsidRPr="00220A58" w:rsidR="00220A58" w:rsidP="00220A58" w:rsidRDefault="00220A58" w14:paraId="4B61854D" w14:textId="77777777">
            <w:pPr>
              <w:spacing w:before="60" w:after="60"/>
              <w:rPr>
                <w:rFonts w:eastAsia="Times New Roman" w:cs="Times New Roman" w:asciiTheme="majorHAnsi" w:hAnsiTheme="majorHAnsi"/>
                <w:b/>
                <w:color w:val="FFFFFF"/>
                <w:sz w:val="22"/>
                <w:szCs w:val="22"/>
              </w:rPr>
            </w:pPr>
            <w:r w:rsidRPr="00220A58">
              <w:rPr>
                <w:rFonts w:eastAsia="Times New Roman" w:cs="Times New Roman" w:asciiTheme="majorHAnsi" w:hAnsiTheme="majorHAnsi"/>
                <w:b/>
                <w:color w:val="FFFFFF"/>
                <w:sz w:val="22"/>
                <w:szCs w:val="22"/>
              </w:rPr>
              <w:t>Sites with less timely TPRs</w:t>
            </w:r>
          </w:p>
        </w:tc>
      </w:tr>
      <w:tr w:rsidRPr="00220A58" w:rsidR="00220A58" w:rsidTr="00966402" w14:paraId="4DA5BDC2" w14:textId="77777777">
        <w:tc>
          <w:tcPr>
            <w:tcW w:w="554" w:type="pct"/>
          </w:tcPr>
          <w:p w:rsidRPr="00220A58" w:rsidR="00220A58" w:rsidP="00220A58" w:rsidRDefault="00220A58" w14:paraId="7E3F816B" w14:textId="77777777">
            <w:pPr>
              <w:spacing w:before="40" w:after="40"/>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Illinois</w:t>
            </w:r>
          </w:p>
        </w:tc>
        <w:tc>
          <w:tcPr>
            <w:tcW w:w="705" w:type="pct"/>
          </w:tcPr>
          <w:p w:rsidRPr="00220A58" w:rsidR="00220A58" w:rsidP="00220A58" w:rsidRDefault="00220A58" w14:paraId="6554D54A" w14:textId="77777777">
            <w:pPr>
              <w:spacing w:before="40" w:after="40"/>
              <w:jc w:val="center"/>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29.1%</w:t>
            </w:r>
          </w:p>
        </w:tc>
        <w:tc>
          <w:tcPr>
            <w:tcW w:w="717" w:type="pct"/>
          </w:tcPr>
          <w:p w:rsidRPr="00220A58" w:rsidR="00220A58" w:rsidP="00220A58" w:rsidRDefault="00220A58" w14:paraId="0287559F" w14:textId="77777777">
            <w:pPr>
              <w:spacing w:before="40" w:after="40"/>
              <w:jc w:val="center"/>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15.6%</w:t>
            </w:r>
          </w:p>
        </w:tc>
        <w:tc>
          <w:tcPr>
            <w:tcW w:w="2362" w:type="pct"/>
          </w:tcPr>
          <w:p w:rsidRPr="00220A58" w:rsidR="00220A58" w:rsidP="00220A58" w:rsidRDefault="00220A58" w14:paraId="1CEC7128" w14:textId="77777777">
            <w:pPr>
              <w:spacing w:before="40" w:after="40"/>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Relatively high rates of TPR; low percentage of cases with TPR occurring by ASFA timeline; long length of stay in foster care; relatively high use of relative foster care placements; key informant recommendation</w:t>
            </w:r>
          </w:p>
        </w:tc>
        <w:tc>
          <w:tcPr>
            <w:tcW w:w="662" w:type="pct"/>
          </w:tcPr>
          <w:p w:rsidRPr="00220A58" w:rsidR="00220A58" w:rsidP="00220A58" w:rsidRDefault="00220A58" w14:paraId="35BDCE72" w14:textId="77777777">
            <w:pPr>
              <w:spacing w:before="40" w:after="40"/>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Primary</w:t>
            </w:r>
          </w:p>
        </w:tc>
      </w:tr>
      <w:tr w:rsidRPr="00220A58" w:rsidR="00220A58" w:rsidTr="00966402" w14:paraId="17C8E9E5" w14:textId="77777777">
        <w:tc>
          <w:tcPr>
            <w:tcW w:w="554" w:type="pct"/>
            <w:shd w:val="clear" w:color="auto" w:fill="E0D4B5"/>
          </w:tcPr>
          <w:p w:rsidRPr="00220A58" w:rsidR="00220A58" w:rsidP="00220A58" w:rsidRDefault="00220A58" w14:paraId="6A6DAD37" w14:textId="77777777">
            <w:pPr>
              <w:spacing w:before="40" w:after="40"/>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Wisconsin</w:t>
            </w:r>
          </w:p>
        </w:tc>
        <w:tc>
          <w:tcPr>
            <w:tcW w:w="705" w:type="pct"/>
            <w:shd w:val="clear" w:color="auto" w:fill="E0D4B5"/>
          </w:tcPr>
          <w:p w:rsidRPr="00220A58" w:rsidR="00220A58" w:rsidP="00220A58" w:rsidRDefault="00220A58" w14:paraId="0C9B0CD9" w14:textId="77777777">
            <w:pPr>
              <w:spacing w:before="40" w:after="40"/>
              <w:jc w:val="center"/>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17.7%</w:t>
            </w:r>
          </w:p>
          <w:p w:rsidRPr="00220A58" w:rsidR="00220A58" w:rsidP="00220A58" w:rsidRDefault="00220A58" w14:paraId="33488998" w14:textId="77777777">
            <w:pPr>
              <w:tabs>
                <w:tab w:val="left" w:pos="840"/>
              </w:tabs>
              <w:spacing w:after="240"/>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ab/>
            </w:r>
          </w:p>
        </w:tc>
        <w:tc>
          <w:tcPr>
            <w:tcW w:w="717" w:type="pct"/>
            <w:shd w:val="clear" w:color="auto" w:fill="E0D4B5"/>
          </w:tcPr>
          <w:p w:rsidRPr="00220A58" w:rsidR="00220A58" w:rsidP="00220A58" w:rsidRDefault="00220A58" w14:paraId="00D35EDE" w14:textId="77777777">
            <w:pPr>
              <w:spacing w:before="40" w:after="40"/>
              <w:jc w:val="center"/>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31.7%</w:t>
            </w:r>
          </w:p>
        </w:tc>
        <w:tc>
          <w:tcPr>
            <w:tcW w:w="2362" w:type="pct"/>
            <w:shd w:val="clear" w:color="auto" w:fill="E0D4B5"/>
          </w:tcPr>
          <w:p w:rsidRPr="00220A58" w:rsidR="00220A58" w:rsidP="00220A58" w:rsidRDefault="00220A58" w14:paraId="47EB2B89" w14:textId="77777777">
            <w:pPr>
              <w:spacing w:before="40" w:after="40"/>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 xml:space="preserve">Relatively low percentage of cases with TPR occurring by ASFA timeline; relatively high use of relative foster care placements; state is currently considering new policy to shorten TPR timelines; key informant recommendation, including that a local site should be </w:t>
            </w:r>
            <w:proofErr w:type="spellStart"/>
            <w:r w:rsidRPr="00220A58">
              <w:rPr>
                <w:rFonts w:eastAsia="Times New Roman" w:cs="Times New Roman" w:asciiTheme="majorHAnsi" w:hAnsiTheme="majorHAnsi"/>
                <w:sz w:val="22"/>
                <w:szCs w:val="22"/>
              </w:rPr>
              <w:t>Wapaca</w:t>
            </w:r>
            <w:proofErr w:type="spellEnd"/>
            <w:r w:rsidRPr="00220A58">
              <w:rPr>
                <w:rFonts w:eastAsia="Times New Roman" w:cs="Times New Roman" w:asciiTheme="majorHAnsi" w:hAnsiTheme="majorHAnsi"/>
                <w:sz w:val="22"/>
                <w:szCs w:val="22"/>
              </w:rPr>
              <w:t xml:space="preserve"> County for focusing on preservation of family relationships </w:t>
            </w:r>
          </w:p>
        </w:tc>
        <w:tc>
          <w:tcPr>
            <w:tcW w:w="662" w:type="pct"/>
            <w:shd w:val="clear" w:color="auto" w:fill="E0D4B5"/>
          </w:tcPr>
          <w:p w:rsidRPr="00220A58" w:rsidR="00220A58" w:rsidP="00220A58" w:rsidRDefault="00220A58" w14:paraId="23F20C27" w14:textId="77777777">
            <w:pPr>
              <w:spacing w:before="40" w:after="40"/>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Primary</w:t>
            </w:r>
          </w:p>
        </w:tc>
      </w:tr>
      <w:tr w:rsidRPr="00220A58" w:rsidR="00220A58" w:rsidTr="00966402" w14:paraId="583D5CA2" w14:textId="77777777">
        <w:tc>
          <w:tcPr>
            <w:tcW w:w="554" w:type="pct"/>
            <w:tcBorders>
              <w:bottom w:val="single" w:color="046B5C" w:sz="4" w:space="0"/>
            </w:tcBorders>
            <w:shd w:val="clear" w:color="auto" w:fill="auto"/>
          </w:tcPr>
          <w:p w:rsidRPr="00220A58" w:rsidR="00220A58" w:rsidP="00220A58" w:rsidRDefault="00220A58" w14:paraId="11C1B2BD" w14:textId="77777777">
            <w:pPr>
              <w:spacing w:before="40" w:after="40"/>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Rhode Island</w:t>
            </w:r>
          </w:p>
        </w:tc>
        <w:tc>
          <w:tcPr>
            <w:tcW w:w="705" w:type="pct"/>
            <w:tcBorders>
              <w:bottom w:val="single" w:color="046B5C" w:sz="4" w:space="0"/>
            </w:tcBorders>
          </w:tcPr>
          <w:p w:rsidRPr="00220A58" w:rsidR="00220A58" w:rsidP="00220A58" w:rsidRDefault="00220A58" w14:paraId="4EF2A725" w14:textId="77777777">
            <w:pPr>
              <w:jc w:val="center"/>
              <w:rPr>
                <w:rFonts w:eastAsia="Times New Roman" w:cs="Arial" w:asciiTheme="majorHAnsi" w:hAnsiTheme="majorHAnsi"/>
                <w:sz w:val="22"/>
                <w:szCs w:val="22"/>
              </w:rPr>
            </w:pPr>
            <w:r w:rsidRPr="00220A58">
              <w:rPr>
                <w:rFonts w:eastAsia="Times New Roman" w:cs="Arial" w:asciiTheme="majorHAnsi" w:hAnsiTheme="majorHAnsi"/>
                <w:sz w:val="22"/>
                <w:szCs w:val="22"/>
              </w:rPr>
              <w:t>21.2%</w:t>
            </w:r>
          </w:p>
          <w:p w:rsidRPr="00220A58" w:rsidR="00220A58" w:rsidP="00220A58" w:rsidRDefault="00220A58" w14:paraId="4E030FE8" w14:textId="77777777">
            <w:pPr>
              <w:spacing w:before="40" w:after="40"/>
              <w:jc w:val="center"/>
              <w:rPr>
                <w:rFonts w:eastAsia="Times New Roman" w:cs="Times New Roman" w:asciiTheme="majorHAnsi" w:hAnsiTheme="majorHAnsi"/>
                <w:sz w:val="22"/>
                <w:szCs w:val="22"/>
              </w:rPr>
            </w:pPr>
          </w:p>
        </w:tc>
        <w:tc>
          <w:tcPr>
            <w:tcW w:w="717" w:type="pct"/>
            <w:tcBorders>
              <w:bottom w:val="single" w:color="046B5C" w:sz="4" w:space="0"/>
            </w:tcBorders>
          </w:tcPr>
          <w:p w:rsidRPr="00220A58" w:rsidR="00220A58" w:rsidP="00220A58" w:rsidRDefault="00220A58" w14:paraId="66860C79" w14:textId="77777777">
            <w:pPr>
              <w:spacing w:before="40" w:after="40"/>
              <w:jc w:val="center"/>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22.2%</w:t>
            </w:r>
          </w:p>
        </w:tc>
        <w:tc>
          <w:tcPr>
            <w:tcW w:w="2362" w:type="pct"/>
            <w:tcBorders>
              <w:bottom w:val="single" w:color="046B5C" w:sz="4" w:space="0"/>
            </w:tcBorders>
            <w:shd w:val="clear" w:color="auto" w:fill="auto"/>
          </w:tcPr>
          <w:p w:rsidRPr="00220A58" w:rsidR="00220A58" w:rsidP="00220A58" w:rsidRDefault="00220A58" w14:paraId="3F996BF4" w14:textId="77777777">
            <w:pPr>
              <w:spacing w:before="40" w:after="40"/>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Moderate percentage of cases with TPR occurring by ASFA timeline; relatively high use of relative foster care placements; engaged in court improvement project for TPR</w:t>
            </w:r>
          </w:p>
        </w:tc>
        <w:tc>
          <w:tcPr>
            <w:tcW w:w="662" w:type="pct"/>
            <w:tcBorders>
              <w:bottom w:val="single" w:color="046B5C" w:sz="4" w:space="0"/>
            </w:tcBorders>
            <w:shd w:val="clear" w:color="auto" w:fill="auto"/>
          </w:tcPr>
          <w:p w:rsidRPr="00220A58" w:rsidR="00220A58" w:rsidP="00220A58" w:rsidRDefault="00220A58" w14:paraId="7BCF3BFD" w14:textId="77777777">
            <w:pPr>
              <w:spacing w:before="40" w:after="40"/>
              <w:rPr>
                <w:rFonts w:eastAsia="Times New Roman" w:cs="Times New Roman" w:asciiTheme="majorHAnsi" w:hAnsiTheme="majorHAnsi"/>
                <w:sz w:val="22"/>
                <w:szCs w:val="22"/>
              </w:rPr>
            </w:pPr>
            <w:r w:rsidRPr="00220A58">
              <w:rPr>
                <w:rFonts w:eastAsia="Times New Roman" w:cs="Times New Roman" w:asciiTheme="majorHAnsi" w:hAnsiTheme="majorHAnsi"/>
                <w:sz w:val="22"/>
                <w:szCs w:val="22"/>
              </w:rPr>
              <w:t>Back-up</w:t>
            </w:r>
          </w:p>
        </w:tc>
      </w:tr>
    </w:tbl>
    <w:p w:rsidRPr="00220A58" w:rsidR="00220A58" w:rsidP="00220A58" w:rsidRDefault="00220A58" w14:paraId="45179947" w14:textId="77777777">
      <w:pPr>
        <w:tabs>
          <w:tab w:val="left" w:pos="1080"/>
        </w:tabs>
        <w:spacing w:before="60" w:after="0" w:line="240" w:lineRule="auto"/>
        <w:rPr>
          <w:rFonts w:eastAsia="Times New Roman" w:cs="Times New Roman" w:asciiTheme="majorHAnsi" w:hAnsiTheme="majorHAnsi"/>
        </w:rPr>
      </w:pPr>
      <w:proofErr w:type="gramStart"/>
      <w:r w:rsidRPr="00220A58">
        <w:rPr>
          <w:rFonts w:eastAsia="Times New Roman" w:cs="Times New Roman" w:asciiTheme="majorHAnsi" w:hAnsiTheme="majorHAnsi"/>
          <w:vertAlign w:val="superscript"/>
        </w:rPr>
        <w:t>a</w:t>
      </w:r>
      <w:proofErr w:type="gramEnd"/>
      <w:r w:rsidRPr="00220A58">
        <w:rPr>
          <w:rFonts w:eastAsia="Times New Roman" w:cs="Times New Roman" w:asciiTheme="majorHAnsi" w:hAnsiTheme="majorHAnsi"/>
          <w:vertAlign w:val="superscript"/>
        </w:rPr>
        <w:t xml:space="preserve"> </w:t>
      </w:r>
      <w:r w:rsidRPr="00220A58">
        <w:rPr>
          <w:rFonts w:eastAsia="Times New Roman" w:cs="Times New Roman" w:asciiTheme="majorHAnsi" w:hAnsiTheme="majorHAnsi"/>
        </w:rPr>
        <w:t>Data are from ASPE’s analysis of AFCARS.</w:t>
      </w:r>
    </w:p>
    <w:p w:rsidR="00AC506F" w:rsidRDefault="00AC506F" w14:paraId="14AE00A0" w14:textId="77777777">
      <w:pPr>
        <w:rPr>
          <w:rFonts w:asciiTheme="majorHAnsi" w:hAnsiTheme="majorHAnsi"/>
          <w:b/>
        </w:rPr>
      </w:pPr>
      <w:r>
        <w:rPr>
          <w:rFonts w:asciiTheme="majorHAnsi" w:hAnsiTheme="majorHAnsi"/>
          <w:b/>
        </w:rPr>
        <w:br w:type="page"/>
      </w:r>
    </w:p>
    <w:p w:rsidRPr="00220A58" w:rsidR="00AB3171" w:rsidP="002827C9" w:rsidRDefault="00AB3171" w14:paraId="78A60A2F" w14:textId="6D6D499D">
      <w:pPr>
        <w:spacing w:before="120" w:after="120" w:line="240" w:lineRule="auto"/>
        <w:ind w:left="1080" w:hanging="360"/>
        <w:rPr>
          <w:rFonts w:eastAsia="Times New Roman" w:cs="Times New Roman" w:asciiTheme="majorHAnsi" w:hAnsiTheme="majorHAnsi"/>
          <w:b/>
        </w:rPr>
      </w:pPr>
      <w:r w:rsidRPr="00220A58">
        <w:rPr>
          <w:rFonts w:asciiTheme="majorHAnsi" w:hAnsiTheme="majorHAnsi"/>
          <w:b/>
        </w:rPr>
        <w:lastRenderedPageBreak/>
        <w:t xml:space="preserve">Recruiting professionals for </w:t>
      </w:r>
      <w:bookmarkStart w:name="_Hlk29823271" w:id="1"/>
      <w:r w:rsidRPr="00220A58">
        <w:rPr>
          <w:rFonts w:asciiTheme="majorHAnsi" w:hAnsiTheme="majorHAnsi"/>
          <w:b/>
        </w:rPr>
        <w:t>virtual site visit interviews</w:t>
      </w:r>
      <w:bookmarkEnd w:id="1"/>
    </w:p>
    <w:p w:rsidRPr="00220A58" w:rsidR="00AB3171" w:rsidP="002827C9" w:rsidRDefault="00AB3171" w14:paraId="14E1ABA2" w14:textId="77777777">
      <w:pPr>
        <w:spacing w:after="0" w:line="240" w:lineRule="auto"/>
        <w:ind w:left="720"/>
        <w:rPr>
          <w:rFonts w:asciiTheme="majorHAnsi" w:hAnsiTheme="majorHAnsi"/>
        </w:rPr>
      </w:pPr>
      <w:r w:rsidRPr="00220A58">
        <w:rPr>
          <w:rFonts w:asciiTheme="majorHAnsi" w:hAnsiTheme="majorHAnsi"/>
        </w:rPr>
        <w:t xml:space="preserve">Recruiting professionals for the virtual site visit interviews will begin with Internet research to identify the key agencies and departments that are involved in the TPR process, specifically the state or county’s child welfare agency and family courts. We will also consider individuals recommended to us through the key informant interviews. As we identify and speak with site visit participants, we will also use snowball sampling, i.e., asking them to recommend other professionals whom we may recruit for the study.  </w:t>
      </w:r>
    </w:p>
    <w:p w:rsidRPr="00220A58" w:rsidR="00AB3171" w:rsidP="002827C9" w:rsidRDefault="00AB3171" w14:paraId="03EEA622" w14:textId="77777777">
      <w:pPr>
        <w:spacing w:after="0" w:line="240" w:lineRule="auto"/>
        <w:ind w:left="720"/>
        <w:rPr>
          <w:rFonts w:asciiTheme="majorHAnsi" w:hAnsiTheme="majorHAnsi"/>
        </w:rPr>
      </w:pPr>
    </w:p>
    <w:p w:rsidRPr="00220A58" w:rsidR="00AB3171" w:rsidP="002827C9" w:rsidRDefault="00AB3171" w14:paraId="30821163" w14:textId="27F8B24A">
      <w:pPr>
        <w:spacing w:after="0" w:line="240" w:lineRule="auto"/>
        <w:ind w:left="720"/>
        <w:rPr>
          <w:rFonts w:asciiTheme="majorHAnsi" w:hAnsiTheme="majorHAnsi"/>
        </w:rPr>
      </w:pPr>
      <w:r w:rsidRPr="00220A58">
        <w:rPr>
          <w:rFonts w:asciiTheme="majorHAnsi" w:hAnsiTheme="majorHAnsi"/>
        </w:rPr>
        <w:t xml:space="preserve">Mathematica staff will first reach out via email to the </w:t>
      </w:r>
      <w:r w:rsidR="00850621">
        <w:rPr>
          <w:rFonts w:asciiTheme="majorHAnsi" w:hAnsiTheme="majorHAnsi"/>
        </w:rPr>
        <w:t>adoption manager</w:t>
      </w:r>
      <w:r w:rsidRPr="00220A58">
        <w:rPr>
          <w:rFonts w:asciiTheme="majorHAnsi" w:hAnsiTheme="majorHAnsi"/>
        </w:rPr>
        <w:t xml:space="preserve"> of the state child welfare agency to inform them of the study and ask for their participation or whether one of their colleagues would be willing to participate in an interview regarding local TPR policies, practices, and perspectives. We will aim to recruit </w:t>
      </w:r>
      <w:r w:rsidR="00AC506F">
        <w:rPr>
          <w:rFonts w:asciiTheme="majorHAnsi" w:hAnsiTheme="majorHAnsi"/>
        </w:rPr>
        <w:t>3 of each type of respondent per site, for a total of 60 respondents across all 4 sites</w:t>
      </w:r>
      <w:r w:rsidRPr="00220A58">
        <w:rPr>
          <w:rFonts w:asciiTheme="majorHAnsi" w:hAnsiTheme="majorHAnsi"/>
        </w:rPr>
        <w:t>.</w:t>
      </w:r>
    </w:p>
    <w:p w:rsidRPr="00220A58" w:rsidR="00AB3171" w:rsidP="002827C9" w:rsidRDefault="00AB3171" w14:paraId="2FB56AB3" w14:textId="77777777">
      <w:pPr>
        <w:spacing w:after="0" w:line="240" w:lineRule="auto"/>
        <w:ind w:left="720"/>
        <w:rPr>
          <w:rFonts w:asciiTheme="majorHAnsi" w:hAnsiTheme="majorHAnsi"/>
        </w:rPr>
      </w:pPr>
    </w:p>
    <w:p w:rsidRPr="00220A58" w:rsidR="00AB3171" w:rsidP="002827C9" w:rsidRDefault="004B7A8A" w14:paraId="08E1CAE6" w14:textId="4A0E875B">
      <w:pPr>
        <w:spacing w:after="0" w:line="240" w:lineRule="auto"/>
        <w:ind w:left="720"/>
        <w:rPr>
          <w:rFonts w:asciiTheme="majorHAnsi" w:hAnsiTheme="majorHAnsi"/>
        </w:rPr>
      </w:pPr>
      <w:r>
        <w:rPr>
          <w:rFonts w:asciiTheme="majorHAnsi" w:hAnsiTheme="majorHAnsi"/>
        </w:rPr>
        <w:t xml:space="preserve">The </w:t>
      </w:r>
      <w:r w:rsidRPr="00220A58" w:rsidR="00AB3171">
        <w:rPr>
          <w:rFonts w:asciiTheme="majorHAnsi" w:hAnsiTheme="majorHAnsi"/>
        </w:rPr>
        <w:t xml:space="preserve">interview </w:t>
      </w:r>
      <w:r>
        <w:rPr>
          <w:rFonts w:asciiTheme="majorHAnsi" w:hAnsiTheme="majorHAnsi"/>
        </w:rPr>
        <w:t xml:space="preserve">that includes </w:t>
      </w:r>
      <w:r w:rsidR="00850621">
        <w:rPr>
          <w:rFonts w:asciiTheme="majorHAnsi" w:hAnsiTheme="majorHAnsi"/>
        </w:rPr>
        <w:t xml:space="preserve">the </w:t>
      </w:r>
      <w:r>
        <w:rPr>
          <w:rFonts w:asciiTheme="majorHAnsi" w:hAnsiTheme="majorHAnsi"/>
        </w:rPr>
        <w:t xml:space="preserve">state </w:t>
      </w:r>
      <w:r w:rsidR="00850621">
        <w:rPr>
          <w:rFonts w:asciiTheme="majorHAnsi" w:hAnsiTheme="majorHAnsi"/>
        </w:rPr>
        <w:t>adoption manager</w:t>
      </w:r>
      <w:r>
        <w:rPr>
          <w:rFonts w:asciiTheme="majorHAnsi" w:hAnsiTheme="majorHAnsi"/>
        </w:rPr>
        <w:t xml:space="preserve"> will occur first. During that interview</w:t>
      </w:r>
      <w:r w:rsidRPr="00220A58" w:rsidR="00AB3171">
        <w:rPr>
          <w:rFonts w:asciiTheme="majorHAnsi" w:hAnsiTheme="majorHAnsi"/>
        </w:rPr>
        <w:t xml:space="preserve"> we will ask them to recommend a local jurisdiction so that we can learn about TPR perceptions and practices at the local level. We will also ask for recommendations of individuals at local child welfare agencies, courts, and other organizations who may be stakeholders at the local site. Once we identify a local jurisdiction, we will reach out via a recruitment email to the local child welfare agencies, courts, or other organizations. If state </w:t>
      </w:r>
      <w:r w:rsidR="002827C9">
        <w:rPr>
          <w:rFonts w:asciiTheme="majorHAnsi" w:hAnsiTheme="majorHAnsi"/>
        </w:rPr>
        <w:t xml:space="preserve">adoption manager </w:t>
      </w:r>
      <w:r w:rsidRPr="00220A58" w:rsidR="00AB3171">
        <w:rPr>
          <w:rFonts w:asciiTheme="majorHAnsi" w:hAnsiTheme="majorHAnsi"/>
        </w:rPr>
        <w:t>do</w:t>
      </w:r>
      <w:r w:rsidR="002827C9">
        <w:rPr>
          <w:rFonts w:asciiTheme="majorHAnsi" w:hAnsiTheme="majorHAnsi"/>
        </w:rPr>
        <w:t>es</w:t>
      </w:r>
      <w:r w:rsidRPr="00220A58" w:rsidR="00AB3171">
        <w:rPr>
          <w:rFonts w:asciiTheme="majorHAnsi" w:hAnsiTheme="majorHAnsi"/>
        </w:rPr>
        <w:t xml:space="preserve"> not recommended anyone, we will </w:t>
      </w:r>
      <w:r w:rsidR="002827C9">
        <w:rPr>
          <w:rFonts w:asciiTheme="majorHAnsi" w:hAnsiTheme="majorHAnsi"/>
        </w:rPr>
        <w:t xml:space="preserve">consult with Administration for Children and Families regional office child welfare program specialists and may also </w:t>
      </w:r>
      <w:r w:rsidRPr="00220A58" w:rsidR="00AB3171">
        <w:rPr>
          <w:rFonts w:asciiTheme="majorHAnsi" w:hAnsiTheme="majorHAnsi"/>
        </w:rPr>
        <w:t>search the Internet to identify the directors of these local organizations and send them a recruitment email asking whether they or another staff member would be willing to participate in an interview regarding local TPR policies and practices.</w:t>
      </w:r>
    </w:p>
    <w:p w:rsidRPr="00220A58" w:rsidR="00AB3171" w:rsidP="002827C9" w:rsidRDefault="00AB3171" w14:paraId="04023CF2" w14:textId="77777777">
      <w:pPr>
        <w:spacing w:after="0" w:line="240" w:lineRule="auto"/>
        <w:ind w:left="720"/>
        <w:rPr>
          <w:rFonts w:asciiTheme="majorHAnsi" w:hAnsiTheme="majorHAnsi"/>
        </w:rPr>
      </w:pPr>
    </w:p>
    <w:p w:rsidRPr="00220A58" w:rsidR="00AB3171" w:rsidP="002827C9" w:rsidRDefault="00AB3171" w14:paraId="59319B6A" w14:textId="176475A7">
      <w:pPr>
        <w:spacing w:after="0" w:line="240" w:lineRule="auto"/>
        <w:ind w:left="720"/>
        <w:rPr>
          <w:rFonts w:asciiTheme="majorHAnsi" w:hAnsiTheme="majorHAnsi"/>
          <w:b/>
        </w:rPr>
      </w:pPr>
      <w:r w:rsidRPr="00220A58">
        <w:rPr>
          <w:rFonts w:asciiTheme="majorHAnsi" w:hAnsiTheme="majorHAnsi"/>
          <w:b/>
        </w:rPr>
        <w:t xml:space="preserve">Recruiting parents and former foster youth for small group interviews </w:t>
      </w:r>
    </w:p>
    <w:p w:rsidRPr="00220A58" w:rsidR="00AB3171" w:rsidP="002827C9" w:rsidRDefault="00AB3171" w14:paraId="0B61505A" w14:textId="77777777">
      <w:pPr>
        <w:spacing w:after="0" w:line="240" w:lineRule="auto"/>
        <w:ind w:left="720"/>
        <w:rPr>
          <w:rFonts w:asciiTheme="majorHAnsi" w:hAnsiTheme="majorHAnsi"/>
        </w:rPr>
      </w:pPr>
    </w:p>
    <w:p w:rsidRPr="00220A58" w:rsidR="00AB3171" w:rsidP="002827C9" w:rsidRDefault="00AB3171" w14:paraId="5F2424BF" w14:textId="61E438BB">
      <w:pPr>
        <w:spacing w:after="0" w:line="240" w:lineRule="auto"/>
        <w:ind w:left="720"/>
        <w:rPr>
          <w:rFonts w:asciiTheme="majorHAnsi" w:hAnsiTheme="majorHAnsi"/>
        </w:rPr>
      </w:pPr>
      <w:r w:rsidRPr="00220A58">
        <w:rPr>
          <w:rFonts w:asciiTheme="majorHAnsi" w:hAnsiTheme="majorHAnsi"/>
        </w:rPr>
        <w:t>Mathematica will recruit up to five participants for each of three small group telephone interviews with parents or former foster youth, for a total of 15 participants across the three group interviews. These participants will not be site-based, rather they are being recruited to provide their experience from a general and not geographically-based perspective. We will conduct one 90-minute interview with each of the following types of participants:</w:t>
      </w:r>
    </w:p>
    <w:p w:rsidRPr="00220A58" w:rsidR="00AB3171" w:rsidP="002827C9" w:rsidRDefault="00AB3171" w14:paraId="08A29B2B" w14:textId="77777777">
      <w:pPr>
        <w:pStyle w:val="ListParagraph"/>
        <w:numPr>
          <w:ilvl w:val="0"/>
          <w:numId w:val="26"/>
        </w:numPr>
        <w:spacing w:after="0" w:line="240" w:lineRule="auto"/>
        <w:ind w:left="1440"/>
        <w:rPr>
          <w:rFonts w:asciiTheme="majorHAnsi" w:hAnsiTheme="majorHAnsi"/>
        </w:rPr>
      </w:pPr>
      <w:r w:rsidRPr="00220A58">
        <w:rPr>
          <w:rFonts w:asciiTheme="majorHAnsi" w:hAnsiTheme="majorHAnsi"/>
        </w:rPr>
        <w:t>Biological parents who experienced TPR</w:t>
      </w:r>
    </w:p>
    <w:p w:rsidRPr="00220A58" w:rsidR="00AB3171" w:rsidP="002827C9" w:rsidRDefault="00AB3171" w14:paraId="612763B0" w14:textId="77777777">
      <w:pPr>
        <w:pStyle w:val="ListParagraph"/>
        <w:numPr>
          <w:ilvl w:val="0"/>
          <w:numId w:val="26"/>
        </w:numPr>
        <w:spacing w:after="0" w:line="240" w:lineRule="auto"/>
        <w:ind w:left="1440"/>
        <w:rPr>
          <w:rFonts w:asciiTheme="majorHAnsi" w:hAnsiTheme="majorHAnsi"/>
        </w:rPr>
      </w:pPr>
      <w:r w:rsidRPr="00220A58">
        <w:rPr>
          <w:rFonts w:asciiTheme="majorHAnsi" w:hAnsiTheme="majorHAnsi"/>
        </w:rPr>
        <w:t>Foster or adoptive parents who experienced TPR</w:t>
      </w:r>
    </w:p>
    <w:p w:rsidRPr="00220A58" w:rsidR="00AB3171" w:rsidP="002827C9" w:rsidRDefault="00AB3171" w14:paraId="3F283114" w14:textId="23E73DB0">
      <w:pPr>
        <w:pStyle w:val="ListParagraph"/>
        <w:numPr>
          <w:ilvl w:val="0"/>
          <w:numId w:val="26"/>
        </w:numPr>
        <w:spacing w:after="0" w:line="240" w:lineRule="auto"/>
        <w:ind w:left="1440"/>
        <w:rPr>
          <w:rFonts w:asciiTheme="majorHAnsi" w:hAnsiTheme="majorHAnsi"/>
        </w:rPr>
      </w:pPr>
      <w:r w:rsidRPr="00220A58">
        <w:rPr>
          <w:rFonts w:asciiTheme="majorHAnsi" w:hAnsiTheme="majorHAnsi"/>
        </w:rPr>
        <w:t>Former foster youth (</w:t>
      </w:r>
      <w:r w:rsidR="004B7A8A">
        <w:rPr>
          <w:rFonts w:asciiTheme="majorHAnsi" w:hAnsiTheme="majorHAnsi"/>
        </w:rPr>
        <w:t xml:space="preserve">young adults </w:t>
      </w:r>
      <w:r w:rsidRPr="00220A58">
        <w:rPr>
          <w:rFonts w:asciiTheme="majorHAnsi" w:hAnsiTheme="majorHAnsi"/>
        </w:rPr>
        <w:t>who are at least 18 or older) who experienced TPR</w:t>
      </w:r>
    </w:p>
    <w:p w:rsidRPr="00220A58" w:rsidR="00AB3171" w:rsidP="002827C9" w:rsidRDefault="00AB3171" w14:paraId="532B96E0" w14:textId="77777777">
      <w:pPr>
        <w:spacing w:after="0" w:line="240" w:lineRule="auto"/>
        <w:ind w:left="720"/>
        <w:rPr>
          <w:rFonts w:asciiTheme="majorHAnsi" w:hAnsiTheme="majorHAnsi"/>
        </w:rPr>
      </w:pPr>
    </w:p>
    <w:p w:rsidRPr="00220A58" w:rsidR="00AB3171" w:rsidP="002827C9" w:rsidRDefault="00AB3171" w14:paraId="03EF9374" w14:textId="1B439653">
      <w:pPr>
        <w:spacing w:after="0" w:line="240" w:lineRule="auto"/>
        <w:ind w:left="720"/>
        <w:rPr>
          <w:rFonts w:asciiTheme="majorHAnsi" w:hAnsiTheme="majorHAnsi"/>
        </w:rPr>
      </w:pPr>
      <w:r w:rsidRPr="00220A58">
        <w:rPr>
          <w:rFonts w:asciiTheme="majorHAnsi" w:hAnsiTheme="majorHAnsi"/>
        </w:rPr>
        <w:t xml:space="preserve">To recruit participants for the small group interviews, Mathematica will reach out to ACF’s child welfare technical assistance provider, the Center for States, for their assistance with disseminating a recruitment email to members of its consultant pools (former foster youth and parents). The email will inform them of the study and ask them to participate in the small group telephone interview. The recruitment letter </w:t>
      </w:r>
      <w:r w:rsidR="0008335A">
        <w:rPr>
          <w:rFonts w:asciiTheme="majorHAnsi" w:hAnsiTheme="majorHAnsi"/>
        </w:rPr>
        <w:t xml:space="preserve">will </w:t>
      </w:r>
      <w:r w:rsidRPr="00220A58">
        <w:rPr>
          <w:rFonts w:asciiTheme="majorHAnsi" w:hAnsiTheme="majorHAnsi"/>
        </w:rPr>
        <w:t>clarif</w:t>
      </w:r>
      <w:r w:rsidR="0008335A">
        <w:rPr>
          <w:rFonts w:asciiTheme="majorHAnsi" w:hAnsiTheme="majorHAnsi"/>
        </w:rPr>
        <w:t>y</w:t>
      </w:r>
      <w:r w:rsidRPr="00220A58">
        <w:rPr>
          <w:rFonts w:asciiTheme="majorHAnsi" w:hAnsiTheme="majorHAnsi"/>
        </w:rPr>
        <w:t xml:space="preserve"> that their participation is voluntary and outside of the Center for States compensation for the time that they would participate. </w:t>
      </w:r>
      <w:bookmarkStart w:name="_Hlk30578400" w:id="2"/>
    </w:p>
    <w:p w:rsidRPr="00220A58" w:rsidR="00AB3171" w:rsidP="002827C9" w:rsidRDefault="00AB3171" w14:paraId="0260747E" w14:textId="77777777">
      <w:pPr>
        <w:spacing w:after="0" w:line="240" w:lineRule="auto"/>
        <w:ind w:left="720"/>
        <w:rPr>
          <w:rFonts w:asciiTheme="majorHAnsi" w:hAnsiTheme="majorHAnsi"/>
        </w:rPr>
      </w:pPr>
    </w:p>
    <w:p w:rsidRPr="00220A58" w:rsidR="00AB3171" w:rsidP="002827C9" w:rsidRDefault="00AB3171" w14:paraId="18F86BAF" w14:textId="55D25DAC">
      <w:pPr>
        <w:spacing w:after="0" w:line="240" w:lineRule="auto"/>
        <w:ind w:left="720"/>
        <w:rPr>
          <w:rFonts w:asciiTheme="majorHAnsi" w:hAnsiTheme="majorHAnsi"/>
        </w:rPr>
      </w:pPr>
      <w:r w:rsidRPr="00220A58">
        <w:rPr>
          <w:rFonts w:asciiTheme="majorHAnsi" w:hAnsiTheme="majorHAnsi"/>
        </w:rPr>
        <w:t>Mathematica will provide a $50 gift card</w:t>
      </w:r>
      <w:bookmarkEnd w:id="2"/>
      <w:r w:rsidRPr="00220A58">
        <w:rPr>
          <w:rFonts w:asciiTheme="majorHAnsi" w:hAnsiTheme="majorHAnsi"/>
        </w:rPr>
        <w:t xml:space="preserve"> to each parent and former foster youth as an incentive to participate. Evidence shows that remuneration bolsters recruitment and </w:t>
      </w:r>
      <w:r w:rsidRPr="00220A58">
        <w:rPr>
          <w:rFonts w:asciiTheme="majorHAnsi" w:hAnsiTheme="majorHAnsi"/>
        </w:rPr>
        <w:lastRenderedPageBreak/>
        <w:t xml:space="preserve">attendance at small group interviews. Working parents are busy people, and low-income parents face additional barriers to participating in an interview. To ensure that our incentive is not coercive, consent scripts indicate and interviewers will be trained to make it very clear that participants who choose to leave the group early or prefer not to respond to certain questions will still receive the $50 gift card. Mathematica staff will track the cards that are paid out by completing a log when they send the gift card to participants. </w:t>
      </w:r>
    </w:p>
    <w:p w:rsidRPr="00220A58" w:rsidR="00AB3171" w:rsidP="00220A58" w:rsidRDefault="00AB3171" w14:paraId="24B48C4E" w14:textId="46D5DD33">
      <w:pPr>
        <w:spacing w:after="0" w:line="240" w:lineRule="auto"/>
        <w:rPr>
          <w:rFonts w:asciiTheme="majorHAnsi" w:hAnsiTheme="majorHAnsi"/>
        </w:rPr>
      </w:pPr>
    </w:p>
    <w:p w:rsidRPr="00181758" w:rsidR="002F2069" w:rsidP="00220A58" w:rsidRDefault="00287E2F" w14:paraId="7C370104" w14:textId="01756252">
      <w:pPr>
        <w:pStyle w:val="ListParagraph"/>
        <w:numPr>
          <w:ilvl w:val="0"/>
          <w:numId w:val="3"/>
        </w:numPr>
        <w:spacing w:after="0" w:line="240" w:lineRule="auto"/>
        <w:rPr>
          <w:rFonts w:asciiTheme="majorHAnsi" w:hAnsiTheme="majorHAnsi"/>
          <w:b/>
        </w:rPr>
      </w:pPr>
      <w:r w:rsidRPr="00181758">
        <w:rPr>
          <w:rFonts w:asciiTheme="majorHAnsi" w:hAnsiTheme="majorHAnsi"/>
          <w:b/>
        </w:rPr>
        <w:t xml:space="preserve">Procedures for </w:t>
      </w:r>
      <w:r w:rsidRPr="00181758" w:rsidR="009759F3">
        <w:rPr>
          <w:rFonts w:asciiTheme="majorHAnsi" w:hAnsiTheme="majorHAnsi"/>
          <w:b/>
        </w:rPr>
        <w:t xml:space="preserve">the </w:t>
      </w:r>
      <w:r w:rsidRPr="00181758">
        <w:rPr>
          <w:rFonts w:asciiTheme="majorHAnsi" w:hAnsiTheme="majorHAnsi"/>
          <w:b/>
        </w:rPr>
        <w:t>Collecti</w:t>
      </w:r>
      <w:r w:rsidRPr="00181758" w:rsidR="009759F3">
        <w:rPr>
          <w:rFonts w:asciiTheme="majorHAnsi" w:hAnsiTheme="majorHAnsi"/>
          <w:b/>
        </w:rPr>
        <w:t>on</w:t>
      </w:r>
      <w:r w:rsidRPr="00181758">
        <w:rPr>
          <w:rFonts w:asciiTheme="majorHAnsi" w:hAnsiTheme="majorHAnsi"/>
          <w:b/>
        </w:rPr>
        <w:t xml:space="preserve"> of Information</w:t>
      </w:r>
      <w:r w:rsidRPr="00181758" w:rsidR="00F725B5">
        <w:rPr>
          <w:rFonts w:asciiTheme="majorHAnsi" w:hAnsiTheme="majorHAnsi"/>
          <w:b/>
        </w:rPr>
        <w:t xml:space="preserve"> </w:t>
      </w:r>
      <w:r w:rsidRPr="00181758" w:rsidR="009759F3">
        <w:rPr>
          <w:rFonts w:asciiTheme="majorHAnsi" w:hAnsiTheme="majorHAnsi"/>
          <w:b/>
        </w:rPr>
        <w:t xml:space="preserve">  </w:t>
      </w:r>
    </w:p>
    <w:p w:rsidR="001C2ACB" w:rsidP="001C2ACB" w:rsidRDefault="00181758" w14:paraId="3AAB57DD" w14:textId="77777777">
      <w:pPr>
        <w:pStyle w:val="ListParagraph"/>
        <w:spacing w:after="0" w:line="240" w:lineRule="auto"/>
        <w:rPr>
          <w:rFonts w:eastAsia="Times New Roman" w:cs="Times New Roman" w:asciiTheme="majorHAnsi" w:hAnsiTheme="majorHAnsi"/>
        </w:rPr>
      </w:pPr>
      <w:r w:rsidRPr="00181758">
        <w:rPr>
          <w:rFonts w:eastAsia="Times New Roman" w:cs="Times New Roman" w:asciiTheme="majorHAnsi" w:hAnsiTheme="majorHAnsi"/>
        </w:rPr>
        <w:t>Mathematica will collect data on policies, practices, and attitudes that underlie performance on timely TPRs through (1) four virtual site visits, which will consist of four to five telephone interviews with child welfare, court, and other professionals from each site; and (2) three small group interviews with parents and former foster youth.</w:t>
      </w:r>
    </w:p>
    <w:p w:rsidR="001C2ACB" w:rsidP="001C2ACB" w:rsidRDefault="001C2ACB" w14:paraId="57FC61C7" w14:textId="77777777">
      <w:pPr>
        <w:pStyle w:val="ListParagraph"/>
        <w:spacing w:after="0" w:line="240" w:lineRule="auto"/>
        <w:rPr>
          <w:rFonts w:eastAsia="Times New Roman" w:cs="Times New Roman" w:asciiTheme="majorHAnsi" w:hAnsiTheme="majorHAnsi"/>
        </w:rPr>
      </w:pPr>
    </w:p>
    <w:p w:rsidR="001C2ACB" w:rsidP="002827C9" w:rsidRDefault="00181758" w14:paraId="261C70DF" w14:textId="77777777">
      <w:pPr>
        <w:pStyle w:val="ListParagraph"/>
        <w:spacing w:after="0" w:line="240" w:lineRule="auto"/>
        <w:rPr>
          <w:rFonts w:eastAsia="Times New Roman" w:cs="Times New Roman" w:asciiTheme="majorHAnsi" w:hAnsiTheme="majorHAnsi"/>
        </w:rPr>
      </w:pPr>
      <w:r w:rsidRPr="00181758">
        <w:rPr>
          <w:rFonts w:eastAsia="Times New Roman" w:cs="Times New Roman" w:asciiTheme="majorHAnsi" w:hAnsiTheme="majorHAnsi"/>
        </w:rPr>
        <w:t xml:space="preserve">Two teams of two Mathematica researchers each will collect the data, and they will be trained in the consent and data collection processes.  Each team will be composed of one senior researcher to lead the interviews and one junior researcher to assist with scheduling, notetaking, and other supportive roles. </w:t>
      </w:r>
    </w:p>
    <w:p w:rsidR="001C2ACB" w:rsidP="002827C9" w:rsidRDefault="001C2ACB" w14:paraId="7B107945" w14:textId="77777777">
      <w:pPr>
        <w:pStyle w:val="ListParagraph"/>
        <w:spacing w:after="0" w:line="240" w:lineRule="auto"/>
        <w:rPr>
          <w:rFonts w:eastAsia="Times New Roman" w:cs="Times New Roman" w:asciiTheme="majorHAnsi" w:hAnsiTheme="majorHAnsi"/>
        </w:rPr>
      </w:pPr>
    </w:p>
    <w:p w:rsidRPr="00181758" w:rsidR="00181758" w:rsidP="002827C9" w:rsidRDefault="00181758" w14:paraId="0639DA51" w14:textId="1D54F493">
      <w:pPr>
        <w:pStyle w:val="ListParagraph"/>
        <w:spacing w:after="0" w:line="240" w:lineRule="auto"/>
        <w:rPr>
          <w:rFonts w:asciiTheme="majorHAnsi" w:hAnsiTheme="majorHAnsi"/>
          <w:b/>
        </w:rPr>
      </w:pPr>
      <w:r w:rsidRPr="00181758">
        <w:rPr>
          <w:rFonts w:eastAsia="Times New Roman" w:cs="Times New Roman" w:asciiTheme="majorHAnsi" w:hAnsiTheme="majorHAnsi"/>
        </w:rPr>
        <w:t>Before each site visit or small group interview, the senior researcher will read a consent script to the participants to inform them about the objectives of the study, the voluntary nature of their participation, and any risks that may be involved. As the senior researcher concludes reading the consent script, he or she will ask the participants for their verbal consent to participate in the study and for their permission to record the interviews for transcription purposes. We will have one consent script for the site visit interviews and one consent script for the small group interviews</w:t>
      </w:r>
      <w:r w:rsidR="004604DC">
        <w:rPr>
          <w:rFonts w:eastAsia="Times New Roman" w:cs="Times New Roman" w:asciiTheme="majorHAnsi" w:hAnsiTheme="majorHAnsi"/>
        </w:rPr>
        <w:t xml:space="preserve"> (both may be found in </w:t>
      </w:r>
      <w:r w:rsidR="0008335A">
        <w:rPr>
          <w:rFonts w:eastAsia="Times New Roman" w:cs="Times New Roman" w:asciiTheme="majorHAnsi" w:hAnsiTheme="majorHAnsi"/>
        </w:rPr>
        <w:t xml:space="preserve">the </w:t>
      </w:r>
      <w:r w:rsidR="004604DC">
        <w:rPr>
          <w:rFonts w:eastAsia="Times New Roman" w:cs="Times New Roman" w:asciiTheme="majorHAnsi" w:hAnsiTheme="majorHAnsi"/>
        </w:rPr>
        <w:t>Attachment</w:t>
      </w:r>
      <w:r w:rsidR="001C2ACB">
        <w:rPr>
          <w:rFonts w:eastAsia="Times New Roman" w:cs="Times New Roman" w:asciiTheme="majorHAnsi" w:hAnsiTheme="majorHAnsi"/>
        </w:rPr>
        <w:t>).</w:t>
      </w:r>
    </w:p>
    <w:p w:rsidRPr="00181758" w:rsidR="00181758" w:rsidP="002827C9" w:rsidRDefault="00181758" w14:paraId="747917F6" w14:textId="77777777">
      <w:pPr>
        <w:keepNext/>
        <w:tabs>
          <w:tab w:val="left" w:pos="432"/>
        </w:tabs>
        <w:spacing w:before="240" w:after="160" w:line="240" w:lineRule="auto"/>
        <w:ind w:left="1152" w:hanging="432"/>
        <w:outlineLvl w:val="4"/>
        <w:rPr>
          <w:rFonts w:eastAsia="Times New Roman" w:cs="Times New Roman" w:asciiTheme="majorHAnsi" w:hAnsiTheme="majorHAnsi"/>
          <w:b/>
          <w:color w:val="000000" w:themeColor="text1"/>
        </w:rPr>
      </w:pPr>
      <w:r w:rsidRPr="00181758">
        <w:rPr>
          <w:rFonts w:eastAsia="Times New Roman" w:cs="Times New Roman" w:asciiTheme="majorHAnsi" w:hAnsiTheme="majorHAnsi"/>
          <w:b/>
          <w:color w:val="000000" w:themeColor="text1"/>
        </w:rPr>
        <w:t>Virtual site visits</w:t>
      </w:r>
    </w:p>
    <w:p w:rsidRPr="00181758" w:rsidR="00181758" w:rsidP="002827C9" w:rsidRDefault="00181758" w14:paraId="64991D98" w14:textId="77777777">
      <w:pPr>
        <w:spacing w:after="240" w:line="240" w:lineRule="auto"/>
        <w:ind w:left="720"/>
        <w:rPr>
          <w:rFonts w:eastAsia="Times New Roman" w:cs="Times New Roman" w:asciiTheme="majorHAnsi" w:hAnsiTheme="majorHAnsi"/>
        </w:rPr>
      </w:pPr>
      <w:r w:rsidRPr="00181758">
        <w:rPr>
          <w:rFonts w:eastAsia="Times New Roman" w:cs="Times New Roman" w:asciiTheme="majorHAnsi" w:hAnsiTheme="majorHAnsi"/>
        </w:rPr>
        <w:t>As mentioned, the site visits will be virtual, meaning that we will conduct four to five interviews via telephone with professionals, such as child welfare and court staff, who have experience with and knowledge of the TPR process. Virtual site visits are more efficient than in-person site visits because they allow us to save on travel costs and to better accommodate the participants’ schedules. Based on our experience with virtual site visits, we also do not think that they detract from the quality of the data collection. The visits will focus on understanding TPR policies, practice, and perceptions, not on observing interactions among staff or clients (a key focal point of in-person site visits).</w:t>
      </w:r>
    </w:p>
    <w:p w:rsidRPr="00181758" w:rsidR="00181758" w:rsidP="002827C9" w:rsidRDefault="00181758" w14:paraId="61113957" w14:textId="7ED44BC3">
      <w:pPr>
        <w:spacing w:after="240" w:line="240" w:lineRule="auto"/>
        <w:ind w:left="720"/>
        <w:rPr>
          <w:rFonts w:eastAsia="Times New Roman" w:cs="Times New Roman" w:asciiTheme="majorHAnsi" w:hAnsiTheme="majorHAnsi"/>
        </w:rPr>
      </w:pPr>
      <w:r w:rsidRPr="00181758">
        <w:rPr>
          <w:rFonts w:eastAsia="Times New Roman" w:cs="Times New Roman" w:asciiTheme="majorHAnsi" w:hAnsiTheme="majorHAnsi"/>
        </w:rPr>
        <w:t xml:space="preserve">Site visit interview participants will include the following types of professionals: (1) child welfare administrators or practitioners; (2) judges, court personnel, or attorneys; and (3) other professionals or stakeholders who may be involved in the TPR process. We will </w:t>
      </w:r>
      <w:r w:rsidR="004604DC">
        <w:rPr>
          <w:rFonts w:eastAsia="Times New Roman" w:cs="Times New Roman" w:asciiTheme="majorHAnsi" w:hAnsiTheme="majorHAnsi"/>
        </w:rPr>
        <w:t>use</w:t>
      </w:r>
      <w:r w:rsidRPr="00181758">
        <w:rPr>
          <w:rFonts w:eastAsia="Times New Roman" w:cs="Times New Roman" w:asciiTheme="majorHAnsi" w:hAnsiTheme="majorHAnsi"/>
        </w:rPr>
        <w:t xml:space="preserve"> one interview protocol for the site visit interviews, which can be adapted to both the professional perspective and the knowledge of the different types of respondents. For each site visit, we will conduct four to five telephone interviews, which are expected to run for 60 minutes. </w:t>
      </w:r>
      <w:r w:rsidR="004B7A8A">
        <w:rPr>
          <w:rFonts w:eastAsia="Times New Roman" w:cs="Times New Roman" w:asciiTheme="majorHAnsi" w:hAnsiTheme="majorHAnsi"/>
        </w:rPr>
        <w:t>W</w:t>
      </w:r>
      <w:r w:rsidRPr="00181758">
        <w:rPr>
          <w:rFonts w:eastAsia="Times New Roman" w:cs="Times New Roman" w:asciiTheme="majorHAnsi" w:hAnsiTheme="majorHAnsi"/>
        </w:rPr>
        <w:t xml:space="preserve">e will recruit one to three participants per interview. </w:t>
      </w:r>
    </w:p>
    <w:p w:rsidRPr="00181758" w:rsidR="00181758" w:rsidP="002827C9" w:rsidRDefault="00181758" w14:paraId="6CD1B8BC" w14:textId="77777777">
      <w:pPr>
        <w:keepNext/>
        <w:tabs>
          <w:tab w:val="left" w:pos="432"/>
        </w:tabs>
        <w:spacing w:before="240" w:after="160" w:line="240" w:lineRule="auto"/>
        <w:ind w:left="1152" w:hanging="432"/>
        <w:outlineLvl w:val="4"/>
        <w:rPr>
          <w:rFonts w:eastAsia="Times New Roman" w:cs="Times New Roman" w:asciiTheme="majorHAnsi" w:hAnsiTheme="majorHAnsi"/>
          <w:b/>
          <w:color w:val="000000" w:themeColor="text1"/>
        </w:rPr>
      </w:pPr>
      <w:r w:rsidRPr="00181758">
        <w:rPr>
          <w:rFonts w:eastAsia="Times New Roman" w:cs="Times New Roman" w:asciiTheme="majorHAnsi" w:hAnsiTheme="majorHAnsi"/>
          <w:b/>
          <w:color w:val="000000" w:themeColor="text1"/>
        </w:rPr>
        <w:t>Small group interviews</w:t>
      </w:r>
    </w:p>
    <w:p w:rsidRPr="00181758" w:rsidR="00181758" w:rsidP="002827C9" w:rsidRDefault="00181758" w14:paraId="44A90759" w14:textId="3C56B613">
      <w:pPr>
        <w:spacing w:after="240" w:line="240" w:lineRule="auto"/>
        <w:ind w:left="720"/>
        <w:rPr>
          <w:rFonts w:eastAsia="Times New Roman" w:cs="Times New Roman" w:asciiTheme="majorHAnsi" w:hAnsiTheme="majorHAnsi"/>
        </w:rPr>
      </w:pPr>
      <w:r w:rsidRPr="00181758">
        <w:rPr>
          <w:rFonts w:eastAsia="Times New Roman" w:cs="Times New Roman" w:asciiTheme="majorHAnsi" w:hAnsiTheme="majorHAnsi"/>
        </w:rPr>
        <w:t xml:space="preserve">In addition to the virtual site visits, data collection includes conducting three small group interviews via telephone with those who have experienced the TPR process as a parent or a child. We will conduct one small group interview for each of the following types of </w:t>
      </w:r>
      <w:r w:rsidRPr="00181758">
        <w:rPr>
          <w:rFonts w:eastAsia="Times New Roman" w:cs="Times New Roman" w:asciiTheme="majorHAnsi" w:hAnsiTheme="majorHAnsi"/>
        </w:rPr>
        <w:lastRenderedPageBreak/>
        <w:t xml:space="preserve">participants: (1) biological parents with TPR experience, (2) foster or adoptive parents with TPR experience; and (3) adults who are former foster youth who experienced TPR. Each small group interview will run for 90-minutes. We </w:t>
      </w:r>
      <w:r w:rsidR="004B7A8A">
        <w:rPr>
          <w:rFonts w:eastAsia="Times New Roman" w:cs="Times New Roman" w:asciiTheme="majorHAnsi" w:hAnsiTheme="majorHAnsi"/>
        </w:rPr>
        <w:t xml:space="preserve">have </w:t>
      </w:r>
      <w:r w:rsidRPr="00181758">
        <w:rPr>
          <w:rFonts w:eastAsia="Times New Roman" w:cs="Times New Roman" w:asciiTheme="majorHAnsi" w:hAnsiTheme="majorHAnsi"/>
        </w:rPr>
        <w:t>develop</w:t>
      </w:r>
      <w:r w:rsidR="004B7A8A">
        <w:rPr>
          <w:rFonts w:eastAsia="Times New Roman" w:cs="Times New Roman" w:asciiTheme="majorHAnsi" w:hAnsiTheme="majorHAnsi"/>
        </w:rPr>
        <w:t>ed</w:t>
      </w:r>
      <w:r w:rsidRPr="00181758">
        <w:rPr>
          <w:rFonts w:eastAsia="Times New Roman" w:cs="Times New Roman" w:asciiTheme="majorHAnsi" w:hAnsiTheme="majorHAnsi"/>
        </w:rPr>
        <w:t xml:space="preserve"> one interview protocol for all small group interviews</w:t>
      </w:r>
      <w:r w:rsidR="004B7A8A">
        <w:rPr>
          <w:rFonts w:eastAsia="Times New Roman" w:cs="Times New Roman" w:asciiTheme="majorHAnsi" w:hAnsiTheme="majorHAnsi"/>
        </w:rPr>
        <w:t xml:space="preserve"> for use with these respondents</w:t>
      </w:r>
      <w:r w:rsidRPr="00181758">
        <w:rPr>
          <w:rFonts w:eastAsia="Times New Roman" w:cs="Times New Roman" w:asciiTheme="majorHAnsi" w:hAnsiTheme="majorHAnsi"/>
        </w:rPr>
        <w:t>, which will be adapted to the perspective and knowledge of the different respondents</w:t>
      </w:r>
      <w:r w:rsidR="004B7A8A">
        <w:rPr>
          <w:rFonts w:eastAsia="Times New Roman" w:cs="Times New Roman" w:asciiTheme="majorHAnsi" w:hAnsiTheme="majorHAnsi"/>
        </w:rPr>
        <w:t xml:space="preserve"> in the particular session</w:t>
      </w:r>
      <w:r w:rsidRPr="00181758">
        <w:rPr>
          <w:rFonts w:eastAsia="Times New Roman" w:cs="Times New Roman" w:asciiTheme="majorHAnsi" w:hAnsiTheme="majorHAnsi"/>
        </w:rPr>
        <w:t xml:space="preserve"> (see A</w:t>
      </w:r>
      <w:r w:rsidR="004604DC">
        <w:rPr>
          <w:rFonts w:eastAsia="Times New Roman" w:cs="Times New Roman" w:asciiTheme="majorHAnsi" w:hAnsiTheme="majorHAnsi"/>
        </w:rPr>
        <w:t>ttachment B, Discussion Guides</w:t>
      </w:r>
      <w:r w:rsidRPr="00181758">
        <w:rPr>
          <w:rFonts w:eastAsia="Times New Roman" w:cs="Times New Roman" w:asciiTheme="majorHAnsi" w:hAnsiTheme="majorHAnsi"/>
        </w:rPr>
        <w:t>). As mentioned, we are aiming to have 4 to 5 participants for each small group interview, for a total of 12 to 15 participants across all three interviews.</w:t>
      </w:r>
    </w:p>
    <w:p w:rsidRPr="00220A58" w:rsidR="009759F3" w:rsidP="00220A58" w:rsidRDefault="00287E2F" w14:paraId="652EF6A7" w14:textId="77777777">
      <w:pPr>
        <w:pStyle w:val="ListParagraph"/>
        <w:numPr>
          <w:ilvl w:val="0"/>
          <w:numId w:val="3"/>
        </w:numPr>
        <w:spacing w:after="0" w:line="240" w:lineRule="auto"/>
        <w:rPr>
          <w:rFonts w:asciiTheme="majorHAnsi" w:hAnsiTheme="majorHAnsi"/>
          <w:b/>
        </w:rPr>
      </w:pPr>
      <w:r w:rsidRPr="00220A58">
        <w:rPr>
          <w:rFonts w:asciiTheme="majorHAnsi" w:hAnsiTheme="majorHAnsi"/>
          <w:b/>
        </w:rPr>
        <w:t>Methods to Maximize Response Rates</w:t>
      </w:r>
      <w:r w:rsidRPr="00220A58" w:rsidR="00F725B5">
        <w:rPr>
          <w:rFonts w:asciiTheme="majorHAnsi" w:hAnsiTheme="majorHAnsi"/>
          <w:b/>
        </w:rPr>
        <w:t xml:space="preserve"> </w:t>
      </w:r>
      <w:r w:rsidRPr="00220A58">
        <w:rPr>
          <w:rFonts w:asciiTheme="majorHAnsi" w:hAnsiTheme="majorHAnsi"/>
          <w:b/>
        </w:rPr>
        <w:t xml:space="preserve"> </w:t>
      </w:r>
      <w:r w:rsidRPr="00220A58" w:rsidR="009759F3">
        <w:rPr>
          <w:rFonts w:asciiTheme="majorHAnsi" w:hAnsiTheme="majorHAnsi"/>
          <w:b/>
          <w:bCs/>
        </w:rPr>
        <w:t>Deal with Nonresponse</w:t>
      </w:r>
    </w:p>
    <w:p w:rsidRPr="00220A58" w:rsidR="003D2C35" w:rsidP="00220A58" w:rsidRDefault="003D2C35" w14:paraId="75340B48" w14:textId="77777777">
      <w:pPr>
        <w:pStyle w:val="ListParagraph"/>
        <w:spacing w:after="0" w:line="240" w:lineRule="auto"/>
        <w:contextualSpacing w:val="0"/>
        <w:rPr>
          <w:rFonts w:asciiTheme="majorHAnsi" w:hAnsiTheme="majorHAnsi"/>
        </w:rPr>
      </w:pPr>
    </w:p>
    <w:p w:rsidR="003B2734" w:rsidP="00220A58" w:rsidRDefault="00381ABB" w14:paraId="0D828158" w14:textId="2645234A">
      <w:pPr>
        <w:pStyle w:val="ListParagraph"/>
        <w:spacing w:after="0" w:line="240" w:lineRule="auto"/>
        <w:contextualSpacing w:val="0"/>
        <w:rPr>
          <w:rFonts w:asciiTheme="majorHAnsi" w:hAnsiTheme="majorHAnsi"/>
        </w:rPr>
      </w:pPr>
      <w:r>
        <w:rPr>
          <w:rFonts w:asciiTheme="majorHAnsi" w:hAnsiTheme="majorHAnsi"/>
        </w:rPr>
        <w:t xml:space="preserve">We believe this data collection will be of interest to state officials and stakeholders, increasing the likelihood of response. </w:t>
      </w:r>
      <w:r w:rsidR="002F19C5">
        <w:rPr>
          <w:rFonts w:asciiTheme="majorHAnsi" w:hAnsiTheme="majorHAnsi"/>
        </w:rPr>
        <w:t xml:space="preserve">ACF is currently sponsoring an adoption initiative aimed at improving states’ adoption performance. TPR issues have come up repeatedly in discussions with states and we believe therefore that the subject matter of this study is likely to be of significant interest, helping us recruit participants. </w:t>
      </w:r>
      <w:r>
        <w:rPr>
          <w:rFonts w:asciiTheme="majorHAnsi" w:hAnsiTheme="majorHAnsi"/>
        </w:rPr>
        <w:t>In addition, c</w:t>
      </w:r>
      <w:r w:rsidR="002F19C5">
        <w:rPr>
          <w:rFonts w:asciiTheme="majorHAnsi" w:hAnsiTheme="majorHAnsi"/>
        </w:rPr>
        <w:t>onducting the interviews by telephone at respondents’ convenience also should lower the burden to participate</w:t>
      </w:r>
      <w:r w:rsidR="008F079D">
        <w:rPr>
          <w:rFonts w:asciiTheme="majorHAnsi" w:hAnsiTheme="majorHAnsi"/>
        </w:rPr>
        <w:t xml:space="preserve"> and maximize participation</w:t>
      </w:r>
      <w:r w:rsidR="002F19C5">
        <w:rPr>
          <w:rFonts w:asciiTheme="majorHAnsi" w:hAnsiTheme="majorHAnsi"/>
        </w:rPr>
        <w:t xml:space="preserve">. </w:t>
      </w:r>
      <w:r>
        <w:rPr>
          <w:rFonts w:asciiTheme="majorHAnsi" w:hAnsiTheme="majorHAnsi"/>
        </w:rPr>
        <w:t xml:space="preserve">For all those recruited to participate, we will send confirmation and reminder emails in order to encourage follow through. </w:t>
      </w:r>
    </w:p>
    <w:p w:rsidR="00381ABB" w:rsidP="00220A58" w:rsidRDefault="00381ABB" w14:paraId="240C80EA" w14:textId="4D464E4F">
      <w:pPr>
        <w:pStyle w:val="ListParagraph"/>
        <w:spacing w:after="0" w:line="240" w:lineRule="auto"/>
        <w:contextualSpacing w:val="0"/>
        <w:rPr>
          <w:rFonts w:asciiTheme="majorHAnsi" w:hAnsiTheme="majorHAnsi"/>
        </w:rPr>
      </w:pPr>
    </w:p>
    <w:p w:rsidRPr="00220A58" w:rsidR="00381ABB" w:rsidP="00220A58" w:rsidRDefault="00381ABB" w14:paraId="1D3711DB" w14:textId="2D15056D">
      <w:pPr>
        <w:pStyle w:val="ListParagraph"/>
        <w:spacing w:after="0" w:line="240" w:lineRule="auto"/>
        <w:contextualSpacing w:val="0"/>
        <w:rPr>
          <w:rFonts w:asciiTheme="majorHAnsi" w:hAnsiTheme="majorHAnsi"/>
        </w:rPr>
      </w:pPr>
      <w:r>
        <w:rPr>
          <w:rFonts w:asciiTheme="majorHAnsi" w:hAnsiTheme="majorHAnsi"/>
        </w:rPr>
        <w:t>With respect to the non-professional respondents, in addition to confirmation and reminder emails, we expect the gift cards used as incentives will encourage response. In addition, by recruiting from among the youth and family consultant pool of the ACF child welfare technical assistance center</w:t>
      </w:r>
      <w:r w:rsidR="008F079D">
        <w:rPr>
          <w:rFonts w:asciiTheme="majorHAnsi" w:hAnsiTheme="majorHAnsi"/>
        </w:rPr>
        <w:t>, we will identify individuals interested in sharing their experiences with the child welfare system and who are accustomed to doing so.</w:t>
      </w:r>
    </w:p>
    <w:p w:rsidRPr="00220A58" w:rsidR="00577318" w:rsidP="00220A58" w:rsidRDefault="00577318" w14:paraId="28C7722E" w14:textId="77777777">
      <w:pPr>
        <w:spacing w:after="0" w:line="240" w:lineRule="auto"/>
        <w:rPr>
          <w:rFonts w:asciiTheme="majorHAnsi" w:hAnsiTheme="majorHAnsi"/>
        </w:rPr>
      </w:pPr>
    </w:p>
    <w:p w:rsidRPr="00220A58" w:rsidR="00F52BCC" w:rsidP="00220A58" w:rsidRDefault="00287E2F" w14:paraId="43291EA7" w14:textId="77777777">
      <w:pPr>
        <w:pStyle w:val="ListParagraph"/>
        <w:numPr>
          <w:ilvl w:val="0"/>
          <w:numId w:val="3"/>
        </w:numPr>
        <w:spacing w:after="0" w:line="240" w:lineRule="auto"/>
        <w:rPr>
          <w:rFonts w:asciiTheme="majorHAnsi" w:hAnsiTheme="majorHAnsi"/>
          <w:b/>
        </w:rPr>
      </w:pPr>
      <w:r w:rsidRPr="00220A58">
        <w:rPr>
          <w:rFonts w:asciiTheme="majorHAnsi" w:hAnsiTheme="majorHAnsi"/>
          <w:b/>
        </w:rPr>
        <w:t xml:space="preserve">Test of Procedures </w:t>
      </w:r>
      <w:r w:rsidRPr="00220A58" w:rsidR="009759F3">
        <w:rPr>
          <w:rFonts w:asciiTheme="majorHAnsi" w:hAnsiTheme="majorHAnsi"/>
          <w:b/>
          <w:bCs/>
        </w:rPr>
        <w:t>or Methods to be Undertaken</w:t>
      </w:r>
    </w:p>
    <w:p w:rsidRPr="00220A58" w:rsidR="00F52BCC" w:rsidP="00220A58" w:rsidRDefault="00F52BCC" w14:paraId="1B89B6C6" w14:textId="77777777">
      <w:pPr>
        <w:pStyle w:val="ListParagraph"/>
        <w:spacing w:after="0" w:line="240" w:lineRule="auto"/>
        <w:rPr>
          <w:rFonts w:asciiTheme="majorHAnsi" w:hAnsiTheme="majorHAnsi"/>
        </w:rPr>
      </w:pPr>
    </w:p>
    <w:p w:rsidRPr="00220A58" w:rsidR="008C62B8" w:rsidP="00220A58" w:rsidRDefault="003D2C35" w14:paraId="68A1C5C3" w14:textId="0EBF6775">
      <w:pPr>
        <w:pStyle w:val="ListParagraph"/>
        <w:spacing w:after="0" w:line="240" w:lineRule="auto"/>
        <w:rPr>
          <w:rFonts w:asciiTheme="majorHAnsi" w:hAnsiTheme="majorHAnsi"/>
        </w:rPr>
      </w:pPr>
      <w:r w:rsidRPr="009356EE">
        <w:rPr>
          <w:rFonts w:asciiTheme="majorHAnsi" w:hAnsiTheme="majorHAnsi"/>
        </w:rPr>
        <w:t xml:space="preserve">All contractor staff who will </w:t>
      </w:r>
      <w:r w:rsidRPr="009356EE" w:rsidR="003E1420">
        <w:rPr>
          <w:rFonts w:asciiTheme="majorHAnsi" w:hAnsiTheme="majorHAnsi"/>
        </w:rPr>
        <w:t xml:space="preserve">be </w:t>
      </w:r>
      <w:r w:rsidRPr="009356EE">
        <w:rPr>
          <w:rFonts w:asciiTheme="majorHAnsi" w:hAnsiTheme="majorHAnsi"/>
        </w:rPr>
        <w:t xml:space="preserve">leading </w:t>
      </w:r>
      <w:r w:rsidRPr="009356EE" w:rsidR="003E1420">
        <w:rPr>
          <w:rFonts w:asciiTheme="majorHAnsi" w:hAnsiTheme="majorHAnsi"/>
        </w:rPr>
        <w:t xml:space="preserve">and participating in </w:t>
      </w:r>
      <w:r w:rsidRPr="009356EE">
        <w:rPr>
          <w:rFonts w:asciiTheme="majorHAnsi" w:hAnsiTheme="majorHAnsi"/>
        </w:rPr>
        <w:t xml:space="preserve">interviews and discussion groups will </w:t>
      </w:r>
      <w:r w:rsidRPr="009356EE" w:rsidR="000E66F1">
        <w:rPr>
          <w:rFonts w:asciiTheme="majorHAnsi" w:hAnsiTheme="majorHAnsi"/>
        </w:rPr>
        <w:t xml:space="preserve">receive </w:t>
      </w:r>
      <w:r w:rsidRPr="009356EE">
        <w:rPr>
          <w:rFonts w:asciiTheme="majorHAnsi" w:hAnsiTheme="majorHAnsi"/>
        </w:rPr>
        <w:t>training on the discussion guide protocols</w:t>
      </w:r>
      <w:r w:rsidRPr="009356EE" w:rsidR="000E66F1">
        <w:rPr>
          <w:rFonts w:asciiTheme="majorHAnsi" w:hAnsiTheme="majorHAnsi"/>
        </w:rPr>
        <w:t xml:space="preserve"> to ensure consistent interviews across sites</w:t>
      </w:r>
      <w:r w:rsidRPr="009356EE">
        <w:rPr>
          <w:rFonts w:asciiTheme="majorHAnsi" w:hAnsiTheme="majorHAnsi"/>
        </w:rPr>
        <w:t>.</w:t>
      </w:r>
      <w:r w:rsidRPr="009356EE" w:rsidR="00117786">
        <w:rPr>
          <w:rFonts w:asciiTheme="majorHAnsi" w:hAnsiTheme="majorHAnsi"/>
        </w:rPr>
        <w:t xml:space="preserve"> </w:t>
      </w:r>
      <w:r w:rsidRPr="009356EE" w:rsidR="003E1420">
        <w:rPr>
          <w:rFonts w:asciiTheme="majorHAnsi" w:hAnsiTheme="majorHAnsi"/>
        </w:rPr>
        <w:t xml:space="preserve">All </w:t>
      </w:r>
      <w:r w:rsidRPr="009356EE" w:rsidR="008D0558">
        <w:rPr>
          <w:rFonts w:asciiTheme="majorHAnsi" w:hAnsiTheme="majorHAnsi"/>
        </w:rPr>
        <w:t xml:space="preserve">senior site visitors </w:t>
      </w:r>
      <w:r w:rsidRPr="009356EE" w:rsidR="003E1420">
        <w:rPr>
          <w:rFonts w:asciiTheme="majorHAnsi" w:hAnsiTheme="majorHAnsi"/>
        </w:rPr>
        <w:t>have subject matter expertise in child welfare</w:t>
      </w:r>
      <w:r w:rsidR="009356EE">
        <w:rPr>
          <w:rFonts w:asciiTheme="majorHAnsi" w:hAnsiTheme="majorHAnsi"/>
        </w:rPr>
        <w:t xml:space="preserve"> and have extensive experience conducting qualitative interviews</w:t>
      </w:r>
      <w:r w:rsidRPr="009356EE" w:rsidR="003E1420">
        <w:rPr>
          <w:rFonts w:asciiTheme="majorHAnsi" w:hAnsiTheme="majorHAnsi"/>
        </w:rPr>
        <w:t xml:space="preserve">. Discussion guide protocols </w:t>
      </w:r>
      <w:r w:rsidRPr="009356EE" w:rsidR="007B6663">
        <w:rPr>
          <w:rFonts w:asciiTheme="majorHAnsi" w:hAnsiTheme="majorHAnsi"/>
        </w:rPr>
        <w:t>have been</w:t>
      </w:r>
      <w:r w:rsidRPr="009356EE" w:rsidR="003E1420">
        <w:rPr>
          <w:rFonts w:asciiTheme="majorHAnsi" w:hAnsiTheme="majorHAnsi"/>
        </w:rPr>
        <w:t xml:space="preserve"> developed by </w:t>
      </w:r>
      <w:r w:rsidRPr="009356EE" w:rsidR="009B6071">
        <w:rPr>
          <w:rFonts w:asciiTheme="majorHAnsi" w:hAnsiTheme="majorHAnsi"/>
        </w:rPr>
        <w:t xml:space="preserve">the contractor </w:t>
      </w:r>
      <w:r w:rsidRPr="009356EE" w:rsidR="003E1420">
        <w:rPr>
          <w:rFonts w:asciiTheme="majorHAnsi" w:hAnsiTheme="majorHAnsi"/>
        </w:rPr>
        <w:t xml:space="preserve">in close coordination with ASPE, and </w:t>
      </w:r>
      <w:r w:rsidRPr="009356EE" w:rsidR="007B6663">
        <w:rPr>
          <w:rFonts w:asciiTheme="majorHAnsi" w:hAnsiTheme="majorHAnsi"/>
        </w:rPr>
        <w:t>have been</w:t>
      </w:r>
      <w:r w:rsidRPr="009356EE" w:rsidR="003E1420">
        <w:rPr>
          <w:rFonts w:asciiTheme="majorHAnsi" w:hAnsiTheme="majorHAnsi"/>
        </w:rPr>
        <w:t xml:space="preserve"> reviewed by </w:t>
      </w:r>
      <w:r w:rsidRPr="009356EE" w:rsidR="007B6663">
        <w:rPr>
          <w:rFonts w:asciiTheme="majorHAnsi" w:hAnsiTheme="majorHAnsi"/>
        </w:rPr>
        <w:t>relevant subject matter experts in ACF</w:t>
      </w:r>
      <w:r w:rsidRPr="009356EE" w:rsidR="003E1420">
        <w:rPr>
          <w:rFonts w:asciiTheme="majorHAnsi" w:hAnsiTheme="majorHAnsi"/>
        </w:rPr>
        <w:t>.</w:t>
      </w:r>
    </w:p>
    <w:p w:rsidRPr="00220A58" w:rsidR="003D2C35" w:rsidP="00220A58" w:rsidRDefault="003D2C35" w14:paraId="6962250B" w14:textId="77777777">
      <w:pPr>
        <w:spacing w:line="240" w:lineRule="auto"/>
        <w:rPr>
          <w:rFonts w:asciiTheme="majorHAnsi" w:hAnsiTheme="majorHAnsi"/>
        </w:rPr>
      </w:pPr>
    </w:p>
    <w:p w:rsidRPr="00220A58" w:rsidR="009759F3" w:rsidP="00220A58" w:rsidRDefault="009759F3" w14:paraId="0D35960F" w14:textId="77777777">
      <w:pPr>
        <w:pStyle w:val="ListParagraph"/>
        <w:numPr>
          <w:ilvl w:val="0"/>
          <w:numId w:val="3"/>
        </w:numPr>
        <w:spacing w:after="0" w:line="240" w:lineRule="auto"/>
        <w:rPr>
          <w:rFonts w:asciiTheme="majorHAnsi" w:hAnsiTheme="majorHAnsi"/>
          <w:b/>
        </w:rPr>
      </w:pPr>
      <w:r w:rsidRPr="00220A58">
        <w:rPr>
          <w:rFonts w:asciiTheme="majorHAnsi" w:hAnsiTheme="majorHAnsi"/>
          <w:b/>
          <w:bCs/>
        </w:rPr>
        <w:t>Individuals Consulted on Statistical Aspects and Individuals Collecting and/or Analyzing Data</w:t>
      </w:r>
    </w:p>
    <w:p w:rsidRPr="00220A58" w:rsidR="00696631" w:rsidP="00220A58" w:rsidRDefault="00696631" w14:paraId="574F8144" w14:textId="77777777">
      <w:pPr>
        <w:pStyle w:val="ListParagraph"/>
        <w:spacing w:after="0" w:line="240" w:lineRule="auto"/>
        <w:rPr>
          <w:rFonts w:asciiTheme="majorHAnsi" w:hAnsiTheme="majorHAnsi"/>
          <w:b/>
        </w:rPr>
      </w:pPr>
    </w:p>
    <w:p w:rsidR="00287E2F" w:rsidP="00220A58" w:rsidRDefault="00696631" w14:paraId="5BCA85E7" w14:textId="50C87AC5">
      <w:pPr>
        <w:pStyle w:val="ListParagraph"/>
        <w:spacing w:after="0" w:line="240" w:lineRule="auto"/>
        <w:rPr>
          <w:rFonts w:asciiTheme="majorHAnsi" w:hAnsiTheme="majorHAnsi"/>
        </w:rPr>
      </w:pPr>
      <w:r w:rsidRPr="00220A58">
        <w:rPr>
          <w:rFonts w:asciiTheme="majorHAnsi" w:hAnsiTheme="majorHAnsi"/>
        </w:rPr>
        <w:t xml:space="preserve">Contractor staff include child welfare </w:t>
      </w:r>
      <w:r w:rsidRPr="00220A58" w:rsidR="002B4CED">
        <w:rPr>
          <w:rFonts w:asciiTheme="majorHAnsi" w:hAnsiTheme="majorHAnsi"/>
        </w:rPr>
        <w:t xml:space="preserve">subject matter experts </w:t>
      </w:r>
      <w:r w:rsidRPr="00220A58">
        <w:rPr>
          <w:rFonts w:asciiTheme="majorHAnsi" w:hAnsiTheme="majorHAnsi"/>
        </w:rPr>
        <w:t>with extensive experience with performing qualitative data collection. These experts are listed in the table below.</w:t>
      </w:r>
    </w:p>
    <w:p w:rsidR="00821F62" w:rsidRDefault="00821F62" w14:paraId="3A94946D" w14:textId="77777777">
      <w:pPr>
        <w:rPr>
          <w:rFonts w:ascii="Arial" w:hAnsi="Arial" w:eastAsia="Times New Roman" w:cs="Times New Roman"/>
          <w:b/>
          <w:szCs w:val="20"/>
        </w:rPr>
      </w:pPr>
      <w:r>
        <w:rPr>
          <w:rFonts w:ascii="Arial" w:hAnsi="Arial" w:eastAsia="Times New Roman" w:cs="Times New Roman"/>
          <w:b/>
          <w:szCs w:val="20"/>
        </w:rPr>
        <w:br w:type="page"/>
      </w:r>
    </w:p>
    <w:p w:rsidRPr="00821F62" w:rsidR="00821F62" w:rsidP="00821F62" w:rsidRDefault="00821F62" w14:paraId="03BC7A0F" w14:textId="14D4963E">
      <w:pPr>
        <w:keepNext/>
        <w:spacing w:before="360" w:after="60" w:line="290" w:lineRule="exact"/>
        <w:rPr>
          <w:rFonts w:ascii="Arial" w:hAnsi="Arial" w:eastAsia="Times New Roman" w:cs="Times New Roman"/>
          <w:b/>
          <w:szCs w:val="20"/>
        </w:rPr>
      </w:pPr>
      <w:r w:rsidRPr="00821F62">
        <w:rPr>
          <w:rFonts w:ascii="Arial" w:hAnsi="Arial" w:eastAsia="Times New Roman" w:cs="Times New Roman"/>
          <w:b/>
          <w:szCs w:val="20"/>
        </w:rPr>
        <w:lastRenderedPageBreak/>
        <w:t xml:space="preserve">Project staff and role  </w:t>
      </w:r>
    </w:p>
    <w:tbl>
      <w:tblPr>
        <w:tblStyle w:val="TableGrid2"/>
        <w:tblW w:w="42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30"/>
        <w:gridCol w:w="2969"/>
        <w:gridCol w:w="2609"/>
      </w:tblGrid>
      <w:tr w:rsidRPr="00821F62" w:rsidR="00821F62" w:rsidTr="00821F62" w14:paraId="02B8F4E5" w14:textId="77777777">
        <w:tc>
          <w:tcPr>
            <w:tcW w:w="1517" w:type="pct"/>
            <w:shd w:val="clear" w:color="auto" w:fill="046B5C"/>
            <w:vAlign w:val="bottom"/>
            <w:hideMark/>
          </w:tcPr>
          <w:p w:rsidRPr="00821F62" w:rsidR="00821F62" w:rsidP="00821F62" w:rsidRDefault="00821F62" w14:paraId="70A33663" w14:textId="77777777">
            <w:pPr>
              <w:spacing w:before="120" w:after="60"/>
              <w:textboxTightWrap w:val="allLines"/>
              <w:rPr>
                <w:rFonts w:ascii="Arial" w:hAnsi="Arial"/>
                <w:b/>
                <w:color w:val="FFFFFF"/>
                <w:sz w:val="20"/>
                <w:szCs w:val="20"/>
              </w:rPr>
            </w:pPr>
            <w:r w:rsidRPr="00821F62">
              <w:rPr>
                <w:rFonts w:ascii="Arial" w:hAnsi="Arial"/>
                <w:b/>
                <w:color w:val="FFFFFF"/>
                <w:sz w:val="20"/>
                <w:szCs w:val="20"/>
              </w:rPr>
              <w:t>Individual</w:t>
            </w:r>
          </w:p>
        </w:tc>
        <w:tc>
          <w:tcPr>
            <w:tcW w:w="1854" w:type="pct"/>
            <w:shd w:val="clear" w:color="auto" w:fill="046B5C"/>
            <w:vAlign w:val="bottom"/>
            <w:hideMark/>
          </w:tcPr>
          <w:p w:rsidRPr="00821F62" w:rsidR="00821F62" w:rsidP="00821F62" w:rsidRDefault="00821F62" w14:paraId="406A62DC" w14:textId="77777777">
            <w:pPr>
              <w:spacing w:before="120" w:after="60"/>
              <w:jc w:val="center"/>
              <w:textboxTightWrap w:val="allLines"/>
              <w:rPr>
                <w:rFonts w:ascii="Arial" w:hAnsi="Arial"/>
                <w:b/>
                <w:color w:val="FFFFFF"/>
                <w:sz w:val="20"/>
                <w:szCs w:val="20"/>
              </w:rPr>
            </w:pPr>
            <w:r w:rsidRPr="00821F62">
              <w:rPr>
                <w:rFonts w:ascii="Arial" w:hAnsi="Arial"/>
                <w:b/>
                <w:color w:val="FFFFFF"/>
                <w:sz w:val="20"/>
                <w:szCs w:val="20"/>
              </w:rPr>
              <w:t>Affiliation and Position</w:t>
            </w:r>
          </w:p>
        </w:tc>
        <w:tc>
          <w:tcPr>
            <w:tcW w:w="1629" w:type="pct"/>
            <w:shd w:val="clear" w:color="auto" w:fill="046B5C"/>
            <w:vAlign w:val="bottom"/>
            <w:hideMark/>
          </w:tcPr>
          <w:p w:rsidRPr="00821F62" w:rsidR="00821F62" w:rsidP="00821F62" w:rsidRDefault="00821F62" w14:paraId="4C5F652B" w14:textId="77777777">
            <w:pPr>
              <w:spacing w:before="120" w:after="60"/>
              <w:jc w:val="center"/>
              <w:textboxTightWrap w:val="allLines"/>
              <w:rPr>
                <w:rFonts w:ascii="Arial" w:hAnsi="Arial"/>
                <w:b/>
                <w:color w:val="FFFFFF"/>
                <w:sz w:val="20"/>
                <w:szCs w:val="20"/>
              </w:rPr>
            </w:pPr>
            <w:r w:rsidRPr="00821F62">
              <w:rPr>
                <w:rFonts w:ascii="Arial" w:hAnsi="Arial"/>
                <w:b/>
                <w:color w:val="FFFFFF"/>
                <w:sz w:val="20"/>
                <w:szCs w:val="20"/>
              </w:rPr>
              <w:t xml:space="preserve">Role </w:t>
            </w:r>
          </w:p>
        </w:tc>
      </w:tr>
      <w:tr w:rsidRPr="00821F62" w:rsidR="00821F62" w:rsidTr="00821F62" w14:paraId="06AB0917" w14:textId="77777777">
        <w:tc>
          <w:tcPr>
            <w:tcW w:w="1517" w:type="pct"/>
            <w:hideMark/>
          </w:tcPr>
          <w:p w:rsidRPr="00821F62" w:rsidR="00821F62" w:rsidP="00821F62" w:rsidRDefault="00821F62" w14:paraId="0C97B99B" w14:textId="77777777">
            <w:pPr>
              <w:spacing w:after="60"/>
              <w:rPr>
                <w:rFonts w:ascii="Arial" w:hAnsi="Arial"/>
                <w:sz w:val="20"/>
                <w:szCs w:val="20"/>
              </w:rPr>
            </w:pPr>
            <w:r w:rsidRPr="00821F62">
              <w:rPr>
                <w:rFonts w:ascii="Arial" w:hAnsi="Arial"/>
                <w:sz w:val="20"/>
                <w:szCs w:val="20"/>
              </w:rPr>
              <w:t xml:space="preserve">Elizabeth </w:t>
            </w:r>
            <w:proofErr w:type="spellStart"/>
            <w:r w:rsidRPr="00821F62">
              <w:rPr>
                <w:rFonts w:ascii="Arial" w:hAnsi="Arial"/>
                <w:sz w:val="20"/>
                <w:szCs w:val="20"/>
              </w:rPr>
              <w:t>Weigensberg</w:t>
            </w:r>
            <w:proofErr w:type="spellEnd"/>
          </w:p>
        </w:tc>
        <w:tc>
          <w:tcPr>
            <w:tcW w:w="1854" w:type="pct"/>
            <w:hideMark/>
          </w:tcPr>
          <w:p w:rsidRPr="00821F62" w:rsidR="00821F62" w:rsidP="00821F62" w:rsidRDefault="00821F62" w14:paraId="33B81C92" w14:textId="77777777">
            <w:pPr>
              <w:spacing w:after="60"/>
              <w:rPr>
                <w:rFonts w:ascii="Arial" w:hAnsi="Arial"/>
                <w:sz w:val="20"/>
                <w:szCs w:val="20"/>
              </w:rPr>
            </w:pPr>
            <w:r w:rsidRPr="00821F62">
              <w:rPr>
                <w:rFonts w:ascii="Arial" w:hAnsi="Arial"/>
                <w:sz w:val="20"/>
                <w:szCs w:val="20"/>
              </w:rPr>
              <w:t>Mathematica, Senior Researcher and Child Welfare Lead</w:t>
            </w:r>
          </w:p>
        </w:tc>
        <w:tc>
          <w:tcPr>
            <w:tcW w:w="1629" w:type="pct"/>
            <w:hideMark/>
          </w:tcPr>
          <w:p w:rsidRPr="00821F62" w:rsidR="00821F62" w:rsidP="00821F62" w:rsidRDefault="00821F62" w14:paraId="392CCC6B" w14:textId="77777777">
            <w:pPr>
              <w:spacing w:after="60"/>
              <w:rPr>
                <w:rFonts w:ascii="Arial" w:hAnsi="Arial"/>
                <w:sz w:val="20"/>
                <w:szCs w:val="20"/>
              </w:rPr>
            </w:pPr>
            <w:r w:rsidRPr="00821F62">
              <w:rPr>
                <w:rFonts w:ascii="Arial" w:hAnsi="Arial"/>
                <w:sz w:val="20"/>
                <w:szCs w:val="20"/>
              </w:rPr>
              <w:t xml:space="preserve">Project lead, senior researcher for leading interviews </w:t>
            </w:r>
          </w:p>
        </w:tc>
      </w:tr>
      <w:tr w:rsidRPr="00821F62" w:rsidR="00821F62" w:rsidTr="00821F62" w14:paraId="7487D7C9" w14:textId="77777777">
        <w:tc>
          <w:tcPr>
            <w:tcW w:w="1517" w:type="pct"/>
            <w:shd w:val="clear" w:color="auto" w:fill="E0D4B5"/>
            <w:hideMark/>
          </w:tcPr>
          <w:p w:rsidRPr="00821F62" w:rsidR="00821F62" w:rsidP="00821F62" w:rsidRDefault="00821F62" w14:paraId="6A887BD6" w14:textId="77777777">
            <w:pPr>
              <w:spacing w:after="60"/>
              <w:rPr>
                <w:rFonts w:ascii="Arial" w:hAnsi="Arial"/>
                <w:sz w:val="20"/>
                <w:szCs w:val="20"/>
              </w:rPr>
            </w:pPr>
            <w:r w:rsidRPr="00821F62">
              <w:rPr>
                <w:rFonts w:ascii="Arial" w:hAnsi="Arial"/>
                <w:sz w:val="20"/>
                <w:szCs w:val="20"/>
              </w:rPr>
              <w:t>Matthew Stagner</w:t>
            </w:r>
            <w:r w:rsidRPr="00821F62">
              <w:rPr>
                <w:rFonts w:ascii="Arial" w:hAnsi="Arial"/>
                <w:sz w:val="20"/>
                <w:szCs w:val="20"/>
                <w:vertAlign w:val="superscript"/>
              </w:rPr>
              <w:t xml:space="preserve"> </w:t>
            </w:r>
          </w:p>
        </w:tc>
        <w:tc>
          <w:tcPr>
            <w:tcW w:w="1854" w:type="pct"/>
            <w:shd w:val="clear" w:color="auto" w:fill="E0D4B5"/>
            <w:hideMark/>
          </w:tcPr>
          <w:p w:rsidRPr="00821F62" w:rsidR="00821F62" w:rsidP="00821F62" w:rsidRDefault="00821F62" w14:paraId="1103C1B2" w14:textId="77777777">
            <w:pPr>
              <w:spacing w:after="60"/>
              <w:rPr>
                <w:rFonts w:ascii="Arial" w:hAnsi="Arial"/>
                <w:sz w:val="20"/>
                <w:szCs w:val="20"/>
              </w:rPr>
            </w:pPr>
            <w:r w:rsidRPr="00821F62">
              <w:rPr>
                <w:rFonts w:ascii="Arial" w:hAnsi="Arial"/>
                <w:sz w:val="20"/>
                <w:szCs w:val="20"/>
              </w:rPr>
              <w:t>Mathematica, Senior Fellow</w:t>
            </w:r>
          </w:p>
        </w:tc>
        <w:tc>
          <w:tcPr>
            <w:tcW w:w="1629" w:type="pct"/>
            <w:shd w:val="clear" w:color="auto" w:fill="E0D4B5"/>
            <w:hideMark/>
          </w:tcPr>
          <w:p w:rsidRPr="00821F62" w:rsidR="00821F62" w:rsidP="00821F62" w:rsidRDefault="00821F62" w14:paraId="582A944B" w14:textId="77777777">
            <w:pPr>
              <w:spacing w:after="60"/>
              <w:rPr>
                <w:rFonts w:ascii="Arial" w:hAnsi="Arial"/>
                <w:sz w:val="20"/>
                <w:szCs w:val="20"/>
              </w:rPr>
            </w:pPr>
            <w:r w:rsidRPr="00821F62">
              <w:rPr>
                <w:rFonts w:ascii="Arial" w:hAnsi="Arial"/>
                <w:sz w:val="20"/>
                <w:szCs w:val="20"/>
              </w:rPr>
              <w:t>Project Quality Assurance</w:t>
            </w:r>
          </w:p>
        </w:tc>
      </w:tr>
      <w:tr w:rsidRPr="00821F62" w:rsidR="00821F62" w:rsidTr="00821F62" w14:paraId="230BD535" w14:textId="77777777">
        <w:tc>
          <w:tcPr>
            <w:tcW w:w="1517" w:type="pct"/>
            <w:hideMark/>
          </w:tcPr>
          <w:p w:rsidRPr="00821F62" w:rsidR="00821F62" w:rsidP="00821F62" w:rsidRDefault="00821F62" w14:paraId="1A6E325B" w14:textId="77777777">
            <w:pPr>
              <w:spacing w:after="60"/>
              <w:rPr>
                <w:rFonts w:ascii="Arial" w:hAnsi="Arial"/>
                <w:sz w:val="20"/>
                <w:szCs w:val="20"/>
              </w:rPr>
            </w:pPr>
            <w:r w:rsidRPr="00821F62">
              <w:rPr>
                <w:rFonts w:ascii="Arial" w:hAnsi="Arial"/>
                <w:sz w:val="20"/>
                <w:szCs w:val="20"/>
              </w:rPr>
              <w:t>Allon Kalisher</w:t>
            </w:r>
          </w:p>
        </w:tc>
        <w:tc>
          <w:tcPr>
            <w:tcW w:w="1854" w:type="pct"/>
            <w:hideMark/>
          </w:tcPr>
          <w:p w:rsidRPr="00821F62" w:rsidR="00821F62" w:rsidP="00821F62" w:rsidRDefault="00821F62" w14:paraId="108E9C1C" w14:textId="77777777">
            <w:pPr>
              <w:spacing w:after="60"/>
              <w:rPr>
                <w:rFonts w:ascii="Arial" w:hAnsi="Arial"/>
                <w:sz w:val="20"/>
                <w:szCs w:val="20"/>
              </w:rPr>
            </w:pPr>
            <w:r w:rsidRPr="00821F62">
              <w:rPr>
                <w:rFonts w:ascii="Arial" w:hAnsi="Arial"/>
                <w:sz w:val="20"/>
                <w:szCs w:val="20"/>
              </w:rPr>
              <w:t>Mathematica, Senior Child Welfare Lead</w:t>
            </w:r>
          </w:p>
        </w:tc>
        <w:tc>
          <w:tcPr>
            <w:tcW w:w="1629" w:type="pct"/>
            <w:hideMark/>
          </w:tcPr>
          <w:p w:rsidRPr="00821F62" w:rsidR="00821F62" w:rsidP="00821F62" w:rsidRDefault="00821F62" w14:paraId="4A07A9D9" w14:textId="77777777">
            <w:pPr>
              <w:spacing w:after="60"/>
              <w:rPr>
                <w:rFonts w:ascii="Arial" w:hAnsi="Arial"/>
                <w:sz w:val="20"/>
                <w:szCs w:val="20"/>
              </w:rPr>
            </w:pPr>
            <w:r w:rsidRPr="00821F62">
              <w:rPr>
                <w:rFonts w:ascii="Arial" w:hAnsi="Arial"/>
                <w:sz w:val="20"/>
                <w:szCs w:val="20"/>
              </w:rPr>
              <w:t>Senior researcher for leading interviews</w:t>
            </w:r>
          </w:p>
        </w:tc>
      </w:tr>
      <w:tr w:rsidRPr="00821F62" w:rsidR="00821F62" w:rsidTr="00821F62" w14:paraId="732E1E76" w14:textId="77777777">
        <w:tc>
          <w:tcPr>
            <w:tcW w:w="1517" w:type="pct"/>
            <w:shd w:val="clear" w:color="auto" w:fill="E0D4B5"/>
            <w:hideMark/>
          </w:tcPr>
          <w:p w:rsidRPr="00821F62" w:rsidR="00821F62" w:rsidP="00821F62" w:rsidRDefault="00821F62" w14:paraId="17FF10E6" w14:textId="77777777">
            <w:pPr>
              <w:spacing w:after="60"/>
              <w:rPr>
                <w:rFonts w:ascii="Arial" w:hAnsi="Arial"/>
                <w:sz w:val="20"/>
                <w:szCs w:val="20"/>
              </w:rPr>
            </w:pPr>
            <w:r w:rsidRPr="00821F62">
              <w:rPr>
                <w:rFonts w:ascii="Arial" w:hAnsi="Arial"/>
                <w:sz w:val="20"/>
                <w:szCs w:val="20"/>
              </w:rPr>
              <w:t xml:space="preserve">Cassandra McClellan </w:t>
            </w:r>
          </w:p>
        </w:tc>
        <w:tc>
          <w:tcPr>
            <w:tcW w:w="1854" w:type="pct"/>
            <w:shd w:val="clear" w:color="auto" w:fill="E0D4B5"/>
            <w:hideMark/>
          </w:tcPr>
          <w:p w:rsidRPr="00821F62" w:rsidR="00821F62" w:rsidP="00821F62" w:rsidRDefault="00821F62" w14:paraId="2F37F556" w14:textId="77777777">
            <w:pPr>
              <w:spacing w:after="60"/>
              <w:rPr>
                <w:rFonts w:ascii="Arial" w:hAnsi="Arial"/>
                <w:sz w:val="20"/>
                <w:szCs w:val="20"/>
              </w:rPr>
            </w:pPr>
            <w:r w:rsidRPr="00821F62">
              <w:rPr>
                <w:rFonts w:ascii="Arial" w:hAnsi="Arial"/>
                <w:sz w:val="20"/>
                <w:szCs w:val="20"/>
              </w:rPr>
              <w:t>Mathematica, Program Analyst</w:t>
            </w:r>
          </w:p>
        </w:tc>
        <w:tc>
          <w:tcPr>
            <w:tcW w:w="1629" w:type="pct"/>
            <w:shd w:val="clear" w:color="auto" w:fill="E0D4B5"/>
            <w:hideMark/>
          </w:tcPr>
          <w:p w:rsidRPr="00821F62" w:rsidR="00821F62" w:rsidP="00821F62" w:rsidRDefault="00821F62" w14:paraId="10CBBD69" w14:textId="77777777">
            <w:pPr>
              <w:spacing w:after="60"/>
              <w:rPr>
                <w:rFonts w:ascii="Arial" w:hAnsi="Arial"/>
                <w:sz w:val="20"/>
                <w:szCs w:val="20"/>
              </w:rPr>
            </w:pPr>
            <w:r w:rsidRPr="00821F62">
              <w:rPr>
                <w:rFonts w:ascii="Arial" w:hAnsi="Arial"/>
                <w:sz w:val="20"/>
                <w:szCs w:val="20"/>
              </w:rPr>
              <w:t>Support role for interview scheduling and notetaking</w:t>
            </w:r>
          </w:p>
        </w:tc>
      </w:tr>
      <w:tr w:rsidRPr="00821F62" w:rsidR="00821F62" w:rsidTr="00821F62" w14:paraId="0540004B" w14:textId="77777777">
        <w:tc>
          <w:tcPr>
            <w:tcW w:w="1517" w:type="pct"/>
            <w:hideMark/>
          </w:tcPr>
          <w:p w:rsidRPr="00821F62" w:rsidR="00821F62" w:rsidP="00821F62" w:rsidRDefault="00821F62" w14:paraId="4B539359" w14:textId="77777777">
            <w:pPr>
              <w:spacing w:after="60"/>
              <w:rPr>
                <w:rFonts w:ascii="Arial" w:hAnsi="Arial"/>
                <w:sz w:val="20"/>
                <w:szCs w:val="20"/>
              </w:rPr>
            </w:pPr>
            <w:r w:rsidRPr="00821F62">
              <w:rPr>
                <w:rFonts w:ascii="Arial" w:hAnsi="Arial"/>
                <w:sz w:val="20"/>
                <w:szCs w:val="20"/>
              </w:rPr>
              <w:t>Nuzhat Islam</w:t>
            </w:r>
          </w:p>
        </w:tc>
        <w:tc>
          <w:tcPr>
            <w:tcW w:w="1854" w:type="pct"/>
            <w:hideMark/>
          </w:tcPr>
          <w:p w:rsidRPr="00821F62" w:rsidR="00821F62" w:rsidP="00821F62" w:rsidRDefault="00821F62" w14:paraId="6048882F" w14:textId="77777777">
            <w:pPr>
              <w:spacing w:after="60"/>
              <w:rPr>
                <w:rFonts w:ascii="Arial" w:hAnsi="Arial"/>
                <w:sz w:val="20"/>
                <w:szCs w:val="20"/>
              </w:rPr>
            </w:pPr>
            <w:r w:rsidRPr="00821F62">
              <w:rPr>
                <w:rFonts w:ascii="Arial" w:hAnsi="Arial"/>
                <w:sz w:val="20"/>
                <w:szCs w:val="20"/>
              </w:rPr>
              <w:t>Mathematica, Project Manager</w:t>
            </w:r>
          </w:p>
        </w:tc>
        <w:tc>
          <w:tcPr>
            <w:tcW w:w="1629" w:type="pct"/>
            <w:hideMark/>
          </w:tcPr>
          <w:p w:rsidRPr="00821F62" w:rsidR="00821F62" w:rsidP="00821F62" w:rsidRDefault="00821F62" w14:paraId="599D5E85" w14:textId="77777777">
            <w:pPr>
              <w:spacing w:after="60"/>
              <w:rPr>
                <w:rFonts w:ascii="Arial" w:hAnsi="Arial"/>
                <w:sz w:val="20"/>
                <w:szCs w:val="20"/>
              </w:rPr>
            </w:pPr>
            <w:r w:rsidRPr="00821F62">
              <w:rPr>
                <w:rFonts w:ascii="Arial" w:hAnsi="Arial"/>
                <w:sz w:val="20"/>
                <w:szCs w:val="20"/>
              </w:rPr>
              <w:t>Support role for interview scheduling and notetaking</w:t>
            </w:r>
          </w:p>
        </w:tc>
      </w:tr>
      <w:tr w:rsidRPr="00821F62" w:rsidR="00821F62" w:rsidTr="00821F62" w14:paraId="7F636CA6" w14:textId="77777777">
        <w:tc>
          <w:tcPr>
            <w:tcW w:w="1517" w:type="pct"/>
            <w:tcBorders>
              <w:top w:val="nil"/>
              <w:left w:val="nil"/>
              <w:bottom w:val="single" w:color="auto" w:sz="4" w:space="0"/>
              <w:right w:val="nil"/>
            </w:tcBorders>
            <w:shd w:val="clear" w:color="auto" w:fill="E0D4B5"/>
            <w:hideMark/>
          </w:tcPr>
          <w:p w:rsidRPr="00821F62" w:rsidR="00821F62" w:rsidP="00821F62" w:rsidRDefault="00821F62" w14:paraId="0357E6E9" w14:textId="77777777">
            <w:pPr>
              <w:spacing w:after="60"/>
              <w:rPr>
                <w:rFonts w:ascii="Arial" w:hAnsi="Arial"/>
                <w:sz w:val="20"/>
                <w:szCs w:val="20"/>
              </w:rPr>
            </w:pPr>
            <w:r w:rsidRPr="00821F62">
              <w:rPr>
                <w:rFonts w:ascii="Arial" w:hAnsi="Arial"/>
                <w:sz w:val="20"/>
                <w:szCs w:val="20"/>
              </w:rPr>
              <w:t>Jessica Heeringa</w:t>
            </w:r>
          </w:p>
        </w:tc>
        <w:tc>
          <w:tcPr>
            <w:tcW w:w="1854" w:type="pct"/>
            <w:tcBorders>
              <w:top w:val="nil"/>
              <w:left w:val="nil"/>
              <w:bottom w:val="single" w:color="auto" w:sz="4" w:space="0"/>
              <w:right w:val="nil"/>
            </w:tcBorders>
            <w:shd w:val="clear" w:color="auto" w:fill="E0D4B5"/>
            <w:hideMark/>
          </w:tcPr>
          <w:p w:rsidRPr="00821F62" w:rsidR="00821F62" w:rsidP="00821F62" w:rsidRDefault="00821F62" w14:paraId="5E422BD2" w14:textId="77777777">
            <w:pPr>
              <w:spacing w:after="60"/>
              <w:rPr>
                <w:rFonts w:ascii="Arial" w:hAnsi="Arial"/>
                <w:sz w:val="20"/>
                <w:szCs w:val="20"/>
              </w:rPr>
            </w:pPr>
            <w:r w:rsidRPr="00821F62">
              <w:rPr>
                <w:rFonts w:ascii="Arial" w:hAnsi="Arial"/>
                <w:sz w:val="20"/>
                <w:szCs w:val="20"/>
              </w:rPr>
              <w:t>Mathematica, Senior Researcher</w:t>
            </w:r>
          </w:p>
        </w:tc>
        <w:tc>
          <w:tcPr>
            <w:tcW w:w="1629" w:type="pct"/>
            <w:tcBorders>
              <w:top w:val="nil"/>
              <w:left w:val="nil"/>
              <w:bottom w:val="single" w:color="auto" w:sz="4" w:space="0"/>
              <w:right w:val="nil"/>
            </w:tcBorders>
            <w:shd w:val="clear" w:color="auto" w:fill="E0D4B5"/>
            <w:hideMark/>
          </w:tcPr>
          <w:p w:rsidRPr="00821F62" w:rsidR="00821F62" w:rsidP="00821F62" w:rsidRDefault="00821F62" w14:paraId="2B97F374" w14:textId="77777777">
            <w:pPr>
              <w:spacing w:after="60"/>
              <w:rPr>
                <w:rFonts w:ascii="Arial" w:hAnsi="Arial"/>
                <w:sz w:val="20"/>
                <w:szCs w:val="20"/>
              </w:rPr>
            </w:pPr>
            <w:r w:rsidRPr="00821F62">
              <w:rPr>
                <w:rFonts w:ascii="Arial" w:hAnsi="Arial"/>
                <w:sz w:val="20"/>
                <w:szCs w:val="20"/>
              </w:rPr>
              <w:t>Project director of overall task order</w:t>
            </w:r>
          </w:p>
        </w:tc>
      </w:tr>
    </w:tbl>
    <w:p w:rsidR="00821F62" w:rsidP="00220A58" w:rsidRDefault="00821F62" w14:paraId="29123A51" w14:textId="77777777">
      <w:pPr>
        <w:spacing w:line="240" w:lineRule="auto"/>
        <w:rPr>
          <w:rFonts w:asciiTheme="majorHAnsi" w:hAnsiTheme="majorHAnsi"/>
          <w:b/>
        </w:rPr>
      </w:pPr>
    </w:p>
    <w:p w:rsidRPr="00220A58" w:rsidR="00A36419" w:rsidP="00220A58" w:rsidRDefault="00A36419" w14:paraId="14295102" w14:textId="65F2A78A">
      <w:pPr>
        <w:spacing w:line="240" w:lineRule="auto"/>
        <w:rPr>
          <w:rFonts w:asciiTheme="majorHAnsi" w:hAnsiTheme="majorHAnsi"/>
          <w:b/>
        </w:rPr>
      </w:pPr>
      <w:r w:rsidRPr="00220A58">
        <w:rPr>
          <w:rFonts w:asciiTheme="majorHAnsi" w:hAnsiTheme="majorHAnsi"/>
          <w:b/>
        </w:rPr>
        <w:t>LIST OF ATTACHMENTS</w:t>
      </w:r>
      <w:r w:rsidRPr="00220A58" w:rsidR="00E24C20">
        <w:rPr>
          <w:rFonts w:asciiTheme="majorHAnsi" w:hAnsiTheme="majorHAnsi"/>
          <w:b/>
        </w:rPr>
        <w:t xml:space="preserve"> – Section B</w:t>
      </w:r>
    </w:p>
    <w:p w:rsidRPr="00220A58" w:rsidR="006B5E55" w:rsidP="00220A58" w:rsidRDefault="006B5E55" w14:paraId="10156A82" w14:textId="77777777">
      <w:pPr>
        <w:spacing w:after="0" w:line="240" w:lineRule="auto"/>
        <w:rPr>
          <w:rFonts w:asciiTheme="majorHAnsi" w:hAnsiTheme="majorHAnsi"/>
        </w:rPr>
      </w:pPr>
      <w:r w:rsidRPr="00220A58">
        <w:rPr>
          <w:rFonts w:asciiTheme="majorHAnsi" w:hAnsiTheme="majorHAnsi"/>
        </w:rPr>
        <w:t>Note: Attachments are included as separate files as instructed.</w:t>
      </w:r>
    </w:p>
    <w:p w:rsidRPr="0041582B" w:rsidR="00841610" w:rsidP="00841610" w:rsidRDefault="00841610" w14:paraId="315B8C6C" w14:textId="77777777">
      <w:pPr>
        <w:spacing w:after="0" w:line="240" w:lineRule="auto"/>
        <w:rPr>
          <w:rFonts w:asciiTheme="majorHAnsi" w:hAnsiTheme="majorHAnsi"/>
          <w:sz w:val="24"/>
          <w:szCs w:val="24"/>
        </w:rPr>
      </w:pPr>
    </w:p>
    <w:p w:rsidRPr="0008335A" w:rsidR="00841610" w:rsidP="009D40BC" w:rsidRDefault="00841610" w14:paraId="23F99644" w14:textId="2875E04B">
      <w:pPr>
        <w:pStyle w:val="ListParagraph"/>
        <w:numPr>
          <w:ilvl w:val="0"/>
          <w:numId w:val="25"/>
        </w:numPr>
        <w:spacing w:line="240" w:lineRule="auto"/>
        <w:rPr>
          <w:rFonts w:asciiTheme="majorHAnsi" w:hAnsiTheme="majorHAnsi"/>
          <w:sz w:val="24"/>
          <w:szCs w:val="24"/>
        </w:rPr>
      </w:pPr>
      <w:r w:rsidRPr="0008335A">
        <w:rPr>
          <w:rFonts w:asciiTheme="majorHAnsi" w:hAnsiTheme="majorHAnsi"/>
          <w:sz w:val="24"/>
          <w:szCs w:val="24"/>
        </w:rPr>
        <w:t>Attachment</w:t>
      </w:r>
      <w:r w:rsidRPr="0008335A" w:rsidR="0008335A">
        <w:rPr>
          <w:rFonts w:asciiTheme="majorHAnsi" w:hAnsiTheme="majorHAnsi"/>
          <w:sz w:val="24"/>
          <w:szCs w:val="24"/>
        </w:rPr>
        <w:t xml:space="preserve">:  </w:t>
      </w:r>
      <w:r w:rsidRPr="0008335A">
        <w:rPr>
          <w:rFonts w:asciiTheme="majorHAnsi" w:hAnsiTheme="majorHAnsi"/>
          <w:sz w:val="24"/>
          <w:szCs w:val="24"/>
        </w:rPr>
        <w:t>D</w:t>
      </w:r>
      <w:r w:rsidRPr="0008335A" w:rsidR="00791D4E">
        <w:rPr>
          <w:rFonts w:asciiTheme="majorHAnsi" w:hAnsiTheme="majorHAnsi"/>
          <w:sz w:val="24"/>
          <w:szCs w:val="24"/>
        </w:rPr>
        <w:t>iscussion g</w:t>
      </w:r>
      <w:r w:rsidRPr="0008335A">
        <w:rPr>
          <w:rFonts w:asciiTheme="majorHAnsi" w:hAnsiTheme="majorHAnsi"/>
          <w:sz w:val="24"/>
          <w:szCs w:val="24"/>
        </w:rPr>
        <w:t>uides</w:t>
      </w:r>
      <w:r w:rsidRPr="0008335A" w:rsidR="00791D4E">
        <w:rPr>
          <w:rFonts w:asciiTheme="majorHAnsi" w:hAnsiTheme="majorHAnsi"/>
          <w:sz w:val="24"/>
          <w:szCs w:val="24"/>
        </w:rPr>
        <w:t xml:space="preserve"> including consent scripts</w:t>
      </w:r>
    </w:p>
    <w:p w:rsidRPr="00220A58" w:rsidR="000E6577" w:rsidP="00220A58" w:rsidRDefault="000E6577" w14:paraId="442BCAA3" w14:textId="77777777">
      <w:pPr>
        <w:spacing w:line="240" w:lineRule="auto"/>
        <w:rPr>
          <w:rFonts w:asciiTheme="majorHAnsi" w:hAnsiTheme="majorHAnsi"/>
          <w:b/>
        </w:rPr>
      </w:pPr>
    </w:p>
    <w:sectPr w:rsidRPr="00220A58" w:rsidR="000E6577" w:rsidSect="003E5D57">
      <w:headerReference w:type="default"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B7F85" w14:textId="77777777" w:rsidR="002A450B" w:rsidRDefault="002A450B" w:rsidP="00716F94">
      <w:pPr>
        <w:spacing w:after="0" w:line="240" w:lineRule="auto"/>
      </w:pPr>
      <w:r>
        <w:separator/>
      </w:r>
    </w:p>
  </w:endnote>
  <w:endnote w:type="continuationSeparator" w:id="0">
    <w:p w14:paraId="065EF76A" w14:textId="77777777" w:rsidR="002A450B" w:rsidRDefault="002A450B"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57C0BB63" w14:textId="7D658FD0" w:rsidR="002827C9" w:rsidRDefault="00783A3C">
            <w:pPr>
              <w:pStyle w:val="Footer"/>
              <w:jc w:val="right"/>
              <w:rPr>
                <w:b/>
                <w:szCs w:val="24"/>
              </w:rPr>
            </w:pPr>
            <w:r>
              <w:t xml:space="preserve">Page </w:t>
            </w:r>
            <w:r>
              <w:rPr>
                <w:b/>
                <w:sz w:val="24"/>
                <w:szCs w:val="24"/>
              </w:rPr>
              <w:fldChar w:fldCharType="begin"/>
            </w:r>
            <w:r>
              <w:rPr>
                <w:b/>
              </w:rPr>
              <w:instrText xml:space="preserve"> PAGE </w:instrText>
            </w:r>
            <w:r>
              <w:rPr>
                <w:b/>
                <w:sz w:val="24"/>
                <w:szCs w:val="24"/>
              </w:rPr>
              <w:fldChar w:fldCharType="separate"/>
            </w:r>
            <w:r w:rsidR="00CB3B8B">
              <w:rPr>
                <w:b/>
                <w:noProof/>
              </w:rPr>
              <w:t>7</w:t>
            </w:r>
            <w:r>
              <w:rPr>
                <w:b/>
                <w:sz w:val="24"/>
                <w:szCs w:val="24"/>
              </w:rPr>
              <w:fldChar w:fldCharType="end"/>
            </w:r>
            <w:r>
              <w:t xml:space="preserve"> of </w:t>
            </w:r>
            <w:r w:rsidR="002827C9">
              <w:rPr>
                <w:b/>
                <w:szCs w:val="24"/>
              </w:rPr>
              <w:t>7</w:t>
            </w:r>
          </w:p>
          <w:p w14:paraId="3ABC6D74" w14:textId="39DC694F" w:rsidR="00783A3C" w:rsidRDefault="00CB3B8B" w:rsidP="002827C9">
            <w:pPr>
              <w:pStyle w:val="Footer"/>
              <w:jc w:val="center"/>
            </w:pPr>
          </w:p>
        </w:sdtContent>
      </w:sdt>
    </w:sdtContent>
  </w:sdt>
  <w:p w14:paraId="69BFD7D3" w14:textId="77777777" w:rsidR="00783A3C" w:rsidRDefault="00783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2A6FF" w14:textId="77777777" w:rsidR="002A450B" w:rsidRDefault="002A450B" w:rsidP="00716F94">
      <w:pPr>
        <w:spacing w:after="0" w:line="240" w:lineRule="auto"/>
      </w:pPr>
      <w:r>
        <w:separator/>
      </w:r>
    </w:p>
  </w:footnote>
  <w:footnote w:type="continuationSeparator" w:id="0">
    <w:p w14:paraId="7E32ABB3" w14:textId="77777777" w:rsidR="002A450B" w:rsidRDefault="002A450B" w:rsidP="00716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73C18" w14:textId="77777777" w:rsidR="00783A3C" w:rsidRPr="00716F94" w:rsidRDefault="00783A3C" w:rsidP="00484011">
    <w:pPr>
      <w:pStyle w:val="Header"/>
      <w:tabs>
        <w:tab w:val="clear" w:pos="4680"/>
      </w:tabs>
      <w:rPr>
        <w:color w:val="0033CC"/>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9B7B03"/>
    <w:multiLevelType w:val="hybridMultilevel"/>
    <w:tmpl w:val="C68A1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811CE"/>
    <w:multiLevelType w:val="hybridMultilevel"/>
    <w:tmpl w:val="61C6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35EF"/>
    <w:multiLevelType w:val="hybridMultilevel"/>
    <w:tmpl w:val="99560C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CC28A0"/>
    <w:multiLevelType w:val="hybridMultilevel"/>
    <w:tmpl w:val="8E20D5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409EA"/>
    <w:multiLevelType w:val="hybridMultilevel"/>
    <w:tmpl w:val="B45CD68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0"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41C70"/>
    <w:multiLevelType w:val="hybridMultilevel"/>
    <w:tmpl w:val="474C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0C6AF8"/>
    <w:multiLevelType w:val="hybridMultilevel"/>
    <w:tmpl w:val="8CAAC424"/>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8"/>
  </w:num>
  <w:num w:numId="3">
    <w:abstractNumId w:val="24"/>
  </w:num>
  <w:num w:numId="4">
    <w:abstractNumId w:val="14"/>
  </w:num>
  <w:num w:numId="5">
    <w:abstractNumId w:val="19"/>
  </w:num>
  <w:num w:numId="6">
    <w:abstractNumId w:val="10"/>
  </w:num>
  <w:num w:numId="7">
    <w:abstractNumId w:val="0"/>
  </w:num>
  <w:num w:numId="8">
    <w:abstractNumId w:val="5"/>
  </w:num>
  <w:num w:numId="9">
    <w:abstractNumId w:val="13"/>
  </w:num>
  <w:num w:numId="10">
    <w:abstractNumId w:val="20"/>
  </w:num>
  <w:num w:numId="11">
    <w:abstractNumId w:val="2"/>
  </w:num>
  <w:num w:numId="12">
    <w:abstractNumId w:val="23"/>
  </w:num>
  <w:num w:numId="13">
    <w:abstractNumId w:val="7"/>
  </w:num>
  <w:num w:numId="14">
    <w:abstractNumId w:val="3"/>
  </w:num>
  <w:num w:numId="15">
    <w:abstractNumId w:val="21"/>
  </w:num>
  <w:num w:numId="16">
    <w:abstractNumId w:val="26"/>
  </w:num>
  <w:num w:numId="17">
    <w:abstractNumId w:val="12"/>
  </w:num>
  <w:num w:numId="18">
    <w:abstractNumId w:val="15"/>
  </w:num>
  <w:num w:numId="19">
    <w:abstractNumId w:val="4"/>
  </w:num>
  <w:num w:numId="20">
    <w:abstractNumId w:val="17"/>
  </w:num>
  <w:num w:numId="21">
    <w:abstractNumId w:val="25"/>
  </w:num>
  <w:num w:numId="22">
    <w:abstractNumId w:val="6"/>
  </w:num>
  <w:num w:numId="23">
    <w:abstractNumId w:val="11"/>
  </w:num>
  <w:num w:numId="24">
    <w:abstractNumId w:val="22"/>
  </w:num>
  <w:num w:numId="25">
    <w:abstractNumId w:val="9"/>
  </w:num>
  <w:num w:numId="26">
    <w:abstractNumId w:val="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10420"/>
    <w:rsid w:val="00011A98"/>
    <w:rsid w:val="00011F8D"/>
    <w:rsid w:val="000130B4"/>
    <w:rsid w:val="00014361"/>
    <w:rsid w:val="0002508A"/>
    <w:rsid w:val="00043B42"/>
    <w:rsid w:val="000474FB"/>
    <w:rsid w:val="00053A92"/>
    <w:rsid w:val="000552DB"/>
    <w:rsid w:val="0005605E"/>
    <w:rsid w:val="00057F36"/>
    <w:rsid w:val="00072AF6"/>
    <w:rsid w:val="0008335A"/>
    <w:rsid w:val="000A1F30"/>
    <w:rsid w:val="000B1973"/>
    <w:rsid w:val="000E6577"/>
    <w:rsid w:val="000E66F1"/>
    <w:rsid w:val="000E7A19"/>
    <w:rsid w:val="001016C2"/>
    <w:rsid w:val="00104A1B"/>
    <w:rsid w:val="00117786"/>
    <w:rsid w:val="001177DD"/>
    <w:rsid w:val="00125333"/>
    <w:rsid w:val="001308EB"/>
    <w:rsid w:val="001412D4"/>
    <w:rsid w:val="00144F64"/>
    <w:rsid w:val="00151567"/>
    <w:rsid w:val="00162003"/>
    <w:rsid w:val="001624AC"/>
    <w:rsid w:val="00163E17"/>
    <w:rsid w:val="00166F9E"/>
    <w:rsid w:val="00181758"/>
    <w:rsid w:val="00187D5A"/>
    <w:rsid w:val="001972D7"/>
    <w:rsid w:val="001A28F6"/>
    <w:rsid w:val="001B0D43"/>
    <w:rsid w:val="001B2831"/>
    <w:rsid w:val="001C0493"/>
    <w:rsid w:val="001C28AD"/>
    <w:rsid w:val="001C2ACB"/>
    <w:rsid w:val="001D1FC3"/>
    <w:rsid w:val="001D7FCB"/>
    <w:rsid w:val="001E2B99"/>
    <w:rsid w:val="001E69B6"/>
    <w:rsid w:val="001E7A40"/>
    <w:rsid w:val="001F4DBB"/>
    <w:rsid w:val="001F7C89"/>
    <w:rsid w:val="0020312D"/>
    <w:rsid w:val="0020495F"/>
    <w:rsid w:val="00204EFF"/>
    <w:rsid w:val="00206E33"/>
    <w:rsid w:val="00210519"/>
    <w:rsid w:val="00220A58"/>
    <w:rsid w:val="00230CEF"/>
    <w:rsid w:val="00235C12"/>
    <w:rsid w:val="00241B17"/>
    <w:rsid w:val="00241C81"/>
    <w:rsid w:val="00257A1C"/>
    <w:rsid w:val="0027234C"/>
    <w:rsid w:val="00272E03"/>
    <w:rsid w:val="00281795"/>
    <w:rsid w:val="002827C9"/>
    <w:rsid w:val="002850E3"/>
    <w:rsid w:val="00287E2F"/>
    <w:rsid w:val="002A1948"/>
    <w:rsid w:val="002A450B"/>
    <w:rsid w:val="002B4CED"/>
    <w:rsid w:val="002C0877"/>
    <w:rsid w:val="002C2AE2"/>
    <w:rsid w:val="002D0DCE"/>
    <w:rsid w:val="002E2B10"/>
    <w:rsid w:val="002F1502"/>
    <w:rsid w:val="002F169D"/>
    <w:rsid w:val="002F19C5"/>
    <w:rsid w:val="002F2069"/>
    <w:rsid w:val="002F6F92"/>
    <w:rsid w:val="003041AD"/>
    <w:rsid w:val="0031279F"/>
    <w:rsid w:val="0031542F"/>
    <w:rsid w:val="00336D96"/>
    <w:rsid w:val="003377FB"/>
    <w:rsid w:val="00344CDE"/>
    <w:rsid w:val="00344F07"/>
    <w:rsid w:val="003469C8"/>
    <w:rsid w:val="00355EA4"/>
    <w:rsid w:val="003635BE"/>
    <w:rsid w:val="00366B5E"/>
    <w:rsid w:val="00372844"/>
    <w:rsid w:val="00375647"/>
    <w:rsid w:val="00381ABB"/>
    <w:rsid w:val="003B2734"/>
    <w:rsid w:val="003C31C9"/>
    <w:rsid w:val="003C4961"/>
    <w:rsid w:val="003C7C5D"/>
    <w:rsid w:val="003D0AD2"/>
    <w:rsid w:val="003D2C35"/>
    <w:rsid w:val="003E0378"/>
    <w:rsid w:val="003E1420"/>
    <w:rsid w:val="003E4E7D"/>
    <w:rsid w:val="003E5D57"/>
    <w:rsid w:val="003F0489"/>
    <w:rsid w:val="003F5913"/>
    <w:rsid w:val="004024F8"/>
    <w:rsid w:val="0041159A"/>
    <w:rsid w:val="004305A8"/>
    <w:rsid w:val="0043417A"/>
    <w:rsid w:val="00443CA0"/>
    <w:rsid w:val="00450E14"/>
    <w:rsid w:val="004603C3"/>
    <w:rsid w:val="004604DC"/>
    <w:rsid w:val="00462C65"/>
    <w:rsid w:val="00467B14"/>
    <w:rsid w:val="00474EDA"/>
    <w:rsid w:val="0047536D"/>
    <w:rsid w:val="004824FA"/>
    <w:rsid w:val="00484011"/>
    <w:rsid w:val="004841F1"/>
    <w:rsid w:val="00490E32"/>
    <w:rsid w:val="004A1E3A"/>
    <w:rsid w:val="004B7A8A"/>
    <w:rsid w:val="004C4AEA"/>
    <w:rsid w:val="004E003C"/>
    <w:rsid w:val="004E16EB"/>
    <w:rsid w:val="004E6665"/>
    <w:rsid w:val="004F634E"/>
    <w:rsid w:val="004F67A8"/>
    <w:rsid w:val="00522A50"/>
    <w:rsid w:val="00527225"/>
    <w:rsid w:val="0053557D"/>
    <w:rsid w:val="005463DE"/>
    <w:rsid w:val="00546DC2"/>
    <w:rsid w:val="005542E8"/>
    <w:rsid w:val="00556630"/>
    <w:rsid w:val="0055686D"/>
    <w:rsid w:val="00561DDD"/>
    <w:rsid w:val="00577318"/>
    <w:rsid w:val="005800EE"/>
    <w:rsid w:val="00586799"/>
    <w:rsid w:val="005869D6"/>
    <w:rsid w:val="005A33F6"/>
    <w:rsid w:val="005A59E5"/>
    <w:rsid w:val="005B7440"/>
    <w:rsid w:val="005C6E9D"/>
    <w:rsid w:val="005D6743"/>
    <w:rsid w:val="005E2150"/>
    <w:rsid w:val="005E2995"/>
    <w:rsid w:val="005F3FEF"/>
    <w:rsid w:val="00601392"/>
    <w:rsid w:val="00607F7C"/>
    <w:rsid w:val="006102DA"/>
    <w:rsid w:val="00621F93"/>
    <w:rsid w:val="006315A3"/>
    <w:rsid w:val="00637CC1"/>
    <w:rsid w:val="006579A2"/>
    <w:rsid w:val="00667C89"/>
    <w:rsid w:val="006711EE"/>
    <w:rsid w:val="006809BB"/>
    <w:rsid w:val="006809FD"/>
    <w:rsid w:val="00691D1F"/>
    <w:rsid w:val="00696631"/>
    <w:rsid w:val="00697BAE"/>
    <w:rsid w:val="006B4DDC"/>
    <w:rsid w:val="006B5E55"/>
    <w:rsid w:val="006D25A1"/>
    <w:rsid w:val="006D613A"/>
    <w:rsid w:val="006D7945"/>
    <w:rsid w:val="006F6856"/>
    <w:rsid w:val="007145D0"/>
    <w:rsid w:val="00716F94"/>
    <w:rsid w:val="00752B80"/>
    <w:rsid w:val="00760E12"/>
    <w:rsid w:val="00763CF3"/>
    <w:rsid w:val="00772293"/>
    <w:rsid w:val="007837B7"/>
    <w:rsid w:val="00783A3C"/>
    <w:rsid w:val="00783C75"/>
    <w:rsid w:val="00784619"/>
    <w:rsid w:val="0078627B"/>
    <w:rsid w:val="007870CE"/>
    <w:rsid w:val="00791D4E"/>
    <w:rsid w:val="00794E32"/>
    <w:rsid w:val="007B305A"/>
    <w:rsid w:val="007B6663"/>
    <w:rsid w:val="007C10A0"/>
    <w:rsid w:val="007C2692"/>
    <w:rsid w:val="007D6DC8"/>
    <w:rsid w:val="007F26F1"/>
    <w:rsid w:val="00800993"/>
    <w:rsid w:val="00813082"/>
    <w:rsid w:val="00815C7D"/>
    <w:rsid w:val="00817941"/>
    <w:rsid w:val="00821A6D"/>
    <w:rsid w:val="00821F62"/>
    <w:rsid w:val="008261AB"/>
    <w:rsid w:val="00835CA7"/>
    <w:rsid w:val="008370D4"/>
    <w:rsid w:val="008414AD"/>
    <w:rsid w:val="00841610"/>
    <w:rsid w:val="008428D9"/>
    <w:rsid w:val="00850621"/>
    <w:rsid w:val="00881708"/>
    <w:rsid w:val="00884DB9"/>
    <w:rsid w:val="0089676F"/>
    <w:rsid w:val="008975E1"/>
    <w:rsid w:val="008C62B8"/>
    <w:rsid w:val="008C67D2"/>
    <w:rsid w:val="008D0558"/>
    <w:rsid w:val="008D5479"/>
    <w:rsid w:val="008E0683"/>
    <w:rsid w:val="008F079D"/>
    <w:rsid w:val="00902DD9"/>
    <w:rsid w:val="009030BB"/>
    <w:rsid w:val="00911486"/>
    <w:rsid w:val="009129CA"/>
    <w:rsid w:val="009206B6"/>
    <w:rsid w:val="009263C1"/>
    <w:rsid w:val="00931C02"/>
    <w:rsid w:val="00934B13"/>
    <w:rsid w:val="009356EE"/>
    <w:rsid w:val="00941B4F"/>
    <w:rsid w:val="009516B9"/>
    <w:rsid w:val="009610A5"/>
    <w:rsid w:val="00963CE3"/>
    <w:rsid w:val="00964F18"/>
    <w:rsid w:val="00974424"/>
    <w:rsid w:val="009759F3"/>
    <w:rsid w:val="00987F76"/>
    <w:rsid w:val="00993088"/>
    <w:rsid w:val="0099664F"/>
    <w:rsid w:val="00997D5D"/>
    <w:rsid w:val="009A0447"/>
    <w:rsid w:val="009A6C1E"/>
    <w:rsid w:val="009B034F"/>
    <w:rsid w:val="009B4A51"/>
    <w:rsid w:val="009B6071"/>
    <w:rsid w:val="009C28B1"/>
    <w:rsid w:val="009C2DF4"/>
    <w:rsid w:val="009C61AD"/>
    <w:rsid w:val="009D373D"/>
    <w:rsid w:val="009D5891"/>
    <w:rsid w:val="009E1D05"/>
    <w:rsid w:val="00A11B0C"/>
    <w:rsid w:val="00A11CD5"/>
    <w:rsid w:val="00A305CE"/>
    <w:rsid w:val="00A33B35"/>
    <w:rsid w:val="00A36419"/>
    <w:rsid w:val="00A578C2"/>
    <w:rsid w:val="00A72652"/>
    <w:rsid w:val="00A75D1C"/>
    <w:rsid w:val="00A809AA"/>
    <w:rsid w:val="00A849B3"/>
    <w:rsid w:val="00A8510D"/>
    <w:rsid w:val="00A86AF3"/>
    <w:rsid w:val="00A90BDC"/>
    <w:rsid w:val="00A95477"/>
    <w:rsid w:val="00A975A9"/>
    <w:rsid w:val="00AA2DD1"/>
    <w:rsid w:val="00AA3192"/>
    <w:rsid w:val="00AB3171"/>
    <w:rsid w:val="00AB3608"/>
    <w:rsid w:val="00AC506F"/>
    <w:rsid w:val="00AC5C48"/>
    <w:rsid w:val="00AE10AE"/>
    <w:rsid w:val="00AF0CF4"/>
    <w:rsid w:val="00AF2252"/>
    <w:rsid w:val="00B1129F"/>
    <w:rsid w:val="00B11D61"/>
    <w:rsid w:val="00B12F51"/>
    <w:rsid w:val="00B131D2"/>
    <w:rsid w:val="00B2751E"/>
    <w:rsid w:val="00B3650C"/>
    <w:rsid w:val="00B45B20"/>
    <w:rsid w:val="00B64BFA"/>
    <w:rsid w:val="00B64C67"/>
    <w:rsid w:val="00B85DE4"/>
    <w:rsid w:val="00B91A31"/>
    <w:rsid w:val="00BA6DB4"/>
    <w:rsid w:val="00BC3F3C"/>
    <w:rsid w:val="00BC5BB2"/>
    <w:rsid w:val="00BF3F54"/>
    <w:rsid w:val="00C00697"/>
    <w:rsid w:val="00C0376C"/>
    <w:rsid w:val="00C06D77"/>
    <w:rsid w:val="00C12A34"/>
    <w:rsid w:val="00C14BA6"/>
    <w:rsid w:val="00C17035"/>
    <w:rsid w:val="00C347E7"/>
    <w:rsid w:val="00C3485C"/>
    <w:rsid w:val="00C54E92"/>
    <w:rsid w:val="00C623A1"/>
    <w:rsid w:val="00C83389"/>
    <w:rsid w:val="00CA2004"/>
    <w:rsid w:val="00CB334D"/>
    <w:rsid w:val="00CB39DC"/>
    <w:rsid w:val="00CB3B8B"/>
    <w:rsid w:val="00CB56D5"/>
    <w:rsid w:val="00CD0771"/>
    <w:rsid w:val="00CD1EA8"/>
    <w:rsid w:val="00CF5ABD"/>
    <w:rsid w:val="00CF63CE"/>
    <w:rsid w:val="00D067C1"/>
    <w:rsid w:val="00D13B13"/>
    <w:rsid w:val="00D16E78"/>
    <w:rsid w:val="00D1739E"/>
    <w:rsid w:val="00D201D3"/>
    <w:rsid w:val="00D26A64"/>
    <w:rsid w:val="00D2788D"/>
    <w:rsid w:val="00D328FA"/>
    <w:rsid w:val="00D4221A"/>
    <w:rsid w:val="00D52B9A"/>
    <w:rsid w:val="00D5367E"/>
    <w:rsid w:val="00D56036"/>
    <w:rsid w:val="00D72626"/>
    <w:rsid w:val="00D7285C"/>
    <w:rsid w:val="00D746AF"/>
    <w:rsid w:val="00D861ED"/>
    <w:rsid w:val="00D873E0"/>
    <w:rsid w:val="00D94F8B"/>
    <w:rsid w:val="00D956B9"/>
    <w:rsid w:val="00DA4EA9"/>
    <w:rsid w:val="00DA5988"/>
    <w:rsid w:val="00DB2D92"/>
    <w:rsid w:val="00DB4422"/>
    <w:rsid w:val="00DC317C"/>
    <w:rsid w:val="00DC37E2"/>
    <w:rsid w:val="00DC4FF2"/>
    <w:rsid w:val="00DC79CC"/>
    <w:rsid w:val="00DE0119"/>
    <w:rsid w:val="00E10F8F"/>
    <w:rsid w:val="00E134F4"/>
    <w:rsid w:val="00E23568"/>
    <w:rsid w:val="00E245B5"/>
    <w:rsid w:val="00E24C20"/>
    <w:rsid w:val="00E271E1"/>
    <w:rsid w:val="00E33E1B"/>
    <w:rsid w:val="00E34D3E"/>
    <w:rsid w:val="00E4143B"/>
    <w:rsid w:val="00E64587"/>
    <w:rsid w:val="00E81C5E"/>
    <w:rsid w:val="00E83B3C"/>
    <w:rsid w:val="00E8736B"/>
    <w:rsid w:val="00E90275"/>
    <w:rsid w:val="00E91D23"/>
    <w:rsid w:val="00E925D4"/>
    <w:rsid w:val="00E97226"/>
    <w:rsid w:val="00EB63B3"/>
    <w:rsid w:val="00EB674C"/>
    <w:rsid w:val="00ED6878"/>
    <w:rsid w:val="00EF0EC8"/>
    <w:rsid w:val="00EF16F5"/>
    <w:rsid w:val="00EF33CD"/>
    <w:rsid w:val="00F300CB"/>
    <w:rsid w:val="00F42C3A"/>
    <w:rsid w:val="00F52BCC"/>
    <w:rsid w:val="00F5313F"/>
    <w:rsid w:val="00F56997"/>
    <w:rsid w:val="00F57581"/>
    <w:rsid w:val="00F725B5"/>
    <w:rsid w:val="00F81A48"/>
    <w:rsid w:val="00FD17C9"/>
    <w:rsid w:val="00FD1EF0"/>
    <w:rsid w:val="00FD2A5B"/>
    <w:rsid w:val="00FE0E1C"/>
    <w:rsid w:val="00FE6A5C"/>
    <w:rsid w:val="00FF3162"/>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0482"/>
  <w15:docId w15:val="{79A974A2-850D-471A-97F8-FE73BE59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paragraph" w:styleId="BodyTextIndent">
    <w:name w:val="Body Text Indent"/>
    <w:basedOn w:val="Normal"/>
    <w:link w:val="BodyTextIndentChar"/>
    <w:uiPriority w:val="99"/>
    <w:unhideWhenUsed/>
    <w:rsid w:val="00D56036"/>
    <w:pPr>
      <w:spacing w:after="0"/>
      <w:ind w:left="720"/>
    </w:pPr>
    <w:rPr>
      <w:rFonts w:asciiTheme="majorHAnsi" w:hAnsiTheme="majorHAnsi"/>
    </w:rPr>
  </w:style>
  <w:style w:type="character" w:customStyle="1" w:styleId="BodyTextIndentChar">
    <w:name w:val="Body Text Indent Char"/>
    <w:basedOn w:val="DefaultParagraphFont"/>
    <w:link w:val="BodyTextIndent"/>
    <w:uiPriority w:val="99"/>
    <w:rsid w:val="00D56036"/>
    <w:rPr>
      <w:rFonts w:asciiTheme="majorHAnsi" w:hAnsiTheme="majorHAnsi"/>
    </w:rPr>
  </w:style>
  <w:style w:type="character" w:customStyle="1" w:styleId="ListParagraphChar">
    <w:name w:val="List Paragraph Char"/>
    <w:basedOn w:val="DefaultParagraphFont"/>
    <w:link w:val="ListParagraph"/>
    <w:uiPriority w:val="34"/>
    <w:rsid w:val="00696631"/>
  </w:style>
  <w:style w:type="table" w:customStyle="1" w:styleId="TableGrid1">
    <w:name w:val="Table Grid1"/>
    <w:basedOn w:val="TableNormal"/>
    <w:next w:val="TableGrid"/>
    <w:uiPriority w:val="59"/>
    <w:rsid w:val="00220A58"/>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1F62"/>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03193">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a.Radel@H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EDB39-F1D7-4E57-BFA1-59AAE2E0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Radel, Laura (HHS/ASPE)</cp:lastModifiedBy>
  <cp:revision>12</cp:revision>
  <cp:lastPrinted>2020-02-05T22:35:00Z</cp:lastPrinted>
  <dcterms:created xsi:type="dcterms:W3CDTF">2019-12-02T21:16:00Z</dcterms:created>
  <dcterms:modified xsi:type="dcterms:W3CDTF">2020-02-10T20:16:00Z</dcterms:modified>
</cp:coreProperties>
</file>