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94" w:rsidP="00096441" w:rsidRDefault="00716F94" w14:paraId="26AA265F" w14:textId="77777777">
      <w:pPr>
        <w:pStyle w:val="B1BodyCopy"/>
      </w:pPr>
    </w:p>
    <w:p w:rsidR="009B4A51" w:rsidP="00716F94" w:rsidRDefault="009B4A51" w14:paraId="688EE0D4" w14:textId="77777777">
      <w:pPr>
        <w:spacing w:after="0"/>
        <w:rPr>
          <w:rFonts w:asciiTheme="majorHAnsi" w:hAnsiTheme="majorHAnsi"/>
          <w:b/>
        </w:rPr>
      </w:pPr>
    </w:p>
    <w:p w:rsidR="009B4A51" w:rsidP="009B4A51" w:rsidRDefault="009B4A51" w14:paraId="4C540872" w14:textId="77777777">
      <w:pPr>
        <w:spacing w:after="0"/>
        <w:jc w:val="center"/>
        <w:rPr>
          <w:rFonts w:asciiTheme="majorHAnsi" w:hAnsiTheme="majorHAnsi"/>
          <w:b/>
        </w:rPr>
      </w:pPr>
    </w:p>
    <w:p w:rsidR="009B4A51" w:rsidP="009B4A51" w:rsidRDefault="009B4A51" w14:paraId="4ED4D8AD" w14:textId="77777777">
      <w:pPr>
        <w:spacing w:after="0"/>
        <w:jc w:val="center"/>
        <w:rPr>
          <w:rFonts w:asciiTheme="majorHAnsi" w:hAnsiTheme="majorHAnsi"/>
          <w:b/>
        </w:rPr>
      </w:pPr>
    </w:p>
    <w:p w:rsidR="009B4A51" w:rsidP="009B4A51" w:rsidRDefault="009B4A51" w14:paraId="568947D4" w14:textId="77777777">
      <w:pPr>
        <w:spacing w:after="0"/>
        <w:jc w:val="center"/>
        <w:rPr>
          <w:rFonts w:asciiTheme="majorHAnsi" w:hAnsiTheme="majorHAnsi"/>
          <w:color w:val="0033CC"/>
          <w:sz w:val="28"/>
        </w:rPr>
      </w:pPr>
    </w:p>
    <w:p w:rsidR="00667C89" w:rsidP="009B4A51" w:rsidRDefault="00667C89" w14:paraId="6B9567D4" w14:textId="77777777">
      <w:pPr>
        <w:spacing w:after="0"/>
        <w:jc w:val="center"/>
        <w:rPr>
          <w:rFonts w:asciiTheme="majorHAnsi" w:hAnsiTheme="majorHAnsi"/>
          <w:color w:val="0033CC"/>
          <w:sz w:val="28"/>
        </w:rPr>
      </w:pPr>
    </w:p>
    <w:p w:rsidR="009B4A51" w:rsidP="009B4A51" w:rsidRDefault="009B4A51" w14:paraId="5DBD2BB9" w14:textId="77777777">
      <w:pPr>
        <w:spacing w:after="0"/>
        <w:jc w:val="center"/>
        <w:rPr>
          <w:rFonts w:asciiTheme="majorHAnsi" w:hAnsiTheme="majorHAnsi"/>
          <w:sz w:val="32"/>
        </w:rPr>
      </w:pPr>
    </w:p>
    <w:p w:rsidR="009B4A51" w:rsidP="009B4A51" w:rsidRDefault="009B4A51" w14:paraId="3D432DDA" w14:textId="77777777">
      <w:pPr>
        <w:spacing w:after="0"/>
        <w:jc w:val="center"/>
        <w:rPr>
          <w:rFonts w:asciiTheme="majorHAnsi" w:hAnsiTheme="majorHAnsi"/>
          <w:sz w:val="32"/>
        </w:rPr>
      </w:pPr>
    </w:p>
    <w:p w:rsidRPr="00333BBE" w:rsidR="00AA3192" w:rsidP="00484011" w:rsidRDefault="00783CC1" w14:paraId="5542CF46" w14:textId="57C340D2">
      <w:pPr>
        <w:spacing w:after="0"/>
        <w:jc w:val="center"/>
        <w:rPr>
          <w:rFonts w:asciiTheme="majorHAnsi" w:hAnsiTheme="majorHAnsi"/>
          <w:b/>
        </w:rPr>
      </w:pPr>
      <w:r>
        <w:rPr>
          <w:rFonts w:asciiTheme="majorHAnsi" w:hAnsiTheme="majorHAnsi"/>
          <w:b/>
          <w:sz w:val="40"/>
        </w:rPr>
        <w:t>Exceptions to Termination of Parental Rights Timelines for Children in Foster Care</w:t>
      </w:r>
    </w:p>
    <w:p w:rsidRPr="00333BBE" w:rsidR="00DD3E04" w:rsidP="00DD3E04" w:rsidRDefault="00DD3E04" w14:paraId="7F168A6A" w14:textId="77777777">
      <w:pPr>
        <w:spacing w:after="0"/>
        <w:jc w:val="center"/>
        <w:rPr>
          <w:rFonts w:asciiTheme="majorHAnsi" w:hAnsiTheme="majorHAnsi"/>
        </w:rPr>
      </w:pPr>
      <w:r w:rsidRPr="00333BBE">
        <w:rPr>
          <w:rFonts w:asciiTheme="majorHAnsi" w:hAnsiTheme="majorHAnsi"/>
        </w:rPr>
        <w:t>ASPE Generic Information Collection Request</w:t>
      </w:r>
    </w:p>
    <w:p w:rsidRPr="0041582B" w:rsidR="00DD3E04" w:rsidP="00DD3E04" w:rsidRDefault="00DD3E04" w14:paraId="1EC90A7B" w14:textId="77777777">
      <w:pPr>
        <w:pStyle w:val="Header"/>
        <w:tabs>
          <w:tab w:val="clear" w:pos="4680"/>
        </w:tabs>
        <w:jc w:val="center"/>
        <w:rPr>
          <w:rFonts w:asciiTheme="majorHAnsi" w:hAnsiTheme="majorHAnsi"/>
        </w:rPr>
      </w:pPr>
      <w:r w:rsidRPr="0041582B">
        <w:rPr>
          <w:rFonts w:asciiTheme="majorHAnsi" w:hAnsiTheme="majorHAnsi"/>
        </w:rPr>
        <w:t>OMB No. 0990-0421</w:t>
      </w:r>
    </w:p>
    <w:p w:rsidRPr="00333BBE" w:rsidR="009B4A51" w:rsidP="00716F94" w:rsidRDefault="009B4A51" w14:paraId="21A3E1D5" w14:textId="77777777">
      <w:pPr>
        <w:spacing w:after="0"/>
        <w:rPr>
          <w:rFonts w:asciiTheme="majorHAnsi" w:hAnsiTheme="majorHAnsi"/>
          <w:b/>
        </w:rPr>
      </w:pPr>
    </w:p>
    <w:p w:rsidRPr="00333BBE" w:rsidR="009B4A51" w:rsidP="00716F94" w:rsidRDefault="009B4A51" w14:paraId="271B775B" w14:textId="77777777">
      <w:pPr>
        <w:spacing w:after="0"/>
        <w:rPr>
          <w:rFonts w:asciiTheme="majorHAnsi" w:hAnsiTheme="majorHAnsi"/>
          <w:b/>
        </w:rPr>
      </w:pPr>
    </w:p>
    <w:p w:rsidRPr="00333BBE" w:rsidR="00AA3192" w:rsidP="00716F94" w:rsidRDefault="00AA3192" w14:paraId="63BEA2C4" w14:textId="77777777">
      <w:pPr>
        <w:spacing w:after="0"/>
        <w:rPr>
          <w:rFonts w:asciiTheme="majorHAnsi" w:hAnsiTheme="majorHAnsi"/>
          <w:b/>
        </w:rPr>
      </w:pPr>
    </w:p>
    <w:p w:rsidRPr="00333BBE" w:rsidR="00AA3192" w:rsidP="00716F94" w:rsidRDefault="00AA3192" w14:paraId="237728B3" w14:textId="77777777">
      <w:pPr>
        <w:spacing w:after="0"/>
        <w:rPr>
          <w:rFonts w:asciiTheme="majorHAnsi" w:hAnsiTheme="majorHAnsi"/>
          <w:b/>
        </w:rPr>
      </w:pPr>
    </w:p>
    <w:p w:rsidRPr="00333BBE" w:rsidR="009B4A51" w:rsidP="009B4A51" w:rsidRDefault="009B4A51" w14:paraId="2D61194B" w14:textId="77777777">
      <w:pPr>
        <w:spacing w:after="0"/>
        <w:jc w:val="center"/>
        <w:rPr>
          <w:rFonts w:asciiTheme="majorHAnsi" w:hAnsiTheme="majorHAnsi"/>
          <w:sz w:val="32"/>
        </w:rPr>
      </w:pPr>
      <w:r w:rsidRPr="00333BBE">
        <w:rPr>
          <w:rFonts w:asciiTheme="majorHAnsi" w:hAnsiTheme="majorHAnsi"/>
          <w:b/>
          <w:sz w:val="32"/>
        </w:rPr>
        <w:t>Supporting Statement – Section A</w:t>
      </w:r>
    </w:p>
    <w:p w:rsidRPr="00333BBE" w:rsidR="009B4A51" w:rsidP="00716F94" w:rsidRDefault="009B4A51" w14:paraId="011429EB" w14:textId="77777777">
      <w:pPr>
        <w:spacing w:after="0"/>
        <w:rPr>
          <w:rFonts w:asciiTheme="majorHAnsi" w:hAnsiTheme="majorHAnsi"/>
          <w:b/>
        </w:rPr>
      </w:pPr>
    </w:p>
    <w:p w:rsidRPr="00333BBE" w:rsidR="00484011" w:rsidP="00716F94" w:rsidRDefault="00484011" w14:paraId="7D98BD69" w14:textId="77777777">
      <w:pPr>
        <w:spacing w:after="0"/>
        <w:rPr>
          <w:rFonts w:asciiTheme="majorHAnsi" w:hAnsiTheme="majorHAnsi"/>
          <w:b/>
        </w:rPr>
      </w:pPr>
    </w:p>
    <w:p w:rsidRPr="00333BBE" w:rsidR="00AA3192" w:rsidP="00716F94" w:rsidRDefault="00AA3192" w14:paraId="67A76951" w14:textId="77777777">
      <w:pPr>
        <w:spacing w:after="0"/>
        <w:rPr>
          <w:rFonts w:asciiTheme="majorHAnsi" w:hAnsiTheme="majorHAnsi"/>
          <w:b/>
        </w:rPr>
      </w:pPr>
    </w:p>
    <w:p w:rsidRPr="00333BBE" w:rsidR="009B4A51" w:rsidP="00716F94" w:rsidRDefault="009B4A51" w14:paraId="1C803DB1" w14:textId="77777777">
      <w:pPr>
        <w:spacing w:after="0"/>
        <w:rPr>
          <w:rFonts w:asciiTheme="majorHAnsi" w:hAnsiTheme="majorHAnsi"/>
          <w:b/>
        </w:rPr>
      </w:pPr>
    </w:p>
    <w:p w:rsidRPr="00333BBE" w:rsidR="009B4A51" w:rsidP="00716F94" w:rsidRDefault="009B4A51" w14:paraId="7ECB6D0A" w14:textId="77777777">
      <w:pPr>
        <w:spacing w:after="0"/>
        <w:rPr>
          <w:rFonts w:asciiTheme="majorHAnsi" w:hAnsiTheme="majorHAnsi"/>
          <w:b/>
        </w:rPr>
      </w:pPr>
    </w:p>
    <w:p w:rsidRPr="00333BBE" w:rsidR="00187D5A" w:rsidP="00716F94" w:rsidRDefault="00187D5A" w14:paraId="5D230C3F" w14:textId="77777777">
      <w:pPr>
        <w:spacing w:after="0"/>
        <w:rPr>
          <w:rFonts w:asciiTheme="majorHAnsi" w:hAnsiTheme="majorHAnsi"/>
          <w:b/>
        </w:rPr>
      </w:pPr>
    </w:p>
    <w:p w:rsidRPr="00333BBE" w:rsidR="009B4A51" w:rsidP="009B4A51" w:rsidRDefault="009B4A51" w14:paraId="2499B138" w14:textId="5AF65B26">
      <w:pPr>
        <w:spacing w:after="0"/>
        <w:jc w:val="center"/>
        <w:rPr>
          <w:rFonts w:asciiTheme="majorHAnsi" w:hAnsiTheme="majorHAnsi"/>
        </w:rPr>
      </w:pPr>
      <w:r w:rsidRPr="00333BBE">
        <w:rPr>
          <w:rFonts w:asciiTheme="majorHAnsi" w:hAnsiTheme="majorHAnsi"/>
          <w:b/>
        </w:rPr>
        <w:t>Submitted:</w:t>
      </w:r>
      <w:r w:rsidRPr="00333BBE">
        <w:rPr>
          <w:rFonts w:asciiTheme="majorHAnsi" w:hAnsiTheme="majorHAnsi"/>
        </w:rPr>
        <w:t xml:space="preserve"> </w:t>
      </w:r>
      <w:r w:rsidR="009D6B61">
        <w:rPr>
          <w:rFonts w:asciiTheme="majorHAnsi" w:hAnsiTheme="majorHAnsi"/>
        </w:rPr>
        <w:t>February 11</w:t>
      </w:r>
      <w:bookmarkStart w:name="_GoBack" w:id="0"/>
      <w:bookmarkEnd w:id="0"/>
      <w:r w:rsidRPr="00A2471B" w:rsidR="00A2471B">
        <w:rPr>
          <w:rFonts w:asciiTheme="majorHAnsi" w:hAnsiTheme="majorHAnsi"/>
        </w:rPr>
        <w:t>, 2020</w:t>
      </w:r>
    </w:p>
    <w:p w:rsidRPr="00333BBE" w:rsidR="009B4A51" w:rsidP="00716F94" w:rsidRDefault="009B4A51" w14:paraId="37306D23" w14:textId="77777777">
      <w:pPr>
        <w:spacing w:after="0"/>
        <w:rPr>
          <w:rFonts w:asciiTheme="majorHAnsi" w:hAnsiTheme="majorHAnsi"/>
          <w:b/>
        </w:rPr>
      </w:pPr>
    </w:p>
    <w:p w:rsidRPr="00333BBE" w:rsidR="009B4A51" w:rsidP="00716F94" w:rsidRDefault="009B4A51" w14:paraId="57D7AF9B" w14:textId="77777777">
      <w:pPr>
        <w:spacing w:after="0"/>
        <w:rPr>
          <w:rFonts w:asciiTheme="majorHAnsi" w:hAnsiTheme="majorHAnsi"/>
          <w:b/>
        </w:rPr>
      </w:pPr>
    </w:p>
    <w:p w:rsidRPr="00333BBE" w:rsidR="009B4A51" w:rsidP="00716F94" w:rsidRDefault="009B4A51" w14:paraId="0878A9A0" w14:textId="77777777">
      <w:pPr>
        <w:spacing w:after="0"/>
        <w:rPr>
          <w:rFonts w:asciiTheme="majorHAnsi" w:hAnsiTheme="majorHAnsi"/>
          <w:b/>
        </w:rPr>
      </w:pPr>
    </w:p>
    <w:p w:rsidRPr="00333BBE" w:rsidR="00AA3192" w:rsidP="00716F94" w:rsidRDefault="00AA3192" w14:paraId="18100A36" w14:textId="77777777">
      <w:pPr>
        <w:spacing w:after="0"/>
        <w:rPr>
          <w:rFonts w:asciiTheme="majorHAnsi" w:hAnsiTheme="majorHAnsi"/>
          <w:b/>
        </w:rPr>
      </w:pPr>
    </w:p>
    <w:p w:rsidRPr="00333BBE" w:rsidR="00AA3192" w:rsidP="00716F94" w:rsidRDefault="00AA3192" w14:paraId="3A647E1A" w14:textId="77777777">
      <w:pPr>
        <w:spacing w:after="0"/>
        <w:rPr>
          <w:rFonts w:asciiTheme="majorHAnsi" w:hAnsiTheme="majorHAnsi"/>
          <w:b/>
        </w:rPr>
      </w:pPr>
    </w:p>
    <w:p w:rsidRPr="00333BBE" w:rsidR="009B4A51" w:rsidP="00716F94" w:rsidRDefault="009B4A51" w14:paraId="3C468609" w14:textId="77777777">
      <w:pPr>
        <w:spacing w:after="0"/>
        <w:rPr>
          <w:rFonts w:asciiTheme="majorHAnsi" w:hAnsiTheme="majorHAnsi"/>
          <w:b/>
        </w:rPr>
      </w:pPr>
    </w:p>
    <w:p w:rsidRPr="0041582B" w:rsidR="00321B51" w:rsidP="000B0962" w:rsidRDefault="00716F94" w14:paraId="7890D1E5" w14:textId="77777777">
      <w:pPr>
        <w:spacing w:after="0"/>
        <w:rPr>
          <w:rFonts w:asciiTheme="majorHAnsi" w:hAnsiTheme="majorHAnsi"/>
        </w:rPr>
      </w:pPr>
      <w:r w:rsidRPr="00333BBE">
        <w:rPr>
          <w:rFonts w:asciiTheme="majorHAnsi" w:hAnsiTheme="majorHAnsi"/>
          <w:b/>
          <w:u w:val="single"/>
        </w:rPr>
        <w:t>P</w:t>
      </w:r>
      <w:r w:rsidRPr="00333BBE" w:rsidR="00667C89">
        <w:rPr>
          <w:rFonts w:asciiTheme="majorHAnsi" w:hAnsiTheme="majorHAnsi"/>
          <w:b/>
          <w:u w:val="single"/>
        </w:rPr>
        <w:t>rogram Official/Project Officer</w:t>
      </w:r>
      <w:r w:rsidRPr="0041582B" w:rsidR="000B0962">
        <w:rPr>
          <w:rFonts w:asciiTheme="majorHAnsi" w:hAnsiTheme="majorHAnsi"/>
        </w:rPr>
        <w:tab/>
      </w:r>
    </w:p>
    <w:p w:rsidRPr="00333BBE" w:rsidR="00321B51" w:rsidP="000B0962" w:rsidRDefault="008F6F07" w14:paraId="66D13B18" w14:textId="77777777">
      <w:pPr>
        <w:spacing w:after="0" w:line="240" w:lineRule="auto"/>
        <w:rPr>
          <w:rFonts w:asciiTheme="majorHAnsi" w:hAnsiTheme="majorHAnsi"/>
        </w:rPr>
      </w:pPr>
      <w:r w:rsidRPr="00333BBE">
        <w:rPr>
          <w:rFonts w:asciiTheme="majorHAnsi" w:hAnsiTheme="majorHAnsi"/>
        </w:rPr>
        <w:t>Laura Radel</w:t>
      </w:r>
    </w:p>
    <w:p w:rsidRPr="00333BBE" w:rsidR="00321B51" w:rsidP="000B0962" w:rsidRDefault="008F6F07" w14:paraId="03D50022" w14:textId="77777777">
      <w:pPr>
        <w:spacing w:after="0" w:line="240" w:lineRule="auto"/>
        <w:rPr>
          <w:rFonts w:asciiTheme="majorHAnsi" w:hAnsiTheme="majorHAnsi"/>
        </w:rPr>
      </w:pPr>
      <w:r w:rsidRPr="00333BBE">
        <w:rPr>
          <w:rFonts w:asciiTheme="majorHAnsi" w:hAnsiTheme="majorHAnsi"/>
        </w:rPr>
        <w:t>Senior Social Science Analyst</w:t>
      </w:r>
    </w:p>
    <w:p w:rsidRPr="00333BBE" w:rsidR="008F6F07" w:rsidP="008F6F07" w:rsidRDefault="008F6F07" w14:paraId="1D72C7DC" w14:textId="77777777">
      <w:pPr>
        <w:spacing w:after="0" w:line="240" w:lineRule="auto"/>
        <w:rPr>
          <w:rFonts w:asciiTheme="majorHAnsi" w:hAnsiTheme="majorHAnsi"/>
        </w:rPr>
      </w:pPr>
      <w:r w:rsidRPr="00333BBE">
        <w:rPr>
          <w:rFonts w:asciiTheme="majorHAnsi" w:hAnsiTheme="majorHAnsi"/>
        </w:rPr>
        <w:t>U.S. Department of Health and Human Services</w:t>
      </w:r>
    </w:p>
    <w:p w:rsidRPr="00333BBE" w:rsidR="008F6F07" w:rsidP="008F6F07" w:rsidRDefault="008F6F07" w14:paraId="5769FC8A" w14:textId="77777777">
      <w:pPr>
        <w:spacing w:after="0" w:line="240" w:lineRule="auto"/>
        <w:rPr>
          <w:rFonts w:asciiTheme="majorHAnsi" w:hAnsiTheme="majorHAnsi"/>
        </w:rPr>
      </w:pPr>
      <w:r w:rsidRPr="00333BBE">
        <w:rPr>
          <w:rFonts w:asciiTheme="majorHAnsi" w:hAnsiTheme="majorHAnsi"/>
        </w:rPr>
        <w:t>Office of the Assistant Secretary for Planning and Evaluation</w:t>
      </w:r>
    </w:p>
    <w:p w:rsidRPr="00333BBE" w:rsidR="008F6F07" w:rsidP="000B0962" w:rsidRDefault="008F6F07" w14:paraId="180A2E20" w14:textId="77777777">
      <w:pPr>
        <w:spacing w:after="0" w:line="240" w:lineRule="auto"/>
        <w:rPr>
          <w:rFonts w:asciiTheme="majorHAnsi" w:hAnsiTheme="majorHAnsi"/>
        </w:rPr>
      </w:pPr>
      <w:r w:rsidRPr="00333BBE">
        <w:rPr>
          <w:rFonts w:asciiTheme="majorHAnsi" w:hAnsiTheme="majorHAnsi"/>
        </w:rPr>
        <w:t>200 Independence Avenue, SW, Washington, D.C. 20201</w:t>
      </w:r>
    </w:p>
    <w:p w:rsidRPr="00333BBE" w:rsidR="00321B51" w:rsidP="000B0962" w:rsidRDefault="00783CC1" w14:paraId="59983BFE" w14:textId="6995E79A">
      <w:pPr>
        <w:spacing w:after="0" w:line="240" w:lineRule="auto"/>
        <w:rPr>
          <w:rFonts w:asciiTheme="majorHAnsi" w:hAnsiTheme="majorHAnsi"/>
        </w:rPr>
      </w:pPr>
      <w:r>
        <w:rPr>
          <w:rFonts w:asciiTheme="majorHAnsi" w:hAnsiTheme="majorHAnsi"/>
        </w:rPr>
        <w:t>202-730-3927</w:t>
      </w:r>
      <w:r w:rsidR="00E81F6F">
        <w:rPr>
          <w:rFonts w:asciiTheme="majorHAnsi" w:hAnsiTheme="majorHAnsi"/>
        </w:rPr>
        <w:t xml:space="preserve"> (phone and fax)</w:t>
      </w:r>
    </w:p>
    <w:p w:rsidRPr="00333BBE" w:rsidR="00321B51" w:rsidP="000B0962" w:rsidRDefault="009D6B61" w14:paraId="40426C38" w14:textId="77777777">
      <w:pPr>
        <w:spacing w:after="0" w:line="240" w:lineRule="auto"/>
        <w:rPr>
          <w:rFonts w:asciiTheme="majorHAnsi" w:hAnsiTheme="majorHAnsi"/>
        </w:rPr>
      </w:pPr>
      <w:hyperlink w:history="1" r:id="rId8">
        <w:r w:rsidRPr="0041582B" w:rsidR="008F6F07">
          <w:rPr>
            <w:rFonts w:asciiTheme="majorHAnsi" w:hAnsiTheme="majorHAnsi"/>
          </w:rPr>
          <w:t>Laura.Radel@HHS.gov</w:t>
        </w:r>
      </w:hyperlink>
    </w:p>
    <w:p w:rsidR="000B0962" w:rsidP="00716F94" w:rsidRDefault="000B0962" w14:paraId="4F3E7E3A" w14:textId="77777777">
      <w:pPr>
        <w:spacing w:after="0"/>
        <w:rPr>
          <w:rFonts w:asciiTheme="majorHAnsi" w:hAnsiTheme="majorHAnsi"/>
        </w:rPr>
      </w:pPr>
    </w:p>
    <w:p w:rsidRPr="00333BBE" w:rsidR="00FB4DBE" w:rsidP="00716F94" w:rsidRDefault="00FB4DBE" w14:paraId="236133EB" w14:textId="77777777">
      <w:pPr>
        <w:spacing w:after="0"/>
        <w:rPr>
          <w:rFonts w:asciiTheme="majorHAnsi" w:hAnsiTheme="majorHAnsi"/>
        </w:rPr>
      </w:pPr>
    </w:p>
    <w:p w:rsidRPr="00333BBE" w:rsidR="000B0962" w:rsidP="00716F94" w:rsidRDefault="000B0962" w14:paraId="2B7D67C4" w14:textId="77777777">
      <w:pPr>
        <w:spacing w:after="0"/>
        <w:rPr>
          <w:rFonts w:asciiTheme="majorHAnsi" w:hAnsiTheme="majorHAnsi"/>
        </w:rPr>
      </w:pPr>
    </w:p>
    <w:p w:rsidRPr="00333BBE" w:rsidR="00CD1EA8" w:rsidP="00716F94" w:rsidRDefault="00CD1EA8" w14:paraId="050284E0" w14:textId="77777777">
      <w:pPr>
        <w:spacing w:after="0"/>
        <w:rPr>
          <w:rFonts w:asciiTheme="majorHAnsi" w:hAnsiTheme="majorHAnsi"/>
          <w:b/>
          <w:sz w:val="28"/>
        </w:rPr>
      </w:pPr>
      <w:r w:rsidRPr="00333BBE">
        <w:rPr>
          <w:rFonts w:asciiTheme="majorHAnsi" w:hAnsiTheme="majorHAnsi"/>
          <w:b/>
          <w:sz w:val="28"/>
        </w:rPr>
        <w:lastRenderedPageBreak/>
        <w:t xml:space="preserve">Section </w:t>
      </w:r>
      <w:proofErr w:type="gramStart"/>
      <w:r w:rsidRPr="00333BBE">
        <w:rPr>
          <w:rFonts w:asciiTheme="majorHAnsi" w:hAnsiTheme="majorHAnsi"/>
          <w:b/>
          <w:sz w:val="28"/>
        </w:rPr>
        <w:t>A</w:t>
      </w:r>
      <w:proofErr w:type="gramEnd"/>
      <w:r w:rsidRPr="00333BBE" w:rsidR="00B12F51">
        <w:rPr>
          <w:rFonts w:asciiTheme="majorHAnsi" w:hAnsiTheme="majorHAnsi"/>
          <w:b/>
          <w:sz w:val="28"/>
        </w:rPr>
        <w:t xml:space="preserve"> – Justification</w:t>
      </w:r>
    </w:p>
    <w:p w:rsidRPr="00333BBE" w:rsidR="00B12F51" w:rsidP="00716F94" w:rsidRDefault="00B12F51" w14:paraId="4CB04178" w14:textId="77777777">
      <w:pPr>
        <w:spacing w:after="0"/>
        <w:rPr>
          <w:rFonts w:asciiTheme="majorHAnsi" w:hAnsiTheme="majorHAnsi"/>
          <w:b/>
        </w:rPr>
      </w:pPr>
    </w:p>
    <w:p w:rsidRPr="0041582B" w:rsidR="00CD1EA8" w:rsidP="00B12F51" w:rsidRDefault="00B12F51" w14:paraId="20CC65FF" w14:textId="77777777">
      <w:pPr>
        <w:pStyle w:val="ListParagraph"/>
        <w:numPr>
          <w:ilvl w:val="0"/>
          <w:numId w:val="2"/>
        </w:numPr>
        <w:spacing w:after="0"/>
        <w:rPr>
          <w:rFonts w:asciiTheme="majorHAnsi" w:hAnsiTheme="majorHAnsi"/>
          <w:b/>
          <w:sz w:val="24"/>
          <w:szCs w:val="24"/>
        </w:rPr>
      </w:pPr>
      <w:r w:rsidRPr="0041582B">
        <w:rPr>
          <w:rFonts w:asciiTheme="majorHAnsi" w:hAnsiTheme="majorHAnsi"/>
          <w:b/>
          <w:sz w:val="24"/>
          <w:szCs w:val="24"/>
        </w:rPr>
        <w:t>Circumstances Making the Collection of Information Necessary</w:t>
      </w:r>
    </w:p>
    <w:p w:rsidRPr="0041582B" w:rsidR="00E33E1B" w:rsidP="009D373D" w:rsidRDefault="00E33E1B" w14:paraId="5C71B376" w14:textId="77777777">
      <w:pPr>
        <w:spacing w:after="0"/>
        <w:ind w:left="720"/>
        <w:rPr>
          <w:rFonts w:asciiTheme="majorHAnsi" w:hAnsiTheme="majorHAnsi"/>
          <w:b/>
          <w:sz w:val="24"/>
          <w:szCs w:val="24"/>
        </w:rPr>
      </w:pPr>
    </w:p>
    <w:p w:rsidRPr="00B37A1E" w:rsidR="00B37A1E" w:rsidP="00B37A1E" w:rsidRDefault="00B37A1E" w14:paraId="1FD23C1E" w14:textId="77777777">
      <w:pPr>
        <w:pStyle w:val="Header"/>
        <w:ind w:left="720"/>
        <w:rPr>
          <w:rFonts w:asciiTheme="majorHAnsi" w:hAnsiTheme="majorHAnsi" w:cstheme="minorHAnsi"/>
          <w:sz w:val="24"/>
          <w:szCs w:val="24"/>
        </w:rPr>
      </w:pPr>
      <w:r w:rsidRPr="00B37A1E">
        <w:rPr>
          <w:rFonts w:asciiTheme="majorHAnsi" w:hAnsiTheme="majorHAnsi" w:cstheme="minorHAnsi"/>
          <w:sz w:val="24"/>
          <w:szCs w:val="24"/>
        </w:rPr>
        <w:t>The field of child welfare may be seen as an exercise in balancing competing interests. Paramount among these, per section 471(a</w:t>
      </w:r>
      <w:proofErr w:type="gramStart"/>
      <w:r w:rsidRPr="00B37A1E">
        <w:rPr>
          <w:rFonts w:asciiTheme="majorHAnsi" w:hAnsiTheme="majorHAnsi" w:cstheme="minorHAnsi"/>
          <w:sz w:val="24"/>
          <w:szCs w:val="24"/>
        </w:rPr>
        <w:t>)(</w:t>
      </w:r>
      <w:proofErr w:type="gramEnd"/>
      <w:r w:rsidRPr="00B37A1E">
        <w:rPr>
          <w:rFonts w:asciiTheme="majorHAnsi" w:hAnsiTheme="majorHAnsi" w:cstheme="minorHAnsi"/>
          <w:sz w:val="24"/>
          <w:szCs w:val="24"/>
        </w:rPr>
        <w:t xml:space="preserve">5) of the Social Security Act, is child safety. But once a child’s immediate safety is addressed, children’s longer term needs are examined in tandem with parental rights and actions parents take to provide a safe home environment for their </w:t>
      </w:r>
      <w:proofErr w:type="gramStart"/>
      <w:r w:rsidRPr="00B37A1E">
        <w:rPr>
          <w:rFonts w:asciiTheme="majorHAnsi" w:hAnsiTheme="majorHAnsi" w:cstheme="minorHAnsi"/>
          <w:sz w:val="24"/>
          <w:szCs w:val="24"/>
        </w:rPr>
        <w:t>child(</w:t>
      </w:r>
      <w:proofErr w:type="spellStart"/>
      <w:proofErr w:type="gramEnd"/>
      <w:r w:rsidRPr="00B37A1E">
        <w:rPr>
          <w:rFonts w:asciiTheme="majorHAnsi" w:hAnsiTheme="majorHAnsi" w:cstheme="minorHAnsi"/>
          <w:sz w:val="24"/>
          <w:szCs w:val="24"/>
        </w:rPr>
        <w:t>ren</w:t>
      </w:r>
      <w:proofErr w:type="spellEnd"/>
      <w:r w:rsidRPr="00B37A1E">
        <w:rPr>
          <w:rFonts w:asciiTheme="majorHAnsi" w:hAnsiTheme="majorHAnsi" w:cstheme="minorHAnsi"/>
          <w:sz w:val="24"/>
          <w:szCs w:val="24"/>
        </w:rPr>
        <w:t>). For children in foster care, children’s needs for a stable living situation and permanent adult relationships are balanced against parents’ rights and their success in resolving the issues that led to the child’s placement to determine what outcome is in the child’s best interests.</w:t>
      </w:r>
    </w:p>
    <w:p w:rsidR="00B37A1E" w:rsidP="00B37A1E" w:rsidRDefault="00B37A1E" w14:paraId="634090B7" w14:textId="77777777">
      <w:pPr>
        <w:pStyle w:val="Header"/>
        <w:ind w:left="720"/>
        <w:rPr>
          <w:rFonts w:asciiTheme="majorHAnsi" w:hAnsiTheme="majorHAnsi" w:cstheme="minorHAnsi"/>
          <w:sz w:val="24"/>
          <w:szCs w:val="24"/>
        </w:rPr>
      </w:pPr>
    </w:p>
    <w:p w:rsidRPr="00B37A1E" w:rsidR="00B37A1E" w:rsidP="00B37A1E" w:rsidRDefault="00B37A1E" w14:paraId="5F58FC0D" w14:textId="6DBDC5E4">
      <w:pPr>
        <w:pStyle w:val="Header"/>
        <w:ind w:left="720"/>
        <w:rPr>
          <w:rFonts w:asciiTheme="majorHAnsi" w:hAnsiTheme="majorHAnsi" w:cstheme="minorHAnsi"/>
          <w:sz w:val="24"/>
          <w:szCs w:val="24"/>
        </w:rPr>
      </w:pPr>
      <w:r w:rsidRPr="00B37A1E">
        <w:rPr>
          <w:rFonts w:asciiTheme="majorHAnsi" w:hAnsiTheme="majorHAnsi" w:cstheme="minorHAnsi"/>
          <w:sz w:val="24"/>
          <w:szCs w:val="24"/>
        </w:rPr>
        <w:t>Since the passage of the Adoption and Safe Families Act of 1997 (ASFA, P.L. 105-89) federal law has required, with certain exceptions, that the state child welfare agency file or join a legal petition to terminate parental rights for any child remaining in foster care for at least 15 of the previous 22 months (section 475(5</w:t>
      </w:r>
      <w:proofErr w:type="gramStart"/>
      <w:r w:rsidRPr="00B37A1E">
        <w:rPr>
          <w:rFonts w:asciiTheme="majorHAnsi" w:hAnsiTheme="majorHAnsi" w:cstheme="minorHAnsi"/>
          <w:sz w:val="24"/>
          <w:szCs w:val="24"/>
        </w:rPr>
        <w:t>)</w:t>
      </w:r>
      <w:r>
        <w:rPr>
          <w:rFonts w:asciiTheme="majorHAnsi" w:hAnsiTheme="majorHAnsi" w:cstheme="minorHAnsi"/>
          <w:sz w:val="24"/>
          <w:szCs w:val="24"/>
        </w:rPr>
        <w:t>(</w:t>
      </w:r>
      <w:proofErr w:type="gramEnd"/>
      <w:r w:rsidRPr="00B37A1E">
        <w:rPr>
          <w:rFonts w:asciiTheme="majorHAnsi" w:hAnsiTheme="majorHAnsi" w:cstheme="minorHAnsi"/>
          <w:sz w:val="24"/>
          <w:szCs w:val="24"/>
        </w:rPr>
        <w:t>E</w:t>
      </w:r>
      <w:r>
        <w:rPr>
          <w:rFonts w:asciiTheme="majorHAnsi" w:hAnsiTheme="majorHAnsi" w:cstheme="minorHAnsi"/>
          <w:sz w:val="24"/>
          <w:szCs w:val="24"/>
        </w:rPr>
        <w:t>)</w:t>
      </w:r>
      <w:r w:rsidRPr="00B37A1E">
        <w:rPr>
          <w:rFonts w:asciiTheme="majorHAnsi" w:hAnsiTheme="majorHAnsi" w:cstheme="minorHAnsi"/>
          <w:sz w:val="24"/>
          <w:szCs w:val="24"/>
        </w:rPr>
        <w:t xml:space="preserve"> of the Social Security Act). This is known </w:t>
      </w:r>
      <w:r w:rsidR="001A7CEF">
        <w:rPr>
          <w:rFonts w:asciiTheme="majorHAnsi" w:hAnsiTheme="majorHAnsi" w:cstheme="minorHAnsi"/>
          <w:sz w:val="24"/>
          <w:szCs w:val="24"/>
        </w:rPr>
        <w:t xml:space="preserve">colloquially </w:t>
      </w:r>
      <w:r w:rsidRPr="00B37A1E">
        <w:rPr>
          <w:rFonts w:asciiTheme="majorHAnsi" w:hAnsiTheme="majorHAnsi" w:cstheme="minorHAnsi"/>
          <w:sz w:val="24"/>
          <w:szCs w:val="24"/>
        </w:rPr>
        <w:t xml:space="preserve">as the </w:t>
      </w:r>
      <w:r w:rsidR="001A7CEF">
        <w:rPr>
          <w:rFonts w:asciiTheme="majorHAnsi" w:hAnsiTheme="majorHAnsi" w:cstheme="minorHAnsi"/>
          <w:sz w:val="24"/>
          <w:szCs w:val="24"/>
        </w:rPr>
        <w:t>“</w:t>
      </w:r>
      <w:r w:rsidRPr="00B37A1E">
        <w:rPr>
          <w:rFonts w:asciiTheme="majorHAnsi" w:hAnsiTheme="majorHAnsi" w:cstheme="minorHAnsi"/>
          <w:sz w:val="24"/>
          <w:szCs w:val="24"/>
        </w:rPr>
        <w:t>15/22 rule</w:t>
      </w:r>
      <w:r w:rsidR="001A7CEF">
        <w:rPr>
          <w:rFonts w:asciiTheme="majorHAnsi" w:hAnsiTheme="majorHAnsi" w:cstheme="minorHAnsi"/>
          <w:sz w:val="24"/>
          <w:szCs w:val="24"/>
        </w:rPr>
        <w:t xml:space="preserve">” or “the ASFA </w:t>
      </w:r>
      <w:r w:rsidR="00A2471B">
        <w:rPr>
          <w:rFonts w:asciiTheme="majorHAnsi" w:hAnsiTheme="majorHAnsi" w:cstheme="minorHAnsi"/>
          <w:sz w:val="24"/>
          <w:szCs w:val="24"/>
        </w:rPr>
        <w:t xml:space="preserve">TPR </w:t>
      </w:r>
      <w:r w:rsidR="001A7CEF">
        <w:rPr>
          <w:rFonts w:asciiTheme="majorHAnsi" w:hAnsiTheme="majorHAnsi" w:cstheme="minorHAnsi"/>
          <w:sz w:val="24"/>
          <w:szCs w:val="24"/>
        </w:rPr>
        <w:t>timeline</w:t>
      </w:r>
      <w:r w:rsidRPr="00B37A1E">
        <w:rPr>
          <w:rFonts w:asciiTheme="majorHAnsi" w:hAnsiTheme="majorHAnsi" w:cstheme="minorHAnsi"/>
          <w:sz w:val="24"/>
          <w:szCs w:val="24"/>
        </w:rPr>
        <w:t>.</w:t>
      </w:r>
      <w:r w:rsidR="001A7CEF">
        <w:rPr>
          <w:rFonts w:asciiTheme="majorHAnsi" w:hAnsiTheme="majorHAnsi" w:cstheme="minorHAnsi"/>
          <w:sz w:val="24"/>
          <w:szCs w:val="24"/>
        </w:rPr>
        <w:t>”</w:t>
      </w:r>
      <w:r w:rsidRPr="00B37A1E">
        <w:rPr>
          <w:rFonts w:asciiTheme="majorHAnsi" w:hAnsiTheme="majorHAnsi" w:cstheme="minorHAnsi"/>
          <w:sz w:val="24"/>
          <w:szCs w:val="24"/>
        </w:rPr>
        <w:t xml:space="preserve"> Exceptions include, at state option and examined on an individual basis, if the child is living with a relative, if the state has not yet provided services that would enable the parent to resume parenting roles, or that there is another compelling reason that termination of parental rights is not in the child’s best interests. In enacting the requirement, Congress asserted that for cases which have remained open long enough for TPR to be required, roughly a year and a half after foster care entry, the presumption should become that adoption or guardianship, rather than reunification, is the predominant and expected outcome for the ch</w:t>
      </w:r>
      <w:r w:rsidR="001A7CEF">
        <w:rPr>
          <w:rFonts w:asciiTheme="majorHAnsi" w:hAnsiTheme="majorHAnsi" w:cstheme="minorHAnsi"/>
          <w:sz w:val="24"/>
          <w:szCs w:val="24"/>
        </w:rPr>
        <w:t>ild. Exceptions are available that</w:t>
      </w:r>
      <w:r w:rsidRPr="00B37A1E">
        <w:rPr>
          <w:rFonts w:asciiTheme="majorHAnsi" w:hAnsiTheme="majorHAnsi" w:cstheme="minorHAnsi"/>
          <w:sz w:val="24"/>
          <w:szCs w:val="24"/>
        </w:rPr>
        <w:t xml:space="preserve"> enable judges to exert discretion in cases where th</w:t>
      </w:r>
      <w:r w:rsidR="001A7CEF">
        <w:rPr>
          <w:rFonts w:asciiTheme="majorHAnsi" w:hAnsiTheme="majorHAnsi" w:cstheme="minorHAnsi"/>
          <w:sz w:val="24"/>
          <w:szCs w:val="24"/>
        </w:rPr>
        <w:t>e</w:t>
      </w:r>
      <w:r w:rsidRPr="00B37A1E">
        <w:rPr>
          <w:rFonts w:asciiTheme="majorHAnsi" w:hAnsiTheme="majorHAnsi" w:cstheme="minorHAnsi"/>
          <w:sz w:val="24"/>
          <w:szCs w:val="24"/>
        </w:rPr>
        <w:t xml:space="preserve"> presumption is not warranted.</w:t>
      </w:r>
    </w:p>
    <w:p w:rsidR="00B37A1E" w:rsidP="00B37A1E" w:rsidRDefault="00B37A1E" w14:paraId="1F9CD0CD" w14:textId="77777777">
      <w:pPr>
        <w:pStyle w:val="Header"/>
        <w:ind w:left="720"/>
        <w:rPr>
          <w:rFonts w:asciiTheme="majorHAnsi" w:hAnsiTheme="majorHAnsi" w:cstheme="minorHAnsi"/>
          <w:sz w:val="24"/>
          <w:szCs w:val="24"/>
        </w:rPr>
      </w:pPr>
    </w:p>
    <w:p w:rsidR="00B37A1E" w:rsidP="00B37A1E" w:rsidRDefault="00B37A1E" w14:paraId="359A53A4" w14:textId="16A812E6">
      <w:pPr>
        <w:pStyle w:val="Header"/>
        <w:ind w:left="720"/>
        <w:rPr>
          <w:rFonts w:asciiTheme="majorHAnsi" w:hAnsiTheme="majorHAnsi" w:cstheme="minorHAnsi"/>
          <w:sz w:val="24"/>
          <w:szCs w:val="24"/>
        </w:rPr>
      </w:pPr>
      <w:r w:rsidRPr="00B37A1E">
        <w:rPr>
          <w:rFonts w:asciiTheme="majorHAnsi" w:hAnsiTheme="majorHAnsi" w:cstheme="minorHAnsi"/>
          <w:sz w:val="24"/>
          <w:szCs w:val="24"/>
        </w:rPr>
        <w:t xml:space="preserve">In the years immediately following ASFA’s enactment, the annual number of adoptions from foster care more than doubled and then settled into a new equilibrium of between 50,000 and 60,000 adoptions per year. </w:t>
      </w:r>
      <w:r w:rsidR="00F6730C">
        <w:rPr>
          <w:rFonts w:asciiTheme="majorHAnsi" w:hAnsiTheme="majorHAnsi" w:cstheme="minorHAnsi"/>
          <w:sz w:val="24"/>
          <w:szCs w:val="24"/>
        </w:rPr>
        <w:t>But w</w:t>
      </w:r>
      <w:r w:rsidRPr="00B37A1E">
        <w:rPr>
          <w:rFonts w:asciiTheme="majorHAnsi" w:hAnsiTheme="majorHAnsi" w:cstheme="minorHAnsi"/>
          <w:sz w:val="24"/>
          <w:szCs w:val="24"/>
        </w:rPr>
        <w:t>hile adoption expanded following ASFA, states continue to struggle with achieving timely permanency for children. A Government Accountability Office study in 2001, just a few years after ASFA was enacted, found that in most states that had data available to track the phenomenon, “the number of children exempted from the [15/22] provision greatly exceeded the number of children to whom it was applied” (GAO 2002, p. 27). More recently, current results of ACF’s Child and Family Services Reviews (CFSRs) document continuing challenges to timely adoption</w:t>
      </w:r>
      <w:r w:rsidRPr="00B37A1E">
        <w:rPr>
          <w:rFonts w:asciiTheme="majorHAnsi" w:hAnsiTheme="majorHAnsi" w:cstheme="minorHAnsi"/>
          <w:sz w:val="24"/>
          <w:szCs w:val="24"/>
          <w:vertAlign w:val="superscript"/>
        </w:rPr>
        <w:footnoteReference w:id="1"/>
      </w:r>
      <w:r w:rsidRPr="00B37A1E">
        <w:rPr>
          <w:rFonts w:asciiTheme="majorHAnsi" w:hAnsiTheme="majorHAnsi" w:cstheme="minorHAnsi"/>
          <w:sz w:val="24"/>
          <w:szCs w:val="24"/>
        </w:rPr>
        <w:t xml:space="preserve">. In states </w:t>
      </w:r>
      <w:r w:rsidRPr="00B37A1E">
        <w:rPr>
          <w:rFonts w:asciiTheme="majorHAnsi" w:hAnsiTheme="majorHAnsi" w:cstheme="minorHAnsi"/>
          <w:sz w:val="24"/>
          <w:szCs w:val="24"/>
        </w:rPr>
        <w:lastRenderedPageBreak/>
        <w:t xml:space="preserve">participating in the first two years of the round 3 CFSRs (about half the states), among sample cases examined in the case review portion of the review to whom the 15/22 rule should have applied, </w:t>
      </w:r>
      <w:r w:rsidR="001A7CEF">
        <w:rPr>
          <w:rFonts w:asciiTheme="majorHAnsi" w:hAnsiTheme="majorHAnsi" w:cstheme="minorHAnsi"/>
          <w:sz w:val="24"/>
          <w:szCs w:val="24"/>
        </w:rPr>
        <w:t xml:space="preserve">in 27 percent of cases </w:t>
      </w:r>
      <w:r w:rsidRPr="00B37A1E">
        <w:rPr>
          <w:rFonts w:asciiTheme="majorHAnsi" w:hAnsiTheme="majorHAnsi" w:cstheme="minorHAnsi"/>
          <w:sz w:val="24"/>
          <w:szCs w:val="24"/>
        </w:rPr>
        <w:t xml:space="preserve">the state child welfare agency both failed to file or join a TPR petition in a timely manner and failed to document an exception to the requirement (ACF 2017). </w:t>
      </w:r>
      <w:r w:rsidR="00F6730C">
        <w:rPr>
          <w:rFonts w:asciiTheme="majorHAnsi" w:hAnsiTheme="majorHAnsi" w:cstheme="minorHAnsi"/>
          <w:sz w:val="24"/>
          <w:szCs w:val="24"/>
        </w:rPr>
        <w:t xml:space="preserve">In addition, Round 3 CFSR findings </w:t>
      </w:r>
      <w:r w:rsidR="001A7CEF">
        <w:rPr>
          <w:rFonts w:asciiTheme="majorHAnsi" w:hAnsiTheme="majorHAnsi" w:cstheme="minorHAnsi"/>
          <w:sz w:val="24"/>
          <w:szCs w:val="24"/>
        </w:rPr>
        <w:t xml:space="preserve">from the entire nation </w:t>
      </w:r>
      <w:r w:rsidR="00F6730C">
        <w:rPr>
          <w:rFonts w:asciiTheme="majorHAnsi" w:hAnsiTheme="majorHAnsi" w:cstheme="minorHAnsi"/>
          <w:sz w:val="24"/>
          <w:szCs w:val="24"/>
        </w:rPr>
        <w:t>indicate that just</w:t>
      </w:r>
      <w:r w:rsidR="003D223D">
        <w:rPr>
          <w:rFonts w:asciiTheme="majorHAnsi" w:hAnsiTheme="majorHAnsi" w:cstheme="minorHAnsi"/>
          <w:sz w:val="24"/>
          <w:szCs w:val="24"/>
        </w:rPr>
        <w:t xml:space="preserve"> seven</w:t>
      </w:r>
      <w:r w:rsidRPr="00B37A1E">
        <w:rPr>
          <w:rFonts w:asciiTheme="majorHAnsi" w:hAnsiTheme="majorHAnsi" w:cstheme="minorHAnsi"/>
          <w:sz w:val="24"/>
          <w:szCs w:val="24"/>
        </w:rPr>
        <w:t xml:space="preserve"> </w:t>
      </w:r>
      <w:r w:rsidR="00F6730C">
        <w:rPr>
          <w:rFonts w:asciiTheme="majorHAnsi" w:hAnsiTheme="majorHAnsi" w:cstheme="minorHAnsi"/>
          <w:sz w:val="24"/>
          <w:szCs w:val="24"/>
        </w:rPr>
        <w:t xml:space="preserve">states </w:t>
      </w:r>
      <w:r w:rsidRPr="00B37A1E">
        <w:rPr>
          <w:rFonts w:asciiTheme="majorHAnsi" w:hAnsiTheme="majorHAnsi" w:cstheme="minorHAnsi"/>
          <w:sz w:val="24"/>
          <w:szCs w:val="24"/>
        </w:rPr>
        <w:t>received positive comments about the timeliness of TPRs (AR, MN, OH, PA</w:t>
      </w:r>
      <w:r w:rsidR="00F6730C">
        <w:rPr>
          <w:rFonts w:asciiTheme="majorHAnsi" w:hAnsiTheme="majorHAnsi" w:cstheme="minorHAnsi"/>
          <w:sz w:val="24"/>
          <w:szCs w:val="24"/>
        </w:rPr>
        <w:t>, UT</w:t>
      </w:r>
      <w:r w:rsidR="003D223D">
        <w:rPr>
          <w:rFonts w:asciiTheme="majorHAnsi" w:hAnsiTheme="majorHAnsi" w:cstheme="minorHAnsi"/>
          <w:sz w:val="24"/>
          <w:szCs w:val="24"/>
        </w:rPr>
        <w:t>, VT</w:t>
      </w:r>
      <w:r w:rsidRPr="00B37A1E">
        <w:rPr>
          <w:rFonts w:asciiTheme="majorHAnsi" w:hAnsiTheme="majorHAnsi" w:cstheme="minorHAnsi"/>
          <w:sz w:val="24"/>
          <w:szCs w:val="24"/>
        </w:rPr>
        <w:t xml:space="preserve"> and WV). </w:t>
      </w:r>
    </w:p>
    <w:p w:rsidRPr="00B37A1E" w:rsidR="00F6730C" w:rsidP="00B37A1E" w:rsidRDefault="00F6730C" w14:paraId="25F3BB5C" w14:textId="77777777">
      <w:pPr>
        <w:pStyle w:val="Header"/>
        <w:ind w:left="720"/>
        <w:rPr>
          <w:rFonts w:asciiTheme="majorHAnsi" w:hAnsiTheme="majorHAnsi" w:cstheme="minorHAnsi"/>
          <w:sz w:val="24"/>
          <w:szCs w:val="24"/>
        </w:rPr>
      </w:pPr>
    </w:p>
    <w:p w:rsidR="00B37A1E" w:rsidP="00B37A1E" w:rsidRDefault="00B37A1E" w14:paraId="7C877D56" w14:textId="6CDA5EBC">
      <w:pPr>
        <w:pStyle w:val="Header"/>
        <w:ind w:left="720"/>
        <w:rPr>
          <w:rFonts w:asciiTheme="majorHAnsi" w:hAnsiTheme="majorHAnsi" w:cstheme="minorHAnsi"/>
          <w:sz w:val="24"/>
          <w:szCs w:val="24"/>
        </w:rPr>
      </w:pPr>
      <w:r w:rsidRPr="00B37A1E">
        <w:rPr>
          <w:rFonts w:asciiTheme="majorHAnsi" w:hAnsiTheme="majorHAnsi" w:cstheme="minorHAnsi"/>
          <w:sz w:val="24"/>
          <w:szCs w:val="24"/>
        </w:rPr>
        <w:t>Some observers argue that further efforts are needed to terminate parental rights expeditiously, in some cases long in advance even of current ASFA timelines, and to move more children into adoptive home</w:t>
      </w:r>
      <w:r w:rsidR="00A2471B">
        <w:rPr>
          <w:rFonts w:asciiTheme="majorHAnsi" w:hAnsiTheme="majorHAnsi" w:cstheme="minorHAnsi"/>
          <w:sz w:val="24"/>
          <w:szCs w:val="24"/>
        </w:rPr>
        <w:t xml:space="preserve">s as quickly as possible (Riley 2018; </w:t>
      </w:r>
      <w:proofErr w:type="spellStart"/>
      <w:r w:rsidR="00A2471B">
        <w:rPr>
          <w:rFonts w:asciiTheme="majorHAnsi" w:hAnsiTheme="majorHAnsi" w:cstheme="minorHAnsi"/>
          <w:sz w:val="24"/>
          <w:szCs w:val="24"/>
        </w:rPr>
        <w:t>Zill</w:t>
      </w:r>
      <w:proofErr w:type="spellEnd"/>
      <w:r w:rsidRPr="00B37A1E">
        <w:rPr>
          <w:rFonts w:asciiTheme="majorHAnsi" w:hAnsiTheme="majorHAnsi" w:cstheme="minorHAnsi"/>
          <w:sz w:val="24"/>
          <w:szCs w:val="24"/>
        </w:rPr>
        <w:t xml:space="preserve"> 2011). The termination of parental rights is a necessary precondition to adoption by another family. As of 2011, 18 states had enacted state level TPR timelines faster than t</w:t>
      </w:r>
      <w:r w:rsidR="00A2471B">
        <w:rPr>
          <w:rFonts w:asciiTheme="majorHAnsi" w:hAnsiTheme="majorHAnsi" w:cstheme="minorHAnsi"/>
          <w:sz w:val="24"/>
          <w:szCs w:val="24"/>
        </w:rPr>
        <w:t>hose required in ASFA (</w:t>
      </w:r>
      <w:proofErr w:type="spellStart"/>
      <w:r w:rsidR="00A2471B">
        <w:rPr>
          <w:rFonts w:asciiTheme="majorHAnsi" w:hAnsiTheme="majorHAnsi" w:cstheme="minorHAnsi"/>
          <w:sz w:val="24"/>
          <w:szCs w:val="24"/>
        </w:rPr>
        <w:t>Vesnecki</w:t>
      </w:r>
      <w:proofErr w:type="spellEnd"/>
      <w:r w:rsidRPr="00B37A1E">
        <w:rPr>
          <w:rFonts w:asciiTheme="majorHAnsi" w:hAnsiTheme="majorHAnsi" w:cstheme="minorHAnsi"/>
          <w:sz w:val="24"/>
          <w:szCs w:val="24"/>
        </w:rPr>
        <w:t xml:space="preserve"> 2011). Other efforts to expedite adoptions have also been implemented in some states, such as streamlining the parental app</w:t>
      </w:r>
      <w:r w:rsidR="00A2471B">
        <w:rPr>
          <w:rFonts w:asciiTheme="majorHAnsi" w:hAnsiTheme="majorHAnsi" w:cstheme="minorHAnsi"/>
          <w:sz w:val="24"/>
          <w:szCs w:val="24"/>
        </w:rPr>
        <w:t xml:space="preserve">eals process (Keith and </w:t>
      </w:r>
      <w:proofErr w:type="spellStart"/>
      <w:r w:rsidR="00A2471B">
        <w:rPr>
          <w:rFonts w:asciiTheme="majorHAnsi" w:hAnsiTheme="majorHAnsi" w:cstheme="minorHAnsi"/>
          <w:sz w:val="24"/>
          <w:szCs w:val="24"/>
        </w:rPr>
        <w:t>Flango</w:t>
      </w:r>
      <w:proofErr w:type="spellEnd"/>
      <w:r w:rsidR="00A2471B">
        <w:rPr>
          <w:rFonts w:asciiTheme="majorHAnsi" w:hAnsiTheme="majorHAnsi" w:cstheme="minorHAnsi"/>
          <w:sz w:val="24"/>
          <w:szCs w:val="24"/>
        </w:rPr>
        <w:t xml:space="preserve"> </w:t>
      </w:r>
      <w:r w:rsidRPr="00B37A1E">
        <w:rPr>
          <w:rFonts w:asciiTheme="majorHAnsi" w:hAnsiTheme="majorHAnsi" w:cstheme="minorHAnsi"/>
          <w:sz w:val="24"/>
          <w:szCs w:val="24"/>
        </w:rPr>
        <w:t xml:space="preserve">2002). However, recent work by </w:t>
      </w:r>
      <w:proofErr w:type="spellStart"/>
      <w:r w:rsidRPr="00B37A1E">
        <w:rPr>
          <w:rFonts w:asciiTheme="majorHAnsi" w:hAnsiTheme="majorHAnsi" w:cstheme="minorHAnsi"/>
          <w:sz w:val="24"/>
          <w:szCs w:val="24"/>
        </w:rPr>
        <w:t>Wulczyn</w:t>
      </w:r>
      <w:proofErr w:type="spellEnd"/>
      <w:r w:rsidRPr="00B37A1E">
        <w:rPr>
          <w:rFonts w:asciiTheme="majorHAnsi" w:hAnsiTheme="majorHAnsi" w:cstheme="minorHAnsi"/>
          <w:sz w:val="24"/>
          <w:szCs w:val="24"/>
        </w:rPr>
        <w:t xml:space="preserve"> and colleagues (2016) finds that the existence of state “fast track statutes” are not by themselves associated with higher adoption rates in practice. If those statues are used infrequently (as is the norm where they exist), they have little actual effect. </w:t>
      </w:r>
    </w:p>
    <w:p w:rsidR="004C475A" w:rsidP="00B37A1E" w:rsidRDefault="004C475A" w14:paraId="1DD47A8E" w14:textId="77777777">
      <w:pPr>
        <w:pStyle w:val="Header"/>
        <w:ind w:left="720"/>
        <w:rPr>
          <w:rFonts w:asciiTheme="majorHAnsi" w:hAnsiTheme="majorHAnsi" w:cstheme="minorHAnsi"/>
          <w:sz w:val="24"/>
          <w:szCs w:val="24"/>
        </w:rPr>
      </w:pPr>
    </w:p>
    <w:p w:rsidRPr="00B37A1E" w:rsidR="00B37A1E" w:rsidP="00B37A1E" w:rsidRDefault="001E4B2C" w14:paraId="74E0465F" w14:textId="5252E2AE">
      <w:pPr>
        <w:pStyle w:val="Header"/>
        <w:ind w:left="720"/>
        <w:rPr>
          <w:rFonts w:asciiTheme="majorHAnsi" w:hAnsiTheme="majorHAnsi" w:cstheme="minorHAnsi"/>
          <w:sz w:val="24"/>
          <w:szCs w:val="24"/>
        </w:rPr>
      </w:pPr>
      <w:r>
        <w:rPr>
          <w:rFonts w:asciiTheme="majorHAnsi" w:hAnsiTheme="majorHAnsi" w:cstheme="minorHAnsi"/>
          <w:sz w:val="24"/>
          <w:szCs w:val="24"/>
        </w:rPr>
        <w:t>This study</w:t>
      </w:r>
      <w:r w:rsidRPr="00B37A1E" w:rsidR="00B37A1E">
        <w:rPr>
          <w:rFonts w:asciiTheme="majorHAnsi" w:hAnsiTheme="majorHAnsi" w:cstheme="minorHAnsi"/>
          <w:sz w:val="24"/>
          <w:szCs w:val="24"/>
        </w:rPr>
        <w:t xml:space="preserve"> </w:t>
      </w:r>
      <w:r>
        <w:rPr>
          <w:rFonts w:asciiTheme="majorHAnsi" w:hAnsiTheme="majorHAnsi" w:cstheme="minorHAnsi"/>
          <w:sz w:val="24"/>
          <w:szCs w:val="24"/>
        </w:rPr>
        <w:t>is</w:t>
      </w:r>
      <w:r w:rsidRPr="00B37A1E" w:rsidR="00B37A1E">
        <w:rPr>
          <w:rFonts w:asciiTheme="majorHAnsi" w:hAnsiTheme="majorHAnsi" w:cstheme="minorHAnsi"/>
          <w:sz w:val="24"/>
          <w:szCs w:val="24"/>
        </w:rPr>
        <w:t xml:space="preserve"> revisit</w:t>
      </w:r>
      <w:r>
        <w:rPr>
          <w:rFonts w:asciiTheme="majorHAnsi" w:hAnsiTheme="majorHAnsi" w:cstheme="minorHAnsi"/>
          <w:sz w:val="24"/>
          <w:szCs w:val="24"/>
        </w:rPr>
        <w:t>ing</w:t>
      </w:r>
      <w:r w:rsidRPr="00B37A1E" w:rsidR="00B37A1E">
        <w:rPr>
          <w:rFonts w:asciiTheme="majorHAnsi" w:hAnsiTheme="majorHAnsi" w:cstheme="minorHAnsi"/>
          <w:sz w:val="24"/>
          <w:szCs w:val="24"/>
        </w:rPr>
        <w:t xml:space="preserve"> issues related to the 15/22 rule to try and understand why, 20 years after efforts to speed adoption, timely terminations of parental rights remain the exception rather than the rule</w:t>
      </w:r>
      <w:r>
        <w:rPr>
          <w:rFonts w:asciiTheme="majorHAnsi" w:hAnsiTheme="majorHAnsi" w:cstheme="minorHAnsi"/>
          <w:sz w:val="24"/>
          <w:szCs w:val="24"/>
        </w:rPr>
        <w:t>.</w:t>
      </w:r>
    </w:p>
    <w:p w:rsidRPr="0041582B" w:rsidR="009A703D" w:rsidP="007760B3" w:rsidRDefault="009A703D" w14:paraId="5F3E4855" w14:textId="73220F06">
      <w:pPr>
        <w:pStyle w:val="Header"/>
        <w:tabs>
          <w:tab w:val="clear" w:pos="4680"/>
        </w:tabs>
        <w:ind w:left="720"/>
        <w:rPr>
          <w:rFonts w:asciiTheme="majorHAnsi" w:hAnsiTheme="majorHAnsi"/>
          <w:sz w:val="24"/>
          <w:szCs w:val="24"/>
        </w:rPr>
      </w:pPr>
    </w:p>
    <w:p w:rsidR="001E4B2C" w:rsidP="001E4B2C" w:rsidRDefault="001E4B2C" w14:paraId="5562A45B" w14:textId="77777777">
      <w:pPr>
        <w:pStyle w:val="Header"/>
        <w:ind w:left="720"/>
        <w:rPr>
          <w:rFonts w:asciiTheme="majorHAnsi" w:hAnsiTheme="majorHAnsi" w:cstheme="minorHAnsi"/>
          <w:sz w:val="24"/>
          <w:szCs w:val="24"/>
        </w:rPr>
      </w:pPr>
      <w:r>
        <w:rPr>
          <w:rFonts w:asciiTheme="majorHAnsi" w:hAnsiTheme="majorHAnsi" w:cstheme="minorHAnsi"/>
          <w:sz w:val="24"/>
          <w:szCs w:val="24"/>
        </w:rPr>
        <w:t xml:space="preserve">As a first step toward understanding current TPR practice, </w:t>
      </w:r>
      <w:r w:rsidRPr="005E3835">
        <w:rPr>
          <w:rFonts w:asciiTheme="majorHAnsi" w:hAnsiTheme="majorHAnsi" w:cstheme="minorHAnsi"/>
          <w:sz w:val="24"/>
          <w:szCs w:val="24"/>
        </w:rPr>
        <w:t xml:space="preserve">ASPE conducted intramural analyses of administrative data to understand the patterns in which TPRs are occurring. Using data from the Adoption and Foster Care Analysis and Reporting System </w:t>
      </w:r>
      <w:r>
        <w:rPr>
          <w:rFonts w:asciiTheme="majorHAnsi" w:hAnsiTheme="majorHAnsi" w:cstheme="minorHAnsi"/>
          <w:sz w:val="24"/>
          <w:szCs w:val="24"/>
        </w:rPr>
        <w:t xml:space="preserve">(AFCARS) </w:t>
      </w:r>
      <w:r w:rsidRPr="005E3835">
        <w:rPr>
          <w:rFonts w:asciiTheme="majorHAnsi" w:hAnsiTheme="majorHAnsi" w:cstheme="minorHAnsi"/>
          <w:sz w:val="24"/>
          <w:szCs w:val="24"/>
        </w:rPr>
        <w:t>we have examined the experiences of an entry cohort of children who entered foster care for the first time during 2013 and followed the children through 2017. The cohort totals 205,674 children, of whom 25% experienced termination of parental rights (TPR) during the period of observation. Highlights of the analysis to date are as follows:</w:t>
      </w:r>
    </w:p>
    <w:p w:rsidRPr="005E3835" w:rsidR="001E4B2C" w:rsidP="001E4B2C" w:rsidRDefault="001E4B2C" w14:paraId="44482A99" w14:textId="77777777">
      <w:pPr>
        <w:pStyle w:val="Header"/>
        <w:ind w:left="720"/>
        <w:rPr>
          <w:rFonts w:asciiTheme="majorHAnsi" w:hAnsiTheme="majorHAnsi" w:cstheme="minorHAnsi"/>
          <w:sz w:val="24"/>
          <w:szCs w:val="24"/>
        </w:rPr>
      </w:pPr>
    </w:p>
    <w:p w:rsidRPr="005E3835" w:rsidR="001E4B2C" w:rsidP="001E4B2C" w:rsidRDefault="001E4B2C" w14:paraId="1F970CDF" w14:textId="1243CB6E">
      <w:pPr>
        <w:pStyle w:val="Header"/>
        <w:numPr>
          <w:ilvl w:val="0"/>
          <w:numId w:val="33"/>
        </w:numPr>
        <w:ind w:left="1080"/>
        <w:rPr>
          <w:rFonts w:asciiTheme="majorHAnsi" w:hAnsiTheme="majorHAnsi" w:cstheme="minorHAnsi"/>
          <w:sz w:val="24"/>
          <w:szCs w:val="24"/>
        </w:rPr>
      </w:pPr>
      <w:r w:rsidRPr="005E3835">
        <w:rPr>
          <w:rFonts w:asciiTheme="majorHAnsi" w:hAnsiTheme="majorHAnsi" w:cstheme="minorHAnsi"/>
          <w:sz w:val="24"/>
          <w:szCs w:val="24"/>
        </w:rPr>
        <w:t>The proportion of children</w:t>
      </w:r>
      <w:r w:rsidR="003D223D">
        <w:rPr>
          <w:rFonts w:asciiTheme="majorHAnsi" w:hAnsiTheme="majorHAnsi" w:cstheme="minorHAnsi"/>
          <w:sz w:val="24"/>
          <w:szCs w:val="24"/>
        </w:rPr>
        <w:t xml:space="preserve"> entering foster care</w:t>
      </w:r>
      <w:r w:rsidRPr="005E3835">
        <w:rPr>
          <w:rFonts w:asciiTheme="majorHAnsi" w:hAnsiTheme="majorHAnsi" w:cstheme="minorHAnsi"/>
          <w:sz w:val="24"/>
          <w:szCs w:val="24"/>
        </w:rPr>
        <w:t xml:space="preserve"> who experienced TPR ranged from a low of 8.9% in Wyoming and 10 states with rates of below 20%, to a high of Maine at 44.2% and 5 states with rates over 35%. </w:t>
      </w:r>
    </w:p>
    <w:p w:rsidR="001E4B2C" w:rsidP="001E4B2C" w:rsidRDefault="001E4B2C" w14:paraId="00D57FF6" w14:textId="77777777">
      <w:pPr>
        <w:pStyle w:val="Header"/>
        <w:numPr>
          <w:ilvl w:val="0"/>
          <w:numId w:val="33"/>
        </w:numPr>
        <w:ind w:left="1080"/>
        <w:rPr>
          <w:rFonts w:asciiTheme="majorHAnsi" w:hAnsiTheme="majorHAnsi" w:cstheme="minorHAnsi"/>
          <w:sz w:val="24"/>
          <w:szCs w:val="24"/>
        </w:rPr>
      </w:pPr>
      <w:r w:rsidRPr="005E3835">
        <w:rPr>
          <w:rFonts w:asciiTheme="majorHAnsi" w:hAnsiTheme="majorHAnsi" w:cstheme="minorHAnsi"/>
          <w:sz w:val="24"/>
          <w:szCs w:val="24"/>
        </w:rPr>
        <w:t>In 7 states, 80% or more of TPRs happened within 17 months of entry, or generally in line with ASFA timelines. On the other end of the distribution, in 6 states and DC, more than 75% of TPRs took place more than 17 months after foster care entry.</w:t>
      </w:r>
    </w:p>
    <w:p w:rsidR="001E4B2C" w:rsidP="001E4B2C" w:rsidRDefault="001E4B2C" w14:paraId="199AB5A5" w14:textId="77777777">
      <w:pPr>
        <w:pStyle w:val="Header"/>
        <w:numPr>
          <w:ilvl w:val="0"/>
          <w:numId w:val="33"/>
        </w:numPr>
        <w:ind w:left="1080"/>
        <w:rPr>
          <w:rFonts w:asciiTheme="majorHAnsi" w:hAnsiTheme="majorHAnsi" w:cstheme="minorHAnsi"/>
          <w:sz w:val="24"/>
          <w:szCs w:val="24"/>
        </w:rPr>
      </w:pPr>
      <w:r w:rsidRPr="001E4B2C">
        <w:rPr>
          <w:rFonts w:asciiTheme="majorHAnsi" w:hAnsiTheme="majorHAnsi" w:cstheme="minorHAnsi"/>
          <w:sz w:val="24"/>
          <w:szCs w:val="24"/>
        </w:rPr>
        <w:t>Of those children with TPRs, the TPRs were more rapid both for the youngest children and for the oldest children in care (who either had a TPR quickly or not at all).</w:t>
      </w:r>
    </w:p>
    <w:p w:rsidRPr="001E4B2C" w:rsidR="001E4B2C" w:rsidP="001E4B2C" w:rsidRDefault="001E4B2C" w14:paraId="5F373409" w14:textId="77777777">
      <w:pPr>
        <w:pStyle w:val="Header"/>
        <w:numPr>
          <w:ilvl w:val="0"/>
          <w:numId w:val="33"/>
        </w:numPr>
        <w:ind w:left="1080"/>
        <w:rPr>
          <w:rFonts w:asciiTheme="majorHAnsi" w:hAnsiTheme="majorHAnsi" w:cstheme="minorHAnsi"/>
          <w:sz w:val="24"/>
          <w:szCs w:val="24"/>
        </w:rPr>
      </w:pPr>
      <w:r w:rsidRPr="001E4B2C">
        <w:rPr>
          <w:rFonts w:asciiTheme="majorHAnsi" w:hAnsiTheme="majorHAnsi" w:cstheme="minorHAnsi"/>
          <w:sz w:val="24"/>
          <w:szCs w:val="24"/>
        </w:rPr>
        <w:t xml:space="preserve">Of children who exit care before the 17 month point, 67% reunify with parent(s) and 9.5% exit to relative care, compared with 23% reunification and 2.3% exits </w:t>
      </w:r>
      <w:r w:rsidRPr="001E4B2C">
        <w:rPr>
          <w:rFonts w:asciiTheme="majorHAnsi" w:hAnsiTheme="majorHAnsi" w:cstheme="minorHAnsi"/>
          <w:sz w:val="24"/>
          <w:szCs w:val="24"/>
        </w:rPr>
        <w:lastRenderedPageBreak/>
        <w:t>to relative care among who remain in care beyond 17 months. Also, 6.7% of exits prior to 17 months and 49% of exits after 17 months are to adoptions.</w:t>
      </w:r>
    </w:p>
    <w:p w:rsidR="009A703D" w:rsidP="00E54C79" w:rsidRDefault="009A703D" w14:paraId="7369DF16" w14:textId="3A78F671">
      <w:pPr>
        <w:pStyle w:val="Header"/>
        <w:tabs>
          <w:tab w:val="clear" w:pos="4680"/>
        </w:tabs>
        <w:spacing w:line="276" w:lineRule="auto"/>
        <w:rPr>
          <w:rFonts w:asciiTheme="majorHAnsi" w:hAnsiTheme="majorHAnsi"/>
          <w:sz w:val="24"/>
          <w:szCs w:val="24"/>
        </w:rPr>
      </w:pPr>
    </w:p>
    <w:p w:rsidR="005C3068" w:rsidP="005C3068" w:rsidRDefault="005C3068" w14:paraId="4D9332BA" w14:textId="30E0F4CF">
      <w:pPr>
        <w:pStyle w:val="Header"/>
        <w:tabs>
          <w:tab w:val="clear" w:pos="4680"/>
        </w:tabs>
        <w:ind w:left="450"/>
        <w:rPr>
          <w:rFonts w:asciiTheme="majorHAnsi" w:hAnsiTheme="majorHAnsi"/>
          <w:sz w:val="24"/>
          <w:szCs w:val="24"/>
        </w:rPr>
      </w:pPr>
      <w:r>
        <w:rPr>
          <w:rFonts w:asciiTheme="majorHAnsi" w:hAnsiTheme="majorHAnsi"/>
          <w:sz w:val="24"/>
          <w:szCs w:val="24"/>
        </w:rPr>
        <w:t>The proposed qualitative data collection will complement the quantitative results highlighted above to provide context and initial indications of practices, policies and perspectives that may underlie performance on measures of timely TPR and merit further study.</w:t>
      </w:r>
    </w:p>
    <w:p w:rsidRPr="0041582B" w:rsidR="005C3068" w:rsidP="005C3068" w:rsidRDefault="005C3068" w14:paraId="3CE5C07C" w14:textId="77777777">
      <w:pPr>
        <w:pStyle w:val="Header"/>
        <w:tabs>
          <w:tab w:val="clear" w:pos="4680"/>
        </w:tabs>
        <w:rPr>
          <w:rFonts w:asciiTheme="majorHAnsi" w:hAnsiTheme="majorHAnsi"/>
          <w:sz w:val="24"/>
          <w:szCs w:val="24"/>
        </w:rPr>
      </w:pPr>
    </w:p>
    <w:p w:rsidRPr="001E4B2C" w:rsidR="004C475A" w:rsidP="005C3068" w:rsidRDefault="00B12F51" w14:paraId="1CA06041" w14:textId="7BC15EB3">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Purpose and Use of the Information Collection</w:t>
      </w:r>
    </w:p>
    <w:p w:rsidR="004C475A" w:rsidP="001E4B2C" w:rsidRDefault="004C475A" w14:paraId="405ADC06" w14:textId="2BE89D68">
      <w:pPr>
        <w:spacing w:after="0" w:line="240" w:lineRule="auto"/>
        <w:ind w:left="450"/>
        <w:rPr>
          <w:rFonts w:asciiTheme="majorHAnsi" w:hAnsiTheme="majorHAnsi"/>
          <w:sz w:val="24"/>
          <w:szCs w:val="24"/>
        </w:rPr>
      </w:pPr>
    </w:p>
    <w:p w:rsidR="001E4B2C" w:rsidP="001E4B2C" w:rsidRDefault="002579E2" w14:paraId="15EB7AB9" w14:textId="293F1301">
      <w:pPr>
        <w:spacing w:after="0" w:line="240" w:lineRule="auto"/>
        <w:ind w:left="450"/>
        <w:rPr>
          <w:rFonts w:asciiTheme="majorHAnsi" w:hAnsiTheme="majorHAnsi"/>
          <w:sz w:val="24"/>
          <w:szCs w:val="24"/>
        </w:rPr>
      </w:pPr>
      <w:r>
        <w:rPr>
          <w:rFonts w:asciiTheme="majorHAnsi" w:hAnsiTheme="majorHAnsi"/>
          <w:sz w:val="24"/>
          <w:szCs w:val="24"/>
        </w:rPr>
        <w:t>Recognizing through our data analysis that there are significant differences among states in the extent to which TPRs are completed timely, this data collection will gather qualitative information from stakeholders to the TPR decision making process in several states to better understand the practices and beliefs about permanency that contribute to the extent to which states use exceptions to the TPR timelines.  Our research questions include:</w:t>
      </w:r>
    </w:p>
    <w:p w:rsidR="002579E2" w:rsidP="001E4B2C" w:rsidRDefault="002579E2" w14:paraId="39AA4395" w14:textId="77777777">
      <w:pPr>
        <w:spacing w:after="0" w:line="240" w:lineRule="auto"/>
        <w:ind w:left="450"/>
        <w:rPr>
          <w:rFonts w:asciiTheme="majorHAnsi" w:hAnsiTheme="majorHAnsi"/>
          <w:sz w:val="24"/>
          <w:szCs w:val="24"/>
        </w:rPr>
      </w:pPr>
    </w:p>
    <w:p w:rsidRPr="004C475A" w:rsidR="004C475A" w:rsidP="004C475A" w:rsidRDefault="004C475A" w14:paraId="16D4300E" w14:textId="77777777">
      <w:pPr>
        <w:numPr>
          <w:ilvl w:val="0"/>
          <w:numId w:val="32"/>
        </w:numPr>
        <w:spacing w:after="0" w:line="240" w:lineRule="auto"/>
        <w:rPr>
          <w:rFonts w:asciiTheme="majorHAnsi" w:hAnsiTheme="majorHAnsi"/>
          <w:sz w:val="24"/>
          <w:szCs w:val="24"/>
        </w:rPr>
      </w:pPr>
      <w:r w:rsidRPr="004C475A">
        <w:rPr>
          <w:rFonts w:asciiTheme="majorHAnsi" w:hAnsiTheme="majorHAnsi"/>
          <w:sz w:val="24"/>
          <w:szCs w:val="24"/>
        </w:rPr>
        <w:t xml:space="preserve">Among the key stakeholders in the TPR process, what practices and attitudes underlie decisions about whether exceptions are made to the Adoption and Safe Families Act TPR timeline? </w:t>
      </w:r>
    </w:p>
    <w:p w:rsidRPr="004C475A" w:rsidR="004C475A" w:rsidP="004C475A" w:rsidRDefault="004C475A" w14:paraId="654447E0" w14:textId="0B20D401">
      <w:pPr>
        <w:numPr>
          <w:ilvl w:val="0"/>
          <w:numId w:val="32"/>
        </w:numPr>
        <w:spacing w:after="0" w:line="240" w:lineRule="auto"/>
        <w:rPr>
          <w:rFonts w:asciiTheme="majorHAnsi" w:hAnsiTheme="majorHAnsi"/>
          <w:sz w:val="24"/>
          <w:szCs w:val="24"/>
        </w:rPr>
      </w:pPr>
      <w:r w:rsidRPr="004C475A">
        <w:rPr>
          <w:rFonts w:asciiTheme="majorHAnsi" w:hAnsiTheme="majorHAnsi"/>
          <w:sz w:val="24"/>
          <w:szCs w:val="24"/>
        </w:rPr>
        <w:t>To what extent do these various perspectives on permanency and TPR align</w:t>
      </w:r>
      <w:r w:rsidR="00A2471B">
        <w:rPr>
          <w:rFonts w:asciiTheme="majorHAnsi" w:hAnsiTheme="majorHAnsi"/>
          <w:sz w:val="24"/>
          <w:szCs w:val="24"/>
        </w:rPr>
        <w:t xml:space="preserve"> or diverge,</w:t>
      </w:r>
      <w:r w:rsidRPr="004C475A">
        <w:rPr>
          <w:rFonts w:asciiTheme="majorHAnsi" w:hAnsiTheme="majorHAnsi"/>
          <w:sz w:val="24"/>
          <w:szCs w:val="24"/>
        </w:rPr>
        <w:t xml:space="preserve"> both within and among states?</w:t>
      </w:r>
    </w:p>
    <w:p w:rsidRPr="004C475A" w:rsidR="004C475A" w:rsidP="004C475A" w:rsidRDefault="004C475A" w14:paraId="07863E76" w14:textId="0E4A59CD">
      <w:pPr>
        <w:numPr>
          <w:ilvl w:val="0"/>
          <w:numId w:val="32"/>
        </w:numPr>
        <w:spacing w:after="0" w:line="240" w:lineRule="auto"/>
        <w:rPr>
          <w:rFonts w:asciiTheme="majorHAnsi" w:hAnsiTheme="majorHAnsi"/>
          <w:sz w:val="24"/>
          <w:szCs w:val="24"/>
        </w:rPr>
      </w:pPr>
      <w:r w:rsidRPr="004C475A">
        <w:rPr>
          <w:rFonts w:asciiTheme="majorHAnsi" w:hAnsiTheme="majorHAnsi"/>
          <w:sz w:val="24"/>
          <w:szCs w:val="24"/>
        </w:rPr>
        <w:t>While recognizing that our sample will be small and not representative, do these perspectives seem to play into the variation we see in the timeliness of TPR</w:t>
      </w:r>
      <w:r w:rsidR="00F5612E">
        <w:rPr>
          <w:rFonts w:asciiTheme="majorHAnsi" w:hAnsiTheme="majorHAnsi"/>
          <w:sz w:val="24"/>
          <w:szCs w:val="24"/>
        </w:rPr>
        <w:t>,</w:t>
      </w:r>
      <w:r w:rsidR="005C3068">
        <w:rPr>
          <w:rFonts w:asciiTheme="majorHAnsi" w:hAnsiTheme="majorHAnsi"/>
          <w:sz w:val="24"/>
          <w:szCs w:val="24"/>
        </w:rPr>
        <w:t xml:space="preserve"> and do they suggest topics for further study </w:t>
      </w:r>
      <w:r w:rsidR="00F5612E">
        <w:rPr>
          <w:rFonts w:asciiTheme="majorHAnsi" w:hAnsiTheme="majorHAnsi"/>
          <w:sz w:val="24"/>
          <w:szCs w:val="24"/>
        </w:rPr>
        <w:t>that might</w:t>
      </w:r>
      <w:r w:rsidR="005C3068">
        <w:rPr>
          <w:rFonts w:asciiTheme="majorHAnsi" w:hAnsiTheme="majorHAnsi"/>
          <w:sz w:val="24"/>
          <w:szCs w:val="24"/>
        </w:rPr>
        <w:t xml:space="preserve"> explain the variations in performance</w:t>
      </w:r>
      <w:r w:rsidRPr="004C475A">
        <w:rPr>
          <w:rFonts w:asciiTheme="majorHAnsi" w:hAnsiTheme="majorHAnsi"/>
          <w:sz w:val="24"/>
          <w:szCs w:val="24"/>
        </w:rPr>
        <w:t>?</w:t>
      </w:r>
    </w:p>
    <w:p w:rsidR="002B3AFE" w:rsidP="002579E2" w:rsidRDefault="002B3AFE" w14:paraId="624A2D02" w14:textId="11A33A52">
      <w:pPr>
        <w:spacing w:after="0" w:line="240" w:lineRule="auto"/>
        <w:ind w:left="720"/>
        <w:rPr>
          <w:rFonts w:asciiTheme="majorHAnsi" w:hAnsiTheme="majorHAnsi"/>
          <w:sz w:val="24"/>
          <w:szCs w:val="24"/>
        </w:rPr>
      </w:pPr>
    </w:p>
    <w:p w:rsidRPr="0041582B" w:rsidR="00B12F51" w:rsidP="007760B3" w:rsidRDefault="00B47055" w14:paraId="68A70572"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Use of Improved Information Technology and Burden Reduction</w:t>
      </w:r>
    </w:p>
    <w:p w:rsidRPr="0041582B" w:rsidR="00E8736B" w:rsidP="007760B3" w:rsidRDefault="003D223D" w14:paraId="6A88C74B" w14:textId="78FA5E93">
      <w:pPr>
        <w:pStyle w:val="ListParagraph"/>
        <w:spacing w:after="0" w:line="240" w:lineRule="auto"/>
        <w:ind w:left="810"/>
        <w:rPr>
          <w:rFonts w:asciiTheme="majorHAnsi" w:hAnsiTheme="majorHAnsi"/>
          <w:sz w:val="24"/>
          <w:szCs w:val="24"/>
        </w:rPr>
      </w:pPr>
      <w:r>
        <w:rPr>
          <w:rFonts w:asciiTheme="majorHAnsi" w:hAnsiTheme="majorHAnsi"/>
          <w:sz w:val="24"/>
          <w:szCs w:val="24"/>
        </w:rPr>
        <w:t>Q</w:t>
      </w:r>
      <w:r w:rsidR="002579E2">
        <w:rPr>
          <w:rFonts w:asciiTheme="majorHAnsi" w:hAnsiTheme="majorHAnsi"/>
          <w:sz w:val="24"/>
          <w:szCs w:val="24"/>
        </w:rPr>
        <w:t>ualitative interviews will be conducted by phone and/or through webinars. This should minimize the burden on individual respondents and allow us to schedule interviews at the convenience of respondents.</w:t>
      </w:r>
      <w:r w:rsidRPr="0041582B" w:rsidR="00307E99">
        <w:rPr>
          <w:rFonts w:asciiTheme="majorHAnsi" w:hAnsiTheme="majorHAnsi"/>
          <w:sz w:val="24"/>
          <w:szCs w:val="24"/>
        </w:rPr>
        <w:t xml:space="preserve"> </w:t>
      </w:r>
    </w:p>
    <w:p w:rsidRPr="0041582B" w:rsidR="00B47055" w:rsidP="007760B3" w:rsidRDefault="00B47055" w14:paraId="1C528322" w14:textId="77777777">
      <w:pPr>
        <w:pStyle w:val="ListParagraph"/>
        <w:spacing w:after="0" w:line="240" w:lineRule="auto"/>
        <w:rPr>
          <w:rFonts w:asciiTheme="majorHAnsi" w:hAnsiTheme="majorHAnsi"/>
          <w:sz w:val="24"/>
          <w:szCs w:val="24"/>
        </w:rPr>
      </w:pPr>
    </w:p>
    <w:p w:rsidRPr="0041582B" w:rsidR="00B47055" w:rsidP="007760B3" w:rsidRDefault="00B47055" w14:paraId="247D5EA2"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Efforts to Identify Duplication and Use of Similar Information</w:t>
      </w:r>
    </w:p>
    <w:p w:rsidRPr="0041582B" w:rsidR="00563683" w:rsidP="007760B3" w:rsidRDefault="00193BE3" w14:paraId="2DE03E76" w14:textId="01D1CC63">
      <w:pPr>
        <w:pStyle w:val="ListParagraph"/>
        <w:spacing w:after="0" w:line="240" w:lineRule="auto"/>
        <w:ind w:left="810"/>
        <w:rPr>
          <w:rFonts w:asciiTheme="majorHAnsi" w:hAnsiTheme="majorHAnsi"/>
          <w:sz w:val="24"/>
          <w:szCs w:val="24"/>
        </w:rPr>
      </w:pPr>
      <w:r>
        <w:rPr>
          <w:rFonts w:asciiTheme="majorHAnsi" w:hAnsiTheme="majorHAnsi"/>
          <w:sz w:val="24"/>
          <w:szCs w:val="24"/>
        </w:rPr>
        <w:t xml:space="preserve">We conducted a literature search to identify previous examinations of issues related to </w:t>
      </w:r>
      <w:r w:rsidR="00FC56D5">
        <w:rPr>
          <w:rFonts w:asciiTheme="majorHAnsi" w:hAnsiTheme="majorHAnsi"/>
          <w:sz w:val="24"/>
          <w:szCs w:val="24"/>
        </w:rPr>
        <w:t xml:space="preserve">exceptions to </w:t>
      </w:r>
      <w:r>
        <w:rPr>
          <w:rFonts w:asciiTheme="majorHAnsi" w:hAnsiTheme="majorHAnsi"/>
          <w:sz w:val="24"/>
          <w:szCs w:val="24"/>
        </w:rPr>
        <w:t xml:space="preserve">the termination of parental rights requirements from ASFA. We located no studies of TPR exceptions more recent than the </w:t>
      </w:r>
      <w:r w:rsidR="00A2471B">
        <w:rPr>
          <w:rFonts w:asciiTheme="majorHAnsi" w:hAnsiTheme="majorHAnsi"/>
          <w:sz w:val="24"/>
          <w:szCs w:val="24"/>
        </w:rPr>
        <w:t xml:space="preserve">2001 </w:t>
      </w:r>
      <w:r>
        <w:rPr>
          <w:rFonts w:asciiTheme="majorHAnsi" w:hAnsiTheme="majorHAnsi"/>
          <w:sz w:val="24"/>
          <w:szCs w:val="24"/>
        </w:rPr>
        <w:t xml:space="preserve">GAO </w:t>
      </w:r>
      <w:r w:rsidR="00A2471B">
        <w:rPr>
          <w:rFonts w:asciiTheme="majorHAnsi" w:hAnsiTheme="majorHAnsi"/>
          <w:sz w:val="24"/>
          <w:szCs w:val="24"/>
        </w:rPr>
        <w:t>described above</w:t>
      </w:r>
      <w:r>
        <w:rPr>
          <w:rFonts w:asciiTheme="majorHAnsi" w:hAnsiTheme="majorHAnsi"/>
          <w:sz w:val="24"/>
          <w:szCs w:val="24"/>
        </w:rPr>
        <w:t xml:space="preserve">. </w:t>
      </w:r>
      <w:r w:rsidR="00FC56D5">
        <w:rPr>
          <w:rFonts w:asciiTheme="majorHAnsi" w:hAnsiTheme="majorHAnsi"/>
          <w:sz w:val="24"/>
          <w:szCs w:val="24"/>
        </w:rPr>
        <w:t xml:space="preserve">We also analyzed the information on TPR in each </w:t>
      </w:r>
      <w:r w:rsidR="00A2471B">
        <w:rPr>
          <w:rFonts w:asciiTheme="majorHAnsi" w:hAnsiTheme="majorHAnsi"/>
          <w:sz w:val="24"/>
          <w:szCs w:val="24"/>
        </w:rPr>
        <w:t>3</w:t>
      </w:r>
      <w:r w:rsidRPr="00A2471B" w:rsidR="00A2471B">
        <w:rPr>
          <w:rFonts w:asciiTheme="majorHAnsi" w:hAnsiTheme="majorHAnsi"/>
          <w:sz w:val="24"/>
          <w:szCs w:val="24"/>
          <w:vertAlign w:val="superscript"/>
        </w:rPr>
        <w:t>rd</w:t>
      </w:r>
      <w:r w:rsidR="00A2471B">
        <w:rPr>
          <w:rFonts w:asciiTheme="majorHAnsi" w:hAnsiTheme="majorHAnsi"/>
          <w:sz w:val="24"/>
          <w:szCs w:val="24"/>
        </w:rPr>
        <w:t xml:space="preserve"> round (most recent) </w:t>
      </w:r>
      <w:r w:rsidR="00FC56D5">
        <w:rPr>
          <w:rFonts w:asciiTheme="majorHAnsi" w:hAnsiTheme="majorHAnsi"/>
          <w:sz w:val="24"/>
          <w:szCs w:val="24"/>
        </w:rPr>
        <w:t xml:space="preserve">CFSR final report and available Program Improvement Plans. </w:t>
      </w:r>
      <w:r w:rsidR="00F5612E">
        <w:rPr>
          <w:rFonts w:asciiTheme="majorHAnsi" w:hAnsiTheme="majorHAnsi"/>
          <w:sz w:val="24"/>
          <w:szCs w:val="24"/>
        </w:rPr>
        <w:t>In addition</w:t>
      </w:r>
      <w:r w:rsidR="00FC56D5">
        <w:rPr>
          <w:rFonts w:asciiTheme="majorHAnsi" w:hAnsiTheme="majorHAnsi"/>
          <w:sz w:val="24"/>
          <w:szCs w:val="24"/>
        </w:rPr>
        <w:t>, we</w:t>
      </w:r>
      <w:r>
        <w:rPr>
          <w:rFonts w:asciiTheme="majorHAnsi" w:hAnsiTheme="majorHAnsi"/>
          <w:sz w:val="24"/>
          <w:szCs w:val="24"/>
        </w:rPr>
        <w:t xml:space="preserve"> consulted with ACF</w:t>
      </w:r>
      <w:r w:rsidR="0010707D">
        <w:rPr>
          <w:rFonts w:asciiTheme="majorHAnsi" w:hAnsiTheme="majorHAnsi"/>
          <w:sz w:val="24"/>
          <w:szCs w:val="24"/>
        </w:rPr>
        <w:t>’s adoption specialists</w:t>
      </w:r>
      <w:r>
        <w:rPr>
          <w:rFonts w:asciiTheme="majorHAnsi" w:hAnsiTheme="majorHAnsi"/>
          <w:sz w:val="24"/>
          <w:szCs w:val="24"/>
        </w:rPr>
        <w:t xml:space="preserve"> and </w:t>
      </w:r>
      <w:r w:rsidR="0010707D">
        <w:rPr>
          <w:rFonts w:asciiTheme="majorHAnsi" w:hAnsiTheme="majorHAnsi"/>
          <w:sz w:val="24"/>
          <w:szCs w:val="24"/>
        </w:rPr>
        <w:t>confirmed that they have not funded any research on this topic and are aware of no research we did not identify</w:t>
      </w:r>
      <w:r w:rsidR="00FC56D5">
        <w:rPr>
          <w:rFonts w:asciiTheme="majorHAnsi" w:hAnsiTheme="majorHAnsi"/>
          <w:sz w:val="24"/>
          <w:szCs w:val="24"/>
        </w:rPr>
        <w:t xml:space="preserve"> through our literature search</w:t>
      </w:r>
      <w:r w:rsidR="0010707D">
        <w:rPr>
          <w:rFonts w:asciiTheme="majorHAnsi" w:hAnsiTheme="majorHAnsi"/>
          <w:sz w:val="24"/>
          <w:szCs w:val="24"/>
        </w:rPr>
        <w:t xml:space="preserve">. </w:t>
      </w:r>
      <w:r w:rsidRPr="0041582B" w:rsidR="00716680">
        <w:rPr>
          <w:rFonts w:asciiTheme="majorHAnsi" w:hAnsiTheme="majorHAnsi"/>
          <w:sz w:val="24"/>
          <w:szCs w:val="24"/>
        </w:rPr>
        <w:t xml:space="preserve"> </w:t>
      </w:r>
      <w:r w:rsidR="00F5612E">
        <w:rPr>
          <w:rFonts w:asciiTheme="majorHAnsi" w:hAnsiTheme="majorHAnsi"/>
          <w:sz w:val="24"/>
          <w:szCs w:val="24"/>
        </w:rPr>
        <w:t xml:space="preserve"> Finally, we conducted four key informant interviews with experts to inform the development of our discussion guides. Each key informant was also asked about gray literature or efforts underway that we may have missed.</w:t>
      </w:r>
    </w:p>
    <w:p w:rsidRPr="0041582B" w:rsidR="00E33E1B" w:rsidP="007760B3" w:rsidRDefault="00E33E1B" w14:paraId="0EC90CFC" w14:textId="77777777">
      <w:pPr>
        <w:pStyle w:val="ListParagraph"/>
        <w:spacing w:after="0" w:line="240" w:lineRule="auto"/>
        <w:rPr>
          <w:rFonts w:asciiTheme="majorHAnsi" w:hAnsiTheme="majorHAnsi"/>
          <w:sz w:val="24"/>
          <w:szCs w:val="24"/>
        </w:rPr>
      </w:pPr>
    </w:p>
    <w:p w:rsidRPr="0041582B" w:rsidR="00B12F51" w:rsidP="007760B3" w:rsidRDefault="00B47055" w14:paraId="5203EA6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Impact on Small Businesses or Other Small Entities</w:t>
      </w:r>
    </w:p>
    <w:p w:rsidRPr="0041582B" w:rsidR="0053557D" w:rsidP="007760B3" w:rsidRDefault="00D26A64" w14:paraId="7B443680"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lastRenderedPageBreak/>
        <w:t>N</w:t>
      </w:r>
      <w:r w:rsidRPr="0041582B" w:rsidR="00AF2252">
        <w:rPr>
          <w:rFonts w:asciiTheme="majorHAnsi" w:hAnsiTheme="majorHAnsi"/>
          <w:sz w:val="24"/>
          <w:szCs w:val="24"/>
        </w:rPr>
        <w:t>o small businesses will be involved in this data collection</w:t>
      </w:r>
      <w:r w:rsidRPr="0041582B">
        <w:rPr>
          <w:rFonts w:asciiTheme="majorHAnsi" w:hAnsiTheme="majorHAnsi"/>
          <w:sz w:val="24"/>
          <w:szCs w:val="24"/>
        </w:rPr>
        <w:t>.</w:t>
      </w:r>
    </w:p>
    <w:p w:rsidRPr="0041582B" w:rsidR="00BB7B23" w:rsidP="007760B3" w:rsidRDefault="00BB7B23" w14:paraId="02EBB87A" w14:textId="77777777">
      <w:pPr>
        <w:pStyle w:val="ListParagraph"/>
        <w:spacing w:after="0" w:line="240" w:lineRule="auto"/>
        <w:rPr>
          <w:rFonts w:asciiTheme="majorHAnsi" w:hAnsiTheme="majorHAnsi"/>
          <w:sz w:val="24"/>
          <w:szCs w:val="24"/>
        </w:rPr>
      </w:pPr>
    </w:p>
    <w:p w:rsidRPr="0041582B" w:rsidR="00C768E5" w:rsidP="007760B3" w:rsidRDefault="00B47055" w14:paraId="2810CA0F"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Consequences of Collecting the Information Less Frequently</w:t>
      </w:r>
      <w:r w:rsidRPr="0041582B">
        <w:rPr>
          <w:rFonts w:asciiTheme="majorHAnsi" w:hAnsiTheme="majorHAnsi"/>
          <w:b/>
          <w:sz w:val="24"/>
          <w:szCs w:val="24"/>
        </w:rPr>
        <w:t xml:space="preserve"> </w:t>
      </w:r>
      <w:r w:rsidRPr="0041582B" w:rsidR="00D95FBF">
        <w:rPr>
          <w:rFonts w:asciiTheme="majorHAnsi" w:hAnsiTheme="majorHAnsi"/>
          <w:b/>
          <w:sz w:val="24"/>
          <w:szCs w:val="24"/>
        </w:rPr>
        <w:t xml:space="preserve">   </w:t>
      </w:r>
    </w:p>
    <w:p w:rsidRPr="0041582B" w:rsidR="00607F7C" w:rsidP="007760B3" w:rsidRDefault="00607F7C" w14:paraId="27245B99" w14:textId="5EDBAA54">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This request is for </w:t>
      </w:r>
      <w:r w:rsidRPr="0041582B" w:rsidR="00667C89">
        <w:rPr>
          <w:rFonts w:asciiTheme="majorHAnsi" w:hAnsiTheme="majorHAnsi"/>
          <w:sz w:val="24"/>
          <w:szCs w:val="24"/>
        </w:rPr>
        <w:t xml:space="preserve">a </w:t>
      </w:r>
      <w:r w:rsidRPr="0041582B" w:rsidR="00BC5BB2">
        <w:rPr>
          <w:rFonts w:asciiTheme="majorHAnsi" w:hAnsiTheme="majorHAnsi"/>
          <w:sz w:val="24"/>
          <w:szCs w:val="24"/>
        </w:rPr>
        <w:t>one time data collection.</w:t>
      </w:r>
      <w:r w:rsidRPr="0041582B" w:rsidR="0053557D">
        <w:rPr>
          <w:rFonts w:asciiTheme="majorHAnsi" w:hAnsiTheme="majorHAnsi"/>
          <w:sz w:val="24"/>
          <w:szCs w:val="24"/>
        </w:rPr>
        <w:t xml:space="preserve"> </w:t>
      </w:r>
      <w:r w:rsidR="00FC56D5">
        <w:rPr>
          <w:rFonts w:asciiTheme="majorHAnsi" w:hAnsiTheme="majorHAnsi"/>
          <w:sz w:val="24"/>
          <w:szCs w:val="24"/>
        </w:rPr>
        <w:t>Less frequently would mean collecting no data at all.</w:t>
      </w:r>
    </w:p>
    <w:p w:rsidRPr="0041582B" w:rsidR="00BF11A1" w:rsidP="007760B3" w:rsidRDefault="00BF11A1" w14:paraId="38DAC543" w14:textId="77777777">
      <w:pPr>
        <w:spacing w:after="0" w:line="240" w:lineRule="auto"/>
        <w:rPr>
          <w:rFonts w:asciiTheme="majorHAnsi" w:hAnsiTheme="majorHAnsi"/>
          <w:sz w:val="24"/>
          <w:szCs w:val="24"/>
        </w:rPr>
      </w:pPr>
    </w:p>
    <w:p w:rsidRPr="0041582B" w:rsidR="00B12F51" w:rsidP="007760B3" w:rsidRDefault="00B47055" w14:paraId="3BCE7C8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Special Circumstances Relating to the Guidelines of 5 CFR 1320.5</w:t>
      </w:r>
    </w:p>
    <w:p w:rsidRPr="0041582B" w:rsidR="00F52BCC" w:rsidP="007760B3" w:rsidRDefault="00A809AA" w14:paraId="7B8BEAB5"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There are no special circumstances with this information collection package. </w:t>
      </w:r>
      <w:r w:rsidRPr="0041582B" w:rsidR="00835CA7">
        <w:rPr>
          <w:rFonts w:asciiTheme="majorHAnsi" w:hAnsiTheme="majorHAnsi"/>
          <w:sz w:val="24"/>
          <w:szCs w:val="24"/>
        </w:rPr>
        <w:t>This request fully complies with the regulation 5 CFR 1320.5</w:t>
      </w:r>
      <w:r w:rsidRPr="0041582B" w:rsidR="00D95FBF">
        <w:rPr>
          <w:rFonts w:asciiTheme="majorHAnsi" w:hAnsiTheme="majorHAnsi"/>
          <w:sz w:val="24"/>
          <w:szCs w:val="24"/>
        </w:rPr>
        <w:t xml:space="preserve"> and will be voluntary</w:t>
      </w:r>
      <w:r w:rsidRPr="0041582B" w:rsidR="00835CA7">
        <w:rPr>
          <w:rFonts w:asciiTheme="majorHAnsi" w:hAnsiTheme="majorHAnsi"/>
          <w:sz w:val="24"/>
          <w:szCs w:val="24"/>
        </w:rPr>
        <w:t>.</w:t>
      </w:r>
    </w:p>
    <w:p w:rsidRPr="0041582B" w:rsidR="00F52BCC" w:rsidP="007760B3" w:rsidRDefault="00F52BCC" w14:paraId="41B80D47" w14:textId="77777777">
      <w:pPr>
        <w:pStyle w:val="ListParagraph"/>
        <w:spacing w:after="0" w:line="240" w:lineRule="auto"/>
        <w:rPr>
          <w:rFonts w:asciiTheme="majorHAnsi" w:hAnsiTheme="majorHAnsi"/>
          <w:sz w:val="24"/>
          <w:szCs w:val="24"/>
        </w:rPr>
      </w:pPr>
    </w:p>
    <w:p w:rsidRPr="0041582B" w:rsidR="00B12F51" w:rsidP="007760B3" w:rsidRDefault="0088467A" w14:paraId="4CE22972" w14:textId="77777777">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Comments in Response to the Federal Register Notice and Efforts to Consult Outside the Agency</w:t>
      </w:r>
    </w:p>
    <w:p w:rsidRPr="0041582B" w:rsidR="00F52BCC" w:rsidP="007760B3" w:rsidRDefault="00033BA0" w14:paraId="1B5CCD4A" w14:textId="77777777">
      <w:pPr>
        <w:pStyle w:val="BlockText"/>
        <w:spacing w:line="240" w:lineRule="auto"/>
        <w:ind w:left="810"/>
        <w:rPr>
          <w:sz w:val="24"/>
          <w:szCs w:val="24"/>
        </w:rPr>
      </w:pPr>
      <w:r w:rsidRPr="0041582B">
        <w:rPr>
          <w:sz w:val="24"/>
          <w:szCs w:val="24"/>
        </w:rPr>
        <w:t>This data collection is being conducted using the Generic Information Collection mechanism through ASPE – OMB No. 0990-0421, therefore no Federal Register notice is required.</w:t>
      </w:r>
    </w:p>
    <w:p w:rsidRPr="0041582B" w:rsidR="00B12F51" w:rsidP="007760B3" w:rsidRDefault="0088467A" w14:paraId="523C3F50"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Explanation of Any Payment or Gift to Respondents</w:t>
      </w:r>
    </w:p>
    <w:p w:rsidR="00F52BCC" w:rsidP="000F4D08" w:rsidRDefault="000F4D08" w14:paraId="2FAA0604" w14:textId="508F360F">
      <w:pPr>
        <w:pStyle w:val="ListParagraph"/>
        <w:spacing w:after="0" w:line="240" w:lineRule="auto"/>
        <w:ind w:left="810"/>
        <w:rPr>
          <w:rFonts w:asciiTheme="majorHAnsi" w:hAnsiTheme="majorHAnsi"/>
          <w:sz w:val="24"/>
          <w:szCs w:val="24"/>
        </w:rPr>
      </w:pPr>
      <w:r>
        <w:rPr>
          <w:rFonts w:asciiTheme="majorHAnsi" w:hAnsiTheme="majorHAnsi"/>
          <w:sz w:val="24"/>
          <w:szCs w:val="24"/>
        </w:rPr>
        <w:t>Respondents to this data collection fall into two categories:  professionals</w:t>
      </w:r>
      <w:r w:rsidR="002D74FB">
        <w:rPr>
          <w:rFonts w:asciiTheme="majorHAnsi" w:hAnsiTheme="majorHAnsi"/>
          <w:sz w:val="24"/>
          <w:szCs w:val="24"/>
        </w:rPr>
        <w:t xml:space="preserve"> (child welfare administrators, caseworkers, judges and other stakeholders)</w:t>
      </w:r>
      <w:r>
        <w:rPr>
          <w:rFonts w:asciiTheme="majorHAnsi" w:hAnsiTheme="majorHAnsi"/>
          <w:sz w:val="24"/>
          <w:szCs w:val="24"/>
        </w:rPr>
        <w:t xml:space="preserve"> who will be responding</w:t>
      </w:r>
      <w:r w:rsidR="002D74FB">
        <w:rPr>
          <w:rFonts w:asciiTheme="majorHAnsi" w:hAnsiTheme="majorHAnsi"/>
          <w:sz w:val="24"/>
          <w:szCs w:val="24"/>
        </w:rPr>
        <w:t xml:space="preserve"> in their professional capacities (20 to 60)</w:t>
      </w:r>
      <w:r>
        <w:rPr>
          <w:rFonts w:asciiTheme="majorHAnsi" w:hAnsiTheme="majorHAnsi"/>
          <w:sz w:val="24"/>
          <w:szCs w:val="24"/>
        </w:rPr>
        <w:t>, and child welfare system participants including former foster youth, birth parents, and foster parents</w:t>
      </w:r>
      <w:r w:rsidR="002D74FB">
        <w:rPr>
          <w:rFonts w:asciiTheme="majorHAnsi" w:hAnsiTheme="majorHAnsi"/>
          <w:sz w:val="24"/>
          <w:szCs w:val="24"/>
        </w:rPr>
        <w:t xml:space="preserve"> (n=12 to 15)</w:t>
      </w:r>
      <w:r>
        <w:rPr>
          <w:rFonts w:asciiTheme="majorHAnsi" w:hAnsiTheme="majorHAnsi"/>
          <w:sz w:val="24"/>
          <w:szCs w:val="24"/>
        </w:rPr>
        <w:t>. The professional respondents will not be compensated. For the non-professional respondents, we plan to provide a $50 Visa Gift Card to thank them for their participation</w:t>
      </w:r>
      <w:r w:rsidR="00A2471B">
        <w:rPr>
          <w:rFonts w:asciiTheme="majorHAnsi" w:hAnsiTheme="majorHAnsi"/>
          <w:sz w:val="24"/>
          <w:szCs w:val="24"/>
        </w:rPr>
        <w:t xml:space="preserve"> and recognize the value of their lived experience</w:t>
      </w:r>
      <w:r>
        <w:rPr>
          <w:rFonts w:asciiTheme="majorHAnsi" w:hAnsiTheme="majorHAnsi"/>
          <w:sz w:val="24"/>
          <w:szCs w:val="24"/>
        </w:rPr>
        <w:t>. These respondents are voluntarily sharing with us their important perspectives</w:t>
      </w:r>
      <w:r w:rsidR="002D74FB">
        <w:rPr>
          <w:rFonts w:asciiTheme="majorHAnsi" w:hAnsiTheme="majorHAnsi"/>
          <w:sz w:val="24"/>
          <w:szCs w:val="24"/>
        </w:rPr>
        <w:t xml:space="preserve"> and the gift cards communicate to them that we value their time</w:t>
      </w:r>
      <w:r>
        <w:rPr>
          <w:rFonts w:asciiTheme="majorHAnsi" w:hAnsiTheme="majorHAnsi"/>
          <w:sz w:val="24"/>
          <w:szCs w:val="24"/>
        </w:rPr>
        <w:t xml:space="preserve">. </w:t>
      </w:r>
    </w:p>
    <w:p w:rsidR="000F4D08" w:rsidP="000F4D08" w:rsidRDefault="000F4D08" w14:paraId="22703398" w14:textId="4F8682CF">
      <w:pPr>
        <w:pStyle w:val="ListParagraph"/>
        <w:spacing w:after="0" w:line="240" w:lineRule="auto"/>
        <w:ind w:left="810"/>
        <w:rPr>
          <w:rFonts w:asciiTheme="majorHAnsi" w:hAnsiTheme="majorHAnsi"/>
          <w:sz w:val="24"/>
          <w:szCs w:val="24"/>
        </w:rPr>
      </w:pPr>
    </w:p>
    <w:p w:rsidR="000F4D08" w:rsidP="000F4D08" w:rsidRDefault="00147140" w14:paraId="76550F72" w14:textId="1047AC93">
      <w:pPr>
        <w:pStyle w:val="ListParagraph"/>
        <w:spacing w:after="0" w:line="240" w:lineRule="auto"/>
        <w:ind w:left="810"/>
        <w:rPr>
          <w:rFonts w:asciiTheme="majorHAnsi" w:hAnsiTheme="majorHAnsi"/>
          <w:sz w:val="24"/>
          <w:szCs w:val="24"/>
        </w:rPr>
      </w:pPr>
      <w:r>
        <w:rPr>
          <w:rFonts w:asciiTheme="majorHAnsi" w:hAnsiTheme="majorHAnsi"/>
          <w:sz w:val="24"/>
          <w:szCs w:val="24"/>
        </w:rPr>
        <w:t xml:space="preserve">Evidence shows that remuneration bolsters </w:t>
      </w:r>
      <w:r w:rsidR="0034286C">
        <w:rPr>
          <w:rFonts w:asciiTheme="majorHAnsi" w:hAnsiTheme="majorHAnsi"/>
          <w:sz w:val="24"/>
          <w:szCs w:val="24"/>
        </w:rPr>
        <w:t xml:space="preserve">survey response, including </w:t>
      </w:r>
      <w:r>
        <w:rPr>
          <w:rFonts w:asciiTheme="majorHAnsi" w:hAnsiTheme="majorHAnsi"/>
          <w:sz w:val="24"/>
          <w:szCs w:val="24"/>
        </w:rPr>
        <w:t>recruitment and attendance at small group interviews</w:t>
      </w:r>
      <w:r w:rsidR="0034286C">
        <w:rPr>
          <w:rFonts w:asciiTheme="majorHAnsi" w:hAnsiTheme="majorHAnsi"/>
          <w:sz w:val="24"/>
          <w:szCs w:val="24"/>
        </w:rPr>
        <w:t xml:space="preserve"> (e.g. Singer and Ye, 2012)</w:t>
      </w:r>
      <w:r>
        <w:rPr>
          <w:rFonts w:asciiTheme="majorHAnsi" w:hAnsiTheme="majorHAnsi"/>
          <w:sz w:val="24"/>
          <w:szCs w:val="24"/>
        </w:rPr>
        <w:t xml:space="preserve">. Most of </w:t>
      </w:r>
      <w:r w:rsidR="0034286C">
        <w:rPr>
          <w:rFonts w:asciiTheme="majorHAnsi" w:hAnsiTheme="majorHAnsi"/>
          <w:sz w:val="24"/>
          <w:szCs w:val="24"/>
        </w:rPr>
        <w:t>our nonprofessional respondents are likely to be</w:t>
      </w:r>
      <w:r>
        <w:rPr>
          <w:rFonts w:asciiTheme="majorHAnsi" w:hAnsiTheme="majorHAnsi"/>
          <w:sz w:val="24"/>
          <w:szCs w:val="24"/>
        </w:rPr>
        <w:t xml:space="preserve"> working parents who are busy, and most are likely to be low income and thus face additional barriers to participating in the interview. To ensure that our incentive is not coercive, consent scripts indicate and interviewers will be trained to make it very clear that participants who choose to leave the group early or who prefer not to respond to certain questions will still receive the $50 gift card. Mathematica staff will track the cards that are paid out by completing a log when they send the gift card to participants.</w:t>
      </w:r>
    </w:p>
    <w:p w:rsidRPr="0041582B" w:rsidR="000F4D08" w:rsidP="000F4D08" w:rsidRDefault="000F4D08" w14:paraId="621749B2" w14:textId="77777777">
      <w:pPr>
        <w:pStyle w:val="ListParagraph"/>
        <w:spacing w:after="0" w:line="240" w:lineRule="auto"/>
        <w:ind w:left="810"/>
        <w:rPr>
          <w:rFonts w:asciiTheme="majorHAnsi" w:hAnsiTheme="majorHAnsi"/>
          <w:sz w:val="24"/>
          <w:szCs w:val="24"/>
        </w:rPr>
      </w:pPr>
    </w:p>
    <w:p w:rsidRPr="0041582B" w:rsidR="00B12F51" w:rsidP="007760B3" w:rsidRDefault="0088467A" w14:paraId="28B58186"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 xml:space="preserve"> </w:t>
      </w:r>
      <w:r w:rsidRPr="0041582B">
        <w:rPr>
          <w:rFonts w:asciiTheme="majorHAnsi" w:hAnsiTheme="majorHAnsi"/>
          <w:b/>
          <w:bCs/>
          <w:sz w:val="24"/>
          <w:szCs w:val="24"/>
        </w:rPr>
        <w:t>Assurance of Confidentiality Provided to Respondents</w:t>
      </w:r>
    </w:p>
    <w:p w:rsidR="00565EA9" w:rsidP="007760B3" w:rsidRDefault="00FC7C4A" w14:paraId="5636C2C0" w14:textId="17C2FFFE">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 xml:space="preserve">Data collected in this study will be kept private to the extent allowed by law. </w:t>
      </w:r>
      <w:r w:rsidRPr="0041582B" w:rsidR="00033BA0">
        <w:rPr>
          <w:rFonts w:asciiTheme="majorHAnsi" w:hAnsiTheme="majorHAnsi"/>
          <w:sz w:val="24"/>
          <w:szCs w:val="24"/>
        </w:rPr>
        <w:t xml:space="preserve">The Privacy Act does not apply to this data collection. State and local administrators and practitioners who answer questions will be answering in their official roles and will not be asked about, nor will they provide, sensitive individually identifiable information. </w:t>
      </w:r>
    </w:p>
    <w:p w:rsidR="00C87F6E" w:rsidP="007760B3" w:rsidRDefault="00C87F6E" w14:paraId="03DE3F4C" w14:textId="0AD1371E">
      <w:pPr>
        <w:pStyle w:val="ListParagraph"/>
        <w:autoSpaceDE w:val="0"/>
        <w:autoSpaceDN w:val="0"/>
        <w:adjustRightInd w:val="0"/>
        <w:spacing w:after="0" w:line="240" w:lineRule="auto"/>
        <w:ind w:left="810"/>
        <w:rPr>
          <w:rFonts w:asciiTheme="majorHAnsi" w:hAnsiTheme="majorHAnsi"/>
          <w:sz w:val="24"/>
          <w:szCs w:val="24"/>
        </w:rPr>
      </w:pPr>
    </w:p>
    <w:p w:rsidR="006F51C3" w:rsidP="007760B3" w:rsidRDefault="00FC56D5" w14:paraId="00D6AB32" w14:textId="2527E80B">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With respect to non-professional respondents, o</w:t>
      </w:r>
      <w:r w:rsidR="00C87F6E">
        <w:rPr>
          <w:rFonts w:asciiTheme="majorHAnsi" w:hAnsiTheme="majorHAnsi"/>
          <w:sz w:val="24"/>
          <w:szCs w:val="24"/>
        </w:rPr>
        <w:t xml:space="preserve">ur contractor will collect only that identifying information needed to schedule interviews and, for non-professional </w:t>
      </w:r>
      <w:r w:rsidR="00C87F6E">
        <w:rPr>
          <w:rFonts w:asciiTheme="majorHAnsi" w:hAnsiTheme="majorHAnsi"/>
          <w:sz w:val="24"/>
          <w:szCs w:val="24"/>
        </w:rPr>
        <w:lastRenderedPageBreak/>
        <w:t>respondents</w:t>
      </w:r>
      <w:r w:rsidR="00A2471B">
        <w:rPr>
          <w:rFonts w:asciiTheme="majorHAnsi" w:hAnsiTheme="majorHAnsi"/>
          <w:sz w:val="24"/>
          <w:szCs w:val="24"/>
        </w:rPr>
        <w:t>,</w:t>
      </w:r>
      <w:r w:rsidR="00C87F6E">
        <w:rPr>
          <w:rFonts w:asciiTheme="majorHAnsi" w:hAnsiTheme="majorHAnsi"/>
          <w:sz w:val="24"/>
          <w:szCs w:val="24"/>
        </w:rPr>
        <w:t xml:space="preserve"> to send gift cards in appreciation of their participation. </w:t>
      </w:r>
      <w:r w:rsidR="006F51C3">
        <w:rPr>
          <w:rFonts w:asciiTheme="majorHAnsi" w:hAnsiTheme="majorHAnsi"/>
          <w:sz w:val="24"/>
          <w:szCs w:val="24"/>
        </w:rPr>
        <w:t xml:space="preserve">The names of study participants will remain confidential and will not be used in the analysis or writing the study findings, regardless of whether the names were mentioned in an interview and therefore became part of the transcripts. All study participants will be referred to by generic roles that identifying only their respondent type (child welfare administrator, former foster youth, and so on). </w:t>
      </w:r>
      <w:r>
        <w:rPr>
          <w:rFonts w:asciiTheme="majorHAnsi" w:hAnsiTheme="majorHAnsi"/>
          <w:sz w:val="24"/>
          <w:szCs w:val="24"/>
        </w:rPr>
        <w:t xml:space="preserve">In addition, no </w:t>
      </w:r>
      <w:r w:rsidR="006F51C3">
        <w:rPr>
          <w:rFonts w:asciiTheme="majorHAnsi" w:hAnsiTheme="majorHAnsi"/>
          <w:sz w:val="24"/>
          <w:szCs w:val="24"/>
        </w:rPr>
        <w:t xml:space="preserve">names </w:t>
      </w:r>
      <w:r>
        <w:rPr>
          <w:rFonts w:asciiTheme="majorHAnsi" w:hAnsiTheme="majorHAnsi"/>
          <w:sz w:val="24"/>
          <w:szCs w:val="24"/>
        </w:rPr>
        <w:t xml:space="preserve">will </w:t>
      </w:r>
      <w:r w:rsidR="006F51C3">
        <w:rPr>
          <w:rFonts w:asciiTheme="majorHAnsi" w:hAnsiTheme="majorHAnsi"/>
          <w:sz w:val="24"/>
          <w:szCs w:val="24"/>
        </w:rPr>
        <w:t>be used when documenting the interview notes for analysis.</w:t>
      </w:r>
    </w:p>
    <w:p w:rsidRPr="006F51C3" w:rsidR="00FC7C4A" w:rsidP="006F51C3" w:rsidRDefault="00FC7C4A" w14:paraId="5CBB7A96" w14:textId="591E0E71">
      <w:pPr>
        <w:autoSpaceDE w:val="0"/>
        <w:autoSpaceDN w:val="0"/>
        <w:adjustRightInd w:val="0"/>
        <w:spacing w:after="0" w:line="240" w:lineRule="auto"/>
        <w:rPr>
          <w:rFonts w:asciiTheme="majorHAnsi" w:hAnsiTheme="majorHAnsi"/>
          <w:sz w:val="24"/>
          <w:szCs w:val="24"/>
        </w:rPr>
      </w:pPr>
    </w:p>
    <w:p w:rsidRPr="0041582B" w:rsidR="00FC7C4A" w:rsidP="007760B3" w:rsidRDefault="00FC7C4A" w14:paraId="650CC045" w14:textId="0AAC47E5">
      <w:pPr>
        <w:pStyle w:val="ListParagraph"/>
        <w:autoSpaceDE w:val="0"/>
        <w:autoSpaceDN w:val="0"/>
        <w:adjustRightInd w:val="0"/>
        <w:spacing w:after="0" w:line="240" w:lineRule="auto"/>
        <w:ind w:left="810"/>
        <w:rPr>
          <w:rFonts w:asciiTheme="majorHAnsi" w:hAnsiTheme="majorHAnsi"/>
          <w:sz w:val="24"/>
          <w:szCs w:val="24"/>
        </w:rPr>
      </w:pPr>
      <w:r>
        <w:rPr>
          <w:rFonts w:asciiTheme="majorHAnsi" w:hAnsiTheme="majorHAnsi"/>
          <w:sz w:val="24"/>
          <w:szCs w:val="24"/>
        </w:rPr>
        <w:t xml:space="preserve">This data collection is being reviewed by </w:t>
      </w:r>
      <w:r w:rsidR="006F51C3">
        <w:rPr>
          <w:rFonts w:asciiTheme="majorHAnsi" w:hAnsiTheme="majorHAnsi"/>
          <w:sz w:val="24"/>
          <w:szCs w:val="24"/>
        </w:rPr>
        <w:t xml:space="preserve">our contractor’s external IRB, Health Media Lab. </w:t>
      </w:r>
      <w:r w:rsidR="00CF47D2">
        <w:rPr>
          <w:rFonts w:asciiTheme="majorHAnsi" w:hAnsiTheme="majorHAnsi"/>
          <w:sz w:val="24"/>
          <w:szCs w:val="24"/>
        </w:rPr>
        <w:t xml:space="preserve">No data collection will begin until </w:t>
      </w:r>
      <w:r w:rsidR="00CC42F0">
        <w:rPr>
          <w:rFonts w:asciiTheme="majorHAnsi" w:hAnsiTheme="majorHAnsi"/>
          <w:sz w:val="24"/>
          <w:szCs w:val="24"/>
        </w:rPr>
        <w:t>b</w:t>
      </w:r>
      <w:r w:rsidR="00FC56D5">
        <w:rPr>
          <w:rFonts w:asciiTheme="majorHAnsi" w:hAnsiTheme="majorHAnsi"/>
          <w:sz w:val="24"/>
          <w:szCs w:val="24"/>
        </w:rPr>
        <w:t xml:space="preserve">oth OMB and </w:t>
      </w:r>
      <w:r w:rsidR="00CF47D2">
        <w:rPr>
          <w:rFonts w:asciiTheme="majorHAnsi" w:hAnsiTheme="majorHAnsi"/>
          <w:sz w:val="24"/>
          <w:szCs w:val="24"/>
        </w:rPr>
        <w:t>IRB approval has been obtained.</w:t>
      </w:r>
    </w:p>
    <w:p w:rsidRPr="0041582B" w:rsidR="00F52BCC" w:rsidP="007760B3" w:rsidRDefault="00F52BCC" w14:paraId="0DDA2E1F" w14:textId="77777777">
      <w:pPr>
        <w:spacing w:after="0" w:line="240" w:lineRule="auto"/>
        <w:rPr>
          <w:rFonts w:asciiTheme="majorHAnsi" w:hAnsiTheme="majorHAnsi"/>
          <w:sz w:val="24"/>
          <w:szCs w:val="24"/>
        </w:rPr>
      </w:pPr>
    </w:p>
    <w:p w:rsidRPr="0041582B" w:rsidR="00B12F51" w:rsidP="007760B3" w:rsidRDefault="0088467A" w14:paraId="06282419"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Justification for Sensitive Questions</w:t>
      </w:r>
    </w:p>
    <w:p w:rsidR="00085BB0" w:rsidP="007760B3" w:rsidRDefault="003C31C9" w14:paraId="4F3FBB60" w14:textId="77777777">
      <w:pPr>
        <w:pStyle w:val="ListParagraph"/>
        <w:tabs>
          <w:tab w:val="left" w:pos="810"/>
        </w:tabs>
        <w:spacing w:after="0" w:line="240" w:lineRule="auto"/>
        <w:ind w:left="810"/>
        <w:rPr>
          <w:rFonts w:asciiTheme="majorHAnsi" w:hAnsiTheme="majorHAnsi"/>
          <w:sz w:val="24"/>
          <w:szCs w:val="24"/>
        </w:rPr>
      </w:pPr>
      <w:r w:rsidRPr="0041582B">
        <w:rPr>
          <w:rFonts w:asciiTheme="majorHAnsi" w:hAnsiTheme="majorHAnsi"/>
          <w:sz w:val="24"/>
          <w:szCs w:val="24"/>
        </w:rPr>
        <w:t>No information will be collected</w:t>
      </w:r>
      <w:r w:rsidRPr="0041582B" w:rsidR="00616090">
        <w:rPr>
          <w:rFonts w:asciiTheme="majorHAnsi" w:hAnsiTheme="majorHAnsi"/>
          <w:sz w:val="24"/>
          <w:szCs w:val="24"/>
        </w:rPr>
        <w:t xml:space="preserve"> </w:t>
      </w:r>
      <w:r w:rsidR="00CF47D2">
        <w:rPr>
          <w:rFonts w:asciiTheme="majorHAnsi" w:hAnsiTheme="majorHAnsi"/>
          <w:sz w:val="24"/>
          <w:szCs w:val="24"/>
        </w:rPr>
        <w:t xml:space="preserve">from professional respondents </w:t>
      </w:r>
      <w:r w:rsidRPr="0041582B" w:rsidR="00616090">
        <w:rPr>
          <w:rFonts w:asciiTheme="majorHAnsi" w:hAnsiTheme="majorHAnsi"/>
          <w:sz w:val="24"/>
          <w:szCs w:val="24"/>
        </w:rPr>
        <w:t xml:space="preserve">that </w:t>
      </w:r>
      <w:r w:rsidRPr="0041582B" w:rsidR="002C34ED">
        <w:rPr>
          <w:rFonts w:asciiTheme="majorHAnsi" w:hAnsiTheme="majorHAnsi"/>
          <w:sz w:val="24"/>
          <w:szCs w:val="24"/>
        </w:rPr>
        <w:t>is</w:t>
      </w:r>
      <w:r w:rsidRPr="0041582B" w:rsidR="00616090">
        <w:rPr>
          <w:rFonts w:asciiTheme="majorHAnsi" w:hAnsiTheme="majorHAnsi"/>
          <w:sz w:val="24"/>
          <w:szCs w:val="24"/>
        </w:rPr>
        <w:t xml:space="preserve"> of personal or sensitive nature</w:t>
      </w:r>
      <w:r w:rsidRPr="0041582B" w:rsidR="00D26A64">
        <w:rPr>
          <w:rFonts w:asciiTheme="majorHAnsi" w:hAnsiTheme="majorHAnsi"/>
          <w:sz w:val="24"/>
          <w:szCs w:val="24"/>
        </w:rPr>
        <w:t>.</w:t>
      </w:r>
      <w:r w:rsidR="00CF47D2">
        <w:rPr>
          <w:rFonts w:asciiTheme="majorHAnsi" w:hAnsiTheme="majorHAnsi"/>
          <w:sz w:val="24"/>
          <w:szCs w:val="24"/>
        </w:rPr>
        <w:t xml:space="preserve"> </w:t>
      </w:r>
    </w:p>
    <w:p w:rsidR="00085BB0" w:rsidP="007760B3" w:rsidRDefault="00085BB0" w14:paraId="41120EF0" w14:textId="77777777">
      <w:pPr>
        <w:pStyle w:val="ListParagraph"/>
        <w:tabs>
          <w:tab w:val="left" w:pos="810"/>
        </w:tabs>
        <w:spacing w:after="0" w:line="240" w:lineRule="auto"/>
        <w:ind w:left="810"/>
        <w:rPr>
          <w:rFonts w:asciiTheme="majorHAnsi" w:hAnsiTheme="majorHAnsi"/>
          <w:sz w:val="24"/>
          <w:szCs w:val="24"/>
        </w:rPr>
      </w:pPr>
    </w:p>
    <w:p w:rsidR="00F52BCC" w:rsidP="007760B3" w:rsidRDefault="00CF47D2" w14:paraId="4CFD7579" w14:textId="041507F4">
      <w:pPr>
        <w:pStyle w:val="ListParagraph"/>
        <w:tabs>
          <w:tab w:val="left" w:pos="810"/>
        </w:tabs>
        <w:spacing w:after="0" w:line="240" w:lineRule="auto"/>
        <w:ind w:left="810"/>
        <w:rPr>
          <w:rFonts w:asciiTheme="majorHAnsi" w:hAnsiTheme="majorHAnsi"/>
          <w:sz w:val="24"/>
          <w:szCs w:val="24"/>
        </w:rPr>
      </w:pPr>
      <w:r>
        <w:rPr>
          <w:rFonts w:asciiTheme="majorHAnsi" w:hAnsiTheme="majorHAnsi"/>
          <w:sz w:val="24"/>
          <w:szCs w:val="24"/>
        </w:rPr>
        <w:t xml:space="preserve">For the non-professional respondents, by its nature experiences with termination of parental rights and adoption are </w:t>
      </w:r>
      <w:r w:rsidR="00AD43B2">
        <w:rPr>
          <w:rFonts w:asciiTheme="majorHAnsi" w:hAnsiTheme="majorHAnsi"/>
          <w:sz w:val="24"/>
          <w:szCs w:val="24"/>
        </w:rPr>
        <w:t xml:space="preserve">deeply </w:t>
      </w:r>
      <w:r>
        <w:rPr>
          <w:rFonts w:asciiTheme="majorHAnsi" w:hAnsiTheme="majorHAnsi"/>
          <w:sz w:val="24"/>
          <w:szCs w:val="24"/>
        </w:rPr>
        <w:t>personal</w:t>
      </w:r>
      <w:r w:rsidR="00AD43B2">
        <w:rPr>
          <w:rFonts w:asciiTheme="majorHAnsi" w:hAnsiTheme="majorHAnsi"/>
          <w:sz w:val="24"/>
          <w:szCs w:val="24"/>
        </w:rPr>
        <w:t xml:space="preserve"> and emotional</w:t>
      </w:r>
      <w:r w:rsidR="00085BB0">
        <w:rPr>
          <w:rFonts w:asciiTheme="majorHAnsi" w:hAnsiTheme="majorHAnsi"/>
          <w:sz w:val="24"/>
          <w:szCs w:val="24"/>
        </w:rPr>
        <w:t>.</w:t>
      </w:r>
      <w:r>
        <w:rPr>
          <w:rFonts w:asciiTheme="majorHAnsi" w:hAnsiTheme="majorHAnsi"/>
          <w:sz w:val="24"/>
          <w:szCs w:val="24"/>
        </w:rPr>
        <w:t xml:space="preserve"> However, the perspectives of clients are particularly valuable since they are the most directly affective by termination of parental rights policies and practices. We will recruit our nonprofessional respondents from the rosters of youth and family consultants organized </w:t>
      </w:r>
      <w:r w:rsidR="00AD43B2">
        <w:rPr>
          <w:rFonts w:asciiTheme="majorHAnsi" w:hAnsiTheme="majorHAnsi"/>
          <w:sz w:val="24"/>
          <w:szCs w:val="24"/>
        </w:rPr>
        <w:t xml:space="preserve">and maintained </w:t>
      </w:r>
      <w:r>
        <w:rPr>
          <w:rFonts w:asciiTheme="majorHAnsi" w:hAnsiTheme="majorHAnsi"/>
          <w:sz w:val="24"/>
          <w:szCs w:val="24"/>
        </w:rPr>
        <w:t>by the Administration for Children and Family’s child welfare technical assistance center, The Center for the States</w:t>
      </w:r>
      <w:r w:rsidR="00AD43B2">
        <w:rPr>
          <w:rFonts w:asciiTheme="majorHAnsi" w:hAnsiTheme="majorHAnsi"/>
          <w:sz w:val="24"/>
          <w:szCs w:val="24"/>
        </w:rPr>
        <w:t>. Therefore</w:t>
      </w:r>
      <w:r>
        <w:rPr>
          <w:rFonts w:asciiTheme="majorHAnsi" w:hAnsiTheme="majorHAnsi"/>
          <w:sz w:val="24"/>
          <w:szCs w:val="24"/>
        </w:rPr>
        <w:t>, these will be individuals used to sharing their stories and for whom the issues we discuss will be familiar</w:t>
      </w:r>
      <w:r w:rsidR="002F27AD">
        <w:rPr>
          <w:rFonts w:asciiTheme="majorHAnsi" w:hAnsiTheme="majorHAnsi"/>
          <w:sz w:val="24"/>
          <w:szCs w:val="24"/>
        </w:rPr>
        <w:t>.</w:t>
      </w:r>
      <w:r>
        <w:rPr>
          <w:rFonts w:asciiTheme="majorHAnsi" w:hAnsiTheme="majorHAnsi"/>
          <w:sz w:val="24"/>
          <w:szCs w:val="24"/>
        </w:rPr>
        <w:t xml:space="preserve"> </w:t>
      </w:r>
      <w:r w:rsidR="00085BB0">
        <w:rPr>
          <w:rFonts w:asciiTheme="majorHAnsi" w:hAnsiTheme="majorHAnsi"/>
          <w:sz w:val="24"/>
          <w:szCs w:val="24"/>
        </w:rPr>
        <w:t>The youth and family on the rosters maintained by the Center for the States participate in order to lend their first person expertise to making improvements to child welfare practice and have been trained to share their stories and lend their voice to conference panels, discussions, and other efforts that seek the input of child welfare system participants. We believe this will</w:t>
      </w:r>
      <w:r w:rsidR="00AD43B2">
        <w:rPr>
          <w:rFonts w:asciiTheme="majorHAnsi" w:hAnsiTheme="majorHAnsi"/>
          <w:sz w:val="24"/>
          <w:szCs w:val="24"/>
        </w:rPr>
        <w:t xml:space="preserve"> minimize the intrusiveness experienced</w:t>
      </w:r>
      <w:r w:rsidR="00085BB0">
        <w:rPr>
          <w:rFonts w:asciiTheme="majorHAnsi" w:hAnsiTheme="majorHAnsi"/>
          <w:sz w:val="24"/>
          <w:szCs w:val="24"/>
        </w:rPr>
        <w:t xml:space="preserve"> by </w:t>
      </w:r>
      <w:r w:rsidR="00AD1C9D">
        <w:rPr>
          <w:rFonts w:asciiTheme="majorHAnsi" w:hAnsiTheme="majorHAnsi"/>
          <w:sz w:val="24"/>
          <w:szCs w:val="24"/>
        </w:rPr>
        <w:t>these</w:t>
      </w:r>
      <w:r w:rsidR="00AD43B2">
        <w:rPr>
          <w:rFonts w:asciiTheme="majorHAnsi" w:hAnsiTheme="majorHAnsi"/>
          <w:sz w:val="24"/>
          <w:szCs w:val="24"/>
        </w:rPr>
        <w:t xml:space="preserve"> participants.</w:t>
      </w:r>
    </w:p>
    <w:p w:rsidR="00B1265C" w:rsidP="007760B3" w:rsidRDefault="00B1265C" w14:paraId="388835B5" w14:textId="5FCD8240">
      <w:pPr>
        <w:pStyle w:val="ListParagraph"/>
        <w:tabs>
          <w:tab w:val="left" w:pos="810"/>
        </w:tabs>
        <w:spacing w:after="0" w:line="240" w:lineRule="auto"/>
        <w:ind w:left="810"/>
        <w:rPr>
          <w:rFonts w:asciiTheme="majorHAnsi" w:hAnsiTheme="majorHAnsi"/>
          <w:sz w:val="24"/>
          <w:szCs w:val="24"/>
        </w:rPr>
      </w:pPr>
    </w:p>
    <w:p w:rsidRPr="0041582B" w:rsidR="00B1265C" w:rsidP="007760B3" w:rsidRDefault="00B1265C" w14:paraId="6A0AB0DB" w14:textId="091EDA0D">
      <w:pPr>
        <w:pStyle w:val="ListParagraph"/>
        <w:tabs>
          <w:tab w:val="left" w:pos="810"/>
        </w:tabs>
        <w:spacing w:after="0" w:line="240" w:lineRule="auto"/>
        <w:ind w:left="810"/>
        <w:rPr>
          <w:rFonts w:asciiTheme="majorHAnsi" w:hAnsiTheme="majorHAnsi"/>
          <w:sz w:val="24"/>
          <w:szCs w:val="24"/>
        </w:rPr>
      </w:pPr>
      <w:r>
        <w:rPr>
          <w:rFonts w:asciiTheme="majorHAnsi" w:hAnsiTheme="majorHAnsi"/>
          <w:sz w:val="24"/>
          <w:szCs w:val="24"/>
        </w:rPr>
        <w:t xml:space="preserve">We do not intend to ask about the specifics of their family situations, but will focus on how they experienced the child welfare system’s decision-making around termination of parental rights. </w:t>
      </w:r>
    </w:p>
    <w:p w:rsidRPr="0041582B" w:rsidR="00616090" w:rsidP="007760B3" w:rsidRDefault="00616090" w14:paraId="32908B1C" w14:textId="77777777">
      <w:pPr>
        <w:spacing w:after="0" w:line="240" w:lineRule="auto"/>
        <w:rPr>
          <w:rFonts w:asciiTheme="majorHAnsi" w:hAnsiTheme="majorHAnsi"/>
          <w:sz w:val="24"/>
          <w:szCs w:val="24"/>
        </w:rPr>
      </w:pPr>
    </w:p>
    <w:p w:rsidRPr="0041582B" w:rsidR="00B64BFA" w:rsidP="007760B3" w:rsidRDefault="0088467A" w14:paraId="6E357714"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Estimates of Annualized Burden Hours and Costs</w:t>
      </w:r>
    </w:p>
    <w:p w:rsidRPr="00327A65" w:rsidR="002F27AD" w:rsidP="007760B3" w:rsidRDefault="00B64BFA" w14:paraId="68E51FFC" w14:textId="0F6AB704">
      <w:pPr>
        <w:pStyle w:val="ListParagraph"/>
        <w:autoSpaceDE w:val="0"/>
        <w:autoSpaceDN w:val="0"/>
        <w:adjustRightInd w:val="0"/>
        <w:spacing w:line="240" w:lineRule="auto"/>
        <w:ind w:left="810"/>
        <w:rPr>
          <w:rFonts w:asciiTheme="majorHAnsi" w:hAnsiTheme="majorHAnsi"/>
          <w:sz w:val="24"/>
          <w:szCs w:val="24"/>
        </w:rPr>
      </w:pPr>
      <w:r w:rsidRPr="00327A65">
        <w:rPr>
          <w:rFonts w:asciiTheme="majorHAnsi" w:hAnsiTheme="majorHAnsi"/>
          <w:color w:val="000000"/>
          <w:sz w:val="24"/>
          <w:szCs w:val="24"/>
        </w:rPr>
        <w:t>The estimate for burden hours is</w:t>
      </w:r>
      <w:r w:rsidRPr="00327A65" w:rsidR="002529F8">
        <w:rPr>
          <w:rFonts w:asciiTheme="majorHAnsi" w:hAnsiTheme="majorHAnsi"/>
          <w:color w:val="000000"/>
          <w:sz w:val="24"/>
          <w:szCs w:val="24"/>
        </w:rPr>
        <w:t xml:space="preserve"> </w:t>
      </w:r>
      <w:r w:rsidRPr="00327A65" w:rsidR="002F27AD">
        <w:rPr>
          <w:rFonts w:asciiTheme="majorHAnsi" w:hAnsiTheme="majorHAnsi"/>
          <w:color w:val="000000"/>
          <w:sz w:val="24"/>
          <w:szCs w:val="24"/>
        </w:rPr>
        <w:t>60</w:t>
      </w:r>
      <w:r w:rsidRPr="00327A65" w:rsidR="003D1B08">
        <w:rPr>
          <w:rFonts w:asciiTheme="majorHAnsi" w:hAnsiTheme="majorHAnsi"/>
          <w:color w:val="000000"/>
          <w:sz w:val="24"/>
          <w:szCs w:val="24"/>
        </w:rPr>
        <w:t xml:space="preserve"> minutes per response</w:t>
      </w:r>
      <w:r w:rsidRPr="00327A65" w:rsidR="008C3432">
        <w:rPr>
          <w:rFonts w:asciiTheme="majorHAnsi" w:hAnsiTheme="majorHAnsi"/>
          <w:color w:val="000000"/>
          <w:sz w:val="24"/>
          <w:szCs w:val="24"/>
        </w:rPr>
        <w:t xml:space="preserve"> from </w:t>
      </w:r>
      <w:r w:rsidRPr="00327A65" w:rsidR="00CD10AF">
        <w:rPr>
          <w:rFonts w:asciiTheme="majorHAnsi" w:hAnsiTheme="majorHAnsi"/>
          <w:color w:val="000000"/>
          <w:sz w:val="24"/>
          <w:szCs w:val="24"/>
        </w:rPr>
        <w:t xml:space="preserve">child welfare </w:t>
      </w:r>
      <w:r w:rsidRPr="00327A65" w:rsidR="008C3432">
        <w:rPr>
          <w:rFonts w:asciiTheme="majorHAnsi" w:hAnsiTheme="majorHAnsi"/>
          <w:color w:val="000000"/>
          <w:sz w:val="24"/>
          <w:szCs w:val="24"/>
        </w:rPr>
        <w:t xml:space="preserve">administrators and practitioners, </w:t>
      </w:r>
      <w:r w:rsidRPr="00327A65" w:rsidR="002F27AD">
        <w:rPr>
          <w:rFonts w:asciiTheme="majorHAnsi" w:hAnsiTheme="majorHAnsi"/>
          <w:color w:val="000000"/>
          <w:sz w:val="24"/>
          <w:szCs w:val="24"/>
        </w:rPr>
        <w:t xml:space="preserve">judges and other stakeholders and </w:t>
      </w:r>
      <w:r w:rsidRPr="00327A65" w:rsidR="00B474EC">
        <w:rPr>
          <w:rFonts w:asciiTheme="majorHAnsi" w:hAnsiTheme="majorHAnsi"/>
          <w:color w:val="000000"/>
          <w:sz w:val="24"/>
          <w:szCs w:val="24"/>
        </w:rPr>
        <w:t>9</w:t>
      </w:r>
      <w:r w:rsidRPr="00327A65" w:rsidR="00CD10AF">
        <w:rPr>
          <w:rFonts w:asciiTheme="majorHAnsi" w:hAnsiTheme="majorHAnsi"/>
          <w:color w:val="000000"/>
          <w:sz w:val="24"/>
          <w:szCs w:val="24"/>
        </w:rPr>
        <w:t>0 minutes per response from</w:t>
      </w:r>
      <w:r w:rsidRPr="00327A65" w:rsidR="002F27AD">
        <w:rPr>
          <w:rFonts w:asciiTheme="majorHAnsi" w:hAnsiTheme="majorHAnsi"/>
          <w:color w:val="000000"/>
          <w:sz w:val="24"/>
          <w:szCs w:val="24"/>
        </w:rPr>
        <w:t xml:space="preserve"> biological parents, foster or adoptive parents, and former foster youth.</w:t>
      </w:r>
      <w:r w:rsidRPr="00327A65" w:rsidR="00CD10AF">
        <w:rPr>
          <w:rFonts w:asciiTheme="majorHAnsi" w:hAnsiTheme="majorHAnsi"/>
          <w:color w:val="000000"/>
          <w:sz w:val="24"/>
          <w:szCs w:val="24"/>
        </w:rPr>
        <w:t xml:space="preserve"> </w:t>
      </w:r>
      <w:r w:rsidRPr="00327A65" w:rsidR="00213BF9">
        <w:rPr>
          <w:rFonts w:asciiTheme="majorHAnsi" w:hAnsiTheme="majorHAnsi"/>
          <w:sz w:val="24"/>
          <w:szCs w:val="24"/>
        </w:rPr>
        <w:t xml:space="preserve">We plan to interview </w:t>
      </w:r>
      <w:r w:rsidR="00AD1C9D">
        <w:rPr>
          <w:rFonts w:asciiTheme="majorHAnsi" w:hAnsiTheme="majorHAnsi"/>
          <w:sz w:val="24"/>
          <w:szCs w:val="24"/>
        </w:rPr>
        <w:t>approximately</w:t>
      </w:r>
      <w:r w:rsidRPr="00327A65" w:rsidR="002F27AD">
        <w:rPr>
          <w:rFonts w:asciiTheme="majorHAnsi" w:hAnsiTheme="majorHAnsi"/>
          <w:sz w:val="24"/>
          <w:szCs w:val="24"/>
        </w:rPr>
        <w:t xml:space="preserve"> 60 professional respondents </w:t>
      </w:r>
      <w:r w:rsidR="00AD1C9D">
        <w:rPr>
          <w:rFonts w:asciiTheme="majorHAnsi" w:hAnsiTheme="majorHAnsi"/>
          <w:sz w:val="24"/>
          <w:szCs w:val="24"/>
        </w:rPr>
        <w:t>across</w:t>
      </w:r>
      <w:r w:rsidRPr="00327A65" w:rsidR="002F27AD">
        <w:rPr>
          <w:rFonts w:asciiTheme="majorHAnsi" w:hAnsiTheme="majorHAnsi"/>
          <w:sz w:val="24"/>
          <w:szCs w:val="24"/>
        </w:rPr>
        <w:t xml:space="preserve"> 4 sites. For the nonprofessional respondents we will conduct one small group interview</w:t>
      </w:r>
      <w:r w:rsidRPr="00327A65" w:rsidR="00327A65">
        <w:rPr>
          <w:rFonts w:asciiTheme="majorHAnsi" w:hAnsiTheme="majorHAnsi"/>
          <w:sz w:val="24"/>
          <w:szCs w:val="24"/>
        </w:rPr>
        <w:t xml:space="preserve"> for biological parents, another for foster and adoptive parents, and a third for former foster youth, each with 4-5 respondents, for a total of 12 to 15 nonprofessional respondents. </w:t>
      </w:r>
      <w:r w:rsidRPr="00327A65" w:rsidR="002F27AD">
        <w:rPr>
          <w:rFonts w:asciiTheme="majorHAnsi" w:hAnsiTheme="majorHAnsi"/>
          <w:sz w:val="24"/>
          <w:szCs w:val="24"/>
        </w:rPr>
        <w:t xml:space="preserve"> </w:t>
      </w:r>
    </w:p>
    <w:p w:rsidR="00BA6BB4" w:rsidP="00BA6BB4" w:rsidRDefault="009E2921" w14:paraId="6BB938FE" w14:textId="4B487867">
      <w:pPr>
        <w:autoSpaceDE w:val="0"/>
        <w:autoSpaceDN w:val="0"/>
        <w:adjustRightInd w:val="0"/>
        <w:spacing w:line="240" w:lineRule="auto"/>
        <w:rPr>
          <w:rFonts w:asciiTheme="majorHAnsi" w:hAnsiTheme="majorHAnsi"/>
          <w:color w:val="000000"/>
          <w:sz w:val="24"/>
          <w:szCs w:val="24"/>
        </w:rPr>
      </w:pPr>
      <w:r w:rsidRPr="00BA6BB4">
        <w:rPr>
          <w:rFonts w:asciiTheme="majorHAnsi" w:hAnsiTheme="majorHAnsi"/>
          <w:color w:val="000000"/>
          <w:sz w:val="24"/>
          <w:szCs w:val="24"/>
        </w:rPr>
        <w:t>Table A-1</w:t>
      </w:r>
      <w:r w:rsidRPr="00BA6BB4" w:rsidR="00A578C2">
        <w:rPr>
          <w:rFonts w:asciiTheme="majorHAnsi" w:hAnsiTheme="majorHAnsi"/>
          <w:color w:val="000000"/>
          <w:sz w:val="24"/>
          <w:szCs w:val="24"/>
        </w:rPr>
        <w:t xml:space="preserve"> shows estimated burden and cost information.</w:t>
      </w:r>
    </w:p>
    <w:p w:rsidRPr="00BA6BB4" w:rsidR="00BA6BB4" w:rsidP="00BA6BB4" w:rsidRDefault="009E2921" w14:paraId="65536725" w14:textId="77777777">
      <w:pPr>
        <w:pStyle w:val="TableTitle"/>
        <w:rPr>
          <w:rFonts w:ascii="Arial" w:hAnsi="Arial"/>
        </w:rPr>
      </w:pPr>
      <w:r w:rsidRPr="0041582B">
        <w:rPr>
          <w:sz w:val="24"/>
          <w:szCs w:val="24"/>
          <w:u w:val="single"/>
        </w:rPr>
        <w:lastRenderedPageBreak/>
        <w:t>Table A-1</w:t>
      </w:r>
      <w:r w:rsidRPr="0041582B" w:rsidR="005A59E5">
        <w:rPr>
          <w:sz w:val="24"/>
          <w:szCs w:val="24"/>
        </w:rPr>
        <w:t xml:space="preserve">: </w:t>
      </w:r>
      <w:r w:rsidRPr="00BA6BB4" w:rsidR="00BA6BB4">
        <w:rPr>
          <w:rFonts w:ascii="Arial" w:hAnsi="Arial"/>
        </w:rPr>
        <w:t xml:space="preserve">Table 3. Estimated annualized burden hours and costs to respondents </w:t>
      </w:r>
    </w:p>
    <w:tbl>
      <w:tblPr>
        <w:tblStyle w:val="TableGrid1"/>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3"/>
        <w:gridCol w:w="1336"/>
        <w:gridCol w:w="1197"/>
        <w:gridCol w:w="1076"/>
        <w:gridCol w:w="1400"/>
        <w:gridCol w:w="1179"/>
        <w:gridCol w:w="1396"/>
      </w:tblGrid>
      <w:tr w:rsidRPr="00BA6BB4" w:rsidR="00BA6BB4" w:rsidTr="00BA6BB4" w14:paraId="1668D73F" w14:textId="77777777">
        <w:tc>
          <w:tcPr>
            <w:tcW w:w="850" w:type="pct"/>
            <w:shd w:val="clear" w:color="auto" w:fill="046B5C"/>
            <w:vAlign w:val="bottom"/>
            <w:hideMark/>
          </w:tcPr>
          <w:p w:rsidRPr="00BA6BB4" w:rsidR="00BA6BB4" w:rsidP="00BA6BB4" w:rsidRDefault="00BA6BB4" w14:paraId="4BA8E45C" w14:textId="77777777">
            <w:pPr>
              <w:spacing w:before="120" w:after="60"/>
              <w:textboxTightWrap w:val="allLines"/>
              <w:rPr>
                <w:rFonts w:ascii="Arial" w:hAnsi="Arial"/>
                <w:b/>
                <w:color w:val="FFFFFF"/>
                <w:sz w:val="18"/>
                <w:szCs w:val="18"/>
              </w:rPr>
            </w:pPr>
            <w:r w:rsidRPr="00BA6BB4">
              <w:rPr>
                <w:rFonts w:ascii="Arial" w:hAnsi="Arial"/>
                <w:b/>
                <w:color w:val="FFFFFF"/>
                <w:sz w:val="18"/>
                <w:szCs w:val="18"/>
              </w:rPr>
              <w:t>Type of respondent</w:t>
            </w:r>
          </w:p>
        </w:tc>
        <w:tc>
          <w:tcPr>
            <w:tcW w:w="731" w:type="pct"/>
            <w:shd w:val="clear" w:color="auto" w:fill="046B5C"/>
            <w:vAlign w:val="bottom"/>
            <w:hideMark/>
          </w:tcPr>
          <w:p w:rsidRPr="00BA6BB4" w:rsidR="00BA6BB4" w:rsidP="00BA6BB4" w:rsidRDefault="00BA6BB4" w14:paraId="294D892C"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Number of respondents</w:t>
            </w:r>
          </w:p>
        </w:tc>
        <w:tc>
          <w:tcPr>
            <w:tcW w:w="655" w:type="pct"/>
            <w:shd w:val="clear" w:color="auto" w:fill="046B5C"/>
            <w:vAlign w:val="bottom"/>
            <w:hideMark/>
          </w:tcPr>
          <w:p w:rsidRPr="00BA6BB4" w:rsidR="00BA6BB4" w:rsidP="00BA6BB4" w:rsidRDefault="00BA6BB4" w14:paraId="1E94181B"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 xml:space="preserve">Number of responses per respondent </w:t>
            </w:r>
          </w:p>
        </w:tc>
        <w:tc>
          <w:tcPr>
            <w:tcW w:w="589" w:type="pct"/>
            <w:shd w:val="clear" w:color="auto" w:fill="046B5C"/>
            <w:vAlign w:val="bottom"/>
            <w:hideMark/>
          </w:tcPr>
          <w:p w:rsidRPr="00BA6BB4" w:rsidR="00BA6BB4" w:rsidP="00BA6BB4" w:rsidRDefault="00BA6BB4" w14:paraId="326D8359" w14:textId="2103F9A0">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Avera</w:t>
            </w:r>
            <w:r>
              <w:rPr>
                <w:rFonts w:ascii="Arial" w:hAnsi="Arial"/>
                <w:b/>
                <w:color w:val="FFFFFF"/>
                <w:sz w:val="18"/>
                <w:szCs w:val="18"/>
              </w:rPr>
              <w:t>ge burden per response (in minutes</w:t>
            </w:r>
            <w:r w:rsidRPr="00BA6BB4">
              <w:rPr>
                <w:rFonts w:ascii="Arial" w:hAnsi="Arial"/>
                <w:b/>
                <w:color w:val="FFFFFF"/>
                <w:sz w:val="18"/>
                <w:szCs w:val="18"/>
              </w:rPr>
              <w:t xml:space="preserve">) </w:t>
            </w:r>
          </w:p>
        </w:tc>
        <w:tc>
          <w:tcPr>
            <w:tcW w:w="766" w:type="pct"/>
            <w:shd w:val="clear" w:color="auto" w:fill="046B5C"/>
            <w:vAlign w:val="bottom"/>
            <w:hideMark/>
          </w:tcPr>
          <w:p w:rsidRPr="00BA6BB4" w:rsidR="00BA6BB4" w:rsidP="00BA6BB4" w:rsidRDefault="00BA6BB4" w14:paraId="2E54C85F"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Total burden hours</w:t>
            </w:r>
            <w:r w:rsidRPr="00BA6BB4">
              <w:rPr>
                <w:rFonts w:ascii="Arial" w:hAnsi="Arial"/>
                <w:b/>
                <w:color w:val="FFFFFF"/>
                <w:sz w:val="18"/>
                <w:szCs w:val="18"/>
                <w:vertAlign w:val="superscript"/>
              </w:rPr>
              <w:t xml:space="preserve"> </w:t>
            </w:r>
          </w:p>
        </w:tc>
        <w:tc>
          <w:tcPr>
            <w:tcW w:w="645" w:type="pct"/>
            <w:shd w:val="clear" w:color="auto" w:fill="046B5C"/>
          </w:tcPr>
          <w:p w:rsidRPr="00BA6BB4" w:rsidR="00BA6BB4" w:rsidP="00BA6BB4" w:rsidRDefault="00BA6BB4" w14:paraId="0597B297" w14:textId="77777777">
            <w:pPr>
              <w:spacing w:before="120" w:after="60"/>
              <w:jc w:val="center"/>
              <w:textboxTightWrap w:val="allLines"/>
              <w:rPr>
                <w:rFonts w:ascii="Arial" w:hAnsi="Arial"/>
                <w:b/>
                <w:color w:val="FFFFFF"/>
                <w:sz w:val="18"/>
                <w:szCs w:val="18"/>
              </w:rPr>
            </w:pPr>
          </w:p>
          <w:p w:rsidRPr="00BA6BB4" w:rsidR="00BA6BB4" w:rsidP="00BA6BB4" w:rsidRDefault="00BA6BB4" w14:paraId="27AB08AC"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Hourly Wage Rate</w:t>
            </w:r>
            <w:r w:rsidRPr="00BA6BB4">
              <w:rPr>
                <w:rFonts w:ascii="Arial" w:hAnsi="Arial"/>
                <w:b/>
                <w:color w:val="FFFFFF"/>
                <w:sz w:val="18"/>
                <w:szCs w:val="18"/>
                <w:vertAlign w:val="superscript"/>
              </w:rPr>
              <w:footnoteReference w:id="2"/>
            </w:r>
          </w:p>
        </w:tc>
        <w:tc>
          <w:tcPr>
            <w:tcW w:w="764" w:type="pct"/>
            <w:shd w:val="clear" w:color="auto" w:fill="046B5C"/>
          </w:tcPr>
          <w:p w:rsidRPr="00BA6BB4" w:rsidR="00BA6BB4" w:rsidP="00BA6BB4" w:rsidRDefault="00BA6BB4" w14:paraId="677882B4" w14:textId="77777777">
            <w:pPr>
              <w:spacing w:before="120" w:after="60"/>
              <w:jc w:val="center"/>
              <w:textboxTightWrap w:val="allLines"/>
              <w:rPr>
                <w:rFonts w:ascii="Arial" w:hAnsi="Arial"/>
                <w:b/>
                <w:color w:val="FFFFFF"/>
                <w:sz w:val="18"/>
                <w:szCs w:val="18"/>
              </w:rPr>
            </w:pPr>
          </w:p>
          <w:p w:rsidRPr="00BA6BB4" w:rsidR="00BA6BB4" w:rsidP="00BA6BB4" w:rsidRDefault="00BA6BB4" w14:paraId="153B1387" w14:textId="77777777">
            <w:pPr>
              <w:spacing w:before="120" w:after="60"/>
              <w:jc w:val="center"/>
              <w:textboxTightWrap w:val="allLines"/>
              <w:rPr>
                <w:rFonts w:ascii="Arial" w:hAnsi="Arial"/>
                <w:b/>
                <w:color w:val="FFFFFF"/>
                <w:sz w:val="18"/>
                <w:szCs w:val="18"/>
              </w:rPr>
            </w:pPr>
            <w:r w:rsidRPr="00BA6BB4">
              <w:rPr>
                <w:rFonts w:ascii="Arial" w:hAnsi="Arial"/>
                <w:b/>
                <w:color w:val="FFFFFF"/>
                <w:sz w:val="18"/>
                <w:szCs w:val="18"/>
              </w:rPr>
              <w:t>Total Respondent Costs</w:t>
            </w:r>
          </w:p>
        </w:tc>
      </w:tr>
      <w:tr w:rsidRPr="00BA6BB4" w:rsidR="00BA6BB4" w:rsidTr="00BA6BB4" w14:paraId="00B6EA6D" w14:textId="77777777">
        <w:tc>
          <w:tcPr>
            <w:tcW w:w="850" w:type="pct"/>
            <w:hideMark/>
          </w:tcPr>
          <w:p w:rsidRPr="00BA6BB4" w:rsidR="00BA6BB4" w:rsidP="00BA6BB4" w:rsidRDefault="00BA6BB4" w14:paraId="4F163E03" w14:textId="77777777">
            <w:pPr>
              <w:spacing w:after="60"/>
              <w:rPr>
                <w:rFonts w:ascii="Arial" w:hAnsi="Arial"/>
                <w:sz w:val="18"/>
                <w:szCs w:val="18"/>
              </w:rPr>
            </w:pPr>
            <w:r w:rsidRPr="00BA6BB4">
              <w:rPr>
                <w:rFonts w:ascii="Arial" w:hAnsi="Arial"/>
                <w:sz w:val="18"/>
                <w:szCs w:val="18"/>
              </w:rPr>
              <w:t xml:space="preserve">State or local child welfare administrators </w:t>
            </w:r>
          </w:p>
        </w:tc>
        <w:tc>
          <w:tcPr>
            <w:tcW w:w="731" w:type="pct"/>
            <w:hideMark/>
          </w:tcPr>
          <w:p w:rsidRPr="00BA6BB4" w:rsidR="00BA6BB4" w:rsidP="00BA6BB4" w:rsidRDefault="00BA6BB4" w14:paraId="2355E6C9" w14:textId="77777777">
            <w:pPr>
              <w:spacing w:after="60"/>
              <w:jc w:val="center"/>
              <w:rPr>
                <w:rFonts w:ascii="Arial" w:hAnsi="Arial" w:cs="Arial"/>
                <w:sz w:val="18"/>
                <w:szCs w:val="18"/>
              </w:rPr>
            </w:pPr>
            <w:r w:rsidRPr="00BA6BB4">
              <w:rPr>
                <w:rFonts w:ascii="Arial" w:hAnsi="Arial" w:cs="Arial"/>
                <w:sz w:val="18"/>
                <w:szCs w:val="18"/>
              </w:rPr>
              <w:t>12</w:t>
            </w:r>
          </w:p>
        </w:tc>
        <w:tc>
          <w:tcPr>
            <w:tcW w:w="655" w:type="pct"/>
            <w:hideMark/>
          </w:tcPr>
          <w:p w:rsidRPr="00BA6BB4" w:rsidR="00BA6BB4" w:rsidP="00BA6BB4" w:rsidRDefault="00BA6BB4" w14:paraId="318383DD" w14:textId="77777777">
            <w:pPr>
              <w:spacing w:after="60"/>
              <w:jc w:val="center"/>
              <w:rPr>
                <w:rFonts w:ascii="Arial" w:hAnsi="Arial" w:cs="Arial"/>
                <w:sz w:val="18"/>
                <w:szCs w:val="18"/>
              </w:rPr>
            </w:pPr>
            <w:r w:rsidRPr="00BA6BB4">
              <w:rPr>
                <w:rFonts w:ascii="Arial" w:hAnsi="Arial" w:cs="Arial"/>
                <w:sz w:val="18"/>
                <w:szCs w:val="18"/>
              </w:rPr>
              <w:t>1</w:t>
            </w:r>
          </w:p>
        </w:tc>
        <w:tc>
          <w:tcPr>
            <w:tcW w:w="589" w:type="pct"/>
            <w:hideMark/>
          </w:tcPr>
          <w:p w:rsidRPr="00BA6BB4" w:rsidR="00BA6BB4" w:rsidP="00BA6BB4" w:rsidRDefault="00BA6BB4" w14:paraId="1D667CC5" w14:textId="5F1B23E3">
            <w:pPr>
              <w:spacing w:after="60"/>
              <w:jc w:val="center"/>
              <w:rPr>
                <w:rFonts w:ascii="Arial" w:hAnsi="Arial" w:cs="Arial"/>
                <w:sz w:val="18"/>
                <w:szCs w:val="18"/>
              </w:rPr>
            </w:pPr>
            <w:r>
              <w:rPr>
                <w:rFonts w:ascii="Arial" w:hAnsi="Arial" w:cs="Arial"/>
                <w:sz w:val="18"/>
                <w:szCs w:val="18"/>
              </w:rPr>
              <w:t>60</w:t>
            </w:r>
          </w:p>
        </w:tc>
        <w:tc>
          <w:tcPr>
            <w:tcW w:w="766" w:type="pct"/>
            <w:hideMark/>
          </w:tcPr>
          <w:p w:rsidRPr="00BA6BB4" w:rsidR="00BA6BB4" w:rsidP="00BA6BB4" w:rsidRDefault="00BA6BB4" w14:paraId="7FCD4FFA" w14:textId="77777777">
            <w:pPr>
              <w:spacing w:after="60"/>
              <w:jc w:val="center"/>
              <w:rPr>
                <w:rFonts w:ascii="Arial" w:hAnsi="Arial" w:cs="Arial"/>
                <w:sz w:val="18"/>
                <w:szCs w:val="18"/>
              </w:rPr>
            </w:pPr>
            <w:r w:rsidRPr="00BA6BB4">
              <w:rPr>
                <w:rFonts w:ascii="Arial" w:hAnsi="Arial" w:cs="Arial"/>
                <w:sz w:val="18"/>
                <w:szCs w:val="18"/>
              </w:rPr>
              <w:t>12</w:t>
            </w:r>
          </w:p>
        </w:tc>
        <w:tc>
          <w:tcPr>
            <w:tcW w:w="645" w:type="pct"/>
            <w:hideMark/>
          </w:tcPr>
          <w:p w:rsidRPr="00BA6BB4" w:rsidR="00BA6BB4" w:rsidP="00BA6BB4" w:rsidRDefault="00BA6BB4" w14:paraId="028235CA" w14:textId="77777777">
            <w:pPr>
              <w:spacing w:after="60"/>
              <w:jc w:val="center"/>
              <w:rPr>
                <w:rFonts w:ascii="Arial" w:hAnsi="Arial" w:cs="Arial"/>
                <w:sz w:val="18"/>
                <w:szCs w:val="18"/>
              </w:rPr>
            </w:pPr>
            <w:r w:rsidRPr="00BA6BB4">
              <w:rPr>
                <w:rFonts w:ascii="Arial" w:hAnsi="Arial" w:cs="Arial"/>
                <w:sz w:val="18"/>
                <w:szCs w:val="18"/>
              </w:rPr>
              <w:t>$36.72</w:t>
            </w:r>
          </w:p>
        </w:tc>
        <w:tc>
          <w:tcPr>
            <w:tcW w:w="764" w:type="pct"/>
            <w:hideMark/>
          </w:tcPr>
          <w:p w:rsidRPr="00BA6BB4" w:rsidR="00BA6BB4" w:rsidP="00BA6BB4" w:rsidRDefault="00BA6BB4" w14:paraId="5856458C" w14:textId="77777777">
            <w:pPr>
              <w:spacing w:after="60"/>
              <w:jc w:val="center"/>
              <w:rPr>
                <w:rFonts w:ascii="Arial" w:hAnsi="Arial" w:cs="Arial"/>
                <w:sz w:val="18"/>
                <w:szCs w:val="18"/>
              </w:rPr>
            </w:pPr>
            <w:r w:rsidRPr="00BA6BB4">
              <w:rPr>
                <w:rFonts w:ascii="Arial" w:hAnsi="Arial" w:cs="Arial"/>
                <w:sz w:val="18"/>
                <w:szCs w:val="18"/>
              </w:rPr>
              <w:t>$440.64</w:t>
            </w:r>
          </w:p>
        </w:tc>
      </w:tr>
      <w:tr w:rsidRPr="00BA6BB4" w:rsidR="00BA6BB4" w:rsidTr="00BA6BB4" w14:paraId="0312285A" w14:textId="77777777">
        <w:tc>
          <w:tcPr>
            <w:tcW w:w="850" w:type="pct"/>
            <w:shd w:val="clear" w:color="auto" w:fill="E0D4B5"/>
            <w:hideMark/>
          </w:tcPr>
          <w:p w:rsidRPr="00BA6BB4" w:rsidR="00BA6BB4" w:rsidP="00BA6BB4" w:rsidRDefault="00BA6BB4" w14:paraId="044C048F" w14:textId="77777777">
            <w:pPr>
              <w:spacing w:after="60"/>
              <w:rPr>
                <w:rFonts w:ascii="Arial" w:hAnsi="Arial"/>
                <w:sz w:val="18"/>
                <w:szCs w:val="18"/>
              </w:rPr>
            </w:pPr>
            <w:r w:rsidRPr="00BA6BB4">
              <w:rPr>
                <w:rFonts w:ascii="Arial" w:hAnsi="Arial"/>
                <w:sz w:val="18"/>
                <w:szCs w:val="18"/>
              </w:rPr>
              <w:t>State or local child welfare practitioners</w:t>
            </w:r>
          </w:p>
        </w:tc>
        <w:tc>
          <w:tcPr>
            <w:tcW w:w="731" w:type="pct"/>
            <w:shd w:val="clear" w:color="auto" w:fill="E0D4B5"/>
            <w:hideMark/>
          </w:tcPr>
          <w:p w:rsidRPr="00BA6BB4" w:rsidR="00BA6BB4" w:rsidP="00BA6BB4" w:rsidRDefault="00BA6BB4" w14:paraId="735794D3" w14:textId="77777777">
            <w:pPr>
              <w:spacing w:after="60"/>
              <w:jc w:val="center"/>
              <w:rPr>
                <w:rFonts w:ascii="Arial" w:hAnsi="Arial" w:cs="Arial"/>
                <w:sz w:val="18"/>
                <w:szCs w:val="18"/>
              </w:rPr>
            </w:pPr>
            <w:r w:rsidRPr="00BA6BB4">
              <w:rPr>
                <w:rFonts w:ascii="Arial" w:hAnsi="Arial" w:cs="Arial"/>
                <w:sz w:val="18"/>
                <w:szCs w:val="18"/>
              </w:rPr>
              <w:t>12</w:t>
            </w:r>
          </w:p>
        </w:tc>
        <w:tc>
          <w:tcPr>
            <w:tcW w:w="655" w:type="pct"/>
            <w:shd w:val="clear" w:color="auto" w:fill="E0D4B5"/>
            <w:hideMark/>
          </w:tcPr>
          <w:p w:rsidRPr="00BA6BB4" w:rsidR="00BA6BB4" w:rsidP="00BA6BB4" w:rsidRDefault="00BA6BB4" w14:paraId="01F554CE"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E0D4B5"/>
            <w:hideMark/>
          </w:tcPr>
          <w:p w:rsidRPr="00BA6BB4" w:rsidR="00BA6BB4" w:rsidP="00BA6BB4" w:rsidRDefault="00BA6BB4" w14:paraId="3BC31783" w14:textId="63E4AB16">
            <w:pPr>
              <w:spacing w:after="60"/>
              <w:jc w:val="center"/>
              <w:rPr>
                <w:rFonts w:ascii="Arial" w:hAnsi="Arial" w:cs="Arial"/>
                <w:sz w:val="18"/>
                <w:szCs w:val="18"/>
              </w:rPr>
            </w:pPr>
            <w:r>
              <w:rPr>
                <w:rFonts w:ascii="Arial" w:hAnsi="Arial" w:cs="Arial"/>
                <w:sz w:val="18"/>
                <w:szCs w:val="18"/>
              </w:rPr>
              <w:t>60</w:t>
            </w:r>
          </w:p>
        </w:tc>
        <w:tc>
          <w:tcPr>
            <w:tcW w:w="766" w:type="pct"/>
            <w:shd w:val="clear" w:color="auto" w:fill="E0D4B5"/>
            <w:hideMark/>
          </w:tcPr>
          <w:p w:rsidRPr="00BA6BB4" w:rsidR="00BA6BB4" w:rsidP="00BA6BB4" w:rsidRDefault="00BA6BB4" w14:paraId="4669CAAB" w14:textId="77777777">
            <w:pPr>
              <w:spacing w:after="60"/>
              <w:jc w:val="center"/>
              <w:rPr>
                <w:rFonts w:ascii="Arial" w:hAnsi="Arial" w:cs="Arial"/>
                <w:sz w:val="18"/>
                <w:szCs w:val="18"/>
              </w:rPr>
            </w:pPr>
            <w:r w:rsidRPr="00BA6BB4">
              <w:rPr>
                <w:rFonts w:ascii="Arial" w:hAnsi="Arial" w:cs="Arial"/>
                <w:sz w:val="18"/>
                <w:szCs w:val="18"/>
              </w:rPr>
              <w:t>12</w:t>
            </w:r>
          </w:p>
        </w:tc>
        <w:tc>
          <w:tcPr>
            <w:tcW w:w="645" w:type="pct"/>
            <w:shd w:val="clear" w:color="auto" w:fill="E0D4B5"/>
            <w:hideMark/>
          </w:tcPr>
          <w:p w:rsidRPr="00BA6BB4" w:rsidR="00BA6BB4" w:rsidP="00BA6BB4" w:rsidRDefault="00BA6BB4" w14:paraId="6390D6F0" w14:textId="77777777">
            <w:pPr>
              <w:spacing w:after="60"/>
              <w:jc w:val="center"/>
              <w:rPr>
                <w:rFonts w:ascii="Arial" w:hAnsi="Arial" w:cs="Arial"/>
                <w:sz w:val="18"/>
                <w:szCs w:val="18"/>
              </w:rPr>
            </w:pPr>
            <w:r w:rsidRPr="00BA6BB4">
              <w:rPr>
                <w:rFonts w:ascii="Arial" w:hAnsi="Arial" w:cs="Arial"/>
                <w:sz w:val="18"/>
                <w:szCs w:val="18"/>
              </w:rPr>
              <w:t>$25.35</w:t>
            </w:r>
          </w:p>
        </w:tc>
        <w:tc>
          <w:tcPr>
            <w:tcW w:w="764" w:type="pct"/>
            <w:shd w:val="clear" w:color="auto" w:fill="E0D4B5"/>
            <w:hideMark/>
          </w:tcPr>
          <w:p w:rsidRPr="00BA6BB4" w:rsidR="00BA6BB4" w:rsidP="00BA6BB4" w:rsidRDefault="00BA6BB4" w14:paraId="4692A6B4" w14:textId="77777777">
            <w:pPr>
              <w:spacing w:after="60"/>
              <w:jc w:val="center"/>
              <w:rPr>
                <w:rFonts w:ascii="Arial" w:hAnsi="Arial" w:cs="Arial"/>
                <w:sz w:val="18"/>
                <w:szCs w:val="18"/>
              </w:rPr>
            </w:pPr>
            <w:r w:rsidRPr="00BA6BB4">
              <w:rPr>
                <w:rFonts w:ascii="Arial" w:hAnsi="Arial" w:cs="Arial"/>
                <w:sz w:val="18"/>
                <w:szCs w:val="18"/>
              </w:rPr>
              <w:t>$304.20</w:t>
            </w:r>
          </w:p>
        </w:tc>
      </w:tr>
      <w:tr w:rsidRPr="00BA6BB4" w:rsidR="00BA6BB4" w:rsidTr="00BA6BB4" w14:paraId="48A7F49E" w14:textId="77777777">
        <w:tc>
          <w:tcPr>
            <w:tcW w:w="850" w:type="pct"/>
            <w:hideMark/>
          </w:tcPr>
          <w:p w:rsidRPr="00BA6BB4" w:rsidR="00BA6BB4" w:rsidP="00BA6BB4" w:rsidRDefault="00BA6BB4" w14:paraId="6AA2B9D1" w14:textId="77777777">
            <w:pPr>
              <w:spacing w:after="60"/>
              <w:rPr>
                <w:rFonts w:ascii="Arial" w:hAnsi="Arial"/>
                <w:sz w:val="18"/>
                <w:szCs w:val="18"/>
              </w:rPr>
            </w:pPr>
            <w:r w:rsidRPr="00BA6BB4">
              <w:rPr>
                <w:rFonts w:ascii="Arial" w:hAnsi="Arial"/>
                <w:sz w:val="18"/>
                <w:szCs w:val="18"/>
              </w:rPr>
              <w:t>Judges</w:t>
            </w:r>
          </w:p>
        </w:tc>
        <w:tc>
          <w:tcPr>
            <w:tcW w:w="731" w:type="pct"/>
            <w:hideMark/>
          </w:tcPr>
          <w:p w:rsidRPr="00BA6BB4" w:rsidR="00BA6BB4" w:rsidP="00BA6BB4" w:rsidRDefault="00BA6BB4" w14:paraId="7FBF7ECF" w14:textId="77777777">
            <w:pPr>
              <w:spacing w:after="60"/>
              <w:jc w:val="center"/>
              <w:rPr>
                <w:rFonts w:ascii="Arial" w:hAnsi="Arial" w:cs="Arial"/>
                <w:sz w:val="18"/>
                <w:szCs w:val="18"/>
              </w:rPr>
            </w:pPr>
            <w:r w:rsidRPr="00BA6BB4">
              <w:rPr>
                <w:rFonts w:ascii="Arial" w:hAnsi="Arial" w:cs="Arial"/>
                <w:sz w:val="18"/>
                <w:szCs w:val="18"/>
              </w:rPr>
              <w:t>12</w:t>
            </w:r>
          </w:p>
        </w:tc>
        <w:tc>
          <w:tcPr>
            <w:tcW w:w="655" w:type="pct"/>
            <w:hideMark/>
          </w:tcPr>
          <w:p w:rsidRPr="00BA6BB4" w:rsidR="00BA6BB4" w:rsidP="00BA6BB4" w:rsidRDefault="00BA6BB4" w14:paraId="7070D404" w14:textId="77777777">
            <w:pPr>
              <w:spacing w:after="60"/>
              <w:jc w:val="center"/>
              <w:rPr>
                <w:rFonts w:ascii="Arial" w:hAnsi="Arial" w:cs="Arial"/>
                <w:sz w:val="18"/>
                <w:szCs w:val="18"/>
              </w:rPr>
            </w:pPr>
            <w:r w:rsidRPr="00BA6BB4">
              <w:rPr>
                <w:rFonts w:ascii="Arial" w:hAnsi="Arial" w:cs="Arial"/>
                <w:sz w:val="18"/>
                <w:szCs w:val="18"/>
              </w:rPr>
              <w:t>1</w:t>
            </w:r>
          </w:p>
        </w:tc>
        <w:tc>
          <w:tcPr>
            <w:tcW w:w="589" w:type="pct"/>
            <w:hideMark/>
          </w:tcPr>
          <w:p w:rsidRPr="00BA6BB4" w:rsidR="00BA6BB4" w:rsidP="00BA6BB4" w:rsidRDefault="00BA6BB4" w14:paraId="3382915E" w14:textId="284D29EF">
            <w:pPr>
              <w:spacing w:after="60"/>
              <w:jc w:val="center"/>
              <w:rPr>
                <w:rFonts w:ascii="Arial" w:hAnsi="Arial" w:cs="Arial"/>
                <w:sz w:val="18"/>
                <w:szCs w:val="18"/>
              </w:rPr>
            </w:pPr>
            <w:r>
              <w:rPr>
                <w:rFonts w:ascii="Arial" w:hAnsi="Arial" w:cs="Arial"/>
                <w:sz w:val="18"/>
                <w:szCs w:val="18"/>
              </w:rPr>
              <w:t>60</w:t>
            </w:r>
          </w:p>
        </w:tc>
        <w:tc>
          <w:tcPr>
            <w:tcW w:w="766" w:type="pct"/>
            <w:hideMark/>
          </w:tcPr>
          <w:p w:rsidRPr="00BA6BB4" w:rsidR="00BA6BB4" w:rsidP="00BA6BB4" w:rsidRDefault="00BA6BB4" w14:paraId="330F9CFD" w14:textId="77777777">
            <w:pPr>
              <w:spacing w:after="60"/>
              <w:jc w:val="center"/>
              <w:rPr>
                <w:rFonts w:ascii="Arial" w:hAnsi="Arial" w:cs="Arial"/>
                <w:sz w:val="18"/>
                <w:szCs w:val="18"/>
              </w:rPr>
            </w:pPr>
            <w:r w:rsidRPr="00BA6BB4">
              <w:rPr>
                <w:rFonts w:ascii="Arial" w:hAnsi="Arial" w:cs="Arial"/>
                <w:sz w:val="18"/>
                <w:szCs w:val="18"/>
              </w:rPr>
              <w:t>12</w:t>
            </w:r>
          </w:p>
        </w:tc>
        <w:tc>
          <w:tcPr>
            <w:tcW w:w="645" w:type="pct"/>
            <w:hideMark/>
          </w:tcPr>
          <w:p w:rsidRPr="00BA6BB4" w:rsidR="00BA6BB4" w:rsidP="00BA6BB4" w:rsidRDefault="00BA6BB4" w14:paraId="79066794" w14:textId="77777777">
            <w:pPr>
              <w:spacing w:after="60"/>
              <w:jc w:val="center"/>
              <w:rPr>
                <w:rFonts w:ascii="Arial" w:hAnsi="Arial" w:cs="Arial"/>
                <w:sz w:val="18"/>
                <w:szCs w:val="18"/>
              </w:rPr>
            </w:pPr>
            <w:r w:rsidRPr="00BA6BB4">
              <w:rPr>
                <w:rFonts w:ascii="Arial" w:hAnsi="Arial" w:cs="Arial"/>
                <w:sz w:val="18"/>
                <w:szCs w:val="18"/>
              </w:rPr>
              <w:t>$58.23</w:t>
            </w:r>
          </w:p>
        </w:tc>
        <w:tc>
          <w:tcPr>
            <w:tcW w:w="764" w:type="pct"/>
            <w:hideMark/>
          </w:tcPr>
          <w:p w:rsidRPr="00BA6BB4" w:rsidR="00BA6BB4" w:rsidP="00BA6BB4" w:rsidRDefault="00BA6BB4" w14:paraId="05C09886" w14:textId="77777777">
            <w:pPr>
              <w:spacing w:after="60"/>
              <w:jc w:val="center"/>
              <w:rPr>
                <w:rFonts w:ascii="Arial" w:hAnsi="Arial" w:cs="Arial"/>
                <w:sz w:val="18"/>
                <w:szCs w:val="18"/>
              </w:rPr>
            </w:pPr>
            <w:r w:rsidRPr="00BA6BB4">
              <w:rPr>
                <w:rFonts w:ascii="Arial" w:hAnsi="Arial" w:cs="Arial"/>
                <w:sz w:val="18"/>
                <w:szCs w:val="18"/>
              </w:rPr>
              <w:t>$698.76</w:t>
            </w:r>
          </w:p>
        </w:tc>
      </w:tr>
      <w:tr w:rsidRPr="00BA6BB4" w:rsidR="00BA6BB4" w:rsidTr="00BA6BB4" w14:paraId="6CE17AFD" w14:textId="77777777">
        <w:tc>
          <w:tcPr>
            <w:tcW w:w="850" w:type="pct"/>
            <w:shd w:val="clear" w:color="auto" w:fill="E0D4B5"/>
            <w:hideMark/>
          </w:tcPr>
          <w:p w:rsidRPr="00BA6BB4" w:rsidR="00BA6BB4" w:rsidP="00BA6BB4" w:rsidRDefault="00BA6BB4" w14:paraId="6E60241E" w14:textId="77777777">
            <w:pPr>
              <w:spacing w:after="60"/>
              <w:rPr>
                <w:rFonts w:ascii="Arial" w:hAnsi="Arial"/>
                <w:sz w:val="18"/>
                <w:szCs w:val="18"/>
              </w:rPr>
            </w:pPr>
            <w:r w:rsidRPr="00BA6BB4">
              <w:rPr>
                <w:rFonts w:ascii="Arial" w:hAnsi="Arial"/>
                <w:sz w:val="18"/>
                <w:szCs w:val="18"/>
              </w:rPr>
              <w:t>Legal representatives</w:t>
            </w:r>
          </w:p>
        </w:tc>
        <w:tc>
          <w:tcPr>
            <w:tcW w:w="731" w:type="pct"/>
            <w:shd w:val="clear" w:color="auto" w:fill="E0D4B5"/>
            <w:hideMark/>
          </w:tcPr>
          <w:p w:rsidRPr="00BA6BB4" w:rsidR="00BA6BB4" w:rsidP="00BA6BB4" w:rsidRDefault="00BA6BB4" w14:paraId="7956811D" w14:textId="77777777">
            <w:pPr>
              <w:spacing w:after="60"/>
              <w:jc w:val="center"/>
              <w:rPr>
                <w:rFonts w:ascii="Arial" w:hAnsi="Arial" w:cs="Arial"/>
                <w:sz w:val="18"/>
                <w:szCs w:val="18"/>
              </w:rPr>
            </w:pPr>
            <w:r w:rsidRPr="00BA6BB4">
              <w:rPr>
                <w:rFonts w:ascii="Arial" w:hAnsi="Arial" w:cs="Arial"/>
                <w:sz w:val="18"/>
                <w:szCs w:val="18"/>
              </w:rPr>
              <w:t>12</w:t>
            </w:r>
          </w:p>
        </w:tc>
        <w:tc>
          <w:tcPr>
            <w:tcW w:w="655" w:type="pct"/>
            <w:shd w:val="clear" w:color="auto" w:fill="E0D4B5"/>
            <w:hideMark/>
          </w:tcPr>
          <w:p w:rsidRPr="00BA6BB4" w:rsidR="00BA6BB4" w:rsidP="00BA6BB4" w:rsidRDefault="00BA6BB4" w14:paraId="06A43D3C"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E0D4B5"/>
            <w:hideMark/>
          </w:tcPr>
          <w:p w:rsidRPr="00BA6BB4" w:rsidR="00BA6BB4" w:rsidP="00BA6BB4" w:rsidRDefault="00BA6BB4" w14:paraId="65CDD879" w14:textId="578CC80F">
            <w:pPr>
              <w:spacing w:after="60"/>
              <w:jc w:val="center"/>
              <w:rPr>
                <w:rFonts w:ascii="Arial" w:hAnsi="Arial" w:cs="Arial"/>
                <w:sz w:val="18"/>
                <w:szCs w:val="18"/>
              </w:rPr>
            </w:pPr>
            <w:r>
              <w:rPr>
                <w:rFonts w:ascii="Arial" w:hAnsi="Arial" w:cs="Arial"/>
                <w:sz w:val="18"/>
                <w:szCs w:val="18"/>
              </w:rPr>
              <w:t>60</w:t>
            </w:r>
          </w:p>
        </w:tc>
        <w:tc>
          <w:tcPr>
            <w:tcW w:w="766" w:type="pct"/>
            <w:shd w:val="clear" w:color="auto" w:fill="E0D4B5"/>
            <w:hideMark/>
          </w:tcPr>
          <w:p w:rsidRPr="00BA6BB4" w:rsidR="00BA6BB4" w:rsidP="00BA6BB4" w:rsidRDefault="00BA6BB4" w14:paraId="24F68435" w14:textId="77777777">
            <w:pPr>
              <w:spacing w:after="60"/>
              <w:jc w:val="center"/>
              <w:rPr>
                <w:rFonts w:ascii="Arial" w:hAnsi="Arial" w:cs="Arial"/>
                <w:sz w:val="18"/>
                <w:szCs w:val="18"/>
              </w:rPr>
            </w:pPr>
            <w:r w:rsidRPr="00BA6BB4">
              <w:rPr>
                <w:rFonts w:ascii="Arial" w:hAnsi="Arial" w:cs="Arial"/>
                <w:sz w:val="18"/>
                <w:szCs w:val="18"/>
              </w:rPr>
              <w:t>12</w:t>
            </w:r>
          </w:p>
        </w:tc>
        <w:tc>
          <w:tcPr>
            <w:tcW w:w="645" w:type="pct"/>
            <w:shd w:val="clear" w:color="auto" w:fill="E0D4B5"/>
            <w:hideMark/>
          </w:tcPr>
          <w:p w:rsidRPr="00BA6BB4" w:rsidR="00BA6BB4" w:rsidP="00BA6BB4" w:rsidRDefault="00BA6BB4" w14:paraId="203AAE76" w14:textId="77777777">
            <w:pPr>
              <w:spacing w:after="60"/>
              <w:jc w:val="center"/>
              <w:rPr>
                <w:rFonts w:ascii="Arial" w:hAnsi="Arial" w:cs="Arial"/>
                <w:sz w:val="18"/>
                <w:szCs w:val="18"/>
              </w:rPr>
            </w:pPr>
            <w:r w:rsidRPr="00BA6BB4">
              <w:rPr>
                <w:rFonts w:ascii="Arial" w:hAnsi="Arial" w:cs="Arial"/>
                <w:sz w:val="18"/>
                <w:szCs w:val="18"/>
              </w:rPr>
              <w:t>$69.34</w:t>
            </w:r>
          </w:p>
        </w:tc>
        <w:tc>
          <w:tcPr>
            <w:tcW w:w="764" w:type="pct"/>
            <w:shd w:val="clear" w:color="auto" w:fill="E0D4B5"/>
            <w:hideMark/>
          </w:tcPr>
          <w:p w:rsidRPr="00BA6BB4" w:rsidR="00BA6BB4" w:rsidP="00BA6BB4" w:rsidRDefault="00BA6BB4" w14:paraId="0643AA1B" w14:textId="77777777">
            <w:pPr>
              <w:spacing w:after="60"/>
              <w:jc w:val="center"/>
              <w:rPr>
                <w:rFonts w:ascii="Arial" w:hAnsi="Arial" w:cs="Arial"/>
                <w:sz w:val="18"/>
                <w:szCs w:val="18"/>
              </w:rPr>
            </w:pPr>
            <w:r w:rsidRPr="00BA6BB4">
              <w:rPr>
                <w:rFonts w:ascii="Arial" w:hAnsi="Arial" w:cs="Arial"/>
                <w:sz w:val="18"/>
                <w:szCs w:val="18"/>
              </w:rPr>
              <w:t>$832.08</w:t>
            </w:r>
          </w:p>
        </w:tc>
      </w:tr>
      <w:tr w:rsidRPr="00BA6BB4" w:rsidR="00BA6BB4" w:rsidTr="00BA6BB4" w14:paraId="1FE985E5" w14:textId="77777777">
        <w:tc>
          <w:tcPr>
            <w:tcW w:w="850" w:type="pct"/>
            <w:hideMark/>
          </w:tcPr>
          <w:p w:rsidRPr="00BA6BB4" w:rsidR="00BA6BB4" w:rsidP="00BA6BB4" w:rsidRDefault="00BA6BB4" w14:paraId="21382A0F" w14:textId="77777777">
            <w:pPr>
              <w:spacing w:after="60"/>
              <w:rPr>
                <w:rFonts w:ascii="Arial" w:hAnsi="Arial"/>
                <w:sz w:val="18"/>
                <w:szCs w:val="18"/>
              </w:rPr>
            </w:pPr>
            <w:r w:rsidRPr="00BA6BB4">
              <w:rPr>
                <w:rFonts w:ascii="Arial" w:hAnsi="Arial"/>
                <w:sz w:val="18"/>
                <w:szCs w:val="18"/>
              </w:rPr>
              <w:t>Representatives from other stakeholder organizations</w:t>
            </w:r>
          </w:p>
        </w:tc>
        <w:tc>
          <w:tcPr>
            <w:tcW w:w="731" w:type="pct"/>
            <w:hideMark/>
          </w:tcPr>
          <w:p w:rsidRPr="00BA6BB4" w:rsidR="00BA6BB4" w:rsidP="00BA6BB4" w:rsidRDefault="00BA6BB4" w14:paraId="02B23587" w14:textId="77777777">
            <w:pPr>
              <w:spacing w:after="60"/>
              <w:jc w:val="center"/>
              <w:rPr>
                <w:rFonts w:ascii="Arial" w:hAnsi="Arial" w:cs="Arial"/>
                <w:sz w:val="18"/>
                <w:szCs w:val="18"/>
              </w:rPr>
            </w:pPr>
            <w:r w:rsidRPr="00BA6BB4">
              <w:rPr>
                <w:rFonts w:ascii="Arial" w:hAnsi="Arial" w:cs="Arial"/>
                <w:sz w:val="18"/>
                <w:szCs w:val="18"/>
              </w:rPr>
              <w:t>12</w:t>
            </w:r>
          </w:p>
        </w:tc>
        <w:tc>
          <w:tcPr>
            <w:tcW w:w="655" w:type="pct"/>
            <w:hideMark/>
          </w:tcPr>
          <w:p w:rsidRPr="00BA6BB4" w:rsidR="00BA6BB4" w:rsidP="00BA6BB4" w:rsidRDefault="00BA6BB4" w14:paraId="09BC38BD" w14:textId="77777777">
            <w:pPr>
              <w:spacing w:after="60"/>
              <w:jc w:val="center"/>
              <w:rPr>
                <w:rFonts w:ascii="Arial" w:hAnsi="Arial" w:cs="Arial"/>
                <w:sz w:val="18"/>
                <w:szCs w:val="18"/>
              </w:rPr>
            </w:pPr>
            <w:r w:rsidRPr="00BA6BB4">
              <w:rPr>
                <w:rFonts w:ascii="Arial" w:hAnsi="Arial" w:cs="Arial"/>
                <w:sz w:val="18"/>
                <w:szCs w:val="18"/>
              </w:rPr>
              <w:t>1</w:t>
            </w:r>
          </w:p>
        </w:tc>
        <w:tc>
          <w:tcPr>
            <w:tcW w:w="589" w:type="pct"/>
            <w:hideMark/>
          </w:tcPr>
          <w:p w:rsidRPr="00BA6BB4" w:rsidR="00BA6BB4" w:rsidP="00BA6BB4" w:rsidRDefault="00BA6BB4" w14:paraId="14D96316" w14:textId="0A8C186F">
            <w:pPr>
              <w:spacing w:after="60"/>
              <w:jc w:val="center"/>
              <w:rPr>
                <w:rFonts w:ascii="Arial" w:hAnsi="Arial" w:cs="Arial"/>
                <w:sz w:val="18"/>
                <w:szCs w:val="18"/>
              </w:rPr>
            </w:pPr>
            <w:r>
              <w:rPr>
                <w:rFonts w:ascii="Arial" w:hAnsi="Arial" w:cs="Arial"/>
                <w:sz w:val="18"/>
                <w:szCs w:val="18"/>
              </w:rPr>
              <w:t>60</w:t>
            </w:r>
          </w:p>
        </w:tc>
        <w:tc>
          <w:tcPr>
            <w:tcW w:w="766" w:type="pct"/>
            <w:hideMark/>
          </w:tcPr>
          <w:p w:rsidRPr="00BA6BB4" w:rsidR="00BA6BB4" w:rsidP="00BA6BB4" w:rsidRDefault="00BA6BB4" w14:paraId="72BB04D8" w14:textId="77777777">
            <w:pPr>
              <w:spacing w:after="60"/>
              <w:jc w:val="center"/>
              <w:rPr>
                <w:rFonts w:ascii="Arial" w:hAnsi="Arial" w:cs="Arial"/>
                <w:sz w:val="18"/>
                <w:szCs w:val="18"/>
              </w:rPr>
            </w:pPr>
            <w:r w:rsidRPr="00BA6BB4">
              <w:rPr>
                <w:rFonts w:ascii="Arial" w:hAnsi="Arial" w:cs="Arial"/>
                <w:sz w:val="18"/>
                <w:szCs w:val="18"/>
              </w:rPr>
              <w:t>12</w:t>
            </w:r>
          </w:p>
        </w:tc>
        <w:tc>
          <w:tcPr>
            <w:tcW w:w="645" w:type="pct"/>
            <w:hideMark/>
          </w:tcPr>
          <w:p w:rsidRPr="00BA6BB4" w:rsidR="00BA6BB4" w:rsidP="00BA6BB4" w:rsidRDefault="00BA6BB4" w14:paraId="0BB5B677" w14:textId="77777777">
            <w:pPr>
              <w:spacing w:after="60"/>
              <w:jc w:val="center"/>
              <w:rPr>
                <w:rFonts w:ascii="Arial" w:hAnsi="Arial" w:cs="Arial"/>
                <w:sz w:val="18"/>
                <w:szCs w:val="18"/>
              </w:rPr>
            </w:pPr>
            <w:r w:rsidRPr="00BA6BB4">
              <w:rPr>
                <w:rFonts w:ascii="Arial" w:hAnsi="Arial" w:cs="Arial"/>
                <w:sz w:val="18"/>
                <w:szCs w:val="18"/>
              </w:rPr>
              <w:t>$23.69</w:t>
            </w:r>
          </w:p>
        </w:tc>
        <w:tc>
          <w:tcPr>
            <w:tcW w:w="764" w:type="pct"/>
            <w:hideMark/>
          </w:tcPr>
          <w:p w:rsidRPr="00BA6BB4" w:rsidR="00BA6BB4" w:rsidP="00BA6BB4" w:rsidRDefault="00BA6BB4" w14:paraId="5525A2F5" w14:textId="77777777">
            <w:pPr>
              <w:spacing w:after="60"/>
              <w:jc w:val="center"/>
              <w:rPr>
                <w:rFonts w:ascii="Arial" w:hAnsi="Arial" w:cs="Arial"/>
                <w:sz w:val="18"/>
                <w:szCs w:val="18"/>
              </w:rPr>
            </w:pPr>
            <w:r w:rsidRPr="00BA6BB4">
              <w:rPr>
                <w:rFonts w:ascii="Arial" w:hAnsi="Arial" w:cs="Arial"/>
                <w:sz w:val="18"/>
                <w:szCs w:val="18"/>
              </w:rPr>
              <w:t>$284.28</w:t>
            </w:r>
          </w:p>
        </w:tc>
      </w:tr>
      <w:tr w:rsidRPr="00BA6BB4" w:rsidR="00BA6BB4" w:rsidTr="00BA6BB4" w14:paraId="085BAD2E" w14:textId="77777777">
        <w:tc>
          <w:tcPr>
            <w:tcW w:w="850" w:type="pct"/>
            <w:shd w:val="clear" w:color="auto" w:fill="E0D4B5"/>
            <w:hideMark/>
          </w:tcPr>
          <w:p w:rsidRPr="00BA6BB4" w:rsidR="00BA6BB4" w:rsidP="00BA6BB4" w:rsidRDefault="00BA6BB4" w14:paraId="5CC26374" w14:textId="77777777">
            <w:pPr>
              <w:spacing w:after="60"/>
              <w:rPr>
                <w:rFonts w:ascii="Arial" w:hAnsi="Arial"/>
                <w:sz w:val="18"/>
                <w:szCs w:val="18"/>
              </w:rPr>
            </w:pPr>
            <w:r w:rsidRPr="00BA6BB4">
              <w:rPr>
                <w:rFonts w:ascii="Arial" w:hAnsi="Arial"/>
                <w:sz w:val="18"/>
                <w:szCs w:val="18"/>
              </w:rPr>
              <w:t xml:space="preserve">Biological parents </w:t>
            </w:r>
          </w:p>
        </w:tc>
        <w:tc>
          <w:tcPr>
            <w:tcW w:w="731" w:type="pct"/>
            <w:shd w:val="clear" w:color="auto" w:fill="E0D4B5"/>
            <w:hideMark/>
          </w:tcPr>
          <w:p w:rsidRPr="00BA6BB4" w:rsidR="00BA6BB4" w:rsidP="00BA6BB4" w:rsidRDefault="00BA6BB4" w14:paraId="286E3B00" w14:textId="77777777">
            <w:pPr>
              <w:spacing w:after="60"/>
              <w:jc w:val="center"/>
              <w:rPr>
                <w:rFonts w:ascii="Arial" w:hAnsi="Arial" w:cs="Arial"/>
                <w:sz w:val="18"/>
                <w:szCs w:val="18"/>
              </w:rPr>
            </w:pPr>
            <w:r w:rsidRPr="00BA6BB4">
              <w:rPr>
                <w:rFonts w:ascii="Arial" w:hAnsi="Arial" w:cs="Arial"/>
                <w:sz w:val="18"/>
                <w:szCs w:val="18"/>
              </w:rPr>
              <w:t>5</w:t>
            </w:r>
          </w:p>
        </w:tc>
        <w:tc>
          <w:tcPr>
            <w:tcW w:w="655" w:type="pct"/>
            <w:shd w:val="clear" w:color="auto" w:fill="E0D4B5"/>
            <w:hideMark/>
          </w:tcPr>
          <w:p w:rsidRPr="00BA6BB4" w:rsidR="00BA6BB4" w:rsidP="00BA6BB4" w:rsidRDefault="00BA6BB4" w14:paraId="27DA2B05"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E0D4B5"/>
            <w:hideMark/>
          </w:tcPr>
          <w:p w:rsidRPr="00BA6BB4" w:rsidR="00BA6BB4" w:rsidP="00BA6BB4" w:rsidRDefault="00BA6BB4" w14:paraId="77B1253F" w14:textId="01DA047B">
            <w:pPr>
              <w:spacing w:after="60"/>
              <w:jc w:val="center"/>
              <w:rPr>
                <w:rFonts w:ascii="Arial" w:hAnsi="Arial" w:cs="Arial"/>
                <w:sz w:val="18"/>
                <w:szCs w:val="18"/>
              </w:rPr>
            </w:pPr>
            <w:r>
              <w:rPr>
                <w:rFonts w:ascii="Arial" w:hAnsi="Arial" w:cs="Arial"/>
                <w:sz w:val="18"/>
                <w:szCs w:val="18"/>
              </w:rPr>
              <w:t>90</w:t>
            </w:r>
          </w:p>
        </w:tc>
        <w:tc>
          <w:tcPr>
            <w:tcW w:w="766" w:type="pct"/>
            <w:shd w:val="clear" w:color="auto" w:fill="E0D4B5"/>
            <w:hideMark/>
          </w:tcPr>
          <w:p w:rsidRPr="00BA6BB4" w:rsidR="00BA6BB4" w:rsidP="00BA6BB4" w:rsidRDefault="00BA6BB4" w14:paraId="61EED832" w14:textId="77777777">
            <w:pPr>
              <w:spacing w:after="60"/>
              <w:jc w:val="center"/>
              <w:rPr>
                <w:rFonts w:ascii="Arial" w:hAnsi="Arial" w:cs="Arial"/>
                <w:sz w:val="18"/>
                <w:szCs w:val="18"/>
              </w:rPr>
            </w:pPr>
            <w:r w:rsidRPr="00BA6BB4">
              <w:rPr>
                <w:rFonts w:ascii="Arial" w:hAnsi="Arial" w:cs="Arial"/>
                <w:sz w:val="18"/>
                <w:szCs w:val="18"/>
              </w:rPr>
              <w:t>7.5</w:t>
            </w:r>
          </w:p>
        </w:tc>
        <w:tc>
          <w:tcPr>
            <w:tcW w:w="645" w:type="pct"/>
            <w:shd w:val="clear" w:color="auto" w:fill="E0D4B5"/>
            <w:hideMark/>
          </w:tcPr>
          <w:p w:rsidRPr="00BA6BB4" w:rsidR="00BA6BB4" w:rsidP="00BA6BB4" w:rsidRDefault="00BA6BB4" w14:paraId="22E8EF2D" w14:textId="77777777">
            <w:pPr>
              <w:spacing w:after="60"/>
              <w:jc w:val="center"/>
              <w:rPr>
                <w:rFonts w:ascii="Arial" w:hAnsi="Arial" w:cs="Arial"/>
                <w:sz w:val="18"/>
                <w:szCs w:val="18"/>
              </w:rPr>
            </w:pPr>
            <w:r w:rsidRPr="00BA6BB4">
              <w:rPr>
                <w:rFonts w:ascii="Arial" w:hAnsi="Arial" w:cs="Arial"/>
                <w:sz w:val="18"/>
                <w:szCs w:val="18"/>
              </w:rPr>
              <w:t>$24.98</w:t>
            </w:r>
          </w:p>
        </w:tc>
        <w:tc>
          <w:tcPr>
            <w:tcW w:w="764" w:type="pct"/>
            <w:shd w:val="clear" w:color="auto" w:fill="E0D4B5"/>
            <w:hideMark/>
          </w:tcPr>
          <w:p w:rsidRPr="00BA6BB4" w:rsidR="00BA6BB4" w:rsidP="00BA6BB4" w:rsidRDefault="00BA6BB4" w14:paraId="5D2C523C" w14:textId="77777777">
            <w:pPr>
              <w:spacing w:after="60"/>
              <w:jc w:val="center"/>
              <w:rPr>
                <w:rFonts w:ascii="Arial" w:hAnsi="Arial" w:cs="Arial"/>
                <w:sz w:val="18"/>
                <w:szCs w:val="18"/>
              </w:rPr>
            </w:pPr>
            <w:r w:rsidRPr="00BA6BB4">
              <w:rPr>
                <w:rFonts w:ascii="Arial" w:hAnsi="Arial" w:cs="Arial"/>
                <w:sz w:val="18"/>
                <w:szCs w:val="18"/>
              </w:rPr>
              <w:t>$187.35</w:t>
            </w:r>
          </w:p>
        </w:tc>
      </w:tr>
      <w:tr w:rsidRPr="00BA6BB4" w:rsidR="00BA6BB4" w:rsidTr="00BA6BB4" w14:paraId="19E68102" w14:textId="77777777">
        <w:tc>
          <w:tcPr>
            <w:tcW w:w="850" w:type="pct"/>
            <w:shd w:val="clear" w:color="auto" w:fill="FFFFFF"/>
            <w:hideMark/>
          </w:tcPr>
          <w:p w:rsidRPr="00BA6BB4" w:rsidR="00BA6BB4" w:rsidP="00BA6BB4" w:rsidRDefault="00BA6BB4" w14:paraId="400F67F9" w14:textId="77777777">
            <w:pPr>
              <w:spacing w:after="60"/>
              <w:rPr>
                <w:rFonts w:ascii="Arial" w:hAnsi="Arial"/>
                <w:sz w:val="18"/>
                <w:szCs w:val="18"/>
              </w:rPr>
            </w:pPr>
            <w:r w:rsidRPr="00BA6BB4">
              <w:rPr>
                <w:rFonts w:ascii="Arial" w:hAnsi="Arial"/>
                <w:sz w:val="18"/>
                <w:szCs w:val="18"/>
              </w:rPr>
              <w:t>Foster or adoptive parents</w:t>
            </w:r>
          </w:p>
        </w:tc>
        <w:tc>
          <w:tcPr>
            <w:tcW w:w="731" w:type="pct"/>
            <w:shd w:val="clear" w:color="auto" w:fill="FFFFFF"/>
            <w:hideMark/>
          </w:tcPr>
          <w:p w:rsidRPr="00BA6BB4" w:rsidR="00BA6BB4" w:rsidP="00BA6BB4" w:rsidRDefault="00BA6BB4" w14:paraId="2A148005" w14:textId="77777777">
            <w:pPr>
              <w:spacing w:after="60"/>
              <w:jc w:val="center"/>
              <w:rPr>
                <w:rFonts w:ascii="Arial" w:hAnsi="Arial" w:cs="Arial"/>
                <w:sz w:val="18"/>
                <w:szCs w:val="18"/>
              </w:rPr>
            </w:pPr>
            <w:r w:rsidRPr="00BA6BB4">
              <w:rPr>
                <w:rFonts w:ascii="Arial" w:hAnsi="Arial" w:cs="Arial"/>
                <w:sz w:val="18"/>
                <w:szCs w:val="18"/>
              </w:rPr>
              <w:t>5</w:t>
            </w:r>
          </w:p>
        </w:tc>
        <w:tc>
          <w:tcPr>
            <w:tcW w:w="655" w:type="pct"/>
            <w:shd w:val="clear" w:color="auto" w:fill="FFFFFF"/>
            <w:hideMark/>
          </w:tcPr>
          <w:p w:rsidRPr="00BA6BB4" w:rsidR="00BA6BB4" w:rsidP="00BA6BB4" w:rsidRDefault="00BA6BB4" w14:paraId="6F7FFB02" w14:textId="77777777">
            <w:pPr>
              <w:spacing w:after="60"/>
              <w:jc w:val="center"/>
              <w:rPr>
                <w:rFonts w:ascii="Arial" w:hAnsi="Arial" w:cs="Arial"/>
                <w:sz w:val="18"/>
                <w:szCs w:val="18"/>
              </w:rPr>
            </w:pPr>
            <w:r w:rsidRPr="00BA6BB4">
              <w:rPr>
                <w:rFonts w:ascii="Arial" w:hAnsi="Arial" w:cs="Arial"/>
                <w:sz w:val="18"/>
                <w:szCs w:val="18"/>
              </w:rPr>
              <w:t>1</w:t>
            </w:r>
          </w:p>
        </w:tc>
        <w:tc>
          <w:tcPr>
            <w:tcW w:w="589" w:type="pct"/>
            <w:shd w:val="clear" w:color="auto" w:fill="FFFFFF"/>
            <w:hideMark/>
          </w:tcPr>
          <w:p w:rsidRPr="00BA6BB4" w:rsidR="00BA6BB4" w:rsidP="00BA6BB4" w:rsidRDefault="00BA6BB4" w14:paraId="1BCD689A" w14:textId="577806D1">
            <w:pPr>
              <w:spacing w:after="60"/>
              <w:jc w:val="center"/>
              <w:rPr>
                <w:rFonts w:ascii="Arial" w:hAnsi="Arial" w:cs="Arial"/>
                <w:sz w:val="18"/>
                <w:szCs w:val="18"/>
              </w:rPr>
            </w:pPr>
            <w:r>
              <w:rPr>
                <w:rFonts w:ascii="Arial" w:hAnsi="Arial" w:cs="Arial"/>
                <w:sz w:val="18"/>
                <w:szCs w:val="18"/>
              </w:rPr>
              <w:t>90</w:t>
            </w:r>
          </w:p>
        </w:tc>
        <w:tc>
          <w:tcPr>
            <w:tcW w:w="766" w:type="pct"/>
            <w:shd w:val="clear" w:color="auto" w:fill="FFFFFF"/>
            <w:hideMark/>
          </w:tcPr>
          <w:p w:rsidRPr="00BA6BB4" w:rsidR="00BA6BB4" w:rsidP="00BA6BB4" w:rsidRDefault="00BA6BB4" w14:paraId="32328C93" w14:textId="77777777">
            <w:pPr>
              <w:spacing w:after="60"/>
              <w:jc w:val="center"/>
              <w:rPr>
                <w:rFonts w:ascii="Arial" w:hAnsi="Arial" w:cs="Arial"/>
                <w:sz w:val="18"/>
                <w:szCs w:val="18"/>
              </w:rPr>
            </w:pPr>
            <w:r w:rsidRPr="00BA6BB4">
              <w:rPr>
                <w:rFonts w:ascii="Arial" w:hAnsi="Arial" w:cs="Arial"/>
                <w:sz w:val="18"/>
                <w:szCs w:val="18"/>
              </w:rPr>
              <w:t>7.5</w:t>
            </w:r>
          </w:p>
        </w:tc>
        <w:tc>
          <w:tcPr>
            <w:tcW w:w="645" w:type="pct"/>
            <w:shd w:val="clear" w:color="auto" w:fill="FFFFFF"/>
            <w:hideMark/>
          </w:tcPr>
          <w:p w:rsidRPr="00BA6BB4" w:rsidR="00BA6BB4" w:rsidP="00BA6BB4" w:rsidRDefault="00BA6BB4" w14:paraId="5847B8D2" w14:textId="77777777">
            <w:pPr>
              <w:spacing w:after="60"/>
              <w:jc w:val="center"/>
              <w:rPr>
                <w:rFonts w:ascii="Arial" w:hAnsi="Arial" w:cs="Arial"/>
                <w:sz w:val="18"/>
                <w:szCs w:val="18"/>
              </w:rPr>
            </w:pPr>
            <w:r w:rsidRPr="00BA6BB4">
              <w:rPr>
                <w:rFonts w:ascii="Arial" w:hAnsi="Arial" w:cs="Arial"/>
                <w:sz w:val="18"/>
                <w:szCs w:val="18"/>
              </w:rPr>
              <w:t>$24.98</w:t>
            </w:r>
          </w:p>
        </w:tc>
        <w:tc>
          <w:tcPr>
            <w:tcW w:w="764" w:type="pct"/>
            <w:shd w:val="clear" w:color="auto" w:fill="FFFFFF"/>
            <w:hideMark/>
          </w:tcPr>
          <w:p w:rsidRPr="00BA6BB4" w:rsidR="00BA6BB4" w:rsidP="00BA6BB4" w:rsidRDefault="00BA6BB4" w14:paraId="528A2CD3" w14:textId="77777777">
            <w:pPr>
              <w:spacing w:after="60"/>
              <w:jc w:val="center"/>
              <w:rPr>
                <w:rFonts w:ascii="Arial" w:hAnsi="Arial" w:cs="Arial"/>
                <w:sz w:val="18"/>
                <w:szCs w:val="18"/>
              </w:rPr>
            </w:pPr>
            <w:r w:rsidRPr="00BA6BB4">
              <w:rPr>
                <w:rFonts w:ascii="Arial" w:hAnsi="Arial" w:cs="Arial"/>
                <w:sz w:val="18"/>
                <w:szCs w:val="18"/>
              </w:rPr>
              <w:t>$187.35</w:t>
            </w:r>
          </w:p>
        </w:tc>
      </w:tr>
      <w:tr w:rsidRPr="00BA6BB4" w:rsidR="00BA6BB4" w:rsidTr="00BA6BB4" w14:paraId="458E2A12" w14:textId="77777777">
        <w:tc>
          <w:tcPr>
            <w:tcW w:w="850" w:type="pct"/>
            <w:tcBorders>
              <w:top w:val="nil"/>
              <w:left w:val="nil"/>
              <w:bottom w:val="single" w:color="auto" w:sz="4" w:space="0"/>
              <w:right w:val="nil"/>
            </w:tcBorders>
            <w:shd w:val="clear" w:color="auto" w:fill="E0D4B5"/>
            <w:hideMark/>
          </w:tcPr>
          <w:p w:rsidRPr="00BA6BB4" w:rsidR="00BA6BB4" w:rsidP="00BA6BB4" w:rsidRDefault="00BA6BB4" w14:paraId="3AEFE1D9" w14:textId="77777777">
            <w:pPr>
              <w:spacing w:after="60"/>
              <w:rPr>
                <w:rFonts w:ascii="Arial" w:hAnsi="Arial"/>
                <w:sz w:val="18"/>
                <w:szCs w:val="18"/>
              </w:rPr>
            </w:pPr>
            <w:r w:rsidRPr="00BA6BB4">
              <w:rPr>
                <w:rFonts w:ascii="Arial" w:hAnsi="Arial"/>
                <w:sz w:val="18"/>
                <w:szCs w:val="18"/>
              </w:rPr>
              <w:t xml:space="preserve">Former foster youth </w:t>
            </w:r>
          </w:p>
        </w:tc>
        <w:tc>
          <w:tcPr>
            <w:tcW w:w="731" w:type="pct"/>
            <w:tcBorders>
              <w:top w:val="nil"/>
              <w:left w:val="nil"/>
              <w:bottom w:val="single" w:color="auto" w:sz="4" w:space="0"/>
              <w:right w:val="nil"/>
            </w:tcBorders>
            <w:shd w:val="clear" w:color="auto" w:fill="E0D4B5"/>
            <w:hideMark/>
          </w:tcPr>
          <w:p w:rsidRPr="00BA6BB4" w:rsidR="00BA6BB4" w:rsidP="00BA6BB4" w:rsidRDefault="00BA6BB4" w14:paraId="1FB81D8C" w14:textId="77777777">
            <w:pPr>
              <w:spacing w:after="60"/>
              <w:jc w:val="center"/>
              <w:rPr>
                <w:rFonts w:ascii="Arial" w:hAnsi="Arial" w:cs="Arial"/>
                <w:sz w:val="18"/>
                <w:szCs w:val="18"/>
              </w:rPr>
            </w:pPr>
            <w:r w:rsidRPr="00BA6BB4">
              <w:rPr>
                <w:rFonts w:ascii="Arial" w:hAnsi="Arial" w:cs="Arial"/>
                <w:sz w:val="18"/>
                <w:szCs w:val="18"/>
              </w:rPr>
              <w:t>5</w:t>
            </w:r>
          </w:p>
        </w:tc>
        <w:tc>
          <w:tcPr>
            <w:tcW w:w="655" w:type="pct"/>
            <w:tcBorders>
              <w:top w:val="nil"/>
              <w:left w:val="nil"/>
              <w:bottom w:val="single" w:color="auto" w:sz="4" w:space="0"/>
              <w:right w:val="nil"/>
            </w:tcBorders>
            <w:shd w:val="clear" w:color="auto" w:fill="E0D4B5"/>
            <w:hideMark/>
          </w:tcPr>
          <w:p w:rsidRPr="00BA6BB4" w:rsidR="00BA6BB4" w:rsidP="00BA6BB4" w:rsidRDefault="00BA6BB4" w14:paraId="755243EC" w14:textId="77777777">
            <w:pPr>
              <w:spacing w:after="60"/>
              <w:jc w:val="center"/>
              <w:rPr>
                <w:rFonts w:ascii="Arial" w:hAnsi="Arial" w:cs="Arial"/>
                <w:sz w:val="18"/>
                <w:szCs w:val="18"/>
              </w:rPr>
            </w:pPr>
            <w:r w:rsidRPr="00BA6BB4">
              <w:rPr>
                <w:rFonts w:ascii="Arial" w:hAnsi="Arial" w:cs="Arial"/>
                <w:sz w:val="18"/>
                <w:szCs w:val="18"/>
              </w:rPr>
              <w:t>1</w:t>
            </w:r>
          </w:p>
        </w:tc>
        <w:tc>
          <w:tcPr>
            <w:tcW w:w="589" w:type="pct"/>
            <w:tcBorders>
              <w:top w:val="nil"/>
              <w:left w:val="nil"/>
              <w:bottom w:val="single" w:color="auto" w:sz="4" w:space="0"/>
              <w:right w:val="nil"/>
            </w:tcBorders>
            <w:shd w:val="clear" w:color="auto" w:fill="E0D4B5"/>
            <w:hideMark/>
          </w:tcPr>
          <w:p w:rsidRPr="00BA6BB4" w:rsidR="00BA6BB4" w:rsidP="00BA6BB4" w:rsidRDefault="00BA6BB4" w14:paraId="70049A2F" w14:textId="24A0F2F7">
            <w:pPr>
              <w:spacing w:after="60"/>
              <w:jc w:val="center"/>
              <w:rPr>
                <w:rFonts w:ascii="Arial" w:hAnsi="Arial" w:cs="Arial"/>
                <w:sz w:val="18"/>
                <w:szCs w:val="18"/>
              </w:rPr>
            </w:pPr>
            <w:r>
              <w:rPr>
                <w:rFonts w:ascii="Arial" w:hAnsi="Arial" w:cs="Arial"/>
                <w:sz w:val="18"/>
                <w:szCs w:val="18"/>
              </w:rPr>
              <w:t>90</w:t>
            </w:r>
          </w:p>
        </w:tc>
        <w:tc>
          <w:tcPr>
            <w:tcW w:w="766" w:type="pct"/>
            <w:tcBorders>
              <w:top w:val="nil"/>
              <w:left w:val="nil"/>
              <w:bottom w:val="single" w:color="auto" w:sz="4" w:space="0"/>
              <w:right w:val="nil"/>
            </w:tcBorders>
            <w:shd w:val="clear" w:color="auto" w:fill="E0D4B5"/>
            <w:hideMark/>
          </w:tcPr>
          <w:p w:rsidRPr="00BA6BB4" w:rsidR="00BA6BB4" w:rsidP="00BA6BB4" w:rsidRDefault="00BA6BB4" w14:paraId="7B9BFB2D" w14:textId="77777777">
            <w:pPr>
              <w:spacing w:after="60"/>
              <w:jc w:val="center"/>
              <w:rPr>
                <w:rFonts w:ascii="Arial" w:hAnsi="Arial" w:cs="Arial"/>
                <w:sz w:val="18"/>
                <w:szCs w:val="18"/>
              </w:rPr>
            </w:pPr>
            <w:r w:rsidRPr="00BA6BB4">
              <w:rPr>
                <w:rFonts w:ascii="Arial" w:hAnsi="Arial" w:cs="Arial"/>
                <w:sz w:val="18"/>
                <w:szCs w:val="18"/>
              </w:rPr>
              <w:t>7.5</w:t>
            </w:r>
          </w:p>
        </w:tc>
        <w:tc>
          <w:tcPr>
            <w:tcW w:w="645" w:type="pct"/>
            <w:tcBorders>
              <w:top w:val="nil"/>
              <w:left w:val="nil"/>
              <w:bottom w:val="single" w:color="auto" w:sz="4" w:space="0"/>
              <w:right w:val="nil"/>
            </w:tcBorders>
            <w:shd w:val="clear" w:color="auto" w:fill="E0D4B5"/>
            <w:hideMark/>
          </w:tcPr>
          <w:p w:rsidRPr="00BA6BB4" w:rsidR="00BA6BB4" w:rsidP="00BA6BB4" w:rsidRDefault="00BA6BB4" w14:paraId="29FFE22A" w14:textId="77777777">
            <w:pPr>
              <w:spacing w:after="60"/>
              <w:jc w:val="center"/>
              <w:rPr>
                <w:rFonts w:ascii="Arial" w:hAnsi="Arial" w:cs="Arial"/>
                <w:sz w:val="18"/>
                <w:szCs w:val="18"/>
              </w:rPr>
            </w:pPr>
            <w:r w:rsidRPr="00BA6BB4">
              <w:rPr>
                <w:rFonts w:ascii="Arial" w:hAnsi="Arial" w:cs="Arial"/>
                <w:sz w:val="18"/>
                <w:szCs w:val="18"/>
              </w:rPr>
              <w:t>$24.98</w:t>
            </w:r>
          </w:p>
        </w:tc>
        <w:tc>
          <w:tcPr>
            <w:tcW w:w="764" w:type="pct"/>
            <w:tcBorders>
              <w:top w:val="nil"/>
              <w:left w:val="nil"/>
              <w:bottom w:val="single" w:color="auto" w:sz="4" w:space="0"/>
              <w:right w:val="nil"/>
            </w:tcBorders>
            <w:shd w:val="clear" w:color="auto" w:fill="E0D4B5"/>
            <w:hideMark/>
          </w:tcPr>
          <w:p w:rsidRPr="00BA6BB4" w:rsidR="00BA6BB4" w:rsidP="00BA6BB4" w:rsidRDefault="00BA6BB4" w14:paraId="58941FA0" w14:textId="77777777">
            <w:pPr>
              <w:spacing w:after="60"/>
              <w:jc w:val="center"/>
              <w:rPr>
                <w:rFonts w:ascii="Arial" w:hAnsi="Arial" w:cs="Arial"/>
                <w:sz w:val="18"/>
                <w:szCs w:val="18"/>
              </w:rPr>
            </w:pPr>
            <w:r w:rsidRPr="00BA6BB4">
              <w:rPr>
                <w:rFonts w:ascii="Arial" w:hAnsi="Arial" w:cs="Arial"/>
                <w:sz w:val="18"/>
                <w:szCs w:val="18"/>
              </w:rPr>
              <w:t>$187.35</w:t>
            </w:r>
          </w:p>
        </w:tc>
      </w:tr>
      <w:tr w:rsidRPr="00BA6BB4" w:rsidR="00BA6BB4" w:rsidTr="00BA6BB4" w14:paraId="3FC8249E" w14:textId="77777777">
        <w:tc>
          <w:tcPr>
            <w:tcW w:w="850" w:type="pct"/>
            <w:tcBorders>
              <w:top w:val="single" w:color="auto" w:sz="4" w:space="0"/>
              <w:left w:val="nil"/>
              <w:bottom w:val="single" w:color="auto" w:sz="4" w:space="0"/>
              <w:right w:val="nil"/>
            </w:tcBorders>
            <w:shd w:val="clear" w:color="auto" w:fill="FFFFFF"/>
            <w:hideMark/>
          </w:tcPr>
          <w:p w:rsidRPr="00BA6BB4" w:rsidR="00BA6BB4" w:rsidP="00BA6BB4" w:rsidRDefault="00BA6BB4" w14:paraId="79F0D26C" w14:textId="77777777">
            <w:pPr>
              <w:spacing w:after="60"/>
              <w:rPr>
                <w:rFonts w:ascii="Arial" w:hAnsi="Arial"/>
                <w:b/>
                <w:bCs/>
                <w:sz w:val="18"/>
                <w:szCs w:val="18"/>
              </w:rPr>
            </w:pPr>
            <w:r w:rsidRPr="00BA6BB4">
              <w:rPr>
                <w:rFonts w:ascii="Arial" w:hAnsi="Arial"/>
                <w:b/>
                <w:bCs/>
                <w:sz w:val="18"/>
                <w:szCs w:val="18"/>
              </w:rPr>
              <w:t>Total</w:t>
            </w:r>
          </w:p>
        </w:tc>
        <w:tc>
          <w:tcPr>
            <w:tcW w:w="731" w:type="pct"/>
            <w:tcBorders>
              <w:top w:val="single" w:color="auto" w:sz="4" w:space="0"/>
              <w:left w:val="nil"/>
              <w:bottom w:val="single" w:color="auto" w:sz="4" w:space="0"/>
              <w:right w:val="nil"/>
            </w:tcBorders>
            <w:shd w:val="clear" w:color="auto" w:fill="FFFFFF"/>
            <w:hideMark/>
          </w:tcPr>
          <w:p w:rsidRPr="00BA6BB4" w:rsidR="00BA6BB4" w:rsidP="00BA6BB4" w:rsidRDefault="00BA6BB4" w14:paraId="26C569EE" w14:textId="77777777">
            <w:pPr>
              <w:spacing w:after="60"/>
              <w:jc w:val="center"/>
              <w:rPr>
                <w:rFonts w:ascii="Arial" w:hAnsi="Arial" w:cs="Arial"/>
                <w:b/>
                <w:bCs/>
                <w:sz w:val="18"/>
                <w:szCs w:val="18"/>
              </w:rPr>
            </w:pPr>
            <w:r w:rsidRPr="00BA6BB4">
              <w:rPr>
                <w:rFonts w:ascii="Arial" w:hAnsi="Arial" w:cs="Arial"/>
                <w:sz w:val="18"/>
                <w:szCs w:val="18"/>
              </w:rPr>
              <w:t>75</w:t>
            </w:r>
          </w:p>
        </w:tc>
        <w:tc>
          <w:tcPr>
            <w:tcW w:w="655" w:type="pct"/>
            <w:tcBorders>
              <w:top w:val="single" w:color="auto" w:sz="4" w:space="0"/>
              <w:left w:val="nil"/>
              <w:bottom w:val="single" w:color="auto" w:sz="4" w:space="0"/>
              <w:right w:val="nil"/>
            </w:tcBorders>
            <w:shd w:val="clear" w:color="auto" w:fill="FFFFFF"/>
            <w:hideMark/>
          </w:tcPr>
          <w:p w:rsidRPr="00BA6BB4" w:rsidR="00BA6BB4" w:rsidP="00BA6BB4" w:rsidRDefault="00BA6BB4" w14:paraId="7E7D8A20" w14:textId="77777777">
            <w:pPr>
              <w:spacing w:after="60"/>
              <w:jc w:val="center"/>
              <w:rPr>
                <w:rFonts w:ascii="Arial" w:hAnsi="Arial" w:cs="Arial"/>
                <w:b/>
                <w:bCs/>
                <w:sz w:val="18"/>
                <w:szCs w:val="18"/>
              </w:rPr>
            </w:pPr>
            <w:r w:rsidRPr="00BA6BB4">
              <w:rPr>
                <w:rFonts w:ascii="Arial" w:hAnsi="Arial" w:cs="Arial"/>
                <w:sz w:val="18"/>
                <w:szCs w:val="18"/>
              </w:rPr>
              <w:t>1</w:t>
            </w:r>
          </w:p>
        </w:tc>
        <w:tc>
          <w:tcPr>
            <w:tcW w:w="589" w:type="pct"/>
            <w:tcBorders>
              <w:top w:val="single" w:color="auto" w:sz="4" w:space="0"/>
              <w:left w:val="nil"/>
              <w:bottom w:val="single" w:color="auto" w:sz="4" w:space="0"/>
              <w:right w:val="nil"/>
            </w:tcBorders>
            <w:shd w:val="clear" w:color="auto" w:fill="FFFFFF"/>
            <w:hideMark/>
          </w:tcPr>
          <w:p w:rsidRPr="00BA6BB4" w:rsidR="00BA6BB4" w:rsidP="00BA6BB4" w:rsidRDefault="00BA6BB4" w14:paraId="3128F672" w14:textId="77777777">
            <w:pPr>
              <w:spacing w:after="60"/>
              <w:jc w:val="center"/>
              <w:rPr>
                <w:rFonts w:ascii="Arial" w:hAnsi="Arial" w:cs="Arial"/>
                <w:b/>
                <w:bCs/>
                <w:sz w:val="18"/>
                <w:szCs w:val="18"/>
              </w:rPr>
            </w:pPr>
            <w:r w:rsidRPr="00BA6BB4">
              <w:rPr>
                <w:rFonts w:ascii="Arial" w:hAnsi="Arial" w:cs="Arial"/>
                <w:sz w:val="18"/>
                <w:szCs w:val="18"/>
              </w:rPr>
              <w:t>-</w:t>
            </w:r>
          </w:p>
        </w:tc>
        <w:tc>
          <w:tcPr>
            <w:tcW w:w="766" w:type="pct"/>
            <w:tcBorders>
              <w:top w:val="single" w:color="auto" w:sz="4" w:space="0"/>
              <w:left w:val="nil"/>
              <w:bottom w:val="single" w:color="auto" w:sz="4" w:space="0"/>
              <w:right w:val="nil"/>
            </w:tcBorders>
            <w:shd w:val="clear" w:color="auto" w:fill="FFFFFF"/>
            <w:hideMark/>
          </w:tcPr>
          <w:p w:rsidRPr="00BA6BB4" w:rsidR="00BA6BB4" w:rsidP="00BA6BB4" w:rsidRDefault="00BA6BB4" w14:paraId="0B8340F8" w14:textId="77777777">
            <w:pPr>
              <w:spacing w:after="60"/>
              <w:jc w:val="center"/>
              <w:rPr>
                <w:rFonts w:ascii="Arial" w:hAnsi="Arial" w:cs="Arial"/>
                <w:b/>
                <w:bCs/>
                <w:sz w:val="18"/>
                <w:szCs w:val="18"/>
              </w:rPr>
            </w:pPr>
            <w:r w:rsidRPr="00BA6BB4">
              <w:rPr>
                <w:rFonts w:ascii="Arial" w:hAnsi="Arial" w:cs="Arial"/>
                <w:sz w:val="18"/>
                <w:szCs w:val="18"/>
              </w:rPr>
              <w:t>82.5</w:t>
            </w:r>
          </w:p>
        </w:tc>
        <w:tc>
          <w:tcPr>
            <w:tcW w:w="645" w:type="pct"/>
            <w:tcBorders>
              <w:top w:val="single" w:color="auto" w:sz="4" w:space="0"/>
              <w:left w:val="nil"/>
              <w:bottom w:val="single" w:color="auto" w:sz="4" w:space="0"/>
              <w:right w:val="nil"/>
            </w:tcBorders>
            <w:shd w:val="clear" w:color="auto" w:fill="FFFFFF"/>
            <w:hideMark/>
          </w:tcPr>
          <w:p w:rsidRPr="00BA6BB4" w:rsidR="00BA6BB4" w:rsidP="00BA6BB4" w:rsidRDefault="00BA6BB4" w14:paraId="45601D7F" w14:textId="77777777">
            <w:pPr>
              <w:spacing w:after="60"/>
              <w:jc w:val="center"/>
              <w:rPr>
                <w:rFonts w:ascii="Arial" w:hAnsi="Arial" w:cs="Arial"/>
                <w:b/>
                <w:bCs/>
                <w:sz w:val="18"/>
                <w:szCs w:val="18"/>
              </w:rPr>
            </w:pPr>
            <w:r w:rsidRPr="00BA6BB4">
              <w:rPr>
                <w:rFonts w:ascii="Arial" w:hAnsi="Arial" w:cs="Arial"/>
                <w:sz w:val="18"/>
                <w:szCs w:val="18"/>
              </w:rPr>
              <w:t>-</w:t>
            </w:r>
          </w:p>
        </w:tc>
        <w:tc>
          <w:tcPr>
            <w:tcW w:w="764" w:type="pct"/>
            <w:tcBorders>
              <w:top w:val="single" w:color="auto" w:sz="4" w:space="0"/>
              <w:left w:val="nil"/>
              <w:bottom w:val="single" w:color="auto" w:sz="4" w:space="0"/>
              <w:right w:val="nil"/>
            </w:tcBorders>
            <w:shd w:val="clear" w:color="auto" w:fill="FFFFFF"/>
            <w:hideMark/>
          </w:tcPr>
          <w:p w:rsidRPr="00BA6BB4" w:rsidR="00BA6BB4" w:rsidP="00BA6BB4" w:rsidRDefault="00BA6BB4" w14:paraId="13585BD8" w14:textId="77777777">
            <w:pPr>
              <w:spacing w:after="60"/>
              <w:jc w:val="center"/>
              <w:rPr>
                <w:rFonts w:ascii="Arial" w:hAnsi="Arial" w:cs="Arial"/>
                <w:b/>
                <w:bCs/>
                <w:sz w:val="18"/>
                <w:szCs w:val="18"/>
              </w:rPr>
            </w:pPr>
            <w:r w:rsidRPr="00BA6BB4">
              <w:rPr>
                <w:rFonts w:ascii="Arial" w:hAnsi="Arial" w:cs="Arial"/>
                <w:sz w:val="18"/>
                <w:szCs w:val="18"/>
              </w:rPr>
              <w:t>$3,122.01</w:t>
            </w:r>
          </w:p>
        </w:tc>
      </w:tr>
    </w:tbl>
    <w:p w:rsidR="00ED47AB" w:rsidP="00BA6BB4" w:rsidRDefault="00ED47AB" w14:paraId="2A5DEC04" w14:textId="7B7F7FB6">
      <w:pPr>
        <w:rPr>
          <w:rFonts w:asciiTheme="majorHAnsi" w:hAnsiTheme="majorHAnsi"/>
          <w:b/>
          <w:bCs/>
          <w:sz w:val="24"/>
          <w:szCs w:val="24"/>
        </w:rPr>
      </w:pPr>
    </w:p>
    <w:p w:rsidRPr="0041582B" w:rsidR="00B12F51" w:rsidP="0041582B" w:rsidRDefault="0088467A" w14:paraId="4A7BD478" w14:textId="77777777">
      <w:pPr>
        <w:pStyle w:val="ListParagraph"/>
        <w:numPr>
          <w:ilvl w:val="0"/>
          <w:numId w:val="2"/>
        </w:numPr>
        <w:spacing w:after="0" w:line="240" w:lineRule="auto"/>
        <w:rPr>
          <w:rFonts w:asciiTheme="majorHAnsi" w:hAnsiTheme="majorHAnsi"/>
          <w:b/>
          <w:bCs/>
          <w:sz w:val="24"/>
          <w:szCs w:val="24"/>
        </w:rPr>
      </w:pPr>
      <w:r w:rsidRPr="0041582B">
        <w:rPr>
          <w:rFonts w:asciiTheme="majorHAnsi" w:hAnsiTheme="majorHAnsi"/>
          <w:b/>
          <w:bCs/>
          <w:sz w:val="24"/>
          <w:szCs w:val="24"/>
        </w:rPr>
        <w:t>Estimates of Other Total Annual Cost Burden to Respondents or Record Keepers</w:t>
      </w:r>
    </w:p>
    <w:p w:rsidRPr="0041582B" w:rsidR="003C31C9" w:rsidP="0041582B" w:rsidRDefault="003C31C9" w14:paraId="0B92E281" w14:textId="77777777">
      <w:pPr>
        <w:pStyle w:val="CM89"/>
        <w:ind w:left="720"/>
        <w:rPr>
          <w:rFonts w:cs="Times New Roman" w:asciiTheme="majorHAnsi" w:hAnsiTheme="majorHAnsi"/>
          <w:color w:val="000000"/>
        </w:rPr>
      </w:pPr>
      <w:r w:rsidRPr="0041582B">
        <w:rPr>
          <w:rFonts w:cs="Times New Roman" w:asciiTheme="majorHAnsi" w:hAnsiTheme="majorHAnsi"/>
          <w:color w:val="000000"/>
        </w:rPr>
        <w:t xml:space="preserve">There will be no direct costs to the respondents other than their time to participate in each </w:t>
      </w:r>
      <w:r w:rsidRPr="0041582B" w:rsidR="00525E61">
        <w:rPr>
          <w:rFonts w:cs="Times New Roman" w:asciiTheme="majorHAnsi" w:hAnsiTheme="majorHAnsi"/>
          <w:color w:val="000000"/>
        </w:rPr>
        <w:t>data collection</w:t>
      </w:r>
      <w:r w:rsidRPr="0041582B">
        <w:rPr>
          <w:rFonts w:cs="Times New Roman" w:asciiTheme="majorHAnsi" w:hAnsiTheme="majorHAnsi"/>
          <w:color w:val="000000"/>
        </w:rPr>
        <w:t>.</w:t>
      </w:r>
    </w:p>
    <w:p w:rsidR="00FB4DBE" w:rsidP="00FB4DBE" w:rsidRDefault="00FB4DBE" w14:paraId="6B721460" w14:textId="77777777">
      <w:pPr>
        <w:spacing w:line="240" w:lineRule="auto"/>
        <w:rPr>
          <w:rFonts w:asciiTheme="majorHAnsi" w:hAnsiTheme="majorHAnsi"/>
          <w:sz w:val="24"/>
          <w:szCs w:val="24"/>
        </w:rPr>
      </w:pPr>
    </w:p>
    <w:p w:rsidRPr="006463BE" w:rsidR="00B12F51" w:rsidP="006463BE" w:rsidRDefault="0088467A" w14:paraId="43791B4E" w14:textId="740C4C4D">
      <w:pPr>
        <w:pStyle w:val="ListParagraph"/>
        <w:numPr>
          <w:ilvl w:val="0"/>
          <w:numId w:val="2"/>
        </w:numPr>
        <w:spacing w:line="240" w:lineRule="auto"/>
        <w:rPr>
          <w:rFonts w:asciiTheme="majorHAnsi" w:hAnsiTheme="majorHAnsi"/>
          <w:b/>
          <w:sz w:val="24"/>
          <w:szCs w:val="24"/>
        </w:rPr>
      </w:pPr>
      <w:r w:rsidRPr="006463BE">
        <w:rPr>
          <w:rFonts w:asciiTheme="majorHAnsi" w:hAnsiTheme="majorHAnsi"/>
          <w:b/>
          <w:bCs/>
          <w:sz w:val="24"/>
          <w:szCs w:val="24"/>
        </w:rPr>
        <w:t>Annualized Cost to the Government</w:t>
      </w:r>
      <w:r w:rsidRPr="006463BE" w:rsidR="00D75750">
        <w:rPr>
          <w:rFonts w:asciiTheme="majorHAnsi" w:hAnsiTheme="majorHAnsi"/>
          <w:b/>
          <w:bCs/>
          <w:sz w:val="24"/>
          <w:szCs w:val="24"/>
        </w:rPr>
        <w:t xml:space="preserve"> </w:t>
      </w:r>
    </w:p>
    <w:p w:rsidRPr="0041582B" w:rsidR="00AB3C4C" w:rsidP="0041582B" w:rsidRDefault="00AB3C4C" w14:paraId="181946F8" w14:textId="43FE087C">
      <w:pPr>
        <w:pStyle w:val="BlockText"/>
        <w:spacing w:after="0" w:line="240" w:lineRule="auto"/>
        <w:ind w:firstLine="90"/>
        <w:rPr>
          <w:sz w:val="24"/>
          <w:szCs w:val="24"/>
        </w:rPr>
      </w:pPr>
      <w:r w:rsidRPr="0041582B">
        <w:rPr>
          <w:sz w:val="24"/>
          <w:szCs w:val="24"/>
        </w:rPr>
        <w:t>The cost of the government task order attributable to the work is $</w:t>
      </w:r>
      <w:r w:rsidR="00234A91">
        <w:rPr>
          <w:sz w:val="24"/>
          <w:szCs w:val="24"/>
        </w:rPr>
        <w:t>1,309</w:t>
      </w:r>
      <w:r w:rsidRPr="00234A91">
        <w:rPr>
          <w:sz w:val="24"/>
          <w:szCs w:val="24"/>
        </w:rPr>
        <w:t>.</w:t>
      </w:r>
      <w:r w:rsidRPr="0041582B">
        <w:rPr>
          <w:sz w:val="24"/>
          <w:szCs w:val="24"/>
        </w:rPr>
        <w:t xml:space="preserve">  </w:t>
      </w:r>
    </w:p>
    <w:p w:rsidRPr="0041582B" w:rsidR="008E0683" w:rsidP="0041582B" w:rsidRDefault="008E0683" w14:paraId="1CC46473" w14:textId="77777777">
      <w:pPr>
        <w:pStyle w:val="ListParagraph"/>
        <w:autoSpaceDE w:val="0"/>
        <w:autoSpaceDN w:val="0"/>
        <w:adjustRightInd w:val="0"/>
        <w:spacing w:line="240" w:lineRule="auto"/>
        <w:ind w:right="720"/>
        <w:rPr>
          <w:rFonts w:asciiTheme="majorHAnsi" w:hAnsiTheme="majorHAnsi"/>
          <w:sz w:val="24"/>
          <w:szCs w:val="24"/>
        </w:rPr>
      </w:pPr>
    </w:p>
    <w:p w:rsidRPr="0041582B" w:rsidR="004841F1" w:rsidP="0041582B" w:rsidRDefault="008E0683" w14:paraId="354E46C7" w14:textId="635D394A">
      <w:pPr>
        <w:pStyle w:val="ListParagraph"/>
        <w:autoSpaceDE w:val="0"/>
        <w:autoSpaceDN w:val="0"/>
        <w:adjustRightInd w:val="0"/>
        <w:spacing w:line="240" w:lineRule="auto"/>
        <w:ind w:left="-90" w:right="720"/>
        <w:rPr>
          <w:rFonts w:asciiTheme="majorHAnsi" w:hAnsiTheme="majorHAnsi"/>
          <w:sz w:val="24"/>
          <w:szCs w:val="24"/>
        </w:rPr>
      </w:pPr>
      <w:r w:rsidRPr="0041582B">
        <w:rPr>
          <w:rFonts w:asciiTheme="majorHAnsi" w:hAnsiTheme="majorHAnsi"/>
          <w:b/>
          <w:sz w:val="24"/>
          <w:szCs w:val="24"/>
          <w:u w:val="single"/>
        </w:rPr>
        <w:t>Table A-</w:t>
      </w:r>
      <w:r w:rsidRPr="0041582B" w:rsidR="00022072">
        <w:rPr>
          <w:rFonts w:asciiTheme="majorHAnsi" w:hAnsiTheme="majorHAnsi"/>
          <w:b/>
          <w:sz w:val="24"/>
          <w:szCs w:val="24"/>
          <w:u w:val="single"/>
        </w:rPr>
        <w:t>2</w:t>
      </w:r>
      <w:r w:rsidRPr="0041582B">
        <w:rPr>
          <w:rFonts w:asciiTheme="majorHAnsi" w:hAnsiTheme="majorHAnsi"/>
          <w:b/>
          <w:sz w:val="24"/>
          <w:szCs w:val="24"/>
        </w:rPr>
        <w:t>:</w:t>
      </w:r>
      <w:r w:rsidRPr="0041582B">
        <w:rPr>
          <w:rFonts w:asciiTheme="majorHAnsi" w:hAnsiTheme="majorHAnsi"/>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378"/>
        <w:gridCol w:w="1943"/>
        <w:gridCol w:w="1592"/>
        <w:gridCol w:w="1437"/>
      </w:tblGrid>
      <w:tr w:rsidRPr="00333BBE" w:rsidR="004841F1" w:rsidTr="00A0436C" w14:paraId="32283CC9" w14:textId="77777777">
        <w:trPr>
          <w:trHeight w:val="593"/>
        </w:trPr>
        <w:tc>
          <w:tcPr>
            <w:tcW w:w="4378" w:type="dxa"/>
            <w:tcBorders>
              <w:bottom w:val="single" w:color="auto" w:sz="12" w:space="0"/>
            </w:tcBorders>
            <w:shd w:val="clear" w:color="auto" w:fill="D9D9D9" w:themeFill="background1" w:themeFillShade="D9"/>
            <w:vAlign w:val="center"/>
          </w:tcPr>
          <w:p w:rsidRPr="0041582B" w:rsidR="004841F1" w:rsidP="007760B3" w:rsidRDefault="004841F1" w14:paraId="16FE0036" w14:textId="77777777">
            <w:pPr>
              <w:jc w:val="center"/>
              <w:rPr>
                <w:rFonts w:asciiTheme="majorHAnsi" w:hAnsiTheme="majorHAnsi"/>
                <w:b/>
                <w:sz w:val="24"/>
                <w:szCs w:val="24"/>
              </w:rPr>
            </w:pPr>
            <w:r w:rsidRPr="0041582B">
              <w:rPr>
                <w:rFonts w:asciiTheme="majorHAnsi" w:hAnsiTheme="majorHAnsi"/>
                <w:b/>
                <w:sz w:val="24"/>
                <w:szCs w:val="24"/>
              </w:rPr>
              <w:t>Staff (FTE)</w:t>
            </w:r>
            <w:r w:rsidRPr="0041582B" w:rsidR="007A0D73">
              <w:rPr>
                <w:rFonts w:asciiTheme="majorHAnsi" w:hAnsiTheme="majorHAnsi"/>
                <w:b/>
                <w:sz w:val="24"/>
                <w:szCs w:val="24"/>
              </w:rPr>
              <w:t xml:space="preserve"> </w:t>
            </w:r>
          </w:p>
        </w:tc>
        <w:tc>
          <w:tcPr>
            <w:tcW w:w="1943" w:type="dxa"/>
            <w:tcBorders>
              <w:bottom w:val="single" w:color="auto" w:sz="12" w:space="0"/>
            </w:tcBorders>
            <w:shd w:val="clear" w:color="auto" w:fill="D9D9D9" w:themeFill="background1" w:themeFillShade="D9"/>
            <w:vAlign w:val="center"/>
          </w:tcPr>
          <w:p w:rsidRPr="0041582B" w:rsidR="004841F1" w:rsidP="007760B3" w:rsidRDefault="004841F1" w14:paraId="295AC8C6" w14:textId="77777777">
            <w:pPr>
              <w:jc w:val="center"/>
              <w:rPr>
                <w:rFonts w:asciiTheme="majorHAnsi" w:hAnsiTheme="majorHAnsi"/>
                <w:b/>
                <w:sz w:val="24"/>
                <w:szCs w:val="24"/>
              </w:rPr>
            </w:pPr>
            <w:r w:rsidRPr="0041582B">
              <w:rPr>
                <w:rFonts w:asciiTheme="majorHAnsi" w:hAnsiTheme="majorHAnsi"/>
                <w:b/>
                <w:sz w:val="24"/>
                <w:szCs w:val="24"/>
              </w:rPr>
              <w:t xml:space="preserve">Average Hours per </w:t>
            </w:r>
            <w:r w:rsidRPr="0041582B" w:rsidR="00AD529C">
              <w:rPr>
                <w:rFonts w:asciiTheme="majorHAnsi" w:hAnsiTheme="majorHAnsi"/>
                <w:b/>
                <w:sz w:val="24"/>
                <w:szCs w:val="24"/>
              </w:rPr>
              <w:t>Site</w:t>
            </w:r>
          </w:p>
        </w:tc>
        <w:tc>
          <w:tcPr>
            <w:tcW w:w="1592" w:type="dxa"/>
            <w:tcBorders>
              <w:bottom w:val="single" w:color="auto" w:sz="12" w:space="0"/>
            </w:tcBorders>
            <w:shd w:val="clear" w:color="auto" w:fill="D9D9D9" w:themeFill="background1" w:themeFillShade="D9"/>
            <w:vAlign w:val="center"/>
          </w:tcPr>
          <w:p w:rsidRPr="0041582B" w:rsidR="004841F1" w:rsidP="007760B3" w:rsidRDefault="004841F1" w14:paraId="1AD50D67" w14:textId="77777777">
            <w:pPr>
              <w:jc w:val="center"/>
              <w:rPr>
                <w:rFonts w:asciiTheme="majorHAnsi" w:hAnsiTheme="majorHAnsi"/>
                <w:b/>
                <w:sz w:val="24"/>
                <w:szCs w:val="24"/>
              </w:rPr>
            </w:pPr>
            <w:r w:rsidRPr="0041582B">
              <w:rPr>
                <w:rFonts w:asciiTheme="majorHAnsi" w:hAnsiTheme="majorHAnsi"/>
                <w:b/>
                <w:sz w:val="24"/>
                <w:szCs w:val="24"/>
              </w:rPr>
              <w:t>Average Hourly Rate</w:t>
            </w:r>
          </w:p>
        </w:tc>
        <w:tc>
          <w:tcPr>
            <w:tcW w:w="1437" w:type="dxa"/>
            <w:tcBorders>
              <w:bottom w:val="single" w:color="auto" w:sz="12" w:space="0"/>
            </w:tcBorders>
            <w:shd w:val="clear" w:color="auto" w:fill="D9D9D9" w:themeFill="background1" w:themeFillShade="D9"/>
            <w:vAlign w:val="center"/>
          </w:tcPr>
          <w:p w:rsidRPr="0041582B" w:rsidR="004841F1" w:rsidP="007760B3" w:rsidRDefault="004841F1" w14:paraId="7A6FE81B" w14:textId="77777777">
            <w:pPr>
              <w:jc w:val="center"/>
              <w:rPr>
                <w:rFonts w:asciiTheme="majorHAnsi" w:hAnsiTheme="majorHAnsi"/>
                <w:b/>
                <w:sz w:val="24"/>
                <w:szCs w:val="24"/>
              </w:rPr>
            </w:pPr>
            <w:r w:rsidRPr="0041582B">
              <w:rPr>
                <w:rFonts w:asciiTheme="majorHAnsi" w:hAnsiTheme="majorHAnsi"/>
                <w:b/>
                <w:sz w:val="24"/>
                <w:szCs w:val="24"/>
              </w:rPr>
              <w:t>Average Cost</w:t>
            </w:r>
          </w:p>
        </w:tc>
      </w:tr>
      <w:tr w:rsidRPr="00333BBE" w:rsidR="004841F1" w:rsidTr="00A0436C" w14:paraId="2239C228" w14:textId="77777777">
        <w:tc>
          <w:tcPr>
            <w:tcW w:w="4378" w:type="dxa"/>
            <w:tcBorders>
              <w:top w:val="single" w:color="auto" w:sz="12" w:space="0"/>
            </w:tcBorders>
          </w:tcPr>
          <w:p w:rsidRPr="00234A91" w:rsidR="004841F1" w:rsidP="007760B3" w:rsidRDefault="00A0436C" w14:paraId="4CB0B0ED" w14:textId="0E10D54B">
            <w:pPr>
              <w:jc w:val="center"/>
              <w:rPr>
                <w:rFonts w:asciiTheme="majorHAnsi" w:hAnsiTheme="majorHAnsi"/>
                <w:sz w:val="24"/>
                <w:szCs w:val="24"/>
              </w:rPr>
            </w:pPr>
            <w:r w:rsidRPr="00234A91">
              <w:rPr>
                <w:rFonts w:asciiTheme="majorHAnsi" w:hAnsiTheme="majorHAnsi"/>
                <w:sz w:val="24"/>
                <w:szCs w:val="24"/>
              </w:rPr>
              <w:t>S</w:t>
            </w:r>
            <w:r w:rsidRPr="00234A91" w:rsidR="00BE4B52">
              <w:rPr>
                <w:rFonts w:asciiTheme="majorHAnsi" w:hAnsiTheme="majorHAnsi"/>
                <w:sz w:val="24"/>
                <w:szCs w:val="24"/>
              </w:rPr>
              <w:t>enior S</w:t>
            </w:r>
            <w:r w:rsidRPr="00234A91">
              <w:rPr>
                <w:rFonts w:asciiTheme="majorHAnsi" w:hAnsiTheme="majorHAnsi"/>
                <w:sz w:val="24"/>
                <w:szCs w:val="24"/>
              </w:rPr>
              <w:t xml:space="preserve">ocial </w:t>
            </w:r>
            <w:r w:rsidRPr="00234A91" w:rsidR="00BE4B52">
              <w:rPr>
                <w:rFonts w:asciiTheme="majorHAnsi" w:hAnsiTheme="majorHAnsi"/>
                <w:sz w:val="24"/>
                <w:szCs w:val="24"/>
              </w:rPr>
              <w:t>Science Analyst, GS 15</w:t>
            </w:r>
          </w:p>
        </w:tc>
        <w:tc>
          <w:tcPr>
            <w:tcW w:w="1943" w:type="dxa"/>
            <w:tcBorders>
              <w:top w:val="single" w:color="auto" w:sz="12" w:space="0"/>
            </w:tcBorders>
          </w:tcPr>
          <w:p w:rsidRPr="00234A91" w:rsidR="004841F1" w:rsidP="007760B3" w:rsidRDefault="00234A91" w14:paraId="31805FFF" w14:textId="053E5811">
            <w:pPr>
              <w:jc w:val="center"/>
              <w:rPr>
                <w:rFonts w:asciiTheme="majorHAnsi" w:hAnsiTheme="majorHAnsi"/>
                <w:sz w:val="24"/>
                <w:szCs w:val="24"/>
              </w:rPr>
            </w:pPr>
            <w:r>
              <w:rPr>
                <w:rFonts w:asciiTheme="majorHAnsi" w:hAnsiTheme="majorHAnsi"/>
                <w:sz w:val="24"/>
                <w:szCs w:val="24"/>
              </w:rPr>
              <w:t>4</w:t>
            </w:r>
          </w:p>
        </w:tc>
        <w:tc>
          <w:tcPr>
            <w:tcW w:w="1592" w:type="dxa"/>
            <w:tcBorders>
              <w:top w:val="single" w:color="auto" w:sz="12" w:space="0"/>
            </w:tcBorders>
          </w:tcPr>
          <w:p w:rsidRPr="00234A91" w:rsidR="00BE4B52" w:rsidP="007760B3" w:rsidRDefault="00BE4B52" w14:paraId="68649529" w14:textId="77777777">
            <w:pPr>
              <w:jc w:val="center"/>
              <w:rPr>
                <w:rFonts w:asciiTheme="majorHAnsi" w:hAnsiTheme="majorHAnsi"/>
                <w:sz w:val="24"/>
                <w:szCs w:val="24"/>
              </w:rPr>
            </w:pPr>
            <w:r w:rsidRPr="00234A91">
              <w:rPr>
                <w:rFonts w:asciiTheme="majorHAnsi" w:hAnsiTheme="majorHAnsi"/>
                <w:sz w:val="24"/>
                <w:szCs w:val="24"/>
              </w:rPr>
              <w:t>81.84</w:t>
            </w:r>
          </w:p>
          <w:p w:rsidRPr="00234A91" w:rsidR="004841F1" w:rsidP="00BE4B52" w:rsidRDefault="00321B51" w14:paraId="24EF82B2" w14:textId="2FCD0C7B">
            <w:pPr>
              <w:rPr>
                <w:rFonts w:asciiTheme="majorHAnsi" w:hAnsiTheme="majorHAnsi"/>
                <w:sz w:val="24"/>
                <w:szCs w:val="24"/>
              </w:rPr>
            </w:pPr>
            <w:r w:rsidRPr="00234A91">
              <w:rPr>
                <w:rFonts w:asciiTheme="majorHAnsi" w:hAnsiTheme="majorHAnsi"/>
                <w:sz w:val="24"/>
                <w:szCs w:val="24"/>
              </w:rPr>
              <w:t xml:space="preserve"> </w:t>
            </w:r>
          </w:p>
        </w:tc>
        <w:tc>
          <w:tcPr>
            <w:tcW w:w="1437" w:type="dxa"/>
            <w:tcBorders>
              <w:top w:val="single" w:color="auto" w:sz="12" w:space="0"/>
            </w:tcBorders>
          </w:tcPr>
          <w:p w:rsidRPr="00234A91" w:rsidR="004841F1" w:rsidP="007760B3" w:rsidRDefault="00234A91" w14:paraId="13759DF7" w14:textId="5FF6DF6E">
            <w:pPr>
              <w:jc w:val="center"/>
              <w:rPr>
                <w:rFonts w:asciiTheme="majorHAnsi" w:hAnsiTheme="majorHAnsi"/>
                <w:sz w:val="24"/>
                <w:szCs w:val="24"/>
              </w:rPr>
            </w:pPr>
            <w:r>
              <w:rPr>
                <w:rFonts w:asciiTheme="majorHAnsi" w:hAnsiTheme="majorHAnsi"/>
                <w:sz w:val="24"/>
                <w:szCs w:val="24"/>
              </w:rPr>
              <w:t>$327</w:t>
            </w:r>
          </w:p>
        </w:tc>
      </w:tr>
      <w:tr w:rsidRPr="00333BBE" w:rsidR="004824FA" w:rsidTr="00A0436C" w14:paraId="5CE689E8" w14:textId="77777777">
        <w:trPr>
          <w:trHeight w:val="332"/>
        </w:trPr>
        <w:tc>
          <w:tcPr>
            <w:tcW w:w="7913" w:type="dxa"/>
            <w:gridSpan w:val="3"/>
            <w:vAlign w:val="center"/>
          </w:tcPr>
          <w:p w:rsidRPr="0041582B" w:rsidR="004824FA" w:rsidP="007760B3" w:rsidRDefault="004824FA" w14:paraId="1CDA3F91" w14:textId="37C911C6">
            <w:pPr>
              <w:jc w:val="right"/>
              <w:rPr>
                <w:rFonts w:asciiTheme="majorHAnsi" w:hAnsiTheme="majorHAnsi"/>
                <w:b/>
                <w:sz w:val="24"/>
                <w:szCs w:val="24"/>
              </w:rPr>
            </w:pPr>
            <w:r w:rsidRPr="0041582B">
              <w:rPr>
                <w:rFonts w:asciiTheme="majorHAnsi" w:hAnsiTheme="majorHAnsi"/>
                <w:b/>
                <w:sz w:val="24"/>
                <w:szCs w:val="24"/>
              </w:rPr>
              <w:t xml:space="preserve">Estimated Total Cost of </w:t>
            </w:r>
            <w:r w:rsidRPr="0041582B" w:rsidR="006B4DDC">
              <w:rPr>
                <w:rFonts w:asciiTheme="majorHAnsi" w:hAnsiTheme="majorHAnsi"/>
                <w:b/>
                <w:sz w:val="24"/>
                <w:szCs w:val="24"/>
              </w:rPr>
              <w:t>Information</w:t>
            </w:r>
            <w:r w:rsidRPr="0041582B">
              <w:rPr>
                <w:rFonts w:asciiTheme="majorHAnsi" w:hAnsiTheme="majorHAnsi"/>
                <w:b/>
                <w:sz w:val="24"/>
                <w:szCs w:val="24"/>
              </w:rPr>
              <w:t xml:space="preserve"> Collection</w:t>
            </w:r>
            <w:r w:rsidR="00BE4B52">
              <w:rPr>
                <w:rFonts w:asciiTheme="majorHAnsi" w:hAnsiTheme="majorHAnsi"/>
                <w:b/>
                <w:sz w:val="24"/>
                <w:szCs w:val="24"/>
              </w:rPr>
              <w:t xml:space="preserve"> (x4</w:t>
            </w:r>
            <w:r w:rsidRPr="0041582B" w:rsidR="00A0436C">
              <w:rPr>
                <w:rFonts w:asciiTheme="majorHAnsi" w:hAnsiTheme="majorHAnsi"/>
                <w:b/>
                <w:sz w:val="24"/>
                <w:szCs w:val="24"/>
              </w:rPr>
              <w:t xml:space="preserve"> sites)</w:t>
            </w:r>
          </w:p>
        </w:tc>
        <w:tc>
          <w:tcPr>
            <w:tcW w:w="1437" w:type="dxa"/>
            <w:vAlign w:val="center"/>
          </w:tcPr>
          <w:p w:rsidRPr="0041582B" w:rsidR="004824FA" w:rsidP="007760B3" w:rsidRDefault="00321B51" w14:paraId="7BC558A4" w14:textId="15296BBB">
            <w:pPr>
              <w:jc w:val="center"/>
              <w:rPr>
                <w:rFonts w:asciiTheme="majorHAnsi" w:hAnsiTheme="majorHAnsi"/>
                <w:b/>
                <w:sz w:val="24"/>
                <w:szCs w:val="24"/>
              </w:rPr>
            </w:pPr>
            <w:r w:rsidRPr="0041582B">
              <w:rPr>
                <w:rFonts w:asciiTheme="majorHAnsi" w:hAnsiTheme="majorHAnsi"/>
                <w:b/>
                <w:sz w:val="24"/>
                <w:szCs w:val="24"/>
              </w:rPr>
              <w:t xml:space="preserve"> </w:t>
            </w:r>
            <w:r w:rsidR="00234A91">
              <w:rPr>
                <w:rFonts w:asciiTheme="majorHAnsi" w:hAnsiTheme="majorHAnsi"/>
                <w:b/>
                <w:sz w:val="24"/>
                <w:szCs w:val="24"/>
              </w:rPr>
              <w:t>$1,309</w:t>
            </w:r>
          </w:p>
        </w:tc>
      </w:tr>
    </w:tbl>
    <w:p w:rsidRPr="0041582B" w:rsidR="004841F1" w:rsidP="0041582B" w:rsidRDefault="004841F1" w14:paraId="13456CB7" w14:textId="77777777">
      <w:pPr>
        <w:spacing w:after="0" w:line="240" w:lineRule="auto"/>
        <w:rPr>
          <w:rFonts w:asciiTheme="majorHAnsi" w:hAnsiTheme="majorHAnsi"/>
          <w:sz w:val="24"/>
          <w:szCs w:val="24"/>
        </w:rPr>
      </w:pPr>
    </w:p>
    <w:p w:rsidRPr="0041582B" w:rsidR="00B12F51" w:rsidP="0041582B" w:rsidRDefault="00D75750" w14:paraId="69685D61"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lastRenderedPageBreak/>
        <w:t>Explanation for Program Changes or Adjustments</w:t>
      </w:r>
    </w:p>
    <w:p w:rsidRPr="0041582B" w:rsidR="00F52BCC" w:rsidP="0041582B" w:rsidRDefault="003C7C5D" w14:paraId="63D33537" w14:textId="77777777">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This is a new data collection.</w:t>
      </w:r>
    </w:p>
    <w:p w:rsidRPr="0041582B" w:rsidR="00F52BCC" w:rsidP="0041582B" w:rsidRDefault="00F52BCC" w14:paraId="38AD7D29" w14:textId="77777777">
      <w:pPr>
        <w:pStyle w:val="ListParagraph"/>
        <w:spacing w:after="0" w:line="240" w:lineRule="auto"/>
        <w:rPr>
          <w:rFonts w:asciiTheme="majorHAnsi" w:hAnsiTheme="majorHAnsi"/>
          <w:sz w:val="24"/>
          <w:szCs w:val="24"/>
        </w:rPr>
      </w:pPr>
    </w:p>
    <w:p w:rsidRPr="0041582B" w:rsidR="00B12F51" w:rsidP="0041582B" w:rsidRDefault="00616090" w14:paraId="72A7633C"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Plan</w:t>
      </w:r>
      <w:r w:rsidRPr="0041582B" w:rsidR="00D75750">
        <w:rPr>
          <w:rFonts w:asciiTheme="majorHAnsi" w:hAnsiTheme="majorHAnsi"/>
          <w:b/>
          <w:sz w:val="24"/>
          <w:szCs w:val="24"/>
        </w:rPr>
        <w:t>s</w:t>
      </w:r>
      <w:r w:rsidRPr="0041582B" w:rsidR="00D75750">
        <w:rPr>
          <w:rFonts w:asciiTheme="majorHAnsi" w:hAnsiTheme="majorHAnsi"/>
          <w:b/>
          <w:bCs/>
          <w:sz w:val="24"/>
          <w:szCs w:val="24"/>
        </w:rPr>
        <w:t xml:space="preserve"> for Tabulation and Publication and Project Time Schedule</w:t>
      </w:r>
    </w:p>
    <w:p w:rsidR="00030C55" w:rsidP="0041582B" w:rsidRDefault="005A20FB" w14:paraId="1A96F0BB"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 xml:space="preserve">After the site interviews and </w:t>
      </w:r>
      <w:r w:rsidRPr="0041582B" w:rsidR="00DD3E04">
        <w:rPr>
          <w:rFonts w:asciiTheme="majorHAnsi" w:hAnsiTheme="majorHAnsi"/>
          <w:sz w:val="24"/>
          <w:szCs w:val="24"/>
        </w:rPr>
        <w:t>small discussion groups</w:t>
      </w:r>
      <w:r w:rsidRPr="0041582B">
        <w:rPr>
          <w:rFonts w:asciiTheme="majorHAnsi" w:hAnsiTheme="majorHAnsi"/>
          <w:sz w:val="24"/>
          <w:szCs w:val="24"/>
        </w:rPr>
        <w:t xml:space="preserve">, the </w:t>
      </w:r>
      <w:r w:rsidRPr="0041582B" w:rsidR="0079208C">
        <w:rPr>
          <w:rFonts w:asciiTheme="majorHAnsi" w:hAnsiTheme="majorHAnsi"/>
          <w:sz w:val="24"/>
          <w:szCs w:val="24"/>
        </w:rPr>
        <w:t>contractor</w:t>
      </w:r>
      <w:r w:rsidRPr="0041582B">
        <w:rPr>
          <w:rFonts w:asciiTheme="majorHAnsi" w:hAnsiTheme="majorHAnsi"/>
          <w:sz w:val="24"/>
          <w:szCs w:val="24"/>
        </w:rPr>
        <w:t xml:space="preserve"> will prepare site-specific summaries using standardized templates to document key findings across participants, which will be coded and analyzed with </w:t>
      </w:r>
      <w:proofErr w:type="spellStart"/>
      <w:r w:rsidRPr="0041582B">
        <w:rPr>
          <w:rFonts w:asciiTheme="majorHAnsi" w:hAnsiTheme="majorHAnsi"/>
          <w:sz w:val="24"/>
          <w:szCs w:val="24"/>
        </w:rPr>
        <w:t>NVi</w:t>
      </w:r>
      <w:r w:rsidRPr="0041582B" w:rsidR="00170FF1">
        <w:rPr>
          <w:rFonts w:asciiTheme="majorHAnsi" w:hAnsiTheme="majorHAnsi"/>
          <w:sz w:val="24"/>
          <w:szCs w:val="24"/>
        </w:rPr>
        <w:t>vo</w:t>
      </w:r>
      <w:proofErr w:type="spellEnd"/>
      <w:r w:rsidRPr="0041582B" w:rsidR="00170FF1">
        <w:rPr>
          <w:rFonts w:asciiTheme="majorHAnsi" w:hAnsiTheme="majorHAnsi"/>
          <w:sz w:val="24"/>
          <w:szCs w:val="24"/>
        </w:rPr>
        <w:t xml:space="preserve"> to help identify key themes. </w:t>
      </w:r>
    </w:p>
    <w:p w:rsidRPr="0041582B" w:rsidR="00E45F91" w:rsidP="0041582B" w:rsidRDefault="00E45F91" w14:paraId="08931D3B" w14:textId="77777777">
      <w:pPr>
        <w:pStyle w:val="ListParagraph"/>
        <w:spacing w:after="0" w:line="240" w:lineRule="auto"/>
        <w:ind w:left="810"/>
        <w:rPr>
          <w:rFonts w:asciiTheme="majorHAnsi" w:hAnsiTheme="majorHAnsi"/>
          <w:sz w:val="24"/>
          <w:szCs w:val="24"/>
        </w:rPr>
      </w:pPr>
    </w:p>
    <w:p w:rsidRPr="0041582B" w:rsidR="0079208C" w:rsidP="0041582B" w:rsidRDefault="00170FF1" w14:paraId="2B9DFA32" w14:textId="47A520AD">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The contractor</w:t>
      </w:r>
      <w:r w:rsidR="00AD1C9D">
        <w:rPr>
          <w:rFonts w:asciiTheme="majorHAnsi" w:hAnsiTheme="majorHAnsi"/>
          <w:sz w:val="24"/>
          <w:szCs w:val="24"/>
        </w:rPr>
        <w:t xml:space="preserve"> will prepare a m</w:t>
      </w:r>
      <w:r w:rsidR="000905AD">
        <w:rPr>
          <w:rFonts w:asciiTheme="majorHAnsi" w:hAnsiTheme="majorHAnsi"/>
          <w:sz w:val="24"/>
          <w:szCs w:val="24"/>
        </w:rPr>
        <w:t>emo</w:t>
      </w:r>
      <w:r w:rsidRPr="0041582B" w:rsidR="005A20FB">
        <w:rPr>
          <w:rFonts w:asciiTheme="majorHAnsi" w:hAnsiTheme="majorHAnsi"/>
          <w:sz w:val="24"/>
          <w:szCs w:val="24"/>
        </w:rPr>
        <w:t xml:space="preserve"> for ASPE </w:t>
      </w:r>
      <w:r w:rsidR="00AD1C9D">
        <w:rPr>
          <w:rFonts w:asciiTheme="majorHAnsi" w:hAnsiTheme="majorHAnsi"/>
          <w:sz w:val="24"/>
          <w:szCs w:val="24"/>
        </w:rPr>
        <w:t>presenting</w:t>
      </w:r>
      <w:r w:rsidRPr="0041582B" w:rsidR="005A20FB">
        <w:rPr>
          <w:rFonts w:asciiTheme="majorHAnsi" w:hAnsiTheme="majorHAnsi"/>
          <w:sz w:val="24"/>
          <w:szCs w:val="24"/>
        </w:rPr>
        <w:t xml:space="preserve"> </w:t>
      </w:r>
      <w:r w:rsidR="000905AD">
        <w:rPr>
          <w:rFonts w:asciiTheme="majorHAnsi" w:hAnsiTheme="majorHAnsi"/>
          <w:sz w:val="24"/>
          <w:szCs w:val="24"/>
        </w:rPr>
        <w:t>findings of the site interviews.</w:t>
      </w:r>
      <w:r w:rsidRPr="0041582B" w:rsidR="005A20FB">
        <w:rPr>
          <w:rFonts w:asciiTheme="majorHAnsi" w:hAnsiTheme="majorHAnsi"/>
          <w:sz w:val="24"/>
          <w:szCs w:val="24"/>
        </w:rPr>
        <w:t xml:space="preserve"> </w:t>
      </w:r>
      <w:r w:rsidR="000905AD">
        <w:rPr>
          <w:rFonts w:asciiTheme="majorHAnsi" w:hAnsiTheme="majorHAnsi"/>
          <w:sz w:val="24"/>
          <w:szCs w:val="24"/>
        </w:rPr>
        <w:t xml:space="preserve">ASPE </w:t>
      </w:r>
      <w:r w:rsidR="00F5612E">
        <w:rPr>
          <w:rFonts w:asciiTheme="majorHAnsi" w:hAnsiTheme="majorHAnsi"/>
          <w:sz w:val="24"/>
          <w:szCs w:val="24"/>
        </w:rPr>
        <w:t>plans to publish the related quantitative analyses in an issue brief. Some quotations and thematic summary material from</w:t>
      </w:r>
      <w:r w:rsidR="00157E31">
        <w:rPr>
          <w:rFonts w:asciiTheme="majorHAnsi" w:hAnsiTheme="majorHAnsi"/>
          <w:sz w:val="24"/>
          <w:szCs w:val="24"/>
        </w:rPr>
        <w:t xml:space="preserve"> the qualitative finding</w:t>
      </w:r>
      <w:r w:rsidR="00F5612E">
        <w:rPr>
          <w:rFonts w:asciiTheme="majorHAnsi" w:hAnsiTheme="majorHAnsi"/>
          <w:sz w:val="24"/>
          <w:szCs w:val="24"/>
        </w:rPr>
        <w:t xml:space="preserve">s may be used to provide context for the quantitative findings and to suggest avenues that should be pursued in further, more rigorous research. </w:t>
      </w:r>
    </w:p>
    <w:p w:rsidRPr="0041582B" w:rsidR="005A20FB" w:rsidP="0041582B" w:rsidRDefault="005A20FB" w14:paraId="669415D8" w14:textId="77777777">
      <w:pPr>
        <w:pStyle w:val="ListParagraph"/>
        <w:spacing w:after="0" w:line="240" w:lineRule="auto"/>
        <w:rPr>
          <w:rFonts w:asciiTheme="majorHAnsi" w:hAnsiTheme="majorHAnsi"/>
          <w:sz w:val="24"/>
          <w:szCs w:val="24"/>
        </w:rPr>
      </w:pPr>
    </w:p>
    <w:p w:rsidRPr="0041582B" w:rsidR="000A71DF" w:rsidP="0041582B" w:rsidRDefault="000A71DF" w14:paraId="5A16FCD3" w14:textId="77777777">
      <w:pPr>
        <w:spacing w:after="0" w:line="240" w:lineRule="auto"/>
        <w:ind w:firstLine="810"/>
        <w:rPr>
          <w:rFonts w:asciiTheme="majorHAnsi" w:hAnsiTheme="majorHAnsi"/>
          <w:sz w:val="24"/>
          <w:szCs w:val="24"/>
          <w:u w:val="single"/>
        </w:rPr>
      </w:pPr>
      <w:r w:rsidRPr="0041582B">
        <w:rPr>
          <w:rFonts w:asciiTheme="majorHAnsi" w:hAnsiTheme="majorHAnsi"/>
          <w:sz w:val="24"/>
          <w:szCs w:val="24"/>
          <w:u w:val="single"/>
        </w:rPr>
        <w:t>Project Time Schedule</w:t>
      </w:r>
    </w:p>
    <w:p w:rsidRPr="0004157B" w:rsidR="00451C47" w:rsidP="0041582B" w:rsidRDefault="0004157B" w14:paraId="3EEE0012" w14:textId="4694EF32">
      <w:pPr>
        <w:pStyle w:val="ListParagraph"/>
        <w:numPr>
          <w:ilvl w:val="0"/>
          <w:numId w:val="25"/>
        </w:numPr>
        <w:spacing w:after="0" w:line="240" w:lineRule="auto"/>
        <w:rPr>
          <w:rFonts w:asciiTheme="majorHAnsi" w:hAnsiTheme="majorHAnsi"/>
          <w:sz w:val="24"/>
          <w:szCs w:val="24"/>
          <w:u w:val="single"/>
        </w:rPr>
      </w:pPr>
      <w:r w:rsidRPr="0004157B">
        <w:rPr>
          <w:rFonts w:asciiTheme="majorHAnsi" w:hAnsiTheme="majorHAnsi"/>
          <w:sz w:val="24"/>
          <w:szCs w:val="24"/>
        </w:rPr>
        <w:t>November, 2019 to January 2020</w:t>
      </w:r>
      <w:r w:rsidRPr="0004157B" w:rsidR="00451C47">
        <w:rPr>
          <w:rFonts w:asciiTheme="majorHAnsi" w:hAnsiTheme="majorHAnsi"/>
          <w:sz w:val="24"/>
          <w:szCs w:val="24"/>
        </w:rPr>
        <w:t xml:space="preserve">: </w:t>
      </w:r>
      <w:r w:rsidRPr="0004157B">
        <w:rPr>
          <w:rFonts w:asciiTheme="majorHAnsi" w:hAnsiTheme="majorHAnsi"/>
          <w:sz w:val="24"/>
          <w:szCs w:val="24"/>
        </w:rPr>
        <w:t>Conduct</w:t>
      </w:r>
      <w:r w:rsidR="00157E31">
        <w:rPr>
          <w:rFonts w:asciiTheme="majorHAnsi" w:hAnsiTheme="majorHAnsi"/>
          <w:sz w:val="24"/>
          <w:szCs w:val="24"/>
        </w:rPr>
        <w:t>ed</w:t>
      </w:r>
      <w:r w:rsidRPr="0004157B">
        <w:rPr>
          <w:rFonts w:asciiTheme="majorHAnsi" w:hAnsiTheme="majorHAnsi"/>
          <w:sz w:val="24"/>
          <w:szCs w:val="24"/>
        </w:rPr>
        <w:t xml:space="preserve"> </w:t>
      </w:r>
      <w:r w:rsidR="00157E31">
        <w:rPr>
          <w:rFonts w:asciiTheme="majorHAnsi" w:hAnsiTheme="majorHAnsi"/>
          <w:sz w:val="24"/>
          <w:szCs w:val="24"/>
        </w:rPr>
        <w:t xml:space="preserve">four </w:t>
      </w:r>
      <w:r w:rsidRPr="0004157B">
        <w:rPr>
          <w:rFonts w:asciiTheme="majorHAnsi" w:hAnsiTheme="majorHAnsi"/>
          <w:sz w:val="24"/>
          <w:szCs w:val="24"/>
        </w:rPr>
        <w:t>key informant interviews and d</w:t>
      </w:r>
      <w:r w:rsidRPr="0004157B" w:rsidR="00451C47">
        <w:rPr>
          <w:rFonts w:asciiTheme="majorHAnsi" w:hAnsiTheme="majorHAnsi"/>
          <w:sz w:val="24"/>
          <w:szCs w:val="24"/>
        </w:rPr>
        <w:t>evelop</w:t>
      </w:r>
      <w:r w:rsidR="00157E31">
        <w:rPr>
          <w:rFonts w:asciiTheme="majorHAnsi" w:hAnsiTheme="majorHAnsi"/>
          <w:sz w:val="24"/>
          <w:szCs w:val="24"/>
        </w:rPr>
        <w:t>ed</w:t>
      </w:r>
      <w:r w:rsidRPr="0004157B" w:rsidR="00451C47">
        <w:rPr>
          <w:rFonts w:asciiTheme="majorHAnsi" w:hAnsiTheme="majorHAnsi"/>
          <w:sz w:val="24"/>
          <w:szCs w:val="24"/>
        </w:rPr>
        <w:t xml:space="preserve"> discussion guides and recruitment plan</w:t>
      </w:r>
    </w:p>
    <w:p w:rsidRPr="0004157B" w:rsidR="0004157B" w:rsidP="0041582B" w:rsidRDefault="0004157B" w14:paraId="03AE500F" w14:textId="77777777">
      <w:pPr>
        <w:pStyle w:val="ListParagraph"/>
        <w:numPr>
          <w:ilvl w:val="0"/>
          <w:numId w:val="25"/>
        </w:numPr>
        <w:spacing w:after="0" w:line="240" w:lineRule="auto"/>
        <w:rPr>
          <w:rFonts w:asciiTheme="majorHAnsi" w:hAnsiTheme="majorHAnsi"/>
          <w:sz w:val="24"/>
          <w:szCs w:val="24"/>
          <w:u w:val="single"/>
        </w:rPr>
      </w:pPr>
      <w:r w:rsidRPr="0004157B">
        <w:rPr>
          <w:rFonts w:asciiTheme="majorHAnsi" w:hAnsiTheme="majorHAnsi"/>
          <w:sz w:val="24"/>
          <w:szCs w:val="24"/>
        </w:rPr>
        <w:t>February/March 2020</w:t>
      </w:r>
      <w:r w:rsidRPr="0004157B" w:rsidR="002754E5">
        <w:rPr>
          <w:rFonts w:asciiTheme="majorHAnsi" w:hAnsiTheme="majorHAnsi"/>
          <w:sz w:val="24"/>
          <w:szCs w:val="24"/>
        </w:rPr>
        <w:t xml:space="preserve">: </w:t>
      </w:r>
      <w:r w:rsidRPr="0004157B">
        <w:rPr>
          <w:rFonts w:asciiTheme="majorHAnsi" w:hAnsiTheme="majorHAnsi"/>
          <w:sz w:val="24"/>
          <w:szCs w:val="24"/>
        </w:rPr>
        <w:t>Seek OMB and IRB approval</w:t>
      </w:r>
    </w:p>
    <w:p w:rsidRPr="0004157B" w:rsidR="00451C47" w:rsidP="0041582B" w:rsidRDefault="0004157B" w14:paraId="4B858F13" w14:textId="5A5E5F69">
      <w:pPr>
        <w:pStyle w:val="ListParagraph"/>
        <w:numPr>
          <w:ilvl w:val="0"/>
          <w:numId w:val="25"/>
        </w:numPr>
        <w:spacing w:after="0" w:line="240" w:lineRule="auto"/>
        <w:rPr>
          <w:rFonts w:asciiTheme="majorHAnsi" w:hAnsiTheme="majorHAnsi"/>
          <w:sz w:val="24"/>
          <w:szCs w:val="24"/>
          <w:u w:val="single"/>
        </w:rPr>
      </w:pPr>
      <w:r w:rsidRPr="0004157B">
        <w:rPr>
          <w:rFonts w:asciiTheme="majorHAnsi" w:hAnsiTheme="majorHAnsi"/>
          <w:sz w:val="24"/>
          <w:szCs w:val="24"/>
        </w:rPr>
        <w:t xml:space="preserve">April/May 2020: </w:t>
      </w:r>
      <w:r w:rsidRPr="0004157B" w:rsidR="002754E5">
        <w:rPr>
          <w:rFonts w:asciiTheme="majorHAnsi" w:hAnsiTheme="majorHAnsi"/>
          <w:sz w:val="24"/>
          <w:szCs w:val="24"/>
        </w:rPr>
        <w:t>Outreach</w:t>
      </w:r>
      <w:r w:rsidRPr="0004157B">
        <w:rPr>
          <w:rFonts w:asciiTheme="majorHAnsi" w:hAnsiTheme="majorHAnsi"/>
          <w:sz w:val="24"/>
          <w:szCs w:val="24"/>
        </w:rPr>
        <w:t>, schedule and conduct phone</w:t>
      </w:r>
      <w:r w:rsidRPr="0004157B" w:rsidR="002754E5">
        <w:rPr>
          <w:rFonts w:asciiTheme="majorHAnsi" w:hAnsiTheme="majorHAnsi"/>
          <w:sz w:val="24"/>
          <w:szCs w:val="24"/>
        </w:rPr>
        <w:t xml:space="preserve"> </w:t>
      </w:r>
      <w:r w:rsidRPr="0004157B">
        <w:rPr>
          <w:rFonts w:asciiTheme="majorHAnsi" w:hAnsiTheme="majorHAnsi"/>
          <w:sz w:val="24"/>
          <w:szCs w:val="24"/>
        </w:rPr>
        <w:t>i</w:t>
      </w:r>
      <w:r w:rsidRPr="0004157B" w:rsidR="002754E5">
        <w:rPr>
          <w:rFonts w:asciiTheme="majorHAnsi" w:hAnsiTheme="majorHAnsi"/>
          <w:sz w:val="24"/>
          <w:szCs w:val="24"/>
        </w:rPr>
        <w:t>nterviews</w:t>
      </w:r>
    </w:p>
    <w:p w:rsidRPr="00AD1C9D" w:rsidR="002754E5" w:rsidP="0041582B" w:rsidRDefault="0004157B" w14:paraId="5D994619" w14:textId="2BE4236A">
      <w:pPr>
        <w:pStyle w:val="ListParagraph"/>
        <w:numPr>
          <w:ilvl w:val="0"/>
          <w:numId w:val="25"/>
        </w:numPr>
        <w:spacing w:after="0" w:line="240" w:lineRule="auto"/>
        <w:rPr>
          <w:rFonts w:asciiTheme="majorHAnsi" w:hAnsiTheme="majorHAnsi"/>
          <w:sz w:val="24"/>
          <w:szCs w:val="24"/>
          <w:u w:val="single"/>
        </w:rPr>
      </w:pPr>
      <w:r w:rsidRPr="0004157B">
        <w:rPr>
          <w:rFonts w:asciiTheme="majorHAnsi" w:hAnsiTheme="majorHAnsi"/>
          <w:sz w:val="24"/>
          <w:szCs w:val="24"/>
        </w:rPr>
        <w:t>June/July/August 2020</w:t>
      </w:r>
      <w:r w:rsidRPr="0004157B" w:rsidR="002754E5">
        <w:rPr>
          <w:rFonts w:asciiTheme="majorHAnsi" w:hAnsiTheme="majorHAnsi"/>
          <w:sz w:val="24"/>
          <w:szCs w:val="24"/>
        </w:rPr>
        <w:t xml:space="preserve">: Analyze interview/small </w:t>
      </w:r>
      <w:r w:rsidRPr="0004157B" w:rsidR="00DD3E04">
        <w:rPr>
          <w:rFonts w:asciiTheme="majorHAnsi" w:hAnsiTheme="majorHAnsi"/>
          <w:sz w:val="24"/>
          <w:szCs w:val="24"/>
        </w:rPr>
        <w:t xml:space="preserve">discussion group </w:t>
      </w:r>
      <w:r w:rsidRPr="0004157B" w:rsidR="004D29D3">
        <w:rPr>
          <w:rFonts w:asciiTheme="majorHAnsi" w:hAnsiTheme="majorHAnsi"/>
          <w:sz w:val="24"/>
          <w:szCs w:val="24"/>
        </w:rPr>
        <w:t>findings and contractor will submit</w:t>
      </w:r>
      <w:r w:rsidRPr="0004157B" w:rsidR="002754E5">
        <w:rPr>
          <w:rFonts w:asciiTheme="majorHAnsi" w:hAnsiTheme="majorHAnsi"/>
          <w:sz w:val="24"/>
          <w:szCs w:val="24"/>
        </w:rPr>
        <w:t xml:space="preserve"> summary report</w:t>
      </w:r>
      <w:r w:rsidRPr="0004157B" w:rsidR="004D29D3">
        <w:rPr>
          <w:rFonts w:asciiTheme="majorHAnsi" w:hAnsiTheme="majorHAnsi"/>
          <w:sz w:val="24"/>
          <w:szCs w:val="24"/>
        </w:rPr>
        <w:t xml:space="preserve"> to ASPE</w:t>
      </w:r>
    </w:p>
    <w:p w:rsidRPr="0004157B" w:rsidR="00AD1C9D" w:rsidP="0041582B" w:rsidRDefault="00AD1C9D" w14:paraId="6A2F603D" w14:textId="465B5D85">
      <w:pPr>
        <w:pStyle w:val="ListParagraph"/>
        <w:numPr>
          <w:ilvl w:val="0"/>
          <w:numId w:val="25"/>
        </w:numPr>
        <w:spacing w:after="0" w:line="240" w:lineRule="auto"/>
        <w:rPr>
          <w:rFonts w:asciiTheme="majorHAnsi" w:hAnsiTheme="majorHAnsi"/>
          <w:sz w:val="24"/>
          <w:szCs w:val="24"/>
          <w:u w:val="single"/>
        </w:rPr>
      </w:pPr>
      <w:r>
        <w:rPr>
          <w:rFonts w:asciiTheme="majorHAnsi" w:hAnsiTheme="majorHAnsi"/>
          <w:sz w:val="24"/>
          <w:szCs w:val="24"/>
        </w:rPr>
        <w:t>Remainder of 2020: ASPE staff will produce public facing products</w:t>
      </w:r>
    </w:p>
    <w:p w:rsidRPr="0041582B" w:rsidR="000A71DF" w:rsidP="0041582B" w:rsidRDefault="000A71DF" w14:paraId="5C2308CB" w14:textId="77777777">
      <w:pPr>
        <w:pStyle w:val="ListParagraph"/>
        <w:spacing w:after="0" w:line="240" w:lineRule="auto"/>
        <w:rPr>
          <w:rFonts w:asciiTheme="majorHAnsi" w:hAnsiTheme="majorHAnsi"/>
          <w:sz w:val="24"/>
          <w:szCs w:val="24"/>
        </w:rPr>
      </w:pPr>
    </w:p>
    <w:p w:rsidRPr="0041582B" w:rsidR="00B12F51" w:rsidP="0041582B" w:rsidRDefault="00D75750" w14:paraId="47153A2C"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bCs/>
          <w:sz w:val="24"/>
          <w:szCs w:val="24"/>
        </w:rPr>
        <w:t xml:space="preserve">Reason(s) Display of OMB Expiration </w:t>
      </w:r>
      <w:r w:rsidRPr="0041582B">
        <w:rPr>
          <w:rFonts w:asciiTheme="majorHAnsi" w:hAnsiTheme="majorHAnsi"/>
          <w:b/>
          <w:sz w:val="24"/>
          <w:szCs w:val="24"/>
        </w:rPr>
        <w:t xml:space="preserve">Date </w:t>
      </w:r>
      <w:r w:rsidRPr="0041582B">
        <w:rPr>
          <w:rFonts w:asciiTheme="majorHAnsi" w:hAnsiTheme="majorHAnsi"/>
          <w:b/>
          <w:bCs/>
          <w:sz w:val="24"/>
          <w:szCs w:val="24"/>
        </w:rPr>
        <w:t>is Inappropriate</w:t>
      </w:r>
    </w:p>
    <w:p w:rsidRPr="0041582B" w:rsidR="00F52BCC" w:rsidP="0041582B" w:rsidRDefault="00180D45" w14:paraId="14658F71" w14:textId="77777777">
      <w:pPr>
        <w:pStyle w:val="ListParagraph"/>
        <w:spacing w:after="0" w:line="240" w:lineRule="auto"/>
        <w:ind w:firstLine="90"/>
        <w:rPr>
          <w:rFonts w:asciiTheme="majorHAnsi" w:hAnsiTheme="majorHAnsi"/>
          <w:sz w:val="24"/>
          <w:szCs w:val="24"/>
        </w:rPr>
      </w:pPr>
      <w:r w:rsidRPr="0041582B">
        <w:rPr>
          <w:rFonts w:asciiTheme="majorHAnsi" w:hAnsiTheme="majorHAnsi"/>
          <w:sz w:val="24"/>
          <w:szCs w:val="24"/>
        </w:rPr>
        <w:t>We are requesting no exemption.</w:t>
      </w:r>
    </w:p>
    <w:p w:rsidRPr="0041582B" w:rsidR="00F52BCC" w:rsidP="0041582B" w:rsidRDefault="00F52BCC" w14:paraId="173C9348" w14:textId="77777777">
      <w:pPr>
        <w:pStyle w:val="ListParagraph"/>
        <w:spacing w:after="0" w:line="240" w:lineRule="auto"/>
        <w:rPr>
          <w:rFonts w:asciiTheme="majorHAnsi" w:hAnsiTheme="majorHAnsi"/>
          <w:sz w:val="24"/>
          <w:szCs w:val="24"/>
        </w:rPr>
      </w:pPr>
    </w:p>
    <w:p w:rsidRPr="0041582B" w:rsidR="00B12F51" w:rsidP="0041582B" w:rsidRDefault="00B12F51" w14:paraId="09EAF199" w14:textId="77777777">
      <w:pPr>
        <w:pStyle w:val="ListParagraph"/>
        <w:numPr>
          <w:ilvl w:val="0"/>
          <w:numId w:val="2"/>
        </w:numPr>
        <w:spacing w:after="0" w:line="240" w:lineRule="auto"/>
        <w:rPr>
          <w:rFonts w:asciiTheme="majorHAnsi" w:hAnsiTheme="majorHAnsi"/>
          <w:b/>
          <w:sz w:val="24"/>
          <w:szCs w:val="24"/>
        </w:rPr>
      </w:pPr>
      <w:r w:rsidRPr="0041582B">
        <w:rPr>
          <w:rFonts w:asciiTheme="majorHAnsi" w:hAnsiTheme="majorHAnsi"/>
          <w:b/>
          <w:sz w:val="24"/>
          <w:szCs w:val="24"/>
        </w:rPr>
        <w:t>Exceptions to Certification for Paperwork Reduction Act Submissions</w:t>
      </w:r>
    </w:p>
    <w:p w:rsidRPr="0041582B" w:rsidR="00385BB5" w:rsidP="0041582B" w:rsidRDefault="0031279F" w14:paraId="15433627" w14:textId="77777777">
      <w:pPr>
        <w:pStyle w:val="ListParagraph"/>
        <w:spacing w:after="0" w:line="240" w:lineRule="auto"/>
        <w:ind w:left="810"/>
        <w:rPr>
          <w:rFonts w:asciiTheme="majorHAnsi" w:hAnsiTheme="majorHAnsi"/>
          <w:sz w:val="24"/>
          <w:szCs w:val="24"/>
        </w:rPr>
      </w:pPr>
      <w:r w:rsidRPr="0041582B">
        <w:rPr>
          <w:rFonts w:asciiTheme="majorHAnsi" w:hAnsiTheme="majorHAnsi"/>
          <w:sz w:val="24"/>
          <w:szCs w:val="24"/>
        </w:rPr>
        <w:t>There are no exceptions to the certification.</w:t>
      </w:r>
      <w:r w:rsidRPr="0041582B" w:rsidR="00180D45">
        <w:rPr>
          <w:rFonts w:asciiTheme="majorHAnsi" w:hAnsiTheme="majorHAnsi"/>
          <w:sz w:val="24"/>
          <w:szCs w:val="24"/>
        </w:rPr>
        <w:t xml:space="preserve"> These activities comply with the requirements in 5 CFR 1320.9.</w:t>
      </w:r>
    </w:p>
    <w:p w:rsidRPr="0041582B" w:rsidR="007958FD" w:rsidP="0041582B" w:rsidRDefault="007958FD" w14:paraId="4E813927" w14:textId="77777777">
      <w:pPr>
        <w:pStyle w:val="ListParagraph"/>
        <w:spacing w:after="0" w:line="240" w:lineRule="auto"/>
        <w:rPr>
          <w:rFonts w:asciiTheme="majorHAnsi" w:hAnsiTheme="majorHAnsi"/>
          <w:sz w:val="24"/>
          <w:szCs w:val="24"/>
        </w:rPr>
      </w:pPr>
    </w:p>
    <w:p w:rsidRPr="0041582B" w:rsidR="00A36419" w:rsidP="0041582B" w:rsidRDefault="00A36419" w14:paraId="6CC694D5" w14:textId="77777777">
      <w:pPr>
        <w:spacing w:after="0" w:line="240" w:lineRule="auto"/>
        <w:rPr>
          <w:rFonts w:asciiTheme="majorHAnsi" w:hAnsiTheme="majorHAnsi"/>
          <w:b/>
          <w:sz w:val="28"/>
        </w:rPr>
      </w:pPr>
      <w:r w:rsidRPr="00333BBE">
        <w:rPr>
          <w:rFonts w:asciiTheme="majorHAnsi" w:hAnsiTheme="majorHAnsi"/>
          <w:b/>
          <w:sz w:val="28"/>
        </w:rPr>
        <w:t>LIST OF ATTACHMENTS</w:t>
      </w:r>
      <w:r w:rsidRPr="0041582B" w:rsidR="00A33E90">
        <w:rPr>
          <w:rFonts w:asciiTheme="majorHAnsi" w:hAnsiTheme="majorHAnsi"/>
          <w:b/>
          <w:sz w:val="28"/>
        </w:rPr>
        <w:t xml:space="preserve"> – Section A</w:t>
      </w:r>
    </w:p>
    <w:p w:rsidRPr="0041582B" w:rsidR="006B5E55" w:rsidP="0041582B" w:rsidRDefault="006B5E55" w14:paraId="1948922D" w14:textId="77777777">
      <w:pPr>
        <w:spacing w:after="0" w:line="240" w:lineRule="auto"/>
        <w:rPr>
          <w:rFonts w:asciiTheme="majorHAnsi" w:hAnsiTheme="majorHAnsi"/>
          <w:sz w:val="24"/>
          <w:szCs w:val="24"/>
        </w:rPr>
      </w:pPr>
      <w:r w:rsidRPr="0041582B">
        <w:rPr>
          <w:rFonts w:asciiTheme="majorHAnsi" w:hAnsiTheme="majorHAnsi"/>
          <w:sz w:val="24"/>
          <w:szCs w:val="24"/>
        </w:rPr>
        <w:t>Note: Attachments are included as separate files as instructed.</w:t>
      </w:r>
    </w:p>
    <w:p w:rsidRPr="0041582B" w:rsidR="00A36419" w:rsidP="007760B3" w:rsidRDefault="00A36419" w14:paraId="101C7BAD" w14:textId="77777777">
      <w:pPr>
        <w:spacing w:after="0" w:line="240" w:lineRule="auto"/>
        <w:rPr>
          <w:rFonts w:asciiTheme="majorHAnsi" w:hAnsiTheme="majorHAnsi"/>
          <w:sz w:val="24"/>
          <w:szCs w:val="24"/>
        </w:rPr>
      </w:pPr>
    </w:p>
    <w:p w:rsidRPr="00157E31" w:rsidR="000E6577" w:rsidP="00A843EE" w:rsidRDefault="00AD2E65" w14:paraId="010FE088" w14:textId="2BB7A03D">
      <w:pPr>
        <w:pStyle w:val="ListParagraph"/>
        <w:numPr>
          <w:ilvl w:val="0"/>
          <w:numId w:val="27"/>
        </w:numPr>
        <w:spacing w:line="240" w:lineRule="auto"/>
        <w:rPr>
          <w:rFonts w:asciiTheme="majorHAnsi" w:hAnsiTheme="majorHAnsi"/>
          <w:sz w:val="24"/>
          <w:szCs w:val="24"/>
        </w:rPr>
      </w:pPr>
      <w:r w:rsidRPr="00157E31">
        <w:rPr>
          <w:rFonts w:asciiTheme="majorHAnsi" w:hAnsiTheme="majorHAnsi"/>
          <w:sz w:val="24"/>
          <w:szCs w:val="24"/>
        </w:rPr>
        <w:t>Attachment</w:t>
      </w:r>
      <w:r w:rsidRPr="00157E31" w:rsidR="00AD1C9D">
        <w:rPr>
          <w:rFonts w:asciiTheme="majorHAnsi" w:hAnsiTheme="majorHAnsi"/>
          <w:sz w:val="24"/>
          <w:szCs w:val="24"/>
        </w:rPr>
        <w:t>:</w:t>
      </w:r>
      <w:r w:rsidRPr="00157E31" w:rsidR="003327E3">
        <w:rPr>
          <w:rFonts w:asciiTheme="majorHAnsi" w:hAnsiTheme="majorHAnsi"/>
          <w:sz w:val="24"/>
          <w:szCs w:val="24"/>
        </w:rPr>
        <w:t xml:space="preserve"> </w:t>
      </w:r>
      <w:r w:rsidRPr="00157E31" w:rsidR="00AD1C9D">
        <w:rPr>
          <w:rFonts w:asciiTheme="majorHAnsi" w:hAnsiTheme="majorHAnsi"/>
          <w:sz w:val="24"/>
          <w:szCs w:val="24"/>
        </w:rPr>
        <w:t xml:space="preserve"> Discussion g</w:t>
      </w:r>
      <w:r w:rsidRPr="00157E31" w:rsidR="00CC42F0">
        <w:rPr>
          <w:rFonts w:asciiTheme="majorHAnsi" w:hAnsiTheme="majorHAnsi"/>
          <w:sz w:val="24"/>
          <w:szCs w:val="24"/>
        </w:rPr>
        <w:t>uides</w:t>
      </w:r>
      <w:r w:rsidRPr="00157E31" w:rsidR="00FF1FDC">
        <w:rPr>
          <w:rFonts w:asciiTheme="majorHAnsi" w:hAnsiTheme="majorHAnsi"/>
          <w:sz w:val="24"/>
          <w:szCs w:val="24"/>
        </w:rPr>
        <w:t>, including consent scripts</w:t>
      </w:r>
    </w:p>
    <w:sectPr w:rsidRPr="00157E31" w:rsidR="000E6577" w:rsidSect="00385BB5">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104A4" w14:textId="77777777" w:rsidR="00F30C4B" w:rsidRDefault="00F30C4B" w:rsidP="00716F94">
      <w:pPr>
        <w:spacing w:after="0" w:line="240" w:lineRule="auto"/>
      </w:pPr>
      <w:r>
        <w:separator/>
      </w:r>
    </w:p>
  </w:endnote>
  <w:endnote w:type="continuationSeparator" w:id="0">
    <w:p w14:paraId="3F714AC2" w14:textId="77777777" w:rsidR="00F30C4B" w:rsidRDefault="00F30C4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380BA1D" w14:textId="680A69D2" w:rsidR="0057445F" w:rsidRPr="004A5A73" w:rsidRDefault="0057445F" w:rsidP="004A5A73">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9D6B61">
              <w:rPr>
                <w:b/>
                <w:noProof/>
              </w:rPr>
              <w:t>8</w:t>
            </w:r>
            <w:r>
              <w:rPr>
                <w:b/>
                <w:sz w:val="24"/>
                <w:szCs w:val="24"/>
              </w:rPr>
              <w:fldChar w:fldCharType="end"/>
            </w:r>
            <w:r>
              <w:t xml:space="preserve"> of </w:t>
            </w:r>
            <w:r w:rsidR="004A5A73">
              <w:rPr>
                <w:b/>
                <w:szCs w:val="24"/>
              </w:rPr>
              <w:t>8</w:t>
            </w:r>
          </w:p>
        </w:sdtContent>
      </w:sdt>
    </w:sdtContent>
  </w:sdt>
  <w:p w14:paraId="6C70BE87" w14:textId="77777777" w:rsidR="0057445F" w:rsidRDefault="0057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B482" w14:textId="77777777" w:rsidR="00F30C4B" w:rsidRDefault="00F30C4B" w:rsidP="00716F94">
      <w:pPr>
        <w:spacing w:after="0" w:line="240" w:lineRule="auto"/>
      </w:pPr>
      <w:r>
        <w:separator/>
      </w:r>
    </w:p>
  </w:footnote>
  <w:footnote w:type="continuationSeparator" w:id="0">
    <w:p w14:paraId="627991DE" w14:textId="77777777" w:rsidR="00F30C4B" w:rsidRDefault="00F30C4B" w:rsidP="00716F94">
      <w:pPr>
        <w:spacing w:after="0" w:line="240" w:lineRule="auto"/>
      </w:pPr>
      <w:r>
        <w:continuationSeparator/>
      </w:r>
    </w:p>
  </w:footnote>
  <w:footnote w:id="1">
    <w:p w14:paraId="5AF8ADB6" w14:textId="1A88A263" w:rsidR="00B37A1E" w:rsidRDefault="00B37A1E" w:rsidP="00B37A1E">
      <w:pPr>
        <w:pStyle w:val="FootnoteText"/>
      </w:pPr>
      <w:r>
        <w:rPr>
          <w:rStyle w:val="FootnoteReference"/>
        </w:rPr>
        <w:footnoteRef/>
      </w:r>
      <w:r>
        <w:t xml:space="preserve"> Child and Family Services Reviews, conducted for each state roughly every five years, determine the extent to which states are in compliance with federal child welfare laws and regulations. States found not to be in substantial compliance are required to implement a Program Improvement Plan. ACF </w:t>
      </w:r>
      <w:r w:rsidR="001A7CEF">
        <w:t>recently completed</w:t>
      </w:r>
      <w:r>
        <w:t xml:space="preserve"> the third round of CFSRs and no state was determined to be in compliance with all of the seven outcomes and seven systemic factors addressed in the reviews.  More information on the CFSRs may be found at: </w:t>
      </w:r>
      <w:hyperlink r:id="rId1" w:history="1">
        <w:r>
          <w:rPr>
            <w:rStyle w:val="Hyperlink"/>
          </w:rPr>
          <w:t>https://www.acf.hhs.gov/cb/monitoring/child-family-services-reviews/round3</w:t>
        </w:r>
      </w:hyperlink>
      <w:r>
        <w:t xml:space="preserve"> </w:t>
      </w:r>
    </w:p>
  </w:footnote>
  <w:footnote w:id="2">
    <w:p w14:paraId="0FE44A6A" w14:textId="77777777" w:rsidR="00BA6BB4" w:rsidRPr="00073C84" w:rsidRDefault="00BA6BB4" w:rsidP="00BA6BB4">
      <w:pPr>
        <w:pStyle w:val="FootnoteText"/>
        <w:rPr>
          <w:rFonts w:asciiTheme="majorHAnsi" w:hAnsiTheme="majorHAnsi"/>
        </w:rPr>
      </w:pPr>
      <w:r>
        <w:rPr>
          <w:rStyle w:val="FootnoteReference"/>
        </w:rPr>
        <w:footnoteRef/>
      </w:r>
      <w:r>
        <w:t xml:space="preserve"> </w:t>
      </w:r>
      <w:r w:rsidRPr="00073C84">
        <w:rPr>
          <w:rFonts w:asciiTheme="majorHAnsi" w:hAnsiTheme="majorHAnsi"/>
          <w:color w:val="000000"/>
        </w:rPr>
        <w:t>Estimates for the average hourly wage for respondents are based on the Department of Labor (DOL) 2018 National Occupational Employment and Wage Estimates (</w:t>
      </w:r>
      <w:hyperlink r:id="rId2" w:history="1">
        <w:r w:rsidRPr="00073C84">
          <w:rPr>
            <w:rStyle w:val="Hyperlink"/>
            <w:rFonts w:asciiTheme="majorHAnsi" w:hAnsiTheme="majorHAnsi"/>
            <w:color w:val="000000"/>
          </w:rPr>
          <w:t>https://www.bls.gov/oes/current/oes_nat.htm</w:t>
        </w:r>
      </w:hyperlink>
      <w:r w:rsidRPr="00073C84">
        <w:rPr>
          <w:rFonts w:asciiTheme="majorHAnsi" w:hAnsiTheme="majorHAns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2A65" w14:textId="77777777" w:rsidR="0057445F" w:rsidRPr="00716F94" w:rsidRDefault="0057445F" w:rsidP="00484011">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116B9"/>
    <w:multiLevelType w:val="hybridMultilevel"/>
    <w:tmpl w:val="BA7C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52B86"/>
    <w:multiLevelType w:val="hybridMultilevel"/>
    <w:tmpl w:val="D06E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ED56CF"/>
    <w:multiLevelType w:val="hybridMultilevel"/>
    <w:tmpl w:val="322C3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448F"/>
    <w:multiLevelType w:val="hybridMultilevel"/>
    <w:tmpl w:val="C0D0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10237D"/>
    <w:multiLevelType w:val="hybridMultilevel"/>
    <w:tmpl w:val="49D276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E059D"/>
    <w:multiLevelType w:val="hybridMultilevel"/>
    <w:tmpl w:val="1780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1"/>
  </w:num>
  <w:num w:numId="4">
    <w:abstractNumId w:val="13"/>
  </w:num>
  <w:num w:numId="5">
    <w:abstractNumId w:val="19"/>
  </w:num>
  <w:num w:numId="6">
    <w:abstractNumId w:val="10"/>
  </w:num>
  <w:num w:numId="7">
    <w:abstractNumId w:val="0"/>
  </w:num>
  <w:num w:numId="8">
    <w:abstractNumId w:val="5"/>
  </w:num>
  <w:num w:numId="9">
    <w:abstractNumId w:val="12"/>
  </w:num>
  <w:num w:numId="10">
    <w:abstractNumId w:val="24"/>
  </w:num>
  <w:num w:numId="11">
    <w:abstractNumId w:val="2"/>
  </w:num>
  <w:num w:numId="12">
    <w:abstractNumId w:val="30"/>
  </w:num>
  <w:num w:numId="13">
    <w:abstractNumId w:val="8"/>
  </w:num>
  <w:num w:numId="14">
    <w:abstractNumId w:val="3"/>
  </w:num>
  <w:num w:numId="15">
    <w:abstractNumId w:val="26"/>
  </w:num>
  <w:num w:numId="16">
    <w:abstractNumId w:val="28"/>
  </w:num>
  <w:num w:numId="17">
    <w:abstractNumId w:val="29"/>
  </w:num>
  <w:num w:numId="18">
    <w:abstractNumId w:val="15"/>
  </w:num>
  <w:num w:numId="19">
    <w:abstractNumId w:val="32"/>
  </w:num>
  <w:num w:numId="20">
    <w:abstractNumId w:val="21"/>
  </w:num>
  <w:num w:numId="21">
    <w:abstractNumId w:val="25"/>
  </w:num>
  <w:num w:numId="22">
    <w:abstractNumId w:val="20"/>
  </w:num>
  <w:num w:numId="23">
    <w:abstractNumId w:val="7"/>
  </w:num>
  <w:num w:numId="24">
    <w:abstractNumId w:val="23"/>
  </w:num>
  <w:num w:numId="25">
    <w:abstractNumId w:val="27"/>
  </w:num>
  <w:num w:numId="26">
    <w:abstractNumId w:val="6"/>
  </w:num>
  <w:num w:numId="27">
    <w:abstractNumId w:val="9"/>
  </w:num>
  <w:num w:numId="28">
    <w:abstractNumId w:val="18"/>
  </w:num>
  <w:num w:numId="29">
    <w:abstractNumId w:val="14"/>
  </w:num>
  <w:num w:numId="30">
    <w:abstractNumId w:val="11"/>
  </w:num>
  <w:num w:numId="31">
    <w:abstractNumId w:val="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2003E"/>
    <w:rsid w:val="00022072"/>
    <w:rsid w:val="00030C55"/>
    <w:rsid w:val="000323A9"/>
    <w:rsid w:val="00033BA0"/>
    <w:rsid w:val="0003770F"/>
    <w:rsid w:val="0004157B"/>
    <w:rsid w:val="000417FB"/>
    <w:rsid w:val="000474FB"/>
    <w:rsid w:val="00053A92"/>
    <w:rsid w:val="00054839"/>
    <w:rsid w:val="00057F36"/>
    <w:rsid w:val="00073C84"/>
    <w:rsid w:val="00085BB0"/>
    <w:rsid w:val="00085C5E"/>
    <w:rsid w:val="000905AD"/>
    <w:rsid w:val="00096441"/>
    <w:rsid w:val="00096B2A"/>
    <w:rsid w:val="000A1F30"/>
    <w:rsid w:val="000A2D0C"/>
    <w:rsid w:val="000A71DF"/>
    <w:rsid w:val="000B0962"/>
    <w:rsid w:val="000B2CBC"/>
    <w:rsid w:val="000B7657"/>
    <w:rsid w:val="000C52CD"/>
    <w:rsid w:val="000C75AF"/>
    <w:rsid w:val="000D14B8"/>
    <w:rsid w:val="000D522D"/>
    <w:rsid w:val="000E6577"/>
    <w:rsid w:val="000E6B82"/>
    <w:rsid w:val="000E7A19"/>
    <w:rsid w:val="000F4D08"/>
    <w:rsid w:val="00104A1B"/>
    <w:rsid w:val="0010707D"/>
    <w:rsid w:val="001177DD"/>
    <w:rsid w:val="00133CE4"/>
    <w:rsid w:val="00135334"/>
    <w:rsid w:val="001412D4"/>
    <w:rsid w:val="00144F64"/>
    <w:rsid w:val="00145D62"/>
    <w:rsid w:val="00147140"/>
    <w:rsid w:val="00151567"/>
    <w:rsid w:val="00157E31"/>
    <w:rsid w:val="00163E17"/>
    <w:rsid w:val="00166F9E"/>
    <w:rsid w:val="00167880"/>
    <w:rsid w:val="001705EB"/>
    <w:rsid w:val="00170FF1"/>
    <w:rsid w:val="00175270"/>
    <w:rsid w:val="00180D45"/>
    <w:rsid w:val="00182585"/>
    <w:rsid w:val="00183401"/>
    <w:rsid w:val="00187870"/>
    <w:rsid w:val="00187D5A"/>
    <w:rsid w:val="00193BE3"/>
    <w:rsid w:val="001972D7"/>
    <w:rsid w:val="001A28F6"/>
    <w:rsid w:val="001A7CEF"/>
    <w:rsid w:val="001B10AD"/>
    <w:rsid w:val="001B2831"/>
    <w:rsid w:val="001B4065"/>
    <w:rsid w:val="001C0493"/>
    <w:rsid w:val="001C26E8"/>
    <w:rsid w:val="001C28AD"/>
    <w:rsid w:val="001C6D59"/>
    <w:rsid w:val="001D3D7B"/>
    <w:rsid w:val="001D7FCB"/>
    <w:rsid w:val="001E121F"/>
    <w:rsid w:val="001E2B99"/>
    <w:rsid w:val="001E4B2C"/>
    <w:rsid w:val="001E69B6"/>
    <w:rsid w:val="001F1D8C"/>
    <w:rsid w:val="001F4DBB"/>
    <w:rsid w:val="00200391"/>
    <w:rsid w:val="00201E82"/>
    <w:rsid w:val="00202D07"/>
    <w:rsid w:val="0020312D"/>
    <w:rsid w:val="002053C2"/>
    <w:rsid w:val="00206A1E"/>
    <w:rsid w:val="00206E33"/>
    <w:rsid w:val="00210519"/>
    <w:rsid w:val="00213BF9"/>
    <w:rsid w:val="00227259"/>
    <w:rsid w:val="00234683"/>
    <w:rsid w:val="00234A91"/>
    <w:rsid w:val="00240B5B"/>
    <w:rsid w:val="00241B17"/>
    <w:rsid w:val="00241C81"/>
    <w:rsid w:val="002529F8"/>
    <w:rsid w:val="002579E2"/>
    <w:rsid w:val="00257A1C"/>
    <w:rsid w:val="0027234C"/>
    <w:rsid w:val="002754E5"/>
    <w:rsid w:val="00281795"/>
    <w:rsid w:val="00283506"/>
    <w:rsid w:val="002850E3"/>
    <w:rsid w:val="0028611F"/>
    <w:rsid w:val="00287A2D"/>
    <w:rsid w:val="00287E2F"/>
    <w:rsid w:val="00292E38"/>
    <w:rsid w:val="002A1948"/>
    <w:rsid w:val="002A5AA0"/>
    <w:rsid w:val="002B3AFE"/>
    <w:rsid w:val="002C0877"/>
    <w:rsid w:val="002C2AE2"/>
    <w:rsid w:val="002C34ED"/>
    <w:rsid w:val="002D0DCE"/>
    <w:rsid w:val="002D46FC"/>
    <w:rsid w:val="002D6515"/>
    <w:rsid w:val="002D7403"/>
    <w:rsid w:val="002D74FB"/>
    <w:rsid w:val="002E2B10"/>
    <w:rsid w:val="002E73B0"/>
    <w:rsid w:val="002E7866"/>
    <w:rsid w:val="002F1502"/>
    <w:rsid w:val="002F2069"/>
    <w:rsid w:val="002F27AD"/>
    <w:rsid w:val="002F61A9"/>
    <w:rsid w:val="002F71A2"/>
    <w:rsid w:val="003041AD"/>
    <w:rsid w:val="00307E99"/>
    <w:rsid w:val="0031279F"/>
    <w:rsid w:val="0031682C"/>
    <w:rsid w:val="00316F00"/>
    <w:rsid w:val="00320D78"/>
    <w:rsid w:val="00321B51"/>
    <w:rsid w:val="00327A65"/>
    <w:rsid w:val="003327E3"/>
    <w:rsid w:val="00333BBE"/>
    <w:rsid w:val="00333BE4"/>
    <w:rsid w:val="00336D96"/>
    <w:rsid w:val="00337CAB"/>
    <w:rsid w:val="0034286C"/>
    <w:rsid w:val="00344F07"/>
    <w:rsid w:val="003469C8"/>
    <w:rsid w:val="00350C8C"/>
    <w:rsid w:val="00351C48"/>
    <w:rsid w:val="00355EA4"/>
    <w:rsid w:val="00362D89"/>
    <w:rsid w:val="003635BE"/>
    <w:rsid w:val="00365045"/>
    <w:rsid w:val="00366B5E"/>
    <w:rsid w:val="0037241E"/>
    <w:rsid w:val="0038158D"/>
    <w:rsid w:val="003844F1"/>
    <w:rsid w:val="00385BB5"/>
    <w:rsid w:val="00386BC2"/>
    <w:rsid w:val="003B125E"/>
    <w:rsid w:val="003C31C9"/>
    <w:rsid w:val="003C4961"/>
    <w:rsid w:val="003C4AEB"/>
    <w:rsid w:val="003C4E96"/>
    <w:rsid w:val="003C6602"/>
    <w:rsid w:val="003C7C5D"/>
    <w:rsid w:val="003D071B"/>
    <w:rsid w:val="003D0AD2"/>
    <w:rsid w:val="003D1B08"/>
    <w:rsid w:val="003D223D"/>
    <w:rsid w:val="003D4951"/>
    <w:rsid w:val="003F5913"/>
    <w:rsid w:val="004024F8"/>
    <w:rsid w:val="00405696"/>
    <w:rsid w:val="0041159A"/>
    <w:rsid w:val="00414559"/>
    <w:rsid w:val="0041582B"/>
    <w:rsid w:val="004305A8"/>
    <w:rsid w:val="00431EA1"/>
    <w:rsid w:val="00433D4E"/>
    <w:rsid w:val="004353D5"/>
    <w:rsid w:val="00443CA0"/>
    <w:rsid w:val="00446FF9"/>
    <w:rsid w:val="00447C25"/>
    <w:rsid w:val="00450E14"/>
    <w:rsid w:val="00451C47"/>
    <w:rsid w:val="00453D65"/>
    <w:rsid w:val="00462C65"/>
    <w:rsid w:val="004674E7"/>
    <w:rsid w:val="00467B14"/>
    <w:rsid w:val="0047138F"/>
    <w:rsid w:val="00474EDA"/>
    <w:rsid w:val="004824FA"/>
    <w:rsid w:val="00484011"/>
    <w:rsid w:val="004841F1"/>
    <w:rsid w:val="00487D17"/>
    <w:rsid w:val="004A1E3A"/>
    <w:rsid w:val="004A305B"/>
    <w:rsid w:val="004A5A73"/>
    <w:rsid w:val="004B03E9"/>
    <w:rsid w:val="004B46D6"/>
    <w:rsid w:val="004C0BF6"/>
    <w:rsid w:val="004C1070"/>
    <w:rsid w:val="004C4464"/>
    <w:rsid w:val="004C475A"/>
    <w:rsid w:val="004C4AEA"/>
    <w:rsid w:val="004D0430"/>
    <w:rsid w:val="004D04FF"/>
    <w:rsid w:val="004D1023"/>
    <w:rsid w:val="004D1DAA"/>
    <w:rsid w:val="004D20C8"/>
    <w:rsid w:val="004D29D3"/>
    <w:rsid w:val="004D4EB1"/>
    <w:rsid w:val="004D6563"/>
    <w:rsid w:val="004E003C"/>
    <w:rsid w:val="004E16EB"/>
    <w:rsid w:val="004E6665"/>
    <w:rsid w:val="004F634E"/>
    <w:rsid w:val="004F67A8"/>
    <w:rsid w:val="004F6E19"/>
    <w:rsid w:val="005051AC"/>
    <w:rsid w:val="005070F6"/>
    <w:rsid w:val="00512CDC"/>
    <w:rsid w:val="0051582C"/>
    <w:rsid w:val="00522014"/>
    <w:rsid w:val="00522A50"/>
    <w:rsid w:val="00525E61"/>
    <w:rsid w:val="005268BF"/>
    <w:rsid w:val="0052691C"/>
    <w:rsid w:val="00527225"/>
    <w:rsid w:val="0053557D"/>
    <w:rsid w:val="005410E3"/>
    <w:rsid w:val="005463DE"/>
    <w:rsid w:val="00546DC2"/>
    <w:rsid w:val="005542E8"/>
    <w:rsid w:val="00556630"/>
    <w:rsid w:val="0055686D"/>
    <w:rsid w:val="00563683"/>
    <w:rsid w:val="00565EA9"/>
    <w:rsid w:val="0057445F"/>
    <w:rsid w:val="005800EE"/>
    <w:rsid w:val="005869D6"/>
    <w:rsid w:val="0059331E"/>
    <w:rsid w:val="00594619"/>
    <w:rsid w:val="00597783"/>
    <w:rsid w:val="005A20FB"/>
    <w:rsid w:val="005A33F6"/>
    <w:rsid w:val="005A59E5"/>
    <w:rsid w:val="005A74B5"/>
    <w:rsid w:val="005B3D9A"/>
    <w:rsid w:val="005B470C"/>
    <w:rsid w:val="005B484B"/>
    <w:rsid w:val="005B7440"/>
    <w:rsid w:val="005C3068"/>
    <w:rsid w:val="005D00DB"/>
    <w:rsid w:val="005D6CB2"/>
    <w:rsid w:val="005E0FA7"/>
    <w:rsid w:val="005E2150"/>
    <w:rsid w:val="005E2995"/>
    <w:rsid w:val="005E3176"/>
    <w:rsid w:val="005E3835"/>
    <w:rsid w:val="005E455B"/>
    <w:rsid w:val="005E7DD7"/>
    <w:rsid w:val="005F3EBA"/>
    <w:rsid w:val="005F3FEF"/>
    <w:rsid w:val="005F77E1"/>
    <w:rsid w:val="00600C4F"/>
    <w:rsid w:val="00606127"/>
    <w:rsid w:val="00607F7C"/>
    <w:rsid w:val="006102DA"/>
    <w:rsid w:val="00611404"/>
    <w:rsid w:val="00616090"/>
    <w:rsid w:val="006315A3"/>
    <w:rsid w:val="00632208"/>
    <w:rsid w:val="0064297E"/>
    <w:rsid w:val="006463BE"/>
    <w:rsid w:val="00655148"/>
    <w:rsid w:val="006579A2"/>
    <w:rsid w:val="00667C89"/>
    <w:rsid w:val="006711EE"/>
    <w:rsid w:val="006752CA"/>
    <w:rsid w:val="006809BB"/>
    <w:rsid w:val="006809FD"/>
    <w:rsid w:val="00684F7E"/>
    <w:rsid w:val="00691D1F"/>
    <w:rsid w:val="006955BA"/>
    <w:rsid w:val="006971DF"/>
    <w:rsid w:val="00697BAE"/>
    <w:rsid w:val="006A1380"/>
    <w:rsid w:val="006B252F"/>
    <w:rsid w:val="006B4DDC"/>
    <w:rsid w:val="006B5E55"/>
    <w:rsid w:val="006C0F9B"/>
    <w:rsid w:val="006C4DA7"/>
    <w:rsid w:val="006C571A"/>
    <w:rsid w:val="006D1C62"/>
    <w:rsid w:val="006D25A1"/>
    <w:rsid w:val="006D76B6"/>
    <w:rsid w:val="006E14E9"/>
    <w:rsid w:val="006F09A2"/>
    <w:rsid w:val="006F51C3"/>
    <w:rsid w:val="006F6856"/>
    <w:rsid w:val="007008E7"/>
    <w:rsid w:val="00704B3A"/>
    <w:rsid w:val="007105C0"/>
    <w:rsid w:val="007145D0"/>
    <w:rsid w:val="00716680"/>
    <w:rsid w:val="00716F94"/>
    <w:rsid w:val="00721651"/>
    <w:rsid w:val="00741579"/>
    <w:rsid w:val="00745096"/>
    <w:rsid w:val="0075188E"/>
    <w:rsid w:val="0076001C"/>
    <w:rsid w:val="00760E12"/>
    <w:rsid w:val="00763CF3"/>
    <w:rsid w:val="00766F9D"/>
    <w:rsid w:val="00772293"/>
    <w:rsid w:val="00774660"/>
    <w:rsid w:val="007760B3"/>
    <w:rsid w:val="00776981"/>
    <w:rsid w:val="00781AE3"/>
    <w:rsid w:val="00783B4C"/>
    <w:rsid w:val="00783C75"/>
    <w:rsid w:val="00783CC1"/>
    <w:rsid w:val="00784619"/>
    <w:rsid w:val="00784C5C"/>
    <w:rsid w:val="00784D50"/>
    <w:rsid w:val="0078627B"/>
    <w:rsid w:val="0078765B"/>
    <w:rsid w:val="00791962"/>
    <w:rsid w:val="0079208C"/>
    <w:rsid w:val="00794E32"/>
    <w:rsid w:val="007958FD"/>
    <w:rsid w:val="007A0D73"/>
    <w:rsid w:val="007A26A3"/>
    <w:rsid w:val="007A7685"/>
    <w:rsid w:val="007B305A"/>
    <w:rsid w:val="007B6820"/>
    <w:rsid w:val="007C0929"/>
    <w:rsid w:val="007D371C"/>
    <w:rsid w:val="007E575D"/>
    <w:rsid w:val="007E6AEF"/>
    <w:rsid w:val="008073B8"/>
    <w:rsid w:val="00815C7D"/>
    <w:rsid w:val="00817941"/>
    <w:rsid w:val="008229E4"/>
    <w:rsid w:val="00823547"/>
    <w:rsid w:val="008261AB"/>
    <w:rsid w:val="008269AB"/>
    <w:rsid w:val="00834C91"/>
    <w:rsid w:val="00834FAF"/>
    <w:rsid w:val="00835CA7"/>
    <w:rsid w:val="008370D4"/>
    <w:rsid w:val="008414AD"/>
    <w:rsid w:val="008428D9"/>
    <w:rsid w:val="00850392"/>
    <w:rsid w:val="00856CE1"/>
    <w:rsid w:val="00876243"/>
    <w:rsid w:val="0088336D"/>
    <w:rsid w:val="0088467A"/>
    <w:rsid w:val="00884DB9"/>
    <w:rsid w:val="008A534C"/>
    <w:rsid w:val="008A6C3C"/>
    <w:rsid w:val="008B563F"/>
    <w:rsid w:val="008C3432"/>
    <w:rsid w:val="008C67D2"/>
    <w:rsid w:val="008C7B89"/>
    <w:rsid w:val="008E0683"/>
    <w:rsid w:val="008F4756"/>
    <w:rsid w:val="008F47AF"/>
    <w:rsid w:val="008F6F07"/>
    <w:rsid w:val="009019EC"/>
    <w:rsid w:val="00902DD9"/>
    <w:rsid w:val="00911486"/>
    <w:rsid w:val="00912486"/>
    <w:rsid w:val="009129CA"/>
    <w:rsid w:val="009206B6"/>
    <w:rsid w:val="009252DC"/>
    <w:rsid w:val="00925771"/>
    <w:rsid w:val="009263C1"/>
    <w:rsid w:val="0093606F"/>
    <w:rsid w:val="00941B4F"/>
    <w:rsid w:val="00941C40"/>
    <w:rsid w:val="009518C0"/>
    <w:rsid w:val="0095210F"/>
    <w:rsid w:val="0095486F"/>
    <w:rsid w:val="00963CE3"/>
    <w:rsid w:val="00964F18"/>
    <w:rsid w:val="0097415F"/>
    <w:rsid w:val="00974424"/>
    <w:rsid w:val="0098500F"/>
    <w:rsid w:val="00987F76"/>
    <w:rsid w:val="00993088"/>
    <w:rsid w:val="00994A3E"/>
    <w:rsid w:val="0099664F"/>
    <w:rsid w:val="00996FB7"/>
    <w:rsid w:val="00997241"/>
    <w:rsid w:val="00997D5D"/>
    <w:rsid w:val="009A0447"/>
    <w:rsid w:val="009A0548"/>
    <w:rsid w:val="009A2CE5"/>
    <w:rsid w:val="009A4B59"/>
    <w:rsid w:val="009A4E39"/>
    <w:rsid w:val="009A703D"/>
    <w:rsid w:val="009B367E"/>
    <w:rsid w:val="009B4A51"/>
    <w:rsid w:val="009C28B1"/>
    <w:rsid w:val="009C61AD"/>
    <w:rsid w:val="009C6697"/>
    <w:rsid w:val="009D373D"/>
    <w:rsid w:val="009D4067"/>
    <w:rsid w:val="009D436B"/>
    <w:rsid w:val="009D6B61"/>
    <w:rsid w:val="009D7B2C"/>
    <w:rsid w:val="009E0801"/>
    <w:rsid w:val="009E1D05"/>
    <w:rsid w:val="009E2921"/>
    <w:rsid w:val="009F61D2"/>
    <w:rsid w:val="009F7DE0"/>
    <w:rsid w:val="00A0436C"/>
    <w:rsid w:val="00A05973"/>
    <w:rsid w:val="00A11B0C"/>
    <w:rsid w:val="00A166D2"/>
    <w:rsid w:val="00A2471B"/>
    <w:rsid w:val="00A320A4"/>
    <w:rsid w:val="00A33B35"/>
    <w:rsid w:val="00A33E90"/>
    <w:rsid w:val="00A36419"/>
    <w:rsid w:val="00A36803"/>
    <w:rsid w:val="00A44921"/>
    <w:rsid w:val="00A44CCD"/>
    <w:rsid w:val="00A578C2"/>
    <w:rsid w:val="00A607BB"/>
    <w:rsid w:val="00A72652"/>
    <w:rsid w:val="00A75D1C"/>
    <w:rsid w:val="00A809AA"/>
    <w:rsid w:val="00A849B3"/>
    <w:rsid w:val="00A8510D"/>
    <w:rsid w:val="00A86AF3"/>
    <w:rsid w:val="00A90AFF"/>
    <w:rsid w:val="00A90BDC"/>
    <w:rsid w:val="00A95477"/>
    <w:rsid w:val="00A975A9"/>
    <w:rsid w:val="00AA3192"/>
    <w:rsid w:val="00AA4F8F"/>
    <w:rsid w:val="00AB0486"/>
    <w:rsid w:val="00AB251E"/>
    <w:rsid w:val="00AB3608"/>
    <w:rsid w:val="00AB3C4C"/>
    <w:rsid w:val="00AB408D"/>
    <w:rsid w:val="00AB515C"/>
    <w:rsid w:val="00AC5C48"/>
    <w:rsid w:val="00AC63E3"/>
    <w:rsid w:val="00AC6A5F"/>
    <w:rsid w:val="00AD1C9D"/>
    <w:rsid w:val="00AD2E65"/>
    <w:rsid w:val="00AD43B2"/>
    <w:rsid w:val="00AD529C"/>
    <w:rsid w:val="00AF0B7F"/>
    <w:rsid w:val="00AF0CF4"/>
    <w:rsid w:val="00AF2252"/>
    <w:rsid w:val="00B005AE"/>
    <w:rsid w:val="00B00B12"/>
    <w:rsid w:val="00B07188"/>
    <w:rsid w:val="00B1129F"/>
    <w:rsid w:val="00B11D61"/>
    <w:rsid w:val="00B1265C"/>
    <w:rsid w:val="00B12F51"/>
    <w:rsid w:val="00B2751E"/>
    <w:rsid w:val="00B3650C"/>
    <w:rsid w:val="00B37A1E"/>
    <w:rsid w:val="00B47055"/>
    <w:rsid w:val="00B474EC"/>
    <w:rsid w:val="00B62EC6"/>
    <w:rsid w:val="00B64984"/>
    <w:rsid w:val="00B64BFA"/>
    <w:rsid w:val="00B71549"/>
    <w:rsid w:val="00B71E63"/>
    <w:rsid w:val="00B83212"/>
    <w:rsid w:val="00B85DE4"/>
    <w:rsid w:val="00B87AAD"/>
    <w:rsid w:val="00B91A31"/>
    <w:rsid w:val="00B96B6E"/>
    <w:rsid w:val="00BA6BB4"/>
    <w:rsid w:val="00BA6C28"/>
    <w:rsid w:val="00BA6DB4"/>
    <w:rsid w:val="00BB7B23"/>
    <w:rsid w:val="00BC3F3C"/>
    <w:rsid w:val="00BC5BB2"/>
    <w:rsid w:val="00BD4BB4"/>
    <w:rsid w:val="00BD768D"/>
    <w:rsid w:val="00BE4B52"/>
    <w:rsid w:val="00BE738E"/>
    <w:rsid w:val="00BF11A1"/>
    <w:rsid w:val="00BF2F2A"/>
    <w:rsid w:val="00BF3F54"/>
    <w:rsid w:val="00C00697"/>
    <w:rsid w:val="00C0376C"/>
    <w:rsid w:val="00C06D77"/>
    <w:rsid w:val="00C10506"/>
    <w:rsid w:val="00C14BA6"/>
    <w:rsid w:val="00C3485C"/>
    <w:rsid w:val="00C37906"/>
    <w:rsid w:val="00C4090E"/>
    <w:rsid w:val="00C544A4"/>
    <w:rsid w:val="00C768E5"/>
    <w:rsid w:val="00C87F6E"/>
    <w:rsid w:val="00C91EA5"/>
    <w:rsid w:val="00CA1ADD"/>
    <w:rsid w:val="00CA2004"/>
    <w:rsid w:val="00CA5B99"/>
    <w:rsid w:val="00CB0933"/>
    <w:rsid w:val="00CB334D"/>
    <w:rsid w:val="00CB56D5"/>
    <w:rsid w:val="00CB59C7"/>
    <w:rsid w:val="00CC42F0"/>
    <w:rsid w:val="00CD10AF"/>
    <w:rsid w:val="00CD1EA8"/>
    <w:rsid w:val="00CE0208"/>
    <w:rsid w:val="00CF47D2"/>
    <w:rsid w:val="00CF53DB"/>
    <w:rsid w:val="00CF5ABD"/>
    <w:rsid w:val="00CF63CE"/>
    <w:rsid w:val="00CF762E"/>
    <w:rsid w:val="00D05529"/>
    <w:rsid w:val="00D067C1"/>
    <w:rsid w:val="00D1364F"/>
    <w:rsid w:val="00D13B13"/>
    <w:rsid w:val="00D13D53"/>
    <w:rsid w:val="00D15A84"/>
    <w:rsid w:val="00D16E78"/>
    <w:rsid w:val="00D17D3D"/>
    <w:rsid w:val="00D201D3"/>
    <w:rsid w:val="00D267D5"/>
    <w:rsid w:val="00D26A64"/>
    <w:rsid w:val="00D26DCF"/>
    <w:rsid w:val="00D27049"/>
    <w:rsid w:val="00D31720"/>
    <w:rsid w:val="00D3315E"/>
    <w:rsid w:val="00D52B9A"/>
    <w:rsid w:val="00D5367E"/>
    <w:rsid w:val="00D53B1E"/>
    <w:rsid w:val="00D707C9"/>
    <w:rsid w:val="00D75750"/>
    <w:rsid w:val="00D84EF0"/>
    <w:rsid w:val="00D861ED"/>
    <w:rsid w:val="00D873E0"/>
    <w:rsid w:val="00D94F8B"/>
    <w:rsid w:val="00D95FBF"/>
    <w:rsid w:val="00DA1A2C"/>
    <w:rsid w:val="00DA5988"/>
    <w:rsid w:val="00DB7F78"/>
    <w:rsid w:val="00DC0184"/>
    <w:rsid w:val="00DC317C"/>
    <w:rsid w:val="00DC36E1"/>
    <w:rsid w:val="00DC4FF2"/>
    <w:rsid w:val="00DC60EA"/>
    <w:rsid w:val="00DC79CC"/>
    <w:rsid w:val="00DD3E04"/>
    <w:rsid w:val="00DD5A91"/>
    <w:rsid w:val="00DF531A"/>
    <w:rsid w:val="00E046D6"/>
    <w:rsid w:val="00E10D39"/>
    <w:rsid w:val="00E134F4"/>
    <w:rsid w:val="00E162E0"/>
    <w:rsid w:val="00E23568"/>
    <w:rsid w:val="00E245B5"/>
    <w:rsid w:val="00E33E1B"/>
    <w:rsid w:val="00E34D3E"/>
    <w:rsid w:val="00E41CBA"/>
    <w:rsid w:val="00E43138"/>
    <w:rsid w:val="00E44C16"/>
    <w:rsid w:val="00E45F91"/>
    <w:rsid w:val="00E54C79"/>
    <w:rsid w:val="00E720E9"/>
    <w:rsid w:val="00E75C86"/>
    <w:rsid w:val="00E81C5E"/>
    <w:rsid w:val="00E81F6F"/>
    <w:rsid w:val="00E83B3C"/>
    <w:rsid w:val="00E8736B"/>
    <w:rsid w:val="00E879B8"/>
    <w:rsid w:val="00E90275"/>
    <w:rsid w:val="00E925D4"/>
    <w:rsid w:val="00E97226"/>
    <w:rsid w:val="00EA2B44"/>
    <w:rsid w:val="00EA33EF"/>
    <w:rsid w:val="00EA7636"/>
    <w:rsid w:val="00EB6867"/>
    <w:rsid w:val="00EC4FFD"/>
    <w:rsid w:val="00EC58F5"/>
    <w:rsid w:val="00EC5EFC"/>
    <w:rsid w:val="00ED3ED3"/>
    <w:rsid w:val="00ED47AB"/>
    <w:rsid w:val="00ED6DF6"/>
    <w:rsid w:val="00EF33CD"/>
    <w:rsid w:val="00EF3E69"/>
    <w:rsid w:val="00F12924"/>
    <w:rsid w:val="00F202CF"/>
    <w:rsid w:val="00F20C9B"/>
    <w:rsid w:val="00F239A7"/>
    <w:rsid w:val="00F300CB"/>
    <w:rsid w:val="00F30C4B"/>
    <w:rsid w:val="00F4271B"/>
    <w:rsid w:val="00F42C3A"/>
    <w:rsid w:val="00F430A3"/>
    <w:rsid w:val="00F4644E"/>
    <w:rsid w:val="00F52BCC"/>
    <w:rsid w:val="00F5313F"/>
    <w:rsid w:val="00F55439"/>
    <w:rsid w:val="00F5612E"/>
    <w:rsid w:val="00F6730C"/>
    <w:rsid w:val="00F72E87"/>
    <w:rsid w:val="00F81135"/>
    <w:rsid w:val="00F81A48"/>
    <w:rsid w:val="00F97F93"/>
    <w:rsid w:val="00FA680D"/>
    <w:rsid w:val="00FB24F1"/>
    <w:rsid w:val="00FB4DBE"/>
    <w:rsid w:val="00FB62BC"/>
    <w:rsid w:val="00FB7E7A"/>
    <w:rsid w:val="00FC3169"/>
    <w:rsid w:val="00FC3214"/>
    <w:rsid w:val="00FC56D5"/>
    <w:rsid w:val="00FC7C4A"/>
    <w:rsid w:val="00FD17C9"/>
    <w:rsid w:val="00FD2A5B"/>
    <w:rsid w:val="00FD69BE"/>
    <w:rsid w:val="00FD731A"/>
    <w:rsid w:val="00FE6A5C"/>
    <w:rsid w:val="00FF1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F7141"/>
  <w15:docId w15:val="{B65EF7A5-A0E5-45B9-BF87-0C06CEF4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5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lockText">
    <w:name w:val="Block Text"/>
    <w:basedOn w:val="Normal"/>
    <w:uiPriority w:val="99"/>
    <w:unhideWhenUsed/>
    <w:rsid w:val="00033BA0"/>
    <w:pPr>
      <w:autoSpaceDE w:val="0"/>
      <w:autoSpaceDN w:val="0"/>
      <w:adjustRightInd w:val="0"/>
      <w:ind w:left="720" w:right="720"/>
    </w:pPr>
    <w:rPr>
      <w:rFonts w:asciiTheme="majorHAnsi" w:hAnsiTheme="majorHAnsi"/>
    </w:rPr>
  </w:style>
  <w:style w:type="character" w:styleId="FollowedHyperlink">
    <w:name w:val="FollowedHyperlink"/>
    <w:basedOn w:val="DefaultParagraphFont"/>
    <w:uiPriority w:val="99"/>
    <w:semiHidden/>
    <w:unhideWhenUsed/>
    <w:rsid w:val="003D1B08"/>
    <w:rPr>
      <w:color w:val="800080" w:themeColor="followedHyperlink"/>
      <w:u w:val="single"/>
    </w:rPr>
  </w:style>
  <w:style w:type="paragraph" w:styleId="BodyTextIndent">
    <w:name w:val="Body Text Indent"/>
    <w:basedOn w:val="Normal"/>
    <w:link w:val="BodyTextIndentChar"/>
    <w:uiPriority w:val="99"/>
    <w:unhideWhenUsed/>
    <w:rsid w:val="00791962"/>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791962"/>
    <w:rPr>
      <w:rFonts w:asciiTheme="majorHAnsi" w:hAnsiTheme="majorHAnsi"/>
    </w:rPr>
  </w:style>
  <w:style w:type="paragraph" w:styleId="FootnoteText">
    <w:name w:val="footnote text"/>
    <w:basedOn w:val="Normal"/>
    <w:link w:val="FootnoteTextChar"/>
    <w:uiPriority w:val="99"/>
    <w:semiHidden/>
    <w:unhideWhenUsed/>
    <w:rsid w:val="00D055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055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529"/>
    <w:rPr>
      <w:vertAlign w:val="superscript"/>
    </w:rPr>
  </w:style>
  <w:style w:type="character" w:customStyle="1" w:styleId="Heading1Char">
    <w:name w:val="Heading 1 Char"/>
    <w:basedOn w:val="DefaultParagraphFont"/>
    <w:link w:val="Heading1"/>
    <w:uiPriority w:val="9"/>
    <w:rsid w:val="00414559"/>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31682C"/>
  </w:style>
  <w:style w:type="paragraph" w:customStyle="1" w:styleId="TableHeaderCenter">
    <w:name w:val="Table Header Center"/>
    <w:basedOn w:val="Normal"/>
    <w:qFormat/>
    <w:rsid w:val="00327A65"/>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itle">
    <w:name w:val="Table Title"/>
    <w:basedOn w:val="Normal"/>
    <w:next w:val="Normal"/>
    <w:uiPriority w:val="1"/>
    <w:qFormat/>
    <w:rsid w:val="00327A65"/>
    <w:pPr>
      <w:keepNext/>
      <w:spacing w:before="360" w:after="60" w:line="290" w:lineRule="exact"/>
    </w:pPr>
    <w:rPr>
      <w:rFonts w:asciiTheme="majorHAnsi" w:eastAsia="Times New Roman" w:hAnsiTheme="majorHAnsi" w:cs="Times New Roman"/>
      <w:b/>
      <w:szCs w:val="20"/>
    </w:rPr>
  </w:style>
  <w:style w:type="paragraph" w:customStyle="1" w:styleId="TableTextLeft">
    <w:name w:val="Table Text Left"/>
    <w:basedOn w:val="Normal"/>
    <w:uiPriority w:val="1"/>
    <w:qFormat/>
    <w:rsid w:val="00327A65"/>
    <w:pPr>
      <w:spacing w:after="0" w:line="240" w:lineRule="auto"/>
    </w:pPr>
    <w:rPr>
      <w:rFonts w:asciiTheme="majorHAnsi" w:eastAsia="Times New Roman" w:hAnsiTheme="majorHAnsi" w:cs="Times New Roman"/>
      <w:sz w:val="20"/>
      <w:szCs w:val="20"/>
    </w:rPr>
  </w:style>
  <w:style w:type="paragraph" w:customStyle="1" w:styleId="TableFootnoteCaption">
    <w:name w:val="Table Footnote_Caption"/>
    <w:qFormat/>
    <w:rsid w:val="00327A65"/>
    <w:pPr>
      <w:tabs>
        <w:tab w:val="left" w:pos="1080"/>
      </w:tabs>
      <w:spacing w:before="60" w:after="0" w:line="240" w:lineRule="auto"/>
    </w:pPr>
    <w:rPr>
      <w:rFonts w:ascii="Arial" w:eastAsia="Times New Roman" w:hAnsi="Arial" w:cs="Times New Roman"/>
      <w:sz w:val="18"/>
      <w:szCs w:val="20"/>
    </w:rPr>
  </w:style>
  <w:style w:type="table" w:customStyle="1" w:styleId="TableGrid1">
    <w:name w:val="Table Grid1"/>
    <w:basedOn w:val="TableNormal"/>
    <w:next w:val="TableGrid"/>
    <w:uiPriority w:val="59"/>
    <w:rsid w:val="00BA6BB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51847">
      <w:bodyDiv w:val="1"/>
      <w:marLeft w:val="0"/>
      <w:marRight w:val="0"/>
      <w:marTop w:val="0"/>
      <w:marBottom w:val="0"/>
      <w:divBdr>
        <w:top w:val="none" w:sz="0" w:space="0" w:color="auto"/>
        <w:left w:val="none" w:sz="0" w:space="0" w:color="auto"/>
        <w:bottom w:val="none" w:sz="0" w:space="0" w:color="auto"/>
        <w:right w:val="none" w:sz="0" w:space="0" w:color="auto"/>
      </w:divBdr>
    </w:div>
    <w:div w:id="252053244">
      <w:bodyDiv w:val="1"/>
      <w:marLeft w:val="0"/>
      <w:marRight w:val="0"/>
      <w:marTop w:val="0"/>
      <w:marBottom w:val="0"/>
      <w:divBdr>
        <w:top w:val="none" w:sz="0" w:space="0" w:color="auto"/>
        <w:left w:val="none" w:sz="0" w:space="0" w:color="auto"/>
        <w:bottom w:val="none" w:sz="0" w:space="0" w:color="auto"/>
        <w:right w:val="none" w:sz="0" w:space="0" w:color="auto"/>
      </w:divBdr>
    </w:div>
    <w:div w:id="269824389">
      <w:bodyDiv w:val="1"/>
      <w:marLeft w:val="0"/>
      <w:marRight w:val="0"/>
      <w:marTop w:val="0"/>
      <w:marBottom w:val="0"/>
      <w:divBdr>
        <w:top w:val="none" w:sz="0" w:space="0" w:color="auto"/>
        <w:left w:val="none" w:sz="0" w:space="0" w:color="auto"/>
        <w:bottom w:val="none" w:sz="0" w:space="0" w:color="auto"/>
        <w:right w:val="none" w:sz="0" w:space="0" w:color="auto"/>
      </w:divBdr>
    </w:div>
    <w:div w:id="549148225">
      <w:bodyDiv w:val="1"/>
      <w:marLeft w:val="0"/>
      <w:marRight w:val="0"/>
      <w:marTop w:val="0"/>
      <w:marBottom w:val="0"/>
      <w:divBdr>
        <w:top w:val="none" w:sz="0" w:space="0" w:color="auto"/>
        <w:left w:val="none" w:sz="0" w:space="0" w:color="auto"/>
        <w:bottom w:val="none" w:sz="0" w:space="0" w:color="auto"/>
        <w:right w:val="none" w:sz="0" w:space="0" w:color="auto"/>
      </w:divBdr>
      <w:divsChild>
        <w:div w:id="1298535593">
          <w:marLeft w:val="0"/>
          <w:marRight w:val="1"/>
          <w:marTop w:val="0"/>
          <w:marBottom w:val="0"/>
          <w:divBdr>
            <w:top w:val="none" w:sz="0" w:space="0" w:color="auto"/>
            <w:left w:val="none" w:sz="0" w:space="0" w:color="auto"/>
            <w:bottom w:val="none" w:sz="0" w:space="0" w:color="auto"/>
            <w:right w:val="none" w:sz="0" w:space="0" w:color="auto"/>
          </w:divBdr>
          <w:divsChild>
            <w:div w:id="898318899">
              <w:marLeft w:val="0"/>
              <w:marRight w:val="0"/>
              <w:marTop w:val="0"/>
              <w:marBottom w:val="0"/>
              <w:divBdr>
                <w:top w:val="none" w:sz="0" w:space="0" w:color="auto"/>
                <w:left w:val="none" w:sz="0" w:space="0" w:color="auto"/>
                <w:bottom w:val="none" w:sz="0" w:space="0" w:color="auto"/>
                <w:right w:val="none" w:sz="0" w:space="0" w:color="auto"/>
              </w:divBdr>
              <w:divsChild>
                <w:div w:id="770971888">
                  <w:marLeft w:val="0"/>
                  <w:marRight w:val="1"/>
                  <w:marTop w:val="0"/>
                  <w:marBottom w:val="0"/>
                  <w:divBdr>
                    <w:top w:val="none" w:sz="0" w:space="0" w:color="auto"/>
                    <w:left w:val="none" w:sz="0" w:space="0" w:color="auto"/>
                    <w:bottom w:val="none" w:sz="0" w:space="0" w:color="auto"/>
                    <w:right w:val="none" w:sz="0" w:space="0" w:color="auto"/>
                  </w:divBdr>
                  <w:divsChild>
                    <w:div w:id="538208144">
                      <w:marLeft w:val="0"/>
                      <w:marRight w:val="0"/>
                      <w:marTop w:val="0"/>
                      <w:marBottom w:val="0"/>
                      <w:divBdr>
                        <w:top w:val="none" w:sz="0" w:space="0" w:color="auto"/>
                        <w:left w:val="none" w:sz="0" w:space="0" w:color="auto"/>
                        <w:bottom w:val="none" w:sz="0" w:space="0" w:color="auto"/>
                        <w:right w:val="none" w:sz="0" w:space="0" w:color="auto"/>
                      </w:divBdr>
                      <w:divsChild>
                        <w:div w:id="1895267895">
                          <w:marLeft w:val="0"/>
                          <w:marRight w:val="0"/>
                          <w:marTop w:val="0"/>
                          <w:marBottom w:val="0"/>
                          <w:divBdr>
                            <w:top w:val="none" w:sz="0" w:space="0" w:color="auto"/>
                            <w:left w:val="none" w:sz="0" w:space="0" w:color="auto"/>
                            <w:bottom w:val="none" w:sz="0" w:space="0" w:color="auto"/>
                            <w:right w:val="none" w:sz="0" w:space="0" w:color="auto"/>
                          </w:divBdr>
                          <w:divsChild>
                            <w:div w:id="603463271">
                              <w:marLeft w:val="0"/>
                              <w:marRight w:val="0"/>
                              <w:marTop w:val="120"/>
                              <w:marBottom w:val="360"/>
                              <w:divBdr>
                                <w:top w:val="none" w:sz="0" w:space="0" w:color="auto"/>
                                <w:left w:val="none" w:sz="0" w:space="0" w:color="auto"/>
                                <w:bottom w:val="none" w:sz="0" w:space="0" w:color="auto"/>
                                <w:right w:val="none" w:sz="0" w:space="0" w:color="auto"/>
                              </w:divBdr>
                              <w:divsChild>
                                <w:div w:id="851184197">
                                  <w:marLeft w:val="0"/>
                                  <w:marRight w:val="0"/>
                                  <w:marTop w:val="0"/>
                                  <w:marBottom w:val="0"/>
                                  <w:divBdr>
                                    <w:top w:val="none" w:sz="0" w:space="0" w:color="auto"/>
                                    <w:left w:val="none" w:sz="0" w:space="0" w:color="auto"/>
                                    <w:bottom w:val="none" w:sz="0" w:space="0" w:color="auto"/>
                                    <w:right w:val="none" w:sz="0" w:space="0" w:color="auto"/>
                                  </w:divBdr>
                                </w:div>
                                <w:div w:id="2597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03581">
      <w:bodyDiv w:val="1"/>
      <w:marLeft w:val="0"/>
      <w:marRight w:val="0"/>
      <w:marTop w:val="0"/>
      <w:marBottom w:val="0"/>
      <w:divBdr>
        <w:top w:val="none" w:sz="0" w:space="0" w:color="auto"/>
        <w:left w:val="none" w:sz="0" w:space="0" w:color="auto"/>
        <w:bottom w:val="none" w:sz="0" w:space="0" w:color="auto"/>
        <w:right w:val="none" w:sz="0" w:space="0" w:color="auto"/>
      </w:divBdr>
    </w:div>
    <w:div w:id="692993988">
      <w:bodyDiv w:val="1"/>
      <w:marLeft w:val="0"/>
      <w:marRight w:val="0"/>
      <w:marTop w:val="0"/>
      <w:marBottom w:val="0"/>
      <w:divBdr>
        <w:top w:val="none" w:sz="0" w:space="0" w:color="auto"/>
        <w:left w:val="none" w:sz="0" w:space="0" w:color="auto"/>
        <w:bottom w:val="none" w:sz="0" w:space="0" w:color="auto"/>
        <w:right w:val="none" w:sz="0" w:space="0" w:color="auto"/>
      </w:divBdr>
    </w:div>
    <w:div w:id="703287747">
      <w:bodyDiv w:val="1"/>
      <w:marLeft w:val="0"/>
      <w:marRight w:val="0"/>
      <w:marTop w:val="0"/>
      <w:marBottom w:val="0"/>
      <w:divBdr>
        <w:top w:val="none" w:sz="0" w:space="0" w:color="auto"/>
        <w:left w:val="none" w:sz="0" w:space="0" w:color="auto"/>
        <w:bottom w:val="none" w:sz="0" w:space="0" w:color="auto"/>
        <w:right w:val="none" w:sz="0" w:space="0" w:color="auto"/>
      </w:divBdr>
    </w:div>
    <w:div w:id="804809637">
      <w:bodyDiv w:val="1"/>
      <w:marLeft w:val="0"/>
      <w:marRight w:val="0"/>
      <w:marTop w:val="0"/>
      <w:marBottom w:val="0"/>
      <w:divBdr>
        <w:top w:val="none" w:sz="0" w:space="0" w:color="auto"/>
        <w:left w:val="none" w:sz="0" w:space="0" w:color="auto"/>
        <w:bottom w:val="none" w:sz="0" w:space="0" w:color="auto"/>
        <w:right w:val="none" w:sz="0" w:space="0" w:color="auto"/>
      </w:divBdr>
    </w:div>
    <w:div w:id="13636347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6700554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6951129">
      <w:bodyDiv w:val="1"/>
      <w:marLeft w:val="0"/>
      <w:marRight w:val="0"/>
      <w:marTop w:val="0"/>
      <w:marBottom w:val="0"/>
      <w:divBdr>
        <w:top w:val="none" w:sz="0" w:space="0" w:color="auto"/>
        <w:left w:val="none" w:sz="0" w:space="0" w:color="auto"/>
        <w:bottom w:val="none" w:sz="0" w:space="0" w:color="auto"/>
        <w:right w:val="none" w:sz="0" w:space="0" w:color="auto"/>
      </w:divBdr>
    </w:div>
    <w:div w:id="1867789875">
      <w:bodyDiv w:val="1"/>
      <w:marLeft w:val="0"/>
      <w:marRight w:val="0"/>
      <w:marTop w:val="0"/>
      <w:marBottom w:val="0"/>
      <w:divBdr>
        <w:top w:val="none" w:sz="0" w:space="0" w:color="auto"/>
        <w:left w:val="none" w:sz="0" w:space="0" w:color="auto"/>
        <w:bottom w:val="none" w:sz="0" w:space="0" w:color="auto"/>
        <w:right w:val="none" w:sz="0" w:space="0" w:color="auto"/>
      </w:divBdr>
    </w:div>
    <w:div w:id="20676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Radel@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acf.hhs.gov/cb/monitoring/child-family-services-reviews/roun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3026-4880-4509-9DDF-69EF4BCF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8</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Radel, Laura (HHS/ASPE)</cp:lastModifiedBy>
  <cp:revision>14</cp:revision>
  <cp:lastPrinted>2020-02-05T22:21:00Z</cp:lastPrinted>
  <dcterms:created xsi:type="dcterms:W3CDTF">2019-12-02T19:04:00Z</dcterms:created>
  <dcterms:modified xsi:type="dcterms:W3CDTF">2020-02-10T20:15:00Z</dcterms:modified>
</cp:coreProperties>
</file>