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89AE66" w14:textId="77777777" w:rsidR="003F1C7A" w:rsidRDefault="003F1C7A">
      <w:pPr>
        <w:pStyle w:val="Heading2"/>
        <w:tabs>
          <w:tab w:val="left" w:pos="900"/>
        </w:tabs>
        <w:ind w:right="-180"/>
        <w:rPr>
          <w:sz w:val="28"/>
        </w:rPr>
      </w:pPr>
      <w:bookmarkStart w:id="0" w:name="_GoBack"/>
      <w:bookmarkEnd w:id="0"/>
      <w:r>
        <w:rPr>
          <w:sz w:val="28"/>
        </w:rPr>
        <w:t>DOCUMENTATION FOR THE GENERIC CLEARANCE</w:t>
      </w:r>
    </w:p>
    <w:p w14:paraId="0EF46D21" w14:textId="77777777" w:rsidR="003F1C7A" w:rsidRDefault="0037375D">
      <w:pPr>
        <w:jc w:val="center"/>
      </w:pPr>
      <w:r>
        <w:rPr>
          <w:b/>
          <w:sz w:val="28"/>
        </w:rPr>
        <w:t>FOR THE COLLECTION OF QUALITATIVE RESEARCH &amp; ASSESSMENT</w:t>
      </w:r>
    </w:p>
    <w:p w14:paraId="520B3805" w14:textId="77777777" w:rsidR="003F1C7A" w:rsidRDefault="003F1C7A"/>
    <w:p w14:paraId="1370F807" w14:textId="77777777" w:rsidR="003F1C7A" w:rsidRDefault="00F04E7C">
      <w:r>
        <w:rPr>
          <w:noProof/>
        </w:rPr>
        <mc:AlternateContent>
          <mc:Choice Requires="wps">
            <w:drawing>
              <wp:anchor distT="0" distB="0" distL="114300" distR="114300" simplePos="0" relativeHeight="251657728" behindDoc="0" locked="0" layoutInCell="0" allowOverlap="1" wp14:anchorId="43A5B6A7" wp14:editId="475D107D">
                <wp:simplePos x="0" y="0"/>
                <wp:positionH relativeFrom="column">
                  <wp:posOffset>0</wp:posOffset>
                </wp:positionH>
                <wp:positionV relativeFrom="paragraph">
                  <wp:posOffset>0</wp:posOffset>
                </wp:positionV>
                <wp:extent cx="59436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F9D3F9A"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p>
    <w:p w14:paraId="6FE7E0B5" w14:textId="77777777" w:rsidR="003F1C7A" w:rsidRDefault="003F1C7A">
      <w:pPr>
        <w:spacing w:before="120"/>
      </w:pPr>
      <w:r>
        <w:rPr>
          <w:b/>
        </w:rPr>
        <w:t>TITLE OF INFORMATION COLLECTION:</w:t>
      </w:r>
      <w:r>
        <w:t xml:space="preserve">  </w:t>
      </w:r>
    </w:p>
    <w:p w14:paraId="2DA47A7D" w14:textId="77777777" w:rsidR="00D95F55" w:rsidRDefault="00D95F55">
      <w:pPr>
        <w:spacing w:before="120"/>
      </w:pPr>
    </w:p>
    <w:p w14:paraId="19FBD545" w14:textId="03B740FE" w:rsidR="00D95F55" w:rsidRPr="00D95F55" w:rsidRDefault="00F04C49" w:rsidP="00D95F55">
      <w:pPr>
        <w:rPr>
          <w:bCs/>
        </w:rPr>
      </w:pPr>
      <w:r>
        <w:t>Big Data or Not</w:t>
      </w:r>
      <w:r w:rsidR="003349A5">
        <w:t xml:space="preserve">: Determining the </w:t>
      </w:r>
      <w:r w:rsidR="004F169B">
        <w:t xml:space="preserve">Use </w:t>
      </w:r>
      <w:r w:rsidR="003349A5">
        <w:t xml:space="preserve">of Big Data </w:t>
      </w:r>
    </w:p>
    <w:p w14:paraId="6D3172F5" w14:textId="77777777" w:rsidR="003F1C7A" w:rsidRDefault="003F1C7A"/>
    <w:p w14:paraId="1D14185E" w14:textId="77777777" w:rsidR="0037375D" w:rsidRPr="0037375D" w:rsidRDefault="003F1C7A">
      <w:pPr>
        <w:pStyle w:val="BodyTextIndent"/>
        <w:tabs>
          <w:tab w:val="left" w:pos="360"/>
        </w:tabs>
        <w:ind w:left="0"/>
        <w:rPr>
          <w:b/>
          <w:bCs/>
          <w:sz w:val="24"/>
        </w:rPr>
      </w:pPr>
      <w:r w:rsidRPr="0037375D">
        <w:rPr>
          <w:b/>
          <w:bCs/>
          <w:sz w:val="24"/>
        </w:rPr>
        <w:t>[</w:t>
      </w:r>
      <w:r w:rsidR="00B913B9">
        <w:rPr>
          <w:b/>
          <w:bCs/>
          <w:sz w:val="24"/>
        </w:rPr>
        <w:t>X</w:t>
      </w:r>
      <w:r w:rsidRPr="0037375D">
        <w:rPr>
          <w:b/>
          <w:bCs/>
          <w:sz w:val="24"/>
        </w:rPr>
        <w:t xml:space="preserve">] </w:t>
      </w:r>
      <w:r w:rsidR="0037375D" w:rsidRPr="0037375D">
        <w:rPr>
          <w:b/>
          <w:bCs/>
          <w:sz w:val="24"/>
        </w:rPr>
        <w:t>INTERVIEWS</w:t>
      </w:r>
      <w:r w:rsidRPr="0037375D">
        <w:rPr>
          <w:b/>
          <w:bCs/>
          <w:sz w:val="24"/>
        </w:rPr>
        <w:t xml:space="preserve"> </w:t>
      </w:r>
      <w:r w:rsidRPr="0037375D">
        <w:rPr>
          <w:b/>
          <w:bCs/>
          <w:sz w:val="24"/>
        </w:rPr>
        <w:tab/>
        <w:t xml:space="preserve">  </w:t>
      </w:r>
    </w:p>
    <w:p w14:paraId="26F78F43" w14:textId="77777777" w:rsidR="0037375D" w:rsidRPr="0037375D" w:rsidRDefault="0037375D">
      <w:pPr>
        <w:pStyle w:val="BodyTextIndent"/>
        <w:tabs>
          <w:tab w:val="left" w:pos="360"/>
        </w:tabs>
        <w:ind w:left="0"/>
        <w:rPr>
          <w:b/>
          <w:bCs/>
          <w:sz w:val="24"/>
        </w:rPr>
      </w:pPr>
      <w:r w:rsidRPr="0037375D">
        <w:rPr>
          <w:b/>
          <w:bCs/>
          <w:sz w:val="24"/>
        </w:rPr>
        <w:t>[ ] SMALL DISCUSSION GROUPS</w:t>
      </w:r>
    </w:p>
    <w:p w14:paraId="023FD143" w14:textId="77777777" w:rsidR="003F1C7A" w:rsidRPr="0037375D" w:rsidRDefault="003F1C7A">
      <w:pPr>
        <w:pStyle w:val="BodyTextIndent"/>
        <w:tabs>
          <w:tab w:val="left" w:pos="360"/>
        </w:tabs>
        <w:ind w:left="0"/>
        <w:rPr>
          <w:b/>
          <w:bCs/>
          <w:sz w:val="24"/>
        </w:rPr>
      </w:pPr>
      <w:r w:rsidRPr="0037375D">
        <w:rPr>
          <w:b/>
          <w:bCs/>
          <w:sz w:val="24"/>
        </w:rPr>
        <w:t>[ ] FOCUS GROUP</w:t>
      </w:r>
      <w:r w:rsidR="0037375D" w:rsidRPr="0037375D">
        <w:rPr>
          <w:b/>
          <w:bCs/>
          <w:sz w:val="24"/>
        </w:rPr>
        <w:t>S</w:t>
      </w:r>
    </w:p>
    <w:p w14:paraId="654BBB99" w14:textId="77777777" w:rsidR="0037375D" w:rsidRPr="0037375D" w:rsidRDefault="0037375D">
      <w:pPr>
        <w:pStyle w:val="BodyTextIndent"/>
        <w:tabs>
          <w:tab w:val="left" w:pos="360"/>
        </w:tabs>
        <w:ind w:left="0"/>
        <w:rPr>
          <w:b/>
          <w:bCs/>
          <w:sz w:val="24"/>
        </w:rPr>
      </w:pPr>
      <w:r w:rsidRPr="0037375D">
        <w:rPr>
          <w:b/>
          <w:bCs/>
          <w:sz w:val="24"/>
        </w:rPr>
        <w:t>[</w:t>
      </w:r>
      <w:r w:rsidR="004F50F3">
        <w:rPr>
          <w:b/>
          <w:bCs/>
          <w:sz w:val="24"/>
        </w:rPr>
        <w:t xml:space="preserve"> </w:t>
      </w:r>
      <w:r w:rsidRPr="0037375D">
        <w:rPr>
          <w:b/>
          <w:bCs/>
          <w:sz w:val="24"/>
        </w:rPr>
        <w:t>] QUESTIONNAIRES</w:t>
      </w:r>
    </w:p>
    <w:p w14:paraId="2568C8A2" w14:textId="77777777" w:rsidR="0037375D" w:rsidRPr="0037375D" w:rsidRDefault="0037375D">
      <w:pPr>
        <w:pStyle w:val="BodyTextIndent"/>
        <w:tabs>
          <w:tab w:val="left" w:pos="360"/>
        </w:tabs>
        <w:ind w:left="0"/>
        <w:rPr>
          <w:b/>
          <w:bCs/>
          <w:sz w:val="24"/>
        </w:rPr>
      </w:pPr>
      <w:r w:rsidRPr="0037375D">
        <w:rPr>
          <w:b/>
          <w:bCs/>
          <w:sz w:val="24"/>
        </w:rPr>
        <w:t>[ ] OTHER (EXPLAIN: )</w:t>
      </w:r>
    </w:p>
    <w:p w14:paraId="3FE5B67C" w14:textId="77777777" w:rsidR="003F1C7A" w:rsidRDefault="003F1C7A">
      <w:pPr>
        <w:rPr>
          <w:b/>
        </w:rPr>
      </w:pPr>
    </w:p>
    <w:p w14:paraId="6A967F66" w14:textId="77777777" w:rsidR="003F1C7A" w:rsidRDefault="003F1C7A">
      <w:pPr>
        <w:spacing w:after="120"/>
      </w:pPr>
      <w:r>
        <w:rPr>
          <w:b/>
        </w:rPr>
        <w:t>DESCRIPTION OF THIS SPECIFIC COLLECTION</w:t>
      </w:r>
      <w:r>
        <w:t xml:space="preserve"> </w:t>
      </w:r>
    </w:p>
    <w:p w14:paraId="2AA2496B" w14:textId="77777777" w:rsidR="003F1C7A" w:rsidRDefault="0037375D" w:rsidP="0037375D">
      <w:pPr>
        <w:numPr>
          <w:ilvl w:val="0"/>
          <w:numId w:val="15"/>
        </w:numPr>
        <w:tabs>
          <w:tab w:val="num" w:pos="720"/>
        </w:tabs>
        <w:ind w:left="360"/>
      </w:pPr>
      <w:r>
        <w:rPr>
          <w:b/>
        </w:rPr>
        <w:t>Intended purpose</w:t>
      </w:r>
    </w:p>
    <w:p w14:paraId="2EE74DC9" w14:textId="77777777" w:rsidR="00515B88" w:rsidRDefault="00515B88" w:rsidP="00515B88"/>
    <w:p w14:paraId="7A9FEF88" w14:textId="534B40D7" w:rsidR="005F13F5" w:rsidRDefault="005F13F5" w:rsidP="00515B88">
      <w:r w:rsidRPr="001376EF">
        <w:t xml:space="preserve">The U.S. Department of Health and Human Services Office of the Assistant Secretary for Planning and Evaluation (HHS/ASPE) </w:t>
      </w:r>
      <w:r>
        <w:t xml:space="preserve">proposes to conduct interviews with subject matter experts in </w:t>
      </w:r>
      <w:r w:rsidR="00600B87">
        <w:t>big data</w:t>
      </w:r>
      <w:r w:rsidR="006029FD">
        <w:t xml:space="preserve"> (BD)</w:t>
      </w:r>
      <w:r>
        <w:t xml:space="preserve"> </w:t>
      </w:r>
      <w:r w:rsidR="007E5EF8">
        <w:t xml:space="preserve">for </w:t>
      </w:r>
      <w:r>
        <w:t xml:space="preserve">the potential </w:t>
      </w:r>
      <w:r w:rsidR="007E5EF8">
        <w:t xml:space="preserve">use </w:t>
      </w:r>
      <w:r>
        <w:t xml:space="preserve">of </w:t>
      </w:r>
      <w:r w:rsidR="00600B87">
        <w:t>data</w:t>
      </w:r>
      <w:r>
        <w:t xml:space="preserve"> </w:t>
      </w:r>
      <w:r w:rsidR="00600B87">
        <w:t>to answer questions related to HHS programs</w:t>
      </w:r>
      <w:r>
        <w:t>.</w:t>
      </w:r>
      <w:r w:rsidR="001432AE">
        <w:t xml:space="preserve"> </w:t>
      </w:r>
      <w:r w:rsidR="00AC2E30">
        <w:t xml:space="preserve">The subject matter experts will be from academic, government, </w:t>
      </w:r>
      <w:r w:rsidR="00AB1CA9">
        <w:t>a</w:t>
      </w:r>
      <w:r w:rsidR="00AC2E30">
        <w:t xml:space="preserve">nd industry organizations. </w:t>
      </w:r>
    </w:p>
    <w:p w14:paraId="64B53A9A" w14:textId="77777777" w:rsidR="00515B88" w:rsidRDefault="00515B88" w:rsidP="00515B88"/>
    <w:p w14:paraId="17960C13" w14:textId="77777777" w:rsidR="003F1C7A" w:rsidRDefault="003F1C7A" w:rsidP="0037375D">
      <w:pPr>
        <w:numPr>
          <w:ilvl w:val="0"/>
          <w:numId w:val="15"/>
        </w:numPr>
        <w:tabs>
          <w:tab w:val="num" w:pos="720"/>
        </w:tabs>
        <w:ind w:left="360"/>
      </w:pPr>
      <w:r>
        <w:rPr>
          <w:b/>
        </w:rPr>
        <w:t>N</w:t>
      </w:r>
      <w:r w:rsidR="0037375D">
        <w:rPr>
          <w:b/>
        </w:rPr>
        <w:t>eed for the collection</w:t>
      </w:r>
    </w:p>
    <w:p w14:paraId="7259FE7B" w14:textId="77777777" w:rsidR="00515B88" w:rsidRDefault="00515B88" w:rsidP="00515B88"/>
    <w:p w14:paraId="00AA2682" w14:textId="5913FE50" w:rsidR="001A1B20" w:rsidRDefault="00AB1CA9" w:rsidP="001A1B20">
      <w:r>
        <w:t xml:space="preserve">Frameworks for analyzing </w:t>
      </w:r>
      <w:r w:rsidR="00600B87">
        <w:t>big data</w:t>
      </w:r>
      <w:r w:rsidR="004D4B34" w:rsidRPr="004D4B34">
        <w:t xml:space="preserve"> </w:t>
      </w:r>
      <w:r w:rsidR="00157426">
        <w:t xml:space="preserve">(BD) </w:t>
      </w:r>
      <w:r w:rsidR="004D4B34" w:rsidRPr="004D4B34">
        <w:t>are still being developed and the overall scientific validity of such new approaches and data sources are not well underst</w:t>
      </w:r>
      <w:r w:rsidR="004D4B34" w:rsidRPr="005140CE">
        <w:t>ood. At present, information is scattered</w:t>
      </w:r>
      <w:r w:rsidR="00134482">
        <w:t xml:space="preserve"> and</w:t>
      </w:r>
      <w:r w:rsidR="00134482" w:rsidRPr="005140CE">
        <w:t xml:space="preserve"> </w:t>
      </w:r>
      <w:r w:rsidR="004D4B34" w:rsidRPr="005140CE">
        <w:t xml:space="preserve">anecdotal. </w:t>
      </w:r>
      <w:r w:rsidR="001A1B20">
        <w:t xml:space="preserve">There is a need for HHS to better understand the data and technologies that underlie BD and determine </w:t>
      </w:r>
      <w:r w:rsidR="001F0852">
        <w:t xml:space="preserve">whether and </w:t>
      </w:r>
      <w:r w:rsidR="001A1B20">
        <w:t xml:space="preserve">how they might be incorporated to improve evidence-based decision-making by the </w:t>
      </w:r>
      <w:r w:rsidR="001F0852">
        <w:t>D</w:t>
      </w:r>
      <w:r w:rsidR="001A1B20">
        <w:t xml:space="preserve">epartment. The information obtained by this project will help address </w:t>
      </w:r>
      <w:r w:rsidR="001F0852">
        <w:t>these questions</w:t>
      </w:r>
      <w:r w:rsidR="001A1B20">
        <w:t>.</w:t>
      </w:r>
    </w:p>
    <w:p w14:paraId="4F17444E" w14:textId="03E4C43F" w:rsidR="00157426" w:rsidRDefault="00157426" w:rsidP="00D95F55"/>
    <w:p w14:paraId="37F8CF06" w14:textId="7BFAE2C0" w:rsidR="00157426" w:rsidRPr="000F0846" w:rsidRDefault="00157426" w:rsidP="00157426">
      <w:r w:rsidRPr="000F0846">
        <w:t>For the purpose of this project we will use the current definition of the BD found in the NIST Big Data Working Group draft (see</w:t>
      </w:r>
      <w:r w:rsidR="00FC45C3">
        <w:t xml:space="preserve"> </w:t>
      </w:r>
      <w:r w:rsidRPr="000F0846">
        <w:t>https://bigdatawg.nist.gov/_upload</w:t>
      </w:r>
      <w:r w:rsidR="00FC45C3">
        <w:t>files/M0613_v1_3911475184.docx</w:t>
      </w:r>
      <w:r w:rsidRPr="000F0846">
        <w:t xml:space="preserve">). </w:t>
      </w:r>
    </w:p>
    <w:p w14:paraId="00787003" w14:textId="73CF18F7" w:rsidR="0081342B" w:rsidRPr="0081342B" w:rsidRDefault="0081342B" w:rsidP="0081342B">
      <w:pPr>
        <w:spacing w:after="120"/>
        <w:rPr>
          <w:rFonts w:eastAsia="Calibri"/>
          <w:sz w:val="22"/>
          <w:szCs w:val="22"/>
        </w:rPr>
      </w:pPr>
      <w:r w:rsidRPr="0081342B">
        <w:rPr>
          <w:rFonts w:eastAsia="Calibri"/>
          <w:sz w:val="22"/>
          <w:szCs w:val="22"/>
        </w:rPr>
        <w:t xml:space="preserve">Big Data refers to the inability of traditional data architectures to efficiently handle new </w:t>
      </w:r>
      <w:r w:rsidR="00B41611">
        <w:rPr>
          <w:rFonts w:eastAsia="Calibri"/>
          <w:sz w:val="22"/>
          <w:szCs w:val="22"/>
        </w:rPr>
        <w:t>types of data that is generated by modern information system</w:t>
      </w:r>
      <w:r w:rsidR="00554F89">
        <w:rPr>
          <w:rFonts w:eastAsia="Calibri"/>
          <w:sz w:val="22"/>
          <w:szCs w:val="22"/>
        </w:rPr>
        <w:t>s. Examples of this data</w:t>
      </w:r>
      <w:r w:rsidR="00B41611">
        <w:rPr>
          <w:rFonts w:eastAsia="Calibri"/>
          <w:sz w:val="22"/>
          <w:szCs w:val="22"/>
        </w:rPr>
        <w:t xml:space="preserve"> </w:t>
      </w:r>
      <w:r w:rsidR="006821AC">
        <w:rPr>
          <w:rFonts w:eastAsia="Calibri"/>
          <w:sz w:val="22"/>
          <w:szCs w:val="22"/>
        </w:rPr>
        <w:t xml:space="preserve">include </w:t>
      </w:r>
      <w:r w:rsidR="00B41611">
        <w:rPr>
          <w:rFonts w:eastAsia="Calibri"/>
          <w:sz w:val="22"/>
          <w:szCs w:val="22"/>
        </w:rPr>
        <w:t xml:space="preserve">personalized activity data captured through motion sensors, and syndromic surveillance data that might be captured through </w:t>
      </w:r>
      <w:r w:rsidR="00077AE8">
        <w:rPr>
          <w:rFonts w:eastAsia="Calibri"/>
          <w:sz w:val="22"/>
          <w:szCs w:val="22"/>
        </w:rPr>
        <w:t xml:space="preserve">analyzing </w:t>
      </w:r>
      <w:r w:rsidR="00B41611">
        <w:rPr>
          <w:rFonts w:eastAsia="Calibri"/>
          <w:sz w:val="22"/>
          <w:szCs w:val="22"/>
        </w:rPr>
        <w:t xml:space="preserve">web queries and </w:t>
      </w:r>
      <w:r w:rsidR="00077AE8">
        <w:rPr>
          <w:rFonts w:eastAsia="Calibri"/>
          <w:sz w:val="22"/>
          <w:szCs w:val="22"/>
        </w:rPr>
        <w:t xml:space="preserve">monitoring </w:t>
      </w:r>
      <w:r w:rsidR="00B41611">
        <w:rPr>
          <w:rFonts w:eastAsia="Calibri"/>
          <w:sz w:val="22"/>
          <w:szCs w:val="22"/>
        </w:rPr>
        <w:t>over</w:t>
      </w:r>
      <w:r w:rsidR="00FE41C2">
        <w:rPr>
          <w:rFonts w:eastAsia="Calibri"/>
          <w:sz w:val="22"/>
          <w:szCs w:val="22"/>
        </w:rPr>
        <w:t>-</w:t>
      </w:r>
      <w:r w:rsidR="00B41611">
        <w:rPr>
          <w:rFonts w:eastAsia="Calibri"/>
          <w:sz w:val="22"/>
          <w:szCs w:val="22"/>
        </w:rPr>
        <w:t>the</w:t>
      </w:r>
      <w:r w:rsidR="00FE41C2">
        <w:rPr>
          <w:rFonts w:eastAsia="Calibri"/>
          <w:sz w:val="22"/>
          <w:szCs w:val="22"/>
        </w:rPr>
        <w:t>-</w:t>
      </w:r>
      <w:r w:rsidR="00B41611">
        <w:rPr>
          <w:rFonts w:eastAsia="Calibri"/>
          <w:sz w:val="22"/>
          <w:szCs w:val="22"/>
        </w:rPr>
        <w:t>counter</w:t>
      </w:r>
      <w:r w:rsidR="00FE41C2">
        <w:rPr>
          <w:rFonts w:eastAsia="Calibri"/>
          <w:sz w:val="22"/>
          <w:szCs w:val="22"/>
        </w:rPr>
        <w:t xml:space="preserve"> (OTC)</w:t>
      </w:r>
      <w:r w:rsidR="00B41611">
        <w:rPr>
          <w:rFonts w:eastAsia="Calibri"/>
          <w:sz w:val="22"/>
          <w:szCs w:val="22"/>
        </w:rPr>
        <w:t xml:space="preserve"> medication purchases.</w:t>
      </w:r>
      <w:r w:rsidRPr="0081342B">
        <w:rPr>
          <w:rFonts w:eastAsia="Calibri"/>
          <w:sz w:val="22"/>
          <w:szCs w:val="22"/>
        </w:rPr>
        <w:t xml:space="preserve"> Characteristics of Big Data that force new architectures are as follows: </w:t>
      </w:r>
      <w:bookmarkStart w:id="1" w:name="volume"/>
    </w:p>
    <w:p w14:paraId="276DD897" w14:textId="77777777" w:rsidR="0081342B" w:rsidRPr="0081342B" w:rsidRDefault="0081342B" w:rsidP="0081342B">
      <w:pPr>
        <w:ind w:left="720" w:hanging="360"/>
        <w:contextualSpacing/>
        <w:rPr>
          <w:rFonts w:eastAsia="Calibri"/>
          <w:sz w:val="22"/>
          <w:szCs w:val="22"/>
        </w:rPr>
      </w:pPr>
      <w:r w:rsidRPr="0081342B">
        <w:rPr>
          <w:rFonts w:eastAsia="Calibri"/>
          <w:b/>
          <w:i/>
          <w:sz w:val="22"/>
          <w:szCs w:val="22"/>
        </w:rPr>
        <w:t>Volume</w:t>
      </w:r>
      <w:bookmarkEnd w:id="1"/>
      <w:r w:rsidRPr="0081342B">
        <w:rPr>
          <w:rFonts w:eastAsia="Calibri"/>
          <w:sz w:val="22"/>
          <w:szCs w:val="22"/>
        </w:rPr>
        <w:t xml:space="preserve"> (i.e., the size of the dataset); </w:t>
      </w:r>
      <w:bookmarkStart w:id="2" w:name="variety"/>
    </w:p>
    <w:p w14:paraId="3C1AE6DC" w14:textId="77777777" w:rsidR="0081342B" w:rsidRPr="0081342B" w:rsidRDefault="0081342B" w:rsidP="0081342B">
      <w:pPr>
        <w:ind w:left="720" w:hanging="360"/>
        <w:contextualSpacing/>
        <w:rPr>
          <w:rFonts w:eastAsia="Calibri"/>
          <w:sz w:val="22"/>
          <w:szCs w:val="22"/>
        </w:rPr>
      </w:pPr>
      <w:r w:rsidRPr="0081342B">
        <w:rPr>
          <w:rFonts w:eastAsia="Calibri"/>
          <w:b/>
          <w:i/>
          <w:sz w:val="22"/>
          <w:szCs w:val="22"/>
        </w:rPr>
        <w:t>Variety</w:t>
      </w:r>
      <w:bookmarkEnd w:id="2"/>
      <w:r w:rsidRPr="0081342B">
        <w:rPr>
          <w:rFonts w:eastAsia="Calibri"/>
          <w:sz w:val="22"/>
          <w:szCs w:val="22"/>
        </w:rPr>
        <w:t xml:space="preserve"> (i.e., data from multiple repositories, domains, or types); </w:t>
      </w:r>
      <w:bookmarkStart w:id="3" w:name="velocity"/>
    </w:p>
    <w:p w14:paraId="6F174845" w14:textId="77777777" w:rsidR="0081342B" w:rsidRPr="0081342B" w:rsidRDefault="0081342B" w:rsidP="0081342B">
      <w:pPr>
        <w:ind w:left="720" w:hanging="360"/>
        <w:contextualSpacing/>
        <w:rPr>
          <w:rFonts w:eastAsia="Calibri"/>
          <w:sz w:val="22"/>
          <w:szCs w:val="22"/>
        </w:rPr>
      </w:pPr>
      <w:r w:rsidRPr="0081342B">
        <w:rPr>
          <w:rFonts w:eastAsia="Calibri"/>
          <w:b/>
          <w:i/>
          <w:sz w:val="22"/>
          <w:szCs w:val="22"/>
        </w:rPr>
        <w:t>Velocity</w:t>
      </w:r>
      <w:bookmarkEnd w:id="3"/>
      <w:r w:rsidRPr="0081342B">
        <w:rPr>
          <w:rFonts w:eastAsia="Calibri"/>
          <w:sz w:val="22"/>
          <w:szCs w:val="22"/>
        </w:rPr>
        <w:t xml:space="preserve"> (i.e., rate of flow); and </w:t>
      </w:r>
      <w:bookmarkStart w:id="4" w:name="variability"/>
    </w:p>
    <w:p w14:paraId="6B3C6604" w14:textId="77777777" w:rsidR="0081342B" w:rsidRPr="0081342B" w:rsidRDefault="0081342B" w:rsidP="0081342B">
      <w:pPr>
        <w:ind w:left="720" w:hanging="360"/>
        <w:contextualSpacing/>
        <w:rPr>
          <w:rFonts w:eastAsia="Calibri"/>
          <w:sz w:val="22"/>
          <w:szCs w:val="22"/>
        </w:rPr>
      </w:pPr>
      <w:r w:rsidRPr="0081342B">
        <w:rPr>
          <w:rFonts w:eastAsia="Calibri"/>
          <w:b/>
          <w:i/>
          <w:sz w:val="22"/>
          <w:szCs w:val="22"/>
        </w:rPr>
        <w:t>Variability</w:t>
      </w:r>
      <w:bookmarkEnd w:id="4"/>
      <w:r w:rsidRPr="0081342B">
        <w:rPr>
          <w:rFonts w:eastAsia="Calibri"/>
          <w:sz w:val="22"/>
          <w:szCs w:val="22"/>
        </w:rPr>
        <w:t xml:space="preserve"> (i.e., the change in velocity or structure). </w:t>
      </w:r>
    </w:p>
    <w:p w14:paraId="0722977A" w14:textId="77777777" w:rsidR="0081342B" w:rsidRPr="0081342B" w:rsidRDefault="0081342B" w:rsidP="0081342B">
      <w:pPr>
        <w:ind w:left="720" w:hanging="360"/>
        <w:contextualSpacing/>
        <w:rPr>
          <w:rFonts w:eastAsia="Calibri"/>
          <w:sz w:val="22"/>
          <w:szCs w:val="22"/>
        </w:rPr>
      </w:pPr>
    </w:p>
    <w:p w14:paraId="170FBF39" w14:textId="4EF69347" w:rsidR="00D64ADC" w:rsidRDefault="00157426" w:rsidP="001A1B20">
      <w:r w:rsidRPr="000F0846">
        <w:t>The above definition serve</w:t>
      </w:r>
      <w:r w:rsidR="00FC45C3">
        <w:t>s</w:t>
      </w:r>
      <w:r w:rsidRPr="000F0846">
        <w:t xml:space="preserve"> </w:t>
      </w:r>
      <w:r w:rsidR="001A1B20" w:rsidRPr="000F0846">
        <w:t>to</w:t>
      </w:r>
      <w:r w:rsidR="001A1B20">
        <w:t xml:space="preserve"> </w:t>
      </w:r>
      <w:r w:rsidR="001A1B20" w:rsidRPr="000F0846">
        <w:t>differentiate</w:t>
      </w:r>
      <w:r w:rsidRPr="000F0846">
        <w:t xml:space="preserve"> </w:t>
      </w:r>
      <w:r w:rsidR="001A1B20">
        <w:t xml:space="preserve">BD technologies from many </w:t>
      </w:r>
      <w:r w:rsidRPr="000F0846">
        <w:t xml:space="preserve">traditional data </w:t>
      </w:r>
      <w:r w:rsidR="001A1B20">
        <w:t>resources found at HHS. For example</w:t>
      </w:r>
      <w:r w:rsidR="006029FD">
        <w:t>,</w:t>
      </w:r>
      <w:r w:rsidR="001A1B20">
        <w:t xml:space="preserve"> HHS survey data does not meet this definition. </w:t>
      </w:r>
      <w:r w:rsidR="00291381">
        <w:t>S</w:t>
      </w:r>
      <w:r w:rsidR="001A1B20">
        <w:t xml:space="preserve">urveys </w:t>
      </w:r>
      <w:r w:rsidR="005453E1">
        <w:lastRenderedPageBreak/>
        <w:t xml:space="preserve">may </w:t>
      </w:r>
      <w:r w:rsidR="00AA46FF">
        <w:t>seem</w:t>
      </w:r>
      <w:r w:rsidR="005453E1">
        <w:t xml:space="preserve"> large, but they are generally not</w:t>
      </w:r>
      <w:r w:rsidR="001A1B20">
        <w:t xml:space="preserve"> large by current BD standards</w:t>
      </w:r>
      <w:r w:rsidR="005453E1">
        <w:t>, wh</w:t>
      </w:r>
      <w:r w:rsidR="00885611">
        <w:t>ich refer to datasets that are vastly</w:t>
      </w:r>
      <w:r w:rsidR="005453E1">
        <w:t xml:space="preserve"> more complex.  O</w:t>
      </w:r>
      <w:r w:rsidR="001A1B20">
        <w:t>nce collected and interpreted</w:t>
      </w:r>
      <w:r w:rsidR="005453E1">
        <w:t xml:space="preserve">, even a data set as large as the </w:t>
      </w:r>
      <w:r w:rsidR="00D64ADC">
        <w:t xml:space="preserve">Decennial </w:t>
      </w:r>
      <w:r w:rsidR="005453E1">
        <w:t>Census</w:t>
      </w:r>
      <w:r w:rsidR="00D64ADC">
        <w:t xml:space="preserve"> of Population</w:t>
      </w:r>
      <w:r w:rsidR="005453E1">
        <w:t xml:space="preserve"> does not change in</w:t>
      </w:r>
      <w:r w:rsidR="001A1B20">
        <w:t xml:space="preserve"> con</w:t>
      </w:r>
      <w:r w:rsidR="00291381">
        <w:t xml:space="preserve">tent </w:t>
      </w:r>
      <w:r w:rsidR="005453E1">
        <w:t xml:space="preserve">or </w:t>
      </w:r>
      <w:r w:rsidR="00291381">
        <w:t xml:space="preserve">format </w:t>
      </w:r>
      <w:r w:rsidR="006029FD">
        <w:t xml:space="preserve">(i.e. </w:t>
      </w:r>
      <w:r w:rsidR="005453E1">
        <w:t>it</w:t>
      </w:r>
      <w:r w:rsidR="006029FD">
        <w:t xml:space="preserve"> lack</w:t>
      </w:r>
      <w:r w:rsidR="005453E1">
        <w:t>s</w:t>
      </w:r>
      <w:r w:rsidR="001A1B20">
        <w:t xml:space="preserve"> velocity</w:t>
      </w:r>
      <w:r w:rsidR="005453E1">
        <w:t>,</w:t>
      </w:r>
      <w:r w:rsidR="001A1B20">
        <w:t xml:space="preserve"> variety</w:t>
      </w:r>
      <w:r w:rsidR="005453E1">
        <w:t>, and variability</w:t>
      </w:r>
      <w:r w:rsidR="001A1B20">
        <w:t xml:space="preserve">). </w:t>
      </w:r>
      <w:r w:rsidR="00D64ADC">
        <w:t xml:space="preserve">It is fixed and </w:t>
      </w:r>
      <w:r w:rsidR="00885611">
        <w:t>static</w:t>
      </w:r>
      <w:r w:rsidR="00D64ADC">
        <w:t xml:space="preserve"> until the next Census ten years later.  </w:t>
      </w:r>
    </w:p>
    <w:p w14:paraId="57D4DD6C" w14:textId="77777777" w:rsidR="00D64ADC" w:rsidRDefault="00D64ADC" w:rsidP="001A1B20"/>
    <w:p w14:paraId="232163F5" w14:textId="70B039EC" w:rsidR="00CD0E64" w:rsidRDefault="001A1B20" w:rsidP="001A1B20">
      <w:r>
        <w:t xml:space="preserve">In contrast the literature databases maintained by the National Library of Medicine are perhaps  </w:t>
      </w:r>
      <w:r w:rsidR="00D64ADC">
        <w:t xml:space="preserve">HHS’s </w:t>
      </w:r>
      <w:r>
        <w:t>best example</w:t>
      </w:r>
      <w:r w:rsidR="00D64ADC">
        <w:t>s</w:t>
      </w:r>
      <w:r>
        <w:t xml:space="preserve"> of BD as these data resources </w:t>
      </w:r>
      <w:r w:rsidR="00C011A4">
        <w:t>are continuously updated</w:t>
      </w:r>
      <w:r w:rsidR="00D64ADC">
        <w:t xml:space="preserve"> (velocity)</w:t>
      </w:r>
      <w:r w:rsidR="00C011A4">
        <w:t xml:space="preserve"> </w:t>
      </w:r>
      <w:r w:rsidR="00CD0E64">
        <w:t xml:space="preserve">with </w:t>
      </w:r>
      <w:r w:rsidR="0059229E">
        <w:t xml:space="preserve">over </w:t>
      </w:r>
      <w:hyperlink r:id="rId9" w:history="1">
        <w:r w:rsidR="0059229E" w:rsidRPr="0059229E">
          <w:rPr>
            <w:rStyle w:val="Hyperlink"/>
          </w:rPr>
          <w:t>1 million publications per</w:t>
        </w:r>
      </w:hyperlink>
      <w:r w:rsidR="0059229E">
        <w:t xml:space="preserve"> year</w:t>
      </w:r>
      <w:r w:rsidR="00D87B3C">
        <w:rPr>
          <w:rStyle w:val="FootnoteReference"/>
        </w:rPr>
        <w:footnoteReference w:id="1"/>
      </w:r>
      <w:r w:rsidR="00D64ADC">
        <w:t xml:space="preserve"> (volume) </w:t>
      </w:r>
      <w:r w:rsidR="00CD0E64">
        <w:t>that represent new experimental findings</w:t>
      </w:r>
      <w:r w:rsidR="00D64ADC">
        <w:t xml:space="preserve"> across a multitude of fields that publish on different schedules (variability) from a large number of sources (variety)</w:t>
      </w:r>
      <w:r w:rsidR="00C011A4">
        <w:t>.</w:t>
      </w:r>
      <w:r>
        <w:t xml:space="preserve"> </w:t>
      </w:r>
    </w:p>
    <w:p w14:paraId="5FE81A5F" w14:textId="77777777" w:rsidR="00D64ADC" w:rsidRDefault="00D64ADC" w:rsidP="001A1B20"/>
    <w:p w14:paraId="664899E2" w14:textId="572C475E" w:rsidR="00D64ADC" w:rsidRDefault="00D64ADC" w:rsidP="001A1B20">
      <w:r>
        <w:t>Another</w:t>
      </w:r>
      <w:r w:rsidR="0059229E">
        <w:t xml:space="preserve"> BD</w:t>
      </w:r>
      <w:r>
        <w:t xml:space="preserve"> example is the Medicare Claims Database.  This is an administrative database used to carry out our insurance obligations.  It </w:t>
      </w:r>
      <w:r w:rsidR="0059229E">
        <w:t>is estimated to grow at between 1.5 and 2 billion claim records per year</w:t>
      </w:r>
      <w:r w:rsidR="00AA46FF">
        <w:t xml:space="preserve"> (volume),</w:t>
      </w:r>
      <w:r w:rsidR="00EF1D63">
        <w:rPr>
          <w:rStyle w:val="FootnoteReference"/>
        </w:rPr>
        <w:footnoteReference w:id="2"/>
      </w:r>
      <w:r w:rsidR="00AA46FF">
        <w:t xml:space="preserve"> updated continuously each day (velocity), with changes at random intervals with thousands of different possible diagnosis and procedure codes (variability), from thousands of different providers and specialties (variety).</w:t>
      </w:r>
    </w:p>
    <w:p w14:paraId="273E4360" w14:textId="77777777" w:rsidR="007027EC" w:rsidRDefault="007027EC" w:rsidP="001A1B20"/>
    <w:p w14:paraId="4120CF04" w14:textId="7F36CF7C" w:rsidR="000428C4" w:rsidRDefault="001F0852">
      <w:r>
        <w:t xml:space="preserve">This project is a first step in understanding </w:t>
      </w:r>
      <w:r w:rsidR="00CD0E64">
        <w:t>the utility of BD sources maintained by outside entities</w:t>
      </w:r>
      <w:r>
        <w:t>, including commercial sources</w:t>
      </w:r>
      <w:r w:rsidR="00790511">
        <w:t>.</w:t>
      </w:r>
      <w:r w:rsidR="00790511" w:rsidRPr="00790511">
        <w:t xml:space="preserve"> </w:t>
      </w:r>
      <w:r w:rsidR="008A5950">
        <w:t>Different BD</w:t>
      </w:r>
      <w:r w:rsidR="00790511" w:rsidRPr="00C26B69">
        <w:t xml:space="preserve"> sources </w:t>
      </w:r>
      <w:r w:rsidR="00790511">
        <w:t xml:space="preserve">can provide novel information for </w:t>
      </w:r>
      <w:r w:rsidR="0059229E">
        <w:t>evidence development</w:t>
      </w:r>
      <w:r w:rsidR="00790511">
        <w:t xml:space="preserve"> and </w:t>
      </w:r>
      <w:r w:rsidR="00790511" w:rsidRPr="00C26B69">
        <w:t xml:space="preserve">may have advantages </w:t>
      </w:r>
      <w:r w:rsidR="000428C4">
        <w:t>over</w:t>
      </w:r>
      <w:r w:rsidR="00790511" w:rsidRPr="00C26B69">
        <w:t xml:space="preserve"> </w:t>
      </w:r>
      <w:r w:rsidR="0059229E">
        <w:t>data generated by HHS due</w:t>
      </w:r>
      <w:r w:rsidR="00790511" w:rsidRPr="00C26B69">
        <w:t xml:space="preserve"> to the speed of data collection, the potential for geographic granularity, and </w:t>
      </w:r>
      <w:r w:rsidR="0059229E">
        <w:t>relative</w:t>
      </w:r>
      <w:r w:rsidR="000428C4">
        <w:t xml:space="preserve"> lack of</w:t>
      </w:r>
      <w:r w:rsidR="00790511" w:rsidRPr="00C26B69">
        <w:t xml:space="preserve"> measurement error. </w:t>
      </w:r>
      <w:r w:rsidR="00CD78D3">
        <w:t xml:space="preserve">For example </w:t>
      </w:r>
      <w:r w:rsidR="00CD78D3" w:rsidRPr="00CD78D3">
        <w:t>the Centers for Disease Control and Prevention’s</w:t>
      </w:r>
      <w:r w:rsidR="00CD78D3">
        <w:t xml:space="preserve"> </w:t>
      </w:r>
      <w:r w:rsidR="00CD78D3" w:rsidRPr="00CD78D3">
        <w:t>National Syndr</w:t>
      </w:r>
      <w:r w:rsidR="00CD78D3">
        <w:t>omic Surveillance Program</w:t>
      </w:r>
      <w:r w:rsidR="00CD78D3" w:rsidRPr="00CD78D3">
        <w:rPr>
          <w:rFonts w:eastAsiaTheme="minorHAnsi"/>
          <w:sz w:val="22"/>
          <w:szCs w:val="22"/>
        </w:rPr>
        <w:t xml:space="preserve"> </w:t>
      </w:r>
      <w:r w:rsidR="00CD78D3" w:rsidRPr="00CD78D3">
        <w:t>integrates electronic health information from emergency departments, urgent care, ambulatory care, inpatient care, pharmacy data, and lab data, with standardized analytic tools to support detection of and rapid response to hazardous events and disease outbreaks</w:t>
      </w:r>
      <w:r w:rsidR="004D759A">
        <w:t>.</w:t>
      </w:r>
      <w:r w:rsidR="00CD78D3">
        <w:rPr>
          <w:rStyle w:val="FootnoteReference"/>
        </w:rPr>
        <w:footnoteReference w:id="3"/>
      </w:r>
    </w:p>
    <w:p w14:paraId="3CD2EF2A" w14:textId="77777777" w:rsidR="000428C4" w:rsidRDefault="000428C4" w:rsidP="001A1B20"/>
    <w:p w14:paraId="6BC3D454" w14:textId="1218A934" w:rsidR="00E844D9" w:rsidRDefault="008A5950" w:rsidP="001A1B20">
      <w:r>
        <w:t>However, BD</w:t>
      </w:r>
      <w:r w:rsidR="00790511" w:rsidRPr="00C26B69">
        <w:t xml:space="preserve"> sources mu</w:t>
      </w:r>
      <w:r>
        <w:t xml:space="preserve">st be evaluated carefully to assure </w:t>
      </w:r>
      <w:r w:rsidR="00790511" w:rsidRPr="00C26B69">
        <w:t xml:space="preserve">the data </w:t>
      </w:r>
      <w:r>
        <w:t>are of adequate quality</w:t>
      </w:r>
      <w:r w:rsidR="00790511" w:rsidRPr="00C26B69">
        <w:t xml:space="preserve">. The strengths and weaknesses of different </w:t>
      </w:r>
      <w:r w:rsidR="004222E4">
        <w:t xml:space="preserve">sources and </w:t>
      </w:r>
      <w:r w:rsidR="00790511" w:rsidRPr="00C26B69">
        <w:t>kinds of data should inform how they are applied</w:t>
      </w:r>
      <w:r w:rsidR="00A710AE" w:rsidRPr="00A710AE">
        <w:t xml:space="preserve">. </w:t>
      </w:r>
      <w:r w:rsidR="00790511" w:rsidRPr="00C26B69">
        <w:t>The speed of data collection for some BD sources make</w:t>
      </w:r>
      <w:r w:rsidR="00790511">
        <w:t>s</w:t>
      </w:r>
      <w:r w:rsidR="00790511" w:rsidRPr="00C26B69">
        <w:t xml:space="preserve"> the data promising for real-time surveillance and monitoring and for generating hypotheses </w:t>
      </w:r>
      <w:r w:rsidR="00130B2B">
        <w:t xml:space="preserve">to be investigated </w:t>
      </w:r>
      <w:r w:rsidR="0056760C">
        <w:t xml:space="preserve">using </w:t>
      </w:r>
      <w:r w:rsidR="00790511" w:rsidRPr="00C26B69">
        <w:t>higher</w:t>
      </w:r>
      <w:r w:rsidR="00790511">
        <w:t>-</w:t>
      </w:r>
      <w:r w:rsidR="00790511" w:rsidRPr="00C26B69">
        <w:t>quality data sources</w:t>
      </w:r>
      <w:r w:rsidR="0059229E">
        <w:t xml:space="preserve">. </w:t>
      </w:r>
      <w:r w:rsidR="00D46AA6">
        <w:t xml:space="preserve">For example, </w:t>
      </w:r>
      <w:r w:rsidR="003A099D">
        <w:t xml:space="preserve">the </w:t>
      </w:r>
      <w:r w:rsidR="00D46AA6" w:rsidRPr="00D46AA6">
        <w:t>FDA’s Sentine</w:t>
      </w:r>
      <w:r w:rsidR="00D46AA6">
        <w:t xml:space="preserve">l Initiative </w:t>
      </w:r>
      <w:r w:rsidR="00D46AA6" w:rsidRPr="00D46AA6">
        <w:t>combines electronic health records, insurance claims data, and registries for adverse event monitoring to ensure safety of drugs and other regulated medical products.</w:t>
      </w:r>
      <w:r w:rsidR="00D46AA6">
        <w:rPr>
          <w:rStyle w:val="FootnoteReference"/>
        </w:rPr>
        <w:footnoteReference w:id="4"/>
      </w:r>
      <w:r w:rsidR="00D46AA6" w:rsidRPr="00D46AA6">
        <w:t xml:space="preserve"> A distributed data infrastructure allows for rapid analysis across the database of more than 19</w:t>
      </w:r>
      <w:r w:rsidR="00D46AA6">
        <w:t>3 million patients</w:t>
      </w:r>
      <w:r w:rsidR="00D46AA6" w:rsidRPr="00D46AA6">
        <w:t>.</w:t>
      </w:r>
      <w:r w:rsidR="00D46AA6">
        <w:rPr>
          <w:rStyle w:val="FootnoteReference"/>
        </w:rPr>
        <w:footnoteReference w:id="5"/>
      </w:r>
      <w:r w:rsidR="00D46AA6" w:rsidRPr="00D46AA6">
        <w:t xml:space="preserve"> The use of the Common Data Model helps ensure standardization and maintain data quality. Methods are refined to get more precise estimates when an issue is detected, a process called “signal refinement.”</w:t>
      </w:r>
      <w:r w:rsidR="00D46AA6">
        <w:t xml:space="preserve"> </w:t>
      </w:r>
      <w:r w:rsidR="0059229E">
        <w:t>However</w:t>
      </w:r>
      <w:r w:rsidR="00E220E4">
        <w:t>,</w:t>
      </w:r>
      <w:r w:rsidR="00D71351">
        <w:t xml:space="preserve"> the same BD source may be less </w:t>
      </w:r>
      <w:r w:rsidR="0056760C">
        <w:t>well-</w:t>
      </w:r>
      <w:r w:rsidR="00D71351">
        <w:t>suited to other applications</w:t>
      </w:r>
      <w:r w:rsidR="0056760C">
        <w:t>.</w:t>
      </w:r>
      <w:r w:rsidR="00D71351">
        <w:t xml:space="preserve"> </w:t>
      </w:r>
      <w:r w:rsidR="0056760C">
        <w:t>For</w:t>
      </w:r>
      <w:r w:rsidR="00D71351">
        <w:t xml:space="preserve"> example</w:t>
      </w:r>
      <w:r w:rsidR="0056760C">
        <w:t>,</w:t>
      </w:r>
      <w:r w:rsidR="00D71351">
        <w:t xml:space="preserve"> </w:t>
      </w:r>
      <w:r w:rsidR="00130B2B">
        <w:t>if</w:t>
      </w:r>
      <w:r w:rsidR="00D71351">
        <w:t xml:space="preserve"> </w:t>
      </w:r>
      <w:r w:rsidR="0056760C">
        <w:t xml:space="preserve">the data is </w:t>
      </w:r>
      <w:r w:rsidR="00D71351">
        <w:t>not representative of vulnerable populations</w:t>
      </w:r>
      <w:r w:rsidR="00130B2B">
        <w:t xml:space="preserve">, decisions based on that data may have </w:t>
      </w:r>
      <w:r w:rsidR="004B6EC9">
        <w:t xml:space="preserve">unintentional </w:t>
      </w:r>
      <w:r w:rsidR="00130B2B">
        <w:t>discriminatory impacts</w:t>
      </w:r>
      <w:r w:rsidR="00790511" w:rsidRPr="00C26B69">
        <w:t>.</w:t>
      </w:r>
      <w:r w:rsidR="009B3263">
        <w:t xml:space="preserve"> </w:t>
      </w:r>
      <w:r w:rsidR="001F0852">
        <w:t>H</w:t>
      </w:r>
      <w:r w:rsidR="009B3263">
        <w:t>ealth service researche</w:t>
      </w:r>
      <w:r w:rsidR="00E220E4">
        <w:t>r</w:t>
      </w:r>
      <w:r w:rsidR="009B3263">
        <w:t xml:space="preserve">s throughout HHS </w:t>
      </w:r>
      <w:r w:rsidR="001F0852">
        <w:t xml:space="preserve">should </w:t>
      </w:r>
      <w:r w:rsidR="009B3263">
        <w:t>underst</w:t>
      </w:r>
      <w:r w:rsidR="007C561F">
        <w:t xml:space="preserve">and when and </w:t>
      </w:r>
      <w:r w:rsidR="007C561F">
        <w:lastRenderedPageBreak/>
        <w:t>how to best employ</w:t>
      </w:r>
      <w:r w:rsidR="009B3263">
        <w:t xml:space="preserve"> BD </w:t>
      </w:r>
      <w:r w:rsidR="00E220E4">
        <w:t>analytic tools</w:t>
      </w:r>
      <w:r w:rsidR="004B6EC9">
        <w:t xml:space="preserve"> so that they may use the most appropriate data sources and analytic tools available to them in testing their hypotheses</w:t>
      </w:r>
      <w:r w:rsidR="001F0852">
        <w:t>.</w:t>
      </w:r>
    </w:p>
    <w:p w14:paraId="19C9EFF1" w14:textId="77777777" w:rsidR="00E844D9" w:rsidRDefault="00E844D9" w:rsidP="001A1B20"/>
    <w:p w14:paraId="206CF734" w14:textId="571FF460" w:rsidR="00157426" w:rsidRDefault="007027EC" w:rsidP="001A1B20">
      <w:r>
        <w:t xml:space="preserve">The information collection proposed in this project will provide </w:t>
      </w:r>
      <w:r w:rsidR="006029FD">
        <w:t>an overview</w:t>
      </w:r>
      <w:r>
        <w:t xml:space="preserve"> of the current state of the art of BD</w:t>
      </w:r>
      <w:r w:rsidR="004B6EC9">
        <w:t>.</w:t>
      </w:r>
    </w:p>
    <w:p w14:paraId="0F5459D0" w14:textId="77777777" w:rsidR="00157426" w:rsidRDefault="00157426" w:rsidP="00157426"/>
    <w:p w14:paraId="3060D92F" w14:textId="77777777" w:rsidR="003F1C7A" w:rsidRDefault="0037375D" w:rsidP="0037375D">
      <w:pPr>
        <w:numPr>
          <w:ilvl w:val="0"/>
          <w:numId w:val="15"/>
        </w:numPr>
        <w:tabs>
          <w:tab w:val="num" w:pos="720"/>
        </w:tabs>
        <w:ind w:left="360"/>
      </w:pPr>
      <w:r>
        <w:rPr>
          <w:b/>
        </w:rPr>
        <w:t>Planned use of the data</w:t>
      </w:r>
    </w:p>
    <w:p w14:paraId="0E78B01A" w14:textId="77777777" w:rsidR="0037375D" w:rsidRDefault="0037375D" w:rsidP="0037375D"/>
    <w:p w14:paraId="4708889F" w14:textId="0B6BCECB" w:rsidR="0031588B" w:rsidRDefault="0031588B" w:rsidP="0037375D">
      <w:r>
        <w:t xml:space="preserve">The </w:t>
      </w:r>
      <w:r w:rsidR="004F169B">
        <w:t xml:space="preserve">information collected from this study </w:t>
      </w:r>
      <w:r>
        <w:t xml:space="preserve">will be used </w:t>
      </w:r>
      <w:r w:rsidR="00502930">
        <w:t>for identifying</w:t>
      </w:r>
      <w:r>
        <w:t xml:space="preserve"> </w:t>
      </w:r>
      <w:r w:rsidR="00502930">
        <w:t xml:space="preserve">opportunities, challenges, and key issues </w:t>
      </w:r>
      <w:r w:rsidR="00D87B3C">
        <w:t>in</w:t>
      </w:r>
      <w:r w:rsidR="00502930">
        <w:t xml:space="preserve"> using BD </w:t>
      </w:r>
      <w:r w:rsidR="004F169B">
        <w:t>at HHS</w:t>
      </w:r>
      <w:r w:rsidR="00502930">
        <w:t>.</w:t>
      </w:r>
    </w:p>
    <w:p w14:paraId="2D6E17ED" w14:textId="77777777" w:rsidR="0020425A" w:rsidRDefault="0020425A" w:rsidP="0037375D"/>
    <w:p w14:paraId="7398A29B" w14:textId="77777777" w:rsidR="003F1C7A" w:rsidRPr="0037375D" w:rsidRDefault="0037375D" w:rsidP="0037375D">
      <w:pPr>
        <w:numPr>
          <w:ilvl w:val="0"/>
          <w:numId w:val="15"/>
        </w:numPr>
        <w:tabs>
          <w:tab w:val="num" w:pos="720"/>
        </w:tabs>
        <w:ind w:left="360"/>
      </w:pPr>
      <w:r>
        <w:rPr>
          <w:b/>
        </w:rPr>
        <w:t>Date(s) and location(s)</w:t>
      </w:r>
      <w:r w:rsidR="003F1C7A" w:rsidRPr="00E26798">
        <w:rPr>
          <w:b/>
        </w:rPr>
        <w:t xml:space="preserve"> </w:t>
      </w:r>
    </w:p>
    <w:p w14:paraId="41A30766" w14:textId="77777777" w:rsidR="00515B88" w:rsidRDefault="00515B88" w:rsidP="0037375D"/>
    <w:p w14:paraId="265FADE5" w14:textId="37E4A815" w:rsidR="00F3510C" w:rsidRDefault="00F3510C" w:rsidP="0037375D">
      <w:r>
        <w:t xml:space="preserve">Data collection will begin in </w:t>
      </w:r>
      <w:r w:rsidR="004F169B">
        <w:t xml:space="preserve">March </w:t>
      </w:r>
      <w:r>
        <w:t>2018 and continue through May 2018.</w:t>
      </w:r>
    </w:p>
    <w:p w14:paraId="3F9EFBDD" w14:textId="77777777" w:rsidR="00D95F55" w:rsidRDefault="00D95F55" w:rsidP="0037375D"/>
    <w:p w14:paraId="513126AD" w14:textId="77777777" w:rsidR="00E26798" w:rsidRDefault="003F1C7A" w:rsidP="0037375D">
      <w:pPr>
        <w:numPr>
          <w:ilvl w:val="0"/>
          <w:numId w:val="15"/>
        </w:numPr>
        <w:tabs>
          <w:tab w:val="num" w:pos="720"/>
        </w:tabs>
        <w:ind w:left="360"/>
      </w:pPr>
      <w:r w:rsidRPr="00E26798">
        <w:rPr>
          <w:b/>
        </w:rPr>
        <w:t>Collection procedures</w:t>
      </w:r>
      <w:r w:rsidR="0037375D">
        <w:t xml:space="preserve"> </w:t>
      </w:r>
    </w:p>
    <w:p w14:paraId="65A58912" w14:textId="77777777" w:rsidR="005F13F5" w:rsidRDefault="001330D7" w:rsidP="0037375D">
      <w:pPr>
        <w:rPr>
          <w:rFonts w:cs="Calibri"/>
        </w:rPr>
      </w:pPr>
      <w:r>
        <w:rPr>
          <w:rFonts w:cs="Calibri"/>
        </w:rPr>
        <w:t xml:space="preserve"> </w:t>
      </w:r>
      <w:r w:rsidR="00320DBA">
        <w:rPr>
          <w:rFonts w:cs="Calibri"/>
        </w:rPr>
        <w:t xml:space="preserve"> </w:t>
      </w:r>
    </w:p>
    <w:p w14:paraId="1A8869A8" w14:textId="4D4555BE" w:rsidR="00B0212C" w:rsidRPr="005F13F5" w:rsidRDefault="005F13F5" w:rsidP="0037375D">
      <w:r w:rsidRPr="005F13F5">
        <w:rPr>
          <w:bCs/>
        </w:rPr>
        <w:t>The project w</w:t>
      </w:r>
      <w:r w:rsidR="00AB1CA9">
        <w:rPr>
          <w:bCs/>
        </w:rPr>
        <w:t>ill</w:t>
      </w:r>
      <w:r w:rsidRPr="005F13F5">
        <w:rPr>
          <w:bCs/>
        </w:rPr>
        <w:t xml:space="preserve"> consist of 21 to 25 semi-structured interviews with </w:t>
      </w:r>
      <w:r w:rsidR="004F169B">
        <w:rPr>
          <w:bCs/>
        </w:rPr>
        <w:t>BD</w:t>
      </w:r>
      <w:r w:rsidRPr="005F13F5">
        <w:rPr>
          <w:bCs/>
        </w:rPr>
        <w:t xml:space="preserve"> subject matter experts</w:t>
      </w:r>
      <w:r w:rsidR="004F169B">
        <w:rPr>
          <w:bCs/>
        </w:rPr>
        <w:t xml:space="preserve"> (SMEs)</w:t>
      </w:r>
      <w:r w:rsidRPr="005F13F5">
        <w:rPr>
          <w:bCs/>
        </w:rPr>
        <w:t xml:space="preserve">, either over the phone or in-person, for </w:t>
      </w:r>
      <w:r w:rsidR="004F169B">
        <w:rPr>
          <w:bCs/>
        </w:rPr>
        <w:t>approximately</w:t>
      </w:r>
      <w:r w:rsidRPr="005F13F5">
        <w:rPr>
          <w:bCs/>
        </w:rPr>
        <w:t xml:space="preserve"> 60 minutes</w:t>
      </w:r>
      <w:r w:rsidR="00033D86">
        <w:rPr>
          <w:bCs/>
        </w:rPr>
        <w:t xml:space="preserve"> each</w:t>
      </w:r>
      <w:r w:rsidRPr="005F13F5">
        <w:rPr>
          <w:bCs/>
        </w:rPr>
        <w:t xml:space="preserve">. </w:t>
      </w:r>
      <w:r w:rsidR="004F169B">
        <w:t>T</w:t>
      </w:r>
      <w:r w:rsidR="00157426">
        <w:t xml:space="preserve">he </w:t>
      </w:r>
      <w:r w:rsidR="00134482">
        <w:t>contractor</w:t>
      </w:r>
      <w:r w:rsidR="00134482" w:rsidRPr="005F13F5">
        <w:t xml:space="preserve"> </w:t>
      </w:r>
      <w:r w:rsidRPr="005F13F5">
        <w:t xml:space="preserve">will contact those selected to schedule their interviews by first emailing them an invitation, followed by a second email to answer any questions they may have and to determine their willingness to be interviewed. After SMEs have </w:t>
      </w:r>
      <w:r w:rsidR="00AB1CA9">
        <w:t>agreed</w:t>
      </w:r>
      <w:r w:rsidRPr="005F13F5">
        <w:t xml:space="preserve"> to participate in the study, then the interviews will be conducted, recording respondents’ answers </w:t>
      </w:r>
      <w:r w:rsidR="00D86519">
        <w:t xml:space="preserve">in writing </w:t>
      </w:r>
      <w:r w:rsidRPr="005F13F5">
        <w:t xml:space="preserve">and </w:t>
      </w:r>
      <w:r w:rsidR="00033D86">
        <w:t>audio recording</w:t>
      </w:r>
      <w:r w:rsidR="00033D86" w:rsidRPr="005F13F5">
        <w:t xml:space="preserve"> </w:t>
      </w:r>
      <w:r w:rsidRPr="005F13F5">
        <w:t xml:space="preserve">the sessions. Audio </w:t>
      </w:r>
      <w:r w:rsidR="00033D86">
        <w:t>recordings</w:t>
      </w:r>
      <w:r w:rsidR="00033D86" w:rsidRPr="005F13F5">
        <w:t xml:space="preserve"> </w:t>
      </w:r>
      <w:r w:rsidRPr="005F13F5">
        <w:t xml:space="preserve">of the interviews will be reviewed to update the </w:t>
      </w:r>
      <w:r w:rsidR="00D86519">
        <w:t>written information</w:t>
      </w:r>
      <w:r w:rsidRPr="005F13F5">
        <w:t xml:space="preserve"> so that we have a complete record of feedback from each interview.</w:t>
      </w:r>
    </w:p>
    <w:p w14:paraId="7E4A1E01" w14:textId="77777777" w:rsidR="00BA26BF" w:rsidRPr="00BA26BF" w:rsidRDefault="00BA26BF" w:rsidP="0037375D">
      <w:pPr>
        <w:rPr>
          <w:rFonts w:cs="Calibri"/>
        </w:rPr>
      </w:pPr>
    </w:p>
    <w:p w14:paraId="7C6E139B" w14:textId="77777777" w:rsidR="003F1C7A" w:rsidRPr="0037375D" w:rsidRDefault="003F1C7A" w:rsidP="0037375D">
      <w:pPr>
        <w:numPr>
          <w:ilvl w:val="0"/>
          <w:numId w:val="15"/>
        </w:numPr>
        <w:tabs>
          <w:tab w:val="num" w:pos="720"/>
        </w:tabs>
        <w:ind w:left="360"/>
      </w:pPr>
      <w:r w:rsidRPr="00E26798">
        <w:rPr>
          <w:b/>
        </w:rPr>
        <w:t xml:space="preserve">Number of </w:t>
      </w:r>
      <w:r w:rsidR="0037375D">
        <w:rPr>
          <w:b/>
        </w:rPr>
        <w:t xml:space="preserve">collections (e.g., </w:t>
      </w:r>
      <w:r w:rsidRPr="00E26798">
        <w:rPr>
          <w:b/>
        </w:rPr>
        <w:t>focus groups, surveys, sessions</w:t>
      </w:r>
      <w:r w:rsidR="0037375D">
        <w:rPr>
          <w:b/>
        </w:rPr>
        <w:t>)</w:t>
      </w:r>
      <w:r w:rsidRPr="00E26798">
        <w:rPr>
          <w:b/>
        </w:rPr>
        <w:t xml:space="preserve"> </w:t>
      </w:r>
    </w:p>
    <w:p w14:paraId="25F31C45" w14:textId="77777777" w:rsidR="0037375D" w:rsidRDefault="0037375D" w:rsidP="0037375D"/>
    <w:p w14:paraId="7A903963" w14:textId="77777777" w:rsidR="005F13F5" w:rsidRDefault="005F13F5" w:rsidP="0037375D">
      <w:r>
        <w:t>There will be a maximum of 25 subject matter experts interviewed.</w:t>
      </w:r>
    </w:p>
    <w:p w14:paraId="09F67F42" w14:textId="77777777" w:rsidR="00D95F55" w:rsidRDefault="00D95F55" w:rsidP="0037375D"/>
    <w:p w14:paraId="507CB6DB" w14:textId="77777777" w:rsidR="00E26798" w:rsidRDefault="003F1C7A" w:rsidP="0037375D">
      <w:pPr>
        <w:numPr>
          <w:ilvl w:val="0"/>
          <w:numId w:val="15"/>
        </w:numPr>
        <w:tabs>
          <w:tab w:val="num" w:pos="720"/>
        </w:tabs>
        <w:ind w:left="360"/>
        <w:rPr>
          <w:b/>
        </w:rPr>
      </w:pPr>
      <w:r w:rsidRPr="00E26798">
        <w:rPr>
          <w:b/>
        </w:rPr>
        <w:t>Descript</w:t>
      </w:r>
      <w:r w:rsidR="0037375D">
        <w:rPr>
          <w:b/>
        </w:rPr>
        <w:t>ion of respondents/participants</w:t>
      </w:r>
    </w:p>
    <w:p w14:paraId="5B7FCC05" w14:textId="77777777" w:rsidR="00AA071E" w:rsidRDefault="00AA071E" w:rsidP="00EB6C38">
      <w:pPr>
        <w:pStyle w:val="ColorfulList-Accent11"/>
        <w:ind w:left="0"/>
        <w:rPr>
          <w:b/>
        </w:rPr>
      </w:pPr>
    </w:p>
    <w:p w14:paraId="50C2BB33" w14:textId="2EF77918" w:rsidR="00A009F4" w:rsidRPr="00A009F4" w:rsidRDefault="00A009F4" w:rsidP="00EB6C38">
      <w:pPr>
        <w:pStyle w:val="ColorfulList-Accent11"/>
        <w:ind w:left="0"/>
      </w:pPr>
      <w:r>
        <w:t xml:space="preserve">Interviewees will be individuals with extensive knowledge </w:t>
      </w:r>
      <w:r w:rsidR="006563BC">
        <w:t>of</w:t>
      </w:r>
      <w:r>
        <w:t xml:space="preserve"> </w:t>
      </w:r>
      <w:r w:rsidR="00600B87">
        <w:t>big data</w:t>
      </w:r>
      <w:r w:rsidR="00F25B6B">
        <w:t xml:space="preserve"> used in their field of work.</w:t>
      </w:r>
    </w:p>
    <w:p w14:paraId="59947622" w14:textId="77777777" w:rsidR="00EB6C38" w:rsidRDefault="00EB6C38" w:rsidP="00EB6C38">
      <w:pPr>
        <w:pStyle w:val="ColorfulList-Accent11"/>
        <w:ind w:left="0"/>
        <w:rPr>
          <w:b/>
        </w:rPr>
      </w:pPr>
    </w:p>
    <w:p w14:paraId="2F84D1B1" w14:textId="77777777" w:rsidR="00AA071E" w:rsidRDefault="00AA071E" w:rsidP="0037375D">
      <w:pPr>
        <w:numPr>
          <w:ilvl w:val="0"/>
          <w:numId w:val="15"/>
        </w:numPr>
        <w:tabs>
          <w:tab w:val="num" w:pos="720"/>
        </w:tabs>
        <w:ind w:left="360"/>
        <w:rPr>
          <w:b/>
        </w:rPr>
      </w:pPr>
      <w:r>
        <w:rPr>
          <w:b/>
        </w:rPr>
        <w:t xml:space="preserve">Description of how results will be used </w:t>
      </w:r>
    </w:p>
    <w:p w14:paraId="156D36E4" w14:textId="77777777" w:rsidR="00AA071E" w:rsidRDefault="00AA071E" w:rsidP="00AA071E">
      <w:pPr>
        <w:rPr>
          <w:b/>
        </w:rPr>
      </w:pPr>
    </w:p>
    <w:p w14:paraId="19DF762A" w14:textId="55795DAA" w:rsidR="00A8508A" w:rsidRDefault="00A8508A" w:rsidP="00A8508A">
      <w:r>
        <w:t xml:space="preserve">The results will be used to </w:t>
      </w:r>
      <w:r w:rsidR="00134482">
        <w:t>understand</w:t>
      </w:r>
      <w:r>
        <w:t xml:space="preserve"> the technical, workflow, and business issues to consider </w:t>
      </w:r>
      <w:r w:rsidR="004F169B">
        <w:t>in</w:t>
      </w:r>
      <w:r>
        <w:t xml:space="preserve"> </w:t>
      </w:r>
      <w:r w:rsidR="00134482">
        <w:t xml:space="preserve">the </w:t>
      </w:r>
      <w:r>
        <w:t xml:space="preserve">use of </w:t>
      </w:r>
      <w:r w:rsidR="004F169B">
        <w:t>BD</w:t>
      </w:r>
      <w:r>
        <w:t xml:space="preserve"> </w:t>
      </w:r>
      <w:r w:rsidR="004F169B">
        <w:t>at HHS</w:t>
      </w:r>
      <w:r>
        <w:t>.</w:t>
      </w:r>
      <w:r w:rsidR="00033D86">
        <w:t xml:space="preserve"> </w:t>
      </w:r>
    </w:p>
    <w:p w14:paraId="2CC4D89D" w14:textId="77777777" w:rsidR="00D74E92" w:rsidRDefault="00D74E92" w:rsidP="00AA071E">
      <w:pPr>
        <w:rPr>
          <w:b/>
        </w:rPr>
      </w:pPr>
    </w:p>
    <w:p w14:paraId="16B6D116" w14:textId="77777777" w:rsidR="00AA071E" w:rsidRPr="00A43652" w:rsidRDefault="00AA071E" w:rsidP="0037375D">
      <w:pPr>
        <w:numPr>
          <w:ilvl w:val="0"/>
          <w:numId w:val="15"/>
        </w:numPr>
        <w:tabs>
          <w:tab w:val="num" w:pos="720"/>
        </w:tabs>
        <w:ind w:left="360"/>
        <w:rPr>
          <w:b/>
        </w:rPr>
      </w:pPr>
      <w:r w:rsidRPr="00A43652">
        <w:rPr>
          <w:b/>
        </w:rPr>
        <w:t>Description of how results will or will not be disseminated and why or why not</w:t>
      </w:r>
    </w:p>
    <w:p w14:paraId="7E7FE87E" w14:textId="77777777" w:rsidR="00B913B9" w:rsidRDefault="00B913B9" w:rsidP="00B913B9">
      <w:pPr>
        <w:pStyle w:val="ColorfulList-Accent11"/>
        <w:ind w:left="0"/>
        <w:rPr>
          <w:b/>
        </w:rPr>
      </w:pPr>
    </w:p>
    <w:p w14:paraId="0C073020" w14:textId="229E2BAA" w:rsidR="00A8508A" w:rsidRPr="00687880" w:rsidRDefault="00687880" w:rsidP="00B913B9">
      <w:pPr>
        <w:pStyle w:val="ColorfulList-Accent11"/>
        <w:ind w:left="0"/>
      </w:pPr>
      <w:r>
        <w:t xml:space="preserve">Results from this project will be summarized in a final report by the contractor. </w:t>
      </w:r>
      <w:r w:rsidR="000A54B5">
        <w:t xml:space="preserve"> </w:t>
      </w:r>
      <w:r w:rsidR="00922F44">
        <w:t xml:space="preserve">The report </w:t>
      </w:r>
      <w:r w:rsidR="002219DD">
        <w:t>will be posted on ASPE’s website</w:t>
      </w:r>
      <w:r w:rsidR="00922F44">
        <w:t xml:space="preserve">. </w:t>
      </w:r>
      <w:r w:rsidR="000A54B5">
        <w:t xml:space="preserve">Respondents will receive a summary of the interview for their review.  </w:t>
      </w:r>
    </w:p>
    <w:p w14:paraId="0ACDE2F7" w14:textId="77777777" w:rsidR="003F1C7A" w:rsidRDefault="003F1C7A" w:rsidP="00E26798">
      <w:pPr>
        <w:spacing w:before="120" w:after="120"/>
        <w:rPr>
          <w:b/>
        </w:rPr>
      </w:pPr>
      <w:r w:rsidRPr="00E26798">
        <w:rPr>
          <w:b/>
        </w:rPr>
        <w:t>AMOUNT OF ANY PROPOSED STIPEND OR INCENTIVE</w:t>
      </w:r>
    </w:p>
    <w:p w14:paraId="1788DF12" w14:textId="0E9C6C8D" w:rsidR="00EB6C38" w:rsidRPr="00EB6C38" w:rsidRDefault="00926135" w:rsidP="00E26798">
      <w:pPr>
        <w:spacing w:before="120" w:after="120"/>
      </w:pPr>
      <w:r>
        <w:t>There is no</w:t>
      </w:r>
      <w:r w:rsidR="00D95F55">
        <w:t xml:space="preserve"> stipend</w:t>
      </w:r>
      <w:r w:rsidR="004F50F3">
        <w:t xml:space="preserve"> or incentive</w:t>
      </w:r>
      <w:r>
        <w:t xml:space="preserve"> for participation</w:t>
      </w:r>
      <w:r w:rsidR="004F50F3">
        <w:t>.</w:t>
      </w:r>
    </w:p>
    <w:p w14:paraId="78E277FF" w14:textId="77777777" w:rsidR="003F1C7A" w:rsidRDefault="003F1C7A"/>
    <w:p w14:paraId="23227643" w14:textId="77777777" w:rsidR="003F1C7A" w:rsidRDefault="003F1C7A">
      <w:pPr>
        <w:rPr>
          <w:i/>
        </w:rPr>
      </w:pPr>
      <w:r w:rsidRPr="00A43652">
        <w:rPr>
          <w:b/>
        </w:rPr>
        <w:t>BURDEN HOUR COMPUTATION</w:t>
      </w:r>
      <w:r>
        <w:t xml:space="preserve"> </w:t>
      </w:r>
      <w:r>
        <w:rPr>
          <w:i/>
        </w:rPr>
        <w:t>(Number of responses (X) estimated response or participation time in minutes (/60) = annual burden hours):</w:t>
      </w:r>
    </w:p>
    <w:p w14:paraId="7C1FAF4B" w14:textId="77777777" w:rsidR="00670388" w:rsidRDefault="00670388">
      <w:pPr>
        <w:rPr>
          <w:i/>
        </w:rPr>
      </w:pPr>
    </w:p>
    <w:tbl>
      <w:tblPr>
        <w:tblW w:w="963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4A0" w:firstRow="1" w:lastRow="0" w:firstColumn="1" w:lastColumn="0" w:noHBand="0" w:noVBand="1"/>
      </w:tblPr>
      <w:tblGrid>
        <w:gridCol w:w="1620"/>
        <w:gridCol w:w="1620"/>
        <w:gridCol w:w="1620"/>
        <w:gridCol w:w="1260"/>
        <w:gridCol w:w="1080"/>
        <w:gridCol w:w="990"/>
        <w:gridCol w:w="1440"/>
      </w:tblGrid>
      <w:tr w:rsidR="00670388" w:rsidRPr="00670388" w14:paraId="65D1AD59" w14:textId="77777777" w:rsidTr="003A1389">
        <w:trPr>
          <w:trHeight w:val="1493"/>
        </w:trPr>
        <w:tc>
          <w:tcPr>
            <w:tcW w:w="1620" w:type="dxa"/>
            <w:tcBorders>
              <w:top w:val="single" w:sz="4" w:space="0" w:color="000000"/>
              <w:left w:val="single" w:sz="4" w:space="0" w:color="000000"/>
              <w:bottom w:val="single" w:sz="12" w:space="0" w:color="000000"/>
              <w:right w:val="single" w:sz="4" w:space="0" w:color="000000"/>
            </w:tcBorders>
            <w:shd w:val="clear" w:color="auto" w:fill="FFFFFF" w:themeFill="background1"/>
            <w:vAlign w:val="center"/>
            <w:hideMark/>
          </w:tcPr>
          <w:p w14:paraId="6694D0F9" w14:textId="77777777" w:rsidR="00670388" w:rsidRPr="00670388" w:rsidRDefault="00670388" w:rsidP="00670388">
            <w:pPr>
              <w:spacing w:line="276" w:lineRule="auto"/>
              <w:ind w:left="72"/>
              <w:rPr>
                <w:rFonts w:ascii="Cambria" w:hAnsi="Cambria"/>
                <w:sz w:val="22"/>
                <w:szCs w:val="22"/>
              </w:rPr>
            </w:pPr>
            <w:r w:rsidRPr="00670388">
              <w:rPr>
                <w:rFonts w:ascii="Cambria" w:hAnsi="Cambria"/>
                <w:sz w:val="22"/>
                <w:szCs w:val="22"/>
              </w:rPr>
              <w:t>Type of Respondent</w:t>
            </w:r>
          </w:p>
        </w:tc>
        <w:tc>
          <w:tcPr>
            <w:tcW w:w="1620" w:type="dxa"/>
            <w:tcBorders>
              <w:top w:val="single" w:sz="4" w:space="0" w:color="000000"/>
              <w:left w:val="single" w:sz="4" w:space="0" w:color="000000"/>
              <w:bottom w:val="single" w:sz="12" w:space="0" w:color="000000"/>
              <w:right w:val="single" w:sz="4" w:space="0" w:color="000000"/>
            </w:tcBorders>
            <w:shd w:val="clear" w:color="auto" w:fill="FFFFFF" w:themeFill="background1"/>
            <w:vAlign w:val="center"/>
            <w:hideMark/>
          </w:tcPr>
          <w:p w14:paraId="7621BCB1" w14:textId="77777777" w:rsidR="00670388" w:rsidRPr="00670388" w:rsidRDefault="00670388" w:rsidP="00670388">
            <w:pPr>
              <w:spacing w:line="276" w:lineRule="auto"/>
              <w:ind w:left="72"/>
              <w:rPr>
                <w:rFonts w:ascii="Cambria" w:hAnsi="Cambria"/>
                <w:sz w:val="22"/>
                <w:szCs w:val="22"/>
              </w:rPr>
            </w:pPr>
            <w:r w:rsidRPr="00670388">
              <w:rPr>
                <w:rFonts w:ascii="Cambria" w:hAnsi="Cambria"/>
                <w:sz w:val="22"/>
                <w:szCs w:val="22"/>
              </w:rPr>
              <w:t>No. of Respondents</w:t>
            </w:r>
          </w:p>
        </w:tc>
        <w:tc>
          <w:tcPr>
            <w:tcW w:w="1620" w:type="dxa"/>
            <w:tcBorders>
              <w:top w:val="single" w:sz="4" w:space="0" w:color="000000"/>
              <w:left w:val="single" w:sz="4" w:space="0" w:color="000000"/>
              <w:bottom w:val="single" w:sz="12" w:space="0" w:color="000000"/>
              <w:right w:val="single" w:sz="4" w:space="0" w:color="000000"/>
            </w:tcBorders>
            <w:shd w:val="clear" w:color="auto" w:fill="FFFFFF" w:themeFill="background1"/>
            <w:vAlign w:val="center"/>
            <w:hideMark/>
          </w:tcPr>
          <w:p w14:paraId="0750C326" w14:textId="77777777" w:rsidR="00670388" w:rsidRPr="00670388" w:rsidRDefault="00670388" w:rsidP="00670388">
            <w:pPr>
              <w:spacing w:line="276" w:lineRule="auto"/>
              <w:ind w:left="72"/>
              <w:rPr>
                <w:rFonts w:ascii="Cambria" w:hAnsi="Cambria"/>
                <w:sz w:val="22"/>
                <w:szCs w:val="22"/>
              </w:rPr>
            </w:pPr>
            <w:r w:rsidRPr="00670388">
              <w:rPr>
                <w:rFonts w:ascii="Cambria" w:hAnsi="Cambria"/>
                <w:sz w:val="22"/>
                <w:szCs w:val="22"/>
              </w:rPr>
              <w:t>No. of Responses per Respondent</w:t>
            </w:r>
          </w:p>
        </w:tc>
        <w:tc>
          <w:tcPr>
            <w:tcW w:w="1260" w:type="dxa"/>
            <w:tcBorders>
              <w:top w:val="single" w:sz="4" w:space="0" w:color="000000"/>
              <w:left w:val="single" w:sz="4" w:space="0" w:color="000000"/>
              <w:bottom w:val="single" w:sz="12" w:space="0" w:color="000000"/>
              <w:right w:val="single" w:sz="4" w:space="0" w:color="000000"/>
            </w:tcBorders>
            <w:shd w:val="clear" w:color="auto" w:fill="FFFFFF" w:themeFill="background1"/>
            <w:vAlign w:val="center"/>
            <w:hideMark/>
          </w:tcPr>
          <w:p w14:paraId="405B2B32" w14:textId="77777777" w:rsidR="00670388" w:rsidRPr="00670388" w:rsidRDefault="00670388" w:rsidP="00670388">
            <w:pPr>
              <w:spacing w:line="276" w:lineRule="auto"/>
              <w:ind w:left="72"/>
              <w:rPr>
                <w:rFonts w:ascii="Cambria" w:hAnsi="Cambria"/>
                <w:sz w:val="22"/>
                <w:szCs w:val="22"/>
              </w:rPr>
            </w:pPr>
            <w:r w:rsidRPr="00670388">
              <w:rPr>
                <w:rFonts w:ascii="Cambria" w:hAnsi="Cambria"/>
                <w:sz w:val="22"/>
                <w:szCs w:val="22"/>
              </w:rPr>
              <w:t>Average Burden per Response (in hours)</w:t>
            </w:r>
          </w:p>
        </w:tc>
        <w:tc>
          <w:tcPr>
            <w:tcW w:w="1080" w:type="dxa"/>
            <w:tcBorders>
              <w:top w:val="single" w:sz="4" w:space="0" w:color="000000"/>
              <w:left w:val="single" w:sz="4" w:space="0" w:color="000000"/>
              <w:bottom w:val="single" w:sz="12" w:space="0" w:color="000000"/>
              <w:right w:val="single" w:sz="4" w:space="0" w:color="000000"/>
            </w:tcBorders>
            <w:shd w:val="clear" w:color="auto" w:fill="FFFFFF" w:themeFill="background1"/>
            <w:vAlign w:val="center"/>
            <w:hideMark/>
          </w:tcPr>
          <w:p w14:paraId="04950551" w14:textId="77777777" w:rsidR="00670388" w:rsidRPr="00670388" w:rsidRDefault="00670388" w:rsidP="00670388">
            <w:pPr>
              <w:spacing w:line="276" w:lineRule="auto"/>
              <w:ind w:left="72"/>
              <w:rPr>
                <w:rFonts w:ascii="Cambria" w:hAnsi="Cambria"/>
                <w:sz w:val="22"/>
                <w:szCs w:val="22"/>
              </w:rPr>
            </w:pPr>
            <w:r w:rsidRPr="00670388">
              <w:rPr>
                <w:rFonts w:ascii="Cambria" w:hAnsi="Cambria"/>
                <w:sz w:val="22"/>
                <w:szCs w:val="22"/>
              </w:rPr>
              <w:t>Total Burden Hours</w:t>
            </w:r>
          </w:p>
        </w:tc>
        <w:tc>
          <w:tcPr>
            <w:tcW w:w="990" w:type="dxa"/>
            <w:tcBorders>
              <w:top w:val="single" w:sz="4" w:space="0" w:color="000000"/>
              <w:left w:val="single" w:sz="4" w:space="0" w:color="000000"/>
              <w:bottom w:val="single" w:sz="12" w:space="0" w:color="000000"/>
              <w:right w:val="single" w:sz="4" w:space="0" w:color="000000"/>
            </w:tcBorders>
            <w:shd w:val="clear" w:color="auto" w:fill="FFFFFF" w:themeFill="background1"/>
            <w:vAlign w:val="center"/>
            <w:hideMark/>
          </w:tcPr>
          <w:p w14:paraId="63F9BA55" w14:textId="77777777" w:rsidR="00670388" w:rsidRPr="00670388" w:rsidRDefault="00670388" w:rsidP="00670388">
            <w:pPr>
              <w:spacing w:line="276" w:lineRule="auto"/>
              <w:ind w:left="72"/>
              <w:rPr>
                <w:rFonts w:ascii="Cambria" w:hAnsi="Cambria"/>
                <w:sz w:val="22"/>
                <w:szCs w:val="22"/>
              </w:rPr>
            </w:pPr>
            <w:r w:rsidRPr="00670388">
              <w:rPr>
                <w:rFonts w:ascii="Cambria" w:hAnsi="Cambria"/>
                <w:sz w:val="22"/>
                <w:szCs w:val="22"/>
              </w:rPr>
              <w:t>Hourly Wage Rate</w:t>
            </w:r>
          </w:p>
        </w:tc>
        <w:tc>
          <w:tcPr>
            <w:tcW w:w="1440" w:type="dxa"/>
            <w:tcBorders>
              <w:top w:val="single" w:sz="4" w:space="0" w:color="000000"/>
              <w:left w:val="single" w:sz="4" w:space="0" w:color="000000"/>
              <w:bottom w:val="single" w:sz="12" w:space="0" w:color="000000"/>
              <w:right w:val="single" w:sz="4" w:space="0" w:color="000000"/>
            </w:tcBorders>
            <w:shd w:val="clear" w:color="auto" w:fill="FFFFFF" w:themeFill="background1"/>
            <w:vAlign w:val="center"/>
            <w:hideMark/>
          </w:tcPr>
          <w:p w14:paraId="7E6E3AC6" w14:textId="77777777" w:rsidR="00670388" w:rsidRPr="00670388" w:rsidRDefault="00670388" w:rsidP="00670388">
            <w:pPr>
              <w:spacing w:line="276" w:lineRule="auto"/>
              <w:ind w:left="72"/>
              <w:rPr>
                <w:rFonts w:ascii="Cambria" w:hAnsi="Cambria"/>
                <w:sz w:val="22"/>
                <w:szCs w:val="22"/>
              </w:rPr>
            </w:pPr>
            <w:r w:rsidRPr="00670388">
              <w:rPr>
                <w:rFonts w:ascii="Cambria" w:hAnsi="Cambria"/>
                <w:sz w:val="22"/>
                <w:szCs w:val="22"/>
              </w:rPr>
              <w:t>Total Respondent Costs</w:t>
            </w:r>
          </w:p>
        </w:tc>
      </w:tr>
      <w:tr w:rsidR="00670388" w:rsidRPr="00670388" w14:paraId="20F8A218" w14:textId="77777777" w:rsidTr="003A1389">
        <w:tc>
          <w:tcPr>
            <w:tcW w:w="1620" w:type="dxa"/>
            <w:tcBorders>
              <w:top w:val="single" w:sz="12" w:space="0" w:color="000000"/>
              <w:left w:val="single" w:sz="4" w:space="0" w:color="000000"/>
              <w:bottom w:val="single" w:sz="4" w:space="0" w:color="000000"/>
              <w:right w:val="single" w:sz="4" w:space="0" w:color="000000"/>
            </w:tcBorders>
            <w:shd w:val="clear" w:color="auto" w:fill="FFFFFF" w:themeFill="background1"/>
            <w:vAlign w:val="center"/>
          </w:tcPr>
          <w:p w14:paraId="37F40D11" w14:textId="77777777" w:rsidR="00670388" w:rsidRPr="00670388" w:rsidRDefault="00E871DA" w:rsidP="00670388">
            <w:pPr>
              <w:spacing w:line="276" w:lineRule="auto"/>
              <w:ind w:left="72"/>
              <w:rPr>
                <w:rFonts w:ascii="Cambria" w:hAnsi="Cambria"/>
                <w:sz w:val="22"/>
                <w:szCs w:val="22"/>
              </w:rPr>
            </w:pPr>
            <w:r>
              <w:rPr>
                <w:rFonts w:ascii="Cambria" w:hAnsi="Cambria"/>
                <w:sz w:val="22"/>
                <w:szCs w:val="22"/>
              </w:rPr>
              <w:t>Big Data Subject Matter Expert</w:t>
            </w:r>
          </w:p>
        </w:tc>
        <w:tc>
          <w:tcPr>
            <w:tcW w:w="1620" w:type="dxa"/>
            <w:tcBorders>
              <w:top w:val="single" w:sz="12" w:space="0" w:color="000000"/>
              <w:left w:val="single" w:sz="4" w:space="0" w:color="000000"/>
              <w:bottom w:val="single" w:sz="4" w:space="0" w:color="000000"/>
              <w:right w:val="single" w:sz="4" w:space="0" w:color="000000"/>
            </w:tcBorders>
            <w:shd w:val="clear" w:color="auto" w:fill="FFFFFF" w:themeFill="background1"/>
            <w:vAlign w:val="center"/>
          </w:tcPr>
          <w:p w14:paraId="28A627EF" w14:textId="77777777" w:rsidR="00670388" w:rsidRPr="00670388" w:rsidRDefault="00E871DA" w:rsidP="00670388">
            <w:pPr>
              <w:spacing w:line="276" w:lineRule="auto"/>
              <w:ind w:left="72"/>
              <w:rPr>
                <w:rFonts w:ascii="Cambria" w:hAnsi="Cambria"/>
                <w:sz w:val="22"/>
                <w:szCs w:val="22"/>
              </w:rPr>
            </w:pPr>
            <w:r>
              <w:rPr>
                <w:rFonts w:ascii="Cambria" w:hAnsi="Cambria"/>
                <w:sz w:val="22"/>
                <w:szCs w:val="22"/>
              </w:rPr>
              <w:t>25</w:t>
            </w:r>
          </w:p>
        </w:tc>
        <w:tc>
          <w:tcPr>
            <w:tcW w:w="1620" w:type="dxa"/>
            <w:tcBorders>
              <w:top w:val="single" w:sz="12" w:space="0" w:color="000000"/>
              <w:left w:val="single" w:sz="4" w:space="0" w:color="000000"/>
              <w:bottom w:val="single" w:sz="4" w:space="0" w:color="000000"/>
              <w:right w:val="single" w:sz="4" w:space="0" w:color="000000"/>
            </w:tcBorders>
            <w:shd w:val="clear" w:color="auto" w:fill="FFFFFF" w:themeFill="background1"/>
            <w:vAlign w:val="center"/>
          </w:tcPr>
          <w:p w14:paraId="0956BEBD" w14:textId="25771BAB" w:rsidR="00670388" w:rsidRPr="00A43652" w:rsidRDefault="00A43652" w:rsidP="00670388">
            <w:pPr>
              <w:spacing w:line="276" w:lineRule="auto"/>
              <w:ind w:left="72"/>
              <w:rPr>
                <w:rFonts w:ascii="Cambria" w:hAnsi="Cambria"/>
                <w:sz w:val="22"/>
                <w:szCs w:val="22"/>
              </w:rPr>
            </w:pPr>
            <w:r>
              <w:rPr>
                <w:rFonts w:ascii="Cambria" w:hAnsi="Cambria"/>
                <w:sz w:val="22"/>
                <w:szCs w:val="22"/>
              </w:rPr>
              <w:t>1</w:t>
            </w:r>
          </w:p>
        </w:tc>
        <w:tc>
          <w:tcPr>
            <w:tcW w:w="1260" w:type="dxa"/>
            <w:tcBorders>
              <w:top w:val="single" w:sz="12" w:space="0" w:color="000000"/>
              <w:left w:val="single" w:sz="4" w:space="0" w:color="000000"/>
              <w:bottom w:val="single" w:sz="4" w:space="0" w:color="000000"/>
              <w:right w:val="single" w:sz="4" w:space="0" w:color="000000"/>
            </w:tcBorders>
            <w:shd w:val="clear" w:color="auto" w:fill="FFFFFF" w:themeFill="background1"/>
            <w:vAlign w:val="center"/>
          </w:tcPr>
          <w:p w14:paraId="5FE01400" w14:textId="7C91D2DA" w:rsidR="00670388" w:rsidRPr="00DF5130" w:rsidRDefault="00DF5130" w:rsidP="00670388">
            <w:pPr>
              <w:spacing w:line="276" w:lineRule="auto"/>
              <w:ind w:left="72"/>
              <w:rPr>
                <w:rFonts w:ascii="Cambria" w:hAnsi="Cambria"/>
                <w:sz w:val="22"/>
                <w:szCs w:val="22"/>
              </w:rPr>
            </w:pPr>
            <w:r w:rsidRPr="00DF5130">
              <w:rPr>
                <w:rFonts w:ascii="Cambria" w:hAnsi="Cambria"/>
                <w:sz w:val="22"/>
                <w:szCs w:val="22"/>
              </w:rPr>
              <w:t>1</w:t>
            </w:r>
          </w:p>
        </w:tc>
        <w:tc>
          <w:tcPr>
            <w:tcW w:w="1080" w:type="dxa"/>
            <w:tcBorders>
              <w:top w:val="single" w:sz="12" w:space="0" w:color="000000"/>
              <w:left w:val="single" w:sz="4" w:space="0" w:color="000000"/>
              <w:bottom w:val="single" w:sz="4" w:space="0" w:color="000000"/>
              <w:right w:val="single" w:sz="4" w:space="0" w:color="000000"/>
            </w:tcBorders>
            <w:shd w:val="clear" w:color="auto" w:fill="FFFFFF" w:themeFill="background1"/>
            <w:vAlign w:val="center"/>
          </w:tcPr>
          <w:p w14:paraId="326C3ECF" w14:textId="07796D5F" w:rsidR="00670388" w:rsidRPr="00DF5130" w:rsidRDefault="00157426" w:rsidP="00157426">
            <w:pPr>
              <w:spacing w:line="276" w:lineRule="auto"/>
              <w:ind w:left="72"/>
              <w:rPr>
                <w:rFonts w:ascii="Cambria" w:hAnsi="Cambria"/>
                <w:sz w:val="22"/>
                <w:szCs w:val="22"/>
              </w:rPr>
            </w:pPr>
            <w:r>
              <w:rPr>
                <w:rFonts w:ascii="Cambria" w:hAnsi="Cambria"/>
                <w:sz w:val="22"/>
                <w:szCs w:val="22"/>
              </w:rPr>
              <w:t>25</w:t>
            </w:r>
          </w:p>
        </w:tc>
        <w:tc>
          <w:tcPr>
            <w:tcW w:w="990" w:type="dxa"/>
            <w:tcBorders>
              <w:top w:val="single" w:sz="12" w:space="0" w:color="000000"/>
              <w:left w:val="single" w:sz="4" w:space="0" w:color="000000"/>
              <w:bottom w:val="single" w:sz="4" w:space="0" w:color="000000"/>
              <w:right w:val="single" w:sz="4" w:space="0" w:color="000000"/>
            </w:tcBorders>
            <w:shd w:val="clear" w:color="auto" w:fill="FFFFFF" w:themeFill="background1"/>
            <w:vAlign w:val="center"/>
          </w:tcPr>
          <w:p w14:paraId="7DB259DF" w14:textId="1DEA2EE2" w:rsidR="00670388" w:rsidRPr="00E871DA" w:rsidRDefault="00A43652" w:rsidP="00670388">
            <w:pPr>
              <w:spacing w:line="276" w:lineRule="auto"/>
              <w:ind w:left="72"/>
              <w:rPr>
                <w:rFonts w:ascii="Cambria" w:hAnsi="Cambria"/>
                <w:sz w:val="22"/>
                <w:szCs w:val="22"/>
              </w:rPr>
            </w:pPr>
            <w:r>
              <w:rPr>
                <w:rFonts w:ascii="Cambria" w:hAnsi="Cambria"/>
                <w:sz w:val="22"/>
                <w:szCs w:val="22"/>
              </w:rPr>
              <w:t>$67.91</w:t>
            </w:r>
          </w:p>
        </w:tc>
        <w:tc>
          <w:tcPr>
            <w:tcW w:w="1440" w:type="dxa"/>
            <w:tcBorders>
              <w:top w:val="single" w:sz="12" w:space="0" w:color="000000"/>
              <w:left w:val="single" w:sz="4" w:space="0" w:color="000000"/>
              <w:bottom w:val="single" w:sz="4" w:space="0" w:color="000000"/>
              <w:right w:val="single" w:sz="4" w:space="0" w:color="000000"/>
            </w:tcBorders>
            <w:shd w:val="clear" w:color="auto" w:fill="FFFFFF" w:themeFill="background1"/>
            <w:vAlign w:val="center"/>
          </w:tcPr>
          <w:p w14:paraId="3E2EB593" w14:textId="58658025" w:rsidR="00670388" w:rsidRPr="00E871DA" w:rsidRDefault="00320FD8" w:rsidP="005F655F">
            <w:pPr>
              <w:spacing w:line="276" w:lineRule="auto"/>
              <w:ind w:left="72"/>
              <w:rPr>
                <w:rFonts w:ascii="Cambria" w:hAnsi="Cambria"/>
                <w:sz w:val="22"/>
                <w:szCs w:val="22"/>
              </w:rPr>
            </w:pPr>
            <w:r>
              <w:rPr>
                <w:rFonts w:ascii="Cambria" w:hAnsi="Cambria"/>
                <w:sz w:val="22"/>
                <w:szCs w:val="22"/>
              </w:rPr>
              <w:t>$</w:t>
            </w:r>
            <w:r w:rsidR="00157426">
              <w:rPr>
                <w:rFonts w:ascii="Cambria" w:hAnsi="Cambria"/>
                <w:sz w:val="22"/>
                <w:szCs w:val="22"/>
              </w:rPr>
              <w:t>1,697.75</w:t>
            </w:r>
          </w:p>
        </w:tc>
      </w:tr>
      <w:tr w:rsidR="00670388" w:rsidRPr="00670388" w14:paraId="748794B9" w14:textId="77777777" w:rsidTr="003A1389">
        <w:trPr>
          <w:trHeight w:hRule="exact" w:val="432"/>
        </w:trPr>
        <w:tc>
          <w:tcPr>
            <w:tcW w:w="16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7D6F3673" w14:textId="77777777" w:rsidR="00670388" w:rsidRPr="00670388" w:rsidRDefault="00670388" w:rsidP="00670388">
            <w:pPr>
              <w:spacing w:line="276" w:lineRule="auto"/>
              <w:ind w:left="72"/>
              <w:rPr>
                <w:rFonts w:ascii="Cambria" w:hAnsi="Cambria"/>
                <w:sz w:val="22"/>
                <w:szCs w:val="22"/>
              </w:rPr>
            </w:pPr>
            <w:r w:rsidRPr="00670388">
              <w:rPr>
                <w:rFonts w:ascii="Cambria" w:hAnsi="Cambria"/>
                <w:sz w:val="22"/>
                <w:szCs w:val="22"/>
              </w:rPr>
              <w:t>TOTALS</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E88E1C6" w14:textId="77777777" w:rsidR="00670388" w:rsidRPr="00670388" w:rsidRDefault="00E871DA" w:rsidP="00670388">
            <w:pPr>
              <w:spacing w:line="276" w:lineRule="auto"/>
              <w:ind w:left="72"/>
              <w:rPr>
                <w:rFonts w:ascii="Cambria" w:hAnsi="Cambria"/>
                <w:sz w:val="22"/>
                <w:szCs w:val="22"/>
              </w:rPr>
            </w:pPr>
            <w:r>
              <w:rPr>
                <w:rFonts w:ascii="Cambria" w:hAnsi="Cambria"/>
                <w:sz w:val="22"/>
                <w:szCs w:val="22"/>
              </w:rPr>
              <w:t>25</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44A367B" w14:textId="656D3434" w:rsidR="00670388" w:rsidRPr="00A43652" w:rsidRDefault="00A43652" w:rsidP="00670388">
            <w:pPr>
              <w:spacing w:line="276" w:lineRule="auto"/>
              <w:ind w:left="72"/>
              <w:rPr>
                <w:rFonts w:ascii="Cambria" w:hAnsi="Cambria"/>
                <w:sz w:val="22"/>
                <w:szCs w:val="22"/>
              </w:rPr>
            </w:pPr>
            <w:r>
              <w:rPr>
                <w:rFonts w:ascii="Cambria" w:hAnsi="Cambria"/>
                <w:sz w:val="22"/>
                <w:szCs w:val="22"/>
              </w:rPr>
              <w:t>1</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E18E673" w14:textId="48F1F2D8" w:rsidR="00670388" w:rsidRPr="00E871DA" w:rsidRDefault="00A43652" w:rsidP="00670388">
            <w:pPr>
              <w:spacing w:line="276" w:lineRule="auto"/>
              <w:ind w:left="72"/>
              <w:rPr>
                <w:rFonts w:ascii="Cambria" w:hAnsi="Cambria"/>
                <w:sz w:val="22"/>
                <w:szCs w:val="22"/>
              </w:rPr>
            </w:pPr>
            <w:r>
              <w:rPr>
                <w:rFonts w:ascii="Cambria" w:hAnsi="Cambria"/>
                <w:sz w:val="22"/>
                <w:szCs w:val="22"/>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C4D947B" w14:textId="04FE156D" w:rsidR="00670388" w:rsidRPr="00E871DA" w:rsidRDefault="00157426" w:rsidP="00670388">
            <w:pPr>
              <w:spacing w:line="276" w:lineRule="auto"/>
              <w:ind w:left="72"/>
              <w:rPr>
                <w:rFonts w:ascii="Cambria" w:hAnsi="Cambria"/>
                <w:sz w:val="22"/>
                <w:szCs w:val="22"/>
              </w:rPr>
            </w:pPr>
            <w:r>
              <w:rPr>
                <w:rFonts w:ascii="Cambria" w:hAnsi="Cambria"/>
                <w:sz w:val="22"/>
                <w:szCs w:val="22"/>
              </w:rPr>
              <w:t>25</w:t>
            </w:r>
          </w:p>
        </w:tc>
        <w:tc>
          <w:tcPr>
            <w:tcW w:w="9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7461032" w14:textId="77777777" w:rsidR="00670388" w:rsidRPr="00E871DA" w:rsidRDefault="00670388" w:rsidP="00670388">
            <w:pPr>
              <w:spacing w:line="276" w:lineRule="auto"/>
              <w:ind w:left="72"/>
              <w:rPr>
                <w:rFonts w:ascii="Cambria" w:hAnsi="Cambria"/>
                <w:sz w:val="22"/>
                <w:szCs w:val="22"/>
              </w:rP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5E81C04" w14:textId="2288989E" w:rsidR="00670388" w:rsidRPr="00E871DA" w:rsidRDefault="00320FD8" w:rsidP="005F655F">
            <w:pPr>
              <w:spacing w:line="276" w:lineRule="auto"/>
              <w:ind w:left="72"/>
              <w:rPr>
                <w:rFonts w:ascii="Cambria" w:hAnsi="Cambria"/>
                <w:sz w:val="22"/>
                <w:szCs w:val="22"/>
              </w:rPr>
            </w:pPr>
            <w:r>
              <w:rPr>
                <w:rFonts w:ascii="Cambria" w:hAnsi="Cambria"/>
                <w:sz w:val="22"/>
                <w:szCs w:val="22"/>
              </w:rPr>
              <w:t>$</w:t>
            </w:r>
            <w:r w:rsidR="00157426">
              <w:rPr>
                <w:rFonts w:ascii="Cambria" w:hAnsi="Cambria"/>
                <w:sz w:val="22"/>
                <w:szCs w:val="22"/>
              </w:rPr>
              <w:t>1,697.75</w:t>
            </w:r>
          </w:p>
        </w:tc>
      </w:tr>
    </w:tbl>
    <w:p w14:paraId="10618428" w14:textId="77777777" w:rsidR="003F1C7A" w:rsidRDefault="003F1C7A">
      <w:pPr>
        <w:keepNext/>
        <w:keepLines/>
        <w:rPr>
          <w:b/>
        </w:rPr>
      </w:pPr>
    </w:p>
    <w:p w14:paraId="0817AB41" w14:textId="77777777" w:rsidR="003F1C7A" w:rsidRDefault="003F1C7A"/>
    <w:p w14:paraId="0F11A359" w14:textId="77777777" w:rsidR="003F1C7A" w:rsidRDefault="003F1C7A">
      <w:pPr>
        <w:spacing w:after="120"/>
        <w:rPr>
          <w:b/>
        </w:rPr>
      </w:pPr>
      <w:r w:rsidRPr="0021053B">
        <w:rPr>
          <w:b/>
        </w:rPr>
        <w:t>BURDEN COST COMPUTATION</w:t>
      </w:r>
    </w:p>
    <w:p w14:paraId="32B452CB" w14:textId="77777777" w:rsidR="005F655F" w:rsidRDefault="005F655F">
      <w:pPr>
        <w:pStyle w:val="BodyTextIndent"/>
        <w:tabs>
          <w:tab w:val="left" w:pos="360"/>
        </w:tabs>
        <w:spacing w:after="120"/>
        <w:ind w:left="0"/>
        <w:rPr>
          <w:bCs/>
          <w:sz w:val="24"/>
        </w:rPr>
      </w:pPr>
    </w:p>
    <w:tbl>
      <w:tblPr>
        <w:tblStyle w:val="TableGrid"/>
        <w:tblW w:w="0" w:type="auto"/>
        <w:tblLook w:val="04A0" w:firstRow="1" w:lastRow="0" w:firstColumn="1" w:lastColumn="0" w:noHBand="0" w:noVBand="1"/>
      </w:tblPr>
      <w:tblGrid>
        <w:gridCol w:w="4196"/>
        <w:gridCol w:w="1968"/>
        <w:gridCol w:w="1706"/>
        <w:gridCol w:w="1706"/>
      </w:tblGrid>
      <w:tr w:rsidR="005F655F" w14:paraId="2964BDA7" w14:textId="77777777" w:rsidTr="00836D9F">
        <w:trPr>
          <w:trHeight w:val="593"/>
        </w:trPr>
        <w:tc>
          <w:tcPr>
            <w:tcW w:w="4196"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4AD8F7D5" w14:textId="77777777" w:rsidR="005F655F" w:rsidRDefault="005F655F" w:rsidP="00836D9F">
            <w:r>
              <w:t xml:space="preserve">Staff </w:t>
            </w:r>
          </w:p>
        </w:tc>
        <w:tc>
          <w:tcPr>
            <w:tcW w:w="1968"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00A8882A" w14:textId="77777777" w:rsidR="005F655F" w:rsidRDefault="005F655F" w:rsidP="00836D9F">
            <w:r>
              <w:t>Average Hours per Collection</w:t>
            </w:r>
          </w:p>
        </w:tc>
        <w:tc>
          <w:tcPr>
            <w:tcW w:w="1706"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5C7C684E" w14:textId="77777777" w:rsidR="005F655F" w:rsidRDefault="005F655F" w:rsidP="00836D9F">
            <w:r>
              <w:t>Average Hourly Rate</w:t>
            </w:r>
          </w:p>
        </w:tc>
        <w:tc>
          <w:tcPr>
            <w:tcW w:w="1706"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2BBA6941" w14:textId="77777777" w:rsidR="005F655F" w:rsidRDefault="005F655F" w:rsidP="00836D9F">
            <w:r>
              <w:t>Average Cost</w:t>
            </w:r>
          </w:p>
        </w:tc>
      </w:tr>
      <w:tr w:rsidR="00291381" w14:paraId="3B3FCAE6" w14:textId="77777777" w:rsidTr="00423FC0">
        <w:tc>
          <w:tcPr>
            <w:tcW w:w="4196" w:type="dxa"/>
            <w:tcBorders>
              <w:top w:val="single" w:sz="4" w:space="0" w:color="auto"/>
              <w:left w:val="single" w:sz="4" w:space="0" w:color="auto"/>
              <w:bottom w:val="single" w:sz="4" w:space="0" w:color="auto"/>
              <w:right w:val="single" w:sz="4" w:space="0" w:color="auto"/>
            </w:tcBorders>
            <w:shd w:val="clear" w:color="auto" w:fill="FFFFFF" w:themeFill="background1"/>
          </w:tcPr>
          <w:p w14:paraId="18CC7DBF" w14:textId="705467E0" w:rsidR="00291381" w:rsidRDefault="00291381" w:rsidP="00836D9F">
            <w:r>
              <w:t>Medical Officer GS 15</w:t>
            </w:r>
          </w:p>
        </w:tc>
        <w:tc>
          <w:tcPr>
            <w:tcW w:w="1968" w:type="dxa"/>
            <w:tcBorders>
              <w:top w:val="single" w:sz="4" w:space="0" w:color="auto"/>
              <w:left w:val="single" w:sz="4" w:space="0" w:color="auto"/>
              <w:bottom w:val="single" w:sz="4" w:space="0" w:color="auto"/>
              <w:right w:val="single" w:sz="4" w:space="0" w:color="auto"/>
            </w:tcBorders>
            <w:shd w:val="clear" w:color="auto" w:fill="FFFFFF" w:themeFill="background1"/>
          </w:tcPr>
          <w:p w14:paraId="7800C633" w14:textId="7121E57F" w:rsidR="00291381" w:rsidRDefault="00291381" w:rsidP="00836D9F">
            <w:r>
              <w:t>37.5</w:t>
            </w:r>
          </w:p>
        </w:tc>
        <w:tc>
          <w:tcPr>
            <w:tcW w:w="1706" w:type="dxa"/>
            <w:tcBorders>
              <w:top w:val="single" w:sz="4" w:space="0" w:color="auto"/>
              <w:left w:val="single" w:sz="4" w:space="0" w:color="auto"/>
              <w:bottom w:val="single" w:sz="4" w:space="0" w:color="auto"/>
              <w:right w:val="single" w:sz="4" w:space="0" w:color="auto"/>
            </w:tcBorders>
            <w:shd w:val="clear" w:color="auto" w:fill="FFFFFF" w:themeFill="background1"/>
          </w:tcPr>
          <w:p w14:paraId="50C08D1C" w14:textId="3C6E3358" w:rsidR="00291381" w:rsidRDefault="00291381" w:rsidP="00836D9F">
            <w:r>
              <w:t>$77.58</w:t>
            </w:r>
          </w:p>
        </w:tc>
        <w:tc>
          <w:tcPr>
            <w:tcW w:w="1706" w:type="dxa"/>
            <w:tcBorders>
              <w:top w:val="single" w:sz="4" w:space="0" w:color="auto"/>
              <w:left w:val="single" w:sz="4" w:space="0" w:color="auto"/>
              <w:bottom w:val="single" w:sz="4" w:space="0" w:color="auto"/>
              <w:right w:val="single" w:sz="4" w:space="0" w:color="auto"/>
            </w:tcBorders>
            <w:shd w:val="clear" w:color="auto" w:fill="FFFFFF" w:themeFill="background1"/>
          </w:tcPr>
          <w:p w14:paraId="05F24B4F" w14:textId="2D9F95CD" w:rsidR="00291381" w:rsidRDefault="00291381" w:rsidP="00836D9F">
            <w:r>
              <w:t>$2909.25</w:t>
            </w:r>
          </w:p>
        </w:tc>
      </w:tr>
      <w:tr w:rsidR="00291381" w14:paraId="39EC4283" w14:textId="77777777" w:rsidTr="003A1389">
        <w:tc>
          <w:tcPr>
            <w:tcW w:w="4196" w:type="dxa"/>
            <w:tcBorders>
              <w:top w:val="single" w:sz="4" w:space="0" w:color="auto"/>
              <w:left w:val="single" w:sz="4" w:space="0" w:color="auto"/>
              <w:bottom w:val="single" w:sz="4" w:space="0" w:color="auto"/>
              <w:right w:val="single" w:sz="4" w:space="0" w:color="auto"/>
            </w:tcBorders>
            <w:shd w:val="clear" w:color="auto" w:fill="FFFFFF" w:themeFill="background1"/>
          </w:tcPr>
          <w:p w14:paraId="1957B20C" w14:textId="5E42ABF8" w:rsidR="00291381" w:rsidRDefault="00291381" w:rsidP="00836D9F">
            <w:r>
              <w:t>Presidential Management Fellow GS 11</w:t>
            </w:r>
          </w:p>
        </w:tc>
        <w:tc>
          <w:tcPr>
            <w:tcW w:w="1968" w:type="dxa"/>
            <w:tcBorders>
              <w:top w:val="single" w:sz="4" w:space="0" w:color="auto"/>
              <w:left w:val="single" w:sz="4" w:space="0" w:color="auto"/>
              <w:bottom w:val="single" w:sz="4" w:space="0" w:color="auto"/>
              <w:right w:val="single" w:sz="4" w:space="0" w:color="auto"/>
            </w:tcBorders>
            <w:shd w:val="clear" w:color="auto" w:fill="FFFFFF" w:themeFill="background1"/>
          </w:tcPr>
          <w:p w14:paraId="54563DB1" w14:textId="3ECC2269" w:rsidR="00291381" w:rsidRDefault="00291381" w:rsidP="00836D9F">
            <w:r>
              <w:t>37.5</w:t>
            </w:r>
          </w:p>
        </w:tc>
        <w:tc>
          <w:tcPr>
            <w:tcW w:w="1706" w:type="dxa"/>
            <w:tcBorders>
              <w:top w:val="single" w:sz="4" w:space="0" w:color="auto"/>
              <w:left w:val="single" w:sz="4" w:space="0" w:color="auto"/>
              <w:bottom w:val="single" w:sz="4" w:space="0" w:color="auto"/>
              <w:right w:val="single" w:sz="4" w:space="0" w:color="auto"/>
            </w:tcBorders>
            <w:shd w:val="clear" w:color="auto" w:fill="FFFFFF" w:themeFill="background1"/>
          </w:tcPr>
          <w:p w14:paraId="0B898625" w14:textId="3850DD67" w:rsidR="00291381" w:rsidRDefault="00291381" w:rsidP="00836D9F">
            <w:r>
              <w:t>$31.87</w:t>
            </w:r>
          </w:p>
        </w:tc>
        <w:tc>
          <w:tcPr>
            <w:tcW w:w="1706" w:type="dxa"/>
            <w:tcBorders>
              <w:top w:val="single" w:sz="4" w:space="0" w:color="auto"/>
              <w:left w:val="single" w:sz="4" w:space="0" w:color="auto"/>
              <w:bottom w:val="single" w:sz="4" w:space="0" w:color="auto"/>
              <w:right w:val="single" w:sz="4" w:space="0" w:color="auto"/>
            </w:tcBorders>
            <w:shd w:val="clear" w:color="auto" w:fill="FFFFFF" w:themeFill="background1"/>
          </w:tcPr>
          <w:p w14:paraId="35EC00ED" w14:textId="114A884B" w:rsidR="00291381" w:rsidRDefault="00291381" w:rsidP="00836D9F">
            <w:r>
              <w:t>$1195.13</w:t>
            </w:r>
          </w:p>
        </w:tc>
      </w:tr>
      <w:tr w:rsidR="00291381" w14:paraId="1C9CB7B4" w14:textId="77777777" w:rsidTr="00423FC0">
        <w:tc>
          <w:tcPr>
            <w:tcW w:w="4196" w:type="dxa"/>
            <w:tcBorders>
              <w:top w:val="single" w:sz="4" w:space="0" w:color="auto"/>
              <w:left w:val="single" w:sz="4" w:space="0" w:color="auto"/>
              <w:bottom w:val="single" w:sz="4" w:space="0" w:color="auto"/>
              <w:right w:val="single" w:sz="4" w:space="0" w:color="auto"/>
            </w:tcBorders>
            <w:vAlign w:val="center"/>
            <w:hideMark/>
          </w:tcPr>
          <w:p w14:paraId="65F7CEC3" w14:textId="3089118D" w:rsidR="00291381" w:rsidRDefault="00291381" w:rsidP="00836D9F">
            <w:r>
              <w:t>Estimated Total Cost of Information Collection</w:t>
            </w:r>
          </w:p>
        </w:tc>
        <w:tc>
          <w:tcPr>
            <w:tcW w:w="1968" w:type="dxa"/>
            <w:tcBorders>
              <w:top w:val="single" w:sz="4" w:space="0" w:color="auto"/>
              <w:left w:val="single" w:sz="4" w:space="0" w:color="auto"/>
              <w:bottom w:val="single" w:sz="4" w:space="0" w:color="auto"/>
              <w:right w:val="single" w:sz="4" w:space="0" w:color="auto"/>
            </w:tcBorders>
            <w:vAlign w:val="center"/>
            <w:hideMark/>
          </w:tcPr>
          <w:p w14:paraId="6EC400A7" w14:textId="15731C27" w:rsidR="00291381" w:rsidRDefault="00291381" w:rsidP="00836D9F">
            <w:r>
              <w:t>$ 4104.38</w:t>
            </w:r>
          </w:p>
        </w:tc>
        <w:tc>
          <w:tcPr>
            <w:tcW w:w="1706" w:type="dxa"/>
            <w:hideMark/>
          </w:tcPr>
          <w:p w14:paraId="705A037F" w14:textId="7C0BB40B" w:rsidR="00291381" w:rsidRDefault="00291381" w:rsidP="00836D9F"/>
        </w:tc>
        <w:tc>
          <w:tcPr>
            <w:tcW w:w="17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84510A7" w14:textId="68070CD2" w:rsidR="00291381" w:rsidRDefault="00291381" w:rsidP="00836D9F"/>
        </w:tc>
      </w:tr>
    </w:tbl>
    <w:p w14:paraId="04D57A42" w14:textId="77777777" w:rsidR="005F655F" w:rsidRDefault="005F655F">
      <w:pPr>
        <w:pStyle w:val="BodyTextIndent"/>
        <w:tabs>
          <w:tab w:val="left" w:pos="360"/>
        </w:tabs>
        <w:spacing w:after="120"/>
        <w:ind w:left="0"/>
        <w:rPr>
          <w:bCs/>
          <w:sz w:val="24"/>
        </w:rPr>
      </w:pPr>
    </w:p>
    <w:p w14:paraId="0CBFEC61" w14:textId="77777777" w:rsidR="005F655F" w:rsidRDefault="005F655F">
      <w:pPr>
        <w:pStyle w:val="BodyTextIndent"/>
        <w:tabs>
          <w:tab w:val="left" w:pos="360"/>
        </w:tabs>
        <w:spacing w:after="120"/>
        <w:ind w:left="0"/>
        <w:rPr>
          <w:bCs/>
          <w:sz w:val="24"/>
        </w:rPr>
      </w:pPr>
    </w:p>
    <w:p w14:paraId="39DBF3C5" w14:textId="77777777" w:rsidR="003F1C7A" w:rsidRDefault="0037375D">
      <w:pPr>
        <w:pStyle w:val="BodyTextIndent"/>
        <w:tabs>
          <w:tab w:val="left" w:pos="360"/>
        </w:tabs>
        <w:spacing w:after="120"/>
        <w:ind w:left="0"/>
        <w:rPr>
          <w:b/>
          <w:bCs/>
          <w:sz w:val="24"/>
        </w:rPr>
      </w:pPr>
      <w:r>
        <w:rPr>
          <w:b/>
          <w:bCs/>
          <w:sz w:val="24"/>
          <w:u w:val="single"/>
        </w:rPr>
        <w:t>OTHER SUPPORTING</w:t>
      </w:r>
      <w:r w:rsidR="003F1C7A">
        <w:rPr>
          <w:b/>
          <w:bCs/>
          <w:sz w:val="24"/>
          <w:u w:val="single"/>
        </w:rPr>
        <w:t xml:space="preserve"> INFORMATION</w:t>
      </w:r>
      <w:r w:rsidR="003F1C7A">
        <w:rPr>
          <w:b/>
          <w:bCs/>
          <w:sz w:val="24"/>
        </w:rPr>
        <w:t xml:space="preserve"> </w:t>
      </w:r>
    </w:p>
    <w:p w14:paraId="46239EB0" w14:textId="77777777" w:rsidR="003F1C7A" w:rsidRDefault="003F1C7A">
      <w:pPr>
        <w:pStyle w:val="Header"/>
        <w:widowControl/>
        <w:tabs>
          <w:tab w:val="clear" w:pos="4320"/>
          <w:tab w:val="clear" w:pos="8640"/>
        </w:tabs>
        <w:rPr>
          <w:snapToGrid/>
        </w:rPr>
      </w:pPr>
    </w:p>
    <w:p w14:paraId="5F8BA2C6" w14:textId="79A9F965" w:rsidR="003F1C7A" w:rsidRDefault="003F1C7A">
      <w:pPr>
        <w:rPr>
          <w:b/>
        </w:rPr>
      </w:pPr>
      <w:r w:rsidRPr="0021053B">
        <w:rPr>
          <w:b/>
        </w:rPr>
        <w:t>REQUESTED APPROVAL DATE:</w:t>
      </w:r>
      <w:r>
        <w:rPr>
          <w:b/>
        </w:rPr>
        <w:t xml:space="preserve">  </w:t>
      </w:r>
      <w:r w:rsidR="00291381">
        <w:t>March</w:t>
      </w:r>
      <w:r w:rsidR="0021053B" w:rsidRPr="0021053B">
        <w:t>, 2018</w:t>
      </w:r>
    </w:p>
    <w:p w14:paraId="0AF061CC" w14:textId="77777777" w:rsidR="00F31B72" w:rsidRDefault="00F31B72">
      <w:pPr>
        <w:rPr>
          <w:b/>
        </w:rPr>
      </w:pPr>
    </w:p>
    <w:p w14:paraId="42E476BF" w14:textId="2B134FF9" w:rsidR="003F1C7A" w:rsidRDefault="004F50F3">
      <w:r>
        <w:rPr>
          <w:b/>
        </w:rPr>
        <w:t xml:space="preserve">NAME OF CONTACT PERSON: </w:t>
      </w:r>
      <w:r w:rsidR="00E60ECA" w:rsidRPr="00E60ECA">
        <w:t>James Sorace</w:t>
      </w:r>
      <w:r w:rsidR="0027537F">
        <w:t xml:space="preserve">, </w:t>
      </w:r>
      <w:r w:rsidR="0021053B">
        <w:t xml:space="preserve">Medical Officer, </w:t>
      </w:r>
      <w:r w:rsidR="0027537F">
        <w:t>HHS/ASPE</w:t>
      </w:r>
    </w:p>
    <w:p w14:paraId="51AC5A99" w14:textId="77777777" w:rsidR="00F04C49" w:rsidRDefault="00F04C49"/>
    <w:p w14:paraId="5C1C77EC" w14:textId="1EEFC219" w:rsidR="0037375D" w:rsidRDefault="00494400">
      <w:pPr>
        <w:rPr>
          <w:b/>
        </w:rPr>
      </w:pPr>
      <w:r w:rsidRPr="0021053B">
        <w:rPr>
          <w:b/>
        </w:rPr>
        <w:t>TELEPHONE NUMBER:</w:t>
      </w:r>
      <w:r>
        <w:rPr>
          <w:b/>
        </w:rPr>
        <w:t xml:space="preserve">  </w:t>
      </w:r>
      <w:r w:rsidR="0021053B" w:rsidRPr="0021053B">
        <w:t>202-205-8678</w:t>
      </w:r>
    </w:p>
    <w:p w14:paraId="4B31787E" w14:textId="77777777" w:rsidR="0037375D" w:rsidRDefault="0037375D"/>
    <w:p w14:paraId="43E858DC" w14:textId="77777777" w:rsidR="003F1C7A" w:rsidRPr="00494400" w:rsidRDefault="003F1C7A">
      <w:pPr>
        <w:tabs>
          <w:tab w:val="left" w:pos="5670"/>
        </w:tabs>
        <w:suppressAutoHyphens/>
      </w:pPr>
      <w:r>
        <w:rPr>
          <w:b/>
        </w:rPr>
        <w:t>DEPARTMENT</w:t>
      </w:r>
      <w:r w:rsidR="0037375D">
        <w:rPr>
          <w:b/>
        </w:rPr>
        <w:t>/O</w:t>
      </w:r>
      <w:r>
        <w:rPr>
          <w:b/>
        </w:rPr>
        <w:t>FFICE</w:t>
      </w:r>
      <w:r w:rsidR="0037375D">
        <w:rPr>
          <w:b/>
        </w:rPr>
        <w:t>/BUREAU</w:t>
      </w:r>
      <w:r>
        <w:rPr>
          <w:b/>
        </w:rPr>
        <w:t xml:space="preserve">: </w:t>
      </w:r>
      <w:r w:rsidR="00494400" w:rsidRPr="00494400">
        <w:t>U.S. Department of Health and Human Services (HHS), Assistant Secretary of Planning and Evaluation (ASPE)</w:t>
      </w:r>
    </w:p>
    <w:sectPr w:rsidR="003F1C7A" w:rsidRPr="00494400" w:rsidSect="00D95F55">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3F9637" w14:textId="77777777" w:rsidR="00A32E06" w:rsidRDefault="00A32E06">
      <w:r>
        <w:separator/>
      </w:r>
    </w:p>
  </w:endnote>
  <w:endnote w:type="continuationSeparator" w:id="0">
    <w:p w14:paraId="02660567" w14:textId="77777777" w:rsidR="00A32E06" w:rsidRDefault="00A32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4E678" w14:textId="77777777" w:rsidR="00D95F55" w:rsidRDefault="00D95F55">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E01B8">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A8EE6B" w14:textId="77777777" w:rsidR="00A32E06" w:rsidRDefault="00A32E06">
      <w:r>
        <w:separator/>
      </w:r>
    </w:p>
  </w:footnote>
  <w:footnote w:type="continuationSeparator" w:id="0">
    <w:p w14:paraId="3B090792" w14:textId="77777777" w:rsidR="00A32E06" w:rsidRDefault="00A32E06">
      <w:r>
        <w:continuationSeparator/>
      </w:r>
    </w:p>
  </w:footnote>
  <w:footnote w:id="1">
    <w:p w14:paraId="33AB1124" w14:textId="36530184" w:rsidR="00D87B3C" w:rsidRPr="00FE41C2" w:rsidRDefault="00D87B3C" w:rsidP="00FE41C2">
      <w:pPr>
        <w:pStyle w:val="FootnoteText"/>
        <w:rPr>
          <w:sz w:val="18"/>
          <w:szCs w:val="18"/>
        </w:rPr>
      </w:pPr>
      <w:r w:rsidRPr="00FE41C2">
        <w:rPr>
          <w:rStyle w:val="FootnoteReference"/>
          <w:sz w:val="18"/>
          <w:szCs w:val="18"/>
        </w:rPr>
        <w:footnoteRef/>
      </w:r>
      <w:r w:rsidRPr="00FE41C2">
        <w:rPr>
          <w:sz w:val="18"/>
          <w:szCs w:val="18"/>
        </w:rPr>
        <w:t xml:space="preserve"> </w:t>
      </w:r>
      <w:r w:rsidRPr="00FE41C2">
        <w:rPr>
          <w:i/>
          <w:sz w:val="18"/>
          <w:szCs w:val="18"/>
        </w:rPr>
        <w:t xml:space="preserve">See </w:t>
      </w:r>
      <w:r w:rsidRPr="00FE41C2">
        <w:rPr>
          <w:sz w:val="18"/>
          <w:szCs w:val="18"/>
        </w:rPr>
        <w:t>National Library of Medicine, “</w:t>
      </w:r>
      <w:r w:rsidRPr="00FE41C2">
        <w:rPr>
          <w:bCs/>
          <w:color w:val="254062"/>
          <w:kern w:val="36"/>
          <w:sz w:val="18"/>
          <w:szCs w:val="18"/>
        </w:rPr>
        <w:t>Yearly Citation Totals from 2017 MEDLINE/PubMed Baseline: 26,759,399 Citations Found,”</w:t>
      </w:r>
      <w:r w:rsidRPr="00FE41C2">
        <w:rPr>
          <w:sz w:val="18"/>
          <w:szCs w:val="18"/>
        </w:rPr>
        <w:t xml:space="preserve"> </w:t>
      </w:r>
      <w:r w:rsidRPr="00FE41C2">
        <w:rPr>
          <w:i/>
          <w:sz w:val="18"/>
          <w:szCs w:val="18"/>
        </w:rPr>
        <w:t>available at</w:t>
      </w:r>
      <w:r w:rsidRPr="00FE41C2">
        <w:rPr>
          <w:sz w:val="18"/>
          <w:szCs w:val="18"/>
        </w:rPr>
        <w:t xml:space="preserve"> </w:t>
      </w:r>
      <w:hyperlink r:id="rId1" w:history="1">
        <w:r w:rsidRPr="00FE41C2">
          <w:rPr>
            <w:rStyle w:val="Hyperlink"/>
            <w:sz w:val="18"/>
            <w:szCs w:val="18"/>
          </w:rPr>
          <w:t>https://www.nlm.nih.gov/bsd/licensee/2017_stats/2017_Totals.html</w:t>
        </w:r>
      </w:hyperlink>
      <w:r w:rsidRPr="00FE41C2">
        <w:rPr>
          <w:sz w:val="18"/>
          <w:szCs w:val="18"/>
        </w:rPr>
        <w:t xml:space="preserve"> visited (Feb. 26, 2018).</w:t>
      </w:r>
    </w:p>
  </w:footnote>
  <w:footnote w:id="2">
    <w:p w14:paraId="58BAC481" w14:textId="085AE2CF" w:rsidR="00EF1D63" w:rsidRPr="00FE41C2" w:rsidRDefault="00EF1D63" w:rsidP="00FE41C2">
      <w:pPr>
        <w:pStyle w:val="FootnoteText"/>
        <w:rPr>
          <w:sz w:val="18"/>
          <w:szCs w:val="18"/>
        </w:rPr>
      </w:pPr>
      <w:r w:rsidRPr="00FE41C2">
        <w:rPr>
          <w:rStyle w:val="FootnoteReference"/>
          <w:sz w:val="18"/>
          <w:szCs w:val="18"/>
        </w:rPr>
        <w:footnoteRef/>
      </w:r>
      <w:r w:rsidRPr="00FE41C2">
        <w:rPr>
          <w:sz w:val="18"/>
          <w:szCs w:val="18"/>
        </w:rPr>
        <w:t xml:space="preserve"> </w:t>
      </w:r>
      <w:r w:rsidR="004B6EC9" w:rsidRPr="00FE41C2">
        <w:rPr>
          <w:sz w:val="18"/>
          <w:szCs w:val="18"/>
        </w:rPr>
        <w:t>Office of Enterprise Data and Analytics, Centers for Medicare and Medicaid Services</w:t>
      </w:r>
      <w:r w:rsidR="00D87B3C" w:rsidRPr="00FE41C2">
        <w:rPr>
          <w:sz w:val="18"/>
          <w:szCs w:val="18"/>
        </w:rPr>
        <w:t xml:space="preserve"> (personal communication, Feb 26, 2018)</w:t>
      </w:r>
      <w:r w:rsidR="004B6EC9" w:rsidRPr="00FE41C2">
        <w:rPr>
          <w:sz w:val="18"/>
          <w:szCs w:val="18"/>
        </w:rPr>
        <w:t xml:space="preserve">. </w:t>
      </w:r>
    </w:p>
  </w:footnote>
  <w:footnote w:id="3">
    <w:p w14:paraId="1091E2C2" w14:textId="74E4DA2F" w:rsidR="00CD78D3" w:rsidRPr="00FE41C2" w:rsidRDefault="00CD78D3">
      <w:pPr>
        <w:pStyle w:val="FootnoteText"/>
        <w:rPr>
          <w:sz w:val="18"/>
          <w:szCs w:val="18"/>
        </w:rPr>
      </w:pPr>
      <w:r w:rsidRPr="00FE41C2">
        <w:rPr>
          <w:rStyle w:val="FootnoteReference"/>
          <w:sz w:val="18"/>
          <w:szCs w:val="18"/>
        </w:rPr>
        <w:footnoteRef/>
      </w:r>
      <w:r w:rsidRPr="00FE41C2">
        <w:rPr>
          <w:sz w:val="18"/>
          <w:szCs w:val="18"/>
        </w:rPr>
        <w:t xml:space="preserve"> </w:t>
      </w:r>
      <w:hyperlink r:id="rId2" w:tooltip="CDC.gov" w:history="1">
        <w:r w:rsidRPr="00FE41C2">
          <w:rPr>
            <w:rStyle w:val="Hyperlink"/>
            <w:sz w:val="18"/>
            <w:szCs w:val="18"/>
          </w:rPr>
          <w:t>https://www.cdc.gov/nssp/index.html</w:t>
        </w:r>
      </w:hyperlink>
      <w:r w:rsidRPr="00FE41C2">
        <w:rPr>
          <w:rStyle w:val="Hyperlink"/>
          <w:sz w:val="18"/>
          <w:szCs w:val="18"/>
        </w:rPr>
        <w:t xml:space="preserve"> </w:t>
      </w:r>
    </w:p>
  </w:footnote>
  <w:footnote w:id="4">
    <w:p w14:paraId="55AF32DA" w14:textId="11EF1CA8" w:rsidR="00D46AA6" w:rsidRPr="00FE41C2" w:rsidRDefault="00D46AA6" w:rsidP="00FE41C2">
      <w:pPr>
        <w:jc w:val="both"/>
        <w:rPr>
          <w:rFonts w:eastAsiaTheme="minorHAnsi"/>
          <w:color w:val="000000" w:themeColor="text1"/>
          <w:sz w:val="18"/>
          <w:szCs w:val="18"/>
        </w:rPr>
      </w:pPr>
      <w:r w:rsidRPr="00FE41C2">
        <w:rPr>
          <w:rStyle w:val="FootnoteReference"/>
          <w:sz w:val="18"/>
          <w:szCs w:val="18"/>
        </w:rPr>
        <w:footnoteRef/>
      </w:r>
      <w:r w:rsidRPr="00FE41C2">
        <w:rPr>
          <w:sz w:val="18"/>
          <w:szCs w:val="18"/>
        </w:rPr>
        <w:t xml:space="preserve"> </w:t>
      </w:r>
      <w:r w:rsidRPr="00FE41C2">
        <w:rPr>
          <w:rFonts w:eastAsiaTheme="minorHAnsi"/>
          <w:color w:val="000000" w:themeColor="text1"/>
          <w:sz w:val="18"/>
          <w:szCs w:val="18"/>
        </w:rPr>
        <w:t xml:space="preserve">Robb, M.A., Racoosin, J.A., Sherman, R.E., Gross, T.P., Ball, R., Reichman, M.E., Midthun, K., and Woodcock, J. (2012). The U.S. Food and Drug Administration’s Sentinel Initiative: expanding the horizons of medical product safety. </w:t>
      </w:r>
      <w:r w:rsidRPr="00FE41C2">
        <w:rPr>
          <w:rFonts w:eastAsiaTheme="minorHAnsi"/>
          <w:i/>
          <w:iCs/>
          <w:color w:val="000000" w:themeColor="text1"/>
          <w:sz w:val="18"/>
          <w:szCs w:val="18"/>
        </w:rPr>
        <w:t>Pharmacoepidemiology and Drug Safety</w:t>
      </w:r>
      <w:r w:rsidRPr="00FE41C2">
        <w:rPr>
          <w:rFonts w:eastAsiaTheme="minorHAnsi"/>
          <w:color w:val="000000" w:themeColor="text1"/>
          <w:sz w:val="18"/>
          <w:szCs w:val="18"/>
        </w:rPr>
        <w:t xml:space="preserve">, </w:t>
      </w:r>
      <w:r w:rsidRPr="00FE41C2">
        <w:rPr>
          <w:rFonts w:eastAsiaTheme="minorHAnsi"/>
          <w:i/>
          <w:iCs/>
          <w:color w:val="000000" w:themeColor="text1"/>
          <w:sz w:val="18"/>
          <w:szCs w:val="18"/>
        </w:rPr>
        <w:t>21</w:t>
      </w:r>
      <w:r w:rsidRPr="00FE41C2">
        <w:rPr>
          <w:rFonts w:eastAsiaTheme="minorHAnsi"/>
          <w:color w:val="000000" w:themeColor="text1"/>
          <w:sz w:val="18"/>
          <w:szCs w:val="18"/>
        </w:rPr>
        <w:t>(S1), 9-11.</w:t>
      </w:r>
    </w:p>
  </w:footnote>
  <w:footnote w:id="5">
    <w:p w14:paraId="6B96A3A0" w14:textId="77777777" w:rsidR="00D46AA6" w:rsidRPr="00FE41C2" w:rsidRDefault="00D46AA6" w:rsidP="00D46AA6">
      <w:pPr>
        <w:spacing w:after="240" w:line="276" w:lineRule="auto"/>
        <w:jc w:val="both"/>
        <w:rPr>
          <w:rFonts w:eastAsiaTheme="minorHAnsi"/>
          <w:color w:val="000000" w:themeColor="text1"/>
          <w:sz w:val="18"/>
          <w:szCs w:val="18"/>
        </w:rPr>
      </w:pPr>
      <w:r w:rsidRPr="00FE41C2">
        <w:rPr>
          <w:rStyle w:val="FootnoteReference"/>
          <w:sz w:val="18"/>
          <w:szCs w:val="18"/>
        </w:rPr>
        <w:footnoteRef/>
      </w:r>
      <w:r w:rsidRPr="00FE41C2">
        <w:rPr>
          <w:sz w:val="18"/>
          <w:szCs w:val="18"/>
        </w:rPr>
        <w:t xml:space="preserve"> </w:t>
      </w:r>
      <w:r w:rsidRPr="00FE41C2">
        <w:rPr>
          <w:rFonts w:eastAsiaTheme="minorHAnsi"/>
          <w:color w:val="000000" w:themeColor="text1"/>
          <w:sz w:val="18"/>
          <w:szCs w:val="18"/>
        </w:rPr>
        <w:t xml:space="preserve">Popovic, J.R. (2017). Distributed data networks: a blueprint for big data sharing and healthcare analytics. </w:t>
      </w:r>
      <w:r w:rsidRPr="00FE41C2">
        <w:rPr>
          <w:rFonts w:eastAsiaTheme="minorHAnsi"/>
          <w:i/>
          <w:color w:val="000000" w:themeColor="text1"/>
          <w:sz w:val="18"/>
          <w:szCs w:val="18"/>
        </w:rPr>
        <w:t>Annals of the New York Academy of Sciences, 1387</w:t>
      </w:r>
      <w:r w:rsidRPr="00FE41C2">
        <w:rPr>
          <w:rFonts w:eastAsiaTheme="minorHAnsi"/>
          <w:color w:val="000000" w:themeColor="text1"/>
          <w:sz w:val="18"/>
          <w:szCs w:val="18"/>
        </w:rPr>
        <w:t>(1), 105-111.</w:t>
      </w:r>
    </w:p>
    <w:p w14:paraId="074C5970" w14:textId="5733AEC5" w:rsidR="00D46AA6" w:rsidRDefault="00D46AA6">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5CABE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2">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10">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2">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3490818"/>
    <w:multiLevelType w:val="hybridMultilevel"/>
    <w:tmpl w:val="527A6A5A"/>
    <w:lvl w:ilvl="0" w:tplc="4274E3A2">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00A3552"/>
    <w:multiLevelType w:val="hybridMultilevel"/>
    <w:tmpl w:val="89A05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2D9599F"/>
    <w:multiLevelType w:val="hybridMultilevel"/>
    <w:tmpl w:val="BF76B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9">
    <w:nsid w:val="6C0D07D9"/>
    <w:multiLevelType w:val="hybridMultilevel"/>
    <w:tmpl w:val="5C7699B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1">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2">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1"/>
  </w:num>
  <w:num w:numId="3">
    <w:abstractNumId w:val="20"/>
  </w:num>
  <w:num w:numId="4">
    <w:abstractNumId w:val="22"/>
  </w:num>
  <w:num w:numId="5">
    <w:abstractNumId w:val="5"/>
  </w:num>
  <w:num w:numId="6">
    <w:abstractNumId w:val="3"/>
  </w:num>
  <w:num w:numId="7">
    <w:abstractNumId w:val="11"/>
  </w:num>
  <w:num w:numId="8">
    <w:abstractNumId w:val="18"/>
  </w:num>
  <w:num w:numId="9">
    <w:abstractNumId w:val="12"/>
  </w:num>
  <w:num w:numId="10">
    <w:abstractNumId w:val="4"/>
  </w:num>
  <w:num w:numId="11">
    <w:abstractNumId w:val="6"/>
  </w:num>
  <w:num w:numId="12">
    <w:abstractNumId w:val="8"/>
  </w:num>
  <w:num w:numId="13">
    <w:abstractNumId w:val="2"/>
  </w:num>
  <w:num w:numId="14">
    <w:abstractNumId w:val="10"/>
  </w:num>
  <w:num w:numId="15">
    <w:abstractNumId w:val="19"/>
  </w:num>
  <w:num w:numId="16">
    <w:abstractNumId w:val="15"/>
  </w:num>
  <w:num w:numId="17">
    <w:abstractNumId w:val="1"/>
  </w:num>
  <w:num w:numId="18">
    <w:abstractNumId w:val="9"/>
  </w:num>
  <w:num w:numId="19">
    <w:abstractNumId w:val="7"/>
  </w:num>
  <w:num w:numId="20">
    <w:abstractNumId w:val="0"/>
  </w:num>
  <w:num w:numId="21">
    <w:abstractNumId w:val="17"/>
  </w:num>
  <w:num w:numId="22">
    <w:abstractNumId w:val="14"/>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F5B"/>
    <w:rsid w:val="000237E3"/>
    <w:rsid w:val="00033D86"/>
    <w:rsid w:val="000428C4"/>
    <w:rsid w:val="00077AE8"/>
    <w:rsid w:val="00080DA7"/>
    <w:rsid w:val="000A0E66"/>
    <w:rsid w:val="000A54B5"/>
    <w:rsid w:val="000B52E6"/>
    <w:rsid w:val="00130B2B"/>
    <w:rsid w:val="001330D7"/>
    <w:rsid w:val="00134482"/>
    <w:rsid w:val="001376D1"/>
    <w:rsid w:val="001432AE"/>
    <w:rsid w:val="001515CD"/>
    <w:rsid w:val="00151EBD"/>
    <w:rsid w:val="00157426"/>
    <w:rsid w:val="001676D4"/>
    <w:rsid w:val="001834F5"/>
    <w:rsid w:val="001977DC"/>
    <w:rsid w:val="001A1B20"/>
    <w:rsid w:val="001A441F"/>
    <w:rsid w:val="001B0D80"/>
    <w:rsid w:val="001D4084"/>
    <w:rsid w:val="001F0852"/>
    <w:rsid w:val="0020425A"/>
    <w:rsid w:val="0021053B"/>
    <w:rsid w:val="002219DD"/>
    <w:rsid w:val="002451ED"/>
    <w:rsid w:val="002541BA"/>
    <w:rsid w:val="0027429E"/>
    <w:rsid w:val="0027537F"/>
    <w:rsid w:val="00291381"/>
    <w:rsid w:val="002C46DB"/>
    <w:rsid w:val="002E2C45"/>
    <w:rsid w:val="00300844"/>
    <w:rsid w:val="00305C1A"/>
    <w:rsid w:val="00307977"/>
    <w:rsid w:val="00311FFC"/>
    <w:rsid w:val="0031461B"/>
    <w:rsid w:val="0031588B"/>
    <w:rsid w:val="00320DBA"/>
    <w:rsid w:val="00320FD8"/>
    <w:rsid w:val="00331A65"/>
    <w:rsid w:val="003349A5"/>
    <w:rsid w:val="0037375D"/>
    <w:rsid w:val="003A099D"/>
    <w:rsid w:val="003A1389"/>
    <w:rsid w:val="003B5514"/>
    <w:rsid w:val="003E22D7"/>
    <w:rsid w:val="003E253D"/>
    <w:rsid w:val="003F1C7A"/>
    <w:rsid w:val="003F6582"/>
    <w:rsid w:val="00403932"/>
    <w:rsid w:val="00421A22"/>
    <w:rsid w:val="004222E4"/>
    <w:rsid w:val="00423FC0"/>
    <w:rsid w:val="00427B14"/>
    <w:rsid w:val="00427DF3"/>
    <w:rsid w:val="00440DCC"/>
    <w:rsid w:val="004441C8"/>
    <w:rsid w:val="00451C2D"/>
    <w:rsid w:val="00466B22"/>
    <w:rsid w:val="00494400"/>
    <w:rsid w:val="004B6EC9"/>
    <w:rsid w:val="004C35B5"/>
    <w:rsid w:val="004D4B34"/>
    <w:rsid w:val="004D759A"/>
    <w:rsid w:val="004F169B"/>
    <w:rsid w:val="004F50F3"/>
    <w:rsid w:val="00500D70"/>
    <w:rsid w:val="00502930"/>
    <w:rsid w:val="00506D6F"/>
    <w:rsid w:val="005140CE"/>
    <w:rsid w:val="00515B88"/>
    <w:rsid w:val="00525D6B"/>
    <w:rsid w:val="00527FE9"/>
    <w:rsid w:val="005453E1"/>
    <w:rsid w:val="00554F89"/>
    <w:rsid w:val="00565D99"/>
    <w:rsid w:val="0056760C"/>
    <w:rsid w:val="0057037A"/>
    <w:rsid w:val="00590193"/>
    <w:rsid w:val="0059229E"/>
    <w:rsid w:val="005A1103"/>
    <w:rsid w:val="005C5AB0"/>
    <w:rsid w:val="005D6393"/>
    <w:rsid w:val="005F13F5"/>
    <w:rsid w:val="005F655F"/>
    <w:rsid w:val="00600B87"/>
    <w:rsid w:val="006029FD"/>
    <w:rsid w:val="00604D2F"/>
    <w:rsid w:val="00635FF9"/>
    <w:rsid w:val="00646229"/>
    <w:rsid w:val="006563BC"/>
    <w:rsid w:val="006623B6"/>
    <w:rsid w:val="006640BC"/>
    <w:rsid w:val="00670388"/>
    <w:rsid w:val="006821AC"/>
    <w:rsid w:val="00687880"/>
    <w:rsid w:val="006A22F2"/>
    <w:rsid w:val="006E19BF"/>
    <w:rsid w:val="006F4FBE"/>
    <w:rsid w:val="00700BDD"/>
    <w:rsid w:val="007027EC"/>
    <w:rsid w:val="0073167E"/>
    <w:rsid w:val="00744F5B"/>
    <w:rsid w:val="00783359"/>
    <w:rsid w:val="00790511"/>
    <w:rsid w:val="007A3FD1"/>
    <w:rsid w:val="007C0275"/>
    <w:rsid w:val="007C1653"/>
    <w:rsid w:val="007C561F"/>
    <w:rsid w:val="007D068A"/>
    <w:rsid w:val="007D2536"/>
    <w:rsid w:val="007D7115"/>
    <w:rsid w:val="007E2763"/>
    <w:rsid w:val="007E5EF8"/>
    <w:rsid w:val="00812981"/>
    <w:rsid w:val="0081342B"/>
    <w:rsid w:val="00835C99"/>
    <w:rsid w:val="0085116B"/>
    <w:rsid w:val="00867D63"/>
    <w:rsid w:val="00885611"/>
    <w:rsid w:val="00895649"/>
    <w:rsid w:val="008A5950"/>
    <w:rsid w:val="008A6905"/>
    <w:rsid w:val="008B6DF7"/>
    <w:rsid w:val="008C710D"/>
    <w:rsid w:val="00922F44"/>
    <w:rsid w:val="00926135"/>
    <w:rsid w:val="009356CB"/>
    <w:rsid w:val="00945328"/>
    <w:rsid w:val="009667C3"/>
    <w:rsid w:val="00974A13"/>
    <w:rsid w:val="00976F18"/>
    <w:rsid w:val="009B3263"/>
    <w:rsid w:val="009F0A4F"/>
    <w:rsid w:val="009F5AA5"/>
    <w:rsid w:val="00A009F4"/>
    <w:rsid w:val="00A32E06"/>
    <w:rsid w:val="00A333FF"/>
    <w:rsid w:val="00A43652"/>
    <w:rsid w:val="00A710AE"/>
    <w:rsid w:val="00A8508A"/>
    <w:rsid w:val="00AA071E"/>
    <w:rsid w:val="00AA46FF"/>
    <w:rsid w:val="00AB1CA9"/>
    <w:rsid w:val="00AC2E30"/>
    <w:rsid w:val="00B01F3B"/>
    <w:rsid w:val="00B0212C"/>
    <w:rsid w:val="00B35068"/>
    <w:rsid w:val="00B35A7B"/>
    <w:rsid w:val="00B41611"/>
    <w:rsid w:val="00B654D8"/>
    <w:rsid w:val="00B85163"/>
    <w:rsid w:val="00B913B9"/>
    <w:rsid w:val="00B96437"/>
    <w:rsid w:val="00BA26BF"/>
    <w:rsid w:val="00BF22FA"/>
    <w:rsid w:val="00C011A4"/>
    <w:rsid w:val="00C221D6"/>
    <w:rsid w:val="00C47EDC"/>
    <w:rsid w:val="00C80ACA"/>
    <w:rsid w:val="00C85401"/>
    <w:rsid w:val="00C97C45"/>
    <w:rsid w:val="00CA7A8A"/>
    <w:rsid w:val="00CD0E64"/>
    <w:rsid w:val="00CD7523"/>
    <w:rsid w:val="00CD78D3"/>
    <w:rsid w:val="00D46AA6"/>
    <w:rsid w:val="00D629B1"/>
    <w:rsid w:val="00D64ADC"/>
    <w:rsid w:val="00D71351"/>
    <w:rsid w:val="00D74E92"/>
    <w:rsid w:val="00D77E9E"/>
    <w:rsid w:val="00D86519"/>
    <w:rsid w:val="00D87B3C"/>
    <w:rsid w:val="00D90313"/>
    <w:rsid w:val="00D93469"/>
    <w:rsid w:val="00D9491E"/>
    <w:rsid w:val="00D95F55"/>
    <w:rsid w:val="00DB1E3E"/>
    <w:rsid w:val="00DE01B8"/>
    <w:rsid w:val="00DF5130"/>
    <w:rsid w:val="00E17D9E"/>
    <w:rsid w:val="00E220E4"/>
    <w:rsid w:val="00E26798"/>
    <w:rsid w:val="00E377D5"/>
    <w:rsid w:val="00E422F9"/>
    <w:rsid w:val="00E5147B"/>
    <w:rsid w:val="00E60ECA"/>
    <w:rsid w:val="00E750F6"/>
    <w:rsid w:val="00E75964"/>
    <w:rsid w:val="00E83E69"/>
    <w:rsid w:val="00E844D9"/>
    <w:rsid w:val="00E86CC0"/>
    <w:rsid w:val="00E871DA"/>
    <w:rsid w:val="00EB6C38"/>
    <w:rsid w:val="00EC19B4"/>
    <w:rsid w:val="00ED67D5"/>
    <w:rsid w:val="00EE559B"/>
    <w:rsid w:val="00EF1D63"/>
    <w:rsid w:val="00F04C49"/>
    <w:rsid w:val="00F04E7C"/>
    <w:rsid w:val="00F25B6B"/>
    <w:rsid w:val="00F31B72"/>
    <w:rsid w:val="00F3510C"/>
    <w:rsid w:val="00F36698"/>
    <w:rsid w:val="00F562CC"/>
    <w:rsid w:val="00F73A47"/>
    <w:rsid w:val="00FC45C3"/>
    <w:rsid w:val="00FD0796"/>
    <w:rsid w:val="00FD6707"/>
    <w:rsid w:val="00FE4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E28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uiPriority w:val="99"/>
    <w:rPr>
      <w:color w:val="0000FF"/>
      <w:u w:val="single"/>
    </w:rPr>
  </w:style>
  <w:style w:type="paragraph" w:customStyle="1" w:styleId="ColorfulList-Accent11">
    <w:name w:val="Colorful List - Accent 11"/>
    <w:basedOn w:val="Normal"/>
    <w:link w:val="ColorfulList-Accent1Char"/>
    <w:uiPriority w:val="34"/>
    <w:qFormat/>
    <w:rsid w:val="00E26798"/>
    <w:pPr>
      <w:ind w:left="720"/>
    </w:pPr>
  </w:style>
  <w:style w:type="paragraph" w:styleId="FootnoteText">
    <w:name w:val="footnote text"/>
    <w:basedOn w:val="Normal"/>
    <w:link w:val="FootnoteTextChar"/>
    <w:uiPriority w:val="99"/>
    <w:semiHidden/>
    <w:unhideWhenUsed/>
    <w:rsid w:val="00515B88"/>
    <w:rPr>
      <w:rFonts w:eastAsia="Calibri"/>
      <w:sz w:val="20"/>
      <w:szCs w:val="20"/>
    </w:rPr>
  </w:style>
  <w:style w:type="character" w:customStyle="1" w:styleId="FootnoteTextChar">
    <w:name w:val="Footnote Text Char"/>
    <w:link w:val="FootnoteText"/>
    <w:uiPriority w:val="99"/>
    <w:semiHidden/>
    <w:rsid w:val="00515B88"/>
    <w:rPr>
      <w:rFonts w:eastAsia="Calibri"/>
    </w:rPr>
  </w:style>
  <w:style w:type="character" w:styleId="FootnoteReference">
    <w:name w:val="footnote reference"/>
    <w:uiPriority w:val="99"/>
    <w:semiHidden/>
    <w:unhideWhenUsed/>
    <w:rsid w:val="00515B88"/>
    <w:rPr>
      <w:vertAlign w:val="superscript"/>
    </w:rPr>
  </w:style>
  <w:style w:type="character" w:styleId="CommentReference">
    <w:name w:val="annotation reference"/>
    <w:uiPriority w:val="99"/>
    <w:semiHidden/>
    <w:unhideWhenUsed/>
    <w:rsid w:val="00F31B72"/>
    <w:rPr>
      <w:sz w:val="16"/>
      <w:szCs w:val="16"/>
    </w:rPr>
  </w:style>
  <w:style w:type="paragraph" w:styleId="CommentText">
    <w:name w:val="annotation text"/>
    <w:basedOn w:val="Normal"/>
    <w:link w:val="CommentTextChar"/>
    <w:uiPriority w:val="99"/>
    <w:semiHidden/>
    <w:unhideWhenUsed/>
    <w:rsid w:val="00F31B72"/>
    <w:rPr>
      <w:sz w:val="20"/>
      <w:szCs w:val="20"/>
    </w:rPr>
  </w:style>
  <w:style w:type="character" w:customStyle="1" w:styleId="CommentTextChar">
    <w:name w:val="Comment Text Char"/>
    <w:basedOn w:val="DefaultParagraphFont"/>
    <w:link w:val="CommentText"/>
    <w:uiPriority w:val="99"/>
    <w:semiHidden/>
    <w:rsid w:val="00F31B72"/>
  </w:style>
  <w:style w:type="paragraph" w:styleId="CommentSubject">
    <w:name w:val="annotation subject"/>
    <w:basedOn w:val="CommentText"/>
    <w:next w:val="CommentText"/>
    <w:link w:val="CommentSubjectChar"/>
    <w:uiPriority w:val="99"/>
    <w:semiHidden/>
    <w:unhideWhenUsed/>
    <w:rsid w:val="00F31B72"/>
    <w:rPr>
      <w:b/>
      <w:bCs/>
    </w:rPr>
  </w:style>
  <w:style w:type="character" w:customStyle="1" w:styleId="CommentSubjectChar">
    <w:name w:val="Comment Subject Char"/>
    <w:link w:val="CommentSubject"/>
    <w:uiPriority w:val="99"/>
    <w:semiHidden/>
    <w:rsid w:val="00F31B72"/>
    <w:rPr>
      <w:b/>
      <w:bCs/>
    </w:rPr>
  </w:style>
  <w:style w:type="character" w:customStyle="1" w:styleId="ColorfulList-Accent1Char">
    <w:name w:val="Colorful List - Accent 1 Char"/>
    <w:link w:val="ColorfulList-Accent11"/>
    <w:uiPriority w:val="34"/>
    <w:locked/>
    <w:rsid w:val="00D95F55"/>
    <w:rPr>
      <w:sz w:val="24"/>
      <w:szCs w:val="24"/>
    </w:rPr>
  </w:style>
  <w:style w:type="table" w:styleId="TableGrid">
    <w:name w:val="Table Grid"/>
    <w:basedOn w:val="TableNormal"/>
    <w:uiPriority w:val="59"/>
    <w:rsid w:val="00670388"/>
    <w:rPr>
      <w:rFonts w:ascii="Calibri" w:eastAsia="MS Mincho"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45C3"/>
    <w:pPr>
      <w:ind w:left="720"/>
      <w:contextualSpacing/>
    </w:pPr>
  </w:style>
  <w:style w:type="character" w:styleId="FollowedHyperlink">
    <w:name w:val="FollowedHyperlink"/>
    <w:basedOn w:val="DefaultParagraphFont"/>
    <w:uiPriority w:val="99"/>
    <w:semiHidden/>
    <w:unhideWhenUsed/>
    <w:rsid w:val="004B6EC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uiPriority w:val="99"/>
    <w:rPr>
      <w:color w:val="0000FF"/>
      <w:u w:val="single"/>
    </w:rPr>
  </w:style>
  <w:style w:type="paragraph" w:customStyle="1" w:styleId="ColorfulList-Accent11">
    <w:name w:val="Colorful List - Accent 11"/>
    <w:basedOn w:val="Normal"/>
    <w:link w:val="ColorfulList-Accent1Char"/>
    <w:uiPriority w:val="34"/>
    <w:qFormat/>
    <w:rsid w:val="00E26798"/>
    <w:pPr>
      <w:ind w:left="720"/>
    </w:pPr>
  </w:style>
  <w:style w:type="paragraph" w:styleId="FootnoteText">
    <w:name w:val="footnote text"/>
    <w:basedOn w:val="Normal"/>
    <w:link w:val="FootnoteTextChar"/>
    <w:uiPriority w:val="99"/>
    <w:semiHidden/>
    <w:unhideWhenUsed/>
    <w:rsid w:val="00515B88"/>
    <w:rPr>
      <w:rFonts w:eastAsia="Calibri"/>
      <w:sz w:val="20"/>
      <w:szCs w:val="20"/>
    </w:rPr>
  </w:style>
  <w:style w:type="character" w:customStyle="1" w:styleId="FootnoteTextChar">
    <w:name w:val="Footnote Text Char"/>
    <w:link w:val="FootnoteText"/>
    <w:uiPriority w:val="99"/>
    <w:semiHidden/>
    <w:rsid w:val="00515B88"/>
    <w:rPr>
      <w:rFonts w:eastAsia="Calibri"/>
    </w:rPr>
  </w:style>
  <w:style w:type="character" w:styleId="FootnoteReference">
    <w:name w:val="footnote reference"/>
    <w:uiPriority w:val="99"/>
    <w:semiHidden/>
    <w:unhideWhenUsed/>
    <w:rsid w:val="00515B88"/>
    <w:rPr>
      <w:vertAlign w:val="superscript"/>
    </w:rPr>
  </w:style>
  <w:style w:type="character" w:styleId="CommentReference">
    <w:name w:val="annotation reference"/>
    <w:uiPriority w:val="99"/>
    <w:semiHidden/>
    <w:unhideWhenUsed/>
    <w:rsid w:val="00F31B72"/>
    <w:rPr>
      <w:sz w:val="16"/>
      <w:szCs w:val="16"/>
    </w:rPr>
  </w:style>
  <w:style w:type="paragraph" w:styleId="CommentText">
    <w:name w:val="annotation text"/>
    <w:basedOn w:val="Normal"/>
    <w:link w:val="CommentTextChar"/>
    <w:uiPriority w:val="99"/>
    <w:semiHidden/>
    <w:unhideWhenUsed/>
    <w:rsid w:val="00F31B72"/>
    <w:rPr>
      <w:sz w:val="20"/>
      <w:szCs w:val="20"/>
    </w:rPr>
  </w:style>
  <w:style w:type="character" w:customStyle="1" w:styleId="CommentTextChar">
    <w:name w:val="Comment Text Char"/>
    <w:basedOn w:val="DefaultParagraphFont"/>
    <w:link w:val="CommentText"/>
    <w:uiPriority w:val="99"/>
    <w:semiHidden/>
    <w:rsid w:val="00F31B72"/>
  </w:style>
  <w:style w:type="paragraph" w:styleId="CommentSubject">
    <w:name w:val="annotation subject"/>
    <w:basedOn w:val="CommentText"/>
    <w:next w:val="CommentText"/>
    <w:link w:val="CommentSubjectChar"/>
    <w:uiPriority w:val="99"/>
    <w:semiHidden/>
    <w:unhideWhenUsed/>
    <w:rsid w:val="00F31B72"/>
    <w:rPr>
      <w:b/>
      <w:bCs/>
    </w:rPr>
  </w:style>
  <w:style w:type="character" w:customStyle="1" w:styleId="CommentSubjectChar">
    <w:name w:val="Comment Subject Char"/>
    <w:link w:val="CommentSubject"/>
    <w:uiPriority w:val="99"/>
    <w:semiHidden/>
    <w:rsid w:val="00F31B72"/>
    <w:rPr>
      <w:b/>
      <w:bCs/>
    </w:rPr>
  </w:style>
  <w:style w:type="character" w:customStyle="1" w:styleId="ColorfulList-Accent1Char">
    <w:name w:val="Colorful List - Accent 1 Char"/>
    <w:link w:val="ColorfulList-Accent11"/>
    <w:uiPriority w:val="34"/>
    <w:locked/>
    <w:rsid w:val="00D95F55"/>
    <w:rPr>
      <w:sz w:val="24"/>
      <w:szCs w:val="24"/>
    </w:rPr>
  </w:style>
  <w:style w:type="table" w:styleId="TableGrid">
    <w:name w:val="Table Grid"/>
    <w:basedOn w:val="TableNormal"/>
    <w:uiPriority w:val="59"/>
    <w:rsid w:val="00670388"/>
    <w:rPr>
      <w:rFonts w:ascii="Calibri" w:eastAsia="MS Mincho"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45C3"/>
    <w:pPr>
      <w:ind w:left="720"/>
      <w:contextualSpacing/>
    </w:pPr>
  </w:style>
  <w:style w:type="character" w:styleId="FollowedHyperlink">
    <w:name w:val="FollowedHyperlink"/>
    <w:basedOn w:val="DefaultParagraphFont"/>
    <w:uiPriority w:val="99"/>
    <w:semiHidden/>
    <w:unhideWhenUsed/>
    <w:rsid w:val="004B6E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0412013">
      <w:bodyDiv w:val="1"/>
      <w:marLeft w:val="0"/>
      <w:marRight w:val="0"/>
      <w:marTop w:val="0"/>
      <w:marBottom w:val="0"/>
      <w:divBdr>
        <w:top w:val="none" w:sz="0" w:space="0" w:color="auto"/>
        <w:left w:val="none" w:sz="0" w:space="0" w:color="auto"/>
        <w:bottom w:val="none" w:sz="0" w:space="0" w:color="auto"/>
        <w:right w:val="none" w:sz="0" w:space="0" w:color="auto"/>
      </w:divBdr>
    </w:div>
    <w:div w:id="159620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nlm.nih.gov/bsd/licensee/2017_stats/2017_Totals.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cdc.gov/nssp/index.html" TargetMode="External"/><Relationship Id="rId1" Type="http://schemas.openxmlformats.org/officeDocument/2006/relationships/hyperlink" Target="https://www.nlm.nih.gov/bsd/licensee/2017_stats/2017_Total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57EC8-8A1A-435C-9012-77AFD0317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1284</Words>
  <Characters>7323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OMBMemoMERCPtP</vt:lpstr>
    </vt:vector>
  </TitlesOfParts>
  <Company>SSI</Company>
  <LinksUpToDate>false</LinksUpToDate>
  <CharactersWithSpaces>8590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OMBMemoMERCPtP</dc:title>
  <dc:subject>MERC OMB MEP</dc:subject>
  <dc:creator>Hillabrant</dc:creator>
  <cp:keywords>MERC OMB MEP</cp:keywords>
  <cp:lastModifiedBy>SYSTEM</cp:lastModifiedBy>
  <cp:revision>2</cp:revision>
  <cp:lastPrinted>2018-02-23T14:40:00Z</cp:lastPrinted>
  <dcterms:created xsi:type="dcterms:W3CDTF">2018-03-23T17:02:00Z</dcterms:created>
  <dcterms:modified xsi:type="dcterms:W3CDTF">2018-03-23T17:02:00Z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