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2E6B" w:rsidR="007C6079" w:rsidRDefault="00C13462" w14:paraId="64130638" w14:textId="77777777">
      <w:pPr>
        <w:spacing w:after="21" w:line="259" w:lineRule="auto"/>
        <w:ind w:left="43" w:firstLine="0"/>
      </w:pPr>
      <w:r w:rsidRPr="004A2E6B">
        <w:rPr>
          <w:rFonts w:eastAsia="Corbel" w:cs="Corbel"/>
          <w:color w:val="1F497D"/>
        </w:rPr>
        <w:t xml:space="preserve"> </w:t>
      </w:r>
    </w:p>
    <w:p w:rsidRPr="004A2E6B" w:rsidR="007C6079" w:rsidRDefault="00C13462" w14:paraId="48E272DA" w14:textId="77777777">
      <w:pPr>
        <w:spacing w:after="14" w:line="259" w:lineRule="auto"/>
        <w:ind w:left="43" w:firstLine="0"/>
      </w:pPr>
      <w:r w:rsidRPr="004A2E6B">
        <w:rPr>
          <w:b/>
        </w:rPr>
        <w:t xml:space="preserve"> </w:t>
      </w:r>
    </w:p>
    <w:p w:rsidRPr="004A2E6B" w:rsidR="007C6079" w:rsidRDefault="00C13462" w14:paraId="325CED3D" w14:textId="77777777">
      <w:pPr>
        <w:spacing w:after="16" w:line="259" w:lineRule="auto"/>
        <w:ind w:left="97" w:firstLine="0"/>
        <w:jc w:val="center"/>
      </w:pPr>
      <w:r w:rsidRPr="004A2E6B">
        <w:rPr>
          <w:b/>
        </w:rPr>
        <w:t xml:space="preserve"> </w:t>
      </w:r>
    </w:p>
    <w:p w:rsidRPr="004A2E6B" w:rsidR="007C6079" w:rsidRDefault="00C13462" w14:paraId="3206010C" w14:textId="77777777">
      <w:pPr>
        <w:spacing w:after="66" w:line="259" w:lineRule="auto"/>
        <w:ind w:left="97" w:firstLine="0"/>
        <w:jc w:val="center"/>
      </w:pPr>
      <w:r w:rsidRPr="004A2E6B">
        <w:rPr>
          <w:b/>
        </w:rPr>
        <w:t xml:space="preserve"> </w:t>
      </w:r>
    </w:p>
    <w:p w:rsidRPr="004A2E6B" w:rsidR="007C6079" w:rsidRDefault="00C13462" w14:paraId="2B62F291" w14:textId="77777777">
      <w:pPr>
        <w:spacing w:after="21" w:line="259" w:lineRule="auto"/>
        <w:ind w:left="110" w:firstLine="0"/>
        <w:jc w:val="center"/>
      </w:pPr>
      <w:r w:rsidRPr="004A2E6B">
        <w:rPr>
          <w:color w:val="0033CC"/>
        </w:rPr>
        <w:t xml:space="preserve"> </w:t>
      </w:r>
    </w:p>
    <w:p w:rsidRPr="004A2E6B" w:rsidR="007C6079" w:rsidRDefault="00C13462" w14:paraId="0E0069EA" w14:textId="77777777">
      <w:pPr>
        <w:spacing w:after="60" w:line="259" w:lineRule="auto"/>
        <w:ind w:left="110" w:firstLine="0"/>
        <w:jc w:val="center"/>
      </w:pPr>
      <w:r w:rsidRPr="004A2E6B">
        <w:rPr>
          <w:color w:val="0033CC"/>
        </w:rPr>
        <w:t xml:space="preserve"> </w:t>
      </w:r>
    </w:p>
    <w:p w:rsidRPr="004A2E6B" w:rsidR="007C6079" w:rsidRDefault="00C13462" w14:paraId="40EBE331" w14:textId="77777777">
      <w:pPr>
        <w:spacing w:after="25" w:line="259" w:lineRule="auto"/>
        <w:ind w:left="118" w:firstLine="0"/>
        <w:jc w:val="center"/>
      </w:pPr>
      <w:r w:rsidRPr="004A2E6B">
        <w:t xml:space="preserve"> </w:t>
      </w:r>
    </w:p>
    <w:p w:rsidRPr="004A2E6B" w:rsidR="007C6079" w:rsidRDefault="00C13462" w14:paraId="34779695" w14:textId="77777777">
      <w:pPr>
        <w:spacing w:after="102" w:line="259" w:lineRule="auto"/>
        <w:ind w:left="118" w:firstLine="0"/>
        <w:jc w:val="center"/>
      </w:pPr>
      <w:r w:rsidRPr="004A2E6B">
        <w:t xml:space="preserve"> </w:t>
      </w:r>
    </w:p>
    <w:p w:rsidRPr="004A2E6B" w:rsidR="000126C6" w:rsidRDefault="000126C6" w14:paraId="6AD8AC6A" w14:textId="77777777">
      <w:pPr>
        <w:spacing w:after="0" w:line="275" w:lineRule="auto"/>
        <w:ind w:left="0" w:firstLine="0"/>
        <w:jc w:val="center"/>
        <w:rPr>
          <w:b/>
        </w:rPr>
      </w:pPr>
      <w:r w:rsidRPr="004A2E6B">
        <w:rPr>
          <w:b/>
        </w:rPr>
        <w:t xml:space="preserve">Addressing the Opioid Crisis </w:t>
      </w:r>
    </w:p>
    <w:p w:rsidRPr="004A2E6B" w:rsidR="007C6079" w:rsidRDefault="000126C6" w14:paraId="155B59FE" w14:textId="77777777">
      <w:pPr>
        <w:spacing w:after="0" w:line="275" w:lineRule="auto"/>
        <w:ind w:left="0" w:firstLine="0"/>
        <w:jc w:val="center"/>
      </w:pPr>
      <w:r w:rsidRPr="004A2E6B">
        <w:rPr>
          <w:b/>
        </w:rPr>
        <w:t>in Communities of Color</w:t>
      </w:r>
    </w:p>
    <w:p w:rsidRPr="004A2E6B" w:rsidR="007C6079" w:rsidRDefault="00C13462" w14:paraId="6C9825EF" w14:textId="77777777">
      <w:pPr>
        <w:spacing w:after="11" w:line="259" w:lineRule="auto"/>
        <w:jc w:val="center"/>
      </w:pPr>
      <w:r w:rsidRPr="004A2E6B">
        <w:t xml:space="preserve">ASPE Generic Information Collection Request </w:t>
      </w:r>
    </w:p>
    <w:p w:rsidRPr="004A2E6B" w:rsidR="007C6079" w:rsidP="00773911" w:rsidRDefault="00773911" w14:paraId="23F438AA" w14:textId="77777777">
      <w:pPr>
        <w:spacing w:after="16" w:line="259" w:lineRule="auto"/>
        <w:ind w:left="43" w:firstLine="0"/>
        <w:jc w:val="center"/>
      </w:pPr>
      <w:r w:rsidRPr="004A2E6B">
        <w:t>OMB No. 0990-0421</w:t>
      </w:r>
    </w:p>
    <w:p w:rsidRPr="004A2E6B" w:rsidR="007C6079" w:rsidRDefault="00C13462" w14:paraId="6B2E8887" w14:textId="77777777">
      <w:pPr>
        <w:spacing w:after="14" w:line="259" w:lineRule="auto"/>
        <w:ind w:left="43" w:firstLine="0"/>
      </w:pPr>
      <w:r w:rsidRPr="004A2E6B">
        <w:rPr>
          <w:b/>
        </w:rPr>
        <w:t xml:space="preserve"> </w:t>
      </w:r>
    </w:p>
    <w:p w:rsidRPr="004A2E6B" w:rsidR="007C6079" w:rsidRDefault="00C13462" w14:paraId="73389AC7" w14:textId="77777777">
      <w:pPr>
        <w:spacing w:after="16" w:line="259" w:lineRule="auto"/>
        <w:ind w:left="43" w:firstLine="0"/>
      </w:pPr>
      <w:r w:rsidRPr="004A2E6B">
        <w:rPr>
          <w:b/>
        </w:rPr>
        <w:t xml:space="preserve"> </w:t>
      </w:r>
    </w:p>
    <w:p w:rsidRPr="004A2E6B" w:rsidR="007C6079" w:rsidRDefault="00C13462" w14:paraId="5D96A852" w14:textId="77777777">
      <w:pPr>
        <w:spacing w:after="107" w:line="259" w:lineRule="auto"/>
        <w:ind w:left="43" w:firstLine="0"/>
      </w:pPr>
      <w:r w:rsidRPr="004A2E6B">
        <w:rPr>
          <w:b/>
        </w:rPr>
        <w:t xml:space="preserve"> </w:t>
      </w:r>
    </w:p>
    <w:p w:rsidRPr="004A2E6B" w:rsidR="007C6079" w:rsidP="00E97D7F" w:rsidRDefault="00C13462" w14:paraId="77C43E82" w14:textId="037E628F">
      <w:pPr>
        <w:pStyle w:val="Heading1"/>
        <w:ind w:left="0"/>
        <w:jc w:val="center"/>
        <w:rPr>
          <w:sz w:val="22"/>
        </w:rPr>
      </w:pPr>
      <w:r w:rsidRPr="004A2E6B">
        <w:rPr>
          <w:sz w:val="22"/>
        </w:rPr>
        <w:t>Supporting Statement – Section A</w:t>
      </w:r>
    </w:p>
    <w:p w:rsidRPr="004A2E6B" w:rsidR="007C6079" w:rsidRDefault="00C13462" w14:paraId="3E9EF092" w14:textId="77777777">
      <w:pPr>
        <w:spacing w:after="16" w:line="259" w:lineRule="auto"/>
        <w:ind w:left="43" w:firstLine="0"/>
      </w:pPr>
      <w:r w:rsidRPr="004A2E6B">
        <w:rPr>
          <w:b/>
        </w:rPr>
        <w:t xml:space="preserve"> </w:t>
      </w:r>
    </w:p>
    <w:p w:rsidRPr="004A2E6B" w:rsidR="007C6079" w:rsidRDefault="00C13462" w14:paraId="727FE7E1" w14:textId="77777777">
      <w:pPr>
        <w:spacing w:after="14" w:line="259" w:lineRule="auto"/>
        <w:ind w:left="43" w:firstLine="0"/>
      </w:pPr>
      <w:r w:rsidRPr="004A2E6B">
        <w:rPr>
          <w:b/>
        </w:rPr>
        <w:t xml:space="preserve"> </w:t>
      </w:r>
    </w:p>
    <w:p w:rsidRPr="004A2E6B" w:rsidR="007C6079" w:rsidRDefault="00C13462" w14:paraId="2FEF9096" w14:textId="77777777">
      <w:pPr>
        <w:spacing w:after="16" w:line="259" w:lineRule="auto"/>
        <w:ind w:left="43" w:firstLine="0"/>
      </w:pPr>
      <w:r w:rsidRPr="004A2E6B">
        <w:rPr>
          <w:b/>
        </w:rPr>
        <w:t xml:space="preserve"> </w:t>
      </w:r>
    </w:p>
    <w:p w:rsidRPr="004A2E6B" w:rsidR="007C6079" w:rsidRDefault="00C13462" w14:paraId="148A890F" w14:textId="77777777">
      <w:pPr>
        <w:spacing w:after="16" w:line="259" w:lineRule="auto"/>
        <w:ind w:left="43" w:firstLine="0"/>
      </w:pPr>
      <w:r w:rsidRPr="004A2E6B">
        <w:rPr>
          <w:b/>
        </w:rPr>
        <w:t xml:space="preserve"> </w:t>
      </w:r>
    </w:p>
    <w:p w:rsidRPr="004A2E6B" w:rsidR="007C6079" w:rsidRDefault="00C13462" w14:paraId="21B8D1A1" w14:textId="77777777">
      <w:pPr>
        <w:spacing w:after="14" w:line="259" w:lineRule="auto"/>
        <w:ind w:left="43" w:firstLine="0"/>
      </w:pPr>
      <w:r w:rsidRPr="004A2E6B">
        <w:rPr>
          <w:b/>
        </w:rPr>
        <w:t xml:space="preserve"> </w:t>
      </w:r>
    </w:p>
    <w:p w:rsidRPr="004A2E6B" w:rsidR="007C6079" w:rsidRDefault="00C13462" w14:paraId="4A4EC469" w14:textId="77777777">
      <w:pPr>
        <w:spacing w:after="16" w:line="259" w:lineRule="auto"/>
        <w:ind w:left="43" w:firstLine="0"/>
      </w:pPr>
      <w:r w:rsidRPr="004A2E6B">
        <w:rPr>
          <w:b/>
        </w:rPr>
        <w:t xml:space="preserve"> </w:t>
      </w:r>
    </w:p>
    <w:p w:rsidRPr="004A2E6B" w:rsidR="007C6079" w:rsidRDefault="00C13462" w14:paraId="4AD1CF74" w14:textId="4A42DCBE">
      <w:pPr>
        <w:spacing w:after="14" w:line="259" w:lineRule="auto"/>
        <w:ind w:left="50" w:firstLine="0"/>
        <w:jc w:val="center"/>
      </w:pPr>
      <w:r w:rsidRPr="004A2E6B">
        <w:rPr>
          <w:b/>
        </w:rPr>
        <w:t>Submitted:</w:t>
      </w:r>
      <w:r w:rsidRPr="004A2E6B">
        <w:t xml:space="preserve"> </w:t>
      </w:r>
      <w:r w:rsidRPr="004A2E6B" w:rsidR="00C8769B">
        <w:t>January 13</w:t>
      </w:r>
      <w:r w:rsidRPr="004A2E6B" w:rsidR="00C26CED">
        <w:t>, 2020</w:t>
      </w:r>
    </w:p>
    <w:p w:rsidRPr="004A2E6B" w:rsidR="007C6079" w:rsidRDefault="00C13462" w14:paraId="6E1070C7" w14:textId="77777777">
      <w:pPr>
        <w:spacing w:after="16" w:line="259" w:lineRule="auto"/>
        <w:ind w:left="43" w:firstLine="0"/>
      </w:pPr>
      <w:r w:rsidRPr="004A2E6B">
        <w:rPr>
          <w:b/>
        </w:rPr>
        <w:t xml:space="preserve"> </w:t>
      </w:r>
    </w:p>
    <w:p w:rsidRPr="004A2E6B" w:rsidR="007C6079" w:rsidRDefault="00C13462" w14:paraId="07C361C1" w14:textId="77777777">
      <w:pPr>
        <w:spacing w:after="16" w:line="259" w:lineRule="auto"/>
        <w:ind w:left="43" w:firstLine="0"/>
      </w:pPr>
      <w:r w:rsidRPr="004A2E6B">
        <w:rPr>
          <w:b/>
        </w:rPr>
        <w:t xml:space="preserve"> </w:t>
      </w:r>
    </w:p>
    <w:p w:rsidRPr="004A2E6B" w:rsidR="007C6079" w:rsidRDefault="00C13462" w14:paraId="6D89EC79" w14:textId="77777777">
      <w:pPr>
        <w:spacing w:after="14" w:line="259" w:lineRule="auto"/>
        <w:ind w:left="43" w:firstLine="0"/>
      </w:pPr>
      <w:r w:rsidRPr="004A2E6B">
        <w:rPr>
          <w:b/>
        </w:rPr>
        <w:t xml:space="preserve"> </w:t>
      </w:r>
    </w:p>
    <w:p w:rsidRPr="004A2E6B" w:rsidR="007C6079" w:rsidRDefault="00C13462" w14:paraId="5F41C31C" w14:textId="77777777">
      <w:pPr>
        <w:spacing w:after="16" w:line="259" w:lineRule="auto"/>
        <w:ind w:left="43" w:firstLine="0"/>
      </w:pPr>
      <w:r w:rsidRPr="004A2E6B">
        <w:rPr>
          <w:b/>
        </w:rPr>
        <w:t xml:space="preserve"> </w:t>
      </w:r>
    </w:p>
    <w:p w:rsidRPr="004A2E6B" w:rsidR="007C6079" w:rsidRDefault="00C13462" w14:paraId="78E6EB66" w14:textId="77777777">
      <w:pPr>
        <w:spacing w:after="14" w:line="259" w:lineRule="auto"/>
        <w:ind w:left="43" w:firstLine="0"/>
      </w:pPr>
      <w:r w:rsidRPr="004A2E6B">
        <w:rPr>
          <w:b/>
        </w:rPr>
        <w:t xml:space="preserve"> </w:t>
      </w:r>
    </w:p>
    <w:p w:rsidR="007C6079" w:rsidRDefault="00C13462" w14:paraId="4DE1AD47" w14:textId="096CAE0B">
      <w:pPr>
        <w:spacing w:after="25" w:line="259" w:lineRule="auto"/>
        <w:ind w:left="43" w:firstLine="0"/>
        <w:rPr>
          <w:b/>
        </w:rPr>
      </w:pPr>
      <w:r w:rsidRPr="004A2E6B">
        <w:rPr>
          <w:b/>
        </w:rPr>
        <w:t xml:space="preserve"> </w:t>
      </w:r>
    </w:p>
    <w:p w:rsidR="00E97D7F" w:rsidRDefault="00E97D7F" w14:paraId="295D9BC3" w14:textId="072D516C">
      <w:pPr>
        <w:spacing w:after="25" w:line="259" w:lineRule="auto"/>
        <w:ind w:left="43" w:firstLine="0"/>
        <w:rPr>
          <w:b/>
        </w:rPr>
      </w:pPr>
    </w:p>
    <w:p w:rsidR="00E97D7F" w:rsidRDefault="00E97D7F" w14:paraId="70995DF2" w14:textId="7D1780AD">
      <w:pPr>
        <w:spacing w:after="25" w:line="259" w:lineRule="auto"/>
        <w:ind w:left="43" w:firstLine="0"/>
        <w:rPr>
          <w:b/>
        </w:rPr>
      </w:pPr>
    </w:p>
    <w:p w:rsidR="00E97D7F" w:rsidRDefault="00E97D7F" w14:paraId="09B07466" w14:textId="10F5D7B2">
      <w:pPr>
        <w:spacing w:after="25" w:line="259" w:lineRule="auto"/>
        <w:ind w:left="43" w:firstLine="0"/>
        <w:rPr>
          <w:b/>
        </w:rPr>
      </w:pPr>
    </w:p>
    <w:p w:rsidR="00E97D7F" w:rsidRDefault="00E97D7F" w14:paraId="42607046" w14:textId="145F423C">
      <w:pPr>
        <w:spacing w:after="25" w:line="259" w:lineRule="auto"/>
        <w:ind w:left="43" w:firstLine="0"/>
        <w:rPr>
          <w:b/>
        </w:rPr>
      </w:pPr>
    </w:p>
    <w:p w:rsidR="00E97D7F" w:rsidRDefault="00E97D7F" w14:paraId="257CC068" w14:textId="1125B650">
      <w:pPr>
        <w:spacing w:after="25" w:line="259" w:lineRule="auto"/>
        <w:ind w:left="43" w:firstLine="0"/>
        <w:rPr>
          <w:b/>
        </w:rPr>
      </w:pPr>
    </w:p>
    <w:p w:rsidR="00E97D7F" w:rsidRDefault="00E97D7F" w14:paraId="6ECFDD85" w14:textId="79CBDC12">
      <w:pPr>
        <w:spacing w:after="25" w:line="259" w:lineRule="auto"/>
        <w:ind w:left="43" w:firstLine="0"/>
        <w:rPr>
          <w:b/>
        </w:rPr>
      </w:pPr>
    </w:p>
    <w:p w:rsidR="00E97D7F" w:rsidRDefault="00E97D7F" w14:paraId="1CC68A70" w14:textId="2B263781">
      <w:pPr>
        <w:spacing w:after="25" w:line="259" w:lineRule="auto"/>
        <w:ind w:left="43" w:firstLine="0"/>
        <w:rPr>
          <w:b/>
        </w:rPr>
      </w:pPr>
    </w:p>
    <w:p w:rsidRPr="004A2E6B" w:rsidR="007C6079" w:rsidRDefault="00C13462" w14:paraId="65C15522" w14:textId="0843A7F0">
      <w:pPr>
        <w:tabs>
          <w:tab w:val="center" w:pos="3644"/>
        </w:tabs>
        <w:spacing w:after="12" w:line="259" w:lineRule="auto"/>
        <w:ind w:left="0" w:firstLine="0"/>
      </w:pPr>
      <w:r w:rsidRPr="004A2E6B">
        <w:rPr>
          <w:b/>
          <w:u w:val="single" w:color="000000"/>
        </w:rPr>
        <w:t>Program Official/Project Officer</w:t>
      </w:r>
      <w:r w:rsidRPr="004A2E6B" w:rsidR="00C26CED">
        <w:rPr>
          <w:b/>
          <w:u w:val="single" w:color="000000"/>
        </w:rPr>
        <w:t>:  Annette Waters</w:t>
      </w:r>
    </w:p>
    <w:p w:rsidRPr="004A2E6B" w:rsidR="007C6079" w:rsidP="004672E6" w:rsidRDefault="00C13462" w14:paraId="44EBD91C" w14:textId="77777777">
      <w:pPr>
        <w:ind w:left="0" w:firstLine="0"/>
      </w:pPr>
      <w:r w:rsidRPr="004A2E6B">
        <w:t xml:space="preserve">U.S. Department of Health and Human Services </w:t>
      </w:r>
    </w:p>
    <w:p w:rsidRPr="004A2E6B" w:rsidR="007C6079" w:rsidP="004672E6" w:rsidRDefault="00C13462" w14:paraId="26F4E642" w14:textId="77777777">
      <w:pPr>
        <w:ind w:left="0" w:firstLine="0"/>
      </w:pPr>
      <w:r w:rsidRPr="004A2E6B">
        <w:t xml:space="preserve">Office of the Assistant Secretary for Planning and Evaluation </w:t>
      </w:r>
    </w:p>
    <w:p w:rsidRPr="004A2E6B" w:rsidR="007C6079" w:rsidP="004672E6" w:rsidRDefault="00C13462" w14:paraId="1C3238B6" w14:textId="77777777">
      <w:pPr>
        <w:ind w:left="0" w:firstLine="0"/>
      </w:pPr>
      <w:r w:rsidRPr="004A2E6B">
        <w:t xml:space="preserve">200 Independence Avenue, SW, Washington, D.C. 20201 </w:t>
      </w:r>
    </w:p>
    <w:p w:rsidRPr="004A2E6B" w:rsidR="007C6079" w:rsidP="004672E6" w:rsidRDefault="000126C6" w14:paraId="4DB66393" w14:textId="425DC6F6">
      <w:pPr>
        <w:ind w:left="0" w:firstLine="0"/>
      </w:pPr>
      <w:r w:rsidRPr="004A2E6B">
        <w:t>Phone Number</w:t>
      </w:r>
      <w:r w:rsidRPr="004A2E6B" w:rsidR="00C26CED">
        <w:t>: 202-260-0196</w:t>
      </w:r>
    </w:p>
    <w:p w:rsidRPr="004A2E6B" w:rsidR="007C6079" w:rsidP="004672E6" w:rsidRDefault="00C13462" w14:paraId="6916E6DA" w14:textId="29DB9919">
      <w:pPr>
        <w:ind w:left="0" w:firstLine="0"/>
      </w:pPr>
      <w:r w:rsidRPr="004A2E6B">
        <w:t>Fax Number</w:t>
      </w:r>
      <w:r w:rsidRPr="004A2E6B" w:rsidR="00C26CED">
        <w:t>: 202-260-7373</w:t>
      </w:r>
    </w:p>
    <w:p w:rsidRPr="004A2E6B" w:rsidR="007C6079" w:rsidP="004672E6" w:rsidRDefault="000126C6" w14:paraId="2EA31AFA" w14:textId="5D70503C">
      <w:pPr>
        <w:ind w:left="0" w:firstLine="0"/>
      </w:pPr>
      <w:r w:rsidRPr="004A2E6B">
        <w:t>Email</w:t>
      </w:r>
      <w:r w:rsidRPr="004A2E6B" w:rsidR="00C26CED">
        <w:t>: annette.waters@hhs.gov</w:t>
      </w:r>
    </w:p>
    <w:p w:rsidRPr="004A2E6B" w:rsidR="007C6079" w:rsidRDefault="00C13462" w14:paraId="4C58A529" w14:textId="77777777">
      <w:pPr>
        <w:pStyle w:val="Heading2"/>
        <w:ind w:left="-5"/>
        <w:rPr>
          <w:sz w:val="22"/>
        </w:rPr>
      </w:pPr>
      <w:r w:rsidRPr="004A2E6B">
        <w:rPr>
          <w:sz w:val="22"/>
        </w:rPr>
        <w:lastRenderedPageBreak/>
        <w:t xml:space="preserve">Section A – Justification </w:t>
      </w:r>
    </w:p>
    <w:p w:rsidRPr="004A2E6B" w:rsidR="004E3B4A" w:rsidP="004E3B4A" w:rsidRDefault="00C13462" w14:paraId="1039F124" w14:textId="77777777">
      <w:pPr>
        <w:spacing w:after="44" w:line="259" w:lineRule="auto"/>
        <w:ind w:left="43" w:firstLine="0"/>
        <w:rPr>
          <w:b/>
        </w:rPr>
      </w:pPr>
      <w:r w:rsidRPr="004A2E6B">
        <w:rPr>
          <w:b/>
        </w:rPr>
        <w:t xml:space="preserve"> </w:t>
      </w:r>
    </w:p>
    <w:p w:rsidRPr="004A2E6B" w:rsidR="007C6079" w:rsidP="004E3B4A" w:rsidRDefault="00C13462" w14:paraId="3F7BC47F" w14:textId="2D9D8D14">
      <w:pPr>
        <w:spacing w:after="44" w:line="259" w:lineRule="auto"/>
        <w:ind w:left="43" w:firstLine="0"/>
      </w:pPr>
      <w:r w:rsidRPr="004A2E6B">
        <w:rPr>
          <w:b/>
        </w:rPr>
        <w:t>1.</w:t>
      </w:r>
      <w:r w:rsidRPr="004A2E6B">
        <w:rPr>
          <w:rFonts w:eastAsia="Arial" w:cs="Arial"/>
          <w:b/>
        </w:rPr>
        <w:t xml:space="preserve"> </w:t>
      </w:r>
      <w:r w:rsidRPr="004A2E6B">
        <w:rPr>
          <w:b/>
        </w:rPr>
        <w:t xml:space="preserve">Circumstances Making the Collection of Information Necessary </w:t>
      </w:r>
    </w:p>
    <w:p w:rsidRPr="004A2E6B" w:rsidR="007C6079" w:rsidRDefault="00C13462" w14:paraId="0A2E1E12" w14:textId="77777777">
      <w:pPr>
        <w:spacing w:after="14" w:line="259" w:lineRule="auto"/>
        <w:ind w:left="763" w:firstLine="0"/>
      </w:pPr>
      <w:r w:rsidRPr="004A2E6B">
        <w:rPr>
          <w:b/>
        </w:rPr>
        <w:t xml:space="preserve"> </w:t>
      </w:r>
    </w:p>
    <w:p w:rsidRPr="004A2E6B" w:rsidR="007C6079" w:rsidP="007F5187" w:rsidRDefault="00C13462" w14:paraId="26445B87" w14:textId="77777777">
      <w:pPr>
        <w:spacing w:after="8" w:line="267" w:lineRule="auto"/>
        <w:ind w:firstLine="659"/>
      </w:pPr>
      <w:r w:rsidRPr="004A2E6B">
        <w:rPr>
          <w:b/>
        </w:rPr>
        <w:t xml:space="preserve">Background </w:t>
      </w:r>
    </w:p>
    <w:p w:rsidRPr="004A2E6B" w:rsidR="000126C6" w:rsidP="007F5187" w:rsidRDefault="000126C6" w14:paraId="27780C5B" w14:textId="7ADCAAB5">
      <w:pPr>
        <w:shd w:val="clear" w:color="auto" w:fill="FFFFFF"/>
        <w:spacing w:after="300" w:line="240" w:lineRule="auto"/>
        <w:ind w:left="720" w:firstLine="0"/>
      </w:pPr>
      <w:r w:rsidRPr="004A2E6B">
        <w:t xml:space="preserve">The misuse of </w:t>
      </w:r>
      <w:r w:rsidR="00D65F41">
        <w:t>illicit substances</w:t>
      </w:r>
      <w:r w:rsidRPr="004A2E6B">
        <w:t xml:space="preserve">, addiction, and </w:t>
      </w:r>
      <w:r w:rsidR="00D65F41">
        <w:t>drug</w:t>
      </w:r>
      <w:r w:rsidRPr="004A2E6B">
        <w:t xml:space="preserve">-related overdose deaths </w:t>
      </w:r>
      <w:r w:rsidRPr="004A2E6B" w:rsidR="004C6E45">
        <w:t>are</w:t>
      </w:r>
      <w:r w:rsidRPr="004A2E6B">
        <w:t xml:space="preserve"> a national </w:t>
      </w:r>
      <w:r w:rsidRPr="001C3DBE">
        <w:t xml:space="preserve">crisis that affects public health. </w:t>
      </w:r>
      <w:r w:rsidRPr="001C3DBE" w:rsidR="001C3DBE">
        <w:rPr>
          <w:rFonts w:cs="Segoe UI"/>
          <w:shd w:val="clear" w:color="auto" w:fill="FFFFFF"/>
        </w:rPr>
        <w:t>In 2018, there were 67,367 drug overdose deaths in the United States.</w:t>
      </w:r>
      <w:r w:rsidR="001C3DBE">
        <w:rPr>
          <w:rStyle w:val="FootnoteReference"/>
          <w:rFonts w:cs="Segoe UI"/>
          <w:shd w:val="clear" w:color="auto" w:fill="FFFFFF"/>
        </w:rPr>
        <w:footnoteReference w:id="1"/>
      </w:r>
      <w:r w:rsidR="001C3DBE">
        <w:rPr>
          <w:rFonts w:ascii="Segoe UI" w:hAnsi="Segoe UI" w:cs="Segoe UI"/>
          <w:sz w:val="26"/>
          <w:szCs w:val="26"/>
          <w:shd w:val="clear" w:color="auto" w:fill="FFFFFF"/>
        </w:rPr>
        <w:t xml:space="preserve"> </w:t>
      </w:r>
      <w:r w:rsidRPr="004A2E6B">
        <w:t xml:space="preserve">Each day, </w:t>
      </w:r>
      <w:r w:rsidR="009222E9">
        <w:t>128</w:t>
      </w:r>
      <w:r w:rsidRPr="004A2E6B">
        <w:t xml:space="preserve"> people die after overdosing on opioids.</w:t>
      </w:r>
      <w:r w:rsidR="009222E9">
        <w:rPr>
          <w:rStyle w:val="FootnoteReference"/>
        </w:rPr>
        <w:footnoteReference w:id="2"/>
      </w:r>
      <w:r w:rsidRPr="004A2E6B">
        <w:t xml:space="preserve"> Racial and ethnic minority populations are especially affected, with</w:t>
      </w:r>
      <w:r w:rsidR="001C3DBE">
        <w:t xml:space="preserve"> 10.8% of American Indians/Alaska Natives with a</w:t>
      </w:r>
      <w:r w:rsidRPr="004A2E6B">
        <w:t xml:space="preserve"> </w:t>
      </w:r>
      <w:r w:rsidR="001C3DBE">
        <w:t>substance use disorder</w:t>
      </w:r>
      <w:r w:rsidR="00784D8D">
        <w:t xml:space="preserve"> (SUD)</w:t>
      </w:r>
      <w:r w:rsidR="001C3DBE">
        <w:t xml:space="preserve"> (compared to 7.8% national average), </w:t>
      </w:r>
      <w:r w:rsidRPr="004A2E6B">
        <w:t xml:space="preserve">opioid misuse rates highest among </w:t>
      </w:r>
      <w:r w:rsidR="00D65F41">
        <w:t>Native Hawaiians and Pacific Islanders</w:t>
      </w:r>
      <w:r w:rsidRPr="004A2E6B">
        <w:t xml:space="preserve"> and opioid overdose death rates increasing fastest among African American</w:t>
      </w:r>
      <w:r w:rsidRPr="004A2E6B">
        <w:rPr>
          <w:rFonts w:cstheme="majorHAnsi"/>
        </w:rPr>
        <w:t>s in recent years.</w:t>
      </w:r>
      <w:r w:rsidR="00AA690E">
        <w:rPr>
          <w:rStyle w:val="FootnoteReference"/>
          <w:rFonts w:cstheme="majorHAnsi"/>
        </w:rPr>
        <w:footnoteReference w:id="3"/>
      </w:r>
      <w:r w:rsidRPr="00AA690E" w:rsidR="00AA690E">
        <w:rPr>
          <w:rFonts w:cstheme="majorHAnsi"/>
          <w:vertAlign w:val="superscript"/>
        </w:rPr>
        <w:t>,</w:t>
      </w:r>
      <w:r w:rsidR="009222E9">
        <w:rPr>
          <w:rStyle w:val="FootnoteReference"/>
          <w:rFonts w:cstheme="majorHAnsi"/>
        </w:rPr>
        <w:footnoteReference w:id="4"/>
      </w:r>
      <w:r w:rsidRPr="00D65F41" w:rsidR="00D65F41">
        <w:rPr>
          <w:rFonts w:cstheme="majorHAnsi"/>
          <w:vertAlign w:val="superscript"/>
        </w:rPr>
        <w:t>,</w:t>
      </w:r>
      <w:r w:rsidR="00D65F41">
        <w:rPr>
          <w:rStyle w:val="FootnoteReference"/>
          <w:rFonts w:cstheme="majorHAnsi"/>
        </w:rPr>
        <w:footnoteReference w:id="5"/>
      </w:r>
      <w:r w:rsidRPr="004A2E6B">
        <w:rPr>
          <w:rFonts w:cstheme="majorHAnsi"/>
        </w:rPr>
        <w:t xml:space="preserve"> </w:t>
      </w:r>
      <w:r w:rsidRPr="004A2E6B">
        <w:t>Use of other illicit substances, such as cocaine and methamphetamines, and polysubstance use are also growing concerns.</w:t>
      </w:r>
      <w:r w:rsidR="00D65F41">
        <w:rPr>
          <w:rStyle w:val="FootnoteReference"/>
        </w:rPr>
        <w:footnoteReference w:id="6"/>
      </w:r>
      <w:r w:rsidRPr="004A2E6B">
        <w:t xml:space="preserve"> Combined with persistent behavioral health disparities, stigma and systemic factors, substance use- and opioid-related issues pose a great risk for worsening health disparities and health outcomes for racial/ethnic minority populations.</w:t>
      </w:r>
      <w:r w:rsidR="00D65F41">
        <w:rPr>
          <w:rStyle w:val="FootnoteReference"/>
        </w:rPr>
        <w:footnoteReference w:id="7"/>
      </w:r>
      <w:r w:rsidR="004D0FE2">
        <w:t xml:space="preserve"> </w:t>
      </w:r>
      <w:r w:rsidRPr="004A2E6B" w:rsidR="004D0FE2">
        <w:rPr>
          <w:rFonts w:cstheme="majorHAnsi"/>
        </w:rPr>
        <w:t xml:space="preserve">Reducing opioid-related death is a secretarial priority and this research fall under HHS’s </w:t>
      </w:r>
      <w:r w:rsidRPr="004A2E6B" w:rsidR="004D0FE2">
        <w:rPr>
          <w:rFonts w:eastAsia="Times New Roman" w:cstheme="majorHAnsi"/>
        </w:rPr>
        <w:t>Strategic Goal 2: Protecting the Health of Americans Where They Live, Learn, Work, and Play.</w:t>
      </w:r>
    </w:p>
    <w:p w:rsidR="00784D8D" w:rsidP="00874FA0" w:rsidRDefault="000126C6" w14:paraId="724C7247" w14:textId="5138BEF8">
      <w:pPr>
        <w:ind w:left="710" w:firstLine="0"/>
        <w:sectPr w:rsidR="00784D8D" w:rsidSect="00784D8D">
          <w:footerReference w:type="even" r:id="rId8"/>
          <w:footerReference w:type="default" r:id="rId9"/>
          <w:footerReference w:type="first" r:id="rId10"/>
          <w:type w:val="continuous"/>
          <w:pgSz w:w="12240" w:h="15840"/>
          <w:pgMar w:top="1440" w:right="2103" w:bottom="1440" w:left="1440" w:header="720" w:footer="719" w:gutter="0"/>
          <w:cols w:space="720"/>
        </w:sectPr>
      </w:pPr>
      <w:r w:rsidRPr="004A2E6B">
        <w:t xml:space="preserve">Treatment disparities appear to contribute to the disproportionate impact of </w:t>
      </w:r>
      <w:r w:rsidRPr="004A2E6B" w:rsidR="000E6CD7">
        <w:t>SUD</w:t>
      </w:r>
      <w:r w:rsidRPr="004A2E6B">
        <w:t xml:space="preserve"> for rac</w:t>
      </w:r>
      <w:r w:rsidR="0070424D">
        <w:t>ial</w:t>
      </w:r>
      <w:r w:rsidRPr="004A2E6B">
        <w:t xml:space="preserve"> and ethnic minority populations.</w:t>
      </w:r>
      <w:r w:rsidR="00784D8D">
        <w:rPr>
          <w:rStyle w:val="FootnoteReference"/>
        </w:rPr>
        <w:footnoteReference w:id="8"/>
      </w:r>
      <w:r w:rsidR="00784D8D">
        <w:rPr>
          <w:rStyle w:val="FootnoteReference"/>
        </w:rPr>
        <w:footnoteReference w:id="9"/>
      </w:r>
      <w:r w:rsidRPr="004A2E6B">
        <w:t xml:space="preserve"> </w:t>
      </w:r>
      <w:r w:rsidR="00AA690E">
        <w:t xml:space="preserve">Among individuals with SUD, 89.8% do not </w:t>
      </w:r>
      <w:r w:rsidR="00AA690E">
        <w:lastRenderedPageBreak/>
        <w:t>receive treatment.</w:t>
      </w:r>
      <w:r w:rsidR="00AA690E">
        <w:rPr>
          <w:rStyle w:val="FootnoteReference"/>
        </w:rPr>
        <w:footnoteReference w:id="10"/>
      </w:r>
      <w:r w:rsidR="00AA690E">
        <w:t xml:space="preserve"> Among racial/ethnic minority populations with SUD, Asian Americans, Native Hawaiians and Pacific Islanders (AANHPI) are least likely to receive treatment (96.2% do not).</w:t>
      </w:r>
      <w:r w:rsidR="00784D8D">
        <w:rPr>
          <w:rStyle w:val="FootnoteReference"/>
        </w:rPr>
        <w:footnoteReference w:id="11"/>
      </w:r>
    </w:p>
    <w:p w:rsidR="000126C6" w:rsidP="00874FA0" w:rsidRDefault="00AA690E" w14:paraId="173A1F59" w14:textId="09030FDB">
      <w:pPr>
        <w:ind w:left="710" w:firstLine="0"/>
      </w:pPr>
      <w:r>
        <w:t xml:space="preserve"> </w:t>
      </w:r>
      <w:r w:rsidRPr="004A2E6B" w:rsidR="000126C6">
        <w:t xml:space="preserve">Among individuals with </w:t>
      </w:r>
      <w:r w:rsidRPr="004A2E6B" w:rsidR="0017463E">
        <w:t xml:space="preserve">an </w:t>
      </w:r>
      <w:r w:rsidRPr="004A2E6B" w:rsidR="000E6CD7">
        <w:t>opioid use disorder (</w:t>
      </w:r>
      <w:r w:rsidRPr="004A2E6B" w:rsidR="000126C6">
        <w:t>OUD</w:t>
      </w:r>
      <w:r w:rsidRPr="004A2E6B" w:rsidR="000E6CD7">
        <w:t>)</w:t>
      </w:r>
      <w:r w:rsidRPr="004A2E6B" w:rsidR="000126C6">
        <w:t xml:space="preserve"> who need treatment, only about 1 in 5 (19.4%) receive opioid-related treatment</w:t>
      </w:r>
      <w:r w:rsidRPr="004A2E6B" w:rsidR="003E01BE">
        <w:rPr>
          <w:rStyle w:val="FootnoteReference"/>
        </w:rPr>
        <w:footnoteReference w:id="12"/>
      </w:r>
      <w:r w:rsidRPr="004A2E6B" w:rsidR="000126C6">
        <w:t xml:space="preserve">. </w:t>
      </w:r>
      <w:r w:rsidR="00642346">
        <w:t xml:space="preserve"> </w:t>
      </w:r>
      <w:r>
        <w:t>AANHPIs</w:t>
      </w:r>
      <w:r w:rsidRPr="004A2E6B" w:rsidR="000126C6">
        <w:t xml:space="preserve"> with OUD are even less likely to receive opioid-specific treatment, at 1.24%. A recent study found that non-Hispanic Whites were 35 times more likely to have a buprenorphine-related visit than Blacks</w:t>
      </w:r>
      <w:r w:rsidRPr="004A2E6B" w:rsidR="003E01BE">
        <w:rPr>
          <w:rStyle w:val="FootnoteReference"/>
        </w:rPr>
        <w:footnoteReference w:id="13"/>
      </w:r>
      <w:r w:rsidRPr="004A2E6B" w:rsidR="000126C6">
        <w:t>. In addition, racial and ethnic minority youth under age 21 are significantly less likely to receive treatment for prescription pain reliever abuse and dependence than their white counterparts</w:t>
      </w:r>
      <w:r w:rsidRPr="004A2E6B" w:rsidR="0015121B">
        <w:rPr>
          <w:rStyle w:val="FootnoteReference"/>
        </w:rPr>
        <w:footnoteReference w:id="14"/>
      </w:r>
      <w:r w:rsidR="00642346">
        <w:t>. The reasons for low substance-</w:t>
      </w:r>
      <w:r w:rsidRPr="004A2E6B" w:rsidR="000126C6">
        <w:t>use treatment utilization or differences in treatment experienced among minority populations include stigma, bias, cost of treatment, no or insufficient health insurance coverage, lack of knowledge about treatment, lack of culturally competent providers or culturally appropriate services, language barriers and cultural attitudes about behavioral health</w:t>
      </w:r>
      <w:r w:rsidRPr="004A2E6B" w:rsidR="0015121B">
        <w:rPr>
          <w:rStyle w:val="FootnoteReference"/>
        </w:rPr>
        <w:footnoteReference w:id="15"/>
      </w:r>
      <w:r w:rsidRPr="004A2E6B" w:rsidR="000126C6">
        <w:t>. Understanding more about treatment-related disparities and treatment models targeting rac</w:t>
      </w:r>
      <w:r w:rsidR="00077D6D">
        <w:t>ial</w:t>
      </w:r>
      <w:r w:rsidRPr="004A2E6B" w:rsidR="000126C6">
        <w:t xml:space="preserve"> and ethnic minority populations will inform program effectiveness, policies</w:t>
      </w:r>
      <w:r w:rsidR="00874FA0">
        <w:t>,</w:t>
      </w:r>
      <w:r w:rsidRPr="004A2E6B" w:rsidR="000126C6">
        <w:t xml:space="preserve"> and practices to reduce disparities.</w:t>
      </w:r>
      <w:r w:rsidRPr="004A2E6B" w:rsidR="00D23FFA">
        <w:t xml:space="preserve"> </w:t>
      </w:r>
      <w:r w:rsidRPr="00C3345F" w:rsidR="00874FA0">
        <w:t xml:space="preserve">After a review of the literature, a study of this nature currently does not exist. </w:t>
      </w:r>
      <w:r w:rsidRPr="004A2E6B" w:rsidR="00874FA0">
        <w:t>This study is not a repeat of current or past research that we are aware</w:t>
      </w:r>
      <w:r w:rsidR="00874FA0">
        <w:t>.</w:t>
      </w:r>
    </w:p>
    <w:p w:rsidRPr="004A2E6B" w:rsidR="00874FA0" w:rsidP="00874FA0" w:rsidRDefault="00874FA0" w14:paraId="594C0728" w14:textId="77777777">
      <w:pPr>
        <w:ind w:left="710" w:firstLine="0"/>
      </w:pPr>
    </w:p>
    <w:p w:rsidRPr="004A2E6B" w:rsidR="007C6079" w:rsidP="007F5187" w:rsidRDefault="000126C6" w14:paraId="2BD15E7E" w14:textId="3B45B2B4">
      <w:pPr>
        <w:ind w:left="720"/>
      </w:pPr>
      <w:r w:rsidRPr="004A2E6B">
        <w:t xml:space="preserve">In addition, human services </w:t>
      </w:r>
      <w:r w:rsidRPr="004A2E6B" w:rsidR="00B9225D">
        <w:t xml:space="preserve">programs </w:t>
      </w:r>
      <w:r w:rsidRPr="004A2E6B">
        <w:t xml:space="preserve">can play a significant role in supporting treatment and recovery for individuals with </w:t>
      </w:r>
      <w:r w:rsidR="0075105C">
        <w:t xml:space="preserve">SUD (including </w:t>
      </w:r>
      <w:r w:rsidRPr="004A2E6B">
        <w:t>OUD</w:t>
      </w:r>
      <w:r w:rsidR="0075105C">
        <w:t>)</w:t>
      </w:r>
      <w:r w:rsidRPr="004A2E6B">
        <w:t>.</w:t>
      </w:r>
      <w:r w:rsidR="0075105C">
        <w:rPr>
          <w:rStyle w:val="FootnoteReference"/>
        </w:rPr>
        <w:footnoteReference w:id="16"/>
      </w:r>
      <w:r w:rsidRPr="004A2E6B">
        <w:t xml:space="preserve"> </w:t>
      </w:r>
      <w:bookmarkStart w:name="_GoBack" w:id="0"/>
      <w:bookmarkEnd w:id="0"/>
      <w:r w:rsidRPr="004A2E6B">
        <w:t xml:space="preserve">Minority populations are disproportionately involved in human services programs. Understanding how these programs are currently integrated into treatment efforts that target minorities can inform </w:t>
      </w:r>
      <w:r w:rsidRPr="004A2E6B" w:rsidR="00B9225D">
        <w:t xml:space="preserve">the Department’s exploration of </w:t>
      </w:r>
      <w:r w:rsidRPr="004A2E6B">
        <w:t xml:space="preserve">more effective program design. </w:t>
      </w:r>
    </w:p>
    <w:p w:rsidRPr="004A2E6B" w:rsidR="007C6079" w:rsidP="007F5187" w:rsidRDefault="00C13462" w14:paraId="1A22D45A" w14:textId="77777777">
      <w:pPr>
        <w:spacing w:after="0" w:line="259" w:lineRule="auto"/>
        <w:ind w:left="1422" w:firstLine="0"/>
      </w:pPr>
      <w:r w:rsidRPr="004A2E6B">
        <w:lastRenderedPageBreak/>
        <w:t xml:space="preserve"> </w:t>
      </w:r>
    </w:p>
    <w:p w:rsidRPr="004A2E6B" w:rsidR="007C6079" w:rsidP="007F5187" w:rsidRDefault="00C13462" w14:paraId="45394C99" w14:textId="07796186">
      <w:pPr>
        <w:ind w:left="720"/>
      </w:pPr>
      <w:r w:rsidRPr="004A2E6B">
        <w:t>In 201</w:t>
      </w:r>
      <w:r w:rsidRPr="004A2E6B" w:rsidR="000126C6">
        <w:t>9</w:t>
      </w:r>
      <w:r w:rsidRPr="004A2E6B">
        <w:t>, ASPE</w:t>
      </w:r>
      <w:r w:rsidRPr="004A2E6B" w:rsidR="000126C6">
        <w:t xml:space="preserve"> </w:t>
      </w:r>
      <w:r w:rsidRPr="004A2E6B" w:rsidR="00022803">
        <w:t>and</w:t>
      </w:r>
      <w:r w:rsidRPr="004A2E6B" w:rsidR="000126C6">
        <w:t xml:space="preserve"> OMH jointly</w:t>
      </w:r>
      <w:r w:rsidRPr="004A2E6B">
        <w:t xml:space="preserve"> funded a new </w:t>
      </w:r>
      <w:r w:rsidRPr="004A2E6B" w:rsidR="00396F8C">
        <w:t xml:space="preserve">exploratory </w:t>
      </w:r>
      <w:r w:rsidRPr="004A2E6B">
        <w:t>project, “</w:t>
      </w:r>
      <w:r w:rsidRPr="004A2E6B" w:rsidR="000126C6">
        <w:t>Addressing the Opioid Crisis in Communities of Color,” to examine disparities in</w:t>
      </w:r>
      <w:r w:rsidRPr="004A2E6B" w:rsidR="00E40986">
        <w:t xml:space="preserve"> the</w:t>
      </w:r>
      <w:r w:rsidRPr="004A2E6B" w:rsidR="000126C6">
        <w:t xml:space="preserve"> </w:t>
      </w:r>
      <w:r w:rsidRPr="004A2E6B" w:rsidR="00350DA9">
        <w:t>treatment of substance use disorder</w:t>
      </w:r>
      <w:r w:rsidRPr="004A2E6B" w:rsidR="00E40986">
        <w:t>s</w:t>
      </w:r>
      <w:r w:rsidRPr="004A2E6B" w:rsidR="00350DA9">
        <w:t xml:space="preserve"> and </w:t>
      </w:r>
      <w:r w:rsidR="00642346">
        <w:t>discover</w:t>
      </w:r>
      <w:r w:rsidRPr="004A2E6B" w:rsidR="00AD13EF">
        <w:t xml:space="preserve"> </w:t>
      </w:r>
      <w:r w:rsidRPr="004A2E6B" w:rsidR="00350DA9">
        <w:t>promising interventions targeting people of color.</w:t>
      </w:r>
      <w:r w:rsidRPr="004A2E6B">
        <w:t xml:space="preserve"> </w:t>
      </w:r>
      <w:r w:rsidRPr="004A2E6B" w:rsidR="00350DA9">
        <w:t>Th</w:t>
      </w:r>
      <w:r w:rsidRPr="004A2E6B" w:rsidR="00B9225D">
        <w:t>is</w:t>
      </w:r>
      <w:r w:rsidRPr="004A2E6B">
        <w:t xml:space="preserve"> project </w:t>
      </w:r>
      <w:r w:rsidR="00082DFC">
        <w:t>will use</w:t>
      </w:r>
      <w:r w:rsidRPr="004A2E6B">
        <w:t xml:space="preserve"> qualitative research methods</w:t>
      </w:r>
      <w:r w:rsidRPr="004A2E6B" w:rsidR="00350DA9">
        <w:t xml:space="preserve">, including data collected from </w:t>
      </w:r>
      <w:r w:rsidRPr="004A2E6B" w:rsidR="00B9225D">
        <w:t xml:space="preserve">eight </w:t>
      </w:r>
      <w:r w:rsidRPr="004A2E6B" w:rsidR="00350DA9">
        <w:t>sites</w:t>
      </w:r>
      <w:r w:rsidRPr="004A2E6B" w:rsidR="00B9225D">
        <w:t xml:space="preserve"> by means of </w:t>
      </w:r>
      <w:r w:rsidRPr="004A2E6B" w:rsidR="00791497">
        <w:t xml:space="preserve">approximately 64 </w:t>
      </w:r>
      <w:r w:rsidRPr="004A2E6B" w:rsidR="00B9225D">
        <w:t>interviews</w:t>
      </w:r>
      <w:r w:rsidRPr="004A2E6B" w:rsidR="00791497">
        <w:t xml:space="preserve"> in total across the sites</w:t>
      </w:r>
      <w:r w:rsidRPr="004A2E6B">
        <w:t xml:space="preserve">. </w:t>
      </w:r>
      <w:r w:rsidRPr="004A2E6B" w:rsidR="00350DA9">
        <w:t>The Urban Institute</w:t>
      </w:r>
      <w:r w:rsidRPr="004A2E6B">
        <w:t xml:space="preserve"> has been contracted by ASPE </w:t>
      </w:r>
      <w:r w:rsidRPr="004A2E6B" w:rsidR="00022803">
        <w:t>and</w:t>
      </w:r>
      <w:r w:rsidRPr="004A2E6B" w:rsidR="00350DA9">
        <w:t xml:space="preserve"> OMH </w:t>
      </w:r>
      <w:r w:rsidRPr="004A2E6B">
        <w:t xml:space="preserve">to collect and analyze the qualitative data. The qualitative data </w:t>
      </w:r>
      <w:r w:rsidRPr="004A2E6B" w:rsidR="00B9225D">
        <w:t xml:space="preserve">may </w:t>
      </w:r>
      <w:r w:rsidRPr="004A2E6B">
        <w:t xml:space="preserve">provide rich contextual information </w:t>
      </w:r>
      <w:r w:rsidRPr="004A2E6B" w:rsidR="00B9225D">
        <w:t xml:space="preserve">to contribute to </w:t>
      </w:r>
      <w:r w:rsidRPr="004A2E6B">
        <w:t xml:space="preserve">our understanding </w:t>
      </w:r>
      <w:r w:rsidRPr="004A2E6B" w:rsidR="003C2ACF">
        <w:t>of treatment</w:t>
      </w:r>
      <w:r w:rsidRPr="004A2E6B" w:rsidR="00350DA9">
        <w:t>-related disparities and promising approaches to address these disparities in racial and ethnic minority populations</w:t>
      </w:r>
      <w:r w:rsidRPr="004A2E6B">
        <w:t xml:space="preserve">.  </w:t>
      </w:r>
      <w:r w:rsidRPr="004A2E6B" w:rsidR="00B9225D">
        <w:rPr>
          <w:rFonts w:eastAsia="Times New Roman" w:cs="Times New Roman"/>
        </w:rPr>
        <w:t>We are seeking approval through the generic mechanism for this research.</w:t>
      </w:r>
    </w:p>
    <w:p w:rsidRPr="004A2E6B" w:rsidR="007C6079" w:rsidRDefault="007C6079" w14:paraId="6722CCE2" w14:textId="18F1A48C">
      <w:pPr>
        <w:spacing w:after="44" w:line="259" w:lineRule="auto"/>
        <w:ind w:left="43" w:firstLine="0"/>
      </w:pPr>
    </w:p>
    <w:p w:rsidRPr="00642346" w:rsidR="00642346" w:rsidRDefault="00C13462" w14:paraId="62711846" w14:textId="77777777">
      <w:pPr>
        <w:numPr>
          <w:ilvl w:val="0"/>
          <w:numId w:val="1"/>
        </w:numPr>
        <w:spacing w:after="8" w:line="267" w:lineRule="auto"/>
        <w:ind w:hanging="408"/>
      </w:pPr>
      <w:r w:rsidRPr="004A2E6B">
        <w:rPr>
          <w:b/>
        </w:rPr>
        <w:t xml:space="preserve">Purpose and Use of the Information Collection </w:t>
      </w:r>
    </w:p>
    <w:p w:rsidRPr="004A2E6B" w:rsidR="007C6079" w:rsidP="00642346" w:rsidRDefault="00C13462" w14:paraId="3D1AEF24" w14:textId="6D18909F">
      <w:pPr>
        <w:spacing w:after="8" w:line="267" w:lineRule="auto"/>
        <w:ind w:left="887" w:firstLine="0"/>
      </w:pPr>
      <w:r w:rsidRPr="004A2E6B">
        <w:t xml:space="preserve">The purpose of this data collection is to: </w:t>
      </w:r>
    </w:p>
    <w:p w:rsidRPr="004A2E6B" w:rsidR="00847402" w:rsidP="00847402" w:rsidRDefault="00847402" w14:paraId="4D550747" w14:textId="630FBB71">
      <w:pPr>
        <w:pStyle w:val="ListParagraph"/>
        <w:numPr>
          <w:ilvl w:val="0"/>
          <w:numId w:val="4"/>
        </w:numPr>
        <w:spacing w:after="14" w:line="259" w:lineRule="auto"/>
      </w:pPr>
      <w:r w:rsidRPr="004A2E6B">
        <w:t>Ex</w:t>
      </w:r>
      <w:r w:rsidR="00642346">
        <w:t>plore</w:t>
      </w:r>
      <w:r w:rsidRPr="004A2E6B">
        <w:t xml:space="preserve"> promising SUD</w:t>
      </w:r>
      <w:r w:rsidR="00784D8D">
        <w:t xml:space="preserve"> (including OUD)</w:t>
      </w:r>
      <w:r w:rsidRPr="004A2E6B">
        <w:t xml:space="preserve"> treatment and recovery models that target communities of color, specifically Black, Hispanic</w:t>
      </w:r>
      <w:r w:rsidRPr="004A2E6B" w:rsidR="005F691B">
        <w:t>, Asian</w:t>
      </w:r>
      <w:r w:rsidRPr="004A2E6B">
        <w:t>, and Native American</w:t>
      </w:r>
      <w:r w:rsidRPr="004A2E6B" w:rsidR="005F691B">
        <w:t>/Alaska Native</w:t>
      </w:r>
      <w:r w:rsidRPr="004A2E6B">
        <w:t xml:space="preserve"> communities, and describe how these models may address disparities in access to and treatment rates among people of color. </w:t>
      </w:r>
    </w:p>
    <w:p w:rsidRPr="004A2E6B" w:rsidR="00DC5BA2" w:rsidP="00DC5BA2" w:rsidRDefault="00DC5BA2" w14:paraId="52050868" w14:textId="4F831FEB">
      <w:pPr>
        <w:pStyle w:val="ListParagraph"/>
        <w:numPr>
          <w:ilvl w:val="0"/>
          <w:numId w:val="4"/>
        </w:numPr>
        <w:spacing w:after="14" w:line="259" w:lineRule="auto"/>
      </w:pPr>
      <w:r w:rsidRPr="004A2E6B">
        <w:t>Identify and describe individual, organizational, community, and societal/public policy factors that may promote or impede SUD</w:t>
      </w:r>
      <w:r w:rsidR="00784D8D">
        <w:t xml:space="preserve"> (including OUD)</w:t>
      </w:r>
      <w:r w:rsidRPr="004A2E6B">
        <w:t xml:space="preserve"> interventions for communities of color</w:t>
      </w:r>
      <w:r w:rsidRPr="004A2E6B" w:rsidR="00847402">
        <w:t>, including how these factors may vary among different racial and ethnic minority populations</w:t>
      </w:r>
      <w:r w:rsidRPr="004A2E6B">
        <w:t xml:space="preserve">.  </w:t>
      </w:r>
    </w:p>
    <w:p w:rsidRPr="004A2E6B" w:rsidR="00DC5BA2" w:rsidP="00DC5BA2" w:rsidRDefault="00642346" w14:paraId="262060EA" w14:textId="5362D6C6">
      <w:pPr>
        <w:pStyle w:val="ListParagraph"/>
        <w:numPr>
          <w:ilvl w:val="0"/>
          <w:numId w:val="4"/>
        </w:numPr>
        <w:spacing w:after="14" w:line="259" w:lineRule="auto"/>
      </w:pPr>
      <w:r>
        <w:t>Explore</w:t>
      </w:r>
      <w:r w:rsidRPr="004A2E6B">
        <w:t xml:space="preserve"> </w:t>
      </w:r>
      <w:r w:rsidRPr="004A2E6B" w:rsidR="003D31DB">
        <w:t xml:space="preserve">the extent to which human services programs are integrated with SUD </w:t>
      </w:r>
      <w:r w:rsidR="00784D8D">
        <w:t xml:space="preserve">(including OUD) </w:t>
      </w:r>
      <w:r w:rsidRPr="004A2E6B" w:rsidR="003D31DB">
        <w:t>treatment programs in areas with Black, Hispanic, Asian, or Native American communities</w:t>
      </w:r>
      <w:r w:rsidRPr="004A2E6B" w:rsidR="00DC5BA2">
        <w:t xml:space="preserve">, and examine the role human services programs play or could play in effective SUD </w:t>
      </w:r>
      <w:r w:rsidR="00784D8D">
        <w:t xml:space="preserve">(including OUD) </w:t>
      </w:r>
      <w:r w:rsidRPr="004A2E6B" w:rsidR="00DC5BA2">
        <w:t xml:space="preserve">treatment. </w:t>
      </w:r>
    </w:p>
    <w:p w:rsidRPr="004A2E6B" w:rsidR="00DC5BA2" w:rsidP="00DC5BA2" w:rsidRDefault="00DC5BA2" w14:paraId="4332B066" w14:textId="77777777">
      <w:pPr>
        <w:pStyle w:val="ListParagraph"/>
        <w:spacing w:after="14" w:line="259" w:lineRule="auto"/>
        <w:ind w:left="1574" w:firstLine="0"/>
      </w:pPr>
    </w:p>
    <w:p w:rsidRPr="004A2E6B" w:rsidR="00D72B68" w:rsidRDefault="00C13462" w14:paraId="4288CC8C" w14:textId="6BF7EF4B">
      <w:pPr>
        <w:ind w:left="849"/>
      </w:pPr>
      <w:r w:rsidRPr="004A2E6B">
        <w:t xml:space="preserve">Qualitative data collection is needed for this study to augment information obtained through </w:t>
      </w:r>
      <w:r w:rsidRPr="004A2E6B" w:rsidR="003D31DB">
        <w:t xml:space="preserve">a </w:t>
      </w:r>
      <w:r w:rsidRPr="004A2E6B" w:rsidR="00802A54">
        <w:t xml:space="preserve">review </w:t>
      </w:r>
      <w:r w:rsidRPr="004A2E6B" w:rsidR="003D31DB">
        <w:t xml:space="preserve">of published peer-reviewed and gray literature on disparities in SUD </w:t>
      </w:r>
      <w:r w:rsidR="001D588A">
        <w:t xml:space="preserve">(including OUD) </w:t>
      </w:r>
      <w:r w:rsidRPr="004A2E6B" w:rsidR="003D31DB">
        <w:t>prevalence and outcomes, treatment access</w:t>
      </w:r>
      <w:r w:rsidRPr="004A2E6B" w:rsidR="00DC5BA2">
        <w:t>,</w:t>
      </w:r>
      <w:r w:rsidRPr="004A2E6B" w:rsidR="003D31DB">
        <w:t xml:space="preserve"> and treatment uptake </w:t>
      </w:r>
      <w:r w:rsidRPr="004A2E6B" w:rsidR="00DC5BA2">
        <w:t>among people of color</w:t>
      </w:r>
      <w:r w:rsidRPr="004A2E6B" w:rsidR="00D72B68">
        <w:t xml:space="preserve">. </w:t>
      </w:r>
    </w:p>
    <w:p w:rsidRPr="004A2E6B" w:rsidR="007C6079" w:rsidRDefault="00D72B68" w14:paraId="0AA60629" w14:textId="6AFA011E">
      <w:pPr>
        <w:ind w:left="849"/>
      </w:pPr>
      <w:r w:rsidRPr="004A2E6B">
        <w:t xml:space="preserve">The research will explore </w:t>
      </w:r>
      <w:r w:rsidRPr="004A2E6B" w:rsidR="00DC5BA2">
        <w:t xml:space="preserve">barriers </w:t>
      </w:r>
      <w:r w:rsidRPr="004A2E6B">
        <w:t xml:space="preserve">and </w:t>
      </w:r>
      <w:r w:rsidRPr="004A2E6B" w:rsidR="00DC5BA2">
        <w:t>facilitators to accessing and utilizing substance use treatment and human services for people of color</w:t>
      </w:r>
      <w:r w:rsidRPr="004A2E6B">
        <w:t xml:space="preserve">. It will also explore </w:t>
      </w:r>
      <w:r w:rsidRPr="004A2E6B" w:rsidR="00DC5BA2">
        <w:t>effective or promising models for substance use treatment, including integrating human services with substance</w:t>
      </w:r>
      <w:r w:rsidR="00642346">
        <w:t>-</w:t>
      </w:r>
      <w:r w:rsidRPr="004A2E6B" w:rsidR="00DC5BA2">
        <w:t>use treatment services for people of color</w:t>
      </w:r>
      <w:r w:rsidRPr="004A2E6B" w:rsidR="00C13462">
        <w:t xml:space="preserve">.  To </w:t>
      </w:r>
      <w:r w:rsidR="00642346">
        <w:t xml:space="preserve">begin to </w:t>
      </w:r>
      <w:r w:rsidRPr="004A2E6B" w:rsidR="00F10A56">
        <w:t xml:space="preserve">fill in the gaps in the </w:t>
      </w:r>
      <w:r w:rsidRPr="004A2E6B" w:rsidR="00CF5364">
        <w:t xml:space="preserve">research </w:t>
      </w:r>
      <w:r w:rsidRPr="004A2E6B" w:rsidR="00F10A56">
        <w:t xml:space="preserve">and to identify </w:t>
      </w:r>
      <w:r w:rsidR="00642346">
        <w:t xml:space="preserve">potentially </w:t>
      </w:r>
      <w:r w:rsidRPr="004A2E6B" w:rsidR="00F10A56">
        <w:t>promising approaches to reducing disparities in SUD</w:t>
      </w:r>
      <w:r w:rsidR="001D588A">
        <w:t xml:space="preserve"> (including OUD)</w:t>
      </w:r>
      <w:r w:rsidRPr="004A2E6B" w:rsidR="00F10A56">
        <w:t xml:space="preserve"> treatment among minority populations</w:t>
      </w:r>
      <w:r w:rsidRPr="004A2E6B" w:rsidR="00C13462">
        <w:t xml:space="preserve">, we </w:t>
      </w:r>
      <w:r w:rsidRPr="004A2E6B" w:rsidR="00CF5364">
        <w:t xml:space="preserve">plan </w:t>
      </w:r>
      <w:r w:rsidRPr="004A2E6B" w:rsidR="00C13462">
        <w:t xml:space="preserve">to speak with individuals working </w:t>
      </w:r>
      <w:r w:rsidRPr="004A2E6B" w:rsidR="00F10A56">
        <w:t xml:space="preserve">in minority communities affected by high prevalence of SUD </w:t>
      </w:r>
      <w:r w:rsidR="001D588A">
        <w:t xml:space="preserve">(including OUD) </w:t>
      </w:r>
      <w:r w:rsidRPr="004A2E6B" w:rsidR="00F10A56">
        <w:t>so that</w:t>
      </w:r>
      <w:r w:rsidRPr="004A2E6B" w:rsidR="00C13462">
        <w:t xml:space="preserve"> we can better understand </w:t>
      </w:r>
      <w:r w:rsidRPr="004A2E6B" w:rsidR="00847402">
        <w:t>what approaches</w:t>
      </w:r>
      <w:r w:rsidRPr="004A2E6B" w:rsidR="00CF5364">
        <w:t xml:space="preserve"> appear to</w:t>
      </w:r>
      <w:r w:rsidRPr="004A2E6B" w:rsidR="00847402">
        <w:t xml:space="preserve"> work or </w:t>
      </w:r>
      <w:r w:rsidRPr="004A2E6B" w:rsidR="00CF5364">
        <w:t xml:space="preserve">not </w:t>
      </w:r>
      <w:r w:rsidRPr="004A2E6B" w:rsidR="00847402">
        <w:t>work for treating</w:t>
      </w:r>
      <w:r w:rsidRPr="004A2E6B" w:rsidR="00C13462">
        <w:t xml:space="preserve"> </w:t>
      </w:r>
      <w:r w:rsidRPr="004A2E6B" w:rsidR="001A08F9">
        <w:t>SUD</w:t>
      </w:r>
      <w:r w:rsidR="001D588A">
        <w:t xml:space="preserve"> (including OUD)</w:t>
      </w:r>
      <w:r w:rsidRPr="004A2E6B" w:rsidR="00847402">
        <w:t xml:space="preserve"> in communities of color</w:t>
      </w:r>
      <w:r w:rsidRPr="004A2E6B" w:rsidR="00B71202">
        <w:t xml:space="preserve">, particularly models for effectively integrating human services with SUD </w:t>
      </w:r>
      <w:r w:rsidR="001D588A">
        <w:t xml:space="preserve">(including OUD) </w:t>
      </w:r>
      <w:r w:rsidRPr="004A2E6B" w:rsidR="00B71202">
        <w:t>treatment</w:t>
      </w:r>
      <w:r w:rsidRPr="004A2E6B" w:rsidR="00C13462">
        <w:t xml:space="preserve">.  </w:t>
      </w:r>
    </w:p>
    <w:p w:rsidRPr="004A2E6B" w:rsidR="007C6079" w:rsidRDefault="00C13462" w14:paraId="1E4702DA" w14:textId="77777777">
      <w:pPr>
        <w:spacing w:after="14" w:line="259" w:lineRule="auto"/>
        <w:ind w:left="854" w:firstLine="0"/>
      </w:pPr>
      <w:r w:rsidRPr="004A2E6B">
        <w:t xml:space="preserve"> </w:t>
      </w:r>
    </w:p>
    <w:p w:rsidRPr="004A2E6B" w:rsidR="007C6079" w:rsidRDefault="00C13462" w14:paraId="25452244" w14:textId="619DC72E">
      <w:pPr>
        <w:ind w:left="849"/>
      </w:pPr>
      <w:r w:rsidRPr="004A2E6B">
        <w:lastRenderedPageBreak/>
        <w:t xml:space="preserve">The data will be used to inform </w:t>
      </w:r>
      <w:r w:rsidRPr="004A2E6B" w:rsidR="00A07164">
        <w:t xml:space="preserve">our understanding of </w:t>
      </w:r>
      <w:r w:rsidRPr="004A2E6B">
        <w:t xml:space="preserve">practices and policies in </w:t>
      </w:r>
      <w:r w:rsidRPr="004A2E6B" w:rsidR="00F10A56">
        <w:t>substance use prevention, treatment, and recovery</w:t>
      </w:r>
      <w:r w:rsidRPr="004A2E6B">
        <w:t xml:space="preserve">, and </w:t>
      </w:r>
      <w:r w:rsidRPr="004A2E6B" w:rsidR="00A07164">
        <w:t xml:space="preserve">to provide information to </w:t>
      </w:r>
      <w:r w:rsidRPr="004A2E6B">
        <w:t xml:space="preserve">both </w:t>
      </w:r>
      <w:r w:rsidRPr="004A2E6B" w:rsidR="00F10A56">
        <w:t>ASPE and OMH</w:t>
      </w:r>
      <w:r w:rsidRPr="004A2E6B">
        <w:t xml:space="preserve"> on future research and policy proposals that may reduce </w:t>
      </w:r>
      <w:r w:rsidRPr="004A2E6B" w:rsidR="00F10A56">
        <w:t>treatment-related disparities</w:t>
      </w:r>
      <w:r w:rsidRPr="004A2E6B">
        <w:t xml:space="preserve"> of substance</w:t>
      </w:r>
      <w:r w:rsidR="00642346">
        <w:t>-</w:t>
      </w:r>
      <w:r w:rsidRPr="004A2E6B">
        <w:t xml:space="preserve">use </w:t>
      </w:r>
      <w:r w:rsidRPr="004A2E6B" w:rsidR="00EA30ED">
        <w:t>disorder</w:t>
      </w:r>
      <w:r w:rsidR="004A4634">
        <w:t>s</w:t>
      </w:r>
      <w:r w:rsidRPr="004A2E6B" w:rsidR="00EA30ED">
        <w:t xml:space="preserve"> among racial and ethnic minorities</w:t>
      </w:r>
      <w:r w:rsidRPr="004A2E6B" w:rsidR="00B71202">
        <w:t xml:space="preserve"> and identify </w:t>
      </w:r>
      <w:r w:rsidRPr="004A2E6B" w:rsidR="00A07164">
        <w:t xml:space="preserve">potentially promising </w:t>
      </w:r>
      <w:r w:rsidRPr="004A2E6B" w:rsidR="00B71202">
        <w:t xml:space="preserve">practices for integrating human services with SUD </w:t>
      </w:r>
      <w:r w:rsidR="001D588A">
        <w:t xml:space="preserve">(including OUD) </w:t>
      </w:r>
      <w:r w:rsidRPr="004A2E6B" w:rsidR="00B71202">
        <w:t>treatment</w:t>
      </w:r>
      <w:r w:rsidRPr="004A2E6B">
        <w:t xml:space="preserve">. </w:t>
      </w:r>
    </w:p>
    <w:p w:rsidRPr="004A2E6B" w:rsidR="00B71202" w:rsidRDefault="00B71202" w14:paraId="68403F9A" w14:textId="77777777">
      <w:pPr>
        <w:ind w:left="849"/>
      </w:pPr>
    </w:p>
    <w:p w:rsidRPr="004A2E6B" w:rsidR="007C6079" w:rsidRDefault="00C13462" w14:paraId="03D4D9EE" w14:textId="77777777">
      <w:pPr>
        <w:numPr>
          <w:ilvl w:val="0"/>
          <w:numId w:val="1"/>
        </w:numPr>
        <w:spacing w:after="8" w:line="267" w:lineRule="auto"/>
        <w:ind w:hanging="408"/>
      </w:pPr>
      <w:r w:rsidRPr="004A2E6B">
        <w:rPr>
          <w:b/>
        </w:rPr>
        <w:t xml:space="preserve">Use of Improved Information Technology and Burden Reduction </w:t>
      </w:r>
    </w:p>
    <w:p w:rsidRPr="00EC0090" w:rsidR="00EC0090" w:rsidP="00EC0090" w:rsidRDefault="00EA30ED" w14:paraId="5B139441" w14:textId="59687759">
      <w:pPr>
        <w:ind w:left="479"/>
      </w:pPr>
      <w:r w:rsidRPr="004A2E6B">
        <w:t>Two</w:t>
      </w:r>
      <w:r w:rsidRPr="004A2E6B" w:rsidR="00C13462">
        <w:t xml:space="preserve"> of the </w:t>
      </w:r>
      <w:r w:rsidRPr="004A2E6B" w:rsidR="00A07164">
        <w:t xml:space="preserve">eight </w:t>
      </w:r>
      <w:r w:rsidRPr="004A2E6B" w:rsidR="00C13462">
        <w:t xml:space="preserve">site visits will occur </w:t>
      </w:r>
      <w:r w:rsidRPr="004A2E6B">
        <w:t xml:space="preserve">via </w:t>
      </w:r>
      <w:r w:rsidRPr="004A2E6B" w:rsidR="00C13462">
        <w:t>webinars and phone interviews</w:t>
      </w:r>
      <w:r w:rsidRPr="004A2E6B">
        <w:t xml:space="preserve"> </w:t>
      </w:r>
      <w:r w:rsidRPr="004A2E6B" w:rsidR="00C13462">
        <w:t>to accommodate locations where in-person interviews would be burdensome due to circumstances such as lack of centralized staff, cost of travel, or scheduling difficulties. For these locations, the contractor will hold virtual site visits through the use of phone interviews and webinar</w:t>
      </w:r>
      <w:r w:rsidRPr="004A2E6B" w:rsidR="0006512C">
        <w:t xml:space="preserve">s </w:t>
      </w:r>
      <w:r w:rsidRPr="004A2E6B" w:rsidR="00C13462">
        <w:t xml:space="preserve">to eliminate the associated burdens.  </w:t>
      </w:r>
      <w:r w:rsidRPr="00EC0090" w:rsidR="00EC0090">
        <w:t>We have selected Washington, DC; New York; California; Washington; and New Mexico. These sites were selected because of their high drug overdose death rates, they allow a focus on at least two or more racial/ethnic minority groups, and they had innovative programs. Three additional sites are under consideration—Ohio, South Dakota, and Oregon—which all have high drug overdose death rates. We are investigating whether there are innovative programs in these states that serve at least serve one of the racial/ethnic minority groups that are the focus of this study.</w:t>
      </w:r>
      <w:r w:rsidR="00EC0090">
        <w:t xml:space="preserve">  </w:t>
      </w:r>
      <w:r w:rsidRPr="00EC0090" w:rsidR="00EC0090">
        <w:t>Due to COVID-19 concerns, the contractor is requesting to do webinar/phone interviews instead of going on site. We will also determine webinar/phone interview sites based on the budget. Sites for which travel costs are higher are prime candidates to have their interviews conducted via webinar or the phone.</w:t>
      </w:r>
    </w:p>
    <w:p w:rsidRPr="004A2E6B" w:rsidR="007C6079" w:rsidP="00EC0090" w:rsidRDefault="007C6079" w14:paraId="17B930EB" w14:textId="0EE1F859"/>
    <w:p w:rsidRPr="004A2E6B" w:rsidR="007C6079" w:rsidRDefault="00C13462" w14:paraId="3696565A" w14:textId="77777777">
      <w:pPr>
        <w:spacing w:after="41" w:line="259" w:lineRule="auto"/>
        <w:ind w:left="763" w:firstLine="0"/>
      </w:pPr>
      <w:r w:rsidRPr="004A2E6B">
        <w:t xml:space="preserve"> </w:t>
      </w:r>
    </w:p>
    <w:p w:rsidRPr="004A2E6B" w:rsidR="007C6079" w:rsidRDefault="00C13462" w14:paraId="407B9044" w14:textId="77777777">
      <w:pPr>
        <w:numPr>
          <w:ilvl w:val="0"/>
          <w:numId w:val="1"/>
        </w:numPr>
        <w:spacing w:after="8" w:line="267" w:lineRule="auto"/>
        <w:ind w:hanging="408"/>
      </w:pPr>
      <w:r w:rsidRPr="004A2E6B">
        <w:rPr>
          <w:b/>
        </w:rPr>
        <w:t xml:space="preserve">Efforts to Identify Duplication and Use of Similar Information </w:t>
      </w:r>
    </w:p>
    <w:p w:rsidRPr="004A2E6B" w:rsidR="00EA30ED" w:rsidRDefault="00C13462" w14:paraId="5F5A44D0" w14:textId="77777777">
      <w:pPr>
        <w:ind w:left="849"/>
      </w:pPr>
      <w:r w:rsidRPr="004A2E6B">
        <w:t xml:space="preserve">It is our understanding that no other prior or current research efforts have substantial overlap with our proposed investigation. A review of relevant literature revealed that there is little empirical evidence of </w:t>
      </w:r>
      <w:r w:rsidRPr="004A2E6B" w:rsidR="00EA30ED">
        <w:t>effective</w:t>
      </w:r>
      <w:r w:rsidRPr="004A2E6B" w:rsidR="00B71202">
        <w:t xml:space="preserve"> SUD</w:t>
      </w:r>
      <w:r w:rsidRPr="004A2E6B" w:rsidR="00EA30ED">
        <w:t xml:space="preserve"> treatment interventions targeting communities of color that integrate human services</w:t>
      </w:r>
      <w:r w:rsidRPr="004A2E6B">
        <w:t xml:space="preserve">. We are not aware of any previous or ongoing qualitative research investigating </w:t>
      </w:r>
      <w:r w:rsidRPr="004A2E6B" w:rsidR="00EA30ED">
        <w:t>this issue</w:t>
      </w:r>
      <w:r w:rsidRPr="004A2E6B">
        <w:t xml:space="preserve"> through interviews.  </w:t>
      </w:r>
    </w:p>
    <w:p w:rsidRPr="004A2E6B" w:rsidR="00EA30ED" w:rsidRDefault="00EA30ED" w14:paraId="250EBDAD" w14:textId="77777777">
      <w:pPr>
        <w:ind w:left="849"/>
      </w:pPr>
    </w:p>
    <w:p w:rsidRPr="004A2E6B" w:rsidR="007C6079" w:rsidRDefault="00C13462" w14:paraId="418F4EB8" w14:textId="414BF353">
      <w:pPr>
        <w:ind w:left="849"/>
      </w:pPr>
      <w:r w:rsidRPr="004A2E6B">
        <w:t>The information collected through this study will</w:t>
      </w:r>
      <w:r w:rsidRPr="004A2E6B" w:rsidR="00EA30ED">
        <w:t xml:space="preserve"> </w:t>
      </w:r>
      <w:r w:rsidRPr="004A2E6B" w:rsidR="00D912AD">
        <w:t xml:space="preserve">identify </w:t>
      </w:r>
      <w:r w:rsidRPr="004A2E6B" w:rsidR="00EA30ED">
        <w:t xml:space="preserve">gaps in the </w:t>
      </w:r>
      <w:r w:rsidRPr="004A2E6B" w:rsidR="00D912AD">
        <w:t xml:space="preserve">research </w:t>
      </w:r>
      <w:r w:rsidRPr="004A2E6B" w:rsidR="00EA30ED">
        <w:t xml:space="preserve">and areas for additional research and </w:t>
      </w:r>
      <w:r w:rsidRPr="004A2E6B" w:rsidR="00324FE1">
        <w:t xml:space="preserve">potential </w:t>
      </w:r>
      <w:r w:rsidRPr="004A2E6B" w:rsidR="00EA30ED">
        <w:t>policy development. This study will</w:t>
      </w:r>
      <w:r w:rsidRPr="004A2E6B" w:rsidR="007C057C">
        <w:t xml:space="preserve"> complement a</w:t>
      </w:r>
      <w:r w:rsidRPr="004A2E6B" w:rsidR="00B71202">
        <w:t xml:space="preserve">nd expand on </w:t>
      </w:r>
      <w:r w:rsidRPr="004A2E6B">
        <w:t xml:space="preserve">previous </w:t>
      </w:r>
      <w:hyperlink w:history="1" r:id="rId11">
        <w:r w:rsidRPr="004A2E6B" w:rsidR="00EA30ED">
          <w:rPr>
            <w:rStyle w:val="Hyperlink"/>
          </w:rPr>
          <w:t xml:space="preserve">ASPE </w:t>
        </w:r>
      </w:hyperlink>
      <w:r w:rsidR="007B3391">
        <w:rPr>
          <w:rStyle w:val="Hyperlink"/>
        </w:rPr>
        <w:t>work</w:t>
      </w:r>
      <w:r w:rsidRPr="004A2E6B" w:rsidR="00EA30ED">
        <w:t xml:space="preserve"> that </w:t>
      </w:r>
      <w:r w:rsidR="00EA5F51">
        <w:t xml:space="preserve">explored information at the </w:t>
      </w:r>
      <w:r w:rsidRPr="004A2E6B">
        <w:t>county</w:t>
      </w:r>
      <w:r w:rsidR="00EA5F51">
        <w:t xml:space="preserve"> </w:t>
      </w:r>
      <w:r w:rsidRPr="004A2E6B">
        <w:t>level about how substance abuse has influenced the child welfare system, especially foster care caseloads</w:t>
      </w:r>
      <w:r w:rsidRPr="004A2E6B" w:rsidR="00324FE1">
        <w:t xml:space="preserve">. That study gathered </w:t>
      </w:r>
      <w:r w:rsidRPr="004A2E6B">
        <w:t>perspective</w:t>
      </w:r>
      <w:r w:rsidRPr="004A2E6B" w:rsidR="00324FE1">
        <w:t>s</w:t>
      </w:r>
      <w:r w:rsidRPr="004A2E6B">
        <w:t xml:space="preserve"> of practitioners and administrators from child welfare agencies</w:t>
      </w:r>
      <w:r w:rsidRPr="004A2E6B" w:rsidR="00324FE1">
        <w:t>,</w:t>
      </w:r>
      <w:r w:rsidRPr="004A2E6B">
        <w:t xml:space="preserve"> as well as staff from related systems, such as substance use treatment, public health, law enforcement, and courts.  </w:t>
      </w:r>
    </w:p>
    <w:p w:rsidRPr="004A2E6B" w:rsidR="007C6079" w:rsidRDefault="00C13462" w14:paraId="31CBBD84" w14:textId="77777777">
      <w:pPr>
        <w:spacing w:after="41" w:line="259" w:lineRule="auto"/>
        <w:ind w:left="763" w:firstLine="0"/>
      </w:pPr>
      <w:r w:rsidRPr="004A2E6B">
        <w:t xml:space="preserve"> </w:t>
      </w:r>
    </w:p>
    <w:p w:rsidRPr="004A2E6B" w:rsidR="00DC2CDE" w:rsidRDefault="00C13462" w14:paraId="387E06DF" w14:textId="77777777">
      <w:pPr>
        <w:numPr>
          <w:ilvl w:val="0"/>
          <w:numId w:val="1"/>
        </w:numPr>
        <w:ind w:hanging="408"/>
      </w:pPr>
      <w:r w:rsidRPr="004A2E6B">
        <w:rPr>
          <w:b/>
        </w:rPr>
        <w:t xml:space="preserve">Impact on Small Businesses or Other Small Entities </w:t>
      </w:r>
    </w:p>
    <w:p w:rsidRPr="004A2E6B" w:rsidR="007C6079" w:rsidP="00B87D68" w:rsidRDefault="00C13462" w14:paraId="70322E2B" w14:textId="42BBC4E9">
      <w:pPr>
        <w:ind w:left="887" w:firstLine="0"/>
      </w:pPr>
      <w:r w:rsidRPr="004A2E6B">
        <w:t xml:space="preserve">No small businesses will be involved in this data collection. </w:t>
      </w:r>
    </w:p>
    <w:p w:rsidRPr="004A2E6B" w:rsidR="007C6079" w:rsidRDefault="00C13462" w14:paraId="502210D2" w14:textId="77777777">
      <w:pPr>
        <w:spacing w:after="49" w:line="259" w:lineRule="auto"/>
        <w:ind w:left="763" w:firstLine="0"/>
      </w:pPr>
      <w:r w:rsidRPr="004A2E6B">
        <w:rPr>
          <w:rFonts w:eastAsia="Calibri" w:cs="Calibri"/>
        </w:rPr>
        <w:lastRenderedPageBreak/>
        <w:t xml:space="preserve"> </w:t>
      </w:r>
    </w:p>
    <w:p w:rsidRPr="004A2E6B" w:rsidR="007C6079" w:rsidRDefault="00C13462" w14:paraId="45EC2307" w14:textId="77777777">
      <w:pPr>
        <w:numPr>
          <w:ilvl w:val="0"/>
          <w:numId w:val="1"/>
        </w:numPr>
        <w:spacing w:after="8" w:line="267" w:lineRule="auto"/>
        <w:ind w:hanging="408"/>
      </w:pPr>
      <w:r w:rsidRPr="004A2E6B">
        <w:rPr>
          <w:b/>
        </w:rPr>
        <w:t xml:space="preserve">Consequences of Collecting the Information Less Frequently     </w:t>
      </w:r>
    </w:p>
    <w:p w:rsidRPr="004A2E6B" w:rsidR="007C6079" w:rsidRDefault="00C13462" w14:paraId="0F089C1D" w14:textId="349894F5">
      <w:pPr>
        <w:ind w:left="849"/>
      </w:pPr>
      <w:r w:rsidRPr="004A2E6B">
        <w:t>This request is for a one</w:t>
      </w:r>
      <w:r w:rsidRPr="004A2E6B" w:rsidR="00DC2CDE">
        <w:t>-</w:t>
      </w:r>
      <w:r w:rsidRPr="004A2E6B">
        <w:t>time data collection</w:t>
      </w:r>
      <w:r w:rsidRPr="004A2E6B" w:rsidR="005A7DED">
        <w:rPr>
          <w:rFonts w:cs="Times New Roman"/>
        </w:rPr>
        <w:t xml:space="preserve"> where the data have not previously been collected elsewhere</w:t>
      </w:r>
      <w:r w:rsidRPr="004A2E6B" w:rsidR="00B87D68">
        <w:t>.</w:t>
      </w:r>
      <w:r w:rsidRPr="004A2E6B">
        <w:t xml:space="preserve"> </w:t>
      </w:r>
    </w:p>
    <w:p w:rsidRPr="004A2E6B" w:rsidR="007C6079" w:rsidRDefault="00C13462" w14:paraId="5859AC79" w14:textId="77777777">
      <w:pPr>
        <w:spacing w:after="41" w:line="259" w:lineRule="auto"/>
        <w:ind w:left="43" w:firstLine="0"/>
      </w:pPr>
      <w:r w:rsidRPr="004A2E6B">
        <w:t xml:space="preserve"> </w:t>
      </w:r>
    </w:p>
    <w:p w:rsidRPr="004A2E6B" w:rsidR="007C6079" w:rsidRDefault="00C13462" w14:paraId="033A70AF" w14:textId="77777777">
      <w:pPr>
        <w:numPr>
          <w:ilvl w:val="0"/>
          <w:numId w:val="1"/>
        </w:numPr>
        <w:spacing w:after="8" w:line="267" w:lineRule="auto"/>
        <w:ind w:hanging="408"/>
      </w:pPr>
      <w:r w:rsidRPr="004A2E6B">
        <w:rPr>
          <w:b/>
        </w:rPr>
        <w:t xml:space="preserve">Special Circumstances Relating to the Guidelines of 5 CFR 1320.5 </w:t>
      </w:r>
    </w:p>
    <w:p w:rsidRPr="004A2E6B" w:rsidR="007C6079" w:rsidRDefault="00C13462" w14:paraId="74018B10" w14:textId="77777777">
      <w:pPr>
        <w:ind w:left="849"/>
      </w:pPr>
      <w:r w:rsidRPr="004A2E6B">
        <w:t xml:space="preserve">There are no special circumstances with this information collection package. This request fully complies with the regulation 5 CFR 1320.5 and will be voluntary. </w:t>
      </w:r>
    </w:p>
    <w:p w:rsidRPr="004A2E6B" w:rsidR="007C6079" w:rsidRDefault="00C13462" w14:paraId="7A40EC6F" w14:textId="77777777">
      <w:pPr>
        <w:spacing w:after="44" w:line="259" w:lineRule="auto"/>
        <w:ind w:left="763" w:firstLine="0"/>
      </w:pPr>
      <w:r w:rsidRPr="004A2E6B">
        <w:t xml:space="preserve"> </w:t>
      </w:r>
    </w:p>
    <w:p w:rsidRPr="004A2E6B" w:rsidR="007C6079" w:rsidRDefault="00C13462" w14:paraId="27BB4667" w14:textId="77777777">
      <w:pPr>
        <w:numPr>
          <w:ilvl w:val="0"/>
          <w:numId w:val="1"/>
        </w:numPr>
        <w:spacing w:after="8" w:line="267" w:lineRule="auto"/>
        <w:ind w:hanging="408"/>
      </w:pPr>
      <w:r w:rsidRPr="004A2E6B">
        <w:rPr>
          <w:b/>
        </w:rPr>
        <w:t xml:space="preserve">Comments in Response to the Federal Register Notice and Efforts to Consult Outside the Agency </w:t>
      </w:r>
    </w:p>
    <w:p w:rsidRPr="004A2E6B" w:rsidR="007C6079" w:rsidRDefault="00C13462" w14:paraId="56889C6E" w14:textId="77777777">
      <w:pPr>
        <w:spacing w:after="236"/>
        <w:ind w:left="849" w:right="510"/>
      </w:pPr>
      <w:r w:rsidRPr="004A2E6B">
        <w:t xml:space="preserve">This data collection is being conducted using the Generic Information Collection mechanism through ASPE – OMB No. 0990-0421, therefore no Federal Register notice is required. </w:t>
      </w:r>
    </w:p>
    <w:p w:rsidRPr="004A2E6B" w:rsidR="005A7DED" w:rsidRDefault="00C13462" w14:paraId="0DBEC8B6" w14:textId="77777777">
      <w:pPr>
        <w:numPr>
          <w:ilvl w:val="0"/>
          <w:numId w:val="1"/>
        </w:numPr>
        <w:ind w:hanging="408"/>
      </w:pPr>
      <w:r w:rsidRPr="004A2E6B">
        <w:rPr>
          <w:b/>
        </w:rPr>
        <w:t xml:space="preserve">Explanation of Any Payment or Gift to Respondents </w:t>
      </w:r>
    </w:p>
    <w:p w:rsidRPr="004A2E6B" w:rsidR="007C6079" w:rsidP="00B87D68" w:rsidRDefault="007C1E18" w14:paraId="51E61EF2" w14:textId="6501B662">
      <w:pPr>
        <w:ind w:left="887" w:firstLine="0"/>
      </w:pPr>
      <w:r w:rsidRPr="004A2E6B">
        <w:t>Neither A</w:t>
      </w:r>
      <w:r w:rsidRPr="004A2E6B" w:rsidR="00C13462">
        <w:t xml:space="preserve">SPE </w:t>
      </w:r>
      <w:r w:rsidRPr="004A2E6B">
        <w:t xml:space="preserve">nor OMH </w:t>
      </w:r>
      <w:r w:rsidRPr="004A2E6B" w:rsidR="00C13462">
        <w:t xml:space="preserve">will provide payments or gifts to respondents. </w:t>
      </w:r>
    </w:p>
    <w:p w:rsidRPr="004A2E6B" w:rsidR="007C6079" w:rsidRDefault="00C13462" w14:paraId="043E14D7" w14:textId="77777777">
      <w:pPr>
        <w:spacing w:after="44" w:line="259" w:lineRule="auto"/>
        <w:ind w:left="763" w:firstLine="0"/>
      </w:pPr>
      <w:r w:rsidRPr="004A2E6B">
        <w:t xml:space="preserve"> </w:t>
      </w:r>
    </w:p>
    <w:p w:rsidRPr="004A2E6B" w:rsidR="007C6079" w:rsidRDefault="00C13462" w14:paraId="5CB2374C" w14:textId="77777777">
      <w:pPr>
        <w:numPr>
          <w:ilvl w:val="0"/>
          <w:numId w:val="1"/>
        </w:numPr>
        <w:spacing w:after="8" w:line="267" w:lineRule="auto"/>
        <w:ind w:hanging="408"/>
      </w:pPr>
      <w:r w:rsidRPr="004A2E6B">
        <w:rPr>
          <w:b/>
        </w:rPr>
        <w:t xml:space="preserve">Assurance of Confidentiality Provided to Respondents </w:t>
      </w:r>
    </w:p>
    <w:p w:rsidRPr="004A2E6B" w:rsidR="007C6079" w:rsidRDefault="00C13462" w14:paraId="3C004B7B" w14:textId="77777777">
      <w:pPr>
        <w:ind w:left="849"/>
      </w:pPr>
      <w:r w:rsidRPr="004A2E6B">
        <w:t xml:space="preserve">The Privacy Act does not apply to this data collection. State and local administrators and practitioners who answer questions will be answering in their official roles and will not be asked about, nor will they provide, sensitive individually identifiable information.  However, before each interview, we will provide assurance of confidentiality that individual names, titles, and organizations will not be identified and associated with findings shared with ASPE </w:t>
      </w:r>
      <w:r w:rsidRPr="004A2E6B" w:rsidR="001A08F9">
        <w:t xml:space="preserve">and OMH </w:t>
      </w:r>
      <w:r w:rsidRPr="004A2E6B">
        <w:t xml:space="preserve">or otherwise. Recorded transcripts will be redacted to omit any identifying information. </w:t>
      </w:r>
    </w:p>
    <w:p w:rsidRPr="004A2E6B" w:rsidR="007C6079" w:rsidRDefault="00C13462" w14:paraId="725C8499" w14:textId="77777777">
      <w:pPr>
        <w:spacing w:after="41" w:line="259" w:lineRule="auto"/>
        <w:ind w:left="43" w:firstLine="0"/>
      </w:pPr>
      <w:r w:rsidRPr="004A2E6B">
        <w:t xml:space="preserve"> </w:t>
      </w:r>
    </w:p>
    <w:p w:rsidRPr="004A2E6B" w:rsidR="007C6079" w:rsidRDefault="00C13462" w14:paraId="6257D665" w14:textId="77777777">
      <w:pPr>
        <w:numPr>
          <w:ilvl w:val="0"/>
          <w:numId w:val="1"/>
        </w:numPr>
        <w:spacing w:after="8" w:line="267" w:lineRule="auto"/>
        <w:ind w:hanging="408"/>
      </w:pPr>
      <w:r w:rsidRPr="004A2E6B">
        <w:rPr>
          <w:b/>
        </w:rPr>
        <w:t xml:space="preserve">Justification for Sensitive Questions </w:t>
      </w:r>
    </w:p>
    <w:p w:rsidRPr="004A2E6B" w:rsidR="007C6079" w:rsidRDefault="00C13462" w14:paraId="5EC8C16C" w14:textId="77777777">
      <w:pPr>
        <w:ind w:left="849"/>
      </w:pPr>
      <w:r w:rsidRPr="004A2E6B">
        <w:t xml:space="preserve">No information will be collected that is of personal or sensitive nature. </w:t>
      </w:r>
    </w:p>
    <w:p w:rsidRPr="004A2E6B" w:rsidR="007C6079" w:rsidRDefault="00C13462" w14:paraId="56B1392E" w14:textId="77777777">
      <w:pPr>
        <w:spacing w:after="44" w:line="259" w:lineRule="auto"/>
        <w:ind w:left="43" w:firstLine="0"/>
      </w:pPr>
      <w:r w:rsidRPr="004A2E6B">
        <w:t xml:space="preserve"> </w:t>
      </w:r>
    </w:p>
    <w:p w:rsidRPr="004A2E6B" w:rsidR="007C6079" w:rsidRDefault="00C13462" w14:paraId="67EB7798" w14:textId="77777777">
      <w:pPr>
        <w:numPr>
          <w:ilvl w:val="0"/>
          <w:numId w:val="1"/>
        </w:numPr>
        <w:spacing w:after="8" w:line="267" w:lineRule="auto"/>
        <w:ind w:hanging="408"/>
      </w:pPr>
      <w:r w:rsidRPr="004A2E6B">
        <w:rPr>
          <w:b/>
        </w:rPr>
        <w:t xml:space="preserve">Estimates of Annualized Burden Hours and Costs </w:t>
      </w:r>
    </w:p>
    <w:p w:rsidRPr="004A2E6B" w:rsidR="007C6079" w:rsidRDefault="00C13462" w14:paraId="4F57F2E9" w14:textId="5669C727">
      <w:pPr>
        <w:ind w:left="849"/>
      </w:pPr>
      <w:r w:rsidRPr="004A2E6B">
        <w:t xml:space="preserve">The estimate for burden hours is </w:t>
      </w:r>
      <w:r w:rsidRPr="004A2E6B" w:rsidR="00B40029">
        <w:t xml:space="preserve">1.5 hours </w:t>
      </w:r>
      <w:r w:rsidRPr="004A2E6B">
        <w:t>per response from administrators and practitioners in the substan</w:t>
      </w:r>
      <w:r w:rsidRPr="004A2E6B" w:rsidR="001A08F9">
        <w:t>ce</w:t>
      </w:r>
      <w:r w:rsidR="0007743A">
        <w:t>-</w:t>
      </w:r>
      <w:r w:rsidRPr="004A2E6B" w:rsidR="001A08F9">
        <w:t>use treatment</w:t>
      </w:r>
      <w:r w:rsidRPr="004A2E6B">
        <w:t xml:space="preserve"> and </w:t>
      </w:r>
      <w:r w:rsidRPr="004A2E6B" w:rsidR="00B71202">
        <w:t>human services</w:t>
      </w:r>
      <w:r w:rsidRPr="004A2E6B">
        <w:t xml:space="preserve"> fields; and </w:t>
      </w:r>
      <w:r w:rsidRPr="004A2E6B" w:rsidR="00D43440">
        <w:t xml:space="preserve">1.5 hours </w:t>
      </w:r>
      <w:r w:rsidRPr="004A2E6B">
        <w:t xml:space="preserve">per response from </w:t>
      </w:r>
      <w:r w:rsidRPr="004A2E6B" w:rsidR="001A08F9">
        <w:t>substance</w:t>
      </w:r>
      <w:r w:rsidR="0007743A">
        <w:t>-</w:t>
      </w:r>
      <w:r w:rsidRPr="004A2E6B" w:rsidR="001A08F9">
        <w:t>use disorder providers</w:t>
      </w:r>
      <w:r w:rsidRPr="004A2E6B" w:rsidR="00B71202">
        <w:t xml:space="preserve"> </w:t>
      </w:r>
      <w:r w:rsidRPr="004A2E6B">
        <w:t xml:space="preserve">and </w:t>
      </w:r>
      <w:r w:rsidRPr="004A2E6B" w:rsidR="001A08F9">
        <w:t>others</w:t>
      </w:r>
      <w:r w:rsidRPr="004A2E6B">
        <w:t xml:space="preserve">. We plan to interview </w:t>
      </w:r>
      <w:r w:rsidRPr="004A2E6B" w:rsidR="003D4C3B">
        <w:t>up to</w:t>
      </w:r>
      <w:r w:rsidRPr="004A2E6B">
        <w:t xml:space="preserve"> </w:t>
      </w:r>
      <w:r w:rsidRPr="004A2E6B" w:rsidR="00D43440">
        <w:t>eight</w:t>
      </w:r>
      <w:r w:rsidRPr="004A2E6B">
        <w:t xml:space="preserve"> participants from each site, totaling a maximum of </w:t>
      </w:r>
      <w:r w:rsidRPr="004A2E6B" w:rsidR="003D4C3B">
        <w:t>6</w:t>
      </w:r>
      <w:r w:rsidRPr="004A2E6B" w:rsidR="00655051">
        <w:t>4</w:t>
      </w:r>
      <w:r w:rsidRPr="004A2E6B">
        <w:t xml:space="preserve"> participants across all </w:t>
      </w:r>
      <w:r w:rsidRPr="004A2E6B" w:rsidR="00D43440">
        <w:t>eight</w:t>
      </w:r>
      <w:r w:rsidRPr="004A2E6B">
        <w:t xml:space="preserve"> sites. For each site, we expect to conduct o</w:t>
      </w:r>
      <w:r w:rsidRPr="004A2E6B" w:rsidR="008E7DD6">
        <w:t>ne</w:t>
      </w:r>
      <w:r w:rsidRPr="004A2E6B">
        <w:t xml:space="preserve"> interview</w:t>
      </w:r>
      <w:r w:rsidRPr="004A2E6B" w:rsidR="008E7DD6">
        <w:t xml:space="preserve"> </w:t>
      </w:r>
      <w:r w:rsidRPr="004A2E6B">
        <w:t xml:space="preserve">with </w:t>
      </w:r>
      <w:r w:rsidRPr="004A2E6B" w:rsidR="001A08F9">
        <w:t>substance use</w:t>
      </w:r>
      <w:r w:rsidRPr="004A2E6B">
        <w:t xml:space="preserve"> </w:t>
      </w:r>
      <w:r w:rsidRPr="004A2E6B" w:rsidR="00A34B8F">
        <w:t xml:space="preserve">administrators or </w:t>
      </w:r>
      <w:r w:rsidRPr="004A2E6B" w:rsidR="00880C5E">
        <w:t xml:space="preserve">caseworkers </w:t>
      </w:r>
      <w:r w:rsidRPr="004A2E6B" w:rsidR="00A34B8F">
        <w:t>and</w:t>
      </w:r>
      <w:r w:rsidRPr="004A2E6B">
        <w:t xml:space="preserve"> </w:t>
      </w:r>
      <w:r w:rsidRPr="004A2E6B" w:rsidR="008E7DD6">
        <w:t>human services</w:t>
      </w:r>
      <w:r w:rsidRPr="004A2E6B">
        <w:t xml:space="preserve"> program administrators </w:t>
      </w:r>
      <w:r w:rsidRPr="004A2E6B" w:rsidR="008E7DD6">
        <w:t>or caseworkers</w:t>
      </w:r>
      <w:r w:rsidRPr="004A2E6B" w:rsidR="004E2B1B">
        <w:t xml:space="preserve"> and other relevant stakeholders</w:t>
      </w:r>
      <w:r w:rsidRPr="004A2E6B">
        <w:t>. Depending upon specific circumstances and local contexts, we will adapt this plan to include other key informants</w:t>
      </w:r>
      <w:r w:rsidRPr="004A2E6B" w:rsidR="003D4C3B">
        <w:t xml:space="preserve"> involved in SUD treatment, recovery, and prevention</w:t>
      </w:r>
      <w:r w:rsidRPr="004A2E6B">
        <w:t xml:space="preserve"> </w:t>
      </w:r>
      <w:r w:rsidRPr="004A2E6B" w:rsidR="003D4C3B">
        <w:t xml:space="preserve">efforts </w:t>
      </w:r>
      <w:r w:rsidRPr="004A2E6B">
        <w:t xml:space="preserve">as appropriate.  </w:t>
      </w:r>
    </w:p>
    <w:p w:rsidRPr="004A2E6B" w:rsidR="007C6079" w:rsidRDefault="00C13462" w14:paraId="7C0EB5AC" w14:textId="77777777">
      <w:pPr>
        <w:spacing w:after="16" w:line="259" w:lineRule="auto"/>
        <w:ind w:left="854" w:firstLine="0"/>
      </w:pPr>
      <w:r w:rsidRPr="004A2E6B">
        <w:t xml:space="preserve"> </w:t>
      </w:r>
    </w:p>
    <w:p w:rsidRPr="004A2E6B" w:rsidR="007C6079" w:rsidRDefault="00C13462" w14:paraId="5B5C904D" w14:textId="77777777">
      <w:pPr>
        <w:ind w:left="849"/>
      </w:pPr>
      <w:r w:rsidRPr="004A2E6B">
        <w:t xml:space="preserve">Estimates for the average hourly wage for respondents are based on the Department of </w:t>
      </w:r>
    </w:p>
    <w:p w:rsidRPr="004A2E6B" w:rsidR="007C6079" w:rsidRDefault="00C13462" w14:paraId="0918CDE4" w14:textId="77777777">
      <w:pPr>
        <w:ind w:left="849"/>
      </w:pPr>
      <w:r w:rsidRPr="004A2E6B">
        <w:lastRenderedPageBreak/>
        <w:t>Labor (DOL) 201</w:t>
      </w:r>
      <w:r w:rsidRPr="004A2E6B" w:rsidR="00B71202">
        <w:t>8</w:t>
      </w:r>
      <w:r w:rsidRPr="004A2E6B">
        <w:t xml:space="preserve"> National Occupational Employment and Wage Estimates </w:t>
      </w:r>
    </w:p>
    <w:p w:rsidRPr="004A2E6B" w:rsidR="007C6079" w:rsidRDefault="00023B5B" w14:paraId="179F573B" w14:textId="77777777">
      <w:pPr>
        <w:ind w:left="849"/>
      </w:pPr>
      <w:hyperlink r:id="rId12">
        <w:r w:rsidRPr="004A2E6B" w:rsidR="00C13462">
          <w:t>(</w:t>
        </w:r>
      </w:hyperlink>
      <w:hyperlink r:id="rId13">
        <w:r w:rsidRPr="004A2E6B" w:rsidR="00C13462">
          <w:t>https://www.bls.gov/oes/current/oes_nat.htm</w:t>
        </w:r>
      </w:hyperlink>
      <w:hyperlink r:id="rId14">
        <w:r w:rsidRPr="004A2E6B" w:rsidR="00C13462">
          <w:t>)</w:t>
        </w:r>
      </w:hyperlink>
      <w:r w:rsidRPr="004A2E6B" w:rsidR="00C13462">
        <w:t xml:space="preserve">. Table A-1 shows estimated burden and cost information. </w:t>
      </w:r>
    </w:p>
    <w:p w:rsidRPr="004A2E6B" w:rsidR="007C6079" w:rsidRDefault="00C13462" w14:paraId="56E23D23" w14:textId="77777777">
      <w:pPr>
        <w:spacing w:after="16" w:line="259" w:lineRule="auto"/>
        <w:ind w:left="763" w:firstLine="0"/>
      </w:pPr>
      <w:r w:rsidRPr="004A2E6B">
        <w:t xml:space="preserve"> </w:t>
      </w:r>
    </w:p>
    <w:p w:rsidRPr="004A2E6B" w:rsidR="00F453C0" w:rsidRDefault="00F453C0" w14:paraId="4050453A" w14:textId="1650F09E">
      <w:pPr>
        <w:spacing w:after="16" w:line="259" w:lineRule="auto"/>
        <w:ind w:left="763" w:firstLine="0"/>
      </w:pPr>
    </w:p>
    <w:p w:rsidRPr="004A2E6B" w:rsidR="00B379C4" w:rsidRDefault="00B379C4" w14:paraId="3A2B91ED" w14:textId="42B496DE">
      <w:pPr>
        <w:spacing w:after="16" w:line="259" w:lineRule="auto"/>
        <w:ind w:left="763" w:firstLine="0"/>
      </w:pPr>
    </w:p>
    <w:p w:rsidRPr="004A2E6B" w:rsidR="00B379C4" w:rsidRDefault="00B379C4" w14:paraId="250C9F90" w14:textId="543A4433">
      <w:pPr>
        <w:spacing w:after="16" w:line="259" w:lineRule="auto"/>
        <w:ind w:left="763" w:firstLine="0"/>
      </w:pPr>
    </w:p>
    <w:p w:rsidRPr="004A2E6B" w:rsidR="00B379C4" w:rsidRDefault="00B379C4" w14:paraId="5A573BF5" w14:textId="5618120D">
      <w:pPr>
        <w:spacing w:after="16" w:line="259" w:lineRule="auto"/>
        <w:ind w:left="763" w:firstLine="0"/>
      </w:pPr>
    </w:p>
    <w:p w:rsidRPr="004A2E6B" w:rsidR="00B379C4" w:rsidRDefault="00B379C4" w14:paraId="74796731" w14:textId="5CAA0A88">
      <w:pPr>
        <w:spacing w:after="16" w:line="259" w:lineRule="auto"/>
        <w:ind w:left="763" w:firstLine="0"/>
      </w:pPr>
    </w:p>
    <w:p w:rsidRPr="004A2E6B" w:rsidR="00B379C4" w:rsidRDefault="00B379C4" w14:paraId="0262DDA0" w14:textId="7F44F36B">
      <w:pPr>
        <w:spacing w:after="16" w:line="259" w:lineRule="auto"/>
        <w:ind w:left="763" w:firstLine="0"/>
      </w:pPr>
    </w:p>
    <w:p w:rsidRPr="004A2E6B" w:rsidR="00B379C4" w:rsidRDefault="00B379C4" w14:paraId="133B54F2" w14:textId="77777777">
      <w:pPr>
        <w:spacing w:after="16" w:line="259" w:lineRule="auto"/>
        <w:ind w:left="763" w:firstLine="0"/>
      </w:pPr>
    </w:p>
    <w:p w:rsidR="0040392D" w:rsidP="00F453C0" w:rsidRDefault="0040392D" w14:paraId="459BCAE2" w14:textId="77777777">
      <w:pPr>
        <w:ind w:left="53" w:right="678"/>
        <w:rPr>
          <w:b/>
          <w:u w:val="single" w:color="000000"/>
        </w:rPr>
      </w:pPr>
    </w:p>
    <w:p w:rsidRPr="004A2E6B" w:rsidR="007C6079" w:rsidP="00F453C0" w:rsidRDefault="00C13462" w14:paraId="627C8FEB" w14:textId="44F6A81A">
      <w:pPr>
        <w:ind w:left="53" w:right="678"/>
      </w:pPr>
      <w:r w:rsidRPr="004A2E6B">
        <w:rPr>
          <w:b/>
          <w:u w:val="single" w:color="000000"/>
        </w:rPr>
        <w:t>Table A-1</w:t>
      </w:r>
      <w:r w:rsidRPr="004A2E6B">
        <w:rPr>
          <w:b/>
        </w:rPr>
        <w:t>:</w:t>
      </w:r>
      <w:r w:rsidRPr="004A2E6B">
        <w:t xml:space="preserve"> Estimated Annualized Burden Hours and Costs to Respondents— </w:t>
      </w:r>
      <w:r w:rsidRPr="004A2E6B" w:rsidR="00F453C0">
        <w:t>Addressing the Opioid Crisis in Communities of Color</w:t>
      </w:r>
    </w:p>
    <w:tbl>
      <w:tblPr>
        <w:tblStyle w:val="TableGrid"/>
        <w:tblW w:w="9737" w:type="dxa"/>
        <w:tblInd w:w="-46" w:type="dxa"/>
        <w:tblCellMar>
          <w:top w:w="49" w:type="dxa"/>
          <w:left w:w="115" w:type="dxa"/>
          <w:right w:w="67" w:type="dxa"/>
        </w:tblCellMar>
        <w:tblLook w:val="04A0" w:firstRow="1" w:lastRow="0" w:firstColumn="1" w:lastColumn="0" w:noHBand="0" w:noVBand="1"/>
      </w:tblPr>
      <w:tblGrid>
        <w:gridCol w:w="1974"/>
        <w:gridCol w:w="1504"/>
        <w:gridCol w:w="1403"/>
        <w:gridCol w:w="1318"/>
        <w:gridCol w:w="1130"/>
        <w:gridCol w:w="995"/>
        <w:gridCol w:w="1413"/>
      </w:tblGrid>
      <w:tr w:rsidRPr="004A2E6B" w:rsidR="00B40029" w:rsidTr="005859EF" w14:paraId="0133B5F7" w14:textId="77777777">
        <w:trPr>
          <w:trHeight w:val="1364"/>
        </w:trPr>
        <w:tc>
          <w:tcPr>
            <w:tcW w:w="2074"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4A2E6B" w:rsidR="00D84FF6" w:rsidP="005859EF" w:rsidRDefault="00D84FF6" w14:paraId="5FAA2002" w14:textId="77777777">
            <w:pPr>
              <w:spacing w:after="0" w:line="259" w:lineRule="auto"/>
              <w:ind w:left="0" w:firstLine="0"/>
              <w:rPr>
                <w:rFonts w:cs="Times New Roman"/>
              </w:rPr>
            </w:pPr>
            <w:r w:rsidRPr="004A2E6B">
              <w:rPr>
                <w:rFonts w:cs="Times New Roman"/>
                <w:b/>
              </w:rPr>
              <w:t xml:space="preserve">Type of Respondent </w:t>
            </w:r>
          </w:p>
        </w:tc>
        <w:tc>
          <w:tcPr>
            <w:tcW w:w="1439"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4A2E6B" w:rsidR="00D84FF6" w:rsidP="005859EF" w:rsidRDefault="00D84FF6" w14:paraId="1C9ACD50" w14:textId="77777777">
            <w:pPr>
              <w:spacing w:after="15" w:line="259" w:lineRule="auto"/>
              <w:ind w:left="0" w:right="51" w:firstLine="0"/>
              <w:jc w:val="center"/>
              <w:rPr>
                <w:rFonts w:cs="Times New Roman"/>
              </w:rPr>
            </w:pPr>
            <w:r w:rsidRPr="004A2E6B">
              <w:rPr>
                <w:rFonts w:cs="Times New Roman"/>
                <w:b/>
              </w:rPr>
              <w:t xml:space="preserve">No. of </w:t>
            </w:r>
          </w:p>
          <w:p w:rsidRPr="004A2E6B" w:rsidR="00D84FF6" w:rsidP="005859EF" w:rsidRDefault="00D84FF6" w14:paraId="79C32EB5" w14:textId="77777777">
            <w:pPr>
              <w:spacing w:after="0" w:line="259" w:lineRule="auto"/>
              <w:ind w:left="7" w:firstLine="0"/>
              <w:rPr>
                <w:rFonts w:cs="Times New Roman"/>
              </w:rPr>
            </w:pPr>
            <w:r w:rsidRPr="004A2E6B">
              <w:rPr>
                <w:rFonts w:cs="Times New Roman"/>
                <w:b/>
              </w:rPr>
              <w:t xml:space="preserve">Respondents </w:t>
            </w:r>
          </w:p>
        </w:tc>
        <w:tc>
          <w:tcPr>
            <w:tcW w:w="1349"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4A2E6B" w:rsidR="00D84FF6" w:rsidP="005859EF" w:rsidRDefault="00D84FF6" w14:paraId="4FE3BBE1" w14:textId="77777777">
            <w:pPr>
              <w:spacing w:after="15" w:line="259" w:lineRule="auto"/>
              <w:ind w:left="0" w:right="52" w:firstLine="0"/>
              <w:jc w:val="center"/>
              <w:rPr>
                <w:rFonts w:cs="Times New Roman"/>
              </w:rPr>
            </w:pPr>
            <w:r w:rsidRPr="004A2E6B">
              <w:rPr>
                <w:rFonts w:cs="Times New Roman"/>
                <w:b/>
              </w:rPr>
              <w:t xml:space="preserve">No. of </w:t>
            </w:r>
          </w:p>
          <w:p w:rsidRPr="004A2E6B" w:rsidR="00D84FF6" w:rsidP="005859EF" w:rsidRDefault="00D84FF6" w14:paraId="6EAB96C1" w14:textId="77777777">
            <w:pPr>
              <w:spacing w:line="274" w:lineRule="auto"/>
              <w:ind w:left="0" w:firstLine="0"/>
              <w:jc w:val="center"/>
              <w:rPr>
                <w:rFonts w:cs="Times New Roman"/>
              </w:rPr>
            </w:pPr>
            <w:r w:rsidRPr="004A2E6B">
              <w:rPr>
                <w:rFonts w:cs="Times New Roman"/>
                <w:b/>
              </w:rPr>
              <w:t xml:space="preserve">Responses per </w:t>
            </w:r>
          </w:p>
          <w:p w:rsidRPr="004A2E6B" w:rsidR="00D84FF6" w:rsidP="005859EF" w:rsidRDefault="00D84FF6" w14:paraId="47C35928" w14:textId="77777777">
            <w:pPr>
              <w:spacing w:after="0" w:line="259" w:lineRule="auto"/>
              <w:ind w:left="7" w:firstLine="0"/>
              <w:rPr>
                <w:rFonts w:cs="Times New Roman"/>
              </w:rPr>
            </w:pPr>
            <w:r w:rsidRPr="004A2E6B">
              <w:rPr>
                <w:rFonts w:cs="Times New Roman"/>
                <w:b/>
              </w:rPr>
              <w:t xml:space="preserve">Respondent </w:t>
            </w:r>
          </w:p>
        </w:tc>
        <w:tc>
          <w:tcPr>
            <w:tcW w:w="1349"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4A2E6B" w:rsidR="00D84FF6" w:rsidP="005859EF" w:rsidRDefault="00D84FF6" w14:paraId="2C4034DD" w14:textId="77777777">
            <w:pPr>
              <w:spacing w:after="15" w:line="259" w:lineRule="auto"/>
              <w:ind w:left="0" w:right="57" w:firstLine="0"/>
              <w:jc w:val="center"/>
              <w:rPr>
                <w:rFonts w:cs="Times New Roman"/>
              </w:rPr>
            </w:pPr>
            <w:r w:rsidRPr="004A2E6B">
              <w:rPr>
                <w:rFonts w:cs="Times New Roman"/>
                <w:b/>
              </w:rPr>
              <w:t xml:space="preserve">Average </w:t>
            </w:r>
          </w:p>
          <w:p w:rsidRPr="004A2E6B" w:rsidR="00D84FF6" w:rsidP="005859EF" w:rsidRDefault="00D84FF6" w14:paraId="3638DA40" w14:textId="77777777">
            <w:pPr>
              <w:spacing w:after="15" w:line="259" w:lineRule="auto"/>
              <w:ind w:left="32" w:firstLine="0"/>
              <w:rPr>
                <w:rFonts w:cs="Times New Roman"/>
              </w:rPr>
            </w:pPr>
            <w:r w:rsidRPr="004A2E6B">
              <w:rPr>
                <w:rFonts w:cs="Times New Roman"/>
                <w:b/>
              </w:rPr>
              <w:t xml:space="preserve">Burden per </w:t>
            </w:r>
          </w:p>
          <w:p w:rsidRPr="004A2E6B" w:rsidR="00D84FF6" w:rsidP="005859EF" w:rsidRDefault="00D84FF6" w14:paraId="3E19AC88" w14:textId="77777777">
            <w:pPr>
              <w:spacing w:after="18" w:line="259" w:lineRule="auto"/>
              <w:ind w:left="0" w:right="55" w:firstLine="0"/>
              <w:jc w:val="center"/>
              <w:rPr>
                <w:rFonts w:cs="Times New Roman"/>
              </w:rPr>
            </w:pPr>
            <w:r w:rsidRPr="004A2E6B">
              <w:rPr>
                <w:rFonts w:cs="Times New Roman"/>
                <w:b/>
              </w:rPr>
              <w:t xml:space="preserve">Response </w:t>
            </w:r>
          </w:p>
          <w:p w:rsidRPr="004A2E6B" w:rsidR="00D84FF6" w:rsidP="005859EF" w:rsidRDefault="00D84FF6" w14:paraId="79FCAABB" w14:textId="77777777">
            <w:pPr>
              <w:spacing w:after="0" w:line="259" w:lineRule="auto"/>
              <w:ind w:left="0" w:right="57" w:firstLine="0"/>
              <w:jc w:val="center"/>
              <w:rPr>
                <w:rFonts w:cs="Times New Roman"/>
              </w:rPr>
            </w:pPr>
            <w:r w:rsidRPr="004A2E6B">
              <w:rPr>
                <w:rFonts w:cs="Times New Roman"/>
                <w:b/>
              </w:rPr>
              <w:t xml:space="preserve">(in </w:t>
            </w:r>
            <w:r w:rsidRPr="004A2E6B">
              <w:rPr>
                <w:b/>
              </w:rPr>
              <w:t>Hours</w:t>
            </w:r>
            <w:r w:rsidRPr="004A2E6B">
              <w:rPr>
                <w:rFonts w:cs="Times New Roman"/>
                <w:b/>
              </w:rPr>
              <w:t xml:space="preserve">) </w:t>
            </w:r>
          </w:p>
        </w:tc>
        <w:tc>
          <w:tcPr>
            <w:tcW w:w="1169"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4A2E6B" w:rsidR="00D84FF6" w:rsidP="005859EF" w:rsidRDefault="00D84FF6" w14:paraId="6D2EB327" w14:textId="77777777">
            <w:pPr>
              <w:spacing w:after="15" w:line="259" w:lineRule="auto"/>
              <w:ind w:left="0" w:right="51" w:firstLine="0"/>
              <w:jc w:val="center"/>
              <w:rPr>
                <w:rFonts w:cs="Times New Roman"/>
              </w:rPr>
            </w:pPr>
            <w:r w:rsidRPr="004A2E6B">
              <w:rPr>
                <w:rFonts w:cs="Times New Roman"/>
                <w:b/>
              </w:rPr>
              <w:t xml:space="preserve">Total </w:t>
            </w:r>
          </w:p>
          <w:p w:rsidRPr="004A2E6B" w:rsidR="00D84FF6" w:rsidP="005859EF" w:rsidRDefault="00D84FF6" w14:paraId="339BDCAD" w14:textId="77777777">
            <w:pPr>
              <w:spacing w:after="15" w:line="259" w:lineRule="auto"/>
              <w:ind w:left="0" w:right="52" w:firstLine="0"/>
              <w:jc w:val="center"/>
              <w:rPr>
                <w:rFonts w:cs="Times New Roman"/>
              </w:rPr>
            </w:pPr>
            <w:r w:rsidRPr="004A2E6B">
              <w:rPr>
                <w:rFonts w:cs="Times New Roman"/>
                <w:b/>
              </w:rPr>
              <w:t xml:space="preserve">Burden </w:t>
            </w:r>
          </w:p>
          <w:p w:rsidRPr="004A2E6B" w:rsidR="00D84FF6" w:rsidP="005859EF" w:rsidRDefault="00D84FF6" w14:paraId="7D6D95E9" w14:textId="77777777">
            <w:pPr>
              <w:spacing w:after="0" w:line="259" w:lineRule="auto"/>
              <w:ind w:left="0" w:right="54" w:firstLine="0"/>
              <w:jc w:val="center"/>
              <w:rPr>
                <w:rFonts w:cs="Times New Roman"/>
              </w:rPr>
            </w:pPr>
            <w:r w:rsidRPr="004A2E6B">
              <w:rPr>
                <w:rFonts w:cs="Times New Roman"/>
                <w:b/>
              </w:rPr>
              <w:t xml:space="preserve">Hours </w:t>
            </w:r>
          </w:p>
        </w:tc>
        <w:tc>
          <w:tcPr>
            <w:tcW w:w="991"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4A2E6B" w:rsidR="008944BE" w:rsidP="005859EF" w:rsidRDefault="008944BE" w14:paraId="701D0D45" w14:textId="77777777">
            <w:pPr>
              <w:spacing w:after="15" w:line="259" w:lineRule="auto"/>
              <w:ind w:left="59" w:firstLine="0"/>
              <w:rPr>
                <w:rFonts w:cs="Times New Roman"/>
                <w:b/>
              </w:rPr>
            </w:pPr>
            <w:r w:rsidRPr="004A2E6B">
              <w:rPr>
                <w:rFonts w:cs="Times New Roman"/>
                <w:b/>
              </w:rPr>
              <w:t xml:space="preserve">Median </w:t>
            </w:r>
          </w:p>
          <w:p w:rsidRPr="004A2E6B" w:rsidR="00D84FF6" w:rsidP="008944BE" w:rsidRDefault="00D84FF6" w14:paraId="2592F333" w14:textId="77777777">
            <w:pPr>
              <w:spacing w:after="15" w:line="259" w:lineRule="auto"/>
              <w:rPr>
                <w:rFonts w:cs="Times New Roman"/>
              </w:rPr>
            </w:pPr>
            <w:r w:rsidRPr="004A2E6B">
              <w:rPr>
                <w:rFonts w:cs="Times New Roman"/>
                <w:b/>
              </w:rPr>
              <w:t xml:space="preserve">Hourly </w:t>
            </w:r>
          </w:p>
          <w:p w:rsidRPr="004A2E6B" w:rsidR="00D84FF6" w:rsidP="005859EF" w:rsidRDefault="00D84FF6" w14:paraId="1188AAFF" w14:textId="77777777">
            <w:pPr>
              <w:spacing w:after="15" w:line="259" w:lineRule="auto"/>
              <w:ind w:left="0" w:right="55" w:firstLine="0"/>
              <w:jc w:val="center"/>
              <w:rPr>
                <w:rFonts w:cs="Times New Roman"/>
              </w:rPr>
            </w:pPr>
            <w:r w:rsidRPr="004A2E6B">
              <w:rPr>
                <w:rFonts w:cs="Times New Roman"/>
                <w:b/>
              </w:rPr>
              <w:t xml:space="preserve">Wage </w:t>
            </w:r>
          </w:p>
          <w:p w:rsidRPr="004A2E6B" w:rsidR="00D84FF6" w:rsidP="005859EF" w:rsidRDefault="00D84FF6" w14:paraId="4314A658" w14:textId="77777777">
            <w:pPr>
              <w:spacing w:after="0" w:line="259" w:lineRule="auto"/>
              <w:ind w:left="0" w:right="55" w:firstLine="0"/>
              <w:jc w:val="center"/>
              <w:rPr>
                <w:rFonts w:cs="Times New Roman"/>
              </w:rPr>
            </w:pPr>
            <w:r w:rsidRPr="004A2E6B">
              <w:rPr>
                <w:rFonts w:cs="Times New Roman"/>
                <w:b/>
              </w:rPr>
              <w:t xml:space="preserve">Rate </w:t>
            </w:r>
          </w:p>
        </w:tc>
        <w:tc>
          <w:tcPr>
            <w:tcW w:w="1366"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4A2E6B" w:rsidR="00D84FF6" w:rsidP="005859EF" w:rsidRDefault="00D84FF6" w14:paraId="0A3E502B" w14:textId="77777777">
            <w:pPr>
              <w:spacing w:after="15" w:line="259" w:lineRule="auto"/>
              <w:ind w:left="0" w:right="51" w:firstLine="0"/>
              <w:jc w:val="center"/>
              <w:rPr>
                <w:rFonts w:cs="Times New Roman"/>
              </w:rPr>
            </w:pPr>
            <w:r w:rsidRPr="004A2E6B">
              <w:rPr>
                <w:rFonts w:cs="Times New Roman"/>
                <w:b/>
              </w:rPr>
              <w:t xml:space="preserve">Total </w:t>
            </w:r>
          </w:p>
          <w:p w:rsidRPr="004A2E6B" w:rsidR="00D84FF6" w:rsidP="005859EF" w:rsidRDefault="00D84FF6" w14:paraId="13963F11" w14:textId="77777777">
            <w:pPr>
              <w:spacing w:after="15" w:line="259" w:lineRule="auto"/>
              <w:ind w:left="17" w:firstLine="0"/>
              <w:rPr>
                <w:rFonts w:cs="Times New Roman"/>
              </w:rPr>
            </w:pPr>
            <w:r w:rsidRPr="004A2E6B">
              <w:rPr>
                <w:rFonts w:cs="Times New Roman"/>
                <w:b/>
              </w:rPr>
              <w:t xml:space="preserve">Respondent </w:t>
            </w:r>
          </w:p>
          <w:p w:rsidRPr="004A2E6B" w:rsidR="00D84FF6" w:rsidP="005859EF" w:rsidRDefault="00D84FF6" w14:paraId="05FE208F" w14:textId="77777777">
            <w:pPr>
              <w:spacing w:after="0" w:line="259" w:lineRule="auto"/>
              <w:ind w:left="0" w:right="50" w:firstLine="0"/>
              <w:jc w:val="center"/>
              <w:rPr>
                <w:rFonts w:cs="Times New Roman"/>
              </w:rPr>
            </w:pPr>
            <w:r w:rsidRPr="004A2E6B">
              <w:rPr>
                <w:rFonts w:cs="Times New Roman"/>
                <w:b/>
              </w:rPr>
              <w:t xml:space="preserve">Costs </w:t>
            </w:r>
          </w:p>
        </w:tc>
      </w:tr>
      <w:tr w:rsidRPr="004A2E6B" w:rsidR="00B40029" w:rsidTr="005859EF" w14:paraId="02490799" w14:textId="77777777">
        <w:trPr>
          <w:trHeight w:val="569"/>
        </w:trPr>
        <w:tc>
          <w:tcPr>
            <w:tcW w:w="2074" w:type="dxa"/>
            <w:tcBorders>
              <w:top w:val="single" w:color="000000" w:sz="12" w:space="0"/>
              <w:left w:val="single" w:color="000000" w:sz="4" w:space="0"/>
              <w:bottom w:val="single" w:color="000000" w:sz="12" w:space="0"/>
              <w:right w:val="single" w:color="000000" w:sz="4" w:space="0"/>
            </w:tcBorders>
          </w:tcPr>
          <w:p w:rsidRPr="004A2E6B" w:rsidR="00D84FF6" w:rsidP="005859EF" w:rsidRDefault="00D84FF6" w14:paraId="37D8780F" w14:textId="4C4C63C2">
            <w:pPr>
              <w:spacing w:after="0" w:line="259" w:lineRule="auto"/>
              <w:ind w:left="0" w:firstLine="0"/>
              <w:jc w:val="center"/>
              <w:rPr>
                <w:rFonts w:cs="Times New Roman"/>
              </w:rPr>
            </w:pPr>
            <w:bookmarkStart w:name="_Hlk25662060" w:id="1"/>
            <w:r w:rsidRPr="004A2E6B">
              <w:rPr>
                <w:rFonts w:cs="Times New Roman"/>
              </w:rPr>
              <w:t xml:space="preserve">Substance Use </w:t>
            </w:r>
            <w:r w:rsidRPr="004A2E6B" w:rsidR="00165C97">
              <w:rPr>
                <w:rFonts w:cs="Times New Roman"/>
              </w:rPr>
              <w:t xml:space="preserve">Treatment </w:t>
            </w:r>
            <w:r w:rsidRPr="004A2E6B">
              <w:rPr>
                <w:rFonts w:cs="Times New Roman"/>
              </w:rPr>
              <w:t xml:space="preserve">Administrators </w:t>
            </w:r>
          </w:p>
        </w:tc>
        <w:tc>
          <w:tcPr>
            <w:tcW w:w="1439" w:type="dxa"/>
            <w:tcBorders>
              <w:top w:val="single" w:color="000000" w:sz="12" w:space="0"/>
              <w:left w:val="nil"/>
              <w:bottom w:val="single" w:color="000000" w:sz="12" w:space="0"/>
              <w:right w:val="single" w:color="000000" w:sz="8" w:space="0"/>
            </w:tcBorders>
            <w:shd w:val="clear" w:color="auto" w:fill="auto"/>
            <w:vAlign w:val="center"/>
          </w:tcPr>
          <w:p w:rsidRPr="004A2E6B" w:rsidR="00D84FF6" w:rsidP="005859EF" w:rsidRDefault="00D84FF6" w14:paraId="06829B30" w14:textId="77777777">
            <w:pPr>
              <w:spacing w:after="0" w:line="259" w:lineRule="auto"/>
              <w:ind w:left="0" w:right="48" w:firstLine="0"/>
              <w:jc w:val="center"/>
              <w:rPr>
                <w:rFonts w:cs="Times New Roman"/>
              </w:rPr>
            </w:pPr>
            <w:r w:rsidRPr="004A2E6B">
              <w:rPr>
                <w:rFonts w:cs="Times New Roman"/>
              </w:rPr>
              <w:t>16</w:t>
            </w:r>
          </w:p>
        </w:tc>
        <w:tc>
          <w:tcPr>
            <w:tcW w:w="1349" w:type="dxa"/>
            <w:tcBorders>
              <w:top w:val="single" w:color="000000" w:sz="12" w:space="0"/>
              <w:left w:val="nil"/>
              <w:bottom w:val="single" w:color="000000" w:sz="12" w:space="0"/>
              <w:right w:val="single" w:color="000000" w:sz="8" w:space="0"/>
            </w:tcBorders>
            <w:shd w:val="clear" w:color="auto" w:fill="auto"/>
            <w:vAlign w:val="center"/>
          </w:tcPr>
          <w:p w:rsidRPr="004A2E6B" w:rsidR="00D84FF6" w:rsidP="005859EF" w:rsidRDefault="00D84FF6" w14:paraId="5B88472B" w14:textId="77777777">
            <w:pPr>
              <w:spacing w:after="0" w:line="259" w:lineRule="auto"/>
              <w:ind w:left="0" w:right="50" w:firstLine="0"/>
              <w:jc w:val="center"/>
              <w:rPr>
                <w:rFonts w:cs="Times New Roman"/>
              </w:rPr>
            </w:pPr>
            <w:r w:rsidRPr="004A2E6B">
              <w:rPr>
                <w:rFonts w:cs="Times New Roman"/>
              </w:rPr>
              <w:t>1</w:t>
            </w:r>
          </w:p>
        </w:tc>
        <w:tc>
          <w:tcPr>
            <w:tcW w:w="1349" w:type="dxa"/>
            <w:tcBorders>
              <w:top w:val="single" w:color="000000" w:sz="12" w:space="0"/>
              <w:left w:val="nil"/>
              <w:bottom w:val="single" w:color="000000" w:sz="12" w:space="0"/>
              <w:right w:val="single" w:color="000000" w:sz="8" w:space="0"/>
            </w:tcBorders>
            <w:shd w:val="clear" w:color="auto" w:fill="auto"/>
            <w:vAlign w:val="center"/>
          </w:tcPr>
          <w:p w:rsidRPr="004A2E6B" w:rsidR="00D84FF6" w:rsidP="005859EF" w:rsidRDefault="004C12B9" w14:paraId="161F2872" w14:textId="5F09711B">
            <w:pPr>
              <w:spacing w:after="0" w:line="259" w:lineRule="auto"/>
              <w:ind w:left="0" w:right="55" w:firstLine="0"/>
              <w:jc w:val="center"/>
              <w:rPr>
                <w:rFonts w:cs="Times New Roman"/>
              </w:rPr>
            </w:pPr>
            <w:r w:rsidRPr="004A2E6B">
              <w:t>1.5</w:t>
            </w:r>
          </w:p>
        </w:tc>
        <w:tc>
          <w:tcPr>
            <w:tcW w:w="1169" w:type="dxa"/>
            <w:tcBorders>
              <w:top w:val="single" w:color="000000" w:sz="12" w:space="0"/>
              <w:left w:val="nil"/>
              <w:bottom w:val="single" w:color="000000" w:sz="12" w:space="0"/>
              <w:right w:val="single" w:color="000000" w:sz="8" w:space="0"/>
            </w:tcBorders>
            <w:shd w:val="clear" w:color="auto" w:fill="auto"/>
            <w:vAlign w:val="center"/>
          </w:tcPr>
          <w:p w:rsidRPr="004A2E6B" w:rsidR="00D84FF6" w:rsidP="005859EF" w:rsidRDefault="00791497" w14:paraId="445F5F80" w14:textId="2FB83C0E">
            <w:pPr>
              <w:spacing w:after="0" w:line="259" w:lineRule="auto"/>
              <w:ind w:left="0" w:right="52" w:firstLine="0"/>
              <w:jc w:val="center"/>
              <w:rPr>
                <w:rFonts w:cs="Times New Roman"/>
              </w:rPr>
            </w:pPr>
            <w:r w:rsidRPr="004A2E6B">
              <w:t>24</w:t>
            </w:r>
          </w:p>
        </w:tc>
        <w:tc>
          <w:tcPr>
            <w:tcW w:w="991" w:type="dxa"/>
            <w:tcBorders>
              <w:top w:val="single" w:color="000000" w:sz="12" w:space="0"/>
              <w:left w:val="nil"/>
              <w:bottom w:val="single" w:color="000000" w:sz="12" w:space="0"/>
              <w:right w:val="single" w:color="000000" w:sz="8" w:space="0"/>
            </w:tcBorders>
            <w:shd w:val="clear" w:color="auto" w:fill="auto"/>
            <w:vAlign w:val="center"/>
          </w:tcPr>
          <w:p w:rsidRPr="004A2E6B" w:rsidR="00D84FF6" w:rsidP="00165C97" w:rsidRDefault="00165C97" w14:paraId="19DF9349" w14:textId="427C95D8">
            <w:pPr>
              <w:spacing w:after="0" w:line="259" w:lineRule="auto"/>
              <w:ind w:left="0" w:right="55" w:firstLine="0"/>
              <w:jc w:val="center"/>
              <w:rPr>
                <w:rFonts w:cs="Times New Roman"/>
              </w:rPr>
            </w:pPr>
            <w:r w:rsidRPr="004A2E6B">
              <w:rPr>
                <w:rFonts w:cs="Times New Roman"/>
              </w:rPr>
              <w:t>$50.99</w:t>
            </w:r>
          </w:p>
        </w:tc>
        <w:tc>
          <w:tcPr>
            <w:tcW w:w="1366" w:type="dxa"/>
            <w:tcBorders>
              <w:top w:val="single" w:color="000000" w:sz="12" w:space="0"/>
              <w:left w:val="nil"/>
              <w:bottom w:val="single" w:color="000000" w:sz="12" w:space="0"/>
              <w:right w:val="single" w:color="000000" w:sz="8" w:space="0"/>
            </w:tcBorders>
            <w:shd w:val="clear" w:color="auto" w:fill="auto"/>
            <w:vAlign w:val="center"/>
          </w:tcPr>
          <w:p w:rsidRPr="004A2E6B" w:rsidR="00D84FF6" w:rsidP="005859EF" w:rsidRDefault="00B40029" w14:paraId="31220C92" w14:textId="60120DE3">
            <w:pPr>
              <w:spacing w:after="0" w:line="259" w:lineRule="auto"/>
              <w:ind w:left="0" w:right="50" w:firstLine="0"/>
              <w:jc w:val="center"/>
              <w:rPr>
                <w:rFonts w:cs="Times New Roman"/>
              </w:rPr>
            </w:pPr>
            <w:r w:rsidRPr="004A2E6B">
              <w:rPr>
                <w:rFonts w:cs="Times New Roman"/>
              </w:rPr>
              <w:t>$1,223.76</w:t>
            </w:r>
          </w:p>
        </w:tc>
      </w:tr>
      <w:bookmarkEnd w:id="1"/>
      <w:tr w:rsidRPr="004A2E6B" w:rsidR="00B40029" w:rsidTr="005859EF" w14:paraId="25241D73" w14:textId="77777777">
        <w:trPr>
          <w:trHeight w:val="838"/>
        </w:trPr>
        <w:tc>
          <w:tcPr>
            <w:tcW w:w="2074" w:type="dxa"/>
            <w:tcBorders>
              <w:top w:val="single" w:color="000000" w:sz="12" w:space="0"/>
              <w:left w:val="single" w:color="000000" w:sz="4" w:space="0"/>
              <w:bottom w:val="single" w:color="000000" w:sz="12" w:space="0"/>
              <w:right w:val="single" w:color="000000" w:sz="4" w:space="0"/>
            </w:tcBorders>
          </w:tcPr>
          <w:p w:rsidRPr="004A2E6B" w:rsidR="00D84FF6" w:rsidP="00DF72B9" w:rsidRDefault="00D84FF6" w14:paraId="46B521CB" w14:textId="1CDACB90">
            <w:pPr>
              <w:spacing w:after="17" w:line="259" w:lineRule="auto"/>
              <w:ind w:left="0" w:right="55" w:firstLine="0"/>
              <w:jc w:val="center"/>
              <w:rPr>
                <w:rFonts w:cs="Times New Roman"/>
              </w:rPr>
            </w:pPr>
            <w:r w:rsidRPr="004A2E6B">
              <w:rPr>
                <w:rFonts w:cs="Times New Roman"/>
              </w:rPr>
              <w:t xml:space="preserve">Substance Use Treatment </w:t>
            </w:r>
            <w:r w:rsidRPr="004A2E6B" w:rsidR="00DF72B9">
              <w:rPr>
                <w:rFonts w:cs="Times New Roman"/>
              </w:rPr>
              <w:t>Caseworkers</w:t>
            </w:r>
          </w:p>
        </w:tc>
        <w:tc>
          <w:tcPr>
            <w:tcW w:w="1439"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D84FF6" w14:paraId="2DDE3ED8" w14:textId="77777777">
            <w:pPr>
              <w:spacing w:after="0" w:line="259" w:lineRule="auto"/>
              <w:ind w:left="0" w:right="48" w:firstLine="0"/>
              <w:jc w:val="center"/>
              <w:rPr>
                <w:rFonts w:cs="Times New Roman"/>
              </w:rPr>
            </w:pPr>
            <w:r w:rsidRPr="004A2E6B">
              <w:rPr>
                <w:rFonts w:cs="Times New Roman"/>
              </w:rPr>
              <w:t>16</w:t>
            </w:r>
          </w:p>
        </w:tc>
        <w:tc>
          <w:tcPr>
            <w:tcW w:w="1349"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D84FF6" w14:paraId="421DA3A2" w14:textId="77777777">
            <w:pPr>
              <w:spacing w:after="0" w:line="259" w:lineRule="auto"/>
              <w:ind w:left="0" w:right="50" w:firstLine="0"/>
              <w:jc w:val="center"/>
              <w:rPr>
                <w:rFonts w:cs="Times New Roman"/>
              </w:rPr>
            </w:pPr>
            <w:r w:rsidRPr="004A2E6B">
              <w:rPr>
                <w:rFonts w:cs="Times New Roman"/>
              </w:rPr>
              <w:t>1</w:t>
            </w:r>
          </w:p>
        </w:tc>
        <w:tc>
          <w:tcPr>
            <w:tcW w:w="1349"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B40029" w14:paraId="061B5C6A" w14:textId="130C7061">
            <w:pPr>
              <w:spacing w:after="0" w:line="259" w:lineRule="auto"/>
              <w:ind w:left="0" w:right="55" w:firstLine="0"/>
              <w:jc w:val="center"/>
              <w:rPr>
                <w:rFonts w:cs="Times New Roman"/>
              </w:rPr>
            </w:pPr>
            <w:r w:rsidRPr="004A2E6B">
              <w:t>1.5</w:t>
            </w:r>
          </w:p>
        </w:tc>
        <w:tc>
          <w:tcPr>
            <w:tcW w:w="1169"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B40029" w14:paraId="62B50AD3" w14:textId="2A74DA09">
            <w:pPr>
              <w:spacing w:after="0" w:line="259" w:lineRule="auto"/>
              <w:ind w:left="0" w:right="52" w:firstLine="0"/>
              <w:jc w:val="center"/>
              <w:rPr>
                <w:rFonts w:cs="Times New Roman"/>
              </w:rPr>
            </w:pPr>
            <w:r w:rsidRPr="004A2E6B">
              <w:t>24</w:t>
            </w:r>
          </w:p>
        </w:tc>
        <w:tc>
          <w:tcPr>
            <w:tcW w:w="991"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165C97" w14:paraId="566D22F5" w14:textId="32A5A297">
            <w:pPr>
              <w:spacing w:after="0" w:line="259" w:lineRule="auto"/>
              <w:ind w:left="0" w:right="55" w:firstLine="0"/>
              <w:jc w:val="center"/>
              <w:rPr>
                <w:rFonts w:cs="Times New Roman"/>
              </w:rPr>
            </w:pPr>
            <w:r w:rsidRPr="004A2E6B">
              <w:rPr>
                <w:rFonts w:cs="Times New Roman"/>
              </w:rPr>
              <w:t>$20.64</w:t>
            </w:r>
          </w:p>
        </w:tc>
        <w:tc>
          <w:tcPr>
            <w:tcW w:w="1366"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165C97" w14:paraId="33E2F6D5" w14:textId="783B52B1">
            <w:pPr>
              <w:spacing w:after="0" w:line="259" w:lineRule="auto"/>
              <w:ind w:left="0" w:right="52" w:firstLine="0"/>
              <w:jc w:val="center"/>
              <w:rPr>
                <w:rFonts w:cs="Times New Roman"/>
              </w:rPr>
            </w:pPr>
            <w:r w:rsidRPr="004A2E6B">
              <w:rPr>
                <w:rFonts w:cs="Times New Roman"/>
              </w:rPr>
              <w:t>$</w:t>
            </w:r>
            <w:r w:rsidRPr="004A2E6B" w:rsidR="00B40029">
              <w:rPr>
                <w:rFonts w:cs="Times New Roman"/>
              </w:rPr>
              <w:t>495.36</w:t>
            </w:r>
          </w:p>
        </w:tc>
      </w:tr>
      <w:tr w:rsidRPr="004A2E6B" w:rsidR="00B40029" w:rsidTr="005859EF" w14:paraId="009BAC9F" w14:textId="77777777">
        <w:trPr>
          <w:trHeight w:val="571"/>
        </w:trPr>
        <w:tc>
          <w:tcPr>
            <w:tcW w:w="2074" w:type="dxa"/>
            <w:tcBorders>
              <w:top w:val="single" w:color="000000" w:sz="12" w:space="0"/>
              <w:left w:val="single" w:color="000000" w:sz="4" w:space="0"/>
              <w:bottom w:val="single" w:color="000000" w:sz="12" w:space="0"/>
              <w:right w:val="single" w:color="000000" w:sz="4" w:space="0"/>
            </w:tcBorders>
          </w:tcPr>
          <w:p w:rsidRPr="004A2E6B" w:rsidR="00D84FF6" w:rsidP="005859EF" w:rsidRDefault="00D84FF6" w14:paraId="758A96F9" w14:textId="77777777">
            <w:pPr>
              <w:spacing w:after="0" w:line="259" w:lineRule="auto"/>
              <w:ind w:left="0" w:firstLine="0"/>
              <w:jc w:val="center"/>
              <w:rPr>
                <w:rFonts w:cs="Times New Roman"/>
              </w:rPr>
            </w:pPr>
            <w:r w:rsidRPr="004A2E6B">
              <w:rPr>
                <w:rFonts w:cs="Times New Roman"/>
              </w:rPr>
              <w:t xml:space="preserve">Human Services Administrators </w:t>
            </w:r>
          </w:p>
        </w:tc>
        <w:tc>
          <w:tcPr>
            <w:tcW w:w="1439" w:type="dxa"/>
            <w:tcBorders>
              <w:top w:val="nil"/>
              <w:left w:val="nil"/>
              <w:bottom w:val="single" w:color="000000" w:sz="12" w:space="0"/>
              <w:right w:val="single" w:color="000000" w:sz="8" w:space="0"/>
            </w:tcBorders>
            <w:shd w:val="clear" w:color="auto" w:fill="auto"/>
            <w:vAlign w:val="center"/>
          </w:tcPr>
          <w:p w:rsidRPr="004A2E6B" w:rsidR="00D84FF6" w:rsidP="005859EF" w:rsidRDefault="00D84FF6" w14:paraId="60CEB243" w14:textId="77777777">
            <w:pPr>
              <w:spacing w:after="0" w:line="259" w:lineRule="auto"/>
              <w:ind w:left="0" w:right="48" w:firstLine="0"/>
              <w:jc w:val="center"/>
              <w:rPr>
                <w:rFonts w:cs="Times New Roman"/>
              </w:rPr>
            </w:pPr>
            <w:r w:rsidRPr="004A2E6B">
              <w:rPr>
                <w:rFonts w:cs="Times New Roman"/>
              </w:rPr>
              <w:t>16</w:t>
            </w:r>
          </w:p>
        </w:tc>
        <w:tc>
          <w:tcPr>
            <w:tcW w:w="1349" w:type="dxa"/>
            <w:tcBorders>
              <w:top w:val="nil"/>
              <w:left w:val="nil"/>
              <w:bottom w:val="single" w:color="000000" w:sz="12" w:space="0"/>
              <w:right w:val="single" w:color="000000" w:sz="8" w:space="0"/>
            </w:tcBorders>
            <w:shd w:val="clear" w:color="auto" w:fill="auto"/>
            <w:vAlign w:val="center"/>
          </w:tcPr>
          <w:p w:rsidRPr="004A2E6B" w:rsidR="00D84FF6" w:rsidP="005859EF" w:rsidRDefault="00D84FF6" w14:paraId="74998C14" w14:textId="77777777">
            <w:pPr>
              <w:spacing w:after="0" w:line="259" w:lineRule="auto"/>
              <w:ind w:left="0" w:right="50" w:firstLine="0"/>
              <w:jc w:val="center"/>
              <w:rPr>
                <w:rFonts w:cs="Times New Roman"/>
              </w:rPr>
            </w:pPr>
            <w:r w:rsidRPr="004A2E6B">
              <w:rPr>
                <w:rFonts w:cs="Times New Roman"/>
              </w:rPr>
              <w:t>1</w:t>
            </w:r>
          </w:p>
        </w:tc>
        <w:tc>
          <w:tcPr>
            <w:tcW w:w="1349" w:type="dxa"/>
            <w:tcBorders>
              <w:top w:val="nil"/>
              <w:left w:val="nil"/>
              <w:bottom w:val="single" w:color="000000" w:sz="12" w:space="0"/>
              <w:right w:val="single" w:color="000000" w:sz="8" w:space="0"/>
            </w:tcBorders>
            <w:shd w:val="clear" w:color="auto" w:fill="auto"/>
            <w:vAlign w:val="center"/>
          </w:tcPr>
          <w:p w:rsidRPr="004A2E6B" w:rsidR="00D84FF6" w:rsidP="00165C97" w:rsidRDefault="00B40029" w14:paraId="419FD001" w14:textId="00CED145">
            <w:pPr>
              <w:spacing w:after="0" w:line="259" w:lineRule="auto"/>
              <w:ind w:left="0" w:right="55" w:firstLine="0"/>
              <w:jc w:val="center"/>
              <w:rPr>
                <w:rFonts w:cs="Times New Roman"/>
              </w:rPr>
            </w:pPr>
            <w:r w:rsidRPr="004A2E6B">
              <w:t>1.5</w:t>
            </w:r>
          </w:p>
        </w:tc>
        <w:tc>
          <w:tcPr>
            <w:tcW w:w="1169" w:type="dxa"/>
            <w:tcBorders>
              <w:top w:val="nil"/>
              <w:left w:val="nil"/>
              <w:bottom w:val="single" w:color="000000" w:sz="12" w:space="0"/>
              <w:right w:val="single" w:color="000000" w:sz="8" w:space="0"/>
            </w:tcBorders>
            <w:shd w:val="clear" w:color="auto" w:fill="auto"/>
            <w:vAlign w:val="center"/>
          </w:tcPr>
          <w:p w:rsidRPr="004A2E6B" w:rsidR="00D84FF6" w:rsidP="005859EF" w:rsidRDefault="00B40029" w14:paraId="2AFB9034" w14:textId="5BEB298F">
            <w:pPr>
              <w:spacing w:after="0" w:line="259" w:lineRule="auto"/>
              <w:ind w:left="0" w:right="52" w:firstLine="0"/>
              <w:jc w:val="center"/>
              <w:rPr>
                <w:rFonts w:cs="Times New Roman"/>
              </w:rPr>
            </w:pPr>
            <w:r w:rsidRPr="004A2E6B">
              <w:t>24</w:t>
            </w:r>
          </w:p>
        </w:tc>
        <w:tc>
          <w:tcPr>
            <w:tcW w:w="991" w:type="dxa"/>
            <w:tcBorders>
              <w:top w:val="nil"/>
              <w:left w:val="nil"/>
              <w:bottom w:val="single" w:color="000000" w:sz="12" w:space="0"/>
              <w:right w:val="single" w:color="000000" w:sz="8" w:space="0"/>
            </w:tcBorders>
            <w:shd w:val="clear" w:color="auto" w:fill="auto"/>
            <w:vAlign w:val="center"/>
          </w:tcPr>
          <w:p w:rsidRPr="004A2E6B" w:rsidR="00D84FF6" w:rsidP="005859EF" w:rsidRDefault="00165C97" w14:paraId="0FD7EC91" w14:textId="13DE4CCC">
            <w:pPr>
              <w:spacing w:after="0" w:line="259" w:lineRule="auto"/>
              <w:ind w:left="0" w:right="55" w:firstLine="0"/>
              <w:jc w:val="center"/>
              <w:rPr>
                <w:rFonts w:cs="Times New Roman"/>
              </w:rPr>
            </w:pPr>
            <w:r w:rsidRPr="004A2E6B">
              <w:rPr>
                <w:rFonts w:cs="Times New Roman"/>
              </w:rPr>
              <w:t>$50.99</w:t>
            </w:r>
          </w:p>
        </w:tc>
        <w:tc>
          <w:tcPr>
            <w:tcW w:w="1366" w:type="dxa"/>
            <w:tcBorders>
              <w:top w:val="nil"/>
              <w:left w:val="nil"/>
              <w:bottom w:val="single" w:color="000000" w:sz="12" w:space="0"/>
              <w:right w:val="single" w:color="000000" w:sz="8" w:space="0"/>
            </w:tcBorders>
            <w:shd w:val="clear" w:color="auto" w:fill="auto"/>
            <w:vAlign w:val="center"/>
          </w:tcPr>
          <w:p w:rsidRPr="004A2E6B" w:rsidR="00D84FF6" w:rsidP="005859EF" w:rsidRDefault="00B40029" w14:paraId="699B29B3" w14:textId="34E46E17">
            <w:pPr>
              <w:spacing w:after="0" w:line="259" w:lineRule="auto"/>
              <w:ind w:left="0" w:right="50" w:firstLine="0"/>
              <w:jc w:val="center"/>
              <w:rPr>
                <w:rFonts w:cs="Times New Roman"/>
              </w:rPr>
            </w:pPr>
            <w:r w:rsidRPr="004A2E6B">
              <w:rPr>
                <w:rFonts w:cs="Times New Roman"/>
              </w:rPr>
              <w:t>$</w:t>
            </w:r>
            <w:r w:rsidRPr="004A2E6B" w:rsidR="006F65FB">
              <w:rPr>
                <w:rFonts w:cs="Times New Roman"/>
              </w:rPr>
              <w:t>1</w:t>
            </w:r>
            <w:r w:rsidRPr="004A2E6B">
              <w:rPr>
                <w:rFonts w:cs="Times New Roman"/>
              </w:rPr>
              <w:t>,223.76</w:t>
            </w:r>
          </w:p>
        </w:tc>
      </w:tr>
      <w:tr w:rsidRPr="004A2E6B" w:rsidR="00B40029" w:rsidTr="005859EF" w14:paraId="6F4FB58B" w14:textId="77777777">
        <w:trPr>
          <w:trHeight w:val="569"/>
        </w:trPr>
        <w:tc>
          <w:tcPr>
            <w:tcW w:w="2074" w:type="dxa"/>
            <w:tcBorders>
              <w:top w:val="single" w:color="000000" w:sz="12" w:space="0"/>
              <w:left w:val="single" w:color="000000" w:sz="4" w:space="0"/>
              <w:bottom w:val="single" w:color="000000" w:sz="12" w:space="0"/>
              <w:right w:val="single" w:color="000000" w:sz="4" w:space="0"/>
            </w:tcBorders>
          </w:tcPr>
          <w:p w:rsidRPr="004A2E6B" w:rsidR="00D84FF6" w:rsidP="005859EF" w:rsidRDefault="00D84FF6" w14:paraId="6F39F526" w14:textId="77777777">
            <w:pPr>
              <w:spacing w:after="15" w:line="259" w:lineRule="auto"/>
              <w:ind w:left="0" w:right="56" w:firstLine="0"/>
              <w:jc w:val="center"/>
              <w:rPr>
                <w:rFonts w:cs="Times New Roman"/>
              </w:rPr>
            </w:pPr>
            <w:r w:rsidRPr="004A2E6B">
              <w:rPr>
                <w:rFonts w:cs="Times New Roman"/>
              </w:rPr>
              <w:t>Human Services</w:t>
            </w:r>
          </w:p>
          <w:p w:rsidRPr="004A2E6B" w:rsidR="00D84FF6" w:rsidP="005859EF" w:rsidRDefault="00D84FF6" w14:paraId="1D7EA526" w14:textId="32E98D30">
            <w:pPr>
              <w:spacing w:after="0" w:line="259" w:lineRule="auto"/>
              <w:ind w:left="0" w:right="57" w:firstLine="0"/>
              <w:jc w:val="center"/>
              <w:rPr>
                <w:rFonts w:cs="Times New Roman"/>
              </w:rPr>
            </w:pPr>
            <w:r w:rsidRPr="004A2E6B">
              <w:t>Caseworkers</w:t>
            </w:r>
          </w:p>
        </w:tc>
        <w:tc>
          <w:tcPr>
            <w:tcW w:w="1439"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D84FF6" w14:paraId="1E9268DD" w14:textId="77777777">
            <w:pPr>
              <w:spacing w:after="0" w:line="259" w:lineRule="auto"/>
              <w:ind w:left="0" w:right="48" w:firstLine="0"/>
              <w:jc w:val="center"/>
              <w:rPr>
                <w:rFonts w:cs="Times New Roman"/>
              </w:rPr>
            </w:pPr>
            <w:r w:rsidRPr="004A2E6B">
              <w:rPr>
                <w:rFonts w:cs="Times New Roman"/>
              </w:rPr>
              <w:t>16</w:t>
            </w:r>
          </w:p>
        </w:tc>
        <w:tc>
          <w:tcPr>
            <w:tcW w:w="1349"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D84FF6" w14:paraId="71CDB9C1" w14:textId="77777777">
            <w:pPr>
              <w:spacing w:after="0" w:line="259" w:lineRule="auto"/>
              <w:ind w:left="0" w:right="50" w:firstLine="0"/>
              <w:jc w:val="center"/>
              <w:rPr>
                <w:rFonts w:cs="Times New Roman"/>
              </w:rPr>
            </w:pPr>
            <w:r w:rsidRPr="004A2E6B">
              <w:rPr>
                <w:rFonts w:cs="Times New Roman"/>
              </w:rPr>
              <w:t>1</w:t>
            </w:r>
          </w:p>
        </w:tc>
        <w:tc>
          <w:tcPr>
            <w:tcW w:w="1349"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B40029" w14:paraId="7C5C0849" w14:textId="1F52ACA4">
            <w:pPr>
              <w:spacing w:after="0" w:line="259" w:lineRule="auto"/>
              <w:ind w:left="0" w:right="55" w:firstLine="0"/>
              <w:jc w:val="center"/>
              <w:rPr>
                <w:rFonts w:cs="Times New Roman"/>
              </w:rPr>
            </w:pPr>
            <w:r w:rsidRPr="004A2E6B">
              <w:t>1.5</w:t>
            </w:r>
          </w:p>
        </w:tc>
        <w:tc>
          <w:tcPr>
            <w:tcW w:w="1169"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B40029" w14:paraId="71B6DD5D" w14:textId="12C88B09">
            <w:pPr>
              <w:spacing w:after="0" w:line="259" w:lineRule="auto"/>
              <w:ind w:left="0" w:right="52" w:firstLine="0"/>
              <w:jc w:val="center"/>
              <w:rPr>
                <w:rFonts w:cs="Times New Roman"/>
              </w:rPr>
            </w:pPr>
            <w:r w:rsidRPr="004A2E6B">
              <w:t>24</w:t>
            </w:r>
          </w:p>
        </w:tc>
        <w:tc>
          <w:tcPr>
            <w:tcW w:w="991"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165C97" w14:paraId="0F573AF0" w14:textId="3EE4B464">
            <w:pPr>
              <w:spacing w:after="0" w:line="259" w:lineRule="auto"/>
              <w:ind w:left="0" w:right="55" w:firstLine="0"/>
              <w:jc w:val="center"/>
              <w:rPr>
                <w:rFonts w:cs="Times New Roman"/>
              </w:rPr>
            </w:pPr>
            <w:r w:rsidRPr="004A2E6B">
              <w:rPr>
                <w:rFonts w:cs="Times New Roman"/>
              </w:rPr>
              <w:t>$20.64</w:t>
            </w:r>
          </w:p>
        </w:tc>
        <w:tc>
          <w:tcPr>
            <w:tcW w:w="1366" w:type="dxa"/>
            <w:tcBorders>
              <w:top w:val="nil"/>
              <w:left w:val="single" w:color="000000" w:sz="8" w:space="0"/>
              <w:bottom w:val="single" w:color="000000" w:sz="12" w:space="0"/>
              <w:right w:val="single" w:color="000000" w:sz="8" w:space="0"/>
            </w:tcBorders>
            <w:shd w:val="clear" w:color="auto" w:fill="auto"/>
            <w:vAlign w:val="center"/>
          </w:tcPr>
          <w:p w:rsidRPr="004A2E6B" w:rsidR="00D84FF6" w:rsidP="005859EF" w:rsidRDefault="00B40029" w14:paraId="207CD04C" w14:textId="59015638">
            <w:pPr>
              <w:spacing w:after="0" w:line="259" w:lineRule="auto"/>
              <w:ind w:left="0" w:right="52" w:firstLine="0"/>
              <w:jc w:val="center"/>
              <w:rPr>
                <w:rFonts w:cs="Times New Roman"/>
              </w:rPr>
            </w:pPr>
            <w:r w:rsidRPr="004A2E6B">
              <w:rPr>
                <w:rFonts w:cs="Times New Roman"/>
              </w:rPr>
              <w:t>$495.36</w:t>
            </w:r>
          </w:p>
        </w:tc>
      </w:tr>
      <w:tr w:rsidRPr="004A2E6B" w:rsidR="00B40029" w:rsidTr="005859EF" w14:paraId="2F74227E" w14:textId="77777777">
        <w:trPr>
          <w:trHeight w:val="430"/>
        </w:trPr>
        <w:tc>
          <w:tcPr>
            <w:tcW w:w="2074" w:type="dxa"/>
            <w:tcBorders>
              <w:top w:val="single" w:color="000000" w:sz="4" w:space="0"/>
              <w:left w:val="single" w:color="000000" w:sz="4" w:space="0"/>
              <w:bottom w:val="single" w:color="000000" w:sz="4" w:space="0"/>
              <w:right w:val="single" w:color="000000" w:sz="4" w:space="0"/>
            </w:tcBorders>
            <w:vAlign w:val="center"/>
          </w:tcPr>
          <w:p w:rsidRPr="004A2E6B" w:rsidR="00D84FF6" w:rsidP="009B7BCC" w:rsidRDefault="00D84FF6" w14:paraId="5FF48FB4" w14:textId="72D47ADC">
            <w:pPr>
              <w:spacing w:after="0" w:line="259" w:lineRule="auto"/>
              <w:ind w:left="0" w:right="45" w:firstLine="0"/>
              <w:jc w:val="center"/>
              <w:rPr>
                <w:rFonts w:cs="Times New Roman"/>
              </w:rPr>
            </w:pPr>
          </w:p>
        </w:tc>
        <w:tc>
          <w:tcPr>
            <w:tcW w:w="1439" w:type="dxa"/>
            <w:tcBorders>
              <w:top w:val="single" w:color="000000" w:sz="4" w:space="0"/>
              <w:left w:val="single" w:color="000000" w:sz="4" w:space="0"/>
              <w:bottom w:val="single" w:color="000000" w:sz="4" w:space="0"/>
              <w:right w:val="single" w:color="000000" w:sz="4" w:space="0"/>
            </w:tcBorders>
          </w:tcPr>
          <w:p w:rsidRPr="004A2E6B" w:rsidR="00D84FF6" w:rsidP="005859EF" w:rsidRDefault="00D84FF6" w14:paraId="4439D01F" w14:textId="7948A450">
            <w:pPr>
              <w:spacing w:after="0" w:line="259" w:lineRule="auto"/>
              <w:ind w:left="0" w:right="49" w:firstLine="0"/>
              <w:jc w:val="center"/>
              <w:rPr>
                <w:rFonts w:cs="Times New Roman"/>
              </w:rPr>
            </w:pPr>
          </w:p>
        </w:tc>
        <w:tc>
          <w:tcPr>
            <w:tcW w:w="1349" w:type="dxa"/>
            <w:tcBorders>
              <w:top w:val="single" w:color="000000" w:sz="4" w:space="0"/>
              <w:left w:val="single" w:color="000000" w:sz="4" w:space="0"/>
              <w:bottom w:val="single" w:color="000000" w:sz="4" w:space="0"/>
              <w:right w:val="single" w:color="000000" w:sz="4" w:space="0"/>
            </w:tcBorders>
          </w:tcPr>
          <w:p w:rsidRPr="004A2E6B" w:rsidR="00D84FF6" w:rsidP="005859EF" w:rsidRDefault="00D84FF6" w14:paraId="78F20608" w14:textId="371D4764">
            <w:pPr>
              <w:spacing w:after="0" w:line="259" w:lineRule="auto"/>
              <w:ind w:left="0" w:right="50" w:firstLine="0"/>
              <w:jc w:val="center"/>
              <w:rPr>
                <w:rFonts w:cs="Times New Roman"/>
              </w:rPr>
            </w:pPr>
          </w:p>
        </w:tc>
        <w:tc>
          <w:tcPr>
            <w:tcW w:w="1349" w:type="dxa"/>
            <w:tcBorders>
              <w:top w:val="single" w:color="000000" w:sz="4" w:space="0"/>
              <w:left w:val="single" w:color="000000" w:sz="4" w:space="0"/>
              <w:bottom w:val="single" w:color="000000" w:sz="4" w:space="0"/>
              <w:right w:val="single" w:color="000000" w:sz="4" w:space="0"/>
            </w:tcBorders>
            <w:shd w:val="clear" w:color="auto" w:fill="D9D9D9"/>
          </w:tcPr>
          <w:p w:rsidRPr="004A2E6B" w:rsidR="00D84FF6" w:rsidP="005859EF" w:rsidRDefault="00D84FF6" w14:paraId="77DE59C3" w14:textId="77777777">
            <w:pPr>
              <w:spacing w:after="0" w:line="259" w:lineRule="auto"/>
              <w:ind w:left="0" w:right="8" w:firstLine="0"/>
              <w:rPr>
                <w:rFonts w:cs="Times New Roman"/>
              </w:rPr>
            </w:pPr>
          </w:p>
        </w:tc>
        <w:tc>
          <w:tcPr>
            <w:tcW w:w="1169" w:type="dxa"/>
            <w:tcBorders>
              <w:top w:val="single" w:color="000000" w:sz="4" w:space="0"/>
              <w:left w:val="single" w:color="000000" w:sz="4" w:space="0"/>
              <w:bottom w:val="single" w:color="000000" w:sz="4" w:space="0"/>
              <w:right w:val="single" w:color="000000" w:sz="4" w:space="0"/>
            </w:tcBorders>
          </w:tcPr>
          <w:p w:rsidRPr="004A2E6B" w:rsidR="00D84FF6" w:rsidP="005859EF" w:rsidRDefault="00D84FF6" w14:paraId="28268D98" w14:textId="47F5ADE7">
            <w:pPr>
              <w:spacing w:after="0" w:line="259" w:lineRule="auto"/>
              <w:ind w:left="0" w:right="52" w:firstLine="0"/>
              <w:jc w:val="center"/>
              <w:rPr>
                <w:rFonts w:cs="Times New Roman"/>
              </w:rPr>
            </w:pPr>
          </w:p>
        </w:tc>
        <w:tc>
          <w:tcPr>
            <w:tcW w:w="991" w:type="dxa"/>
            <w:tcBorders>
              <w:top w:val="single" w:color="000000" w:sz="4" w:space="0"/>
              <w:left w:val="single" w:color="000000" w:sz="4" w:space="0"/>
              <w:bottom w:val="single" w:color="000000" w:sz="4" w:space="0"/>
              <w:right w:val="single" w:color="000000" w:sz="4" w:space="0"/>
            </w:tcBorders>
            <w:shd w:val="clear" w:color="auto" w:fill="D9D9D9"/>
          </w:tcPr>
          <w:p w:rsidRPr="004A2E6B" w:rsidR="00D84FF6" w:rsidP="00165C97" w:rsidRDefault="00D84FF6" w14:paraId="6A12CE84" w14:textId="5955B460">
            <w:pPr>
              <w:tabs>
                <w:tab w:val="center" w:pos="400"/>
              </w:tabs>
              <w:spacing w:after="0" w:line="259" w:lineRule="auto"/>
              <w:ind w:left="0" w:right="9" w:firstLine="0"/>
              <w:rPr>
                <w:rFonts w:cs="Times New Roman"/>
              </w:rPr>
            </w:pPr>
          </w:p>
        </w:tc>
        <w:tc>
          <w:tcPr>
            <w:tcW w:w="1366" w:type="dxa"/>
            <w:tcBorders>
              <w:top w:val="single" w:color="000000" w:sz="4" w:space="0"/>
              <w:left w:val="single" w:color="000000" w:sz="4" w:space="0"/>
              <w:bottom w:val="single" w:color="000000" w:sz="4" w:space="0"/>
              <w:right w:val="single" w:color="000000" w:sz="4" w:space="0"/>
            </w:tcBorders>
          </w:tcPr>
          <w:p w:rsidRPr="004A2E6B" w:rsidR="009B7BCC" w:rsidP="006F65FB" w:rsidRDefault="009B7BCC" w14:paraId="6E899709" w14:textId="442D9360">
            <w:pPr>
              <w:spacing w:after="0" w:line="259" w:lineRule="auto"/>
              <w:ind w:left="0" w:right="50" w:firstLine="0"/>
              <w:jc w:val="center"/>
              <w:rPr>
                <w:rFonts w:cs="Times New Roman"/>
              </w:rPr>
            </w:pPr>
          </w:p>
        </w:tc>
      </w:tr>
      <w:tr w:rsidRPr="004A2E6B" w:rsidR="00B40029" w:rsidTr="005859EF" w14:paraId="2D6DC6DD" w14:textId="77777777">
        <w:trPr>
          <w:trHeight w:val="430"/>
        </w:trPr>
        <w:tc>
          <w:tcPr>
            <w:tcW w:w="2074" w:type="dxa"/>
            <w:tcBorders>
              <w:top w:val="single" w:color="000000" w:sz="4" w:space="0"/>
              <w:left w:val="single" w:color="000000" w:sz="4" w:space="0"/>
              <w:bottom w:val="single" w:color="000000" w:sz="4" w:space="0"/>
              <w:right w:val="single" w:color="000000" w:sz="4" w:space="0"/>
            </w:tcBorders>
            <w:vAlign w:val="center"/>
          </w:tcPr>
          <w:p w:rsidRPr="004A2E6B" w:rsidR="009B7BCC" w:rsidP="009B7BCC" w:rsidRDefault="009B7BCC" w14:paraId="7BD4E91C" w14:textId="03CB01B4">
            <w:pPr>
              <w:spacing w:after="0" w:line="259" w:lineRule="auto"/>
              <w:ind w:left="0" w:right="45" w:firstLine="0"/>
              <w:jc w:val="right"/>
              <w:rPr>
                <w:rFonts w:cs="Times New Roman"/>
                <w:b/>
              </w:rPr>
            </w:pPr>
            <w:r w:rsidRPr="004A2E6B">
              <w:rPr>
                <w:rFonts w:cs="Times New Roman"/>
                <w:b/>
              </w:rPr>
              <w:t xml:space="preserve">TOTALS </w:t>
            </w:r>
          </w:p>
        </w:tc>
        <w:tc>
          <w:tcPr>
            <w:tcW w:w="1439" w:type="dxa"/>
            <w:tcBorders>
              <w:top w:val="single" w:color="000000" w:sz="4" w:space="0"/>
              <w:left w:val="single" w:color="000000" w:sz="4" w:space="0"/>
              <w:bottom w:val="single" w:color="000000" w:sz="4" w:space="0"/>
              <w:right w:val="single" w:color="000000" w:sz="4" w:space="0"/>
            </w:tcBorders>
          </w:tcPr>
          <w:p w:rsidRPr="004A2E6B" w:rsidR="009B7BCC" w:rsidP="009B7BCC" w:rsidRDefault="009B7BCC" w14:paraId="31FFD13B" w14:textId="1E0D05F9">
            <w:pPr>
              <w:spacing w:after="0" w:line="259" w:lineRule="auto"/>
              <w:ind w:left="0" w:right="49" w:firstLine="0"/>
              <w:jc w:val="center"/>
              <w:rPr>
                <w:rFonts w:cs="Times New Roman"/>
              </w:rPr>
            </w:pPr>
            <w:r w:rsidRPr="004A2E6B">
              <w:rPr>
                <w:rFonts w:cs="Times New Roman"/>
              </w:rPr>
              <w:t>64</w:t>
            </w:r>
          </w:p>
        </w:tc>
        <w:tc>
          <w:tcPr>
            <w:tcW w:w="1349" w:type="dxa"/>
            <w:tcBorders>
              <w:top w:val="single" w:color="000000" w:sz="4" w:space="0"/>
              <w:left w:val="single" w:color="000000" w:sz="4" w:space="0"/>
              <w:bottom w:val="single" w:color="000000" w:sz="4" w:space="0"/>
              <w:right w:val="single" w:color="000000" w:sz="4" w:space="0"/>
            </w:tcBorders>
          </w:tcPr>
          <w:p w:rsidRPr="004A2E6B" w:rsidR="009B7BCC" w:rsidP="009B7BCC" w:rsidRDefault="009B7BCC" w14:paraId="3E0A9A3A" w14:textId="74AAE20B">
            <w:pPr>
              <w:spacing w:after="0" w:line="259" w:lineRule="auto"/>
              <w:ind w:left="0" w:right="50" w:firstLine="0"/>
              <w:jc w:val="center"/>
              <w:rPr>
                <w:rFonts w:cs="Times New Roman"/>
              </w:rPr>
            </w:pPr>
            <w:r w:rsidRPr="004A2E6B">
              <w:rPr>
                <w:rFonts w:cs="Times New Roman"/>
              </w:rPr>
              <w:t>1</w:t>
            </w:r>
          </w:p>
        </w:tc>
        <w:tc>
          <w:tcPr>
            <w:tcW w:w="1349" w:type="dxa"/>
            <w:tcBorders>
              <w:top w:val="single" w:color="000000" w:sz="4" w:space="0"/>
              <w:left w:val="single" w:color="000000" w:sz="4" w:space="0"/>
              <w:bottom w:val="single" w:color="000000" w:sz="4" w:space="0"/>
              <w:right w:val="single" w:color="000000" w:sz="4" w:space="0"/>
            </w:tcBorders>
            <w:shd w:val="clear" w:color="auto" w:fill="D9D9D9"/>
          </w:tcPr>
          <w:p w:rsidRPr="004A2E6B" w:rsidR="009B7BCC" w:rsidP="009B7BCC" w:rsidRDefault="009B7BCC" w14:paraId="37CB7C16" w14:textId="77777777">
            <w:pPr>
              <w:spacing w:after="0" w:line="259" w:lineRule="auto"/>
              <w:ind w:left="0" w:right="8" w:firstLine="0"/>
              <w:rPr>
                <w:rFonts w:cs="Times New Roman"/>
              </w:rPr>
            </w:pPr>
          </w:p>
        </w:tc>
        <w:tc>
          <w:tcPr>
            <w:tcW w:w="1169" w:type="dxa"/>
            <w:tcBorders>
              <w:top w:val="single" w:color="000000" w:sz="4" w:space="0"/>
              <w:left w:val="single" w:color="000000" w:sz="4" w:space="0"/>
              <w:bottom w:val="single" w:color="000000" w:sz="4" w:space="0"/>
              <w:right w:val="single" w:color="000000" w:sz="4" w:space="0"/>
            </w:tcBorders>
          </w:tcPr>
          <w:p w:rsidRPr="004A2E6B" w:rsidR="009B7BCC" w:rsidP="009B7BCC" w:rsidRDefault="00B40029" w14:paraId="146429BE" w14:textId="439C047C">
            <w:pPr>
              <w:spacing w:after="0" w:line="259" w:lineRule="auto"/>
              <w:ind w:left="0" w:right="52" w:firstLine="0"/>
              <w:jc w:val="center"/>
            </w:pPr>
            <w:r w:rsidRPr="004A2E6B">
              <w:t>96</w:t>
            </w:r>
          </w:p>
        </w:tc>
        <w:tc>
          <w:tcPr>
            <w:tcW w:w="991" w:type="dxa"/>
            <w:tcBorders>
              <w:top w:val="single" w:color="000000" w:sz="4" w:space="0"/>
              <w:left w:val="single" w:color="000000" w:sz="4" w:space="0"/>
              <w:bottom w:val="single" w:color="000000" w:sz="4" w:space="0"/>
              <w:right w:val="single" w:color="000000" w:sz="4" w:space="0"/>
            </w:tcBorders>
            <w:shd w:val="clear" w:color="auto" w:fill="D9D9D9"/>
          </w:tcPr>
          <w:p w:rsidRPr="004A2E6B" w:rsidR="009B7BCC" w:rsidP="009B7BCC" w:rsidRDefault="009B7BCC" w14:paraId="61A21804" w14:textId="77777777">
            <w:pPr>
              <w:spacing w:after="0" w:line="259" w:lineRule="auto"/>
              <w:ind w:left="0" w:right="9" w:firstLine="0"/>
              <w:jc w:val="center"/>
              <w:rPr>
                <w:rFonts w:cs="Times New Roman"/>
              </w:rPr>
            </w:pPr>
          </w:p>
        </w:tc>
        <w:tc>
          <w:tcPr>
            <w:tcW w:w="1366" w:type="dxa"/>
            <w:tcBorders>
              <w:top w:val="single" w:color="000000" w:sz="4" w:space="0"/>
              <w:left w:val="single" w:color="000000" w:sz="4" w:space="0"/>
              <w:bottom w:val="single" w:color="000000" w:sz="4" w:space="0"/>
              <w:right w:val="single" w:color="000000" w:sz="4" w:space="0"/>
            </w:tcBorders>
          </w:tcPr>
          <w:p w:rsidRPr="004A2E6B" w:rsidR="009B7BCC" w:rsidP="009B7BCC" w:rsidRDefault="006F65FB" w14:paraId="228041EC" w14:textId="3CC3B159">
            <w:pPr>
              <w:spacing w:after="0" w:line="259" w:lineRule="auto"/>
              <w:ind w:left="0" w:right="50" w:firstLine="0"/>
              <w:jc w:val="center"/>
              <w:rPr>
                <w:rFonts w:cs="Times New Roman"/>
              </w:rPr>
            </w:pPr>
            <w:r w:rsidRPr="004A2E6B">
              <w:rPr>
                <w:rFonts w:cs="Times New Roman"/>
              </w:rPr>
              <w:t>$</w:t>
            </w:r>
            <w:r w:rsidRPr="004A2E6B" w:rsidR="00B40029">
              <w:rPr>
                <w:rFonts w:cs="Times New Roman"/>
              </w:rPr>
              <w:t>3,438.24</w:t>
            </w:r>
          </w:p>
        </w:tc>
      </w:tr>
    </w:tbl>
    <w:p w:rsidRPr="004A2E6B" w:rsidR="007C6079" w:rsidP="003D4C3B" w:rsidRDefault="00C13462" w14:paraId="155BF6BF" w14:textId="77777777">
      <w:pPr>
        <w:spacing w:after="0" w:line="259" w:lineRule="auto"/>
        <w:ind w:left="763" w:firstLine="0"/>
      </w:pPr>
      <w:r w:rsidRPr="004A2E6B">
        <w:t xml:space="preserve"> </w:t>
      </w:r>
    </w:p>
    <w:p w:rsidRPr="004A2E6B" w:rsidR="007C6079" w:rsidRDefault="00C13462" w14:paraId="0415AEFE" w14:textId="77777777">
      <w:pPr>
        <w:numPr>
          <w:ilvl w:val="0"/>
          <w:numId w:val="2"/>
        </w:numPr>
        <w:ind w:hanging="360"/>
      </w:pPr>
      <w:r w:rsidRPr="004A2E6B">
        <w:rPr>
          <w:b/>
        </w:rPr>
        <w:t xml:space="preserve">Estimates of Other Total Annual Cost Burden to Respondents or Record Keepers </w:t>
      </w:r>
      <w:r w:rsidRPr="004A2E6B">
        <w:t xml:space="preserve">There will be no direct costs to the respondents other than their time to participate in each data collection. </w:t>
      </w:r>
    </w:p>
    <w:p w:rsidRPr="004A2E6B" w:rsidR="007C6079" w:rsidP="00540419" w:rsidRDefault="00C13462" w14:paraId="4EE70331" w14:textId="77777777">
      <w:pPr>
        <w:tabs>
          <w:tab w:val="left" w:pos="720"/>
          <w:tab w:val="left" w:pos="7665"/>
        </w:tabs>
        <w:spacing w:after="0" w:line="259" w:lineRule="auto"/>
        <w:ind w:left="43" w:firstLine="0"/>
      </w:pPr>
      <w:r w:rsidRPr="004A2E6B">
        <w:rPr>
          <w:rFonts w:eastAsia="Calibri" w:cs="Calibri"/>
        </w:rPr>
        <w:t xml:space="preserve"> </w:t>
      </w:r>
      <w:r w:rsidRPr="004A2E6B">
        <w:rPr>
          <w:rFonts w:eastAsia="Calibri" w:cs="Calibri"/>
        </w:rPr>
        <w:tab/>
      </w:r>
      <w:r w:rsidRPr="004A2E6B">
        <w:rPr>
          <w:rFonts w:eastAsia="Arial" w:cs="Arial"/>
        </w:rPr>
        <w:t xml:space="preserve">  </w:t>
      </w:r>
      <w:r w:rsidRPr="004A2E6B" w:rsidR="00540419">
        <w:rPr>
          <w:rFonts w:eastAsia="Arial" w:cs="Arial"/>
        </w:rPr>
        <w:tab/>
      </w:r>
    </w:p>
    <w:p w:rsidRPr="004A2E6B" w:rsidR="007C6079" w:rsidRDefault="00C13462" w14:paraId="0F723C21" w14:textId="77777777">
      <w:pPr>
        <w:numPr>
          <w:ilvl w:val="0"/>
          <w:numId w:val="2"/>
        </w:numPr>
        <w:spacing w:after="8" w:line="267" w:lineRule="auto"/>
        <w:ind w:hanging="360"/>
      </w:pPr>
      <w:r w:rsidRPr="004A2E6B">
        <w:rPr>
          <w:b/>
        </w:rPr>
        <w:t xml:space="preserve">Annualized Cost to the Government  </w:t>
      </w:r>
    </w:p>
    <w:p w:rsidRPr="004A2E6B" w:rsidR="007C6079" w:rsidRDefault="00C13462" w14:paraId="2C7982D9" w14:textId="4A4A0E21">
      <w:pPr>
        <w:ind w:left="849"/>
      </w:pPr>
      <w:r w:rsidRPr="004A2E6B">
        <w:t>The cost of the government task order attributable to the work is $1</w:t>
      </w:r>
      <w:r w:rsidRPr="004A2E6B" w:rsidR="00905E46">
        <w:t>,072</w:t>
      </w:r>
      <w:r w:rsidRPr="004A2E6B">
        <w:t xml:space="preserve">.   </w:t>
      </w:r>
    </w:p>
    <w:p w:rsidRPr="004A2E6B" w:rsidR="007C6079" w:rsidRDefault="00C13462" w14:paraId="4C9D95E6" w14:textId="77777777">
      <w:pPr>
        <w:spacing w:after="16" w:line="259" w:lineRule="auto"/>
        <w:ind w:left="763" w:firstLine="0"/>
      </w:pPr>
      <w:r w:rsidRPr="004A2E6B">
        <w:t xml:space="preserve"> </w:t>
      </w:r>
    </w:p>
    <w:p w:rsidRPr="004A2E6B" w:rsidR="007C6079" w:rsidRDefault="00C13462" w14:paraId="548C74F1" w14:textId="77777777">
      <w:pPr>
        <w:ind w:left="-38"/>
      </w:pPr>
      <w:r w:rsidRPr="004A2E6B">
        <w:t xml:space="preserve"> </w:t>
      </w:r>
      <w:r w:rsidRPr="004A2E6B">
        <w:rPr>
          <w:b/>
          <w:u w:val="single" w:color="000000"/>
        </w:rPr>
        <w:t>Table A-2</w:t>
      </w:r>
      <w:r w:rsidRPr="004A2E6B">
        <w:rPr>
          <w:b/>
        </w:rPr>
        <w:t>:</w:t>
      </w:r>
      <w:r w:rsidRPr="004A2E6B">
        <w:t xml:space="preserve"> Estimated Annualized Cost to the Federal Government </w:t>
      </w:r>
    </w:p>
    <w:tbl>
      <w:tblPr>
        <w:tblStyle w:val="TableGrid"/>
        <w:tblW w:w="9349" w:type="dxa"/>
        <w:tblInd w:w="-64" w:type="dxa"/>
        <w:tblCellMar>
          <w:top w:w="55" w:type="dxa"/>
          <w:left w:w="113" w:type="dxa"/>
          <w:right w:w="64" w:type="dxa"/>
        </w:tblCellMar>
        <w:tblLook w:val="04A0" w:firstRow="1" w:lastRow="0" w:firstColumn="1" w:lastColumn="0" w:noHBand="0" w:noVBand="1"/>
      </w:tblPr>
      <w:tblGrid>
        <w:gridCol w:w="4376"/>
        <w:gridCol w:w="1945"/>
        <w:gridCol w:w="1591"/>
        <w:gridCol w:w="1437"/>
      </w:tblGrid>
      <w:tr w:rsidRPr="004A2E6B" w:rsidR="007C6079" w14:paraId="4DB6C95C" w14:textId="77777777">
        <w:trPr>
          <w:trHeight w:val="607"/>
        </w:trPr>
        <w:tc>
          <w:tcPr>
            <w:tcW w:w="4377"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4A2E6B" w:rsidR="007C6079" w:rsidRDefault="00C13462" w14:paraId="2B6F19F8" w14:textId="77777777">
            <w:pPr>
              <w:spacing w:after="0" w:line="259" w:lineRule="auto"/>
              <w:ind w:left="0" w:right="54" w:firstLine="0"/>
              <w:jc w:val="center"/>
            </w:pPr>
            <w:r w:rsidRPr="004A2E6B">
              <w:rPr>
                <w:b/>
              </w:rPr>
              <w:lastRenderedPageBreak/>
              <w:t xml:space="preserve">Staff (FTE)  </w:t>
            </w:r>
          </w:p>
        </w:tc>
        <w:tc>
          <w:tcPr>
            <w:tcW w:w="1945" w:type="dxa"/>
            <w:tcBorders>
              <w:top w:val="single" w:color="000000" w:sz="4" w:space="0"/>
              <w:left w:val="single" w:color="000000" w:sz="4" w:space="0"/>
              <w:bottom w:val="single" w:color="000000" w:sz="12" w:space="0"/>
              <w:right w:val="single" w:color="000000" w:sz="4" w:space="0"/>
            </w:tcBorders>
            <w:shd w:val="clear" w:color="auto" w:fill="D9D9D9"/>
          </w:tcPr>
          <w:p w:rsidRPr="004A2E6B" w:rsidR="007C6079" w:rsidRDefault="00C13462" w14:paraId="2BAC0678" w14:textId="330A143C">
            <w:pPr>
              <w:spacing w:after="0" w:line="259" w:lineRule="auto"/>
              <w:ind w:left="0" w:right="51" w:firstLine="0"/>
              <w:jc w:val="center"/>
            </w:pPr>
            <w:r w:rsidRPr="004A2E6B">
              <w:rPr>
                <w:b/>
              </w:rPr>
              <w:t xml:space="preserve">Average Hours per Site </w:t>
            </w:r>
          </w:p>
        </w:tc>
        <w:tc>
          <w:tcPr>
            <w:tcW w:w="1591" w:type="dxa"/>
            <w:tcBorders>
              <w:top w:val="single" w:color="000000" w:sz="4" w:space="0"/>
              <w:left w:val="single" w:color="000000" w:sz="4" w:space="0"/>
              <w:bottom w:val="single" w:color="000000" w:sz="12" w:space="0"/>
              <w:right w:val="single" w:color="000000" w:sz="4" w:space="0"/>
            </w:tcBorders>
            <w:shd w:val="clear" w:color="auto" w:fill="D9D9D9"/>
          </w:tcPr>
          <w:p w:rsidRPr="004A2E6B" w:rsidR="007C6079" w:rsidRDefault="00C13462" w14:paraId="0180F0B4" w14:textId="77777777">
            <w:pPr>
              <w:spacing w:after="0" w:line="259" w:lineRule="auto"/>
              <w:ind w:left="0" w:firstLine="0"/>
              <w:jc w:val="center"/>
            </w:pPr>
            <w:r w:rsidRPr="004A2E6B">
              <w:rPr>
                <w:b/>
              </w:rPr>
              <w:t xml:space="preserve">Average Hourly Rate </w:t>
            </w:r>
          </w:p>
        </w:tc>
        <w:tc>
          <w:tcPr>
            <w:tcW w:w="1437"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4A2E6B" w:rsidR="007C6079" w:rsidRDefault="00C13462" w14:paraId="4A9EEB54" w14:textId="77777777">
            <w:pPr>
              <w:spacing w:after="0" w:line="259" w:lineRule="auto"/>
              <w:ind w:left="10" w:firstLine="0"/>
            </w:pPr>
            <w:r w:rsidRPr="004A2E6B">
              <w:rPr>
                <w:b/>
              </w:rPr>
              <w:t xml:space="preserve">Average Cost </w:t>
            </w:r>
          </w:p>
        </w:tc>
      </w:tr>
      <w:tr w:rsidRPr="004A2E6B" w:rsidR="007C6079" w14:paraId="4D7362F9" w14:textId="77777777">
        <w:trPr>
          <w:trHeight w:val="258"/>
        </w:trPr>
        <w:tc>
          <w:tcPr>
            <w:tcW w:w="4377" w:type="dxa"/>
            <w:tcBorders>
              <w:top w:val="single" w:color="000000" w:sz="12" w:space="0"/>
              <w:left w:val="single" w:color="000000" w:sz="4" w:space="0"/>
              <w:bottom w:val="single" w:color="000000" w:sz="4" w:space="0"/>
              <w:right w:val="single" w:color="000000" w:sz="4" w:space="0"/>
            </w:tcBorders>
          </w:tcPr>
          <w:p w:rsidRPr="004A2E6B" w:rsidR="007C6079" w:rsidRDefault="00C13462" w14:paraId="7857BD8A" w14:textId="77777777">
            <w:pPr>
              <w:spacing w:after="0" w:line="259" w:lineRule="auto"/>
              <w:ind w:left="0" w:right="57" w:firstLine="0"/>
              <w:jc w:val="center"/>
            </w:pPr>
            <w:r w:rsidRPr="004A2E6B">
              <w:t xml:space="preserve">Social Science Analyst, GS 14 </w:t>
            </w:r>
          </w:p>
        </w:tc>
        <w:tc>
          <w:tcPr>
            <w:tcW w:w="1945" w:type="dxa"/>
            <w:tcBorders>
              <w:top w:val="single" w:color="000000" w:sz="12" w:space="0"/>
              <w:left w:val="single" w:color="000000" w:sz="4" w:space="0"/>
              <w:bottom w:val="single" w:color="000000" w:sz="4" w:space="0"/>
              <w:right w:val="single" w:color="000000" w:sz="4" w:space="0"/>
            </w:tcBorders>
          </w:tcPr>
          <w:p w:rsidRPr="004A2E6B" w:rsidR="007C6079" w:rsidRDefault="00C13462" w14:paraId="590F3F48" w14:textId="77777777">
            <w:pPr>
              <w:spacing w:after="0" w:line="259" w:lineRule="auto"/>
              <w:ind w:left="0" w:right="49" w:firstLine="0"/>
              <w:jc w:val="center"/>
            </w:pPr>
            <w:r w:rsidRPr="004A2E6B">
              <w:t xml:space="preserve">2 </w:t>
            </w:r>
          </w:p>
        </w:tc>
        <w:tc>
          <w:tcPr>
            <w:tcW w:w="1591" w:type="dxa"/>
            <w:tcBorders>
              <w:top w:val="single" w:color="000000" w:sz="12" w:space="0"/>
              <w:left w:val="single" w:color="000000" w:sz="4" w:space="0"/>
              <w:bottom w:val="single" w:color="000000" w:sz="4" w:space="0"/>
              <w:right w:val="single" w:color="000000" w:sz="4" w:space="0"/>
            </w:tcBorders>
          </w:tcPr>
          <w:p w:rsidRPr="004A2E6B" w:rsidR="007C6079" w:rsidRDefault="00C13462" w14:paraId="38FB9994" w14:textId="7A23DA94">
            <w:pPr>
              <w:spacing w:after="0" w:line="259" w:lineRule="auto"/>
              <w:ind w:left="0" w:right="49" w:firstLine="0"/>
              <w:jc w:val="center"/>
            </w:pPr>
            <w:r w:rsidRPr="004A2E6B">
              <w:t>67.00</w:t>
            </w:r>
          </w:p>
        </w:tc>
        <w:tc>
          <w:tcPr>
            <w:tcW w:w="1437" w:type="dxa"/>
            <w:tcBorders>
              <w:top w:val="single" w:color="000000" w:sz="12" w:space="0"/>
              <w:left w:val="single" w:color="000000" w:sz="4" w:space="0"/>
              <w:bottom w:val="single" w:color="000000" w:sz="4" w:space="0"/>
              <w:right w:val="single" w:color="000000" w:sz="4" w:space="0"/>
            </w:tcBorders>
          </w:tcPr>
          <w:p w:rsidRPr="004A2E6B" w:rsidR="007C6079" w:rsidRDefault="00C13462" w14:paraId="273F963D" w14:textId="77777777">
            <w:pPr>
              <w:spacing w:after="0" w:line="259" w:lineRule="auto"/>
              <w:ind w:left="0" w:right="49" w:firstLine="0"/>
              <w:jc w:val="center"/>
            </w:pPr>
            <w:r w:rsidRPr="004A2E6B">
              <w:t xml:space="preserve">$134  </w:t>
            </w:r>
          </w:p>
        </w:tc>
      </w:tr>
      <w:tr w:rsidRPr="004A2E6B" w:rsidR="007C6079" w14:paraId="78BE03DF" w14:textId="77777777">
        <w:trPr>
          <w:trHeight w:val="343"/>
        </w:trPr>
        <w:tc>
          <w:tcPr>
            <w:tcW w:w="7913" w:type="dxa"/>
            <w:gridSpan w:val="3"/>
            <w:tcBorders>
              <w:top w:val="single" w:color="000000" w:sz="4" w:space="0"/>
              <w:left w:val="single" w:color="000000" w:sz="4" w:space="0"/>
              <w:bottom w:val="single" w:color="000000" w:sz="4" w:space="0"/>
              <w:right w:val="single" w:color="000000" w:sz="4" w:space="0"/>
            </w:tcBorders>
          </w:tcPr>
          <w:p w:rsidRPr="004A2E6B" w:rsidR="007C6079" w:rsidP="0007743A" w:rsidRDefault="00C13462" w14:paraId="5EA8C8DD" w14:textId="24B71F4F">
            <w:pPr>
              <w:spacing w:after="0" w:line="259" w:lineRule="auto"/>
              <w:ind w:left="0" w:right="47" w:firstLine="0"/>
              <w:jc w:val="right"/>
            </w:pPr>
            <w:r w:rsidRPr="004A2E6B">
              <w:rPr>
                <w:b/>
              </w:rPr>
              <w:t>Estimated Total Cost of Information Collection (</w:t>
            </w:r>
            <w:r w:rsidRPr="004A2E6B" w:rsidR="004F5F49">
              <w:rPr>
                <w:b/>
              </w:rPr>
              <w:t>$</w:t>
            </w:r>
            <w:r w:rsidR="0007743A">
              <w:rPr>
                <w:b/>
              </w:rPr>
              <w:t>134</w:t>
            </w:r>
            <w:r w:rsidRPr="004A2E6B">
              <w:rPr>
                <w:b/>
              </w:rPr>
              <w:t>x</w:t>
            </w:r>
            <w:r w:rsidRPr="004A2E6B" w:rsidR="00655051">
              <w:rPr>
                <w:b/>
              </w:rPr>
              <w:t>8</w:t>
            </w:r>
            <w:r w:rsidRPr="004A2E6B">
              <w:rPr>
                <w:b/>
              </w:rPr>
              <w:t xml:space="preserve"> sites) </w:t>
            </w:r>
          </w:p>
        </w:tc>
        <w:tc>
          <w:tcPr>
            <w:tcW w:w="1437" w:type="dxa"/>
            <w:tcBorders>
              <w:top w:val="single" w:color="000000" w:sz="4" w:space="0"/>
              <w:left w:val="single" w:color="000000" w:sz="4" w:space="0"/>
              <w:bottom w:val="single" w:color="000000" w:sz="4" w:space="0"/>
              <w:right w:val="single" w:color="000000" w:sz="4" w:space="0"/>
            </w:tcBorders>
          </w:tcPr>
          <w:p w:rsidRPr="004A2E6B" w:rsidR="007C6079" w:rsidP="004F5F49" w:rsidRDefault="00C13462" w14:paraId="0C2EC165" w14:textId="31E7E4F1">
            <w:pPr>
              <w:spacing w:after="0" w:line="259" w:lineRule="auto"/>
              <w:ind w:left="0" w:right="52" w:firstLine="0"/>
              <w:jc w:val="center"/>
            </w:pPr>
            <w:r w:rsidRPr="004A2E6B">
              <w:rPr>
                <w:b/>
              </w:rPr>
              <w:t xml:space="preserve"> $1</w:t>
            </w:r>
            <w:r w:rsidRPr="004A2E6B" w:rsidR="004F5F49">
              <w:rPr>
                <w:b/>
              </w:rPr>
              <w:t>072</w:t>
            </w:r>
          </w:p>
        </w:tc>
      </w:tr>
    </w:tbl>
    <w:p w:rsidRPr="004A2E6B" w:rsidR="007C6079" w:rsidRDefault="00C13462" w14:paraId="2CA78D74" w14:textId="77777777">
      <w:pPr>
        <w:spacing w:after="41" w:line="259" w:lineRule="auto"/>
        <w:ind w:left="43" w:firstLine="0"/>
      </w:pPr>
      <w:r w:rsidRPr="004A2E6B">
        <w:t xml:space="preserve"> </w:t>
      </w:r>
    </w:p>
    <w:p w:rsidRPr="004A2E6B" w:rsidR="00725BB4" w:rsidRDefault="00C13462" w14:paraId="285EED64" w14:textId="77777777">
      <w:pPr>
        <w:numPr>
          <w:ilvl w:val="0"/>
          <w:numId w:val="2"/>
        </w:numPr>
        <w:spacing w:after="8" w:line="267" w:lineRule="auto"/>
        <w:ind w:hanging="360"/>
      </w:pPr>
      <w:r w:rsidRPr="004A2E6B">
        <w:rPr>
          <w:b/>
        </w:rPr>
        <w:t xml:space="preserve">Explanation for Program Changes or Adjustments </w:t>
      </w:r>
    </w:p>
    <w:p w:rsidRPr="004A2E6B" w:rsidR="007C6079" w:rsidP="00725BB4" w:rsidRDefault="00C13462" w14:paraId="32EA7654" w14:textId="2907B95D">
      <w:pPr>
        <w:spacing w:after="8" w:line="267" w:lineRule="auto"/>
        <w:ind w:left="839" w:firstLine="0"/>
      </w:pPr>
      <w:r w:rsidRPr="004A2E6B">
        <w:t xml:space="preserve">This is a new data collection. </w:t>
      </w:r>
    </w:p>
    <w:p w:rsidRPr="004A2E6B" w:rsidR="007C6079" w:rsidRDefault="00C13462" w14:paraId="67CA5087" w14:textId="77777777">
      <w:pPr>
        <w:spacing w:after="41" w:line="259" w:lineRule="auto"/>
        <w:ind w:left="763" w:firstLine="0"/>
      </w:pPr>
      <w:r w:rsidRPr="004A2E6B">
        <w:t xml:space="preserve"> </w:t>
      </w:r>
    </w:p>
    <w:p w:rsidRPr="004A2E6B" w:rsidR="007C6079" w:rsidRDefault="00C13462" w14:paraId="578026FB" w14:textId="77777777">
      <w:pPr>
        <w:numPr>
          <w:ilvl w:val="0"/>
          <w:numId w:val="2"/>
        </w:numPr>
        <w:spacing w:after="8" w:line="267" w:lineRule="auto"/>
        <w:ind w:hanging="360"/>
      </w:pPr>
      <w:r w:rsidRPr="004A2E6B">
        <w:rPr>
          <w:b/>
        </w:rPr>
        <w:t xml:space="preserve">Plans for Tabulation and Publication and Project Time Schedule </w:t>
      </w:r>
    </w:p>
    <w:p w:rsidRPr="004A2E6B" w:rsidR="007C6079" w:rsidRDefault="00C13462" w14:paraId="6A644026" w14:textId="71923A29">
      <w:pPr>
        <w:ind w:left="849"/>
      </w:pPr>
      <w:r w:rsidRPr="004A2E6B">
        <w:t xml:space="preserve">After the site interviews are completed, the contractor will analyze collected data with NVivo to help identify cross-cutting key themes. The contractor will prepare a report for ASPE </w:t>
      </w:r>
      <w:r w:rsidRPr="004A2E6B" w:rsidR="00022803">
        <w:t>and</w:t>
      </w:r>
      <w:r w:rsidRPr="004A2E6B">
        <w:t xml:space="preserve"> OMH to summarize study findings. </w:t>
      </w:r>
    </w:p>
    <w:p w:rsidRPr="004A2E6B" w:rsidR="007C6079" w:rsidRDefault="00C13462" w14:paraId="22FDF143" w14:textId="77777777">
      <w:pPr>
        <w:spacing w:after="14" w:line="259" w:lineRule="auto"/>
        <w:ind w:left="763" w:firstLine="0"/>
      </w:pPr>
      <w:r w:rsidRPr="004A2E6B">
        <w:t xml:space="preserve"> </w:t>
      </w:r>
    </w:p>
    <w:p w:rsidR="0040392D" w:rsidRDefault="0040392D" w14:paraId="063C6C0C" w14:textId="77777777">
      <w:pPr>
        <w:spacing w:after="57" w:line="259" w:lineRule="auto"/>
        <w:ind w:left="864"/>
        <w:rPr>
          <w:u w:val="single" w:color="000000"/>
        </w:rPr>
      </w:pPr>
    </w:p>
    <w:p w:rsidRPr="004A2E6B" w:rsidR="007C6079" w:rsidRDefault="00C13462" w14:paraId="031D49B2" w14:textId="0427CEFD">
      <w:pPr>
        <w:spacing w:after="57" w:line="259" w:lineRule="auto"/>
        <w:ind w:left="864"/>
      </w:pPr>
      <w:r w:rsidRPr="004A2E6B">
        <w:rPr>
          <w:u w:val="single" w:color="000000"/>
        </w:rPr>
        <w:t>Project Time Schedule</w:t>
      </w:r>
      <w:r w:rsidRPr="004A2E6B">
        <w:t xml:space="preserve"> </w:t>
      </w:r>
    </w:p>
    <w:p w:rsidRPr="004A2E6B" w:rsidR="007C6079" w:rsidRDefault="00C13462" w14:paraId="15A0E78A" w14:textId="77777777">
      <w:pPr>
        <w:numPr>
          <w:ilvl w:val="1"/>
          <w:numId w:val="2"/>
        </w:numPr>
        <w:spacing w:after="11" w:line="259" w:lineRule="auto"/>
        <w:ind w:hanging="360"/>
      </w:pPr>
      <w:r w:rsidRPr="004A2E6B">
        <w:t xml:space="preserve">November 2019 - January 2020: Develop discussion guide and recruitment plan </w:t>
      </w:r>
    </w:p>
    <w:p w:rsidRPr="004A2E6B" w:rsidR="007C6079" w:rsidRDefault="00C13462" w14:paraId="58DF639D" w14:textId="7D675C4A">
      <w:pPr>
        <w:numPr>
          <w:ilvl w:val="1"/>
          <w:numId w:val="2"/>
        </w:numPr>
        <w:ind w:hanging="360"/>
      </w:pPr>
      <w:r w:rsidRPr="004A2E6B">
        <w:t xml:space="preserve">February 2020: Outreach and scheduling of site visits/interviews </w:t>
      </w:r>
    </w:p>
    <w:p w:rsidRPr="004A2E6B" w:rsidR="007C6079" w:rsidRDefault="00C13462" w14:paraId="0CFD5DA6" w14:textId="77777777">
      <w:pPr>
        <w:numPr>
          <w:ilvl w:val="1"/>
          <w:numId w:val="2"/>
        </w:numPr>
        <w:ind w:hanging="360"/>
      </w:pPr>
      <w:r w:rsidRPr="004A2E6B">
        <w:t xml:space="preserve">March - May 2020: Conduct on-site and virtual interviews </w:t>
      </w:r>
    </w:p>
    <w:p w:rsidRPr="004A2E6B" w:rsidR="007C6079" w:rsidRDefault="00C13462" w14:paraId="6EFE5416" w14:textId="198DA049">
      <w:pPr>
        <w:numPr>
          <w:ilvl w:val="1"/>
          <w:numId w:val="2"/>
        </w:numPr>
        <w:ind w:hanging="360"/>
      </w:pPr>
      <w:r w:rsidRPr="004A2E6B">
        <w:t xml:space="preserve">June–September 2020: Analyze interview findings and synthesize findings into summary report to ASPE </w:t>
      </w:r>
      <w:r w:rsidRPr="004A2E6B" w:rsidR="00022803">
        <w:t>and</w:t>
      </w:r>
      <w:r w:rsidRPr="004A2E6B">
        <w:t xml:space="preserve"> OMH</w:t>
      </w:r>
    </w:p>
    <w:p w:rsidRPr="004A2E6B" w:rsidR="007C6079" w:rsidRDefault="00C13462" w14:paraId="2DECC555" w14:textId="77777777">
      <w:pPr>
        <w:spacing w:after="44" w:line="259" w:lineRule="auto"/>
        <w:ind w:left="763" w:firstLine="0"/>
      </w:pPr>
      <w:r w:rsidRPr="004A2E6B">
        <w:t xml:space="preserve"> </w:t>
      </w:r>
    </w:p>
    <w:p w:rsidRPr="004A2E6B" w:rsidR="007C6079" w:rsidRDefault="00C13462" w14:paraId="6F5B12BC" w14:textId="77777777">
      <w:pPr>
        <w:numPr>
          <w:ilvl w:val="0"/>
          <w:numId w:val="2"/>
        </w:numPr>
        <w:spacing w:after="8" w:line="267" w:lineRule="auto"/>
        <w:ind w:hanging="360"/>
      </w:pPr>
      <w:r w:rsidRPr="004A2E6B">
        <w:rPr>
          <w:b/>
        </w:rPr>
        <w:t xml:space="preserve">Reason(s) Display of OMB Expiration Date is Inappropriate </w:t>
      </w:r>
      <w:r w:rsidRPr="004A2E6B">
        <w:t xml:space="preserve">We are requesting no exemption. </w:t>
      </w:r>
    </w:p>
    <w:p w:rsidRPr="004A2E6B" w:rsidR="007C6079" w:rsidRDefault="00C13462" w14:paraId="13EAB3BB" w14:textId="77777777">
      <w:pPr>
        <w:spacing w:after="41" w:line="259" w:lineRule="auto"/>
        <w:ind w:left="763" w:firstLine="0"/>
      </w:pPr>
      <w:r w:rsidRPr="004A2E6B">
        <w:t xml:space="preserve"> </w:t>
      </w:r>
    </w:p>
    <w:p w:rsidRPr="004A2E6B" w:rsidR="007C6079" w:rsidRDefault="00C13462" w14:paraId="2DFDC31C" w14:textId="77777777">
      <w:pPr>
        <w:numPr>
          <w:ilvl w:val="0"/>
          <w:numId w:val="2"/>
        </w:numPr>
        <w:spacing w:after="8" w:line="267" w:lineRule="auto"/>
        <w:ind w:hanging="360"/>
      </w:pPr>
      <w:r w:rsidRPr="004A2E6B">
        <w:rPr>
          <w:b/>
        </w:rPr>
        <w:t xml:space="preserve">Exceptions to Certification for Paperwork Reduction Act Submissions </w:t>
      </w:r>
    </w:p>
    <w:p w:rsidRPr="004A2E6B" w:rsidR="007C6079" w:rsidRDefault="00C13462" w14:paraId="7B32C928" w14:textId="77777777">
      <w:pPr>
        <w:ind w:left="849"/>
      </w:pPr>
      <w:r w:rsidRPr="004A2E6B">
        <w:t xml:space="preserve">There are no exceptions to the certification. These activities comply with the requirements in 5 CFR 1320.9. </w:t>
      </w:r>
    </w:p>
    <w:p w:rsidR="00BA1CBA" w:rsidP="002E77E2" w:rsidRDefault="00BA1CBA" w14:paraId="7CC0F978" w14:textId="77777777">
      <w:pPr>
        <w:spacing w:after="69" w:line="259" w:lineRule="auto"/>
        <w:ind w:left="763" w:firstLine="0"/>
      </w:pPr>
    </w:p>
    <w:p w:rsidR="00BA1CBA" w:rsidP="002E77E2" w:rsidRDefault="00BA1CBA" w14:paraId="78F3781C" w14:textId="77777777">
      <w:pPr>
        <w:spacing w:after="69" w:line="259" w:lineRule="auto"/>
        <w:rPr>
          <w:b/>
        </w:rPr>
      </w:pPr>
    </w:p>
    <w:p w:rsidRPr="002E77E2" w:rsidR="007C6079" w:rsidP="002E77E2" w:rsidRDefault="00C13462" w14:paraId="579A04BC" w14:textId="3D6F7BF7">
      <w:pPr>
        <w:spacing w:after="69" w:line="259" w:lineRule="auto"/>
        <w:rPr>
          <w:b/>
        </w:rPr>
      </w:pPr>
      <w:r w:rsidRPr="002E77E2">
        <w:rPr>
          <w:b/>
        </w:rPr>
        <w:t xml:space="preserve">LIST OF ATTACHMENTS – Section A </w:t>
      </w:r>
    </w:p>
    <w:p w:rsidRPr="004A2E6B" w:rsidR="007C6079" w:rsidRDefault="00C13462" w14:paraId="4AB47843" w14:textId="77777777">
      <w:pPr>
        <w:ind w:left="10"/>
      </w:pPr>
      <w:r w:rsidRPr="004A2E6B">
        <w:t xml:space="preserve">Note: Attachments are included as separate files as instructed. </w:t>
      </w:r>
    </w:p>
    <w:p w:rsidRPr="004A2E6B" w:rsidR="007C6079" w:rsidRDefault="00C13462" w14:paraId="087685A0" w14:textId="77777777">
      <w:pPr>
        <w:spacing w:after="18" w:line="259" w:lineRule="auto"/>
        <w:ind w:left="0" w:firstLine="0"/>
      </w:pPr>
      <w:r w:rsidRPr="004A2E6B">
        <w:t xml:space="preserve"> </w:t>
      </w:r>
    </w:p>
    <w:p w:rsidRPr="004A2E6B" w:rsidR="007C6079" w:rsidRDefault="0085395A" w14:paraId="32FB120C" w14:textId="74986322">
      <w:pPr>
        <w:numPr>
          <w:ilvl w:val="0"/>
          <w:numId w:val="3"/>
        </w:numPr>
        <w:ind w:hanging="360"/>
      </w:pPr>
      <w:r w:rsidRPr="004A2E6B">
        <w:t>Attachment A</w:t>
      </w:r>
      <w:r w:rsidRPr="004A2E6B" w:rsidR="00C13462">
        <w:t xml:space="preserve">. Discussion Guide </w:t>
      </w:r>
    </w:p>
    <w:p w:rsidRPr="004A2E6B" w:rsidR="00977A00" w:rsidP="00856B94" w:rsidRDefault="00977A00" w14:paraId="3A6787F0" w14:textId="30722C70"/>
    <w:p w:rsidRPr="004A2E6B" w:rsidR="00977A00" w:rsidP="00856B94" w:rsidRDefault="00977A00" w14:paraId="271FA3A0" w14:textId="46D23D8A"/>
    <w:p w:rsidRPr="004A2E6B" w:rsidR="00977A00" w:rsidP="00856B94" w:rsidRDefault="00977A00" w14:paraId="0A8FAD01" w14:textId="27AC9DB8"/>
    <w:p w:rsidRPr="004A2E6B" w:rsidR="00977A00" w:rsidP="00856B94" w:rsidRDefault="00977A00" w14:paraId="242B626E" w14:textId="6297BBE8"/>
    <w:p w:rsidRPr="004A2E6B" w:rsidR="00977A00" w:rsidRDefault="00977A00" w14:paraId="721095BC" w14:textId="654A4E75">
      <w:pPr>
        <w:spacing w:after="160" w:line="259" w:lineRule="auto"/>
        <w:ind w:left="0" w:firstLine="0"/>
      </w:pPr>
      <w:r w:rsidRPr="004A2E6B">
        <w:br w:type="page"/>
      </w:r>
    </w:p>
    <w:p w:rsidRPr="004A2E6B" w:rsidR="00977A00" w:rsidP="00A438BB" w:rsidRDefault="00977A00" w14:paraId="6EB0CB99" w14:textId="204EEF7C">
      <w:pPr>
        <w:rPr>
          <w:rFonts w:cs="Calibri"/>
          <w:b/>
        </w:rPr>
      </w:pPr>
      <w:r w:rsidRPr="004A2E6B">
        <w:rPr>
          <w:rFonts w:cs="Calibri"/>
          <w:b/>
        </w:rPr>
        <w:lastRenderedPageBreak/>
        <w:t>References</w:t>
      </w:r>
    </w:p>
    <w:p w:rsidRPr="004A2E6B" w:rsidR="00856B94" w:rsidP="00A438BB" w:rsidRDefault="00856B94" w14:paraId="0F462F02" w14:textId="77777777">
      <w:pPr>
        <w:rPr>
          <w:rFonts w:cs="Calibri"/>
        </w:rPr>
      </w:pPr>
    </w:p>
    <w:p w:rsidRPr="004A2E6B" w:rsidR="00526BB4" w:rsidP="00526BB4" w:rsidRDefault="00526BB4" w14:paraId="46C69A67" w14:textId="21418F3D">
      <w:pPr>
        <w:rPr>
          <w:rStyle w:val="doilink"/>
          <w:rFonts w:ascii="Cambria" w:hAnsi="Cambria" w:cs="Calibri"/>
          <w:color w:val="333333"/>
          <w:shd w:val="clear" w:color="auto" w:fill="FFFFFF"/>
        </w:rPr>
      </w:pPr>
      <w:r w:rsidRPr="004A2E6B">
        <w:rPr>
          <w:rStyle w:val="authors"/>
          <w:rFonts w:ascii="Cambria" w:hAnsi="Cambria" w:cs="Calibri"/>
          <w:color w:val="333333"/>
          <w:shd w:val="clear" w:color="auto" w:fill="FFFFFF"/>
        </w:rPr>
        <w:t xml:space="preserve">Acevedo, </w:t>
      </w:r>
      <w:r w:rsidR="0007743A">
        <w:rPr>
          <w:rStyle w:val="authors"/>
          <w:rFonts w:ascii="Cambria" w:hAnsi="Cambria" w:cs="Calibri"/>
          <w:color w:val="333333"/>
          <w:shd w:val="clear" w:color="auto" w:fill="FFFFFF"/>
        </w:rPr>
        <w:t xml:space="preserve">A, </w:t>
      </w:r>
      <w:r w:rsidRPr="004A2E6B">
        <w:rPr>
          <w:rStyle w:val="authors"/>
          <w:rFonts w:ascii="Cambria" w:hAnsi="Cambria" w:cs="Calibri"/>
          <w:color w:val="333333"/>
          <w:shd w:val="clear" w:color="auto" w:fill="FFFFFF"/>
        </w:rPr>
        <w:t>DW Garnick, MT Lee, CM Horgan, G Ritter, L Panas, S Davis, T Leeper, R Moore and M Reynolds</w:t>
      </w:r>
      <w:r w:rsidRPr="004A2E6B">
        <w:rPr>
          <w:rFonts w:cs="Calibri"/>
          <w:color w:val="333333"/>
          <w:shd w:val="clear" w:color="auto" w:fill="FFFFFF"/>
        </w:rPr>
        <w:t> (2012) </w:t>
      </w:r>
      <w:r w:rsidRPr="004A2E6B">
        <w:rPr>
          <w:rStyle w:val="arttitle"/>
          <w:rFonts w:ascii="Cambria" w:hAnsi="Cambria" w:cs="Calibri"/>
          <w:color w:val="333333"/>
          <w:shd w:val="clear" w:color="auto" w:fill="FFFFFF"/>
        </w:rPr>
        <w:t>Racial and Ethnic Differences in Substance Abuse Treatment Initiation and Engagement,</w:t>
      </w:r>
      <w:r w:rsidRPr="004A2E6B">
        <w:rPr>
          <w:rFonts w:cs="Calibri"/>
          <w:color w:val="333333"/>
          <w:shd w:val="clear" w:color="auto" w:fill="FFFFFF"/>
        </w:rPr>
        <w:t> </w:t>
      </w:r>
      <w:r w:rsidRPr="004A2E6B">
        <w:rPr>
          <w:rStyle w:val="serialtitle"/>
          <w:rFonts w:ascii="Cambria" w:hAnsi="Cambria" w:cs="Calibri"/>
          <w:color w:val="333333"/>
          <w:shd w:val="clear" w:color="auto" w:fill="FFFFFF"/>
        </w:rPr>
        <w:t>Journal of Ethnicity in Substance Abuse,</w:t>
      </w:r>
      <w:r w:rsidRPr="004A2E6B">
        <w:rPr>
          <w:rFonts w:cs="Calibri"/>
          <w:color w:val="333333"/>
          <w:shd w:val="clear" w:color="auto" w:fill="FFFFFF"/>
        </w:rPr>
        <w:t> </w:t>
      </w:r>
      <w:r w:rsidRPr="004A2E6B">
        <w:rPr>
          <w:rStyle w:val="volumeissue"/>
          <w:rFonts w:ascii="Cambria" w:hAnsi="Cambria" w:cs="Calibri"/>
          <w:color w:val="333333"/>
          <w:shd w:val="clear" w:color="auto" w:fill="FFFFFF"/>
        </w:rPr>
        <w:t>11:1,</w:t>
      </w:r>
      <w:r w:rsidRPr="004A2E6B">
        <w:rPr>
          <w:rFonts w:cs="Calibri"/>
          <w:color w:val="333333"/>
          <w:shd w:val="clear" w:color="auto" w:fill="FFFFFF"/>
        </w:rPr>
        <w:t> </w:t>
      </w:r>
      <w:r w:rsidRPr="004A2E6B">
        <w:rPr>
          <w:rStyle w:val="pagerange"/>
          <w:rFonts w:ascii="Cambria" w:hAnsi="Cambria" w:cs="Calibri"/>
          <w:color w:val="333333"/>
          <w:shd w:val="clear" w:color="auto" w:fill="FFFFFF"/>
        </w:rPr>
        <w:t>121,</w:t>
      </w:r>
      <w:r w:rsidRPr="004A2E6B">
        <w:rPr>
          <w:rStyle w:val="doilink"/>
          <w:rFonts w:ascii="Cambria" w:hAnsi="Cambria" w:cs="Calibri"/>
          <w:color w:val="333333"/>
          <w:shd w:val="clear" w:color="auto" w:fill="FFFFFF"/>
        </w:rPr>
        <w:t>DOI: </w:t>
      </w:r>
      <w:hyperlink w:history="1" r:id="rId15">
        <w:r w:rsidRPr="004A2E6B">
          <w:rPr>
            <w:rStyle w:val="Hyperlink"/>
            <w:rFonts w:cs="Calibri"/>
            <w:shd w:val="clear" w:color="auto" w:fill="FFFFFF"/>
          </w:rPr>
          <w:t>10.1080/15332640.2012.652516</w:t>
        </w:r>
      </w:hyperlink>
    </w:p>
    <w:p w:rsidRPr="004A2E6B" w:rsidR="00526BB4" w:rsidP="00526BB4" w:rsidRDefault="00023B5B" w14:paraId="4C1E2D9F" w14:textId="77777777">
      <w:pPr>
        <w:rPr>
          <w:rFonts w:cs="Calibri"/>
          <w:color w:val="auto"/>
        </w:rPr>
      </w:pPr>
      <w:hyperlink w:history="1" r:id="rId16">
        <w:r w:rsidRPr="004A2E6B" w:rsidR="00526BB4">
          <w:rPr>
            <w:rStyle w:val="Hyperlink"/>
            <w:rFonts w:cs="Calibri"/>
          </w:rPr>
          <w:t>https://www.ncbi.nlm.nih.gov/pmc/articles/PMC3699873/</w:t>
        </w:r>
      </w:hyperlink>
    </w:p>
    <w:p w:rsidRPr="004A2E6B" w:rsidR="00526BB4" w:rsidP="00526BB4" w:rsidRDefault="00526BB4" w14:paraId="397AB522" w14:textId="77777777">
      <w:pPr>
        <w:autoSpaceDE w:val="0"/>
        <w:autoSpaceDN w:val="0"/>
        <w:adjustRightInd w:val="0"/>
        <w:spacing w:after="0" w:line="240" w:lineRule="auto"/>
        <w:rPr>
          <w:rFonts w:cs="Calibri"/>
        </w:rPr>
      </w:pPr>
    </w:p>
    <w:p w:rsidRPr="001D588A" w:rsidR="001D588A" w:rsidP="001D588A" w:rsidRDefault="001D588A" w14:paraId="775AAE67" w14:textId="77777777">
      <w:pPr>
        <w:shd w:val="clear" w:color="auto" w:fill="FFFFFF"/>
        <w:spacing w:after="0" w:line="240" w:lineRule="auto"/>
        <w:textAlignment w:val="baseline"/>
        <w:rPr>
          <w:rFonts w:eastAsia="Times New Roman" w:cs="Times New Roman"/>
          <w:color w:val="444444"/>
        </w:rPr>
      </w:pPr>
      <w:r w:rsidRPr="001D588A">
        <w:rPr>
          <w:color w:val="auto"/>
        </w:rPr>
        <w:t>Centers for Disease Control and Prevention</w:t>
      </w:r>
      <w:r w:rsidRPr="001D588A">
        <w:rPr>
          <w:color w:val="444444"/>
        </w:rPr>
        <w:t>, </w:t>
      </w:r>
      <w:hyperlink w:history="1" r:id="rId17">
        <w:r w:rsidRPr="001D588A">
          <w:rPr>
            <w:rStyle w:val="Hyperlink"/>
            <w:color w:val="A52200"/>
            <w:bdr w:val="none" w:color="auto" w:sz="0" w:space="0" w:frame="1"/>
          </w:rPr>
          <w:t>National Vital Statistics System</w:t>
        </w:r>
      </w:hyperlink>
      <w:r w:rsidRPr="001D588A">
        <w:rPr>
          <w:color w:val="auto"/>
        </w:rPr>
        <w:t xml:space="preserve">, Mortality. CDC WONDER, Atlanta, GA: US Department of Health and Human Services, CDC; </w:t>
      </w:r>
      <w:r w:rsidRPr="001D588A">
        <w:rPr>
          <w:color w:val="444444"/>
        </w:rPr>
        <w:t>2018. </w:t>
      </w:r>
      <w:hyperlink w:history="1" r:id="rId18">
        <w:r w:rsidRPr="001D588A">
          <w:rPr>
            <w:rStyle w:val="Hyperlink"/>
            <w:color w:val="A52200"/>
            <w:bdr w:val="none" w:color="auto" w:sz="0" w:space="0" w:frame="1"/>
          </w:rPr>
          <w:t>https://wonder.cdc.gov</w:t>
        </w:r>
      </w:hyperlink>
      <w:r w:rsidRPr="001D588A">
        <w:rPr>
          <w:color w:val="444444"/>
        </w:rPr>
        <w:t>.</w:t>
      </w:r>
    </w:p>
    <w:p w:rsidRPr="001D588A" w:rsidR="001D588A" w:rsidP="00526BB4" w:rsidRDefault="001D588A" w14:paraId="7662FC12" w14:textId="77777777">
      <w:pPr>
        <w:autoSpaceDE w:val="0"/>
        <w:autoSpaceDN w:val="0"/>
        <w:adjustRightInd w:val="0"/>
        <w:spacing w:after="0" w:line="240" w:lineRule="auto"/>
        <w:rPr>
          <w:rFonts w:cs="Calibri"/>
        </w:rPr>
      </w:pPr>
    </w:p>
    <w:p w:rsidRPr="004A2E6B" w:rsidR="00526BB4" w:rsidP="00526BB4" w:rsidRDefault="00526BB4" w14:paraId="0AA34217" w14:textId="5F16525F">
      <w:pPr>
        <w:autoSpaceDE w:val="0"/>
        <w:autoSpaceDN w:val="0"/>
        <w:adjustRightInd w:val="0"/>
        <w:spacing w:after="0" w:line="240" w:lineRule="auto"/>
        <w:rPr>
          <w:rFonts w:cs="Calibri"/>
        </w:rPr>
      </w:pPr>
      <w:r w:rsidRPr="004A2E6B">
        <w:rPr>
          <w:rFonts w:cs="Calibri"/>
        </w:rPr>
        <w:t xml:space="preserve">Child Trends. White youth are more likely to receive treatment for drug abuse than youth of color, although treatment is rare for both groups. </w:t>
      </w:r>
      <w:hyperlink w:history="1" r:id="rId19">
        <w:r w:rsidRPr="004A2E6B">
          <w:rPr>
            <w:rStyle w:val="Hyperlink"/>
            <w:rFonts w:cs="Calibri"/>
          </w:rPr>
          <w:t>https://www.childtrends.org/white-youth-are-more-likely-to-receive-treatment-for-drug-abuse-than-youth-of-color-although-treatment-is-rare-for-both-groups</w:t>
        </w:r>
      </w:hyperlink>
    </w:p>
    <w:p w:rsidRPr="004A2E6B" w:rsidR="00526BB4" w:rsidP="00856B94" w:rsidRDefault="00526BB4" w14:paraId="3CA9E094" w14:textId="77777777">
      <w:pPr>
        <w:rPr>
          <w:rFonts w:cs="Calibri"/>
          <w:lang w:val="en"/>
        </w:rPr>
      </w:pPr>
    </w:p>
    <w:p w:rsidRPr="004A2E6B" w:rsidR="00856B94" w:rsidP="00856B94" w:rsidRDefault="00856B94" w14:paraId="04F222EB" w14:textId="7E1D148A">
      <w:pPr>
        <w:rPr>
          <w:rFonts w:cs="Calibri"/>
          <w:color w:val="auto"/>
          <w:lang w:val="en"/>
        </w:rPr>
      </w:pPr>
      <w:r w:rsidRPr="004A2E6B">
        <w:rPr>
          <w:rFonts w:cs="Calibri"/>
          <w:lang w:val="en"/>
        </w:rPr>
        <w:t xml:space="preserve">Hadland SE, Wharam JF, Schuster MA, Zhang F, Samet JH, Larochelle MR. Trends in Receipt of Buprenorphine and Naltrexone for Opioid Use Disorder Among Adolescents and Young Adults, 2001-2014. </w:t>
      </w:r>
      <w:r w:rsidRPr="004A2E6B">
        <w:rPr>
          <w:rStyle w:val="Emphasis"/>
          <w:rFonts w:ascii="Cambria" w:hAnsi="Cambria" w:cs="Calibri"/>
          <w:lang w:val="en"/>
        </w:rPr>
        <w:t>JAMA Pediatr.</w:t>
      </w:r>
      <w:r w:rsidRPr="004A2E6B">
        <w:rPr>
          <w:rFonts w:cs="Calibri"/>
          <w:lang w:val="en"/>
        </w:rPr>
        <w:t xml:space="preserve"> 2017;171(8):747–755. doi:10.1001/jamapediatrics.2017.0745</w:t>
      </w:r>
    </w:p>
    <w:p w:rsidRPr="004A2E6B" w:rsidR="00856B94" w:rsidP="00977A00" w:rsidRDefault="00856B94" w14:paraId="3D3CEC6F" w14:textId="77777777">
      <w:pPr>
        <w:rPr>
          <w:rFonts w:cs="Calibri"/>
          <w:color w:val="222222"/>
          <w:shd w:val="clear" w:color="auto" w:fill="FFFFFF"/>
        </w:rPr>
      </w:pPr>
    </w:p>
    <w:p w:rsidRPr="004A2E6B" w:rsidR="00977A00" w:rsidP="00977A00" w:rsidRDefault="00977A00" w14:paraId="000301E8" w14:textId="410D7B38">
      <w:pPr>
        <w:rPr>
          <w:rFonts w:eastAsia="Times New Roman" w:cs="Calibri"/>
          <w:color w:val="auto"/>
        </w:rPr>
      </w:pPr>
      <w:r w:rsidRPr="004A2E6B">
        <w:rPr>
          <w:rFonts w:cs="Calibri"/>
          <w:color w:val="222222"/>
          <w:shd w:val="clear" w:color="auto" w:fill="FFFFFF"/>
        </w:rPr>
        <w:t xml:space="preserve">Hansen H, Siegel C, Wanderling J, DiRocco D. Buprenorphine and methadone treatment for opioid dependence by income, ethnicity and race of neighborhoods in New York City. Drug and alcohol dependence. 2016 Jul 1;164:14-21. </w:t>
      </w:r>
    </w:p>
    <w:p w:rsidRPr="004A2E6B" w:rsidR="00977A00" w:rsidP="00977A00" w:rsidRDefault="00977A00" w14:paraId="0E6CC1BB" w14:textId="77777777">
      <w:pPr>
        <w:rPr>
          <w:rFonts w:cs="Calibri"/>
          <w:color w:val="1F497D"/>
        </w:rPr>
      </w:pPr>
    </w:p>
    <w:p w:rsidRPr="004A2E6B" w:rsidR="00977A00" w:rsidP="00977A00" w:rsidRDefault="00856B94" w14:paraId="7D50C8FF" w14:textId="1DB23CF6">
      <w:pPr>
        <w:rPr>
          <w:rFonts w:cs="Calibri"/>
          <w:color w:val="auto"/>
        </w:rPr>
      </w:pPr>
      <w:r w:rsidRPr="004A2E6B">
        <w:rPr>
          <w:rFonts w:cs="Calibri"/>
        </w:rPr>
        <w:t>Hansen H</w:t>
      </w:r>
      <w:r w:rsidRPr="004A2E6B" w:rsidR="00977A00">
        <w:rPr>
          <w:rFonts w:cs="Calibri"/>
        </w:rPr>
        <w:t xml:space="preserve">, Siegel CE, Case BG, Bertollo DN, DiRocco D, Galanter M. Variation in use of buprenorphine and methadone treatment by racial, ethnic, and income characteristics of residential social areas in New York City. The journal of behavioral health services </w:t>
      </w:r>
      <w:r w:rsidRPr="004A2E6B" w:rsidR="00022803">
        <w:rPr>
          <w:rFonts w:cs="Calibri"/>
        </w:rPr>
        <w:t>and</w:t>
      </w:r>
      <w:r w:rsidRPr="004A2E6B" w:rsidR="00977A00">
        <w:rPr>
          <w:rFonts w:cs="Calibri"/>
        </w:rPr>
        <w:t xml:space="preserve"> research. 2013 Jul 1;40(3):367-77.</w:t>
      </w:r>
    </w:p>
    <w:p w:rsidRPr="004A2E6B" w:rsidR="00977A00" w:rsidP="00977A00" w:rsidRDefault="00977A00" w14:paraId="1F3BD0CB" w14:textId="362E0D49">
      <w:pPr>
        <w:rPr>
          <w:rFonts w:cs="Calibri"/>
        </w:rPr>
      </w:pPr>
    </w:p>
    <w:p w:rsidRPr="001D588A" w:rsidR="001D588A" w:rsidP="00526BB4" w:rsidRDefault="001D588A" w14:paraId="0431E546" w14:textId="77777777">
      <w:r w:rsidRPr="001D588A">
        <w:t>Hedegaard H, Miniño AM, Warner M. Drug overdose deaths in the United States, 1999–2018. NCHS Data Brief, no 356. Hyattsville, MD: National Center for Health Statistics. 2020.</w:t>
      </w:r>
    </w:p>
    <w:p w:rsidR="001D588A" w:rsidP="00526BB4" w:rsidRDefault="001D588A" w14:paraId="3F4E78B8" w14:textId="77777777">
      <w:pPr>
        <w:rPr>
          <w:sz w:val="20"/>
          <w:szCs w:val="20"/>
        </w:rPr>
      </w:pPr>
    </w:p>
    <w:p w:rsidRPr="004A2E6B" w:rsidR="00526BB4" w:rsidP="00526BB4" w:rsidRDefault="00526BB4" w14:paraId="6C6F1711" w14:textId="686329FB">
      <w:pPr>
        <w:rPr>
          <w:rFonts w:cs="Calibri"/>
        </w:rPr>
      </w:pPr>
      <w:r w:rsidRPr="004A2E6B">
        <w:rPr>
          <w:rFonts w:cs="Calibri"/>
        </w:rPr>
        <w:t>James K, Jordan A. The Opioid Crisis in Black Communities. The Journal of Law, Medicine and Ethics. 46 (2018): 404-421.doi: 10.1177/1073110518782949.</w:t>
      </w:r>
    </w:p>
    <w:p w:rsidRPr="004A2E6B" w:rsidR="00526BB4" w:rsidP="00977A00" w:rsidRDefault="00526BB4" w14:paraId="1FC08229" w14:textId="62359637">
      <w:pPr>
        <w:rPr>
          <w:rFonts w:cs="Calibri"/>
        </w:rPr>
      </w:pPr>
    </w:p>
    <w:p w:rsidRPr="004A2E6B" w:rsidR="00526BB4" w:rsidP="00526BB4" w:rsidRDefault="00526BB4" w14:paraId="6182645B" w14:textId="77777777">
      <w:pPr>
        <w:autoSpaceDE w:val="0"/>
        <w:autoSpaceDN w:val="0"/>
        <w:adjustRightInd w:val="0"/>
        <w:spacing w:after="0" w:line="240" w:lineRule="auto"/>
        <w:rPr>
          <w:rFonts w:cs="Calibri"/>
        </w:rPr>
      </w:pPr>
      <w:r w:rsidRPr="004A2E6B">
        <w:rPr>
          <w:rFonts w:cs="Calibri"/>
        </w:rPr>
        <w:t>Lagisetty PA, Ross R, Bohnert A, Clay M, Maust DT. Buprenorphine Treatment Divide by Race/Ethnicity and Payment. </w:t>
      </w:r>
      <w:r w:rsidRPr="004A2E6B">
        <w:rPr>
          <w:rFonts w:cs="Calibri"/>
          <w:i/>
          <w:iCs/>
        </w:rPr>
        <w:t>JAMA Psychiatry.</w:t>
      </w:r>
      <w:r w:rsidRPr="004A2E6B">
        <w:rPr>
          <w:rFonts w:cs="Calibri"/>
        </w:rPr>
        <w:t> Published online May 08, 2019. doi:10.1001/jamapsychiatry.2019.0876</w:t>
      </w:r>
    </w:p>
    <w:p w:rsidRPr="004A2E6B" w:rsidR="00526BB4" w:rsidP="00977A00" w:rsidRDefault="00526BB4" w14:paraId="3CD09C30" w14:textId="13CE5C52">
      <w:pPr>
        <w:rPr>
          <w:rFonts w:cs="Calibri"/>
        </w:rPr>
      </w:pPr>
    </w:p>
    <w:p w:rsidRPr="001D588A" w:rsidR="001D588A" w:rsidP="001D588A" w:rsidRDefault="001D588A" w14:paraId="3E96EAD6" w14:textId="77777777">
      <w:pPr>
        <w:pStyle w:val="FootnoteText"/>
        <w:rPr>
          <w:sz w:val="22"/>
          <w:szCs w:val="22"/>
        </w:rPr>
      </w:pPr>
      <w:r w:rsidRPr="001D588A">
        <w:rPr>
          <w:sz w:val="22"/>
          <w:szCs w:val="22"/>
        </w:rPr>
        <w:t xml:space="preserve">SAMHSA Center for Behavioral Health Statistics and Quality. (2020). </w:t>
      </w:r>
      <w:r w:rsidRPr="001D588A">
        <w:rPr>
          <w:rFonts w:cs="Tahoma"/>
          <w:color w:val="auto"/>
          <w:sz w:val="22"/>
          <w:szCs w:val="22"/>
          <w:shd w:val="clear" w:color="auto" w:fill="FFFFFF"/>
        </w:rPr>
        <w:t xml:space="preserve">2018 National Survey on Drug Use and Health: American Indians and Alaska Natives (AI/ANs). Accessed from: </w:t>
      </w:r>
      <w:hyperlink w:history="1" r:id="rId20">
        <w:r w:rsidRPr="001D588A">
          <w:rPr>
            <w:rStyle w:val="Hyperlink"/>
            <w:rFonts w:cs="Tahoma"/>
            <w:sz w:val="22"/>
            <w:szCs w:val="22"/>
            <w:shd w:val="clear" w:color="auto" w:fill="FFFFFF"/>
          </w:rPr>
          <w:t>https://www.samhsa.gov/data/sites/default/files/reports/rpt23246/1_AIAN_2020_01_14.pdf</w:t>
        </w:r>
      </w:hyperlink>
      <w:r w:rsidRPr="001D588A">
        <w:rPr>
          <w:rFonts w:cs="Tahoma"/>
          <w:color w:val="4A4A4A"/>
          <w:sz w:val="22"/>
          <w:szCs w:val="22"/>
          <w:shd w:val="clear" w:color="auto" w:fill="FFFFFF"/>
        </w:rPr>
        <w:t xml:space="preserve"> </w:t>
      </w:r>
    </w:p>
    <w:p w:rsidRPr="001D588A" w:rsidR="001D588A" w:rsidP="00526BB4" w:rsidRDefault="001D588A" w14:paraId="7FF19C9B" w14:textId="77777777"/>
    <w:p w:rsidRPr="001D588A" w:rsidR="001D588A" w:rsidP="00526BB4" w:rsidRDefault="001D588A" w14:paraId="7FA5C8B1" w14:textId="09AAFE7C">
      <w:pPr>
        <w:rPr>
          <w:rFonts w:cs="Tahoma"/>
          <w:color w:val="4A4A4A"/>
          <w:shd w:val="clear" w:color="auto" w:fill="FFFFFF"/>
        </w:rPr>
      </w:pPr>
      <w:r w:rsidRPr="001D588A">
        <w:lastRenderedPageBreak/>
        <w:t>SAMHSA Center for Behavioral Health Statistics and Quality. (2020</w:t>
      </w:r>
      <w:r w:rsidRPr="001D588A">
        <w:rPr>
          <w:color w:val="auto"/>
        </w:rPr>
        <w:t xml:space="preserve">). </w:t>
      </w:r>
      <w:r w:rsidRPr="001D588A">
        <w:rPr>
          <w:rFonts w:cs="Tahoma"/>
          <w:color w:val="auto"/>
          <w:shd w:val="clear" w:color="auto" w:fill="FFFFFF"/>
        </w:rPr>
        <w:t xml:space="preserve">2018 National Survey on Drug Use and Health: Asians/Native Hawaiians and Other Pacific Islanders(NHOPI). Accessed from: </w:t>
      </w:r>
      <w:hyperlink w:history="1" r:id="rId21">
        <w:r w:rsidRPr="001D588A">
          <w:rPr>
            <w:rStyle w:val="Hyperlink"/>
            <w:rFonts w:cs="Tahoma"/>
            <w:shd w:val="clear" w:color="auto" w:fill="FFFFFF"/>
          </w:rPr>
          <w:t>https://www.samhsa.gov/data/sites/default/files/reports/rpt23248/3_Asian_NHOPI_2020_01_14.pdf</w:t>
        </w:r>
      </w:hyperlink>
    </w:p>
    <w:p w:rsidRPr="001D588A" w:rsidR="001D588A" w:rsidP="00526BB4" w:rsidRDefault="001D588A" w14:paraId="5995E88A" w14:textId="77777777">
      <w:pPr>
        <w:rPr>
          <w:rFonts w:cs="Calibri"/>
          <w:shd w:val="clear" w:color="auto" w:fill="FFFFFF"/>
        </w:rPr>
      </w:pPr>
    </w:p>
    <w:p w:rsidRPr="004A2E6B" w:rsidR="00526BB4" w:rsidP="00526BB4" w:rsidRDefault="00526BB4" w14:paraId="13678D7D" w14:textId="55F6011F">
      <w:pPr>
        <w:rPr>
          <w:rFonts w:cs="Calibri"/>
          <w:color w:val="auto"/>
        </w:rPr>
      </w:pPr>
      <w:r w:rsidRPr="004A2E6B">
        <w:rPr>
          <w:rFonts w:cs="Calibri"/>
          <w:shd w:val="clear" w:color="auto" w:fill="FFFFFF"/>
        </w:rPr>
        <w:t>Schmidt L, Greenfield T, Mulia N. Unequal treatment: racial and ethnic disparities in alcoholism treatment services. </w:t>
      </w:r>
      <w:r w:rsidRPr="004A2E6B">
        <w:rPr>
          <w:rStyle w:val="ref-journal"/>
          <w:rFonts w:ascii="Cambria" w:hAnsi="Cambria" w:cs="Calibri"/>
          <w:shd w:val="clear" w:color="auto" w:fill="FFFFFF"/>
        </w:rPr>
        <w:t>Alcohol Res Health. </w:t>
      </w:r>
      <w:r w:rsidRPr="004A2E6B">
        <w:rPr>
          <w:rFonts w:cs="Calibri"/>
          <w:shd w:val="clear" w:color="auto" w:fill="FFFFFF"/>
        </w:rPr>
        <w:t>2006;</w:t>
      </w:r>
      <w:r w:rsidRPr="004A2E6B">
        <w:rPr>
          <w:rStyle w:val="ref-vol"/>
          <w:rFonts w:ascii="Cambria" w:hAnsi="Cambria" w:cs="Calibri"/>
          <w:shd w:val="clear" w:color="auto" w:fill="FFFFFF"/>
        </w:rPr>
        <w:t>29</w:t>
      </w:r>
      <w:r w:rsidRPr="004A2E6B">
        <w:rPr>
          <w:rFonts w:cs="Calibri"/>
          <w:shd w:val="clear" w:color="auto" w:fill="FFFFFF"/>
        </w:rPr>
        <w:t>(1):49–54.</w:t>
      </w:r>
      <w:r w:rsidRPr="004A2E6B">
        <w:rPr>
          <w:rFonts w:cs="Calibri"/>
        </w:rPr>
        <w:t xml:space="preserve"> </w:t>
      </w:r>
      <w:hyperlink w:history="1" r:id="rId22">
        <w:r w:rsidRPr="004A2E6B">
          <w:rPr>
            <w:rStyle w:val="Hyperlink"/>
            <w:rFonts w:cs="Calibri"/>
          </w:rPr>
          <w:t>https://www.ncbi.nlm.nih.gov/pmc/articles/PMC6470902/?report=reader</w:t>
        </w:r>
      </w:hyperlink>
    </w:p>
    <w:p w:rsidRPr="004A2E6B" w:rsidR="00526BB4" w:rsidP="00977A00" w:rsidRDefault="00526BB4" w14:paraId="6EB87EFE" w14:textId="77777777">
      <w:pPr>
        <w:rPr>
          <w:rFonts w:cs="Calibri"/>
        </w:rPr>
      </w:pPr>
    </w:p>
    <w:p w:rsidRPr="004A2E6B" w:rsidR="00526BB4" w:rsidP="00526BB4" w:rsidRDefault="00526BB4" w14:paraId="12955013" w14:textId="77777777">
      <w:pPr>
        <w:pStyle w:val="FootnoteText"/>
        <w:rPr>
          <w:rFonts w:cs="Calibri"/>
          <w:sz w:val="22"/>
          <w:szCs w:val="22"/>
        </w:rPr>
      </w:pPr>
      <w:r w:rsidRPr="004A2E6B">
        <w:rPr>
          <w:rFonts w:cs="Calibri"/>
          <w:sz w:val="22"/>
          <w:szCs w:val="22"/>
        </w:rPr>
        <w:t>Tipps RT, Buzzard GT, McDougall JA. The Opioid Epidemic in Indian Country. The Journal of Law, Medicine and Ethics. 46 (2018):422-436. doi: 10.1177/1073110518782950.</w:t>
      </w:r>
    </w:p>
    <w:p w:rsidRPr="004A2E6B" w:rsidR="00526BB4" w:rsidP="00977A00" w:rsidRDefault="00526BB4" w14:paraId="442546A7" w14:textId="77777777">
      <w:pPr>
        <w:rPr>
          <w:rFonts w:cs="Calibri"/>
        </w:rPr>
      </w:pPr>
    </w:p>
    <w:p w:rsidR="0075105C" w:rsidP="00977A00" w:rsidRDefault="0075105C" w14:paraId="1126C641" w14:textId="77777777">
      <w:r>
        <w:t xml:space="preserve">U.S. Department of Health and Human Services, Office of the Assistant Secretary for Planning and Evaluation. (2019). Best practices and barriers to engaging people with substance use disorders in treatment. Accessed from: </w:t>
      </w:r>
      <w:hyperlink w:history="1" r:id="rId23">
        <w:r>
          <w:rPr>
            <w:rStyle w:val="Hyperlink"/>
          </w:rPr>
          <w:t>https://aspe.hhs.gov/system/files/pdf/260791/BestSUD.pdf</w:t>
        </w:r>
      </w:hyperlink>
    </w:p>
    <w:p w:rsidR="0075105C" w:rsidP="00977A00" w:rsidRDefault="0075105C" w14:paraId="3AB16F69" w14:textId="77777777"/>
    <w:p w:rsidRPr="004A2E6B" w:rsidR="00977A00" w:rsidP="00977A00" w:rsidRDefault="00977A00" w14:paraId="54C5B810" w14:textId="29519AEE">
      <w:pPr>
        <w:rPr>
          <w:rFonts w:cs="Calibri"/>
        </w:rPr>
      </w:pPr>
      <w:r w:rsidRPr="004A2E6B">
        <w:rPr>
          <w:rFonts w:cs="Calibri"/>
        </w:rPr>
        <w:t>Wu L, Blazer DG, Li T, Woody GE. Treatment Use and Barriers Among Adolescents with Prescription Opioid Use Disorders. Addictive Behaviors. 2011 Dec;36(12):1233-9. doi: 10.1016/j.addbeh.2011.07.033</w:t>
      </w:r>
      <w:r w:rsidRPr="004A2E6B" w:rsidR="00856B94">
        <w:rPr>
          <w:rFonts w:cs="Calibri"/>
        </w:rPr>
        <w:t>.</w:t>
      </w:r>
    </w:p>
    <w:p w:rsidRPr="004A2E6B" w:rsidR="00A438BB" w:rsidP="00526BB4" w:rsidRDefault="00A438BB" w14:paraId="4B131EB5" w14:textId="77777777">
      <w:pPr>
        <w:autoSpaceDE w:val="0"/>
        <w:autoSpaceDN w:val="0"/>
        <w:adjustRightInd w:val="0"/>
        <w:spacing w:after="0" w:line="240" w:lineRule="auto"/>
        <w:ind w:left="0" w:firstLine="0"/>
        <w:rPr>
          <w:rFonts w:cs="Calibri"/>
        </w:rPr>
      </w:pPr>
    </w:p>
    <w:p w:rsidRPr="004A2E6B" w:rsidR="00977A00" w:rsidP="00526BB4" w:rsidRDefault="00977A00" w14:paraId="77F1421F" w14:textId="6318D793">
      <w:pPr>
        <w:autoSpaceDE w:val="0"/>
        <w:autoSpaceDN w:val="0"/>
        <w:adjustRightInd w:val="0"/>
        <w:spacing w:after="0" w:line="240" w:lineRule="auto"/>
        <w:rPr>
          <w:rFonts w:eastAsia="Times New Roman" w:cs="Calibri"/>
          <w:color w:val="auto"/>
        </w:rPr>
      </w:pPr>
      <w:r w:rsidRPr="004A2E6B">
        <w:rPr>
          <w:rFonts w:cs="Calibri"/>
        </w:rPr>
        <w:t xml:space="preserve">Wu L, Zhu H, Swartz, M. Treatment utilization among persons with opioid use disorder in the United States. </w:t>
      </w:r>
      <w:r w:rsidRPr="004A2E6B">
        <w:rPr>
          <w:rFonts w:cs="Calibri"/>
          <w:i/>
          <w:iCs/>
        </w:rPr>
        <w:t xml:space="preserve">Drug and Alcohol Dependence. </w:t>
      </w:r>
      <w:r w:rsidRPr="004A2E6B">
        <w:rPr>
          <w:rFonts w:cs="Calibri"/>
        </w:rPr>
        <w:t>2016:169: 117-127.</w:t>
      </w:r>
    </w:p>
    <w:p w:rsidRPr="004A2E6B" w:rsidR="00A438BB" w:rsidP="00856B94" w:rsidRDefault="00A438BB" w14:paraId="5BC74048" w14:textId="77777777">
      <w:pPr>
        <w:autoSpaceDE w:val="0"/>
        <w:autoSpaceDN w:val="0"/>
        <w:adjustRightInd w:val="0"/>
        <w:spacing w:after="0" w:line="240" w:lineRule="auto"/>
        <w:rPr>
          <w:rFonts w:cs="Calibri"/>
        </w:rPr>
      </w:pPr>
    </w:p>
    <w:p w:rsidRPr="004A2E6B" w:rsidR="00A438BB" w:rsidP="00856B94" w:rsidRDefault="00A438BB" w14:paraId="4081DC3E" w14:textId="77777777">
      <w:pPr>
        <w:autoSpaceDE w:val="0"/>
        <w:autoSpaceDN w:val="0"/>
        <w:adjustRightInd w:val="0"/>
        <w:spacing w:after="0" w:line="240" w:lineRule="auto"/>
        <w:rPr>
          <w:rFonts w:cs="Calibri"/>
        </w:rPr>
      </w:pPr>
    </w:p>
    <w:p w:rsidRPr="004A2E6B" w:rsidR="00A438BB" w:rsidP="00856B94" w:rsidRDefault="00A438BB" w14:paraId="5A9242E2" w14:textId="77777777">
      <w:pPr>
        <w:rPr>
          <w:rStyle w:val="authors"/>
          <w:rFonts w:ascii="Cambria" w:hAnsi="Cambria" w:cs="Calibri"/>
          <w:color w:val="333333"/>
          <w:shd w:val="clear" w:color="auto" w:fill="FFFFFF"/>
        </w:rPr>
      </w:pPr>
    </w:p>
    <w:p w:rsidRPr="004A2E6B" w:rsidR="00977A00" w:rsidP="00856B94" w:rsidRDefault="00977A00" w14:paraId="6AB1C030" w14:textId="77777777">
      <w:pPr>
        <w:rPr>
          <w:rFonts w:cs="Calibri"/>
        </w:rPr>
      </w:pPr>
    </w:p>
    <w:p w:rsidRPr="004A2E6B" w:rsidR="00977A00" w:rsidP="00A438BB" w:rsidRDefault="00977A00" w14:paraId="1DFD6759" w14:textId="77777777">
      <w:pPr>
        <w:pStyle w:val="FootnoteText"/>
        <w:rPr>
          <w:rFonts w:cs="Calibri"/>
          <w:sz w:val="22"/>
          <w:szCs w:val="22"/>
        </w:rPr>
      </w:pPr>
    </w:p>
    <w:sectPr w:rsidRPr="004A2E6B" w:rsidR="00977A00" w:rsidSect="00784D8D">
      <w:type w:val="continuous"/>
      <w:pgSz w:w="12240" w:h="15840"/>
      <w:pgMar w:top="1440" w:right="2103" w:bottom="1440"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E69FC" w14:textId="77777777" w:rsidR="00023B5B" w:rsidRDefault="00023B5B">
      <w:pPr>
        <w:spacing w:after="0" w:line="240" w:lineRule="auto"/>
      </w:pPr>
      <w:r>
        <w:separator/>
      </w:r>
    </w:p>
  </w:endnote>
  <w:endnote w:type="continuationSeparator" w:id="0">
    <w:p w14:paraId="2F9E536A" w14:textId="77777777" w:rsidR="00023B5B" w:rsidRDefault="0002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Cond">
    <w:panose1 w:val="00000000000000000000"/>
    <w:charset w:val="00"/>
    <w:family w:val="swiss"/>
    <w:notTrueType/>
    <w:pitch w:val="default"/>
    <w:sig w:usb0="00000003" w:usb1="00000000" w:usb2="00000000" w:usb3="00000000" w:csb0="00000001" w:csb1="00000000"/>
  </w:font>
  <w:font w:name="MyriadPro-CondI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12D7" w14:textId="77777777" w:rsidR="007C6079" w:rsidRDefault="00C13462">
    <w:pPr>
      <w:spacing w:after="0" w:line="259" w:lineRule="auto"/>
      <w:ind w:left="0" w:right="-667"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t>9</w:t>
    </w:r>
    <w:r>
      <w:rPr>
        <w:rFonts w:ascii="Calibri" w:eastAsia="Calibri" w:hAnsi="Calibri" w:cs="Calibri"/>
      </w:rPr>
      <w:t xml:space="preserve"> </w:t>
    </w:r>
  </w:p>
  <w:p w14:paraId="1B27846B" w14:textId="77777777" w:rsidR="007C6079" w:rsidRDefault="00C13462">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FC637" w14:textId="7F866425" w:rsidR="007C6079" w:rsidRDefault="00C13462">
    <w:pPr>
      <w:spacing w:after="0" w:line="259" w:lineRule="auto"/>
      <w:ind w:left="0" w:right="-667" w:firstLine="0"/>
      <w:jc w:val="right"/>
    </w:pPr>
    <w:r>
      <w:fldChar w:fldCharType="begin"/>
    </w:r>
    <w:r>
      <w:instrText xml:space="preserve"> PAGE   \* MERGEFORMAT </w:instrText>
    </w:r>
    <w:r>
      <w:fldChar w:fldCharType="separate"/>
    </w:r>
    <w:r w:rsidR="00EC0090" w:rsidRPr="00EC0090">
      <w:rPr>
        <w:rFonts w:ascii="Calibri" w:eastAsia="Calibri" w:hAnsi="Calibri" w:cs="Calibri"/>
        <w:b/>
        <w:noProof/>
      </w:rPr>
      <w:t>4</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t>9</w:t>
    </w:r>
    <w:r>
      <w:rPr>
        <w:rFonts w:ascii="Calibri" w:eastAsia="Calibri" w:hAnsi="Calibri" w:cs="Calibri"/>
      </w:rPr>
      <w:t xml:space="preserve"> </w:t>
    </w:r>
  </w:p>
  <w:p w14:paraId="24A3F7A9" w14:textId="77777777" w:rsidR="007C6079" w:rsidRDefault="00C13462">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AFB6C" w14:textId="77777777" w:rsidR="007C6079" w:rsidRDefault="00C13462">
    <w:pPr>
      <w:spacing w:after="0" w:line="259" w:lineRule="auto"/>
      <w:ind w:left="0" w:right="-667"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t>9</w:t>
    </w:r>
    <w:r>
      <w:rPr>
        <w:rFonts w:ascii="Calibri" w:eastAsia="Calibri" w:hAnsi="Calibri" w:cs="Calibri"/>
      </w:rPr>
      <w:t xml:space="preserve"> </w:t>
    </w:r>
  </w:p>
  <w:p w14:paraId="66AC3260" w14:textId="77777777" w:rsidR="007C6079" w:rsidRDefault="00C13462">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1BB40" w14:textId="77777777" w:rsidR="00023B5B" w:rsidRDefault="00023B5B">
      <w:pPr>
        <w:spacing w:after="0" w:line="259" w:lineRule="auto"/>
        <w:ind w:left="43" w:firstLine="0"/>
      </w:pPr>
      <w:r>
        <w:separator/>
      </w:r>
    </w:p>
  </w:footnote>
  <w:footnote w:type="continuationSeparator" w:id="0">
    <w:p w14:paraId="51D4C1A0" w14:textId="77777777" w:rsidR="00023B5B" w:rsidRDefault="00023B5B">
      <w:pPr>
        <w:spacing w:after="0" w:line="259" w:lineRule="auto"/>
        <w:ind w:left="43" w:firstLine="0"/>
      </w:pPr>
      <w:r>
        <w:continuationSeparator/>
      </w:r>
    </w:p>
  </w:footnote>
  <w:footnote w:id="1">
    <w:p w14:paraId="4F070819" w14:textId="1440D695" w:rsidR="001C3DBE" w:rsidRDefault="001C3DBE" w:rsidP="00784D8D">
      <w:pPr>
        <w:pStyle w:val="FootnoteText"/>
        <w:ind w:left="720"/>
      </w:pPr>
      <w:r>
        <w:rPr>
          <w:rStyle w:val="FootnoteReference"/>
        </w:rPr>
        <w:footnoteRef/>
      </w:r>
      <w:r>
        <w:t xml:space="preserve"> </w:t>
      </w:r>
      <w:r w:rsidRPr="00D65F41">
        <w:t>Hedegaard H, Miniño AM, Warner M. Drug overdose deaths in the United States, 1999–2018. NCHS Data Brief, no 356. Hyattsville, MD: National Center for Health Statistics. 2020.</w:t>
      </w:r>
    </w:p>
  </w:footnote>
  <w:footnote w:id="2">
    <w:p w14:paraId="1D7C41AE" w14:textId="1DCD535F" w:rsidR="009222E9" w:rsidRPr="00784D8D" w:rsidRDefault="009222E9" w:rsidP="00784D8D">
      <w:pPr>
        <w:shd w:val="clear" w:color="auto" w:fill="FFFFFF"/>
        <w:spacing w:after="0" w:line="240" w:lineRule="auto"/>
        <w:ind w:left="720" w:firstLine="0"/>
        <w:textAlignment w:val="baseline"/>
        <w:rPr>
          <w:rFonts w:eastAsia="Times New Roman" w:cs="Times New Roman"/>
          <w:color w:val="444444"/>
          <w:sz w:val="20"/>
          <w:szCs w:val="20"/>
        </w:rPr>
      </w:pPr>
      <w:r w:rsidRPr="00784D8D">
        <w:rPr>
          <w:rStyle w:val="FootnoteReference"/>
          <w:color w:val="auto"/>
          <w:sz w:val="20"/>
          <w:szCs w:val="20"/>
        </w:rPr>
        <w:footnoteRef/>
      </w:r>
      <w:r w:rsidRPr="00784D8D">
        <w:rPr>
          <w:color w:val="auto"/>
          <w:sz w:val="20"/>
          <w:szCs w:val="20"/>
        </w:rPr>
        <w:t xml:space="preserve"> C</w:t>
      </w:r>
      <w:r w:rsidR="001C3DBE" w:rsidRPr="00784D8D">
        <w:rPr>
          <w:color w:val="auto"/>
          <w:sz w:val="20"/>
          <w:szCs w:val="20"/>
        </w:rPr>
        <w:t>enters for Disease Control and Prevention</w:t>
      </w:r>
      <w:r w:rsidRPr="009222E9">
        <w:rPr>
          <w:color w:val="444444"/>
          <w:sz w:val="20"/>
          <w:szCs w:val="20"/>
        </w:rPr>
        <w:t>, </w:t>
      </w:r>
      <w:hyperlink r:id="rId1" w:history="1">
        <w:r w:rsidRPr="009222E9">
          <w:rPr>
            <w:rStyle w:val="Hyperlink"/>
            <w:color w:val="A52200"/>
            <w:sz w:val="20"/>
            <w:szCs w:val="20"/>
            <w:bdr w:val="none" w:sz="0" w:space="0" w:color="auto" w:frame="1"/>
          </w:rPr>
          <w:t>National Vital Statistics System</w:t>
        </w:r>
      </w:hyperlink>
      <w:r w:rsidRPr="00784D8D">
        <w:rPr>
          <w:color w:val="auto"/>
          <w:sz w:val="20"/>
          <w:szCs w:val="20"/>
        </w:rPr>
        <w:t xml:space="preserve">, Mortality. CDC WONDER, Atlanta, GA: US Department of Health and Human Services, CDC; </w:t>
      </w:r>
      <w:r w:rsidRPr="009222E9">
        <w:rPr>
          <w:color w:val="444444"/>
          <w:sz w:val="20"/>
          <w:szCs w:val="20"/>
        </w:rPr>
        <w:t>2018. </w:t>
      </w:r>
      <w:hyperlink r:id="rId2" w:history="1">
        <w:r w:rsidRPr="009222E9">
          <w:rPr>
            <w:rStyle w:val="Hyperlink"/>
            <w:color w:val="A52200"/>
            <w:sz w:val="20"/>
            <w:szCs w:val="20"/>
            <w:bdr w:val="none" w:sz="0" w:space="0" w:color="auto" w:frame="1"/>
          </w:rPr>
          <w:t>https://wonder.cdc.gov</w:t>
        </w:r>
      </w:hyperlink>
      <w:r w:rsidRPr="009222E9">
        <w:rPr>
          <w:color w:val="444444"/>
          <w:sz w:val="20"/>
          <w:szCs w:val="20"/>
        </w:rPr>
        <w:t>.</w:t>
      </w:r>
    </w:p>
  </w:footnote>
  <w:footnote w:id="3">
    <w:p w14:paraId="47CE92CA" w14:textId="60934017" w:rsidR="00AA690E" w:rsidRPr="00AA690E" w:rsidRDefault="00AA690E" w:rsidP="00AA690E">
      <w:pPr>
        <w:pStyle w:val="FootnoteText"/>
        <w:ind w:left="720"/>
      </w:pPr>
      <w:r w:rsidRPr="00AA690E">
        <w:rPr>
          <w:rStyle w:val="FootnoteReference"/>
        </w:rPr>
        <w:footnoteRef/>
      </w:r>
      <w:r w:rsidRPr="00AA690E">
        <w:t xml:space="preserve"> SAMHSA Center for Behavioral Health Statistics and Quality. (2020). </w:t>
      </w:r>
      <w:r w:rsidRPr="00784D8D">
        <w:rPr>
          <w:rFonts w:cs="Tahoma"/>
          <w:color w:val="auto"/>
          <w:shd w:val="clear" w:color="auto" w:fill="FFFFFF"/>
        </w:rPr>
        <w:t xml:space="preserve">2018 National Survey on Drug Use and Health: American Indians and Alaska Natives (AI/ANs). Accessed from: </w:t>
      </w:r>
      <w:hyperlink r:id="rId3" w:history="1">
        <w:r w:rsidR="00784D8D" w:rsidRPr="002B4C9A">
          <w:rPr>
            <w:rStyle w:val="Hyperlink"/>
            <w:rFonts w:cs="Tahoma"/>
            <w:shd w:val="clear" w:color="auto" w:fill="FFFFFF"/>
          </w:rPr>
          <w:t>https://www.samhsa.gov/data/sites/default/files/reports/rpt23246/1_AIAN_2020_01_14.pdf</w:t>
        </w:r>
      </w:hyperlink>
      <w:r w:rsidR="00784D8D">
        <w:rPr>
          <w:rFonts w:cs="Tahoma"/>
          <w:color w:val="4A4A4A"/>
          <w:shd w:val="clear" w:color="auto" w:fill="FFFFFF"/>
        </w:rPr>
        <w:t xml:space="preserve"> </w:t>
      </w:r>
    </w:p>
  </w:footnote>
  <w:footnote w:id="4">
    <w:p w14:paraId="505B1DF1" w14:textId="77777777" w:rsidR="00D65F41" w:rsidRPr="00D65F41" w:rsidRDefault="009222E9" w:rsidP="00D65F41">
      <w:pPr>
        <w:autoSpaceDE w:val="0"/>
        <w:autoSpaceDN w:val="0"/>
        <w:adjustRightInd w:val="0"/>
        <w:spacing w:after="0" w:line="240" w:lineRule="auto"/>
        <w:ind w:left="720" w:firstLine="0"/>
        <w:rPr>
          <w:rFonts w:eastAsiaTheme="minorEastAsia" w:cs="MyriadPro-Cond"/>
          <w:sz w:val="20"/>
          <w:szCs w:val="20"/>
        </w:rPr>
      </w:pPr>
      <w:r w:rsidRPr="00D65F41">
        <w:rPr>
          <w:rStyle w:val="FootnoteReference"/>
          <w:sz w:val="20"/>
          <w:szCs w:val="20"/>
        </w:rPr>
        <w:footnoteRef/>
      </w:r>
      <w:r w:rsidRPr="00D65F41">
        <w:rPr>
          <w:sz w:val="20"/>
          <w:szCs w:val="20"/>
        </w:rPr>
        <w:t xml:space="preserve"> </w:t>
      </w:r>
      <w:r w:rsidR="00D65F41" w:rsidRPr="00D65F41">
        <w:rPr>
          <w:rFonts w:eastAsiaTheme="minorEastAsia" w:cs="MyriadPro-Cond"/>
          <w:sz w:val="20"/>
          <w:szCs w:val="20"/>
        </w:rPr>
        <w:t xml:space="preserve">SAMHSA Center for Behavioral Health Statistics and Quality. (2019). </w:t>
      </w:r>
      <w:r w:rsidR="00D65F41" w:rsidRPr="00D65F41">
        <w:rPr>
          <w:rFonts w:eastAsiaTheme="minorEastAsia" w:cs="MyriadPro-CondIt"/>
          <w:i/>
          <w:iCs/>
          <w:sz w:val="20"/>
          <w:szCs w:val="20"/>
        </w:rPr>
        <w:t>2018 National Survey on Drug Use and Health: Detailed Tables</w:t>
      </w:r>
      <w:r w:rsidR="00D65F41" w:rsidRPr="00D65F41">
        <w:rPr>
          <w:rFonts w:eastAsiaTheme="minorEastAsia" w:cs="MyriadPro-Cond"/>
          <w:sz w:val="20"/>
          <w:szCs w:val="20"/>
        </w:rPr>
        <w:t>. Substance Abuse and Mental Health Services</w:t>
      </w:r>
    </w:p>
    <w:p w14:paraId="70C3EE28" w14:textId="5298840F" w:rsidR="009222E9" w:rsidRPr="00D65F41" w:rsidRDefault="00D65F41" w:rsidP="00D65F41">
      <w:pPr>
        <w:pStyle w:val="FootnoteText"/>
        <w:ind w:left="720"/>
      </w:pPr>
      <w:r w:rsidRPr="00D65F41">
        <w:rPr>
          <w:rFonts w:eastAsiaTheme="minorEastAsia" w:cs="MyriadPro-Cond"/>
        </w:rPr>
        <w:t xml:space="preserve">Administration, Rockville, MD. Table 1.60B, accessed from: </w:t>
      </w:r>
      <w:r w:rsidRPr="00D65F41">
        <w:rPr>
          <w:rFonts w:eastAsiaTheme="minorEastAsia" w:cs="MyriadPro-CondIt"/>
          <w:i/>
          <w:iCs/>
          <w:color w:val="0040FB"/>
        </w:rPr>
        <w:t>https://www.samhsa.gov/data/nsduh/reports-detailed-tables-2018-NSDUH</w:t>
      </w:r>
    </w:p>
  </w:footnote>
  <w:footnote w:id="5">
    <w:p w14:paraId="3FA971CD" w14:textId="77777777" w:rsidR="00D65F41" w:rsidRPr="00D65F41" w:rsidRDefault="00D65F41" w:rsidP="00D65F41">
      <w:pPr>
        <w:autoSpaceDE w:val="0"/>
        <w:autoSpaceDN w:val="0"/>
        <w:adjustRightInd w:val="0"/>
        <w:spacing w:after="0" w:line="240" w:lineRule="auto"/>
        <w:ind w:left="720" w:firstLine="0"/>
        <w:rPr>
          <w:rFonts w:eastAsiaTheme="minorEastAsia" w:cs="MyriadPro-CondIt"/>
          <w:i/>
          <w:iCs/>
          <w:color w:val="0040FB"/>
          <w:sz w:val="20"/>
          <w:szCs w:val="20"/>
        </w:rPr>
      </w:pPr>
      <w:r w:rsidRPr="00D65F41">
        <w:rPr>
          <w:rStyle w:val="FootnoteReference"/>
          <w:sz w:val="20"/>
          <w:szCs w:val="20"/>
        </w:rPr>
        <w:footnoteRef/>
      </w:r>
      <w:r w:rsidRPr="00D65F41">
        <w:rPr>
          <w:sz w:val="20"/>
          <w:szCs w:val="20"/>
        </w:rPr>
        <w:t xml:space="preserve"> </w:t>
      </w:r>
      <w:r w:rsidRPr="00D65F41">
        <w:rPr>
          <w:rFonts w:eastAsiaTheme="minorEastAsia" w:cs="MyriadPro-Cond"/>
          <w:sz w:val="20"/>
          <w:szCs w:val="20"/>
        </w:rPr>
        <w:t xml:space="preserve">Scholl L, Seth P, Kariisa M, Wilson N, Baldwin G. Drug and Opioid-Involved Overdose Deaths — United States, 2013–2017. MMWR Morb Mortal Wkly Rep 2019;67:1419–1427. DOI: </w:t>
      </w:r>
      <w:r w:rsidRPr="00D65F41">
        <w:rPr>
          <w:rFonts w:eastAsiaTheme="minorEastAsia" w:cs="MyriadPro-CondIt"/>
          <w:i/>
          <w:iCs/>
          <w:color w:val="0040FB"/>
          <w:sz w:val="20"/>
          <w:szCs w:val="20"/>
        </w:rPr>
        <w:t>http://</w:t>
      </w:r>
    </w:p>
    <w:p w14:paraId="0C675C8F" w14:textId="627F9B0A" w:rsidR="00D65F41" w:rsidRPr="00D65F41" w:rsidRDefault="00D65F41" w:rsidP="00D65F41">
      <w:pPr>
        <w:pStyle w:val="FootnoteText"/>
        <w:ind w:left="720"/>
      </w:pPr>
      <w:r w:rsidRPr="00D65F41">
        <w:rPr>
          <w:rFonts w:eastAsiaTheme="minorEastAsia" w:cs="MyriadPro-CondIt"/>
          <w:i/>
          <w:iCs/>
          <w:color w:val="0040FB"/>
        </w:rPr>
        <w:t>dx.doi.org/10.15585/mmwr.mm675152e1</w:t>
      </w:r>
    </w:p>
  </w:footnote>
  <w:footnote w:id="6">
    <w:p w14:paraId="4E0338D0" w14:textId="45703A4D" w:rsidR="00D65F41" w:rsidRPr="00D65F41" w:rsidRDefault="00D65F41" w:rsidP="00D65F41">
      <w:pPr>
        <w:pStyle w:val="FootnoteText"/>
        <w:ind w:left="720"/>
      </w:pPr>
      <w:r w:rsidRPr="00D65F41">
        <w:rPr>
          <w:rStyle w:val="FootnoteReference"/>
        </w:rPr>
        <w:footnoteRef/>
      </w:r>
      <w:r w:rsidRPr="00D65F41">
        <w:t xml:space="preserve"> Hedegaard H, Miniño AM, Warner M. Drug overdose deaths in the United States, 1999–2018. NCHS Data Brief, no 356. Hyattsville, MD: National Center for Health Statistics. 2020.</w:t>
      </w:r>
    </w:p>
  </w:footnote>
  <w:footnote w:id="7">
    <w:p w14:paraId="01BC95F1" w14:textId="2A830EAA" w:rsidR="00D65F41" w:rsidRPr="00D65F41" w:rsidRDefault="00D65F41" w:rsidP="00D65F41">
      <w:pPr>
        <w:pStyle w:val="FootnoteText"/>
        <w:ind w:left="720"/>
      </w:pPr>
      <w:r w:rsidRPr="00D65F41">
        <w:rPr>
          <w:rStyle w:val="FootnoteReference"/>
        </w:rPr>
        <w:footnoteRef/>
      </w:r>
      <w:r w:rsidRPr="00D65F41">
        <w:t xml:space="preserve"> </w:t>
      </w:r>
      <w:r w:rsidRPr="00D65F41">
        <w:rPr>
          <w:rFonts w:cs="Calibri"/>
        </w:rPr>
        <w:t xml:space="preserve">Wu L, Zhu H, Swartz, M. Treatment utilization among persons with opioid use disorder in the United States. </w:t>
      </w:r>
      <w:r w:rsidRPr="00D65F41">
        <w:rPr>
          <w:rFonts w:cs="Calibri"/>
          <w:i/>
          <w:iCs/>
        </w:rPr>
        <w:t xml:space="preserve">Drug and Alcohol Dependence. </w:t>
      </w:r>
      <w:r w:rsidRPr="00D65F41">
        <w:rPr>
          <w:rFonts w:cs="Calibri"/>
        </w:rPr>
        <w:t>2016:169: 117-127.</w:t>
      </w:r>
    </w:p>
  </w:footnote>
  <w:footnote w:id="8">
    <w:p w14:paraId="2711EAE0" w14:textId="77777777" w:rsidR="001D588A" w:rsidRPr="001D588A" w:rsidRDefault="00784D8D" w:rsidP="001D588A">
      <w:pPr>
        <w:spacing w:after="0" w:line="240" w:lineRule="auto"/>
        <w:ind w:left="720"/>
        <w:rPr>
          <w:rStyle w:val="doilink"/>
          <w:rFonts w:ascii="Cambria" w:hAnsi="Cambria" w:cs="Calibri"/>
          <w:color w:val="333333"/>
          <w:sz w:val="20"/>
          <w:szCs w:val="20"/>
          <w:shd w:val="clear" w:color="auto" w:fill="FFFFFF"/>
        </w:rPr>
      </w:pPr>
      <w:r w:rsidRPr="001D588A">
        <w:rPr>
          <w:rStyle w:val="FootnoteReference"/>
          <w:color w:val="auto"/>
          <w:sz w:val="20"/>
          <w:szCs w:val="20"/>
        </w:rPr>
        <w:footnoteRef/>
      </w:r>
      <w:r w:rsidRPr="001D588A">
        <w:rPr>
          <w:color w:val="auto"/>
          <w:sz w:val="20"/>
          <w:szCs w:val="20"/>
        </w:rPr>
        <w:t xml:space="preserve"> </w:t>
      </w:r>
      <w:r w:rsidR="001D588A" w:rsidRPr="001D588A">
        <w:rPr>
          <w:rStyle w:val="authors"/>
          <w:rFonts w:ascii="Cambria" w:hAnsi="Cambria" w:cs="Calibri"/>
          <w:color w:val="333333"/>
          <w:sz w:val="20"/>
          <w:szCs w:val="20"/>
          <w:shd w:val="clear" w:color="auto" w:fill="FFFFFF"/>
        </w:rPr>
        <w:t>Acevedo, A, DW Garnick, MT Lee, CM Horgan, G Ritter, L Panas, S Davis, T Leeper, R Moore and M Reynolds</w:t>
      </w:r>
      <w:r w:rsidR="001D588A" w:rsidRPr="001D588A">
        <w:rPr>
          <w:rFonts w:cs="Calibri"/>
          <w:color w:val="333333"/>
          <w:sz w:val="20"/>
          <w:szCs w:val="20"/>
          <w:shd w:val="clear" w:color="auto" w:fill="FFFFFF"/>
        </w:rPr>
        <w:t> (2012) </w:t>
      </w:r>
      <w:r w:rsidR="001D588A" w:rsidRPr="001D588A">
        <w:rPr>
          <w:rStyle w:val="arttitle"/>
          <w:rFonts w:ascii="Cambria" w:hAnsi="Cambria" w:cs="Calibri"/>
          <w:color w:val="333333"/>
          <w:sz w:val="20"/>
          <w:szCs w:val="20"/>
          <w:shd w:val="clear" w:color="auto" w:fill="FFFFFF"/>
        </w:rPr>
        <w:t>Racial and Ethnic Differences in Substance Abuse Treatment Initiation and Engagement,</w:t>
      </w:r>
      <w:r w:rsidR="001D588A" w:rsidRPr="001D588A">
        <w:rPr>
          <w:rFonts w:cs="Calibri"/>
          <w:color w:val="333333"/>
          <w:sz w:val="20"/>
          <w:szCs w:val="20"/>
          <w:shd w:val="clear" w:color="auto" w:fill="FFFFFF"/>
        </w:rPr>
        <w:t> </w:t>
      </w:r>
      <w:r w:rsidR="001D588A" w:rsidRPr="001D588A">
        <w:rPr>
          <w:rStyle w:val="serialtitle"/>
          <w:rFonts w:ascii="Cambria" w:hAnsi="Cambria" w:cs="Calibri"/>
          <w:color w:val="333333"/>
          <w:sz w:val="20"/>
          <w:szCs w:val="20"/>
          <w:shd w:val="clear" w:color="auto" w:fill="FFFFFF"/>
        </w:rPr>
        <w:t>Journal of Ethnicity in Substance Abuse,</w:t>
      </w:r>
      <w:r w:rsidR="001D588A" w:rsidRPr="001D588A">
        <w:rPr>
          <w:rFonts w:cs="Calibri"/>
          <w:color w:val="333333"/>
          <w:sz w:val="20"/>
          <w:szCs w:val="20"/>
          <w:shd w:val="clear" w:color="auto" w:fill="FFFFFF"/>
        </w:rPr>
        <w:t> </w:t>
      </w:r>
      <w:r w:rsidR="001D588A" w:rsidRPr="001D588A">
        <w:rPr>
          <w:rStyle w:val="volumeissue"/>
          <w:rFonts w:ascii="Cambria" w:hAnsi="Cambria" w:cs="Calibri"/>
          <w:color w:val="333333"/>
          <w:sz w:val="20"/>
          <w:szCs w:val="20"/>
          <w:shd w:val="clear" w:color="auto" w:fill="FFFFFF"/>
        </w:rPr>
        <w:t>11:1,</w:t>
      </w:r>
      <w:r w:rsidR="001D588A" w:rsidRPr="001D588A">
        <w:rPr>
          <w:rFonts w:cs="Calibri"/>
          <w:color w:val="333333"/>
          <w:sz w:val="20"/>
          <w:szCs w:val="20"/>
          <w:shd w:val="clear" w:color="auto" w:fill="FFFFFF"/>
        </w:rPr>
        <w:t> </w:t>
      </w:r>
      <w:r w:rsidR="001D588A" w:rsidRPr="001D588A">
        <w:rPr>
          <w:rStyle w:val="pagerange"/>
          <w:rFonts w:ascii="Cambria" w:hAnsi="Cambria" w:cs="Calibri"/>
          <w:color w:val="333333"/>
          <w:sz w:val="20"/>
          <w:szCs w:val="20"/>
          <w:shd w:val="clear" w:color="auto" w:fill="FFFFFF"/>
        </w:rPr>
        <w:t>121,</w:t>
      </w:r>
      <w:r w:rsidR="001D588A" w:rsidRPr="001D588A">
        <w:rPr>
          <w:rStyle w:val="doilink"/>
          <w:rFonts w:ascii="Cambria" w:hAnsi="Cambria" w:cs="Calibri"/>
          <w:color w:val="333333"/>
          <w:sz w:val="20"/>
          <w:szCs w:val="20"/>
          <w:shd w:val="clear" w:color="auto" w:fill="FFFFFF"/>
        </w:rPr>
        <w:t>DOI: </w:t>
      </w:r>
      <w:hyperlink r:id="rId4" w:history="1">
        <w:r w:rsidR="001D588A" w:rsidRPr="001D588A">
          <w:rPr>
            <w:rStyle w:val="Hyperlink"/>
            <w:rFonts w:cs="Calibri"/>
            <w:sz w:val="20"/>
            <w:szCs w:val="20"/>
            <w:shd w:val="clear" w:color="auto" w:fill="FFFFFF"/>
          </w:rPr>
          <w:t>10.1080/15332640.2012.652516</w:t>
        </w:r>
      </w:hyperlink>
    </w:p>
    <w:p w14:paraId="6D0008EA" w14:textId="756C53E3" w:rsidR="00784D8D" w:rsidRPr="001D588A" w:rsidRDefault="001D588A" w:rsidP="001D588A">
      <w:pPr>
        <w:spacing w:after="0" w:line="240" w:lineRule="auto"/>
        <w:ind w:left="720" w:firstLine="0"/>
        <w:rPr>
          <w:sz w:val="20"/>
          <w:szCs w:val="20"/>
        </w:rPr>
      </w:pPr>
      <w:hyperlink r:id="rId5" w:history="1">
        <w:r w:rsidRPr="001D588A">
          <w:rPr>
            <w:rStyle w:val="Hyperlink"/>
            <w:rFonts w:cs="Calibri"/>
            <w:sz w:val="20"/>
            <w:szCs w:val="20"/>
          </w:rPr>
          <w:t>https://www.ncbi.nlm.nih.gov/pmc/articles/PMC3699873/</w:t>
        </w:r>
      </w:hyperlink>
    </w:p>
  </w:footnote>
  <w:footnote w:id="9">
    <w:p w14:paraId="3F578A90" w14:textId="77777777" w:rsidR="00784D8D" w:rsidRPr="00784D8D" w:rsidRDefault="00784D8D" w:rsidP="00784D8D">
      <w:pPr>
        <w:spacing w:after="0" w:line="240" w:lineRule="auto"/>
        <w:ind w:left="720" w:firstLine="0"/>
        <w:rPr>
          <w:rFonts w:eastAsia="Times New Roman" w:cs="Times New Roman"/>
          <w:sz w:val="20"/>
          <w:szCs w:val="20"/>
          <w:shd w:val="clear" w:color="auto" w:fill="FFFFFF"/>
        </w:rPr>
      </w:pPr>
      <w:r w:rsidRPr="00784D8D">
        <w:rPr>
          <w:rStyle w:val="FootnoteReference"/>
          <w:sz w:val="20"/>
          <w:szCs w:val="20"/>
        </w:rPr>
        <w:footnoteRef/>
      </w:r>
      <w:r w:rsidRPr="00784D8D">
        <w:rPr>
          <w:sz w:val="20"/>
          <w:szCs w:val="20"/>
        </w:rPr>
        <w:t xml:space="preserve"> </w:t>
      </w:r>
      <w:r w:rsidRPr="00784D8D">
        <w:rPr>
          <w:sz w:val="20"/>
          <w:szCs w:val="20"/>
          <w:shd w:val="clear" w:color="auto" w:fill="FFFFFF"/>
        </w:rPr>
        <w:t>Schmidt L, Greenfield T, Mulia N. Unequal treatment: racial and ethnic disparities in alcoholism treatment services. </w:t>
      </w:r>
      <w:r w:rsidRPr="00784D8D">
        <w:rPr>
          <w:rStyle w:val="ref-journal"/>
          <w:rFonts w:ascii="Cambria" w:hAnsi="Cambria"/>
          <w:sz w:val="20"/>
          <w:szCs w:val="20"/>
          <w:shd w:val="clear" w:color="auto" w:fill="FFFFFF"/>
        </w:rPr>
        <w:t>Alcohol Res Health. </w:t>
      </w:r>
      <w:r w:rsidRPr="00784D8D">
        <w:rPr>
          <w:sz w:val="20"/>
          <w:szCs w:val="20"/>
          <w:shd w:val="clear" w:color="auto" w:fill="FFFFFF"/>
        </w:rPr>
        <w:t>2006;</w:t>
      </w:r>
      <w:r w:rsidRPr="00784D8D">
        <w:rPr>
          <w:rStyle w:val="ref-vol"/>
          <w:rFonts w:ascii="Cambria" w:hAnsi="Cambria"/>
          <w:sz w:val="20"/>
          <w:szCs w:val="20"/>
          <w:shd w:val="clear" w:color="auto" w:fill="FFFFFF"/>
        </w:rPr>
        <w:t>29</w:t>
      </w:r>
      <w:r w:rsidRPr="00784D8D">
        <w:rPr>
          <w:sz w:val="20"/>
          <w:szCs w:val="20"/>
          <w:shd w:val="clear" w:color="auto" w:fill="FFFFFF"/>
        </w:rPr>
        <w:t>(1):49–54.</w:t>
      </w:r>
    </w:p>
    <w:p w14:paraId="6C504A03" w14:textId="1C6B97B9" w:rsidR="00784D8D" w:rsidRDefault="00784D8D" w:rsidP="00784D8D">
      <w:pPr>
        <w:pStyle w:val="FootnoteText"/>
        <w:ind w:left="720" w:firstLine="0"/>
      </w:pPr>
      <w:hyperlink r:id="rId6" w:history="1">
        <w:r>
          <w:rPr>
            <w:rStyle w:val="Hyperlink"/>
          </w:rPr>
          <w:t>https://www.ncbi.nlm.nih.gov/pmc/articles/PMC6470902/?report=reader</w:t>
        </w:r>
      </w:hyperlink>
    </w:p>
  </w:footnote>
  <w:footnote w:id="10">
    <w:p w14:paraId="10773EEA" w14:textId="3A955F92" w:rsidR="00AA690E" w:rsidRDefault="00AA690E" w:rsidP="00784D8D">
      <w:pPr>
        <w:pStyle w:val="FootnoteText"/>
        <w:ind w:left="734" w:hanging="14"/>
      </w:pPr>
      <w:r>
        <w:rPr>
          <w:rStyle w:val="FootnoteReference"/>
        </w:rPr>
        <w:footnoteRef/>
      </w:r>
      <w:r>
        <w:t xml:space="preserve"> </w:t>
      </w:r>
      <w:r w:rsidRPr="00AA690E">
        <w:t>SAMHSA Center for Behavioral Health Statistics and Quality. (2020</w:t>
      </w:r>
      <w:r w:rsidRPr="00784D8D">
        <w:rPr>
          <w:color w:val="auto"/>
        </w:rPr>
        <w:t xml:space="preserve">). </w:t>
      </w:r>
      <w:r w:rsidRPr="00784D8D">
        <w:rPr>
          <w:rFonts w:cs="Tahoma"/>
          <w:color w:val="auto"/>
          <w:shd w:val="clear" w:color="auto" w:fill="FFFFFF"/>
        </w:rPr>
        <w:t>2018 National Survey on Drug Use and Health: Asians/Native Hawaiians and Other Pacific Islanders(NHOPI). Accessed from:</w:t>
      </w:r>
      <w:r w:rsidR="00784D8D" w:rsidRPr="00784D8D">
        <w:rPr>
          <w:rFonts w:cs="Tahoma"/>
          <w:color w:val="auto"/>
          <w:shd w:val="clear" w:color="auto" w:fill="FFFFFF"/>
        </w:rPr>
        <w:t xml:space="preserve"> </w:t>
      </w:r>
      <w:hyperlink r:id="rId7" w:history="1">
        <w:r w:rsidR="00784D8D" w:rsidRPr="002B4C9A">
          <w:rPr>
            <w:rStyle w:val="Hyperlink"/>
            <w:rFonts w:cs="Tahoma"/>
            <w:shd w:val="clear" w:color="auto" w:fill="FFFFFF"/>
          </w:rPr>
          <w:t>https://www.samhsa.gov/data/sites/default/files/reports/rpt23248/3_Asian_NHOPI_2020_01_14.pdf</w:t>
        </w:r>
      </w:hyperlink>
      <w:r w:rsidR="00784D8D">
        <w:rPr>
          <w:rFonts w:cs="Tahoma"/>
          <w:color w:val="4A4A4A"/>
          <w:shd w:val="clear" w:color="auto" w:fill="FFFFFF"/>
        </w:rPr>
        <w:t xml:space="preserve"> </w:t>
      </w:r>
    </w:p>
  </w:footnote>
  <w:footnote w:id="11">
    <w:p w14:paraId="56ECAE3D" w14:textId="026A4004" w:rsidR="00784D8D" w:rsidRDefault="00784D8D" w:rsidP="00784D8D">
      <w:pPr>
        <w:pStyle w:val="FootnoteText"/>
        <w:ind w:left="734" w:hanging="14"/>
      </w:pPr>
      <w:r>
        <w:rPr>
          <w:rStyle w:val="FootnoteReference"/>
        </w:rPr>
        <w:footnoteRef/>
      </w:r>
      <w:r>
        <w:t xml:space="preserve"> Ibid.</w:t>
      </w:r>
    </w:p>
  </w:footnote>
  <w:footnote w:id="12">
    <w:p w14:paraId="00B96CF5" w14:textId="5583FD47" w:rsidR="003E01BE" w:rsidRDefault="003E01BE" w:rsidP="00784D8D">
      <w:pPr>
        <w:pStyle w:val="ListParagraph"/>
        <w:autoSpaceDE w:val="0"/>
        <w:autoSpaceDN w:val="0"/>
        <w:adjustRightInd w:val="0"/>
        <w:spacing w:after="0" w:line="240" w:lineRule="auto"/>
        <w:ind w:firstLine="0"/>
        <w:contextualSpacing w:val="0"/>
      </w:pPr>
      <w:r w:rsidRPr="00977A00">
        <w:rPr>
          <w:rStyle w:val="FootnoteReference"/>
          <w:sz w:val="20"/>
          <w:szCs w:val="20"/>
        </w:rPr>
        <w:footnoteRef/>
      </w:r>
      <w:r w:rsidRPr="00977A00">
        <w:rPr>
          <w:rFonts w:cs="Calibri"/>
          <w:sz w:val="20"/>
          <w:szCs w:val="20"/>
        </w:rPr>
        <w:t xml:space="preserve">Wu L, Zhu H, Swartz, M. Treatment utilization among persons with opioid use disorder in the United States. </w:t>
      </w:r>
      <w:r w:rsidRPr="00977A00">
        <w:rPr>
          <w:rFonts w:cs="Calibri"/>
          <w:i/>
          <w:iCs/>
          <w:sz w:val="20"/>
          <w:szCs w:val="20"/>
        </w:rPr>
        <w:t xml:space="preserve">Drug and Alcohol Dependence. </w:t>
      </w:r>
      <w:r w:rsidRPr="00977A00">
        <w:rPr>
          <w:rFonts w:cs="Calibri"/>
          <w:sz w:val="20"/>
          <w:szCs w:val="20"/>
        </w:rPr>
        <w:t>2016:169: 117-127.</w:t>
      </w:r>
    </w:p>
  </w:footnote>
  <w:footnote w:id="13">
    <w:p w14:paraId="3ABC56E0" w14:textId="439879E3" w:rsidR="003E01BE" w:rsidRDefault="003E01BE" w:rsidP="00784D8D">
      <w:pPr>
        <w:pStyle w:val="ListParagraph"/>
        <w:autoSpaceDE w:val="0"/>
        <w:autoSpaceDN w:val="0"/>
        <w:adjustRightInd w:val="0"/>
        <w:spacing w:after="0" w:line="240" w:lineRule="auto"/>
        <w:ind w:firstLine="0"/>
        <w:contextualSpacing w:val="0"/>
      </w:pPr>
      <w:r w:rsidRPr="00977A00">
        <w:rPr>
          <w:rStyle w:val="FootnoteReference"/>
          <w:sz w:val="20"/>
          <w:szCs w:val="20"/>
        </w:rPr>
        <w:footnoteRef/>
      </w:r>
      <w:r w:rsidRPr="00977A00">
        <w:rPr>
          <w:rFonts w:cs="Calibri"/>
          <w:sz w:val="20"/>
          <w:szCs w:val="20"/>
        </w:rPr>
        <w:t>Lagisetty PA, Ross R, Bohnert A, Clay M, Maust DT. Buprenorphine Treatment Divide by Race/Ethnicity and Payment. </w:t>
      </w:r>
      <w:r w:rsidRPr="00977A00">
        <w:rPr>
          <w:rFonts w:cs="Calibri"/>
          <w:i/>
          <w:iCs/>
          <w:sz w:val="20"/>
          <w:szCs w:val="20"/>
        </w:rPr>
        <w:t>JAMA Psychiatry.</w:t>
      </w:r>
      <w:r w:rsidRPr="00977A00">
        <w:rPr>
          <w:rFonts w:cs="Calibri"/>
          <w:sz w:val="20"/>
          <w:szCs w:val="20"/>
        </w:rPr>
        <w:t> Published online May 08, 2019. doi:10.1001/jamapsychiatry.2019.0876</w:t>
      </w:r>
    </w:p>
  </w:footnote>
  <w:footnote w:id="14">
    <w:p w14:paraId="7F342A7D" w14:textId="377850E0" w:rsidR="00090610" w:rsidRDefault="00784D8D" w:rsidP="00784D8D">
      <w:pPr>
        <w:pStyle w:val="FootnoteText"/>
        <w:ind w:left="720" w:firstLine="0"/>
      </w:pPr>
      <w:r>
        <w:rPr>
          <w:rFonts w:cs="Calibri"/>
          <w:vertAlign w:val="superscript"/>
        </w:rPr>
        <w:t>14</w:t>
      </w:r>
      <w:r w:rsidRPr="00977A00">
        <w:rPr>
          <w:rFonts w:cs="Calibri"/>
        </w:rPr>
        <w:t xml:space="preserve">Child </w:t>
      </w:r>
      <w:r w:rsidR="0015121B" w:rsidRPr="00977A00">
        <w:rPr>
          <w:rFonts w:cs="Calibri"/>
        </w:rPr>
        <w:t xml:space="preserve">Trends. White youth are more likely to receive treatment for drug abuse than youth of color, although treatment is rare for both groups. </w:t>
      </w:r>
      <w:hyperlink r:id="rId8" w:history="1">
        <w:r w:rsidR="0015121B" w:rsidRPr="00977A00">
          <w:rPr>
            <w:rStyle w:val="Hyperlink"/>
            <w:rFonts w:cs="Calibri"/>
          </w:rPr>
          <w:t>https://www.childtrends.org/white-youth-are-more-likely-to-receive-treatment-for-drug-abuse-than-youth-of-color-although-treatment-is-rare-for-both-groups</w:t>
        </w:r>
      </w:hyperlink>
    </w:p>
  </w:footnote>
  <w:footnote w:id="15">
    <w:p w14:paraId="0B3D92DB" w14:textId="6F971BEF" w:rsidR="0015121B" w:rsidRPr="0015121B" w:rsidRDefault="00784D8D" w:rsidP="00977A00">
      <w:pPr>
        <w:pStyle w:val="FootnoteText"/>
        <w:ind w:left="720" w:firstLine="0"/>
      </w:pPr>
      <w:r>
        <w:rPr>
          <w:rFonts w:cs="Calibri"/>
          <w:vertAlign w:val="superscript"/>
        </w:rPr>
        <w:t>15</w:t>
      </w:r>
      <w:r w:rsidRPr="00977A00">
        <w:rPr>
          <w:rFonts w:cs="Calibri"/>
        </w:rPr>
        <w:t xml:space="preserve">Wu </w:t>
      </w:r>
      <w:r w:rsidR="0015121B" w:rsidRPr="00977A00">
        <w:rPr>
          <w:rFonts w:cs="Calibri"/>
        </w:rPr>
        <w:t xml:space="preserve">L, Zhu H, Swartz, M. Treatment utilization among persons with opioid use disorder in the United States. </w:t>
      </w:r>
      <w:r w:rsidR="0015121B" w:rsidRPr="00977A00">
        <w:rPr>
          <w:rFonts w:cs="Calibri"/>
          <w:i/>
          <w:iCs/>
        </w:rPr>
        <w:t xml:space="preserve">Drug and Alcohol Dependence. </w:t>
      </w:r>
      <w:r w:rsidR="0015121B" w:rsidRPr="00977A00">
        <w:rPr>
          <w:rFonts w:cs="Calibri"/>
        </w:rPr>
        <w:t>2016:169: 117-127.</w:t>
      </w:r>
    </w:p>
  </w:footnote>
  <w:footnote w:id="16">
    <w:p w14:paraId="2416C4EF" w14:textId="04E6CCAE" w:rsidR="00BC2AB7" w:rsidRPr="00BC2AB7" w:rsidRDefault="0075105C" w:rsidP="00BC2AB7">
      <w:pPr>
        <w:rPr>
          <w:rFonts w:ascii="Calibri" w:eastAsiaTheme="minorHAnsi" w:hAnsi="Calibri" w:cs="Calibri"/>
          <w:color w:val="auto"/>
          <w:sz w:val="20"/>
          <w:szCs w:val="20"/>
        </w:rPr>
      </w:pPr>
      <w:r w:rsidRPr="00BC2AB7">
        <w:rPr>
          <w:rStyle w:val="FootnoteReference"/>
          <w:sz w:val="20"/>
          <w:szCs w:val="20"/>
        </w:rPr>
        <w:footnoteRef/>
      </w:r>
      <w:r w:rsidRPr="00BC2AB7">
        <w:rPr>
          <w:sz w:val="20"/>
          <w:szCs w:val="20"/>
        </w:rPr>
        <w:t xml:space="preserve"> </w:t>
      </w:r>
      <w:r w:rsidR="00BC2AB7" w:rsidRPr="00BC2AB7">
        <w:rPr>
          <w:sz w:val="20"/>
          <w:szCs w:val="20"/>
        </w:rPr>
        <w:t xml:space="preserve">National Quality Forum. </w:t>
      </w:r>
      <w:r w:rsidR="00BC2AB7" w:rsidRPr="00BC2AB7">
        <w:rPr>
          <w:color w:val="7030A0"/>
          <w:sz w:val="20"/>
          <w:szCs w:val="20"/>
        </w:rPr>
        <w:t>Evidence-Based Treatment Practi</w:t>
      </w:r>
      <w:r w:rsidR="00BC2AB7">
        <w:rPr>
          <w:color w:val="7030A0"/>
          <w:sz w:val="20"/>
          <w:szCs w:val="20"/>
        </w:rPr>
        <w:t>ces for Substance Use Disorders</w:t>
      </w:r>
      <w:r w:rsidR="00BC2AB7" w:rsidRPr="00BC2AB7">
        <w:rPr>
          <w:color w:val="7030A0"/>
          <w:sz w:val="20"/>
          <w:szCs w:val="20"/>
        </w:rPr>
        <w:t xml:space="preserve">, Workshop Proceedings, 2005. </w:t>
      </w:r>
      <w:r w:rsidR="00BC2AB7">
        <w:rPr>
          <w:color w:val="7030A0"/>
          <w:sz w:val="20"/>
          <w:szCs w:val="20"/>
        </w:rPr>
        <w:t>Accessed from:</w:t>
      </w:r>
    </w:p>
    <w:p w14:paraId="7BE57A28" w14:textId="4C0C2623" w:rsidR="0075105C" w:rsidRDefault="00BC2AB7" w:rsidP="00BC2AB7">
      <w:pPr>
        <w:pStyle w:val="FootnoteText"/>
      </w:pPr>
      <w:hyperlink r:id="rId9" w:history="1">
        <w:r w:rsidRPr="00BC2AB7">
          <w:rPr>
            <w:rStyle w:val="Hyperlink"/>
          </w:rPr>
          <w:t>http://www.uvalltogether.org/wp-content/uploads/2016/01/Evidence_based_treatment_practices_for_substance_use_disorders.pdf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C44"/>
    <w:multiLevelType w:val="hybridMultilevel"/>
    <w:tmpl w:val="4DDA332A"/>
    <w:lvl w:ilvl="0" w:tplc="04090001">
      <w:start w:val="1"/>
      <w:numFmt w:val="bullet"/>
      <w:lvlText w:val=""/>
      <w:lvlJc w:val="left"/>
      <w:pPr>
        <w:ind w:left="1574" w:hanging="360"/>
      </w:pPr>
      <w:rPr>
        <w:rFonts w:ascii="Symbol" w:hAnsi="Symbol"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7AE324E"/>
    <w:multiLevelType w:val="multilevel"/>
    <w:tmpl w:val="4910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A2D10"/>
    <w:multiLevelType w:val="hybridMultilevel"/>
    <w:tmpl w:val="16EE0366"/>
    <w:lvl w:ilvl="0" w:tplc="BA420A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B440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C053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2E87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D4D4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664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C686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D05F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74EA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FE1859"/>
    <w:multiLevelType w:val="hybridMultilevel"/>
    <w:tmpl w:val="71C63E40"/>
    <w:lvl w:ilvl="0" w:tplc="94F85788">
      <w:start w:val="2"/>
      <w:numFmt w:val="decimal"/>
      <w:lvlText w:val="%1."/>
      <w:lvlJc w:val="left"/>
      <w:pPr>
        <w:ind w:left="88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4D8DE84">
      <w:start w:val="1"/>
      <w:numFmt w:val="bullet"/>
      <w:lvlText w:val="•"/>
      <w:lvlJc w:val="left"/>
      <w:pPr>
        <w:ind w:left="1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98D6A8">
      <w:start w:val="1"/>
      <w:numFmt w:val="bullet"/>
      <w:lvlText w:val="▪"/>
      <w:lvlJc w:val="left"/>
      <w:pPr>
        <w:ind w:left="2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30AEB0">
      <w:start w:val="1"/>
      <w:numFmt w:val="bullet"/>
      <w:lvlText w:val="•"/>
      <w:lvlJc w:val="left"/>
      <w:pPr>
        <w:ind w:left="2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28A12">
      <w:start w:val="1"/>
      <w:numFmt w:val="bullet"/>
      <w:lvlText w:val="o"/>
      <w:lvlJc w:val="left"/>
      <w:pPr>
        <w:ind w:left="3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AE96">
      <w:start w:val="1"/>
      <w:numFmt w:val="bullet"/>
      <w:lvlText w:val="▪"/>
      <w:lvlJc w:val="left"/>
      <w:pPr>
        <w:ind w:left="4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72A2EE">
      <w:start w:val="1"/>
      <w:numFmt w:val="bullet"/>
      <w:lvlText w:val="•"/>
      <w:lvlJc w:val="left"/>
      <w:pPr>
        <w:ind w:left="4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14B62A">
      <w:start w:val="1"/>
      <w:numFmt w:val="bullet"/>
      <w:lvlText w:val="o"/>
      <w:lvlJc w:val="left"/>
      <w:pPr>
        <w:ind w:left="5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045DBE">
      <w:start w:val="1"/>
      <w:numFmt w:val="bullet"/>
      <w:lvlText w:val="▪"/>
      <w:lvlJc w:val="left"/>
      <w:pPr>
        <w:ind w:left="6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5812C0"/>
    <w:multiLevelType w:val="hybridMultilevel"/>
    <w:tmpl w:val="316A33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6986D50"/>
    <w:multiLevelType w:val="multilevel"/>
    <w:tmpl w:val="CDD02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0A1F4F"/>
    <w:multiLevelType w:val="hybridMultilevel"/>
    <w:tmpl w:val="96B0632E"/>
    <w:lvl w:ilvl="0" w:tplc="3276559C">
      <w:start w:val="13"/>
      <w:numFmt w:val="decimal"/>
      <w:lvlText w:val="%1."/>
      <w:lvlJc w:val="left"/>
      <w:pPr>
        <w:ind w:left="83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A4FAA272">
      <w:start w:val="1"/>
      <w:numFmt w:val="bullet"/>
      <w:lvlText w:val="•"/>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D67714">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6C6290">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C7DEC">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FC9696">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82FDA0">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067B6">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9CC716">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6"/>
  </w:num>
  <w:num w:numId="3">
    <w:abstractNumId w:val="2"/>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79"/>
    <w:rsid w:val="0000496E"/>
    <w:rsid w:val="000126C6"/>
    <w:rsid w:val="00020036"/>
    <w:rsid w:val="00022803"/>
    <w:rsid w:val="00023B5B"/>
    <w:rsid w:val="0004166B"/>
    <w:rsid w:val="00052AA4"/>
    <w:rsid w:val="0006512C"/>
    <w:rsid w:val="00074ED6"/>
    <w:rsid w:val="0007743A"/>
    <w:rsid w:val="00077D6D"/>
    <w:rsid w:val="00082DFC"/>
    <w:rsid w:val="00090610"/>
    <w:rsid w:val="000947F4"/>
    <w:rsid w:val="000C3F57"/>
    <w:rsid w:val="000E6CD7"/>
    <w:rsid w:val="00110166"/>
    <w:rsid w:val="00120112"/>
    <w:rsid w:val="0015121B"/>
    <w:rsid w:val="00165C97"/>
    <w:rsid w:val="0017463E"/>
    <w:rsid w:val="00190108"/>
    <w:rsid w:val="00190688"/>
    <w:rsid w:val="001926A2"/>
    <w:rsid w:val="001A08F9"/>
    <w:rsid w:val="001A0C1C"/>
    <w:rsid w:val="001C3DBE"/>
    <w:rsid w:val="001D2AAF"/>
    <w:rsid w:val="001D588A"/>
    <w:rsid w:val="001E62DB"/>
    <w:rsid w:val="001F5357"/>
    <w:rsid w:val="002130EE"/>
    <w:rsid w:val="00242DEF"/>
    <w:rsid w:val="002D0CB3"/>
    <w:rsid w:val="002E77E2"/>
    <w:rsid w:val="002F4F6E"/>
    <w:rsid w:val="00324FE1"/>
    <w:rsid w:val="00350DA9"/>
    <w:rsid w:val="0038619D"/>
    <w:rsid w:val="00395DFA"/>
    <w:rsid w:val="00396F8C"/>
    <w:rsid w:val="003A4E0C"/>
    <w:rsid w:val="003A5DB4"/>
    <w:rsid w:val="003B4BA9"/>
    <w:rsid w:val="003C2ACF"/>
    <w:rsid w:val="003D31DB"/>
    <w:rsid w:val="003D4C3B"/>
    <w:rsid w:val="003E01BE"/>
    <w:rsid w:val="0040392D"/>
    <w:rsid w:val="0041629B"/>
    <w:rsid w:val="004672E6"/>
    <w:rsid w:val="004A2E6B"/>
    <w:rsid w:val="004A4634"/>
    <w:rsid w:val="004C12B9"/>
    <w:rsid w:val="004C6E45"/>
    <w:rsid w:val="004D0FE2"/>
    <w:rsid w:val="004E2B1B"/>
    <w:rsid w:val="004E3B4A"/>
    <w:rsid w:val="004F34E7"/>
    <w:rsid w:val="004F5F49"/>
    <w:rsid w:val="005145C4"/>
    <w:rsid w:val="00526BB4"/>
    <w:rsid w:val="0053310A"/>
    <w:rsid w:val="00540419"/>
    <w:rsid w:val="00540882"/>
    <w:rsid w:val="005525D8"/>
    <w:rsid w:val="005A7DED"/>
    <w:rsid w:val="005C1875"/>
    <w:rsid w:val="005F691B"/>
    <w:rsid w:val="00600FB5"/>
    <w:rsid w:val="00642346"/>
    <w:rsid w:val="00655051"/>
    <w:rsid w:val="00656CA2"/>
    <w:rsid w:val="006603C9"/>
    <w:rsid w:val="00672582"/>
    <w:rsid w:val="0068640D"/>
    <w:rsid w:val="00695DBC"/>
    <w:rsid w:val="006C2A09"/>
    <w:rsid w:val="006D35D8"/>
    <w:rsid w:val="006D7035"/>
    <w:rsid w:val="006F3060"/>
    <w:rsid w:val="006F3E8F"/>
    <w:rsid w:val="006F65FB"/>
    <w:rsid w:val="006F6942"/>
    <w:rsid w:val="0070424D"/>
    <w:rsid w:val="00710C76"/>
    <w:rsid w:val="0071745D"/>
    <w:rsid w:val="00725BB4"/>
    <w:rsid w:val="00736FCC"/>
    <w:rsid w:val="00740B93"/>
    <w:rsid w:val="007417F9"/>
    <w:rsid w:val="0075105C"/>
    <w:rsid w:val="00756E7D"/>
    <w:rsid w:val="007663B6"/>
    <w:rsid w:val="00766536"/>
    <w:rsid w:val="00773911"/>
    <w:rsid w:val="0077633D"/>
    <w:rsid w:val="00784D8D"/>
    <w:rsid w:val="00791497"/>
    <w:rsid w:val="007952DF"/>
    <w:rsid w:val="007B3391"/>
    <w:rsid w:val="007C057C"/>
    <w:rsid w:val="007C1E18"/>
    <w:rsid w:val="007C30DE"/>
    <w:rsid w:val="007C6079"/>
    <w:rsid w:val="007F5187"/>
    <w:rsid w:val="00802A54"/>
    <w:rsid w:val="00813BE6"/>
    <w:rsid w:val="00847402"/>
    <w:rsid w:val="0085395A"/>
    <w:rsid w:val="00856B94"/>
    <w:rsid w:val="0087293A"/>
    <w:rsid w:val="00874FA0"/>
    <w:rsid w:val="00880C5E"/>
    <w:rsid w:val="008944BE"/>
    <w:rsid w:val="008B7B52"/>
    <w:rsid w:val="008E7DD6"/>
    <w:rsid w:val="008F28AC"/>
    <w:rsid w:val="00905E46"/>
    <w:rsid w:val="009222E9"/>
    <w:rsid w:val="00977A00"/>
    <w:rsid w:val="00990546"/>
    <w:rsid w:val="009B4AD0"/>
    <w:rsid w:val="009B7BCC"/>
    <w:rsid w:val="009C1413"/>
    <w:rsid w:val="009D4A0F"/>
    <w:rsid w:val="009F146B"/>
    <w:rsid w:val="00A07164"/>
    <w:rsid w:val="00A34B8F"/>
    <w:rsid w:val="00A350EF"/>
    <w:rsid w:val="00A438BB"/>
    <w:rsid w:val="00A476DC"/>
    <w:rsid w:val="00A55E7D"/>
    <w:rsid w:val="00A67285"/>
    <w:rsid w:val="00AA690E"/>
    <w:rsid w:val="00AA6C6B"/>
    <w:rsid w:val="00AB050B"/>
    <w:rsid w:val="00AB226C"/>
    <w:rsid w:val="00AD13EF"/>
    <w:rsid w:val="00B05194"/>
    <w:rsid w:val="00B05C07"/>
    <w:rsid w:val="00B07606"/>
    <w:rsid w:val="00B206F0"/>
    <w:rsid w:val="00B379C4"/>
    <w:rsid w:val="00B40029"/>
    <w:rsid w:val="00B46FAC"/>
    <w:rsid w:val="00B61B80"/>
    <w:rsid w:val="00B71202"/>
    <w:rsid w:val="00B8704B"/>
    <w:rsid w:val="00B87D68"/>
    <w:rsid w:val="00B9225D"/>
    <w:rsid w:val="00BA1CBA"/>
    <w:rsid w:val="00BB2FDD"/>
    <w:rsid w:val="00BC2AB7"/>
    <w:rsid w:val="00C13462"/>
    <w:rsid w:val="00C2377A"/>
    <w:rsid w:val="00C24F33"/>
    <w:rsid w:val="00C26CED"/>
    <w:rsid w:val="00C33E26"/>
    <w:rsid w:val="00C341FE"/>
    <w:rsid w:val="00C8769B"/>
    <w:rsid w:val="00CB2E1C"/>
    <w:rsid w:val="00CC358A"/>
    <w:rsid w:val="00CF5364"/>
    <w:rsid w:val="00D02FCA"/>
    <w:rsid w:val="00D23FFA"/>
    <w:rsid w:val="00D32D19"/>
    <w:rsid w:val="00D36A7E"/>
    <w:rsid w:val="00D43440"/>
    <w:rsid w:val="00D53E9B"/>
    <w:rsid w:val="00D575FF"/>
    <w:rsid w:val="00D65F41"/>
    <w:rsid w:val="00D72B68"/>
    <w:rsid w:val="00D757BA"/>
    <w:rsid w:val="00D84FF6"/>
    <w:rsid w:val="00D912AD"/>
    <w:rsid w:val="00DB5FB5"/>
    <w:rsid w:val="00DC2CDE"/>
    <w:rsid w:val="00DC5BA2"/>
    <w:rsid w:val="00DC7007"/>
    <w:rsid w:val="00DD57D7"/>
    <w:rsid w:val="00DE38E1"/>
    <w:rsid w:val="00DF3A25"/>
    <w:rsid w:val="00DF4DB2"/>
    <w:rsid w:val="00DF72B9"/>
    <w:rsid w:val="00E168F9"/>
    <w:rsid w:val="00E22D2C"/>
    <w:rsid w:val="00E26B2B"/>
    <w:rsid w:val="00E40986"/>
    <w:rsid w:val="00E6471A"/>
    <w:rsid w:val="00E97D7F"/>
    <w:rsid w:val="00EA30ED"/>
    <w:rsid w:val="00EA5F51"/>
    <w:rsid w:val="00EC0090"/>
    <w:rsid w:val="00EF02B1"/>
    <w:rsid w:val="00F011CA"/>
    <w:rsid w:val="00F03E60"/>
    <w:rsid w:val="00F10A56"/>
    <w:rsid w:val="00F42382"/>
    <w:rsid w:val="00F453C0"/>
    <w:rsid w:val="00F5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AB0A"/>
  <w15:docId w15:val="{99533254-F656-4520-A44C-23486B02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4" w:lineRule="auto"/>
      <w:ind w:left="61" w:hanging="10"/>
    </w:pPr>
    <w:rPr>
      <w:rFonts w:ascii="Cambria" w:eastAsia="Cambria" w:hAnsi="Cambria" w:cs="Cambria"/>
      <w:color w:val="000000"/>
    </w:rPr>
  </w:style>
  <w:style w:type="paragraph" w:styleId="Heading1">
    <w:name w:val="heading 1"/>
    <w:next w:val="Normal"/>
    <w:link w:val="Heading1Char"/>
    <w:uiPriority w:val="9"/>
    <w:unhideWhenUsed/>
    <w:qFormat/>
    <w:pPr>
      <w:keepNext/>
      <w:keepLines/>
      <w:spacing w:after="0"/>
      <w:ind w:left="2285"/>
      <w:outlineLvl w:val="0"/>
    </w:pPr>
    <w:rPr>
      <w:rFonts w:ascii="Cambria" w:eastAsia="Cambria" w:hAnsi="Cambria" w:cs="Cambria"/>
      <w:b/>
      <w:color w:val="000000"/>
      <w:sz w:val="32"/>
    </w:rPr>
  </w:style>
  <w:style w:type="paragraph" w:styleId="Heading2">
    <w:name w:val="heading 2"/>
    <w:next w:val="Normal"/>
    <w:link w:val="Heading2Char"/>
    <w:uiPriority w:val="9"/>
    <w:unhideWhenUsed/>
    <w:qFormat/>
    <w:pPr>
      <w:keepNext/>
      <w:keepLines/>
      <w:spacing w:after="0"/>
      <w:ind w:left="53" w:hanging="10"/>
      <w:outlineLvl w:val="1"/>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8"/>
    </w:rPr>
  </w:style>
  <w:style w:type="character" w:customStyle="1" w:styleId="Heading1Char">
    <w:name w:val="Heading 1 Char"/>
    <w:link w:val="Heading1"/>
    <w:rPr>
      <w:rFonts w:ascii="Cambria" w:eastAsia="Cambria" w:hAnsi="Cambria" w:cs="Cambria"/>
      <w:b/>
      <w:color w:val="000000"/>
      <w:sz w:val="32"/>
    </w:rPr>
  </w:style>
  <w:style w:type="paragraph" w:customStyle="1" w:styleId="footnotedescription">
    <w:name w:val="footnote description"/>
    <w:next w:val="Normal"/>
    <w:link w:val="footnotedescriptionChar"/>
    <w:hidden/>
    <w:pPr>
      <w:spacing w:after="0"/>
      <w:ind w:left="4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D31DB"/>
    <w:pPr>
      <w:ind w:left="720"/>
      <w:contextualSpacing/>
    </w:pPr>
  </w:style>
  <w:style w:type="paragraph" w:styleId="BalloonText">
    <w:name w:val="Balloon Text"/>
    <w:basedOn w:val="Normal"/>
    <w:link w:val="BalloonTextChar"/>
    <w:uiPriority w:val="99"/>
    <w:semiHidden/>
    <w:unhideWhenUsed/>
    <w:rsid w:val="00540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419"/>
    <w:rPr>
      <w:rFonts w:ascii="Segoe UI" w:eastAsia="Cambria" w:hAnsi="Segoe UI" w:cs="Segoe UI"/>
      <w:color w:val="000000"/>
      <w:sz w:val="18"/>
      <w:szCs w:val="18"/>
    </w:rPr>
  </w:style>
  <w:style w:type="character" w:styleId="CommentReference">
    <w:name w:val="annotation reference"/>
    <w:basedOn w:val="DefaultParagraphFont"/>
    <w:uiPriority w:val="99"/>
    <w:semiHidden/>
    <w:unhideWhenUsed/>
    <w:rsid w:val="003A4E0C"/>
    <w:rPr>
      <w:sz w:val="16"/>
      <w:szCs w:val="16"/>
    </w:rPr>
  </w:style>
  <w:style w:type="paragraph" w:styleId="CommentText">
    <w:name w:val="annotation text"/>
    <w:basedOn w:val="Normal"/>
    <w:link w:val="CommentTextChar"/>
    <w:uiPriority w:val="99"/>
    <w:semiHidden/>
    <w:unhideWhenUsed/>
    <w:rsid w:val="003A4E0C"/>
    <w:pPr>
      <w:spacing w:line="240" w:lineRule="auto"/>
    </w:pPr>
    <w:rPr>
      <w:sz w:val="20"/>
      <w:szCs w:val="20"/>
    </w:rPr>
  </w:style>
  <w:style w:type="character" w:customStyle="1" w:styleId="CommentTextChar">
    <w:name w:val="Comment Text Char"/>
    <w:basedOn w:val="DefaultParagraphFont"/>
    <w:link w:val="CommentText"/>
    <w:uiPriority w:val="99"/>
    <w:semiHidden/>
    <w:rsid w:val="003A4E0C"/>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3A4E0C"/>
    <w:rPr>
      <w:b/>
      <w:bCs/>
    </w:rPr>
  </w:style>
  <w:style w:type="character" w:customStyle="1" w:styleId="CommentSubjectChar">
    <w:name w:val="Comment Subject Char"/>
    <w:basedOn w:val="CommentTextChar"/>
    <w:link w:val="CommentSubject"/>
    <w:uiPriority w:val="99"/>
    <w:semiHidden/>
    <w:rsid w:val="003A4E0C"/>
    <w:rPr>
      <w:rFonts w:ascii="Cambria" w:eastAsia="Cambria" w:hAnsi="Cambria" w:cs="Cambria"/>
      <w:b/>
      <w:bCs/>
      <w:color w:val="000000"/>
      <w:sz w:val="20"/>
      <w:szCs w:val="20"/>
    </w:rPr>
  </w:style>
  <w:style w:type="character" w:styleId="Hyperlink">
    <w:name w:val="Hyperlink"/>
    <w:basedOn w:val="DefaultParagraphFont"/>
    <w:uiPriority w:val="99"/>
    <w:unhideWhenUsed/>
    <w:rsid w:val="005145C4"/>
    <w:rPr>
      <w:color w:val="0563C1" w:themeColor="hyperlink"/>
      <w:u w:val="single"/>
    </w:rPr>
  </w:style>
  <w:style w:type="paragraph" w:styleId="FootnoteText">
    <w:name w:val="footnote text"/>
    <w:basedOn w:val="Normal"/>
    <w:link w:val="FootnoteTextChar"/>
    <w:uiPriority w:val="99"/>
    <w:unhideWhenUsed/>
    <w:rsid w:val="003E01BE"/>
    <w:pPr>
      <w:spacing w:after="0" w:line="240" w:lineRule="auto"/>
    </w:pPr>
    <w:rPr>
      <w:sz w:val="20"/>
      <w:szCs w:val="20"/>
    </w:rPr>
  </w:style>
  <w:style w:type="character" w:customStyle="1" w:styleId="FootnoteTextChar">
    <w:name w:val="Footnote Text Char"/>
    <w:basedOn w:val="DefaultParagraphFont"/>
    <w:link w:val="FootnoteText"/>
    <w:uiPriority w:val="99"/>
    <w:rsid w:val="003E01BE"/>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3E01BE"/>
    <w:rPr>
      <w:vertAlign w:val="superscript"/>
    </w:rPr>
  </w:style>
  <w:style w:type="character" w:styleId="Emphasis">
    <w:name w:val="Emphasis"/>
    <w:basedOn w:val="DefaultParagraphFont"/>
    <w:uiPriority w:val="20"/>
    <w:qFormat/>
    <w:rsid w:val="00977A00"/>
    <w:rPr>
      <w:rFonts w:ascii="Times New Roman" w:hAnsi="Times New Roman" w:cs="Times New Roman" w:hint="default"/>
      <w:i/>
      <w:iCs/>
    </w:rPr>
  </w:style>
  <w:style w:type="character" w:customStyle="1" w:styleId="authors">
    <w:name w:val="authors"/>
    <w:basedOn w:val="DefaultParagraphFont"/>
    <w:rsid w:val="00977A00"/>
    <w:rPr>
      <w:rFonts w:ascii="Times New Roman" w:hAnsi="Times New Roman" w:cs="Times New Roman" w:hint="default"/>
    </w:rPr>
  </w:style>
  <w:style w:type="character" w:customStyle="1" w:styleId="arttitle">
    <w:name w:val="art_title"/>
    <w:basedOn w:val="DefaultParagraphFont"/>
    <w:rsid w:val="00977A00"/>
    <w:rPr>
      <w:rFonts w:ascii="Times New Roman" w:hAnsi="Times New Roman" w:cs="Times New Roman" w:hint="default"/>
    </w:rPr>
  </w:style>
  <w:style w:type="character" w:customStyle="1" w:styleId="serialtitle">
    <w:name w:val="serial_title"/>
    <w:basedOn w:val="DefaultParagraphFont"/>
    <w:rsid w:val="00977A00"/>
    <w:rPr>
      <w:rFonts w:ascii="Times New Roman" w:hAnsi="Times New Roman" w:cs="Times New Roman" w:hint="default"/>
    </w:rPr>
  </w:style>
  <w:style w:type="character" w:customStyle="1" w:styleId="volumeissue">
    <w:name w:val="volume_issue"/>
    <w:basedOn w:val="DefaultParagraphFont"/>
    <w:rsid w:val="00977A00"/>
    <w:rPr>
      <w:rFonts w:ascii="Times New Roman" w:hAnsi="Times New Roman" w:cs="Times New Roman" w:hint="default"/>
    </w:rPr>
  </w:style>
  <w:style w:type="character" w:customStyle="1" w:styleId="pagerange">
    <w:name w:val="page_range"/>
    <w:basedOn w:val="DefaultParagraphFont"/>
    <w:rsid w:val="00977A00"/>
    <w:rPr>
      <w:rFonts w:ascii="Times New Roman" w:hAnsi="Times New Roman" w:cs="Times New Roman" w:hint="default"/>
    </w:rPr>
  </w:style>
  <w:style w:type="character" w:customStyle="1" w:styleId="doilink">
    <w:name w:val="doi_link"/>
    <w:basedOn w:val="DefaultParagraphFont"/>
    <w:rsid w:val="00977A00"/>
    <w:rPr>
      <w:rFonts w:ascii="Times New Roman" w:hAnsi="Times New Roman" w:cs="Times New Roman" w:hint="default"/>
    </w:rPr>
  </w:style>
  <w:style w:type="character" w:customStyle="1" w:styleId="ref-journal">
    <w:name w:val="ref-journal"/>
    <w:basedOn w:val="DefaultParagraphFont"/>
    <w:rsid w:val="00977A00"/>
    <w:rPr>
      <w:rFonts w:ascii="Times New Roman" w:hAnsi="Times New Roman" w:cs="Times New Roman" w:hint="default"/>
    </w:rPr>
  </w:style>
  <w:style w:type="character" w:customStyle="1" w:styleId="ref-vol">
    <w:name w:val="ref-vol"/>
    <w:basedOn w:val="DefaultParagraphFont"/>
    <w:rsid w:val="00977A00"/>
    <w:rPr>
      <w:rFonts w:ascii="Times New Roman" w:hAnsi="Times New Roman" w:cs="Times New Roman" w:hint="default"/>
    </w:rPr>
  </w:style>
  <w:style w:type="character" w:styleId="FollowedHyperlink">
    <w:name w:val="FollowedHyperlink"/>
    <w:basedOn w:val="DefaultParagraphFont"/>
    <w:uiPriority w:val="99"/>
    <w:semiHidden/>
    <w:unhideWhenUsed/>
    <w:rsid w:val="0007743A"/>
    <w:rPr>
      <w:color w:val="954F72" w:themeColor="followedHyperlink"/>
      <w:u w:val="single"/>
    </w:rPr>
  </w:style>
  <w:style w:type="paragraph" w:styleId="EndnoteText">
    <w:name w:val="endnote text"/>
    <w:basedOn w:val="Normal"/>
    <w:link w:val="EndnoteTextChar"/>
    <w:uiPriority w:val="99"/>
    <w:semiHidden/>
    <w:unhideWhenUsed/>
    <w:rsid w:val="009222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22E9"/>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922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3322">
      <w:bodyDiv w:val="1"/>
      <w:marLeft w:val="0"/>
      <w:marRight w:val="0"/>
      <w:marTop w:val="0"/>
      <w:marBottom w:val="0"/>
      <w:divBdr>
        <w:top w:val="none" w:sz="0" w:space="0" w:color="auto"/>
        <w:left w:val="none" w:sz="0" w:space="0" w:color="auto"/>
        <w:bottom w:val="none" w:sz="0" w:space="0" w:color="auto"/>
        <w:right w:val="none" w:sz="0" w:space="0" w:color="auto"/>
      </w:divBdr>
    </w:div>
    <w:div w:id="285351761">
      <w:bodyDiv w:val="1"/>
      <w:marLeft w:val="0"/>
      <w:marRight w:val="0"/>
      <w:marTop w:val="0"/>
      <w:marBottom w:val="0"/>
      <w:divBdr>
        <w:top w:val="none" w:sz="0" w:space="0" w:color="auto"/>
        <w:left w:val="none" w:sz="0" w:space="0" w:color="auto"/>
        <w:bottom w:val="none" w:sz="0" w:space="0" w:color="auto"/>
        <w:right w:val="none" w:sz="0" w:space="0" w:color="auto"/>
      </w:divBdr>
    </w:div>
    <w:div w:id="300305217">
      <w:bodyDiv w:val="1"/>
      <w:marLeft w:val="0"/>
      <w:marRight w:val="0"/>
      <w:marTop w:val="0"/>
      <w:marBottom w:val="0"/>
      <w:divBdr>
        <w:top w:val="none" w:sz="0" w:space="0" w:color="auto"/>
        <w:left w:val="none" w:sz="0" w:space="0" w:color="auto"/>
        <w:bottom w:val="none" w:sz="0" w:space="0" w:color="auto"/>
        <w:right w:val="none" w:sz="0" w:space="0" w:color="auto"/>
      </w:divBdr>
    </w:div>
    <w:div w:id="642661815">
      <w:bodyDiv w:val="1"/>
      <w:marLeft w:val="0"/>
      <w:marRight w:val="0"/>
      <w:marTop w:val="0"/>
      <w:marBottom w:val="0"/>
      <w:divBdr>
        <w:top w:val="none" w:sz="0" w:space="0" w:color="auto"/>
        <w:left w:val="none" w:sz="0" w:space="0" w:color="auto"/>
        <w:bottom w:val="none" w:sz="0" w:space="0" w:color="auto"/>
        <w:right w:val="none" w:sz="0" w:space="0" w:color="auto"/>
      </w:divBdr>
    </w:div>
    <w:div w:id="832257591">
      <w:bodyDiv w:val="1"/>
      <w:marLeft w:val="0"/>
      <w:marRight w:val="0"/>
      <w:marTop w:val="0"/>
      <w:marBottom w:val="0"/>
      <w:divBdr>
        <w:top w:val="none" w:sz="0" w:space="0" w:color="auto"/>
        <w:left w:val="none" w:sz="0" w:space="0" w:color="auto"/>
        <w:bottom w:val="none" w:sz="0" w:space="0" w:color="auto"/>
        <w:right w:val="none" w:sz="0" w:space="0" w:color="auto"/>
      </w:divBdr>
    </w:div>
    <w:div w:id="1093041747">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
    <w:div w:id="1271012786">
      <w:bodyDiv w:val="1"/>
      <w:marLeft w:val="0"/>
      <w:marRight w:val="0"/>
      <w:marTop w:val="0"/>
      <w:marBottom w:val="0"/>
      <w:divBdr>
        <w:top w:val="none" w:sz="0" w:space="0" w:color="auto"/>
        <w:left w:val="none" w:sz="0" w:space="0" w:color="auto"/>
        <w:bottom w:val="none" w:sz="0" w:space="0" w:color="auto"/>
        <w:right w:val="none" w:sz="0" w:space="0" w:color="auto"/>
      </w:divBdr>
    </w:div>
    <w:div w:id="1340235173">
      <w:bodyDiv w:val="1"/>
      <w:marLeft w:val="0"/>
      <w:marRight w:val="0"/>
      <w:marTop w:val="0"/>
      <w:marBottom w:val="0"/>
      <w:divBdr>
        <w:top w:val="none" w:sz="0" w:space="0" w:color="auto"/>
        <w:left w:val="none" w:sz="0" w:space="0" w:color="auto"/>
        <w:bottom w:val="none" w:sz="0" w:space="0" w:color="auto"/>
        <w:right w:val="none" w:sz="0" w:space="0" w:color="auto"/>
      </w:divBdr>
    </w:div>
    <w:div w:id="1657759416">
      <w:bodyDiv w:val="1"/>
      <w:marLeft w:val="0"/>
      <w:marRight w:val="0"/>
      <w:marTop w:val="0"/>
      <w:marBottom w:val="0"/>
      <w:divBdr>
        <w:top w:val="none" w:sz="0" w:space="0" w:color="auto"/>
        <w:left w:val="none" w:sz="0" w:space="0" w:color="auto"/>
        <w:bottom w:val="none" w:sz="0" w:space="0" w:color="auto"/>
        <w:right w:val="none" w:sz="0" w:space="0" w:color="auto"/>
      </w:divBdr>
    </w:div>
    <w:div w:id="1787119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ls.gov/oes/current/oes_nat.htm" TargetMode="External"/><Relationship Id="rId18" Type="http://schemas.openxmlformats.org/officeDocument/2006/relationships/hyperlink" Target="https://wonder.cdc.gov/" TargetMode="External"/><Relationship Id="rId3" Type="http://schemas.openxmlformats.org/officeDocument/2006/relationships/styles" Target="styles.xml"/><Relationship Id="rId21" Type="http://schemas.openxmlformats.org/officeDocument/2006/relationships/hyperlink" Target="https://www.samhsa.gov/data/sites/default/files/reports/rpt23248/3_Asian_NHOPI_2020_01_14.pdf" TargetMode="Externa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17" Type="http://schemas.openxmlformats.org/officeDocument/2006/relationships/hyperlink" Target="https://www.cdc.gov/drugoverdose/images/data/OpioidDeathsByTypeUS.P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mc/articles/PMC3699873/" TargetMode="External"/><Relationship Id="rId20" Type="http://schemas.openxmlformats.org/officeDocument/2006/relationships/hyperlink" Target="https://www.samhsa.gov/data/sites/default/files/reports/rpt23246/1_AIAN_2020_01_1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child-welfare-and-substance-us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5332640.2012.652516" TargetMode="External"/><Relationship Id="rId23" Type="http://schemas.openxmlformats.org/officeDocument/2006/relationships/hyperlink" Target="https://aspe.hhs.gov/system/files/pdf/260791/BestSUD.pdf" TargetMode="External"/><Relationship Id="rId10" Type="http://schemas.openxmlformats.org/officeDocument/2006/relationships/footer" Target="footer3.xml"/><Relationship Id="rId19" Type="http://schemas.openxmlformats.org/officeDocument/2006/relationships/hyperlink" Target="https://www.childtrends.org/white-youth-are-more-likely-to-receive-treatment-for-drug-abuse-than-youth-of-color-although-treatment-is-rare-for-both-group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bls.gov/oes/current/oes_nat.htm" TargetMode="External"/><Relationship Id="rId22" Type="http://schemas.openxmlformats.org/officeDocument/2006/relationships/hyperlink" Target="https://www.ncbi.nlm.nih.gov/pmc/articles/PMC6470902/?report=read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hildtrends.org/white-youth-are-more-likely-to-receive-treatment-for-drug-abuse-than-youth-of-color-although-treatment-is-rare-for-both-groups" TargetMode="External"/><Relationship Id="rId3" Type="http://schemas.openxmlformats.org/officeDocument/2006/relationships/hyperlink" Target="https://www.samhsa.gov/data/sites/default/files/reports/rpt23246/1_AIAN_2020_01_14.pdf" TargetMode="External"/><Relationship Id="rId7" Type="http://schemas.openxmlformats.org/officeDocument/2006/relationships/hyperlink" Target="https://www.samhsa.gov/data/sites/default/files/reports/rpt23248/3_Asian_NHOPI_2020_01_14.pdf" TargetMode="External"/><Relationship Id="rId2" Type="http://schemas.openxmlformats.org/officeDocument/2006/relationships/hyperlink" Target="https://wonder.cdc.gov/" TargetMode="External"/><Relationship Id="rId1" Type="http://schemas.openxmlformats.org/officeDocument/2006/relationships/hyperlink" Target="https://www.cdc.gov/drugoverdose/images/data/OpioidDeathsByTypeUS.PNG" TargetMode="External"/><Relationship Id="rId6" Type="http://schemas.openxmlformats.org/officeDocument/2006/relationships/hyperlink" Target="https://www.ncbi.nlm.nih.gov/pmc/articles/PMC6470902/?report=reader" TargetMode="External"/><Relationship Id="rId5" Type="http://schemas.openxmlformats.org/officeDocument/2006/relationships/hyperlink" Target="https://www.ncbi.nlm.nih.gov/pmc/articles/PMC3699873/" TargetMode="External"/><Relationship Id="rId4" Type="http://schemas.openxmlformats.org/officeDocument/2006/relationships/hyperlink" Target="https://doi.org/10.1080/15332640.2012.652516" TargetMode="External"/><Relationship Id="rId9" Type="http://schemas.openxmlformats.org/officeDocument/2006/relationships/hyperlink" Target="http://www.uvalltogether.org/wp-content/uploads/2016/01/Evidence_based_treatment_practices_for_substance_use_disor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0D1A6-1F4B-48CE-88B2-F79F0A0D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Eva</dc:creator>
  <cp:keywords/>
  <cp:lastModifiedBy>OMB</cp:lastModifiedBy>
  <cp:revision>2</cp:revision>
  <cp:lastPrinted>2020-02-25T22:30:00Z</cp:lastPrinted>
  <dcterms:created xsi:type="dcterms:W3CDTF">2020-03-13T22:26:00Z</dcterms:created>
  <dcterms:modified xsi:type="dcterms:W3CDTF">2020-03-13T22:26:00Z</dcterms:modified>
</cp:coreProperties>
</file>