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B2C" w:rsidRDefault="00E26A85" w:rsidP="00E714F1">
      <w:pPr>
        <w:pStyle w:val="FedReg-bodynoindent"/>
        <w:rPr>
          <w:b/>
        </w:rPr>
      </w:pPr>
      <w:bookmarkStart w:id="0" w:name="_GoBack"/>
      <w:bookmarkEnd w:id="0"/>
      <w:r w:rsidRPr="00E714F1">
        <w:rPr>
          <w:b/>
        </w:rPr>
        <w:t>DEPARTMENT OF THE INTERIOR</w:t>
      </w:r>
    </w:p>
    <w:p w:rsidR="00845FA6" w:rsidRPr="00E714F1" w:rsidRDefault="00F06DBC" w:rsidP="00E714F1">
      <w:pPr>
        <w:pStyle w:val="FedReg-bodynoindent"/>
        <w:rPr>
          <w:b/>
        </w:rPr>
      </w:pPr>
      <w:r w:rsidRPr="00E714F1">
        <w:rPr>
          <w:b/>
        </w:rPr>
        <w:t>Bu</w:t>
      </w:r>
      <w:r w:rsidR="00E714F1" w:rsidRPr="00E714F1">
        <w:rPr>
          <w:b/>
        </w:rPr>
        <w:t>r</w:t>
      </w:r>
      <w:r w:rsidRPr="00E714F1">
        <w:rPr>
          <w:b/>
        </w:rPr>
        <w:t>eau of Indian Affairs</w:t>
      </w:r>
    </w:p>
    <w:p w:rsidR="002E71FD" w:rsidRDefault="00562AD7" w:rsidP="002E71FD">
      <w:pPr>
        <w:pStyle w:val="FedReg-bodynoindent"/>
        <w:spacing w:line="240" w:lineRule="auto"/>
        <w:rPr>
          <w:b/>
        </w:rPr>
      </w:pPr>
      <w:r>
        <w:rPr>
          <w:b/>
        </w:rPr>
        <w:t xml:space="preserve">Solicitation of Proposals for </w:t>
      </w:r>
      <w:r w:rsidR="00DA17C1">
        <w:rPr>
          <w:b/>
        </w:rPr>
        <w:t>Economic Development Feasibility Study</w:t>
      </w:r>
      <w:r w:rsidR="002E71FD">
        <w:rPr>
          <w:b/>
        </w:rPr>
        <w:t xml:space="preserve"> Funding from the Native American Business Development Institute</w:t>
      </w:r>
    </w:p>
    <w:p w:rsidR="002E71FD" w:rsidRDefault="002E71FD" w:rsidP="002E71FD">
      <w:pPr>
        <w:pStyle w:val="FedReg-bodynoindent"/>
        <w:spacing w:line="240" w:lineRule="auto"/>
        <w:rPr>
          <w:b/>
        </w:rPr>
      </w:pPr>
    </w:p>
    <w:p w:rsidR="00EF7669" w:rsidRPr="00521D7A" w:rsidRDefault="00E26A85" w:rsidP="00E714F1">
      <w:pPr>
        <w:pStyle w:val="FedReg-bodynoindent"/>
      </w:pPr>
      <w:r w:rsidRPr="00E714F1">
        <w:rPr>
          <w:b/>
        </w:rPr>
        <w:t>AGENCY:</w:t>
      </w:r>
      <w:r w:rsidR="00A17BD6" w:rsidRPr="007E539E">
        <w:t xml:space="preserve">  </w:t>
      </w:r>
      <w:r w:rsidR="006F507B">
        <w:t>Bureau of</w:t>
      </w:r>
      <w:r w:rsidR="00521D7A" w:rsidRPr="00521D7A">
        <w:t xml:space="preserve"> Indian Affairs, Interior</w:t>
      </w:r>
      <w:r w:rsidR="006F507B">
        <w:t>.</w:t>
      </w:r>
    </w:p>
    <w:p w:rsidR="00E26A85" w:rsidRPr="00521D7A" w:rsidRDefault="00E26A85" w:rsidP="00E714F1">
      <w:pPr>
        <w:pStyle w:val="FedReg-bodynoindent"/>
        <w:rPr>
          <w:i/>
        </w:rPr>
      </w:pPr>
      <w:r w:rsidRPr="00E714F1">
        <w:rPr>
          <w:b/>
        </w:rPr>
        <w:t>ACTION:</w:t>
      </w:r>
      <w:r w:rsidR="00A17BD6" w:rsidRPr="007E539E">
        <w:t xml:space="preserve">  </w:t>
      </w:r>
      <w:r w:rsidR="00562AD7">
        <w:t>Notice</w:t>
      </w:r>
      <w:r w:rsidR="006F507B">
        <w:t>.</w:t>
      </w:r>
    </w:p>
    <w:p w:rsidR="006F7591" w:rsidRDefault="00E26A85" w:rsidP="006F7591">
      <w:pPr>
        <w:widowControl w:val="0"/>
        <w:autoSpaceDE w:val="0"/>
        <w:autoSpaceDN w:val="0"/>
        <w:adjustRightInd w:val="0"/>
        <w:spacing w:line="480" w:lineRule="auto"/>
      </w:pPr>
      <w:r w:rsidRPr="00E714F1">
        <w:rPr>
          <w:b/>
          <w:szCs w:val="20"/>
        </w:rPr>
        <w:t>SUMMARY:</w:t>
      </w:r>
      <w:r w:rsidR="00CD4499" w:rsidRPr="00E714F1">
        <w:t xml:space="preserve">  </w:t>
      </w:r>
      <w:r w:rsidR="00783143">
        <w:t xml:space="preserve">The Office of Indian Energy and Economic Development (IEED), through its </w:t>
      </w:r>
      <w:r w:rsidR="002E71FD">
        <w:t>Native American Business Development Institute (NABDI)</w:t>
      </w:r>
      <w:r w:rsidR="00783143">
        <w:t>,</w:t>
      </w:r>
      <w:r w:rsidR="002E71FD">
        <w:t xml:space="preserve"> is soliciting proposals from federally recognized American Indian tribes</w:t>
      </w:r>
      <w:r w:rsidR="00FA1C2F" w:rsidRPr="00FA1C2F">
        <w:rPr>
          <w:bCs/>
        </w:rPr>
        <w:t xml:space="preserve"> </w:t>
      </w:r>
      <w:r w:rsidR="00FA1C2F">
        <w:rPr>
          <w:bCs/>
        </w:rPr>
        <w:t>and Alaska federally recognized tribal entities</w:t>
      </w:r>
      <w:r w:rsidR="002E71FD">
        <w:t xml:space="preserve"> for technical assistance funding </w:t>
      </w:r>
      <w:r w:rsidR="00783143">
        <w:t>to</w:t>
      </w:r>
      <w:r w:rsidR="00783143" w:rsidRPr="00783143">
        <w:t xml:space="preserve"> </w:t>
      </w:r>
      <w:r w:rsidR="00783143">
        <w:t xml:space="preserve">hire </w:t>
      </w:r>
      <w:r w:rsidR="0055347D">
        <w:t>consultant</w:t>
      </w:r>
      <w:r w:rsidR="00783143">
        <w:t>s to perform feasibility studies of economic development opportunities. These feasibility studies will empower American Indian tribes</w:t>
      </w:r>
      <w:r w:rsidR="00FA1C2F">
        <w:t>/</w:t>
      </w:r>
      <w:r w:rsidR="00FA1C2F">
        <w:rPr>
          <w:bCs/>
        </w:rPr>
        <w:t xml:space="preserve">Alaska federally recognized tribal entities </w:t>
      </w:r>
      <w:r w:rsidR="00783143">
        <w:t xml:space="preserve">and tribal businesses to make informed decisions regarding their economic futures.  Feasibility studies may concern the viability of an economic development project or business or the practicality of a technology a tribe </w:t>
      </w:r>
      <w:r w:rsidR="0027410C">
        <w:t xml:space="preserve">or entity </w:t>
      </w:r>
      <w:r w:rsidR="00783143">
        <w:t xml:space="preserve">may choose to pursue.  </w:t>
      </w:r>
    </w:p>
    <w:p w:rsidR="00824E97" w:rsidRPr="00E714F1" w:rsidRDefault="00E26A85" w:rsidP="00E714F1">
      <w:pPr>
        <w:pStyle w:val="FedReg-bodynoindent"/>
        <w:rPr>
          <w:szCs w:val="24"/>
        </w:rPr>
      </w:pPr>
      <w:r w:rsidRPr="00E714F1">
        <w:rPr>
          <w:b/>
          <w:szCs w:val="24"/>
        </w:rPr>
        <w:t>DATE</w:t>
      </w:r>
      <w:r w:rsidR="005316E2" w:rsidRPr="00E714F1">
        <w:rPr>
          <w:b/>
          <w:szCs w:val="24"/>
        </w:rPr>
        <w:t>S</w:t>
      </w:r>
      <w:r w:rsidRPr="00E714F1">
        <w:rPr>
          <w:b/>
          <w:szCs w:val="24"/>
        </w:rPr>
        <w:t>:</w:t>
      </w:r>
      <w:r w:rsidR="00CD4499" w:rsidRPr="00E714F1">
        <w:rPr>
          <w:szCs w:val="24"/>
        </w:rPr>
        <w:t xml:space="preserve">  </w:t>
      </w:r>
      <w:r w:rsidR="00AD2E59" w:rsidRPr="00E714F1">
        <w:rPr>
          <w:szCs w:val="24"/>
        </w:rPr>
        <w:t xml:space="preserve">Submit grant proposals </w:t>
      </w:r>
      <w:r w:rsidR="005316E2" w:rsidRPr="00E714F1">
        <w:rPr>
          <w:szCs w:val="24"/>
        </w:rPr>
        <w:t xml:space="preserve">on or before </w:t>
      </w:r>
      <w:r w:rsidR="00613E6C" w:rsidRPr="00783143">
        <w:rPr>
          <w:szCs w:val="24"/>
          <w:highlight w:val="yellow"/>
        </w:rPr>
        <w:t>[</w:t>
      </w:r>
      <w:r w:rsidR="00613E6C" w:rsidRPr="00613E6C">
        <w:rPr>
          <w:szCs w:val="24"/>
          <w:highlight w:val="yellow"/>
        </w:rPr>
        <w:t>INSERT DATE</w:t>
      </w:r>
      <w:r w:rsidR="00B96D38">
        <w:rPr>
          <w:szCs w:val="24"/>
          <w:highlight w:val="yellow"/>
        </w:rPr>
        <w:t xml:space="preserve"> </w:t>
      </w:r>
      <w:r w:rsidR="00425FD1">
        <w:rPr>
          <w:szCs w:val="24"/>
          <w:highlight w:val="yellow"/>
          <w:u w:val="single"/>
        </w:rPr>
        <w:t>6</w:t>
      </w:r>
      <w:r w:rsidR="00B96D38" w:rsidRPr="00B96D38">
        <w:rPr>
          <w:szCs w:val="24"/>
          <w:highlight w:val="yellow"/>
          <w:u w:val="single"/>
        </w:rPr>
        <w:t>0</w:t>
      </w:r>
      <w:r w:rsidR="00ED5B18">
        <w:rPr>
          <w:szCs w:val="24"/>
          <w:highlight w:val="yellow"/>
        </w:rPr>
        <w:t xml:space="preserve"> DAYS AFTER</w:t>
      </w:r>
      <w:r w:rsidR="006F7591">
        <w:rPr>
          <w:szCs w:val="24"/>
          <w:highlight w:val="yellow"/>
        </w:rPr>
        <w:t xml:space="preserve"> PUBLICATION IN GRANTS.GOV</w:t>
      </w:r>
      <w:r w:rsidR="00613E6C" w:rsidRPr="00783143">
        <w:rPr>
          <w:szCs w:val="24"/>
          <w:highlight w:val="yellow"/>
        </w:rPr>
        <w:t>]</w:t>
      </w:r>
      <w:r w:rsidR="00A0230E">
        <w:rPr>
          <w:szCs w:val="24"/>
        </w:rPr>
        <w:t xml:space="preserve"> by midnight</w:t>
      </w:r>
      <w:r w:rsidR="00AD2E59" w:rsidRPr="00E714F1">
        <w:rPr>
          <w:szCs w:val="24"/>
        </w:rPr>
        <w:t>.</w:t>
      </w:r>
      <w:r w:rsidR="00A55F0A">
        <w:rPr>
          <w:szCs w:val="24"/>
        </w:rPr>
        <w:t xml:space="preserve">  </w:t>
      </w:r>
      <w:r w:rsidR="008F7B8D">
        <w:rPr>
          <w:szCs w:val="24"/>
        </w:rPr>
        <w:t xml:space="preserve">The </w:t>
      </w:r>
      <w:r w:rsidR="00A55F0A">
        <w:rPr>
          <w:szCs w:val="24"/>
        </w:rPr>
        <w:t>IEED</w:t>
      </w:r>
      <w:r w:rsidR="005316E2" w:rsidRPr="00E714F1">
        <w:rPr>
          <w:szCs w:val="24"/>
        </w:rPr>
        <w:t xml:space="preserve"> will not consider grant proposals received after this date.</w:t>
      </w:r>
      <w:r w:rsidR="008A3B61">
        <w:rPr>
          <w:szCs w:val="24"/>
        </w:rPr>
        <w:t xml:space="preserve"> </w:t>
      </w:r>
      <w:r w:rsidR="00A0230E">
        <w:rPr>
          <w:szCs w:val="24"/>
        </w:rPr>
        <w:t>All submissions are date and time stamped when received.</w:t>
      </w:r>
      <w:r w:rsidR="008A3B61">
        <w:rPr>
          <w:szCs w:val="24"/>
        </w:rPr>
        <w:t xml:space="preserve"> Any request for assistance must be received by </w:t>
      </w:r>
      <w:r w:rsidR="008A3B61" w:rsidRPr="00783143">
        <w:rPr>
          <w:szCs w:val="24"/>
          <w:highlight w:val="yellow"/>
        </w:rPr>
        <w:t>[</w:t>
      </w:r>
      <w:r w:rsidR="008A3B61" w:rsidRPr="00613E6C">
        <w:rPr>
          <w:szCs w:val="24"/>
          <w:highlight w:val="yellow"/>
        </w:rPr>
        <w:t>INSERT DATE</w:t>
      </w:r>
      <w:r w:rsidR="008A3B61">
        <w:rPr>
          <w:szCs w:val="24"/>
          <w:highlight w:val="yellow"/>
        </w:rPr>
        <w:t xml:space="preserve"> </w:t>
      </w:r>
      <w:r w:rsidR="008A3B61">
        <w:rPr>
          <w:szCs w:val="24"/>
          <w:highlight w:val="yellow"/>
          <w:u w:val="single"/>
        </w:rPr>
        <w:t>3</w:t>
      </w:r>
      <w:r w:rsidR="008A3B61" w:rsidRPr="00B96D38">
        <w:rPr>
          <w:szCs w:val="24"/>
          <w:highlight w:val="yellow"/>
          <w:u w:val="single"/>
        </w:rPr>
        <w:t>0</w:t>
      </w:r>
      <w:r w:rsidR="008A3B61">
        <w:rPr>
          <w:szCs w:val="24"/>
          <w:highlight w:val="yellow"/>
        </w:rPr>
        <w:t xml:space="preserve"> DAYS AFTER PUBLICATION IN GRANTS.GOV</w:t>
      </w:r>
      <w:r w:rsidR="008A3B61" w:rsidRPr="00783143">
        <w:rPr>
          <w:szCs w:val="24"/>
          <w:highlight w:val="yellow"/>
        </w:rPr>
        <w:t>]</w:t>
      </w:r>
      <w:r w:rsidR="008A3B61" w:rsidRPr="00E714F1">
        <w:rPr>
          <w:szCs w:val="24"/>
        </w:rPr>
        <w:t>.</w:t>
      </w:r>
      <w:r w:rsidR="008A3B61">
        <w:rPr>
          <w:szCs w:val="24"/>
        </w:rPr>
        <w:t xml:space="preserve">  .</w:t>
      </w:r>
    </w:p>
    <w:p w:rsidR="005316E2" w:rsidRDefault="005316E2" w:rsidP="00365BC6">
      <w:pPr>
        <w:shd w:val="clear" w:color="auto" w:fill="FFFFFF"/>
        <w:spacing w:line="480" w:lineRule="auto"/>
      </w:pPr>
      <w:r w:rsidRPr="00E714F1">
        <w:rPr>
          <w:b/>
        </w:rPr>
        <w:t>ADDRESSES:</w:t>
      </w:r>
      <w:r w:rsidRPr="00E714F1">
        <w:t xml:space="preserve"> </w:t>
      </w:r>
      <w:r w:rsidR="003905BE">
        <w:t xml:space="preserve">The preferred method of submitting grant proposals is to email at </w:t>
      </w:r>
      <w:hyperlink r:id="rId10" w:history="1">
        <w:r w:rsidR="003905BE" w:rsidRPr="00EA0214">
          <w:rPr>
            <w:rStyle w:val="Hyperlink"/>
          </w:rPr>
          <w:t>IEEDGrants@bia.gov</w:t>
        </w:r>
      </w:hyperlink>
      <w:r w:rsidR="005B6837">
        <w:t xml:space="preserve">, Attention: Ms. Jo Ann Metcalfe, Certified Grant Specialist, Bureau of Indian Affairs. </w:t>
      </w:r>
    </w:p>
    <w:p w:rsidR="005B6837" w:rsidRPr="005B6837" w:rsidRDefault="005B6837" w:rsidP="005B6837">
      <w:pPr>
        <w:shd w:val="clear" w:color="auto" w:fill="FFFFFF"/>
        <w:rPr>
          <w:rFonts w:ascii="Arial" w:hAnsi="Arial" w:cs="Arial"/>
          <w:color w:val="222222"/>
          <w:sz w:val="19"/>
          <w:szCs w:val="19"/>
        </w:rPr>
      </w:pPr>
    </w:p>
    <w:p w:rsidR="007E539E" w:rsidRDefault="00AD2E59" w:rsidP="00DF4E10">
      <w:pPr>
        <w:pStyle w:val="FedReg-bodynoindent"/>
      </w:pPr>
      <w:r w:rsidRPr="00E714F1">
        <w:rPr>
          <w:b/>
          <w:szCs w:val="24"/>
        </w:rPr>
        <w:t>FOR FURTHER INFORMATION CONTACT</w:t>
      </w:r>
      <w:r w:rsidR="00CD4499" w:rsidRPr="00E714F1">
        <w:rPr>
          <w:szCs w:val="24"/>
        </w:rPr>
        <w:t xml:space="preserve">: </w:t>
      </w:r>
      <w:r w:rsidR="00EC6CCE" w:rsidRPr="00E714F1">
        <w:rPr>
          <w:szCs w:val="24"/>
        </w:rPr>
        <w:t>If you have</w:t>
      </w:r>
      <w:r w:rsidR="00EC6CCE">
        <w:t xml:space="preserve"> </w:t>
      </w:r>
      <w:r w:rsidR="003820F8">
        <w:t xml:space="preserve">questions about the </w:t>
      </w:r>
      <w:r w:rsidR="00E03ABF">
        <w:lastRenderedPageBreak/>
        <w:t>NABDI grant program</w:t>
      </w:r>
      <w:r w:rsidR="00A14C01">
        <w:t xml:space="preserve"> or require a mailing address</w:t>
      </w:r>
      <w:r w:rsidR="003820F8">
        <w:t xml:space="preserve">, </w:t>
      </w:r>
      <w:r w:rsidR="00EC6CCE">
        <w:t>please contact</w:t>
      </w:r>
      <w:r w:rsidR="00E03ABF">
        <w:t xml:space="preserve"> Mr. James West</w:t>
      </w:r>
      <w:r w:rsidR="004C15FF">
        <w:t xml:space="preserve"> at</w:t>
      </w:r>
      <w:r w:rsidR="00A76C0E">
        <w:t xml:space="preserve"> (202) 595-4766</w:t>
      </w:r>
      <w:r w:rsidR="000E31E2">
        <w:t xml:space="preserve"> or</w:t>
      </w:r>
      <w:r w:rsidR="003905BE">
        <w:t xml:space="preserve"> </w:t>
      </w:r>
      <w:hyperlink r:id="rId11" w:history="1">
        <w:r w:rsidR="00DA17C1" w:rsidRPr="00DA17C1">
          <w:rPr>
            <w:rStyle w:val="Hyperlink"/>
          </w:rPr>
          <w:t>james</w:t>
        </w:r>
        <w:r w:rsidR="00DA17C1" w:rsidRPr="00D65A36">
          <w:rPr>
            <w:rStyle w:val="Hyperlink"/>
          </w:rPr>
          <w:t>r</w:t>
        </w:r>
        <w:r w:rsidR="00DA17C1" w:rsidRPr="000E31E2">
          <w:rPr>
            <w:rStyle w:val="Hyperlink"/>
          </w:rPr>
          <w:t>.west@bia.gov</w:t>
        </w:r>
      </w:hyperlink>
      <w:r w:rsidR="003905BE" w:rsidRPr="004C15FF">
        <w:t>.</w:t>
      </w:r>
    </w:p>
    <w:p w:rsidR="00CE2AF8" w:rsidRDefault="00CE2AF8" w:rsidP="00DF4E10">
      <w:pPr>
        <w:pStyle w:val="FedReg-bodynoindent"/>
      </w:pPr>
    </w:p>
    <w:p w:rsidR="00AD2E59" w:rsidRPr="005316E2" w:rsidRDefault="00AD2E59" w:rsidP="00B0143A">
      <w:pPr>
        <w:pStyle w:val="FedReg-Head1"/>
      </w:pPr>
      <w:r w:rsidRPr="005316E2">
        <w:t>SUPPLEMENTARY INFORMATION:</w:t>
      </w:r>
      <w:r w:rsidR="00CD4499" w:rsidRPr="005316E2">
        <w:t xml:space="preserve"> </w:t>
      </w:r>
    </w:p>
    <w:p w:rsidR="002052A6" w:rsidRDefault="00F06DBC" w:rsidP="0055347D">
      <w:pPr>
        <w:pStyle w:val="FedReg-bodynoindent"/>
        <w:tabs>
          <w:tab w:val="clear" w:pos="360"/>
          <w:tab w:val="left" w:pos="720"/>
        </w:tabs>
        <w:spacing w:line="240" w:lineRule="auto"/>
        <w:ind w:left="720" w:hanging="720"/>
      </w:pPr>
      <w:r>
        <w:t>A.</w:t>
      </w:r>
      <w:r>
        <w:tab/>
      </w:r>
      <w:r w:rsidR="002052A6">
        <w:t>Background</w:t>
      </w:r>
    </w:p>
    <w:p w:rsidR="002052A6" w:rsidRDefault="00F06DBC" w:rsidP="0055347D">
      <w:pPr>
        <w:pStyle w:val="FedReg-bodynoindent"/>
        <w:tabs>
          <w:tab w:val="clear" w:pos="360"/>
          <w:tab w:val="left" w:pos="720"/>
        </w:tabs>
        <w:spacing w:line="240" w:lineRule="auto"/>
        <w:ind w:left="720" w:hanging="720"/>
      </w:pPr>
      <w:r>
        <w:t>B.</w:t>
      </w:r>
      <w:r>
        <w:tab/>
      </w:r>
      <w:r w:rsidR="002052A6" w:rsidRPr="000D7379">
        <w:t xml:space="preserve">Items </w:t>
      </w:r>
      <w:r w:rsidR="002052A6">
        <w:t>t</w:t>
      </w:r>
      <w:r w:rsidR="002052A6" w:rsidRPr="000D7379">
        <w:t xml:space="preserve">o Consider </w:t>
      </w:r>
      <w:r w:rsidR="002052A6">
        <w:t xml:space="preserve">Before Preparing an Application for </w:t>
      </w:r>
      <w:r w:rsidR="00783143">
        <w:t>NABDI Technical Assistance Funding</w:t>
      </w:r>
    </w:p>
    <w:p w:rsidR="002052A6" w:rsidRDefault="00F06DBC" w:rsidP="0055347D">
      <w:pPr>
        <w:pStyle w:val="FedReg-bodynoindent"/>
        <w:tabs>
          <w:tab w:val="clear" w:pos="360"/>
          <w:tab w:val="left" w:pos="720"/>
        </w:tabs>
        <w:spacing w:line="240" w:lineRule="auto"/>
        <w:ind w:left="720" w:hanging="720"/>
      </w:pPr>
      <w:r>
        <w:t>C.</w:t>
      </w:r>
      <w:r>
        <w:tab/>
      </w:r>
      <w:r w:rsidR="002052A6">
        <w:t xml:space="preserve">How to Prepare an Application for </w:t>
      </w:r>
      <w:r w:rsidR="00783143">
        <w:t>NABDI Technical Assistance Funding</w:t>
      </w:r>
    </w:p>
    <w:p w:rsidR="002052A6" w:rsidRDefault="00F06DBC" w:rsidP="0055347D">
      <w:pPr>
        <w:pStyle w:val="FedReg-bodynoindent"/>
        <w:tabs>
          <w:tab w:val="clear" w:pos="360"/>
          <w:tab w:val="left" w:pos="720"/>
        </w:tabs>
        <w:spacing w:line="240" w:lineRule="auto"/>
        <w:ind w:left="720" w:hanging="720"/>
      </w:pPr>
      <w:r>
        <w:t>D.</w:t>
      </w:r>
      <w:r>
        <w:tab/>
      </w:r>
      <w:r w:rsidR="002052A6">
        <w:t>Submission of Application in Digital Format</w:t>
      </w:r>
    </w:p>
    <w:p w:rsidR="002052A6" w:rsidRDefault="002052A6" w:rsidP="0055347D">
      <w:pPr>
        <w:pStyle w:val="FedReg-bodynoindent"/>
        <w:tabs>
          <w:tab w:val="clear" w:pos="360"/>
          <w:tab w:val="left" w:pos="720"/>
        </w:tabs>
        <w:spacing w:line="240" w:lineRule="auto"/>
        <w:ind w:left="720" w:hanging="720"/>
      </w:pPr>
      <w:r>
        <w:t xml:space="preserve">E.  </w:t>
      </w:r>
      <w:r w:rsidR="0055347D">
        <w:tab/>
      </w:r>
      <w:r>
        <w:t>Application Evaluation and Administrative Information</w:t>
      </w:r>
    </w:p>
    <w:p w:rsidR="002052A6" w:rsidRDefault="00F06DBC" w:rsidP="0055347D">
      <w:pPr>
        <w:pStyle w:val="FedReg-bodynoindent"/>
        <w:tabs>
          <w:tab w:val="clear" w:pos="360"/>
          <w:tab w:val="left" w:pos="720"/>
        </w:tabs>
        <w:spacing w:line="240" w:lineRule="auto"/>
        <w:ind w:left="720" w:hanging="720"/>
      </w:pPr>
      <w:r>
        <w:t>F.</w:t>
      </w:r>
      <w:r>
        <w:tab/>
      </w:r>
      <w:r w:rsidR="002052A6">
        <w:t>When to Submit</w:t>
      </w:r>
    </w:p>
    <w:p w:rsidR="002052A6" w:rsidRDefault="00F06DBC" w:rsidP="0055347D">
      <w:pPr>
        <w:pStyle w:val="FedReg-bodynoindent"/>
        <w:tabs>
          <w:tab w:val="clear" w:pos="360"/>
          <w:tab w:val="left" w:pos="720"/>
        </w:tabs>
        <w:spacing w:line="240" w:lineRule="auto"/>
        <w:ind w:left="720" w:hanging="720"/>
      </w:pPr>
      <w:r>
        <w:t>G.</w:t>
      </w:r>
      <w:r>
        <w:tab/>
      </w:r>
      <w:r w:rsidR="002052A6">
        <w:t>Where to Submit</w:t>
      </w:r>
    </w:p>
    <w:p w:rsidR="002052A6" w:rsidRDefault="00F06DBC" w:rsidP="0055347D">
      <w:pPr>
        <w:pStyle w:val="FedReg-bodynoindent"/>
        <w:tabs>
          <w:tab w:val="clear" w:pos="360"/>
          <w:tab w:val="left" w:pos="720"/>
        </w:tabs>
        <w:spacing w:line="240" w:lineRule="auto"/>
        <w:ind w:left="720" w:hanging="720"/>
      </w:pPr>
      <w:r>
        <w:t>H.</w:t>
      </w:r>
      <w:r>
        <w:tab/>
      </w:r>
      <w:r w:rsidR="002052A6">
        <w:t>Transfer of Funds</w:t>
      </w:r>
    </w:p>
    <w:p w:rsidR="002052A6" w:rsidRDefault="00F06DBC" w:rsidP="0055347D">
      <w:pPr>
        <w:pStyle w:val="FedReg-bodynoindent"/>
        <w:tabs>
          <w:tab w:val="clear" w:pos="360"/>
          <w:tab w:val="left" w:pos="720"/>
        </w:tabs>
        <w:spacing w:line="240" w:lineRule="auto"/>
        <w:ind w:left="720" w:hanging="720"/>
      </w:pPr>
      <w:r>
        <w:t>I.</w:t>
      </w:r>
      <w:r>
        <w:tab/>
      </w:r>
      <w:r w:rsidR="002052A6">
        <w:t>Reporting Requirements for Award Recipients</w:t>
      </w:r>
    </w:p>
    <w:p w:rsidR="00F156E0" w:rsidRDefault="00F156E0" w:rsidP="0055347D">
      <w:pPr>
        <w:pStyle w:val="FedReg-bodynoindent"/>
        <w:tabs>
          <w:tab w:val="clear" w:pos="360"/>
          <w:tab w:val="left" w:pos="720"/>
        </w:tabs>
        <w:spacing w:line="240" w:lineRule="auto"/>
        <w:ind w:left="720" w:hanging="720"/>
      </w:pPr>
      <w:r>
        <w:t xml:space="preserve">J.  </w:t>
      </w:r>
      <w:r>
        <w:tab/>
        <w:t xml:space="preserve">Requests for </w:t>
      </w:r>
      <w:r w:rsidR="0055347D">
        <w:t>IEED Assistance</w:t>
      </w:r>
    </w:p>
    <w:p w:rsidR="008A3B61" w:rsidRDefault="008A3B61" w:rsidP="0055347D">
      <w:pPr>
        <w:pStyle w:val="FedReg-bodynoindent"/>
        <w:tabs>
          <w:tab w:val="clear" w:pos="360"/>
          <w:tab w:val="left" w:pos="720"/>
        </w:tabs>
        <w:spacing w:line="240" w:lineRule="auto"/>
        <w:ind w:left="720" w:hanging="720"/>
      </w:pPr>
      <w:r>
        <w:t xml:space="preserve">K. </w:t>
      </w:r>
      <w:r>
        <w:tab/>
        <w:t>Authority</w:t>
      </w:r>
    </w:p>
    <w:p w:rsidR="00F156E0" w:rsidRDefault="00F156E0" w:rsidP="00F156E0">
      <w:pPr>
        <w:pStyle w:val="c-bodynoindent"/>
        <w:ind w:left="360" w:hanging="360"/>
      </w:pPr>
    </w:p>
    <w:p w:rsidR="00DA17C1" w:rsidRDefault="00DA17C1" w:rsidP="00E714F1">
      <w:pPr>
        <w:pStyle w:val="FedReg-Head1"/>
      </w:pPr>
    </w:p>
    <w:p w:rsidR="002052A6" w:rsidRDefault="002052A6" w:rsidP="00E714F1">
      <w:pPr>
        <w:pStyle w:val="FedReg-Head1"/>
      </w:pPr>
      <w:r>
        <w:t>A. Background</w:t>
      </w:r>
    </w:p>
    <w:p w:rsidR="00596E81" w:rsidRDefault="00E03ABF" w:rsidP="006F7591">
      <w:pPr>
        <w:pStyle w:val="FedReg-bodyindent25"/>
        <w:ind w:firstLine="0"/>
      </w:pPr>
      <w:r>
        <w:t xml:space="preserve">   </w:t>
      </w:r>
      <w:r w:rsidR="008F7B8D">
        <w:t xml:space="preserve">The </w:t>
      </w:r>
      <w:r w:rsidR="00783143">
        <w:t>IEED established NABDI to provide technical assistance funding on a competitive basis to federally recognized American Indian tribes</w:t>
      </w:r>
      <w:r w:rsidR="00FA1C2F">
        <w:t xml:space="preserve"> and </w:t>
      </w:r>
      <w:r w:rsidR="00FA1C2F">
        <w:rPr>
          <w:bCs/>
          <w:szCs w:val="24"/>
        </w:rPr>
        <w:t xml:space="preserve">Alaska federally recognized tribal entities </w:t>
      </w:r>
      <w:r w:rsidR="00783143">
        <w:t xml:space="preserve">seeking to retain </w:t>
      </w:r>
      <w:r w:rsidR="0055347D">
        <w:t>consultant</w:t>
      </w:r>
      <w:r w:rsidR="00783143">
        <w:t xml:space="preserve">s to perform feasibility studies of economic development opportunities. </w:t>
      </w:r>
      <w:r w:rsidR="0055347D">
        <w:t>Consultant</w:t>
      </w:r>
      <w:r w:rsidR="00783143">
        <w:t>s may include universities and colleges, private consulting firms, non-academic/non-profit entities, or others.  The feasibility studies will empower American Indian tribes</w:t>
      </w:r>
      <w:r w:rsidR="0027410C">
        <w:t>/</w:t>
      </w:r>
      <w:r w:rsidR="0027410C">
        <w:rPr>
          <w:bCs/>
          <w:szCs w:val="24"/>
        </w:rPr>
        <w:t>Alaska federally recognized tribal entities</w:t>
      </w:r>
      <w:r w:rsidR="0027410C">
        <w:t xml:space="preserve"> </w:t>
      </w:r>
      <w:r w:rsidR="00783143">
        <w:t>and tribal businesses to make informed decisions regarding their economic futures.  Feasibility studies may concern the viability of an economic development project or business or the practicality of a technology a tribe</w:t>
      </w:r>
      <w:r w:rsidR="0027410C">
        <w:t xml:space="preserve"> or entity</w:t>
      </w:r>
      <w:r w:rsidR="00783143">
        <w:t xml:space="preserve"> may choose to pursue.</w:t>
      </w:r>
      <w:r w:rsidR="00596E81">
        <w:t xml:space="preserve"> </w:t>
      </w:r>
    </w:p>
    <w:p w:rsidR="001419ED" w:rsidRDefault="00E03ABF" w:rsidP="00CB0DD9">
      <w:pPr>
        <w:pStyle w:val="FedReg-bodyindent25"/>
        <w:ind w:firstLine="0"/>
      </w:pPr>
      <w:r>
        <w:t xml:space="preserve">   </w:t>
      </w:r>
      <w:r w:rsidR="008F7B8D">
        <w:t xml:space="preserve">The </w:t>
      </w:r>
      <w:r w:rsidR="00596E81">
        <w:t>IEED administers this program through its Division of Economic Development (DED), which is located at 1951 Constitution Avenue, NW, MS-20-SIB, Washington, D.C. 20245.</w:t>
      </w:r>
    </w:p>
    <w:p w:rsidR="00072492" w:rsidRDefault="00172A70" w:rsidP="00FC21C8">
      <w:pPr>
        <w:pStyle w:val="FedReg-bodyindent25"/>
      </w:pPr>
      <w:r>
        <w:lastRenderedPageBreak/>
        <w:t>These grants will be</w:t>
      </w:r>
      <w:r w:rsidR="00376C37" w:rsidRPr="00783DC5">
        <w:t xml:space="preserve"> fun</w:t>
      </w:r>
      <w:r>
        <w:t>ded under a</w:t>
      </w:r>
      <w:r w:rsidR="00376C37" w:rsidRPr="00783DC5">
        <w:t xml:space="preserve"> non-recurring appropriation of the BIA budget.</w:t>
      </w:r>
      <w:r w:rsidR="00376C37">
        <w:t xml:space="preserve"> </w:t>
      </w:r>
      <w:r w:rsidR="002052A6">
        <w:t>Congress appropriates funds</w:t>
      </w:r>
      <w:r w:rsidR="00B03BFC">
        <w:t xml:space="preserve"> </w:t>
      </w:r>
      <w:r w:rsidR="002052A6">
        <w:t xml:space="preserve">on a year-to-year basis.  Thus, while some projects may extend over several years, funding for successive years depends on </w:t>
      </w:r>
      <w:r w:rsidR="00376C37">
        <w:t>each</w:t>
      </w:r>
      <w:r w:rsidR="002052A6">
        <w:t xml:space="preserve"> fiscal year</w:t>
      </w:r>
      <w:r w:rsidR="00DB5C21">
        <w:t>’s</w:t>
      </w:r>
      <w:r w:rsidR="002052A6">
        <w:t xml:space="preserve"> appropriations</w:t>
      </w:r>
      <w:r w:rsidR="002052A6" w:rsidRPr="00783DC5">
        <w:t xml:space="preserve">.  </w:t>
      </w:r>
    </w:p>
    <w:p w:rsidR="00613E6C" w:rsidRPr="00783DC5" w:rsidRDefault="00613E6C" w:rsidP="00613E6C">
      <w:pPr>
        <w:widowControl w:val="0"/>
        <w:spacing w:line="480" w:lineRule="auto"/>
        <w:ind w:firstLine="360"/>
      </w:pPr>
      <w:r>
        <w:t xml:space="preserve">The information collection requirements contained in this notice have been reviewed and approved by the Office of Management and Budget (OMB) under the Paperwork Reduction Act, 44 U.S.C. 3504(h). </w:t>
      </w:r>
      <w:r w:rsidRPr="0078659F">
        <w:t>The OMB control number is 1076-</w:t>
      </w:r>
      <w:r w:rsidR="00817E98" w:rsidRPr="0078659F">
        <w:t>0178</w:t>
      </w:r>
      <w:r w:rsidRPr="0078659F">
        <w:t>.</w:t>
      </w:r>
      <w:r>
        <w:t xml:space="preserve">  The authorization expires on</w:t>
      </w:r>
      <w:r w:rsidR="00900084">
        <w:t xml:space="preserve"> September 30, 2017.</w:t>
      </w:r>
      <w:r>
        <w:t xml:space="preserve">   An agency may not</w:t>
      </w:r>
      <w:r w:rsidR="0092111B">
        <w:t xml:space="preserve"> conduct or</w:t>
      </w:r>
      <w:r>
        <w:t xml:space="preserve"> sponsor, and you are not required to respond to, any information collection that does not display a currently valid OMB Control Number.</w:t>
      </w:r>
    </w:p>
    <w:p w:rsidR="00E03ABF" w:rsidRDefault="00E03ABF" w:rsidP="00FC21C8">
      <w:pPr>
        <w:pStyle w:val="FedReg-Head1"/>
      </w:pPr>
    </w:p>
    <w:p w:rsidR="00DB791F" w:rsidRPr="000D7379" w:rsidRDefault="002052A6" w:rsidP="00FC21C8">
      <w:pPr>
        <w:pStyle w:val="FedReg-Head1"/>
      </w:pPr>
      <w:r>
        <w:t>B</w:t>
      </w:r>
      <w:r w:rsidR="00DB791F">
        <w:t xml:space="preserve">.  </w:t>
      </w:r>
      <w:r w:rsidR="00DB791F" w:rsidRPr="000D7379">
        <w:t xml:space="preserve">Items </w:t>
      </w:r>
      <w:r w:rsidR="00900084">
        <w:t>t</w:t>
      </w:r>
      <w:r w:rsidR="00DB791F" w:rsidRPr="000D7379">
        <w:t xml:space="preserve">o Consider </w:t>
      </w:r>
      <w:r w:rsidR="00DB791F">
        <w:t xml:space="preserve">Before Preparing an Application for </w:t>
      </w:r>
      <w:r w:rsidR="00B03BFC">
        <w:t>NABDI Technical Assistance Funding</w:t>
      </w:r>
    </w:p>
    <w:p w:rsidR="00DB791F" w:rsidRPr="00B83A08" w:rsidRDefault="00DB791F" w:rsidP="00FC21C8">
      <w:pPr>
        <w:pStyle w:val="FedReg-headitalic2"/>
        <w:rPr>
          <w:u w:val="none"/>
        </w:rPr>
      </w:pPr>
      <w:r w:rsidRPr="00B83A08">
        <w:rPr>
          <w:u w:val="none"/>
        </w:rPr>
        <w:t xml:space="preserve">1. </w:t>
      </w:r>
      <w:r w:rsidR="008D0094" w:rsidRPr="00B83A08">
        <w:rPr>
          <w:u w:val="none"/>
        </w:rPr>
        <w:tab/>
      </w:r>
      <w:r w:rsidR="005142C6" w:rsidRPr="00B83A08">
        <w:rPr>
          <w:u w:val="none"/>
        </w:rPr>
        <w:t>Eligibility</w:t>
      </w:r>
    </w:p>
    <w:p w:rsidR="00DB791F" w:rsidRDefault="001B1F80" w:rsidP="00FC21C8">
      <w:pPr>
        <w:pStyle w:val="FedReg-bodyindent25"/>
      </w:pPr>
      <w:r>
        <w:t>NABDI technical assistance</w:t>
      </w:r>
      <w:r w:rsidR="00DB791F">
        <w:t xml:space="preserve"> funding </w:t>
      </w:r>
      <w:r w:rsidR="005142C6">
        <w:t xml:space="preserve">is available </w:t>
      </w:r>
      <w:r w:rsidR="00176A2D">
        <w:t xml:space="preserve">to all </w:t>
      </w:r>
      <w:r w:rsidR="00FA1C2F">
        <w:t>federally</w:t>
      </w:r>
      <w:r w:rsidR="00176A2D">
        <w:t xml:space="preserve"> recognized tribes</w:t>
      </w:r>
      <w:r w:rsidR="00B83A08">
        <w:t>, bands, nations, or other organized groups or communities,</w:t>
      </w:r>
      <w:r w:rsidR="00FA1C2F">
        <w:t xml:space="preserve"> and </w:t>
      </w:r>
      <w:r w:rsidR="00FA1C2F">
        <w:rPr>
          <w:bCs/>
          <w:szCs w:val="24"/>
        </w:rPr>
        <w:t>Alaska federally recognized tribal entities</w:t>
      </w:r>
      <w:r w:rsidR="005142C6">
        <w:t>.</w:t>
      </w:r>
      <w:r w:rsidR="00DB791F">
        <w:t xml:space="preserve">  </w:t>
      </w:r>
    </w:p>
    <w:p w:rsidR="00DB791F" w:rsidRPr="00B83A08" w:rsidRDefault="00DB791F" w:rsidP="00FC21C8">
      <w:pPr>
        <w:pStyle w:val="FedReg-headitalic2"/>
        <w:rPr>
          <w:u w:val="none"/>
        </w:rPr>
      </w:pPr>
      <w:r w:rsidRPr="00B83A08">
        <w:rPr>
          <w:u w:val="none"/>
        </w:rPr>
        <w:t>2.</w:t>
      </w:r>
      <w:r w:rsidRPr="00B83A08">
        <w:rPr>
          <w:u w:val="none"/>
        </w:rPr>
        <w:tab/>
        <w:t>Tribes</w:t>
      </w:r>
      <w:r w:rsidR="0027410C" w:rsidRPr="00B83A08">
        <w:rPr>
          <w:u w:val="none"/>
        </w:rPr>
        <w:t xml:space="preserve"> or entities</w:t>
      </w:r>
      <w:r w:rsidRPr="00B83A08">
        <w:rPr>
          <w:u w:val="none"/>
        </w:rPr>
        <w:t>’ Compliance History</w:t>
      </w:r>
    </w:p>
    <w:p w:rsidR="00376C37" w:rsidRPr="00376C37" w:rsidRDefault="00DF4E10" w:rsidP="00FC21C8">
      <w:pPr>
        <w:pStyle w:val="FedReg-bodyindent25"/>
      </w:pPr>
      <w:r>
        <w:t xml:space="preserve">The </w:t>
      </w:r>
      <w:r w:rsidR="0043470A">
        <w:t>IEED</w:t>
      </w:r>
      <w:r w:rsidR="00376C37">
        <w:t xml:space="preserve"> will monitor all </w:t>
      </w:r>
      <w:r w:rsidR="001B1F80">
        <w:t>NABDI technical assistance funding</w:t>
      </w:r>
      <w:r w:rsidR="00376C37" w:rsidRPr="00376C37">
        <w:t xml:space="preserve"> for statutory and regulatory compliance to assure that awarded</w:t>
      </w:r>
      <w:r w:rsidR="00376C37">
        <w:t xml:space="preserve"> </w:t>
      </w:r>
      <w:r w:rsidR="00376C37" w:rsidRPr="00376C37">
        <w:t>funds are correctly applied to approved</w:t>
      </w:r>
      <w:r w:rsidR="00376C37">
        <w:t xml:space="preserve"> </w:t>
      </w:r>
      <w:r w:rsidR="00376C37" w:rsidRPr="00376C37">
        <w:t xml:space="preserve">projects. Tribes </w:t>
      </w:r>
      <w:r w:rsidR="00FA1C2F">
        <w:t xml:space="preserve">or entities </w:t>
      </w:r>
      <w:r w:rsidR="00376C37" w:rsidRPr="00376C37">
        <w:t>that expend funds on</w:t>
      </w:r>
      <w:r w:rsidR="00376C37">
        <w:t xml:space="preserve"> </w:t>
      </w:r>
      <w:r w:rsidR="00376C37" w:rsidRPr="00376C37">
        <w:t>unapproved functions may forfeit</w:t>
      </w:r>
      <w:r w:rsidR="00376C37">
        <w:t xml:space="preserve"> </w:t>
      </w:r>
      <w:r w:rsidR="00376C37" w:rsidRPr="00376C37">
        <w:t>remaining funds in that proposal year,</w:t>
      </w:r>
      <w:r w:rsidR="00376C37">
        <w:t xml:space="preserve"> and possibly for any future </w:t>
      </w:r>
      <w:r w:rsidR="001B1F80">
        <w:t>NABDI technical assistance funding</w:t>
      </w:r>
      <w:r w:rsidR="00376C37" w:rsidRPr="00376C37">
        <w:t>.</w:t>
      </w:r>
      <w:r w:rsidR="00376C37">
        <w:t xml:space="preserve">  </w:t>
      </w:r>
      <w:r w:rsidR="00376C37" w:rsidRPr="00376C37">
        <w:t xml:space="preserve">Consequently, </w:t>
      </w:r>
      <w:r w:rsidR="0043470A">
        <w:t>IEED</w:t>
      </w:r>
      <w:r w:rsidR="00376C37" w:rsidRPr="00376C37">
        <w:t xml:space="preserve"> may request a tribe</w:t>
      </w:r>
      <w:r w:rsidR="00FA1C2F" w:rsidRPr="00FA1C2F">
        <w:t xml:space="preserve"> </w:t>
      </w:r>
      <w:r w:rsidR="00FA1C2F">
        <w:t>or entity</w:t>
      </w:r>
      <w:r w:rsidR="00376C37">
        <w:t xml:space="preserve"> </w:t>
      </w:r>
      <w:r w:rsidR="00376C37" w:rsidRPr="00376C37">
        <w:t>to provide a summary of any funds it</w:t>
      </w:r>
      <w:r w:rsidR="00376C37">
        <w:t xml:space="preserve"> </w:t>
      </w:r>
      <w:r w:rsidR="00376C37" w:rsidRPr="00376C37">
        <w:t>has received in past years through other</w:t>
      </w:r>
      <w:r w:rsidR="00376C37">
        <w:t xml:space="preserve"> </w:t>
      </w:r>
      <w:r w:rsidR="00376C37" w:rsidRPr="00376C37">
        <w:t xml:space="preserve">projects approved by </w:t>
      </w:r>
      <w:r w:rsidR="0043470A">
        <w:t>IEED</w:t>
      </w:r>
      <w:r w:rsidR="00376C37" w:rsidRPr="00376C37">
        <w:t xml:space="preserve">, and </w:t>
      </w:r>
      <w:r w:rsidR="0043470A">
        <w:t>IEED</w:t>
      </w:r>
      <w:r w:rsidR="00376C37">
        <w:t xml:space="preserve"> </w:t>
      </w:r>
      <w:r w:rsidR="00376C37" w:rsidRPr="00376C37">
        <w:t>may conduct a review of prior award</w:t>
      </w:r>
      <w:r w:rsidR="00376C37">
        <w:t xml:space="preserve"> </w:t>
      </w:r>
      <w:r w:rsidR="00376C37" w:rsidRPr="00376C37">
        <w:t>expenditures before making a decision</w:t>
      </w:r>
      <w:r w:rsidR="00376C37">
        <w:t xml:space="preserve"> </w:t>
      </w:r>
      <w:r w:rsidR="00376C37" w:rsidRPr="00376C37">
        <w:t>on current year proposals.</w:t>
      </w:r>
    </w:p>
    <w:p w:rsidR="00DB791F" w:rsidRPr="00B83A08" w:rsidRDefault="00DB791F" w:rsidP="00FC21C8">
      <w:pPr>
        <w:pStyle w:val="FedReg-headitalic2"/>
        <w:rPr>
          <w:u w:val="none"/>
        </w:rPr>
      </w:pPr>
      <w:r w:rsidRPr="00B83A08">
        <w:rPr>
          <w:u w:val="none"/>
        </w:rPr>
        <w:t>3.</w:t>
      </w:r>
      <w:r w:rsidRPr="00B83A08">
        <w:rPr>
          <w:u w:val="none"/>
        </w:rPr>
        <w:tab/>
        <w:t>BIA Sanction List</w:t>
      </w:r>
    </w:p>
    <w:p w:rsidR="00A55F0A" w:rsidRPr="002D3CF2" w:rsidRDefault="002D3CF2" w:rsidP="002D3CF2">
      <w:pPr>
        <w:pStyle w:val="bbodyindent25"/>
        <w:rPr>
          <w:rFonts w:cs="Times New Roman"/>
        </w:rPr>
      </w:pPr>
      <w:r>
        <w:rPr>
          <w:rFonts w:cs="Times New Roman"/>
        </w:rPr>
        <w:t>Tribes that</w:t>
      </w:r>
      <w:r w:rsidRPr="00035598">
        <w:rPr>
          <w:rFonts w:cs="Times New Roman"/>
        </w:rPr>
        <w:t xml:space="preserve"> are currently under BIA sanction at Level 2 or higher resulting from non-compliance with the Single Audit Act are ineligible for a</w:t>
      </w:r>
      <w:r>
        <w:rPr>
          <w:rFonts w:cs="Times New Roman"/>
        </w:rPr>
        <w:t xml:space="preserve"> NABDI</w:t>
      </w:r>
      <w:r w:rsidRPr="00035598">
        <w:rPr>
          <w:rFonts w:cs="Times New Roman"/>
        </w:rPr>
        <w:t xml:space="preserve"> grant award.  Tribes at Sanction Level 1 will be considered for funding.</w:t>
      </w:r>
    </w:p>
    <w:p w:rsidR="00DB791F" w:rsidRPr="00B83A08" w:rsidRDefault="00DB791F" w:rsidP="00FC21C8">
      <w:pPr>
        <w:pStyle w:val="FedReg-headitalic2"/>
        <w:rPr>
          <w:u w:val="none"/>
        </w:rPr>
      </w:pPr>
      <w:r w:rsidRPr="00B83A08">
        <w:rPr>
          <w:u w:val="none"/>
        </w:rPr>
        <w:t>4.</w:t>
      </w:r>
      <w:r w:rsidRPr="00B83A08">
        <w:rPr>
          <w:u w:val="none"/>
        </w:rPr>
        <w:tab/>
        <w:t xml:space="preserve">Completion of Previous </w:t>
      </w:r>
      <w:r w:rsidR="001B1F80" w:rsidRPr="00B83A08">
        <w:rPr>
          <w:u w:val="none"/>
        </w:rPr>
        <w:t>NABDI Technical Assistance</w:t>
      </w:r>
      <w:r w:rsidRPr="00B83A08">
        <w:rPr>
          <w:u w:val="none"/>
        </w:rPr>
        <w:t xml:space="preserve"> Projects</w:t>
      </w:r>
    </w:p>
    <w:p w:rsidR="00DB791F" w:rsidRDefault="00A55F0A" w:rsidP="00FC21C8">
      <w:pPr>
        <w:pStyle w:val="FedReg-bodyindent25"/>
      </w:pPr>
      <w:r>
        <w:t xml:space="preserve">Generally, </w:t>
      </w:r>
      <w:r w:rsidR="0043470A">
        <w:t>IEED</w:t>
      </w:r>
      <w:r w:rsidR="00DB791F">
        <w:t xml:space="preserve"> will </w:t>
      </w:r>
      <w:r w:rsidR="003602BF">
        <w:t>neither</w:t>
      </w:r>
      <w:r w:rsidR="00DB791F">
        <w:t xml:space="preserve"> support nor recommend additional funding for a project until all project functions scheduled for completion the previous year have been documented by the tribe </w:t>
      </w:r>
      <w:r w:rsidR="0027410C">
        <w:t xml:space="preserve">or entity </w:t>
      </w:r>
      <w:r w:rsidR="002D3CF2">
        <w:t xml:space="preserve">and reviewed by </w:t>
      </w:r>
      <w:r w:rsidR="0043470A">
        <w:t>IEED</w:t>
      </w:r>
      <w:r w:rsidR="00DB791F">
        <w:t xml:space="preserve">.  </w:t>
      </w:r>
    </w:p>
    <w:p w:rsidR="00DB791F" w:rsidRDefault="00DB791F" w:rsidP="00FC21C8">
      <w:pPr>
        <w:pStyle w:val="FedReg-bodyindent25"/>
      </w:pPr>
      <w:r>
        <w:t>Under some circumstances</w:t>
      </w:r>
      <w:r w:rsidR="006F507B">
        <w:t>,</w:t>
      </w:r>
      <w:r>
        <w:t xml:space="preserve"> delays encountered in performing the project that are beyond the control of the tribe</w:t>
      </w:r>
      <w:r w:rsidR="0027410C">
        <w:t xml:space="preserve">/entity </w:t>
      </w:r>
      <w:r>
        <w:t xml:space="preserve">or their consultant will be taken into consideration </w:t>
      </w:r>
      <w:r w:rsidR="00E03ABF">
        <w:t>when making decisions on future-</w:t>
      </w:r>
      <w:r>
        <w:t xml:space="preserve">year </w:t>
      </w:r>
      <w:r w:rsidR="001B1F80">
        <w:t>NABDI technical assistance</w:t>
      </w:r>
      <w:r>
        <w:t xml:space="preserve"> awards.  Such acceptable delays may include late delivery of funding awards to the tribal project, difficulty in finding appropriate contractors to perform project functions, permitting issues, </w:t>
      </w:r>
      <w:r w:rsidR="00B16C3F">
        <w:t>and weather delays.</w:t>
      </w:r>
      <w:r>
        <w:t xml:space="preserve"> </w:t>
      </w:r>
    </w:p>
    <w:p w:rsidR="00C55691" w:rsidRPr="00B83A08" w:rsidRDefault="00C55691" w:rsidP="00FC21C8">
      <w:pPr>
        <w:pStyle w:val="FedReg-headitalic2"/>
        <w:rPr>
          <w:u w:val="none"/>
        </w:rPr>
      </w:pPr>
      <w:r w:rsidRPr="00B83A08">
        <w:rPr>
          <w:u w:val="none"/>
        </w:rPr>
        <w:t>5.</w:t>
      </w:r>
      <w:r w:rsidRPr="00B83A08">
        <w:rPr>
          <w:u w:val="none"/>
        </w:rPr>
        <w:tab/>
        <w:t>Multiple Projects</w:t>
      </w:r>
    </w:p>
    <w:p w:rsidR="00C55691" w:rsidRPr="00C55691" w:rsidRDefault="0043470A" w:rsidP="00FC21C8">
      <w:pPr>
        <w:pStyle w:val="FedReg-bodyindent25"/>
      </w:pPr>
      <w:r>
        <w:t>IEED</w:t>
      </w:r>
      <w:r w:rsidR="00C55691" w:rsidRPr="00C55691">
        <w:t xml:space="preserve"> will accept more than one application from a tribe </w:t>
      </w:r>
      <w:r w:rsidR="00FA1C2F">
        <w:t xml:space="preserve">or entity </w:t>
      </w:r>
      <w:r w:rsidR="00C55691" w:rsidRPr="00C55691">
        <w:t xml:space="preserve">for projects, even if the project concerns the same </w:t>
      </w:r>
      <w:r w:rsidR="001B1F80">
        <w:t>economic development project, business, or technology</w:t>
      </w:r>
      <w:r w:rsidR="00C55691" w:rsidRPr="00C55691">
        <w:t xml:space="preserve">.  For example, </w:t>
      </w:r>
      <w:r w:rsidR="0032504F" w:rsidRPr="007B7BEF">
        <w:t>a tribe</w:t>
      </w:r>
      <w:r w:rsidR="00FA1C2F" w:rsidRPr="00FA1C2F">
        <w:t xml:space="preserve"> </w:t>
      </w:r>
      <w:r w:rsidR="00FA1C2F">
        <w:t>or entity</w:t>
      </w:r>
      <w:r w:rsidR="0032504F" w:rsidRPr="007B7BEF">
        <w:t xml:space="preserve"> interested in building and developing a business park </w:t>
      </w:r>
      <w:r w:rsidR="003602BF">
        <w:t>c</w:t>
      </w:r>
      <w:r w:rsidR="005142C6">
        <w:t>ould</w:t>
      </w:r>
      <w:r w:rsidR="0032504F" w:rsidRPr="007B7BEF">
        <w:t xml:space="preserve"> apply for a feasibility study of the business potential </w:t>
      </w:r>
      <w:r w:rsidR="00AB241E">
        <w:t xml:space="preserve">of the park, </w:t>
      </w:r>
      <w:r w:rsidR="0032504F" w:rsidRPr="007B7BEF">
        <w:t>as well as a business plan on how to market the park</w:t>
      </w:r>
      <w:r w:rsidR="001B1F80">
        <w:t xml:space="preserve">.  </w:t>
      </w:r>
      <w:r w:rsidR="005142C6">
        <w:t>All sep</w:t>
      </w:r>
      <w:r w:rsidR="00AB241E">
        <w:t>a</w:t>
      </w:r>
      <w:r w:rsidR="005142C6">
        <w:t>rat</w:t>
      </w:r>
      <w:r w:rsidR="00AB241E">
        <w:t>e</w:t>
      </w:r>
      <w:r w:rsidR="005142C6">
        <w:t xml:space="preserve">ly identifiable projects should be </w:t>
      </w:r>
      <w:r w:rsidR="00BD1233">
        <w:t xml:space="preserve">submitted </w:t>
      </w:r>
      <w:r w:rsidR="003602BF">
        <w:t>in</w:t>
      </w:r>
      <w:r w:rsidR="00BD1233">
        <w:t xml:space="preserve"> separate application</w:t>
      </w:r>
      <w:r w:rsidR="003602BF">
        <w:t>s</w:t>
      </w:r>
      <w:r w:rsidR="00BD1233">
        <w:t xml:space="preserve">.  </w:t>
      </w:r>
      <w:r w:rsidR="005142C6">
        <w:t xml:space="preserve">Any submissions that contain multiple proposals will not be considered.  </w:t>
      </w:r>
      <w:r w:rsidR="00A54C1E">
        <w:t xml:space="preserve">The </w:t>
      </w:r>
      <w:r w:rsidR="001B1F80">
        <w:t>IEED</w:t>
      </w:r>
      <w:r w:rsidR="00C55691" w:rsidRPr="00C55691">
        <w:t xml:space="preserve"> will apply the same objective ranking criteria to each proposal.</w:t>
      </w:r>
    </w:p>
    <w:p w:rsidR="00DB791F" w:rsidRPr="00B83A08" w:rsidRDefault="00C55691" w:rsidP="00FC21C8">
      <w:pPr>
        <w:pStyle w:val="FedReg-headitalic2"/>
        <w:rPr>
          <w:u w:val="none"/>
        </w:rPr>
      </w:pPr>
      <w:r w:rsidRPr="00B83A08">
        <w:rPr>
          <w:u w:val="none"/>
        </w:rPr>
        <w:t>6</w:t>
      </w:r>
      <w:r w:rsidR="00DB791F" w:rsidRPr="00B83A08">
        <w:rPr>
          <w:u w:val="none"/>
        </w:rPr>
        <w:t>.</w:t>
      </w:r>
      <w:r w:rsidR="00DB791F" w:rsidRPr="00B83A08">
        <w:rPr>
          <w:u w:val="none"/>
        </w:rPr>
        <w:tab/>
        <w:t>Multi-Year Projects</w:t>
      </w:r>
    </w:p>
    <w:p w:rsidR="00DB791F" w:rsidRDefault="0043470A" w:rsidP="00FC21C8">
      <w:pPr>
        <w:pStyle w:val="FedReg-bodyindent25"/>
      </w:pPr>
      <w:r>
        <w:t>IEED</w:t>
      </w:r>
      <w:r w:rsidR="00DB791F">
        <w:t xml:space="preserve"> cannot award multi-year funding for a project.  Funding available for the </w:t>
      </w:r>
      <w:r w:rsidR="001B1F80">
        <w:t xml:space="preserve">NABDI technical assistance </w:t>
      </w:r>
      <w:r w:rsidR="00DB791F">
        <w:t>is subject to annual appropriations by Congress and</w:t>
      </w:r>
      <w:r w:rsidR="00DF4E10">
        <w:t>,</w:t>
      </w:r>
      <w:r w:rsidR="00DB791F">
        <w:t xml:space="preserve"> therefore</w:t>
      </w:r>
      <w:r w:rsidR="00DF4E10">
        <w:t>,</w:t>
      </w:r>
      <w:r w:rsidR="00DB791F">
        <w:t xml:space="preserve"> </w:t>
      </w:r>
      <w:r>
        <w:t>IEED</w:t>
      </w:r>
      <w:r w:rsidR="00DB791F">
        <w:t xml:space="preserve"> can only consider single-year fund</w:t>
      </w:r>
      <w:r>
        <w:t xml:space="preserve">ed projects.  Generally, </w:t>
      </w:r>
      <w:r w:rsidR="001B1F80">
        <w:t xml:space="preserve">the </w:t>
      </w:r>
      <w:r w:rsidR="008964B6">
        <w:t xml:space="preserve">feasibility studies of </w:t>
      </w:r>
      <w:r w:rsidR="001B1F80" w:rsidRPr="001B1F80">
        <w:t xml:space="preserve">economic development opportunities </w:t>
      </w:r>
      <w:r w:rsidR="001B1F80">
        <w:t>for which NABDI technical assistance funding is available</w:t>
      </w:r>
      <w:r w:rsidR="00DB791F">
        <w:t xml:space="preserve"> are designed to be completed in one year. </w:t>
      </w:r>
      <w:r w:rsidR="001B1F80">
        <w:t xml:space="preserve"> </w:t>
      </w:r>
      <w:r w:rsidR="00805540">
        <w:t>If a NABDI project has not been completed by the end of the year due to extenuating circumstances, the tribe</w:t>
      </w:r>
      <w:r w:rsidR="00FA1C2F" w:rsidRPr="00FA1C2F">
        <w:t xml:space="preserve"> </w:t>
      </w:r>
      <w:r w:rsidR="00FA1C2F">
        <w:t>or entity</w:t>
      </w:r>
      <w:r w:rsidR="00805540">
        <w:t xml:space="preserve"> shall submit a written request for a no cost extension, with </w:t>
      </w:r>
      <w:r w:rsidR="003602BF">
        <w:t xml:space="preserve">an </w:t>
      </w:r>
      <w:r w:rsidR="00805540">
        <w:t>explanation for non-completion, in order to maintain a good standing status for the purposes of future funding requests</w:t>
      </w:r>
      <w:r w:rsidR="00DA3D96">
        <w:t>.</w:t>
      </w:r>
    </w:p>
    <w:p w:rsidR="001C5D11" w:rsidRDefault="001C5D11" w:rsidP="00FC21C8">
      <w:pPr>
        <w:pStyle w:val="FedReg-headitalic2"/>
      </w:pPr>
    </w:p>
    <w:p w:rsidR="00C7339B" w:rsidRPr="00624907" w:rsidRDefault="005142C6" w:rsidP="00FC21C8">
      <w:pPr>
        <w:pStyle w:val="FedReg-headitalic2"/>
        <w:rPr>
          <w:sz w:val="18"/>
          <w:u w:val="none"/>
        </w:rPr>
      </w:pPr>
      <w:r w:rsidRPr="00624907">
        <w:rPr>
          <w:u w:val="none"/>
        </w:rPr>
        <w:t>7</w:t>
      </w:r>
      <w:r w:rsidR="00DB791F" w:rsidRPr="00624907">
        <w:rPr>
          <w:u w:val="none"/>
        </w:rPr>
        <w:t>.</w:t>
      </w:r>
      <w:r w:rsidR="00C7339B" w:rsidRPr="00624907">
        <w:rPr>
          <w:u w:val="none"/>
        </w:rPr>
        <w:tab/>
      </w:r>
      <w:r w:rsidR="00E328C4" w:rsidRPr="00624907">
        <w:rPr>
          <w:u w:val="none"/>
        </w:rPr>
        <w:t>What t</w:t>
      </w:r>
      <w:r w:rsidR="00990A32" w:rsidRPr="00624907">
        <w:rPr>
          <w:u w:val="none"/>
        </w:rPr>
        <w:t xml:space="preserve">he </w:t>
      </w:r>
      <w:r w:rsidR="0008760A" w:rsidRPr="00624907">
        <w:rPr>
          <w:u w:val="none"/>
        </w:rPr>
        <w:t>NABDI Technical Assistance Funding</w:t>
      </w:r>
      <w:r w:rsidR="00017073" w:rsidRPr="00624907">
        <w:rPr>
          <w:u w:val="none"/>
        </w:rPr>
        <w:t xml:space="preserve"> Cannot Fund</w:t>
      </w:r>
    </w:p>
    <w:p w:rsidR="00C7339B" w:rsidRDefault="00C7339B" w:rsidP="00FC21C8">
      <w:pPr>
        <w:pStyle w:val="FedReg-bodyindent25"/>
        <w:rPr>
          <w:strike/>
        </w:rPr>
      </w:pPr>
      <w:r>
        <w:t xml:space="preserve">As stated above, </w:t>
      </w:r>
      <w:r w:rsidR="009D300E">
        <w:t xml:space="preserve">these </w:t>
      </w:r>
      <w:r>
        <w:t xml:space="preserve">funds are specifically for </w:t>
      </w:r>
      <w:r w:rsidR="0008760A">
        <w:t>technical assistance for only the following:  feasibility studies of economic development opportunities.</w:t>
      </w:r>
      <w:r>
        <w:t xml:space="preserve">  Examples of elements that cannot be funded include: </w:t>
      </w:r>
    </w:p>
    <w:p w:rsidR="00C7339B" w:rsidRDefault="00C7339B" w:rsidP="00FC21C8">
      <w:pPr>
        <w:pStyle w:val="FedReg-bullet"/>
      </w:pPr>
      <w:r>
        <w:t>Establishing or operating a tribal office, and/or purchase of office equipment not specific to the assessment proje</w:t>
      </w:r>
      <w:r w:rsidRPr="00A71FA8">
        <w:t>ct</w:t>
      </w:r>
      <w:r w:rsidR="00AB241E">
        <w:t xml:space="preserve"> (however, t</w:t>
      </w:r>
      <w:r w:rsidR="003118D7" w:rsidRPr="00A71FA8">
        <w:t xml:space="preserve">ribal salaries may be </w:t>
      </w:r>
      <w:r w:rsidR="00AB241E">
        <w:t>allowed</w:t>
      </w:r>
      <w:r w:rsidR="003118D7" w:rsidRPr="00A71FA8">
        <w:t xml:space="preserve"> only if </w:t>
      </w:r>
      <w:r w:rsidR="0007610E">
        <w:t xml:space="preserve">the personnel </w:t>
      </w:r>
      <w:r w:rsidR="003118D7" w:rsidRPr="00A71FA8">
        <w:t>are directly involved in the project and only for the duration of the project</w:t>
      </w:r>
      <w:r w:rsidR="00AB241E">
        <w:t>)</w:t>
      </w:r>
      <w:r w:rsidRPr="00A71FA8">
        <w:t>;</w:t>
      </w:r>
    </w:p>
    <w:p w:rsidR="00C7339B" w:rsidRPr="00806048" w:rsidRDefault="004803AA" w:rsidP="00FC21C8">
      <w:pPr>
        <w:pStyle w:val="FedReg-bullet"/>
      </w:pPr>
      <w:r w:rsidRPr="00806048">
        <w:t xml:space="preserve">Indirect costs and </w:t>
      </w:r>
      <w:r w:rsidR="00E1089D" w:rsidRPr="00806048">
        <w:t>o</w:t>
      </w:r>
      <w:r w:rsidR="00C7339B" w:rsidRPr="00806048">
        <w:t xml:space="preserve">verhead </w:t>
      </w:r>
      <w:r w:rsidRPr="00806048">
        <w:t xml:space="preserve">as </w:t>
      </w:r>
      <w:r w:rsidR="00E1089D" w:rsidRPr="00806048">
        <w:t xml:space="preserve">defined by </w:t>
      </w:r>
      <w:r w:rsidRPr="00806048">
        <w:t>the Federal Acquisition Regulation (FAR);</w:t>
      </w:r>
    </w:p>
    <w:p w:rsidR="00C7339B" w:rsidRDefault="00C7339B" w:rsidP="00FC21C8">
      <w:pPr>
        <w:pStyle w:val="FedReg-bullet"/>
      </w:pPr>
      <w:r>
        <w:t xml:space="preserve">Purchase of </w:t>
      </w:r>
      <w:r w:rsidR="00FD2907">
        <w:t>equip</w:t>
      </w:r>
      <w:r w:rsidR="008206AC">
        <w:t>ment that is used to develop the feasibility studies or economic</w:t>
      </w:r>
      <w:r w:rsidR="007B7BEF">
        <w:t xml:space="preserve"> development</w:t>
      </w:r>
      <w:r w:rsidR="008206AC">
        <w:t xml:space="preserve"> plans</w:t>
      </w:r>
      <w:r w:rsidR="00FD2907">
        <w:t xml:space="preserve">, </w:t>
      </w:r>
      <w:r>
        <w:t>such as computers, vehicles, field gear, et</w:t>
      </w:r>
      <w:r w:rsidR="00806048">
        <w:t>c.</w:t>
      </w:r>
      <w:r>
        <w:t xml:space="preserve"> </w:t>
      </w:r>
      <w:r w:rsidR="00806048">
        <w:t>(h</w:t>
      </w:r>
      <w:r>
        <w:t xml:space="preserve">owever, </w:t>
      </w:r>
      <w:r w:rsidR="00FD2907">
        <w:t xml:space="preserve">the </w:t>
      </w:r>
      <w:r>
        <w:t xml:space="preserve">leasing of </w:t>
      </w:r>
      <w:r w:rsidR="00FD2907">
        <w:t xml:space="preserve">this type of </w:t>
      </w:r>
      <w:r>
        <w:t xml:space="preserve">equipment for the purpose of </w:t>
      </w:r>
      <w:r w:rsidR="001C09FB">
        <w:t>developing feasibility studies or economic</w:t>
      </w:r>
      <w:r w:rsidR="007B7BEF">
        <w:t xml:space="preserve"> development</w:t>
      </w:r>
      <w:r w:rsidR="001C09FB">
        <w:t xml:space="preserve"> plans</w:t>
      </w:r>
      <w:r w:rsidR="00DF4E10">
        <w:t xml:space="preserve"> is allowed)</w:t>
      </w:r>
      <w:r w:rsidR="003602BF">
        <w:t>;</w:t>
      </w:r>
    </w:p>
    <w:p w:rsidR="00C7339B" w:rsidRPr="00237F00" w:rsidRDefault="00DF4E10" w:rsidP="00FC21C8">
      <w:pPr>
        <w:pStyle w:val="FedReg-bullet"/>
      </w:pPr>
      <w:r>
        <w:t>Legal fees</w:t>
      </w:r>
      <w:r w:rsidR="00EB31D3">
        <w:t>;</w:t>
      </w:r>
    </w:p>
    <w:p w:rsidR="00C7339B" w:rsidRPr="00237F00" w:rsidRDefault="004803AA" w:rsidP="00FC21C8">
      <w:pPr>
        <w:pStyle w:val="FedReg-bullet"/>
      </w:pPr>
      <w:r w:rsidRPr="00237F00">
        <w:t xml:space="preserve">Application </w:t>
      </w:r>
      <w:r w:rsidR="00DF4E10">
        <w:t>fees associated with permitting</w:t>
      </w:r>
      <w:r w:rsidR="00EB31D3">
        <w:t>;</w:t>
      </w:r>
    </w:p>
    <w:p w:rsidR="00C7339B" w:rsidRPr="005157EF" w:rsidRDefault="00C7339B" w:rsidP="00FC21C8">
      <w:pPr>
        <w:pStyle w:val="FedReg-bullet"/>
        <w:rPr>
          <w:b/>
        </w:rPr>
      </w:pPr>
      <w:r w:rsidRPr="003118D7">
        <w:rPr>
          <w:spacing w:val="5"/>
        </w:rPr>
        <w:t>Training</w:t>
      </w:r>
      <w:r w:rsidR="00EB31D3">
        <w:rPr>
          <w:spacing w:val="5"/>
        </w:rPr>
        <w:t>;</w:t>
      </w:r>
    </w:p>
    <w:p w:rsidR="00C7339B" w:rsidRDefault="005F6EA4" w:rsidP="00FC21C8">
      <w:pPr>
        <w:pStyle w:val="FedReg-bullet"/>
      </w:pPr>
      <w:r>
        <w:t>Contracted n</w:t>
      </w:r>
      <w:r w:rsidR="00C7339B">
        <w:t>egotiation fees</w:t>
      </w:r>
      <w:r w:rsidR="00EB31D3">
        <w:t>;</w:t>
      </w:r>
      <w:r w:rsidR="00560490">
        <w:t xml:space="preserve"> and</w:t>
      </w:r>
    </w:p>
    <w:p w:rsidR="00C7339B" w:rsidRDefault="00C7339B" w:rsidP="00FC21C8">
      <w:pPr>
        <w:pStyle w:val="FedReg-bullet"/>
      </w:pPr>
      <w:r>
        <w:t xml:space="preserve">Any other activities not authorized by the </w:t>
      </w:r>
      <w:r w:rsidR="006F507B">
        <w:t>t</w:t>
      </w:r>
      <w:r>
        <w:t>ribal re</w:t>
      </w:r>
      <w:r w:rsidR="0078659F">
        <w:t xml:space="preserve">solution or </w:t>
      </w:r>
      <w:r w:rsidR="00DF4E10">
        <w:t>the award letter</w:t>
      </w:r>
      <w:r w:rsidR="00277252">
        <w:t>.</w:t>
      </w:r>
    </w:p>
    <w:p w:rsidR="00591242" w:rsidRPr="00624907" w:rsidRDefault="005142C6" w:rsidP="00FC21C8">
      <w:pPr>
        <w:pStyle w:val="FedReg-headitalic2"/>
        <w:rPr>
          <w:sz w:val="18"/>
          <w:u w:val="none"/>
        </w:rPr>
      </w:pPr>
      <w:r w:rsidRPr="00624907">
        <w:rPr>
          <w:bCs/>
          <w:color w:val="000000"/>
          <w:szCs w:val="22"/>
          <w:u w:val="none"/>
        </w:rPr>
        <w:t>8</w:t>
      </w:r>
      <w:r w:rsidR="00405947" w:rsidRPr="00624907">
        <w:rPr>
          <w:bCs/>
          <w:color w:val="000000"/>
          <w:szCs w:val="22"/>
          <w:u w:val="none"/>
        </w:rPr>
        <w:t>.</w:t>
      </w:r>
      <w:r w:rsidR="006C3F29" w:rsidRPr="00624907">
        <w:rPr>
          <w:bCs/>
          <w:color w:val="000000"/>
          <w:szCs w:val="22"/>
          <w:u w:val="none"/>
        </w:rPr>
        <w:tab/>
      </w:r>
      <w:r w:rsidR="00F229EC" w:rsidRPr="00624907">
        <w:rPr>
          <w:bCs/>
          <w:color w:val="000000"/>
          <w:szCs w:val="22"/>
          <w:u w:val="none"/>
        </w:rPr>
        <w:t>Who</w:t>
      </w:r>
      <w:r w:rsidR="00F229EC" w:rsidRPr="00624907">
        <w:rPr>
          <w:u w:val="none"/>
        </w:rPr>
        <w:t xml:space="preserve"> Performs </w:t>
      </w:r>
      <w:r w:rsidR="001C09FB" w:rsidRPr="00624907">
        <w:rPr>
          <w:u w:val="none"/>
        </w:rPr>
        <w:t>Feasibility</w:t>
      </w:r>
      <w:r w:rsidR="00BF7E23" w:rsidRPr="00624907">
        <w:rPr>
          <w:u w:val="none"/>
        </w:rPr>
        <w:t xml:space="preserve"> </w:t>
      </w:r>
      <w:r w:rsidR="00F229EC" w:rsidRPr="00624907">
        <w:rPr>
          <w:u w:val="none"/>
        </w:rPr>
        <w:t>Studies</w:t>
      </w:r>
      <w:r w:rsidR="001C09FB" w:rsidRPr="00624907">
        <w:rPr>
          <w:u w:val="none"/>
        </w:rPr>
        <w:t xml:space="preserve"> or Economic Plans</w:t>
      </w:r>
      <w:r w:rsidR="00F229EC" w:rsidRPr="00624907">
        <w:rPr>
          <w:u w:val="none"/>
        </w:rPr>
        <w:t>?</w:t>
      </w:r>
    </w:p>
    <w:p w:rsidR="00591242" w:rsidRDefault="00591242" w:rsidP="00FC21C8">
      <w:pPr>
        <w:pStyle w:val="FedReg-bodyindent25"/>
      </w:pPr>
      <w:r>
        <w:t xml:space="preserve">The tribe </w:t>
      </w:r>
      <w:r w:rsidR="00FA1C2F">
        <w:t xml:space="preserve">or entity </w:t>
      </w:r>
      <w:r>
        <w:t xml:space="preserve">determines who </w:t>
      </w:r>
      <w:r w:rsidR="003602BF">
        <w:t>it</w:t>
      </w:r>
      <w:r>
        <w:t xml:space="preserve"> wish</w:t>
      </w:r>
      <w:r w:rsidR="003602BF">
        <w:t>es</w:t>
      </w:r>
      <w:r w:rsidR="00560490">
        <w:t xml:space="preserve"> to conduct an economic development</w:t>
      </w:r>
      <w:r>
        <w:t xml:space="preserve"> </w:t>
      </w:r>
      <w:r w:rsidR="00560490">
        <w:t>feasibility study</w:t>
      </w:r>
      <w:r w:rsidR="001C09FB">
        <w:t>.</w:t>
      </w:r>
      <w:r>
        <w:t xml:space="preserve">  A tribe</w:t>
      </w:r>
      <w:r w:rsidR="00FA1C2F" w:rsidRPr="00FA1C2F">
        <w:t xml:space="preserve"> </w:t>
      </w:r>
      <w:r w:rsidR="00FA1C2F">
        <w:t>or entity</w:t>
      </w:r>
      <w:r>
        <w:t xml:space="preserve"> has several choices</w:t>
      </w:r>
      <w:r w:rsidR="001C5D11">
        <w:t>, including but not limited to</w:t>
      </w:r>
      <w:r>
        <w:t>:</w:t>
      </w:r>
    </w:p>
    <w:p w:rsidR="001C09FB" w:rsidRDefault="001C09FB" w:rsidP="00FC21C8">
      <w:pPr>
        <w:pStyle w:val="FedReg-bullet"/>
      </w:pPr>
      <w:r>
        <w:t>Universities and colleges;</w:t>
      </w:r>
    </w:p>
    <w:p w:rsidR="001C09FB" w:rsidRDefault="001C09FB" w:rsidP="00FC21C8">
      <w:pPr>
        <w:pStyle w:val="FedReg-bullet"/>
      </w:pPr>
      <w:r>
        <w:t>Private consulting firms; or</w:t>
      </w:r>
    </w:p>
    <w:p w:rsidR="001C09FB" w:rsidRDefault="001C09FB" w:rsidP="00FC21C8">
      <w:pPr>
        <w:pStyle w:val="FedReg-bullet"/>
      </w:pPr>
      <w:r>
        <w:t>Non-academic, non-profit entities.</w:t>
      </w:r>
    </w:p>
    <w:p w:rsidR="00591242" w:rsidRDefault="00591242" w:rsidP="00FC21C8">
      <w:pPr>
        <w:pStyle w:val="FedReg-bodyindent25"/>
      </w:pPr>
      <w:r>
        <w:t xml:space="preserve">There are no requirements or restrictions on how the </w:t>
      </w:r>
      <w:r w:rsidR="00AF7A7E">
        <w:t>t</w:t>
      </w:r>
      <w:r>
        <w:t>ribe</w:t>
      </w:r>
      <w:r w:rsidR="00FA1C2F" w:rsidRPr="00FA1C2F">
        <w:t xml:space="preserve"> </w:t>
      </w:r>
      <w:r w:rsidR="00FA1C2F">
        <w:t>or entity</w:t>
      </w:r>
      <w:r>
        <w:t xml:space="preserve"> performs </w:t>
      </w:r>
      <w:r w:rsidR="003602BF">
        <w:t>its</w:t>
      </w:r>
      <w:r>
        <w:t xml:space="preserve"> contracting function for the </w:t>
      </w:r>
      <w:r w:rsidR="0055347D">
        <w:t>consultant</w:t>
      </w:r>
      <w:r>
        <w:t xml:space="preserve">.  The </w:t>
      </w:r>
      <w:r w:rsidR="00AF7A7E">
        <w:t>t</w:t>
      </w:r>
      <w:r>
        <w:t xml:space="preserve">ribe </w:t>
      </w:r>
      <w:r w:rsidR="00FA1C2F">
        <w:t xml:space="preserve">or entity </w:t>
      </w:r>
      <w:r>
        <w:t xml:space="preserve">is free </w:t>
      </w:r>
      <w:r w:rsidR="00B16C3F">
        <w:t>to</w:t>
      </w:r>
      <w:r>
        <w:t xml:space="preserve"> issue the contract through a sole</w:t>
      </w:r>
      <w:r w:rsidR="00AF7A7E">
        <w:t xml:space="preserve"> </w:t>
      </w:r>
      <w:r>
        <w:t xml:space="preserve">source selection or through competitive bidding.  This determination will depend on the </w:t>
      </w:r>
      <w:r w:rsidR="00AF7A7E">
        <w:t>t</w:t>
      </w:r>
      <w:r>
        <w:t>ribe</w:t>
      </w:r>
      <w:r w:rsidR="003602BF">
        <w:t>’s</w:t>
      </w:r>
      <w:r w:rsidR="00FA1C2F">
        <w:t xml:space="preserve"> or</w:t>
      </w:r>
      <w:r w:rsidR="003602BF">
        <w:t xml:space="preserve"> the</w:t>
      </w:r>
      <w:r w:rsidR="00FA1C2F">
        <w:t xml:space="preserve"> entity’</w:t>
      </w:r>
      <w:r>
        <w:t>s own policies for contracting procedures.</w:t>
      </w:r>
      <w:r w:rsidR="0023365C">
        <w:t xml:space="preserve">  </w:t>
      </w:r>
    </w:p>
    <w:p w:rsidR="00E03ABF" w:rsidRDefault="00E03ABF" w:rsidP="002055ED">
      <w:pPr>
        <w:pStyle w:val="FedReg-Head1"/>
      </w:pPr>
    </w:p>
    <w:p w:rsidR="00C7339B" w:rsidRPr="00824BCC" w:rsidRDefault="00FB23D5" w:rsidP="002055ED">
      <w:pPr>
        <w:pStyle w:val="FedReg-Head1"/>
        <w:rPr>
          <w:strike/>
        </w:rPr>
      </w:pPr>
      <w:r>
        <w:t xml:space="preserve">C.  How to Prepare an Application for </w:t>
      </w:r>
      <w:r w:rsidR="001C09FB">
        <w:t>NABDI Technical Assistance</w:t>
      </w:r>
      <w:r>
        <w:t xml:space="preserve"> Funding</w:t>
      </w:r>
    </w:p>
    <w:p w:rsidR="00C7339B" w:rsidRDefault="005142C6" w:rsidP="002055ED">
      <w:pPr>
        <w:pStyle w:val="FedReg-bodyindent25"/>
      </w:pPr>
      <w:r>
        <w:t xml:space="preserve">No standardized grant application form is required.  </w:t>
      </w:r>
      <w:r w:rsidR="00284022">
        <w:t>Each tribe</w:t>
      </w:r>
      <w:r w:rsidR="003602BF">
        <w:t>’s</w:t>
      </w:r>
      <w:r w:rsidR="00FA1C2F" w:rsidRPr="00FA1C2F">
        <w:t xml:space="preserve"> </w:t>
      </w:r>
      <w:r w:rsidR="00FA1C2F">
        <w:t>or entity’</w:t>
      </w:r>
      <w:r w:rsidR="00284022">
        <w:t xml:space="preserve">s </w:t>
      </w:r>
      <w:r w:rsidR="00C7339B">
        <w:t xml:space="preserve">application </w:t>
      </w:r>
      <w:r w:rsidR="00284022">
        <w:t>must meet the criteria in this notice</w:t>
      </w:r>
      <w:r w:rsidR="00C7339B">
        <w:t xml:space="preserve">.  </w:t>
      </w:r>
      <w:r w:rsidR="003602BF">
        <w:t>Please k</w:t>
      </w:r>
      <w:r w:rsidR="00BD1233">
        <w:t xml:space="preserve">eep all </w:t>
      </w:r>
      <w:r w:rsidR="001952CC">
        <w:t xml:space="preserve">Statement of Work portions of the </w:t>
      </w:r>
      <w:r w:rsidR="00BD1233">
        <w:t xml:space="preserve">applications to twenty (20) pages or less.  </w:t>
      </w:r>
      <w:r w:rsidR="00C7339B">
        <w:t xml:space="preserve">A complete </w:t>
      </w:r>
      <w:r w:rsidR="009E1F67">
        <w:t>NABDI</w:t>
      </w:r>
      <w:r w:rsidR="00BF7E23">
        <w:t xml:space="preserve"> funding </w:t>
      </w:r>
      <w:r w:rsidR="00C7339B">
        <w:t xml:space="preserve">request must contain the following </w:t>
      </w:r>
      <w:r w:rsidR="00284022">
        <w:t xml:space="preserve">three </w:t>
      </w:r>
      <w:r w:rsidR="00C7339B">
        <w:t>components:</w:t>
      </w:r>
    </w:p>
    <w:p w:rsidR="00C7339B" w:rsidRPr="007A6197" w:rsidRDefault="007A6197" w:rsidP="00984A67">
      <w:pPr>
        <w:pStyle w:val="FedReg-bullet"/>
      </w:pPr>
      <w:r w:rsidRPr="007A6197">
        <w:t>A</w:t>
      </w:r>
      <w:r w:rsidR="00C7339B" w:rsidRPr="007A6197">
        <w:t xml:space="preserve"> current tribal resolution</w:t>
      </w:r>
      <w:r w:rsidR="00560490">
        <w:t xml:space="preserve"> specific to the application</w:t>
      </w:r>
      <w:r w:rsidR="00C7339B" w:rsidRPr="007A6197">
        <w:t xml:space="preserve"> </w:t>
      </w:r>
      <w:r w:rsidR="001C09FB">
        <w:t>requesting</w:t>
      </w:r>
      <w:r w:rsidR="00560490">
        <w:t xml:space="preserve"> the </w:t>
      </w:r>
      <w:r w:rsidR="001C09FB">
        <w:t>funding</w:t>
      </w:r>
      <w:r w:rsidR="00C7339B" w:rsidRPr="007A6197">
        <w:t>;</w:t>
      </w:r>
    </w:p>
    <w:p w:rsidR="001C09FB" w:rsidRDefault="001C09FB" w:rsidP="00984A67">
      <w:pPr>
        <w:pStyle w:val="FedReg-bullet"/>
      </w:pPr>
      <w:r>
        <w:t>A</w:t>
      </w:r>
      <w:r w:rsidRPr="001C09FB">
        <w:t xml:space="preserve"> statement of work describing the project for which the fea</w:t>
      </w:r>
      <w:r w:rsidR="00560490">
        <w:t>sibility study is requested</w:t>
      </w:r>
      <w:r>
        <w:t xml:space="preserve">; </w:t>
      </w:r>
      <w:r w:rsidR="00AB241E">
        <w:t>and</w:t>
      </w:r>
    </w:p>
    <w:p w:rsidR="00AB241E" w:rsidRDefault="001C09FB" w:rsidP="00AB241E">
      <w:pPr>
        <w:pStyle w:val="FedReg-bullet"/>
      </w:pPr>
      <w:r>
        <w:t>A</w:t>
      </w:r>
      <w:r w:rsidRPr="001C09FB">
        <w:t xml:space="preserve"> budget indicating the funding amount requested and how it will be spent</w:t>
      </w:r>
      <w:r w:rsidR="00AB241E">
        <w:t>.</w:t>
      </w:r>
    </w:p>
    <w:p w:rsidR="00767039" w:rsidRDefault="005142C6" w:rsidP="00AB241E">
      <w:pPr>
        <w:pStyle w:val="FedReg-bullet"/>
        <w:numPr>
          <w:ilvl w:val="0"/>
          <w:numId w:val="0"/>
        </w:numPr>
        <w:ind w:firstLine="360"/>
      </w:pPr>
      <w:r>
        <w:t xml:space="preserve">In addition, where applicable, </w:t>
      </w:r>
      <w:r w:rsidR="00AB241E">
        <w:t xml:space="preserve">the NABDI funding request must contain </w:t>
      </w:r>
      <w:r>
        <w:t>a</w:t>
      </w:r>
      <w:r w:rsidR="00767039">
        <w:t xml:space="preserve"> description of the consultant(s) the </w:t>
      </w:r>
      <w:r w:rsidR="00EB31D3">
        <w:t>t</w:t>
      </w:r>
      <w:r w:rsidR="00767039">
        <w:t>ribe</w:t>
      </w:r>
      <w:r w:rsidR="00FA1C2F" w:rsidRPr="00FA1C2F">
        <w:t xml:space="preserve"> </w:t>
      </w:r>
      <w:r w:rsidR="00FA1C2F">
        <w:t>or entity</w:t>
      </w:r>
      <w:r w:rsidR="00767039">
        <w:t xml:space="preserve"> wishes to retain</w:t>
      </w:r>
      <w:r w:rsidR="00EB31D3">
        <w:t>,</w:t>
      </w:r>
      <w:r w:rsidR="00277252">
        <w:t xml:space="preserve"> including the consultant’s </w:t>
      </w:r>
      <w:r w:rsidR="00767039">
        <w:t>technical expertise, training, qualifications, and suitability to undertake the feasibility study or prepare a long-term, reservation-wide</w:t>
      </w:r>
      <w:r w:rsidR="007B7BEF">
        <w:t xml:space="preserve"> economic development</w:t>
      </w:r>
      <w:r w:rsidR="00767039">
        <w:t xml:space="preserve"> plan.</w:t>
      </w:r>
      <w:r>
        <w:t xml:space="preserve">  This may be included as attachment and</w:t>
      </w:r>
      <w:r w:rsidR="003602BF">
        <w:t xml:space="preserve"> will</w:t>
      </w:r>
      <w:r>
        <w:t xml:space="preserve"> not</w:t>
      </w:r>
      <w:r w:rsidR="003602BF">
        <w:t xml:space="preserve"> be</w:t>
      </w:r>
      <w:r>
        <w:t xml:space="preserve"> counted toward the twenty (20) page limitation</w:t>
      </w:r>
      <w:r w:rsidR="001952CC">
        <w:t xml:space="preserve"> for the Statement of Work</w:t>
      </w:r>
      <w:r>
        <w:t>.</w:t>
      </w:r>
    </w:p>
    <w:p w:rsidR="00C7339B" w:rsidRDefault="00BF7E23" w:rsidP="00984A67">
      <w:pPr>
        <w:pStyle w:val="FedReg-bodyindent25"/>
      </w:pPr>
      <w:r>
        <w:t>IEED</w:t>
      </w:r>
      <w:r w:rsidR="00284022">
        <w:t xml:space="preserve"> will consider any funding request </w:t>
      </w:r>
      <w:r w:rsidR="00C7339B">
        <w:t>that do</w:t>
      </w:r>
      <w:r w:rsidR="00284022">
        <w:t>es</w:t>
      </w:r>
      <w:r w:rsidR="00C7339B">
        <w:t xml:space="preserve"> not contain all of the mandatory components </w:t>
      </w:r>
      <w:r w:rsidR="00284022">
        <w:t xml:space="preserve">to be </w:t>
      </w:r>
      <w:r w:rsidR="00C7339B">
        <w:t xml:space="preserve">incomplete and </w:t>
      </w:r>
      <w:r w:rsidR="00284022">
        <w:t xml:space="preserve">will </w:t>
      </w:r>
      <w:r w:rsidR="00C7339B">
        <w:t>return</w:t>
      </w:r>
      <w:r w:rsidR="00284022">
        <w:t xml:space="preserve"> it</w:t>
      </w:r>
      <w:r w:rsidR="00C7339B">
        <w:t xml:space="preserve"> to the </w:t>
      </w:r>
      <w:r w:rsidR="00B410F8">
        <w:t>tribe</w:t>
      </w:r>
      <w:r w:rsidR="00FA1C2F" w:rsidRPr="00FA1C2F">
        <w:t xml:space="preserve"> </w:t>
      </w:r>
      <w:r w:rsidR="00FA1C2F">
        <w:t>or entity</w:t>
      </w:r>
      <w:r w:rsidR="00C7339B">
        <w:t xml:space="preserve"> with </w:t>
      </w:r>
      <w:r w:rsidR="00A71FA8">
        <w:t xml:space="preserve">an </w:t>
      </w:r>
      <w:r w:rsidR="00C7339B">
        <w:t>explanation.  T</w:t>
      </w:r>
      <w:r w:rsidR="00284022">
        <w:t>he t</w:t>
      </w:r>
      <w:r w:rsidR="00C7339B">
        <w:t>ribe</w:t>
      </w:r>
      <w:r w:rsidR="00FA1C2F" w:rsidRPr="00FA1C2F">
        <w:t xml:space="preserve"> </w:t>
      </w:r>
      <w:r w:rsidR="00FA1C2F">
        <w:t>or entity</w:t>
      </w:r>
      <w:r w:rsidR="00C7339B">
        <w:t xml:space="preserve"> will then be </w:t>
      </w:r>
      <w:r w:rsidR="00C7339B" w:rsidRPr="0052190A">
        <w:t xml:space="preserve">allowed </w:t>
      </w:r>
      <w:r w:rsidR="00C7339B">
        <w:t>to correct all deficiencies and resubmit the proposal for consideration</w:t>
      </w:r>
      <w:r w:rsidR="00A71FA8">
        <w:t xml:space="preserve"> on or before the deadline</w:t>
      </w:r>
      <w:r w:rsidR="00BF685C">
        <w:t>.</w:t>
      </w:r>
    </w:p>
    <w:p w:rsidR="00BF685C" w:rsidRDefault="00BF685C" w:rsidP="00984A67">
      <w:pPr>
        <w:pStyle w:val="FedReg-bodyindent25"/>
      </w:pPr>
      <w:r>
        <w:t>A detailed description of each of the required components follows</w:t>
      </w:r>
      <w:r w:rsidR="003602BF">
        <w:t>:</w:t>
      </w:r>
    </w:p>
    <w:p w:rsidR="00C7339B" w:rsidRPr="00984A67" w:rsidRDefault="000C76FD" w:rsidP="00984A67">
      <w:pPr>
        <w:pStyle w:val="FedReg-headitalic2"/>
        <w:rPr>
          <w:u w:val="none"/>
        </w:rPr>
      </w:pPr>
      <w:r w:rsidRPr="00DA3D96">
        <w:rPr>
          <w:u w:val="none"/>
        </w:rPr>
        <w:t>1</w:t>
      </w:r>
      <w:r w:rsidR="00FB23D5" w:rsidRPr="00DA3D96">
        <w:rPr>
          <w:u w:val="none"/>
        </w:rPr>
        <w:t>.</w:t>
      </w:r>
      <w:r w:rsidR="00C7339B" w:rsidRPr="00DA3D96">
        <w:rPr>
          <w:u w:val="none"/>
        </w:rPr>
        <w:tab/>
        <w:t>Mandatory Component 1:</w:t>
      </w:r>
      <w:r w:rsidR="00C7339B" w:rsidRPr="006F507B">
        <w:rPr>
          <w:i/>
          <w:u w:val="none"/>
        </w:rPr>
        <w:t xml:space="preserve">  </w:t>
      </w:r>
      <w:r w:rsidR="00C7339B" w:rsidRPr="00984A67">
        <w:rPr>
          <w:u w:val="none"/>
        </w:rPr>
        <w:t>T</w:t>
      </w:r>
      <w:r w:rsidR="008D0D81" w:rsidRPr="00984A67">
        <w:rPr>
          <w:u w:val="none"/>
        </w:rPr>
        <w:t>ribal Resolution</w:t>
      </w:r>
    </w:p>
    <w:p w:rsidR="00C7339B" w:rsidRDefault="00C7339B" w:rsidP="00984A67">
      <w:pPr>
        <w:pStyle w:val="FedReg-bodyindent25"/>
      </w:pPr>
      <w:r>
        <w:t xml:space="preserve">The tribal </w:t>
      </w:r>
      <w:r w:rsidRPr="008D0D81">
        <w:t>resolution must be current</w:t>
      </w:r>
      <w:r w:rsidR="000C76FD" w:rsidRPr="008D0D81">
        <w:t xml:space="preserve">, and </w:t>
      </w:r>
      <w:r w:rsidRPr="008D0D81">
        <w:t>must be signed</w:t>
      </w:r>
      <w:r>
        <w:t>.  It mus</w:t>
      </w:r>
      <w:r w:rsidR="001C09FB">
        <w:t xml:space="preserve">t authorize the tribal request for NABDI technical assistance funding </w:t>
      </w:r>
      <w:r>
        <w:t>in the same fis</w:t>
      </w:r>
      <w:r w:rsidR="001C09FB">
        <w:t>cal year as that of the statement of work</w:t>
      </w:r>
      <w:r>
        <w:t xml:space="preserve"> and must explicitly refer to the </w:t>
      </w:r>
      <w:r w:rsidR="001C09FB">
        <w:t xml:space="preserve">statement of work </w:t>
      </w:r>
      <w:r>
        <w:t>being submitted.</w:t>
      </w:r>
      <w:r w:rsidR="008D0D81">
        <w:t xml:space="preserve">  </w:t>
      </w:r>
      <w:r w:rsidR="00BF685C">
        <w:t>The t</w:t>
      </w:r>
      <w:r>
        <w:t>ribal resolution must also include:</w:t>
      </w:r>
    </w:p>
    <w:p w:rsidR="00C7339B" w:rsidRDefault="008D0D81" w:rsidP="00984A67">
      <w:pPr>
        <w:pStyle w:val="FedReg-bodyindent25"/>
      </w:pPr>
      <w:r>
        <w:t>(a)</w:t>
      </w:r>
      <w:r w:rsidR="007A6197">
        <w:tab/>
        <w:t>A</w:t>
      </w:r>
      <w:r w:rsidR="001C09FB">
        <w:t xml:space="preserve"> descri</w:t>
      </w:r>
      <w:r w:rsidR="00815020">
        <w:t>ption of the feasibility study</w:t>
      </w:r>
      <w:r w:rsidR="001C09FB">
        <w:t xml:space="preserve"> to be developed</w:t>
      </w:r>
      <w:r w:rsidR="00C7339B">
        <w:t>;</w:t>
      </w:r>
    </w:p>
    <w:p w:rsidR="00C7339B" w:rsidRDefault="008D0D81" w:rsidP="00984A67">
      <w:pPr>
        <w:pStyle w:val="FedReg-bodyindent25"/>
      </w:pPr>
      <w:r>
        <w:t>(b)</w:t>
      </w:r>
      <w:r w:rsidR="007A6197">
        <w:tab/>
        <w:t>A</w:t>
      </w:r>
      <w:r w:rsidR="00C7339B">
        <w:t xml:space="preserve"> statement that the </w:t>
      </w:r>
      <w:r w:rsidR="00B410F8">
        <w:t>tribe</w:t>
      </w:r>
      <w:r w:rsidR="00C7339B">
        <w:t xml:space="preserve"> </w:t>
      </w:r>
      <w:r w:rsidR="00FA1C2F">
        <w:t xml:space="preserve">or entity </w:t>
      </w:r>
      <w:r w:rsidR="00C7339B">
        <w:t>is willing to consid</w:t>
      </w:r>
      <w:r w:rsidR="001C09FB">
        <w:t xml:space="preserve">er </w:t>
      </w:r>
      <w:r w:rsidR="000162E9">
        <w:t>pursuing</w:t>
      </w:r>
      <w:r w:rsidR="00815020">
        <w:t xml:space="preserve"> the economic opportunity </w:t>
      </w:r>
      <w:r w:rsidR="001C09FB">
        <w:t>developed using the technical assistance funding</w:t>
      </w:r>
      <w:r w:rsidR="00C7339B">
        <w:t>;</w:t>
      </w:r>
    </w:p>
    <w:p w:rsidR="00C7339B" w:rsidRDefault="008D0D81" w:rsidP="00984A67">
      <w:pPr>
        <w:pStyle w:val="FedReg-bodyindent25"/>
      </w:pPr>
      <w:r>
        <w:t>(c)</w:t>
      </w:r>
      <w:r w:rsidR="007A6197">
        <w:tab/>
        <w:t>A</w:t>
      </w:r>
      <w:r w:rsidR="00C7339B">
        <w:t xml:space="preserve"> statement describing how the </w:t>
      </w:r>
      <w:r w:rsidR="00B410F8">
        <w:t>tribe</w:t>
      </w:r>
      <w:r w:rsidR="00C7339B">
        <w:t xml:space="preserve"> </w:t>
      </w:r>
      <w:r w:rsidR="00FA1C2F">
        <w:t xml:space="preserve">or entity </w:t>
      </w:r>
      <w:r w:rsidR="000F5FC2">
        <w:t xml:space="preserve">plans to retain </w:t>
      </w:r>
      <w:r w:rsidR="0055347D">
        <w:t>consultant</w:t>
      </w:r>
      <w:r w:rsidR="000F5FC2">
        <w:t xml:space="preserve">s; </w:t>
      </w:r>
      <w:r w:rsidR="00AB241E">
        <w:t>and</w:t>
      </w:r>
    </w:p>
    <w:p w:rsidR="00C7339B" w:rsidRDefault="008D0D81" w:rsidP="00984A67">
      <w:pPr>
        <w:pStyle w:val="FedReg-bodyindent25"/>
      </w:pPr>
      <w:r>
        <w:t>(d)</w:t>
      </w:r>
      <w:r w:rsidR="007A6197">
        <w:tab/>
        <w:t>A</w:t>
      </w:r>
      <w:r w:rsidR="00C7339B">
        <w:t xml:space="preserve"> statement that the </w:t>
      </w:r>
      <w:r w:rsidR="00B410F8">
        <w:t>tribe</w:t>
      </w:r>
      <w:r w:rsidR="00FA1C2F" w:rsidRPr="00FA1C2F">
        <w:t xml:space="preserve"> </w:t>
      </w:r>
      <w:r w:rsidR="00FA1C2F">
        <w:t>or entity</w:t>
      </w:r>
      <w:r w:rsidR="00C7339B">
        <w:t xml:space="preserve"> will consider public release of information obtained from the</w:t>
      </w:r>
      <w:r w:rsidR="00815020">
        <w:t xml:space="preserve"> feasibility study</w:t>
      </w:r>
      <w:r w:rsidR="00C7339B">
        <w:t xml:space="preserve">.  </w:t>
      </w:r>
      <w:r w:rsidR="00C7339B" w:rsidRPr="007A6197">
        <w:t>(</w:t>
      </w:r>
      <w:r w:rsidR="000162E9">
        <w:t>“</w:t>
      </w:r>
      <w:r w:rsidR="00C7339B" w:rsidRPr="007A6197">
        <w:t>Public release</w:t>
      </w:r>
      <w:r w:rsidR="000162E9">
        <w:t>”</w:t>
      </w:r>
      <w:r w:rsidR="00C7339B" w:rsidRPr="007A6197">
        <w:t xml:space="preserve"> does </w:t>
      </w:r>
      <w:r w:rsidR="00C7339B" w:rsidRPr="00BF685C">
        <w:rPr>
          <w:u w:val="single"/>
        </w:rPr>
        <w:t>not</w:t>
      </w:r>
      <w:r w:rsidR="00C7339B" w:rsidRPr="007A6197">
        <w:t xml:space="preserve"> mean providing copies of the data or reports to any individual, private company or other government agency without express written permission from the tribal government.)</w:t>
      </w:r>
    </w:p>
    <w:p w:rsidR="00170200" w:rsidRPr="00170200" w:rsidRDefault="00170200" w:rsidP="00984A67">
      <w:pPr>
        <w:pStyle w:val="FedReg-bodyindent25"/>
      </w:pPr>
      <w:r w:rsidRPr="00170200">
        <w:rPr>
          <w:b/>
        </w:rPr>
        <w:t>Note:</w:t>
      </w:r>
      <w:r w:rsidRPr="00170200">
        <w:t xml:space="preserve"> Any information in the possession of </w:t>
      </w:r>
      <w:r w:rsidR="00BF7E23">
        <w:t>IEED</w:t>
      </w:r>
      <w:r w:rsidRPr="00170200">
        <w:t xml:space="preserve"> or submitted to </w:t>
      </w:r>
      <w:r w:rsidR="00BF7E23">
        <w:t>IEED</w:t>
      </w:r>
      <w:r w:rsidRPr="00170200">
        <w:t xml:space="preserve"> throughout the </w:t>
      </w:r>
      <w:r w:rsidR="000F5FC2">
        <w:t xml:space="preserve">NABDI funding process </w:t>
      </w:r>
      <w:r w:rsidR="004006F1">
        <w:t xml:space="preserve">constitutes </w:t>
      </w:r>
      <w:r w:rsidRPr="00170200">
        <w:t>government records and may be subject to</w:t>
      </w:r>
      <w:r>
        <w:t xml:space="preserve"> </w:t>
      </w:r>
      <w:r w:rsidRPr="00170200">
        <w:t>disclosure to third parties under the Freedom</w:t>
      </w:r>
      <w:r>
        <w:t xml:space="preserve"> </w:t>
      </w:r>
      <w:r w:rsidRPr="00170200">
        <w:t>of Information Act (FOIA), 5 U.S.C. 552, and</w:t>
      </w:r>
      <w:r>
        <w:t xml:space="preserve"> </w:t>
      </w:r>
      <w:r w:rsidRPr="00170200">
        <w:t>the Department of the Interior’s FOIA</w:t>
      </w:r>
      <w:r>
        <w:t xml:space="preserve"> </w:t>
      </w:r>
      <w:r w:rsidRPr="00170200">
        <w:t>regulations at 43 CFR part 2, unless a FOIA</w:t>
      </w:r>
      <w:r>
        <w:t xml:space="preserve"> </w:t>
      </w:r>
      <w:r w:rsidRPr="00170200">
        <w:t>exemption or exception applies or other</w:t>
      </w:r>
      <w:r>
        <w:t xml:space="preserve"> </w:t>
      </w:r>
      <w:r w:rsidRPr="00170200">
        <w:t xml:space="preserve">provisions of law protect the information. </w:t>
      </w:r>
      <w:r w:rsidR="00277252">
        <w:t xml:space="preserve"> </w:t>
      </w:r>
      <w:r w:rsidRPr="00170200">
        <w:t>A</w:t>
      </w:r>
      <w:r>
        <w:t xml:space="preserve"> </w:t>
      </w:r>
      <w:r w:rsidRPr="00170200">
        <w:t xml:space="preserve">tribe </w:t>
      </w:r>
      <w:r w:rsidR="00FA1C2F">
        <w:t xml:space="preserve">or entity </w:t>
      </w:r>
      <w:r w:rsidRPr="00170200">
        <w:t>may, but is not required to, designate</w:t>
      </w:r>
      <w:r>
        <w:t xml:space="preserve"> </w:t>
      </w:r>
      <w:r w:rsidRPr="00170200">
        <w:t>information it submits as confidential</w:t>
      </w:r>
      <w:r>
        <w:t xml:space="preserve"> </w:t>
      </w:r>
      <w:r w:rsidRPr="00170200">
        <w:t>commercially or financially sensitive</w:t>
      </w:r>
      <w:r>
        <w:t xml:space="preserve"> </w:t>
      </w:r>
      <w:r w:rsidRPr="00170200">
        <w:t>information, as applicable</w:t>
      </w:r>
      <w:r w:rsidR="004006F1">
        <w:t>,</w:t>
      </w:r>
      <w:r w:rsidRPr="00170200">
        <w:t xml:space="preserve"> in any</w:t>
      </w:r>
      <w:r>
        <w:t xml:space="preserve"> </w:t>
      </w:r>
      <w:r w:rsidRPr="00170200">
        <w:t xml:space="preserve">submissions it makes throughout the </w:t>
      </w:r>
      <w:r w:rsidR="000F5FC2">
        <w:t>NABDI funding</w:t>
      </w:r>
      <w:r>
        <w:t xml:space="preserve"> </w:t>
      </w:r>
      <w:r w:rsidRPr="00170200">
        <w:t xml:space="preserve">process. </w:t>
      </w:r>
      <w:r w:rsidR="00277252">
        <w:t xml:space="preserve"> </w:t>
      </w:r>
      <w:r w:rsidRPr="00170200">
        <w:t xml:space="preserve">If </w:t>
      </w:r>
      <w:r w:rsidR="00BF7E23">
        <w:t>IEED</w:t>
      </w:r>
      <w:r w:rsidRPr="00170200">
        <w:t xml:space="preserve"> receives a FOIA request for</w:t>
      </w:r>
      <w:r>
        <w:t xml:space="preserve"> </w:t>
      </w:r>
      <w:r w:rsidR="004006F1">
        <w:t xml:space="preserve">this </w:t>
      </w:r>
      <w:r w:rsidRPr="00170200">
        <w:t>information, it will follow the</w:t>
      </w:r>
      <w:r>
        <w:t xml:space="preserve"> </w:t>
      </w:r>
      <w:r w:rsidRPr="00170200">
        <w:t xml:space="preserve">procedures in 43 CFR </w:t>
      </w:r>
      <w:r w:rsidR="00277252">
        <w:t>P</w:t>
      </w:r>
      <w:r w:rsidRPr="00170200">
        <w:t>art 2.</w:t>
      </w:r>
    </w:p>
    <w:p w:rsidR="001C5D11" w:rsidRPr="00DA3D96" w:rsidRDefault="001C5D11" w:rsidP="00984A67">
      <w:pPr>
        <w:pStyle w:val="FedReg-headitalic2"/>
        <w:rPr>
          <w:u w:val="none"/>
        </w:rPr>
      </w:pPr>
    </w:p>
    <w:p w:rsidR="00C7339B" w:rsidRPr="00984A67" w:rsidRDefault="000C76FD" w:rsidP="00984A67">
      <w:pPr>
        <w:pStyle w:val="FedReg-headitalic2"/>
        <w:rPr>
          <w:u w:val="none"/>
        </w:rPr>
      </w:pPr>
      <w:r w:rsidRPr="00DA3D96">
        <w:rPr>
          <w:u w:val="none"/>
        </w:rPr>
        <w:t>2</w:t>
      </w:r>
      <w:r w:rsidR="00FB23D5" w:rsidRPr="00DA3D96">
        <w:rPr>
          <w:u w:val="none"/>
        </w:rPr>
        <w:t>.</w:t>
      </w:r>
      <w:r w:rsidR="00C7339B" w:rsidRPr="00DA3D96">
        <w:rPr>
          <w:u w:val="none"/>
        </w:rPr>
        <w:tab/>
        <w:t>Mandatory Component 2</w:t>
      </w:r>
      <w:r w:rsidR="00C7339B" w:rsidRPr="006F507B">
        <w:rPr>
          <w:u w:val="none"/>
        </w:rPr>
        <w:t xml:space="preserve">:  </w:t>
      </w:r>
      <w:r w:rsidR="000F5FC2">
        <w:rPr>
          <w:u w:val="none"/>
        </w:rPr>
        <w:t>Statement of Work.</w:t>
      </w:r>
    </w:p>
    <w:p w:rsidR="00FA6C35" w:rsidRDefault="00C7339B" w:rsidP="00984A67">
      <w:pPr>
        <w:pStyle w:val="FedReg-bodyindent25"/>
      </w:pPr>
      <w:r>
        <w:t xml:space="preserve">A </w:t>
      </w:r>
      <w:r w:rsidR="00C41E55">
        <w:t>tribe</w:t>
      </w:r>
      <w:r w:rsidR="000F5FC2">
        <w:t xml:space="preserve"> </w:t>
      </w:r>
      <w:r w:rsidR="00FA1C2F">
        <w:t xml:space="preserve">or entity </w:t>
      </w:r>
      <w:r w:rsidR="000F5FC2">
        <w:t xml:space="preserve">may present the statement of work in any form </w:t>
      </w:r>
      <w:r w:rsidR="000B22D7">
        <w:t>it</w:t>
      </w:r>
      <w:r w:rsidR="000F5FC2">
        <w:t xml:space="preserve"> wish</w:t>
      </w:r>
      <w:r w:rsidR="000B22D7">
        <w:t>es</w:t>
      </w:r>
      <w:r w:rsidR="000F5FC2">
        <w:t xml:space="preserve">, so long as the statement of work describes </w:t>
      </w:r>
      <w:r w:rsidR="000F5FC2" w:rsidRPr="001C09FB">
        <w:t xml:space="preserve">the project for which the feasibility study is requested </w:t>
      </w:r>
      <w:r>
        <w:t xml:space="preserve">within the fiscal year for which funding is being requested.  The </w:t>
      </w:r>
      <w:r w:rsidR="000F5FC2">
        <w:t xml:space="preserve">statement of work </w:t>
      </w:r>
      <w:r>
        <w:t xml:space="preserve">should be well organized, contain as much detail as possible, yet be presented succinctly to allow a quick and thorough understanding of the proposal by the </w:t>
      </w:r>
      <w:r w:rsidR="000F5FC2">
        <w:t xml:space="preserve">IEED </w:t>
      </w:r>
      <w:r>
        <w:t>ranking team.</w:t>
      </w:r>
      <w:r w:rsidR="002A3F17">
        <w:t xml:space="preserve"> </w:t>
      </w:r>
      <w:r w:rsidR="001952CC">
        <w:t xml:space="preserve">The </w:t>
      </w:r>
      <w:r w:rsidR="000B22D7">
        <w:t>s</w:t>
      </w:r>
      <w:r w:rsidR="001952CC">
        <w:t xml:space="preserve">tatement of </w:t>
      </w:r>
      <w:r w:rsidR="000B22D7">
        <w:t>w</w:t>
      </w:r>
      <w:r w:rsidR="001952CC">
        <w:t>ork should not exceed 20 pages.</w:t>
      </w:r>
    </w:p>
    <w:p w:rsidR="002A3F17" w:rsidRDefault="002A3F17" w:rsidP="00984A67">
      <w:pPr>
        <w:pStyle w:val="FedReg-bodyindent25"/>
      </w:pPr>
      <w:r>
        <w:t xml:space="preserve">The </w:t>
      </w:r>
      <w:r w:rsidR="000F5FC2">
        <w:t>statement of work</w:t>
      </w:r>
      <w:r>
        <w:t xml:space="preserve"> should include the following sections:</w:t>
      </w:r>
      <w:r w:rsidR="007A4ECE">
        <w:t xml:space="preserve">  </w:t>
      </w:r>
    </w:p>
    <w:p w:rsidR="002A3F17" w:rsidRDefault="00817E98" w:rsidP="00984A67">
      <w:pPr>
        <w:pStyle w:val="FedReg-headitalic2"/>
      </w:pPr>
      <w:r>
        <w:rPr>
          <w:u w:val="none"/>
        </w:rPr>
        <w:tab/>
      </w:r>
      <w:r w:rsidR="002A3F17" w:rsidRPr="00817E98">
        <w:rPr>
          <w:u w:val="none"/>
        </w:rPr>
        <w:t>(a)</w:t>
      </w:r>
      <w:r w:rsidR="002A3F17" w:rsidRPr="00817E98">
        <w:rPr>
          <w:u w:val="none"/>
        </w:rPr>
        <w:tab/>
      </w:r>
      <w:r w:rsidRPr="00817E98">
        <w:rPr>
          <w:u w:val="none"/>
        </w:rPr>
        <w:t xml:space="preserve"> </w:t>
      </w:r>
      <w:r w:rsidR="002A3F17" w:rsidRPr="00AD0629">
        <w:t xml:space="preserve">Overview and Technical Summary of the </w:t>
      </w:r>
      <w:r w:rsidR="000F5FC2">
        <w:t>Work</w:t>
      </w:r>
      <w:r w:rsidR="002A3F17" w:rsidRPr="00AD0629">
        <w:t>:</w:t>
      </w:r>
      <w:r w:rsidR="002A3F17" w:rsidRPr="006F507B">
        <w:rPr>
          <w:u w:val="none"/>
        </w:rPr>
        <w:t xml:space="preserve">  </w:t>
      </w:r>
      <w:r w:rsidR="002A3F17" w:rsidRPr="00984A67">
        <w:rPr>
          <w:u w:val="none"/>
        </w:rPr>
        <w:t xml:space="preserve">Prepare a short summary overview of the </w:t>
      </w:r>
      <w:r w:rsidR="000F5FC2">
        <w:rPr>
          <w:u w:val="none"/>
        </w:rPr>
        <w:t>work to be contracted for</w:t>
      </w:r>
      <w:r w:rsidR="002A3F17" w:rsidRPr="00984A67">
        <w:rPr>
          <w:u w:val="none"/>
        </w:rPr>
        <w:t xml:space="preserve"> that includes the following:</w:t>
      </w:r>
    </w:p>
    <w:p w:rsidR="002A3F17" w:rsidRPr="00817E98" w:rsidRDefault="002A3F17" w:rsidP="00817E98">
      <w:pPr>
        <w:pStyle w:val="FedRegc-dashbullet"/>
        <w:numPr>
          <w:ilvl w:val="0"/>
          <w:numId w:val="16"/>
        </w:numPr>
      </w:pPr>
      <w:r w:rsidRPr="00817E98">
        <w:t xml:space="preserve">Elements of the proposed </w:t>
      </w:r>
      <w:r w:rsidR="00815020">
        <w:t xml:space="preserve">feasibility </w:t>
      </w:r>
      <w:r w:rsidRPr="00817E98">
        <w:t>study;</w:t>
      </w:r>
    </w:p>
    <w:p w:rsidR="002A3F17" w:rsidRPr="00817E98" w:rsidRDefault="002A3F17" w:rsidP="00817E98">
      <w:pPr>
        <w:pStyle w:val="FedRegc-dashbullet"/>
        <w:numPr>
          <w:ilvl w:val="0"/>
          <w:numId w:val="16"/>
        </w:numPr>
      </w:pPr>
      <w:r w:rsidRPr="00817E98">
        <w:t>Reasons why the proposed study</w:t>
      </w:r>
      <w:r w:rsidR="000F5FC2" w:rsidRPr="00817E98">
        <w:t xml:space="preserve"> or plan</w:t>
      </w:r>
      <w:r w:rsidRPr="00817E98">
        <w:t xml:space="preserve"> is needed;</w:t>
      </w:r>
    </w:p>
    <w:p w:rsidR="002A3F17" w:rsidRPr="00817E98" w:rsidRDefault="002A3F17" w:rsidP="00817E98">
      <w:pPr>
        <w:pStyle w:val="FedRegc-dashbullet"/>
        <w:numPr>
          <w:ilvl w:val="0"/>
          <w:numId w:val="16"/>
        </w:numPr>
      </w:pPr>
      <w:r w:rsidRPr="00817E98">
        <w:t xml:space="preserve">Total </w:t>
      </w:r>
      <w:r w:rsidR="000F5FC2" w:rsidRPr="00817E98">
        <w:t>anticipated</w:t>
      </w:r>
      <w:r w:rsidRPr="00817E98">
        <w:t xml:space="preserve"> funding</w:t>
      </w:r>
      <w:r w:rsidR="00AF7A7E" w:rsidRPr="00817E98">
        <w:t>; and</w:t>
      </w:r>
    </w:p>
    <w:p w:rsidR="002A3F17" w:rsidRPr="00817E98" w:rsidRDefault="00FA6C35" w:rsidP="00817E98">
      <w:pPr>
        <w:pStyle w:val="FedRegc-dashbullet"/>
        <w:numPr>
          <w:ilvl w:val="0"/>
          <w:numId w:val="16"/>
        </w:numPr>
      </w:pPr>
      <w:r w:rsidRPr="00817E98">
        <w:t xml:space="preserve">A tribal </w:t>
      </w:r>
      <w:r w:rsidR="00FA1C2F" w:rsidRPr="00817E98">
        <w:t xml:space="preserve">or entity </w:t>
      </w:r>
      <w:r w:rsidRPr="00817E98">
        <w:t>point of contact for the project and contact information.</w:t>
      </w:r>
    </w:p>
    <w:p w:rsidR="00FA6C35" w:rsidRDefault="00CE53D0" w:rsidP="004C15FF">
      <w:pPr>
        <w:pStyle w:val="FedReg-bodyindent25"/>
      </w:pPr>
      <w:r>
        <w:t xml:space="preserve">(b) </w:t>
      </w:r>
      <w:r w:rsidRPr="00984A67">
        <w:rPr>
          <w:u w:val="single"/>
        </w:rPr>
        <w:t>T</w:t>
      </w:r>
      <w:r w:rsidR="00FA6C35" w:rsidRPr="00984A67">
        <w:rPr>
          <w:u w:val="single"/>
        </w:rPr>
        <w:t xml:space="preserve">echnical Summary </w:t>
      </w:r>
      <w:r w:rsidRPr="00984A67">
        <w:rPr>
          <w:u w:val="single"/>
        </w:rPr>
        <w:t>of Project</w:t>
      </w:r>
      <w:r w:rsidR="00FA6C35" w:rsidRPr="006F507B">
        <w:rPr>
          <w:u w:val="single"/>
        </w:rPr>
        <w:t>:</w:t>
      </w:r>
      <w:r w:rsidR="00FA6C35">
        <w:t xml:space="preserve">  </w:t>
      </w:r>
      <w:r w:rsidR="004847F9">
        <w:t xml:space="preserve">Provide a </w:t>
      </w:r>
      <w:r w:rsidR="00FA6C35" w:rsidRPr="00BE5CB8">
        <w:t>techn</w:t>
      </w:r>
      <w:r w:rsidR="00815020">
        <w:t>ical description of the project</w:t>
      </w:r>
      <w:r w:rsidR="00FA6C35">
        <w:t xml:space="preserve">, if sufficient information exists.  </w:t>
      </w:r>
      <w:r w:rsidR="00FA6C35" w:rsidRPr="00817E98">
        <w:t>Existing Information:</w:t>
      </w:r>
      <w:r w:rsidR="00815020">
        <w:t xml:space="preserve"> </w:t>
      </w:r>
      <w:r w:rsidR="00FA6C35">
        <w:t xml:space="preserve">Acknowledge any existing </w:t>
      </w:r>
      <w:r w:rsidR="00295571">
        <w:t>economic development</w:t>
      </w:r>
      <w:r w:rsidR="00FA6C35">
        <w:t xml:space="preserve"> infor</w:t>
      </w:r>
      <w:r w:rsidR="00815020">
        <w:t xml:space="preserve">mation and provide references. </w:t>
      </w:r>
      <w:r w:rsidR="00FA6C35">
        <w:t>The proposed new study should not duplicate previous work.</w:t>
      </w:r>
    </w:p>
    <w:p w:rsidR="00A72090" w:rsidRDefault="00815020" w:rsidP="00984A67">
      <w:pPr>
        <w:pStyle w:val="FedReg-bodyindent25"/>
      </w:pPr>
      <w:r>
        <w:t xml:space="preserve"> </w:t>
      </w:r>
      <w:r w:rsidR="00A72090">
        <w:t xml:space="preserve">(c)  </w:t>
      </w:r>
      <w:r w:rsidR="00A72090" w:rsidRPr="00984A67">
        <w:rPr>
          <w:u w:val="single"/>
        </w:rPr>
        <w:t>Project Objective, Goals and Scope of Work:</w:t>
      </w:r>
      <w:r w:rsidR="00A72090" w:rsidRPr="00AD0629">
        <w:rPr>
          <w:i/>
        </w:rPr>
        <w:t xml:space="preserve">  </w:t>
      </w:r>
      <w:r w:rsidR="00A72090">
        <w:t xml:space="preserve">Describe </w:t>
      </w:r>
      <w:r w:rsidR="00456789">
        <w:t>why the</w:t>
      </w:r>
      <w:r w:rsidR="000B22D7">
        <w:t xml:space="preserve"> tribe or</w:t>
      </w:r>
      <w:r w:rsidR="0027410C">
        <w:t xml:space="preserve"> entity</w:t>
      </w:r>
      <w:r w:rsidR="000F5FC2">
        <w:t xml:space="preserve"> needs the work to be contracted for</w:t>
      </w:r>
      <w:r w:rsidR="00A72090">
        <w:t xml:space="preserve">.  Examples may include: </w:t>
      </w:r>
    </w:p>
    <w:p w:rsidR="00A72090" w:rsidRPr="00B82015" w:rsidRDefault="00A72090" w:rsidP="00984A67">
      <w:pPr>
        <w:pStyle w:val="FedReg-bullet"/>
      </w:pPr>
      <w:r w:rsidRPr="00B82015">
        <w:t>Discuss</w:t>
      </w:r>
      <w:r w:rsidR="00AF7A7E">
        <w:t>ion of</w:t>
      </w:r>
      <w:r w:rsidRPr="00B82015">
        <w:t xml:space="preserve"> the short and long term benefits to the tribe</w:t>
      </w:r>
      <w:r w:rsidR="0027410C" w:rsidRPr="0027410C">
        <w:t xml:space="preserve"> </w:t>
      </w:r>
      <w:r w:rsidR="0027410C">
        <w:t>or entity</w:t>
      </w:r>
      <w:r w:rsidR="00EB31D3">
        <w:t>;</w:t>
      </w:r>
    </w:p>
    <w:p w:rsidR="00A72090" w:rsidRDefault="000F5FC2" w:rsidP="00984A67">
      <w:pPr>
        <w:pStyle w:val="FedReg-bullet"/>
      </w:pPr>
      <w:r>
        <w:t>I</w:t>
      </w:r>
      <w:r w:rsidR="00A72090">
        <w:t xml:space="preserve">dentification of an </w:t>
      </w:r>
      <w:r>
        <w:t>economic opportunity</w:t>
      </w:r>
      <w:r w:rsidR="00A72090">
        <w:t xml:space="preserve"> for possible development</w:t>
      </w:r>
      <w:r w:rsidR="00EB31D3">
        <w:t>; and</w:t>
      </w:r>
    </w:p>
    <w:p w:rsidR="00A72090" w:rsidRDefault="00A72090" w:rsidP="00984A67">
      <w:pPr>
        <w:pStyle w:val="FedReg-bullet"/>
      </w:pPr>
      <w:r>
        <w:t>Addit</w:t>
      </w:r>
      <w:r w:rsidR="000F5FC2">
        <w:t xml:space="preserve">ional information regarding the economic opportunity </w:t>
      </w:r>
      <w:r>
        <w:t>required for tribal decision making</w:t>
      </w:r>
      <w:r w:rsidR="000B22D7">
        <w:t>;</w:t>
      </w:r>
    </w:p>
    <w:p w:rsidR="00A72090" w:rsidRPr="00BE5CB8" w:rsidRDefault="00AF7A7E" w:rsidP="00984A67">
      <w:pPr>
        <w:pStyle w:val="FedReg-bullet"/>
      </w:pPr>
      <w:r>
        <w:t xml:space="preserve">Description of </w:t>
      </w:r>
      <w:r w:rsidR="00A72090">
        <w:t>the location o</w:t>
      </w:r>
      <w:r w:rsidR="000F5FC2">
        <w:t>f</w:t>
      </w:r>
      <w:r w:rsidR="00A72090">
        <w:t xml:space="preserve"> the reservation</w:t>
      </w:r>
      <w:r w:rsidR="000F5FC2">
        <w:t xml:space="preserve"> and focused areas for economic development, if any</w:t>
      </w:r>
      <w:r w:rsidR="00815020">
        <w:t xml:space="preserve">. </w:t>
      </w:r>
      <w:r w:rsidR="00A72090" w:rsidRPr="00BE5CB8">
        <w:t>Include</w:t>
      </w:r>
      <w:r w:rsidR="000B22D7">
        <w:t xml:space="preserve"> </w:t>
      </w:r>
      <w:r w:rsidR="00A72090" w:rsidRPr="00BE5CB8">
        <w:t>relevant page size map</w:t>
      </w:r>
      <w:r w:rsidR="00A72090">
        <w:t>s</w:t>
      </w:r>
      <w:r w:rsidR="00A72090" w:rsidRPr="00BE5CB8">
        <w:t xml:space="preserve"> and graphs.</w:t>
      </w:r>
    </w:p>
    <w:p w:rsidR="000F5FC2" w:rsidRDefault="000F5FC2" w:rsidP="00984A67">
      <w:pPr>
        <w:pStyle w:val="FedReg-bodyindent25"/>
      </w:pPr>
      <w:r w:rsidRPr="00A72090">
        <w:rPr>
          <w:bCs/>
        </w:rPr>
        <w:t xml:space="preserve"> </w:t>
      </w:r>
      <w:r w:rsidR="00A72090" w:rsidRPr="00A72090">
        <w:rPr>
          <w:bCs/>
        </w:rPr>
        <w:t>(</w:t>
      </w:r>
      <w:r w:rsidR="00A72090">
        <w:rPr>
          <w:bCs/>
        </w:rPr>
        <w:t>d</w:t>
      </w:r>
      <w:r w:rsidR="00A72090" w:rsidRPr="00A72090">
        <w:rPr>
          <w:bCs/>
        </w:rPr>
        <w:t xml:space="preserve">)  </w:t>
      </w:r>
      <w:r w:rsidR="00A72090" w:rsidRPr="00984A67">
        <w:rPr>
          <w:bCs/>
          <w:u w:val="single"/>
        </w:rPr>
        <w:t>Deliverable Products</w:t>
      </w:r>
      <w:r w:rsidR="00A72090" w:rsidRPr="00984A67">
        <w:rPr>
          <w:bCs/>
        </w:rPr>
        <w:t>:</w:t>
      </w:r>
      <w:r w:rsidR="00A72090">
        <w:t xml:space="preserve">  Describe all deliverable products that the </w:t>
      </w:r>
      <w:r w:rsidR="0055347D">
        <w:t>consultant</w:t>
      </w:r>
      <w:r>
        <w:t xml:space="preserve"> is expected to </w:t>
      </w:r>
      <w:r w:rsidR="00A72090">
        <w:t xml:space="preserve">generate, including </w:t>
      </w:r>
      <w:r>
        <w:t xml:space="preserve">interim deliverables, such as status reports and </w:t>
      </w:r>
      <w:r w:rsidR="00A72090">
        <w:t>technical data to be obtained</w:t>
      </w:r>
      <w:r>
        <w:t>, and final deliverables, such as t</w:t>
      </w:r>
      <w:r w:rsidR="00815020">
        <w:t>he feasibility study</w:t>
      </w:r>
      <w:r>
        <w:t>.  Des</w:t>
      </w:r>
      <w:r w:rsidR="00815020">
        <w:t xml:space="preserve">cribe any maps to be generated </w:t>
      </w:r>
      <w:r>
        <w:t xml:space="preserve">and how they will help define economic opportunities.  </w:t>
      </w:r>
    </w:p>
    <w:p w:rsidR="00A72090" w:rsidRDefault="000F5FC2" w:rsidP="00984A67">
      <w:pPr>
        <w:pStyle w:val="FedReg-bodyindent25"/>
      </w:pPr>
      <w:r>
        <w:t xml:space="preserve"> </w:t>
      </w:r>
      <w:r w:rsidR="00A72090">
        <w:t xml:space="preserve">(e)  </w:t>
      </w:r>
      <w:r w:rsidR="00A0230E">
        <w:rPr>
          <w:u w:val="single"/>
        </w:rPr>
        <w:t>Résumés</w:t>
      </w:r>
      <w:r w:rsidR="00A72090" w:rsidRPr="00984A67">
        <w:rPr>
          <w:u w:val="single"/>
        </w:rPr>
        <w:t xml:space="preserve"> of Key Personnel:</w:t>
      </w:r>
      <w:r w:rsidR="00823CDA">
        <w:t xml:space="preserve">  P</w:t>
      </w:r>
      <w:r w:rsidR="00A72090">
        <w:t xml:space="preserve">rovide the </w:t>
      </w:r>
      <w:r w:rsidR="00A0230E">
        <w:t>résumés</w:t>
      </w:r>
      <w:r w:rsidR="00A72090">
        <w:t xml:space="preserve"> of key </w:t>
      </w:r>
      <w:r w:rsidR="0055347D">
        <w:t>consultant</w:t>
      </w:r>
      <w:r w:rsidR="00CD3C53">
        <w:t>s to be retained</w:t>
      </w:r>
      <w:r w:rsidR="00823CDA">
        <w:t>, if available</w:t>
      </w:r>
      <w:r w:rsidR="00CD3C53">
        <w:t xml:space="preserve">.  </w:t>
      </w:r>
      <w:r w:rsidR="00A72090">
        <w:t xml:space="preserve">The </w:t>
      </w:r>
      <w:r w:rsidR="00A0230E">
        <w:t>résumés</w:t>
      </w:r>
      <w:r w:rsidR="00A72090">
        <w:t xml:space="preserve"> should provide information on each individual’s expertise.  If subcontractors are used, these should also be disclosed.</w:t>
      </w:r>
      <w:r w:rsidR="005142C6">
        <w:t xml:space="preserve">  This information may be included as an attachment to the submission and</w:t>
      </w:r>
      <w:r w:rsidR="000B22D7">
        <w:t xml:space="preserve"> will</w:t>
      </w:r>
      <w:r w:rsidR="005142C6">
        <w:t xml:space="preserve"> not </w:t>
      </w:r>
      <w:r w:rsidR="000B22D7">
        <w:t xml:space="preserve">be </w:t>
      </w:r>
      <w:r w:rsidR="005142C6">
        <w:t>counted towards the twenty (20) page limitation.</w:t>
      </w:r>
    </w:p>
    <w:p w:rsidR="00C7339B" w:rsidRPr="0069147F" w:rsidRDefault="000C76FD" w:rsidP="00984A67">
      <w:pPr>
        <w:pStyle w:val="FedReg-headitalic2"/>
      </w:pPr>
      <w:r w:rsidRPr="00DA3D96">
        <w:rPr>
          <w:u w:val="none"/>
        </w:rPr>
        <w:t>3</w:t>
      </w:r>
      <w:r w:rsidR="00FB23D5" w:rsidRPr="00DA3D96">
        <w:rPr>
          <w:u w:val="none"/>
        </w:rPr>
        <w:t>.</w:t>
      </w:r>
      <w:r w:rsidR="00C7339B" w:rsidRPr="00DA3D96">
        <w:rPr>
          <w:u w:val="none"/>
        </w:rPr>
        <w:tab/>
        <w:t>Mandatory Component 3:</w:t>
      </w:r>
      <w:r w:rsidR="00C7339B" w:rsidRPr="006F507B">
        <w:rPr>
          <w:u w:val="none"/>
        </w:rPr>
        <w:t xml:space="preserve">  </w:t>
      </w:r>
      <w:r w:rsidR="00C7339B" w:rsidRPr="00984A67">
        <w:rPr>
          <w:u w:val="none"/>
        </w:rPr>
        <w:t>D</w:t>
      </w:r>
      <w:r w:rsidR="00FB23D5" w:rsidRPr="00984A67">
        <w:rPr>
          <w:u w:val="none"/>
        </w:rPr>
        <w:t>etailed Budget Estimate</w:t>
      </w:r>
    </w:p>
    <w:p w:rsidR="00C7339B" w:rsidRDefault="00C7339B" w:rsidP="00984A67">
      <w:pPr>
        <w:pStyle w:val="FedReg-bodyindent25"/>
      </w:pPr>
      <w:r>
        <w:t xml:space="preserve">A detailed budget estimate is required for the funding level requested.  </w:t>
      </w:r>
      <w:r w:rsidR="00947E4F">
        <w:t>This</w:t>
      </w:r>
      <w:r w:rsidR="00DF6069">
        <w:t xml:space="preserve"> </w:t>
      </w:r>
      <w:r w:rsidR="00815020">
        <w:t>will help</w:t>
      </w:r>
      <w:r w:rsidR="00DF6069">
        <w:t xml:space="preserve"> </w:t>
      </w:r>
      <w:r w:rsidR="00BF7E23">
        <w:t>IEED</w:t>
      </w:r>
      <w:r w:rsidR="00DF6069">
        <w:t xml:space="preserve"> evaluat</w:t>
      </w:r>
      <w:r w:rsidR="000B22D7">
        <w:t>e</w:t>
      </w:r>
      <w:r w:rsidR="00DF6069">
        <w:t xml:space="preserve"> the cost-benefit of each project.  </w:t>
      </w:r>
      <w:r>
        <w:t>This line-by-line budget must fully detail all projected and ant</w:t>
      </w:r>
      <w:r w:rsidR="00BF7E23">
        <w:t xml:space="preserve">icipated expenditures under the </w:t>
      </w:r>
      <w:r w:rsidR="00CD3C53">
        <w:t>NABDI technical assistance proposal</w:t>
      </w:r>
      <w:r>
        <w:t xml:space="preserve">.  The ranking committee reviews each budget estimate to determine whether the budget is reasonable and can produce the results outlined under the proposal.  </w:t>
      </w:r>
    </w:p>
    <w:p w:rsidR="00C66BD8" w:rsidRDefault="00C7339B" w:rsidP="00C66BD8">
      <w:pPr>
        <w:pStyle w:val="FedReg-bodyindent25"/>
      </w:pPr>
      <w:r>
        <w:t xml:space="preserve">Each proposed project function should have a separate budget.  The budget should break out contract and consulting fees, fieldwork, lab and testing fees, travel and all other relevant project expenses.  Preparation of the budget portion of </w:t>
      </w:r>
      <w:r w:rsidR="00CD3C53">
        <w:t xml:space="preserve">a NABDI </w:t>
      </w:r>
      <w:r>
        <w:t xml:space="preserve">proposal should be considered a top priority.  </w:t>
      </w:r>
      <w:r w:rsidR="00277252">
        <w:t xml:space="preserve">The </w:t>
      </w:r>
      <w:r w:rsidR="00CD3C53">
        <w:t>NABDI</w:t>
      </w:r>
      <w:r>
        <w:t xml:space="preserve"> proposals that include sound budget projections will receive a more favorable ranking over those proposals that fail to provide appropriate budget projections.</w:t>
      </w:r>
      <w:r w:rsidR="00BD1233">
        <w:t xml:space="preserve">  For information purposes</w:t>
      </w:r>
      <w:r w:rsidR="005142C6">
        <w:t xml:space="preserve"> only</w:t>
      </w:r>
      <w:r w:rsidR="00425FD1">
        <w:t>,</w:t>
      </w:r>
      <w:r w:rsidR="00D65A36">
        <w:t xml:space="preserve"> NABDI grants averaged approximately</w:t>
      </w:r>
      <w:r w:rsidR="00425FD1">
        <w:t xml:space="preserve"> </w:t>
      </w:r>
      <w:r w:rsidR="00815020">
        <w:t>$50,000 throughout the program’s history</w:t>
      </w:r>
      <w:r w:rsidR="00C66BD8">
        <w:t>.  Some grant amounts have been higher and others lower.</w:t>
      </w:r>
    </w:p>
    <w:p w:rsidR="00DF6069" w:rsidRDefault="00DF6069" w:rsidP="00984A67">
      <w:pPr>
        <w:pStyle w:val="FedReg-bodyindent25"/>
        <w:rPr>
          <w:highlight w:val="white"/>
        </w:rPr>
      </w:pPr>
      <w:r>
        <w:rPr>
          <w:highlight w:val="white"/>
        </w:rPr>
        <w:t>The budget page</w:t>
      </w:r>
      <w:r w:rsidR="0007610E">
        <w:rPr>
          <w:highlight w:val="white"/>
        </w:rPr>
        <w:t>(s)</w:t>
      </w:r>
      <w:r>
        <w:rPr>
          <w:highlight w:val="white"/>
        </w:rPr>
        <w:t xml:space="preserve"> should provide a comprehensive breakdown for those project line items that involve several components, or contain numerous sub-functions. </w:t>
      </w:r>
    </w:p>
    <w:p w:rsidR="00DF6069" w:rsidRDefault="00FB23D5" w:rsidP="00984A67">
      <w:pPr>
        <w:pStyle w:val="FedReg-bodyindent25"/>
      </w:pPr>
      <w:r w:rsidRPr="00007C01">
        <w:rPr>
          <w:bCs/>
        </w:rPr>
        <w:t xml:space="preserve">(a) </w:t>
      </w:r>
      <w:r w:rsidR="00DF6069" w:rsidRPr="00984A67">
        <w:rPr>
          <w:bCs/>
          <w:u w:val="single"/>
        </w:rPr>
        <w:t>Contracted Personnel Costs</w:t>
      </w:r>
      <w:r w:rsidR="00DF6069" w:rsidRPr="00AD0629">
        <w:rPr>
          <w:bCs/>
          <w:i/>
        </w:rPr>
        <w:t>.</w:t>
      </w:r>
      <w:r w:rsidR="00DF6069">
        <w:rPr>
          <w:b/>
          <w:i/>
        </w:rPr>
        <w:t xml:space="preserve"> </w:t>
      </w:r>
      <w:r w:rsidR="00DF6069">
        <w:t xml:space="preserve"> This includes all contracted personnel and consultants, their respective positions and time (</w:t>
      </w:r>
      <w:r w:rsidR="003A50B6">
        <w:t>staff</w:t>
      </w:r>
      <w:r w:rsidR="00DF6069">
        <w:t>-hour) allocations for the proposed functions of a project.</w:t>
      </w:r>
    </w:p>
    <w:p w:rsidR="00DF6069" w:rsidRPr="00C55EC0" w:rsidRDefault="00425FD1" w:rsidP="00984A67">
      <w:pPr>
        <w:pStyle w:val="FedReg-bullet"/>
      </w:pPr>
      <w:r>
        <w:t xml:space="preserve">Personnel funded under the </w:t>
      </w:r>
      <w:r w:rsidR="00CD3C53">
        <w:t>NABDI</w:t>
      </w:r>
      <w:r w:rsidR="00FD2F49">
        <w:t xml:space="preserve"> program</w:t>
      </w:r>
      <w:r w:rsidR="00DF6069" w:rsidRPr="00C55EC0">
        <w:t xml:space="preserve"> must have documented professional qualifications necessary to perform the work.  Position descriptions or </w:t>
      </w:r>
      <w:r w:rsidR="00A0230E">
        <w:t>résumés</w:t>
      </w:r>
      <w:r w:rsidR="00DF6069" w:rsidRPr="00C55EC0">
        <w:t xml:space="preserve"> should be attached to the budget estimate.</w:t>
      </w:r>
    </w:p>
    <w:p w:rsidR="00DF6069" w:rsidRPr="00C55EC0" w:rsidRDefault="00DF6069" w:rsidP="00984A67">
      <w:pPr>
        <w:pStyle w:val="FedReg-bullet"/>
      </w:pPr>
      <w:r w:rsidRPr="00C55EC0">
        <w:t>If a consultant is to be hired for a fixed fee, the consultant’s expenses should be itemized as part of the project budget.</w:t>
      </w:r>
    </w:p>
    <w:p w:rsidR="00DF6069" w:rsidRPr="00C55EC0" w:rsidRDefault="00DF6069" w:rsidP="00984A67">
      <w:pPr>
        <w:pStyle w:val="FedReg-bullet"/>
      </w:pPr>
      <w:r w:rsidRPr="00C55EC0">
        <w:t>Consultant fees must be accompanied by documentation that clearly identifies the qualifications of the proposed consultants, how the consultant(s) are to be used</w:t>
      </w:r>
      <w:r w:rsidR="003A50B6">
        <w:t>,</w:t>
      </w:r>
      <w:r w:rsidRPr="00C55EC0">
        <w:t xml:space="preserve"> and a line</w:t>
      </w:r>
      <w:r w:rsidR="00C66BD8">
        <w:t>-</w:t>
      </w:r>
      <w:r w:rsidRPr="00C55EC0">
        <w:t xml:space="preserve">item breakdown of costs associated with each consultant activity.  </w:t>
      </w:r>
    </w:p>
    <w:p w:rsidR="00DF6069" w:rsidRDefault="00A72090" w:rsidP="00984A67">
      <w:pPr>
        <w:pStyle w:val="FedReg-bodyindent25"/>
      </w:pPr>
      <w:r>
        <w:rPr>
          <w:bCs/>
        </w:rPr>
        <w:t>(b)</w:t>
      </w:r>
      <w:r w:rsidR="00DA0AA1" w:rsidRPr="00DA0AA1">
        <w:rPr>
          <w:bCs/>
          <w:i/>
        </w:rPr>
        <w:t xml:space="preserve"> </w:t>
      </w:r>
      <w:r w:rsidR="00DF6069" w:rsidRPr="00984A67">
        <w:rPr>
          <w:bCs/>
          <w:u w:val="single"/>
        </w:rPr>
        <w:t>Travel Estimates</w:t>
      </w:r>
      <w:r w:rsidR="00DF6069" w:rsidRPr="00AD0629">
        <w:rPr>
          <w:i/>
        </w:rPr>
        <w:t>.</w:t>
      </w:r>
      <w:r w:rsidR="00DF6069">
        <w:t xml:space="preserve">  Estimates should be itemized by airfare</w:t>
      </w:r>
      <w:r w:rsidR="003A50B6">
        <w:t>,</w:t>
      </w:r>
      <w:r w:rsidR="00DF6069">
        <w:t xml:space="preserve"> vehicle rental, lodging</w:t>
      </w:r>
      <w:r w:rsidR="00FD2F49">
        <w:t>,</w:t>
      </w:r>
      <w:r w:rsidR="00DF6069">
        <w:t xml:space="preserve"> and per diem, based on the current federal government per diem schedule. </w:t>
      </w:r>
    </w:p>
    <w:p w:rsidR="00DF6069" w:rsidRDefault="00A72090" w:rsidP="00984A67">
      <w:pPr>
        <w:pStyle w:val="FedReg-bodyindent25"/>
      </w:pPr>
      <w:r>
        <w:rPr>
          <w:bCs/>
        </w:rPr>
        <w:t xml:space="preserve">(c) </w:t>
      </w:r>
      <w:r w:rsidR="00DA0AA1" w:rsidRPr="00DA0AA1">
        <w:rPr>
          <w:bCs/>
          <w:i/>
        </w:rPr>
        <w:t xml:space="preserve"> </w:t>
      </w:r>
      <w:r w:rsidR="00DF6069" w:rsidRPr="00984A67">
        <w:rPr>
          <w:bCs/>
          <w:u w:val="single"/>
        </w:rPr>
        <w:t>Data Collection and Analysis Costs</w:t>
      </w:r>
      <w:r w:rsidR="00DF6069" w:rsidRPr="00AD0629">
        <w:rPr>
          <w:bCs/>
          <w:i/>
        </w:rPr>
        <w:t>.</w:t>
      </w:r>
      <w:r w:rsidR="00DF6069">
        <w:rPr>
          <w:b/>
          <w:i/>
        </w:rPr>
        <w:t xml:space="preserve">  </w:t>
      </w:r>
      <w:r w:rsidR="00DF6069">
        <w:t xml:space="preserve">These costs should be itemized in sufficient detail for the reviewer to evaluate the charges.  </w:t>
      </w:r>
    </w:p>
    <w:p w:rsidR="00DF6069" w:rsidRDefault="00A72090" w:rsidP="00984A67">
      <w:pPr>
        <w:pStyle w:val="FedReg-bodyindent25"/>
      </w:pPr>
      <w:r>
        <w:rPr>
          <w:bCs/>
        </w:rPr>
        <w:t xml:space="preserve">(d) </w:t>
      </w:r>
      <w:r w:rsidR="00DA0AA1" w:rsidRPr="00DA0AA1">
        <w:rPr>
          <w:bCs/>
          <w:i/>
        </w:rPr>
        <w:t xml:space="preserve"> </w:t>
      </w:r>
      <w:r w:rsidR="00DF6069" w:rsidRPr="00984A67">
        <w:rPr>
          <w:bCs/>
          <w:u w:val="single"/>
        </w:rPr>
        <w:t>Other Expenses</w:t>
      </w:r>
      <w:r w:rsidR="00DF6069" w:rsidRPr="00AD0629">
        <w:rPr>
          <w:i/>
        </w:rPr>
        <w:t>.</w:t>
      </w:r>
      <w:r w:rsidR="00DF6069">
        <w:t xml:space="preserve">  Include computer rental, report generation, drafting, and advertising costs for a proposed project.</w:t>
      </w:r>
    </w:p>
    <w:p w:rsidR="00F03BA8" w:rsidRDefault="00F03BA8" w:rsidP="00984A67">
      <w:pPr>
        <w:pStyle w:val="FedReg-Head1"/>
      </w:pPr>
    </w:p>
    <w:p w:rsidR="004D6DA6" w:rsidRDefault="002052A6" w:rsidP="00984A67">
      <w:pPr>
        <w:pStyle w:val="FedReg-Head1"/>
      </w:pPr>
      <w:r>
        <w:t>D</w:t>
      </w:r>
      <w:r w:rsidR="00E96188">
        <w:t>.  Submission of Application through Alternative Methods</w:t>
      </w:r>
    </w:p>
    <w:p w:rsidR="00CA674D" w:rsidRDefault="00400B8B" w:rsidP="00984A67">
      <w:pPr>
        <w:pStyle w:val="FedReg-bodyindent25"/>
      </w:pPr>
      <w:r>
        <w:t xml:space="preserve">Submit the application, including the budget pages, in digital form.  </w:t>
      </w:r>
      <w:r w:rsidR="00FD2F49">
        <w:t>IEE</w:t>
      </w:r>
      <w:r w:rsidR="003A50B6">
        <w:t>D will return p</w:t>
      </w:r>
      <w:r w:rsidR="00CA674D">
        <w:t>roposals that are submitted without the digital components.</w:t>
      </w:r>
      <w:r w:rsidR="00BD1233">
        <w:t xml:space="preserve">  </w:t>
      </w:r>
      <w:r w:rsidR="005355F0">
        <w:t>Please k</w:t>
      </w:r>
      <w:r w:rsidR="00BD1233">
        <w:t xml:space="preserve">eep all </w:t>
      </w:r>
      <w:r w:rsidR="001952CC">
        <w:t xml:space="preserve">Statement of Work portions of the </w:t>
      </w:r>
      <w:r w:rsidR="00BD1233">
        <w:t>applications to twenty (20) pages or less.</w:t>
      </w:r>
    </w:p>
    <w:p w:rsidR="00400B8B" w:rsidRDefault="00400B8B" w:rsidP="00984A67">
      <w:pPr>
        <w:pStyle w:val="FedReg-bodyindent25"/>
      </w:pPr>
      <w:r>
        <w:t>Acceptable formats are M</w:t>
      </w:r>
      <w:r w:rsidR="00AE08E9">
        <w:t>icrosoft</w:t>
      </w:r>
      <w:r>
        <w:t xml:space="preserve"> Word and </w:t>
      </w:r>
      <w:r w:rsidR="00AE08E9">
        <w:t xml:space="preserve">Adobe Acrobat </w:t>
      </w:r>
      <w:r>
        <w:t xml:space="preserve">PDF </w:t>
      </w:r>
      <w:r w:rsidR="00E96188">
        <w:t xml:space="preserve">through email or </w:t>
      </w:r>
      <w:r>
        <w:t xml:space="preserve">on </w:t>
      </w:r>
      <w:r w:rsidR="0069147F">
        <w:t>compact disks (C</w:t>
      </w:r>
      <w:r>
        <w:t>D</w:t>
      </w:r>
      <w:r w:rsidR="0069147F">
        <w:t>s)</w:t>
      </w:r>
      <w:r w:rsidR="00A14C01">
        <w:t>.</w:t>
      </w:r>
      <w:r>
        <w:t xml:space="preserve">  The budget must be submitted in a </w:t>
      </w:r>
      <w:r w:rsidR="00AE08E9">
        <w:t xml:space="preserve">Microsoft </w:t>
      </w:r>
      <w:r>
        <w:t>Excel spreadsheet.</w:t>
      </w:r>
    </w:p>
    <w:p w:rsidR="00400B8B" w:rsidRDefault="00274CD2" w:rsidP="00984A67">
      <w:pPr>
        <w:pStyle w:val="FedReg-bodyindent25"/>
      </w:pPr>
      <w:r>
        <w:t>Each f</w:t>
      </w:r>
      <w:r w:rsidR="00400B8B">
        <w:t xml:space="preserve">ile must be saved with </w:t>
      </w:r>
      <w:r>
        <w:t xml:space="preserve">a </w:t>
      </w:r>
      <w:r w:rsidR="00400B8B">
        <w:t>filename th</w:t>
      </w:r>
      <w:r w:rsidR="00CA674D">
        <w:t>a</w:t>
      </w:r>
      <w:r w:rsidR="00400B8B">
        <w:t>t clearly identif</w:t>
      </w:r>
      <w:r w:rsidR="00CA674D">
        <w:t>ies</w:t>
      </w:r>
      <w:r w:rsidR="00400B8B">
        <w:t xml:space="preserve"> the file being submitted.  File name extensions must clearly </w:t>
      </w:r>
      <w:r w:rsidR="00CA674D">
        <w:t>indicate</w:t>
      </w:r>
      <w:r w:rsidR="00400B8B">
        <w:t xml:space="preserve"> the software application used preparin</w:t>
      </w:r>
      <w:r w:rsidR="003A50B6">
        <w:t>g</w:t>
      </w:r>
      <w:r w:rsidR="00400B8B">
        <w:t xml:space="preserve"> </w:t>
      </w:r>
      <w:r w:rsidR="00CA674D">
        <w:t>the documents (</w:t>
      </w:r>
      <w:r w:rsidR="0069147F">
        <w:t>e.g.,</w:t>
      </w:r>
      <w:r w:rsidR="00CA674D">
        <w:t xml:space="preserve"> </w:t>
      </w:r>
      <w:r w:rsidR="00400B8B">
        <w:t>doc, .pdf).</w:t>
      </w:r>
    </w:p>
    <w:p w:rsidR="00400B8B" w:rsidRDefault="00400B8B" w:rsidP="00984A67">
      <w:pPr>
        <w:pStyle w:val="FedReg-bodyindent25"/>
      </w:pPr>
      <w:r>
        <w:t>D</w:t>
      </w:r>
      <w:r w:rsidRPr="00E53D8E">
        <w:t xml:space="preserve">ocuments that require </w:t>
      </w:r>
      <w:r w:rsidR="00CA674D">
        <w:t xml:space="preserve">an </w:t>
      </w:r>
      <w:r w:rsidRPr="00E53D8E">
        <w:t>original signature</w:t>
      </w:r>
      <w:r w:rsidR="00CA674D">
        <w:t>, such as cover letters, tribal resolutions, and other letters of tribal authorization</w:t>
      </w:r>
      <w:r w:rsidR="005355F0">
        <w:t>,</w:t>
      </w:r>
      <w:r w:rsidR="00CA674D">
        <w:t xml:space="preserve"> can be </w:t>
      </w:r>
      <w:r w:rsidR="00A14C01">
        <w:t xml:space="preserve">also </w:t>
      </w:r>
      <w:r w:rsidR="00CA674D">
        <w:t>submitted in hard copy (paper) for</w:t>
      </w:r>
      <w:r w:rsidR="00A14C01">
        <w:t>m r scanned to email</w:t>
      </w:r>
      <w:r w:rsidR="00CA674D">
        <w:t>.</w:t>
      </w:r>
    </w:p>
    <w:p w:rsidR="00823CDA" w:rsidRDefault="00CA674D" w:rsidP="00823CDA">
      <w:pPr>
        <w:pStyle w:val="FedReg-bodyindent25"/>
      </w:pPr>
      <w:r>
        <w:t xml:space="preserve">If you have any additional questions concerning the </w:t>
      </w:r>
      <w:r w:rsidR="009E1F67">
        <w:t>NABDI</w:t>
      </w:r>
      <w:r w:rsidR="00FD2F49">
        <w:t xml:space="preserve"> program</w:t>
      </w:r>
      <w:r w:rsidR="005976DE">
        <w:t xml:space="preserve"> pr</w:t>
      </w:r>
      <w:r>
        <w:t>oposal submission process, p</w:t>
      </w:r>
      <w:r w:rsidR="00BF685C">
        <w:t xml:space="preserve">lease contact </w:t>
      </w:r>
      <w:r w:rsidR="00D65A36">
        <w:t>Mr. James R. West</w:t>
      </w:r>
      <w:r w:rsidR="00947E4F">
        <w:t xml:space="preserve"> </w:t>
      </w:r>
      <w:r w:rsidR="00FD2F49" w:rsidRPr="00947E4F">
        <w:t xml:space="preserve">at </w:t>
      </w:r>
      <w:r w:rsidR="00823CDA">
        <w:t>(202) 595-4766 or</w:t>
      </w:r>
      <w:r w:rsidR="00D65A36">
        <w:t xml:space="preserve"> jamesr.west</w:t>
      </w:r>
      <w:r w:rsidR="000B22FA" w:rsidRPr="00947E4F">
        <w:t>@bia.gov</w:t>
      </w:r>
      <w:r w:rsidR="00FD2F49" w:rsidRPr="00947E4F">
        <w:t>.</w:t>
      </w:r>
      <w:r w:rsidR="00FD2F49">
        <w:t xml:space="preserve">  </w:t>
      </w:r>
    </w:p>
    <w:p w:rsidR="00947E4F" w:rsidRDefault="00947E4F" w:rsidP="00984A67">
      <w:pPr>
        <w:pStyle w:val="FedReg-Head1"/>
      </w:pPr>
    </w:p>
    <w:p w:rsidR="001D5976" w:rsidRDefault="002052A6" w:rsidP="00984A67">
      <w:pPr>
        <w:pStyle w:val="FedReg-Head1"/>
      </w:pPr>
      <w:r>
        <w:t>E</w:t>
      </w:r>
      <w:r w:rsidR="007704F5">
        <w:t xml:space="preserve">.  </w:t>
      </w:r>
      <w:r w:rsidR="001D5976">
        <w:t>A</w:t>
      </w:r>
      <w:r w:rsidR="007704F5">
        <w:t>pplication Evaluation and Administrative Information</w:t>
      </w:r>
    </w:p>
    <w:p w:rsidR="00D830B0" w:rsidRPr="00DA3D96" w:rsidRDefault="00D830B0" w:rsidP="00984A67">
      <w:pPr>
        <w:pStyle w:val="FedReg-headitalic2"/>
        <w:rPr>
          <w:u w:val="none"/>
        </w:rPr>
      </w:pPr>
      <w:r w:rsidRPr="00DA3D96">
        <w:rPr>
          <w:u w:val="none"/>
        </w:rPr>
        <w:t>1</w:t>
      </w:r>
      <w:r w:rsidR="007704F5" w:rsidRPr="00DA3D96">
        <w:rPr>
          <w:u w:val="none"/>
        </w:rPr>
        <w:t>.</w:t>
      </w:r>
      <w:r w:rsidRPr="00DA3D96">
        <w:rPr>
          <w:u w:val="none"/>
        </w:rPr>
        <w:tab/>
      </w:r>
      <w:r w:rsidR="00DD6971" w:rsidRPr="00DA3D96">
        <w:rPr>
          <w:u w:val="none"/>
        </w:rPr>
        <w:t>Administrative Review</w:t>
      </w:r>
    </w:p>
    <w:p w:rsidR="00D830B0" w:rsidRDefault="00D830B0" w:rsidP="00984A67">
      <w:pPr>
        <w:pStyle w:val="FedReg-bodyindent25"/>
      </w:pPr>
      <w:r>
        <w:t>Upon recei</w:t>
      </w:r>
      <w:r w:rsidR="003A50B6">
        <w:t xml:space="preserve">ving </w:t>
      </w:r>
      <w:r>
        <w:t>an a</w:t>
      </w:r>
      <w:r w:rsidR="007704F5">
        <w:t xml:space="preserve">pplication, </w:t>
      </w:r>
      <w:r w:rsidR="000B22FA">
        <w:t>grant management staff</w:t>
      </w:r>
      <w:r w:rsidR="00947E4F">
        <w:t xml:space="preserve"> </w:t>
      </w:r>
      <w:r w:rsidR="007704F5">
        <w:t>will determine</w:t>
      </w:r>
      <w:r>
        <w:t xml:space="preserve"> whether </w:t>
      </w:r>
      <w:r w:rsidR="003A50B6">
        <w:t xml:space="preserve">it </w:t>
      </w:r>
      <w:r>
        <w:t xml:space="preserve">contains the </w:t>
      </w:r>
      <w:r w:rsidR="00CD3C53">
        <w:t>mandatory components listed above</w:t>
      </w:r>
      <w:r>
        <w:t xml:space="preserve"> and does not duplicate or overlap </w:t>
      </w:r>
      <w:r w:rsidR="007704F5">
        <w:t>previous or current</w:t>
      </w:r>
      <w:r>
        <w:t xml:space="preserve"> funded </w:t>
      </w:r>
      <w:r w:rsidR="00CD3C53">
        <w:t xml:space="preserve">NABDI technical assistance </w:t>
      </w:r>
      <w:r>
        <w:t xml:space="preserve">projects. </w:t>
      </w:r>
    </w:p>
    <w:p w:rsidR="00D830B0" w:rsidRDefault="00D830B0" w:rsidP="00984A67">
      <w:pPr>
        <w:pStyle w:val="FedReg-bodyindent25"/>
        <w:rPr>
          <w:sz w:val="20"/>
        </w:rPr>
      </w:pPr>
      <w:r>
        <w:t xml:space="preserve">During the review of a proposal, </w:t>
      </w:r>
      <w:r w:rsidR="00FD2F49">
        <w:t>IEED</w:t>
      </w:r>
      <w:r>
        <w:t xml:space="preserve"> may request the submission of additional information.</w:t>
      </w:r>
    </w:p>
    <w:p w:rsidR="00C7339B" w:rsidRPr="00DA3D96" w:rsidRDefault="007704F5" w:rsidP="00984A67">
      <w:pPr>
        <w:pStyle w:val="FedReg-headitalic2"/>
        <w:rPr>
          <w:u w:val="none"/>
        </w:rPr>
      </w:pPr>
      <w:r w:rsidRPr="00DA3D96">
        <w:rPr>
          <w:u w:val="none"/>
        </w:rPr>
        <w:t xml:space="preserve">2. </w:t>
      </w:r>
      <w:r w:rsidR="00405947" w:rsidRPr="00DA3D96">
        <w:rPr>
          <w:u w:val="none"/>
        </w:rPr>
        <w:tab/>
      </w:r>
      <w:r w:rsidRPr="00DA3D96">
        <w:rPr>
          <w:u w:val="none"/>
        </w:rPr>
        <w:t xml:space="preserve">Ranking </w:t>
      </w:r>
      <w:r w:rsidR="00DF6069" w:rsidRPr="00DA3D96">
        <w:rPr>
          <w:u w:val="none"/>
        </w:rPr>
        <w:t>Criteria</w:t>
      </w:r>
    </w:p>
    <w:p w:rsidR="0085366A" w:rsidRDefault="00EF3FE9" w:rsidP="009341C6">
      <w:pPr>
        <w:pStyle w:val="FedReg-bodyindent25"/>
      </w:pPr>
      <w:r>
        <w:t>Proposal</w:t>
      </w:r>
      <w:r w:rsidR="007704F5">
        <w:t>s</w:t>
      </w:r>
      <w:r>
        <w:t xml:space="preserve"> will be </w:t>
      </w:r>
      <w:r w:rsidR="0085366A">
        <w:t xml:space="preserve">formally </w:t>
      </w:r>
      <w:r>
        <w:t xml:space="preserve">evaluated by a Review </w:t>
      </w:r>
      <w:r w:rsidR="007704F5">
        <w:t xml:space="preserve">and Ranking </w:t>
      </w:r>
      <w:r>
        <w:t xml:space="preserve">Panel </w:t>
      </w:r>
      <w:r w:rsidR="0085366A">
        <w:t>us</w:t>
      </w:r>
      <w:r>
        <w:t>in</w:t>
      </w:r>
      <w:r w:rsidR="007704F5">
        <w:t xml:space="preserve">g the </w:t>
      </w:r>
      <w:r w:rsidR="0085366A">
        <w:t xml:space="preserve">six </w:t>
      </w:r>
      <w:r w:rsidR="007704F5">
        <w:t xml:space="preserve">criteria listed below.  </w:t>
      </w:r>
      <w:r w:rsidR="0085366A" w:rsidRPr="00E328C4">
        <w:t xml:space="preserve">Each </w:t>
      </w:r>
      <w:r w:rsidR="0085366A">
        <w:t>criteri</w:t>
      </w:r>
      <w:r w:rsidR="003A50B6">
        <w:t>on</w:t>
      </w:r>
      <w:r w:rsidR="0085366A">
        <w:t xml:space="preserve"> </w:t>
      </w:r>
      <w:r w:rsidR="0085366A" w:rsidRPr="00E328C4">
        <w:t>provides a percentage of the total</w:t>
      </w:r>
      <w:r w:rsidR="0085366A">
        <w:t xml:space="preserve"> </w:t>
      </w:r>
      <w:r w:rsidR="003A50B6">
        <w:t xml:space="preserve">maximum </w:t>
      </w:r>
      <w:r w:rsidR="0085366A">
        <w:t xml:space="preserve">rating of 100 points.  </w:t>
      </w:r>
    </w:p>
    <w:p w:rsidR="00F720C8" w:rsidRDefault="00F720C8" w:rsidP="009341C6">
      <w:pPr>
        <w:pStyle w:val="FedReg-bodyindent25"/>
      </w:pPr>
      <w:r>
        <w:t xml:space="preserve">(a) </w:t>
      </w:r>
      <w:r w:rsidR="00EC2828">
        <w:rPr>
          <w:u w:val="single"/>
        </w:rPr>
        <w:t>Economic Opportunity</w:t>
      </w:r>
      <w:r w:rsidR="00BF685C" w:rsidRPr="009341C6">
        <w:rPr>
          <w:u w:val="single"/>
        </w:rPr>
        <w:t xml:space="preserve"> P</w:t>
      </w:r>
      <w:r w:rsidR="00B57AF6" w:rsidRPr="009341C6">
        <w:rPr>
          <w:u w:val="single"/>
        </w:rPr>
        <w:t>otential</w:t>
      </w:r>
      <w:r w:rsidR="00817E98">
        <w:rPr>
          <w:u w:val="single"/>
        </w:rPr>
        <w:t>;</w:t>
      </w:r>
      <w:r w:rsidRPr="009341C6">
        <w:rPr>
          <w:u w:val="single"/>
        </w:rPr>
        <w:t xml:space="preserve"> 10 points</w:t>
      </w:r>
      <w:r w:rsidRPr="009341C6">
        <w:t>.</w:t>
      </w:r>
      <w:r>
        <w:t xml:space="preserve">  If the </w:t>
      </w:r>
      <w:r w:rsidR="00EC2828">
        <w:t>economic opportunity</w:t>
      </w:r>
      <w:r>
        <w:t xml:space="preserve"> </w:t>
      </w:r>
      <w:r w:rsidR="00FD5133">
        <w:t xml:space="preserve">is </w:t>
      </w:r>
      <w:r w:rsidR="00B9455C">
        <w:t>patently not</w:t>
      </w:r>
      <w:r w:rsidR="009E1F67">
        <w:t xml:space="preserve"> feasible, </w:t>
      </w:r>
      <w:r>
        <w:t>then the pro</w:t>
      </w:r>
      <w:r w:rsidR="00FD5133">
        <w:t>posal</w:t>
      </w:r>
      <w:r>
        <w:t xml:space="preserve"> will be rejected.</w:t>
      </w:r>
      <w:r w:rsidR="00EF3FE9" w:rsidRPr="00E328C4">
        <w:t xml:space="preserve"> </w:t>
      </w:r>
      <w:r>
        <w:t xml:space="preserve"> </w:t>
      </w:r>
      <w:r w:rsidRPr="00AA7A9C">
        <w:t xml:space="preserve">It is critical that the tribe </w:t>
      </w:r>
      <w:r w:rsidR="0027410C">
        <w:t xml:space="preserve">or entity </w:t>
      </w:r>
      <w:r w:rsidRPr="00AA7A9C">
        <w:t xml:space="preserve">attempt to provide all pertinent information in </w:t>
      </w:r>
      <w:r w:rsidR="00BD1A33">
        <w:t>its</w:t>
      </w:r>
      <w:r w:rsidRPr="00AA7A9C">
        <w:t xml:space="preserve"> proposal in order to </w:t>
      </w:r>
      <w:r w:rsidR="00274CD2">
        <w:t>e</w:t>
      </w:r>
      <w:r w:rsidRPr="00AA7A9C">
        <w:t xml:space="preserve">nsure that an accurate review of the proposal is </w:t>
      </w:r>
      <w:r>
        <w:t>accomplished</w:t>
      </w:r>
      <w:r w:rsidRPr="00AA7A9C">
        <w:t xml:space="preserve">.  </w:t>
      </w:r>
    </w:p>
    <w:p w:rsidR="00DE709C" w:rsidRPr="00273F6B" w:rsidRDefault="00EC2828" w:rsidP="00EC2828">
      <w:pPr>
        <w:pStyle w:val="FedReg-bodyindent25"/>
      </w:pPr>
      <w:r>
        <w:t xml:space="preserve"> </w:t>
      </w:r>
      <w:r w:rsidR="00F720C8">
        <w:t>(b)</w:t>
      </w:r>
      <w:r w:rsidR="00EB4A51" w:rsidRPr="00E328C4">
        <w:t xml:space="preserve"> </w:t>
      </w:r>
      <w:r w:rsidR="00F720C8" w:rsidRPr="009341C6">
        <w:rPr>
          <w:u w:val="single"/>
        </w:rPr>
        <w:t>Marketability of the</w:t>
      </w:r>
      <w:r w:rsidR="00BF685C" w:rsidRPr="009341C6">
        <w:rPr>
          <w:u w:val="single"/>
        </w:rPr>
        <w:t xml:space="preserve"> </w:t>
      </w:r>
      <w:r>
        <w:rPr>
          <w:u w:val="single"/>
        </w:rPr>
        <w:t>Opportunity</w:t>
      </w:r>
      <w:r w:rsidR="00B57AF6" w:rsidRPr="009341C6">
        <w:rPr>
          <w:u w:val="single"/>
        </w:rPr>
        <w:t>;</w:t>
      </w:r>
      <w:r w:rsidR="00D179AF" w:rsidRPr="009341C6">
        <w:rPr>
          <w:u w:val="single"/>
        </w:rPr>
        <w:t xml:space="preserve"> </w:t>
      </w:r>
      <w:r w:rsidR="00DE709C" w:rsidRPr="009341C6">
        <w:rPr>
          <w:u w:val="single"/>
        </w:rPr>
        <w:t>20 points</w:t>
      </w:r>
      <w:r w:rsidR="00DE709C">
        <w:t>. R</w:t>
      </w:r>
      <w:r w:rsidR="00DE709C" w:rsidRPr="00AA7A9C">
        <w:t>eviewers will base their scoring on both the short</w:t>
      </w:r>
      <w:r w:rsidR="00A72424">
        <w:t>-</w:t>
      </w:r>
      <w:r w:rsidR="00DE709C" w:rsidRPr="00AA7A9C">
        <w:t xml:space="preserve"> and long-term market conditions of the </w:t>
      </w:r>
      <w:r>
        <w:t>economic opportunity</w:t>
      </w:r>
      <w:r w:rsidR="00DE709C" w:rsidRPr="00AA7A9C">
        <w:t xml:space="preserve">.  </w:t>
      </w:r>
      <w:r w:rsidR="00DE709C">
        <w:t>R</w:t>
      </w:r>
      <w:r w:rsidR="00DE709C" w:rsidRPr="00AA7A9C">
        <w:t>eviewers are aware that marketability depend</w:t>
      </w:r>
      <w:r w:rsidR="00A72424">
        <w:t>s</w:t>
      </w:r>
      <w:r w:rsidR="00DE709C" w:rsidRPr="00AA7A9C">
        <w:t xml:space="preserve"> </w:t>
      </w:r>
      <w:r w:rsidR="00A72424">
        <w:t>up</w:t>
      </w:r>
      <w:r w:rsidR="00DE709C" w:rsidRPr="00AA7A9C">
        <w:t xml:space="preserve">on existing </w:t>
      </w:r>
      <w:r>
        <w:t xml:space="preserve">and emerging market conditions.  </w:t>
      </w:r>
      <w:r w:rsidR="00DE709C">
        <w:t>R</w:t>
      </w:r>
      <w:r w:rsidR="00DE709C" w:rsidRPr="00273F6B">
        <w:t>eviewers are</w:t>
      </w:r>
      <w:r w:rsidR="00823CDA">
        <w:t xml:space="preserve"> also</w:t>
      </w:r>
      <w:r w:rsidR="00DE709C" w:rsidRPr="00273F6B">
        <w:t xml:space="preserve"> aware </w:t>
      </w:r>
      <w:r w:rsidR="00DE709C">
        <w:t>of</w:t>
      </w:r>
      <w:r w:rsidR="00DE709C" w:rsidRPr="00273F6B">
        <w:t xml:space="preserve"> pitfalls </w:t>
      </w:r>
      <w:r w:rsidR="00DE709C">
        <w:t>surrounding</w:t>
      </w:r>
      <w:r w:rsidR="00DE709C" w:rsidRPr="00273F6B">
        <w:t xml:space="preserve"> long</w:t>
      </w:r>
      <w:r w:rsidR="00A72424">
        <w:t>-</w:t>
      </w:r>
      <w:r w:rsidR="00DE709C" w:rsidRPr="00273F6B">
        <w:t xml:space="preserve">term </w:t>
      </w:r>
      <w:r w:rsidR="00DE709C">
        <w:t xml:space="preserve">market </w:t>
      </w:r>
      <w:r w:rsidR="00DE709C" w:rsidRPr="00273F6B">
        <w:t>forecast</w:t>
      </w:r>
      <w:r w:rsidR="00823CDA">
        <w:t>s;</w:t>
      </w:r>
      <w:r w:rsidR="00DE709C">
        <w:t xml:space="preserve"> so the proposal should address this element fully. </w:t>
      </w:r>
      <w:r w:rsidR="00277252">
        <w:t xml:space="preserve"> </w:t>
      </w:r>
      <w:r>
        <w:t xml:space="preserve">The </w:t>
      </w:r>
      <w:r w:rsidR="00DE709C">
        <w:t>potential for improving markets may be suggested by market indicators.  Examples of market indicators include price history, prices from the futures markets, fundamental factors like supply shortages, and changes in technology.</w:t>
      </w:r>
    </w:p>
    <w:p w:rsidR="00EC2828" w:rsidRDefault="00DE709C" w:rsidP="009341C6">
      <w:pPr>
        <w:pStyle w:val="FedReg-bodyindent25"/>
      </w:pPr>
      <w:r>
        <w:t xml:space="preserve">(c) </w:t>
      </w:r>
      <w:r w:rsidR="00EB4A51" w:rsidRPr="00E328C4">
        <w:t xml:space="preserve"> </w:t>
      </w:r>
      <w:r w:rsidR="00EF3FE9" w:rsidRPr="009341C6">
        <w:rPr>
          <w:u w:val="single"/>
        </w:rPr>
        <w:t>Economic Benefit</w:t>
      </w:r>
      <w:r w:rsidRPr="009341C6">
        <w:rPr>
          <w:u w:val="single"/>
        </w:rPr>
        <w:t>s Produced by the Project</w:t>
      </w:r>
      <w:r w:rsidR="00B57AF6" w:rsidRPr="009341C6">
        <w:rPr>
          <w:u w:val="single"/>
        </w:rPr>
        <w:t>;</w:t>
      </w:r>
      <w:r w:rsidRPr="009341C6">
        <w:rPr>
          <w:u w:val="single"/>
        </w:rPr>
        <w:t xml:space="preserve"> </w:t>
      </w:r>
      <w:r w:rsidR="00CF1603" w:rsidRPr="009341C6">
        <w:rPr>
          <w:u w:val="single"/>
        </w:rPr>
        <w:t>3</w:t>
      </w:r>
      <w:r w:rsidR="00B30F51" w:rsidRPr="009341C6">
        <w:rPr>
          <w:u w:val="single"/>
        </w:rPr>
        <w:t>5</w:t>
      </w:r>
      <w:r w:rsidRPr="009341C6">
        <w:rPr>
          <w:u w:val="single"/>
        </w:rPr>
        <w:t xml:space="preserve"> points</w:t>
      </w:r>
      <w:r w:rsidR="00817E98">
        <w:t>.</w:t>
      </w:r>
      <w:r>
        <w:t xml:space="preserve">  </w:t>
      </w:r>
      <w:r w:rsidR="0074439E">
        <w:t>To receive a high score for this ranking criterion, the proposal should clearly state how the p</w:t>
      </w:r>
      <w:r w:rsidR="00EC2828">
        <w:t>roject would achieve economic benefits for the tribe</w:t>
      </w:r>
      <w:r w:rsidR="00767039">
        <w:t xml:space="preserve"> </w:t>
      </w:r>
      <w:r w:rsidR="0027410C">
        <w:t xml:space="preserve">or entity </w:t>
      </w:r>
      <w:r w:rsidR="00767039">
        <w:t>with an emphasis on reservation job creation</w:t>
      </w:r>
      <w:r w:rsidR="0074439E">
        <w:t xml:space="preserve">.  </w:t>
      </w:r>
    </w:p>
    <w:p w:rsidR="005C65EC" w:rsidRPr="00D229CB" w:rsidRDefault="007F46C6" w:rsidP="005C65EC">
      <w:pPr>
        <w:pStyle w:val="FedReg-bodyindent25"/>
      </w:pPr>
      <w:r>
        <w:t>(</w:t>
      </w:r>
      <w:r w:rsidR="00C32C96">
        <w:t>e</w:t>
      </w:r>
      <w:r w:rsidR="0085366A">
        <w:t xml:space="preserve">) </w:t>
      </w:r>
      <w:r w:rsidR="00EB4A51" w:rsidRPr="00E328C4">
        <w:t xml:space="preserve"> </w:t>
      </w:r>
      <w:r w:rsidR="00EB4A51" w:rsidRPr="009341C6">
        <w:rPr>
          <w:u w:val="single"/>
        </w:rPr>
        <w:t>Tribal Commitment</w:t>
      </w:r>
      <w:r w:rsidR="00C32C96" w:rsidRPr="009341C6">
        <w:rPr>
          <w:u w:val="single"/>
        </w:rPr>
        <w:t xml:space="preserve"> to the Project</w:t>
      </w:r>
      <w:r w:rsidR="00B57AF6" w:rsidRPr="009341C6">
        <w:rPr>
          <w:u w:val="single"/>
        </w:rPr>
        <w:t>;</w:t>
      </w:r>
      <w:r w:rsidR="0085366A" w:rsidRPr="009341C6">
        <w:rPr>
          <w:u w:val="single"/>
        </w:rPr>
        <w:t xml:space="preserve"> </w:t>
      </w:r>
      <w:r w:rsidR="005C65EC">
        <w:rPr>
          <w:u w:val="single"/>
        </w:rPr>
        <w:t xml:space="preserve">15 </w:t>
      </w:r>
      <w:r w:rsidR="0085366A" w:rsidRPr="009341C6">
        <w:rPr>
          <w:u w:val="single"/>
        </w:rPr>
        <w:t>points</w:t>
      </w:r>
      <w:r w:rsidR="00817E98">
        <w:t>.</w:t>
      </w:r>
      <w:r w:rsidR="009341C6">
        <w:t xml:space="preserve">  </w:t>
      </w:r>
      <w:r w:rsidR="006A3CEB" w:rsidRPr="006A3CEB">
        <w:t>The tribe</w:t>
      </w:r>
      <w:r w:rsidR="0027410C" w:rsidRPr="0027410C">
        <w:t xml:space="preserve"> </w:t>
      </w:r>
      <w:r w:rsidR="0027410C">
        <w:t>or entity</w:t>
      </w:r>
      <w:r w:rsidR="006A3CEB" w:rsidRPr="006A3CEB">
        <w:t xml:space="preserve">’s willingness to consider implementing any recommendations resulting from the feasibility studies or economic development plan must be clearly stated in the proposal and the tribal resolution.  Note that this is </w:t>
      </w:r>
      <w:r w:rsidR="006A3CEB" w:rsidRPr="006A3CEB">
        <w:rPr>
          <w:u w:val="single"/>
        </w:rPr>
        <w:t>not</w:t>
      </w:r>
      <w:r w:rsidR="006A3CEB" w:rsidRPr="006A3CEB">
        <w:t xml:space="preserve"> a statement for mandatory implementation, but just that the tribe </w:t>
      </w:r>
      <w:r w:rsidR="0027410C">
        <w:t xml:space="preserve">or entity </w:t>
      </w:r>
      <w:r w:rsidR="006A3CEB" w:rsidRPr="006A3CEB">
        <w:t>is willing to implement</w:t>
      </w:r>
      <w:r w:rsidR="00BD1A33">
        <w:t xml:space="preserve"> the proposed project</w:t>
      </w:r>
      <w:r w:rsidR="006A3CEB" w:rsidRPr="006A3CEB">
        <w:t>.  The decision on whether to implement</w:t>
      </w:r>
      <w:r w:rsidR="00BD1A33">
        <w:t xml:space="preserve"> the project</w:t>
      </w:r>
      <w:r w:rsidR="006A3CEB" w:rsidRPr="006A3CEB">
        <w:t xml:space="preserve"> will always lie with the tribe</w:t>
      </w:r>
      <w:r w:rsidR="0027410C" w:rsidRPr="0027410C">
        <w:t xml:space="preserve"> </w:t>
      </w:r>
      <w:r w:rsidR="0027410C">
        <w:t>or entity</w:t>
      </w:r>
      <w:r w:rsidR="006A3CEB" w:rsidRPr="006A3CEB">
        <w:t xml:space="preserve">.  The willingness-to-implement statement should sufficiently explain how the tribe </w:t>
      </w:r>
      <w:r w:rsidR="0027410C">
        <w:t xml:space="preserve">or entity </w:t>
      </w:r>
      <w:r w:rsidR="006A3CEB" w:rsidRPr="006A3CEB">
        <w:t>intends to accomplish this task.</w:t>
      </w:r>
      <w:r w:rsidR="005C65EC">
        <w:t xml:space="preserve"> </w:t>
      </w:r>
    </w:p>
    <w:p w:rsidR="0085366A" w:rsidRDefault="00CF1603" w:rsidP="009341C6">
      <w:pPr>
        <w:pStyle w:val="FedReg-bodyindent25"/>
      </w:pPr>
      <w:r>
        <w:t xml:space="preserve">To receive a high score for this criterion, the </w:t>
      </w:r>
      <w:r w:rsidR="00E129D5">
        <w:t>t</w:t>
      </w:r>
      <w:r w:rsidR="0085366A">
        <w:t>ribe</w:t>
      </w:r>
      <w:r w:rsidR="0027410C" w:rsidRPr="0027410C">
        <w:t xml:space="preserve"> </w:t>
      </w:r>
      <w:r w:rsidR="0027410C">
        <w:t>or entity</w:t>
      </w:r>
      <w:r w:rsidR="0085366A">
        <w:t xml:space="preserve"> </w:t>
      </w:r>
      <w:r>
        <w:t xml:space="preserve">should explain how </w:t>
      </w:r>
      <w:r w:rsidR="006F507B">
        <w:t xml:space="preserve">it </w:t>
      </w:r>
      <w:r>
        <w:t xml:space="preserve">will participate in the </w:t>
      </w:r>
      <w:r w:rsidR="00774C4D">
        <w:t>technical assistance</w:t>
      </w:r>
      <w:r>
        <w:t>, such as by appointing a</w:t>
      </w:r>
      <w:r w:rsidR="0085366A">
        <w:t xml:space="preserve"> designated lead and contact person</w:t>
      </w:r>
      <w:r w:rsidR="00312CD3">
        <w:t xml:space="preserve"> (especially a person with some knowledge of the technical aspects </w:t>
      </w:r>
      <w:r w:rsidR="00774C4D">
        <w:t>of economic opportunities</w:t>
      </w:r>
      <w:r w:rsidR="00823CDA">
        <w:t>, having</w:t>
      </w:r>
      <w:r w:rsidR="00312CD3">
        <w:t xml:space="preserve"> direct contact with the tribe</w:t>
      </w:r>
      <w:r w:rsidR="0027410C" w:rsidRPr="0027410C">
        <w:t xml:space="preserve"> </w:t>
      </w:r>
      <w:r w:rsidR="0027410C">
        <w:t>or entity</w:t>
      </w:r>
      <w:r w:rsidR="00312CD3">
        <w:t xml:space="preserve">’s </w:t>
      </w:r>
      <w:r w:rsidR="00BD1A33">
        <w:t>economic development</w:t>
      </w:r>
      <w:r w:rsidR="00312CD3">
        <w:t xml:space="preserve"> department and tribal council),</w:t>
      </w:r>
      <w:r w:rsidR="0085366A">
        <w:t xml:space="preserve"> </w:t>
      </w:r>
      <w:r w:rsidR="00BD1A33">
        <w:t>who is</w:t>
      </w:r>
      <w:r w:rsidR="0085366A">
        <w:t xml:space="preserve"> committed to the successful completion of the project.</w:t>
      </w:r>
    </w:p>
    <w:p w:rsidR="005C65EC" w:rsidRPr="00F6579E" w:rsidRDefault="005C65EC" w:rsidP="00817E98">
      <w:pPr>
        <w:pStyle w:val="FedReg-bodyindent25"/>
      </w:pPr>
      <w:r>
        <w:t xml:space="preserve">(f)  </w:t>
      </w:r>
      <w:r w:rsidRPr="00817E98">
        <w:rPr>
          <w:u w:val="single"/>
        </w:rPr>
        <w:t>Costs and Technical Approach</w:t>
      </w:r>
      <w:r w:rsidR="00817E98" w:rsidRPr="00817E98">
        <w:rPr>
          <w:u w:val="single"/>
        </w:rPr>
        <w:t>;</w:t>
      </w:r>
      <w:r w:rsidR="00805540" w:rsidRPr="00817E98">
        <w:rPr>
          <w:u w:val="single"/>
        </w:rPr>
        <w:t xml:space="preserve"> </w:t>
      </w:r>
      <w:r w:rsidR="001A5E9B" w:rsidRPr="00817E98">
        <w:rPr>
          <w:u w:val="single"/>
        </w:rPr>
        <w:t>20 points</w:t>
      </w:r>
      <w:r w:rsidR="00817E98">
        <w:t>.</w:t>
      </w:r>
      <w:r w:rsidR="00805540">
        <w:t xml:space="preserve"> The overall cost and technical approach will be considered in accordance with the goals stated under the Summary topic herein.</w:t>
      </w:r>
    </w:p>
    <w:p w:rsidR="00400B8B" w:rsidRPr="00232575" w:rsidRDefault="00405947" w:rsidP="009341C6">
      <w:pPr>
        <w:pStyle w:val="FedReg-headitalic2"/>
        <w:rPr>
          <w:u w:val="none"/>
        </w:rPr>
      </w:pPr>
      <w:r w:rsidRPr="00232575">
        <w:rPr>
          <w:u w:val="none"/>
        </w:rPr>
        <w:t>3</w:t>
      </w:r>
      <w:r w:rsidR="00400B8B" w:rsidRPr="00232575">
        <w:rPr>
          <w:u w:val="none"/>
        </w:rPr>
        <w:t xml:space="preserve">. </w:t>
      </w:r>
      <w:r w:rsidR="00400B8B" w:rsidRPr="00232575">
        <w:rPr>
          <w:u w:val="none"/>
        </w:rPr>
        <w:tab/>
        <w:t>Ranking of Proposals and Award Letters</w:t>
      </w:r>
    </w:p>
    <w:p w:rsidR="00425FD1" w:rsidRPr="00425FD1" w:rsidRDefault="00425FD1" w:rsidP="00425FD1">
      <w:pPr>
        <w:shd w:val="clear" w:color="auto" w:fill="FFFFFF"/>
        <w:spacing w:after="200" w:line="480" w:lineRule="auto"/>
        <w:ind w:firstLine="360"/>
        <w:rPr>
          <w:color w:val="222222"/>
        </w:rPr>
      </w:pPr>
      <w:r w:rsidRPr="00947E4F">
        <w:rPr>
          <w:rFonts w:eastAsiaTheme="minorEastAsia"/>
        </w:rPr>
        <w:t>T</w:t>
      </w:r>
      <w:r w:rsidRPr="00947E4F">
        <w:rPr>
          <w:color w:val="222222"/>
        </w:rPr>
        <w:t>he</w:t>
      </w:r>
      <w:r w:rsidRPr="00947E4F">
        <w:rPr>
          <w:b/>
          <w:bCs/>
          <w:color w:val="222222"/>
        </w:rPr>
        <w:t> </w:t>
      </w:r>
      <w:r w:rsidRPr="00947E4F">
        <w:rPr>
          <w:bCs/>
          <w:color w:val="222222"/>
        </w:rPr>
        <w:t>DED</w:t>
      </w:r>
      <w:r w:rsidRPr="00947E4F">
        <w:rPr>
          <w:b/>
          <w:bCs/>
          <w:color w:val="222222"/>
        </w:rPr>
        <w:t> </w:t>
      </w:r>
      <w:r w:rsidRPr="00947E4F">
        <w:rPr>
          <w:color w:val="222222"/>
        </w:rPr>
        <w:t>review committee will rank the NABDI grant proposals using </w:t>
      </w:r>
      <w:r w:rsidRPr="00947E4F">
        <w:rPr>
          <w:bCs/>
          <w:color w:val="222222"/>
        </w:rPr>
        <w:t>only</w:t>
      </w:r>
      <w:r w:rsidRPr="00947E4F">
        <w:rPr>
          <w:color w:val="222222"/>
        </w:rPr>
        <w:t xml:space="preserve"> the selection criteria outlined in </w:t>
      </w:r>
      <w:r w:rsidR="00823CDA">
        <w:rPr>
          <w:color w:val="222222"/>
        </w:rPr>
        <w:t>this section</w:t>
      </w:r>
      <w:r w:rsidR="00B87227" w:rsidRPr="00947E4F">
        <w:rPr>
          <w:color w:val="222222"/>
        </w:rPr>
        <w:t xml:space="preserve">. </w:t>
      </w:r>
      <w:r w:rsidR="0082794B">
        <w:rPr>
          <w:color w:val="222222"/>
        </w:rPr>
        <w:t>DED</w:t>
      </w:r>
      <w:r w:rsidR="00B87227" w:rsidRPr="00947E4F">
        <w:rPr>
          <w:color w:val="222222"/>
        </w:rPr>
        <w:t>will forward rated proposals</w:t>
      </w:r>
      <w:r w:rsidR="00465314">
        <w:rPr>
          <w:color w:val="222222"/>
        </w:rPr>
        <w:t xml:space="preserve"> for approval</w:t>
      </w:r>
      <w:r w:rsidR="00B87227" w:rsidRPr="00947E4F">
        <w:rPr>
          <w:color w:val="222222"/>
        </w:rPr>
        <w:t xml:space="preserve"> to the </w:t>
      </w:r>
      <w:r w:rsidR="00F03BA8">
        <w:rPr>
          <w:color w:val="222222"/>
        </w:rPr>
        <w:t xml:space="preserve">Acting Director of IEED; </w:t>
      </w:r>
      <w:r w:rsidR="00B87227" w:rsidRPr="00947E4F">
        <w:rPr>
          <w:color w:val="222222"/>
        </w:rPr>
        <w:t>the Office of the Assistant Secretary, Indian Affairs</w:t>
      </w:r>
      <w:r w:rsidR="00F03BA8">
        <w:rPr>
          <w:color w:val="222222"/>
        </w:rPr>
        <w:t>; and</w:t>
      </w:r>
      <w:r w:rsidR="006B6A9D">
        <w:rPr>
          <w:color w:val="222222"/>
        </w:rPr>
        <w:t xml:space="preserve"> (with respect to grants exceeding $100,000)</w:t>
      </w:r>
      <w:r w:rsidR="00F03BA8">
        <w:rPr>
          <w:color w:val="222222"/>
        </w:rPr>
        <w:t xml:space="preserve"> the Associate</w:t>
      </w:r>
      <w:r w:rsidR="008A3B61">
        <w:rPr>
          <w:color w:val="222222"/>
        </w:rPr>
        <w:t xml:space="preserve"> Deputy</w:t>
      </w:r>
      <w:r w:rsidR="00F03BA8">
        <w:rPr>
          <w:color w:val="222222"/>
        </w:rPr>
        <w:t xml:space="preserve"> Secretary, U.S. Department of</w:t>
      </w:r>
      <w:r w:rsidR="0078659F">
        <w:rPr>
          <w:color w:val="222222"/>
        </w:rPr>
        <w:t xml:space="preserve"> the </w:t>
      </w:r>
      <w:r w:rsidR="00F03BA8">
        <w:rPr>
          <w:color w:val="222222"/>
        </w:rPr>
        <w:t>Interior</w:t>
      </w:r>
      <w:r w:rsidR="008A3B61">
        <w:rPr>
          <w:color w:val="222222"/>
        </w:rPr>
        <w:t xml:space="preserve">.  </w:t>
      </w:r>
      <w:r w:rsidRPr="00947E4F">
        <w:rPr>
          <w:color w:val="222222"/>
        </w:rPr>
        <w:t>Those applicants not receiving an award will also be notified promptly in writing.</w:t>
      </w:r>
    </w:p>
    <w:p w:rsidR="0078659F" w:rsidRDefault="0078659F" w:rsidP="009341C6">
      <w:pPr>
        <w:pStyle w:val="FedReg-Head1"/>
      </w:pPr>
    </w:p>
    <w:p w:rsidR="004D6DA6" w:rsidRPr="00405947" w:rsidRDefault="002052A6" w:rsidP="009341C6">
      <w:pPr>
        <w:pStyle w:val="FedReg-Head1"/>
      </w:pPr>
      <w:r>
        <w:t>F</w:t>
      </w:r>
      <w:r w:rsidR="004D6DA6">
        <w:t xml:space="preserve">.  </w:t>
      </w:r>
      <w:r w:rsidR="004D6DA6" w:rsidRPr="00405947">
        <w:t>When to Submit</w:t>
      </w:r>
    </w:p>
    <w:p w:rsidR="00C32C96" w:rsidRDefault="00DA2704" w:rsidP="009341C6">
      <w:pPr>
        <w:pStyle w:val="FedReg-bodyindent25"/>
      </w:pPr>
      <w:r>
        <w:t xml:space="preserve">The </w:t>
      </w:r>
      <w:r w:rsidR="006B1F96">
        <w:t>IEED</w:t>
      </w:r>
      <w:r w:rsidR="00CA674D">
        <w:t xml:space="preserve"> will accept applications at any time before the deadline </w:t>
      </w:r>
      <w:r w:rsidR="0069147F">
        <w:t xml:space="preserve">stated in the </w:t>
      </w:r>
      <w:r w:rsidR="0069147F" w:rsidRPr="00C44096">
        <w:rPr>
          <w:b/>
          <w:szCs w:val="24"/>
        </w:rPr>
        <w:t>DATES</w:t>
      </w:r>
      <w:r w:rsidR="0069147F" w:rsidRPr="00C44096">
        <w:rPr>
          <w:szCs w:val="24"/>
        </w:rPr>
        <w:t xml:space="preserve"> </w:t>
      </w:r>
      <w:r w:rsidR="0069147F">
        <w:t>section</w:t>
      </w:r>
      <w:r w:rsidR="00B24548">
        <w:t xml:space="preserve"> of this notice</w:t>
      </w:r>
      <w:r w:rsidR="00CA674D">
        <w:t>, and will send a notification of receipt to the return address on the application package, along with a determination of whether or not the application is complete.</w:t>
      </w:r>
      <w:r w:rsidR="009C0706">
        <w:t xml:space="preserve"> </w:t>
      </w:r>
      <w:r>
        <w:t xml:space="preserve"> The </w:t>
      </w:r>
      <w:r w:rsidR="00123029">
        <w:t>IEED</w:t>
      </w:r>
      <w:r w:rsidR="0007610E">
        <w:t xml:space="preserve"> </w:t>
      </w:r>
      <w:r w:rsidR="009C0706" w:rsidRPr="003A28CC">
        <w:t>will not consider grant pro</w:t>
      </w:r>
      <w:r w:rsidR="009C0706">
        <w:t xml:space="preserve">posals after this date.  </w:t>
      </w:r>
    </w:p>
    <w:p w:rsidR="00F03BA8" w:rsidRDefault="00F03BA8" w:rsidP="009341C6">
      <w:pPr>
        <w:pStyle w:val="FedReg-Head1"/>
      </w:pPr>
    </w:p>
    <w:p w:rsidR="004D6DA6" w:rsidRDefault="002052A6" w:rsidP="009341C6">
      <w:pPr>
        <w:pStyle w:val="FedReg-Head1"/>
      </w:pPr>
      <w:r>
        <w:t>G</w:t>
      </w:r>
      <w:r w:rsidR="004D6DA6">
        <w:t>.  Where to Submit</w:t>
      </w:r>
    </w:p>
    <w:p w:rsidR="00CA674D" w:rsidRPr="00E8504D" w:rsidRDefault="00C44096" w:rsidP="009341C6">
      <w:pPr>
        <w:pStyle w:val="FedReg-bodyindent25"/>
        <w:rPr>
          <w:spacing w:val="4"/>
        </w:rPr>
      </w:pPr>
      <w:r>
        <w:t>S</w:t>
      </w:r>
      <w:r w:rsidR="00CA674D">
        <w:t xml:space="preserve">ubmit the </w:t>
      </w:r>
      <w:r w:rsidR="00123029">
        <w:t>NABDI technical assistance proposals</w:t>
      </w:r>
      <w:r w:rsidR="00CA674D">
        <w:t xml:space="preserve"> to </w:t>
      </w:r>
      <w:r w:rsidR="00123029">
        <w:t>IEED</w:t>
      </w:r>
      <w:r w:rsidR="00CA674D">
        <w:t xml:space="preserve"> at the </w:t>
      </w:r>
      <w:r w:rsidR="008275FE">
        <w:t xml:space="preserve">email </w:t>
      </w:r>
      <w:r w:rsidR="00CA674D">
        <w:t>address</w:t>
      </w:r>
      <w:r w:rsidR="00D04186">
        <w:t xml:space="preserve"> listed in the </w:t>
      </w:r>
      <w:r w:rsidR="00D04186" w:rsidRPr="00B24548">
        <w:rPr>
          <w:b/>
          <w:szCs w:val="24"/>
        </w:rPr>
        <w:t>ADDRESS</w:t>
      </w:r>
      <w:r w:rsidR="00B24548" w:rsidRPr="00B24548">
        <w:rPr>
          <w:b/>
        </w:rPr>
        <w:t>ES</w:t>
      </w:r>
      <w:r w:rsidR="00D04186">
        <w:t xml:space="preserve"> section of this notice</w:t>
      </w:r>
      <w:r w:rsidR="00D04186">
        <w:rPr>
          <w:spacing w:val="4"/>
        </w:rPr>
        <w:t xml:space="preserve">.  </w:t>
      </w:r>
    </w:p>
    <w:p w:rsidR="006B6A9D" w:rsidRDefault="006B6A9D" w:rsidP="00947E4F">
      <w:pPr>
        <w:pStyle w:val="FedReg-Head1"/>
      </w:pPr>
    </w:p>
    <w:p w:rsidR="004D6DA6" w:rsidRDefault="002052A6" w:rsidP="00947E4F">
      <w:pPr>
        <w:pStyle w:val="FedReg-Head1"/>
      </w:pPr>
      <w:r>
        <w:t>H</w:t>
      </w:r>
      <w:r w:rsidR="004D6DA6">
        <w:t>.  Transfer of Funds</w:t>
      </w:r>
    </w:p>
    <w:p w:rsidR="008275FE" w:rsidRDefault="008275FE" w:rsidP="009341C6">
      <w:pPr>
        <w:pStyle w:val="FedReg-bodyindent25"/>
      </w:pPr>
      <w:r>
        <w:t>DED’s obligation under this solicitation is contingent on receipt of congressionally appropriated funds.  No liability on the part of the U.S. Government for any payment may arise until funds are made available to the Awarding Officer for this grant and until the recipient receives notice of such availability, to be confirmed in writing by the Awarding Officer.</w:t>
      </w:r>
    </w:p>
    <w:p w:rsidR="008275FE" w:rsidRDefault="008275FE" w:rsidP="009341C6">
      <w:pPr>
        <w:pStyle w:val="FedReg-bodyindent25"/>
        <w:rPr>
          <w:rFonts w:cs="Arial"/>
        </w:rPr>
      </w:pPr>
      <w:r>
        <w:t>All payments under this agreement will be made by the U.S. Government by electronic funds transfer (</w:t>
      </w:r>
      <w:r w:rsidR="0027147B">
        <w:t>through</w:t>
      </w:r>
      <w:r>
        <w:t xml:space="preserve"> the Automated Standar</w:t>
      </w:r>
      <w:r w:rsidR="00F03BA8">
        <w:t>d Application for Payment (ASAP</w:t>
      </w:r>
      <w:r>
        <w:t>).</w:t>
      </w:r>
      <w:r w:rsidR="0027147B">
        <w:t xml:space="preserve">  All recipients are required to have a current and accurate DUNS number to receive funds.  All payments will be deposited in according with the banking information designated for the applicant in the System for Award Management (SAM).  </w:t>
      </w:r>
    </w:p>
    <w:p w:rsidR="00F03BA8" w:rsidRDefault="00F03BA8" w:rsidP="009341C6">
      <w:pPr>
        <w:pStyle w:val="FedReg-Head1"/>
      </w:pPr>
    </w:p>
    <w:p w:rsidR="004D6DA6" w:rsidRDefault="002052A6" w:rsidP="009341C6">
      <w:pPr>
        <w:pStyle w:val="FedReg-Head1"/>
      </w:pPr>
      <w:r>
        <w:t>I</w:t>
      </w:r>
      <w:r w:rsidR="004D6DA6">
        <w:t>.  Reporting Requirements for Award Recipients</w:t>
      </w:r>
    </w:p>
    <w:p w:rsidR="004D6DA6" w:rsidRPr="00405947" w:rsidRDefault="004D6DA6" w:rsidP="009341C6">
      <w:pPr>
        <w:pStyle w:val="FedReg-headitalic2"/>
      </w:pPr>
      <w:r w:rsidRPr="00405947">
        <w:t>Final Reporting Requirements</w:t>
      </w:r>
    </w:p>
    <w:p w:rsidR="004D6DA6" w:rsidRDefault="004D6DA6" w:rsidP="009341C6">
      <w:pPr>
        <w:pStyle w:val="FedReg-bullet"/>
      </w:pPr>
      <w:r w:rsidRPr="009341C6">
        <w:rPr>
          <w:bCs/>
          <w:u w:val="single"/>
        </w:rPr>
        <w:t>Delivery Schedules</w:t>
      </w:r>
      <w:r w:rsidRPr="00AD0629">
        <w:rPr>
          <w:i/>
        </w:rPr>
        <w:t>.</w:t>
      </w:r>
      <w:r w:rsidRPr="00B24548">
        <w:t xml:space="preserve">  </w:t>
      </w:r>
      <w:r>
        <w:t xml:space="preserve"> The tribe </w:t>
      </w:r>
      <w:r w:rsidR="00FA1C2F">
        <w:t xml:space="preserve">or entity </w:t>
      </w:r>
      <w:r>
        <w:t xml:space="preserve">must deliver all products and data </w:t>
      </w:r>
      <w:r w:rsidR="0027147B">
        <w:t>required by the signed Grant Agreemen</w:t>
      </w:r>
      <w:r w:rsidR="00196B86">
        <w:t xml:space="preserve">t </w:t>
      </w:r>
      <w:r w:rsidR="0027147B">
        <w:t xml:space="preserve">of </w:t>
      </w:r>
      <w:r>
        <w:t xml:space="preserve">the proposed </w:t>
      </w:r>
      <w:r w:rsidR="00196B86">
        <w:t>NABDI feasibility study</w:t>
      </w:r>
      <w:r>
        <w:t xml:space="preserve"> project to </w:t>
      </w:r>
      <w:r w:rsidR="00123029">
        <w:t>IEED</w:t>
      </w:r>
      <w:r>
        <w:t xml:space="preserve">’s office within </w:t>
      </w:r>
      <w:r w:rsidR="00E267DE">
        <w:t xml:space="preserve">30 days of each quarter and </w:t>
      </w:r>
      <w:r w:rsidR="0027147B">
        <w:t>90 days</w:t>
      </w:r>
      <w:r>
        <w:t xml:space="preserve"> after completion of the project.</w:t>
      </w:r>
    </w:p>
    <w:p w:rsidR="004D6DA6" w:rsidRDefault="004D6DA6" w:rsidP="0055347D">
      <w:pPr>
        <w:pStyle w:val="FedReg-bullet"/>
      </w:pPr>
      <w:r w:rsidRPr="009341C6">
        <w:rPr>
          <w:bCs/>
          <w:u w:val="single"/>
        </w:rPr>
        <w:t xml:space="preserve">Mandatory Requirement to Provide </w:t>
      </w:r>
      <w:r w:rsidR="0055347D">
        <w:rPr>
          <w:bCs/>
          <w:u w:val="single"/>
        </w:rPr>
        <w:t>Products</w:t>
      </w:r>
      <w:r w:rsidRPr="009341C6">
        <w:rPr>
          <w:bCs/>
          <w:u w:val="single"/>
        </w:rPr>
        <w:t xml:space="preserve"> and Data in Digital Form</w:t>
      </w:r>
      <w:r>
        <w:rPr>
          <w:bCs/>
          <w:i/>
        </w:rPr>
        <w:t>.</w:t>
      </w:r>
      <w:r>
        <w:rPr>
          <w:bCs/>
        </w:rPr>
        <w:t xml:space="preserve">  </w:t>
      </w:r>
      <w:r w:rsidR="00277252">
        <w:rPr>
          <w:bCs/>
        </w:rPr>
        <w:t xml:space="preserve">The </w:t>
      </w:r>
      <w:r w:rsidR="00123029">
        <w:t>IEED</w:t>
      </w:r>
      <w:r>
        <w:t xml:space="preserve"> requires that deliverable products be provided in digital format, along with printed hard copies. Reports can be provided in either M</w:t>
      </w:r>
      <w:r w:rsidR="00B30F51">
        <w:t>icrosoft</w:t>
      </w:r>
      <w:r>
        <w:t xml:space="preserve"> Word or </w:t>
      </w:r>
      <w:r w:rsidR="00E542D3">
        <w:t xml:space="preserve">Adobe </w:t>
      </w:r>
      <w:r w:rsidR="00B30F51">
        <w:t xml:space="preserve">Acrobat </w:t>
      </w:r>
      <w:r>
        <w:t>PDF format.  Spreadsheet data can be provided in M</w:t>
      </w:r>
      <w:r w:rsidR="00B30F51">
        <w:t xml:space="preserve">icrosoft </w:t>
      </w:r>
      <w:r>
        <w:t xml:space="preserve">Excel, </w:t>
      </w:r>
      <w:r w:rsidR="00234F68">
        <w:t>M</w:t>
      </w:r>
      <w:r w:rsidR="00B30F51">
        <w:t>icrosoft</w:t>
      </w:r>
      <w:r>
        <w:t xml:space="preserve"> Access, or </w:t>
      </w:r>
      <w:r w:rsidR="00E542D3">
        <w:t xml:space="preserve">Adobe </w:t>
      </w:r>
      <w:r>
        <w:t>PDF formats.  All vector figures should be converted to PDF format.  Raster images can be provided in PDF, JPEG, TIFF, or any of the Windows metafile formats.</w:t>
      </w:r>
    </w:p>
    <w:p w:rsidR="004D6DA6" w:rsidRDefault="004D6DA6" w:rsidP="004C15FF">
      <w:pPr>
        <w:pStyle w:val="FedReg-bullet"/>
      </w:pPr>
      <w:r w:rsidRPr="0039529B">
        <w:rPr>
          <w:bCs/>
          <w:u w:val="single"/>
        </w:rPr>
        <w:t>Number of Copies</w:t>
      </w:r>
      <w:r w:rsidRPr="0039529B">
        <w:rPr>
          <w:bCs/>
          <w:i/>
        </w:rPr>
        <w:t>.</w:t>
      </w:r>
      <w:r>
        <w:t xml:space="preserve">  When a tribe </w:t>
      </w:r>
      <w:r w:rsidR="00FA1C2F">
        <w:t xml:space="preserve">or entity </w:t>
      </w:r>
      <w:r>
        <w:t xml:space="preserve">prepares </w:t>
      </w:r>
      <w:r w:rsidR="0055347D">
        <w:t>the contract for economic development feasibility studies or an economic</w:t>
      </w:r>
      <w:r w:rsidR="007B7BEF">
        <w:t xml:space="preserve"> development</w:t>
      </w:r>
      <w:r w:rsidR="0055347D">
        <w:t xml:space="preserve"> plan</w:t>
      </w:r>
      <w:r>
        <w:t xml:space="preserve">, </w:t>
      </w:r>
      <w:r w:rsidR="00B24548">
        <w:t xml:space="preserve">it </w:t>
      </w:r>
      <w:r>
        <w:t xml:space="preserve">must describe the deliverable products and include a requirement that the products be prepared in standard format (see format description above).  Each </w:t>
      </w:r>
      <w:r w:rsidRPr="0039529B">
        <w:rPr>
          <w:szCs w:val="24"/>
        </w:rPr>
        <w:t xml:space="preserve">contract </w:t>
      </w:r>
      <w:r w:rsidR="0039529B" w:rsidRPr="0039529B">
        <w:rPr>
          <w:szCs w:val="24"/>
        </w:rPr>
        <w:t>should</w:t>
      </w:r>
      <w:r w:rsidRPr="0039529B">
        <w:rPr>
          <w:szCs w:val="24"/>
        </w:rPr>
        <w:t xml:space="preserve"> provide funding for a</w:t>
      </w:r>
      <w:r w:rsidR="0039529B" w:rsidRPr="0039529B">
        <w:rPr>
          <w:szCs w:val="24"/>
        </w:rPr>
        <w:t xml:space="preserve">ll </w:t>
      </w:r>
      <w:r w:rsidRPr="0039529B">
        <w:t xml:space="preserve">printed and </w:t>
      </w:r>
      <w:r w:rsidR="00196B86">
        <w:t>d</w:t>
      </w:r>
      <w:r w:rsidRPr="0039529B">
        <w:t xml:space="preserve">igital copies to be </w:t>
      </w:r>
      <w:r w:rsidR="0039529B" w:rsidRPr="0039529B">
        <w:t>delivered in accordance to the projects award agreement.</w:t>
      </w:r>
      <w:r w:rsidRPr="0039529B">
        <w:rPr>
          <w:szCs w:val="24"/>
        </w:rPr>
        <w:t xml:space="preserve">  </w:t>
      </w:r>
    </w:p>
    <w:p w:rsidR="00C32C96" w:rsidRDefault="004D6DA6" w:rsidP="009341C6">
      <w:pPr>
        <w:pStyle w:val="FedReg-bodyindent25"/>
      </w:pPr>
      <w:r>
        <w:t xml:space="preserve">All products generated by </w:t>
      </w:r>
      <w:r w:rsidR="0055347D">
        <w:t>the consultant</w:t>
      </w:r>
      <w:r>
        <w:t xml:space="preserve"> belong to the tribe</w:t>
      </w:r>
      <w:r w:rsidR="0027410C" w:rsidRPr="0027410C">
        <w:t xml:space="preserve"> </w:t>
      </w:r>
      <w:r w:rsidR="0027410C">
        <w:t>or entity</w:t>
      </w:r>
      <w:r>
        <w:t xml:space="preserve"> and cannot be released to the public without the </w:t>
      </w:r>
      <w:r w:rsidR="00C44096">
        <w:t>tribe</w:t>
      </w:r>
      <w:r w:rsidR="00FA1C2F">
        <w:t xml:space="preserve"> or entity’</w:t>
      </w:r>
      <w:r w:rsidR="00C44096">
        <w:t xml:space="preserve">s </w:t>
      </w:r>
      <w:r>
        <w:t>written approval.  Products include</w:t>
      </w:r>
      <w:r w:rsidR="0055347D">
        <w:t>, but are not limited to,</w:t>
      </w:r>
      <w:r>
        <w:t xml:space="preserve"> all reports a</w:t>
      </w:r>
      <w:r w:rsidR="006B6A9D">
        <w:t>nd technical data obtained maps</w:t>
      </w:r>
      <w:r>
        <w:t>, status reports</w:t>
      </w:r>
      <w:r w:rsidR="00C44096">
        <w:t>,</w:t>
      </w:r>
      <w:r>
        <w:t xml:space="preserve"> and the final report.</w:t>
      </w:r>
    </w:p>
    <w:p w:rsidR="00BD7E6A" w:rsidRDefault="00BD7E6A" w:rsidP="009341C6">
      <w:pPr>
        <w:pStyle w:val="FedReg-Head1"/>
      </w:pPr>
    </w:p>
    <w:p w:rsidR="00E129D5" w:rsidRDefault="00E129D5" w:rsidP="009341C6">
      <w:pPr>
        <w:pStyle w:val="FedReg-Head1"/>
      </w:pPr>
      <w:r>
        <w:t xml:space="preserve">J.  </w:t>
      </w:r>
      <w:r w:rsidR="00F156E0" w:rsidRPr="00007C01">
        <w:t>R</w:t>
      </w:r>
      <w:r>
        <w:t xml:space="preserve">equests for </w:t>
      </w:r>
      <w:r w:rsidR="0055347D">
        <w:t>IEED</w:t>
      </w:r>
      <w:r>
        <w:t xml:space="preserve"> Assistance</w:t>
      </w:r>
    </w:p>
    <w:p w:rsidR="00F156E0" w:rsidRDefault="00DA2704" w:rsidP="009341C6">
      <w:pPr>
        <w:pStyle w:val="FedReg-bodyindent25"/>
      </w:pPr>
      <w:r>
        <w:t xml:space="preserve">The </w:t>
      </w:r>
      <w:r w:rsidR="00123029">
        <w:t>IEED</w:t>
      </w:r>
      <w:r w:rsidR="00F156E0">
        <w:t xml:space="preserve"> staff may provide technical consultat</w:t>
      </w:r>
      <w:r w:rsidR="007133B4">
        <w:t>ion</w:t>
      </w:r>
      <w:r w:rsidR="007C6C9D">
        <w:t>.</w:t>
      </w:r>
      <w:r w:rsidR="005142C6">
        <w:t xml:space="preserve"> </w:t>
      </w:r>
      <w:r w:rsidR="007C6C9D">
        <w:t xml:space="preserve"> H</w:t>
      </w:r>
      <w:r w:rsidR="00F156E0">
        <w:t xml:space="preserve">owever, the tribe </w:t>
      </w:r>
      <w:r w:rsidR="00FA1C2F">
        <w:t xml:space="preserve">or entity </w:t>
      </w:r>
      <w:r w:rsidR="00F156E0">
        <w:t xml:space="preserve">is responsible for </w:t>
      </w:r>
      <w:r w:rsidR="00E542D3">
        <w:t xml:space="preserve">preparing </w:t>
      </w:r>
      <w:r w:rsidR="00F156E0">
        <w:t>the executive summary, justification</w:t>
      </w:r>
      <w:r w:rsidR="00C44096">
        <w:t>,</w:t>
      </w:r>
      <w:r w:rsidR="00F03BA8">
        <w:t xml:space="preserve"> and scope of work for its</w:t>
      </w:r>
      <w:r w:rsidR="00F156E0">
        <w:t xml:space="preserve"> proposal.</w:t>
      </w:r>
      <w:r w:rsidR="0039529B">
        <w:t xml:space="preserve">  </w:t>
      </w:r>
      <w:r w:rsidR="00F156E0">
        <w:t>The tribe</w:t>
      </w:r>
      <w:r w:rsidR="00FA1C2F">
        <w:t xml:space="preserve"> or entity</w:t>
      </w:r>
      <w:r w:rsidR="00F156E0">
        <w:t xml:space="preserve"> must notify </w:t>
      </w:r>
      <w:r w:rsidR="00123029">
        <w:t>IEED</w:t>
      </w:r>
      <w:r w:rsidR="00F156E0">
        <w:t xml:space="preserve"> in writing that </w:t>
      </w:r>
      <w:r w:rsidR="007C6C9D">
        <w:t>it</w:t>
      </w:r>
      <w:r w:rsidR="00F156E0">
        <w:t xml:space="preserve"> require</w:t>
      </w:r>
      <w:r w:rsidR="007C6C9D">
        <w:t>s</w:t>
      </w:r>
      <w:r w:rsidR="00F156E0">
        <w:t xml:space="preserve"> assistance, and </w:t>
      </w:r>
      <w:r w:rsidR="00123029">
        <w:t>IEED</w:t>
      </w:r>
      <w:r w:rsidR="00F156E0">
        <w:t xml:space="preserve"> will then a</w:t>
      </w:r>
      <w:r w:rsidR="007C6C9D">
        <w:t>ssign</w:t>
      </w:r>
      <w:r w:rsidR="00F156E0">
        <w:t xml:space="preserve"> staff to </w:t>
      </w:r>
      <w:r w:rsidR="007C6C9D">
        <w:t>help</w:t>
      </w:r>
      <w:r w:rsidR="00F156E0">
        <w:t>.</w:t>
      </w:r>
      <w:r w:rsidR="00E542D3">
        <w:t xml:space="preserve">  The tribe</w:t>
      </w:r>
      <w:r w:rsidR="00FA1C2F" w:rsidRPr="00FA1C2F">
        <w:t xml:space="preserve"> </w:t>
      </w:r>
      <w:r w:rsidR="00FA1C2F">
        <w:t>or entity</w:t>
      </w:r>
      <w:r w:rsidR="00E542D3">
        <w:t xml:space="preserve">’s request must clearly specify the type of assistance desired.  </w:t>
      </w:r>
    </w:p>
    <w:p w:rsidR="00F156E0" w:rsidRDefault="00F156E0" w:rsidP="009341C6">
      <w:pPr>
        <w:pStyle w:val="FedReg-bodyindent25"/>
      </w:pPr>
      <w:r w:rsidRPr="007133B4">
        <w:t xml:space="preserve">Requests for assistance should be submitted </w:t>
      </w:r>
      <w:r w:rsidR="005976DE">
        <w:t xml:space="preserve">well in advance of the proposal </w:t>
      </w:r>
      <w:r w:rsidRPr="007133B4">
        <w:t xml:space="preserve">deadline </w:t>
      </w:r>
      <w:r w:rsidR="005976DE">
        <w:t>established</w:t>
      </w:r>
      <w:r w:rsidR="00E129D5" w:rsidRPr="007133B4">
        <w:t xml:space="preserve"> in </w:t>
      </w:r>
      <w:r w:rsidR="00E129D5" w:rsidRPr="00B24548">
        <w:rPr>
          <w:szCs w:val="24"/>
        </w:rPr>
        <w:t xml:space="preserve">the </w:t>
      </w:r>
      <w:r w:rsidR="00E129D5" w:rsidRPr="00B24548">
        <w:rPr>
          <w:b/>
        </w:rPr>
        <w:t>DATES</w:t>
      </w:r>
      <w:r w:rsidR="00E129D5" w:rsidRPr="00B24548">
        <w:rPr>
          <w:szCs w:val="24"/>
        </w:rPr>
        <w:t xml:space="preserve"> section</w:t>
      </w:r>
      <w:r w:rsidR="00E129D5">
        <w:t xml:space="preserve"> </w:t>
      </w:r>
      <w:r w:rsidR="005976DE">
        <w:t xml:space="preserve">of this solicitation to </w:t>
      </w:r>
      <w:r>
        <w:t xml:space="preserve">allow </w:t>
      </w:r>
      <w:r w:rsidR="00123029">
        <w:t>IEED</w:t>
      </w:r>
      <w:r>
        <w:t xml:space="preserve"> </w:t>
      </w:r>
      <w:r w:rsidR="005976DE">
        <w:t xml:space="preserve">staff </w:t>
      </w:r>
      <w:r>
        <w:t xml:space="preserve">time to provide the appropriate assistance.  </w:t>
      </w:r>
      <w:r w:rsidR="00123029">
        <w:t>IEED</w:t>
      </w:r>
      <w:r w:rsidR="005976DE">
        <w:t xml:space="preserve"> will not accept requests for assistance that are received </w:t>
      </w:r>
      <w:r w:rsidR="00C44096">
        <w:t xml:space="preserve">after </w:t>
      </w:r>
      <w:r w:rsidR="008A3B61">
        <w:t xml:space="preserve">the deadline for such requests listed in the </w:t>
      </w:r>
      <w:r w:rsidR="008A3B61">
        <w:rPr>
          <w:b/>
        </w:rPr>
        <w:t xml:space="preserve">DATES </w:t>
      </w:r>
      <w:r w:rsidR="008A3B61">
        <w:t>section of this solicitation.</w:t>
      </w:r>
      <w:r w:rsidR="005976DE">
        <w:t xml:space="preserve">  </w:t>
      </w:r>
      <w:r w:rsidR="007A0DED">
        <w:t>T</w:t>
      </w:r>
      <w:r>
        <w:t>ribes</w:t>
      </w:r>
      <w:r w:rsidR="00FA1C2F" w:rsidRPr="00FA1C2F">
        <w:t xml:space="preserve"> </w:t>
      </w:r>
      <w:r w:rsidR="00FA1C2F">
        <w:t>or entities</w:t>
      </w:r>
      <w:r>
        <w:t xml:space="preserve"> not seeking assistance should </w:t>
      </w:r>
      <w:r w:rsidR="008C3333">
        <w:t xml:space="preserve">also </w:t>
      </w:r>
      <w:r>
        <w:t xml:space="preserve">attempt to submit their </w:t>
      </w:r>
      <w:r w:rsidR="0055347D">
        <w:t xml:space="preserve">NABDI </w:t>
      </w:r>
      <w:r>
        <w:t xml:space="preserve">proposals well in advance of the deadline to allow </w:t>
      </w:r>
      <w:r w:rsidR="00123029">
        <w:t>IEED</w:t>
      </w:r>
      <w:r>
        <w:t xml:space="preserve"> </w:t>
      </w:r>
      <w:r w:rsidR="008C3333">
        <w:t xml:space="preserve">staff </w:t>
      </w:r>
      <w:r>
        <w:t>time to review the proposals for possible deficiencies and allow time to contact the tribe</w:t>
      </w:r>
      <w:r w:rsidR="00FA1C2F" w:rsidRPr="00FA1C2F">
        <w:t xml:space="preserve"> </w:t>
      </w:r>
      <w:r w:rsidR="00FA1C2F">
        <w:t>or entity</w:t>
      </w:r>
      <w:r>
        <w:t xml:space="preserve"> with requests for revisions to the initial submission.</w:t>
      </w:r>
    </w:p>
    <w:p w:rsidR="008A3B61" w:rsidRDefault="008A3B61" w:rsidP="0078659F">
      <w:pPr>
        <w:pStyle w:val="FedReg-bodyindent25"/>
        <w:ind w:firstLine="0"/>
      </w:pPr>
    </w:p>
    <w:p w:rsidR="008A3B61" w:rsidRDefault="008A3B61" w:rsidP="0078659F">
      <w:pPr>
        <w:pStyle w:val="FedReg-bodyindent25"/>
        <w:ind w:firstLine="0"/>
        <w:rPr>
          <w:b/>
        </w:rPr>
      </w:pPr>
      <w:r>
        <w:rPr>
          <w:b/>
        </w:rPr>
        <w:t>K.  Authority</w:t>
      </w:r>
    </w:p>
    <w:p w:rsidR="0078659F" w:rsidRPr="00172A70" w:rsidRDefault="008A3B61" w:rsidP="0078659F">
      <w:pPr>
        <w:widowControl w:val="0"/>
        <w:autoSpaceDE w:val="0"/>
        <w:autoSpaceDN w:val="0"/>
        <w:adjustRightInd w:val="0"/>
        <w:spacing w:line="480" w:lineRule="auto"/>
        <w:ind w:firstLine="360"/>
        <w:rPr>
          <w:rFonts w:cs="Georgia"/>
          <w:color w:val="1A1A1A"/>
          <w:szCs w:val="26"/>
        </w:rPr>
      </w:pPr>
      <w:r>
        <w:rPr>
          <w:rFonts w:cs="Georgia"/>
          <w:color w:val="1A1A1A"/>
          <w:szCs w:val="26"/>
        </w:rPr>
        <w:t xml:space="preserve">   </w:t>
      </w:r>
      <w:r w:rsidR="0078659F">
        <w:rPr>
          <w:rFonts w:cs="Georgia"/>
          <w:color w:val="1A1A1A"/>
          <w:szCs w:val="26"/>
        </w:rPr>
        <w:t xml:space="preserve">This is a discretionary grant program authorized under </w:t>
      </w:r>
      <w:r w:rsidR="0078659F" w:rsidRPr="000E3776">
        <w:rPr>
          <w:rFonts w:cs="Georgia"/>
          <w:color w:val="1A1A1A"/>
          <w:szCs w:val="26"/>
        </w:rPr>
        <w:t xml:space="preserve">the Consolidated Appropriations Act, </w:t>
      </w:r>
      <w:r w:rsidR="0078659F">
        <w:rPr>
          <w:rFonts w:cs="Georgia"/>
          <w:color w:val="1A1A1A"/>
          <w:szCs w:val="26"/>
        </w:rPr>
        <w:t>2017 (</w:t>
      </w:r>
      <w:r w:rsidR="0078659F">
        <w:rPr>
          <w:lang w:val="en"/>
        </w:rPr>
        <w:t>Public Law No: 115-31)</w:t>
      </w:r>
      <w:r w:rsidR="0078659F">
        <w:rPr>
          <w:rFonts w:cs="Georgia"/>
          <w:color w:val="1A1A1A"/>
          <w:szCs w:val="26"/>
        </w:rPr>
        <w:t xml:space="preserve"> and</w:t>
      </w:r>
      <w:r w:rsidR="0078659F" w:rsidRPr="000E3776">
        <w:rPr>
          <w:rFonts w:cs="Georgia"/>
          <w:color w:val="1A1A1A"/>
          <w:szCs w:val="26"/>
        </w:rPr>
        <w:t xml:space="preserve"> the Snyder Act</w:t>
      </w:r>
      <w:r w:rsidR="0078659F">
        <w:rPr>
          <w:rFonts w:cs="Georgia"/>
          <w:color w:val="1A1A1A"/>
          <w:szCs w:val="26"/>
        </w:rPr>
        <w:t xml:space="preserve"> </w:t>
      </w:r>
      <w:r w:rsidR="0078659F" w:rsidRPr="000E3776">
        <w:rPr>
          <w:rFonts w:cs="Georgia"/>
          <w:color w:val="1A1A1A"/>
          <w:szCs w:val="26"/>
        </w:rPr>
        <w:t xml:space="preserve">(25 U.S.C.13).  </w:t>
      </w:r>
      <w:r w:rsidR="0078659F">
        <w:rPr>
          <w:rFonts w:cs="Georgia"/>
          <w:color w:val="1A1A1A"/>
          <w:szCs w:val="26"/>
        </w:rPr>
        <w:t>T</w:t>
      </w:r>
      <w:r w:rsidR="0078659F" w:rsidRPr="000E3776">
        <w:rPr>
          <w:rFonts w:cs="Georgia"/>
          <w:color w:val="1A1A1A"/>
          <w:szCs w:val="26"/>
        </w:rPr>
        <w:t xml:space="preserve">he Snyder Act </w:t>
      </w:r>
      <w:r w:rsidR="0078659F" w:rsidRPr="000E3776">
        <w:t>authori</w:t>
      </w:r>
      <w:r w:rsidR="0078659F">
        <w:t xml:space="preserve">zes the BIA </w:t>
      </w:r>
      <w:r w:rsidR="0078659F" w:rsidRPr="000E3776">
        <w:t xml:space="preserve">to “expend such moneys as Congress may…appropriate, for the benefit, care, and assistance of the Indians” for the purposes listed in the Act.  </w:t>
      </w:r>
      <w:r w:rsidR="0078659F" w:rsidRPr="000E3776">
        <w:rPr>
          <w:rFonts w:cs="Georgia"/>
          <w:color w:val="1A1A1A"/>
          <w:szCs w:val="26"/>
        </w:rPr>
        <w:t>Development of Native American businesses meets two of the purposes listed in the Snyder Act: “[g]eneral support and civilization” and “industrial assistance and advancement.”</w:t>
      </w:r>
      <w:r w:rsidR="0078659F">
        <w:rPr>
          <w:rFonts w:cs="Georgia"/>
          <w:color w:val="1A1A1A"/>
          <w:szCs w:val="26"/>
        </w:rPr>
        <w:t xml:space="preserve">  T</w:t>
      </w:r>
      <w:r w:rsidR="0078659F" w:rsidRPr="000E3776">
        <w:rPr>
          <w:rFonts w:cs="Georgia"/>
          <w:color w:val="1A1A1A"/>
          <w:szCs w:val="26"/>
        </w:rPr>
        <w:t>he Conso</w:t>
      </w:r>
      <w:r w:rsidR="0078659F">
        <w:rPr>
          <w:rFonts w:cs="Georgia"/>
          <w:color w:val="1A1A1A"/>
          <w:szCs w:val="26"/>
        </w:rPr>
        <w:t>lidated Appropriations Act, 2017</w:t>
      </w:r>
      <w:r w:rsidR="0078659F" w:rsidRPr="000E3776">
        <w:rPr>
          <w:rFonts w:cs="Georgia"/>
          <w:color w:val="1A1A1A"/>
          <w:szCs w:val="26"/>
        </w:rPr>
        <w:t xml:space="preserve"> contains an Administrative Provision that authori</w:t>
      </w:r>
      <w:r w:rsidR="0078659F">
        <w:rPr>
          <w:rFonts w:cs="Georgia"/>
          <w:color w:val="1A1A1A"/>
          <w:szCs w:val="26"/>
        </w:rPr>
        <w:t>zes the BIA</w:t>
      </w:r>
      <w:r w:rsidR="0078659F" w:rsidRPr="000E3776">
        <w:rPr>
          <w:rFonts w:cs="Georgia"/>
          <w:color w:val="1A1A1A"/>
          <w:szCs w:val="26"/>
        </w:rPr>
        <w:t xml:space="preserve"> to carry out the operation of Indian programs by disbursing funds from the Operation of Indian Programs appropr</w:t>
      </w:r>
      <w:r w:rsidR="0078659F">
        <w:rPr>
          <w:rFonts w:cs="Georgia"/>
          <w:color w:val="1A1A1A"/>
          <w:szCs w:val="26"/>
        </w:rPr>
        <w:t xml:space="preserve">iation </w:t>
      </w:r>
      <w:r w:rsidR="0078659F" w:rsidRPr="000E3776">
        <w:rPr>
          <w:rFonts w:cs="Georgia"/>
          <w:color w:val="1A1A1A"/>
          <w:szCs w:val="26"/>
        </w:rPr>
        <w:t>through grants</w:t>
      </w:r>
      <w:r w:rsidR="0078659F">
        <w:rPr>
          <w:rFonts w:cs="Georgia"/>
          <w:color w:val="1A1A1A"/>
          <w:szCs w:val="26"/>
        </w:rPr>
        <w:t>.</w:t>
      </w:r>
    </w:p>
    <w:p w:rsidR="008A3B61" w:rsidRPr="006F7591" w:rsidRDefault="008A3B61" w:rsidP="008A3B61">
      <w:pPr>
        <w:widowControl w:val="0"/>
        <w:autoSpaceDE w:val="0"/>
        <w:autoSpaceDN w:val="0"/>
        <w:adjustRightInd w:val="0"/>
        <w:spacing w:line="480" w:lineRule="auto"/>
      </w:pPr>
    </w:p>
    <w:p w:rsidR="008A3B61" w:rsidRPr="008A3B61" w:rsidRDefault="008A3B61" w:rsidP="0078659F">
      <w:pPr>
        <w:pStyle w:val="FedReg-bodyindent25"/>
        <w:ind w:firstLine="0"/>
      </w:pPr>
    </w:p>
    <w:p w:rsidR="00B24548" w:rsidRDefault="00B24548" w:rsidP="00DA2704">
      <w:pPr>
        <w:widowControl w:val="0"/>
      </w:pPr>
      <w:r>
        <w:t>Dated:</w:t>
      </w:r>
    </w:p>
    <w:p w:rsidR="00B24548" w:rsidRDefault="00B24548" w:rsidP="00DA2704">
      <w:pPr>
        <w:widowControl w:val="0"/>
      </w:pPr>
    </w:p>
    <w:p w:rsidR="00B24548" w:rsidRDefault="00B24548" w:rsidP="00DA2704">
      <w:pPr>
        <w:widowControl w:val="0"/>
      </w:pPr>
    </w:p>
    <w:p w:rsidR="00B24548" w:rsidRDefault="00B24548" w:rsidP="00DA2704">
      <w:pPr>
        <w:widowControl w:val="0"/>
      </w:pPr>
    </w:p>
    <w:p w:rsidR="00B24548" w:rsidRDefault="00B24548" w:rsidP="00DA2704">
      <w:pPr>
        <w:widowControl w:val="0"/>
      </w:pPr>
    </w:p>
    <w:p w:rsidR="00B24548" w:rsidRDefault="00B24548" w:rsidP="00DA2704">
      <w:pPr>
        <w:pStyle w:val="FedReg-bodyindent25"/>
        <w:spacing w:line="240" w:lineRule="auto"/>
      </w:pPr>
    </w:p>
    <w:p w:rsidR="00354CF0" w:rsidRPr="007E539E" w:rsidRDefault="00354CF0" w:rsidP="008C3333">
      <w:pPr>
        <w:pStyle w:val="b-bodyindent25"/>
        <w:ind w:firstLine="0"/>
      </w:pPr>
    </w:p>
    <w:sectPr w:rsidR="00354CF0" w:rsidRPr="007E539E" w:rsidSect="00E714F1">
      <w:footerReference w:type="default" r:id="rId12"/>
      <w:type w:val="continuous"/>
      <w:pgSz w:w="12240" w:h="15840" w:code="1"/>
      <w:pgMar w:top="1440" w:right="1440" w:bottom="1152" w:left="216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153" w:rsidRDefault="000B5153">
      <w:r>
        <w:separator/>
      </w:r>
    </w:p>
  </w:endnote>
  <w:endnote w:type="continuationSeparator" w:id="0">
    <w:p w:rsidR="000B5153" w:rsidRDefault="000B5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OBLME O+ Melior">
    <w:altName w:val="Melior"/>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1D3" w:rsidRDefault="00EB31D3">
    <w:pPr>
      <w:pStyle w:val="Footer"/>
      <w:jc w:val="center"/>
    </w:pPr>
    <w:r>
      <w:rPr>
        <w:rStyle w:val="PageNumber"/>
      </w:rPr>
      <w:fldChar w:fldCharType="begin"/>
    </w:r>
    <w:r>
      <w:rPr>
        <w:rStyle w:val="PageNumber"/>
      </w:rPr>
      <w:instrText xml:space="preserve"> PAGE </w:instrText>
    </w:r>
    <w:r>
      <w:rPr>
        <w:rStyle w:val="PageNumber"/>
      </w:rPr>
      <w:fldChar w:fldCharType="separate"/>
    </w:r>
    <w:r w:rsidR="00CA2D86">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153" w:rsidRDefault="000B5153">
      <w:r>
        <w:separator/>
      </w:r>
    </w:p>
  </w:footnote>
  <w:footnote w:type="continuationSeparator" w:id="0">
    <w:p w:rsidR="000B5153" w:rsidRDefault="000B51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multilevel"/>
    <w:tmpl w:val="3474C68E"/>
    <w:lvl w:ilvl="0">
      <w:start w:val="1"/>
      <w:numFmt w:val="decimal"/>
      <w:pStyle w:val="bnumber"/>
      <w:lvlText w:val="%1."/>
      <w:lvlJc w:val="left"/>
      <w:pPr>
        <w:tabs>
          <w:tab w:val="num" w:pos="1080"/>
        </w:tabs>
        <w:ind w:left="720" w:firstLine="0"/>
      </w:pPr>
      <w:rPr>
        <w:rFonts w:hint="default"/>
        <w:sz w:val="24"/>
        <w:szCs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
    <w:nsid w:val="07310422"/>
    <w:multiLevelType w:val="hybridMultilevel"/>
    <w:tmpl w:val="0BFC0C2C"/>
    <w:lvl w:ilvl="0" w:tplc="825208C6">
      <w:start w:val="1"/>
      <w:numFmt w:val="bullet"/>
      <w:pStyle w:val="FedReg-bullet"/>
      <w:lvlText w:val=""/>
      <w:lvlJc w:val="left"/>
      <w:pPr>
        <w:tabs>
          <w:tab w:val="num" w:pos="360"/>
        </w:tabs>
        <w:ind w:left="360" w:hanging="360"/>
      </w:pPr>
      <w:rPr>
        <w:rFonts w:ascii="Symbol" w:hAnsi="Symbol"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027254"/>
    <w:multiLevelType w:val="multilevel"/>
    <w:tmpl w:val="29BC543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AD930E1"/>
    <w:multiLevelType w:val="multilevel"/>
    <w:tmpl w:val="68E0E5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BAA02F7"/>
    <w:multiLevelType w:val="hybridMultilevel"/>
    <w:tmpl w:val="AA4E0956"/>
    <w:lvl w:ilvl="0" w:tplc="63A2997C">
      <w:start w:val="1"/>
      <w:numFmt w:val="bullet"/>
      <w:pStyle w:val="FedRegc-dashbullet"/>
      <w:lvlText w:val=""/>
      <w:lvlJc w:val="left"/>
      <w:pPr>
        <w:tabs>
          <w:tab w:val="num" w:pos="360"/>
        </w:tabs>
        <w:ind w:left="0" w:firstLine="0"/>
      </w:pPr>
      <w:rPr>
        <w:rFonts w:ascii="Symbol" w:hAnsi="Symbol" w:cs="Times New Roman"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2E60213"/>
    <w:multiLevelType w:val="multilevel"/>
    <w:tmpl w:val="D2D49010"/>
    <w:lvl w:ilvl="0">
      <w:start w:val="1"/>
      <w:numFmt w:val="bullet"/>
      <w:lvlText w:val="-"/>
      <w:lvlJc w:val="left"/>
      <w:pPr>
        <w:tabs>
          <w:tab w:val="num" w:pos="720"/>
        </w:tabs>
        <w:ind w:left="720" w:hanging="360"/>
      </w:pPr>
      <w:rPr>
        <w:rFonts w:ascii="Times New Roman" w:hAnsi="Times New Roman" w:cs="Times New Roman" w:hint="default"/>
        <w:color w:val="auto"/>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nsid w:val="26B947CA"/>
    <w:multiLevelType w:val="multilevel"/>
    <w:tmpl w:val="E092EAB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5012FCC"/>
    <w:multiLevelType w:val="hybridMultilevel"/>
    <w:tmpl w:val="C8088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3D71B5"/>
    <w:multiLevelType w:val="hybridMultilevel"/>
    <w:tmpl w:val="E092EA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E9C069F"/>
    <w:multiLevelType w:val="multilevel"/>
    <w:tmpl w:val="6E286348"/>
    <w:lvl w:ilvl="0">
      <w:start w:val="1"/>
      <w:numFmt w:val="bullet"/>
      <w:lvlText w:val=""/>
      <w:lvlJc w:val="left"/>
      <w:pPr>
        <w:tabs>
          <w:tab w:val="num" w:pos="360"/>
        </w:tabs>
        <w:ind w:left="360" w:hanging="360"/>
      </w:pPr>
      <w:rPr>
        <w:rFonts w:ascii="Symbol" w:hAnsi="Symbol" w:cs="Times New Roman" w:hint="default"/>
        <w:color w:val="auto"/>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4D83C12"/>
    <w:multiLevelType w:val="multilevel"/>
    <w:tmpl w:val="48F8AC22"/>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68A84F24"/>
    <w:multiLevelType w:val="hybridMultilevel"/>
    <w:tmpl w:val="964A3E7C"/>
    <w:lvl w:ilvl="0" w:tplc="676066E6">
      <w:start w:val="1"/>
      <w:numFmt w:val="decimal"/>
      <w:pStyle w:val="List"/>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F606C07"/>
    <w:multiLevelType w:val="hybridMultilevel"/>
    <w:tmpl w:val="9BDCEDDA"/>
    <w:lvl w:ilvl="0" w:tplc="45344A10">
      <w:start w:val="1"/>
      <w:numFmt w:val="bullet"/>
      <w:pStyle w:val="b-bullet2indents"/>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0"/>
  </w:num>
  <w:num w:numId="3">
    <w:abstractNumId w:val="0"/>
    <w:lvlOverride w:ilvl="0">
      <w:startOverride w:val="1"/>
    </w:lvlOverride>
  </w:num>
  <w:num w:numId="4">
    <w:abstractNumId w:val="4"/>
  </w:num>
  <w:num w:numId="5">
    <w:abstractNumId w:val="12"/>
  </w:num>
  <w:num w:numId="6">
    <w:abstractNumId w:val="10"/>
  </w:num>
  <w:num w:numId="7">
    <w:abstractNumId w:val="5"/>
  </w:num>
  <w:num w:numId="8">
    <w:abstractNumId w:val="9"/>
  </w:num>
  <w:num w:numId="9">
    <w:abstractNumId w:val="1"/>
  </w:num>
  <w:num w:numId="10">
    <w:abstractNumId w:val="3"/>
  </w:num>
  <w:num w:numId="11">
    <w:abstractNumId w:val="2"/>
  </w:num>
  <w:num w:numId="12">
    <w:abstractNumId w:val="8"/>
  </w:num>
  <w:num w:numId="13">
    <w:abstractNumId w:val="6"/>
  </w:num>
  <w:num w:numId="14">
    <w:abstractNumId w:val="1"/>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623"/>
    <w:rsid w:val="00007C01"/>
    <w:rsid w:val="000162E9"/>
    <w:rsid w:val="00017073"/>
    <w:rsid w:val="000251F6"/>
    <w:rsid w:val="000422F4"/>
    <w:rsid w:val="00061272"/>
    <w:rsid w:val="000718F4"/>
    <w:rsid w:val="00072492"/>
    <w:rsid w:val="00072F05"/>
    <w:rsid w:val="0007610E"/>
    <w:rsid w:val="00082443"/>
    <w:rsid w:val="000851F1"/>
    <w:rsid w:val="00085BAA"/>
    <w:rsid w:val="0008760A"/>
    <w:rsid w:val="00095D92"/>
    <w:rsid w:val="000A1988"/>
    <w:rsid w:val="000A6BFC"/>
    <w:rsid w:val="000B22D7"/>
    <w:rsid w:val="000B22FA"/>
    <w:rsid w:val="000B4B44"/>
    <w:rsid w:val="000B5153"/>
    <w:rsid w:val="000B5569"/>
    <w:rsid w:val="000C76FD"/>
    <w:rsid w:val="000D2B71"/>
    <w:rsid w:val="000D70A7"/>
    <w:rsid w:val="000D7379"/>
    <w:rsid w:val="000E28E1"/>
    <w:rsid w:val="000E31E2"/>
    <w:rsid w:val="000E79AD"/>
    <w:rsid w:val="000F5FC2"/>
    <w:rsid w:val="000F6879"/>
    <w:rsid w:val="00101D04"/>
    <w:rsid w:val="00103018"/>
    <w:rsid w:val="00107607"/>
    <w:rsid w:val="00107751"/>
    <w:rsid w:val="00123029"/>
    <w:rsid w:val="00124574"/>
    <w:rsid w:val="00131D29"/>
    <w:rsid w:val="001349F2"/>
    <w:rsid w:val="001419ED"/>
    <w:rsid w:val="00155917"/>
    <w:rsid w:val="001616B5"/>
    <w:rsid w:val="00170200"/>
    <w:rsid w:val="00172A70"/>
    <w:rsid w:val="0017504D"/>
    <w:rsid w:val="00176A2D"/>
    <w:rsid w:val="00181027"/>
    <w:rsid w:val="001952CC"/>
    <w:rsid w:val="00196B86"/>
    <w:rsid w:val="001A06B8"/>
    <w:rsid w:val="001A56C2"/>
    <w:rsid w:val="001A5E9B"/>
    <w:rsid w:val="001B1F80"/>
    <w:rsid w:val="001B27E2"/>
    <w:rsid w:val="001B33AF"/>
    <w:rsid w:val="001B6804"/>
    <w:rsid w:val="001B7A7E"/>
    <w:rsid w:val="001C09FB"/>
    <w:rsid w:val="001C3017"/>
    <w:rsid w:val="001C5D11"/>
    <w:rsid w:val="001C5D29"/>
    <w:rsid w:val="001C5E88"/>
    <w:rsid w:val="001D5976"/>
    <w:rsid w:val="001D5A41"/>
    <w:rsid w:val="001E23CE"/>
    <w:rsid w:val="001E6F68"/>
    <w:rsid w:val="002052A6"/>
    <w:rsid w:val="002055ED"/>
    <w:rsid w:val="002079DF"/>
    <w:rsid w:val="0021019B"/>
    <w:rsid w:val="002164FA"/>
    <w:rsid w:val="002264E5"/>
    <w:rsid w:val="00232575"/>
    <w:rsid w:val="0023365C"/>
    <w:rsid w:val="00234F68"/>
    <w:rsid w:val="00237F00"/>
    <w:rsid w:val="00251201"/>
    <w:rsid w:val="0027147B"/>
    <w:rsid w:val="00273F6B"/>
    <w:rsid w:val="0027410C"/>
    <w:rsid w:val="00274CD2"/>
    <w:rsid w:val="0027633E"/>
    <w:rsid w:val="00277252"/>
    <w:rsid w:val="00284022"/>
    <w:rsid w:val="00295571"/>
    <w:rsid w:val="002A3F17"/>
    <w:rsid w:val="002D3CF2"/>
    <w:rsid w:val="002E48D2"/>
    <w:rsid w:val="002E71FD"/>
    <w:rsid w:val="002F59E2"/>
    <w:rsid w:val="002F7BA1"/>
    <w:rsid w:val="00305C4B"/>
    <w:rsid w:val="003118D7"/>
    <w:rsid w:val="00312CD3"/>
    <w:rsid w:val="0032504F"/>
    <w:rsid w:val="003253FD"/>
    <w:rsid w:val="003450C0"/>
    <w:rsid w:val="00351BE6"/>
    <w:rsid w:val="00354CF0"/>
    <w:rsid w:val="003602BF"/>
    <w:rsid w:val="00360A45"/>
    <w:rsid w:val="00363491"/>
    <w:rsid w:val="00365BC6"/>
    <w:rsid w:val="00375480"/>
    <w:rsid w:val="00376C37"/>
    <w:rsid w:val="003820F8"/>
    <w:rsid w:val="00386A58"/>
    <w:rsid w:val="00387EF1"/>
    <w:rsid w:val="003905BE"/>
    <w:rsid w:val="0039529B"/>
    <w:rsid w:val="003A28CC"/>
    <w:rsid w:val="003A3512"/>
    <w:rsid w:val="003A50B6"/>
    <w:rsid w:val="003B226D"/>
    <w:rsid w:val="003B34CD"/>
    <w:rsid w:val="003B3E6D"/>
    <w:rsid w:val="003B4334"/>
    <w:rsid w:val="003D6CDA"/>
    <w:rsid w:val="003E7A74"/>
    <w:rsid w:val="004006F1"/>
    <w:rsid w:val="00400B8B"/>
    <w:rsid w:val="00405947"/>
    <w:rsid w:val="004202B5"/>
    <w:rsid w:val="00425F2B"/>
    <w:rsid w:val="00425FD1"/>
    <w:rsid w:val="0043419B"/>
    <w:rsid w:val="0043470A"/>
    <w:rsid w:val="00435B97"/>
    <w:rsid w:val="00452064"/>
    <w:rsid w:val="00454974"/>
    <w:rsid w:val="00456789"/>
    <w:rsid w:val="004574F1"/>
    <w:rsid w:val="004638F8"/>
    <w:rsid w:val="00465314"/>
    <w:rsid w:val="00467440"/>
    <w:rsid w:val="004803AA"/>
    <w:rsid w:val="004847F9"/>
    <w:rsid w:val="00490063"/>
    <w:rsid w:val="00493947"/>
    <w:rsid w:val="00494675"/>
    <w:rsid w:val="004B650A"/>
    <w:rsid w:val="004C15FF"/>
    <w:rsid w:val="004C5E98"/>
    <w:rsid w:val="004D0E37"/>
    <w:rsid w:val="004D1740"/>
    <w:rsid w:val="004D5239"/>
    <w:rsid w:val="004D6DA6"/>
    <w:rsid w:val="004E6FCA"/>
    <w:rsid w:val="004F189D"/>
    <w:rsid w:val="004F6287"/>
    <w:rsid w:val="004F6BA6"/>
    <w:rsid w:val="004F71AA"/>
    <w:rsid w:val="005049AD"/>
    <w:rsid w:val="00505E80"/>
    <w:rsid w:val="005142C6"/>
    <w:rsid w:val="005157EF"/>
    <w:rsid w:val="00516DDF"/>
    <w:rsid w:val="0052190A"/>
    <w:rsid w:val="00521D7A"/>
    <w:rsid w:val="00525D04"/>
    <w:rsid w:val="00525DF7"/>
    <w:rsid w:val="005316E2"/>
    <w:rsid w:val="005355F0"/>
    <w:rsid w:val="00536294"/>
    <w:rsid w:val="00543965"/>
    <w:rsid w:val="00551BE5"/>
    <w:rsid w:val="0055347D"/>
    <w:rsid w:val="00553AAB"/>
    <w:rsid w:val="00560490"/>
    <w:rsid w:val="00562AD7"/>
    <w:rsid w:val="0056379C"/>
    <w:rsid w:val="00571E0D"/>
    <w:rsid w:val="00591242"/>
    <w:rsid w:val="0059326F"/>
    <w:rsid w:val="00596E81"/>
    <w:rsid w:val="005976DE"/>
    <w:rsid w:val="005A13CA"/>
    <w:rsid w:val="005B27C1"/>
    <w:rsid w:val="005B28C2"/>
    <w:rsid w:val="005B472F"/>
    <w:rsid w:val="005B6837"/>
    <w:rsid w:val="005C63E3"/>
    <w:rsid w:val="005C651A"/>
    <w:rsid w:val="005C65EC"/>
    <w:rsid w:val="005F6EA4"/>
    <w:rsid w:val="005F77C7"/>
    <w:rsid w:val="00603159"/>
    <w:rsid w:val="006040E3"/>
    <w:rsid w:val="00605AE8"/>
    <w:rsid w:val="006107EF"/>
    <w:rsid w:val="00613419"/>
    <w:rsid w:val="00613E6C"/>
    <w:rsid w:val="00624907"/>
    <w:rsid w:val="006445E0"/>
    <w:rsid w:val="0065210F"/>
    <w:rsid w:val="00652353"/>
    <w:rsid w:val="0065793B"/>
    <w:rsid w:val="00661A86"/>
    <w:rsid w:val="00666819"/>
    <w:rsid w:val="0068643B"/>
    <w:rsid w:val="0069147F"/>
    <w:rsid w:val="006A00E0"/>
    <w:rsid w:val="006A023F"/>
    <w:rsid w:val="006A29D1"/>
    <w:rsid w:val="006A3A34"/>
    <w:rsid w:val="006A3CEB"/>
    <w:rsid w:val="006A7E00"/>
    <w:rsid w:val="006B1F96"/>
    <w:rsid w:val="006B6A9D"/>
    <w:rsid w:val="006C2E61"/>
    <w:rsid w:val="006C3F29"/>
    <w:rsid w:val="006C434F"/>
    <w:rsid w:val="006D5561"/>
    <w:rsid w:val="006E4716"/>
    <w:rsid w:val="006F35F6"/>
    <w:rsid w:val="006F3F79"/>
    <w:rsid w:val="006F507B"/>
    <w:rsid w:val="006F7591"/>
    <w:rsid w:val="007019A5"/>
    <w:rsid w:val="007133B4"/>
    <w:rsid w:val="007171E2"/>
    <w:rsid w:val="00725F4E"/>
    <w:rsid w:val="0074439E"/>
    <w:rsid w:val="00750581"/>
    <w:rsid w:val="007526F6"/>
    <w:rsid w:val="00762DC5"/>
    <w:rsid w:val="00767039"/>
    <w:rsid w:val="007704F5"/>
    <w:rsid w:val="00774C4D"/>
    <w:rsid w:val="00783143"/>
    <w:rsid w:val="00783DC5"/>
    <w:rsid w:val="007853AA"/>
    <w:rsid w:val="0078659F"/>
    <w:rsid w:val="007A0B63"/>
    <w:rsid w:val="007A0DED"/>
    <w:rsid w:val="007A329E"/>
    <w:rsid w:val="007A4ECE"/>
    <w:rsid w:val="007A6197"/>
    <w:rsid w:val="007B7BEF"/>
    <w:rsid w:val="007C6C9D"/>
    <w:rsid w:val="007D4A9F"/>
    <w:rsid w:val="007D6323"/>
    <w:rsid w:val="007E539E"/>
    <w:rsid w:val="007F46C6"/>
    <w:rsid w:val="00805540"/>
    <w:rsid w:val="00806048"/>
    <w:rsid w:val="00815020"/>
    <w:rsid w:val="00817E98"/>
    <w:rsid w:val="008206AC"/>
    <w:rsid w:val="00823CDA"/>
    <w:rsid w:val="00824BCC"/>
    <w:rsid w:val="00824E97"/>
    <w:rsid w:val="008275FE"/>
    <w:rsid w:val="0082794B"/>
    <w:rsid w:val="00845FA6"/>
    <w:rsid w:val="008478ED"/>
    <w:rsid w:val="008519D8"/>
    <w:rsid w:val="0085366A"/>
    <w:rsid w:val="00856AFE"/>
    <w:rsid w:val="00864AB1"/>
    <w:rsid w:val="00872D73"/>
    <w:rsid w:val="008730B7"/>
    <w:rsid w:val="008776C6"/>
    <w:rsid w:val="00881487"/>
    <w:rsid w:val="00883540"/>
    <w:rsid w:val="008867E5"/>
    <w:rsid w:val="00887ED2"/>
    <w:rsid w:val="00892E3D"/>
    <w:rsid w:val="00893A37"/>
    <w:rsid w:val="008964B6"/>
    <w:rsid w:val="008A3B61"/>
    <w:rsid w:val="008C14C5"/>
    <w:rsid w:val="008C2023"/>
    <w:rsid w:val="008C3333"/>
    <w:rsid w:val="008C3B0E"/>
    <w:rsid w:val="008C6FAC"/>
    <w:rsid w:val="008D0094"/>
    <w:rsid w:val="008D0D81"/>
    <w:rsid w:val="008F4EFA"/>
    <w:rsid w:val="008F7B8D"/>
    <w:rsid w:val="00900084"/>
    <w:rsid w:val="009028CB"/>
    <w:rsid w:val="00914392"/>
    <w:rsid w:val="00914581"/>
    <w:rsid w:val="009145AB"/>
    <w:rsid w:val="0092111B"/>
    <w:rsid w:val="009341C6"/>
    <w:rsid w:val="00942F8A"/>
    <w:rsid w:val="00947E4F"/>
    <w:rsid w:val="0097122E"/>
    <w:rsid w:val="00984A67"/>
    <w:rsid w:val="0099092C"/>
    <w:rsid w:val="00990A06"/>
    <w:rsid w:val="00990A32"/>
    <w:rsid w:val="00996232"/>
    <w:rsid w:val="009B4DA1"/>
    <w:rsid w:val="009B6033"/>
    <w:rsid w:val="009C0706"/>
    <w:rsid w:val="009C1B2C"/>
    <w:rsid w:val="009C2409"/>
    <w:rsid w:val="009D300E"/>
    <w:rsid w:val="009D78FB"/>
    <w:rsid w:val="009E0777"/>
    <w:rsid w:val="009E1F67"/>
    <w:rsid w:val="009E4BD9"/>
    <w:rsid w:val="009F6346"/>
    <w:rsid w:val="00A0230E"/>
    <w:rsid w:val="00A14C01"/>
    <w:rsid w:val="00A17BD6"/>
    <w:rsid w:val="00A5126B"/>
    <w:rsid w:val="00A5437F"/>
    <w:rsid w:val="00A54C1E"/>
    <w:rsid w:val="00A55F0A"/>
    <w:rsid w:val="00A631AC"/>
    <w:rsid w:val="00A63EAE"/>
    <w:rsid w:val="00A702E6"/>
    <w:rsid w:val="00A71FA8"/>
    <w:rsid w:val="00A72090"/>
    <w:rsid w:val="00A72424"/>
    <w:rsid w:val="00A73C4D"/>
    <w:rsid w:val="00A76C0E"/>
    <w:rsid w:val="00A824C4"/>
    <w:rsid w:val="00AA26DA"/>
    <w:rsid w:val="00AA405A"/>
    <w:rsid w:val="00AA7A9C"/>
    <w:rsid w:val="00AB241E"/>
    <w:rsid w:val="00AB6D6E"/>
    <w:rsid w:val="00AD0629"/>
    <w:rsid w:val="00AD1D83"/>
    <w:rsid w:val="00AD2E59"/>
    <w:rsid w:val="00AE08E9"/>
    <w:rsid w:val="00AE4C2B"/>
    <w:rsid w:val="00AF47DE"/>
    <w:rsid w:val="00AF7A7E"/>
    <w:rsid w:val="00B0143A"/>
    <w:rsid w:val="00B03BFC"/>
    <w:rsid w:val="00B122CF"/>
    <w:rsid w:val="00B135AF"/>
    <w:rsid w:val="00B16C3F"/>
    <w:rsid w:val="00B1750B"/>
    <w:rsid w:val="00B24548"/>
    <w:rsid w:val="00B30F51"/>
    <w:rsid w:val="00B31D88"/>
    <w:rsid w:val="00B405FB"/>
    <w:rsid w:val="00B410F8"/>
    <w:rsid w:val="00B53B19"/>
    <w:rsid w:val="00B57AF6"/>
    <w:rsid w:val="00B82015"/>
    <w:rsid w:val="00B83A08"/>
    <w:rsid w:val="00B87227"/>
    <w:rsid w:val="00B93F4E"/>
    <w:rsid w:val="00B9455C"/>
    <w:rsid w:val="00B94AC5"/>
    <w:rsid w:val="00B96D38"/>
    <w:rsid w:val="00BB361A"/>
    <w:rsid w:val="00BB3755"/>
    <w:rsid w:val="00BB6ECB"/>
    <w:rsid w:val="00BC65AA"/>
    <w:rsid w:val="00BD0A6B"/>
    <w:rsid w:val="00BD1233"/>
    <w:rsid w:val="00BD1A33"/>
    <w:rsid w:val="00BD3232"/>
    <w:rsid w:val="00BD7E6A"/>
    <w:rsid w:val="00BE1B70"/>
    <w:rsid w:val="00BE5CB8"/>
    <w:rsid w:val="00BF685C"/>
    <w:rsid w:val="00BF7E23"/>
    <w:rsid w:val="00C00296"/>
    <w:rsid w:val="00C02991"/>
    <w:rsid w:val="00C03AAD"/>
    <w:rsid w:val="00C066D2"/>
    <w:rsid w:val="00C1763A"/>
    <w:rsid w:val="00C24234"/>
    <w:rsid w:val="00C315F9"/>
    <w:rsid w:val="00C32C96"/>
    <w:rsid w:val="00C34D47"/>
    <w:rsid w:val="00C3538B"/>
    <w:rsid w:val="00C41E55"/>
    <w:rsid w:val="00C42513"/>
    <w:rsid w:val="00C44096"/>
    <w:rsid w:val="00C55691"/>
    <w:rsid w:val="00C55EC0"/>
    <w:rsid w:val="00C574B2"/>
    <w:rsid w:val="00C66BD8"/>
    <w:rsid w:val="00C67443"/>
    <w:rsid w:val="00C71A30"/>
    <w:rsid w:val="00C7339B"/>
    <w:rsid w:val="00C734E5"/>
    <w:rsid w:val="00C73B83"/>
    <w:rsid w:val="00C82623"/>
    <w:rsid w:val="00C93989"/>
    <w:rsid w:val="00C96F82"/>
    <w:rsid w:val="00CA1CFB"/>
    <w:rsid w:val="00CA2D86"/>
    <w:rsid w:val="00CA6521"/>
    <w:rsid w:val="00CA674D"/>
    <w:rsid w:val="00CA7F03"/>
    <w:rsid w:val="00CB0DD9"/>
    <w:rsid w:val="00CD03B9"/>
    <w:rsid w:val="00CD3C53"/>
    <w:rsid w:val="00CD4499"/>
    <w:rsid w:val="00CE2AF8"/>
    <w:rsid w:val="00CE53D0"/>
    <w:rsid w:val="00CF1603"/>
    <w:rsid w:val="00CF2601"/>
    <w:rsid w:val="00D02083"/>
    <w:rsid w:val="00D03B16"/>
    <w:rsid w:val="00D04186"/>
    <w:rsid w:val="00D07213"/>
    <w:rsid w:val="00D179AF"/>
    <w:rsid w:val="00D229CB"/>
    <w:rsid w:val="00D3313F"/>
    <w:rsid w:val="00D36257"/>
    <w:rsid w:val="00D45717"/>
    <w:rsid w:val="00D5203F"/>
    <w:rsid w:val="00D65A36"/>
    <w:rsid w:val="00D7663E"/>
    <w:rsid w:val="00D80E24"/>
    <w:rsid w:val="00D830B0"/>
    <w:rsid w:val="00D95953"/>
    <w:rsid w:val="00DA0AA1"/>
    <w:rsid w:val="00DA17C1"/>
    <w:rsid w:val="00DA2704"/>
    <w:rsid w:val="00DA3D96"/>
    <w:rsid w:val="00DA48DC"/>
    <w:rsid w:val="00DA5A46"/>
    <w:rsid w:val="00DB1361"/>
    <w:rsid w:val="00DB5C21"/>
    <w:rsid w:val="00DB791F"/>
    <w:rsid w:val="00DC35EF"/>
    <w:rsid w:val="00DD1578"/>
    <w:rsid w:val="00DD5355"/>
    <w:rsid w:val="00DD65DF"/>
    <w:rsid w:val="00DD6971"/>
    <w:rsid w:val="00DD7916"/>
    <w:rsid w:val="00DE5684"/>
    <w:rsid w:val="00DE709C"/>
    <w:rsid w:val="00DF0045"/>
    <w:rsid w:val="00DF3C06"/>
    <w:rsid w:val="00DF4E10"/>
    <w:rsid w:val="00DF6069"/>
    <w:rsid w:val="00E02EEA"/>
    <w:rsid w:val="00E03ABF"/>
    <w:rsid w:val="00E1089D"/>
    <w:rsid w:val="00E129D5"/>
    <w:rsid w:val="00E22B96"/>
    <w:rsid w:val="00E267DE"/>
    <w:rsid w:val="00E26A85"/>
    <w:rsid w:val="00E30460"/>
    <w:rsid w:val="00E328C4"/>
    <w:rsid w:val="00E36FB5"/>
    <w:rsid w:val="00E400C2"/>
    <w:rsid w:val="00E474AF"/>
    <w:rsid w:val="00E542D3"/>
    <w:rsid w:val="00E65B9E"/>
    <w:rsid w:val="00E65D72"/>
    <w:rsid w:val="00E714F1"/>
    <w:rsid w:val="00E77FD8"/>
    <w:rsid w:val="00E80FC9"/>
    <w:rsid w:val="00E81316"/>
    <w:rsid w:val="00E96188"/>
    <w:rsid w:val="00EA1F0F"/>
    <w:rsid w:val="00EA243E"/>
    <w:rsid w:val="00EB29FE"/>
    <w:rsid w:val="00EB31D3"/>
    <w:rsid w:val="00EB447D"/>
    <w:rsid w:val="00EB4A51"/>
    <w:rsid w:val="00EC2828"/>
    <w:rsid w:val="00EC6CCE"/>
    <w:rsid w:val="00ED5B18"/>
    <w:rsid w:val="00EE0E31"/>
    <w:rsid w:val="00EE567C"/>
    <w:rsid w:val="00EF3FE9"/>
    <w:rsid w:val="00EF7669"/>
    <w:rsid w:val="00F01639"/>
    <w:rsid w:val="00F03BA8"/>
    <w:rsid w:val="00F06DBC"/>
    <w:rsid w:val="00F06E73"/>
    <w:rsid w:val="00F156E0"/>
    <w:rsid w:val="00F1584C"/>
    <w:rsid w:val="00F17551"/>
    <w:rsid w:val="00F21213"/>
    <w:rsid w:val="00F229EC"/>
    <w:rsid w:val="00F32B10"/>
    <w:rsid w:val="00F61BF6"/>
    <w:rsid w:val="00F6505F"/>
    <w:rsid w:val="00F720C8"/>
    <w:rsid w:val="00F746BF"/>
    <w:rsid w:val="00F8477A"/>
    <w:rsid w:val="00FA1C2F"/>
    <w:rsid w:val="00FA6C35"/>
    <w:rsid w:val="00FA79A6"/>
    <w:rsid w:val="00FB23D5"/>
    <w:rsid w:val="00FB5CDD"/>
    <w:rsid w:val="00FC21C8"/>
    <w:rsid w:val="00FC3733"/>
    <w:rsid w:val="00FC76BF"/>
    <w:rsid w:val="00FD2907"/>
    <w:rsid w:val="00FD2F49"/>
    <w:rsid w:val="00FD5133"/>
    <w:rsid w:val="00FD7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49F2"/>
    <w:rPr>
      <w:sz w:val="24"/>
      <w:szCs w:val="24"/>
    </w:rPr>
  </w:style>
  <w:style w:type="paragraph" w:styleId="Heading1">
    <w:name w:val="heading 1"/>
    <w:basedOn w:val="Normal"/>
    <w:next w:val="Normal"/>
    <w:qFormat/>
    <w:rsid w:val="001349F2"/>
    <w:pPr>
      <w:keepNext/>
      <w:autoSpaceDE w:val="0"/>
      <w:autoSpaceDN w:val="0"/>
      <w:adjustRightInd w:val="0"/>
      <w:jc w:val="center"/>
      <w:outlineLvl w:val="0"/>
    </w:pPr>
    <w:rPr>
      <w:caps/>
      <w:sz w:val="28"/>
      <w:szCs w:val="28"/>
    </w:rPr>
  </w:style>
  <w:style w:type="paragraph" w:styleId="Heading2">
    <w:name w:val="heading 2"/>
    <w:basedOn w:val="Normal"/>
    <w:next w:val="Normal"/>
    <w:qFormat/>
    <w:rsid w:val="001349F2"/>
    <w:pPr>
      <w:keepNext/>
      <w:jc w:val="center"/>
      <w:outlineLvl w:val="1"/>
    </w:pPr>
    <w:rPr>
      <w:rFonts w:ascii="Arial" w:hAnsi="Arial" w:cs="Arial"/>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349F2"/>
    <w:pPr>
      <w:spacing w:before="60" w:after="60" w:line="254" w:lineRule="auto"/>
      <w:jc w:val="both"/>
    </w:pPr>
    <w:rPr>
      <w:sz w:val="18"/>
      <w:szCs w:val="20"/>
    </w:rPr>
  </w:style>
  <w:style w:type="paragraph" w:styleId="List">
    <w:name w:val="List"/>
    <w:basedOn w:val="Normal"/>
    <w:rsid w:val="001349F2"/>
    <w:pPr>
      <w:numPr>
        <w:numId w:val="1"/>
      </w:numPr>
      <w:spacing w:before="40" w:after="40" w:line="252" w:lineRule="auto"/>
    </w:pPr>
    <w:rPr>
      <w:rFonts w:ascii="Arial" w:hAnsi="Arial"/>
      <w:sz w:val="16"/>
      <w:szCs w:val="20"/>
    </w:rPr>
  </w:style>
  <w:style w:type="paragraph" w:styleId="ListBullet">
    <w:name w:val="List Bullet"/>
    <w:basedOn w:val="Normal"/>
    <w:rsid w:val="001349F2"/>
    <w:pPr>
      <w:spacing w:before="40" w:after="40" w:line="252" w:lineRule="auto"/>
    </w:pPr>
    <w:rPr>
      <w:rFonts w:ascii="Arial" w:hAnsi="Arial"/>
      <w:sz w:val="16"/>
      <w:szCs w:val="20"/>
    </w:rPr>
  </w:style>
  <w:style w:type="paragraph" w:customStyle="1" w:styleId="bHead1">
    <w:name w:val="b Head 1"/>
    <w:basedOn w:val="bheaditalic2"/>
    <w:rsid w:val="0043419B"/>
    <w:rPr>
      <w:b/>
      <w:i w:val="0"/>
    </w:rPr>
  </w:style>
  <w:style w:type="paragraph" w:customStyle="1" w:styleId="bheaditalic2">
    <w:name w:val="b head italic 2"/>
    <w:basedOn w:val="Normal"/>
    <w:rsid w:val="00170200"/>
    <w:pPr>
      <w:tabs>
        <w:tab w:val="left" w:pos="432"/>
        <w:tab w:val="left" w:pos="720"/>
        <w:tab w:val="left" w:pos="1440"/>
      </w:tabs>
      <w:spacing w:before="160" w:after="40"/>
    </w:pPr>
    <w:rPr>
      <w:i/>
      <w:sz w:val="22"/>
      <w:szCs w:val="20"/>
    </w:rPr>
  </w:style>
  <w:style w:type="paragraph" w:customStyle="1" w:styleId="referenc">
    <w:name w:val="referenc"/>
    <w:basedOn w:val="Normal"/>
    <w:rsid w:val="001349F2"/>
    <w:pPr>
      <w:widowControl w:val="0"/>
      <w:tabs>
        <w:tab w:val="left" w:pos="432"/>
        <w:tab w:val="left" w:pos="1260"/>
        <w:tab w:val="left" w:pos="2880"/>
        <w:tab w:val="left" w:pos="3600"/>
        <w:tab w:val="left" w:pos="4320"/>
        <w:tab w:val="left" w:pos="5040"/>
        <w:tab w:val="left" w:pos="5760"/>
        <w:tab w:val="left" w:pos="6480"/>
        <w:tab w:val="left" w:pos="7200"/>
        <w:tab w:val="left" w:pos="7920"/>
        <w:tab w:val="left" w:pos="8640"/>
      </w:tabs>
      <w:spacing w:before="40" w:after="40"/>
      <w:ind w:left="432" w:hanging="432"/>
    </w:pPr>
    <w:rPr>
      <w:sz w:val="18"/>
      <w:szCs w:val="20"/>
    </w:rPr>
  </w:style>
  <w:style w:type="paragraph" w:styleId="BodyText2">
    <w:name w:val="Body Text 2"/>
    <w:basedOn w:val="Normal"/>
    <w:rsid w:val="001349F2"/>
    <w:pPr>
      <w:spacing w:after="120" w:line="480" w:lineRule="auto"/>
    </w:pPr>
  </w:style>
  <w:style w:type="paragraph" w:customStyle="1" w:styleId="bnumber">
    <w:name w:val="b number"/>
    <w:basedOn w:val="ListBullet"/>
    <w:rsid w:val="00A71FA8"/>
    <w:pPr>
      <w:numPr>
        <w:numId w:val="2"/>
      </w:numPr>
      <w:tabs>
        <w:tab w:val="left" w:pos="360"/>
        <w:tab w:val="left" w:pos="720"/>
      </w:tabs>
      <w:spacing w:before="120" w:after="120" w:line="240" w:lineRule="auto"/>
    </w:pPr>
    <w:rPr>
      <w:rFonts w:ascii="Times New Roman" w:hAnsi="Times New Roman"/>
      <w:sz w:val="24"/>
      <w:szCs w:val="18"/>
    </w:rPr>
  </w:style>
  <w:style w:type="paragraph" w:customStyle="1" w:styleId="FedReg-headitalic2">
    <w:name w:val="Fed Reg - head italic 2"/>
    <w:basedOn w:val="Normal"/>
    <w:rsid w:val="00E714F1"/>
    <w:pPr>
      <w:tabs>
        <w:tab w:val="left" w:pos="432"/>
        <w:tab w:val="left" w:pos="720"/>
        <w:tab w:val="left" w:pos="1440"/>
      </w:tabs>
      <w:spacing w:line="480" w:lineRule="auto"/>
    </w:pPr>
    <w:rPr>
      <w:szCs w:val="20"/>
      <w:u w:val="single"/>
    </w:rPr>
  </w:style>
  <w:style w:type="character" w:customStyle="1" w:styleId="BodyTextChar">
    <w:name w:val="Body Text Char"/>
    <w:basedOn w:val="DefaultParagraphFont"/>
    <w:rsid w:val="001349F2"/>
    <w:rPr>
      <w:sz w:val="18"/>
      <w:lang w:val="en-US" w:eastAsia="en-US" w:bidi="ar-SA"/>
    </w:rPr>
  </w:style>
  <w:style w:type="character" w:customStyle="1" w:styleId="ListBulletChar">
    <w:name w:val="List Bullet Char"/>
    <w:basedOn w:val="DefaultParagraphFont"/>
    <w:rsid w:val="001349F2"/>
    <w:rPr>
      <w:rFonts w:ascii="Arial" w:hAnsi="Arial"/>
      <w:sz w:val="16"/>
      <w:lang w:val="en-US" w:eastAsia="en-US" w:bidi="ar-SA"/>
    </w:rPr>
  </w:style>
  <w:style w:type="character" w:customStyle="1" w:styleId="b-indenttwiceChar">
    <w:name w:val="b-indent twice Char"/>
    <w:basedOn w:val="DefaultParagraphFont"/>
    <w:rsid w:val="00387EF1"/>
    <w:rPr>
      <w:rFonts w:ascii="Arial" w:hAnsi="Arial"/>
      <w:sz w:val="22"/>
      <w:lang w:val="en-US" w:eastAsia="en-US" w:bidi="ar-SA"/>
    </w:rPr>
  </w:style>
  <w:style w:type="paragraph" w:customStyle="1" w:styleId="bletterindent2">
    <w:name w:val="b letter indent 2"/>
    <w:basedOn w:val="Normal"/>
    <w:rsid w:val="00387EF1"/>
    <w:pPr>
      <w:tabs>
        <w:tab w:val="left" w:pos="360"/>
        <w:tab w:val="left" w:pos="432"/>
        <w:tab w:val="left" w:pos="1440"/>
      </w:tabs>
      <w:spacing w:before="100" w:after="100"/>
      <w:ind w:left="1800" w:hanging="360"/>
    </w:pPr>
    <w:rPr>
      <w:szCs w:val="20"/>
    </w:rPr>
  </w:style>
  <w:style w:type="paragraph" w:styleId="Header">
    <w:name w:val="header"/>
    <w:basedOn w:val="Normal"/>
    <w:rsid w:val="001349F2"/>
    <w:pPr>
      <w:tabs>
        <w:tab w:val="center" w:pos="4320"/>
        <w:tab w:val="right" w:pos="8640"/>
      </w:tabs>
    </w:pPr>
  </w:style>
  <w:style w:type="paragraph" w:styleId="Footer">
    <w:name w:val="footer"/>
    <w:basedOn w:val="Normal"/>
    <w:rsid w:val="001349F2"/>
    <w:pPr>
      <w:tabs>
        <w:tab w:val="center" w:pos="4320"/>
        <w:tab w:val="right" w:pos="8640"/>
      </w:tabs>
    </w:pPr>
  </w:style>
  <w:style w:type="character" w:styleId="PageNumber">
    <w:name w:val="page number"/>
    <w:basedOn w:val="DefaultParagraphFont"/>
    <w:rsid w:val="001349F2"/>
  </w:style>
  <w:style w:type="paragraph" w:customStyle="1" w:styleId="b-bodyindent25">
    <w:name w:val="b-body indent .25"/>
    <w:basedOn w:val="Normal"/>
    <w:rsid w:val="002F7BA1"/>
    <w:pPr>
      <w:widowControl w:val="0"/>
      <w:tabs>
        <w:tab w:val="left" w:pos="360"/>
      </w:tabs>
      <w:ind w:firstLine="360"/>
    </w:pPr>
    <w:rPr>
      <w:color w:val="000000"/>
      <w:sz w:val="22"/>
      <w:szCs w:val="20"/>
    </w:rPr>
  </w:style>
  <w:style w:type="paragraph" w:styleId="BodyTextIndent">
    <w:name w:val="Body Text Indent"/>
    <w:basedOn w:val="Normal"/>
    <w:rsid w:val="001349F2"/>
    <w:pPr>
      <w:spacing w:before="100" w:after="100"/>
      <w:ind w:left="1800" w:hanging="360"/>
    </w:pPr>
    <w:rPr>
      <w:rFonts w:ascii="Arial" w:hAnsi="Arial" w:cs="Arial"/>
      <w:sz w:val="20"/>
      <w:szCs w:val="20"/>
    </w:rPr>
  </w:style>
  <w:style w:type="paragraph" w:styleId="BalloonText">
    <w:name w:val="Balloon Text"/>
    <w:basedOn w:val="Normal"/>
    <w:semiHidden/>
    <w:rsid w:val="00EB447D"/>
    <w:rPr>
      <w:rFonts w:ascii="Tahoma" w:hAnsi="Tahoma" w:cs="Tahoma"/>
      <w:sz w:val="16"/>
      <w:szCs w:val="16"/>
    </w:rPr>
  </w:style>
  <w:style w:type="paragraph" w:customStyle="1" w:styleId="b-bullet">
    <w:name w:val="b-bullet"/>
    <w:basedOn w:val="Normal"/>
    <w:link w:val="b-bulletCharChar"/>
    <w:rsid w:val="009C2409"/>
    <w:rPr>
      <w:sz w:val="22"/>
      <w:szCs w:val="20"/>
    </w:rPr>
  </w:style>
  <w:style w:type="paragraph" w:customStyle="1" w:styleId="bhead11">
    <w:name w:val="b head 1.1"/>
    <w:basedOn w:val="bheaditalic2"/>
    <w:rsid w:val="006C3F29"/>
    <w:pPr>
      <w:ind w:left="1152"/>
    </w:pPr>
  </w:style>
  <w:style w:type="paragraph" w:customStyle="1" w:styleId="b-bullet2indents">
    <w:name w:val="b-bullet 2 indents"/>
    <w:basedOn w:val="Normal"/>
    <w:rsid w:val="00387EF1"/>
    <w:pPr>
      <w:numPr>
        <w:numId w:val="5"/>
      </w:numPr>
      <w:tabs>
        <w:tab w:val="left" w:pos="432"/>
      </w:tabs>
      <w:spacing w:before="100" w:after="100"/>
    </w:pPr>
    <w:rPr>
      <w:szCs w:val="20"/>
    </w:rPr>
  </w:style>
  <w:style w:type="character" w:styleId="CommentReference">
    <w:name w:val="annotation reference"/>
    <w:basedOn w:val="DefaultParagraphFont"/>
    <w:semiHidden/>
    <w:rsid w:val="00AF47DE"/>
    <w:rPr>
      <w:sz w:val="16"/>
      <w:szCs w:val="16"/>
    </w:rPr>
  </w:style>
  <w:style w:type="paragraph" w:styleId="CommentText">
    <w:name w:val="annotation text"/>
    <w:basedOn w:val="Normal"/>
    <w:semiHidden/>
    <w:rsid w:val="00AF47DE"/>
    <w:rPr>
      <w:sz w:val="20"/>
      <w:szCs w:val="20"/>
    </w:rPr>
  </w:style>
  <w:style w:type="paragraph" w:styleId="CommentSubject">
    <w:name w:val="annotation subject"/>
    <w:basedOn w:val="CommentText"/>
    <w:next w:val="CommentText"/>
    <w:semiHidden/>
    <w:rsid w:val="00AF47DE"/>
    <w:rPr>
      <w:b/>
      <w:bCs/>
    </w:rPr>
  </w:style>
  <w:style w:type="paragraph" w:customStyle="1" w:styleId="c-dashbullet">
    <w:name w:val="c-dash bullet"/>
    <w:basedOn w:val="b-bullet"/>
    <w:rsid w:val="002A3F17"/>
  </w:style>
  <w:style w:type="character" w:customStyle="1" w:styleId="b-bulletCharChar">
    <w:name w:val="b-bullet Char Char"/>
    <w:basedOn w:val="DefaultParagraphFont"/>
    <w:link w:val="b-bullet"/>
    <w:rsid w:val="009C2409"/>
    <w:rPr>
      <w:sz w:val="22"/>
      <w:lang w:val="en-US" w:eastAsia="en-US" w:bidi="ar-SA"/>
    </w:rPr>
  </w:style>
  <w:style w:type="paragraph" w:customStyle="1" w:styleId="b-body">
    <w:name w:val="b-body"/>
    <w:basedOn w:val="Normal"/>
    <w:rsid w:val="00007C01"/>
    <w:pPr>
      <w:widowControl w:val="0"/>
      <w:spacing w:line="480" w:lineRule="auto"/>
    </w:pPr>
    <w:rPr>
      <w:color w:val="000000"/>
      <w:szCs w:val="20"/>
    </w:rPr>
  </w:style>
  <w:style w:type="paragraph" w:customStyle="1" w:styleId="c-bodynoindent">
    <w:name w:val="c-body no indent"/>
    <w:basedOn w:val="b-bodyindent25"/>
    <w:rsid w:val="00C03AAD"/>
    <w:pPr>
      <w:ind w:firstLine="0"/>
    </w:pPr>
    <w:rPr>
      <w:szCs w:val="22"/>
    </w:rPr>
  </w:style>
  <w:style w:type="paragraph" w:customStyle="1" w:styleId="FedReg-Head1">
    <w:name w:val="Fed Reg - Head 1"/>
    <w:basedOn w:val="FedReg-headitalic2"/>
    <w:rsid w:val="00E714F1"/>
    <w:rPr>
      <w:b/>
      <w:u w:val="none"/>
    </w:rPr>
  </w:style>
  <w:style w:type="paragraph" w:customStyle="1" w:styleId="FedReg-bodyindent25">
    <w:name w:val="Fed Reg -body indent .25"/>
    <w:basedOn w:val="Normal"/>
    <w:rsid w:val="00E714F1"/>
    <w:pPr>
      <w:widowControl w:val="0"/>
      <w:tabs>
        <w:tab w:val="left" w:pos="360"/>
      </w:tabs>
      <w:spacing w:line="480" w:lineRule="auto"/>
      <w:ind w:firstLine="360"/>
    </w:pPr>
    <w:rPr>
      <w:color w:val="000000"/>
      <w:szCs w:val="20"/>
    </w:rPr>
  </w:style>
  <w:style w:type="paragraph" w:customStyle="1" w:styleId="FedReg-bodynoindent">
    <w:name w:val="Fed Reg -body no indent"/>
    <w:basedOn w:val="FedReg-bodyindent25"/>
    <w:rsid w:val="00E714F1"/>
    <w:pPr>
      <w:ind w:firstLine="0"/>
    </w:pPr>
    <w:rPr>
      <w:szCs w:val="22"/>
    </w:rPr>
  </w:style>
  <w:style w:type="paragraph" w:customStyle="1" w:styleId="FedReg-bullet">
    <w:name w:val="Fed Reg -bullet"/>
    <w:basedOn w:val="Normal"/>
    <w:rsid w:val="009341C6"/>
    <w:pPr>
      <w:numPr>
        <w:numId w:val="14"/>
      </w:numPr>
      <w:spacing w:line="480" w:lineRule="auto"/>
      <w:ind w:left="0" w:firstLine="360"/>
    </w:pPr>
    <w:rPr>
      <w:szCs w:val="20"/>
    </w:rPr>
  </w:style>
  <w:style w:type="paragraph" w:customStyle="1" w:styleId="FedRegc-dashbullet">
    <w:name w:val="Fed Reg c-dash bullet"/>
    <w:basedOn w:val="FedReg-bullet"/>
    <w:rsid w:val="00E714F1"/>
    <w:pPr>
      <w:numPr>
        <w:numId w:val="15"/>
      </w:numPr>
    </w:pPr>
  </w:style>
  <w:style w:type="paragraph" w:styleId="FootnoteText">
    <w:name w:val="footnote text"/>
    <w:basedOn w:val="Normal"/>
    <w:link w:val="FootnoteTextChar"/>
    <w:uiPriority w:val="99"/>
    <w:unhideWhenUsed/>
    <w:rsid w:val="005F77C7"/>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5F77C7"/>
    <w:rPr>
      <w:rFonts w:asciiTheme="minorHAnsi" w:eastAsiaTheme="minorHAnsi" w:hAnsiTheme="minorHAnsi" w:cstheme="minorBidi"/>
      <w:sz w:val="24"/>
      <w:szCs w:val="24"/>
    </w:rPr>
  </w:style>
  <w:style w:type="character" w:styleId="FootnoteReference">
    <w:name w:val="footnote reference"/>
    <w:basedOn w:val="DefaultParagraphFont"/>
    <w:uiPriority w:val="99"/>
    <w:unhideWhenUsed/>
    <w:rsid w:val="005F77C7"/>
    <w:rPr>
      <w:vertAlign w:val="superscript"/>
    </w:rPr>
  </w:style>
  <w:style w:type="paragraph" w:customStyle="1" w:styleId="bbodyindent25">
    <w:name w:val="b body indent .25"/>
    <w:basedOn w:val="Normal"/>
    <w:rsid w:val="002D3CF2"/>
    <w:pPr>
      <w:widowControl w:val="0"/>
      <w:tabs>
        <w:tab w:val="left" w:pos="360"/>
      </w:tabs>
      <w:spacing w:line="480" w:lineRule="auto"/>
      <w:ind w:firstLine="360"/>
    </w:pPr>
    <w:rPr>
      <w:rFonts w:cs="OBLME O+ Melior"/>
      <w:color w:val="000000"/>
      <w:szCs w:val="22"/>
    </w:rPr>
  </w:style>
  <w:style w:type="character" w:styleId="Hyperlink">
    <w:name w:val="Hyperlink"/>
    <w:basedOn w:val="DefaultParagraphFont"/>
    <w:rsid w:val="003905BE"/>
    <w:rPr>
      <w:color w:val="0000FF" w:themeColor="hyperlink"/>
      <w:u w:val="single"/>
    </w:rPr>
  </w:style>
  <w:style w:type="paragraph" w:styleId="Revision">
    <w:name w:val="Revision"/>
    <w:hidden/>
    <w:uiPriority w:val="99"/>
    <w:semiHidden/>
    <w:rsid w:val="00947E4F"/>
    <w:rPr>
      <w:sz w:val="24"/>
      <w:szCs w:val="24"/>
    </w:rPr>
  </w:style>
  <w:style w:type="character" w:customStyle="1" w:styleId="apple-converted-space">
    <w:name w:val="apple-converted-space"/>
    <w:basedOn w:val="DefaultParagraphFont"/>
    <w:rsid w:val="00900084"/>
  </w:style>
  <w:style w:type="character" w:customStyle="1" w:styleId="aqj">
    <w:name w:val="aqj"/>
    <w:basedOn w:val="DefaultParagraphFont"/>
    <w:rsid w:val="00900084"/>
  </w:style>
  <w:style w:type="character" w:customStyle="1" w:styleId="il">
    <w:name w:val="il"/>
    <w:basedOn w:val="DefaultParagraphFont"/>
    <w:rsid w:val="005B68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49F2"/>
    <w:rPr>
      <w:sz w:val="24"/>
      <w:szCs w:val="24"/>
    </w:rPr>
  </w:style>
  <w:style w:type="paragraph" w:styleId="Heading1">
    <w:name w:val="heading 1"/>
    <w:basedOn w:val="Normal"/>
    <w:next w:val="Normal"/>
    <w:qFormat/>
    <w:rsid w:val="001349F2"/>
    <w:pPr>
      <w:keepNext/>
      <w:autoSpaceDE w:val="0"/>
      <w:autoSpaceDN w:val="0"/>
      <w:adjustRightInd w:val="0"/>
      <w:jc w:val="center"/>
      <w:outlineLvl w:val="0"/>
    </w:pPr>
    <w:rPr>
      <w:caps/>
      <w:sz w:val="28"/>
      <w:szCs w:val="28"/>
    </w:rPr>
  </w:style>
  <w:style w:type="paragraph" w:styleId="Heading2">
    <w:name w:val="heading 2"/>
    <w:basedOn w:val="Normal"/>
    <w:next w:val="Normal"/>
    <w:qFormat/>
    <w:rsid w:val="001349F2"/>
    <w:pPr>
      <w:keepNext/>
      <w:jc w:val="center"/>
      <w:outlineLvl w:val="1"/>
    </w:pPr>
    <w:rPr>
      <w:rFonts w:ascii="Arial" w:hAnsi="Arial" w:cs="Arial"/>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349F2"/>
    <w:pPr>
      <w:spacing w:before="60" w:after="60" w:line="254" w:lineRule="auto"/>
      <w:jc w:val="both"/>
    </w:pPr>
    <w:rPr>
      <w:sz w:val="18"/>
      <w:szCs w:val="20"/>
    </w:rPr>
  </w:style>
  <w:style w:type="paragraph" w:styleId="List">
    <w:name w:val="List"/>
    <w:basedOn w:val="Normal"/>
    <w:rsid w:val="001349F2"/>
    <w:pPr>
      <w:numPr>
        <w:numId w:val="1"/>
      </w:numPr>
      <w:spacing w:before="40" w:after="40" w:line="252" w:lineRule="auto"/>
    </w:pPr>
    <w:rPr>
      <w:rFonts w:ascii="Arial" w:hAnsi="Arial"/>
      <w:sz w:val="16"/>
      <w:szCs w:val="20"/>
    </w:rPr>
  </w:style>
  <w:style w:type="paragraph" w:styleId="ListBullet">
    <w:name w:val="List Bullet"/>
    <w:basedOn w:val="Normal"/>
    <w:rsid w:val="001349F2"/>
    <w:pPr>
      <w:spacing w:before="40" w:after="40" w:line="252" w:lineRule="auto"/>
    </w:pPr>
    <w:rPr>
      <w:rFonts w:ascii="Arial" w:hAnsi="Arial"/>
      <w:sz w:val="16"/>
      <w:szCs w:val="20"/>
    </w:rPr>
  </w:style>
  <w:style w:type="paragraph" w:customStyle="1" w:styleId="bHead1">
    <w:name w:val="b Head 1"/>
    <w:basedOn w:val="bheaditalic2"/>
    <w:rsid w:val="0043419B"/>
    <w:rPr>
      <w:b/>
      <w:i w:val="0"/>
    </w:rPr>
  </w:style>
  <w:style w:type="paragraph" w:customStyle="1" w:styleId="bheaditalic2">
    <w:name w:val="b head italic 2"/>
    <w:basedOn w:val="Normal"/>
    <w:rsid w:val="00170200"/>
    <w:pPr>
      <w:tabs>
        <w:tab w:val="left" w:pos="432"/>
        <w:tab w:val="left" w:pos="720"/>
        <w:tab w:val="left" w:pos="1440"/>
      </w:tabs>
      <w:spacing w:before="160" w:after="40"/>
    </w:pPr>
    <w:rPr>
      <w:i/>
      <w:sz w:val="22"/>
      <w:szCs w:val="20"/>
    </w:rPr>
  </w:style>
  <w:style w:type="paragraph" w:customStyle="1" w:styleId="referenc">
    <w:name w:val="referenc"/>
    <w:basedOn w:val="Normal"/>
    <w:rsid w:val="001349F2"/>
    <w:pPr>
      <w:widowControl w:val="0"/>
      <w:tabs>
        <w:tab w:val="left" w:pos="432"/>
        <w:tab w:val="left" w:pos="1260"/>
        <w:tab w:val="left" w:pos="2880"/>
        <w:tab w:val="left" w:pos="3600"/>
        <w:tab w:val="left" w:pos="4320"/>
        <w:tab w:val="left" w:pos="5040"/>
        <w:tab w:val="left" w:pos="5760"/>
        <w:tab w:val="left" w:pos="6480"/>
        <w:tab w:val="left" w:pos="7200"/>
        <w:tab w:val="left" w:pos="7920"/>
        <w:tab w:val="left" w:pos="8640"/>
      </w:tabs>
      <w:spacing w:before="40" w:after="40"/>
      <w:ind w:left="432" w:hanging="432"/>
    </w:pPr>
    <w:rPr>
      <w:sz w:val="18"/>
      <w:szCs w:val="20"/>
    </w:rPr>
  </w:style>
  <w:style w:type="paragraph" w:styleId="BodyText2">
    <w:name w:val="Body Text 2"/>
    <w:basedOn w:val="Normal"/>
    <w:rsid w:val="001349F2"/>
    <w:pPr>
      <w:spacing w:after="120" w:line="480" w:lineRule="auto"/>
    </w:pPr>
  </w:style>
  <w:style w:type="paragraph" w:customStyle="1" w:styleId="bnumber">
    <w:name w:val="b number"/>
    <w:basedOn w:val="ListBullet"/>
    <w:rsid w:val="00A71FA8"/>
    <w:pPr>
      <w:numPr>
        <w:numId w:val="2"/>
      </w:numPr>
      <w:tabs>
        <w:tab w:val="left" w:pos="360"/>
        <w:tab w:val="left" w:pos="720"/>
      </w:tabs>
      <w:spacing w:before="120" w:after="120" w:line="240" w:lineRule="auto"/>
    </w:pPr>
    <w:rPr>
      <w:rFonts w:ascii="Times New Roman" w:hAnsi="Times New Roman"/>
      <w:sz w:val="24"/>
      <w:szCs w:val="18"/>
    </w:rPr>
  </w:style>
  <w:style w:type="paragraph" w:customStyle="1" w:styleId="FedReg-headitalic2">
    <w:name w:val="Fed Reg - head italic 2"/>
    <w:basedOn w:val="Normal"/>
    <w:rsid w:val="00E714F1"/>
    <w:pPr>
      <w:tabs>
        <w:tab w:val="left" w:pos="432"/>
        <w:tab w:val="left" w:pos="720"/>
        <w:tab w:val="left" w:pos="1440"/>
      </w:tabs>
      <w:spacing w:line="480" w:lineRule="auto"/>
    </w:pPr>
    <w:rPr>
      <w:szCs w:val="20"/>
      <w:u w:val="single"/>
    </w:rPr>
  </w:style>
  <w:style w:type="character" w:customStyle="1" w:styleId="BodyTextChar">
    <w:name w:val="Body Text Char"/>
    <w:basedOn w:val="DefaultParagraphFont"/>
    <w:rsid w:val="001349F2"/>
    <w:rPr>
      <w:sz w:val="18"/>
      <w:lang w:val="en-US" w:eastAsia="en-US" w:bidi="ar-SA"/>
    </w:rPr>
  </w:style>
  <w:style w:type="character" w:customStyle="1" w:styleId="ListBulletChar">
    <w:name w:val="List Bullet Char"/>
    <w:basedOn w:val="DefaultParagraphFont"/>
    <w:rsid w:val="001349F2"/>
    <w:rPr>
      <w:rFonts w:ascii="Arial" w:hAnsi="Arial"/>
      <w:sz w:val="16"/>
      <w:lang w:val="en-US" w:eastAsia="en-US" w:bidi="ar-SA"/>
    </w:rPr>
  </w:style>
  <w:style w:type="character" w:customStyle="1" w:styleId="b-indenttwiceChar">
    <w:name w:val="b-indent twice Char"/>
    <w:basedOn w:val="DefaultParagraphFont"/>
    <w:rsid w:val="00387EF1"/>
    <w:rPr>
      <w:rFonts w:ascii="Arial" w:hAnsi="Arial"/>
      <w:sz w:val="22"/>
      <w:lang w:val="en-US" w:eastAsia="en-US" w:bidi="ar-SA"/>
    </w:rPr>
  </w:style>
  <w:style w:type="paragraph" w:customStyle="1" w:styleId="bletterindent2">
    <w:name w:val="b letter indent 2"/>
    <w:basedOn w:val="Normal"/>
    <w:rsid w:val="00387EF1"/>
    <w:pPr>
      <w:tabs>
        <w:tab w:val="left" w:pos="360"/>
        <w:tab w:val="left" w:pos="432"/>
        <w:tab w:val="left" w:pos="1440"/>
      </w:tabs>
      <w:spacing w:before="100" w:after="100"/>
      <w:ind w:left="1800" w:hanging="360"/>
    </w:pPr>
    <w:rPr>
      <w:szCs w:val="20"/>
    </w:rPr>
  </w:style>
  <w:style w:type="paragraph" w:styleId="Header">
    <w:name w:val="header"/>
    <w:basedOn w:val="Normal"/>
    <w:rsid w:val="001349F2"/>
    <w:pPr>
      <w:tabs>
        <w:tab w:val="center" w:pos="4320"/>
        <w:tab w:val="right" w:pos="8640"/>
      </w:tabs>
    </w:pPr>
  </w:style>
  <w:style w:type="paragraph" w:styleId="Footer">
    <w:name w:val="footer"/>
    <w:basedOn w:val="Normal"/>
    <w:rsid w:val="001349F2"/>
    <w:pPr>
      <w:tabs>
        <w:tab w:val="center" w:pos="4320"/>
        <w:tab w:val="right" w:pos="8640"/>
      </w:tabs>
    </w:pPr>
  </w:style>
  <w:style w:type="character" w:styleId="PageNumber">
    <w:name w:val="page number"/>
    <w:basedOn w:val="DefaultParagraphFont"/>
    <w:rsid w:val="001349F2"/>
  </w:style>
  <w:style w:type="paragraph" w:customStyle="1" w:styleId="b-bodyindent25">
    <w:name w:val="b-body indent .25"/>
    <w:basedOn w:val="Normal"/>
    <w:rsid w:val="002F7BA1"/>
    <w:pPr>
      <w:widowControl w:val="0"/>
      <w:tabs>
        <w:tab w:val="left" w:pos="360"/>
      </w:tabs>
      <w:ind w:firstLine="360"/>
    </w:pPr>
    <w:rPr>
      <w:color w:val="000000"/>
      <w:sz w:val="22"/>
      <w:szCs w:val="20"/>
    </w:rPr>
  </w:style>
  <w:style w:type="paragraph" w:styleId="BodyTextIndent">
    <w:name w:val="Body Text Indent"/>
    <w:basedOn w:val="Normal"/>
    <w:rsid w:val="001349F2"/>
    <w:pPr>
      <w:spacing w:before="100" w:after="100"/>
      <w:ind w:left="1800" w:hanging="360"/>
    </w:pPr>
    <w:rPr>
      <w:rFonts w:ascii="Arial" w:hAnsi="Arial" w:cs="Arial"/>
      <w:sz w:val="20"/>
      <w:szCs w:val="20"/>
    </w:rPr>
  </w:style>
  <w:style w:type="paragraph" w:styleId="BalloonText">
    <w:name w:val="Balloon Text"/>
    <w:basedOn w:val="Normal"/>
    <w:semiHidden/>
    <w:rsid w:val="00EB447D"/>
    <w:rPr>
      <w:rFonts w:ascii="Tahoma" w:hAnsi="Tahoma" w:cs="Tahoma"/>
      <w:sz w:val="16"/>
      <w:szCs w:val="16"/>
    </w:rPr>
  </w:style>
  <w:style w:type="paragraph" w:customStyle="1" w:styleId="b-bullet">
    <w:name w:val="b-bullet"/>
    <w:basedOn w:val="Normal"/>
    <w:link w:val="b-bulletCharChar"/>
    <w:rsid w:val="009C2409"/>
    <w:rPr>
      <w:sz w:val="22"/>
      <w:szCs w:val="20"/>
    </w:rPr>
  </w:style>
  <w:style w:type="paragraph" w:customStyle="1" w:styleId="bhead11">
    <w:name w:val="b head 1.1"/>
    <w:basedOn w:val="bheaditalic2"/>
    <w:rsid w:val="006C3F29"/>
    <w:pPr>
      <w:ind w:left="1152"/>
    </w:pPr>
  </w:style>
  <w:style w:type="paragraph" w:customStyle="1" w:styleId="b-bullet2indents">
    <w:name w:val="b-bullet 2 indents"/>
    <w:basedOn w:val="Normal"/>
    <w:rsid w:val="00387EF1"/>
    <w:pPr>
      <w:numPr>
        <w:numId w:val="5"/>
      </w:numPr>
      <w:tabs>
        <w:tab w:val="left" w:pos="432"/>
      </w:tabs>
      <w:spacing w:before="100" w:after="100"/>
    </w:pPr>
    <w:rPr>
      <w:szCs w:val="20"/>
    </w:rPr>
  </w:style>
  <w:style w:type="character" w:styleId="CommentReference">
    <w:name w:val="annotation reference"/>
    <w:basedOn w:val="DefaultParagraphFont"/>
    <w:semiHidden/>
    <w:rsid w:val="00AF47DE"/>
    <w:rPr>
      <w:sz w:val="16"/>
      <w:szCs w:val="16"/>
    </w:rPr>
  </w:style>
  <w:style w:type="paragraph" w:styleId="CommentText">
    <w:name w:val="annotation text"/>
    <w:basedOn w:val="Normal"/>
    <w:semiHidden/>
    <w:rsid w:val="00AF47DE"/>
    <w:rPr>
      <w:sz w:val="20"/>
      <w:szCs w:val="20"/>
    </w:rPr>
  </w:style>
  <w:style w:type="paragraph" w:styleId="CommentSubject">
    <w:name w:val="annotation subject"/>
    <w:basedOn w:val="CommentText"/>
    <w:next w:val="CommentText"/>
    <w:semiHidden/>
    <w:rsid w:val="00AF47DE"/>
    <w:rPr>
      <w:b/>
      <w:bCs/>
    </w:rPr>
  </w:style>
  <w:style w:type="paragraph" w:customStyle="1" w:styleId="c-dashbullet">
    <w:name w:val="c-dash bullet"/>
    <w:basedOn w:val="b-bullet"/>
    <w:rsid w:val="002A3F17"/>
  </w:style>
  <w:style w:type="character" w:customStyle="1" w:styleId="b-bulletCharChar">
    <w:name w:val="b-bullet Char Char"/>
    <w:basedOn w:val="DefaultParagraphFont"/>
    <w:link w:val="b-bullet"/>
    <w:rsid w:val="009C2409"/>
    <w:rPr>
      <w:sz w:val="22"/>
      <w:lang w:val="en-US" w:eastAsia="en-US" w:bidi="ar-SA"/>
    </w:rPr>
  </w:style>
  <w:style w:type="paragraph" w:customStyle="1" w:styleId="b-body">
    <w:name w:val="b-body"/>
    <w:basedOn w:val="Normal"/>
    <w:rsid w:val="00007C01"/>
    <w:pPr>
      <w:widowControl w:val="0"/>
      <w:spacing w:line="480" w:lineRule="auto"/>
    </w:pPr>
    <w:rPr>
      <w:color w:val="000000"/>
      <w:szCs w:val="20"/>
    </w:rPr>
  </w:style>
  <w:style w:type="paragraph" w:customStyle="1" w:styleId="c-bodynoindent">
    <w:name w:val="c-body no indent"/>
    <w:basedOn w:val="b-bodyindent25"/>
    <w:rsid w:val="00C03AAD"/>
    <w:pPr>
      <w:ind w:firstLine="0"/>
    </w:pPr>
    <w:rPr>
      <w:szCs w:val="22"/>
    </w:rPr>
  </w:style>
  <w:style w:type="paragraph" w:customStyle="1" w:styleId="FedReg-Head1">
    <w:name w:val="Fed Reg - Head 1"/>
    <w:basedOn w:val="FedReg-headitalic2"/>
    <w:rsid w:val="00E714F1"/>
    <w:rPr>
      <w:b/>
      <w:u w:val="none"/>
    </w:rPr>
  </w:style>
  <w:style w:type="paragraph" w:customStyle="1" w:styleId="FedReg-bodyindent25">
    <w:name w:val="Fed Reg -body indent .25"/>
    <w:basedOn w:val="Normal"/>
    <w:rsid w:val="00E714F1"/>
    <w:pPr>
      <w:widowControl w:val="0"/>
      <w:tabs>
        <w:tab w:val="left" w:pos="360"/>
      </w:tabs>
      <w:spacing w:line="480" w:lineRule="auto"/>
      <w:ind w:firstLine="360"/>
    </w:pPr>
    <w:rPr>
      <w:color w:val="000000"/>
      <w:szCs w:val="20"/>
    </w:rPr>
  </w:style>
  <w:style w:type="paragraph" w:customStyle="1" w:styleId="FedReg-bodynoindent">
    <w:name w:val="Fed Reg -body no indent"/>
    <w:basedOn w:val="FedReg-bodyindent25"/>
    <w:rsid w:val="00E714F1"/>
    <w:pPr>
      <w:ind w:firstLine="0"/>
    </w:pPr>
    <w:rPr>
      <w:szCs w:val="22"/>
    </w:rPr>
  </w:style>
  <w:style w:type="paragraph" w:customStyle="1" w:styleId="FedReg-bullet">
    <w:name w:val="Fed Reg -bullet"/>
    <w:basedOn w:val="Normal"/>
    <w:rsid w:val="009341C6"/>
    <w:pPr>
      <w:numPr>
        <w:numId w:val="14"/>
      </w:numPr>
      <w:spacing w:line="480" w:lineRule="auto"/>
      <w:ind w:left="0" w:firstLine="360"/>
    </w:pPr>
    <w:rPr>
      <w:szCs w:val="20"/>
    </w:rPr>
  </w:style>
  <w:style w:type="paragraph" w:customStyle="1" w:styleId="FedRegc-dashbullet">
    <w:name w:val="Fed Reg c-dash bullet"/>
    <w:basedOn w:val="FedReg-bullet"/>
    <w:rsid w:val="00E714F1"/>
    <w:pPr>
      <w:numPr>
        <w:numId w:val="15"/>
      </w:numPr>
    </w:pPr>
  </w:style>
  <w:style w:type="paragraph" w:styleId="FootnoteText">
    <w:name w:val="footnote text"/>
    <w:basedOn w:val="Normal"/>
    <w:link w:val="FootnoteTextChar"/>
    <w:uiPriority w:val="99"/>
    <w:unhideWhenUsed/>
    <w:rsid w:val="005F77C7"/>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5F77C7"/>
    <w:rPr>
      <w:rFonts w:asciiTheme="minorHAnsi" w:eastAsiaTheme="minorHAnsi" w:hAnsiTheme="minorHAnsi" w:cstheme="minorBidi"/>
      <w:sz w:val="24"/>
      <w:szCs w:val="24"/>
    </w:rPr>
  </w:style>
  <w:style w:type="character" w:styleId="FootnoteReference">
    <w:name w:val="footnote reference"/>
    <w:basedOn w:val="DefaultParagraphFont"/>
    <w:uiPriority w:val="99"/>
    <w:unhideWhenUsed/>
    <w:rsid w:val="005F77C7"/>
    <w:rPr>
      <w:vertAlign w:val="superscript"/>
    </w:rPr>
  </w:style>
  <w:style w:type="paragraph" w:customStyle="1" w:styleId="bbodyindent25">
    <w:name w:val="b body indent .25"/>
    <w:basedOn w:val="Normal"/>
    <w:rsid w:val="002D3CF2"/>
    <w:pPr>
      <w:widowControl w:val="0"/>
      <w:tabs>
        <w:tab w:val="left" w:pos="360"/>
      </w:tabs>
      <w:spacing w:line="480" w:lineRule="auto"/>
      <w:ind w:firstLine="360"/>
    </w:pPr>
    <w:rPr>
      <w:rFonts w:cs="OBLME O+ Melior"/>
      <w:color w:val="000000"/>
      <w:szCs w:val="22"/>
    </w:rPr>
  </w:style>
  <w:style w:type="character" w:styleId="Hyperlink">
    <w:name w:val="Hyperlink"/>
    <w:basedOn w:val="DefaultParagraphFont"/>
    <w:rsid w:val="003905BE"/>
    <w:rPr>
      <w:color w:val="0000FF" w:themeColor="hyperlink"/>
      <w:u w:val="single"/>
    </w:rPr>
  </w:style>
  <w:style w:type="paragraph" w:styleId="Revision">
    <w:name w:val="Revision"/>
    <w:hidden/>
    <w:uiPriority w:val="99"/>
    <w:semiHidden/>
    <w:rsid w:val="00947E4F"/>
    <w:rPr>
      <w:sz w:val="24"/>
      <w:szCs w:val="24"/>
    </w:rPr>
  </w:style>
  <w:style w:type="character" w:customStyle="1" w:styleId="apple-converted-space">
    <w:name w:val="apple-converted-space"/>
    <w:basedOn w:val="DefaultParagraphFont"/>
    <w:rsid w:val="00900084"/>
  </w:style>
  <w:style w:type="character" w:customStyle="1" w:styleId="aqj">
    <w:name w:val="aqj"/>
    <w:basedOn w:val="DefaultParagraphFont"/>
    <w:rsid w:val="00900084"/>
  </w:style>
  <w:style w:type="character" w:customStyle="1" w:styleId="il">
    <w:name w:val="il"/>
    <w:basedOn w:val="DefaultParagraphFont"/>
    <w:rsid w:val="005B6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1170">
      <w:bodyDiv w:val="1"/>
      <w:marLeft w:val="0"/>
      <w:marRight w:val="0"/>
      <w:marTop w:val="0"/>
      <w:marBottom w:val="0"/>
      <w:divBdr>
        <w:top w:val="none" w:sz="0" w:space="0" w:color="auto"/>
        <w:left w:val="none" w:sz="0" w:space="0" w:color="auto"/>
        <w:bottom w:val="none" w:sz="0" w:space="0" w:color="auto"/>
        <w:right w:val="none" w:sz="0" w:space="0" w:color="auto"/>
      </w:divBdr>
      <w:divsChild>
        <w:div w:id="1636375497">
          <w:marLeft w:val="0"/>
          <w:marRight w:val="0"/>
          <w:marTop w:val="0"/>
          <w:marBottom w:val="0"/>
          <w:divBdr>
            <w:top w:val="none" w:sz="0" w:space="0" w:color="auto"/>
            <w:left w:val="none" w:sz="0" w:space="0" w:color="auto"/>
            <w:bottom w:val="none" w:sz="0" w:space="0" w:color="auto"/>
            <w:right w:val="none" w:sz="0" w:space="0" w:color="auto"/>
          </w:divBdr>
          <w:divsChild>
            <w:div w:id="304624883">
              <w:marLeft w:val="0"/>
              <w:marRight w:val="0"/>
              <w:marTop w:val="0"/>
              <w:marBottom w:val="0"/>
              <w:divBdr>
                <w:top w:val="none" w:sz="0" w:space="0" w:color="auto"/>
                <w:left w:val="none" w:sz="0" w:space="0" w:color="auto"/>
                <w:bottom w:val="none" w:sz="0" w:space="0" w:color="auto"/>
                <w:right w:val="none" w:sz="0" w:space="0" w:color="auto"/>
              </w:divBdr>
              <w:divsChild>
                <w:div w:id="759109250">
                  <w:marLeft w:val="0"/>
                  <w:marRight w:val="0"/>
                  <w:marTop w:val="0"/>
                  <w:marBottom w:val="0"/>
                  <w:divBdr>
                    <w:top w:val="none" w:sz="0" w:space="0" w:color="auto"/>
                    <w:left w:val="none" w:sz="0" w:space="0" w:color="auto"/>
                    <w:bottom w:val="none" w:sz="0" w:space="0" w:color="auto"/>
                    <w:right w:val="none" w:sz="0" w:space="0" w:color="auto"/>
                  </w:divBdr>
                  <w:divsChild>
                    <w:div w:id="184812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59310">
      <w:bodyDiv w:val="1"/>
      <w:marLeft w:val="0"/>
      <w:marRight w:val="0"/>
      <w:marTop w:val="0"/>
      <w:marBottom w:val="0"/>
      <w:divBdr>
        <w:top w:val="none" w:sz="0" w:space="0" w:color="auto"/>
        <w:left w:val="none" w:sz="0" w:space="0" w:color="auto"/>
        <w:bottom w:val="none" w:sz="0" w:space="0" w:color="auto"/>
        <w:right w:val="none" w:sz="0" w:space="0" w:color="auto"/>
      </w:divBdr>
      <w:divsChild>
        <w:div w:id="1134829263">
          <w:marLeft w:val="0"/>
          <w:marRight w:val="0"/>
          <w:marTop w:val="0"/>
          <w:marBottom w:val="0"/>
          <w:divBdr>
            <w:top w:val="none" w:sz="0" w:space="0" w:color="auto"/>
            <w:left w:val="none" w:sz="0" w:space="0" w:color="auto"/>
            <w:bottom w:val="none" w:sz="0" w:space="0" w:color="auto"/>
            <w:right w:val="none" w:sz="0" w:space="0" w:color="auto"/>
          </w:divBdr>
          <w:divsChild>
            <w:div w:id="186599874">
              <w:marLeft w:val="0"/>
              <w:marRight w:val="0"/>
              <w:marTop w:val="0"/>
              <w:marBottom w:val="0"/>
              <w:divBdr>
                <w:top w:val="none" w:sz="0" w:space="0" w:color="auto"/>
                <w:left w:val="none" w:sz="0" w:space="0" w:color="auto"/>
                <w:bottom w:val="none" w:sz="0" w:space="0" w:color="auto"/>
                <w:right w:val="none" w:sz="0" w:space="0" w:color="auto"/>
              </w:divBdr>
              <w:divsChild>
                <w:div w:id="1903059278">
                  <w:marLeft w:val="0"/>
                  <w:marRight w:val="0"/>
                  <w:marTop w:val="0"/>
                  <w:marBottom w:val="0"/>
                  <w:divBdr>
                    <w:top w:val="none" w:sz="0" w:space="0" w:color="auto"/>
                    <w:left w:val="none" w:sz="0" w:space="0" w:color="auto"/>
                    <w:bottom w:val="none" w:sz="0" w:space="0" w:color="auto"/>
                    <w:right w:val="none" w:sz="0" w:space="0" w:color="auto"/>
                  </w:divBdr>
                  <w:divsChild>
                    <w:div w:id="21468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67309">
      <w:bodyDiv w:val="1"/>
      <w:marLeft w:val="0"/>
      <w:marRight w:val="0"/>
      <w:marTop w:val="0"/>
      <w:marBottom w:val="0"/>
      <w:divBdr>
        <w:top w:val="none" w:sz="0" w:space="0" w:color="auto"/>
        <w:left w:val="none" w:sz="0" w:space="0" w:color="auto"/>
        <w:bottom w:val="none" w:sz="0" w:space="0" w:color="auto"/>
        <w:right w:val="none" w:sz="0" w:space="0" w:color="auto"/>
      </w:divBdr>
      <w:divsChild>
        <w:div w:id="1519078445">
          <w:marLeft w:val="0"/>
          <w:marRight w:val="0"/>
          <w:marTop w:val="0"/>
          <w:marBottom w:val="0"/>
          <w:divBdr>
            <w:top w:val="none" w:sz="0" w:space="0" w:color="auto"/>
            <w:left w:val="none" w:sz="0" w:space="0" w:color="auto"/>
            <w:bottom w:val="none" w:sz="0" w:space="0" w:color="auto"/>
            <w:right w:val="none" w:sz="0" w:space="0" w:color="auto"/>
          </w:divBdr>
        </w:div>
        <w:div w:id="1813210245">
          <w:marLeft w:val="0"/>
          <w:marRight w:val="0"/>
          <w:marTop w:val="0"/>
          <w:marBottom w:val="0"/>
          <w:divBdr>
            <w:top w:val="none" w:sz="0" w:space="0" w:color="auto"/>
            <w:left w:val="none" w:sz="0" w:space="0" w:color="auto"/>
            <w:bottom w:val="none" w:sz="0" w:space="0" w:color="auto"/>
            <w:right w:val="none" w:sz="0" w:space="0" w:color="auto"/>
          </w:divBdr>
        </w:div>
        <w:div w:id="1855143580">
          <w:marLeft w:val="0"/>
          <w:marRight w:val="0"/>
          <w:marTop w:val="0"/>
          <w:marBottom w:val="0"/>
          <w:divBdr>
            <w:top w:val="none" w:sz="0" w:space="0" w:color="auto"/>
            <w:left w:val="none" w:sz="0" w:space="0" w:color="auto"/>
            <w:bottom w:val="none" w:sz="0" w:space="0" w:color="auto"/>
            <w:right w:val="none" w:sz="0" w:space="0" w:color="auto"/>
          </w:divBdr>
        </w:div>
        <w:div w:id="2103455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mesr.west@bia.gov" TargetMode="External"/><Relationship Id="rId5" Type="http://schemas.microsoft.com/office/2007/relationships/stylesWithEffects" Target="stylesWithEffects.xml"/><Relationship Id="rId10" Type="http://schemas.openxmlformats.org/officeDocument/2006/relationships/hyperlink" Target="mailto:IEEDGrants@bia.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5407F-B82E-4FA1-AB03-50D6C6B6C4B0}">
  <ds:schemaRefs>
    <ds:schemaRef ds:uri="http://schemas.openxmlformats.org/officeDocument/2006/bibliography"/>
  </ds:schemaRefs>
</ds:datastoreItem>
</file>

<file path=customXml/itemProps2.xml><?xml version="1.0" encoding="utf-8"?>
<ds:datastoreItem xmlns:ds="http://schemas.openxmlformats.org/officeDocument/2006/customXml" ds:itemID="{7C05EB4A-A9F3-4385-A272-DC210FAD0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3934</Words>
  <Characters>22427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Proposed Changes</vt:lpstr>
    </vt:vector>
  </TitlesOfParts>
  <Company>Bureau of Indian Affairs</Company>
  <LinksUpToDate>false</LinksUpToDate>
  <CharactersWithSpaces>26309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Changes</dc:title>
  <dc:creator>Robert Anderson</dc:creator>
  <cp:lastModifiedBy>SYSTEM</cp:lastModifiedBy>
  <cp:revision>2</cp:revision>
  <cp:lastPrinted>2017-05-30T13:44:00Z</cp:lastPrinted>
  <dcterms:created xsi:type="dcterms:W3CDTF">2017-09-12T16:41:00Z</dcterms:created>
  <dcterms:modified xsi:type="dcterms:W3CDTF">2017-09-12T16:41:00Z</dcterms:modified>
</cp:coreProperties>
</file>