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42" w:rsidRDefault="00E35242" w:rsidP="00E35242">
      <w:pPr>
        <w:pStyle w:val="Title"/>
        <w:rPr>
          <w:color w:val="auto"/>
        </w:rPr>
      </w:pPr>
      <w:r>
        <w:rPr>
          <w:color w:val="auto"/>
          <w:lang w:val="x-none"/>
        </w:rPr>
        <w:t xml:space="preserve">SUPPORTING STATEMENT FOR </w:t>
      </w:r>
      <w:r>
        <w:rPr>
          <w:color w:val="auto"/>
          <w:lang w:val="x-none"/>
        </w:rPr>
        <w:br/>
        <w:t xml:space="preserve">THE INFORMATION COLLECTION REQUIREMENTS </w:t>
      </w:r>
      <w:r>
        <w:rPr>
          <w:color w:val="auto"/>
          <w:lang w:val="x-none"/>
        </w:rPr>
        <w:br/>
        <w:t xml:space="preserve">IN THE </w:t>
      </w:r>
      <w:r w:rsidR="00562DB9">
        <w:rPr>
          <w:color w:val="auto"/>
        </w:rPr>
        <w:t>PROPOSAL TO REVOKE THE</w:t>
      </w:r>
      <w:r>
        <w:rPr>
          <w:color w:val="auto"/>
          <w:lang w:val="x-none"/>
        </w:rPr>
        <w:t>BERYLLIUM STANDARD</w:t>
      </w:r>
      <w:r w:rsidR="00562DB9">
        <w:rPr>
          <w:color w:val="auto"/>
        </w:rPr>
        <w:t>S FOR SHIPYARD</w:t>
      </w:r>
      <w:r w:rsidR="003E0692">
        <w:rPr>
          <w:color w:val="auto"/>
        </w:rPr>
        <w:t>S</w:t>
      </w:r>
      <w:r w:rsidR="00562DB9">
        <w:rPr>
          <w:color w:val="auto"/>
        </w:rPr>
        <w:t xml:space="preserve"> (29 CFR 1915.1024) AND CONSTRUCTION (29 CFR 1926.1124) AND RETAIN THE BERYLLIUM STANDARD</w:t>
      </w:r>
      <w:r>
        <w:rPr>
          <w:color w:val="auto"/>
          <w:lang w:val="x-none"/>
        </w:rPr>
        <w:t xml:space="preserve"> FOR </w:t>
      </w:r>
      <w:r>
        <w:rPr>
          <w:color w:val="auto"/>
          <w:lang w:val="x-none"/>
        </w:rPr>
        <w:br/>
        <w:t>GENERAL INDUSTRY (29 CFR 1910.</w:t>
      </w:r>
      <w:r>
        <w:rPr>
          <w:color w:val="auto"/>
        </w:rPr>
        <w:t>1024</w:t>
      </w:r>
      <w:r>
        <w:rPr>
          <w:color w:val="auto"/>
          <w:lang w:val="x-none"/>
        </w:rPr>
        <w:t xml:space="preserve">) </w:t>
      </w:r>
      <w:r>
        <w:rPr>
          <w:rStyle w:val="FootnoteReference"/>
          <w:color w:val="auto"/>
          <w:lang w:val="x-none"/>
        </w:rPr>
        <w:footnoteReference w:customMarkFollows="1" w:id="2"/>
        <w:t>[1]</w:t>
      </w:r>
      <w:r>
        <w:rPr>
          <w:color w:val="auto"/>
          <w:lang w:val="x-none"/>
        </w:rPr>
        <w:t xml:space="preserve"> </w:t>
      </w:r>
    </w:p>
    <w:p w:rsidR="00E35242" w:rsidRDefault="00E35242" w:rsidP="00E35242">
      <w:pPr>
        <w:pStyle w:val="Title"/>
        <w:rPr>
          <w:color w:val="auto"/>
        </w:rPr>
      </w:pPr>
      <w:r>
        <w:rPr>
          <w:color w:val="auto"/>
          <w:lang w:val="x-none"/>
        </w:rPr>
        <w:t>OMB CONTROL NO. 1218-</w:t>
      </w:r>
      <w:r>
        <w:rPr>
          <w:color w:val="auto"/>
        </w:rPr>
        <w:t xml:space="preserve">0267 </w:t>
      </w:r>
      <w:r>
        <w:rPr>
          <w:color w:val="auto"/>
          <w:lang w:val="x-none"/>
        </w:rPr>
        <w:t>(</w:t>
      </w:r>
      <w:r w:rsidR="00A14B03">
        <w:rPr>
          <w:color w:val="auto"/>
        </w:rPr>
        <w:t xml:space="preserve">June </w:t>
      </w:r>
      <w:r>
        <w:rPr>
          <w:color w:val="auto"/>
        </w:rPr>
        <w:t>2017</w:t>
      </w:r>
      <w:r>
        <w:rPr>
          <w:color w:val="auto"/>
          <w:lang w:val="x-none"/>
        </w:rPr>
        <w:t xml:space="preserve">) </w:t>
      </w:r>
    </w:p>
    <w:p w:rsidR="00FD4FE2" w:rsidRDefault="00FD4FE2" w:rsidP="00E35242">
      <w:pPr>
        <w:pStyle w:val="Title"/>
        <w:rPr>
          <w:color w:val="auto"/>
        </w:rPr>
      </w:pPr>
    </w:p>
    <w:p w:rsidR="00FD4FE2" w:rsidRDefault="00FD4FE2" w:rsidP="00FD4FE2">
      <w:pPr>
        <w:pStyle w:val="Default"/>
        <w:rPr>
          <w:color w:val="auto"/>
        </w:rPr>
      </w:pPr>
      <w:r>
        <w:rPr>
          <w:color w:val="auto"/>
        </w:rPr>
        <w:t>This Information Collection Request (ICR) is being submitted in association with a Notice of Proposed Rulemaking in order to allow the public and OMB to review and to comment on the revised collections of information. The Department asks that OMB conclude its review by filing a comment asking the agency to consider public comments on the information collections and resubmit the ICR at the final rule stage.</w:t>
      </w:r>
    </w:p>
    <w:p w:rsidR="00FD4FE2" w:rsidRDefault="00FD4FE2" w:rsidP="00FD4FE2">
      <w:pPr>
        <w:pStyle w:val="Default"/>
        <w:rPr>
          <w:color w:val="auto"/>
        </w:rPr>
      </w:pPr>
    </w:p>
    <w:p w:rsidR="00E35242" w:rsidRDefault="00E35242" w:rsidP="00E35242">
      <w:pPr>
        <w:pStyle w:val="Default"/>
        <w:jc w:val="center"/>
        <w:rPr>
          <w:color w:val="auto"/>
        </w:rPr>
      </w:pPr>
    </w:p>
    <w:p w:rsidR="00E35242" w:rsidRDefault="00E35242" w:rsidP="00E35242">
      <w:pPr>
        <w:pStyle w:val="Heading1"/>
        <w:numPr>
          <w:ilvl w:val="0"/>
          <w:numId w:val="3"/>
        </w:numPr>
        <w:rPr>
          <w:lang w:val="x-none"/>
        </w:rPr>
      </w:pPr>
      <w:r>
        <w:rPr>
          <w:lang w:val="x-none"/>
        </w:rPr>
        <w:t xml:space="preserve">Justification </w:t>
      </w:r>
    </w:p>
    <w:p w:rsidR="00E35242" w:rsidRDefault="00E35242" w:rsidP="00E35242">
      <w:pPr>
        <w:pStyle w:val="Default"/>
        <w:rPr>
          <w:color w:val="auto"/>
        </w:rPr>
      </w:pPr>
      <w:r>
        <w:rPr>
          <w:color w:val="auto"/>
        </w:rPr>
        <w:t xml:space="preserve">                                                                                                                              </w:t>
      </w:r>
    </w:p>
    <w:p w:rsidR="00E35242" w:rsidRDefault="00E35242" w:rsidP="00E35242">
      <w:pPr>
        <w:pStyle w:val="Heading2"/>
        <w:numPr>
          <w:ilvl w:val="1"/>
          <w:numId w:val="3"/>
        </w:numPr>
        <w:ind w:left="0" w:firstLine="0"/>
        <w:rPr>
          <w:sz w:val="22"/>
          <w:szCs w:val="22"/>
          <w:lang w:val="x-none"/>
        </w:rPr>
      </w:pPr>
      <w:r>
        <w:rPr>
          <w:sz w:val="22"/>
          <w:szCs w:val="22"/>
          <w:lang w:val="x-none"/>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5242" w:rsidRDefault="00E35242" w:rsidP="00E35242">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rsidR="00E35242" w:rsidRDefault="00E35242" w:rsidP="00E35242">
      <w:pPr>
        <w:pStyle w:val="BodyTextFirstIndent"/>
        <w:ind w:firstLine="0"/>
        <w:rPr>
          <w:sz w:val="24"/>
          <w:szCs w:val="24"/>
          <w:lang w:val="x-none"/>
        </w:rPr>
      </w:pPr>
      <w:r>
        <w:rPr>
          <w:sz w:val="24"/>
          <w:szCs w:val="24"/>
          <w:lang w:val="x-none"/>
        </w:rPr>
        <w:t xml:space="preserve">To protect worker health, the OSH Act authorizes the </w:t>
      </w:r>
      <w:r>
        <w:rPr>
          <w:sz w:val="24"/>
          <w:szCs w:val="24"/>
        </w:rPr>
        <w:t xml:space="preserve">Secretary of Labor (Secretary) </w:t>
      </w:r>
      <w:r>
        <w:rPr>
          <w:sz w:val="24"/>
          <w:szCs w:val="24"/>
          <w:lang w:val="x-none"/>
        </w:rPr>
        <w:t xml:space="preserve">to develop standards that provide for “monitoring or measuring employee exposure” to occupational hazards and “prescribe the type and frequency of medical examinations </w:t>
      </w:r>
      <w:r>
        <w:rPr>
          <w:sz w:val="24"/>
          <w:szCs w:val="24"/>
        </w:rPr>
        <w:t>or</w:t>
      </w:r>
      <w:r>
        <w:rPr>
          <w:sz w:val="24"/>
          <w:szCs w:val="24"/>
          <w:lang w:val="x-none"/>
        </w:rPr>
        <w:t xml:space="preserve"> other tests which shall be made available</w:t>
      </w:r>
      <w:r>
        <w:rPr>
          <w:sz w:val="24"/>
          <w:szCs w:val="24"/>
        </w:rPr>
        <w:t>, by the employer or at [the employer’s] cost,</w:t>
      </w:r>
      <w:r>
        <w:rPr>
          <w:sz w:val="24"/>
          <w:szCs w:val="24"/>
          <w:lang w:val="x-none"/>
        </w:rPr>
        <w:t xml:space="preserve"> to employees exposed to such hazards </w:t>
      </w:r>
      <w:r>
        <w:rPr>
          <w:sz w:val="24"/>
          <w:szCs w:val="24"/>
        </w:rPr>
        <w:t xml:space="preserve">in order </w:t>
      </w:r>
      <w:r>
        <w:rPr>
          <w:sz w:val="24"/>
          <w:szCs w:val="24"/>
          <w:lang w:val="x-none"/>
        </w:rPr>
        <w:t>to most effectively determine whether the health of such employees is adversely affected by such exposure” (29 U.S.C. 655</w:t>
      </w:r>
      <w:r>
        <w:rPr>
          <w:sz w:val="24"/>
          <w:szCs w:val="24"/>
        </w:rPr>
        <w:t>(b)(7)</w:t>
      </w:r>
      <w:r>
        <w:rPr>
          <w:sz w:val="24"/>
          <w:szCs w:val="24"/>
          <w:lang w:val="x-none"/>
        </w:rPr>
        <w:t xml:space="preserve">).  Moreover, the Act directs the </w:t>
      </w:r>
      <w:r>
        <w:rPr>
          <w:sz w:val="24"/>
          <w:szCs w:val="24"/>
        </w:rPr>
        <w:t>Secretary</w:t>
      </w:r>
      <w:r>
        <w:rPr>
          <w:sz w:val="24"/>
          <w:szCs w:val="24"/>
          <w:lang w:val="x-none"/>
        </w:rPr>
        <w:t xml:space="preserve"> to “issue regulations requiring employers to maintain accurate records of employee exposures to potentially toxic materials or harmful physical agents which are required to be monitored </w:t>
      </w:r>
      <w:r>
        <w:rPr>
          <w:sz w:val="24"/>
          <w:szCs w:val="24"/>
        </w:rPr>
        <w:t>or</w:t>
      </w:r>
      <w:r>
        <w:rPr>
          <w:sz w:val="24"/>
          <w:szCs w:val="24"/>
          <w:lang w:val="x-none"/>
        </w:rPr>
        <w:t xml:space="preserve"> </w:t>
      </w:r>
      <w:r>
        <w:rPr>
          <w:sz w:val="24"/>
          <w:szCs w:val="24"/>
          <w:lang w:val="x-none"/>
        </w:rPr>
        <w:lastRenderedPageBreak/>
        <w:t>measured,</w:t>
      </w:r>
      <w:r>
        <w:rPr>
          <w:sz w:val="24"/>
          <w:szCs w:val="24"/>
        </w:rPr>
        <w:t>”</w:t>
      </w:r>
      <w:r>
        <w:rPr>
          <w:sz w:val="24"/>
          <w:szCs w:val="24"/>
          <w:lang w:val="x-none"/>
        </w:rPr>
        <w:t xml:space="preserve"> and further </w:t>
      </w:r>
      <w:r>
        <w:rPr>
          <w:sz w:val="24"/>
          <w:szCs w:val="24"/>
        </w:rPr>
        <w:t>requires</w:t>
      </w:r>
      <w:r>
        <w:rPr>
          <w:sz w:val="24"/>
          <w:szCs w:val="24"/>
          <w:lang w:val="x-none"/>
        </w:rPr>
        <w:t xml:space="preserve"> that such regulations provide “for each employee or former employee to have access to such records as will indicate [</w:t>
      </w:r>
      <w:r>
        <w:rPr>
          <w:sz w:val="24"/>
          <w:szCs w:val="24"/>
        </w:rPr>
        <w:t>the employee’s</w:t>
      </w:r>
      <w:r>
        <w:rPr>
          <w:sz w:val="24"/>
          <w:szCs w:val="24"/>
          <w:lang w:val="x-none"/>
        </w:rPr>
        <w:t>] own exposure to toxic materials or harmful physical agents”</w:t>
      </w:r>
      <w:r>
        <w:rPr>
          <w:sz w:val="24"/>
          <w:szCs w:val="24"/>
        </w:rPr>
        <w:t xml:space="preserve"> as appropriate</w:t>
      </w:r>
      <w:r>
        <w:rPr>
          <w:sz w:val="24"/>
          <w:szCs w:val="24"/>
          <w:lang w:val="x-none"/>
        </w:rPr>
        <w:t xml:space="preserve"> (29 U.S.C. 657</w:t>
      </w:r>
      <w:r>
        <w:rPr>
          <w:sz w:val="24"/>
          <w:szCs w:val="24"/>
        </w:rPr>
        <w:t>(c)(3)</w:t>
      </w:r>
      <w:r>
        <w:rPr>
          <w:sz w:val="24"/>
          <w:szCs w:val="24"/>
          <w:lang w:val="x-none"/>
        </w:rPr>
        <w:t xml:space="preserve">).  In addition, the OSH Act mandates that “[e]ach employer shall make, keep and preserve, and make available to the Secretary </w:t>
      </w:r>
      <w:r>
        <w:rPr>
          <w:sz w:val="24"/>
          <w:szCs w:val="24"/>
        </w:rPr>
        <w:t>. . .</w:t>
      </w:r>
      <w:r>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Pr>
          <w:sz w:val="24"/>
          <w:szCs w:val="24"/>
        </w:rPr>
        <w:t>(c)(1)</w:t>
      </w:r>
      <w:r>
        <w:rPr>
          <w:sz w:val="24"/>
          <w:szCs w:val="24"/>
          <w:lang w:val="x-none"/>
        </w:rPr>
        <w:t>).</w:t>
      </w:r>
    </w:p>
    <w:p w:rsidR="00E35242" w:rsidRDefault="00E35242" w:rsidP="00E35242">
      <w:r>
        <w:t>Section 6(b</w:t>
      </w:r>
      <w:proofErr w:type="gramStart"/>
      <w:r>
        <w:t>)(</w:t>
      </w:r>
      <w:proofErr w:type="gramEnd"/>
      <w:r>
        <w:t>7) of the Act, 29 U.S.C. 655(b)(7), further specifies that “[a]</w:t>
      </w:r>
      <w:proofErr w:type="spellStart"/>
      <w:r>
        <w:t>ny</w:t>
      </w:r>
      <w:proofErr w:type="spellEnd"/>
      <w: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t>
      </w:r>
    </w:p>
    <w:p w:rsidR="00E35242" w:rsidRDefault="00E35242" w:rsidP="00E35242">
      <w:pPr>
        <w:ind w:firstLine="720"/>
      </w:pPr>
    </w:p>
    <w:p w:rsidR="00E35242" w:rsidRDefault="00E35242" w:rsidP="00E35242">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issuing a proposal</w:t>
      </w:r>
      <w:r>
        <w:rPr>
          <w:sz w:val="24"/>
          <w:szCs w:val="24"/>
          <w:lang w:val="x-none"/>
        </w:rPr>
        <w:t xml:space="preserve"> </w:t>
      </w:r>
      <w:r w:rsidR="00CE4716">
        <w:rPr>
          <w:sz w:val="24"/>
          <w:szCs w:val="24"/>
        </w:rPr>
        <w:t>to</w:t>
      </w:r>
      <w:r>
        <w:rPr>
          <w:sz w:val="24"/>
          <w:szCs w:val="24"/>
        </w:rPr>
        <w:t xml:space="preserve"> revok</w:t>
      </w:r>
      <w:r w:rsidR="00CE4716">
        <w:rPr>
          <w:sz w:val="24"/>
          <w:szCs w:val="24"/>
        </w:rPr>
        <w:t>e</w:t>
      </w:r>
      <w:r>
        <w:rPr>
          <w:sz w:val="24"/>
          <w:szCs w:val="24"/>
        </w:rPr>
        <w:t xml:space="preserve"> the </w:t>
      </w:r>
      <w:r w:rsidR="00CE4716">
        <w:rPr>
          <w:sz w:val="24"/>
          <w:szCs w:val="24"/>
        </w:rPr>
        <w:t xml:space="preserve">comprehensive standards for </w:t>
      </w:r>
      <w:r>
        <w:rPr>
          <w:sz w:val="24"/>
          <w:szCs w:val="24"/>
        </w:rPr>
        <w:t xml:space="preserve">shipyards and  construction  </w:t>
      </w:r>
      <w:r>
        <w:rPr>
          <w:sz w:val="24"/>
          <w:szCs w:val="24"/>
          <w:lang w:val="x-none"/>
        </w:rPr>
        <w:t>regulating occupational exposure to beryllium and beryllium compounds</w:t>
      </w:r>
      <w:r>
        <w:rPr>
          <w:sz w:val="24"/>
          <w:szCs w:val="24"/>
        </w:rPr>
        <w:t xml:space="preserve"> (29 CFR 1915.1024 and 29 CFR 1926.1124, respectively)</w:t>
      </w:r>
      <w:r w:rsidR="00CE4716">
        <w:rPr>
          <w:sz w:val="24"/>
          <w:szCs w:val="24"/>
        </w:rPr>
        <w:t>, while maintaining the Beryllium standard for general industry (29 CFR 1910.1024)</w:t>
      </w:r>
      <w:r>
        <w:rPr>
          <w:sz w:val="24"/>
          <w:szCs w:val="24"/>
          <w:lang w:val="x-none"/>
        </w:rPr>
        <w:t>.</w:t>
      </w:r>
      <w:r>
        <w:rPr>
          <w:sz w:val="24"/>
          <w:szCs w:val="24"/>
        </w:rPr>
        <w:t xml:space="preserve">  </w:t>
      </w:r>
    </w:p>
    <w:p w:rsidR="00E35242" w:rsidRDefault="00E35242" w:rsidP="00E35242">
      <w:pPr>
        <w:pStyle w:val="Heading2"/>
        <w:numPr>
          <w:ilvl w:val="1"/>
          <w:numId w:val="3"/>
        </w:numPr>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rsidR="00C7419F" w:rsidRDefault="003F1F8D" w:rsidP="00E35242">
      <w:pPr>
        <w:pStyle w:val="BodyTextFirstIndent"/>
        <w:ind w:firstLine="0"/>
      </w:pPr>
      <w:bookmarkStart w:id="0" w:name="ExposureAssessment_2"/>
      <w:bookmarkEnd w:id="0"/>
      <w:r w:rsidRPr="00787B38">
        <w:rPr>
          <w:rFonts w:eastAsia="Times New Roman"/>
          <w:sz w:val="24"/>
          <w:szCs w:val="24"/>
        </w:rPr>
        <w:t>OSHA is proposing to revoke the two comprehensive standards applicable to the construction and shipyard sectors, but</w:t>
      </w:r>
      <w:r w:rsidRPr="00787B38">
        <w:t xml:space="preserve"> </w:t>
      </w:r>
      <w:r w:rsidRPr="00787B38">
        <w:rPr>
          <w:rFonts w:eastAsia="Times New Roman"/>
          <w:sz w:val="24"/>
          <w:szCs w:val="24"/>
        </w:rPr>
        <w:t xml:space="preserve">to retain the new lower PEL </w:t>
      </w:r>
      <w:proofErr w:type="gramStart"/>
      <w:r w:rsidRPr="00787B38">
        <w:rPr>
          <w:rFonts w:eastAsia="Times New Roman"/>
          <w:sz w:val="24"/>
          <w:szCs w:val="24"/>
        </w:rPr>
        <w:t xml:space="preserve">of 0.2 </w:t>
      </w:r>
      <w:proofErr w:type="spellStart"/>
      <w:r w:rsidRPr="00787B38">
        <w:rPr>
          <w:rFonts w:eastAsia="Times New Roman"/>
          <w:sz w:val="24"/>
          <w:szCs w:val="24"/>
        </w:rPr>
        <w:t>μg</w:t>
      </w:r>
      <w:proofErr w:type="spellEnd"/>
      <w:r w:rsidRPr="00787B38">
        <w:rPr>
          <w:rFonts w:eastAsia="Times New Roman"/>
          <w:sz w:val="24"/>
          <w:szCs w:val="24"/>
        </w:rPr>
        <w:t>/m</w:t>
      </w:r>
      <w:r w:rsidRPr="00787B38">
        <w:rPr>
          <w:rFonts w:eastAsia="Times New Roman"/>
          <w:sz w:val="24"/>
          <w:szCs w:val="24"/>
          <w:vertAlign w:val="superscript"/>
        </w:rPr>
        <w:t>3</w:t>
      </w:r>
      <w:proofErr w:type="gramEnd"/>
      <w:r w:rsidRPr="00787B38">
        <w:rPr>
          <w:rFonts w:eastAsia="Times New Roman"/>
          <w:sz w:val="24"/>
          <w:szCs w:val="24"/>
        </w:rPr>
        <w:t xml:space="preserve"> and the STEL of 2.0 </w:t>
      </w:r>
      <w:proofErr w:type="spellStart"/>
      <w:r w:rsidRPr="00787B38">
        <w:rPr>
          <w:rFonts w:eastAsia="Times New Roman"/>
          <w:sz w:val="24"/>
          <w:szCs w:val="24"/>
        </w:rPr>
        <w:t>μg</w:t>
      </w:r>
      <w:proofErr w:type="spellEnd"/>
      <w:r w:rsidRPr="00787B38">
        <w:rPr>
          <w:rFonts w:eastAsia="Times New Roman"/>
          <w:sz w:val="24"/>
          <w:szCs w:val="24"/>
        </w:rPr>
        <w:t>/m</w:t>
      </w:r>
      <w:r w:rsidRPr="00787B38">
        <w:rPr>
          <w:rFonts w:eastAsia="Times New Roman"/>
          <w:sz w:val="24"/>
          <w:szCs w:val="24"/>
          <w:vertAlign w:val="superscript"/>
        </w:rPr>
        <w:t>3</w:t>
      </w:r>
      <w:r w:rsidRPr="00787B38">
        <w:rPr>
          <w:rFonts w:eastAsia="Times New Roman"/>
          <w:sz w:val="24"/>
          <w:szCs w:val="24"/>
        </w:rPr>
        <w:t xml:space="preserve"> for those sectors.  OSHA reviewed the exposure data for abrasive blasting in construction and shipyards and welding in shipyards and determined that there is a significant risk of chronic beryllium disease (CBD) and lung cancer to workers in construction and shipyards based on the exposure levels observed.  Because OSHA has determined that there is significant risk of material impairment of health at the new lower PEL of 0.2 </w:t>
      </w:r>
      <w:proofErr w:type="spellStart"/>
      <w:r w:rsidRPr="00787B38">
        <w:rPr>
          <w:rFonts w:eastAsia="Times New Roman"/>
          <w:sz w:val="24"/>
          <w:szCs w:val="24"/>
        </w:rPr>
        <w:t>μg</w:t>
      </w:r>
      <w:proofErr w:type="spellEnd"/>
      <w:r w:rsidRPr="00787B38">
        <w:rPr>
          <w:rFonts w:eastAsia="Times New Roman"/>
          <w:sz w:val="24"/>
          <w:szCs w:val="24"/>
        </w:rPr>
        <w:t>/m</w:t>
      </w:r>
      <w:r w:rsidRPr="00787B38">
        <w:rPr>
          <w:rFonts w:eastAsia="Times New Roman"/>
          <w:sz w:val="24"/>
          <w:szCs w:val="24"/>
          <w:vertAlign w:val="superscript"/>
        </w:rPr>
        <w:t>3</w:t>
      </w:r>
      <w:r w:rsidRPr="00787B38">
        <w:rPr>
          <w:rFonts w:eastAsia="Times New Roman"/>
          <w:sz w:val="24"/>
          <w:szCs w:val="24"/>
        </w:rPr>
        <w:t xml:space="preserve">, the Agency continues to believe that that it is necessary to protect workers exposed at this level.  However, OSHA is now reconsidering the need for comprehensive standards in the construction and shipyards sectors.  OSHA has evidence </w:t>
      </w:r>
      <w:r>
        <w:rPr>
          <w:rFonts w:eastAsia="Times New Roman"/>
          <w:sz w:val="24"/>
          <w:szCs w:val="24"/>
        </w:rPr>
        <w:t>that</w:t>
      </w:r>
      <w:r w:rsidRPr="00787B38">
        <w:rPr>
          <w:rFonts w:eastAsia="Times New Roman"/>
          <w:sz w:val="24"/>
          <w:szCs w:val="24"/>
        </w:rPr>
        <w:t xml:space="preserve"> beryllium exposure in these sectors is limited to the following operations: abrasive blasting in construction, abrasive blasting in shipyards, and welding in shipyards.  OSHA has a number of standards already applicable to these operations, including ventilation (29 CFR 1926.57), mechanical paint removers (29 CFR 1915.34), and respiratory protection (</w:t>
      </w:r>
      <w:r w:rsidR="00D94664" w:rsidRPr="00787B38">
        <w:rPr>
          <w:rFonts w:eastAsia="Times New Roman"/>
          <w:sz w:val="24"/>
          <w:szCs w:val="24"/>
        </w:rPr>
        <w:t>19</w:t>
      </w:r>
      <w:r w:rsidR="00D94664">
        <w:rPr>
          <w:rFonts w:eastAsia="Times New Roman"/>
          <w:sz w:val="24"/>
          <w:szCs w:val="24"/>
        </w:rPr>
        <w:t>10</w:t>
      </w:r>
      <w:r w:rsidRPr="00787B38">
        <w:rPr>
          <w:rFonts w:eastAsia="Times New Roman"/>
          <w:sz w:val="24"/>
          <w:szCs w:val="24"/>
        </w:rPr>
        <w:t>.13</w:t>
      </w:r>
      <w:r w:rsidR="00D94664">
        <w:rPr>
          <w:rFonts w:eastAsia="Times New Roman"/>
          <w:sz w:val="24"/>
          <w:szCs w:val="24"/>
        </w:rPr>
        <w:t>4</w:t>
      </w:r>
      <w:r w:rsidRPr="006F7B34">
        <w:rPr>
          <w:rFonts w:eastAsia="Times New Roman"/>
          <w:sz w:val="24"/>
          <w:szCs w:val="24"/>
        </w:rPr>
        <w:t xml:space="preserve">). </w:t>
      </w:r>
      <w:r w:rsidR="00C7419F" w:rsidRPr="00C256BC">
        <w:rPr>
          <w:sz w:val="24"/>
          <w:szCs w:val="24"/>
        </w:rPr>
        <w:t>Th</w:t>
      </w:r>
      <w:r w:rsidR="00A56EF2" w:rsidRPr="00C256BC">
        <w:rPr>
          <w:sz w:val="24"/>
          <w:szCs w:val="24"/>
        </w:rPr>
        <w:t>is</w:t>
      </w:r>
      <w:r w:rsidR="00C7419F" w:rsidRPr="00C256BC">
        <w:rPr>
          <w:sz w:val="24"/>
          <w:szCs w:val="24"/>
        </w:rPr>
        <w:t xml:space="preserve"> proposal would remove the following collections of information </w:t>
      </w:r>
      <w:r w:rsidR="00A56EF2" w:rsidRPr="00C256BC">
        <w:rPr>
          <w:sz w:val="24"/>
          <w:szCs w:val="24"/>
        </w:rPr>
        <w:t>contain</w:t>
      </w:r>
      <w:r w:rsidR="009642B5" w:rsidRPr="00C256BC">
        <w:rPr>
          <w:sz w:val="24"/>
          <w:szCs w:val="24"/>
        </w:rPr>
        <w:t>ed</w:t>
      </w:r>
      <w:r w:rsidR="00A56EF2" w:rsidRPr="00C256BC">
        <w:rPr>
          <w:sz w:val="24"/>
          <w:szCs w:val="24"/>
        </w:rPr>
        <w:t xml:space="preserve"> in</w:t>
      </w:r>
      <w:r w:rsidR="00C7419F" w:rsidRPr="00C256BC">
        <w:rPr>
          <w:sz w:val="24"/>
          <w:szCs w:val="24"/>
        </w:rPr>
        <w:t xml:space="preserve"> the </w:t>
      </w:r>
      <w:r w:rsidR="009642B5" w:rsidRPr="00C256BC">
        <w:rPr>
          <w:sz w:val="24"/>
          <w:szCs w:val="24"/>
        </w:rPr>
        <w:t xml:space="preserve">two </w:t>
      </w:r>
      <w:r w:rsidR="00C7419F" w:rsidRPr="00C256BC">
        <w:rPr>
          <w:sz w:val="24"/>
          <w:szCs w:val="24"/>
        </w:rPr>
        <w:t>standard</w:t>
      </w:r>
      <w:r w:rsidR="009642B5" w:rsidRPr="00C256BC">
        <w:rPr>
          <w:sz w:val="24"/>
          <w:szCs w:val="24"/>
        </w:rPr>
        <w:t>s</w:t>
      </w:r>
      <w:r w:rsidR="00C7419F" w:rsidRPr="00C256BC">
        <w:rPr>
          <w:sz w:val="24"/>
          <w:szCs w:val="24"/>
        </w:rPr>
        <w:t>:</w:t>
      </w:r>
    </w:p>
    <w:p w:rsidR="00C7419F" w:rsidRDefault="00A9115B" w:rsidP="00C7419F">
      <w:pPr>
        <w:pStyle w:val="BodyTextFirstIndent"/>
        <w:ind w:firstLine="0"/>
        <w:rPr>
          <w:sz w:val="24"/>
          <w:szCs w:val="24"/>
        </w:rPr>
      </w:pPr>
      <w:r w:rsidRPr="009433C8">
        <w:rPr>
          <w:b/>
          <w:sz w:val="24"/>
          <w:szCs w:val="24"/>
          <w:u w:val="single"/>
        </w:rPr>
        <w:t xml:space="preserve">Table </w:t>
      </w:r>
      <w:proofErr w:type="gramStart"/>
      <w:r w:rsidRPr="009433C8">
        <w:rPr>
          <w:b/>
          <w:sz w:val="24"/>
          <w:szCs w:val="24"/>
          <w:u w:val="single"/>
        </w:rPr>
        <w:t>A</w:t>
      </w:r>
      <w:proofErr w:type="gramEnd"/>
      <w:r w:rsidRPr="009433C8">
        <w:rPr>
          <w:b/>
          <w:sz w:val="24"/>
          <w:szCs w:val="24"/>
          <w:u w:val="single"/>
        </w:rPr>
        <w:t xml:space="preserve"> – Collections of Information Being Removed</w:t>
      </w:r>
    </w:p>
    <w:tbl>
      <w:tblPr>
        <w:tblStyle w:val="TableGrid"/>
        <w:tblW w:w="0" w:type="auto"/>
        <w:tblInd w:w="18" w:type="dxa"/>
        <w:tblLayout w:type="fixed"/>
        <w:tblLook w:val="04A0" w:firstRow="1" w:lastRow="0" w:firstColumn="1" w:lastColumn="0" w:noHBand="0" w:noVBand="1"/>
      </w:tblPr>
      <w:tblGrid>
        <w:gridCol w:w="720"/>
        <w:gridCol w:w="3600"/>
        <w:gridCol w:w="3870"/>
      </w:tblGrid>
      <w:tr w:rsidR="00A9115B" w:rsidRPr="00255A03" w:rsidTr="00043163">
        <w:tc>
          <w:tcPr>
            <w:tcW w:w="720" w:type="dxa"/>
            <w:vMerge w:val="restart"/>
            <w:shd w:val="clear" w:color="auto" w:fill="FFFF00"/>
          </w:tcPr>
          <w:p w:rsidR="00A9115B" w:rsidRPr="00255A03" w:rsidRDefault="00A9115B" w:rsidP="003B0846">
            <w:pPr>
              <w:outlineLvl w:val="4"/>
              <w:rPr>
                <w:rFonts w:eastAsia="Arial Unicode MS"/>
                <w:b/>
                <w:color w:val="000000"/>
              </w:rPr>
            </w:pPr>
            <w:r>
              <w:rPr>
                <w:rFonts w:eastAsia="Arial Unicode MS"/>
                <w:b/>
                <w:color w:val="000000"/>
              </w:rPr>
              <w:t>♯</w:t>
            </w:r>
          </w:p>
        </w:tc>
        <w:tc>
          <w:tcPr>
            <w:tcW w:w="7470" w:type="dxa"/>
            <w:gridSpan w:val="2"/>
            <w:shd w:val="clear" w:color="auto" w:fill="FFFF00"/>
          </w:tcPr>
          <w:p w:rsidR="00A9115B" w:rsidRPr="00255A03" w:rsidRDefault="00A9115B" w:rsidP="003B0846">
            <w:pPr>
              <w:outlineLvl w:val="4"/>
              <w:rPr>
                <w:rFonts w:eastAsia="Arial Unicode MS"/>
                <w:b/>
                <w:color w:val="000000"/>
              </w:rPr>
            </w:pPr>
            <w:r w:rsidRPr="00255A03">
              <w:rPr>
                <w:rFonts w:eastAsia="Arial Unicode MS"/>
                <w:b/>
                <w:color w:val="000000"/>
              </w:rPr>
              <w:t xml:space="preserve">Removing </w:t>
            </w:r>
            <w:r>
              <w:rPr>
                <w:rFonts w:eastAsia="Arial Unicode MS"/>
                <w:b/>
                <w:color w:val="000000"/>
              </w:rPr>
              <w:t xml:space="preserve">the </w:t>
            </w:r>
            <w:r w:rsidRPr="00255A03">
              <w:rPr>
                <w:rFonts w:eastAsia="Arial Unicode MS"/>
                <w:b/>
                <w:color w:val="000000"/>
              </w:rPr>
              <w:t>Collections of Information</w:t>
            </w:r>
          </w:p>
        </w:tc>
      </w:tr>
      <w:tr w:rsidR="00A9115B" w:rsidRPr="00255A03" w:rsidTr="00043163">
        <w:tc>
          <w:tcPr>
            <w:tcW w:w="720" w:type="dxa"/>
            <w:vMerge/>
            <w:shd w:val="clear" w:color="auto" w:fill="FFFF00"/>
          </w:tcPr>
          <w:p w:rsidR="00A9115B" w:rsidRPr="00255A03" w:rsidRDefault="00A9115B" w:rsidP="003B0846">
            <w:pPr>
              <w:outlineLvl w:val="4"/>
              <w:rPr>
                <w:rFonts w:eastAsia="Arial Unicode MS"/>
                <w:b/>
                <w:color w:val="000000"/>
              </w:rPr>
            </w:pPr>
          </w:p>
        </w:tc>
        <w:tc>
          <w:tcPr>
            <w:tcW w:w="3600" w:type="dxa"/>
            <w:shd w:val="clear" w:color="auto" w:fill="FFFF00"/>
          </w:tcPr>
          <w:p w:rsidR="00A9115B" w:rsidRPr="00255A03" w:rsidRDefault="00A9115B" w:rsidP="003B0846">
            <w:pPr>
              <w:outlineLvl w:val="4"/>
              <w:rPr>
                <w:rFonts w:eastAsia="Arial Unicode MS"/>
                <w:b/>
                <w:color w:val="000000"/>
              </w:rPr>
            </w:pPr>
            <w:r w:rsidRPr="00255A03">
              <w:rPr>
                <w:rFonts w:eastAsia="Arial Unicode MS"/>
                <w:b/>
                <w:color w:val="000000"/>
              </w:rPr>
              <w:t>Maritime Industry</w:t>
            </w:r>
          </w:p>
        </w:tc>
        <w:tc>
          <w:tcPr>
            <w:tcW w:w="3870" w:type="dxa"/>
            <w:shd w:val="clear" w:color="auto" w:fill="FFFF00"/>
          </w:tcPr>
          <w:p w:rsidR="00A9115B" w:rsidRPr="00255A03" w:rsidRDefault="00A9115B" w:rsidP="003B0846">
            <w:pPr>
              <w:outlineLvl w:val="4"/>
              <w:rPr>
                <w:rFonts w:eastAsia="Arial Unicode MS"/>
                <w:b/>
                <w:color w:val="000000"/>
              </w:rPr>
            </w:pPr>
            <w:r w:rsidRPr="00255A03">
              <w:rPr>
                <w:rFonts w:eastAsia="Arial Unicode MS"/>
                <w:b/>
                <w:color w:val="000000"/>
              </w:rPr>
              <w:t>Construction Industry</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b/>
                <w:color w:val="000000"/>
              </w:rPr>
              <w:lastRenderedPageBreak/>
              <w:t>1</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 xml:space="preserve">§1915.1024(d)(2) </w:t>
            </w:r>
            <w:r w:rsidRPr="00255A03">
              <w:t>Performance Option</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§1926.1124(d)(2)</w:t>
            </w:r>
            <w:r w:rsidRPr="00255A03">
              <w:t xml:space="preserve"> Performance Option</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2</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§1915.1024(d)(3)(</w:t>
            </w:r>
            <w:proofErr w:type="spellStart"/>
            <w:r w:rsidRPr="00255A03">
              <w:rPr>
                <w:rFonts w:eastAsia="Arial Unicode MS"/>
                <w:color w:val="000000"/>
              </w:rPr>
              <w:t>i</w:t>
            </w:r>
            <w:proofErr w:type="spellEnd"/>
            <w:r w:rsidRPr="00255A03">
              <w:rPr>
                <w:rFonts w:eastAsia="Arial Unicode MS"/>
                <w:color w:val="000000"/>
              </w:rPr>
              <w:t>),(ii),&amp; (iii) Scheduled Monitoring Options</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§1926.1124(d)(3)(</w:t>
            </w:r>
            <w:proofErr w:type="spellStart"/>
            <w:r w:rsidRPr="00255A03">
              <w:rPr>
                <w:rFonts w:eastAsia="Arial Unicode MS"/>
                <w:color w:val="000000"/>
              </w:rPr>
              <w:t>i</w:t>
            </w:r>
            <w:proofErr w:type="spellEnd"/>
            <w:r w:rsidRPr="00255A03">
              <w:rPr>
                <w:rFonts w:eastAsia="Arial Unicode MS"/>
                <w:color w:val="000000"/>
              </w:rPr>
              <w:t>),(ii),&amp; (iii) Scheduled Monitoring Options</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3</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§1915.1024(d)(3)(iv),(v),&amp; (vi) Scheduled Monitoring Options</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§1926.1124(d)(3)(iv),(v),&amp; (vi) Scheduled Monitoring Options</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4</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§1915.1024(d)(4)</w:t>
            </w:r>
          </w:p>
          <w:p w:rsidR="00A9115B" w:rsidRPr="00255A03" w:rsidRDefault="00A9115B" w:rsidP="003B0846">
            <w:pPr>
              <w:outlineLvl w:val="4"/>
              <w:rPr>
                <w:rFonts w:eastAsia="Arial Unicode MS"/>
                <w:color w:val="000000"/>
              </w:rPr>
            </w:pPr>
            <w:r w:rsidRPr="00255A03">
              <w:rPr>
                <w:rFonts w:eastAsia="Arial Unicode MS"/>
                <w:color w:val="000000"/>
              </w:rPr>
              <w:t>Reassessment of Exposure</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§1926.1124(d)(4) Reassessment of Exposure</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5</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§1915.1024(d)(6)(</w:t>
            </w:r>
            <w:proofErr w:type="spellStart"/>
            <w:r w:rsidRPr="00255A03">
              <w:rPr>
                <w:rFonts w:eastAsia="Arial Unicode MS"/>
                <w:color w:val="000000"/>
              </w:rPr>
              <w:t>i</w:t>
            </w:r>
            <w:proofErr w:type="spellEnd"/>
            <w:r w:rsidRPr="00255A03">
              <w:rPr>
                <w:rFonts w:eastAsia="Arial Unicode MS"/>
                <w:color w:val="000000"/>
              </w:rPr>
              <w:t>)&amp;(ii)</w:t>
            </w:r>
          </w:p>
          <w:p w:rsidR="00A9115B" w:rsidRPr="00255A03" w:rsidRDefault="00A9115B" w:rsidP="003B0846">
            <w:pPr>
              <w:outlineLvl w:val="4"/>
              <w:rPr>
                <w:rFonts w:eastAsia="Arial Unicode MS"/>
                <w:color w:val="000000"/>
              </w:rPr>
            </w:pPr>
            <w:r w:rsidRPr="00255A03">
              <w:rPr>
                <w:rFonts w:eastAsia="Arial Unicode MS"/>
                <w:color w:val="000000"/>
              </w:rPr>
              <w:t>Employee Notification of Assessment Results</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§1926.1124(d)(6)(</w:t>
            </w:r>
            <w:proofErr w:type="spellStart"/>
            <w:r w:rsidRPr="00255A03">
              <w:rPr>
                <w:rFonts w:eastAsia="Arial Unicode MS"/>
                <w:color w:val="000000"/>
              </w:rPr>
              <w:t>i</w:t>
            </w:r>
            <w:proofErr w:type="spellEnd"/>
            <w:r w:rsidRPr="00255A03">
              <w:rPr>
                <w:rFonts w:eastAsia="Arial Unicode MS"/>
                <w:color w:val="000000"/>
              </w:rPr>
              <w:t>)&amp;(ii)</w:t>
            </w:r>
          </w:p>
          <w:p w:rsidR="00A9115B" w:rsidRPr="00255A03" w:rsidRDefault="00A9115B" w:rsidP="003B0846">
            <w:pPr>
              <w:outlineLvl w:val="4"/>
              <w:rPr>
                <w:rFonts w:eastAsia="Arial Unicode MS"/>
                <w:color w:val="000000"/>
              </w:rPr>
            </w:pPr>
            <w:r w:rsidRPr="00255A03">
              <w:rPr>
                <w:rFonts w:eastAsia="Arial Unicode MS"/>
                <w:color w:val="000000"/>
              </w:rPr>
              <w:t>Employee Notification of Assessment Results e</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6</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§1915.1024(e)(2)</w:t>
            </w:r>
          </w:p>
          <w:p w:rsidR="00A9115B" w:rsidRPr="00255A03" w:rsidRDefault="00A9115B" w:rsidP="003B0846">
            <w:pPr>
              <w:outlineLvl w:val="4"/>
              <w:rPr>
                <w:rFonts w:eastAsia="Arial Unicode MS"/>
                <w:color w:val="000000"/>
              </w:rPr>
            </w:pPr>
            <w:r w:rsidRPr="00255A03">
              <w:rPr>
                <w:rFonts w:eastAsia="Arial Unicode MS"/>
                <w:color w:val="000000"/>
              </w:rPr>
              <w:t>Regulated Areas -- Demarcation.</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§1926.1124(e</w:t>
            </w:r>
            <w:proofErr w:type="gramStart"/>
            <w:r w:rsidRPr="00255A03">
              <w:rPr>
                <w:rFonts w:eastAsia="Arial Unicode MS"/>
                <w:color w:val="000000"/>
              </w:rPr>
              <w:t>)(</w:t>
            </w:r>
            <w:proofErr w:type="gramEnd"/>
            <w:r w:rsidRPr="00255A03">
              <w:rPr>
                <w:rFonts w:eastAsia="Arial Unicode MS"/>
                <w:color w:val="000000"/>
              </w:rPr>
              <w:t>2) Competent Person.</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7</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§1915.1024(f)(1)(</w:t>
            </w:r>
            <w:proofErr w:type="spellStart"/>
            <w:r w:rsidRPr="00255A03">
              <w:rPr>
                <w:rFonts w:eastAsia="Arial Unicode MS"/>
                <w:color w:val="000000"/>
              </w:rPr>
              <w:t>i</w:t>
            </w:r>
            <w:proofErr w:type="spellEnd"/>
            <w:r w:rsidRPr="00255A03">
              <w:rPr>
                <w:rFonts w:eastAsia="Arial Unicode MS"/>
                <w:color w:val="000000"/>
              </w:rPr>
              <w:t>),(ii),&amp; (iii)</w:t>
            </w:r>
          </w:p>
          <w:p w:rsidR="00A9115B" w:rsidRPr="00255A03" w:rsidRDefault="00A9115B" w:rsidP="003B0846">
            <w:pPr>
              <w:outlineLvl w:val="4"/>
              <w:rPr>
                <w:rFonts w:eastAsia="Arial Unicode MS"/>
                <w:color w:val="000000"/>
              </w:rPr>
            </w:pPr>
            <w:r w:rsidRPr="00255A03">
              <w:rPr>
                <w:rFonts w:eastAsia="Arial Unicode MS"/>
                <w:color w:val="000000"/>
              </w:rPr>
              <w:t>Methods of Compliance—Written Exposure Control Plan</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§1926.1124(f)(1)(</w:t>
            </w:r>
            <w:proofErr w:type="spellStart"/>
            <w:r w:rsidRPr="00255A03">
              <w:rPr>
                <w:rFonts w:eastAsia="Arial Unicode MS"/>
                <w:color w:val="000000"/>
              </w:rPr>
              <w:t>i</w:t>
            </w:r>
            <w:proofErr w:type="spellEnd"/>
            <w:r w:rsidRPr="00255A03">
              <w:rPr>
                <w:rFonts w:eastAsia="Arial Unicode MS"/>
                <w:color w:val="000000"/>
              </w:rPr>
              <w:t>),(ii),&amp;(iii)</w:t>
            </w:r>
          </w:p>
          <w:p w:rsidR="00A9115B" w:rsidRPr="00255A03" w:rsidRDefault="00A9115B" w:rsidP="003B0846">
            <w:pPr>
              <w:outlineLvl w:val="4"/>
              <w:rPr>
                <w:rFonts w:eastAsia="Arial Unicode MS"/>
                <w:color w:val="000000"/>
              </w:rPr>
            </w:pPr>
            <w:r w:rsidRPr="00255A03">
              <w:rPr>
                <w:rFonts w:eastAsia="Arial Unicode MS"/>
                <w:color w:val="000000"/>
              </w:rPr>
              <w:t>Methods of Compliance—Written Exposure Control Plan.</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8</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§1915.1024(g) Respiratory Protection Program</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§1926.1124(g) Respiratory Protection Program</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9</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§1915.1024(h)(2)(v) Personal Protective Clothing and Equipment –Removal and Storage</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§1926.1124(h)(2)(v) Personal Protective Clothing and Equipment –Removal and Storage</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10</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§1915.1024(h)(3)(iii) Personal Protective Clothing and Equipment –Cleaning and Replacement</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§1926.1124(h)(3)(iii) Personal Protective Clothing and Equipment – Cleaning and Replacement</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11</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§1915.1024(j)(3) Housekeeping --Disposal</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§1926.1124(j)(3) Housekeeping --Disposal</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12</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§1915.1024(k)(1),(2),&amp;(3) Medical Surveillance</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§1926.1124(k)(1),(2),&amp;(3) Medical Surveillance</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13</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§1915.1024(k)(4) Medical Surveillance –Information Provided to the PLHCP</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§1926.1124(k)(4) Medical Surveillance–Information Provided to the PLHCP</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14</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§1915.1024(k)(5)(</w:t>
            </w:r>
            <w:proofErr w:type="spellStart"/>
            <w:r w:rsidRPr="00255A03">
              <w:rPr>
                <w:rFonts w:eastAsia="Arial Unicode MS"/>
                <w:color w:val="000000"/>
              </w:rPr>
              <w:t>i</w:t>
            </w:r>
            <w:proofErr w:type="spellEnd"/>
            <w:r w:rsidRPr="00255A03">
              <w:rPr>
                <w:rFonts w:eastAsia="Arial Unicode MS"/>
                <w:color w:val="000000"/>
              </w:rPr>
              <w:t>),(ii),&amp;(iii) Medical Surveillance –Licensed Physician’s Written Medical Report for the Employee</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§1926.1124(k)(5)(</w:t>
            </w:r>
            <w:proofErr w:type="spellStart"/>
            <w:r w:rsidRPr="00255A03">
              <w:rPr>
                <w:rFonts w:eastAsia="Arial Unicode MS"/>
                <w:color w:val="000000"/>
              </w:rPr>
              <w:t>i</w:t>
            </w:r>
            <w:proofErr w:type="spellEnd"/>
            <w:r w:rsidRPr="00255A03">
              <w:rPr>
                <w:rFonts w:eastAsia="Arial Unicode MS"/>
                <w:color w:val="000000"/>
              </w:rPr>
              <w:t>),(ii),&amp;(iii) Medical Surveillance– Licensed Physician’s Written Medical Report for the Employee</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15</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§1915.1024(k)(6) Medical Surveillance –Licensed Physician’s Written Medical Opinion for the Employer</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§1926.1124(k)(6) Medical Surveillance– Licensed Physician’s Written Medical Opinion for the Employer</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16</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§1915.1024(k)(7) Medical Surveillance –Referral to the CBD Diagnostic Center</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§1926.1124(k)(7) Medical Surveillance—Referral to the CBD Diagnostic Cente</w:t>
            </w:r>
            <w:r w:rsidR="00243317">
              <w:rPr>
                <w:rFonts w:eastAsia="Arial Unicode MS"/>
                <w:color w:val="000000"/>
              </w:rPr>
              <w:t>r</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lastRenderedPageBreak/>
              <w:t>17</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§1915.1024(l)(1) Medical Removal</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§1926.1124(l)(1) Medical Removal</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18</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§1915.1024(m)(1) Communication of hazards</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§1926.1124(m)(1) Communication of hazards</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19</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§1915.1024(m)(2) Warning Signs</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N/A</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20</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§1915.1024(m)(3) Warning labels</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§1926.1124(m)(3) Warning labels</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21</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§1915.1024(m)(4)(iv) Employee Information</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§1926.1124(m</w:t>
            </w:r>
            <w:proofErr w:type="gramStart"/>
            <w:r w:rsidRPr="00255A03">
              <w:rPr>
                <w:rFonts w:eastAsia="Arial Unicode MS"/>
                <w:color w:val="000000"/>
              </w:rPr>
              <w:t>)(</w:t>
            </w:r>
            <w:proofErr w:type="gramEnd"/>
            <w:r w:rsidRPr="00255A03">
              <w:rPr>
                <w:rFonts w:eastAsia="Arial Unicode MS"/>
                <w:color w:val="000000"/>
              </w:rPr>
              <w:t>4)(iv) Employee Information.</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22</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§1915.1024(n)(1)(</w:t>
            </w:r>
            <w:proofErr w:type="spellStart"/>
            <w:r w:rsidRPr="00255A03">
              <w:rPr>
                <w:rFonts w:eastAsia="Arial Unicode MS"/>
                <w:color w:val="000000"/>
              </w:rPr>
              <w:t>i</w:t>
            </w:r>
            <w:proofErr w:type="spellEnd"/>
            <w:r w:rsidRPr="00255A03">
              <w:rPr>
                <w:rFonts w:eastAsia="Arial Unicode MS"/>
                <w:color w:val="000000"/>
              </w:rPr>
              <w:t>),(ii),&amp;(iii) Recordkeeping –Air Monitoring Data</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§1926.1124(n)(1)(</w:t>
            </w:r>
            <w:proofErr w:type="spellStart"/>
            <w:r w:rsidRPr="00255A03">
              <w:rPr>
                <w:rFonts w:eastAsia="Arial Unicode MS"/>
                <w:color w:val="000000"/>
              </w:rPr>
              <w:t>i</w:t>
            </w:r>
            <w:proofErr w:type="spellEnd"/>
            <w:r w:rsidRPr="00255A03">
              <w:rPr>
                <w:rFonts w:eastAsia="Arial Unicode MS"/>
                <w:color w:val="000000"/>
              </w:rPr>
              <w:t>),(ii),&amp;(iii) Recordkeeping –Air Monitoring Data</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23</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§1915.1024(n)(2)(</w:t>
            </w:r>
            <w:proofErr w:type="spellStart"/>
            <w:r w:rsidRPr="00255A03">
              <w:rPr>
                <w:rFonts w:eastAsia="Arial Unicode MS"/>
                <w:color w:val="000000"/>
              </w:rPr>
              <w:t>i</w:t>
            </w:r>
            <w:proofErr w:type="spellEnd"/>
            <w:r w:rsidRPr="00255A03">
              <w:rPr>
                <w:rFonts w:eastAsia="Arial Unicode MS"/>
                <w:color w:val="000000"/>
              </w:rPr>
              <w:t>),(ii),&amp;(iii) Recordkeeping –Objective Data</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§1926.1124(n)(2)(</w:t>
            </w:r>
            <w:proofErr w:type="spellStart"/>
            <w:r w:rsidRPr="00255A03">
              <w:rPr>
                <w:rFonts w:eastAsia="Arial Unicode MS"/>
                <w:color w:val="000000"/>
              </w:rPr>
              <w:t>i</w:t>
            </w:r>
            <w:proofErr w:type="spellEnd"/>
            <w:r w:rsidRPr="00255A03">
              <w:rPr>
                <w:rFonts w:eastAsia="Arial Unicode MS"/>
                <w:color w:val="000000"/>
              </w:rPr>
              <w:t>),(ii),&amp;(iii) Recordkeeping –Objective Data</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24</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§1915.1024(n)(3)(</w:t>
            </w:r>
            <w:proofErr w:type="spellStart"/>
            <w:r w:rsidRPr="00255A03">
              <w:rPr>
                <w:rFonts w:eastAsia="Arial Unicode MS"/>
                <w:color w:val="000000"/>
              </w:rPr>
              <w:t>i</w:t>
            </w:r>
            <w:proofErr w:type="spellEnd"/>
            <w:r w:rsidRPr="00255A03">
              <w:rPr>
                <w:rFonts w:eastAsia="Arial Unicode MS"/>
                <w:color w:val="000000"/>
              </w:rPr>
              <w:t>),(ii),&amp;(iii) Recordkeeping –Medical Surveillance</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§1926.1124(n)(3)(</w:t>
            </w:r>
            <w:proofErr w:type="spellStart"/>
            <w:r w:rsidRPr="00255A03">
              <w:rPr>
                <w:rFonts w:eastAsia="Arial Unicode MS"/>
                <w:color w:val="000000"/>
              </w:rPr>
              <w:t>i</w:t>
            </w:r>
            <w:proofErr w:type="spellEnd"/>
            <w:r w:rsidRPr="00255A03">
              <w:rPr>
                <w:rFonts w:eastAsia="Arial Unicode MS"/>
                <w:color w:val="000000"/>
              </w:rPr>
              <w:t>),(ii),&amp;(iii) Recordkeeping – Medical Surveillanc</w:t>
            </w:r>
            <w:r w:rsidR="00BE4A78">
              <w:rPr>
                <w:rFonts w:eastAsia="Arial Unicode MS"/>
                <w:color w:val="000000"/>
              </w:rPr>
              <w:t>e</w:t>
            </w:r>
          </w:p>
        </w:tc>
      </w:tr>
      <w:tr w:rsidR="00A9115B" w:rsidRPr="00255A03" w:rsidTr="003B0846">
        <w:tc>
          <w:tcPr>
            <w:tcW w:w="720" w:type="dxa"/>
          </w:tcPr>
          <w:p w:rsidR="00A9115B" w:rsidRPr="00255A03" w:rsidRDefault="00A9115B" w:rsidP="003B0846">
            <w:pPr>
              <w:outlineLvl w:val="4"/>
              <w:rPr>
                <w:rFonts w:eastAsia="Arial Unicode MS"/>
                <w:color w:val="000000"/>
              </w:rPr>
            </w:pPr>
            <w:r>
              <w:rPr>
                <w:rFonts w:eastAsia="Arial Unicode MS"/>
                <w:color w:val="000000"/>
              </w:rPr>
              <w:t>25</w:t>
            </w:r>
          </w:p>
        </w:tc>
        <w:tc>
          <w:tcPr>
            <w:tcW w:w="3600" w:type="dxa"/>
          </w:tcPr>
          <w:p w:rsidR="00A9115B" w:rsidRPr="00255A03" w:rsidRDefault="00A9115B" w:rsidP="003B0846">
            <w:pPr>
              <w:outlineLvl w:val="4"/>
              <w:rPr>
                <w:rFonts w:eastAsia="Arial Unicode MS"/>
                <w:color w:val="000000"/>
              </w:rPr>
            </w:pPr>
            <w:r w:rsidRPr="00255A03">
              <w:rPr>
                <w:rFonts w:eastAsia="Arial Unicode MS"/>
                <w:color w:val="000000"/>
              </w:rPr>
              <w:t>§1915.1024(n)(4)(</w:t>
            </w:r>
            <w:proofErr w:type="spellStart"/>
            <w:r w:rsidRPr="00255A03">
              <w:rPr>
                <w:rFonts w:eastAsia="Arial Unicode MS"/>
                <w:color w:val="000000"/>
              </w:rPr>
              <w:t>i</w:t>
            </w:r>
            <w:proofErr w:type="spellEnd"/>
            <w:r w:rsidRPr="00255A03">
              <w:rPr>
                <w:rFonts w:eastAsia="Arial Unicode MS"/>
                <w:color w:val="000000"/>
              </w:rPr>
              <w:t>) &amp; (ii) Recordkeeping –Training</w:t>
            </w:r>
          </w:p>
        </w:tc>
        <w:tc>
          <w:tcPr>
            <w:tcW w:w="3870" w:type="dxa"/>
          </w:tcPr>
          <w:p w:rsidR="00A9115B" w:rsidRPr="00255A03" w:rsidRDefault="00A9115B" w:rsidP="003B0846">
            <w:pPr>
              <w:outlineLvl w:val="4"/>
              <w:rPr>
                <w:rFonts w:eastAsia="Arial Unicode MS"/>
                <w:color w:val="000000"/>
              </w:rPr>
            </w:pPr>
            <w:r w:rsidRPr="00255A03">
              <w:rPr>
                <w:rFonts w:eastAsia="Arial Unicode MS"/>
                <w:color w:val="000000"/>
              </w:rPr>
              <w:t>§1926.1124(n)(4)(</w:t>
            </w:r>
            <w:proofErr w:type="spellStart"/>
            <w:r w:rsidRPr="00255A03">
              <w:rPr>
                <w:rFonts w:eastAsia="Arial Unicode MS"/>
                <w:color w:val="000000"/>
              </w:rPr>
              <w:t>i</w:t>
            </w:r>
            <w:proofErr w:type="spellEnd"/>
            <w:r w:rsidRPr="00255A03">
              <w:rPr>
                <w:rFonts w:eastAsia="Arial Unicode MS"/>
                <w:color w:val="000000"/>
              </w:rPr>
              <w:t>) &amp; (ii) Recordkeeping – Training</w:t>
            </w:r>
          </w:p>
        </w:tc>
      </w:tr>
      <w:tr w:rsidR="00C7419F" w:rsidRPr="00255A03" w:rsidTr="003B0846">
        <w:tc>
          <w:tcPr>
            <w:tcW w:w="720" w:type="dxa"/>
            <w:shd w:val="clear" w:color="auto" w:fill="92D050"/>
          </w:tcPr>
          <w:p w:rsidR="00C7419F" w:rsidRPr="00255A03" w:rsidRDefault="00C7419F" w:rsidP="003B0846">
            <w:pPr>
              <w:outlineLvl w:val="4"/>
              <w:rPr>
                <w:rFonts w:eastAsia="Arial Unicode MS"/>
                <w:color w:val="000000"/>
              </w:rPr>
            </w:pPr>
          </w:p>
        </w:tc>
        <w:tc>
          <w:tcPr>
            <w:tcW w:w="3600" w:type="dxa"/>
            <w:shd w:val="clear" w:color="auto" w:fill="92D050"/>
          </w:tcPr>
          <w:p w:rsidR="00C7419F" w:rsidRPr="00255A03" w:rsidRDefault="00C7419F" w:rsidP="003B0846">
            <w:pPr>
              <w:outlineLvl w:val="4"/>
              <w:rPr>
                <w:rFonts w:eastAsia="Arial Unicode MS"/>
                <w:color w:val="000000"/>
              </w:rPr>
            </w:pPr>
          </w:p>
        </w:tc>
        <w:tc>
          <w:tcPr>
            <w:tcW w:w="3870" w:type="dxa"/>
            <w:shd w:val="clear" w:color="auto" w:fill="92D050"/>
          </w:tcPr>
          <w:p w:rsidR="00C7419F" w:rsidRPr="00255A03" w:rsidRDefault="00C7419F" w:rsidP="003B0846">
            <w:pPr>
              <w:outlineLvl w:val="4"/>
              <w:rPr>
                <w:rFonts w:eastAsia="Arial Unicode MS"/>
                <w:color w:val="000000"/>
              </w:rPr>
            </w:pPr>
          </w:p>
        </w:tc>
      </w:tr>
    </w:tbl>
    <w:p w:rsidR="000726BA" w:rsidRDefault="000726BA" w:rsidP="00E35242">
      <w:pPr>
        <w:pStyle w:val="BodyTextFirstIndent"/>
        <w:ind w:firstLine="0"/>
        <w:rPr>
          <w:sz w:val="24"/>
          <w:szCs w:val="24"/>
        </w:rPr>
      </w:pPr>
    </w:p>
    <w:p w:rsidR="00E35242" w:rsidRPr="00DC12A2" w:rsidRDefault="00E35242" w:rsidP="00E35242">
      <w:pPr>
        <w:pStyle w:val="BodyTextFirstIndent"/>
        <w:ind w:firstLine="0"/>
        <w:rPr>
          <w:b/>
          <w:bCs/>
          <w:sz w:val="24"/>
          <w:szCs w:val="24"/>
          <w:lang w:val="x-none"/>
        </w:rPr>
      </w:pPr>
      <w:r w:rsidRPr="00DC12A2">
        <w:rPr>
          <w:sz w:val="24"/>
          <w:szCs w:val="24"/>
          <w:lang w:val="x-none"/>
        </w:rPr>
        <w:t>Th</w:t>
      </w:r>
      <w:r w:rsidRPr="00DC12A2">
        <w:rPr>
          <w:sz w:val="24"/>
          <w:szCs w:val="24"/>
        </w:rPr>
        <w:t xml:space="preserve">e </w:t>
      </w:r>
      <w:r w:rsidR="00C7419F" w:rsidRPr="00DC12A2">
        <w:rPr>
          <w:sz w:val="24"/>
          <w:szCs w:val="24"/>
        </w:rPr>
        <w:t>proposal</w:t>
      </w:r>
      <w:r w:rsidRPr="00DC12A2">
        <w:rPr>
          <w:sz w:val="24"/>
          <w:szCs w:val="24"/>
          <w:lang w:val="x-none"/>
        </w:rPr>
        <w:t xml:space="preserve"> </w:t>
      </w:r>
      <w:r w:rsidR="00043163" w:rsidRPr="00DC12A2">
        <w:rPr>
          <w:sz w:val="24"/>
          <w:szCs w:val="24"/>
        </w:rPr>
        <w:t>does not revise the following</w:t>
      </w:r>
      <w:r w:rsidR="00043163" w:rsidRPr="00DC12A2">
        <w:rPr>
          <w:sz w:val="24"/>
          <w:szCs w:val="24"/>
          <w:lang w:val="x-none"/>
        </w:rPr>
        <w:t xml:space="preserve"> </w:t>
      </w:r>
      <w:r w:rsidRPr="00DC12A2">
        <w:rPr>
          <w:sz w:val="24"/>
          <w:szCs w:val="24"/>
          <w:lang w:val="x-none"/>
        </w:rPr>
        <w:t xml:space="preserve">collections of information </w:t>
      </w:r>
      <w:r w:rsidR="00043163" w:rsidRPr="00DC12A2">
        <w:rPr>
          <w:sz w:val="24"/>
          <w:szCs w:val="24"/>
        </w:rPr>
        <w:t>that have been approved by OMB.</w:t>
      </w:r>
      <w:r w:rsidRPr="00DC12A2">
        <w:rPr>
          <w:sz w:val="24"/>
          <w:szCs w:val="24"/>
          <w:lang w:val="x-none"/>
        </w:rPr>
        <w:t xml:space="preserve"> </w:t>
      </w:r>
    </w:p>
    <w:p w:rsidR="00E35242" w:rsidRDefault="00E35242" w:rsidP="00E35242">
      <w:pPr>
        <w:rPr>
          <w:b/>
          <w:bCs/>
        </w:rPr>
      </w:pPr>
      <w:r>
        <w:rPr>
          <w:b/>
          <w:bCs/>
        </w:rPr>
        <w:t xml:space="preserve">§1910.1024 (d) -- Exposure Assessment </w:t>
      </w:r>
    </w:p>
    <w:p w:rsidR="00E35242" w:rsidRDefault="00E35242" w:rsidP="00E35242">
      <w:pPr>
        <w:rPr>
          <w:b/>
          <w:bCs/>
        </w:rPr>
      </w:pPr>
    </w:p>
    <w:p w:rsidR="00E35242" w:rsidRDefault="00E35242" w:rsidP="00E35242">
      <w:pPr>
        <w:rPr>
          <w:b/>
          <w:bCs/>
        </w:rPr>
      </w:pPr>
      <w:r>
        <w:rPr>
          <w:b/>
          <w:bCs/>
        </w:rPr>
        <w:t>§1910.1024 (d</w:t>
      </w:r>
      <w:proofErr w:type="gramStart"/>
      <w:r>
        <w:rPr>
          <w:b/>
          <w:bCs/>
        </w:rPr>
        <w:t>)(</w:t>
      </w:r>
      <w:proofErr w:type="gramEnd"/>
      <w:r>
        <w:rPr>
          <w:b/>
          <w:bCs/>
        </w:rPr>
        <w:t xml:space="preserve">2) Performance Option. </w:t>
      </w:r>
    </w:p>
    <w:p w:rsidR="00E35242" w:rsidRDefault="00E35242" w:rsidP="00E35242">
      <w:pPr>
        <w:rPr>
          <w:b/>
          <w:bCs/>
        </w:rPr>
      </w:pPr>
      <w:r>
        <w:rPr>
          <w:b/>
          <w:bCs/>
        </w:rPr>
        <w:t xml:space="preserve">                                                                    </w:t>
      </w:r>
    </w:p>
    <w:p w:rsidR="00E35242" w:rsidRDefault="00E35242" w:rsidP="00E35242">
      <w:r>
        <w:t xml:space="preserve">(2) </w:t>
      </w:r>
      <w:r>
        <w:rPr>
          <w:u w:val="single"/>
        </w:rPr>
        <w:t>Performance option</w:t>
      </w:r>
      <w:r>
        <w:t>. The employer must assess the 8-hour TWA exposure and the 15-minute short-term exposure for each employee on the basis of any combination of air monitoring data and objective data sufficient to accurately characterize airborne exposure to beryllium.</w:t>
      </w:r>
    </w:p>
    <w:p w:rsidR="00E35242" w:rsidRDefault="00E35242" w:rsidP="00E35242">
      <w:pPr>
        <w:rPr>
          <w:b/>
          <w:bCs/>
        </w:rPr>
      </w:pPr>
    </w:p>
    <w:p w:rsidR="00E35242" w:rsidRDefault="00E35242" w:rsidP="00E35242">
      <w:r>
        <w:rPr>
          <w:i/>
          <w:iCs/>
        </w:rPr>
        <w:t>Purpose:</w:t>
      </w:r>
      <w:r>
        <w:t xml:space="preserve">  The availability of exposure data enables physicians or other licensed healthcare professionals (PLHCPs) performing medical examinations on exposed workers to be informed of the extent of an employee’s occupational exposures.  Under the performance option, the employer has the option to use any combination of objective data and air monitoring data.  Employers do not have to conduct initial exposure monitoring if they rely on objective data that would satisfy the exposure assessment requirements contained in this standard.  OSHA takes the burden for the collection of information under the scheduled option paragraph (d</w:t>
      </w:r>
      <w:proofErr w:type="gramStart"/>
      <w:r>
        <w:t>)(</w:t>
      </w:r>
      <w:proofErr w:type="gramEnd"/>
      <w:r>
        <w:t>3).</w:t>
      </w:r>
    </w:p>
    <w:p w:rsidR="00E35242" w:rsidRDefault="00E35242" w:rsidP="00E35242"/>
    <w:p w:rsidR="00E35242" w:rsidRDefault="00E35242" w:rsidP="00E35242">
      <w:pPr>
        <w:rPr>
          <w:b/>
          <w:bCs/>
        </w:rPr>
      </w:pPr>
      <w:r>
        <w:rPr>
          <w:b/>
          <w:bCs/>
        </w:rPr>
        <w:t>§1910.1024 (d</w:t>
      </w:r>
      <w:proofErr w:type="gramStart"/>
      <w:r>
        <w:rPr>
          <w:b/>
          <w:bCs/>
        </w:rPr>
        <w:t>)(</w:t>
      </w:r>
      <w:proofErr w:type="gramEnd"/>
      <w:r>
        <w:rPr>
          <w:b/>
          <w:bCs/>
        </w:rPr>
        <w:t>3)(</w:t>
      </w:r>
      <w:proofErr w:type="spellStart"/>
      <w:r>
        <w:rPr>
          <w:b/>
          <w:bCs/>
        </w:rPr>
        <w:t>i</w:t>
      </w:r>
      <w:proofErr w:type="spellEnd"/>
      <w:r>
        <w:rPr>
          <w:b/>
          <w:bCs/>
        </w:rPr>
        <w:t>), (ii) &amp; (iii) Scheduled Monitoring Option.</w:t>
      </w:r>
    </w:p>
    <w:p w:rsidR="00E35242" w:rsidRDefault="00E35242" w:rsidP="00E35242"/>
    <w:p w:rsidR="00E35242" w:rsidRDefault="00E35242" w:rsidP="00E35242">
      <w:pPr>
        <w:rPr>
          <w:i/>
          <w:iCs/>
        </w:rPr>
      </w:pPr>
      <w:r>
        <w:rPr>
          <w:i/>
          <w:iCs/>
        </w:rPr>
        <w:t xml:space="preserve">Initial Monitoring - </w:t>
      </w:r>
      <w:r w:rsidRPr="003B0846">
        <w:rPr>
          <w:iCs/>
        </w:rPr>
        <w:t>§1910.1024 (d</w:t>
      </w:r>
      <w:proofErr w:type="gramStart"/>
      <w:r w:rsidRPr="003B0846">
        <w:rPr>
          <w:iCs/>
        </w:rPr>
        <w:t>)(</w:t>
      </w:r>
      <w:proofErr w:type="gramEnd"/>
      <w:r w:rsidRPr="003B0846">
        <w:rPr>
          <w:iCs/>
        </w:rPr>
        <w:t>3)(</w:t>
      </w:r>
      <w:proofErr w:type="spellStart"/>
      <w:r w:rsidRPr="003B0846">
        <w:rPr>
          <w:iCs/>
        </w:rPr>
        <w:t>i</w:t>
      </w:r>
      <w:proofErr w:type="spellEnd"/>
      <w:r w:rsidRPr="003B0846">
        <w:rPr>
          <w:iCs/>
        </w:rPr>
        <w:t>), (ii) &amp; (iii).</w:t>
      </w:r>
      <w:r>
        <w:rPr>
          <w:i/>
          <w:iCs/>
        </w:rPr>
        <w:t xml:space="preserve"> </w:t>
      </w:r>
    </w:p>
    <w:p w:rsidR="00E35242" w:rsidRDefault="00E35242" w:rsidP="00E35242"/>
    <w:p w:rsidR="00E35242" w:rsidRDefault="00E35242" w:rsidP="00E35242">
      <w:r>
        <w:lastRenderedPageBreak/>
        <w:t>(</w:t>
      </w:r>
      <w:proofErr w:type="spellStart"/>
      <w:r>
        <w:t>i</w:t>
      </w:r>
      <w:proofErr w:type="spellEnd"/>
      <w:r>
        <w:t xml:space="preserve">)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rsidR="00E35242" w:rsidRDefault="00E35242" w:rsidP="00E35242"/>
    <w:p w:rsidR="00E35242" w:rsidRDefault="00E35242" w:rsidP="00E35242">
      <w:r>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00E35242" w:rsidRDefault="00E35242" w:rsidP="00E35242"/>
    <w:p w:rsidR="00E35242" w:rsidRDefault="00E35242" w:rsidP="00E35242">
      <w:r>
        <w:t>(iii) Where several employees perform the same tasks on the same shift and in the same work area, the employer may sample a representative fraction of these employees in order to meet the requirements of paragraph (d</w:t>
      </w:r>
      <w:proofErr w:type="gramStart"/>
      <w:r>
        <w:t>)(</w:t>
      </w:r>
      <w:proofErr w:type="gramEnd"/>
      <w:r>
        <w:t xml:space="preserve">3). In representative sampling, the employer must sample the employee(s) expected to have the highest airborne exposure to beryllium. </w:t>
      </w:r>
    </w:p>
    <w:p w:rsidR="00E35242" w:rsidRDefault="00E35242" w:rsidP="00E35242"/>
    <w:p w:rsidR="00E35242" w:rsidRDefault="00E35242" w:rsidP="00E35242">
      <w:pPr>
        <w:pStyle w:val="BodyTextFirstIndent"/>
        <w:ind w:firstLine="0"/>
      </w:pPr>
      <w:r>
        <w:rPr>
          <w:i/>
          <w:iCs/>
          <w:sz w:val="24"/>
          <w:szCs w:val="24"/>
        </w:rPr>
        <w:t>Purpose</w:t>
      </w:r>
      <w:r>
        <w:rPr>
          <w:sz w:val="24"/>
          <w:szCs w:val="24"/>
        </w:rPr>
        <w:t>:</w:t>
      </w:r>
      <w:r>
        <w:t xml:space="preserve">  </w:t>
      </w:r>
      <w:r>
        <w:rPr>
          <w:sz w:val="24"/>
          <w:szCs w:val="24"/>
          <w:lang w:val="x-none"/>
        </w:rPr>
        <w:t xml:space="preserve">The purpose of </w:t>
      </w:r>
      <w:r>
        <w:rPr>
          <w:sz w:val="24"/>
          <w:szCs w:val="24"/>
        </w:rPr>
        <w:t xml:space="preserve">initial </w:t>
      </w:r>
      <w:r>
        <w:rPr>
          <w:sz w:val="24"/>
          <w:szCs w:val="24"/>
          <w:lang w:val="x-none"/>
        </w:rPr>
        <w:t xml:space="preserve">exposure </w:t>
      </w:r>
      <w:r>
        <w:rPr>
          <w:sz w:val="24"/>
          <w:szCs w:val="24"/>
        </w:rPr>
        <w:t>assessment is to determine</w:t>
      </w:r>
      <w:r>
        <w:rPr>
          <w:sz w:val="24"/>
          <w:szCs w:val="24"/>
          <w:lang w:val="x-none"/>
        </w:rPr>
        <w:t xml:space="preserve"> the extent and degree of </w:t>
      </w:r>
      <w:r>
        <w:rPr>
          <w:sz w:val="24"/>
          <w:szCs w:val="24"/>
        </w:rPr>
        <w:t xml:space="preserve">beryllium </w:t>
      </w:r>
      <w:r>
        <w:rPr>
          <w:sz w:val="24"/>
          <w:szCs w:val="24"/>
          <w:lang w:val="x-none"/>
        </w:rPr>
        <w:t>exposure at the worksite; identification and prevention of employee overexposure; identification of the sources of exposure to beryllium; collection of exposure data so that the employer can select the proper control methods to be used; and evaluation of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w:t>
      </w:r>
      <w:r>
        <w:rPr>
          <w:sz w:val="24"/>
          <w:szCs w:val="24"/>
        </w:rPr>
        <w:t>.</w:t>
      </w:r>
      <w:r>
        <w:rPr>
          <w:sz w:val="24"/>
          <w:szCs w:val="24"/>
          <w:lang w:val="x-none"/>
        </w:rPr>
        <w:t>S</w:t>
      </w:r>
      <w:r>
        <w:rPr>
          <w:sz w:val="24"/>
          <w:szCs w:val="24"/>
        </w:rPr>
        <w:t>.</w:t>
      </w:r>
      <w:r>
        <w:rPr>
          <w:sz w:val="24"/>
          <w:szCs w:val="24"/>
          <w:lang w:val="x-none"/>
        </w:rPr>
        <w:t>C</w:t>
      </w:r>
      <w:r>
        <w:rPr>
          <w:sz w:val="24"/>
          <w:szCs w:val="24"/>
        </w:rPr>
        <w:t>.</w:t>
      </w:r>
      <w:r>
        <w:rPr>
          <w:sz w:val="24"/>
          <w:szCs w:val="24"/>
          <w:lang w:val="x-none"/>
        </w:rPr>
        <w:t xml:space="preserve"> § 657(c)(3)). In addition, the availability of exposure data enables physicians or</w:t>
      </w:r>
      <w:r>
        <w:rPr>
          <w:sz w:val="24"/>
          <w:szCs w:val="24"/>
        </w:rPr>
        <w:t xml:space="preserve"> other</w:t>
      </w:r>
      <w:r>
        <w:rPr>
          <w:sz w:val="24"/>
          <w:szCs w:val="24"/>
          <w:lang w:val="x-none"/>
        </w:rPr>
        <w:t xml:space="preserve"> licensed healthcare professionals (PLHCPs) performing medical examinations to be informed of the extent of an employee’s occupational exposures.</w:t>
      </w:r>
    </w:p>
    <w:p w:rsidR="00E35242" w:rsidRDefault="00E35242" w:rsidP="00E35242">
      <w:pPr>
        <w:pStyle w:val="BodyTextFirstIndent"/>
        <w:ind w:firstLine="0"/>
        <w:rPr>
          <w:sz w:val="24"/>
          <w:szCs w:val="24"/>
          <w:lang w:val="x-none"/>
        </w:rPr>
      </w:pPr>
      <w:r>
        <w:rPr>
          <w:i/>
          <w:iCs/>
          <w:sz w:val="24"/>
          <w:szCs w:val="24"/>
        </w:rPr>
        <w:t>Periodic Monitoring:</w:t>
      </w:r>
      <w:r>
        <w:rPr>
          <w:b/>
          <w:bCs/>
          <w:sz w:val="24"/>
          <w:szCs w:val="24"/>
        </w:rPr>
        <w:t xml:space="preserve">  </w:t>
      </w:r>
      <w:r>
        <w:rPr>
          <w:b/>
          <w:bCs/>
          <w:sz w:val="24"/>
          <w:szCs w:val="24"/>
          <w:lang w:val="x-none"/>
        </w:rPr>
        <w:t>§</w:t>
      </w:r>
      <w:r>
        <w:rPr>
          <w:sz w:val="24"/>
          <w:szCs w:val="24"/>
          <w:lang w:val="x-none"/>
        </w:rPr>
        <w:t>1910.1024 (d</w:t>
      </w:r>
      <w:proofErr w:type="gramStart"/>
      <w:r>
        <w:rPr>
          <w:sz w:val="24"/>
          <w:szCs w:val="24"/>
          <w:lang w:val="x-none"/>
        </w:rPr>
        <w:t>)(</w:t>
      </w:r>
      <w:proofErr w:type="gramEnd"/>
      <w:r>
        <w:rPr>
          <w:sz w:val="24"/>
          <w:szCs w:val="24"/>
          <w:lang w:val="x-none"/>
        </w:rPr>
        <w:t>3)(v), (vi), (vii) &amp; (viii).</w:t>
      </w:r>
    </w:p>
    <w:p w:rsidR="00E35242" w:rsidRDefault="00E35242" w:rsidP="00E35242">
      <w:r>
        <w:t>(v) Where the most recent exposure monitoring indicates that airborne exposure is at or above the action level but at or below the TWA PEL, the employer must repeat such monitoring within six months of the most recent monitoring.</w:t>
      </w:r>
    </w:p>
    <w:p w:rsidR="00E35242" w:rsidRDefault="00E35242" w:rsidP="00E35242"/>
    <w:p w:rsidR="00E35242" w:rsidRDefault="00E35242" w:rsidP="00E35242">
      <w:r>
        <w:t>(vi) Where the most recent exposure monitoring indicates that airborne exposure is above the TWA PEL, the employer must repeat such monitoring within three months of the most recent 8-hour TWA exposure monitoring.</w:t>
      </w:r>
    </w:p>
    <w:p w:rsidR="00E35242" w:rsidRDefault="00E35242" w:rsidP="00E35242"/>
    <w:p w:rsidR="00E35242" w:rsidRDefault="00E35242" w:rsidP="00E35242">
      <w:r>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rsidR="00E35242" w:rsidRDefault="00E35242" w:rsidP="00E35242"/>
    <w:p w:rsidR="00E35242" w:rsidRDefault="00E35242" w:rsidP="00E35242">
      <w:pPr>
        <w:pStyle w:val="BodyTextFirstIndent"/>
        <w:ind w:firstLine="0"/>
        <w:rPr>
          <w:sz w:val="24"/>
          <w:szCs w:val="24"/>
        </w:rPr>
      </w:pPr>
      <w:r>
        <w:rPr>
          <w:sz w:val="24"/>
          <w:szCs w:val="24"/>
          <w:lang w:val="x-none"/>
        </w:rPr>
        <w:t>(viii) Where the most recent exposure monitoring indicates that airborne exposure is above the STEL, the employer must repeat such monitoring within three months of the most recent short-</w:t>
      </w:r>
      <w:r>
        <w:rPr>
          <w:sz w:val="24"/>
          <w:szCs w:val="24"/>
          <w:lang w:val="x-none"/>
        </w:rPr>
        <w:lastRenderedPageBreak/>
        <w:t xml:space="preserve">term exposure monitoring until two consecutive measurements, taken </w:t>
      </w:r>
      <w:r>
        <w:rPr>
          <w:sz w:val="24"/>
          <w:szCs w:val="24"/>
        </w:rPr>
        <w:t>seven</w:t>
      </w:r>
      <w:r>
        <w:rPr>
          <w:sz w:val="24"/>
          <w:szCs w:val="24"/>
          <w:lang w:val="x-none"/>
        </w:rPr>
        <w:t xml:space="preserve"> or more days apart, are below the STEL, at which time the employer may discontinue short-term exposure monitoring for those employees whose exposure is represented by such monitoring, except as otherwise provided in paragraph (d)(4) of this standard.</w:t>
      </w:r>
    </w:p>
    <w:p w:rsidR="00E35242" w:rsidRDefault="00E35242" w:rsidP="00E35242">
      <w:pPr>
        <w:pStyle w:val="BodyTextFirstIndent"/>
        <w:ind w:firstLine="0"/>
        <w:rPr>
          <w:sz w:val="24"/>
          <w:szCs w:val="24"/>
          <w:lang w:val="x-none"/>
        </w:rPr>
      </w:pPr>
      <w:r>
        <w:rPr>
          <w:i/>
          <w:iCs/>
          <w:sz w:val="24"/>
          <w:szCs w:val="24"/>
          <w:lang w:val="x-none"/>
        </w:rPr>
        <w:t>Purpose:</w:t>
      </w:r>
      <w:r>
        <w:rPr>
          <w:sz w:val="24"/>
          <w:szCs w:val="24"/>
          <w:lang w:val="x-none"/>
        </w:rPr>
        <w:t>  OSHA recognizes that exposures in the workplace may fluctuate.  Where initial exposure monitoring demonstrates exposures at or above the action level</w:t>
      </w:r>
      <w:r>
        <w:rPr>
          <w:sz w:val="24"/>
          <w:szCs w:val="24"/>
        </w:rPr>
        <w:t xml:space="preserve"> and at or below the TWA PEL</w:t>
      </w:r>
      <w:r>
        <w:rPr>
          <w:sz w:val="24"/>
          <w:szCs w:val="24"/>
          <w:lang w:val="x-none"/>
        </w:rPr>
        <w:t xml:space="preserve">, periodic monitoring helps employers </w:t>
      </w:r>
      <w:r>
        <w:rPr>
          <w:sz w:val="24"/>
          <w:szCs w:val="24"/>
        </w:rPr>
        <w:t>identify changes in the workplace and</w:t>
      </w:r>
      <w:r>
        <w:rPr>
          <w:sz w:val="24"/>
          <w:szCs w:val="24"/>
          <w:lang w:val="x-none"/>
        </w:rPr>
        <w:t xml:space="preserve"> ensure that </w:t>
      </w:r>
      <w:r>
        <w:rPr>
          <w:sz w:val="24"/>
          <w:szCs w:val="24"/>
        </w:rPr>
        <w:t>workers</w:t>
      </w:r>
      <w:r>
        <w:rPr>
          <w:sz w:val="24"/>
          <w:szCs w:val="24"/>
          <w:lang w:val="x-none"/>
        </w:rPr>
        <w:t xml:space="preserve"> do not experience exposures that are higher than expected, and facilitates the </w:t>
      </w:r>
      <w:r>
        <w:rPr>
          <w:sz w:val="24"/>
          <w:szCs w:val="24"/>
        </w:rPr>
        <w:t>identification and</w:t>
      </w:r>
      <w:r>
        <w:rPr>
          <w:sz w:val="24"/>
          <w:szCs w:val="24"/>
          <w:lang w:val="x-none"/>
        </w:rPr>
        <w:t xml:space="preserve"> use of additional control measures where necessary.  In addition, periodic monitoring reminds </w:t>
      </w:r>
      <w:r>
        <w:rPr>
          <w:sz w:val="24"/>
          <w:szCs w:val="24"/>
        </w:rPr>
        <w:t>worker</w:t>
      </w:r>
      <w:r>
        <w:rPr>
          <w:sz w:val="24"/>
          <w:szCs w:val="24"/>
          <w:lang w:val="x-none"/>
        </w:rPr>
        <w:t>s and employers of the continued need to protect against the hazards associated with beryllium exposure.  </w:t>
      </w:r>
    </w:p>
    <w:p w:rsidR="00E35242" w:rsidRDefault="00E35242" w:rsidP="00E35242">
      <w:pPr>
        <w:spacing w:before="100" w:beforeAutospacing="1" w:after="100" w:afterAutospacing="1"/>
      </w:pPr>
      <w:r>
        <w:rPr>
          <w:b/>
          <w:bCs/>
        </w:rPr>
        <w:t>§1910.1024 (d</w:t>
      </w:r>
      <w:proofErr w:type="gramStart"/>
      <w:r>
        <w:rPr>
          <w:b/>
          <w:bCs/>
        </w:rPr>
        <w:t>)(</w:t>
      </w:r>
      <w:proofErr w:type="gramEnd"/>
      <w:r>
        <w:rPr>
          <w:b/>
          <w:bCs/>
        </w:rPr>
        <w:t>4) --  Reassessment of Exposure.</w:t>
      </w:r>
    </w:p>
    <w:p w:rsidR="00E35242" w:rsidRDefault="00E35242" w:rsidP="00E35242">
      <w:r>
        <w:t>(4)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E35242" w:rsidRDefault="00E35242" w:rsidP="00E35242"/>
    <w:p w:rsidR="00E35242" w:rsidRDefault="00E35242" w:rsidP="00E35242">
      <w:pPr>
        <w:pStyle w:val="BodyTextFirstIndent"/>
        <w:ind w:firstLine="0"/>
        <w:rPr>
          <w:b/>
          <w:bCs/>
          <w:sz w:val="24"/>
          <w:szCs w:val="24"/>
          <w:lang w:val="x-none"/>
        </w:rPr>
      </w:pPr>
      <w:r>
        <w:rPr>
          <w:i/>
          <w:iCs/>
          <w:sz w:val="24"/>
          <w:szCs w:val="24"/>
          <w:lang w:val="x-none"/>
        </w:rPr>
        <w:t>Purpose:</w:t>
      </w:r>
      <w:r>
        <w:rPr>
          <w:sz w:val="24"/>
          <w:szCs w:val="24"/>
          <w:lang w:val="x-none"/>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t>
      </w:r>
      <w:r>
        <w:rPr>
          <w:sz w:val="24"/>
          <w:szCs w:val="24"/>
        </w:rPr>
        <w:t>workers</w:t>
      </w:r>
      <w:r>
        <w:rPr>
          <w:sz w:val="24"/>
          <w:szCs w:val="24"/>
          <w:lang w:val="x-none"/>
        </w:rPr>
        <w:t xml:space="preserve">.  On the other hand, additional monitoring is not required simply because a change occurs, if the change </w:t>
      </w:r>
      <w:r>
        <w:rPr>
          <w:sz w:val="24"/>
          <w:szCs w:val="24"/>
        </w:rPr>
        <w:t>could</w:t>
      </w:r>
      <w:r>
        <w:rPr>
          <w:sz w:val="24"/>
          <w:szCs w:val="24"/>
          <w:lang w:val="x-none"/>
        </w:rPr>
        <w:t xml:space="preserve"> not reasonably </w:t>
      </w:r>
      <w:r>
        <w:rPr>
          <w:sz w:val="24"/>
          <w:szCs w:val="24"/>
        </w:rPr>
        <w:t xml:space="preserve">be </w:t>
      </w:r>
      <w:r>
        <w:rPr>
          <w:sz w:val="24"/>
          <w:szCs w:val="24"/>
          <w:lang w:val="x-none"/>
        </w:rPr>
        <w:t>expected to result in new or additional exposures to beryllium.</w:t>
      </w:r>
    </w:p>
    <w:p w:rsidR="00E35242" w:rsidRDefault="00E35242" w:rsidP="00E35242">
      <w:pPr>
        <w:rPr>
          <w:b/>
          <w:bCs/>
        </w:rPr>
      </w:pPr>
      <w:r>
        <w:rPr>
          <w:b/>
          <w:bCs/>
        </w:rPr>
        <w:t>§1910.1024 (d</w:t>
      </w:r>
      <w:proofErr w:type="gramStart"/>
      <w:r>
        <w:rPr>
          <w:b/>
          <w:bCs/>
        </w:rPr>
        <w:t>)(</w:t>
      </w:r>
      <w:proofErr w:type="gramEnd"/>
      <w:r>
        <w:rPr>
          <w:b/>
          <w:bCs/>
        </w:rPr>
        <w:t>6)(</w:t>
      </w:r>
      <w:proofErr w:type="spellStart"/>
      <w:r>
        <w:rPr>
          <w:b/>
          <w:bCs/>
        </w:rPr>
        <w:t>i</w:t>
      </w:r>
      <w:proofErr w:type="spellEnd"/>
      <w:r>
        <w:rPr>
          <w:b/>
          <w:bCs/>
        </w:rPr>
        <w:t>) &amp; (ii)</w:t>
      </w:r>
      <w:r>
        <w:t xml:space="preserve">  </w:t>
      </w:r>
      <w:r>
        <w:rPr>
          <w:b/>
          <w:bCs/>
        </w:rPr>
        <w:t>Employee Notification of Assessment Results.</w:t>
      </w:r>
    </w:p>
    <w:p w:rsidR="00E35242" w:rsidRDefault="00E35242" w:rsidP="00E35242">
      <w:pPr>
        <w:rPr>
          <w:b/>
          <w:bCs/>
        </w:rPr>
      </w:pPr>
    </w:p>
    <w:p w:rsidR="00E35242" w:rsidRDefault="00E35242" w:rsidP="00E35242">
      <w:r>
        <w:t>(</w:t>
      </w:r>
      <w:proofErr w:type="spellStart"/>
      <w:r>
        <w:t>i</w:t>
      </w:r>
      <w:proofErr w:type="spellEnd"/>
      <w:r>
        <w:t xml:space="preserve">)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rsidR="00E35242" w:rsidRDefault="00E35242" w:rsidP="00E35242"/>
    <w:p w:rsidR="00E35242" w:rsidRDefault="00E35242" w:rsidP="00E35242">
      <w:r>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00E35242" w:rsidRDefault="00E35242" w:rsidP="00E35242"/>
    <w:p w:rsidR="00E35242" w:rsidRDefault="00E35242" w:rsidP="00E35242">
      <w:pPr>
        <w:pStyle w:val="BodyTextFirstIndent"/>
        <w:ind w:firstLine="0"/>
        <w:rPr>
          <w:sz w:val="24"/>
          <w:szCs w:val="24"/>
          <w:lang w:val="x-none"/>
        </w:rPr>
      </w:pPr>
      <w:r>
        <w:rPr>
          <w:i/>
          <w:iCs/>
          <w:sz w:val="24"/>
          <w:szCs w:val="24"/>
          <w:lang w:val="x-none"/>
        </w:rPr>
        <w:t xml:space="preserve">Purpose:  </w:t>
      </w:r>
      <w:r>
        <w:rPr>
          <w:sz w:val="24"/>
          <w:szCs w:val="24"/>
          <w:lang w:val="x-none"/>
        </w:rPr>
        <w:t xml:space="preserve">Notifying </w:t>
      </w:r>
      <w:r>
        <w:rPr>
          <w:sz w:val="24"/>
          <w:szCs w:val="24"/>
        </w:rPr>
        <w:t>worker</w:t>
      </w:r>
      <w:r>
        <w:rPr>
          <w:sz w:val="24"/>
          <w:szCs w:val="24"/>
          <w:lang w:val="x-none"/>
        </w:rPr>
        <w:t xml:space="preserve">s of their exposures allows them to know if the employer is required to make medical surveillance available to them and can permit and encourage them to be more proactive in working safely to control their own exposures through better work practices and more active participation in safety programs.  The time allowed for notification is consistent with </w:t>
      </w:r>
      <w:r>
        <w:rPr>
          <w:sz w:val="24"/>
          <w:szCs w:val="24"/>
          <w:lang w:val="x-none"/>
        </w:rPr>
        <w:lastRenderedPageBreak/>
        <w:t xml:space="preserve">the harmonized notification times established for a number of health standards applicable to general industry. </w:t>
      </w:r>
    </w:p>
    <w:p w:rsidR="00E35242" w:rsidRDefault="00E35242" w:rsidP="00E35242">
      <w:pPr>
        <w:rPr>
          <w:b/>
          <w:bCs/>
        </w:rPr>
      </w:pPr>
      <w:r>
        <w:rPr>
          <w:b/>
          <w:bCs/>
        </w:rPr>
        <w:t>§1910.1024 (e</w:t>
      </w:r>
      <w:proofErr w:type="gramStart"/>
      <w:r>
        <w:rPr>
          <w:b/>
          <w:bCs/>
        </w:rPr>
        <w:t>)(</w:t>
      </w:r>
      <w:proofErr w:type="gramEnd"/>
      <w:r>
        <w:rPr>
          <w:b/>
          <w:bCs/>
        </w:rPr>
        <w:t>2)(</w:t>
      </w:r>
      <w:proofErr w:type="spellStart"/>
      <w:r>
        <w:rPr>
          <w:b/>
          <w:bCs/>
        </w:rPr>
        <w:t>i</w:t>
      </w:r>
      <w:proofErr w:type="spellEnd"/>
      <w:r>
        <w:rPr>
          <w:b/>
          <w:bCs/>
        </w:rPr>
        <w:t xml:space="preserve">) &amp; (ii) Demarcation of Beryllium Work Areas and Regulated Areas -- </w:t>
      </w:r>
    </w:p>
    <w:p w:rsidR="00E35242" w:rsidRDefault="00E35242" w:rsidP="00E35242">
      <w:pPr>
        <w:rPr>
          <w:b/>
          <w:bCs/>
          <w:u w:val="single"/>
        </w:rPr>
      </w:pPr>
    </w:p>
    <w:p w:rsidR="00E35242" w:rsidRDefault="00E35242" w:rsidP="00E35242"/>
    <w:p w:rsidR="00E35242" w:rsidRDefault="00E35242" w:rsidP="00E35242">
      <w:r>
        <w:t xml:space="preserve">(2) </w:t>
      </w:r>
      <w:r>
        <w:rPr>
          <w:u w:val="single"/>
        </w:rPr>
        <w:t>Demarcation</w:t>
      </w:r>
      <w:r>
        <w:t>. (</w:t>
      </w:r>
      <w:proofErr w:type="spellStart"/>
      <w:r>
        <w:t>i</w:t>
      </w:r>
      <w:proofErr w:type="spellEnd"/>
      <w:r>
        <w:t>) The employer must identify each beryllium work area through signs or any other methods that adequately establish and inform each employee of the boundaries of each beryllium work area.</w:t>
      </w:r>
    </w:p>
    <w:p w:rsidR="00E35242" w:rsidRDefault="00E35242" w:rsidP="00E35242"/>
    <w:p w:rsidR="00E35242" w:rsidRDefault="00E35242" w:rsidP="00E35242">
      <w:r>
        <w:t>(ii) The employer must identify each regulated area in accordance with paragraph (m</w:t>
      </w:r>
      <w:proofErr w:type="gramStart"/>
      <w:r>
        <w:t>)(</w:t>
      </w:r>
      <w:proofErr w:type="gramEnd"/>
      <w:r>
        <w:t>2) of this standard.</w:t>
      </w:r>
    </w:p>
    <w:p w:rsidR="00E35242" w:rsidRDefault="00E35242" w:rsidP="00E35242">
      <w:pPr>
        <w:ind w:firstLine="720"/>
      </w:pPr>
    </w:p>
    <w:p w:rsidR="00E35242" w:rsidRDefault="00E35242" w:rsidP="00E35242">
      <w:pPr>
        <w:pStyle w:val="BodyTextFirstIndent"/>
        <w:ind w:firstLine="0"/>
        <w:rPr>
          <w:sz w:val="24"/>
          <w:szCs w:val="24"/>
          <w:lang w:val="x-none"/>
        </w:rPr>
      </w:pPr>
      <w:r>
        <w:rPr>
          <w:i/>
          <w:iCs/>
          <w:sz w:val="24"/>
          <w:szCs w:val="24"/>
          <w:lang w:val="x-none"/>
        </w:rPr>
        <w:t>Purpose:</w:t>
      </w:r>
      <w:r>
        <w:rPr>
          <w:sz w:val="24"/>
          <w:szCs w:val="24"/>
          <w:lang w:val="x-none"/>
        </w:rPr>
        <w:t xml:space="preserve">  </w:t>
      </w:r>
      <w:r>
        <w:rPr>
          <w:sz w:val="24"/>
          <w:szCs w:val="24"/>
        </w:rPr>
        <w:t xml:space="preserve">The purpose of a beryllium work area is to inform employees of where a beryllium process or operation can potentially result in airborne exposure , regardless of the exposure level, or dermal contact.  </w:t>
      </w:r>
      <w:r>
        <w:rPr>
          <w:sz w:val="24"/>
          <w:szCs w:val="24"/>
          <w:lang w:val="x-none"/>
        </w:rPr>
        <w:t xml:space="preserve">The purpose of a regulated area is to ensure that the employer makes </w:t>
      </w:r>
      <w:r>
        <w:rPr>
          <w:sz w:val="24"/>
          <w:szCs w:val="24"/>
        </w:rPr>
        <w:t>worker</w:t>
      </w:r>
      <w:r>
        <w:rPr>
          <w:sz w:val="24"/>
          <w:szCs w:val="24"/>
          <w:lang w:val="x-none"/>
        </w:rPr>
        <w:t xml:space="preserve">s aware of the presence of beryllium at levels above the PEL, to limit exposure to as few </w:t>
      </w:r>
      <w:r>
        <w:rPr>
          <w:sz w:val="24"/>
          <w:szCs w:val="24"/>
        </w:rPr>
        <w:t>worker</w:t>
      </w:r>
      <w:r>
        <w:rPr>
          <w:sz w:val="24"/>
          <w:szCs w:val="24"/>
          <w:lang w:val="x-none"/>
        </w:rPr>
        <w:t>s as possible</w:t>
      </w:r>
      <w:r>
        <w:rPr>
          <w:sz w:val="24"/>
          <w:szCs w:val="24"/>
        </w:rPr>
        <w:t>, and to remind employees that personal protective equipment (PPE) is required</w:t>
      </w:r>
      <w:r>
        <w:rPr>
          <w:sz w:val="24"/>
          <w:szCs w:val="24"/>
          <w:lang w:val="x-none"/>
        </w:rPr>
        <w:t xml:space="preserve">.  Establishing a regulated area  </w:t>
      </w:r>
      <w:r>
        <w:rPr>
          <w:sz w:val="24"/>
          <w:szCs w:val="24"/>
        </w:rPr>
        <w:t xml:space="preserve">or written exposure control plan can help to </w:t>
      </w:r>
      <w:r>
        <w:rPr>
          <w:sz w:val="24"/>
          <w:szCs w:val="24"/>
          <w:lang w:val="x-none"/>
        </w:rPr>
        <w:t>minimiz</w:t>
      </w:r>
      <w:r>
        <w:rPr>
          <w:sz w:val="24"/>
          <w:szCs w:val="24"/>
        </w:rPr>
        <w:t>e</w:t>
      </w:r>
      <w:r>
        <w:rPr>
          <w:sz w:val="24"/>
          <w:szCs w:val="24"/>
          <w:lang w:val="x-none"/>
        </w:rPr>
        <w:t xml:space="preserve"> exposure to </w:t>
      </w:r>
      <w:r>
        <w:rPr>
          <w:sz w:val="24"/>
          <w:szCs w:val="24"/>
        </w:rPr>
        <w:t>worker</w:t>
      </w:r>
      <w:r>
        <w:rPr>
          <w:sz w:val="24"/>
          <w:szCs w:val="24"/>
          <w:lang w:val="x-none"/>
        </w:rPr>
        <w:t xml:space="preserve">s not directly involved in operations that generate beryllium.  </w:t>
      </w:r>
    </w:p>
    <w:p w:rsidR="00E35242" w:rsidRDefault="00E35242" w:rsidP="00E35242">
      <w:pPr>
        <w:pStyle w:val="BodyTextFirstIndent"/>
        <w:ind w:firstLine="0"/>
      </w:pPr>
      <w:r>
        <w:rPr>
          <w:sz w:val="24"/>
          <w:szCs w:val="24"/>
        </w:rPr>
        <w:t xml:space="preserve">The information collections associated with the beryllium work area requirement are performance oriented because the employer may choose how to establish boundaries for each beryllium work area and restrict access. </w:t>
      </w:r>
    </w:p>
    <w:p w:rsidR="00E35242" w:rsidRDefault="00FF6027" w:rsidP="00E35242">
      <w:pPr>
        <w:pStyle w:val="BodyTextFirstIndent"/>
        <w:ind w:firstLine="0"/>
        <w:rPr>
          <w:sz w:val="24"/>
          <w:szCs w:val="24"/>
        </w:rPr>
      </w:pPr>
      <w:r>
        <w:rPr>
          <w:sz w:val="24"/>
          <w:szCs w:val="24"/>
        </w:rPr>
        <w:t>P</w:t>
      </w:r>
      <w:r w:rsidR="00E35242">
        <w:rPr>
          <w:sz w:val="24"/>
          <w:szCs w:val="24"/>
        </w:rPr>
        <w:t xml:space="preserve">aragraph (m)(2) includes a requirement to post a sign regarding the hazards in regulated areas and is addressed with the discussion of paragraph (m) later in this section. </w:t>
      </w:r>
    </w:p>
    <w:p w:rsidR="00E35242" w:rsidRDefault="00E35242" w:rsidP="00E35242">
      <w:pPr>
        <w:rPr>
          <w:b/>
          <w:bCs/>
          <w:i/>
          <w:iCs/>
          <w:u w:val="single"/>
        </w:rPr>
      </w:pPr>
      <w:r>
        <w:rPr>
          <w:b/>
          <w:bCs/>
        </w:rPr>
        <w:t>§1910.1024 (f</w:t>
      </w:r>
      <w:proofErr w:type="gramStart"/>
      <w:r>
        <w:rPr>
          <w:b/>
          <w:bCs/>
        </w:rPr>
        <w:t>)(</w:t>
      </w:r>
      <w:proofErr w:type="gramEnd"/>
      <w:r>
        <w:rPr>
          <w:b/>
          <w:bCs/>
        </w:rPr>
        <w:t>1)(</w:t>
      </w:r>
      <w:proofErr w:type="spellStart"/>
      <w:r>
        <w:rPr>
          <w:b/>
          <w:bCs/>
        </w:rPr>
        <w:t>i</w:t>
      </w:r>
      <w:proofErr w:type="spellEnd"/>
      <w:r>
        <w:rPr>
          <w:b/>
          <w:bCs/>
        </w:rPr>
        <w:t>), (ii), &amp;(iii) -- Methods of Compliance -- Written Exposure Control Plan.</w:t>
      </w:r>
    </w:p>
    <w:p w:rsidR="00E35242" w:rsidRDefault="00E35242" w:rsidP="00E35242"/>
    <w:p w:rsidR="00E35242" w:rsidRDefault="00E35242" w:rsidP="00E35242">
      <w:pPr>
        <w:rPr>
          <w:i/>
          <w:iCs/>
        </w:rPr>
      </w:pPr>
    </w:p>
    <w:p w:rsidR="00E35242" w:rsidRDefault="00E35242" w:rsidP="00E35242">
      <w:r>
        <w:t>(</w:t>
      </w:r>
      <w:proofErr w:type="spellStart"/>
      <w:r>
        <w:t>i</w:t>
      </w:r>
      <w:proofErr w:type="spellEnd"/>
      <w:r>
        <w:t>) The employer must establish, implement, and maintain a written exposure control plan, which must contain:</w:t>
      </w:r>
    </w:p>
    <w:p w:rsidR="00E35242" w:rsidRDefault="00E35242" w:rsidP="00E35242">
      <w:pPr>
        <w:ind w:left="720"/>
      </w:pPr>
      <w:r>
        <w:t>(A) A list of operations and job titles reasonably expected to involve airborne exposure to or dermal contact with beryllium;</w:t>
      </w:r>
    </w:p>
    <w:p w:rsidR="00E35242" w:rsidRDefault="00E35242" w:rsidP="00E35242">
      <w:pPr>
        <w:ind w:left="720"/>
      </w:pPr>
      <w:r>
        <w:t xml:space="preserve">(B) A list of operations and job titles reasonably expected to involve airborne exposure at or above the action level; </w:t>
      </w:r>
    </w:p>
    <w:p w:rsidR="00E35242" w:rsidRDefault="00E35242" w:rsidP="00E35242">
      <w:pPr>
        <w:ind w:left="720"/>
      </w:pPr>
      <w:r>
        <w:t>(C) A list of operations and job titles reasonably expected to involve airborne exposure above the TWA PEL or STEL;</w:t>
      </w:r>
    </w:p>
    <w:p w:rsidR="00E35242" w:rsidRDefault="00E35242" w:rsidP="00E35242">
      <w:pPr>
        <w:ind w:left="720"/>
      </w:pPr>
      <w:r>
        <w:t>(D) Procedures for minimizing cross-contamination, including preventing the transfer of beryllium between surfaces, equipment, clothing, materials, and articles within beryllium work areas;</w:t>
      </w:r>
    </w:p>
    <w:p w:rsidR="00E35242" w:rsidRDefault="00E35242" w:rsidP="00E35242">
      <w:pPr>
        <w:ind w:firstLine="720"/>
      </w:pPr>
      <w:r>
        <w:t xml:space="preserve">(E) Procedures for keeping surfaces as free as practicable of beryllium; </w:t>
      </w:r>
    </w:p>
    <w:p w:rsidR="00E35242" w:rsidRDefault="00E35242" w:rsidP="003B0846">
      <w:pPr>
        <w:ind w:left="720"/>
      </w:pPr>
      <w:r>
        <w:t xml:space="preserve">(F) Procedures for minimizing the migration of beryllium from beryllium work areas to other locations within or outside the workplace; </w:t>
      </w:r>
    </w:p>
    <w:p w:rsidR="00E35242" w:rsidRDefault="00E35242" w:rsidP="00E35242">
      <w:pPr>
        <w:ind w:left="720"/>
      </w:pPr>
      <w:r>
        <w:lastRenderedPageBreak/>
        <w:t>(G) A list of engineering controls, work practices, and respiratory protection required by paragraph (f</w:t>
      </w:r>
      <w:proofErr w:type="gramStart"/>
      <w:r>
        <w:t>)(</w:t>
      </w:r>
      <w:proofErr w:type="gramEnd"/>
      <w:r>
        <w:t xml:space="preserve">2) of this standard; </w:t>
      </w:r>
    </w:p>
    <w:p w:rsidR="00E35242" w:rsidRDefault="00E35242" w:rsidP="00E35242">
      <w:pPr>
        <w:ind w:left="720"/>
      </w:pPr>
      <w:r>
        <w:t>(H) A list of personal protective clothing and equipment required by paragraph (h) of this standard; and</w:t>
      </w:r>
    </w:p>
    <w:p w:rsidR="00E35242" w:rsidRDefault="00E35242" w:rsidP="00E35242">
      <w:pPr>
        <w:ind w:left="720"/>
      </w:pPr>
      <w:r>
        <w:t xml:space="preserve">(I) Procedures for removing, laundering, storing, cleaning, repairing, and disposing of beryllium-contaminated personal protective clothing and equipment, including respirators. </w:t>
      </w:r>
    </w:p>
    <w:p w:rsidR="00E35242" w:rsidRDefault="00E35242" w:rsidP="00E35242"/>
    <w:p w:rsidR="00E35242" w:rsidRDefault="00E35242" w:rsidP="00E35242">
      <w:r>
        <w:t>(ii) The employer must review and evaluate the effectiveness of each written exposure control plan at least annually and update it, as necessary, when:</w:t>
      </w:r>
    </w:p>
    <w:p w:rsidR="00E35242" w:rsidRDefault="00E35242" w:rsidP="00E35242">
      <w:pPr>
        <w:ind w:left="720"/>
      </w:pPr>
      <w:r>
        <w:t xml:space="preserve">(A) Any change in production processes, materials, equipment, personnel, work practices, or control methods results, or can reasonably be expected to result, in new or additional airborne exposure to beryllium;  </w:t>
      </w:r>
    </w:p>
    <w:p w:rsidR="00E35242" w:rsidRDefault="00E35242" w:rsidP="00E35242">
      <w:pPr>
        <w:ind w:left="720"/>
      </w:pPr>
      <w:r>
        <w:t xml:space="preserve">(B) The employer becomes aware that an employee has a beryllium-related health effect or shows signs or symptoms associated with airborne exposure to or dermal contact with beryllium; or </w:t>
      </w:r>
    </w:p>
    <w:p w:rsidR="00E35242" w:rsidRDefault="00E35242" w:rsidP="00E35242">
      <w:pPr>
        <w:ind w:left="720"/>
      </w:pPr>
      <w:r>
        <w:t>(C) The employer has any reason to believe that new or additional airborne exposure is occurring or will occur.</w:t>
      </w:r>
    </w:p>
    <w:p w:rsidR="00E35242" w:rsidRDefault="00E35242" w:rsidP="00E35242"/>
    <w:p w:rsidR="00E35242" w:rsidRDefault="00E35242" w:rsidP="00E35242">
      <w:r>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00E35242" w:rsidRDefault="00E35242" w:rsidP="00E35242">
      <w:pPr>
        <w:ind w:firstLine="720"/>
      </w:pPr>
    </w:p>
    <w:p w:rsidR="00E35242" w:rsidRDefault="00E35242" w:rsidP="00E35242"/>
    <w:p w:rsidR="00E35242" w:rsidRDefault="00E35242" w:rsidP="00E35242">
      <w:pPr>
        <w:pStyle w:val="BodyTextFirstIndent"/>
        <w:ind w:firstLine="0"/>
        <w:rPr>
          <w:b/>
          <w:bCs/>
          <w:lang w:val="x-none"/>
        </w:rPr>
      </w:pPr>
      <w:r>
        <w:rPr>
          <w:i/>
          <w:iCs/>
          <w:sz w:val="24"/>
          <w:szCs w:val="24"/>
          <w:lang w:val="x-none"/>
        </w:rPr>
        <w:t xml:space="preserve">Purpose:  </w:t>
      </w:r>
      <w:r>
        <w:rPr>
          <w:sz w:val="24"/>
          <w:szCs w:val="24"/>
          <w:lang w:val="x-none"/>
        </w:rPr>
        <w:t xml:space="preserve">The </w:t>
      </w:r>
      <w:r>
        <w:rPr>
          <w:sz w:val="24"/>
          <w:szCs w:val="24"/>
        </w:rPr>
        <w:t>purpose of the written exposure control plan is to</w:t>
      </w:r>
      <w:r>
        <w:rPr>
          <w:sz w:val="24"/>
          <w:szCs w:val="24"/>
          <w:lang w:val="x-none"/>
        </w:rPr>
        <w:t xml:space="preserve"> help reduce skin contact with beryllium, which can lead to beryllium sensitization, and airborne exposure, which can lead to beryllium sensitization, CBD, and lung cancer</w:t>
      </w:r>
      <w:r>
        <w:rPr>
          <w:sz w:val="24"/>
          <w:szCs w:val="24"/>
        </w:rPr>
        <w:t xml:space="preserve">, by </w:t>
      </w:r>
      <w:r>
        <w:rPr>
          <w:sz w:val="24"/>
          <w:szCs w:val="24"/>
          <w:lang w:val="x-none"/>
        </w:rPr>
        <w:t>restrict</w:t>
      </w:r>
      <w:r>
        <w:rPr>
          <w:sz w:val="24"/>
          <w:szCs w:val="24"/>
        </w:rPr>
        <w:t>ing</w:t>
      </w:r>
      <w:r>
        <w:rPr>
          <w:sz w:val="24"/>
          <w:szCs w:val="24"/>
          <w:lang w:val="x-none"/>
        </w:rPr>
        <w:t xml:space="preserve"> access to work areas, where necessary, to limit exposures </w:t>
      </w:r>
      <w:r>
        <w:rPr>
          <w:sz w:val="24"/>
          <w:szCs w:val="24"/>
        </w:rPr>
        <w:t xml:space="preserve">and cross contamination.  </w:t>
      </w:r>
    </w:p>
    <w:p w:rsidR="00E35242" w:rsidRDefault="00E35242" w:rsidP="00E35242">
      <w:pPr>
        <w:spacing w:line="480" w:lineRule="auto"/>
      </w:pPr>
      <w:r>
        <w:rPr>
          <w:b/>
          <w:bCs/>
        </w:rPr>
        <w:t>§1910.1024 (g</w:t>
      </w:r>
      <w:proofErr w:type="gramStart"/>
      <w:r>
        <w:rPr>
          <w:b/>
          <w:bCs/>
        </w:rPr>
        <w:t>)(</w:t>
      </w:r>
      <w:proofErr w:type="gramEnd"/>
      <w:r>
        <w:rPr>
          <w:b/>
          <w:bCs/>
        </w:rPr>
        <w:t>2) -- Respiratory protection program</w:t>
      </w:r>
      <w:r>
        <w:t>.</w:t>
      </w:r>
    </w:p>
    <w:p w:rsidR="00E35242" w:rsidRDefault="00E35242" w:rsidP="00E35242">
      <w:pPr>
        <w:rPr>
          <w:b/>
          <w:bCs/>
        </w:rPr>
      </w:pPr>
      <w:r>
        <w:t>Where this standard requires an employer to provide respiratory protection, the selection and use of such respiratory protection must be in accordance with the Respiratory Protection standard (29 CFR 1910.134).</w:t>
      </w:r>
    </w:p>
    <w:p w:rsidR="00E35242" w:rsidRDefault="00E35242" w:rsidP="00E35242"/>
    <w:p w:rsidR="00E35242" w:rsidRDefault="00E35242" w:rsidP="00E35242">
      <w:r>
        <w:rPr>
          <w:i/>
          <w:iCs/>
          <w:u w:val="single"/>
        </w:rPr>
        <w:t>Purpose</w:t>
      </w:r>
      <w:r>
        <w:rPr>
          <w:i/>
          <w:iCs/>
        </w:rPr>
        <w:t>:</w:t>
      </w:r>
      <w:r>
        <w:t xml:space="preserve">  The purpose of this requirement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
    <w:p w:rsidR="00E35242" w:rsidRDefault="00E35242" w:rsidP="00E35242"/>
    <w:p w:rsidR="00E35242" w:rsidRDefault="00E35242" w:rsidP="00E35242">
      <w:pPr>
        <w:rPr>
          <w:b/>
          <w:bCs/>
        </w:rPr>
      </w:pPr>
      <w:r>
        <w:rPr>
          <w:b/>
          <w:bCs/>
        </w:rPr>
        <w:t>§1910.1024 (h</w:t>
      </w:r>
      <w:proofErr w:type="gramStart"/>
      <w:r>
        <w:rPr>
          <w:b/>
          <w:bCs/>
        </w:rPr>
        <w:t>)(</w:t>
      </w:r>
      <w:proofErr w:type="gramEnd"/>
      <w:r>
        <w:rPr>
          <w:b/>
          <w:bCs/>
        </w:rPr>
        <w:t xml:space="preserve">2)(v)-- Personal Protective Clothing and Equipment -- Removal and Storage. </w:t>
      </w:r>
    </w:p>
    <w:p w:rsidR="00E35242" w:rsidRDefault="00E35242" w:rsidP="00E35242"/>
    <w:p w:rsidR="00E35242" w:rsidRDefault="00E35242" w:rsidP="00E35242">
      <w:r>
        <w:t>(v)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proofErr w:type="gramStart"/>
      <w:r>
        <w:t>)(</w:t>
      </w:r>
      <w:proofErr w:type="gramEnd"/>
      <w:r>
        <w:t xml:space="preserve">3) of this standard and the HCS (29 CFR 1910.1200). </w:t>
      </w:r>
    </w:p>
    <w:p w:rsidR="00E35242" w:rsidRDefault="00E35242" w:rsidP="00E35242">
      <w:pPr>
        <w:pStyle w:val="iReg"/>
      </w:pPr>
      <w:r>
        <w:rPr>
          <w:i/>
          <w:iCs/>
          <w:u w:val="single"/>
        </w:rPr>
        <w:t>Purpose</w:t>
      </w:r>
      <w:r>
        <w:t xml:space="preserve">:  This provision is intended reduce exposure to beryllium for employees handling beryllium-contaminated materials by requiring these materials to be stored in sealed bags or other closed containers, and by informing those handling the containers that they contain beryllium through labels describing the potentially harmful effects of beryllium exposure.  </w:t>
      </w:r>
    </w:p>
    <w:p w:rsidR="00E35242" w:rsidRDefault="00E35242" w:rsidP="00E35242">
      <w:pPr>
        <w:pStyle w:val="iReg"/>
      </w:pPr>
      <w:r>
        <w:t>OSHA has determined the labeling requirements in paragraph (m</w:t>
      </w:r>
      <w:proofErr w:type="gramStart"/>
      <w:r>
        <w:t>)(</w:t>
      </w:r>
      <w:proofErr w:type="gramEnd"/>
      <w:r>
        <w:t>3) are not collections of information since the standard provides specific language for the labels.  Information originally supplied by the Federal government to employers for the purpose of disclosing information to employees is excluded from the definition of a “collection of information.” (5 CFR 1320.3(c</w:t>
      </w:r>
      <w:proofErr w:type="gramStart"/>
      <w:r>
        <w:t>)(</w:t>
      </w:r>
      <w:proofErr w:type="gramEnd"/>
      <w:r>
        <w:t>2), "</w:t>
      </w:r>
      <w:r>
        <w:rPr>
          <w:i/>
          <w:iCs/>
        </w:rPr>
        <w:t>Controlling paperwork burden on the public”</w:t>
      </w:r>
      <w:r>
        <w:t>).</w:t>
      </w:r>
    </w:p>
    <w:p w:rsidR="00E35242" w:rsidRDefault="00E35242" w:rsidP="00E35242">
      <w:pPr>
        <w:rPr>
          <w:b/>
          <w:bCs/>
        </w:rPr>
      </w:pPr>
      <w:r>
        <w:rPr>
          <w:b/>
          <w:bCs/>
        </w:rPr>
        <w:t>§1910.1024 (h</w:t>
      </w:r>
      <w:proofErr w:type="gramStart"/>
      <w:r>
        <w:rPr>
          <w:b/>
          <w:bCs/>
        </w:rPr>
        <w:t>)(</w:t>
      </w:r>
      <w:proofErr w:type="gramEnd"/>
      <w:r>
        <w:rPr>
          <w:b/>
          <w:bCs/>
        </w:rPr>
        <w:t xml:space="preserve">3)(iii) --Personal Protective Clothing and Equipment -- Cleaning and Replacement. </w:t>
      </w:r>
    </w:p>
    <w:p w:rsidR="00E35242" w:rsidRDefault="00E35242" w:rsidP="00E35242">
      <w:pPr>
        <w:rPr>
          <w:b/>
          <w:bCs/>
        </w:rPr>
      </w:pPr>
      <w:r>
        <w:rPr>
          <w:b/>
          <w:bCs/>
        </w:rPr>
        <w:t> </w:t>
      </w:r>
    </w:p>
    <w:p w:rsidR="00E35242" w:rsidRDefault="00E35242" w:rsidP="00E35242">
      <w:pPr>
        <w:pStyle w:val="iReg"/>
        <w:rPr>
          <w:b/>
          <w:bCs/>
        </w:rPr>
      </w:pPr>
      <w:r>
        <w:t>(3)(iii) 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00E35242" w:rsidRDefault="00E35242" w:rsidP="00E35242">
      <w:pPr>
        <w:pStyle w:val="iReg"/>
      </w:pPr>
      <w:r>
        <w:rPr>
          <w:i/>
          <w:iCs/>
          <w:u w:val="single"/>
        </w:rPr>
        <w:t>Purpose</w:t>
      </w:r>
      <w:r>
        <w:t>:  This provision is intended reduce exposure to beryllium for employees handling beryllium-contaminated materials by providing employers and employees handling these materials the information necessary to protect employees from beryllium exposure.</w:t>
      </w:r>
    </w:p>
    <w:p w:rsidR="00E35242" w:rsidRDefault="00E35242" w:rsidP="00E35242">
      <w:pPr>
        <w:pStyle w:val="iReg"/>
      </w:pPr>
      <w:r>
        <w:rPr>
          <w:b/>
          <w:bCs/>
        </w:rPr>
        <w:t>§1910.1024 (j</w:t>
      </w:r>
      <w:proofErr w:type="gramStart"/>
      <w:r>
        <w:rPr>
          <w:b/>
          <w:bCs/>
        </w:rPr>
        <w:t>)(</w:t>
      </w:r>
      <w:proofErr w:type="gramEnd"/>
      <w:r>
        <w:rPr>
          <w:b/>
          <w:bCs/>
        </w:rPr>
        <w:t>3)(</w:t>
      </w:r>
      <w:proofErr w:type="spellStart"/>
      <w:r>
        <w:rPr>
          <w:b/>
          <w:bCs/>
        </w:rPr>
        <w:t>i</w:t>
      </w:r>
      <w:proofErr w:type="spellEnd"/>
      <w:r>
        <w:rPr>
          <w:b/>
          <w:bCs/>
        </w:rPr>
        <w:t>), (ii)</w:t>
      </w:r>
      <w:r>
        <w:t xml:space="preserve">— </w:t>
      </w:r>
      <w:r>
        <w:rPr>
          <w:b/>
          <w:bCs/>
        </w:rPr>
        <w:t>Housekeeping — Disposal.</w:t>
      </w:r>
    </w:p>
    <w:p w:rsidR="00E35242" w:rsidRDefault="00E35242" w:rsidP="00E35242"/>
    <w:p w:rsidR="00E35242" w:rsidRDefault="00E35242" w:rsidP="00E35242">
      <w:pPr>
        <w:rPr>
          <w:i/>
          <w:iCs/>
        </w:rPr>
      </w:pPr>
      <w:r>
        <w:t xml:space="preserve">(3)  </w:t>
      </w:r>
      <w:r>
        <w:rPr>
          <w:u w:val="single"/>
        </w:rPr>
        <w:t>Disposal</w:t>
      </w:r>
      <w:r>
        <w:t>. The employer must ensure that:</w:t>
      </w:r>
    </w:p>
    <w:p w:rsidR="00E35242" w:rsidRDefault="00E35242" w:rsidP="00E35242">
      <w:pPr>
        <w:spacing w:after="120"/>
      </w:pPr>
    </w:p>
    <w:p w:rsidR="00E35242" w:rsidRDefault="00E35242" w:rsidP="00E35242">
      <w:pPr>
        <w:spacing w:after="120"/>
      </w:pPr>
      <w:r>
        <w:t>(</w:t>
      </w:r>
      <w:proofErr w:type="spellStart"/>
      <w:r>
        <w:t>i</w:t>
      </w:r>
      <w:proofErr w:type="spellEnd"/>
      <w:r>
        <w:t>)  Materials designated for disposal that contain or are contaminated with beryllium are disposed of in sealed, impermeable enclosures, such as bags or containers, that are labeled in accordance with paragraph (m)(3) of this standard; and</w:t>
      </w:r>
    </w:p>
    <w:p w:rsidR="00E35242" w:rsidRDefault="00E35242" w:rsidP="00E35242">
      <w:r>
        <w:t>(ii)  Materials designated for recycling that contain or are contaminated with beryllium are cleaned to be as free as practicable of surface beryllium contamination and labeled in accordance with paragraph (m)(3) of this standard, or placed in sealed, impermeable enclosures, such as bags or containers, that are labeled in accordance with paragraph (m)(3) of this standard.</w:t>
      </w:r>
    </w:p>
    <w:p w:rsidR="00E35242" w:rsidRDefault="00E35242" w:rsidP="00E35242">
      <w:pPr>
        <w:rPr>
          <w:i/>
          <w:iCs/>
        </w:rPr>
      </w:pPr>
    </w:p>
    <w:p w:rsidR="00E35242" w:rsidRDefault="00E35242" w:rsidP="00E35242">
      <w:pPr>
        <w:rPr>
          <w:i/>
          <w:iCs/>
        </w:rPr>
      </w:pPr>
    </w:p>
    <w:p w:rsidR="00E35242" w:rsidRDefault="00E35242" w:rsidP="00E35242">
      <w:pPr>
        <w:pStyle w:val="iReg"/>
      </w:pPr>
      <w:r>
        <w:rPr>
          <w:i/>
          <w:iCs/>
          <w:u w:val="single"/>
        </w:rPr>
        <w:t>Purpose</w:t>
      </w:r>
      <w:r>
        <w:t xml:space="preserve">:  This provision is intended to reduce exposure to beryllium for employees handling beryllium-contaminated materials by requiring these materials to be stored in sealed containers, </w:t>
      </w:r>
      <w:r>
        <w:lastRenderedPageBreak/>
        <w:t>and warn employers and employees handling the containers of the potentially harmful effects of the beryllium inside those containers to facilitate proper handling and disposal of that material.</w:t>
      </w:r>
    </w:p>
    <w:p w:rsidR="00E35242" w:rsidRDefault="00E35242" w:rsidP="00E35242">
      <w:pPr>
        <w:pStyle w:val="iReg"/>
      </w:pPr>
    </w:p>
    <w:p w:rsidR="00E35242" w:rsidRDefault="00E35242" w:rsidP="00E35242">
      <w:pPr>
        <w:pStyle w:val="BodyTextFirstIndent"/>
        <w:ind w:firstLine="0"/>
        <w:rPr>
          <w:sz w:val="24"/>
          <w:szCs w:val="24"/>
        </w:rPr>
      </w:pPr>
      <w:r>
        <w:rPr>
          <w:sz w:val="24"/>
          <w:szCs w:val="24"/>
          <w:lang w:val="x-none"/>
        </w:rPr>
        <w:t xml:space="preserve">OSHA is not taking burden hours or costs for the </w:t>
      </w:r>
      <w:r>
        <w:rPr>
          <w:sz w:val="24"/>
          <w:szCs w:val="24"/>
        </w:rPr>
        <w:t>housekeeping</w:t>
      </w:r>
      <w:r>
        <w:rPr>
          <w:sz w:val="24"/>
          <w:szCs w:val="24"/>
          <w:lang w:val="x-none"/>
        </w:rPr>
        <w:t xml:space="preserve"> provisions under Items 12 </w:t>
      </w:r>
      <w:r>
        <w:rPr>
          <w:sz w:val="24"/>
          <w:szCs w:val="24"/>
        </w:rPr>
        <w:t>or</w:t>
      </w:r>
      <w:r>
        <w:rPr>
          <w:sz w:val="24"/>
          <w:szCs w:val="24"/>
          <w:lang w:val="x-none"/>
        </w:rPr>
        <w:t xml:space="preserve"> 13 of this Supporting Statemen</w:t>
      </w:r>
      <w:r>
        <w:rPr>
          <w:sz w:val="24"/>
          <w:szCs w:val="24"/>
        </w:rPr>
        <w:t>t.  Because paragraph (m</w:t>
      </w:r>
      <w:proofErr w:type="gramStart"/>
      <w:r>
        <w:rPr>
          <w:sz w:val="24"/>
          <w:szCs w:val="24"/>
        </w:rPr>
        <w:t>)(</w:t>
      </w:r>
      <w:proofErr w:type="gramEnd"/>
      <w:r>
        <w:rPr>
          <w:sz w:val="24"/>
          <w:szCs w:val="24"/>
        </w:rPr>
        <w:t>3)</w:t>
      </w:r>
      <w:r>
        <w:rPr>
          <w:sz w:val="24"/>
          <w:szCs w:val="24"/>
          <w:lang w:val="x-none"/>
        </w:rPr>
        <w:t xml:space="preserve"> provide</w:t>
      </w:r>
      <w:r w:rsidR="00FF6027">
        <w:rPr>
          <w:sz w:val="24"/>
          <w:szCs w:val="24"/>
        </w:rPr>
        <w:t>s</w:t>
      </w:r>
      <w:r>
        <w:rPr>
          <w:sz w:val="24"/>
          <w:szCs w:val="24"/>
          <w:lang w:val="x-none"/>
        </w:rPr>
        <w:t xml:space="preserve"> specific language for the required </w:t>
      </w:r>
      <w:r>
        <w:rPr>
          <w:sz w:val="24"/>
          <w:szCs w:val="24"/>
        </w:rPr>
        <w:t>warning</w:t>
      </w:r>
      <w:r>
        <w:rPr>
          <w:sz w:val="24"/>
          <w:szCs w:val="24"/>
          <w:lang w:val="x-none"/>
        </w:rPr>
        <w:t>, the</w:t>
      </w:r>
      <w:r>
        <w:rPr>
          <w:sz w:val="24"/>
          <w:szCs w:val="24"/>
        </w:rPr>
        <w:t xml:space="preserve">y are not collections of information </w:t>
      </w:r>
      <w:r>
        <w:rPr>
          <w:sz w:val="24"/>
          <w:szCs w:val="24"/>
          <w:lang w:val="x-none"/>
        </w:rPr>
        <w:t xml:space="preserve">under 5 CFR 1320.3(c)(2) (“Controlling paperwork burden on the public”) </w:t>
      </w:r>
      <w:r>
        <w:rPr>
          <w:sz w:val="24"/>
          <w:szCs w:val="24"/>
        </w:rPr>
        <w:t xml:space="preserve">and the </w:t>
      </w:r>
      <w:r>
        <w:rPr>
          <w:sz w:val="24"/>
          <w:szCs w:val="24"/>
          <w:lang w:val="x-none"/>
        </w:rPr>
        <w:t xml:space="preserve">Agency is exempted from </w:t>
      </w:r>
      <w:r>
        <w:rPr>
          <w:sz w:val="24"/>
          <w:szCs w:val="24"/>
        </w:rPr>
        <w:t xml:space="preserve">taking </w:t>
      </w:r>
      <w:r>
        <w:rPr>
          <w:sz w:val="24"/>
          <w:szCs w:val="24"/>
          <w:lang w:val="x-none"/>
        </w:rPr>
        <w:t>burden hours and costs of this provision.</w:t>
      </w:r>
    </w:p>
    <w:p w:rsidR="00E35242" w:rsidRDefault="00E35242" w:rsidP="00E35242">
      <w:pPr>
        <w:rPr>
          <w:b/>
          <w:bCs/>
        </w:rPr>
      </w:pPr>
      <w:r>
        <w:rPr>
          <w:b/>
          <w:bCs/>
        </w:rPr>
        <w:t>§1910.1024 (k</w:t>
      </w:r>
      <w:proofErr w:type="gramStart"/>
      <w:r>
        <w:rPr>
          <w:b/>
          <w:bCs/>
        </w:rPr>
        <w:t>)(</w:t>
      </w:r>
      <w:proofErr w:type="gramEnd"/>
      <w:r>
        <w:rPr>
          <w:b/>
          <w:bCs/>
        </w:rPr>
        <w:t xml:space="preserve">1), (2), and (3) -- Medical Surveillance. </w:t>
      </w:r>
    </w:p>
    <w:p w:rsidR="00E35242" w:rsidRDefault="00E35242" w:rsidP="00E35242">
      <w:pPr>
        <w:rPr>
          <w:b/>
          <w:bCs/>
        </w:rPr>
      </w:pPr>
    </w:p>
    <w:p w:rsidR="00E35242" w:rsidRDefault="00E35242" w:rsidP="00E35242">
      <w:pPr>
        <w:pStyle w:val="iReg"/>
      </w:pPr>
      <w:r>
        <w:rPr>
          <w:b/>
          <w:bCs/>
        </w:rPr>
        <w:t>(1)  General.</w:t>
      </w:r>
      <w:r>
        <w:t xml:space="preserve"> </w:t>
      </w:r>
    </w:p>
    <w:p w:rsidR="00E35242" w:rsidRDefault="00E35242" w:rsidP="00E35242">
      <w:pPr>
        <w:rPr>
          <w:i/>
          <w:iCs/>
          <w:u w:val="single"/>
        </w:rPr>
      </w:pPr>
      <w:r>
        <w:t>(</w:t>
      </w:r>
      <w:proofErr w:type="spellStart"/>
      <w:r>
        <w:t>i</w:t>
      </w:r>
      <w:proofErr w:type="spellEnd"/>
      <w:r>
        <w:t>) The employer must make medical surveillance required by this paragraph available at no cost to the employee, and at a reasonable time and place, to each employee:</w:t>
      </w:r>
    </w:p>
    <w:p w:rsidR="00E35242" w:rsidRDefault="00E35242" w:rsidP="00E35242">
      <w:pPr>
        <w:ind w:left="720"/>
      </w:pPr>
      <w:r>
        <w:t xml:space="preserve">(A) Who is or is reasonably expected to be exposed at or above the action level for more than 30 days per year; </w:t>
      </w:r>
    </w:p>
    <w:p w:rsidR="00E35242" w:rsidRDefault="00E35242" w:rsidP="00E35242">
      <w:pPr>
        <w:ind w:firstLine="720"/>
      </w:pPr>
      <w:r>
        <w:t xml:space="preserve">(B) Who shows signs or symptoms of CBD or other beryllium-related health </w:t>
      </w:r>
      <w:proofErr w:type="gramStart"/>
      <w:r>
        <w:t>effects;</w:t>
      </w:r>
      <w:proofErr w:type="gramEnd"/>
      <w:r>
        <w:t xml:space="preserve"> </w:t>
      </w:r>
    </w:p>
    <w:p w:rsidR="00E35242" w:rsidRDefault="00E35242" w:rsidP="00E35242">
      <w:pPr>
        <w:ind w:firstLine="720"/>
      </w:pPr>
      <w:r>
        <w:t>(C) Who is exposed to beryllium during an emergency; or</w:t>
      </w:r>
    </w:p>
    <w:p w:rsidR="00E35242" w:rsidRDefault="00E35242" w:rsidP="00E35242">
      <w:pPr>
        <w:ind w:left="720"/>
      </w:pPr>
      <w:r>
        <w:t>(D) Whose most recent written medical opinion required by paragraph (k</w:t>
      </w:r>
      <w:proofErr w:type="gramStart"/>
      <w:r>
        <w:t>)(</w:t>
      </w:r>
      <w:proofErr w:type="gramEnd"/>
      <w:r>
        <w:t>6) or (k)(7) recommends periodic medical surveillance.</w:t>
      </w:r>
    </w:p>
    <w:p w:rsidR="00E35242" w:rsidRDefault="00E35242" w:rsidP="00E35242">
      <w:r>
        <w:t>(ii) The employer must ensure that all medical examinations and procedures required by this standard are performed by, or under the direction of, a licensed physician.</w:t>
      </w:r>
    </w:p>
    <w:p w:rsidR="00E35242" w:rsidRDefault="00E35242" w:rsidP="00E35242">
      <w:pPr>
        <w:pStyle w:val="iReg"/>
      </w:pPr>
    </w:p>
    <w:p w:rsidR="00E35242" w:rsidRDefault="00E35242" w:rsidP="00E35242">
      <w:pPr>
        <w:pStyle w:val="iReg"/>
      </w:pPr>
      <w:r>
        <w:rPr>
          <w:b/>
          <w:bCs/>
        </w:rPr>
        <w:t>(2)  Frequency.</w:t>
      </w:r>
      <w:r>
        <w:t xml:space="preserve"> </w:t>
      </w:r>
    </w:p>
    <w:p w:rsidR="00E35242" w:rsidRDefault="00E35242" w:rsidP="00E35242">
      <w:r>
        <w:t>The employer must provide a medical examination:</w:t>
      </w:r>
    </w:p>
    <w:p w:rsidR="00E35242" w:rsidRDefault="00E35242" w:rsidP="00E35242"/>
    <w:p w:rsidR="00E35242" w:rsidRDefault="00E35242" w:rsidP="00E35242">
      <w:r>
        <w:t>(</w:t>
      </w:r>
      <w:proofErr w:type="spellStart"/>
      <w:r>
        <w:t>i</w:t>
      </w:r>
      <w:proofErr w:type="spellEnd"/>
      <w:r>
        <w:t xml:space="preserve">) Within 30 days after determining that: </w:t>
      </w:r>
    </w:p>
    <w:p w:rsidR="00E35242" w:rsidRDefault="00E35242" w:rsidP="00E35242">
      <w:pPr>
        <w:ind w:left="720"/>
      </w:pPr>
      <w:r>
        <w:t>(A) An employee meets the criteria of paragraph (k</w:t>
      </w:r>
      <w:proofErr w:type="gramStart"/>
      <w:r>
        <w:t>)(</w:t>
      </w:r>
      <w:proofErr w:type="gramEnd"/>
      <w:r>
        <w:t>1)(</w:t>
      </w:r>
      <w:proofErr w:type="spellStart"/>
      <w:r>
        <w:t>i</w:t>
      </w:r>
      <w:proofErr w:type="spellEnd"/>
      <w:r>
        <w:t>)(A), unless the employee has received a medical examination, provided in accordance with this standard, within the last two years; or</w:t>
      </w:r>
    </w:p>
    <w:p w:rsidR="00E35242" w:rsidRDefault="00E35242" w:rsidP="00E35242">
      <w:pPr>
        <w:ind w:firstLine="720"/>
      </w:pPr>
      <w:r>
        <w:t>(B) An employee meets the criteria of paragraph (k</w:t>
      </w:r>
      <w:proofErr w:type="gramStart"/>
      <w:r>
        <w:t>)(</w:t>
      </w:r>
      <w:proofErr w:type="gramEnd"/>
      <w:r>
        <w:t>1)(</w:t>
      </w:r>
      <w:proofErr w:type="spellStart"/>
      <w:r>
        <w:t>i</w:t>
      </w:r>
      <w:proofErr w:type="spellEnd"/>
      <w:r>
        <w:t>)(B) or (C).</w:t>
      </w:r>
    </w:p>
    <w:p w:rsidR="00E35242" w:rsidRDefault="00E35242" w:rsidP="00E35242"/>
    <w:p w:rsidR="00E35242" w:rsidRDefault="00E35242" w:rsidP="00E35242">
      <w:r>
        <w:t>(ii) At least every two years thereafter for each employee who continues to meet the criteria of paragraph (k</w:t>
      </w:r>
      <w:proofErr w:type="gramStart"/>
      <w:r>
        <w:t>)(</w:t>
      </w:r>
      <w:proofErr w:type="gramEnd"/>
      <w:r>
        <w:t>1)(</w:t>
      </w:r>
      <w:proofErr w:type="spellStart"/>
      <w:r>
        <w:t>i</w:t>
      </w:r>
      <w:proofErr w:type="spellEnd"/>
      <w:r>
        <w:t>)(A), (B), or (D) of this standard.</w:t>
      </w:r>
    </w:p>
    <w:p w:rsidR="00E35242" w:rsidRDefault="00E35242" w:rsidP="00E35242"/>
    <w:p w:rsidR="00E35242" w:rsidRDefault="00E35242" w:rsidP="00E35242">
      <w:r>
        <w:t>(iii) At the termination of employment for each employee who meets any of the criteria of paragraph (k)(1)(</w:t>
      </w:r>
      <w:proofErr w:type="spellStart"/>
      <w:r>
        <w:t>i</w:t>
      </w:r>
      <w:proofErr w:type="spellEnd"/>
      <w:r>
        <w:t xml:space="preserve">) of this standard at the time the employee’s employment terminates, unless an examination has been provided in accordance with this standard during the six months prior to the date of termination. </w:t>
      </w:r>
    </w:p>
    <w:p w:rsidR="00E35242" w:rsidRDefault="00E35242" w:rsidP="00E35242">
      <w:pPr>
        <w:pStyle w:val="iReg"/>
      </w:pPr>
    </w:p>
    <w:p w:rsidR="00E35242" w:rsidRDefault="00E35242" w:rsidP="00E35242">
      <w:pPr>
        <w:pStyle w:val="iReg"/>
      </w:pPr>
      <w:r>
        <w:rPr>
          <w:b/>
          <w:bCs/>
        </w:rPr>
        <w:t>(3)  Contents of examination.</w:t>
      </w:r>
    </w:p>
    <w:p w:rsidR="00E35242" w:rsidRDefault="00E35242" w:rsidP="00E35242">
      <w:r>
        <w:lastRenderedPageBreak/>
        <w:t>(</w:t>
      </w:r>
      <w:proofErr w:type="spellStart"/>
      <w:r>
        <w:t>i</w:t>
      </w:r>
      <w:proofErr w:type="spellEnd"/>
      <w:r>
        <w:t>) The employer must ensure that the PLHCP conducting the examination advises the employee of the risks and benefits of participating in the medical surveillance program and the employee’s right to opt out of any or all parts of the medical examination.</w:t>
      </w:r>
    </w:p>
    <w:p w:rsidR="00E35242" w:rsidRDefault="00E35242" w:rsidP="00E35242"/>
    <w:p w:rsidR="00E35242" w:rsidRDefault="00E35242" w:rsidP="00E35242">
      <w:r>
        <w:t>(ii) The employer must ensure that the employee is offered a medical examination that includes:</w:t>
      </w:r>
    </w:p>
    <w:p w:rsidR="00E35242" w:rsidRDefault="00E35242" w:rsidP="00E35242">
      <w:pPr>
        <w:ind w:left="720"/>
      </w:pPr>
      <w:r>
        <w:t>(A) A medical and work history, with emphasis on past and present airborne exposure to or dermal contact with beryllium, smoking history, and any history of respiratory system dysfunction;</w:t>
      </w:r>
    </w:p>
    <w:p w:rsidR="00E35242" w:rsidRDefault="00E35242" w:rsidP="00E35242">
      <w:pPr>
        <w:ind w:firstLine="720"/>
      </w:pPr>
      <w:r>
        <w:t>(B) A physical examination with emphasis on the respiratory system;</w:t>
      </w:r>
    </w:p>
    <w:p w:rsidR="00E35242" w:rsidRDefault="00E35242" w:rsidP="00E35242">
      <w:pPr>
        <w:ind w:firstLine="720"/>
      </w:pPr>
      <w:r>
        <w:t>(C) A physical examination for skin rashes;</w:t>
      </w:r>
    </w:p>
    <w:p w:rsidR="00E35242" w:rsidRDefault="00E35242" w:rsidP="00E35242">
      <w:pPr>
        <w:ind w:left="720"/>
      </w:pPr>
      <w:r>
        <w:t xml:space="preserve">(D) Pulmonary function </w:t>
      </w:r>
      <w:proofErr w:type="gramStart"/>
      <w:r>
        <w:t>tests,</w:t>
      </w:r>
      <w:proofErr w:type="gramEnd"/>
      <w:r>
        <w:t xml:space="preserve"> performed in accordance with the guidelines established by the American Thoracic Society including forced vital capacity (FVC) and forced expiratory volume in one second (FEV</w:t>
      </w:r>
      <w:r>
        <w:rPr>
          <w:vertAlign w:val="subscript"/>
        </w:rPr>
        <w:t>1</w:t>
      </w:r>
      <w:r>
        <w:t>);</w:t>
      </w:r>
    </w:p>
    <w:p w:rsidR="00E35242" w:rsidRDefault="00E35242" w:rsidP="00E35242">
      <w:pPr>
        <w:ind w:left="720"/>
      </w:pPr>
      <w:r>
        <w:t xml:space="preserve">(E) A standardized </w:t>
      </w:r>
      <w:proofErr w:type="spellStart"/>
      <w:r>
        <w:t>BeLPT</w:t>
      </w:r>
      <w:proofErr w:type="spellEnd"/>
      <w:r>
        <w:t xml:space="preserve"> or equivalent test, upon the first examination and at least every two years thereafter, unless the employee is confirmed positive. If the results of the </w:t>
      </w:r>
      <w:proofErr w:type="spellStart"/>
      <w:r>
        <w:t>BeLPT</w:t>
      </w:r>
      <w:proofErr w:type="spellEnd"/>
      <w:r>
        <w:t xml:space="preserve"> are other than normal, a follow-up </w:t>
      </w:r>
      <w:proofErr w:type="spellStart"/>
      <w:r>
        <w:t>BeLPT</w:t>
      </w:r>
      <w:proofErr w:type="spellEnd"/>
      <w:r>
        <w:t xml:space="preserve"> must be offered within 30 days, unless the employee has been confirmed positive. Samples must be analyzed in a laboratory certified under the College of American Pathologists/Clinical Laboratory Improvement Amendments (CLIA) guidelines to perform the </w:t>
      </w:r>
      <w:proofErr w:type="spellStart"/>
      <w:r>
        <w:t>BeLPT</w:t>
      </w:r>
      <w:proofErr w:type="spellEnd"/>
      <w:r>
        <w:t xml:space="preserve">. </w:t>
      </w:r>
    </w:p>
    <w:p w:rsidR="00E35242" w:rsidRDefault="00E35242" w:rsidP="00E35242">
      <w:pPr>
        <w:ind w:left="720"/>
      </w:pPr>
      <w:r>
        <w:t> (F)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00E35242" w:rsidRDefault="00E35242" w:rsidP="00E35242">
      <w:pPr>
        <w:ind w:firstLine="720"/>
      </w:pPr>
      <w:r>
        <w:t xml:space="preserve">(G) Any other test deemed appropriate by the PLHCP. </w:t>
      </w:r>
    </w:p>
    <w:p w:rsidR="00E35242" w:rsidRDefault="00E35242" w:rsidP="00E35242">
      <w:pPr>
        <w:pStyle w:val="iReg"/>
      </w:pPr>
    </w:p>
    <w:p w:rsidR="00E35242" w:rsidRDefault="00E35242" w:rsidP="00E35242">
      <w:pPr>
        <w:pStyle w:val="BodyTextFirstIndent"/>
        <w:ind w:firstLine="0"/>
        <w:rPr>
          <w:sz w:val="24"/>
          <w:szCs w:val="24"/>
          <w:lang w:val="x-none"/>
        </w:rPr>
      </w:pPr>
      <w:r>
        <w:rPr>
          <w:i/>
          <w:iCs/>
          <w:sz w:val="24"/>
          <w:szCs w:val="24"/>
          <w:lang w:val="x-none"/>
        </w:rPr>
        <w:t>Purpose:</w:t>
      </w:r>
      <w:r>
        <w:rPr>
          <w:sz w:val="24"/>
          <w:szCs w:val="24"/>
          <w:lang w:val="x-none"/>
        </w:rPr>
        <w:t>  The initial medical examination serves to identify workers who have beryllium-related medical dis</w:t>
      </w:r>
      <w:r>
        <w:rPr>
          <w:sz w:val="24"/>
          <w:szCs w:val="24"/>
        </w:rPr>
        <w:t>ease</w:t>
      </w:r>
      <w:r>
        <w:rPr>
          <w:sz w:val="24"/>
          <w:szCs w:val="24"/>
          <w:lang w:val="x-none"/>
        </w:rPr>
        <w:t xml:space="preserve">s or other health problems that additional beryllium exposure may exacerbate.  The requirement that employers offer employees a medical examination within 30 days after </w:t>
      </w:r>
      <w:r>
        <w:rPr>
          <w:sz w:val="24"/>
          <w:szCs w:val="24"/>
        </w:rPr>
        <w:t>determining that the employee is or is reasonably expected to be exposed at or above the action level for more than 30 days a year</w:t>
      </w:r>
      <w:r>
        <w:rPr>
          <w:sz w:val="24"/>
          <w:szCs w:val="24"/>
          <w:lang w:val="x-none"/>
        </w:rPr>
        <w:t>  would help employers determine if an employee will be able to work in the job involving beryllium exposure without</w:t>
      </w:r>
      <w:r>
        <w:rPr>
          <w:sz w:val="24"/>
          <w:szCs w:val="24"/>
        </w:rPr>
        <w:t xml:space="preserve"> increased risk of</w:t>
      </w:r>
      <w:r>
        <w:rPr>
          <w:sz w:val="24"/>
          <w:szCs w:val="24"/>
          <w:lang w:val="x-none"/>
        </w:rPr>
        <w:t xml:space="preserve"> adverse</w:t>
      </w:r>
      <w:r>
        <w:rPr>
          <w:sz w:val="24"/>
          <w:szCs w:val="24"/>
        </w:rPr>
        <w:t xml:space="preserve"> health</w:t>
      </w:r>
      <w:r>
        <w:rPr>
          <w:sz w:val="24"/>
          <w:szCs w:val="24"/>
          <w:lang w:val="x-none"/>
        </w:rPr>
        <w:t xml:space="preserve"> effects.</w:t>
      </w:r>
    </w:p>
    <w:p w:rsidR="00E35242" w:rsidRDefault="00E35242" w:rsidP="00E35242">
      <w:pPr>
        <w:pStyle w:val="BodyTextFirstIndent"/>
        <w:ind w:firstLine="0"/>
        <w:rPr>
          <w:sz w:val="24"/>
          <w:szCs w:val="24"/>
          <w:lang w:val="x-none"/>
        </w:rPr>
      </w:pPr>
      <w:r>
        <w:rPr>
          <w:sz w:val="24"/>
          <w:szCs w:val="24"/>
          <w:lang w:val="x-none"/>
        </w:rPr>
        <w:t>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p>
    <w:p w:rsidR="00E35242" w:rsidRDefault="00E35242" w:rsidP="00E35242">
      <w:pPr>
        <w:pStyle w:val="BodyTextFirstIndent"/>
        <w:ind w:firstLine="0"/>
        <w:rPr>
          <w:sz w:val="24"/>
          <w:szCs w:val="24"/>
          <w:lang w:val="x-none"/>
        </w:rPr>
      </w:pPr>
      <w:r>
        <w:rPr>
          <w:sz w:val="24"/>
          <w:szCs w:val="24"/>
          <w:lang w:val="x-none"/>
        </w:rPr>
        <w:t xml:space="preserve">The </w:t>
      </w:r>
      <w:r>
        <w:rPr>
          <w:sz w:val="24"/>
          <w:szCs w:val="24"/>
        </w:rPr>
        <w:t>requirement</w:t>
      </w:r>
      <w:r>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the standard adversely affects the health of workers.</w:t>
      </w:r>
    </w:p>
    <w:p w:rsidR="00E35242" w:rsidRDefault="00E35242" w:rsidP="00E35242">
      <w:pPr>
        <w:rPr>
          <w:b/>
          <w:bCs/>
        </w:rPr>
      </w:pPr>
      <w:r>
        <w:rPr>
          <w:b/>
          <w:bCs/>
        </w:rPr>
        <w:lastRenderedPageBreak/>
        <w:t>§1910.1024 (k</w:t>
      </w:r>
      <w:proofErr w:type="gramStart"/>
      <w:r>
        <w:rPr>
          <w:b/>
          <w:bCs/>
        </w:rPr>
        <w:t>)(</w:t>
      </w:r>
      <w:proofErr w:type="gramEnd"/>
      <w:r>
        <w:rPr>
          <w:b/>
          <w:bCs/>
        </w:rPr>
        <w:t>4 )-- Medical Surveillance -- Information Provided to the PLHCP.</w:t>
      </w:r>
    </w:p>
    <w:p w:rsidR="00E35242" w:rsidRDefault="00E35242" w:rsidP="00E35242">
      <w:pPr>
        <w:rPr>
          <w:u w:val="single"/>
        </w:rPr>
      </w:pPr>
    </w:p>
    <w:p w:rsidR="00E35242" w:rsidRDefault="00E35242" w:rsidP="00E35242">
      <w:pPr>
        <w:rPr>
          <w:u w:val="single"/>
        </w:rPr>
      </w:pPr>
      <w:r>
        <w:t>(4)The employer must ensure that the examining PLHCP (and the agreed-upon CBD diagnostic center, if an evaluation is required under paragraph (k</w:t>
      </w:r>
      <w:proofErr w:type="gramStart"/>
      <w:r>
        <w:t>)(</w:t>
      </w:r>
      <w:proofErr w:type="gramEnd"/>
      <w:r>
        <w:t>7) of this standard) has a copy of this standard and must provide the following information, if known:</w:t>
      </w:r>
    </w:p>
    <w:p w:rsidR="00E35242" w:rsidRDefault="00E35242" w:rsidP="00E35242">
      <w:r>
        <w:t>(</w:t>
      </w:r>
      <w:proofErr w:type="spellStart"/>
      <w:r>
        <w:t>i</w:t>
      </w:r>
      <w:proofErr w:type="spellEnd"/>
      <w:r>
        <w:t>) A description of the employee’s former and current duties that relate to the employee’s airborne exposure to and dermal contact with beryllium;</w:t>
      </w:r>
    </w:p>
    <w:p w:rsidR="00E35242" w:rsidRDefault="00E35242" w:rsidP="00E35242"/>
    <w:p w:rsidR="00E35242" w:rsidRDefault="00E35242" w:rsidP="00E35242">
      <w:r>
        <w:t>(ii) The employee’s former and current levels of airborne exposure;</w:t>
      </w:r>
    </w:p>
    <w:p w:rsidR="00E35242" w:rsidRDefault="00E35242" w:rsidP="00E35242"/>
    <w:p w:rsidR="00E35242" w:rsidRDefault="00E35242" w:rsidP="00E35242">
      <w:r>
        <w:t>(iii) A description of any personal protective clothing and equipment, including respirators, used by the employee, including when and for how long the employee has used that personal protective clothing and equipment; and</w:t>
      </w:r>
    </w:p>
    <w:p w:rsidR="00E35242" w:rsidRDefault="00E35242" w:rsidP="00E35242"/>
    <w:p w:rsidR="00E35242" w:rsidRDefault="00E35242" w:rsidP="00E35242">
      <w:pPr>
        <w:rPr>
          <w:i/>
          <w:iCs/>
        </w:rPr>
      </w:pPr>
      <w:proofErr w:type="gramStart"/>
      <w:r>
        <w:t>(iv) Information</w:t>
      </w:r>
      <w:proofErr w:type="gramEnd"/>
      <w:r>
        <w:t xml:space="preserve"> from records of employment-related medical examinations previously provided to the employee, currently within the control of the employer, after obtaining written consent from the employee.</w:t>
      </w:r>
    </w:p>
    <w:p w:rsidR="000726BA" w:rsidRDefault="000726BA" w:rsidP="00E35242">
      <w:pPr>
        <w:pStyle w:val="BodyTextFirstIndent"/>
        <w:ind w:firstLine="0"/>
        <w:rPr>
          <w:i/>
          <w:iCs/>
          <w:sz w:val="24"/>
          <w:szCs w:val="24"/>
        </w:rPr>
      </w:pPr>
    </w:p>
    <w:p w:rsidR="00E35242" w:rsidRDefault="00E35242" w:rsidP="00E35242">
      <w:pPr>
        <w:pStyle w:val="BodyTextFirstIndent"/>
        <w:ind w:firstLine="0"/>
        <w:rPr>
          <w:sz w:val="24"/>
          <w:szCs w:val="24"/>
          <w:lang w:val="x-none"/>
        </w:rPr>
      </w:pPr>
      <w:r>
        <w:rPr>
          <w:i/>
          <w:iCs/>
          <w:sz w:val="24"/>
          <w:szCs w:val="24"/>
          <w:lang w:val="x-none"/>
        </w:rPr>
        <w:t xml:space="preserve">Purpose: </w:t>
      </w:r>
      <w:r>
        <w:rPr>
          <w:sz w:val="24"/>
          <w:szCs w:val="24"/>
        </w:rPr>
        <w:t xml:space="preserve">This information will help the PLHCP and CBD diagnostic center evaluate employees’ health as it relates to their assigned duties and fitness to use personal protective equipment, including respirators, when needed. </w:t>
      </w:r>
      <w:r>
        <w:rPr>
          <w:sz w:val="24"/>
          <w:szCs w:val="24"/>
          <w:lang w:val="x-none"/>
        </w:rPr>
        <w:t xml:space="preserve">Providing the PLHCP </w:t>
      </w:r>
      <w:r>
        <w:rPr>
          <w:sz w:val="24"/>
          <w:szCs w:val="24"/>
        </w:rPr>
        <w:t xml:space="preserve">and CBD diagnostic center </w:t>
      </w:r>
      <w:r>
        <w:rPr>
          <w:sz w:val="24"/>
          <w:szCs w:val="24"/>
          <w:lang w:val="x-none"/>
        </w:rPr>
        <w:t xml:space="preserve">with exposure monitoring results, as required under paragraph (k)(4)(ii), will assist </w:t>
      </w:r>
      <w:r>
        <w:rPr>
          <w:sz w:val="24"/>
          <w:szCs w:val="24"/>
        </w:rPr>
        <w:t>them</w:t>
      </w:r>
      <w:r>
        <w:rPr>
          <w:sz w:val="24"/>
          <w:szCs w:val="24"/>
          <w:lang w:val="x-none"/>
        </w:rPr>
        <w:t xml:space="preserve"> in determining if an employee is likely to be at risk of adverse effects from </w:t>
      </w:r>
      <w:r>
        <w:rPr>
          <w:sz w:val="24"/>
          <w:szCs w:val="24"/>
        </w:rPr>
        <w:t xml:space="preserve">airborne </w:t>
      </w:r>
      <w:r>
        <w:rPr>
          <w:sz w:val="24"/>
          <w:szCs w:val="24"/>
          <w:lang w:val="x-none"/>
        </w:rPr>
        <w:t>beryllium exposure at work.  A well-documented exposure history would also assist the PLCHP in determining if a condition may be related to beryllium exposure.</w:t>
      </w:r>
    </w:p>
    <w:p w:rsidR="00E35242" w:rsidRDefault="00E35242" w:rsidP="00E35242">
      <w:pPr>
        <w:rPr>
          <w:b/>
          <w:bCs/>
        </w:rPr>
      </w:pPr>
      <w:r>
        <w:rPr>
          <w:b/>
          <w:bCs/>
        </w:rPr>
        <w:t>§1910.1024 (k</w:t>
      </w:r>
      <w:proofErr w:type="gramStart"/>
      <w:r>
        <w:rPr>
          <w:b/>
          <w:bCs/>
        </w:rPr>
        <w:t>)(</w:t>
      </w:r>
      <w:proofErr w:type="gramEnd"/>
      <w:r>
        <w:rPr>
          <w:b/>
          <w:bCs/>
        </w:rPr>
        <w:t>5)(</w:t>
      </w:r>
      <w:proofErr w:type="spellStart"/>
      <w:r>
        <w:rPr>
          <w:b/>
          <w:bCs/>
        </w:rPr>
        <w:t>i</w:t>
      </w:r>
      <w:proofErr w:type="spellEnd"/>
      <w:r>
        <w:rPr>
          <w:b/>
          <w:bCs/>
        </w:rPr>
        <w:t>), (ii), &amp; (iii -- Medical Surveillance--  Licensed Physician’s Written Medical Report for the Employee.</w:t>
      </w:r>
    </w:p>
    <w:p w:rsidR="00E35242" w:rsidRDefault="00E35242" w:rsidP="00E35242">
      <w:pPr>
        <w:rPr>
          <w:b/>
          <w:bCs/>
        </w:rPr>
      </w:pPr>
    </w:p>
    <w:p w:rsidR="00E35242" w:rsidRDefault="00E35242" w:rsidP="00E35242">
      <w:pPr>
        <w:rPr>
          <w:u w:val="single"/>
        </w:rPr>
      </w:pPr>
      <w:r>
        <w:t xml:space="preserve">(5) The employer must ensure that the employee receives a written medical report from the licensed physician within 45 days of the examination (including any follow-up </w:t>
      </w:r>
      <w:proofErr w:type="spellStart"/>
      <w:r>
        <w:t>BeLPT</w:t>
      </w:r>
      <w:proofErr w:type="spellEnd"/>
      <w:r>
        <w:t xml:space="preserve"> required under paragraph (k</w:t>
      </w:r>
      <w:proofErr w:type="gramStart"/>
      <w:r>
        <w:t>)(</w:t>
      </w:r>
      <w:proofErr w:type="gramEnd"/>
      <w:r>
        <w:t>3)(ii)(E) of this standard) and that the PLHCP explains the results of the examination to the employee. The written medical report must contain:</w:t>
      </w:r>
    </w:p>
    <w:p w:rsidR="00E35242" w:rsidRDefault="00E35242" w:rsidP="00E35242"/>
    <w:p w:rsidR="00E35242" w:rsidRDefault="00E35242" w:rsidP="00E35242">
      <w:r>
        <w:t>(</w:t>
      </w:r>
      <w:proofErr w:type="spellStart"/>
      <w:r>
        <w:t>i</w:t>
      </w:r>
      <w:proofErr w:type="spellEnd"/>
      <w:r>
        <w:t xml:space="preserve">) A statement indicating the results of the medical examination, including the licensed physician’s opinion as to whether the employee has </w:t>
      </w:r>
    </w:p>
    <w:p w:rsidR="00E35242" w:rsidRDefault="00E35242" w:rsidP="00E35242">
      <w:pPr>
        <w:ind w:left="720"/>
      </w:pPr>
      <w:r>
        <w:t xml:space="preserve">(A) Any detected medical condition, such as CBD or beryllium sensitization (i.e., the employee is confirmed positive, as defined in paragraph (b) of this standard), that may place the employee at increased risk from further airborne exposure, and </w:t>
      </w:r>
    </w:p>
    <w:p w:rsidR="00E35242" w:rsidRDefault="00E35242" w:rsidP="00E35242">
      <w:pPr>
        <w:ind w:left="720"/>
      </w:pPr>
      <w:r>
        <w:t xml:space="preserve">(B) Any medical conditions related to airborne </w:t>
      </w:r>
      <w:proofErr w:type="gramStart"/>
      <w:r>
        <w:t>exposure that require</w:t>
      </w:r>
      <w:proofErr w:type="gramEnd"/>
      <w:r>
        <w:t xml:space="preserve"> further evaluation or treatment.</w:t>
      </w:r>
    </w:p>
    <w:p w:rsidR="00E35242" w:rsidRDefault="00E35242" w:rsidP="00E35242"/>
    <w:p w:rsidR="00E35242" w:rsidRDefault="00E35242" w:rsidP="00E35242">
      <w:r>
        <w:t>(ii) Any recommendations on:</w:t>
      </w:r>
    </w:p>
    <w:p w:rsidR="00E35242" w:rsidRDefault="00E35242" w:rsidP="00E35242">
      <w:pPr>
        <w:ind w:firstLine="720"/>
      </w:pPr>
      <w:r>
        <w:lastRenderedPageBreak/>
        <w:t>(A) The employee’s use of respirators, protective clothing, or equipment; or</w:t>
      </w:r>
    </w:p>
    <w:p w:rsidR="00E35242" w:rsidRDefault="00E35242" w:rsidP="00E35242">
      <w:pPr>
        <w:ind w:firstLine="720"/>
      </w:pPr>
      <w:r>
        <w:t>(B) Limitations on the employee's airborne exposure to beryllium.</w:t>
      </w:r>
    </w:p>
    <w:p w:rsidR="00E35242" w:rsidRDefault="00E35242" w:rsidP="00E35242"/>
    <w:p w:rsidR="00E35242" w:rsidRDefault="00E35242" w:rsidP="00E35242">
      <w:r>
        <w:t>(iii) If the employee is confirmed positive or diagnosed with CBD or if the licensed physician otherwise deems it appropriate, the written report must also contain a referral for an evaluation at a CBD diagnostic center.</w:t>
      </w:r>
    </w:p>
    <w:p w:rsidR="00E35242" w:rsidRDefault="00E35242" w:rsidP="00E35242">
      <w:pPr>
        <w:rPr>
          <w:b/>
          <w:bCs/>
        </w:rPr>
      </w:pPr>
    </w:p>
    <w:p w:rsidR="00E35242" w:rsidRDefault="00E35242" w:rsidP="00E35242">
      <w:proofErr w:type="gramStart"/>
      <w:r>
        <w:t>(iv) If</w:t>
      </w:r>
      <w:proofErr w:type="gramEnd"/>
      <w:r>
        <w:t xml:space="preserve"> the employee is confirmed positive or diagnosed with CBD the written report must also contain a recommendation for continued periodic medical surveillance.</w:t>
      </w:r>
    </w:p>
    <w:p w:rsidR="00E35242" w:rsidRDefault="00E35242" w:rsidP="00E35242"/>
    <w:p w:rsidR="00E35242" w:rsidRDefault="00E35242" w:rsidP="00E35242">
      <w:r>
        <w:t>(v) If the employee is confirmed positive or diagnosed with CBD the written report must also contain a recommendation for medical removal from airborne exposure to beryllium, as described in paragraph (l).</w:t>
      </w:r>
    </w:p>
    <w:p w:rsidR="00E35242" w:rsidRDefault="00E35242" w:rsidP="00E35242">
      <w:pPr>
        <w:rPr>
          <w:b/>
          <w:bCs/>
          <w:u w:val="single"/>
        </w:rPr>
      </w:pPr>
    </w:p>
    <w:p w:rsidR="00E35242" w:rsidRDefault="00E35242" w:rsidP="00E35242">
      <w:pPr>
        <w:pStyle w:val="AReg"/>
        <w:ind w:left="0"/>
      </w:pPr>
      <w:r>
        <w:t>Note:  The preparation of the report is accounted for under Item 13, cost to the employer for an employee's medical examination.</w:t>
      </w:r>
    </w:p>
    <w:p w:rsidR="00E35242" w:rsidRDefault="00E35242" w:rsidP="00E35242">
      <w:pPr>
        <w:rPr>
          <w:color w:val="000000"/>
        </w:rPr>
      </w:pPr>
      <w:r>
        <w:rPr>
          <w:i/>
          <w:iCs/>
        </w:rPr>
        <w:t>Purpose:</w:t>
      </w:r>
      <w:r>
        <w:t xml:space="preserve"> The rule requires that only the employee receive a written medical report that includes detailed medical information. </w:t>
      </w:r>
      <w:r>
        <w:rPr>
          <w:color w:val="000000"/>
        </w:rPr>
        <w:t>By providing the licensed physician’s written medical report to employees, those who might be at increased risk of health impairment from airborne beryllium exposure will be able to consider interventions (</w:t>
      </w:r>
      <w:r>
        <w:rPr>
          <w:color w:val="000000"/>
          <w:u w:val="single"/>
        </w:rPr>
        <w:t>i.e.</w:t>
      </w:r>
      <w:r>
        <w:rPr>
          <w:color w:val="000000"/>
        </w:rPr>
        <w:t xml:space="preserve">, health management strategies) with guidance from the licensed physician. Such strategies might include employment choices to limit airborne exposures or to use a respirator for additional protection. </w:t>
      </w:r>
    </w:p>
    <w:p w:rsidR="00E35242" w:rsidRDefault="00E35242" w:rsidP="00E35242">
      <w:pPr>
        <w:rPr>
          <w:color w:val="000000"/>
        </w:rPr>
      </w:pPr>
    </w:p>
    <w:p w:rsidR="00E35242" w:rsidRDefault="00E35242" w:rsidP="00E35242">
      <w:pPr>
        <w:pStyle w:val="AReg"/>
        <w:ind w:left="0"/>
      </w:pPr>
      <w:r>
        <w:rPr>
          <w:color w:val="000000"/>
        </w:rPr>
        <w:t>The requirement for a written medical report ensures that the employee receives a record of all findings. Employees would also be able to provide the written medical report to future health care providers.</w:t>
      </w:r>
    </w:p>
    <w:p w:rsidR="00E35242" w:rsidRDefault="00E35242" w:rsidP="00E35242">
      <w:pPr>
        <w:pStyle w:val="AReg"/>
        <w:ind w:left="0"/>
      </w:pPr>
    </w:p>
    <w:p w:rsidR="00E35242" w:rsidRDefault="00E35242" w:rsidP="00E35242">
      <w:pPr>
        <w:pStyle w:val="iReg"/>
        <w:rPr>
          <w:u w:val="single"/>
        </w:rPr>
      </w:pPr>
      <w:r>
        <w:rPr>
          <w:b/>
          <w:bCs/>
        </w:rPr>
        <w:t>§1910.1024 (k</w:t>
      </w:r>
      <w:proofErr w:type="gramStart"/>
      <w:r>
        <w:rPr>
          <w:b/>
          <w:bCs/>
        </w:rPr>
        <w:t>)(</w:t>
      </w:r>
      <w:proofErr w:type="gramEnd"/>
      <w:r>
        <w:rPr>
          <w:b/>
          <w:bCs/>
        </w:rPr>
        <w:t>6) -- Medical Surveillance-- </w:t>
      </w:r>
      <w:r>
        <w:t> </w:t>
      </w:r>
      <w:r>
        <w:rPr>
          <w:b/>
          <w:bCs/>
        </w:rPr>
        <w:t>Licensed Physician’s Written Medical Opinion for the Employer.</w:t>
      </w:r>
    </w:p>
    <w:p w:rsidR="00E35242" w:rsidRDefault="00E35242" w:rsidP="00E35242">
      <w:pPr>
        <w:pStyle w:val="Default"/>
        <w:rPr>
          <w:color w:val="auto"/>
        </w:rPr>
      </w:pPr>
    </w:p>
    <w:p w:rsidR="00E35242" w:rsidRDefault="00E35242" w:rsidP="00E35242">
      <w:r>
        <w:t>(</w:t>
      </w:r>
      <w:proofErr w:type="spellStart"/>
      <w:r>
        <w:t>i</w:t>
      </w:r>
      <w:proofErr w:type="spellEnd"/>
      <w:r>
        <w:t xml:space="preserve">) The employer must obtain a written medical opinion from the licensed physician within 45 days of the medical examination (including any follow-up </w:t>
      </w:r>
      <w:proofErr w:type="spellStart"/>
      <w:r>
        <w:t>BeLPT</w:t>
      </w:r>
      <w:proofErr w:type="spellEnd"/>
      <w:r>
        <w:t xml:space="preserve"> required under paragraph (k</w:t>
      </w:r>
      <w:proofErr w:type="gramStart"/>
      <w:r>
        <w:t>)(</w:t>
      </w:r>
      <w:proofErr w:type="gramEnd"/>
      <w:r>
        <w:t xml:space="preserve">3)(ii)(E) of this standard). The written medical opinion must contain only the following: </w:t>
      </w:r>
    </w:p>
    <w:p w:rsidR="00E35242" w:rsidRDefault="00E35242" w:rsidP="00E35242">
      <w:pPr>
        <w:ind w:firstLine="720"/>
      </w:pPr>
      <w:r>
        <w:t xml:space="preserve">(A) The date of the examination; </w:t>
      </w:r>
    </w:p>
    <w:p w:rsidR="00E35242" w:rsidRDefault="00E35242" w:rsidP="00E35242">
      <w:pPr>
        <w:ind w:firstLine="720"/>
      </w:pPr>
      <w:r>
        <w:t xml:space="preserve">(B) A statement that the examination has met the requirements of this standard; </w:t>
      </w:r>
    </w:p>
    <w:p w:rsidR="00E35242" w:rsidRDefault="00E35242" w:rsidP="00E35242">
      <w:pPr>
        <w:ind w:left="720"/>
      </w:pPr>
      <w:r>
        <w:t>(C) Any recommended limitations on the employee’s use of respirators, protective clothing, or equipment; and</w:t>
      </w:r>
    </w:p>
    <w:p w:rsidR="00E35242" w:rsidRDefault="00E35242" w:rsidP="00E35242">
      <w:pPr>
        <w:ind w:left="720"/>
      </w:pPr>
      <w: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rsidR="00E35242" w:rsidRDefault="00E35242" w:rsidP="00E35242"/>
    <w:p w:rsidR="00E35242" w:rsidRDefault="00E35242" w:rsidP="00E35242">
      <w:r>
        <w:lastRenderedPageBreak/>
        <w:t>(ii) If the employee provides written authorization, the written opinion must also contain any recommended limitations on the employee’s airborne exposure to beryllium.</w:t>
      </w:r>
    </w:p>
    <w:p w:rsidR="00E35242" w:rsidRDefault="00E35242" w:rsidP="00E35242"/>
    <w:p w:rsidR="00E35242" w:rsidRDefault="00E35242" w:rsidP="00E35242">
      <w: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00E35242" w:rsidRDefault="00E35242" w:rsidP="00E35242"/>
    <w:p w:rsidR="00E35242" w:rsidRDefault="00E35242" w:rsidP="00E35242">
      <w:proofErr w:type="gramStart"/>
      <w:r>
        <w:t>(iv) If</w:t>
      </w:r>
      <w:proofErr w:type="gramEnd"/>
      <w:r>
        <w:t xml:space="preserve"> the employee is confirmed positive or diagnosed with CBD and the employee provides written authorization, the written opinion must also contain a recommendation for continued periodic medical surveillance.</w:t>
      </w:r>
    </w:p>
    <w:p w:rsidR="00E35242" w:rsidRDefault="00E35242" w:rsidP="00E35242"/>
    <w:p w:rsidR="00E35242" w:rsidRDefault="00E35242" w:rsidP="00E35242">
      <w:r>
        <w:t>(v) If the employee is confirmed positive or diagnosed with CBD and the employee provides written authorization, the written opinion must also contain a recommendation for medical removal from airborne exposure to beryllium, as described in paragraph (l).</w:t>
      </w:r>
    </w:p>
    <w:p w:rsidR="00E35242" w:rsidRDefault="00E35242" w:rsidP="00E35242"/>
    <w:p w:rsidR="00E35242" w:rsidRDefault="00E35242" w:rsidP="00E35242">
      <w:r>
        <w:t xml:space="preserve">(vi) The employer must ensure that each employee receives a copy of the written medical opinion described in paragraph (k)(6) of this standard within 45 days of any medical examination (including any follow-up </w:t>
      </w:r>
      <w:proofErr w:type="spellStart"/>
      <w:r>
        <w:t>BeLPT</w:t>
      </w:r>
      <w:proofErr w:type="spellEnd"/>
      <w:r>
        <w:t xml:space="preserve"> required under paragraph (k)(3)(ii)(E) of this standard) performed for that employee. </w:t>
      </w:r>
    </w:p>
    <w:p w:rsidR="00E35242" w:rsidRDefault="00E35242" w:rsidP="00E35242"/>
    <w:p w:rsidR="00E35242" w:rsidRDefault="00E35242" w:rsidP="00E35242">
      <w:pPr>
        <w:pStyle w:val="BodyTextFirstIndent"/>
        <w:ind w:firstLine="0"/>
      </w:pPr>
      <w:r>
        <w:rPr>
          <w:i/>
          <w:iCs/>
          <w:sz w:val="24"/>
          <w:szCs w:val="24"/>
          <w:lang w:val="x-none"/>
        </w:rPr>
        <w:t xml:space="preserve">Purpose:  </w:t>
      </w:r>
      <w:r w:rsidR="00B70D50">
        <w:rPr>
          <w:sz w:val="24"/>
          <w:szCs w:val="24"/>
        </w:rPr>
        <w:t>T</w:t>
      </w:r>
      <w:r>
        <w:rPr>
          <w:sz w:val="24"/>
          <w:szCs w:val="24"/>
        </w:rPr>
        <w:t xml:space="preserve">he written medical opinion contains information that allows employers </w:t>
      </w:r>
      <w:r>
        <w:rPr>
          <w:color w:val="000000"/>
          <w:sz w:val="24"/>
          <w:szCs w:val="24"/>
          <w:lang w:val="x-none"/>
        </w:rPr>
        <w:t xml:space="preserve">to protect employee health, </w:t>
      </w:r>
      <w:r>
        <w:rPr>
          <w:color w:val="000000"/>
          <w:sz w:val="24"/>
          <w:szCs w:val="24"/>
        </w:rPr>
        <w:t xml:space="preserve">such as recommended limitations on the employee’s use of respirators, </w:t>
      </w:r>
      <w:r>
        <w:rPr>
          <w:color w:val="000000"/>
          <w:sz w:val="24"/>
          <w:szCs w:val="24"/>
          <w:lang w:val="x-none"/>
        </w:rPr>
        <w:t>while at the same time protecting employee privacy as much as possible</w:t>
      </w:r>
      <w:r>
        <w:rPr>
          <w:color w:val="000000"/>
          <w:sz w:val="24"/>
          <w:szCs w:val="24"/>
        </w:rPr>
        <w:t xml:space="preserve"> by allowing certain information to be included only with the employee’s written authorization. The </w:t>
      </w:r>
      <w:r>
        <w:rPr>
          <w:color w:val="000000"/>
          <w:sz w:val="24"/>
          <w:szCs w:val="24"/>
          <w:lang w:val="x-none"/>
        </w:rPr>
        <w:t xml:space="preserve">date </w:t>
      </w:r>
      <w:r>
        <w:rPr>
          <w:color w:val="000000"/>
          <w:sz w:val="24"/>
          <w:szCs w:val="24"/>
        </w:rPr>
        <w:t xml:space="preserve">of the examination </w:t>
      </w:r>
      <w:r>
        <w:rPr>
          <w:color w:val="000000"/>
          <w:sz w:val="24"/>
          <w:szCs w:val="24"/>
          <w:lang w:val="x-none"/>
        </w:rPr>
        <w:t xml:space="preserve">and </w:t>
      </w:r>
      <w:r>
        <w:rPr>
          <w:color w:val="000000"/>
          <w:sz w:val="24"/>
          <w:szCs w:val="24"/>
        </w:rPr>
        <w:t xml:space="preserve">a </w:t>
      </w:r>
      <w:r>
        <w:rPr>
          <w:color w:val="000000"/>
          <w:sz w:val="24"/>
          <w:szCs w:val="24"/>
          <w:lang w:val="x-none"/>
        </w:rPr>
        <w:t xml:space="preserve">statement about the examination meeting the requirements of this standard </w:t>
      </w:r>
      <w:r>
        <w:rPr>
          <w:color w:val="000000"/>
          <w:sz w:val="24"/>
          <w:szCs w:val="24"/>
        </w:rPr>
        <w:t>are also included to provide</w:t>
      </w:r>
      <w:r>
        <w:rPr>
          <w:color w:val="000000"/>
          <w:sz w:val="24"/>
          <w:szCs w:val="24"/>
          <w:lang w:val="x-none"/>
        </w:rPr>
        <w:t xml:space="preserve"> the employer with evidence that compliance with the medical surveillance requirements are current.</w:t>
      </w:r>
    </w:p>
    <w:p w:rsidR="00E35242" w:rsidRDefault="00E35242" w:rsidP="00E35242">
      <w:pPr>
        <w:pStyle w:val="BodyTextFirstIndent"/>
        <w:ind w:firstLine="0"/>
        <w:rPr>
          <w:sz w:val="24"/>
          <w:szCs w:val="24"/>
        </w:rPr>
      </w:pPr>
      <w:r>
        <w:rPr>
          <w:sz w:val="24"/>
          <w:szCs w:val="24"/>
          <w:lang w:val="x-none"/>
        </w:rPr>
        <w:t xml:space="preserve">The employer must obtain the written opinion within </w:t>
      </w:r>
      <w:r>
        <w:rPr>
          <w:sz w:val="24"/>
          <w:szCs w:val="24"/>
        </w:rPr>
        <w:t>45</w:t>
      </w:r>
      <w:r>
        <w:rPr>
          <w:sz w:val="24"/>
          <w:szCs w:val="24"/>
          <w:lang w:val="x-none"/>
        </w:rPr>
        <w:t xml:space="preserve"> days of the examination; OSHA believes this requirement will provide the</w:t>
      </w:r>
      <w:r>
        <w:rPr>
          <w:sz w:val="24"/>
          <w:szCs w:val="24"/>
        </w:rPr>
        <w:t xml:space="preserve"> licensed physician</w:t>
      </w:r>
      <w:r>
        <w:rPr>
          <w:sz w:val="24"/>
          <w:szCs w:val="24"/>
          <w:lang w:val="x-none"/>
        </w:rPr>
        <w:t xml:space="preserve"> sufficient time to receive and consider the results of any tests included in the examination,</w:t>
      </w:r>
      <w:r>
        <w:rPr>
          <w:sz w:val="24"/>
          <w:szCs w:val="24"/>
        </w:rPr>
        <w:t xml:space="preserve"> including a follow-up </w:t>
      </w:r>
      <w:proofErr w:type="spellStart"/>
      <w:r>
        <w:rPr>
          <w:sz w:val="24"/>
          <w:szCs w:val="24"/>
        </w:rPr>
        <w:t>BeLPT</w:t>
      </w:r>
      <w:proofErr w:type="spellEnd"/>
      <w:r>
        <w:rPr>
          <w:sz w:val="24"/>
          <w:szCs w:val="24"/>
        </w:rPr>
        <w:t>,</w:t>
      </w:r>
      <w:r>
        <w:rPr>
          <w:sz w:val="24"/>
          <w:szCs w:val="24"/>
          <w:lang w:val="x-none"/>
        </w:rPr>
        <w:t xml:space="preserve"> and allow the employer to take any necessary protective measures in a timely manner.  The requirement that the opinion be in written form would ensure that employers and workers have the benefit of this information.  </w:t>
      </w:r>
      <w:proofErr w:type="spellStart"/>
      <w:r>
        <w:rPr>
          <w:sz w:val="24"/>
          <w:szCs w:val="24"/>
        </w:rPr>
        <w:t>T</w:t>
      </w:r>
      <w:r>
        <w:rPr>
          <w:sz w:val="24"/>
          <w:szCs w:val="24"/>
          <w:lang w:val="x-none"/>
        </w:rPr>
        <w:t>he</w:t>
      </w:r>
      <w:proofErr w:type="spellEnd"/>
      <w:r>
        <w:rPr>
          <w:sz w:val="24"/>
          <w:szCs w:val="24"/>
          <w:lang w:val="x-none"/>
        </w:rPr>
        <w:t xml:space="preserve"> standard requires the employer to </w:t>
      </w:r>
      <w:r>
        <w:rPr>
          <w:sz w:val="24"/>
          <w:szCs w:val="24"/>
        </w:rPr>
        <w:t>ensure that the worker gets a copy of the licensed physician’s</w:t>
      </w:r>
      <w:r>
        <w:rPr>
          <w:sz w:val="24"/>
          <w:szCs w:val="24"/>
          <w:lang w:val="x-none"/>
        </w:rPr>
        <w:t xml:space="preserve"> written</w:t>
      </w:r>
      <w:r>
        <w:rPr>
          <w:sz w:val="24"/>
          <w:szCs w:val="24"/>
        </w:rPr>
        <w:t xml:space="preserve"> medical</w:t>
      </w:r>
      <w:r>
        <w:rPr>
          <w:sz w:val="24"/>
          <w:szCs w:val="24"/>
          <w:lang w:val="x-none"/>
        </w:rPr>
        <w:t xml:space="preserve"> opinion within</w:t>
      </w:r>
      <w:r>
        <w:rPr>
          <w:sz w:val="24"/>
          <w:szCs w:val="24"/>
        </w:rPr>
        <w:t xml:space="preserve"> 45 days of the medical examination. This will allow workers </w:t>
      </w:r>
      <w:r>
        <w:rPr>
          <w:color w:val="000000"/>
          <w:sz w:val="24"/>
          <w:szCs w:val="24"/>
        </w:rPr>
        <w:t xml:space="preserve">to </w:t>
      </w:r>
      <w:r>
        <w:rPr>
          <w:color w:val="000000"/>
          <w:sz w:val="24"/>
          <w:szCs w:val="24"/>
          <w:lang w:val="x-none"/>
        </w:rPr>
        <w:t xml:space="preserve">present </w:t>
      </w:r>
      <w:r>
        <w:rPr>
          <w:color w:val="000000"/>
          <w:sz w:val="24"/>
          <w:szCs w:val="24"/>
        </w:rPr>
        <w:t>it</w:t>
      </w:r>
      <w:r>
        <w:rPr>
          <w:color w:val="000000"/>
          <w:sz w:val="24"/>
          <w:szCs w:val="24"/>
          <w:lang w:val="x-none"/>
        </w:rPr>
        <w:t xml:space="preserve"> as proof of a current medical examination to future</w:t>
      </w:r>
      <w:r>
        <w:rPr>
          <w:color w:val="000000"/>
          <w:sz w:val="24"/>
          <w:szCs w:val="24"/>
        </w:rPr>
        <w:t xml:space="preserve"> employers</w:t>
      </w:r>
      <w:r>
        <w:rPr>
          <w:sz w:val="24"/>
          <w:szCs w:val="24"/>
          <w:lang w:val="x-none"/>
        </w:rPr>
        <w:t>.</w:t>
      </w:r>
      <w:r>
        <w:rPr>
          <w:sz w:val="24"/>
          <w:szCs w:val="24"/>
        </w:rPr>
        <w:t xml:space="preserve">  </w:t>
      </w:r>
    </w:p>
    <w:p w:rsidR="00E35242" w:rsidRDefault="00E35242" w:rsidP="00E35242">
      <w:pPr>
        <w:pStyle w:val="BodyTextFirstIndent"/>
        <w:ind w:firstLine="0"/>
        <w:rPr>
          <w:u w:val="single"/>
          <w:lang w:val="x-none"/>
        </w:rPr>
      </w:pPr>
      <w:r>
        <w:rPr>
          <w:b/>
          <w:bCs/>
          <w:lang w:val="x-none"/>
        </w:rPr>
        <w:t xml:space="preserve">§1910.1024 (k)(7) -- Medical Surveillance-- </w:t>
      </w:r>
      <w:r>
        <w:rPr>
          <w:lang w:val="x-none"/>
        </w:rPr>
        <w:t> </w:t>
      </w:r>
      <w:r>
        <w:rPr>
          <w:b/>
          <w:bCs/>
          <w:lang w:val="x-none"/>
        </w:rPr>
        <w:t>Referral to the CBD Diagnostic Center.</w:t>
      </w:r>
    </w:p>
    <w:p w:rsidR="00E35242" w:rsidRDefault="00E35242" w:rsidP="00E35242">
      <w:pPr>
        <w:rPr>
          <w:color w:val="000000"/>
        </w:rPr>
      </w:pPr>
      <w:r>
        <w:rPr>
          <w:color w:val="000000"/>
        </w:rPr>
        <w:t xml:space="preserve">(7) </w:t>
      </w:r>
      <w:r>
        <w:rPr>
          <w:color w:val="000000"/>
          <w:u w:val="single"/>
        </w:rPr>
        <w:t>CBD diagnostic center</w:t>
      </w:r>
      <w:r>
        <w:rPr>
          <w:color w:val="000000"/>
        </w:rPr>
        <w:t>. (</w:t>
      </w:r>
      <w:proofErr w:type="spellStart"/>
      <w:r>
        <w:rPr>
          <w:color w:val="000000"/>
        </w:rPr>
        <w:t>i</w:t>
      </w:r>
      <w:proofErr w:type="spellEnd"/>
      <w:r>
        <w:rPr>
          <w:color w:val="000000"/>
        </w:rPr>
        <w:t>) The employer must provide an evaluation at no cost to the employee at a CBD diagnostic center that is mutually agreed upon by the employer and the employee. The examination must be provided within 30 days of:</w:t>
      </w:r>
    </w:p>
    <w:p w:rsidR="00E35242" w:rsidRDefault="00E35242" w:rsidP="00E35242">
      <w:pPr>
        <w:ind w:left="720"/>
        <w:rPr>
          <w:color w:val="000000"/>
        </w:rPr>
      </w:pPr>
      <w:r>
        <w:rPr>
          <w:color w:val="000000"/>
        </w:rPr>
        <w:t>(A) The employer’s receipt of a physician’s written medical opinion to the employer that recommends referral to a CBD diagnostic center; or</w:t>
      </w:r>
    </w:p>
    <w:p w:rsidR="00E35242" w:rsidRDefault="00E35242" w:rsidP="00E35242">
      <w:pPr>
        <w:ind w:left="720"/>
        <w:rPr>
          <w:color w:val="000000"/>
        </w:rPr>
      </w:pPr>
      <w:r>
        <w:rPr>
          <w:color w:val="000000"/>
        </w:rPr>
        <w:lastRenderedPageBreak/>
        <w:t xml:space="preserve">(B) The employee presenting to the employer a physician’s written medical report indicating that the employee has been confirmed positive or diagnosed with CBD, or recommending referral to a CBD diagnostic center. </w:t>
      </w:r>
    </w:p>
    <w:p w:rsidR="00E35242" w:rsidRDefault="00E35242" w:rsidP="00E35242">
      <w:pPr>
        <w:rPr>
          <w:color w:val="000000"/>
        </w:rPr>
      </w:pPr>
    </w:p>
    <w:p w:rsidR="00E35242" w:rsidRDefault="00E35242" w:rsidP="00E35242">
      <w:pPr>
        <w:rPr>
          <w:color w:val="000000"/>
        </w:rPr>
      </w:pPr>
      <w:r>
        <w:rPr>
          <w:color w:val="000000"/>
        </w:rPr>
        <w:t>(ii) The employer must ensure that the employee receives a written medical report from the CBD diagnostic center that contains all the information required in paragraph (k</w:t>
      </w:r>
      <w:proofErr w:type="gramStart"/>
      <w:r>
        <w:rPr>
          <w:color w:val="000000"/>
        </w:rPr>
        <w:t>)(</w:t>
      </w:r>
      <w:proofErr w:type="gramEnd"/>
      <w:r>
        <w:rPr>
          <w:color w:val="000000"/>
        </w:rPr>
        <w:t>5)(</w:t>
      </w:r>
      <w:proofErr w:type="spellStart"/>
      <w:r>
        <w:rPr>
          <w:color w:val="000000"/>
        </w:rPr>
        <w:t>i</w:t>
      </w:r>
      <w:proofErr w:type="spellEnd"/>
      <w:r>
        <w:rPr>
          <w:color w:val="000000"/>
        </w:rPr>
        <w:t xml:space="preserve">), (ii), (iv), and </w:t>
      </w:r>
    </w:p>
    <w:p w:rsidR="00E35242" w:rsidRDefault="00E35242" w:rsidP="00E35242">
      <w:pPr>
        <w:rPr>
          <w:color w:val="000000"/>
        </w:rPr>
      </w:pPr>
      <w:r>
        <w:rPr>
          <w:color w:val="000000"/>
        </w:rPr>
        <w:t xml:space="preserve">(v) </w:t>
      </w:r>
      <w:proofErr w:type="gramStart"/>
      <w:r>
        <w:rPr>
          <w:color w:val="000000"/>
        </w:rPr>
        <w:t>and</w:t>
      </w:r>
      <w:proofErr w:type="gramEnd"/>
      <w:r>
        <w:rPr>
          <w:color w:val="000000"/>
        </w:rPr>
        <w:t xml:space="preserve"> that the PLHCP explains the results of the examination to the employee within 30 days of the examination.</w:t>
      </w:r>
    </w:p>
    <w:p w:rsidR="00E35242" w:rsidRDefault="00E35242" w:rsidP="00E35242">
      <w:pPr>
        <w:rPr>
          <w:color w:val="000000"/>
        </w:rPr>
      </w:pPr>
    </w:p>
    <w:p w:rsidR="00E35242" w:rsidRDefault="00E35242" w:rsidP="00E35242">
      <w:pPr>
        <w:rPr>
          <w:color w:val="000000"/>
        </w:rPr>
      </w:pPr>
      <w:r>
        <w:rPr>
          <w:color w:val="000000"/>
        </w:rPr>
        <w:t>(iii) The employer must obtain a written medical opinion from the CBD diagnostic center within 30 days of the medical examination. The written medical opinion must contain only the information in paragraphs (k</w:t>
      </w:r>
      <w:proofErr w:type="gramStart"/>
      <w:r>
        <w:rPr>
          <w:color w:val="000000"/>
        </w:rPr>
        <w:t>)(</w:t>
      </w:r>
      <w:proofErr w:type="gramEnd"/>
      <w:r>
        <w:rPr>
          <w:color w:val="000000"/>
        </w:rPr>
        <w:t>6)(</w:t>
      </w:r>
      <w:proofErr w:type="spellStart"/>
      <w:r>
        <w:rPr>
          <w:color w:val="000000"/>
        </w:rPr>
        <w:t>i</w:t>
      </w:r>
      <w:proofErr w:type="spellEnd"/>
      <w:r>
        <w:rPr>
          <w:color w:val="000000"/>
        </w:rPr>
        <w:t>), as applicable, unless the employee provides written authorization to release additional information. If the employee provides written authorization, the written opinion must also contain the information from paragraphs (k</w:t>
      </w:r>
      <w:proofErr w:type="gramStart"/>
      <w:r>
        <w:rPr>
          <w:color w:val="000000"/>
        </w:rPr>
        <w:t>)(</w:t>
      </w:r>
      <w:proofErr w:type="gramEnd"/>
      <w:r>
        <w:rPr>
          <w:color w:val="000000"/>
        </w:rPr>
        <w:t>6)(ii), (iv), and (v), if applicable.</w:t>
      </w:r>
    </w:p>
    <w:p w:rsidR="00E35242" w:rsidRDefault="00E35242" w:rsidP="00E35242">
      <w:pPr>
        <w:rPr>
          <w:color w:val="000000"/>
        </w:rPr>
      </w:pPr>
      <w:r>
        <w:rPr>
          <w:color w:val="000000"/>
        </w:rPr>
        <w:t xml:space="preserve">            </w:t>
      </w:r>
    </w:p>
    <w:p w:rsidR="00E35242" w:rsidRDefault="00E35242" w:rsidP="00E35242">
      <w:pPr>
        <w:rPr>
          <w:color w:val="000000"/>
        </w:rPr>
      </w:pPr>
      <w:r>
        <w:rPr>
          <w:color w:val="000000"/>
        </w:rPr>
        <w:t>(iv) The employer must ensure that each employee receives a copy of the written medical opinion from the CBD diagnostic center described in paragraph (k)(7) of this standard within 30 days of any medical examination performed for that employee.</w:t>
      </w:r>
    </w:p>
    <w:p w:rsidR="00E35242" w:rsidRDefault="00E35242" w:rsidP="00E35242">
      <w:pPr>
        <w:rPr>
          <w:sz w:val="20"/>
          <w:szCs w:val="20"/>
        </w:rPr>
      </w:pPr>
    </w:p>
    <w:p w:rsidR="00E35242" w:rsidRDefault="00E35242" w:rsidP="00E35242">
      <w:pPr>
        <w:pStyle w:val="BodyTextFirstIndent"/>
        <w:ind w:firstLine="0"/>
        <w:rPr>
          <w:sz w:val="24"/>
          <w:szCs w:val="24"/>
          <w:lang w:val="x-none"/>
        </w:rPr>
      </w:pPr>
      <w:r>
        <w:rPr>
          <w:i/>
          <w:iCs/>
          <w:sz w:val="24"/>
          <w:szCs w:val="24"/>
        </w:rPr>
        <w:t>Purpose</w:t>
      </w:r>
      <w:r>
        <w:rPr>
          <w:sz w:val="24"/>
          <w:szCs w:val="24"/>
        </w:rPr>
        <w:t xml:space="preserve">: </w:t>
      </w:r>
      <w:r>
        <w:rPr>
          <w:sz w:val="24"/>
          <w:szCs w:val="24"/>
          <w:lang w:val="x-none"/>
        </w:rPr>
        <w:t xml:space="preserve">The </w:t>
      </w:r>
      <w:r>
        <w:rPr>
          <w:sz w:val="24"/>
          <w:szCs w:val="24"/>
        </w:rPr>
        <w:t>referral to the CBD diagnostic center for additional</w:t>
      </w:r>
      <w:r>
        <w:rPr>
          <w:sz w:val="24"/>
          <w:szCs w:val="24"/>
          <w:lang w:val="x-none"/>
        </w:rPr>
        <w:t xml:space="preserve"> medical examination serves to identify workers who have beryllium-related medical disorders or other health problems that </w:t>
      </w:r>
      <w:r>
        <w:rPr>
          <w:sz w:val="24"/>
          <w:szCs w:val="24"/>
        </w:rPr>
        <w:t xml:space="preserve">could be exacerbated by </w:t>
      </w:r>
      <w:r>
        <w:rPr>
          <w:sz w:val="24"/>
          <w:szCs w:val="24"/>
          <w:lang w:val="x-none"/>
        </w:rPr>
        <w:t>additional beryllium exposure</w:t>
      </w:r>
      <w:r>
        <w:rPr>
          <w:sz w:val="24"/>
          <w:szCs w:val="24"/>
        </w:rPr>
        <w:t>.   The referral will also help to</w:t>
      </w:r>
      <w:r>
        <w:rPr>
          <w:sz w:val="24"/>
          <w:szCs w:val="24"/>
          <w:lang w:val="x-none"/>
        </w:rPr>
        <w:t xml:space="preserve"> determine if </w:t>
      </w:r>
      <w:r>
        <w:rPr>
          <w:sz w:val="24"/>
          <w:szCs w:val="24"/>
        </w:rPr>
        <w:t>that</w:t>
      </w:r>
      <w:r>
        <w:rPr>
          <w:sz w:val="24"/>
          <w:szCs w:val="24"/>
          <w:lang w:val="x-none"/>
        </w:rPr>
        <w:t xml:space="preserve"> employee will be able to work in the job involving beryllium exposure without</w:t>
      </w:r>
      <w:r>
        <w:rPr>
          <w:sz w:val="24"/>
          <w:szCs w:val="24"/>
        </w:rPr>
        <w:t xml:space="preserve"> increased risk of</w:t>
      </w:r>
      <w:r>
        <w:rPr>
          <w:sz w:val="24"/>
          <w:szCs w:val="24"/>
          <w:lang w:val="x-none"/>
        </w:rPr>
        <w:t xml:space="preserve"> adverse</w:t>
      </w:r>
      <w:r>
        <w:rPr>
          <w:sz w:val="24"/>
          <w:szCs w:val="24"/>
        </w:rPr>
        <w:t xml:space="preserve"> health</w:t>
      </w:r>
      <w:r>
        <w:rPr>
          <w:sz w:val="24"/>
          <w:szCs w:val="24"/>
          <w:lang w:val="x-none"/>
        </w:rPr>
        <w:t xml:space="preserve"> effects.</w:t>
      </w:r>
    </w:p>
    <w:p w:rsidR="00E35242" w:rsidRDefault="00E35242" w:rsidP="00E35242">
      <w:pPr>
        <w:pStyle w:val="BodyTextFirstIndent"/>
        <w:ind w:firstLine="0"/>
        <w:rPr>
          <w:sz w:val="24"/>
          <w:szCs w:val="24"/>
          <w:lang w:val="x-none"/>
        </w:rPr>
      </w:pPr>
      <w:r>
        <w:rPr>
          <w:sz w:val="24"/>
          <w:szCs w:val="24"/>
          <w:lang w:val="x-none"/>
        </w:rPr>
        <w:t xml:space="preserve">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   </w:t>
      </w:r>
    </w:p>
    <w:p w:rsidR="00E35242" w:rsidRDefault="00E35242" w:rsidP="00E35242">
      <w:pPr>
        <w:pStyle w:val="BodyTextFirstIndent"/>
        <w:ind w:firstLine="0"/>
        <w:rPr>
          <w:sz w:val="24"/>
          <w:szCs w:val="24"/>
          <w:lang w:val="x-none"/>
        </w:rPr>
      </w:pPr>
      <w:r>
        <w:rPr>
          <w:sz w:val="24"/>
          <w:szCs w:val="24"/>
          <w:lang w:val="x-none"/>
        </w:rPr>
        <w:t xml:space="preserve">The </w:t>
      </w:r>
      <w:r>
        <w:rPr>
          <w:sz w:val="24"/>
          <w:szCs w:val="24"/>
        </w:rPr>
        <w:t>requirement</w:t>
      </w:r>
      <w:r>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w:t>
      </w:r>
      <w:r w:rsidR="00D45237">
        <w:rPr>
          <w:sz w:val="24"/>
          <w:szCs w:val="24"/>
        </w:rPr>
        <w:t>the</w:t>
      </w:r>
      <w:r>
        <w:rPr>
          <w:sz w:val="24"/>
          <w:szCs w:val="24"/>
          <w:lang w:val="x-none"/>
        </w:rPr>
        <w:t xml:space="preserve">standard adversely affects the health of </w:t>
      </w:r>
      <w:r>
        <w:rPr>
          <w:lang w:val="x-none"/>
        </w:rPr>
        <w:t>workers</w:t>
      </w:r>
      <w:r>
        <w:rPr>
          <w:sz w:val="24"/>
          <w:szCs w:val="24"/>
          <w:lang w:val="x-none"/>
        </w:rPr>
        <w:t>.</w:t>
      </w:r>
    </w:p>
    <w:p w:rsidR="00E35242" w:rsidRDefault="00E35242" w:rsidP="00E35242">
      <w:pPr>
        <w:spacing w:line="480" w:lineRule="auto"/>
        <w:rPr>
          <w:rFonts w:ascii="Calibri" w:hAnsi="Calibri"/>
        </w:rPr>
      </w:pPr>
      <w:r>
        <w:rPr>
          <w:b/>
          <w:bCs/>
        </w:rPr>
        <w:t>§1910.1024 (l</w:t>
      </w:r>
      <w:proofErr w:type="gramStart"/>
      <w:r>
        <w:rPr>
          <w:b/>
          <w:bCs/>
        </w:rPr>
        <w:t>)(</w:t>
      </w:r>
      <w:proofErr w:type="gramEnd"/>
      <w:r>
        <w:rPr>
          <w:b/>
          <w:bCs/>
        </w:rPr>
        <w:t>1) and (l)(2) --Medical removal</w:t>
      </w:r>
      <w:r>
        <w:rPr>
          <w:rFonts w:ascii="Calibri" w:hAnsi="Calibri"/>
        </w:rPr>
        <w:t xml:space="preserve">. </w:t>
      </w:r>
    </w:p>
    <w:p w:rsidR="00E35242" w:rsidRDefault="00E35242" w:rsidP="00E35242">
      <w:r>
        <w:t>(1) An employee is eligible for medical removal, if the employee works in a job with airborne exposure at or above the action level and either:</w:t>
      </w:r>
    </w:p>
    <w:p w:rsidR="007A2DF7" w:rsidRDefault="00E35242" w:rsidP="00E35242">
      <w:r>
        <w:t>           </w:t>
      </w:r>
    </w:p>
    <w:p w:rsidR="00E35242" w:rsidRDefault="00E35242" w:rsidP="00E35242">
      <w:r>
        <w:t xml:space="preserve"> (</w:t>
      </w:r>
      <w:proofErr w:type="spellStart"/>
      <w:r>
        <w:t>i</w:t>
      </w:r>
      <w:proofErr w:type="spellEnd"/>
      <w:r>
        <w:t>) The employee provides the employer with:</w:t>
      </w:r>
    </w:p>
    <w:p w:rsidR="00E35242" w:rsidRDefault="00E35242" w:rsidP="003B0846">
      <w:pPr>
        <w:ind w:left="720"/>
      </w:pPr>
      <w:r>
        <w:t>(A) A written medical report indicating a confirmed positive finding or CBD diagnosis; or</w:t>
      </w:r>
    </w:p>
    <w:p w:rsidR="00E35242" w:rsidRDefault="00E35242" w:rsidP="007A2DF7">
      <w:pPr>
        <w:ind w:left="720"/>
      </w:pPr>
      <w:r>
        <w:lastRenderedPageBreak/>
        <w:t>(B) A written medical report recommending removal from airborne exposure to beryllium in accordance with paragraph (k</w:t>
      </w:r>
      <w:proofErr w:type="gramStart"/>
      <w:r>
        <w:t>)(</w:t>
      </w:r>
      <w:proofErr w:type="gramEnd"/>
      <w:r>
        <w:t>5)(v) or (k)(7)(ii) of this standard; or</w:t>
      </w:r>
    </w:p>
    <w:p w:rsidR="007A2DF7" w:rsidRDefault="007A2DF7" w:rsidP="007A2DF7">
      <w:pPr>
        <w:ind w:left="720"/>
      </w:pPr>
    </w:p>
    <w:p w:rsidR="00E35242" w:rsidRDefault="00E35242" w:rsidP="007A2DF7">
      <w:pPr>
        <w:pStyle w:val="BodyTextFirstIndent"/>
        <w:ind w:firstLine="0"/>
        <w:jc w:val="both"/>
        <w:rPr>
          <w:sz w:val="24"/>
          <w:szCs w:val="24"/>
        </w:rPr>
      </w:pPr>
      <w:r>
        <w:rPr>
          <w:lang w:val="x-none"/>
        </w:rPr>
        <w:t>(ii) The employer receives a written medical opinion recommending removal from airborne exposure to beryllium in accordance with paragraph (k)(6)(v) or (k)(7)(iii) of this standard.</w:t>
      </w:r>
    </w:p>
    <w:p w:rsidR="00E35242" w:rsidRDefault="00E35242" w:rsidP="00E35242">
      <w:pPr>
        <w:pStyle w:val="BodyTextFirstIndent"/>
        <w:ind w:firstLine="0"/>
        <w:jc w:val="both"/>
        <w:rPr>
          <w:sz w:val="24"/>
          <w:szCs w:val="24"/>
        </w:rPr>
      </w:pPr>
      <w:r>
        <w:rPr>
          <w:sz w:val="24"/>
          <w:szCs w:val="24"/>
        </w:rPr>
        <w:t xml:space="preserve">(2) If an employee is eligible for medical removal, the employer must provide the employee with the employee’s choice of: </w:t>
      </w:r>
    </w:p>
    <w:p w:rsidR="007A2DF7" w:rsidRDefault="00E35242" w:rsidP="007A2DF7">
      <w:pPr>
        <w:pStyle w:val="BodyTextFirstIndent"/>
        <w:ind w:firstLine="0"/>
        <w:jc w:val="both"/>
        <w:rPr>
          <w:sz w:val="24"/>
          <w:szCs w:val="24"/>
        </w:rPr>
      </w:pPr>
      <w:r>
        <w:rPr>
          <w:sz w:val="24"/>
          <w:szCs w:val="24"/>
        </w:rPr>
        <w:t>(</w:t>
      </w:r>
      <w:proofErr w:type="spellStart"/>
      <w:r>
        <w:rPr>
          <w:sz w:val="24"/>
          <w:szCs w:val="24"/>
        </w:rPr>
        <w:t>i</w:t>
      </w:r>
      <w:proofErr w:type="spellEnd"/>
      <w:r>
        <w:rPr>
          <w:sz w:val="24"/>
          <w:szCs w:val="24"/>
        </w:rPr>
        <w:t>) Removal as described in paragraph (l</w:t>
      </w:r>
      <w:proofErr w:type="gramStart"/>
      <w:r>
        <w:rPr>
          <w:sz w:val="24"/>
          <w:szCs w:val="24"/>
        </w:rPr>
        <w:t>)(</w:t>
      </w:r>
      <w:proofErr w:type="gramEnd"/>
      <w:r>
        <w:rPr>
          <w:sz w:val="24"/>
          <w:szCs w:val="24"/>
        </w:rPr>
        <w:t>3) of this standard; or</w:t>
      </w:r>
    </w:p>
    <w:p w:rsidR="00E35242" w:rsidRDefault="00E35242" w:rsidP="007A2DF7">
      <w:pPr>
        <w:pStyle w:val="BodyTextFirstIndent"/>
        <w:ind w:firstLine="0"/>
        <w:jc w:val="both"/>
        <w:rPr>
          <w:sz w:val="24"/>
          <w:szCs w:val="24"/>
        </w:rPr>
      </w:pPr>
      <w:r>
        <w:t>(ii</w:t>
      </w:r>
      <w:r>
        <w:rPr>
          <w:sz w:val="24"/>
          <w:szCs w:val="24"/>
        </w:rPr>
        <w:t>) Remaining in a job with airborne exposure at or above the action level, provided that</w:t>
      </w:r>
      <w:r w:rsidR="007A2DF7">
        <w:rPr>
          <w:sz w:val="24"/>
          <w:szCs w:val="24"/>
        </w:rPr>
        <w:t xml:space="preserve"> </w:t>
      </w:r>
      <w:r>
        <w:rPr>
          <w:sz w:val="24"/>
          <w:szCs w:val="24"/>
        </w:rPr>
        <w:t>the employer provides, and ensures that the employee uses, respiratory protection that complies with paragraph (g) of this standard whenever airborne exposures are at or above the action level.</w:t>
      </w:r>
    </w:p>
    <w:p w:rsidR="00E35242" w:rsidRDefault="00E35242" w:rsidP="00E35242">
      <w:pPr>
        <w:pStyle w:val="BodyTextFirstIndent"/>
        <w:ind w:firstLine="0"/>
        <w:rPr>
          <w:sz w:val="24"/>
          <w:szCs w:val="24"/>
        </w:rPr>
      </w:pPr>
      <w:r>
        <w:rPr>
          <w:i/>
          <w:iCs/>
          <w:sz w:val="24"/>
          <w:szCs w:val="24"/>
          <w:lang w:val="x-none"/>
        </w:rPr>
        <w:t xml:space="preserve">Purpose:  </w:t>
      </w:r>
      <w:r>
        <w:rPr>
          <w:sz w:val="24"/>
          <w:szCs w:val="24"/>
          <w:lang w:val="x-none"/>
        </w:rPr>
        <w:t xml:space="preserve">The purpose of </w:t>
      </w:r>
      <w:r>
        <w:rPr>
          <w:sz w:val="24"/>
          <w:szCs w:val="24"/>
        </w:rPr>
        <w:t>these provisions is</w:t>
      </w:r>
      <w:r>
        <w:rPr>
          <w:sz w:val="28"/>
          <w:szCs w:val="28"/>
        </w:rPr>
        <w:t xml:space="preserve"> </w:t>
      </w:r>
      <w:r>
        <w:rPr>
          <w:sz w:val="24"/>
          <w:szCs w:val="24"/>
        </w:rPr>
        <w:t>to provide an option for medical removal of</w:t>
      </w:r>
      <w:r>
        <w:rPr>
          <w:sz w:val="24"/>
          <w:szCs w:val="24"/>
          <w:lang w:val="x-none"/>
        </w:rPr>
        <w:t xml:space="preserve"> workers </w:t>
      </w:r>
      <w:r>
        <w:rPr>
          <w:sz w:val="24"/>
          <w:szCs w:val="24"/>
        </w:rPr>
        <w:t xml:space="preserve">in jobs </w:t>
      </w:r>
      <w:r>
        <w:rPr>
          <w:sz w:val="24"/>
          <w:szCs w:val="24"/>
          <w:lang w:val="x-none"/>
        </w:rPr>
        <w:t>with airborne exposure to beryllium at or above the action level</w:t>
      </w:r>
      <w:r>
        <w:rPr>
          <w:sz w:val="24"/>
          <w:szCs w:val="24"/>
        </w:rPr>
        <w:t xml:space="preserve"> and </w:t>
      </w:r>
      <w:r>
        <w:rPr>
          <w:sz w:val="24"/>
          <w:szCs w:val="24"/>
          <w:lang w:val="x-none"/>
        </w:rPr>
        <w:t>who are diagnosed with CBD</w:t>
      </w:r>
      <w:r>
        <w:rPr>
          <w:sz w:val="24"/>
          <w:szCs w:val="24"/>
        </w:rPr>
        <w:t xml:space="preserve">, </w:t>
      </w:r>
      <w:r>
        <w:rPr>
          <w:sz w:val="24"/>
          <w:szCs w:val="24"/>
          <w:lang w:val="x-none"/>
        </w:rPr>
        <w:t>confirmed positive</w:t>
      </w:r>
      <w:r>
        <w:rPr>
          <w:sz w:val="24"/>
          <w:szCs w:val="24"/>
        </w:rPr>
        <w:t xml:space="preserve">, or otherwise recommended for removal by a physician.  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 </w:t>
      </w:r>
    </w:p>
    <w:p w:rsidR="00E35242" w:rsidRDefault="00E35242" w:rsidP="00E35242">
      <w:pPr>
        <w:pStyle w:val="BodyTextFirstIndent"/>
        <w:ind w:firstLine="0"/>
        <w:rPr>
          <w:lang w:val="x-none"/>
        </w:rPr>
      </w:pPr>
      <w:r>
        <w:rPr>
          <w:b/>
          <w:bCs/>
          <w:lang w:val="x-none"/>
        </w:rPr>
        <w:t>§</w:t>
      </w:r>
      <w:r>
        <w:rPr>
          <w:b/>
          <w:bCs/>
          <w:sz w:val="24"/>
          <w:szCs w:val="24"/>
          <w:lang w:val="x-none"/>
        </w:rPr>
        <w:t>1910.1024 (m)(1) -- Communication of hazards</w:t>
      </w:r>
      <w:r>
        <w:rPr>
          <w:i/>
          <w:iCs/>
          <w:sz w:val="24"/>
          <w:szCs w:val="24"/>
          <w:lang w:val="x-none"/>
        </w:rPr>
        <w:t>.</w:t>
      </w:r>
    </w:p>
    <w:p w:rsidR="00E35242" w:rsidRDefault="00E35242" w:rsidP="00E35242">
      <w:r>
        <w:rPr>
          <w:b/>
          <w:bCs/>
        </w:rPr>
        <w:t>(1) General</w:t>
      </w:r>
      <w:r>
        <w:t>. (</w:t>
      </w:r>
      <w:proofErr w:type="spellStart"/>
      <w:r>
        <w:t>i</w:t>
      </w:r>
      <w:proofErr w:type="spellEnd"/>
      <w:r>
        <w:t>) Chemical manufacturers, importers, distributors, and employers must comply with all requirements of the HCS (29 CFR 1910.1200) for beryllium.</w:t>
      </w:r>
    </w:p>
    <w:p w:rsidR="00E35242" w:rsidRDefault="00E35242" w:rsidP="00E35242">
      <w:pPr>
        <w:ind w:firstLine="720"/>
      </w:pPr>
    </w:p>
    <w:p w:rsidR="00E35242" w:rsidRDefault="00E35242" w:rsidP="00E35242">
      <w: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proofErr w:type="gramStart"/>
      <w:r>
        <w:t>)(</w:t>
      </w:r>
      <w:proofErr w:type="gramEnd"/>
      <w:r>
        <w:t>4) of this standard.</w:t>
      </w:r>
      <w:r>
        <w:rPr>
          <w:rStyle w:val="FootnoteReference"/>
          <w:lang w:eastAsia="en-US"/>
        </w:rPr>
        <w:footnoteReference w:customMarkFollows="1" w:id="3"/>
        <w:t>[2]</w:t>
      </w:r>
    </w:p>
    <w:p w:rsidR="00E35242" w:rsidRDefault="00E35242" w:rsidP="00E35242">
      <w:pPr>
        <w:rPr>
          <w:b/>
          <w:bCs/>
        </w:rPr>
      </w:pPr>
    </w:p>
    <w:p w:rsidR="00E35242" w:rsidRDefault="00E35242" w:rsidP="00E35242">
      <w:r>
        <w:rPr>
          <w:i/>
          <w:iCs/>
        </w:rPr>
        <w:t xml:space="preserve">Purpose:  </w:t>
      </w:r>
      <w:r>
        <w:t>The purpose of ensuring that each employee has training and access to labels and safety sheets is to enable workers and downstream employers to take the precautions necessary to implement special practices to prevent or reduce beryllium exposure.  Requirements that employers provide training to workers, both in this provision and elsewhere such as in paragraph (m</w:t>
      </w:r>
      <w:proofErr w:type="gramStart"/>
      <w:r>
        <w:t>)(</w:t>
      </w:r>
      <w:proofErr w:type="gramEnd"/>
      <w:r>
        <w:t>3), are not collections of information.</w:t>
      </w:r>
    </w:p>
    <w:p w:rsidR="00E35242" w:rsidRDefault="00E35242" w:rsidP="00E35242"/>
    <w:p w:rsidR="00E35242" w:rsidRDefault="00E35242" w:rsidP="00E35242">
      <w:pPr>
        <w:rPr>
          <w:b/>
          <w:bCs/>
        </w:rPr>
      </w:pPr>
      <w:r>
        <w:rPr>
          <w:b/>
          <w:bCs/>
        </w:rPr>
        <w:t>§1910.1024(m</w:t>
      </w:r>
      <w:proofErr w:type="gramStart"/>
      <w:r>
        <w:rPr>
          <w:b/>
          <w:bCs/>
        </w:rPr>
        <w:t>)(</w:t>
      </w:r>
      <w:proofErr w:type="gramEnd"/>
      <w:r>
        <w:rPr>
          <w:b/>
          <w:bCs/>
        </w:rPr>
        <w:t>2)– Warning Signs</w:t>
      </w:r>
    </w:p>
    <w:p w:rsidR="00E35242" w:rsidRDefault="00E35242" w:rsidP="00E35242">
      <w:pPr>
        <w:rPr>
          <w:b/>
          <w:bCs/>
        </w:rPr>
      </w:pPr>
    </w:p>
    <w:p w:rsidR="00E35242" w:rsidRDefault="00E35242" w:rsidP="00E35242">
      <w:r>
        <w:rPr>
          <w:b/>
          <w:bCs/>
        </w:rPr>
        <w:lastRenderedPageBreak/>
        <w:t xml:space="preserve">(2) Warning signs. </w:t>
      </w:r>
      <w:r>
        <w:t>(</w:t>
      </w:r>
      <w:proofErr w:type="spellStart"/>
      <w:r>
        <w:t>i</w:t>
      </w:r>
      <w:proofErr w:type="spellEnd"/>
      <w:r>
        <w:t xml:space="preserve">) </w:t>
      </w:r>
      <w:r>
        <w:rPr>
          <w:u w:val="single"/>
        </w:rPr>
        <w:t>Posting</w:t>
      </w:r>
      <w:r>
        <w:t>.  The employer must provide and display warning signs at each approach to a regulated area so that each employee is able to read and understand the signs and take necessary protective steps before entering the area.</w:t>
      </w:r>
    </w:p>
    <w:p w:rsidR="00E35242" w:rsidRDefault="00E35242" w:rsidP="00E35242"/>
    <w:p w:rsidR="00E35242" w:rsidRDefault="00E35242" w:rsidP="00E35242">
      <w:r>
        <w:t xml:space="preserve">(ii) </w:t>
      </w:r>
      <w:r>
        <w:rPr>
          <w:u w:val="single"/>
        </w:rPr>
        <w:t>Sign specification</w:t>
      </w:r>
      <w:r>
        <w:t>.</w:t>
      </w:r>
    </w:p>
    <w:p w:rsidR="00E35242" w:rsidRDefault="00E35242" w:rsidP="00E35242">
      <w:pPr>
        <w:rPr>
          <w:u w:val="single"/>
        </w:rPr>
      </w:pPr>
    </w:p>
    <w:p w:rsidR="00E35242" w:rsidRDefault="00E35242" w:rsidP="00E35242">
      <w:pPr>
        <w:ind w:left="720"/>
      </w:pPr>
      <w:r>
        <w:t>(A) The employer must ensure that the warning signs required by paragraph (m</w:t>
      </w:r>
      <w:proofErr w:type="gramStart"/>
      <w:r>
        <w:t>)(</w:t>
      </w:r>
      <w:proofErr w:type="gramEnd"/>
      <w:r>
        <w:t>2)(</w:t>
      </w:r>
      <w:proofErr w:type="spellStart"/>
      <w:r>
        <w:t>i</w:t>
      </w:r>
      <w:proofErr w:type="spellEnd"/>
      <w:r>
        <w:t xml:space="preserve">) of this standard are legible and readily visible. </w:t>
      </w:r>
    </w:p>
    <w:p w:rsidR="00E35242" w:rsidRDefault="00E35242" w:rsidP="00E35242">
      <w:pPr>
        <w:ind w:firstLine="720"/>
      </w:pPr>
    </w:p>
    <w:p w:rsidR="00E35242" w:rsidRDefault="00E35242" w:rsidP="00E35242">
      <w:pPr>
        <w:ind w:left="720"/>
      </w:pPr>
      <w:r>
        <w:t>(B) The employer must ensure each warning sign required by paragraph (m</w:t>
      </w:r>
      <w:proofErr w:type="gramStart"/>
      <w:r>
        <w:t>)(</w:t>
      </w:r>
      <w:proofErr w:type="gramEnd"/>
      <w:r>
        <w:t>2)(</w:t>
      </w:r>
      <w:proofErr w:type="spellStart"/>
      <w:r>
        <w:t>i</w:t>
      </w:r>
      <w:proofErr w:type="spellEnd"/>
      <w:r>
        <w:t>) of this standard bears the following legend:</w:t>
      </w:r>
    </w:p>
    <w:p w:rsidR="00E35242" w:rsidRDefault="00E35242" w:rsidP="00E35242">
      <w:pPr>
        <w:ind w:left="720"/>
      </w:pPr>
    </w:p>
    <w:p w:rsidR="00E35242" w:rsidRDefault="00E35242" w:rsidP="00E35242">
      <w:pPr>
        <w:spacing w:line="480" w:lineRule="auto"/>
        <w:rPr>
          <w:b/>
          <w:bCs/>
        </w:rPr>
      </w:pPr>
      <w:r>
        <w:rPr>
          <w:b/>
          <w:bCs/>
        </w:rPr>
        <w:t>                                                                     DANGER</w:t>
      </w:r>
    </w:p>
    <w:p w:rsidR="00E35242" w:rsidRDefault="00E35242" w:rsidP="00E35242">
      <w:pPr>
        <w:spacing w:line="480" w:lineRule="auto"/>
        <w:rPr>
          <w:b/>
          <w:bCs/>
        </w:rPr>
      </w:pPr>
      <w:r>
        <w:rPr>
          <w:b/>
          <w:bCs/>
        </w:rPr>
        <w:t>                                                           REGULATED AREA</w:t>
      </w:r>
    </w:p>
    <w:p w:rsidR="00E35242" w:rsidRDefault="00E35242" w:rsidP="00E35242">
      <w:pPr>
        <w:spacing w:line="480" w:lineRule="auto"/>
        <w:rPr>
          <w:b/>
          <w:bCs/>
        </w:rPr>
      </w:pPr>
      <w:r>
        <w:rPr>
          <w:b/>
          <w:bCs/>
        </w:rPr>
        <w:t xml:space="preserve">                                                                  BERYLLIUM  </w:t>
      </w:r>
    </w:p>
    <w:p w:rsidR="00E35242" w:rsidRDefault="00E35242" w:rsidP="00E35242">
      <w:pPr>
        <w:spacing w:line="480" w:lineRule="auto"/>
        <w:jc w:val="center"/>
        <w:rPr>
          <w:b/>
          <w:bCs/>
        </w:rPr>
      </w:pPr>
      <w:r>
        <w:rPr>
          <w:b/>
          <w:bCs/>
        </w:rPr>
        <w:t>MAY CAUSE CANCER</w:t>
      </w:r>
    </w:p>
    <w:p w:rsidR="00E35242" w:rsidRDefault="00E35242" w:rsidP="00E35242">
      <w:pPr>
        <w:spacing w:line="480" w:lineRule="auto"/>
        <w:jc w:val="center"/>
        <w:rPr>
          <w:b/>
          <w:bCs/>
        </w:rPr>
      </w:pPr>
      <w:r>
        <w:rPr>
          <w:b/>
          <w:bCs/>
        </w:rPr>
        <w:t>CAUSES DAMAGE TO LUNGS</w:t>
      </w:r>
    </w:p>
    <w:p w:rsidR="00E35242" w:rsidRDefault="00E35242" w:rsidP="00E35242">
      <w:pPr>
        <w:spacing w:line="480" w:lineRule="auto"/>
        <w:rPr>
          <w:b/>
          <w:bCs/>
        </w:rPr>
      </w:pPr>
      <w:r>
        <w:rPr>
          <w:b/>
          <w:bCs/>
        </w:rPr>
        <w:t>                                             AUTHORIZED PERSONNEL ONLY</w:t>
      </w:r>
    </w:p>
    <w:p w:rsidR="00E35242" w:rsidRDefault="00E35242" w:rsidP="00E35242">
      <w:pPr>
        <w:spacing w:line="480" w:lineRule="auto"/>
        <w:jc w:val="center"/>
        <w:rPr>
          <w:b/>
          <w:bCs/>
        </w:rPr>
      </w:pPr>
      <w:r>
        <w:rPr>
          <w:b/>
          <w:bCs/>
        </w:rPr>
        <w:t>WEAR RESPIRATORY PROTECTION AND PROTECTIVE CLOTHING AND EQUIPMENT IN THIS AREA</w:t>
      </w:r>
    </w:p>
    <w:p w:rsidR="00E35242" w:rsidRDefault="00E35242" w:rsidP="00E35242">
      <w:r>
        <w:rPr>
          <w:i/>
          <w:iCs/>
        </w:rPr>
        <w:t>Purpose</w:t>
      </w:r>
      <w:r>
        <w:t xml:space="preserve">:  Posting warning signs informs workers that they are entering a regulated area, and that they must have proper authorization before entering such an area.  Warning signs allow workers and others to take the precautions necessary to avoid harmful beryllium exposures.  </w:t>
      </w:r>
    </w:p>
    <w:p w:rsidR="00E35242" w:rsidRDefault="00E35242" w:rsidP="00E35242"/>
    <w:p w:rsidR="00E35242" w:rsidRDefault="00E35242" w:rsidP="00E35242">
      <w:r>
        <w:t>Under PRA, information originally supplied by the Federal government to the recipient for the purpose of disclosure to the public is not considered to be a collection of information (5 CFR 1320.3(c</w:t>
      </w:r>
      <w:proofErr w:type="gramStart"/>
      <w:r>
        <w:t>)(</w:t>
      </w:r>
      <w:proofErr w:type="gramEnd"/>
      <w:r>
        <w:t>2)).  The Agency had determined that §1915.1024(m</w:t>
      </w:r>
      <w:proofErr w:type="gramStart"/>
      <w:r>
        <w:t>)(</w:t>
      </w:r>
      <w:proofErr w:type="gramEnd"/>
      <w:r>
        <w:t xml:space="preserve">2) warning signs is not a collection of information. </w:t>
      </w:r>
    </w:p>
    <w:p w:rsidR="00E35242" w:rsidRDefault="00E35242" w:rsidP="00E35242">
      <w:pPr>
        <w:rPr>
          <w:b/>
          <w:bCs/>
        </w:rPr>
      </w:pPr>
    </w:p>
    <w:p w:rsidR="00E35242" w:rsidRDefault="00E35242" w:rsidP="00E35242">
      <w:pPr>
        <w:rPr>
          <w:b/>
          <w:bCs/>
        </w:rPr>
      </w:pPr>
      <w:r>
        <w:rPr>
          <w:b/>
          <w:bCs/>
        </w:rPr>
        <w:t>§1910.1024(m</w:t>
      </w:r>
      <w:proofErr w:type="gramStart"/>
      <w:r>
        <w:rPr>
          <w:b/>
          <w:bCs/>
        </w:rPr>
        <w:t>)(</w:t>
      </w:r>
      <w:proofErr w:type="gramEnd"/>
      <w:r>
        <w:rPr>
          <w:b/>
          <w:bCs/>
        </w:rPr>
        <w:t>3) –  Warning labels</w:t>
      </w:r>
    </w:p>
    <w:p w:rsidR="00E35242" w:rsidRDefault="00E35242" w:rsidP="00E35242"/>
    <w:p w:rsidR="00E35242" w:rsidRDefault="00E35242" w:rsidP="00E35242">
      <w:pPr>
        <w:rPr>
          <w:b/>
          <w:bCs/>
        </w:rPr>
      </w:pPr>
      <w:proofErr w:type="gramStart"/>
      <w:r>
        <w:rPr>
          <w:b/>
          <w:bCs/>
          <w:color w:val="000000"/>
          <w:u w:val="single"/>
        </w:rPr>
        <w:t>Warning labels</w:t>
      </w:r>
      <w:r>
        <w:rPr>
          <w:b/>
          <w:bCs/>
          <w:color w:val="000000"/>
        </w:rPr>
        <w:t>.</w:t>
      </w:r>
      <w:proofErr w:type="gramEnd"/>
      <w:r>
        <w:rPr>
          <w:color w:val="000000"/>
        </w:rPr>
        <w:t xml:space="preserve"> Consistent with the HCS (29 CFR 1910.1200), the employer must label each bag and container of clothing, equipment, and materials contaminated with beryllium, and must, at a minimum, include the following on the label:</w:t>
      </w:r>
      <w:r>
        <w:rPr>
          <w:b/>
          <w:bCs/>
        </w:rPr>
        <w:t xml:space="preserve"> </w:t>
      </w:r>
    </w:p>
    <w:p w:rsidR="00E35242" w:rsidRDefault="00E35242" w:rsidP="00E35242"/>
    <w:p w:rsidR="00E35242" w:rsidRDefault="00E35242" w:rsidP="00E35242">
      <w:pPr>
        <w:spacing w:line="480" w:lineRule="auto"/>
        <w:ind w:firstLine="4320"/>
        <w:rPr>
          <w:b/>
          <w:bCs/>
        </w:rPr>
      </w:pPr>
      <w:r>
        <w:rPr>
          <w:b/>
          <w:bCs/>
        </w:rPr>
        <w:t>DANGER</w:t>
      </w:r>
    </w:p>
    <w:p w:rsidR="00E35242" w:rsidRDefault="00E35242" w:rsidP="00E35242">
      <w:pPr>
        <w:spacing w:line="480" w:lineRule="auto"/>
        <w:rPr>
          <w:b/>
          <w:bCs/>
        </w:rPr>
      </w:pPr>
      <w:r>
        <w:rPr>
          <w:b/>
          <w:bCs/>
        </w:rPr>
        <w:lastRenderedPageBreak/>
        <w:t xml:space="preserve">                                                      CONTAINS BERYLLIUM  </w:t>
      </w:r>
    </w:p>
    <w:p w:rsidR="00E35242" w:rsidRDefault="00E35242" w:rsidP="00E35242">
      <w:pPr>
        <w:spacing w:line="480" w:lineRule="auto"/>
        <w:jc w:val="center"/>
        <w:rPr>
          <w:b/>
          <w:bCs/>
        </w:rPr>
      </w:pPr>
      <w:r>
        <w:rPr>
          <w:b/>
          <w:bCs/>
        </w:rPr>
        <w:t>MAY CAUSE CANCER</w:t>
      </w:r>
    </w:p>
    <w:p w:rsidR="00E35242" w:rsidRDefault="00E35242" w:rsidP="00E35242">
      <w:pPr>
        <w:spacing w:line="480" w:lineRule="auto"/>
        <w:jc w:val="center"/>
        <w:rPr>
          <w:b/>
          <w:bCs/>
        </w:rPr>
      </w:pPr>
      <w:r>
        <w:rPr>
          <w:b/>
          <w:bCs/>
        </w:rPr>
        <w:t>CAUSES DAMAGE TO LUNGS</w:t>
      </w:r>
    </w:p>
    <w:p w:rsidR="00E35242" w:rsidRDefault="00E35242" w:rsidP="00E35242">
      <w:pPr>
        <w:spacing w:line="480" w:lineRule="auto"/>
        <w:jc w:val="center"/>
        <w:rPr>
          <w:b/>
          <w:bCs/>
        </w:rPr>
      </w:pPr>
      <w:r>
        <w:rPr>
          <w:b/>
          <w:bCs/>
        </w:rPr>
        <w:t>AVOID CREATING DUST</w:t>
      </w:r>
    </w:p>
    <w:p w:rsidR="00E35242" w:rsidRDefault="00E35242" w:rsidP="00E35242">
      <w:pPr>
        <w:spacing w:line="480" w:lineRule="auto"/>
        <w:jc w:val="center"/>
        <w:rPr>
          <w:b/>
          <w:bCs/>
        </w:rPr>
      </w:pPr>
      <w:r>
        <w:rPr>
          <w:b/>
          <w:bCs/>
        </w:rPr>
        <w:t>DO NOT GET ON SKIN</w:t>
      </w:r>
    </w:p>
    <w:p w:rsidR="00E35242" w:rsidRDefault="00E35242" w:rsidP="00E35242">
      <w:r>
        <w:rPr>
          <w:i/>
          <w:iCs/>
        </w:rPr>
        <w:t>Purpose</w:t>
      </w:r>
      <w:r>
        <w:t xml:space="preserve">:  Warning labels inform workers and downstream employers of the hazards associated with beryllium, and that they may need to implement special practices to prevent or reduce beryllium exposure.  Furthermore, the labels alert downstream employers that they may have an obligation to protect their workers under the standard. </w:t>
      </w:r>
    </w:p>
    <w:p w:rsidR="00E35242" w:rsidRDefault="00E35242" w:rsidP="00E35242"/>
    <w:p w:rsidR="00E35242" w:rsidRDefault="00E35242" w:rsidP="00E35242">
      <w:r>
        <w:t>As noted in §1915.1024(m</w:t>
      </w:r>
      <w:proofErr w:type="gramStart"/>
      <w:r>
        <w:t>)(</w:t>
      </w:r>
      <w:proofErr w:type="gramEnd"/>
      <w:r>
        <w:t>2), information originally supplied by the Federal government to the recipient for the purpose of disclosure to the public is not considered to be a collection of information (5 CFR 1320.3(c)(2)).  The Agency has determined 1910.1024(m</w:t>
      </w:r>
      <w:proofErr w:type="gramStart"/>
      <w:r>
        <w:t>)(</w:t>
      </w:r>
      <w:proofErr w:type="gramEnd"/>
      <w:r>
        <w:t>3) --§1915.1024(m)(3) --§1926.1124(m)(2) –  warning labels are not collections of information.</w:t>
      </w:r>
    </w:p>
    <w:p w:rsidR="00E35242" w:rsidRDefault="00E35242" w:rsidP="00E35242"/>
    <w:p w:rsidR="00E35242" w:rsidRDefault="00E35242" w:rsidP="00E35242">
      <w:pPr>
        <w:rPr>
          <w:b/>
          <w:bCs/>
        </w:rPr>
      </w:pPr>
      <w:r>
        <w:rPr>
          <w:b/>
          <w:bCs/>
        </w:rPr>
        <w:t>§1910.1024(m</w:t>
      </w:r>
      <w:proofErr w:type="gramStart"/>
      <w:r>
        <w:rPr>
          <w:b/>
          <w:bCs/>
        </w:rPr>
        <w:t>)(</w:t>
      </w:r>
      <w:proofErr w:type="gramEnd"/>
      <w:r>
        <w:rPr>
          <w:b/>
          <w:bCs/>
        </w:rPr>
        <w:t>4)(iv) – Employee Information</w:t>
      </w:r>
    </w:p>
    <w:p w:rsidR="00E35242" w:rsidRDefault="00E35242" w:rsidP="00E35242">
      <w:pPr>
        <w:rPr>
          <w:b/>
          <w:bCs/>
        </w:rPr>
      </w:pPr>
    </w:p>
    <w:p w:rsidR="00E35242" w:rsidRDefault="00E35242" w:rsidP="00E35242">
      <w:pPr>
        <w:rPr>
          <w:b/>
          <w:bCs/>
          <w:color w:val="000000"/>
        </w:rPr>
      </w:pPr>
      <w:proofErr w:type="gramStart"/>
      <w:r>
        <w:rPr>
          <w:color w:val="000000"/>
        </w:rPr>
        <w:t xml:space="preserve">(iv) </w:t>
      </w:r>
      <w:r>
        <w:rPr>
          <w:color w:val="000000"/>
          <w:u w:val="single"/>
        </w:rPr>
        <w:t>Employee</w:t>
      </w:r>
      <w:proofErr w:type="gramEnd"/>
      <w:r>
        <w:rPr>
          <w:color w:val="000000"/>
          <w:u w:val="single"/>
        </w:rPr>
        <w:t xml:space="preserve"> Information.</w:t>
      </w:r>
      <w:r>
        <w:rPr>
          <w:color w:val="000000"/>
        </w:rPr>
        <w:t xml:space="preserve"> The employer must make a copy of this standard and its appendices readily available at no cost to each employee and designated employee representative(s).</w:t>
      </w:r>
    </w:p>
    <w:p w:rsidR="00E35242" w:rsidRDefault="00E35242" w:rsidP="00E35242">
      <w:pPr>
        <w:rPr>
          <w:b/>
          <w:bCs/>
        </w:rPr>
      </w:pPr>
    </w:p>
    <w:p w:rsidR="00E35242" w:rsidRDefault="00E35242" w:rsidP="00E35242">
      <w:r>
        <w:rPr>
          <w:i/>
          <w:iCs/>
        </w:rPr>
        <w:t>Purpose</w:t>
      </w:r>
      <w:r>
        <w:t xml:space="preserve">: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 for this requirement.   </w:t>
      </w:r>
    </w:p>
    <w:p w:rsidR="00E35242" w:rsidRDefault="00E35242" w:rsidP="00E35242">
      <w:pPr>
        <w:rPr>
          <w:b/>
          <w:bCs/>
        </w:rPr>
      </w:pPr>
    </w:p>
    <w:p w:rsidR="00E35242" w:rsidRDefault="00E35242" w:rsidP="00E35242">
      <w:pPr>
        <w:rPr>
          <w:b/>
          <w:bCs/>
        </w:rPr>
      </w:pPr>
      <w:r>
        <w:rPr>
          <w:b/>
          <w:bCs/>
        </w:rPr>
        <w:t xml:space="preserve">§1910.1024 (n) -- Recordkeeping.  </w:t>
      </w:r>
    </w:p>
    <w:p w:rsidR="00E35242" w:rsidRDefault="00E35242" w:rsidP="00E35242"/>
    <w:p w:rsidR="00E35242" w:rsidRDefault="00E35242" w:rsidP="00E35242">
      <w:pPr>
        <w:rPr>
          <w:b/>
          <w:bCs/>
        </w:rPr>
      </w:pPr>
      <w:r>
        <w:rPr>
          <w:b/>
          <w:bCs/>
        </w:rPr>
        <w:t>§1910.1024 (n</w:t>
      </w:r>
      <w:proofErr w:type="gramStart"/>
      <w:r>
        <w:rPr>
          <w:b/>
          <w:bCs/>
        </w:rPr>
        <w:t>)(</w:t>
      </w:r>
      <w:proofErr w:type="gramEnd"/>
      <w:r>
        <w:rPr>
          <w:b/>
          <w:bCs/>
        </w:rPr>
        <w:t>1)(</w:t>
      </w:r>
      <w:proofErr w:type="spellStart"/>
      <w:r>
        <w:rPr>
          <w:b/>
          <w:bCs/>
        </w:rPr>
        <w:t>i</w:t>
      </w:r>
      <w:proofErr w:type="spellEnd"/>
      <w:r>
        <w:rPr>
          <w:b/>
          <w:bCs/>
        </w:rPr>
        <w:t>), (ii), &amp; (iii) -- Recordkeeping --Air Monitoring Data.</w:t>
      </w:r>
    </w:p>
    <w:p w:rsidR="00E35242" w:rsidRDefault="00E35242" w:rsidP="00E35242">
      <w:pPr>
        <w:rPr>
          <w:b/>
          <w:bCs/>
        </w:rPr>
      </w:pPr>
    </w:p>
    <w:p w:rsidR="00E35242" w:rsidRDefault="00E35242" w:rsidP="00E35242">
      <w:pPr>
        <w:pStyle w:val="iReg"/>
      </w:pPr>
      <w:r>
        <w:t>(</w:t>
      </w:r>
      <w:proofErr w:type="spellStart"/>
      <w:r>
        <w:t>i</w:t>
      </w:r>
      <w:proofErr w:type="spellEnd"/>
      <w:r>
        <w:t>) The employer must make and maintain a record of all exposure measurements taken to assess airborne exposure as prescribed in paragraph (d) of this standard.</w:t>
      </w:r>
    </w:p>
    <w:p w:rsidR="00E35242" w:rsidRDefault="00E35242" w:rsidP="00E35242">
      <w:pPr>
        <w:pStyle w:val="iReg"/>
      </w:pPr>
      <w:r>
        <w:t>(ii) This record must include at least the following information:</w:t>
      </w:r>
    </w:p>
    <w:p w:rsidR="00E35242" w:rsidRDefault="00E35242" w:rsidP="00E35242">
      <w:pPr>
        <w:pStyle w:val="AReg"/>
      </w:pPr>
      <w:r>
        <w:t xml:space="preserve">(A)  The date of measurement for each sample taken;           </w:t>
      </w:r>
    </w:p>
    <w:p w:rsidR="00E35242" w:rsidRDefault="00E35242" w:rsidP="00E35242">
      <w:pPr>
        <w:pStyle w:val="AReg"/>
      </w:pPr>
      <w:r>
        <w:t>(B)  The task that is being monitored;</w:t>
      </w:r>
    </w:p>
    <w:p w:rsidR="00E35242" w:rsidRDefault="00E35242" w:rsidP="00E35242">
      <w:pPr>
        <w:pStyle w:val="AReg"/>
      </w:pPr>
      <w:r>
        <w:lastRenderedPageBreak/>
        <w:t>(C)  The sampling and analytical methods used and evidence of their accuracy;</w:t>
      </w:r>
    </w:p>
    <w:p w:rsidR="00E35242" w:rsidRDefault="00E35242" w:rsidP="00E35242">
      <w:pPr>
        <w:pStyle w:val="AReg"/>
      </w:pPr>
      <w:r>
        <w:t xml:space="preserve">(D)  The number, duration, and results of samples taken;      </w:t>
      </w:r>
    </w:p>
    <w:p w:rsidR="00E35242" w:rsidRDefault="00E35242" w:rsidP="00E35242">
      <w:pPr>
        <w:pStyle w:val="AReg"/>
      </w:pPr>
      <w:r>
        <w:t>(E)  The type of personal protective clothing and equipment, including respirators, worn by monitored employees at the time of monitoring; and</w:t>
      </w:r>
    </w:p>
    <w:p w:rsidR="00E35242" w:rsidRDefault="00E35242" w:rsidP="00E35242">
      <w:pPr>
        <w:pStyle w:val="AReg"/>
      </w:pPr>
      <w:r>
        <w:t xml:space="preserve">(F)  The name, social security number, and job classification of each employee represented by the monitoring, indicating which employees were actually monitored. </w:t>
      </w:r>
    </w:p>
    <w:p w:rsidR="00E35242" w:rsidRDefault="00E35242" w:rsidP="00E35242">
      <w:pPr>
        <w:pStyle w:val="iReg"/>
      </w:pPr>
      <w:r>
        <w:t>(iii) The employer must ensure that exposure records are maintained and made available in accordance with the Records Access standard (29 CFR 1910.1020).</w:t>
      </w:r>
    </w:p>
    <w:p w:rsidR="00E35242" w:rsidRDefault="00E35242" w:rsidP="00E35242">
      <w:pPr>
        <w:rPr>
          <w:b/>
          <w:bCs/>
        </w:rPr>
      </w:pPr>
    </w:p>
    <w:p w:rsidR="00E35242" w:rsidRDefault="00E35242" w:rsidP="00E35242">
      <w:pPr>
        <w:rPr>
          <w:b/>
          <w:bCs/>
        </w:rPr>
      </w:pPr>
    </w:p>
    <w:p w:rsidR="00E35242" w:rsidRDefault="00E35242" w:rsidP="00E35242">
      <w:r>
        <w:rPr>
          <w:b/>
          <w:bCs/>
        </w:rPr>
        <w:t>§1910.1024 (n</w:t>
      </w:r>
      <w:proofErr w:type="gramStart"/>
      <w:r>
        <w:rPr>
          <w:b/>
          <w:bCs/>
        </w:rPr>
        <w:t>)(</w:t>
      </w:r>
      <w:proofErr w:type="gramEnd"/>
      <w:r>
        <w:rPr>
          <w:b/>
          <w:bCs/>
        </w:rPr>
        <w:t>2)(</w:t>
      </w:r>
      <w:proofErr w:type="spellStart"/>
      <w:r>
        <w:rPr>
          <w:b/>
          <w:bCs/>
        </w:rPr>
        <w:t>i</w:t>
      </w:r>
      <w:proofErr w:type="spellEnd"/>
      <w:r>
        <w:rPr>
          <w:b/>
          <w:bCs/>
        </w:rPr>
        <w:t>), (ii), &amp; (iii) -- Recordkeeping -- Objective Data</w:t>
      </w:r>
      <w:r>
        <w:t>.</w:t>
      </w:r>
    </w:p>
    <w:p w:rsidR="00E35242" w:rsidRDefault="00E35242" w:rsidP="00E35242"/>
    <w:p w:rsidR="00E35242" w:rsidRDefault="00E35242" w:rsidP="00E35242">
      <w:pPr>
        <w:pStyle w:val="iReg"/>
      </w:pPr>
      <w:r>
        <w:t>(</w:t>
      </w:r>
      <w:proofErr w:type="spellStart"/>
      <w:r>
        <w:t>i</w:t>
      </w:r>
      <w:proofErr w:type="spellEnd"/>
      <w:r>
        <w:t>) Where an employer uses objective data to satisfy the exposure assessment requirements under paragraph (d</w:t>
      </w:r>
      <w:proofErr w:type="gramStart"/>
      <w:r>
        <w:t>)(</w:t>
      </w:r>
      <w:proofErr w:type="gramEnd"/>
      <w:r>
        <w:t xml:space="preserve">2) of this standard, the employer must make and maintain a record of the objective data relied upon. </w:t>
      </w:r>
    </w:p>
    <w:p w:rsidR="00E35242" w:rsidRDefault="00E35242" w:rsidP="00E35242">
      <w:pPr>
        <w:pStyle w:val="iReg"/>
      </w:pPr>
      <w:r>
        <w:t>(ii) This record must include at least the following information:</w:t>
      </w:r>
    </w:p>
    <w:p w:rsidR="00E35242" w:rsidRDefault="00E35242" w:rsidP="00E35242">
      <w:pPr>
        <w:pStyle w:val="AReg"/>
      </w:pPr>
      <w:r>
        <w:t>(A)  The data relied upon;</w:t>
      </w:r>
    </w:p>
    <w:p w:rsidR="00E35242" w:rsidRDefault="00E35242" w:rsidP="00E35242">
      <w:pPr>
        <w:pStyle w:val="AReg"/>
      </w:pPr>
      <w:r>
        <w:t>(B)   The beryllium-containing material in question;</w:t>
      </w:r>
    </w:p>
    <w:p w:rsidR="00E35242" w:rsidRDefault="00E35242" w:rsidP="00E35242">
      <w:pPr>
        <w:pStyle w:val="AReg"/>
      </w:pPr>
      <w:r>
        <w:t>(C)  The source of the objective data;</w:t>
      </w:r>
    </w:p>
    <w:p w:rsidR="00E35242" w:rsidRDefault="00E35242" w:rsidP="00E35242">
      <w:pPr>
        <w:pStyle w:val="AReg"/>
      </w:pPr>
      <w:r>
        <w:t xml:space="preserve">(D)  A description of the process, task, or activity on which the objective data were based; and     </w:t>
      </w:r>
    </w:p>
    <w:p w:rsidR="00E35242" w:rsidRDefault="00E35242" w:rsidP="00E35242">
      <w:pPr>
        <w:pStyle w:val="AReg"/>
      </w:pPr>
      <w:r>
        <w:t>(E)  Other data relevant to the process, task, activity, material, or airborne exposure on which the objective data were based.</w:t>
      </w:r>
    </w:p>
    <w:p w:rsidR="00E35242" w:rsidRDefault="00E35242" w:rsidP="00E35242">
      <w:pPr>
        <w:pStyle w:val="iReg"/>
      </w:pPr>
      <w:r>
        <w:t>(iii) The employer must ensure that objective data are maintained and made available in accordance with the Records Access standard (29 CFR 1910.1020).</w:t>
      </w:r>
    </w:p>
    <w:p w:rsidR="00E35242" w:rsidRDefault="00E35242" w:rsidP="00E35242">
      <w:pPr>
        <w:pStyle w:val="BodyTextFirstIndent"/>
        <w:ind w:firstLine="0"/>
        <w:rPr>
          <w:lang w:val="x-none"/>
        </w:rPr>
      </w:pPr>
      <w:r>
        <w:rPr>
          <w:i/>
          <w:iCs/>
          <w:sz w:val="24"/>
          <w:szCs w:val="24"/>
          <w:lang w:val="x-none"/>
        </w:rPr>
        <w:t>Purpose:</w:t>
      </w:r>
      <w:r>
        <w:rPr>
          <w:sz w:val="24"/>
          <w:szCs w:val="24"/>
          <w:lang w:val="x-none"/>
        </w:rPr>
        <w:t xml:space="preserve">  </w:t>
      </w:r>
      <w:r>
        <w:rPr>
          <w:sz w:val="24"/>
          <w:szCs w:val="24"/>
        </w:rPr>
        <w:t>These</w:t>
      </w:r>
      <w:r>
        <w:rPr>
          <w:sz w:val="24"/>
          <w:szCs w:val="24"/>
          <w:lang w:val="x-none"/>
        </w:rPr>
        <w:t xml:space="preserve"> exposure records are necessary and appropriate for protection of worker health, enforcement of the standard, and development of information regarding the causes and prevention of occupational illnesses.  Also, the Agency and others can use the records to identify illnesses and deaths that may be attributable to beryllium exposure, evaluate compliance programs, and assess the efficacy of the standard.</w:t>
      </w:r>
      <w:r>
        <w:rPr>
          <w:b/>
          <w:bCs/>
          <w:sz w:val="24"/>
          <w:szCs w:val="24"/>
          <w:lang w:val="x-none"/>
        </w:rPr>
        <w:t xml:space="preserve">  </w:t>
      </w:r>
      <w:r>
        <w:rPr>
          <w:sz w:val="24"/>
          <w:szCs w:val="24"/>
          <w:lang w:val="x-none"/>
        </w:rPr>
        <w:t xml:space="preserve">Establishing and maintaining records of air-monitoring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standard, thereby ensuring that workers are receiving adequate protection from beryllium exposure. </w:t>
      </w:r>
    </w:p>
    <w:p w:rsidR="00E35242" w:rsidRDefault="00E35242" w:rsidP="00E35242">
      <w:pPr>
        <w:rPr>
          <w:b/>
          <w:bCs/>
        </w:rPr>
      </w:pPr>
      <w:r>
        <w:rPr>
          <w:b/>
          <w:bCs/>
        </w:rPr>
        <w:t>§1910.1024 (n</w:t>
      </w:r>
      <w:proofErr w:type="gramStart"/>
      <w:r>
        <w:rPr>
          <w:b/>
          <w:bCs/>
        </w:rPr>
        <w:t>)(</w:t>
      </w:r>
      <w:proofErr w:type="gramEnd"/>
      <w:r>
        <w:rPr>
          <w:b/>
          <w:bCs/>
        </w:rPr>
        <w:t>3) (</w:t>
      </w:r>
      <w:proofErr w:type="spellStart"/>
      <w:r>
        <w:rPr>
          <w:b/>
          <w:bCs/>
        </w:rPr>
        <w:t>i</w:t>
      </w:r>
      <w:proofErr w:type="spellEnd"/>
      <w:r>
        <w:rPr>
          <w:b/>
          <w:bCs/>
        </w:rPr>
        <w:t>), (ii), &amp; (iii) --  Recordkeeping-- Medical Surveillance.</w:t>
      </w:r>
    </w:p>
    <w:p w:rsidR="00E35242" w:rsidRDefault="00E35242" w:rsidP="00E35242">
      <w:pPr>
        <w:rPr>
          <w:b/>
          <w:bCs/>
        </w:rPr>
      </w:pPr>
    </w:p>
    <w:p w:rsidR="00E35242" w:rsidRDefault="00E35242" w:rsidP="00E35242">
      <w:pPr>
        <w:pStyle w:val="iReg"/>
      </w:pPr>
      <w:r>
        <w:t>(</w:t>
      </w:r>
      <w:proofErr w:type="spellStart"/>
      <w:r>
        <w:t>i</w:t>
      </w:r>
      <w:proofErr w:type="spellEnd"/>
      <w:r>
        <w:t>) The employer must make and maintain a record for each employee covered by medical surveillance under paragraph (k) of this standard.</w:t>
      </w:r>
    </w:p>
    <w:p w:rsidR="00E35242" w:rsidRDefault="00E35242" w:rsidP="00E35242">
      <w:pPr>
        <w:pStyle w:val="iReg"/>
      </w:pPr>
      <w:r>
        <w:t>(ii) The record must include the following information about the employee:</w:t>
      </w:r>
    </w:p>
    <w:p w:rsidR="00E35242" w:rsidRDefault="00E35242" w:rsidP="00E35242">
      <w:pPr>
        <w:pStyle w:val="AReg"/>
      </w:pPr>
      <w:r>
        <w:t>(A)  Name, social security number, and job classification;</w:t>
      </w:r>
    </w:p>
    <w:p w:rsidR="00E35242" w:rsidRDefault="00E35242" w:rsidP="00E35242">
      <w:pPr>
        <w:pStyle w:val="AReg"/>
      </w:pPr>
      <w:r>
        <w:t>(B)  A copy of all licensed physicians' written medical opinions for each employee; and</w:t>
      </w:r>
    </w:p>
    <w:p w:rsidR="00E35242" w:rsidRDefault="00E35242" w:rsidP="00E35242">
      <w:pPr>
        <w:pStyle w:val="AReg"/>
      </w:pPr>
      <w:r>
        <w:t>(C)  A copy of the information provided to the PLHCP as required by paragraph (k) (4) of this standard.</w:t>
      </w:r>
    </w:p>
    <w:p w:rsidR="00E35242" w:rsidRDefault="00E35242" w:rsidP="00E35242">
      <w:pPr>
        <w:pStyle w:val="iReg"/>
      </w:pPr>
      <w:r>
        <w:t>(iii) The employer must ensure that medical records are maintained made available in accordance with the Records Access standard (29 CFR 1910.1020).</w:t>
      </w:r>
    </w:p>
    <w:p w:rsidR="00E35242" w:rsidRDefault="00E35242" w:rsidP="00E35242">
      <w:pPr>
        <w:pStyle w:val="BodyTextFirstIndent"/>
        <w:ind w:firstLine="0"/>
        <w:rPr>
          <w:sz w:val="24"/>
          <w:szCs w:val="24"/>
        </w:rPr>
      </w:pPr>
      <w:r>
        <w:rPr>
          <w:i/>
          <w:iCs/>
          <w:sz w:val="24"/>
          <w:szCs w:val="24"/>
          <w:lang w:val="x-none"/>
        </w:rPr>
        <w:t>Purpose</w:t>
      </w:r>
      <w:r>
        <w:rPr>
          <w:sz w:val="24"/>
          <w:szCs w:val="24"/>
        </w:rPr>
        <w:t xml:space="preserve">:  These medical-surveillance records, like exposure records, are necessary and appropriate for protection of worker health, enforcement of the Standards,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Agency and others can use medical surveillance records to identify illnesses and deaths that may be attributable to </w:t>
      </w:r>
      <w:proofErr w:type="spellStart"/>
      <w:r>
        <w:rPr>
          <w:sz w:val="24"/>
          <w:szCs w:val="24"/>
        </w:rPr>
        <w:t>respirable</w:t>
      </w:r>
      <w:proofErr w:type="spellEnd"/>
      <w:r>
        <w:rPr>
          <w:sz w:val="24"/>
          <w:szCs w:val="24"/>
        </w:rPr>
        <w:t xml:space="preserve"> beryllium exposure, evaluate compliance programs, and assess the efficacy of the Standards.</w:t>
      </w:r>
    </w:p>
    <w:p w:rsidR="00E35242" w:rsidRDefault="00E35242" w:rsidP="00E35242">
      <w:pPr>
        <w:pStyle w:val="BodyTextFirstIndent"/>
        <w:ind w:firstLine="0"/>
        <w:rPr>
          <w:sz w:val="24"/>
          <w:szCs w:val="24"/>
          <w:lang w:val="x-none"/>
        </w:rPr>
      </w:pPr>
      <w:r>
        <w:rPr>
          <w:sz w:val="24"/>
          <w:szCs w:val="24"/>
          <w:lang w:val="x-none"/>
        </w:rPr>
        <w:t>The proposal is consistent with Section 6(b)(7) of the OSH Act (29 U.S.C. 655(b)(7)), which requires that, when appropriate, OSHA include medical-surveillance programs in its standards to determine whether exposure to the hazard addressed by the standard adversely affects the health of workers.</w:t>
      </w:r>
    </w:p>
    <w:p w:rsidR="00E35242" w:rsidRDefault="00E35242" w:rsidP="00E35242">
      <w:pPr>
        <w:rPr>
          <w:b/>
          <w:bCs/>
        </w:rPr>
      </w:pPr>
      <w:r>
        <w:rPr>
          <w:b/>
          <w:bCs/>
        </w:rPr>
        <w:t>§1910.1024 (n</w:t>
      </w:r>
      <w:proofErr w:type="gramStart"/>
      <w:r>
        <w:rPr>
          <w:b/>
          <w:bCs/>
        </w:rPr>
        <w:t>)(</w:t>
      </w:r>
      <w:proofErr w:type="gramEnd"/>
      <w:r>
        <w:rPr>
          <w:b/>
          <w:bCs/>
        </w:rPr>
        <w:t>4)(</w:t>
      </w:r>
      <w:proofErr w:type="spellStart"/>
      <w:r>
        <w:rPr>
          <w:b/>
          <w:bCs/>
        </w:rPr>
        <w:t>i</w:t>
      </w:r>
      <w:proofErr w:type="spellEnd"/>
      <w:r>
        <w:rPr>
          <w:b/>
          <w:bCs/>
        </w:rPr>
        <w:t>) &amp; (ii) --  Recordkeeping -- Training.</w:t>
      </w:r>
    </w:p>
    <w:p w:rsidR="00E35242" w:rsidRDefault="00E35242" w:rsidP="00E35242">
      <w:pPr>
        <w:rPr>
          <w:b/>
          <w:bCs/>
        </w:rPr>
      </w:pPr>
    </w:p>
    <w:p w:rsidR="00E35242" w:rsidRDefault="00E35242" w:rsidP="00E35242">
      <w:pPr>
        <w:rPr>
          <w:color w:val="000000"/>
        </w:rPr>
      </w:pPr>
      <w:r>
        <w:rPr>
          <w:color w:val="000000"/>
        </w:rPr>
        <w:t xml:space="preserve">(4) </w:t>
      </w:r>
      <w:r>
        <w:rPr>
          <w:color w:val="000000"/>
          <w:u w:val="single"/>
        </w:rPr>
        <w:t>Training</w:t>
      </w:r>
      <w:r>
        <w:rPr>
          <w:color w:val="000000"/>
        </w:rPr>
        <w:t>. (</w:t>
      </w:r>
      <w:proofErr w:type="spellStart"/>
      <w:r>
        <w:rPr>
          <w:color w:val="000000"/>
        </w:rPr>
        <w:t>i</w:t>
      </w:r>
      <w:proofErr w:type="spellEnd"/>
      <w:r>
        <w:rPr>
          <w:color w:val="000000"/>
        </w:rPr>
        <w:t xml:space="preserve">) At the completion of any training required by this standard, the employer must prepare a record that indicates the name, social security number, and job classification of each employee </w:t>
      </w:r>
      <w:proofErr w:type="gramStart"/>
      <w:r>
        <w:rPr>
          <w:color w:val="000000"/>
        </w:rPr>
        <w:t>trained,</w:t>
      </w:r>
      <w:proofErr w:type="gramEnd"/>
      <w:r>
        <w:rPr>
          <w:color w:val="000000"/>
        </w:rPr>
        <w:t xml:space="preserve"> the date the training was completed, and the topic of the training. </w:t>
      </w:r>
    </w:p>
    <w:p w:rsidR="00E35242" w:rsidRDefault="00E35242" w:rsidP="00E35242">
      <w:pPr>
        <w:rPr>
          <w:color w:val="000000"/>
        </w:rPr>
      </w:pPr>
    </w:p>
    <w:p w:rsidR="00E35242" w:rsidRDefault="00E35242" w:rsidP="00E35242">
      <w:pPr>
        <w:rPr>
          <w:color w:val="000000"/>
        </w:rPr>
      </w:pPr>
      <w:r>
        <w:rPr>
          <w:color w:val="000000"/>
        </w:rPr>
        <w:t>(ii) This record must be maintained for three years after the completion of training.</w:t>
      </w:r>
    </w:p>
    <w:p w:rsidR="00E35242" w:rsidRDefault="00E35242" w:rsidP="00E35242"/>
    <w:p w:rsidR="00E35242" w:rsidRDefault="00E35242" w:rsidP="00E35242">
      <w:pPr>
        <w:pStyle w:val="BodyTextFirstIndent"/>
        <w:ind w:firstLine="0"/>
      </w:pPr>
      <w:r>
        <w:rPr>
          <w:i/>
          <w:iCs/>
          <w:sz w:val="24"/>
          <w:szCs w:val="24"/>
          <w:lang w:val="x-none"/>
        </w:rPr>
        <w:t>Purpose:</w:t>
      </w:r>
      <w:r>
        <w:rPr>
          <w:sz w:val="24"/>
          <w:szCs w:val="24"/>
          <w:lang w:val="x-none"/>
        </w:rPr>
        <w:t xml:space="preserve">  </w:t>
      </w:r>
      <w:r>
        <w:rPr>
          <w:sz w:val="24"/>
          <w:szCs w:val="24"/>
        </w:rPr>
        <w:t>The creation and maintenance of the training records will permit both OSHA and employers to ensure that required training has occurred on schedule.</w:t>
      </w:r>
    </w:p>
    <w:p w:rsidR="00E35242" w:rsidRDefault="00E35242" w:rsidP="00E35242">
      <w:r>
        <w:rPr>
          <w:b/>
          <w:bCs/>
        </w:rPr>
        <w:t>§1910.1024 (n</w:t>
      </w:r>
      <w:proofErr w:type="gramStart"/>
      <w:r>
        <w:rPr>
          <w:b/>
          <w:bCs/>
        </w:rPr>
        <w:t>)(</w:t>
      </w:r>
      <w:proofErr w:type="gramEnd"/>
      <w:r>
        <w:rPr>
          <w:b/>
          <w:bCs/>
        </w:rPr>
        <w:t>5) -- Recordkeeping --Employee Access to Records</w:t>
      </w:r>
      <w:r>
        <w:t xml:space="preserve">. </w:t>
      </w:r>
    </w:p>
    <w:p w:rsidR="00E35242" w:rsidRDefault="00E35242" w:rsidP="00E35242"/>
    <w:p w:rsidR="00E35242" w:rsidRDefault="00E35242" w:rsidP="00E35242">
      <w:pPr>
        <w:rPr>
          <w:color w:val="000000"/>
        </w:rPr>
      </w:pPr>
      <w:r>
        <w:rPr>
          <w:color w:val="000000"/>
        </w:rPr>
        <w:t xml:space="preserve">(5) </w:t>
      </w:r>
      <w:r>
        <w:rPr>
          <w:color w:val="000000"/>
          <w:u w:val="single"/>
        </w:rPr>
        <w:t>Access to records</w:t>
      </w:r>
      <w:r>
        <w:rPr>
          <w:color w:val="000000"/>
        </w:rPr>
        <w:t xml:space="preserve">. Upon request, the employer must make all records maintained as a requirement of this standard available for examination and copying to the Assistant Secretary, </w:t>
      </w:r>
      <w:r>
        <w:rPr>
          <w:color w:val="000000"/>
        </w:rPr>
        <w:lastRenderedPageBreak/>
        <w:t>the Director, each employee, and each employee's designated representative(s) in accordance the Records Access standard (29 CFR 1910.1020).</w:t>
      </w:r>
    </w:p>
    <w:p w:rsidR="00E35242" w:rsidRDefault="00E35242" w:rsidP="00E35242">
      <w:pPr>
        <w:pStyle w:val="BodyTextFirstIndent"/>
        <w:ind w:firstLine="0"/>
        <w:rPr>
          <w:i/>
          <w:iCs/>
          <w:sz w:val="24"/>
          <w:szCs w:val="24"/>
        </w:rPr>
      </w:pPr>
    </w:p>
    <w:p w:rsidR="00E35242" w:rsidRDefault="00E35242" w:rsidP="00E35242">
      <w:pPr>
        <w:pStyle w:val="BodyTextFirstIndent"/>
        <w:ind w:firstLine="0"/>
        <w:rPr>
          <w:sz w:val="24"/>
          <w:szCs w:val="24"/>
        </w:rPr>
      </w:pPr>
      <w:r>
        <w:rPr>
          <w:i/>
          <w:iCs/>
          <w:sz w:val="24"/>
          <w:szCs w:val="24"/>
          <w:lang w:val="x-none"/>
        </w:rPr>
        <w:t xml:space="preserve">Purpose: </w:t>
      </w:r>
      <w:r>
        <w:rPr>
          <w:sz w:val="24"/>
          <w:szCs w:val="24"/>
          <w:lang w:val="x-none"/>
        </w:rPr>
        <w:t> </w:t>
      </w:r>
      <w:r>
        <w:rPr>
          <w:sz w:val="24"/>
          <w:szCs w:val="24"/>
        </w:rPr>
        <w:t>OSHA is requiring access to the records to ensure enforcement of the Standards and to assist employees and their representatives in the development of information regarding the causes and prevention of occupational illnesses.   </w:t>
      </w:r>
    </w:p>
    <w:p w:rsidR="00E35242" w:rsidRDefault="00E35242" w:rsidP="00E35242">
      <w:r>
        <w:rPr>
          <w:b/>
          <w:bCs/>
        </w:rPr>
        <w:t>§1910.1024 (n</w:t>
      </w:r>
      <w:proofErr w:type="gramStart"/>
      <w:r>
        <w:rPr>
          <w:b/>
          <w:bCs/>
        </w:rPr>
        <w:t>)(</w:t>
      </w:r>
      <w:proofErr w:type="gramEnd"/>
      <w:r>
        <w:rPr>
          <w:b/>
          <w:bCs/>
        </w:rPr>
        <w:t>6) -- Recordkeeping -- Transfer of Records</w:t>
      </w:r>
      <w:r>
        <w:t xml:space="preserve">. </w:t>
      </w:r>
    </w:p>
    <w:p w:rsidR="00E35242" w:rsidRDefault="00E35242" w:rsidP="00E35242"/>
    <w:p w:rsidR="00E35242" w:rsidRDefault="00E35242" w:rsidP="00E35242">
      <w:pPr>
        <w:rPr>
          <w:color w:val="000000"/>
        </w:rPr>
      </w:pPr>
      <w:r>
        <w:rPr>
          <w:color w:val="000000"/>
        </w:rPr>
        <w:t xml:space="preserve">(6) </w:t>
      </w:r>
      <w:r>
        <w:rPr>
          <w:color w:val="000000"/>
          <w:u w:val="single"/>
        </w:rPr>
        <w:t>Transfer of records</w:t>
      </w:r>
      <w:r>
        <w:rPr>
          <w:color w:val="000000"/>
        </w:rPr>
        <w:t>. The employer must comply with the requirements involving transfer of records set forth in the Records Access standard (29 CFR 1910.1020).</w:t>
      </w:r>
    </w:p>
    <w:p w:rsidR="00E35242" w:rsidRDefault="00E35242" w:rsidP="00E35242"/>
    <w:p w:rsidR="00E35242" w:rsidRDefault="00E35242" w:rsidP="00E35242">
      <w: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E35242" w:rsidRDefault="00E35242" w:rsidP="00E35242"/>
    <w:p w:rsidR="00E35242" w:rsidRDefault="00E35242" w:rsidP="00E35242">
      <w:r>
        <w:rPr>
          <w:i/>
          <w:iCs/>
        </w:rPr>
        <w:t>Purpose</w:t>
      </w:r>
      <w:r>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00E35242" w:rsidRDefault="00E35242" w:rsidP="00E35242"/>
    <w:p w:rsidR="00E35242" w:rsidRDefault="00E35242" w:rsidP="00E35242">
      <w:pPr>
        <w:pStyle w:val="Heading2"/>
        <w:numPr>
          <w:ilvl w:val="1"/>
          <w:numId w:val="3"/>
        </w:numPr>
        <w:ind w:left="0" w:firstLine="0"/>
        <w:rPr>
          <w:sz w:val="22"/>
          <w:szCs w:val="22"/>
          <w:lang w:val="x-none"/>
        </w:rPr>
      </w:pPr>
      <w:r>
        <w:rPr>
          <w:sz w:val="22"/>
          <w:szCs w:val="22"/>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Pr>
          <w:lang w:val="x-none"/>
        </w:rPr>
        <w:t xml:space="preserve"> the basis for the </w:t>
      </w:r>
      <w:r>
        <w:rPr>
          <w:sz w:val="22"/>
          <w:szCs w:val="22"/>
          <w:lang w:val="x-none"/>
        </w:rPr>
        <w:t>decision for adopting this means of collection.  Also, describe any consideration of using information technology to reduce the burden.</w:t>
      </w:r>
    </w:p>
    <w:p w:rsidR="00E35242" w:rsidRDefault="00E35242" w:rsidP="00E35242">
      <w:pPr>
        <w:pStyle w:val="BodyTextFirstIndent"/>
        <w:ind w:firstLine="0"/>
        <w:rPr>
          <w:sz w:val="24"/>
          <w:szCs w:val="24"/>
        </w:rPr>
      </w:pPr>
      <w:r>
        <w:rPr>
          <w:sz w:val="24"/>
          <w:szCs w:val="24"/>
          <w:lang w:val="x-none"/>
        </w:rPr>
        <w:t xml:space="preserve">Employers may use improved information technology when establishing and maintaining the required records.  The Agency wrote the paperwork requirements of the proposed standard in performance-oriented language, 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 </w:t>
      </w:r>
    </w:p>
    <w:p w:rsidR="00E35242" w:rsidRDefault="00E35242" w:rsidP="00E35242">
      <w:pPr>
        <w:pStyle w:val="Heading2"/>
        <w:numPr>
          <w:ilvl w:val="1"/>
          <w:numId w:val="3"/>
        </w:numPr>
        <w:ind w:left="0" w:firstLine="0"/>
        <w:rPr>
          <w:sz w:val="22"/>
          <w:szCs w:val="22"/>
          <w:lang w:val="x-none"/>
        </w:rPr>
      </w:pPr>
      <w:r>
        <w:rPr>
          <w:sz w:val="22"/>
          <w:szCs w:val="22"/>
          <w:lang w:val="x-none"/>
        </w:rPr>
        <w:t>Describe efforts to identify duplication.  Show specifically why any similar information already available cannot be used or modified for use of the purposes described in Item 2 above.</w:t>
      </w:r>
    </w:p>
    <w:p w:rsidR="00E35242" w:rsidRDefault="00E35242" w:rsidP="00E35242">
      <w:pPr>
        <w:pStyle w:val="BodyTextFirstIndent"/>
        <w:ind w:firstLine="0"/>
        <w:rPr>
          <w:sz w:val="24"/>
          <w:szCs w:val="24"/>
          <w:lang w:val="x-none"/>
        </w:rPr>
      </w:pPr>
      <w:r>
        <w:rPr>
          <w:sz w:val="24"/>
          <w:szCs w:val="24"/>
          <w:lang w:val="x-none"/>
        </w:rPr>
        <w:t xml:space="preserve">The information collection requirements of the </w:t>
      </w:r>
      <w:r w:rsidR="00BF3415">
        <w:rPr>
          <w:sz w:val="24"/>
          <w:szCs w:val="24"/>
        </w:rPr>
        <w:t>Beryllium general industry</w:t>
      </w:r>
      <w:r w:rsidR="00BF3415">
        <w:rPr>
          <w:sz w:val="24"/>
          <w:szCs w:val="24"/>
          <w:lang w:val="x-none"/>
        </w:rPr>
        <w:t xml:space="preserve"> </w:t>
      </w:r>
      <w:r>
        <w:rPr>
          <w:sz w:val="24"/>
          <w:szCs w:val="24"/>
          <w:lang w:val="x-none"/>
        </w:rPr>
        <w:t xml:space="preserve">standard are specific to each employer and worker involved, and no other source or agency duplicates these requirements or can make the required information available to the Agency (i.e., the required information is available only from employers). </w:t>
      </w:r>
    </w:p>
    <w:p w:rsidR="00B05A83" w:rsidRPr="00B05A83" w:rsidRDefault="00E35242" w:rsidP="00B05A83">
      <w:pPr>
        <w:pStyle w:val="Heading2"/>
        <w:numPr>
          <w:ilvl w:val="1"/>
          <w:numId w:val="3"/>
        </w:numPr>
        <w:ind w:left="0" w:firstLine="0"/>
        <w:rPr>
          <w:lang w:val="x-none"/>
        </w:rPr>
      </w:pPr>
      <w:r>
        <w:rPr>
          <w:lang w:val="x-none"/>
        </w:rPr>
        <w:lastRenderedPageBreak/>
        <w:t>If the collection of information impacts small businesses or other small entities, describe any methods used to minimize burden.</w:t>
      </w:r>
    </w:p>
    <w:p w:rsidR="00B05A83" w:rsidRPr="00E37567" w:rsidRDefault="00B05A83" w:rsidP="00B05A83">
      <w:pPr>
        <w:pStyle w:val="BodyTextFirstIndent"/>
        <w:ind w:firstLine="0"/>
        <w:rPr>
          <w:sz w:val="24"/>
        </w:rPr>
      </w:pPr>
      <w:r w:rsidRPr="00E37567">
        <w:rPr>
          <w:color w:val="000000"/>
          <w:sz w:val="24"/>
        </w:rPr>
        <w:t xml:space="preserve">As part of the 2007 Small Business Regulatory Enforcement Fairness Act (SBREFA) panel process, </w:t>
      </w:r>
      <w:r w:rsidRPr="00E37567">
        <w:rPr>
          <w:sz w:val="24"/>
        </w:rPr>
        <w:t xml:space="preserve">the SBREFA Panel recommended that OSHA analyze a PEL-only standard as a regulatory alternative.  The Panel also recommended that OSHA consider applying ancillary provisions of </w:t>
      </w:r>
      <w:r>
        <w:rPr>
          <w:sz w:val="24"/>
        </w:rPr>
        <w:t>the standard</w:t>
      </w:r>
      <w:r w:rsidRPr="00E37567">
        <w:rPr>
          <w:sz w:val="24"/>
        </w:rPr>
        <w:t xml:space="preserve"> so as to minimize costs for small businesses where exposure levels are low </w:t>
      </w:r>
      <w:r w:rsidR="00F44A22" w:rsidRPr="00DC12A2">
        <w:rPr>
          <w:rFonts w:eastAsia="Times New Roman"/>
          <w:sz w:val="24"/>
          <w:szCs w:val="24"/>
        </w:rPr>
        <w:t>(OSHA–H005C–2006–0870)</w:t>
      </w:r>
      <w:r w:rsidR="00DC12A2">
        <w:rPr>
          <w:rFonts w:eastAsia="Times New Roman"/>
          <w:sz w:val="24"/>
          <w:szCs w:val="24"/>
        </w:rPr>
        <w:t xml:space="preserve"> </w:t>
      </w:r>
      <w:r w:rsidR="00F44A22" w:rsidRPr="00DC12A2">
        <w:rPr>
          <w:rFonts w:eastAsia="Times New Roman"/>
          <w:sz w:val="24"/>
          <w:szCs w:val="24"/>
        </w:rPr>
        <w:t>(</w:t>
      </w:r>
      <w:r w:rsidR="00F95108">
        <w:rPr>
          <w:sz w:val="24"/>
        </w:rPr>
        <w:t>Document ID 0345</w:t>
      </w:r>
      <w:r w:rsidRPr="00E37567">
        <w:rPr>
          <w:sz w:val="24"/>
        </w:rPr>
        <w:t>).</w:t>
      </w:r>
      <w:r>
        <w:rPr>
          <w:sz w:val="24"/>
        </w:rPr>
        <w:t xml:space="preserve">  </w:t>
      </w:r>
      <w:r w:rsidRPr="00E37567">
        <w:rPr>
          <w:sz w:val="24"/>
        </w:rPr>
        <w:t>OSHA solicited public comments on all relevant issues, including health effects, risk assessment, significance of risk, technological and economic feasibility, and the provisions of the proposed regulatory text.</w:t>
      </w:r>
    </w:p>
    <w:p w:rsidR="00B05A83" w:rsidRDefault="00B05A83" w:rsidP="00B05A83">
      <w:pPr>
        <w:pStyle w:val="BodyTextFirstIndent"/>
        <w:ind w:firstLine="0"/>
        <w:rPr>
          <w:b/>
          <w:bCs/>
        </w:rPr>
      </w:pPr>
      <w:r w:rsidRPr="00E37567">
        <w:rPr>
          <w:sz w:val="24"/>
        </w:rPr>
        <w:t xml:space="preserve">Medical surveillance was a subject of special concern to </w:t>
      </w:r>
      <w:r>
        <w:rPr>
          <w:sz w:val="24"/>
        </w:rPr>
        <w:t>small entity representatives (</w:t>
      </w:r>
      <w:r w:rsidRPr="00E37567">
        <w:rPr>
          <w:sz w:val="24"/>
        </w:rPr>
        <w:t>SERs</w:t>
      </w:r>
      <w:r>
        <w:rPr>
          <w:sz w:val="24"/>
        </w:rPr>
        <w:t>)</w:t>
      </w:r>
      <w:r w:rsidRPr="00E37567">
        <w:rPr>
          <w:sz w:val="24"/>
        </w:rPr>
        <w:t xml:space="preserve"> during the SBREFA process, and the SBREFA Panel offered many comments and recommendations related to medical surveillance for OSHA’s consideration.  Table </w:t>
      </w:r>
      <w:r w:rsidR="00B01F2D">
        <w:rPr>
          <w:sz w:val="24"/>
        </w:rPr>
        <w:t>VIII-17</w:t>
      </w:r>
      <w:r w:rsidRPr="00E37567">
        <w:rPr>
          <w:sz w:val="24"/>
        </w:rPr>
        <w:t xml:space="preserve"> of the Preamble to the </w:t>
      </w:r>
      <w:r w:rsidR="00B92240">
        <w:rPr>
          <w:sz w:val="24"/>
        </w:rPr>
        <w:t>Final</w:t>
      </w:r>
      <w:r w:rsidR="00B92240" w:rsidRPr="00E37567">
        <w:rPr>
          <w:sz w:val="24"/>
        </w:rPr>
        <w:t xml:space="preserve"> </w:t>
      </w:r>
      <w:r w:rsidRPr="00E37567">
        <w:rPr>
          <w:sz w:val="24"/>
        </w:rPr>
        <w:t>Rule addresses the SBAR Panel recommendations and OSHA’s response to those recommendations. OSHA seeks to ensure that the requirements of the final standard offer workers adequate medical surveillance while limiting the costs to employers.</w:t>
      </w:r>
    </w:p>
    <w:p w:rsidR="00E35242" w:rsidRDefault="00E35242" w:rsidP="00E35242">
      <w:pPr>
        <w:pStyle w:val="Heading2"/>
        <w:numPr>
          <w:ilvl w:val="1"/>
          <w:numId w:val="3"/>
        </w:numPr>
        <w:ind w:left="0" w:firstLine="0"/>
        <w:rPr>
          <w:sz w:val="22"/>
          <w:szCs w:val="22"/>
          <w:lang w:val="x-none"/>
        </w:rPr>
      </w:pPr>
      <w:r>
        <w:rPr>
          <w:sz w:val="22"/>
          <w:szCs w:val="22"/>
          <w:lang w:val="x-none"/>
        </w:rPr>
        <w:t>Describe the consequences to Federal program or policy activities if the collection is not conducted or is conducted less frequently, as well as any technical or legal obstacles to reducing burden.</w:t>
      </w:r>
    </w:p>
    <w:p w:rsidR="00E35242" w:rsidRDefault="00E35242" w:rsidP="00E35242">
      <w:pPr>
        <w:pStyle w:val="BodyTextFirstIndent"/>
        <w:ind w:firstLine="0"/>
        <w:rPr>
          <w:sz w:val="24"/>
          <w:szCs w:val="24"/>
        </w:rPr>
      </w:pPr>
      <w:r>
        <w:rPr>
          <w:sz w:val="24"/>
          <w:szCs w:val="24"/>
          <w:lang w:val="x-none"/>
        </w:rPr>
        <w:t xml:space="preserve">The information collection frequencies specified by the </w:t>
      </w:r>
      <w:r w:rsidR="00033E85">
        <w:rPr>
          <w:sz w:val="24"/>
          <w:szCs w:val="24"/>
        </w:rPr>
        <w:t>general industry</w:t>
      </w:r>
      <w:r>
        <w:rPr>
          <w:sz w:val="24"/>
          <w:szCs w:val="24"/>
          <w:lang w:val="x-none"/>
        </w:rPr>
        <w:t xml:space="preserve"> standard are the minimum frequencies that the Agency believes are necessary to ensure that employers and OSHA can effectively monitor the exposure and health status of workers, thereby preventing serious illness or death resulting from hazardous exposure to beryllium. </w:t>
      </w:r>
    </w:p>
    <w:p w:rsidR="00444A8B" w:rsidRPr="003B0846" w:rsidRDefault="00444A8B" w:rsidP="00E35242">
      <w:pPr>
        <w:pStyle w:val="BodyTextFirstIndent"/>
        <w:ind w:firstLine="0"/>
        <w:rPr>
          <w:sz w:val="24"/>
          <w:szCs w:val="24"/>
        </w:rPr>
      </w:pPr>
      <w:r w:rsidRPr="00787B38">
        <w:rPr>
          <w:rFonts w:eastAsia="Times New Roman"/>
          <w:sz w:val="24"/>
          <w:szCs w:val="24"/>
        </w:rPr>
        <w:t>OSHA is proposing to revoke the two comprehensive standards applicable to the construction and shipyard sectors, but</w:t>
      </w:r>
      <w:r w:rsidRPr="00787B38">
        <w:t xml:space="preserve"> </w:t>
      </w:r>
      <w:r w:rsidRPr="00787B38">
        <w:rPr>
          <w:rFonts w:eastAsia="Times New Roman"/>
          <w:sz w:val="24"/>
          <w:szCs w:val="24"/>
        </w:rPr>
        <w:t xml:space="preserve">to retain the new lower PEL </w:t>
      </w:r>
      <w:proofErr w:type="gramStart"/>
      <w:r w:rsidRPr="00787B38">
        <w:rPr>
          <w:rFonts w:eastAsia="Times New Roman"/>
          <w:sz w:val="24"/>
          <w:szCs w:val="24"/>
        </w:rPr>
        <w:t xml:space="preserve">of 0.2 </w:t>
      </w:r>
      <w:proofErr w:type="spellStart"/>
      <w:r w:rsidRPr="00787B38">
        <w:rPr>
          <w:rFonts w:eastAsia="Times New Roman"/>
          <w:sz w:val="24"/>
          <w:szCs w:val="24"/>
        </w:rPr>
        <w:t>μg</w:t>
      </w:r>
      <w:proofErr w:type="spellEnd"/>
      <w:r w:rsidRPr="00787B38">
        <w:rPr>
          <w:rFonts w:eastAsia="Times New Roman"/>
          <w:sz w:val="24"/>
          <w:szCs w:val="24"/>
        </w:rPr>
        <w:t>/m</w:t>
      </w:r>
      <w:r w:rsidRPr="00787B38">
        <w:rPr>
          <w:rFonts w:eastAsia="Times New Roman"/>
          <w:sz w:val="24"/>
          <w:szCs w:val="24"/>
          <w:vertAlign w:val="superscript"/>
        </w:rPr>
        <w:t>3</w:t>
      </w:r>
      <w:proofErr w:type="gramEnd"/>
      <w:r w:rsidRPr="00787B38">
        <w:rPr>
          <w:rFonts w:eastAsia="Times New Roman"/>
          <w:sz w:val="24"/>
          <w:szCs w:val="24"/>
        </w:rPr>
        <w:t xml:space="preserve"> and the STEL of 2.0 </w:t>
      </w:r>
      <w:proofErr w:type="spellStart"/>
      <w:r w:rsidRPr="00787B38">
        <w:rPr>
          <w:rFonts w:eastAsia="Times New Roman"/>
          <w:sz w:val="24"/>
          <w:szCs w:val="24"/>
        </w:rPr>
        <w:t>μg</w:t>
      </w:r>
      <w:proofErr w:type="spellEnd"/>
      <w:r w:rsidRPr="00787B38">
        <w:rPr>
          <w:rFonts w:eastAsia="Times New Roman"/>
          <w:sz w:val="24"/>
          <w:szCs w:val="24"/>
        </w:rPr>
        <w:t>/m</w:t>
      </w:r>
      <w:r w:rsidRPr="00787B38">
        <w:rPr>
          <w:rFonts w:eastAsia="Times New Roman"/>
          <w:sz w:val="24"/>
          <w:szCs w:val="24"/>
          <w:vertAlign w:val="superscript"/>
        </w:rPr>
        <w:t>3</w:t>
      </w:r>
      <w:r w:rsidRPr="00787B38">
        <w:rPr>
          <w:rFonts w:eastAsia="Times New Roman"/>
          <w:sz w:val="24"/>
          <w:szCs w:val="24"/>
        </w:rPr>
        <w:t xml:space="preserve"> for those sectors.</w:t>
      </w:r>
    </w:p>
    <w:p w:rsidR="00E35242" w:rsidRDefault="00E35242" w:rsidP="00E35242">
      <w:pPr>
        <w:pStyle w:val="Heading2"/>
        <w:numPr>
          <w:ilvl w:val="1"/>
          <w:numId w:val="3"/>
        </w:numPr>
        <w:ind w:left="0" w:firstLine="0"/>
        <w:rPr>
          <w:sz w:val="22"/>
          <w:szCs w:val="22"/>
          <w:lang w:val="x-none"/>
        </w:rPr>
      </w:pPr>
      <w:r>
        <w:rPr>
          <w:sz w:val="22"/>
          <w:szCs w:val="22"/>
          <w:lang w:val="x-none"/>
        </w:rPr>
        <w:t>Explain any special circumstances that would cause an information collection to be conducted in a manner:</w:t>
      </w:r>
    </w:p>
    <w:p w:rsidR="00E35242" w:rsidRDefault="00E35242" w:rsidP="00E35242">
      <w:pPr>
        <w:ind w:left="288"/>
        <w:rPr>
          <w:b/>
          <w:bCs/>
          <w:sz w:val="22"/>
          <w:szCs w:val="22"/>
        </w:rPr>
      </w:pPr>
      <w:r>
        <w:rPr>
          <w:sz w:val="22"/>
          <w:szCs w:val="22"/>
        </w:rPr>
        <w:t>·</w:t>
      </w:r>
      <w:proofErr w:type="gramStart"/>
      <w:r>
        <w:rPr>
          <w:sz w:val="22"/>
          <w:szCs w:val="22"/>
        </w:rPr>
        <w:t xml:space="preserve">  </w:t>
      </w:r>
      <w:r>
        <w:rPr>
          <w:b/>
          <w:bCs/>
          <w:sz w:val="22"/>
          <w:szCs w:val="22"/>
        </w:rPr>
        <w:t>Requiring</w:t>
      </w:r>
      <w:proofErr w:type="gramEnd"/>
      <w:r>
        <w:rPr>
          <w:b/>
          <w:bCs/>
          <w:sz w:val="22"/>
          <w:szCs w:val="22"/>
        </w:rPr>
        <w:t xml:space="preserve"> respondents to report information to the agency more often than quarterly;</w:t>
      </w:r>
    </w:p>
    <w:p w:rsidR="00E35242" w:rsidRDefault="00E35242" w:rsidP="00E35242">
      <w:pPr>
        <w:rPr>
          <w:b/>
          <w:bCs/>
          <w:sz w:val="22"/>
          <w:szCs w:val="22"/>
        </w:rPr>
      </w:pPr>
    </w:p>
    <w:p w:rsidR="00E35242" w:rsidRDefault="00E35242" w:rsidP="00E35242">
      <w:pPr>
        <w:ind w:left="450" w:hanging="162"/>
        <w:rPr>
          <w:b/>
          <w:bCs/>
          <w:sz w:val="22"/>
          <w:szCs w:val="22"/>
        </w:rPr>
      </w:pPr>
      <w:r>
        <w:rPr>
          <w:sz w:val="22"/>
          <w:szCs w:val="22"/>
        </w:rPr>
        <w:t>·</w:t>
      </w:r>
      <w:proofErr w:type="gramStart"/>
      <w:r>
        <w:rPr>
          <w:sz w:val="22"/>
          <w:szCs w:val="22"/>
        </w:rPr>
        <w:t xml:space="preserve">  </w:t>
      </w:r>
      <w:r>
        <w:rPr>
          <w:b/>
          <w:bCs/>
          <w:sz w:val="22"/>
          <w:szCs w:val="22"/>
        </w:rPr>
        <w:t>Requiring</w:t>
      </w:r>
      <w:proofErr w:type="gramEnd"/>
      <w:r>
        <w:rPr>
          <w:b/>
          <w:bCs/>
          <w:sz w:val="22"/>
          <w:szCs w:val="22"/>
        </w:rPr>
        <w:t xml:space="preserve"> respondents to prepare a written response to a collection of information in fewer than 30 days after receipt of it;</w:t>
      </w:r>
    </w:p>
    <w:p w:rsidR="00E35242" w:rsidRDefault="00E35242" w:rsidP="00E35242">
      <w:pPr>
        <w:rPr>
          <w:b/>
          <w:bCs/>
          <w:sz w:val="22"/>
          <w:szCs w:val="22"/>
        </w:rPr>
      </w:pPr>
    </w:p>
    <w:p w:rsidR="00E35242" w:rsidRDefault="00E35242" w:rsidP="00E35242">
      <w:pPr>
        <w:ind w:left="288"/>
        <w:rPr>
          <w:b/>
          <w:bCs/>
          <w:sz w:val="22"/>
          <w:szCs w:val="22"/>
        </w:rPr>
      </w:pPr>
      <w:r>
        <w:rPr>
          <w:sz w:val="22"/>
          <w:szCs w:val="22"/>
        </w:rPr>
        <w:t>·</w:t>
      </w:r>
      <w:proofErr w:type="gramStart"/>
      <w:r>
        <w:rPr>
          <w:sz w:val="22"/>
          <w:szCs w:val="22"/>
        </w:rPr>
        <w:t xml:space="preserve">  </w:t>
      </w:r>
      <w:r>
        <w:rPr>
          <w:b/>
          <w:bCs/>
          <w:sz w:val="22"/>
          <w:szCs w:val="22"/>
        </w:rPr>
        <w:t>Requiring</w:t>
      </w:r>
      <w:proofErr w:type="gramEnd"/>
      <w:r>
        <w:rPr>
          <w:b/>
          <w:bCs/>
          <w:sz w:val="22"/>
          <w:szCs w:val="22"/>
        </w:rPr>
        <w:t xml:space="preserve"> respondents to submit more than an original and two copies of any</w:t>
      </w:r>
    </w:p>
    <w:p w:rsidR="00E35242" w:rsidRDefault="00E35242" w:rsidP="00E35242">
      <w:pPr>
        <w:ind w:left="288"/>
        <w:rPr>
          <w:b/>
          <w:bCs/>
          <w:sz w:val="22"/>
          <w:szCs w:val="22"/>
        </w:rPr>
      </w:pPr>
      <w:r>
        <w:rPr>
          <w:b/>
          <w:bCs/>
          <w:sz w:val="22"/>
          <w:szCs w:val="22"/>
        </w:rPr>
        <w:t xml:space="preserve">   </w:t>
      </w:r>
      <w:proofErr w:type="gramStart"/>
      <w:r>
        <w:rPr>
          <w:b/>
          <w:bCs/>
          <w:sz w:val="22"/>
          <w:szCs w:val="22"/>
        </w:rPr>
        <w:t>document</w:t>
      </w:r>
      <w:proofErr w:type="gramEnd"/>
      <w:r>
        <w:rPr>
          <w:b/>
          <w:bCs/>
          <w:sz w:val="22"/>
          <w:szCs w:val="22"/>
        </w:rPr>
        <w:t>;</w:t>
      </w:r>
    </w:p>
    <w:p w:rsidR="00E35242" w:rsidRDefault="00E35242" w:rsidP="00E35242">
      <w:pPr>
        <w:rPr>
          <w:b/>
          <w:bCs/>
          <w:sz w:val="22"/>
          <w:szCs w:val="22"/>
        </w:rPr>
      </w:pPr>
    </w:p>
    <w:p w:rsidR="00E35242" w:rsidRDefault="00E35242" w:rsidP="00E35242">
      <w:pPr>
        <w:ind w:left="432" w:hanging="144"/>
        <w:rPr>
          <w:b/>
          <w:bCs/>
          <w:sz w:val="22"/>
          <w:szCs w:val="22"/>
        </w:rPr>
      </w:pPr>
      <w:r>
        <w:rPr>
          <w:sz w:val="22"/>
          <w:szCs w:val="22"/>
        </w:rPr>
        <w:t>·</w:t>
      </w:r>
      <w:proofErr w:type="gramStart"/>
      <w:r>
        <w:rPr>
          <w:sz w:val="22"/>
          <w:szCs w:val="22"/>
        </w:rPr>
        <w:t xml:space="preserve">  </w:t>
      </w:r>
      <w:r>
        <w:rPr>
          <w:b/>
          <w:bCs/>
          <w:sz w:val="22"/>
          <w:szCs w:val="22"/>
        </w:rPr>
        <w:t>Requiring</w:t>
      </w:r>
      <w:proofErr w:type="gramEnd"/>
      <w:r>
        <w:rPr>
          <w:b/>
          <w:bCs/>
          <w:sz w:val="22"/>
          <w:szCs w:val="22"/>
        </w:rPr>
        <w:t xml:space="preserve"> respondents to retain records, other than health, medical, government contract, grant-in-aid, or tax records, for more than three years;</w:t>
      </w:r>
    </w:p>
    <w:p w:rsidR="00E35242" w:rsidRDefault="00E35242" w:rsidP="00E35242">
      <w:pPr>
        <w:rPr>
          <w:b/>
          <w:bCs/>
          <w:sz w:val="22"/>
          <w:szCs w:val="22"/>
        </w:rPr>
      </w:pPr>
    </w:p>
    <w:p w:rsidR="00E35242" w:rsidRDefault="00E35242" w:rsidP="00E35242">
      <w:pPr>
        <w:ind w:left="432" w:hanging="144"/>
        <w:rPr>
          <w:b/>
          <w:bCs/>
          <w:sz w:val="22"/>
          <w:szCs w:val="22"/>
        </w:rPr>
      </w:pPr>
      <w:r>
        <w:rPr>
          <w:sz w:val="22"/>
          <w:szCs w:val="22"/>
        </w:rPr>
        <w:lastRenderedPageBreak/>
        <w:t>·</w:t>
      </w:r>
      <w:proofErr w:type="gramStart"/>
      <w:r>
        <w:rPr>
          <w:sz w:val="22"/>
          <w:szCs w:val="22"/>
        </w:rPr>
        <w:t xml:space="preserve">  </w:t>
      </w:r>
      <w:r>
        <w:rPr>
          <w:b/>
          <w:bCs/>
          <w:sz w:val="22"/>
          <w:szCs w:val="22"/>
        </w:rPr>
        <w:t>In</w:t>
      </w:r>
      <w:proofErr w:type="gramEnd"/>
      <w:r>
        <w:rPr>
          <w:b/>
          <w:bCs/>
          <w:sz w:val="22"/>
          <w:szCs w:val="22"/>
        </w:rPr>
        <w:t xml:space="preserve"> connection with a statistical survey, that is not designed to produce valid and reliable results that can be generalized to the universe of study;</w:t>
      </w:r>
    </w:p>
    <w:p w:rsidR="00E35242" w:rsidRDefault="00E35242" w:rsidP="00E35242">
      <w:pPr>
        <w:ind w:left="720"/>
        <w:rPr>
          <w:b/>
          <w:bCs/>
          <w:sz w:val="22"/>
          <w:szCs w:val="22"/>
        </w:rPr>
      </w:pPr>
    </w:p>
    <w:p w:rsidR="00E35242" w:rsidRDefault="00E35242" w:rsidP="00E35242">
      <w:pPr>
        <w:ind w:left="432" w:hanging="144"/>
        <w:rPr>
          <w:b/>
          <w:bCs/>
          <w:sz w:val="22"/>
          <w:szCs w:val="22"/>
        </w:rPr>
      </w:pPr>
      <w:r>
        <w:rPr>
          <w:sz w:val="22"/>
          <w:szCs w:val="22"/>
        </w:rPr>
        <w:t>·</w:t>
      </w:r>
      <w:proofErr w:type="gramStart"/>
      <w:r>
        <w:rPr>
          <w:sz w:val="22"/>
          <w:szCs w:val="22"/>
        </w:rPr>
        <w:t xml:space="preserve">  </w:t>
      </w:r>
      <w:r>
        <w:rPr>
          <w:b/>
          <w:bCs/>
          <w:sz w:val="22"/>
          <w:szCs w:val="22"/>
        </w:rPr>
        <w:t>Requiring</w:t>
      </w:r>
      <w:proofErr w:type="gramEnd"/>
      <w:r>
        <w:rPr>
          <w:b/>
          <w:bCs/>
          <w:sz w:val="22"/>
          <w:szCs w:val="22"/>
        </w:rPr>
        <w:t xml:space="preserve"> the use of a statistical data classification that has not been approved by OMB;</w:t>
      </w:r>
    </w:p>
    <w:p w:rsidR="00E35242" w:rsidRDefault="00E35242" w:rsidP="00E35242">
      <w:pPr>
        <w:ind w:left="432" w:hanging="144"/>
        <w:rPr>
          <w:b/>
          <w:bCs/>
          <w:sz w:val="22"/>
          <w:szCs w:val="22"/>
        </w:rPr>
      </w:pPr>
    </w:p>
    <w:p w:rsidR="00E35242" w:rsidRDefault="00E35242" w:rsidP="00E35242">
      <w:pPr>
        <w:ind w:left="432" w:hanging="144"/>
        <w:rPr>
          <w:b/>
          <w:bCs/>
          <w:sz w:val="22"/>
          <w:szCs w:val="22"/>
        </w:rPr>
      </w:pPr>
      <w:r>
        <w:rPr>
          <w:sz w:val="22"/>
          <w:szCs w:val="22"/>
        </w:rPr>
        <w:t>·</w:t>
      </w:r>
      <w:r>
        <w:rPr>
          <w:b/>
          <w:bCs/>
          <w:sz w:val="22"/>
          <w:szCs w:val="22"/>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242" w:rsidRDefault="00E35242" w:rsidP="00E35242">
      <w:pPr>
        <w:rPr>
          <w:b/>
          <w:bCs/>
          <w:sz w:val="22"/>
          <w:szCs w:val="22"/>
        </w:rPr>
      </w:pPr>
    </w:p>
    <w:p w:rsidR="00E35242" w:rsidRDefault="00E35242" w:rsidP="00E35242">
      <w:pPr>
        <w:ind w:left="432" w:hanging="144"/>
        <w:rPr>
          <w:b/>
          <w:bCs/>
          <w:sz w:val="22"/>
          <w:szCs w:val="22"/>
        </w:rPr>
      </w:pPr>
      <w:r>
        <w:rPr>
          <w:sz w:val="22"/>
          <w:szCs w:val="22"/>
        </w:rPr>
        <w:t xml:space="preserve">·  </w:t>
      </w: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E35242" w:rsidRDefault="00E35242" w:rsidP="00E35242">
      <w:pPr>
        <w:ind w:left="432" w:hanging="144"/>
        <w:rPr>
          <w:b/>
          <w:bCs/>
          <w:sz w:val="22"/>
          <w:szCs w:val="22"/>
        </w:rPr>
      </w:pPr>
    </w:p>
    <w:p w:rsidR="00E35242" w:rsidRDefault="00E35242" w:rsidP="00E35242">
      <w:pPr>
        <w:pStyle w:val="Heading2"/>
        <w:numPr>
          <w:ilvl w:val="0"/>
          <w:numId w:val="0"/>
        </w:numPr>
        <w:rPr>
          <w:b w:val="0"/>
          <w:bCs w:val="0"/>
        </w:rPr>
      </w:pPr>
      <w:r>
        <w:rPr>
          <w:b w:val="0"/>
          <w:bCs w:val="0"/>
          <w:lang w:val="x-none"/>
        </w:rPr>
        <w:t>Under paragraph (d)(</w:t>
      </w:r>
      <w:r>
        <w:rPr>
          <w:b w:val="0"/>
          <w:bCs w:val="0"/>
        </w:rPr>
        <w:t>6</w:t>
      </w:r>
      <w:r>
        <w:rPr>
          <w:b w:val="0"/>
          <w:bCs w:val="0"/>
          <w:lang w:val="x-none"/>
        </w:rPr>
        <w:t xml:space="preserve">) of the </w:t>
      </w:r>
      <w:r w:rsidR="000710E2">
        <w:rPr>
          <w:b w:val="0"/>
          <w:bCs w:val="0"/>
        </w:rPr>
        <w:t>general industry</w:t>
      </w:r>
      <w:r w:rsidR="000710E2">
        <w:rPr>
          <w:b w:val="0"/>
          <w:bCs w:val="0"/>
          <w:lang w:val="x-none"/>
        </w:rPr>
        <w:t xml:space="preserve"> </w:t>
      </w:r>
      <w:r>
        <w:rPr>
          <w:b w:val="0"/>
          <w:bCs w:val="0"/>
          <w:lang w:val="x-none"/>
        </w:rPr>
        <w:t xml:space="preserve">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rsidR="00E35242" w:rsidRDefault="00E35242" w:rsidP="00E35242">
      <w:pPr>
        <w:pStyle w:val="Heading2"/>
        <w:numPr>
          <w:ilvl w:val="1"/>
          <w:numId w:val="3"/>
        </w:numPr>
        <w:ind w:left="0" w:firstLine="0"/>
        <w:rPr>
          <w:sz w:val="22"/>
          <w:szCs w:val="22"/>
          <w:lang w:val="x-none"/>
        </w:rPr>
      </w:pPr>
      <w:r>
        <w:rPr>
          <w:sz w:val="22"/>
          <w:szCs w:val="22"/>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35242" w:rsidRDefault="00E35242" w:rsidP="00E35242">
      <w:pPr>
        <w:rPr>
          <w:b/>
          <w:bCs/>
          <w:sz w:val="22"/>
          <w:szCs w:val="22"/>
        </w:rPr>
      </w:pPr>
      <w:r>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35242" w:rsidRDefault="00E35242" w:rsidP="00E35242">
      <w:pPr>
        <w:rPr>
          <w:b/>
          <w:bCs/>
          <w:sz w:val="22"/>
          <w:szCs w:val="22"/>
        </w:rPr>
      </w:pPr>
    </w:p>
    <w:p w:rsidR="00E35242" w:rsidRDefault="00E35242" w:rsidP="00E35242">
      <w:pPr>
        <w:rPr>
          <w:b/>
          <w:bCs/>
          <w:sz w:val="22"/>
          <w:szCs w:val="22"/>
        </w:rPr>
      </w:pPr>
      <w:r>
        <w:rPr>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35242" w:rsidRDefault="00E35242" w:rsidP="00E35242"/>
    <w:p w:rsidR="00E35242" w:rsidRDefault="00E35242" w:rsidP="00E35242"/>
    <w:p w:rsidR="00E35242" w:rsidRDefault="00E35242" w:rsidP="00E35242">
      <w:r>
        <w:t xml:space="preserve">On January 9, 2017, OSHA published its final rule </w:t>
      </w:r>
      <w:r>
        <w:rPr>
          <w:u w:val="single"/>
        </w:rPr>
        <w:t>Occupational Exposure to Beryllium and Beryllium Compounds</w:t>
      </w:r>
      <w:proofErr w:type="gramStart"/>
      <w:r>
        <w:t>  in</w:t>
      </w:r>
      <w:proofErr w:type="gramEnd"/>
      <w:r>
        <w:t xml:space="preserve"> the Federal Register (82:2470-2757 (1/9/17)). On March 21, 2017 OSHA published a delay of the effective date for the final beryllium rule to May 20, 2017 in the Federal Register (82 FR 14439 (3/21/17)). This action was based on comments received on OSHA’s proposed delay of effective date for the final rule in the Federal Register (82 FR 12318 (3/2/17)). OSHA proposed this delay in accordance with the January 20, 2017 Presidential directive from the Assistant to the President and Chief of Staff, entitled “Regulatory Freeze Pending Review” (82 FR 8346 (1/24/17)) that directed agencies to consider further delaying the effective date for regulations beyond the initial 60-day period. </w:t>
      </w:r>
    </w:p>
    <w:p w:rsidR="00E35242" w:rsidRDefault="00E35242" w:rsidP="00E35242"/>
    <w:p w:rsidR="00FD4FE2" w:rsidRDefault="00590347" w:rsidP="00FD4FE2">
      <w:r w:rsidRPr="00CF2AC2">
        <w:rPr>
          <w:rFonts w:eastAsia="Times New Roman"/>
        </w:rPr>
        <w:lastRenderedPageBreak/>
        <w:t xml:space="preserve">OSHA has evidence that beryllium exposure above 0.2 </w:t>
      </w:r>
      <w:proofErr w:type="spellStart"/>
      <w:r w:rsidRPr="00CF2AC2">
        <w:rPr>
          <w:rFonts w:eastAsia="Times New Roman"/>
        </w:rPr>
        <w:t>μg</w:t>
      </w:r>
      <w:proofErr w:type="spellEnd"/>
      <w:r w:rsidRPr="00CF2AC2">
        <w:rPr>
          <w:rFonts w:eastAsia="Times New Roman"/>
        </w:rPr>
        <w:t>/m</w:t>
      </w:r>
      <w:r w:rsidRPr="00CF2AC2">
        <w:rPr>
          <w:rFonts w:eastAsia="Times New Roman"/>
          <w:vertAlign w:val="superscript"/>
        </w:rPr>
        <w:t>3</w:t>
      </w:r>
      <w:r w:rsidRPr="00CF2AC2">
        <w:rPr>
          <w:rFonts w:eastAsia="Times New Roman"/>
        </w:rPr>
        <w:t xml:space="preserve"> can occur in abrasive blasting in construction, abrasive blasting in shipyards,</w:t>
      </w:r>
      <w:r>
        <w:rPr>
          <w:rFonts w:eastAsia="Times New Roman"/>
        </w:rPr>
        <w:t xml:space="preserve"> </w:t>
      </w:r>
      <w:r w:rsidRPr="00CF2AC2">
        <w:rPr>
          <w:rFonts w:eastAsia="Times New Roman"/>
        </w:rPr>
        <w:t>and welding in shipyards. OSHA determined that exposures at that level create a significant risk of material impairment of health, including developing CBD and lung cancer. These operations, however, are already regulated by other OSHA construction and shipyards standards. OSHA requested, but did not receive, additional data during the previous rulemaking about exposures in these operations and about protections provided by other OSHA standards.  In light of the limited information regarding exposures and the potential that other OSHA standards may offer protection from beryllium exposures, OSHA is proposing</w:t>
      </w:r>
      <w:r w:rsidR="00E97953">
        <w:rPr>
          <w:rFonts w:eastAsia="Times New Roman"/>
        </w:rPr>
        <w:t xml:space="preserve"> </w:t>
      </w:r>
      <w:r w:rsidRPr="00CF2AC2">
        <w:rPr>
          <w:rFonts w:eastAsia="Times New Roman"/>
        </w:rPr>
        <w:t>to re</w:t>
      </w:r>
      <w:r w:rsidR="00033E85">
        <w:rPr>
          <w:rFonts w:eastAsia="Times New Roman"/>
        </w:rPr>
        <w:t>voke</w:t>
      </w:r>
      <w:r w:rsidRPr="00CF2AC2">
        <w:rPr>
          <w:rFonts w:eastAsia="Times New Roman"/>
        </w:rPr>
        <w:t xml:space="preserve"> the comprehensive standard for construction and the comprehensive standard for shipyards while retaining the new lower PELs for these sectors. This proposal allows OSHA to open the rulemaking record to receive more information about exposures, controls, and procedures in operations within the construction and shipyard sectors.</w:t>
      </w:r>
      <w:r w:rsidR="00FD4FE2">
        <w:rPr>
          <w:rFonts w:eastAsia="Times New Roman"/>
        </w:rPr>
        <w:t xml:space="preserve"> The NPRM advises commenters that they may submit comments on the information collections in the rule directly to OMB. The NPRM citation is identified in the reginfo.gov database. </w:t>
      </w:r>
    </w:p>
    <w:p w:rsidR="00590347" w:rsidRDefault="00590347" w:rsidP="00E35242"/>
    <w:p w:rsidR="00E35242" w:rsidRDefault="00E35242" w:rsidP="00E35242">
      <w:pPr>
        <w:pStyle w:val="Heading2"/>
        <w:numPr>
          <w:ilvl w:val="1"/>
          <w:numId w:val="3"/>
        </w:numPr>
        <w:ind w:left="0" w:firstLine="0"/>
        <w:rPr>
          <w:sz w:val="22"/>
          <w:szCs w:val="22"/>
          <w:lang w:val="x-none"/>
        </w:rPr>
      </w:pPr>
      <w:r>
        <w:rPr>
          <w:sz w:val="22"/>
          <w:szCs w:val="22"/>
          <w:lang w:val="x-none"/>
        </w:rPr>
        <w:t>Explain any decision to provide any payment or gift to respondents, other than remuneration of contractors or grantees.</w:t>
      </w:r>
    </w:p>
    <w:p w:rsidR="00E35242" w:rsidRDefault="00E35242" w:rsidP="00E35242">
      <w:pPr>
        <w:pStyle w:val="BodyTextFirstIndent"/>
        <w:ind w:firstLine="0"/>
        <w:rPr>
          <w:sz w:val="24"/>
          <w:szCs w:val="24"/>
          <w:lang w:val="x-none"/>
        </w:rPr>
      </w:pPr>
      <w:r>
        <w:rPr>
          <w:sz w:val="24"/>
          <w:szCs w:val="24"/>
          <w:lang w:val="x-none"/>
        </w:rPr>
        <w:t xml:space="preserve">The Agency will </w:t>
      </w:r>
      <w:r>
        <w:rPr>
          <w:sz w:val="24"/>
          <w:szCs w:val="24"/>
          <w:u w:val="single"/>
          <w:lang w:val="x-none"/>
        </w:rPr>
        <w:t>not</w:t>
      </w:r>
      <w:r>
        <w:rPr>
          <w:sz w:val="24"/>
          <w:szCs w:val="24"/>
          <w:lang w:val="x-none"/>
        </w:rPr>
        <w:t xml:space="preserve"> provide payments or gifts to the respondents.  </w:t>
      </w:r>
    </w:p>
    <w:p w:rsidR="00E35242" w:rsidRDefault="00E35242" w:rsidP="00E35242">
      <w:pPr>
        <w:pStyle w:val="Heading2"/>
        <w:numPr>
          <w:ilvl w:val="1"/>
          <w:numId w:val="3"/>
        </w:numPr>
        <w:ind w:left="0" w:firstLine="0"/>
        <w:rPr>
          <w:sz w:val="22"/>
          <w:szCs w:val="22"/>
          <w:lang w:val="x-none"/>
        </w:rPr>
      </w:pPr>
      <w:r>
        <w:rPr>
          <w:sz w:val="22"/>
          <w:szCs w:val="22"/>
          <w:lang w:val="x-none"/>
        </w:rPr>
        <w:t>Describe any assurance of confidentiality provided to respondents and the basis for the assurance in statute, regulation, or agency policy.</w:t>
      </w:r>
    </w:p>
    <w:p w:rsidR="00E35242" w:rsidRDefault="00E35242" w:rsidP="00E35242">
      <w:pPr>
        <w:pStyle w:val="BodyTextFirstIndent"/>
        <w:ind w:firstLine="0"/>
        <w:rPr>
          <w:sz w:val="24"/>
          <w:szCs w:val="24"/>
          <w:lang w:val="x-none"/>
        </w:rPr>
      </w:pPr>
      <w:r>
        <w:rPr>
          <w:sz w:val="24"/>
          <w:szCs w:val="24"/>
          <w:lang w:val="x-none"/>
        </w:rPr>
        <w:t xml:space="preserve">To ensure that the personal information contained in medical records required by the proposed standard remains confidential, the Agency developed and implemented 29 CFR 1913.10 (“Rules of Agency Practice and Procedure Concerning OSHA Access to Employee Medical Records”) to regulate access to these records. </w:t>
      </w:r>
    </w:p>
    <w:p w:rsidR="00E35242" w:rsidRDefault="00E35242" w:rsidP="00E35242">
      <w:pPr>
        <w:pStyle w:val="Heading2"/>
        <w:numPr>
          <w:ilvl w:val="1"/>
          <w:numId w:val="3"/>
        </w:numPr>
        <w:ind w:left="0" w:firstLine="0"/>
        <w:rPr>
          <w:sz w:val="22"/>
          <w:szCs w:val="22"/>
          <w:lang w:val="x-none"/>
        </w:rPr>
      </w:pPr>
      <w:r>
        <w:rPr>
          <w:sz w:val="22"/>
          <w:szCs w:val="22"/>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242" w:rsidRDefault="00E35242" w:rsidP="00E35242">
      <w:pPr>
        <w:pStyle w:val="BodyTextFirstIndent"/>
        <w:ind w:firstLine="0"/>
        <w:rPr>
          <w:sz w:val="24"/>
          <w:szCs w:val="24"/>
          <w:lang w:val="x-none"/>
        </w:rPr>
      </w:pPr>
      <w:r>
        <w:rPr>
          <w:sz w:val="24"/>
          <w:szCs w:val="24"/>
          <w:lang w:val="x-none"/>
        </w:rPr>
        <w:t>Perceived questions of a sensitive nature may be included in medical question</w:t>
      </w:r>
      <w:r>
        <w:rPr>
          <w:sz w:val="24"/>
          <w:szCs w:val="24"/>
        </w:rPr>
        <w:t xml:space="preserve">s posed by the </w:t>
      </w:r>
      <w:r>
        <w:rPr>
          <w:sz w:val="24"/>
          <w:szCs w:val="24"/>
          <w:lang w:val="x-none"/>
        </w:rPr>
        <w:t xml:space="preserve">PLHCP to </w:t>
      </w:r>
      <w:r>
        <w:rPr>
          <w:sz w:val="24"/>
          <w:szCs w:val="24"/>
        </w:rPr>
        <w:t xml:space="preserve">properly diagnose the patient and make appropriate recommendations regarding further testing and the employee’s </w:t>
      </w:r>
      <w:r>
        <w:rPr>
          <w:sz w:val="24"/>
          <w:szCs w:val="24"/>
          <w:lang w:val="x-none"/>
        </w:rPr>
        <w:t>occupational exposure to</w:t>
      </w:r>
      <w:r>
        <w:rPr>
          <w:sz w:val="24"/>
          <w:szCs w:val="24"/>
        </w:rPr>
        <w:t xml:space="preserve"> beryllium</w:t>
      </w:r>
      <w:r>
        <w:rPr>
          <w:sz w:val="24"/>
          <w:szCs w:val="24"/>
          <w:lang w:val="x-none"/>
        </w:rPr>
        <w:t>.</w:t>
      </w:r>
    </w:p>
    <w:p w:rsidR="00E35242" w:rsidRDefault="00E35242" w:rsidP="00E35242">
      <w:pPr>
        <w:pStyle w:val="Heading2"/>
        <w:numPr>
          <w:ilvl w:val="1"/>
          <w:numId w:val="3"/>
        </w:numPr>
        <w:ind w:left="0" w:firstLine="0"/>
        <w:rPr>
          <w:sz w:val="22"/>
          <w:szCs w:val="22"/>
          <w:lang w:val="x-none"/>
        </w:rPr>
      </w:pPr>
      <w:bookmarkStart w:id="1" w:name="_Ref406584848"/>
      <w:r>
        <w:rPr>
          <w:sz w:val="22"/>
          <w:szCs w:val="22"/>
          <w:lang w:val="x-none"/>
        </w:rPr>
        <w:t>Provide estimates of the hour burden of the collection of information.  The statement should:</w:t>
      </w:r>
      <w:bookmarkEnd w:id="1"/>
    </w:p>
    <w:p w:rsidR="00E35242" w:rsidRDefault="00E35242" w:rsidP="00E35242">
      <w:pPr>
        <w:ind w:left="432" w:hanging="144"/>
        <w:rPr>
          <w:sz w:val="22"/>
          <w:szCs w:val="22"/>
        </w:rPr>
      </w:pPr>
      <w:r>
        <w:rPr>
          <w:sz w:val="22"/>
          <w:szCs w:val="22"/>
        </w:rPr>
        <w:t xml:space="preserve">  </w:t>
      </w:r>
      <w:r>
        <w:rPr>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Pr>
          <w:b/>
          <w:bCs/>
          <w:sz w:val="22"/>
          <w:szCs w:val="22"/>
        </w:rPr>
        <w:lastRenderedPageBreak/>
        <w:t>variance.  Generally, estimates should not include burden hours for customary and usual business practices.</w:t>
      </w:r>
    </w:p>
    <w:p w:rsidR="00E35242" w:rsidRDefault="00E35242" w:rsidP="00E35242">
      <w:pPr>
        <w:rPr>
          <w:sz w:val="22"/>
          <w:szCs w:val="22"/>
        </w:rPr>
      </w:pPr>
    </w:p>
    <w:p w:rsidR="00E35242" w:rsidRDefault="00E35242" w:rsidP="00E35242">
      <w:pPr>
        <w:ind w:left="432" w:hanging="144"/>
        <w:rPr>
          <w:b/>
          <w:bCs/>
          <w:sz w:val="22"/>
          <w:szCs w:val="22"/>
        </w:rPr>
      </w:pPr>
      <w:r>
        <w:rPr>
          <w:sz w:val="22"/>
          <w:szCs w:val="22"/>
        </w:rPr>
        <w:t xml:space="preserve">· </w:t>
      </w:r>
      <w:r>
        <w:rPr>
          <w:b/>
          <w:bCs/>
          <w:sz w:val="22"/>
          <w:szCs w:val="22"/>
        </w:rPr>
        <w:t>If this request for approval covers more than one form, provide separate hour burden estimates for each form and aggregate the hour burdens.</w:t>
      </w:r>
    </w:p>
    <w:p w:rsidR="00E35242" w:rsidRDefault="00E35242" w:rsidP="00E35242">
      <w:pPr>
        <w:rPr>
          <w:b/>
          <w:bCs/>
          <w:sz w:val="22"/>
          <w:szCs w:val="22"/>
        </w:rPr>
      </w:pPr>
    </w:p>
    <w:p w:rsidR="00E35242" w:rsidRDefault="00E35242" w:rsidP="00E35242">
      <w:pPr>
        <w:ind w:left="432" w:hanging="144"/>
        <w:rPr>
          <w:b/>
          <w:bCs/>
          <w:sz w:val="22"/>
          <w:szCs w:val="22"/>
        </w:rPr>
      </w:pPr>
      <w:r>
        <w:rPr>
          <w:b/>
          <w:bCs/>
          <w:sz w:val="22"/>
          <w:szCs w:val="22"/>
        </w:rPr>
        <w:t>· Provide estimates of annualized costs to respondents for the hour burdens for collections of information, identifying and using appropriate wage rate categories.</w:t>
      </w:r>
    </w:p>
    <w:p w:rsidR="00E35242" w:rsidRDefault="00E35242" w:rsidP="00E35242">
      <w:pPr>
        <w:pStyle w:val="Default"/>
        <w:rPr>
          <w:color w:val="auto"/>
        </w:rPr>
      </w:pPr>
    </w:p>
    <w:p w:rsidR="00E35242" w:rsidRDefault="00E35242" w:rsidP="00E35242">
      <w:pPr>
        <w:pStyle w:val="BodyTextFirstIndent"/>
        <w:ind w:firstLine="0"/>
        <w:rPr>
          <w:sz w:val="24"/>
          <w:szCs w:val="24"/>
          <w:lang w:val="x-none"/>
        </w:rPr>
      </w:pPr>
      <w:r>
        <w:rPr>
          <w:sz w:val="24"/>
          <w:szCs w:val="24"/>
          <w:lang w:val="x-none"/>
        </w:rPr>
        <w:t>OSHA based the</w:t>
      </w:r>
      <w:r>
        <w:rPr>
          <w:sz w:val="24"/>
          <w:szCs w:val="24"/>
        </w:rPr>
        <w:t xml:space="preserve"> burden hour and cost</w:t>
      </w:r>
      <w:r>
        <w:rPr>
          <w:sz w:val="24"/>
          <w:szCs w:val="24"/>
          <w:lang w:val="x-none"/>
        </w:rPr>
        <w:t xml:space="preserve"> </w:t>
      </w:r>
      <w:r w:rsidR="003C475A">
        <w:rPr>
          <w:sz w:val="24"/>
          <w:szCs w:val="24"/>
        </w:rPr>
        <w:t xml:space="preserve">reduction </w:t>
      </w:r>
      <w:r>
        <w:rPr>
          <w:sz w:val="24"/>
          <w:szCs w:val="24"/>
          <w:lang w:val="x-none"/>
        </w:rPr>
        <w:t xml:space="preserve">determinations on </w:t>
      </w:r>
      <w:r>
        <w:rPr>
          <w:sz w:val="24"/>
          <w:szCs w:val="24"/>
        </w:rPr>
        <w:t>the Preliminary</w:t>
      </w:r>
      <w:r>
        <w:rPr>
          <w:sz w:val="24"/>
          <w:szCs w:val="24"/>
          <w:lang w:val="x-none"/>
        </w:rPr>
        <w:t xml:space="preserve"> Economic Analysis (“</w:t>
      </w:r>
      <w:r>
        <w:rPr>
          <w:sz w:val="24"/>
          <w:szCs w:val="24"/>
        </w:rPr>
        <w:t>P</w:t>
      </w:r>
      <w:r>
        <w:rPr>
          <w:sz w:val="24"/>
          <w:szCs w:val="24"/>
          <w:lang w:val="x-none"/>
        </w:rPr>
        <w:t>EA”) for the</w:t>
      </w:r>
      <w:r>
        <w:rPr>
          <w:sz w:val="24"/>
          <w:szCs w:val="24"/>
        </w:rPr>
        <w:t xml:space="preserve"> </w:t>
      </w:r>
      <w:r>
        <w:rPr>
          <w:sz w:val="24"/>
          <w:szCs w:val="24"/>
          <w:lang w:val="x-none"/>
        </w:rPr>
        <w:t xml:space="preserve">Beryllium </w:t>
      </w:r>
      <w:r w:rsidR="00D36D69">
        <w:rPr>
          <w:sz w:val="24"/>
          <w:szCs w:val="24"/>
        </w:rPr>
        <w:t>proposal</w:t>
      </w:r>
      <w:r>
        <w:rPr>
          <w:sz w:val="24"/>
          <w:szCs w:val="24"/>
        </w:rPr>
        <w:t>,</w:t>
      </w:r>
      <w:r>
        <w:rPr>
          <w:sz w:val="24"/>
          <w:szCs w:val="24"/>
          <w:lang w:val="x-none"/>
        </w:rPr>
        <w:t xml:space="preserve"> which is available in the </w:t>
      </w:r>
      <w:r w:rsidR="005952E8">
        <w:rPr>
          <w:sz w:val="24"/>
          <w:szCs w:val="24"/>
        </w:rPr>
        <w:t>in the Notice of Proposed Rulemaking</w:t>
      </w:r>
      <w:r>
        <w:rPr>
          <w:sz w:val="24"/>
          <w:szCs w:val="24"/>
          <w:lang w:val="x-none"/>
        </w:rPr>
        <w:t>.</w:t>
      </w:r>
      <w:r>
        <w:rPr>
          <w:rStyle w:val="FootnoteReference"/>
          <w:lang w:val="x-none"/>
        </w:rPr>
        <w:footnoteReference w:customMarkFollows="1" w:id="4"/>
        <w:t>[3]</w:t>
      </w:r>
      <w:r>
        <w:rPr>
          <w:sz w:val="24"/>
          <w:szCs w:val="24"/>
          <w:lang w:val="x-none"/>
        </w:rPr>
        <w:t xml:space="preserve">  This Supporting Statement provides a summary of the determinations made by the Agency for the burden hours, burden-hour cost, and capital (operation and maintenance) costs under Items 12 and 13 of this Supporting Statement. </w:t>
      </w:r>
      <w:r>
        <w:rPr>
          <w:rStyle w:val="FootnoteReference"/>
          <w:lang w:val="x-none"/>
        </w:rPr>
        <w:footnoteReference w:customMarkFollows="1" w:id="5"/>
        <w:t>[4]</w:t>
      </w:r>
    </w:p>
    <w:p w:rsidR="00E35242" w:rsidRPr="00D50F20" w:rsidRDefault="003C475A" w:rsidP="003B0846">
      <w:pPr>
        <w:pStyle w:val="CommentText"/>
        <w:rPr>
          <w:sz w:val="24"/>
          <w:szCs w:val="24"/>
        </w:rPr>
      </w:pPr>
      <w:r w:rsidRPr="003B0846">
        <w:rPr>
          <w:sz w:val="24"/>
          <w:szCs w:val="24"/>
        </w:rPr>
        <w:t xml:space="preserve">OSHA published its final rule </w:t>
      </w:r>
      <w:r w:rsidRPr="003B0846">
        <w:rPr>
          <w:sz w:val="24"/>
          <w:szCs w:val="24"/>
          <w:u w:val="single"/>
        </w:rPr>
        <w:t>Occupational Exposure to Beryllium and Beryllium Compounds</w:t>
      </w:r>
      <w:r w:rsidRPr="003B0846">
        <w:rPr>
          <w:sz w:val="24"/>
          <w:szCs w:val="24"/>
        </w:rPr>
        <w:t xml:space="preserve"> in the Federal Register (82:2470-2757 (1/9/17)). </w:t>
      </w:r>
      <w:r w:rsidRPr="00266C72">
        <w:rPr>
          <w:sz w:val="24"/>
          <w:szCs w:val="24"/>
        </w:rPr>
        <w:t>Currently, a</w:t>
      </w:r>
      <w:r w:rsidRPr="002B552F">
        <w:rPr>
          <w:sz w:val="24"/>
          <w:szCs w:val="24"/>
        </w:rPr>
        <w:t>s described in Section IX.C and reported in Table IX-2 of the preamble</w:t>
      </w:r>
      <w:r w:rsidR="00D36D69">
        <w:rPr>
          <w:sz w:val="24"/>
          <w:szCs w:val="24"/>
        </w:rPr>
        <w:t xml:space="preserve"> of the final rule</w:t>
      </w:r>
      <w:r w:rsidRPr="0066300C">
        <w:rPr>
          <w:sz w:val="24"/>
          <w:szCs w:val="24"/>
        </w:rPr>
        <w:t>, OSHA estimates that a total of 61,747 employees in</w:t>
      </w:r>
      <w:r w:rsidRPr="00D50F20">
        <w:rPr>
          <w:sz w:val="24"/>
          <w:szCs w:val="24"/>
        </w:rPr>
        <w:t xml:space="preserve"> 5,872 establishments are potentially at risk from exposure to beryllium (see Table III-13 in the FEA). The proposal would reduce the total number of </w:t>
      </w:r>
      <w:r w:rsidRPr="003B0846">
        <w:rPr>
          <w:sz w:val="24"/>
          <w:szCs w:val="24"/>
        </w:rPr>
        <w:t xml:space="preserve">employees </w:t>
      </w:r>
      <w:r w:rsidR="00C6376F" w:rsidRPr="003B0846">
        <w:rPr>
          <w:sz w:val="24"/>
          <w:szCs w:val="24"/>
        </w:rPr>
        <w:t>61,</w:t>
      </w:r>
      <w:r w:rsidR="00266C72" w:rsidRPr="003B0846">
        <w:rPr>
          <w:sz w:val="24"/>
          <w:szCs w:val="24"/>
        </w:rPr>
        <w:t>747</w:t>
      </w:r>
      <w:r w:rsidRPr="003B0846">
        <w:rPr>
          <w:sz w:val="24"/>
          <w:szCs w:val="24"/>
        </w:rPr>
        <w:t xml:space="preserve"> by </w:t>
      </w:r>
      <w:r w:rsidR="00C6376F" w:rsidRPr="003B0846">
        <w:rPr>
          <w:sz w:val="24"/>
          <w:szCs w:val="24"/>
        </w:rPr>
        <w:t>11,486</w:t>
      </w:r>
      <w:r w:rsidRPr="003B0846">
        <w:rPr>
          <w:i/>
          <w:sz w:val="24"/>
          <w:szCs w:val="24"/>
        </w:rPr>
        <w:t xml:space="preserve"> </w:t>
      </w:r>
      <w:r w:rsidRPr="003B0846">
        <w:rPr>
          <w:sz w:val="24"/>
          <w:szCs w:val="24"/>
        </w:rPr>
        <w:t xml:space="preserve">for a new total of </w:t>
      </w:r>
      <w:r w:rsidR="00266C72" w:rsidRPr="003B0846">
        <w:rPr>
          <w:sz w:val="24"/>
          <w:szCs w:val="24"/>
        </w:rPr>
        <w:t>50,261 employees and the total number of establishments 5,872 would be reduced by 2,796 for a new total of 3,076</w:t>
      </w:r>
      <w:r w:rsidRPr="003B0846">
        <w:rPr>
          <w:sz w:val="24"/>
          <w:szCs w:val="24"/>
        </w:rPr>
        <w:t xml:space="preserve">.   </w:t>
      </w:r>
      <w:r w:rsidR="00D36D69">
        <w:rPr>
          <w:sz w:val="24"/>
          <w:szCs w:val="24"/>
        </w:rPr>
        <w:t>T</w:t>
      </w:r>
      <w:r w:rsidR="00266C72" w:rsidRPr="003B0846">
        <w:rPr>
          <w:sz w:val="24"/>
          <w:szCs w:val="24"/>
        </w:rPr>
        <w:t xml:space="preserve">herefore, </w:t>
      </w:r>
      <w:r w:rsidR="00E35242" w:rsidRPr="00266C72">
        <w:rPr>
          <w:sz w:val="24"/>
          <w:szCs w:val="24"/>
          <w:lang w:val="x-none"/>
        </w:rPr>
        <w:t xml:space="preserve">OSHA estimates that a total of </w:t>
      </w:r>
      <w:r w:rsidR="00E35242" w:rsidRPr="00630840">
        <w:rPr>
          <w:sz w:val="24"/>
          <w:szCs w:val="24"/>
        </w:rPr>
        <w:t>50,261</w:t>
      </w:r>
      <w:r w:rsidR="00E35242" w:rsidRPr="004410BE">
        <w:rPr>
          <w:sz w:val="24"/>
          <w:szCs w:val="24"/>
          <w:lang w:val="x-none"/>
        </w:rPr>
        <w:t xml:space="preserve"> employees in </w:t>
      </w:r>
      <w:r w:rsidR="00E35242" w:rsidRPr="0066300C">
        <w:rPr>
          <w:sz w:val="24"/>
          <w:szCs w:val="24"/>
        </w:rPr>
        <w:t>3,076</w:t>
      </w:r>
      <w:r w:rsidR="00E35242" w:rsidRPr="00F21E79">
        <w:rPr>
          <w:sz w:val="24"/>
          <w:szCs w:val="24"/>
          <w:lang w:val="x-none"/>
        </w:rPr>
        <w:t xml:space="preserve"> establishments are potentially at risk from exposure to beryllium </w:t>
      </w:r>
      <w:r w:rsidR="00266C72" w:rsidRPr="00F21E79">
        <w:rPr>
          <w:sz w:val="24"/>
          <w:szCs w:val="24"/>
        </w:rPr>
        <w:t>and beryllium compounds</w:t>
      </w:r>
      <w:r w:rsidR="00D36D69">
        <w:rPr>
          <w:sz w:val="24"/>
          <w:szCs w:val="24"/>
        </w:rPr>
        <w:t xml:space="preserve"> in general industry.</w:t>
      </w:r>
    </w:p>
    <w:p w:rsidR="00266C72" w:rsidRPr="00266C72" w:rsidRDefault="00266C72" w:rsidP="003B0846">
      <w:pPr>
        <w:pStyle w:val="CommentText"/>
        <w:rPr>
          <w:sz w:val="24"/>
          <w:szCs w:val="24"/>
        </w:rPr>
      </w:pPr>
    </w:p>
    <w:p w:rsidR="00E35242" w:rsidRDefault="00E35242" w:rsidP="00E35242">
      <w:pPr>
        <w:pStyle w:val="BodyTextFirstIndent"/>
        <w:ind w:firstLine="0"/>
        <w:rPr>
          <w:sz w:val="24"/>
          <w:szCs w:val="24"/>
        </w:rPr>
      </w:pPr>
      <w:r>
        <w:rPr>
          <w:sz w:val="24"/>
          <w:szCs w:val="24"/>
          <w:lang w:val="x-none"/>
        </w:rPr>
        <w:t xml:space="preserve">For the sole purpose of calculating burden hours and costs under the Paperwork Reduction Act, this supporting statement has rounded certain numbers obtained from the </w:t>
      </w:r>
      <w:r>
        <w:rPr>
          <w:sz w:val="24"/>
          <w:szCs w:val="24"/>
        </w:rPr>
        <w:t>P</w:t>
      </w:r>
      <w:r>
        <w:rPr>
          <w:sz w:val="24"/>
          <w:szCs w:val="24"/>
          <w:lang w:val="x-none"/>
        </w:rPr>
        <w:t xml:space="preserve">EA, as well at totals stated in the supporting statement equations.  </w:t>
      </w:r>
      <w:r>
        <w:rPr>
          <w:sz w:val="24"/>
          <w:szCs w:val="24"/>
        </w:rPr>
        <w:t>Such presentation makes it easier for the public to read and validate the supporting statement’s burden hour and cost estimates. </w:t>
      </w:r>
      <w:r w:rsidR="00FD4FE2">
        <w:t xml:space="preserve">In accordance with the regulations implementing PRA, the Department has also discounted burden estimates to account for that portion of the regulated community that would already adhere to the standards as a regular business practice even in the absence of the regulatory provision. </w:t>
      </w:r>
      <w:r w:rsidR="00FD4FE2">
        <w:rPr>
          <w:i/>
        </w:rPr>
        <w:t>See</w:t>
      </w:r>
      <w:r w:rsidR="00FD4FE2">
        <w:t xml:space="preserve"> 5 CFR 1320.3(b</w:t>
      </w:r>
      <w:proofErr w:type="gramStart"/>
      <w:r w:rsidR="00FD4FE2">
        <w:t>)(</w:t>
      </w:r>
      <w:proofErr w:type="gramEnd"/>
      <w:r w:rsidR="00FD4FE2">
        <w:t>2).</w:t>
      </w:r>
      <w:r>
        <w:rPr>
          <w:sz w:val="24"/>
          <w:szCs w:val="24"/>
        </w:rPr>
        <w:t xml:space="preserve"> </w:t>
      </w:r>
    </w:p>
    <w:p w:rsidR="00E35242" w:rsidRDefault="00E35242" w:rsidP="00E35242">
      <w:pPr>
        <w:rPr>
          <w:b/>
          <w:bCs/>
        </w:rPr>
      </w:pPr>
      <w:r>
        <w:rPr>
          <w:b/>
          <w:bCs/>
        </w:rPr>
        <w:t>Wage Rates</w:t>
      </w:r>
    </w:p>
    <w:p w:rsidR="00E35242" w:rsidRDefault="00E35242" w:rsidP="00E35242">
      <w:pPr>
        <w:pStyle w:val="Default"/>
        <w:rPr>
          <w:b/>
          <w:bCs/>
          <w:color w:val="auto"/>
        </w:rPr>
      </w:pPr>
    </w:p>
    <w:p w:rsidR="00D50F20" w:rsidRPr="003B0846" w:rsidRDefault="00E35242" w:rsidP="00D50F20">
      <w:pPr>
        <w:pStyle w:val="BodyTextFirstIndent"/>
        <w:ind w:firstLine="0"/>
        <w:rPr>
          <w:sz w:val="24"/>
          <w:szCs w:val="24"/>
        </w:rPr>
      </w:pPr>
      <w:r w:rsidRPr="00D50F20">
        <w:rPr>
          <w:sz w:val="24"/>
          <w:szCs w:val="24"/>
          <w:lang w:val="x-none"/>
        </w:rPr>
        <w:t xml:space="preserve">The Agency obtained the wage rates from the Beryllium </w:t>
      </w:r>
      <w:r w:rsidR="008E2FD9">
        <w:rPr>
          <w:sz w:val="24"/>
          <w:szCs w:val="24"/>
        </w:rPr>
        <w:t>proposal</w:t>
      </w:r>
      <w:r w:rsidR="008E2FD9" w:rsidRPr="00A9115B">
        <w:rPr>
          <w:sz w:val="24"/>
          <w:szCs w:val="24"/>
        </w:rPr>
        <w:t xml:space="preserve"> </w:t>
      </w:r>
      <w:r w:rsidR="0039528D" w:rsidRPr="00A9115B">
        <w:rPr>
          <w:sz w:val="24"/>
          <w:szCs w:val="24"/>
        </w:rPr>
        <w:t>P</w:t>
      </w:r>
      <w:r w:rsidRPr="00A9115B">
        <w:rPr>
          <w:sz w:val="24"/>
          <w:szCs w:val="24"/>
        </w:rPr>
        <w:t>EA</w:t>
      </w:r>
      <w:r w:rsidRPr="00A9115B">
        <w:rPr>
          <w:sz w:val="24"/>
          <w:szCs w:val="24"/>
          <w:lang w:val="x-none"/>
        </w:rPr>
        <w:t xml:space="preserve">.  </w:t>
      </w:r>
      <w:r w:rsidR="00F21E79" w:rsidRPr="00D50F20">
        <w:rPr>
          <w:sz w:val="24"/>
          <w:szCs w:val="24"/>
        </w:rPr>
        <w:t>The wages are based on the May</w:t>
      </w:r>
      <w:r w:rsidRPr="00D50F20">
        <w:rPr>
          <w:sz w:val="24"/>
          <w:szCs w:val="24"/>
          <w:lang w:val="x-none"/>
        </w:rPr>
        <w:t xml:space="preserve"> </w:t>
      </w:r>
      <w:r w:rsidRPr="00D50F20">
        <w:rPr>
          <w:sz w:val="24"/>
          <w:szCs w:val="24"/>
        </w:rPr>
        <w:t>2016</w:t>
      </w:r>
      <w:r w:rsidRPr="00D50F20">
        <w:rPr>
          <w:sz w:val="24"/>
          <w:szCs w:val="24"/>
          <w:lang w:val="x-none"/>
        </w:rPr>
        <w:t xml:space="preserve"> Occupational Employment Statistics (OES) of the Bureau of Labor Statistics</w:t>
      </w:r>
      <w:r w:rsidRPr="00D50F20">
        <w:rPr>
          <w:sz w:val="24"/>
          <w:szCs w:val="24"/>
        </w:rPr>
        <w:t xml:space="preserve"> (BLS, </w:t>
      </w:r>
      <w:r w:rsidR="00033233">
        <w:rPr>
          <w:sz w:val="24"/>
          <w:szCs w:val="24"/>
        </w:rPr>
        <w:t>2017a</w:t>
      </w:r>
      <w:r w:rsidRPr="00D50F20">
        <w:rPr>
          <w:sz w:val="24"/>
          <w:szCs w:val="24"/>
        </w:rPr>
        <w:t>)</w:t>
      </w:r>
      <w:r w:rsidRPr="00D50F20">
        <w:rPr>
          <w:sz w:val="24"/>
          <w:szCs w:val="24"/>
          <w:lang w:val="x-none"/>
        </w:rPr>
        <w:t xml:space="preserve"> </w:t>
      </w:r>
      <w:r w:rsidR="00D50F20" w:rsidRPr="00D50F20">
        <w:rPr>
          <w:sz w:val="24"/>
          <w:szCs w:val="24"/>
        </w:rPr>
        <w:t xml:space="preserve">released </w:t>
      </w:r>
      <w:r w:rsidR="00FF4C8F">
        <w:rPr>
          <w:sz w:val="24"/>
          <w:szCs w:val="24"/>
        </w:rPr>
        <w:t xml:space="preserve">in </w:t>
      </w:r>
      <w:r w:rsidR="00D50F20" w:rsidRPr="00D50F20">
        <w:rPr>
          <w:sz w:val="24"/>
          <w:szCs w:val="24"/>
        </w:rPr>
        <w:t>March</w:t>
      </w:r>
      <w:r w:rsidR="00FF4C8F">
        <w:rPr>
          <w:sz w:val="24"/>
          <w:szCs w:val="24"/>
        </w:rPr>
        <w:t xml:space="preserve"> of</w:t>
      </w:r>
      <w:r w:rsidR="00D50F20" w:rsidRPr="00D50F20">
        <w:rPr>
          <w:sz w:val="24"/>
          <w:szCs w:val="24"/>
        </w:rPr>
        <w:t xml:space="preserve"> 2017 </w:t>
      </w:r>
      <w:r w:rsidRPr="00D50F20">
        <w:rPr>
          <w:sz w:val="24"/>
          <w:szCs w:val="24"/>
          <w:lang w:val="x-none"/>
        </w:rPr>
        <w:t>and utilize the median wage for the appropriate occupation</w:t>
      </w:r>
      <w:r w:rsidRPr="00D50F20">
        <w:rPr>
          <w:sz w:val="24"/>
          <w:szCs w:val="24"/>
        </w:rPr>
        <w:t xml:space="preserve"> and NAICS.  The Standard Occupational Classification code (SOC) has been provided for each occupational title.  </w:t>
      </w:r>
      <w:r w:rsidR="00D50F20" w:rsidRPr="003B0846">
        <w:rPr>
          <w:sz w:val="24"/>
          <w:szCs w:val="24"/>
        </w:rPr>
        <w:t xml:space="preserve">OSHA applied a fringe markup (loading factor) of 46.0 </w:t>
      </w:r>
      <w:r w:rsidR="00D50F20" w:rsidRPr="003B0846">
        <w:rPr>
          <w:sz w:val="24"/>
          <w:szCs w:val="24"/>
        </w:rPr>
        <w:lastRenderedPageBreak/>
        <w:t xml:space="preserve">percent of base wages </w:t>
      </w:r>
      <w:r w:rsidR="00D50F20" w:rsidRPr="00A9115B">
        <w:rPr>
          <w:sz w:val="24"/>
          <w:szCs w:val="24"/>
        </w:rPr>
        <w:t>(BLS, 2016c, Document ID 1980);</w:t>
      </w:r>
      <w:r w:rsidR="00D50F20" w:rsidRPr="003B0846">
        <w:rPr>
          <w:sz w:val="24"/>
          <w:szCs w:val="24"/>
        </w:rPr>
        <w:t xml:space="preserve"> loaded hourly wages by application group and SOC are shown in Table V-10</w:t>
      </w:r>
      <w:r w:rsidR="00B64ABB">
        <w:rPr>
          <w:sz w:val="24"/>
          <w:szCs w:val="24"/>
        </w:rPr>
        <w:t xml:space="preserve"> in the PEA</w:t>
      </w:r>
      <w:r w:rsidR="00D50F20" w:rsidRPr="003B0846">
        <w:rPr>
          <w:sz w:val="24"/>
          <w:szCs w:val="24"/>
        </w:rPr>
        <w:t>.</w:t>
      </w:r>
    </w:p>
    <w:p w:rsidR="00F21E79" w:rsidRDefault="00F21E79" w:rsidP="00E35242">
      <w:pPr>
        <w:pStyle w:val="BodyTextFirstIndent"/>
        <w:ind w:firstLine="0"/>
        <w:rPr>
          <w:b/>
          <w:bCs/>
          <w:sz w:val="24"/>
          <w:szCs w:val="24"/>
        </w:rPr>
      </w:pPr>
    </w:p>
    <w:p w:rsidR="00E35242" w:rsidRDefault="00E35242" w:rsidP="00E35242">
      <w:pPr>
        <w:rPr>
          <w:b/>
          <w:bCs/>
        </w:rPr>
      </w:pPr>
      <w:r>
        <w:rPr>
          <w:b/>
          <w:bCs/>
        </w:rPr>
        <w:t>            Human Resources (HR) Manager                                                   $72.42</w:t>
      </w:r>
    </w:p>
    <w:p w:rsidR="00E35242" w:rsidRDefault="00E35242" w:rsidP="00E35242">
      <w:r>
        <w:t>                        (SOC: 11-3121)</w:t>
      </w:r>
    </w:p>
    <w:p w:rsidR="00E35242" w:rsidRDefault="00E35242" w:rsidP="00E35242">
      <w:pPr>
        <w:rPr>
          <w:b/>
          <w:bCs/>
        </w:rPr>
      </w:pPr>
      <w:r>
        <w:rPr>
          <w:b/>
          <w:bCs/>
        </w:rPr>
        <w:t xml:space="preserve">            </w:t>
      </w:r>
    </w:p>
    <w:p w:rsidR="00E35242" w:rsidRDefault="00E35242" w:rsidP="00E35242">
      <w:pPr>
        <w:ind w:left="720" w:hanging="720"/>
        <w:rPr>
          <w:b/>
          <w:bCs/>
        </w:rPr>
      </w:pPr>
      <w:r>
        <w:rPr>
          <w:b/>
          <w:bCs/>
        </w:rPr>
        <w:t>            Supervisors of Production and Operating Workers                      $41.08</w:t>
      </w:r>
    </w:p>
    <w:p w:rsidR="00E35242" w:rsidRDefault="00E35242" w:rsidP="00E35242">
      <w:pPr>
        <w:ind w:left="720"/>
      </w:pPr>
      <w:r>
        <w:t>            (SOC: 51-1011</w:t>
      </w:r>
      <w:r>
        <w:rPr>
          <w:rStyle w:val="FootnoteReference"/>
          <w:lang w:eastAsia="en-US"/>
        </w:rPr>
        <w:footnoteReference w:customMarkFollows="1" w:id="6"/>
        <w:t>[5]</w:t>
      </w:r>
      <w:r>
        <w:t>)</w:t>
      </w:r>
    </w:p>
    <w:p w:rsidR="00E35242" w:rsidRDefault="00E35242" w:rsidP="00E35242">
      <w:pPr>
        <w:rPr>
          <w:b/>
          <w:bCs/>
        </w:rPr>
      </w:pPr>
      <w:r>
        <w:rPr>
          <w:b/>
          <w:bCs/>
        </w:rPr>
        <w:t xml:space="preserve">            </w:t>
      </w:r>
    </w:p>
    <w:p w:rsidR="00E35242" w:rsidRDefault="00E35242" w:rsidP="00E35242">
      <w:pPr>
        <w:rPr>
          <w:b/>
          <w:bCs/>
        </w:rPr>
      </w:pPr>
      <w:r>
        <w:rPr>
          <w:b/>
          <w:bCs/>
        </w:rPr>
        <w:t>            Production Worker                                                                           $24.16</w:t>
      </w:r>
      <w:r>
        <w:t xml:space="preserve">             </w:t>
      </w:r>
    </w:p>
    <w:p w:rsidR="00E35242" w:rsidRDefault="00E35242" w:rsidP="00E35242">
      <w:r>
        <w:t>                        (SOC: 51-0000)</w:t>
      </w:r>
    </w:p>
    <w:p w:rsidR="00E35242" w:rsidRDefault="00E35242" w:rsidP="00E35242">
      <w:pPr>
        <w:ind w:left="720"/>
      </w:pPr>
      <w:r>
        <w:t xml:space="preserve">                                    </w:t>
      </w:r>
    </w:p>
    <w:p w:rsidR="00E35242" w:rsidRDefault="00E35242" w:rsidP="00E35242">
      <w:pPr>
        <w:rPr>
          <w:b/>
          <w:bCs/>
        </w:rPr>
      </w:pPr>
      <w:r>
        <w:rPr>
          <w:b/>
          <w:bCs/>
        </w:rPr>
        <w:t>            Clerical Worker</w:t>
      </w:r>
      <w:r>
        <w:t xml:space="preserve">                                                                                </w:t>
      </w:r>
      <w:r>
        <w:rPr>
          <w:b/>
          <w:bCs/>
        </w:rPr>
        <w:t>$22.53</w:t>
      </w:r>
      <w:r>
        <w:t xml:space="preserve">             </w:t>
      </w:r>
    </w:p>
    <w:p w:rsidR="00E35242" w:rsidRDefault="00E35242" w:rsidP="00E35242">
      <w:r>
        <w:t>                        (SOC: 43-4071)</w:t>
      </w:r>
    </w:p>
    <w:p w:rsidR="000726BA" w:rsidRDefault="000726BA" w:rsidP="00E35242"/>
    <w:p w:rsidR="00E35242" w:rsidRDefault="00E35242" w:rsidP="00E35242">
      <w:pPr>
        <w:pStyle w:val="Heading3"/>
        <w:numPr>
          <w:ilvl w:val="2"/>
          <w:numId w:val="3"/>
        </w:numPr>
        <w:rPr>
          <w:lang w:val="x-none"/>
        </w:rPr>
      </w:pPr>
      <w:r>
        <w:t xml:space="preserve">Exposure </w:t>
      </w:r>
      <w:r w:rsidR="00FF4C8F">
        <w:t>Assessment</w:t>
      </w:r>
    </w:p>
    <w:p w:rsidR="00E35242" w:rsidRDefault="00E35242" w:rsidP="00E35242">
      <w:pPr>
        <w:pStyle w:val="BodyTextFirstIndent"/>
        <w:ind w:firstLine="0"/>
        <w:rPr>
          <w:sz w:val="24"/>
          <w:szCs w:val="24"/>
        </w:rPr>
      </w:pPr>
      <w:bookmarkStart w:id="2" w:name="ExposureAssessment_12"/>
      <w:bookmarkEnd w:id="2"/>
      <w:r>
        <w:rPr>
          <w:sz w:val="24"/>
          <w:szCs w:val="24"/>
          <w:lang w:val="x-none"/>
        </w:rPr>
        <w:t>Paragraph (d) sets forth requirements for assessing employee exposures to beryllium</w:t>
      </w:r>
      <w:r>
        <w:rPr>
          <w:sz w:val="24"/>
          <w:szCs w:val="24"/>
        </w:rPr>
        <w:t>.  Paragraph (d</w:t>
      </w:r>
      <w:proofErr w:type="gramStart"/>
      <w:r>
        <w:rPr>
          <w:sz w:val="24"/>
          <w:szCs w:val="24"/>
        </w:rPr>
        <w:t>)(</w:t>
      </w:r>
      <w:proofErr w:type="gramEnd"/>
      <w:r>
        <w:rPr>
          <w:sz w:val="24"/>
          <w:szCs w:val="24"/>
        </w:rPr>
        <w:t>1) requires employers to choose either the performance option in paragraph (d)(2) or the scheduled monitoring option in paragraph (d)(3).  The collections of information and associated burden are therefore accounted for in paragraph (d</w:t>
      </w:r>
      <w:proofErr w:type="gramStart"/>
      <w:r>
        <w:rPr>
          <w:sz w:val="24"/>
          <w:szCs w:val="24"/>
        </w:rPr>
        <w:t>)(</w:t>
      </w:r>
      <w:proofErr w:type="gramEnd"/>
      <w:r>
        <w:rPr>
          <w:sz w:val="24"/>
          <w:szCs w:val="24"/>
        </w:rPr>
        <w:t>2) and (d)(3).</w:t>
      </w:r>
    </w:p>
    <w:p w:rsidR="00E35242" w:rsidRDefault="00E35242" w:rsidP="00E35242">
      <w:pPr>
        <w:rPr>
          <w:b/>
          <w:bCs/>
          <w:u w:val="single"/>
        </w:rPr>
      </w:pPr>
      <w:r>
        <w:rPr>
          <w:b/>
          <w:bCs/>
        </w:rPr>
        <w:t>§1910.1024 (d</w:t>
      </w:r>
      <w:proofErr w:type="gramStart"/>
      <w:r>
        <w:rPr>
          <w:b/>
          <w:bCs/>
        </w:rPr>
        <w:t>)(</w:t>
      </w:r>
      <w:proofErr w:type="gramEnd"/>
      <w:r>
        <w:rPr>
          <w:b/>
          <w:bCs/>
        </w:rPr>
        <w:t>2) --  Performance Option.</w:t>
      </w:r>
      <w:r>
        <w:rPr>
          <w:b/>
          <w:bCs/>
          <w:u w:val="single"/>
        </w:rPr>
        <w:t xml:space="preserve"> </w:t>
      </w:r>
    </w:p>
    <w:p w:rsidR="00E35242" w:rsidRDefault="00E35242" w:rsidP="00E35242"/>
    <w:p w:rsidR="00E35242" w:rsidRDefault="00E35242" w:rsidP="00E35242">
      <w:pPr>
        <w:pStyle w:val="BodyTextFirstIndent"/>
        <w:ind w:firstLine="0"/>
        <w:rPr>
          <w:sz w:val="24"/>
          <w:szCs w:val="24"/>
        </w:rPr>
      </w:pPr>
      <w:r>
        <w:rPr>
          <w:sz w:val="24"/>
          <w:szCs w:val="24"/>
        </w:rPr>
        <w:t xml:space="preserve">When the employer elects the performance option, the employer must assess the </w:t>
      </w:r>
      <w:r>
        <w:rPr>
          <w:sz w:val="24"/>
          <w:szCs w:val="24"/>
          <w:lang w:val="x-none"/>
        </w:rPr>
        <w:t xml:space="preserve">8-hour TWA exposure and the 15-minute short-term exposure for each employee on the basis of any combination of air monitoring data and objective data sufficient to accurately characterize airborne exposure </w:t>
      </w:r>
      <w:r>
        <w:rPr>
          <w:sz w:val="24"/>
          <w:szCs w:val="24"/>
        </w:rPr>
        <w:t>to beryllium</w:t>
      </w:r>
      <w:r>
        <w:rPr>
          <w:sz w:val="24"/>
          <w:szCs w:val="24"/>
          <w:lang w:val="x-none"/>
        </w:rPr>
        <w:t xml:space="preserve">. </w:t>
      </w:r>
      <w:r>
        <w:rPr>
          <w:sz w:val="24"/>
          <w:szCs w:val="24"/>
        </w:rPr>
        <w:t xml:space="preserve"> Employers do not have to </w:t>
      </w:r>
      <w:r>
        <w:rPr>
          <w:sz w:val="24"/>
          <w:szCs w:val="24"/>
          <w:lang w:val="x-none"/>
        </w:rPr>
        <w:t>conduct initial exposure monitoring if they relied on</w:t>
      </w:r>
      <w:r>
        <w:rPr>
          <w:sz w:val="24"/>
          <w:szCs w:val="24"/>
        </w:rPr>
        <w:t xml:space="preserve"> any combination of air monitoring and</w:t>
      </w:r>
      <w:r>
        <w:rPr>
          <w:sz w:val="24"/>
          <w:szCs w:val="24"/>
          <w:lang w:val="x-none"/>
        </w:rPr>
        <w:t xml:space="preserve"> objective data. </w:t>
      </w:r>
    </w:p>
    <w:p w:rsidR="00E35242" w:rsidRDefault="00E35242" w:rsidP="00E35242">
      <w:r>
        <w:t xml:space="preserve">OSHA has not taken any separate burden associated with the performance option, assuming for the purposes of this analysis that all employers would elect the more burdensome scheduled monitoring system.  OSHA recognizes that the performance option is less burdensome and has thus overestimated the burden hours for the monitoring option under this approach. </w:t>
      </w:r>
    </w:p>
    <w:p w:rsidR="00E35242" w:rsidRDefault="00E35242" w:rsidP="00E35242">
      <w:pPr>
        <w:rPr>
          <w:b/>
          <w:bCs/>
        </w:rPr>
      </w:pPr>
    </w:p>
    <w:p w:rsidR="00E35242" w:rsidRDefault="00E35242" w:rsidP="00E35242">
      <w:pPr>
        <w:rPr>
          <w:b/>
          <w:bCs/>
        </w:rPr>
      </w:pPr>
      <w:r>
        <w:rPr>
          <w:b/>
          <w:bCs/>
        </w:rPr>
        <w:t>§1910.1024 (d</w:t>
      </w:r>
      <w:proofErr w:type="gramStart"/>
      <w:r>
        <w:rPr>
          <w:b/>
          <w:bCs/>
        </w:rPr>
        <w:t>)(</w:t>
      </w:r>
      <w:proofErr w:type="gramEnd"/>
      <w:r>
        <w:rPr>
          <w:b/>
          <w:bCs/>
        </w:rPr>
        <w:t>3)(</w:t>
      </w:r>
      <w:proofErr w:type="spellStart"/>
      <w:r>
        <w:rPr>
          <w:b/>
          <w:bCs/>
        </w:rPr>
        <w:t>i</w:t>
      </w:r>
      <w:proofErr w:type="spellEnd"/>
      <w:r>
        <w:rPr>
          <w:b/>
          <w:bCs/>
        </w:rPr>
        <w:t xml:space="preserve">), (ii)&amp;(iii) -- Scheduled Monitoring Option.  </w:t>
      </w:r>
    </w:p>
    <w:p w:rsidR="00E35242" w:rsidRDefault="00E35242" w:rsidP="00E35242"/>
    <w:p w:rsidR="00E35242" w:rsidRDefault="00E35242" w:rsidP="00E35242">
      <w:r>
        <w:t xml:space="preserve">1. </w:t>
      </w:r>
      <w:r>
        <w:rPr>
          <w:u w:val="single"/>
        </w:rPr>
        <w:t>Initial Monitoring</w:t>
      </w:r>
    </w:p>
    <w:p w:rsidR="00E35242" w:rsidRDefault="00E35242" w:rsidP="00E35242"/>
    <w:p w:rsidR="00E35242" w:rsidRDefault="00296A72" w:rsidP="00E35242">
      <w:r>
        <w:t>P</w:t>
      </w:r>
      <w:r w:rsidR="00E35242">
        <w:t>aragraph (d)(3)(</w:t>
      </w:r>
      <w:proofErr w:type="spellStart"/>
      <w:r w:rsidR="00E35242">
        <w:t>i</w:t>
      </w:r>
      <w:proofErr w:type="spellEnd"/>
      <w:r w:rsidR="00E35242">
        <w:t>)</w:t>
      </w:r>
      <w:r>
        <w:t xml:space="preserve"> </w:t>
      </w:r>
      <w:r w:rsidR="00E35242">
        <w:t xml:space="preserve">requires the employer to perform initial monitoring to assess the 8-hour TWA exposure for each employee on the basis of one or more personal breathing zone air samples that reflect the airborne exposure of employees on each shift, for each job classification, and in each work area. </w:t>
      </w:r>
    </w:p>
    <w:p w:rsidR="00E35242" w:rsidRDefault="00E35242" w:rsidP="00E35242"/>
    <w:p w:rsidR="00E35242" w:rsidRDefault="00296A72" w:rsidP="00E35242">
      <w:r>
        <w:t>P</w:t>
      </w:r>
      <w:r w:rsidR="00E35242">
        <w:t xml:space="preserve">aragraph (d)(3)(ii) requires the employer to perform initial monitoring to assess the short-term exposure from 15-minute personal breathing zone air samples measured in operations that are likely to produce airborne exposure above the STEL for each work shift, for each job classification, and in each work area. </w:t>
      </w:r>
      <w:r w:rsidR="00216DCB">
        <w:t>P</w:t>
      </w:r>
      <w:r w:rsidR="00E35242">
        <w:t>aragraph (d)(3)(iii) allows the employer to sample a representative fraction of these employees in order to meet the requirements of paragraph (d)(3) of this standard where several employees perform the same tasks on the same shift and in the same work area. And, paragraph (d)(3)(iv) allows the employer to discontinue monitoring for those employees whose airborne exposure is represented by such monitoring if initial monitoring indicates that airborne exposure is below the action level and at or below the STEL.</w:t>
      </w:r>
    </w:p>
    <w:p w:rsidR="00E35242" w:rsidRDefault="00E35242" w:rsidP="00E35242"/>
    <w:p w:rsidR="00E35242" w:rsidRDefault="00E35242" w:rsidP="00E35242">
      <w:pPr>
        <w:pStyle w:val="BodyTextFirstIndent"/>
        <w:ind w:firstLine="0"/>
        <w:rPr>
          <w:sz w:val="24"/>
          <w:szCs w:val="24"/>
          <w:lang w:val="x-none"/>
        </w:rPr>
      </w:pPr>
      <w:r>
        <w:rPr>
          <w:sz w:val="24"/>
          <w:szCs w:val="24"/>
        </w:rPr>
        <w:t>The total number of workers affected is 50,261.</w:t>
      </w:r>
      <w:r>
        <w:rPr>
          <w:rStyle w:val="FootnoteReference"/>
        </w:rPr>
        <w:footnoteReference w:customMarkFollows="1" w:id="7"/>
        <w:t>[6]</w:t>
      </w:r>
      <w:r>
        <w:rPr>
          <w:sz w:val="24"/>
          <w:szCs w:val="24"/>
        </w:rPr>
        <w:t> Of these affected workers, there are 6,804 dental laboratory workers who will not sampled since laboratories will substitute to a different material in lieu of continuing to work with beryllium.  Excluding the substituting dental laboratory workers,</w:t>
      </w:r>
      <w:r w:rsidR="003E0CCF">
        <w:rPr>
          <w:sz w:val="24"/>
          <w:szCs w:val="24"/>
        </w:rPr>
        <w:t xml:space="preserve"> </w:t>
      </w:r>
      <w:r>
        <w:rPr>
          <w:sz w:val="24"/>
          <w:szCs w:val="24"/>
        </w:rPr>
        <w:t xml:space="preserve">the number of affected workers is </w:t>
      </w:r>
      <w:r w:rsidR="00570A95">
        <w:rPr>
          <w:sz w:val="24"/>
          <w:szCs w:val="24"/>
        </w:rPr>
        <w:t>43,457</w:t>
      </w:r>
      <w:r>
        <w:rPr>
          <w:sz w:val="24"/>
          <w:szCs w:val="24"/>
        </w:rPr>
        <w:t>.</w:t>
      </w:r>
      <w:r w:rsidR="00C35D6B">
        <w:rPr>
          <w:sz w:val="24"/>
          <w:szCs w:val="24"/>
        </w:rPr>
        <w:t xml:space="preserve"> Note: 50,261 </w:t>
      </w:r>
      <w:r w:rsidR="0007703F">
        <w:rPr>
          <w:sz w:val="24"/>
          <w:szCs w:val="24"/>
        </w:rPr>
        <w:t>–</w:t>
      </w:r>
      <w:r w:rsidR="00C35D6B">
        <w:rPr>
          <w:sz w:val="24"/>
          <w:szCs w:val="24"/>
        </w:rPr>
        <w:t xml:space="preserve"> </w:t>
      </w:r>
      <w:r w:rsidR="0007703F">
        <w:rPr>
          <w:sz w:val="24"/>
          <w:szCs w:val="24"/>
        </w:rPr>
        <w:t>6,804 dental labs = 43,457.</w:t>
      </w:r>
      <w:r>
        <w:rPr>
          <w:sz w:val="24"/>
          <w:szCs w:val="24"/>
          <w:vertAlign w:val="superscript"/>
          <w:lang w:val="x-none"/>
        </w:rPr>
        <w:t xml:space="preserve">  </w:t>
      </w:r>
      <w:r>
        <w:rPr>
          <w:sz w:val="24"/>
          <w:szCs w:val="24"/>
          <w:lang w:val="x-none"/>
        </w:rPr>
        <w:t xml:space="preserve">The number of workers </w:t>
      </w:r>
      <w:r>
        <w:rPr>
          <w:sz w:val="24"/>
          <w:szCs w:val="24"/>
        </w:rPr>
        <w:t xml:space="preserve">that will be directly </w:t>
      </w:r>
      <w:r>
        <w:rPr>
          <w:sz w:val="24"/>
          <w:szCs w:val="24"/>
          <w:lang w:val="x-none"/>
        </w:rPr>
        <w:t>subject</w:t>
      </w:r>
      <w:r>
        <w:rPr>
          <w:sz w:val="24"/>
          <w:szCs w:val="24"/>
        </w:rPr>
        <w:t>ed</w:t>
      </w:r>
      <w:r>
        <w:rPr>
          <w:sz w:val="24"/>
          <w:szCs w:val="24"/>
          <w:lang w:val="x-none"/>
        </w:rPr>
        <w:t xml:space="preserve"> to initial monitoring (</w:t>
      </w:r>
      <w:r>
        <w:rPr>
          <w:sz w:val="24"/>
          <w:szCs w:val="24"/>
        </w:rPr>
        <w:t>10,</w:t>
      </w:r>
      <w:r w:rsidR="00660B15">
        <w:rPr>
          <w:sz w:val="24"/>
          <w:szCs w:val="24"/>
        </w:rPr>
        <w:t>864</w:t>
      </w:r>
      <w:r>
        <w:rPr>
          <w:sz w:val="24"/>
          <w:szCs w:val="24"/>
          <w:lang w:val="x-none"/>
        </w:rPr>
        <w:t xml:space="preserve">) is the number of affected workers in each NAICS, divided by 4 because there are 4 workers </w:t>
      </w:r>
      <w:r>
        <w:rPr>
          <w:sz w:val="24"/>
          <w:szCs w:val="24"/>
        </w:rPr>
        <w:t>represented by each sample {43,</w:t>
      </w:r>
      <w:r w:rsidR="00570A95">
        <w:rPr>
          <w:sz w:val="24"/>
          <w:szCs w:val="24"/>
        </w:rPr>
        <w:t>457</w:t>
      </w:r>
      <w:r>
        <w:rPr>
          <w:sz w:val="24"/>
          <w:szCs w:val="24"/>
        </w:rPr>
        <w:t>/4=</w:t>
      </w:r>
      <w:r w:rsidR="00041D5D">
        <w:rPr>
          <w:sz w:val="24"/>
          <w:szCs w:val="24"/>
        </w:rPr>
        <w:t>10,864</w:t>
      </w:r>
      <w:r>
        <w:rPr>
          <w:sz w:val="24"/>
          <w:szCs w:val="24"/>
        </w:rPr>
        <w:t xml:space="preserve">}. </w:t>
      </w:r>
      <w:r>
        <w:rPr>
          <w:sz w:val="24"/>
          <w:szCs w:val="24"/>
          <w:lang w:val="x-none"/>
        </w:rPr>
        <w:t xml:space="preserve"> Each </w:t>
      </w:r>
      <w:r>
        <w:rPr>
          <w:sz w:val="24"/>
          <w:szCs w:val="24"/>
        </w:rPr>
        <w:t xml:space="preserve">sampled </w:t>
      </w:r>
      <w:r>
        <w:rPr>
          <w:sz w:val="24"/>
          <w:szCs w:val="24"/>
          <w:lang w:val="x-none"/>
        </w:rPr>
        <w:t xml:space="preserve">production </w:t>
      </w:r>
      <w:r w:rsidR="00FF4C8F">
        <w:rPr>
          <w:sz w:val="24"/>
          <w:szCs w:val="24"/>
          <w:lang w:val="x-none"/>
        </w:rPr>
        <w:t>worker</w:t>
      </w:r>
      <w:r>
        <w:rPr>
          <w:sz w:val="24"/>
          <w:szCs w:val="24"/>
          <w:lang w:val="x-none"/>
        </w:rPr>
        <w:t xml:space="preserve"> will incur 30 minutes (0.5 hours</w:t>
      </w:r>
      <w:r>
        <w:rPr>
          <w:sz w:val="24"/>
          <w:szCs w:val="24"/>
        </w:rPr>
        <w:t xml:space="preserve">) </w:t>
      </w:r>
      <w:r>
        <w:rPr>
          <w:sz w:val="24"/>
          <w:szCs w:val="24"/>
          <w:lang w:val="x-none"/>
        </w:rPr>
        <w:t>of lost work time during air monitoring,</w:t>
      </w:r>
      <w:r>
        <w:rPr>
          <w:rStyle w:val="FootnoteReference"/>
          <w:lang w:val="x-none"/>
        </w:rPr>
        <w:footnoteReference w:customMarkFollows="1" w:id="8"/>
        <w:t>[7]</w:t>
      </w:r>
      <w:r>
        <w:rPr>
          <w:sz w:val="24"/>
          <w:szCs w:val="24"/>
          <w:lang w:val="x-none"/>
        </w:rPr>
        <w:t xml:space="preserve"> at a</w:t>
      </w:r>
      <w:r>
        <w:rPr>
          <w:sz w:val="24"/>
          <w:szCs w:val="24"/>
        </w:rPr>
        <w:t xml:space="preserve">n </w:t>
      </w:r>
      <w:r>
        <w:rPr>
          <w:sz w:val="24"/>
          <w:szCs w:val="24"/>
          <w:lang w:val="x-none"/>
        </w:rPr>
        <w:t>hourly wage rate of $</w:t>
      </w:r>
      <w:r>
        <w:rPr>
          <w:sz w:val="24"/>
          <w:szCs w:val="24"/>
        </w:rPr>
        <w:t>24.16</w:t>
      </w:r>
      <w:r>
        <w:rPr>
          <w:sz w:val="24"/>
          <w:szCs w:val="24"/>
          <w:lang w:val="x-none"/>
        </w:rPr>
        <w:t xml:space="preserve">. Baseline non-compliance with this requirement is estimated to be </w:t>
      </w:r>
      <w:r>
        <w:rPr>
          <w:sz w:val="24"/>
          <w:szCs w:val="24"/>
        </w:rPr>
        <w:t>96</w:t>
      </w:r>
      <w:r>
        <w:rPr>
          <w:sz w:val="24"/>
          <w:szCs w:val="24"/>
          <w:lang w:val="x-none"/>
        </w:rPr>
        <w:t xml:space="preserve"> percent.  The burden hours and cost associated with these provisions are: </w:t>
      </w:r>
    </w:p>
    <w:p w:rsidR="00E35242" w:rsidRDefault="00E35242" w:rsidP="00E35242">
      <w:pPr>
        <w:pStyle w:val="BurdenHoursCost"/>
      </w:pPr>
      <w:bookmarkStart w:id="3" w:name="_Hlk406658556"/>
      <w:r>
        <w:rPr>
          <w:b/>
          <w:bCs/>
        </w:rPr>
        <w:t>Burden hours</w:t>
      </w:r>
      <w:r>
        <w:t>:  10,</w:t>
      </w:r>
      <w:r w:rsidR="00041D5D">
        <w:t xml:space="preserve">864 </w:t>
      </w:r>
      <w:r>
        <w:t>(samples)</w:t>
      </w:r>
      <w:bookmarkStart w:id="4" w:name="_Hlk406663011"/>
      <w:bookmarkEnd w:id="3"/>
      <w:r>
        <w:t xml:space="preserve"> </w:t>
      </w:r>
      <w:bookmarkStart w:id="5" w:name="_Hlk406663102"/>
      <w:bookmarkEnd w:id="4"/>
      <w:r>
        <w:t xml:space="preserve">x 0.96 (non-compliance rate) </w:t>
      </w:r>
      <w:bookmarkEnd w:id="5"/>
      <w:r>
        <w:rPr>
          <w:rFonts w:ascii="Symbol" w:hAnsi="Symbol"/>
        </w:rPr>
        <w:t></w:t>
      </w:r>
      <w:r>
        <w:t xml:space="preserve"> 0.5 </w:t>
      </w:r>
      <w:bookmarkStart w:id="6" w:name="_Hlk406656234"/>
      <w:r>
        <w:t>(hours of Production Worker time)</w:t>
      </w:r>
      <w:bookmarkEnd w:id="6"/>
      <w:r>
        <w:t xml:space="preserve"> = </w:t>
      </w:r>
      <w:r>
        <w:rPr>
          <w:b/>
          <w:bCs/>
        </w:rPr>
        <w:t>5,215 hours</w:t>
      </w:r>
    </w:p>
    <w:p w:rsidR="00E35242" w:rsidRDefault="00E35242" w:rsidP="00E35242">
      <w:pPr>
        <w:pStyle w:val="BurdenHoursCost"/>
      </w:pPr>
      <w:r>
        <w:rPr>
          <w:b/>
          <w:bCs/>
        </w:rPr>
        <w:t>One-Time Cost</w:t>
      </w:r>
      <w:r>
        <w:t>:  5,215 (hours)</w:t>
      </w:r>
      <w:bookmarkStart w:id="7" w:name="_Hlk406663051"/>
      <w:r>
        <w:t xml:space="preserve"> </w:t>
      </w:r>
      <w:bookmarkEnd w:id="7"/>
      <w:r>
        <w:rPr>
          <w:rFonts w:ascii="Symbol" w:hAnsi="Symbol"/>
        </w:rPr>
        <w:t></w:t>
      </w:r>
      <w:r>
        <w:t xml:space="preserve"> $24.16 (Production Worker wage) = </w:t>
      </w:r>
      <w:r>
        <w:rPr>
          <w:b/>
          <w:bCs/>
        </w:rPr>
        <w:t>$125,994</w:t>
      </w:r>
    </w:p>
    <w:p w:rsidR="00E35242" w:rsidRDefault="00E35242" w:rsidP="00E35242">
      <w:pPr>
        <w:pStyle w:val="Heading4"/>
        <w:numPr>
          <w:ilvl w:val="0"/>
          <w:numId w:val="0"/>
        </w:numPr>
      </w:pPr>
      <w:r>
        <w:rPr>
          <w:u w:val="none"/>
        </w:rPr>
        <w:t xml:space="preserve">2.  </w:t>
      </w:r>
      <w:r>
        <w:rPr>
          <w:lang w:val="x-none"/>
        </w:rPr>
        <w:t>Periodic Exposure Monitoring</w:t>
      </w:r>
    </w:p>
    <w:p w:rsidR="00E35242" w:rsidRDefault="00E35242" w:rsidP="00E35242">
      <w:r>
        <w:rPr>
          <w:b/>
          <w:bCs/>
        </w:rPr>
        <w:t>§1910.1024 (d</w:t>
      </w:r>
      <w:proofErr w:type="gramStart"/>
      <w:r>
        <w:rPr>
          <w:b/>
          <w:bCs/>
        </w:rPr>
        <w:t>)(</w:t>
      </w:r>
      <w:proofErr w:type="gramEnd"/>
      <w:r>
        <w:rPr>
          <w:b/>
          <w:bCs/>
        </w:rPr>
        <w:t>3)(v),(vi),(vii) &amp; (viii) -- Scheduled Monitoring Option.</w:t>
      </w:r>
      <w:r>
        <w:t xml:space="preserve">  </w:t>
      </w:r>
    </w:p>
    <w:p w:rsidR="00E35242" w:rsidRDefault="00E35242" w:rsidP="00E35242"/>
    <w:p w:rsidR="00E35242" w:rsidRDefault="006D2CEA" w:rsidP="00E35242">
      <w:r>
        <w:lastRenderedPageBreak/>
        <w:t>P</w:t>
      </w:r>
      <w:r w:rsidR="00E35242">
        <w:t xml:space="preserve">aragraph (d)(3)(v) requires the employer to repeat such monitoring within six months of the most recent monitoring where the most recent exposure monitoring indicates that airborne exposure is at or above the action level but at or below the TWA PEL.  </w:t>
      </w:r>
      <w:r>
        <w:t>P</w:t>
      </w:r>
      <w:r w:rsidR="00E35242">
        <w:t xml:space="preserve">aragraph (d)(3)(vi) requires </w:t>
      </w:r>
      <w:r>
        <w:t xml:space="preserve">that </w:t>
      </w:r>
      <w:r w:rsidR="00E35242">
        <w:t xml:space="preserve">the employer to repeat such monitoring within three months of the most recent 8-hour TWA exposure monitoring where the most recent exposure monitoring indicates that airborne exposure is above the TWA PEL.  </w:t>
      </w:r>
      <w:r>
        <w:t>P</w:t>
      </w:r>
      <w:r w:rsidR="00E35242">
        <w:t xml:space="preserve">aragraph (d)(3)(vii) requires </w:t>
      </w:r>
      <w:r>
        <w:t xml:space="preserve">that </w:t>
      </w:r>
      <w:r w:rsidR="00E35242">
        <w:t xml:space="preserve">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 where the most recent (non-initial) exposure monitoring indicates that airborne exposure is below the action level.  And, paragraph (d)(3)(viii) requires </w:t>
      </w:r>
      <w:r>
        <w:t xml:space="preserve">that </w:t>
      </w:r>
      <w:r w:rsidR="00E35242">
        <w:t>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 where the most recent exposure monitoring indicates that airborne exposure is above the STEL.</w:t>
      </w:r>
    </w:p>
    <w:p w:rsidR="000A5922" w:rsidRDefault="000A5922" w:rsidP="00E35242"/>
    <w:p w:rsidR="008D56F1" w:rsidRDefault="008D56F1" w:rsidP="008D56F1">
      <w:r w:rsidRPr="00DC12A2">
        <w:rPr>
          <w:i/>
        </w:rPr>
        <w:t>Between AL and PEL</w:t>
      </w:r>
      <w:r>
        <w:t xml:space="preserve">: </w:t>
      </w:r>
    </w:p>
    <w:p w:rsidR="008D56F1" w:rsidRDefault="008D56F1" w:rsidP="008D56F1"/>
    <w:p w:rsidR="008D56F1" w:rsidRDefault="008D56F1" w:rsidP="008D56F1">
      <w:r>
        <w:t>The existing ICR estimates there are 20,732 at-risk workers above the action level and below the PEL.  The 5,877 workers in dental labs above the action level and below the PEL are excluded because sampling is not expected for these workers.  The remaining workers are divided into two worker categories:  5,744</w:t>
      </w:r>
      <w:r>
        <w:rPr>
          <w:rStyle w:val="FootnoteReference"/>
        </w:rPr>
        <w:footnoteReference w:id="9"/>
      </w:r>
      <w:r>
        <w:t xml:space="preserve"> abrasive blasters </w:t>
      </w:r>
      <w:r w:rsidR="00A41441">
        <w:t>and maritime welding</w:t>
      </w:r>
      <w:r>
        <w:t xml:space="preserve"> workers</w:t>
      </w:r>
      <w:r w:rsidR="006F7B34">
        <w:t xml:space="preserve"> and 9,111 other workers</w:t>
      </w:r>
      <w:r>
        <w:t xml:space="preserve">. </w:t>
      </w:r>
    </w:p>
    <w:p w:rsidR="008D56F1" w:rsidRDefault="008D56F1" w:rsidP="008D56F1"/>
    <w:p w:rsidR="008D56F1" w:rsidRDefault="008D56F1" w:rsidP="008D56F1"/>
    <w:p w:rsidR="008D56F1" w:rsidRPr="00DC12A2" w:rsidRDefault="008D56F1" w:rsidP="008D56F1">
      <w:pPr>
        <w:rPr>
          <w:u w:val="single"/>
        </w:rPr>
      </w:pPr>
      <w:r w:rsidRPr="00DC12A2">
        <w:rPr>
          <w:u w:val="single"/>
        </w:rPr>
        <w:t xml:space="preserve">Abrasive Blasting </w:t>
      </w:r>
      <w:r w:rsidR="006F7B34">
        <w:rPr>
          <w:u w:val="single"/>
        </w:rPr>
        <w:t xml:space="preserve">and Shipyard Welding </w:t>
      </w:r>
      <w:r w:rsidRPr="00DC12A2">
        <w:rPr>
          <w:u w:val="single"/>
        </w:rPr>
        <w:t>Workers</w:t>
      </w:r>
    </w:p>
    <w:p w:rsidR="008D56F1" w:rsidRDefault="008D56F1" w:rsidP="008D56F1"/>
    <w:p w:rsidR="008D56F1" w:rsidRDefault="008D56F1" w:rsidP="008D56F1">
      <w:r>
        <w:t xml:space="preserve">OSHA is removing the number of semi-annual exposure monitoring samples </w:t>
      </w:r>
      <w:r w:rsidR="003F1215">
        <w:t xml:space="preserve">for abrasive blasting </w:t>
      </w:r>
      <w:r w:rsidR="006F7B34">
        <w:t xml:space="preserve">and shipyard welding </w:t>
      </w:r>
      <w:r w:rsidR="003F1215">
        <w:t xml:space="preserve">workers </w:t>
      </w:r>
      <w:r>
        <w:t xml:space="preserve">which is currently calculated by taking the total number of </w:t>
      </w:r>
      <w:r w:rsidR="006F7B34">
        <w:t xml:space="preserve">those </w:t>
      </w:r>
      <w:r>
        <w:t>workers between AL and PEL (5,744), dividing it by four workers represented per sample, multiplying the samples by 120%,</w:t>
      </w:r>
      <w:r w:rsidR="00DC12A2">
        <w:rPr>
          <w:rStyle w:val="FootnoteReference"/>
        </w:rPr>
        <w:footnoteReference w:id="10"/>
      </w:r>
      <w:r>
        <w:t xml:space="preserve"> and then multiplying by two per year because this is done every six months.  This amounts to </w:t>
      </w:r>
      <w:r w:rsidR="00C14E3E">
        <w:t xml:space="preserve">a </w:t>
      </w:r>
      <w:r>
        <w:t xml:space="preserve">3,446 sample reduction. (5,744 AL to PEL /4 workers per area x 120% x 2 samples per year = 3,446). </w:t>
      </w:r>
    </w:p>
    <w:p w:rsidR="005B51C9" w:rsidRDefault="005B51C9" w:rsidP="008D56F1"/>
    <w:p w:rsidR="005B51C9" w:rsidRPr="00FD7E86" w:rsidRDefault="005B51C9" w:rsidP="005B51C9">
      <w:pPr>
        <w:rPr>
          <w:u w:val="single"/>
        </w:rPr>
      </w:pPr>
      <w:r w:rsidRPr="00FD7E86">
        <w:rPr>
          <w:u w:val="single"/>
        </w:rPr>
        <w:t xml:space="preserve">Other Workers </w:t>
      </w:r>
    </w:p>
    <w:p w:rsidR="005B51C9" w:rsidRPr="00FD7E86" w:rsidRDefault="005B51C9" w:rsidP="005B51C9">
      <w:pPr>
        <w:rPr>
          <w:u w:val="single"/>
        </w:rPr>
      </w:pPr>
    </w:p>
    <w:p w:rsidR="005B51C9" w:rsidRDefault="005B51C9" w:rsidP="005B51C9">
      <w:r>
        <w:lastRenderedPageBreak/>
        <w:t>OSHA is retaining the number of monitoring samples being taken for other workers (General Industry</w:t>
      </w:r>
      <w:r w:rsidR="00351F7C">
        <w:t>, excluding dental laboratory workers</w:t>
      </w:r>
      <w:r>
        <w:t>) which was calculated by dividing the number of workers (9,111) by four workers represented per sample, then multiplying the samples by two per year for 4,556 samples.</w:t>
      </w:r>
    </w:p>
    <w:p w:rsidR="008D56F1" w:rsidRDefault="008D56F1" w:rsidP="008D56F1"/>
    <w:p w:rsidR="008D56F1" w:rsidRDefault="008D56F1" w:rsidP="008D56F1">
      <w:r w:rsidRPr="00DC12A2">
        <w:rPr>
          <w:i/>
        </w:rPr>
        <w:t>Above the PEL</w:t>
      </w:r>
      <w:r>
        <w:t>:</w:t>
      </w:r>
    </w:p>
    <w:p w:rsidR="008D56F1" w:rsidRDefault="008D56F1" w:rsidP="008D56F1"/>
    <w:p w:rsidR="00C14E3E" w:rsidRDefault="008D56F1" w:rsidP="008D56F1">
      <w:r>
        <w:t>The existing ICR estimates there are 1,056 workers above the PEL.  The 434 workers in dental labs with exposures above the PEL are excluded because sampling is not expected for those workers.  This results in total of 622 workers.  Of the 622 workers, 217 are abrasive blaster workers who have exposures above the PEL.</w:t>
      </w:r>
    </w:p>
    <w:p w:rsidR="00C14E3E" w:rsidRDefault="00C14E3E" w:rsidP="008D56F1"/>
    <w:p w:rsidR="008D56F1" w:rsidRDefault="008D56F1" w:rsidP="008D56F1">
      <w:pPr>
        <w:rPr>
          <w:u w:val="single"/>
        </w:rPr>
      </w:pPr>
      <w:r w:rsidRPr="00DC12A2">
        <w:rPr>
          <w:u w:val="single"/>
        </w:rPr>
        <w:t xml:space="preserve">Abrasive Blasting </w:t>
      </w:r>
      <w:r w:rsidR="006F7B34">
        <w:rPr>
          <w:u w:val="single"/>
        </w:rPr>
        <w:t xml:space="preserve">and Shipyard Welding </w:t>
      </w:r>
      <w:r w:rsidRPr="00DC12A2">
        <w:rPr>
          <w:u w:val="single"/>
        </w:rPr>
        <w:t>Workers</w:t>
      </w:r>
    </w:p>
    <w:p w:rsidR="008D56F1" w:rsidRPr="00DC12A2" w:rsidRDefault="008D56F1" w:rsidP="008D56F1">
      <w:pPr>
        <w:rPr>
          <w:u w:val="single"/>
        </w:rPr>
      </w:pPr>
    </w:p>
    <w:p w:rsidR="005B51C9" w:rsidRDefault="008D56F1" w:rsidP="005B51C9">
      <w:r>
        <w:t xml:space="preserve">OSHA is removing the number of quarterly exposure monitoring samples </w:t>
      </w:r>
      <w:r w:rsidR="006F7B34">
        <w:t xml:space="preserve">for abrasive blasting and shipyard welding workers, </w:t>
      </w:r>
      <w:r>
        <w:t xml:space="preserve">which is currently calculated by taking the total number of </w:t>
      </w:r>
      <w:r w:rsidR="006F7B34">
        <w:t xml:space="preserve">those </w:t>
      </w:r>
      <w:r>
        <w:t xml:space="preserve">workers (217), dividing it by four workers per sample, multiplying it by 120%, and then multiplying by four times per year. </w:t>
      </w:r>
      <w:r w:rsidRPr="00C256BC">
        <w:t>This would result in a reduction of 260 samples per year.</w:t>
      </w:r>
      <w:r w:rsidRPr="00DC12A2">
        <w:rPr>
          <w:b/>
        </w:rPr>
        <w:t xml:space="preserve"> </w:t>
      </w:r>
      <w:r>
        <w:t xml:space="preserve"> </w:t>
      </w:r>
      <w:proofErr w:type="gramStart"/>
      <w:r>
        <w:t>(217 above the PEL/4 x 120% x 4)</w:t>
      </w:r>
      <w:r w:rsidR="00094F03">
        <w:t>.</w:t>
      </w:r>
      <w:proofErr w:type="gramEnd"/>
    </w:p>
    <w:p w:rsidR="006F7B34" w:rsidRDefault="006F7B34" w:rsidP="005B51C9"/>
    <w:p w:rsidR="005B51C9" w:rsidRDefault="005B51C9" w:rsidP="005B51C9">
      <w:r w:rsidRPr="00530960">
        <w:rPr>
          <w:u w:val="single"/>
        </w:rPr>
        <w:t>Other Workers</w:t>
      </w:r>
    </w:p>
    <w:p w:rsidR="005B51C9" w:rsidRDefault="005B51C9" w:rsidP="005B51C9"/>
    <w:p w:rsidR="005B51C9" w:rsidRDefault="005B51C9" w:rsidP="005B51C9">
      <w:r>
        <w:t>OSHA is retaining the numbe</w:t>
      </w:r>
      <w:r w:rsidR="00D5052E">
        <w:t>r of monitoring samples for the</w:t>
      </w:r>
      <w:r>
        <w:t xml:space="preserve"> 406 other workers above the PEL (</w:t>
      </w:r>
      <w:r w:rsidR="00351F7C">
        <w:t>General Industry, excluding dental laboratory workers</w:t>
      </w:r>
      <w:r w:rsidR="00D5052E">
        <w:t>)</w:t>
      </w:r>
      <w:r>
        <w:t xml:space="preserve"> which is currently calcul</w:t>
      </w:r>
      <w:r w:rsidR="00D5052E">
        <w:t>ated by dividing the number of</w:t>
      </w:r>
      <w:r>
        <w:t xml:space="preserve"> 406</w:t>
      </w:r>
      <w:r w:rsidR="00D5052E">
        <w:t xml:space="preserve"> workers</w:t>
      </w:r>
      <w:r>
        <w:t xml:space="preserve"> by four wor</w:t>
      </w:r>
      <w:r w:rsidR="00D5052E">
        <w:t>kers per sample, then multiplying</w:t>
      </w:r>
      <w:r>
        <w:t xml:space="preserve"> by four times per year </w:t>
      </w:r>
      <w:r w:rsidR="00D5052E">
        <w:t xml:space="preserve">to </w:t>
      </w:r>
      <w:r>
        <w:t>equal 406 samples.</w:t>
      </w:r>
    </w:p>
    <w:p w:rsidR="00094F03" w:rsidRDefault="00094F03" w:rsidP="00DC12A2"/>
    <w:p w:rsidR="008D56F1" w:rsidRDefault="00094F03" w:rsidP="008D56F1">
      <w:pPr>
        <w:rPr>
          <w:i/>
        </w:rPr>
      </w:pPr>
      <w:r w:rsidRPr="00DC12A2">
        <w:rPr>
          <w:i/>
        </w:rPr>
        <w:t>Summary</w:t>
      </w:r>
    </w:p>
    <w:p w:rsidR="00094F03" w:rsidRDefault="00094F03" w:rsidP="008D56F1"/>
    <w:p w:rsidR="00094F03" w:rsidRDefault="000A5922" w:rsidP="00DC12A2">
      <w:r w:rsidRPr="000A5922">
        <w:t>The existing ICR estimated that there were 8,002 samples between th</w:t>
      </w:r>
      <w:r w:rsidR="006F7B34">
        <w:t>e</w:t>
      </w:r>
      <w:r w:rsidRPr="000A5922">
        <w:t xml:space="preserve"> action level and the PEL and 666 samples ab</w:t>
      </w:r>
      <w:r w:rsidR="00094F03">
        <w:t>ove the PEL for a total of 8,667</w:t>
      </w:r>
      <w:r w:rsidRPr="000A5922">
        <w:t xml:space="preserve"> samples (</w:t>
      </w:r>
      <w:r w:rsidR="00094F03">
        <w:t>rounding to match FEA)</w:t>
      </w:r>
      <w:r w:rsidRPr="000A5922">
        <w:t>.  The Agency is proposing to reduce the number of samples by 3,707 as a result of revoking the comprehensive standards for shipyards and construction.</w:t>
      </w:r>
    </w:p>
    <w:p w:rsidR="000A5922" w:rsidRPr="002D3F84" w:rsidRDefault="000A5922" w:rsidP="00DC12A2">
      <w:r w:rsidRPr="000A5922">
        <w:t xml:space="preserve"> </w:t>
      </w:r>
    </w:p>
    <w:p w:rsidR="00094F03" w:rsidRDefault="000A5922" w:rsidP="00E35242">
      <w:pPr>
        <w:pStyle w:val="ListParagraph"/>
        <w:ind w:left="0"/>
        <w:rPr>
          <w:rFonts w:ascii="Times New Roman" w:hAnsi="Times New Roman"/>
          <w:sz w:val="24"/>
          <w:szCs w:val="24"/>
        </w:rPr>
      </w:pPr>
      <w:r w:rsidRPr="000A5922">
        <w:rPr>
          <w:rFonts w:ascii="Times New Roman" w:hAnsi="Times New Roman"/>
          <w:sz w:val="24"/>
          <w:szCs w:val="24"/>
        </w:rPr>
        <w:t xml:space="preserve">Therefore, the Agency estimates that 4,960 workers will be subject to periodic exposure monitoring.  This total includes workers between the AL </w:t>
      </w:r>
      <w:r w:rsidR="00EA7F88" w:rsidRPr="000A5922">
        <w:rPr>
          <w:rFonts w:ascii="Times New Roman" w:hAnsi="Times New Roman"/>
          <w:sz w:val="24"/>
          <w:szCs w:val="24"/>
        </w:rPr>
        <w:t xml:space="preserve">(0.1 </w:t>
      </w:r>
      <w:proofErr w:type="spellStart"/>
      <w:r w:rsidR="00EA7F88" w:rsidRPr="000A5922">
        <w:rPr>
          <w:rFonts w:ascii="Times New Roman" w:hAnsi="Times New Roman"/>
          <w:sz w:val="24"/>
          <w:szCs w:val="24"/>
        </w:rPr>
        <w:t>μg</w:t>
      </w:r>
      <w:proofErr w:type="spellEnd"/>
      <w:r w:rsidR="00EA7F88" w:rsidRPr="000A5922">
        <w:rPr>
          <w:rFonts w:ascii="Times New Roman" w:hAnsi="Times New Roman"/>
          <w:sz w:val="24"/>
          <w:szCs w:val="24"/>
        </w:rPr>
        <w:t>/m³)</w:t>
      </w:r>
      <w:r w:rsidR="00EA7F88">
        <w:rPr>
          <w:rFonts w:ascii="Times New Roman" w:hAnsi="Times New Roman"/>
          <w:sz w:val="24"/>
          <w:szCs w:val="24"/>
        </w:rPr>
        <w:t xml:space="preserve"> </w:t>
      </w:r>
      <w:r w:rsidRPr="000A5922">
        <w:rPr>
          <w:rFonts w:ascii="Times New Roman" w:hAnsi="Times New Roman"/>
          <w:sz w:val="24"/>
          <w:szCs w:val="24"/>
        </w:rPr>
        <w:t xml:space="preserve">and PEL (0.2 </w:t>
      </w:r>
      <w:proofErr w:type="spellStart"/>
      <w:r w:rsidRPr="000A5922">
        <w:rPr>
          <w:rFonts w:ascii="Times New Roman" w:hAnsi="Times New Roman"/>
          <w:sz w:val="24"/>
          <w:szCs w:val="24"/>
        </w:rPr>
        <w:t>μg</w:t>
      </w:r>
      <w:proofErr w:type="spellEnd"/>
      <w:r w:rsidRPr="000A5922">
        <w:rPr>
          <w:rFonts w:ascii="Times New Roman" w:hAnsi="Times New Roman"/>
          <w:sz w:val="24"/>
          <w:szCs w:val="24"/>
        </w:rPr>
        <w:t>/m³) that are sampled twice per year, and those workers over the PEL that are sampled four times per year</w:t>
      </w:r>
      <w:r w:rsidR="00094F03">
        <w:rPr>
          <w:rFonts w:ascii="Times New Roman" w:hAnsi="Times New Roman"/>
          <w:sz w:val="24"/>
          <w:szCs w:val="24"/>
        </w:rPr>
        <w:t xml:space="preserve">.  </w:t>
      </w:r>
    </w:p>
    <w:p w:rsidR="00E35242" w:rsidRDefault="00E35242" w:rsidP="00E35242">
      <w:pPr>
        <w:pStyle w:val="ListParagraph"/>
        <w:ind w:left="0"/>
        <w:rPr>
          <w:rFonts w:ascii="Times New Roman" w:hAnsi="Times New Roman"/>
          <w:sz w:val="24"/>
          <w:szCs w:val="24"/>
        </w:rPr>
      </w:pPr>
      <w:bookmarkStart w:id="8" w:name="_Hlk406658757"/>
      <w:r>
        <w:rPr>
          <w:rFonts w:ascii="Times New Roman" w:hAnsi="Times New Roman"/>
          <w:sz w:val="24"/>
          <w:szCs w:val="24"/>
        </w:rPr>
        <w:t>OSHA estimates that each employer will conduct periodic exposure monitoring (once every six months when initial or subsequent exposure monitoring reveals that worker exposures are at or above the action level, but at or below the PEL; and above the PEL.  Each periodic exposure monitoring sample (4,960 samples)</w:t>
      </w:r>
      <w:bookmarkStart w:id="9" w:name="_Hlk406653471"/>
      <w:bookmarkEnd w:id="8"/>
      <w:r>
        <w:rPr>
          <w:rFonts w:ascii="Times New Roman" w:hAnsi="Times New Roman"/>
          <w:sz w:val="24"/>
          <w:szCs w:val="24"/>
        </w:rPr>
        <w:t xml:space="preserve"> </w:t>
      </w:r>
      <w:r w:rsidR="00D86C0A">
        <w:rPr>
          <w:rFonts w:ascii="Times New Roman" w:hAnsi="Times New Roman"/>
          <w:sz w:val="24"/>
          <w:szCs w:val="24"/>
        </w:rPr>
        <w:t xml:space="preserve">will </w:t>
      </w:r>
      <w:r>
        <w:rPr>
          <w:rFonts w:ascii="Times New Roman" w:hAnsi="Times New Roman"/>
          <w:sz w:val="24"/>
          <w:szCs w:val="24"/>
        </w:rPr>
        <w:t>result in 30 minutes (0.5 hours) of lost work time during air monitoring</w:t>
      </w:r>
      <w:bookmarkEnd w:id="9"/>
      <w:r>
        <w:rPr>
          <w:rFonts w:ascii="Times New Roman" w:hAnsi="Times New Roman"/>
          <w:sz w:val="24"/>
          <w:szCs w:val="24"/>
        </w:rPr>
        <w:t>.</w:t>
      </w:r>
      <w:bookmarkStart w:id="10" w:name="_Hlk406653411"/>
      <w:r>
        <w:rPr>
          <w:rFonts w:ascii="Times New Roman" w:hAnsi="Times New Roman"/>
          <w:sz w:val="24"/>
          <w:szCs w:val="24"/>
        </w:rPr>
        <w:t xml:space="preserve">  Baseline non-compliance with this requirement is estimated to be 96 percent. </w:t>
      </w:r>
      <w:bookmarkEnd w:id="10"/>
      <w:r>
        <w:rPr>
          <w:rFonts w:ascii="Times New Roman" w:hAnsi="Times New Roman"/>
          <w:sz w:val="24"/>
          <w:szCs w:val="24"/>
        </w:rPr>
        <w:t>The burden hours and cost associated with these provisions are:</w:t>
      </w:r>
    </w:p>
    <w:p w:rsidR="00E35242" w:rsidRDefault="00E35242" w:rsidP="00E35242">
      <w:pPr>
        <w:pStyle w:val="BurdenHoursCost"/>
      </w:pPr>
      <w:r>
        <w:rPr>
          <w:b/>
          <w:bCs/>
        </w:rPr>
        <w:lastRenderedPageBreak/>
        <w:t xml:space="preserve">Burden hours: </w:t>
      </w:r>
      <w:r>
        <w:t xml:space="preserve">4,960 (samples) </w:t>
      </w:r>
      <w:r>
        <w:rPr>
          <w:rFonts w:ascii="Symbol" w:hAnsi="Symbol"/>
        </w:rPr>
        <w:t></w:t>
      </w:r>
      <w:r>
        <w:t xml:space="preserve"> 0.96 (non-compliance rate) </w:t>
      </w:r>
      <w:r>
        <w:rPr>
          <w:rFonts w:ascii="Symbol" w:hAnsi="Symbol"/>
        </w:rPr>
        <w:t></w:t>
      </w:r>
      <w:r>
        <w:t xml:space="preserve"> 0.5 (hours of Production Worker time) = </w:t>
      </w:r>
      <w:r>
        <w:rPr>
          <w:b/>
          <w:bCs/>
        </w:rPr>
        <w:t>2,381 hours</w:t>
      </w:r>
    </w:p>
    <w:p w:rsidR="00E35242" w:rsidRDefault="00E35242" w:rsidP="00E35242">
      <w:pPr>
        <w:pStyle w:val="BurdenHoursCost"/>
        <w:rPr>
          <w:b/>
          <w:bCs/>
        </w:rPr>
      </w:pPr>
      <w:r>
        <w:rPr>
          <w:b/>
          <w:bCs/>
        </w:rPr>
        <w:t>Annual Cost</w:t>
      </w:r>
      <w:r>
        <w:t xml:space="preserve">:  2,381 (hours) </w:t>
      </w:r>
      <w:r>
        <w:rPr>
          <w:rFonts w:ascii="Symbol" w:hAnsi="Symbol"/>
        </w:rPr>
        <w:t></w:t>
      </w:r>
      <w:r>
        <w:t xml:space="preserve"> $24.16 (Production Worker wage) = </w:t>
      </w:r>
      <w:r>
        <w:rPr>
          <w:b/>
          <w:bCs/>
        </w:rPr>
        <w:t>$57,525</w:t>
      </w:r>
    </w:p>
    <w:p w:rsidR="00E35242" w:rsidRDefault="00E35242" w:rsidP="00E35242">
      <w:pPr>
        <w:pStyle w:val="Heading4"/>
        <w:numPr>
          <w:ilvl w:val="0"/>
          <w:numId w:val="0"/>
        </w:numPr>
      </w:pPr>
      <w:r>
        <w:rPr>
          <w:u w:val="none"/>
        </w:rPr>
        <w:t>3.</w:t>
      </w:r>
      <w:r>
        <w:t xml:space="preserve">  </w:t>
      </w:r>
      <w:r>
        <w:rPr>
          <w:lang w:val="x-none"/>
        </w:rPr>
        <w:t xml:space="preserve">Additional Exposure Monitoring </w:t>
      </w:r>
    </w:p>
    <w:p w:rsidR="00E35242" w:rsidRDefault="00E35242" w:rsidP="00E35242">
      <w:pPr>
        <w:spacing w:before="100" w:beforeAutospacing="1" w:after="100" w:afterAutospacing="1"/>
      </w:pPr>
      <w:r>
        <w:rPr>
          <w:b/>
          <w:bCs/>
        </w:rPr>
        <w:t>§1910.1024 (d</w:t>
      </w:r>
      <w:proofErr w:type="gramStart"/>
      <w:r>
        <w:rPr>
          <w:b/>
          <w:bCs/>
        </w:rPr>
        <w:t>)(</w:t>
      </w:r>
      <w:proofErr w:type="gramEnd"/>
      <w:r>
        <w:rPr>
          <w:b/>
          <w:bCs/>
        </w:rPr>
        <w:t>4) --  Reassessment of Exposure.</w:t>
      </w:r>
      <w:r>
        <w:t xml:space="preserve">  </w:t>
      </w:r>
    </w:p>
    <w:p w:rsidR="00E35242" w:rsidRDefault="00E35242" w:rsidP="00E35242">
      <w:r>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E35242" w:rsidRDefault="00E35242" w:rsidP="00E35242"/>
    <w:p w:rsidR="00E35242" w:rsidRDefault="00E35242" w:rsidP="00E35242">
      <w:r>
        <w:t>Of the number of at risk workers subject to initial monitoring, 10,</w:t>
      </w:r>
      <w:r w:rsidR="00E411B4">
        <w:t xml:space="preserve">864 </w:t>
      </w:r>
      <w:r>
        <w:t xml:space="preserve">workers (see previous paragraph, Initial Monitoring), OSHA estimates 10% will require additional monitoring resulting from changes in the production process, materials, equipment, personnel, work practices, </w:t>
      </w:r>
      <w:r>
        <w:rPr>
          <w:color w:val="000000"/>
        </w:rPr>
        <w:t>or control methods</w:t>
      </w:r>
      <w:r>
        <w:t>.  Each worker will incur 30 minutes (0.5 hours) of lost work time during air monitoring.  Baseline non-compliance with this requirement is estimated to be 96 percent.  The burden hours and cost associated with these provisions are:</w:t>
      </w:r>
    </w:p>
    <w:p w:rsidR="00E35242" w:rsidRDefault="00E35242" w:rsidP="00E35242"/>
    <w:p w:rsidR="00E35242" w:rsidRDefault="00E35242" w:rsidP="00E35242">
      <w:pPr>
        <w:pStyle w:val="BodyTextFirstIndent"/>
        <w:ind w:left="720" w:firstLine="60"/>
        <w:rPr>
          <w:sz w:val="24"/>
          <w:szCs w:val="24"/>
        </w:rPr>
      </w:pPr>
      <w:r>
        <w:rPr>
          <w:b/>
          <w:bCs/>
          <w:sz w:val="24"/>
          <w:szCs w:val="24"/>
        </w:rPr>
        <w:t>Burden hours</w:t>
      </w:r>
      <w:r>
        <w:rPr>
          <w:sz w:val="24"/>
          <w:szCs w:val="24"/>
        </w:rPr>
        <w:t>:  10,</w:t>
      </w:r>
      <w:r w:rsidR="00E411B4">
        <w:rPr>
          <w:sz w:val="24"/>
          <w:szCs w:val="24"/>
        </w:rPr>
        <w:t xml:space="preserve">864 </w:t>
      </w:r>
      <w:r>
        <w:rPr>
          <w:sz w:val="24"/>
          <w:szCs w:val="24"/>
        </w:rPr>
        <w:t xml:space="preserve">x 10% (workers sampled) x 1 (assessment per year) x 0.96 (non-compliance rate) x 0.5 (hours of Production Worker time) = </w:t>
      </w:r>
      <w:r w:rsidR="00B7449D">
        <w:rPr>
          <w:sz w:val="24"/>
          <w:szCs w:val="24"/>
        </w:rPr>
        <w:t>522</w:t>
      </w:r>
      <w:r>
        <w:rPr>
          <w:sz w:val="24"/>
          <w:szCs w:val="24"/>
        </w:rPr>
        <w:t xml:space="preserve"> hours</w:t>
      </w:r>
    </w:p>
    <w:p w:rsidR="00E35242" w:rsidRDefault="00E35242" w:rsidP="00E35242">
      <w:pPr>
        <w:pStyle w:val="BodyTextFirstIndent"/>
        <w:ind w:firstLine="0"/>
        <w:rPr>
          <w:sz w:val="24"/>
          <w:szCs w:val="24"/>
        </w:rPr>
      </w:pPr>
      <w:r>
        <w:rPr>
          <w:sz w:val="24"/>
          <w:szCs w:val="24"/>
        </w:rPr>
        <w:t xml:space="preserve">            </w:t>
      </w:r>
      <w:r>
        <w:rPr>
          <w:b/>
          <w:bCs/>
          <w:sz w:val="24"/>
          <w:szCs w:val="24"/>
        </w:rPr>
        <w:t>Cost</w:t>
      </w:r>
      <w:r>
        <w:rPr>
          <w:sz w:val="24"/>
          <w:szCs w:val="24"/>
        </w:rPr>
        <w:t xml:space="preserve">: </w:t>
      </w:r>
      <w:r w:rsidR="00B7449D">
        <w:rPr>
          <w:sz w:val="24"/>
          <w:szCs w:val="24"/>
        </w:rPr>
        <w:t>522</w:t>
      </w:r>
      <w:r>
        <w:rPr>
          <w:sz w:val="24"/>
          <w:szCs w:val="24"/>
        </w:rPr>
        <w:t xml:space="preserve"> (hours) x $24.16 (Production Worker wage) = $</w:t>
      </w:r>
      <w:r w:rsidR="00B7449D">
        <w:rPr>
          <w:sz w:val="24"/>
          <w:szCs w:val="24"/>
        </w:rPr>
        <w:t>12,612</w:t>
      </w:r>
    </w:p>
    <w:p w:rsidR="00E35242" w:rsidRDefault="00E35242" w:rsidP="00E35242">
      <w:pPr>
        <w:pStyle w:val="BodyTextFirstIndent"/>
        <w:ind w:firstLine="0"/>
        <w:rPr>
          <w:sz w:val="24"/>
          <w:szCs w:val="24"/>
          <w:lang w:val="x-none"/>
        </w:rPr>
      </w:pPr>
      <w:r>
        <w:rPr>
          <w:sz w:val="24"/>
          <w:szCs w:val="24"/>
        </w:rPr>
        <w:t xml:space="preserve">4.  </w:t>
      </w:r>
      <w:r>
        <w:rPr>
          <w:sz w:val="24"/>
          <w:szCs w:val="24"/>
          <w:lang w:val="x-none"/>
        </w:rPr>
        <w:t xml:space="preserve">Employee Notification </w:t>
      </w:r>
    </w:p>
    <w:p w:rsidR="00E35242" w:rsidRDefault="00E35242" w:rsidP="00E35242">
      <w:pPr>
        <w:rPr>
          <w:b/>
          <w:bCs/>
        </w:rPr>
      </w:pPr>
      <w:r>
        <w:rPr>
          <w:b/>
          <w:bCs/>
        </w:rPr>
        <w:t>§1910.1024 (d</w:t>
      </w:r>
      <w:proofErr w:type="gramStart"/>
      <w:r>
        <w:rPr>
          <w:b/>
          <w:bCs/>
        </w:rPr>
        <w:t>)(</w:t>
      </w:r>
      <w:proofErr w:type="gramEnd"/>
      <w:r>
        <w:rPr>
          <w:b/>
          <w:bCs/>
        </w:rPr>
        <w:t>6)(</w:t>
      </w:r>
      <w:proofErr w:type="spellStart"/>
      <w:r>
        <w:rPr>
          <w:b/>
          <w:bCs/>
        </w:rPr>
        <w:t>i</w:t>
      </w:r>
      <w:proofErr w:type="spellEnd"/>
      <w:r>
        <w:rPr>
          <w:b/>
          <w:bCs/>
        </w:rPr>
        <w:t>)&amp;(ii)</w:t>
      </w:r>
      <w:r>
        <w:t xml:space="preserve"> </w:t>
      </w:r>
      <w:r>
        <w:rPr>
          <w:b/>
          <w:bCs/>
        </w:rPr>
        <w:t>-- Employee Notification of Assessment Results.</w:t>
      </w:r>
    </w:p>
    <w:p w:rsidR="00E35242" w:rsidRDefault="00E35242" w:rsidP="00E35242">
      <w:pPr>
        <w:rPr>
          <w:i/>
          <w:iCs/>
        </w:rPr>
      </w:pPr>
    </w:p>
    <w:p w:rsidR="00E35242" w:rsidRDefault="00216DCB" w:rsidP="00E35242">
      <w:r>
        <w:t>P</w:t>
      </w:r>
      <w:r w:rsidR="00E35242">
        <w:t>aragraph (d</w:t>
      </w:r>
      <w:proofErr w:type="gramStart"/>
      <w:r w:rsidR="00E35242">
        <w:t>)(</w:t>
      </w:r>
      <w:proofErr w:type="gramEnd"/>
      <w:r w:rsidR="00E35242">
        <w:t>6)(</w:t>
      </w:r>
      <w:proofErr w:type="spellStart"/>
      <w:r w:rsidR="00E35242">
        <w:t>i</w:t>
      </w:r>
      <w:proofErr w:type="spellEnd"/>
      <w:r w:rsidR="00E35242">
        <w:t>) requires employers, within 15 working days after completing an exposure assessment in accordance with paragraph (d) of this standard, to notify each employee whose airborne exposure is represented by the assessment of the results of that assessment individually in writing or by posting  the results in an appropriate location that is accessible to each of these employees.</w:t>
      </w:r>
    </w:p>
    <w:p w:rsidR="00E35242" w:rsidRDefault="00E35242" w:rsidP="00E35242"/>
    <w:p w:rsidR="00E35242" w:rsidRDefault="00E35242" w:rsidP="00E35242">
      <w:r>
        <w:t>Whenever an exposure assessment indicates that airborne exposure is above the TWA PEL or STEL, paragraph(d)(6)(ii) requires the employer to describe in the written notification the corrective action being taken to reduce airborne exposure to or below the exposure limit(s) exceeded where feasible corrective action exists but had not been implemented when the monitoring was conducted.</w:t>
      </w:r>
    </w:p>
    <w:p w:rsidR="00E35242" w:rsidRDefault="00E35242" w:rsidP="00E35242"/>
    <w:p w:rsidR="00E35242" w:rsidRDefault="00E35242" w:rsidP="00E35242">
      <w:r>
        <w:t>These burden hours are included in the Human Resources Manager time under Item 12 C.1 Recordkeeping §1910.1024 (n</w:t>
      </w:r>
      <w:proofErr w:type="gramStart"/>
      <w:r>
        <w:t>)(</w:t>
      </w:r>
      <w:proofErr w:type="gramEnd"/>
      <w:r>
        <w:t xml:space="preserve">1).  As a result, employee notification does not appear as a </w:t>
      </w:r>
      <w:r>
        <w:lastRenderedPageBreak/>
        <w:t xml:space="preserve">separate entry on </w:t>
      </w:r>
      <w:r>
        <w:rPr>
          <w:i/>
          <w:iCs/>
        </w:rPr>
        <w:t xml:space="preserve">Table B. Summary of Burden Hours, Burden-Hour Cost and Capital Cost </w:t>
      </w:r>
      <w:proofErr w:type="gramStart"/>
      <w:r>
        <w:rPr>
          <w:i/>
          <w:iCs/>
        </w:rPr>
        <w:t>Under</w:t>
      </w:r>
      <w:proofErr w:type="gramEnd"/>
      <w:r>
        <w:rPr>
          <w:i/>
          <w:iCs/>
        </w:rPr>
        <w:t xml:space="preserve"> Item 12 of this Supporting Statement</w:t>
      </w:r>
    </w:p>
    <w:p w:rsidR="00E35242" w:rsidRDefault="00E35242" w:rsidP="00E35242">
      <w:pPr>
        <w:ind w:firstLine="720"/>
        <w:rPr>
          <w:b/>
          <w:bCs/>
        </w:rPr>
      </w:pPr>
    </w:p>
    <w:p w:rsidR="00E35242" w:rsidRDefault="00E35242" w:rsidP="00E35242">
      <w:pPr>
        <w:pStyle w:val="Heading3"/>
        <w:numPr>
          <w:ilvl w:val="2"/>
          <w:numId w:val="3"/>
        </w:numPr>
        <w:rPr>
          <w:lang w:val="x-none"/>
        </w:rPr>
      </w:pPr>
      <w:bookmarkStart w:id="11" w:name="_Ref406585839"/>
      <w:r>
        <w:rPr>
          <w:lang w:val="x-none"/>
        </w:rPr>
        <w:t xml:space="preserve">Beryllium Work Areas and Regulated Areas </w:t>
      </w:r>
      <w:bookmarkEnd w:id="11"/>
    </w:p>
    <w:p w:rsidR="00E35242" w:rsidRDefault="00E35242" w:rsidP="00E35242">
      <w:pPr>
        <w:pStyle w:val="Heading4"/>
        <w:numPr>
          <w:ilvl w:val="3"/>
          <w:numId w:val="3"/>
        </w:numPr>
        <w:rPr>
          <w:lang w:val="x-none"/>
        </w:rPr>
      </w:pPr>
      <w:bookmarkStart w:id="12" w:name="WrittenAccessContrlPln_12"/>
      <w:bookmarkEnd w:id="12"/>
      <w:r>
        <w:rPr>
          <w:lang w:val="x-none"/>
        </w:rPr>
        <w:t>Written Exposure Control Plan (§§ 1910.1024(f)(1), (</w:t>
      </w:r>
      <w:proofErr w:type="spellStart"/>
      <w:r>
        <w:rPr>
          <w:lang w:val="x-none"/>
        </w:rPr>
        <w:t>i</w:t>
      </w:r>
      <w:proofErr w:type="spellEnd"/>
      <w:r>
        <w:rPr>
          <w:lang w:val="x-none"/>
        </w:rPr>
        <w:t>), (ii), &amp; (iii))</w:t>
      </w:r>
    </w:p>
    <w:p w:rsidR="00E35242" w:rsidRDefault="00E35242" w:rsidP="00E35242">
      <w:pPr>
        <w:rPr>
          <w:b/>
          <w:bCs/>
          <w:i/>
          <w:iCs/>
          <w:u w:val="single"/>
        </w:rPr>
      </w:pPr>
      <w:r>
        <w:rPr>
          <w:b/>
          <w:bCs/>
        </w:rPr>
        <w:t>§1910.1024 (f</w:t>
      </w:r>
      <w:proofErr w:type="gramStart"/>
      <w:r>
        <w:rPr>
          <w:b/>
          <w:bCs/>
        </w:rPr>
        <w:t>)(</w:t>
      </w:r>
      <w:proofErr w:type="gramEnd"/>
      <w:r>
        <w:rPr>
          <w:b/>
          <w:bCs/>
        </w:rPr>
        <w:t>1)(</w:t>
      </w:r>
      <w:proofErr w:type="spellStart"/>
      <w:r>
        <w:rPr>
          <w:b/>
          <w:bCs/>
        </w:rPr>
        <w:t>i</w:t>
      </w:r>
      <w:proofErr w:type="spellEnd"/>
      <w:r>
        <w:rPr>
          <w:b/>
          <w:bCs/>
        </w:rPr>
        <w:t>), (ii), &amp;(iii)  -- Methods of Compliance --Written Exposure Control Plan.</w:t>
      </w:r>
    </w:p>
    <w:p w:rsidR="00E35242" w:rsidRDefault="00E35242" w:rsidP="00E35242"/>
    <w:p w:rsidR="00E35242" w:rsidRDefault="00E35242" w:rsidP="00E35242">
      <w:r>
        <w:t>Paragraph (f</w:t>
      </w:r>
      <w:proofErr w:type="gramStart"/>
      <w:r>
        <w:t>)(</w:t>
      </w:r>
      <w:proofErr w:type="gramEnd"/>
      <w:r>
        <w:t xml:space="preserve">1) requires the employer to establish, implement, and maintain a written exposure control plan for beryllium work areas.  The employer is required to review and evaluate the effectiveness of each written exposure control plan at least annually and update it as necessary. Also, the employer is require to make a copy of the written exposure control plan and make it accessible to each employee who is, or can reasonably be expected to be, exposed to airborne beryllium. </w:t>
      </w:r>
    </w:p>
    <w:p w:rsidR="009003B5" w:rsidRDefault="009003B5" w:rsidP="00E35242"/>
    <w:p w:rsidR="00E35242" w:rsidRDefault="00A667FE" w:rsidP="00E35242">
      <w:pPr>
        <w:pStyle w:val="ListParagraph"/>
        <w:ind w:left="0"/>
        <w:rPr>
          <w:rFonts w:ascii="Times New Roman" w:hAnsi="Times New Roman"/>
          <w:sz w:val="24"/>
          <w:szCs w:val="24"/>
        </w:rPr>
      </w:pPr>
      <w:r>
        <w:rPr>
          <w:rFonts w:ascii="Times New Roman" w:hAnsi="Times New Roman"/>
          <w:sz w:val="24"/>
          <w:szCs w:val="24"/>
        </w:rPr>
        <w:t xml:space="preserve">As a result of removing 2,796 construction and shipyard </w:t>
      </w:r>
      <w:r w:rsidR="009003B5">
        <w:rPr>
          <w:rFonts w:ascii="Times New Roman" w:hAnsi="Times New Roman"/>
          <w:sz w:val="24"/>
          <w:szCs w:val="24"/>
        </w:rPr>
        <w:t>establishments</w:t>
      </w:r>
      <w:r>
        <w:rPr>
          <w:rFonts w:ascii="Times New Roman" w:hAnsi="Times New Roman"/>
          <w:sz w:val="24"/>
          <w:szCs w:val="24"/>
        </w:rPr>
        <w:t>, the affected establishments will be reduced to 3,076</w:t>
      </w:r>
      <w:r w:rsidR="009003B5">
        <w:rPr>
          <w:rFonts w:ascii="Times New Roman" w:hAnsi="Times New Roman"/>
          <w:sz w:val="24"/>
          <w:szCs w:val="24"/>
        </w:rPr>
        <w:t>.</w:t>
      </w:r>
      <w:r w:rsidR="00E35242">
        <w:rPr>
          <w:rFonts w:ascii="Times New Roman" w:hAnsi="Times New Roman"/>
          <w:sz w:val="24"/>
          <w:szCs w:val="24"/>
        </w:rPr>
        <w:t> </w:t>
      </w:r>
    </w:p>
    <w:p w:rsidR="00E35242" w:rsidRDefault="00E35242" w:rsidP="00577112">
      <w:pPr>
        <w:pStyle w:val="Heading5"/>
        <w:numPr>
          <w:ilvl w:val="4"/>
          <w:numId w:val="3"/>
        </w:numPr>
      </w:pPr>
      <w:r w:rsidRPr="00577112">
        <w:t>Developing and Implementing a Written Exposure Control Plan</w:t>
      </w:r>
    </w:p>
    <w:p w:rsidR="00577112" w:rsidRPr="00577112" w:rsidRDefault="00577112" w:rsidP="00DC12A2">
      <w:pPr>
        <w:pStyle w:val="ListParagraph"/>
        <w:ind w:left="0"/>
      </w:pPr>
      <w:r>
        <w:rPr>
          <w:rFonts w:ascii="Times New Roman" w:hAnsi="Times New Roman"/>
          <w:sz w:val="24"/>
          <w:szCs w:val="24"/>
        </w:rPr>
        <w:t>As a result of removing 2,796 construction and shipyard industries, the affected establishments will be reduced to 3,076.</w:t>
      </w:r>
    </w:p>
    <w:p w:rsidR="00E35242" w:rsidRDefault="00E35242" w:rsidP="00E35242">
      <w:pPr>
        <w:pStyle w:val="Heading5"/>
        <w:numPr>
          <w:ilvl w:val="0"/>
          <w:numId w:val="0"/>
        </w:numPr>
      </w:pPr>
      <w:r>
        <w:t>Baseline Per-Establishment Costs:</w:t>
      </w:r>
    </w:p>
    <w:p w:rsidR="00E35242" w:rsidRDefault="00E35242" w:rsidP="00E35242">
      <w:pPr>
        <w:pStyle w:val="BodyTextFirstIndent"/>
        <w:ind w:firstLine="0"/>
        <w:rPr>
          <w:sz w:val="24"/>
          <w:szCs w:val="24"/>
          <w:lang w:val="x-none"/>
        </w:rPr>
      </w:pPr>
      <w:r>
        <w:rPr>
          <w:sz w:val="24"/>
          <w:szCs w:val="24"/>
          <w:lang w:val="x-none"/>
        </w:rPr>
        <w:t xml:space="preserve">OSHA estimates that </w:t>
      </w:r>
      <w:r w:rsidR="009003B5">
        <w:rPr>
          <w:sz w:val="24"/>
          <w:szCs w:val="24"/>
        </w:rPr>
        <w:t>3,076</w:t>
      </w:r>
      <w:r w:rsidR="00CB2EBB">
        <w:rPr>
          <w:sz w:val="24"/>
          <w:szCs w:val="24"/>
          <w:lang w:val="x-none"/>
        </w:rPr>
        <w:t xml:space="preserve"> </w:t>
      </w:r>
      <w:r>
        <w:rPr>
          <w:sz w:val="24"/>
          <w:szCs w:val="24"/>
          <w:lang w:val="x-none"/>
        </w:rPr>
        <w:t xml:space="preserve">establishments are potentially at risk from exposure to beryllium. </w:t>
      </w:r>
      <w:r>
        <w:rPr>
          <w:sz w:val="24"/>
          <w:szCs w:val="24"/>
        </w:rPr>
        <w:t xml:space="preserve">The Agency </w:t>
      </w:r>
      <w:r>
        <w:rPr>
          <w:sz w:val="24"/>
          <w:szCs w:val="24"/>
          <w:lang w:val="x-none"/>
        </w:rPr>
        <w:t>estimate</w:t>
      </w:r>
      <w:r>
        <w:rPr>
          <w:sz w:val="24"/>
          <w:szCs w:val="24"/>
        </w:rPr>
        <w:t>s</w:t>
      </w:r>
      <w:r>
        <w:rPr>
          <w:sz w:val="24"/>
          <w:szCs w:val="24"/>
          <w:lang w:val="x-none"/>
        </w:rPr>
        <w:t xml:space="preserve"> a Human Resource Manager, earning an hourly wage of $72.42, spend</w:t>
      </w:r>
      <w:r>
        <w:rPr>
          <w:sz w:val="24"/>
          <w:szCs w:val="24"/>
        </w:rPr>
        <w:t xml:space="preserve">s </w:t>
      </w:r>
      <w:r>
        <w:rPr>
          <w:sz w:val="24"/>
          <w:szCs w:val="24"/>
          <w:lang w:val="x-none"/>
        </w:rPr>
        <w:t xml:space="preserve">eight hours per establishment to develop and implement a written exposure control plan. Baseline non-compliance with this requirement is estimated to be </w:t>
      </w:r>
      <w:r>
        <w:rPr>
          <w:sz w:val="24"/>
          <w:szCs w:val="24"/>
        </w:rPr>
        <w:t>57</w:t>
      </w:r>
      <w:r>
        <w:rPr>
          <w:sz w:val="24"/>
          <w:szCs w:val="24"/>
          <w:lang w:val="x-none"/>
        </w:rPr>
        <w:t xml:space="preserve"> percent. </w:t>
      </w:r>
    </w:p>
    <w:p w:rsidR="00E35242" w:rsidRDefault="00E35242" w:rsidP="00E35242">
      <w:pPr>
        <w:pStyle w:val="BurdenHoursCost"/>
      </w:pPr>
      <w:r>
        <w:rPr>
          <w:b/>
          <w:bCs/>
        </w:rPr>
        <w:t>Burden hours</w:t>
      </w:r>
      <w:r>
        <w:t xml:space="preserve">:  </w:t>
      </w:r>
      <w:r w:rsidR="007E01A6">
        <w:t>3,076</w:t>
      </w:r>
      <w:r>
        <w:t xml:space="preserve"> (written plans) </w:t>
      </w:r>
      <w:r>
        <w:rPr>
          <w:rFonts w:ascii="Symbol" w:hAnsi="Symbol"/>
        </w:rPr>
        <w:t></w:t>
      </w:r>
      <w:r>
        <w:t xml:space="preserve"> 0.57 (non-compliance rate) </w:t>
      </w:r>
      <w:r>
        <w:rPr>
          <w:rFonts w:ascii="Symbol" w:hAnsi="Symbol"/>
        </w:rPr>
        <w:t></w:t>
      </w:r>
      <w:r>
        <w:t xml:space="preserve"> 8 (hours of HR Manager </w:t>
      </w:r>
      <w:proofErr w:type="gramStart"/>
      <w:r>
        <w:t>time</w:t>
      </w:r>
      <w:proofErr w:type="gramEnd"/>
      <w:r>
        <w:t xml:space="preserve">) = </w:t>
      </w:r>
      <w:r w:rsidR="007E01A6">
        <w:rPr>
          <w:b/>
          <w:bCs/>
        </w:rPr>
        <w:t>14,</w:t>
      </w:r>
      <w:r w:rsidR="00F21D4F">
        <w:rPr>
          <w:b/>
          <w:bCs/>
        </w:rPr>
        <w:t>027</w:t>
      </w:r>
      <w:r>
        <w:rPr>
          <w:b/>
          <w:bCs/>
        </w:rPr>
        <w:t xml:space="preserve"> hours</w:t>
      </w:r>
    </w:p>
    <w:p w:rsidR="00E35242" w:rsidRDefault="00E35242" w:rsidP="00E35242">
      <w:pPr>
        <w:pStyle w:val="BurdenHoursCost"/>
        <w:rPr>
          <w:b/>
          <w:bCs/>
        </w:rPr>
      </w:pPr>
      <w:r>
        <w:rPr>
          <w:b/>
          <w:bCs/>
        </w:rPr>
        <w:t>One-Time Cost</w:t>
      </w:r>
      <w:r>
        <w:t xml:space="preserve">:  </w:t>
      </w:r>
      <w:r w:rsidR="007E01A6">
        <w:t>14,</w:t>
      </w:r>
      <w:r w:rsidR="00F21D4F">
        <w:t>027</w:t>
      </w:r>
      <w:r>
        <w:t xml:space="preserve"> (hours) </w:t>
      </w:r>
      <w:r>
        <w:rPr>
          <w:rFonts w:ascii="Symbol" w:hAnsi="Symbol"/>
        </w:rPr>
        <w:t></w:t>
      </w:r>
      <w:r>
        <w:t xml:space="preserve"> $72.42 (HR Manager </w:t>
      </w:r>
      <w:proofErr w:type="gramStart"/>
      <w:r>
        <w:t>wage</w:t>
      </w:r>
      <w:proofErr w:type="gramEnd"/>
      <w:r>
        <w:t xml:space="preserve">) = </w:t>
      </w:r>
      <w:r>
        <w:rPr>
          <w:b/>
          <w:bCs/>
        </w:rPr>
        <w:t>$1,</w:t>
      </w:r>
      <w:r w:rsidR="007E01A6">
        <w:rPr>
          <w:b/>
          <w:bCs/>
        </w:rPr>
        <w:t>015,</w:t>
      </w:r>
      <w:r w:rsidR="00F21D4F">
        <w:rPr>
          <w:b/>
          <w:bCs/>
        </w:rPr>
        <w:t>835</w:t>
      </w:r>
    </w:p>
    <w:p w:rsidR="00577112" w:rsidRDefault="00577112" w:rsidP="00E35242">
      <w:pPr>
        <w:rPr>
          <w:i/>
          <w:iCs/>
        </w:rPr>
      </w:pPr>
    </w:p>
    <w:p w:rsidR="00E35242" w:rsidRDefault="00E35242" w:rsidP="00E35242">
      <w:pPr>
        <w:rPr>
          <w:i/>
          <w:iCs/>
        </w:rPr>
      </w:pPr>
      <w:r>
        <w:rPr>
          <w:i/>
          <w:iCs/>
        </w:rPr>
        <w:t xml:space="preserve">Additional Costs based on Size of Establishment </w:t>
      </w:r>
    </w:p>
    <w:p w:rsidR="00577112" w:rsidRDefault="00577112" w:rsidP="00E35242">
      <w:pPr>
        <w:rPr>
          <w:i/>
          <w:iCs/>
        </w:rPr>
      </w:pPr>
    </w:p>
    <w:p w:rsidR="00E35242" w:rsidRDefault="00E35242" w:rsidP="00E35242">
      <w:pPr>
        <w:pStyle w:val="BodyTextFirstIndent"/>
        <w:ind w:firstLine="0"/>
        <w:rPr>
          <w:sz w:val="24"/>
          <w:szCs w:val="24"/>
        </w:rPr>
      </w:pPr>
      <w:r>
        <w:rPr>
          <w:sz w:val="24"/>
          <w:szCs w:val="24"/>
        </w:rPr>
        <w:t xml:space="preserve">The cost to develop a written exposure control plan would also vary with the number of employees, with larger establishments having higher costs than smaller establishments.  Therefore OSHA has added additional burden and cost on a per-employee basis. </w:t>
      </w:r>
      <w:r>
        <w:rPr>
          <w:sz w:val="24"/>
          <w:szCs w:val="24"/>
        </w:rPr>
        <w:lastRenderedPageBreak/>
        <w:t xml:space="preserve">OSHA estimates that </w:t>
      </w:r>
      <w:r>
        <w:rPr>
          <w:sz w:val="24"/>
          <w:szCs w:val="24"/>
          <w:lang w:val="x-none"/>
        </w:rPr>
        <w:t xml:space="preserve">there are a total of </w:t>
      </w:r>
      <w:r w:rsidR="007E01A6">
        <w:rPr>
          <w:sz w:val="24"/>
          <w:szCs w:val="24"/>
        </w:rPr>
        <w:t>43,457</w:t>
      </w:r>
      <w:r>
        <w:rPr>
          <w:rStyle w:val="FootnoteReference"/>
        </w:rPr>
        <w:footnoteReference w:customMarkFollows="1" w:id="11"/>
        <w:t>[10]</w:t>
      </w:r>
      <w:r>
        <w:rPr>
          <w:sz w:val="24"/>
          <w:szCs w:val="24"/>
        </w:rPr>
        <w:t xml:space="preserve"> workers</w:t>
      </w:r>
      <w:r>
        <w:rPr>
          <w:sz w:val="24"/>
          <w:szCs w:val="24"/>
          <w:lang w:val="x-none"/>
        </w:rPr>
        <w:t xml:space="preserve"> at risk </w:t>
      </w:r>
      <w:r>
        <w:rPr>
          <w:sz w:val="24"/>
          <w:szCs w:val="24"/>
        </w:rPr>
        <w:t>with a non-compliance rate of 62%. Managers are estimated to need 0.5 hours per employee to write the plan.</w:t>
      </w:r>
    </w:p>
    <w:p w:rsidR="00E35242" w:rsidRDefault="00E35242" w:rsidP="00E35242">
      <w:pPr>
        <w:pStyle w:val="BurdenHoursCost"/>
        <w:rPr>
          <w:b/>
          <w:bCs/>
        </w:rPr>
      </w:pPr>
      <w:r>
        <w:rPr>
          <w:b/>
          <w:bCs/>
        </w:rPr>
        <w:t xml:space="preserve">Burden hours:  </w:t>
      </w:r>
      <w:r w:rsidR="00255068">
        <w:t>43,457</w:t>
      </w:r>
      <w:r>
        <w:t xml:space="preserve"> (employees) </w:t>
      </w:r>
      <w:r>
        <w:rPr>
          <w:rFonts w:ascii="Symbol" w:hAnsi="Symbol"/>
        </w:rPr>
        <w:t></w:t>
      </w:r>
      <w:r>
        <w:t xml:space="preserve"> 0.62 (non-compliance rate) </w:t>
      </w:r>
      <w:r>
        <w:rPr>
          <w:rFonts w:ascii="Symbol" w:hAnsi="Symbol"/>
        </w:rPr>
        <w:t></w:t>
      </w:r>
      <w:r>
        <w:t xml:space="preserve"> 0.5 (hours of HR Manager </w:t>
      </w:r>
      <w:proofErr w:type="gramStart"/>
      <w:r>
        <w:t>time</w:t>
      </w:r>
      <w:proofErr w:type="gramEnd"/>
      <w:r>
        <w:t xml:space="preserve">) = </w:t>
      </w:r>
      <w:r w:rsidR="00255068">
        <w:rPr>
          <w:b/>
          <w:bCs/>
        </w:rPr>
        <w:t>13,472</w:t>
      </w:r>
      <w:r>
        <w:rPr>
          <w:b/>
          <w:bCs/>
        </w:rPr>
        <w:t xml:space="preserve"> hours</w:t>
      </w:r>
    </w:p>
    <w:p w:rsidR="00E35242" w:rsidRDefault="00E35242" w:rsidP="00E35242">
      <w:pPr>
        <w:pStyle w:val="BurdenHoursCost"/>
        <w:rPr>
          <w:b/>
          <w:bCs/>
        </w:rPr>
      </w:pPr>
      <w:r>
        <w:rPr>
          <w:b/>
          <w:bCs/>
        </w:rPr>
        <w:t xml:space="preserve">One time Cost:  </w:t>
      </w:r>
      <w:r w:rsidR="00255068">
        <w:t>13,472</w:t>
      </w:r>
      <w:r>
        <w:t xml:space="preserve"> (hours) </w:t>
      </w:r>
      <w:r>
        <w:rPr>
          <w:rFonts w:ascii="Symbol" w:hAnsi="Symbol"/>
        </w:rPr>
        <w:t></w:t>
      </w:r>
      <w:r>
        <w:t xml:space="preserve"> $72.42 (HR Manager </w:t>
      </w:r>
      <w:proofErr w:type="gramStart"/>
      <w:r>
        <w:t>wage</w:t>
      </w:r>
      <w:proofErr w:type="gramEnd"/>
      <w:r>
        <w:t xml:space="preserve">) = </w:t>
      </w:r>
      <w:r>
        <w:rPr>
          <w:b/>
          <w:bCs/>
        </w:rPr>
        <w:t>$</w:t>
      </w:r>
      <w:r w:rsidR="00255068">
        <w:rPr>
          <w:b/>
          <w:bCs/>
        </w:rPr>
        <w:t>975,642</w:t>
      </w:r>
    </w:p>
    <w:p w:rsidR="00E35242" w:rsidRDefault="00E35242" w:rsidP="00E35242">
      <w:pPr>
        <w:pStyle w:val="BurdenHoursCost"/>
        <w:ind w:left="0"/>
      </w:pPr>
      <w:r>
        <w:rPr>
          <w:b/>
          <w:bCs/>
          <w:i/>
          <w:iCs/>
        </w:rPr>
        <w:t>Total cost:</w:t>
      </w:r>
      <w:r>
        <w:rPr>
          <w:b/>
          <w:bCs/>
        </w:rPr>
        <w:t>  $1,</w:t>
      </w:r>
      <w:r w:rsidR="00255068">
        <w:rPr>
          <w:b/>
          <w:bCs/>
        </w:rPr>
        <w:t>015,618</w:t>
      </w:r>
      <w:r>
        <w:rPr>
          <w:b/>
          <w:bCs/>
        </w:rPr>
        <w:t xml:space="preserve"> + $</w:t>
      </w:r>
      <w:r w:rsidR="00255068">
        <w:rPr>
          <w:b/>
          <w:bCs/>
        </w:rPr>
        <w:t>975,642</w:t>
      </w:r>
      <w:r>
        <w:rPr>
          <w:b/>
          <w:bCs/>
        </w:rPr>
        <w:t xml:space="preserve"> = $</w:t>
      </w:r>
      <w:r w:rsidR="008D32ED">
        <w:rPr>
          <w:b/>
          <w:bCs/>
        </w:rPr>
        <w:t>1,991,260</w:t>
      </w:r>
    </w:p>
    <w:p w:rsidR="00E35242" w:rsidRDefault="00E35242" w:rsidP="00E35242">
      <w:pPr>
        <w:pStyle w:val="Heading5"/>
        <w:numPr>
          <w:ilvl w:val="4"/>
          <w:numId w:val="3"/>
        </w:numPr>
      </w:pPr>
      <w:r>
        <w:t>Maintaining and Updating a Written Exposure Control Plan</w:t>
      </w:r>
    </w:p>
    <w:p w:rsidR="00E35242" w:rsidRDefault="00E35242" w:rsidP="00E35242">
      <w:pPr>
        <w:pStyle w:val="BodyTextFirstIndent"/>
        <w:ind w:firstLine="0"/>
        <w:rPr>
          <w:sz w:val="24"/>
          <w:szCs w:val="24"/>
        </w:rPr>
      </w:pPr>
      <w:r>
        <w:rPr>
          <w:sz w:val="24"/>
          <w:szCs w:val="24"/>
          <w:lang w:val="x-none"/>
        </w:rPr>
        <w:t xml:space="preserve">The employer must maintain and update the exposure control plan when: </w:t>
      </w:r>
      <w:r w:rsidR="000726BA">
        <w:rPr>
          <w:sz w:val="24"/>
          <w:szCs w:val="24"/>
        </w:rPr>
        <w:t xml:space="preserve"> </w:t>
      </w:r>
      <w:r>
        <w:rPr>
          <w:sz w:val="24"/>
          <w:szCs w:val="24"/>
        </w:rPr>
        <w:t>a</w:t>
      </w:r>
      <w:proofErr w:type="spellStart"/>
      <w:r>
        <w:rPr>
          <w:sz w:val="24"/>
          <w:szCs w:val="24"/>
          <w:lang w:val="x-none"/>
        </w:rPr>
        <w:t>ny</w:t>
      </w:r>
      <w:proofErr w:type="spellEnd"/>
      <w:r>
        <w:rPr>
          <w:sz w:val="24"/>
          <w:szCs w:val="24"/>
          <w:lang w:val="x-none"/>
        </w:rPr>
        <w:t xml:space="preserve">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rsidR="00E35242" w:rsidRDefault="00E35242" w:rsidP="00E35242">
      <w:pPr>
        <w:pStyle w:val="BodyTextFirstIndent"/>
        <w:ind w:firstLine="0"/>
        <w:rPr>
          <w:sz w:val="24"/>
          <w:szCs w:val="24"/>
        </w:rPr>
      </w:pPr>
      <w:r>
        <w:rPr>
          <w:sz w:val="24"/>
          <w:szCs w:val="24"/>
        </w:rPr>
        <w:t>Employers must make a copy of the written exposure control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written exposure control plan are included in this item of the supporting statement under section D, Employee Access to Exposure Monitoring and Medical Records, subsection 2, Access to Records (§1910.1024(n)(6)).</w:t>
      </w:r>
    </w:p>
    <w:p w:rsidR="00E35242" w:rsidRDefault="00E35242" w:rsidP="00E35242">
      <w:pPr>
        <w:pStyle w:val="BodyTextFirstIndent"/>
        <w:ind w:firstLine="0"/>
        <w:rPr>
          <w:sz w:val="24"/>
          <w:szCs w:val="24"/>
          <w:lang w:val="x-none"/>
        </w:rPr>
      </w:pPr>
      <w:r>
        <w:rPr>
          <w:sz w:val="24"/>
          <w:szCs w:val="24"/>
          <w:lang w:val="x-none"/>
        </w:rPr>
        <w:t xml:space="preserve">OSHA estimates that there are a total of </w:t>
      </w:r>
      <w:r w:rsidR="008D32ED">
        <w:rPr>
          <w:sz w:val="24"/>
          <w:szCs w:val="24"/>
        </w:rPr>
        <w:t>43,457</w:t>
      </w:r>
      <w:r>
        <w:rPr>
          <w:sz w:val="24"/>
          <w:szCs w:val="24"/>
          <w:lang w:val="x-none"/>
        </w:rPr>
        <w:t xml:space="preserve"> employees at risk of exposures at or above the action level annually.  Managers are estimated to need 12 minutes (0.2 hours) per affected employee per quarter, or 48 minutes (4 x 12) (0.8 hours) per affected employee per year to review and update the plan.  Baseline non-compliance with this requirement is estimated to be </w:t>
      </w:r>
      <w:r>
        <w:rPr>
          <w:sz w:val="24"/>
          <w:szCs w:val="24"/>
        </w:rPr>
        <w:t>62</w:t>
      </w:r>
      <w:r>
        <w:rPr>
          <w:sz w:val="24"/>
          <w:szCs w:val="24"/>
          <w:lang w:val="x-none"/>
        </w:rPr>
        <w:t xml:space="preserve"> percent.</w:t>
      </w:r>
    </w:p>
    <w:p w:rsidR="00E35242" w:rsidRDefault="00E35242" w:rsidP="00E35242">
      <w:pPr>
        <w:pStyle w:val="BurdenHoursCost"/>
      </w:pPr>
      <w:r>
        <w:rPr>
          <w:b/>
          <w:bCs/>
        </w:rPr>
        <w:t>Burden hours</w:t>
      </w:r>
      <w:r>
        <w:t xml:space="preserve">:  </w:t>
      </w:r>
      <w:r w:rsidR="008D32ED">
        <w:t>43,457</w:t>
      </w:r>
      <w:r>
        <w:t xml:space="preserve"> (employees) </w:t>
      </w:r>
      <w:r>
        <w:rPr>
          <w:rFonts w:ascii="Symbol" w:hAnsi="Symbol"/>
        </w:rPr>
        <w:t></w:t>
      </w:r>
      <w:r>
        <w:t xml:space="preserve"> 0.62 (non-compliance rate) </w:t>
      </w:r>
      <w:r>
        <w:rPr>
          <w:rFonts w:ascii="Symbol" w:hAnsi="Symbol"/>
        </w:rPr>
        <w:t></w:t>
      </w:r>
      <w:r>
        <w:t xml:space="preserve"> 0.8 (hours of HR Manager </w:t>
      </w:r>
      <w:proofErr w:type="gramStart"/>
      <w:r>
        <w:t>time</w:t>
      </w:r>
      <w:proofErr w:type="gramEnd"/>
      <w:r>
        <w:t xml:space="preserve">) = </w:t>
      </w:r>
      <w:r w:rsidR="008D32ED">
        <w:rPr>
          <w:b/>
          <w:bCs/>
        </w:rPr>
        <w:t>21,</w:t>
      </w:r>
      <w:r w:rsidR="00F21D4F">
        <w:rPr>
          <w:b/>
          <w:bCs/>
        </w:rPr>
        <w:t>555</w:t>
      </w:r>
      <w:r>
        <w:rPr>
          <w:b/>
          <w:bCs/>
        </w:rPr>
        <w:t xml:space="preserve"> hours</w:t>
      </w:r>
    </w:p>
    <w:p w:rsidR="00E35242" w:rsidRDefault="00E35242" w:rsidP="00E35242">
      <w:pPr>
        <w:pStyle w:val="BurdenHoursCost"/>
      </w:pPr>
      <w:r>
        <w:rPr>
          <w:b/>
          <w:bCs/>
        </w:rPr>
        <w:t>Annual Cost</w:t>
      </w:r>
      <w:r>
        <w:t xml:space="preserve">:  </w:t>
      </w:r>
      <w:r w:rsidR="008D32ED">
        <w:t>21,</w:t>
      </w:r>
      <w:r w:rsidR="00F21D4F">
        <w:t>555</w:t>
      </w:r>
      <w:r>
        <w:t xml:space="preserve"> (hours) </w:t>
      </w:r>
      <w:r>
        <w:rPr>
          <w:rFonts w:ascii="Symbol" w:hAnsi="Symbol"/>
        </w:rPr>
        <w:t></w:t>
      </w:r>
      <w:r>
        <w:t xml:space="preserve"> $72.42 (HR Manager </w:t>
      </w:r>
      <w:proofErr w:type="gramStart"/>
      <w:r>
        <w:t>wage</w:t>
      </w:r>
      <w:proofErr w:type="gramEnd"/>
      <w:r>
        <w:t xml:space="preserve">) = </w:t>
      </w:r>
      <w:r>
        <w:rPr>
          <w:b/>
          <w:bCs/>
        </w:rPr>
        <w:t>$1,</w:t>
      </w:r>
      <w:r w:rsidR="00F21D4F">
        <w:rPr>
          <w:b/>
          <w:bCs/>
        </w:rPr>
        <w:t>561,013</w:t>
      </w:r>
    </w:p>
    <w:p w:rsidR="00E35242" w:rsidRDefault="00E35242" w:rsidP="00E35242">
      <w:pPr>
        <w:pStyle w:val="Heading4"/>
        <w:numPr>
          <w:ilvl w:val="3"/>
          <w:numId w:val="3"/>
        </w:numPr>
      </w:pPr>
      <w:r>
        <w:lastRenderedPageBreak/>
        <w:t>Respiratory Protection (g)</w:t>
      </w:r>
    </w:p>
    <w:p w:rsidR="00E35242" w:rsidRDefault="00E35242" w:rsidP="00E35242">
      <w:pPr>
        <w:spacing w:line="480" w:lineRule="auto"/>
      </w:pPr>
      <w:r>
        <w:rPr>
          <w:b/>
          <w:bCs/>
        </w:rPr>
        <w:t>§1910.1024 (g</w:t>
      </w:r>
      <w:proofErr w:type="gramStart"/>
      <w:r>
        <w:rPr>
          <w:b/>
          <w:bCs/>
        </w:rPr>
        <w:t>)(</w:t>
      </w:r>
      <w:proofErr w:type="gramEnd"/>
      <w:r>
        <w:rPr>
          <w:b/>
          <w:bCs/>
        </w:rPr>
        <w:t>2) -- §1915.1024 (g) -- §1926.1124 (g)-- Respiratory protection program</w:t>
      </w:r>
      <w:r>
        <w:t>.</w:t>
      </w:r>
    </w:p>
    <w:p w:rsidR="00E35242" w:rsidRDefault="00E35242" w:rsidP="00E35242">
      <w:pPr>
        <w:rPr>
          <w:b/>
          <w:bCs/>
        </w:rPr>
      </w:pPr>
      <w:r>
        <w:t>Where this standard requires an employer to provide respiratory protection, the selection and use of such respiratory protection must be in accordance with the Respiratory Protection standard (29 CFR 1910.134).</w:t>
      </w:r>
    </w:p>
    <w:p w:rsidR="00E35242" w:rsidRDefault="00E35242" w:rsidP="00E35242">
      <w:pPr>
        <w:autoSpaceDE/>
      </w:pPr>
    </w:p>
    <w:p w:rsidR="00E35242" w:rsidRDefault="00E35242" w:rsidP="00E35242">
      <w:pPr>
        <w:autoSpaceDE/>
        <w:rPr>
          <w:i/>
          <w:iCs/>
        </w:rPr>
      </w:pPr>
      <w:r>
        <w:rPr>
          <w:i/>
          <w:iCs/>
        </w:rPr>
        <w:t xml:space="preserve">Develop and Implement </w:t>
      </w:r>
      <w:proofErr w:type="gramStart"/>
      <w:r>
        <w:rPr>
          <w:i/>
          <w:iCs/>
        </w:rPr>
        <w:t>Written</w:t>
      </w:r>
      <w:proofErr w:type="gramEnd"/>
      <w:r>
        <w:rPr>
          <w:i/>
          <w:iCs/>
        </w:rPr>
        <w:t xml:space="preserve"> respiratory program</w:t>
      </w:r>
    </w:p>
    <w:p w:rsidR="00E35242" w:rsidRDefault="00E35242" w:rsidP="00E35242"/>
    <w:p w:rsidR="00E35242" w:rsidRDefault="00E35242" w:rsidP="00E35242">
      <w:pPr>
        <w:pStyle w:val="BodyTextFirstIndent"/>
        <w:ind w:firstLine="0"/>
        <w:rPr>
          <w:sz w:val="24"/>
          <w:szCs w:val="24"/>
          <w:lang w:val="x-none"/>
        </w:rPr>
      </w:pPr>
      <w:proofErr w:type="spellStart"/>
      <w:r>
        <w:rPr>
          <w:sz w:val="24"/>
          <w:szCs w:val="24"/>
        </w:rPr>
        <w:t>T</w:t>
      </w:r>
      <w:r>
        <w:rPr>
          <w:sz w:val="24"/>
          <w:szCs w:val="24"/>
          <w:lang w:val="x-none"/>
        </w:rPr>
        <w:t>here</w:t>
      </w:r>
      <w:proofErr w:type="spellEnd"/>
      <w:r>
        <w:rPr>
          <w:sz w:val="24"/>
          <w:szCs w:val="24"/>
          <w:lang w:val="x-none"/>
        </w:rPr>
        <w:t xml:space="preserve"> is a cost per establishment to set up a written respirator program in accordance with the respiratory protection standard (29 CFR 1910.134).  The respiratory protection standard requires written procedures for the proper selection, use, cleaning, storage, and maintenance of OSHA estimates that </w:t>
      </w:r>
      <w:r>
        <w:rPr>
          <w:sz w:val="24"/>
          <w:szCs w:val="24"/>
        </w:rPr>
        <w:t>465</w:t>
      </w:r>
      <w:r>
        <w:rPr>
          <w:rStyle w:val="FootnoteReference"/>
        </w:rPr>
        <w:footnoteReference w:customMarkFollows="1" w:id="12"/>
        <w:t>[11]</w:t>
      </w:r>
      <w:r>
        <w:rPr>
          <w:sz w:val="24"/>
          <w:szCs w:val="24"/>
          <w:lang w:val="x-none"/>
        </w:rPr>
        <w:t xml:space="preserve"> establishments are potentially at risk from exposure to beryllium</w:t>
      </w:r>
      <w:r>
        <w:rPr>
          <w:sz w:val="24"/>
          <w:szCs w:val="24"/>
        </w:rPr>
        <w:t xml:space="preserve"> that could exceed the PEL</w:t>
      </w:r>
      <w:r>
        <w:rPr>
          <w:sz w:val="24"/>
          <w:szCs w:val="24"/>
          <w:lang w:val="x-none"/>
        </w:rPr>
        <w:t>.</w:t>
      </w:r>
      <w:r>
        <w:rPr>
          <w:rStyle w:val="FootnoteReference"/>
          <w:lang w:val="x-none"/>
        </w:rPr>
        <w:t xml:space="preserve"> </w:t>
      </w:r>
      <w:r>
        <w:rPr>
          <w:sz w:val="24"/>
          <w:szCs w:val="24"/>
        </w:rPr>
        <w:t xml:space="preserve">There are 465 establishments that will need to develop and implement a respirator program. </w:t>
      </w:r>
      <w:r>
        <w:rPr>
          <w:sz w:val="24"/>
          <w:szCs w:val="24"/>
          <w:lang w:val="x-none"/>
        </w:rPr>
        <w:t> It estimate</w:t>
      </w:r>
      <w:r>
        <w:rPr>
          <w:sz w:val="24"/>
          <w:szCs w:val="24"/>
        </w:rPr>
        <w:t>s</w:t>
      </w:r>
      <w:r>
        <w:rPr>
          <w:sz w:val="24"/>
          <w:szCs w:val="24"/>
          <w:lang w:val="x-none"/>
        </w:rPr>
        <w:t xml:space="preserve"> that a Human Resource Manager, earning an hourly wage of $72.42, would spend eight hours per establishment to develop and implement a written </w:t>
      </w:r>
      <w:r>
        <w:rPr>
          <w:sz w:val="24"/>
          <w:szCs w:val="24"/>
        </w:rPr>
        <w:t>respirator program</w:t>
      </w:r>
      <w:r>
        <w:rPr>
          <w:sz w:val="24"/>
          <w:szCs w:val="24"/>
          <w:lang w:val="x-none"/>
        </w:rPr>
        <w:t xml:space="preserve">.  Baseline non-compliance with this requirement is estimated to be </w:t>
      </w:r>
      <w:r>
        <w:rPr>
          <w:sz w:val="24"/>
          <w:szCs w:val="24"/>
        </w:rPr>
        <w:t>41</w:t>
      </w:r>
      <w:r>
        <w:rPr>
          <w:sz w:val="24"/>
          <w:szCs w:val="24"/>
          <w:lang w:val="x-none"/>
        </w:rPr>
        <w:t xml:space="preserve"> percent. </w:t>
      </w:r>
    </w:p>
    <w:p w:rsidR="00E35242" w:rsidRDefault="00E35242" w:rsidP="00E35242">
      <w:pPr>
        <w:pStyle w:val="BurdenHoursCost"/>
      </w:pPr>
      <w:r>
        <w:rPr>
          <w:b/>
          <w:bCs/>
        </w:rPr>
        <w:t>Burden hours</w:t>
      </w:r>
      <w:r>
        <w:t xml:space="preserve">:  465 (respirator program per establishment) </w:t>
      </w:r>
      <w:r>
        <w:rPr>
          <w:rFonts w:ascii="Symbol" w:hAnsi="Symbol"/>
        </w:rPr>
        <w:t></w:t>
      </w:r>
      <w:r>
        <w:t xml:space="preserve"> 0.41 (non-compliance rate) </w:t>
      </w:r>
      <w:r>
        <w:rPr>
          <w:rFonts w:ascii="Symbol" w:hAnsi="Symbol"/>
        </w:rPr>
        <w:t></w:t>
      </w:r>
      <w:r>
        <w:t xml:space="preserve"> 8 (hours of HR Manager </w:t>
      </w:r>
      <w:proofErr w:type="gramStart"/>
      <w:r>
        <w:t>time</w:t>
      </w:r>
      <w:proofErr w:type="gramEnd"/>
      <w:r>
        <w:t xml:space="preserve">) = </w:t>
      </w:r>
      <w:r>
        <w:rPr>
          <w:b/>
          <w:bCs/>
        </w:rPr>
        <w:t>1,525 hours</w:t>
      </w:r>
    </w:p>
    <w:p w:rsidR="00E35242" w:rsidRDefault="00E35242" w:rsidP="00E35242">
      <w:pPr>
        <w:pStyle w:val="BurdenHoursCost"/>
        <w:rPr>
          <w:b/>
          <w:bCs/>
        </w:rPr>
      </w:pPr>
      <w:r>
        <w:rPr>
          <w:b/>
          <w:bCs/>
        </w:rPr>
        <w:t>One-Time Cost</w:t>
      </w:r>
      <w:r>
        <w:t xml:space="preserve">:  1,525 (hours) </w:t>
      </w:r>
      <w:r>
        <w:rPr>
          <w:rFonts w:ascii="Symbol" w:hAnsi="Symbol"/>
        </w:rPr>
        <w:t></w:t>
      </w:r>
      <w:r>
        <w:t xml:space="preserve"> $72.42 (HR Manager </w:t>
      </w:r>
      <w:proofErr w:type="gramStart"/>
      <w:r>
        <w:t>wage</w:t>
      </w:r>
      <w:proofErr w:type="gramEnd"/>
      <w:r>
        <w:t xml:space="preserve">) = </w:t>
      </w:r>
      <w:r>
        <w:rPr>
          <w:b/>
          <w:bCs/>
        </w:rPr>
        <w:t xml:space="preserve">$110,441 </w:t>
      </w:r>
    </w:p>
    <w:p w:rsidR="00E35242" w:rsidRDefault="00E35242" w:rsidP="00E35242">
      <w:pPr>
        <w:pStyle w:val="BurdenHoursCost"/>
        <w:ind w:left="0"/>
        <w:rPr>
          <w:i/>
          <w:iCs/>
        </w:rPr>
      </w:pPr>
      <w:r>
        <w:rPr>
          <w:i/>
          <w:iCs/>
        </w:rPr>
        <w:t>Updating and Maintaining:</w:t>
      </w:r>
    </w:p>
    <w:p w:rsidR="00E35242" w:rsidRDefault="00E35242" w:rsidP="00E35242">
      <w:pPr>
        <w:pStyle w:val="BurdenHoursCost"/>
        <w:ind w:left="0"/>
      </w:pPr>
      <w:r>
        <w:t xml:space="preserve">There are 465 establishments that will need to update and maintain a respirator program.  OSHA estimates that a Human Resource Manager, earning an hourly wage of $72.42, would spend two hours per establishment to maintain and update a written respirator program.  Baseline non-compliance with this requirement is estimated to be 41 percent. </w:t>
      </w:r>
    </w:p>
    <w:p w:rsidR="00E35242" w:rsidRDefault="00E35242" w:rsidP="00E35242">
      <w:pPr>
        <w:pStyle w:val="BurdenHoursCost"/>
      </w:pPr>
      <w:r>
        <w:rPr>
          <w:b/>
          <w:bCs/>
        </w:rPr>
        <w:t>Burden hours</w:t>
      </w:r>
      <w:r>
        <w:t xml:space="preserve">: 465 (respirator program per establishment) </w:t>
      </w:r>
      <w:r>
        <w:rPr>
          <w:rFonts w:ascii="Symbol" w:hAnsi="Symbol"/>
        </w:rPr>
        <w:t></w:t>
      </w:r>
      <w:r>
        <w:t xml:space="preserve"> 0.41 (non-compliance rate) </w:t>
      </w:r>
      <w:r>
        <w:rPr>
          <w:rFonts w:ascii="Symbol" w:hAnsi="Symbol"/>
        </w:rPr>
        <w:t></w:t>
      </w:r>
      <w:r>
        <w:t xml:space="preserve"> 2 hours (HR Manager </w:t>
      </w:r>
      <w:proofErr w:type="gramStart"/>
      <w:r>
        <w:t>time</w:t>
      </w:r>
      <w:proofErr w:type="gramEnd"/>
      <w:r>
        <w:t xml:space="preserve">) = </w:t>
      </w:r>
      <w:r>
        <w:rPr>
          <w:b/>
          <w:bCs/>
        </w:rPr>
        <w:t>381 hours</w:t>
      </w:r>
    </w:p>
    <w:p w:rsidR="00E35242" w:rsidRDefault="00E35242" w:rsidP="00E35242">
      <w:pPr>
        <w:pStyle w:val="BurdenHoursCost"/>
        <w:rPr>
          <w:b/>
          <w:bCs/>
        </w:rPr>
      </w:pPr>
      <w:r>
        <w:rPr>
          <w:b/>
          <w:bCs/>
        </w:rPr>
        <w:t>One-Time Cost</w:t>
      </w:r>
      <w:r>
        <w:t xml:space="preserve">:  381 (hours) </w:t>
      </w:r>
      <w:r>
        <w:rPr>
          <w:rFonts w:ascii="Symbol" w:hAnsi="Symbol"/>
        </w:rPr>
        <w:t></w:t>
      </w:r>
      <w:r>
        <w:t xml:space="preserve"> $72.42 (HR Manager </w:t>
      </w:r>
      <w:proofErr w:type="gramStart"/>
      <w:r>
        <w:t>wage</w:t>
      </w:r>
      <w:proofErr w:type="gramEnd"/>
      <w:r>
        <w:t xml:space="preserve">) = </w:t>
      </w:r>
      <w:r>
        <w:rPr>
          <w:b/>
          <w:bCs/>
        </w:rPr>
        <w:t>$27,592</w:t>
      </w:r>
    </w:p>
    <w:p w:rsidR="00E35242" w:rsidRDefault="00E35242" w:rsidP="00E35242">
      <w:pPr>
        <w:pStyle w:val="Heading4"/>
        <w:numPr>
          <w:ilvl w:val="3"/>
          <w:numId w:val="3"/>
        </w:numPr>
        <w:rPr>
          <w:lang w:val="x-none"/>
        </w:rPr>
      </w:pPr>
      <w:r>
        <w:t xml:space="preserve">Respirator </w:t>
      </w:r>
      <w:r>
        <w:rPr>
          <w:lang w:val="x-none"/>
        </w:rPr>
        <w:t>Fit testing:</w:t>
      </w:r>
    </w:p>
    <w:p w:rsidR="00E35242" w:rsidRDefault="00E35242" w:rsidP="00E35242">
      <w:pPr>
        <w:rPr>
          <w:i/>
          <w:iCs/>
        </w:rPr>
      </w:pPr>
      <w:r>
        <w:rPr>
          <w:i/>
          <w:iCs/>
        </w:rPr>
        <w:t>In-House Fit Testing for the Employees</w:t>
      </w:r>
    </w:p>
    <w:p w:rsidR="00E35242" w:rsidRDefault="00E35242" w:rsidP="00E35242">
      <w:pPr>
        <w:rPr>
          <w:i/>
          <w:iCs/>
        </w:rPr>
      </w:pPr>
    </w:p>
    <w:p w:rsidR="00E35242" w:rsidRDefault="00E35242" w:rsidP="00E35242">
      <w:pPr>
        <w:rPr>
          <w:i/>
          <w:iCs/>
        </w:rPr>
      </w:pPr>
      <w:r>
        <w:lastRenderedPageBreak/>
        <w:t>The employers will conduct respirator fit testing for the 650 workers</w:t>
      </w:r>
      <w:r>
        <w:rPr>
          <w:rStyle w:val="FootnoteReference"/>
          <w:lang w:eastAsia="en-US"/>
        </w:rPr>
        <w:footnoteReference w:customMarkFollows="1" w:id="13"/>
        <w:t>[12]</w:t>
      </w:r>
      <w:r>
        <w:t xml:space="preserve"> who will need to wear respirators.  OSHA estimates that it will take 30 minutes (0.5 hours) for a worker to be fit-tested per respirator and 100% of the 650 workers will need to be fit tested.  </w:t>
      </w:r>
    </w:p>
    <w:p w:rsidR="00E35242" w:rsidRDefault="00E35242" w:rsidP="00E35242">
      <w:pPr>
        <w:ind w:firstLine="720"/>
        <w:rPr>
          <w:i/>
          <w:iCs/>
          <w:sz w:val="22"/>
          <w:szCs w:val="22"/>
        </w:rPr>
      </w:pPr>
      <w:r>
        <w:rPr>
          <w:i/>
          <w:iCs/>
          <w:sz w:val="22"/>
          <w:szCs w:val="22"/>
        </w:rPr>
        <w:t xml:space="preserve">                                                                                  </w:t>
      </w:r>
    </w:p>
    <w:p w:rsidR="00E35242" w:rsidRDefault="00E35242" w:rsidP="00E35242">
      <w:pPr>
        <w:pStyle w:val="BurdenHoursCost"/>
      </w:pPr>
      <w:r>
        <w:rPr>
          <w:b/>
          <w:bCs/>
        </w:rPr>
        <w:t>Burden hours</w:t>
      </w:r>
      <w:r>
        <w:t xml:space="preserve">: 650 (employees) </w:t>
      </w:r>
      <w:r>
        <w:rPr>
          <w:rFonts w:ascii="Symbol" w:hAnsi="Symbol"/>
        </w:rPr>
        <w:t></w:t>
      </w:r>
      <w:r>
        <w:t xml:space="preserve"> 1 (non-compliance rate) </w:t>
      </w:r>
      <w:r>
        <w:rPr>
          <w:rFonts w:ascii="Symbol" w:hAnsi="Symbol"/>
        </w:rPr>
        <w:t></w:t>
      </w:r>
      <w:r>
        <w:t xml:space="preserve"> 0.5 (hours of employee time) = </w:t>
      </w:r>
      <w:r>
        <w:rPr>
          <w:b/>
          <w:bCs/>
        </w:rPr>
        <w:t>325 hours</w:t>
      </w:r>
    </w:p>
    <w:p w:rsidR="00E35242" w:rsidRDefault="00E35242" w:rsidP="00E35242">
      <w:pPr>
        <w:pStyle w:val="BurdenHoursCost"/>
      </w:pPr>
      <w:r>
        <w:rPr>
          <w:b/>
          <w:bCs/>
        </w:rPr>
        <w:t>Annual Cost</w:t>
      </w:r>
      <w:r>
        <w:t xml:space="preserve">:  325 (hours) </w:t>
      </w:r>
      <w:r>
        <w:rPr>
          <w:rFonts w:ascii="Symbol" w:hAnsi="Symbol"/>
        </w:rPr>
        <w:t></w:t>
      </w:r>
      <w:r>
        <w:t xml:space="preserve"> $24.16 (Employee wage) = </w:t>
      </w:r>
      <w:r>
        <w:rPr>
          <w:b/>
          <w:bCs/>
        </w:rPr>
        <w:t>$7,852</w:t>
      </w:r>
    </w:p>
    <w:p w:rsidR="00E35242" w:rsidRDefault="00E35242" w:rsidP="00E35242">
      <w:pPr>
        <w:rPr>
          <w:i/>
          <w:iCs/>
        </w:rPr>
      </w:pPr>
      <w:r>
        <w:rPr>
          <w:i/>
          <w:iCs/>
        </w:rPr>
        <w:t>In-House Fit Testing by Supervisors</w:t>
      </w:r>
    </w:p>
    <w:p w:rsidR="00E35242" w:rsidRDefault="00E35242" w:rsidP="00E35242">
      <w:pPr>
        <w:ind w:firstLine="720"/>
        <w:rPr>
          <w:i/>
          <w:iCs/>
        </w:rPr>
      </w:pPr>
    </w:p>
    <w:p w:rsidR="00E35242" w:rsidRDefault="00E35242" w:rsidP="00E35242">
      <w:pPr>
        <w:rPr>
          <w:sz w:val="22"/>
          <w:szCs w:val="22"/>
        </w:rPr>
      </w:pPr>
      <w:r>
        <w:t xml:space="preserve">The employers will conduct in-house fit testing for the 650 workers who will need to wear respirators.  OSHA estimates that the in-house supervisors will administer the 650 fit-tests and it will take 30 minutes (0.5 hours) for a worker to be fit-tested per respirator and 100% of the 650 workers will need to be fit tested.  </w:t>
      </w:r>
    </w:p>
    <w:p w:rsidR="00E35242" w:rsidRDefault="00E35242" w:rsidP="00E35242">
      <w:pPr>
        <w:ind w:firstLine="720"/>
        <w:rPr>
          <w:i/>
          <w:iCs/>
          <w:color w:val="FF0000"/>
          <w:sz w:val="22"/>
          <w:szCs w:val="22"/>
        </w:rPr>
      </w:pPr>
      <w:r>
        <w:rPr>
          <w:i/>
          <w:iCs/>
          <w:color w:val="FF0000"/>
          <w:sz w:val="22"/>
          <w:szCs w:val="22"/>
        </w:rPr>
        <w:t xml:space="preserve">                                                                                  </w:t>
      </w:r>
    </w:p>
    <w:p w:rsidR="00E35242" w:rsidRDefault="00E35242" w:rsidP="00E35242">
      <w:pPr>
        <w:pStyle w:val="BurdenHoursCost"/>
      </w:pPr>
      <w:r>
        <w:rPr>
          <w:b/>
          <w:bCs/>
        </w:rPr>
        <w:t>Burden hours</w:t>
      </w:r>
      <w:r>
        <w:t xml:space="preserve">:  650 (Supervisor) </w:t>
      </w:r>
      <w:r>
        <w:rPr>
          <w:rFonts w:ascii="Symbol" w:hAnsi="Symbol"/>
        </w:rPr>
        <w:t></w:t>
      </w:r>
      <w:r>
        <w:t xml:space="preserve"> 1 (non-compliance rate) </w:t>
      </w:r>
      <w:r>
        <w:rPr>
          <w:rFonts w:ascii="Symbol" w:hAnsi="Symbol"/>
        </w:rPr>
        <w:t></w:t>
      </w:r>
      <w:r>
        <w:t xml:space="preserve"> 0.5 (hours of Supervisor time) = </w:t>
      </w:r>
      <w:r>
        <w:rPr>
          <w:b/>
          <w:bCs/>
        </w:rPr>
        <w:t>325 hours</w:t>
      </w:r>
    </w:p>
    <w:p w:rsidR="00E35242" w:rsidRDefault="00E35242" w:rsidP="00E35242">
      <w:pPr>
        <w:pStyle w:val="BurdenHoursCost"/>
      </w:pPr>
      <w:r>
        <w:rPr>
          <w:b/>
          <w:bCs/>
        </w:rPr>
        <w:t>Annual Cost</w:t>
      </w:r>
      <w:r>
        <w:t xml:space="preserve">:  325 (hours) </w:t>
      </w:r>
      <w:r>
        <w:rPr>
          <w:rFonts w:ascii="Symbol" w:hAnsi="Symbol"/>
        </w:rPr>
        <w:t></w:t>
      </w:r>
      <w:r>
        <w:t xml:space="preserve"> $41.08 (Supervisor wage) = </w:t>
      </w:r>
      <w:r>
        <w:rPr>
          <w:b/>
          <w:bCs/>
        </w:rPr>
        <w:t>$13,351</w:t>
      </w:r>
    </w:p>
    <w:p w:rsidR="00E35242" w:rsidRDefault="00E35242" w:rsidP="00E35242">
      <w:pPr>
        <w:pStyle w:val="Heading4"/>
        <w:numPr>
          <w:ilvl w:val="3"/>
          <w:numId w:val="3"/>
        </w:numPr>
        <w:rPr>
          <w:lang w:val="x-none"/>
        </w:rPr>
      </w:pPr>
      <w:r>
        <w:rPr>
          <w:lang w:val="x-none"/>
        </w:rPr>
        <w:t xml:space="preserve">Personal Protective Clothing and Equipment </w:t>
      </w:r>
    </w:p>
    <w:p w:rsidR="00E35242" w:rsidRDefault="00E35242" w:rsidP="00E35242">
      <w:pPr>
        <w:rPr>
          <w:b/>
          <w:bCs/>
        </w:rPr>
      </w:pPr>
      <w:r>
        <w:rPr>
          <w:b/>
          <w:bCs/>
        </w:rPr>
        <w:t>§1910.1024 (h</w:t>
      </w:r>
      <w:proofErr w:type="gramStart"/>
      <w:r>
        <w:rPr>
          <w:b/>
          <w:bCs/>
        </w:rPr>
        <w:t>)(</w:t>
      </w:r>
      <w:proofErr w:type="gramEnd"/>
      <w:r>
        <w:rPr>
          <w:b/>
          <w:bCs/>
        </w:rPr>
        <w:t xml:space="preserve">3)(iii) -- Personal Protective Clothing and Equipment --Cleaning and Replacement. </w:t>
      </w:r>
    </w:p>
    <w:p w:rsidR="00E35242" w:rsidRDefault="00E35242" w:rsidP="00E35242">
      <w:pPr>
        <w:rPr>
          <w:b/>
          <w:bCs/>
        </w:rPr>
      </w:pPr>
      <w:r>
        <w:rPr>
          <w:b/>
          <w:bCs/>
        </w:rPr>
        <w:t> </w:t>
      </w:r>
    </w:p>
    <w:p w:rsidR="00E35242" w:rsidRDefault="00216DCB" w:rsidP="00E35242">
      <w:pPr>
        <w:pStyle w:val="iReg"/>
      </w:pPr>
      <w:r>
        <w:t>P</w:t>
      </w:r>
      <w:r w:rsidR="00E35242">
        <w:t>aragraph (h</w:t>
      </w:r>
      <w:proofErr w:type="gramStart"/>
      <w:r w:rsidR="00E35242">
        <w:t>)(</w:t>
      </w:r>
      <w:proofErr w:type="gramEnd"/>
      <w:r w:rsidR="00E35242">
        <w:t>3)(iii)</w:t>
      </w:r>
      <w:r>
        <w:t xml:space="preserve"> </w:t>
      </w:r>
      <w:r w:rsidR="00E35242">
        <w:t>requires the employer to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00E35242" w:rsidRDefault="00E35242" w:rsidP="00E35242">
      <w:pPr>
        <w:pStyle w:val="BodyTextFirstIndent"/>
        <w:ind w:firstLine="0"/>
        <w:rPr>
          <w:sz w:val="24"/>
          <w:szCs w:val="24"/>
          <w:lang w:val="x-none"/>
        </w:rPr>
      </w:pPr>
      <w:r>
        <w:rPr>
          <w:sz w:val="24"/>
          <w:szCs w:val="24"/>
          <w:lang w:val="x-none"/>
        </w:rPr>
        <w:t xml:space="preserve">The employer must inform in writing the persons or the business entities </w:t>
      </w:r>
      <w:r>
        <w:rPr>
          <w:sz w:val="24"/>
          <w:szCs w:val="24"/>
        </w:rPr>
        <w:t>that</w:t>
      </w:r>
      <w:r>
        <w:rPr>
          <w:sz w:val="24"/>
          <w:szCs w:val="24"/>
          <w:lang w:val="x-none"/>
        </w:rPr>
        <w:t xml:space="preserve"> launder, clean</w:t>
      </w:r>
      <w:r>
        <w:rPr>
          <w:sz w:val="24"/>
          <w:szCs w:val="24"/>
        </w:rPr>
        <w:t>,</w:t>
      </w:r>
      <w:r>
        <w:rPr>
          <w:sz w:val="24"/>
          <w:szCs w:val="24"/>
          <w:lang w:val="x-none"/>
        </w:rPr>
        <w:t xml:space="preserve"> or repair the </w:t>
      </w:r>
      <w:r>
        <w:rPr>
          <w:sz w:val="24"/>
          <w:szCs w:val="24"/>
        </w:rPr>
        <w:t xml:space="preserve"> personal </w:t>
      </w:r>
      <w:r>
        <w:rPr>
          <w:sz w:val="24"/>
          <w:szCs w:val="24"/>
          <w:lang w:val="x-none"/>
        </w:rPr>
        <w:t>protective clothing or equipment</w:t>
      </w:r>
      <w:r>
        <w:rPr>
          <w:sz w:val="24"/>
          <w:szCs w:val="24"/>
        </w:rPr>
        <w:t xml:space="preserve"> required by this standard</w:t>
      </w:r>
      <w:r>
        <w:rPr>
          <w:sz w:val="24"/>
          <w:szCs w:val="24"/>
          <w:lang w:val="x-none"/>
        </w:rPr>
        <w:t xml:space="preserve"> of the potentially harmful effects of </w:t>
      </w:r>
      <w:r>
        <w:rPr>
          <w:sz w:val="24"/>
          <w:szCs w:val="24"/>
        </w:rPr>
        <w:t xml:space="preserve">airborne </w:t>
      </w:r>
      <w:r>
        <w:rPr>
          <w:sz w:val="24"/>
          <w:szCs w:val="24"/>
          <w:lang w:val="x-none"/>
        </w:rPr>
        <w:t xml:space="preserve">exposure to beryllium and </w:t>
      </w:r>
      <w:r>
        <w:rPr>
          <w:sz w:val="24"/>
          <w:szCs w:val="24"/>
        </w:rPr>
        <w:t xml:space="preserve">dermal </w:t>
      </w:r>
      <w:r>
        <w:rPr>
          <w:sz w:val="24"/>
          <w:szCs w:val="24"/>
          <w:lang w:val="x-none"/>
        </w:rPr>
        <w:t>contact with  beryllium compounds</w:t>
      </w:r>
      <w:r>
        <w:rPr>
          <w:sz w:val="24"/>
          <w:szCs w:val="24"/>
        </w:rPr>
        <w:t>, as well as</w:t>
      </w:r>
      <w:r>
        <w:rPr>
          <w:sz w:val="24"/>
          <w:szCs w:val="24"/>
          <w:lang w:val="x-none"/>
        </w:rPr>
        <w:t xml:space="preserve"> how the </w:t>
      </w:r>
      <w:r>
        <w:rPr>
          <w:sz w:val="24"/>
          <w:szCs w:val="24"/>
        </w:rPr>
        <w:t xml:space="preserve"> personal </w:t>
      </w:r>
      <w:r>
        <w:rPr>
          <w:sz w:val="24"/>
          <w:szCs w:val="24"/>
          <w:lang w:val="x-none"/>
        </w:rPr>
        <w:t>protective clothing and equipment must be handled in accordance with this standard.</w:t>
      </w:r>
    </w:p>
    <w:p w:rsidR="00E35242" w:rsidRDefault="00E35242" w:rsidP="00E35242">
      <w:pPr>
        <w:pStyle w:val="BodyTextFirstIndent"/>
        <w:ind w:firstLine="0"/>
        <w:rPr>
          <w:sz w:val="24"/>
          <w:szCs w:val="24"/>
          <w:lang w:val="x-none"/>
        </w:rPr>
      </w:pPr>
      <w:r>
        <w:rPr>
          <w:sz w:val="24"/>
          <w:szCs w:val="24"/>
          <w:lang w:val="x-none"/>
        </w:rPr>
        <w:t xml:space="preserve">There are </w:t>
      </w:r>
      <w:r w:rsidR="008D32ED">
        <w:rPr>
          <w:sz w:val="24"/>
          <w:szCs w:val="24"/>
        </w:rPr>
        <w:t>3,076</w:t>
      </w:r>
      <w:r>
        <w:rPr>
          <w:sz w:val="24"/>
          <w:szCs w:val="24"/>
        </w:rPr>
        <w:t xml:space="preserve"> </w:t>
      </w:r>
      <w:r>
        <w:rPr>
          <w:sz w:val="24"/>
          <w:szCs w:val="24"/>
          <w:lang w:val="x-none"/>
        </w:rPr>
        <w:t>establishments potentially at risk from exposure to beryllium that will need to send out clothing and equipment for laundering, cleaning</w:t>
      </w:r>
      <w:r>
        <w:rPr>
          <w:sz w:val="24"/>
          <w:szCs w:val="24"/>
        </w:rPr>
        <w:t>,</w:t>
      </w:r>
      <w:r>
        <w:rPr>
          <w:sz w:val="24"/>
          <w:szCs w:val="24"/>
          <w:lang w:val="x-none"/>
        </w:rPr>
        <w:t xml:space="preserve"> or repair. OSHA estimates that it will take </w:t>
      </w:r>
      <w:r>
        <w:rPr>
          <w:sz w:val="24"/>
          <w:szCs w:val="24"/>
        </w:rPr>
        <w:t xml:space="preserve">approximately </w:t>
      </w:r>
      <w:r>
        <w:rPr>
          <w:sz w:val="24"/>
          <w:szCs w:val="24"/>
          <w:lang w:val="x-none"/>
        </w:rPr>
        <w:t xml:space="preserve">10 minutes (0.17 hours) of a Clerical worker’s time to inform the person or </w:t>
      </w:r>
      <w:r>
        <w:rPr>
          <w:sz w:val="24"/>
          <w:szCs w:val="24"/>
          <w:lang w:val="x-none"/>
        </w:rPr>
        <w:lastRenderedPageBreak/>
        <w:t xml:space="preserve">business in writing of the potentially harmful effects of the laundering, cleaning or repair of the clothing or equipment. Baseline non-compliance with this requirement is estimated to be </w:t>
      </w:r>
      <w:r>
        <w:rPr>
          <w:sz w:val="24"/>
          <w:szCs w:val="24"/>
        </w:rPr>
        <w:t>21</w:t>
      </w:r>
      <w:r>
        <w:rPr>
          <w:sz w:val="24"/>
          <w:szCs w:val="24"/>
          <w:lang w:val="x-none"/>
        </w:rPr>
        <w:t xml:space="preserve"> percent. </w:t>
      </w:r>
    </w:p>
    <w:p w:rsidR="00E35242" w:rsidRDefault="00E35242" w:rsidP="00E35242">
      <w:pPr>
        <w:pStyle w:val="BurdenHoursCost"/>
      </w:pPr>
      <w:r>
        <w:rPr>
          <w:b/>
          <w:bCs/>
        </w:rPr>
        <w:t>Burden hours</w:t>
      </w:r>
      <w:r>
        <w:t xml:space="preserve">: </w:t>
      </w:r>
      <w:r w:rsidR="008D32ED">
        <w:t>3,076</w:t>
      </w:r>
      <w:r>
        <w:t xml:space="preserve"> (establishments) </w:t>
      </w:r>
      <w:r>
        <w:rPr>
          <w:rFonts w:ascii="Symbol" w:hAnsi="Symbol"/>
        </w:rPr>
        <w:t></w:t>
      </w:r>
      <w:r>
        <w:t xml:space="preserve"> 0.21 (non-compliance rate) </w:t>
      </w:r>
      <w:r>
        <w:rPr>
          <w:rFonts w:ascii="Symbol" w:hAnsi="Symbol"/>
        </w:rPr>
        <w:t></w:t>
      </w:r>
      <w:r>
        <w:t xml:space="preserve"> 0.17 (hours of Clerical worker time) = </w:t>
      </w:r>
      <w:r w:rsidR="008D32ED" w:rsidRPr="0046031D">
        <w:rPr>
          <w:rFonts w:ascii="Times New Roman Bold" w:hAnsi="Times New Roman Bold"/>
          <w:b/>
        </w:rPr>
        <w:t>110</w:t>
      </w:r>
      <w:r w:rsidRPr="0046031D">
        <w:rPr>
          <w:rFonts w:ascii="Times New Roman Bold" w:hAnsi="Times New Roman Bold"/>
          <w:b/>
          <w:bCs/>
        </w:rPr>
        <w:t xml:space="preserve"> </w:t>
      </w:r>
      <w:r>
        <w:rPr>
          <w:b/>
          <w:bCs/>
        </w:rPr>
        <w:t>hours</w:t>
      </w:r>
    </w:p>
    <w:p w:rsidR="00E35242" w:rsidRDefault="00E35242" w:rsidP="00E35242">
      <w:pPr>
        <w:pStyle w:val="BurdenHoursCost"/>
      </w:pPr>
      <w:r>
        <w:rPr>
          <w:b/>
          <w:bCs/>
        </w:rPr>
        <w:t>Annual Cost</w:t>
      </w:r>
      <w:r>
        <w:t xml:space="preserve">: </w:t>
      </w:r>
      <w:r w:rsidR="008D32ED">
        <w:t>110</w:t>
      </w:r>
      <w:r>
        <w:t xml:space="preserve"> (hours) </w:t>
      </w:r>
      <w:r>
        <w:rPr>
          <w:rFonts w:ascii="Symbol" w:hAnsi="Symbol"/>
        </w:rPr>
        <w:t></w:t>
      </w:r>
      <w:r>
        <w:t xml:space="preserve"> $22.53 (Clerical worker’s wage) = </w:t>
      </w:r>
      <w:r>
        <w:rPr>
          <w:b/>
          <w:bCs/>
        </w:rPr>
        <w:t>$</w:t>
      </w:r>
      <w:r w:rsidR="008D32ED">
        <w:rPr>
          <w:b/>
          <w:bCs/>
        </w:rPr>
        <w:t>2,478</w:t>
      </w:r>
    </w:p>
    <w:p w:rsidR="00E35242" w:rsidRDefault="00E35242" w:rsidP="00E35242">
      <w:pPr>
        <w:pStyle w:val="Heading4"/>
        <w:numPr>
          <w:ilvl w:val="3"/>
          <w:numId w:val="3"/>
        </w:numPr>
        <w:rPr>
          <w:lang w:val="x-none"/>
        </w:rPr>
      </w:pPr>
      <w:bookmarkStart w:id="13" w:name="_Ref406585841"/>
      <w:r>
        <w:rPr>
          <w:lang w:val="x-none"/>
        </w:rPr>
        <w:t>Medical Surveillance</w:t>
      </w:r>
      <w:bookmarkEnd w:id="13"/>
      <w:r>
        <w:rPr>
          <w:lang w:val="x-none"/>
        </w:rPr>
        <w:t xml:space="preserve"> </w:t>
      </w:r>
    </w:p>
    <w:p w:rsidR="00E35242" w:rsidRDefault="00E35242" w:rsidP="00E35242">
      <w:pPr>
        <w:rPr>
          <w:b/>
          <w:bCs/>
          <w:u w:val="single"/>
        </w:rPr>
      </w:pPr>
      <w:r>
        <w:rPr>
          <w:b/>
          <w:bCs/>
        </w:rPr>
        <w:t>§1910.1024 (k</w:t>
      </w:r>
      <w:proofErr w:type="gramStart"/>
      <w:r>
        <w:rPr>
          <w:b/>
          <w:bCs/>
        </w:rPr>
        <w:t>)(</w:t>
      </w:r>
      <w:proofErr w:type="gramEnd"/>
      <w:r>
        <w:rPr>
          <w:b/>
          <w:bCs/>
        </w:rPr>
        <w:t>1), (2), and (3) -- Medical Surveillance.</w:t>
      </w:r>
      <w:r>
        <w:rPr>
          <w:b/>
          <w:bCs/>
          <w:u w:val="single"/>
        </w:rPr>
        <w:t xml:space="preserve"> </w:t>
      </w:r>
    </w:p>
    <w:p w:rsidR="00E35242" w:rsidRDefault="00E35242" w:rsidP="00E35242">
      <w:pPr>
        <w:rPr>
          <w:b/>
          <w:bCs/>
        </w:rPr>
      </w:pPr>
    </w:p>
    <w:p w:rsidR="00E35242" w:rsidRDefault="00216DCB" w:rsidP="00E35242">
      <w:r>
        <w:t>P</w:t>
      </w:r>
      <w:r w:rsidR="00E35242">
        <w:t>aragraph (k)(1)</w:t>
      </w:r>
      <w:r>
        <w:t xml:space="preserve"> </w:t>
      </w:r>
      <w:r w:rsidR="00E35242">
        <w:t>requires the employer to 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rsidR="00E35242" w:rsidRDefault="00E35242" w:rsidP="00E35242"/>
    <w:p w:rsidR="00E35242" w:rsidRDefault="00E35242" w:rsidP="00DC12A2">
      <w:r>
        <w:t>Also, the employer must ensure that all medical examinations and procedures required by this standard are performed by, or under the direction of, a licensed physician.</w:t>
      </w:r>
    </w:p>
    <w:p w:rsidR="000A5922" w:rsidRDefault="000A5922" w:rsidP="00DC12A2"/>
    <w:p w:rsidR="00E35242" w:rsidRDefault="00C825B8" w:rsidP="00E35242">
      <w:pPr>
        <w:pStyle w:val="iReg"/>
      </w:pPr>
      <w:r>
        <w:t>P</w:t>
      </w:r>
      <w:r w:rsidR="00E35242">
        <w:t>aragraph (k</w:t>
      </w:r>
      <w:proofErr w:type="gramStart"/>
      <w:r w:rsidR="00E35242">
        <w:t>)(</w:t>
      </w:r>
      <w:proofErr w:type="gramEnd"/>
      <w:r w:rsidR="00E35242">
        <w:t xml:space="preserve">2), </w:t>
      </w:r>
      <w:r>
        <w:t xml:space="preserve">requires </w:t>
      </w:r>
      <w:r w:rsidR="00E35242">
        <w:t>the</w:t>
      </w:r>
      <w:r w:rsidR="00E35242">
        <w:rPr>
          <w:b/>
          <w:bCs/>
        </w:rPr>
        <w:t xml:space="preserve"> e</w:t>
      </w:r>
      <w:r w:rsidR="00E35242">
        <w:t xml:space="preserve">mployer </w:t>
      </w:r>
      <w:r>
        <w:t xml:space="preserve">to </w:t>
      </w:r>
      <w:r w:rsidR="00E35242">
        <w:t xml:space="preserve"> provide a medical examination within 30 days of either: (A) An employee meets the criteria of paragraph (k)(1)(</w:t>
      </w:r>
      <w:proofErr w:type="spellStart"/>
      <w:r w:rsidR="00E35242">
        <w:t>i</w:t>
      </w:r>
      <w:proofErr w:type="spellEnd"/>
      <w:r w:rsidR="00E35242">
        <w:t>)(A), unless the employee has received a medical examination, provided in accordance with this standard, within the last two years; or (B) An employee meets the criteria of paragraph (k)(1)(</w:t>
      </w:r>
      <w:proofErr w:type="spellStart"/>
      <w:r w:rsidR="00E35242">
        <w:t>i</w:t>
      </w:r>
      <w:proofErr w:type="spellEnd"/>
      <w:r w:rsidR="00E35242">
        <w:t>)(B) or (C). And at least every two years thereafter for each employee who continues to meet the criteria of paragraph (k</w:t>
      </w:r>
      <w:proofErr w:type="gramStart"/>
      <w:r w:rsidR="00E35242">
        <w:t>)(</w:t>
      </w:r>
      <w:proofErr w:type="gramEnd"/>
      <w:r w:rsidR="00E35242">
        <w:t>1)(</w:t>
      </w:r>
      <w:proofErr w:type="spellStart"/>
      <w:r w:rsidR="00E35242">
        <w:t>i</w:t>
      </w:r>
      <w:proofErr w:type="spellEnd"/>
      <w:r w:rsidR="00E35242">
        <w:t>)(A),(B), or (D).  Also, at the termination of employment for each employee who meets any of the criteria of paragraph (k)(1)(</w:t>
      </w:r>
      <w:proofErr w:type="spellStart"/>
      <w:r w:rsidR="00E35242">
        <w:t>i</w:t>
      </w:r>
      <w:proofErr w:type="spellEnd"/>
      <w:r w:rsidR="00E35242">
        <w:t xml:space="preserve">) of this standard at the time the employee’s employment terminates, unless an examination has been provided in accordance with this standard during the six months prior to the date of termination. </w:t>
      </w:r>
    </w:p>
    <w:p w:rsidR="00E35242" w:rsidRDefault="00E35242" w:rsidP="00E35242">
      <w:pPr>
        <w:pStyle w:val="BodyTextFirstIndent"/>
        <w:ind w:firstLine="0"/>
        <w:rPr>
          <w:sz w:val="24"/>
          <w:szCs w:val="24"/>
        </w:rPr>
      </w:pPr>
      <w:r>
        <w:rPr>
          <w:sz w:val="24"/>
          <w:szCs w:val="24"/>
          <w:lang w:val="x-none"/>
        </w:rPr>
        <w:t xml:space="preserve">The number of workers subject to initial medical surveillance in the first year and periodic surveillance in each year </w:t>
      </w:r>
      <w:r>
        <w:rPr>
          <w:sz w:val="24"/>
          <w:szCs w:val="24"/>
        </w:rPr>
        <w:t>includes both</w:t>
      </w:r>
      <w:r>
        <w:rPr>
          <w:sz w:val="24"/>
          <w:szCs w:val="24"/>
          <w:lang w:val="x-none"/>
        </w:rPr>
        <w:t xml:space="preserve"> those who are over the AL and those showing signs and symptoms (of CBD or sensitization)</w:t>
      </w:r>
      <w:r>
        <w:rPr>
          <w:sz w:val="24"/>
          <w:szCs w:val="24"/>
        </w:rPr>
        <w:t>.</w:t>
      </w:r>
      <w:r>
        <w:rPr>
          <w:sz w:val="24"/>
          <w:szCs w:val="24"/>
          <w:lang w:val="x-none"/>
        </w:rPr>
        <w:t xml:space="preserve"> </w:t>
      </w:r>
    </w:p>
    <w:p w:rsidR="00E35242" w:rsidRDefault="00E35242" w:rsidP="00E35242">
      <w:pPr>
        <w:pStyle w:val="BodyTextFirstIndent"/>
        <w:ind w:firstLine="0"/>
        <w:rPr>
          <w:b/>
          <w:bCs/>
          <w:sz w:val="24"/>
          <w:szCs w:val="24"/>
          <w:lang w:val="x-none"/>
        </w:rPr>
      </w:pPr>
      <w:r>
        <w:rPr>
          <w:sz w:val="24"/>
          <w:szCs w:val="24"/>
        </w:rPr>
        <w:t xml:space="preserve">The medical surveillance for the number of exams is </w:t>
      </w:r>
      <w:r w:rsidR="00CD7B26">
        <w:rPr>
          <w:sz w:val="24"/>
          <w:szCs w:val="24"/>
        </w:rPr>
        <w:t>14,607</w:t>
      </w:r>
      <w:r>
        <w:rPr>
          <w:sz w:val="24"/>
          <w:szCs w:val="24"/>
        </w:rPr>
        <w:t xml:space="preserve">. </w:t>
      </w:r>
      <w:r>
        <w:rPr>
          <w:sz w:val="24"/>
          <w:szCs w:val="24"/>
          <w:lang w:val="x-none"/>
        </w:rPr>
        <w:t>OSHA estimated the examination</w:t>
      </w:r>
      <w:r>
        <w:rPr>
          <w:rStyle w:val="FootnoteReference"/>
          <w:lang w:val="x-none"/>
        </w:rPr>
        <w:footnoteReference w:customMarkFollows="1" w:id="14"/>
        <w:t>[13]</w:t>
      </w:r>
      <w:r>
        <w:rPr>
          <w:sz w:val="24"/>
          <w:szCs w:val="24"/>
          <w:lang w:val="x-none"/>
        </w:rPr>
        <w:t xml:space="preserve"> requires 125 minutes (or 2.08 hours) away from work for each employee each year to complete an initial medical examination.  This includes time for traveling, a health history review, the physical exam, a beryllium lymphocyte proliferation test (</w:t>
      </w:r>
      <w:proofErr w:type="spellStart"/>
      <w:r>
        <w:rPr>
          <w:sz w:val="24"/>
          <w:szCs w:val="24"/>
          <w:lang w:val="x-none"/>
        </w:rPr>
        <w:t>BeLPT</w:t>
      </w:r>
      <w:proofErr w:type="spellEnd"/>
      <w:r>
        <w:rPr>
          <w:sz w:val="24"/>
          <w:szCs w:val="24"/>
          <w:lang w:val="x-none"/>
        </w:rPr>
        <w:t>), the pulmonary function test</w:t>
      </w:r>
      <w:r>
        <w:rPr>
          <w:sz w:val="24"/>
          <w:szCs w:val="24"/>
        </w:rPr>
        <w:t xml:space="preserve">, </w:t>
      </w:r>
      <w:r>
        <w:rPr>
          <w:sz w:val="24"/>
          <w:szCs w:val="24"/>
        </w:rPr>
        <w:lastRenderedPageBreak/>
        <w:t>and employee time when the</w:t>
      </w:r>
      <w:r>
        <w:rPr>
          <w:sz w:val="24"/>
          <w:szCs w:val="24"/>
          <w:lang w:val="x-none"/>
        </w:rPr>
        <w:t xml:space="preserve"> PLHCP explain</w:t>
      </w:r>
      <w:r>
        <w:rPr>
          <w:sz w:val="24"/>
          <w:szCs w:val="24"/>
        </w:rPr>
        <w:t>s</w:t>
      </w:r>
      <w:r>
        <w:rPr>
          <w:sz w:val="24"/>
          <w:szCs w:val="24"/>
          <w:lang w:val="x-none"/>
        </w:rPr>
        <w:t xml:space="preserve"> the results of the medical examination to the employee</w:t>
      </w:r>
      <w:r>
        <w:rPr>
          <w:sz w:val="24"/>
          <w:szCs w:val="24"/>
        </w:rPr>
        <w:t xml:space="preserve">. </w:t>
      </w:r>
      <w:r>
        <w:rPr>
          <w:sz w:val="24"/>
          <w:szCs w:val="24"/>
          <w:lang w:val="x-none"/>
        </w:rPr>
        <w:t xml:space="preserve">Baseline non-compliance with this requirement is estimated to be </w:t>
      </w:r>
      <w:r>
        <w:rPr>
          <w:sz w:val="24"/>
          <w:szCs w:val="24"/>
        </w:rPr>
        <w:t>55</w:t>
      </w:r>
      <w:r>
        <w:rPr>
          <w:sz w:val="24"/>
          <w:szCs w:val="24"/>
          <w:lang w:val="x-none"/>
        </w:rPr>
        <w:t xml:space="preserve"> percent. The burden hours and annual cost associated with these provisions are:</w:t>
      </w:r>
    </w:p>
    <w:p w:rsidR="00E35242" w:rsidRDefault="00E35242" w:rsidP="00E35242">
      <w:pPr>
        <w:pStyle w:val="BurdenHoursCost"/>
        <w:ind w:left="0"/>
        <w:rPr>
          <w:i/>
          <w:iCs/>
        </w:rPr>
      </w:pPr>
      <w:r>
        <w:rPr>
          <w:i/>
          <w:iCs/>
        </w:rPr>
        <w:t>Annual Exams</w:t>
      </w:r>
    </w:p>
    <w:p w:rsidR="00E35242" w:rsidRDefault="00E35242" w:rsidP="00E35242">
      <w:pPr>
        <w:pStyle w:val="BurdenHoursCost"/>
      </w:pPr>
      <w:r>
        <w:rPr>
          <w:b/>
          <w:bCs/>
        </w:rPr>
        <w:t>Burden hours</w:t>
      </w:r>
      <w:r>
        <w:t xml:space="preserve">:  </w:t>
      </w:r>
      <w:r w:rsidR="00CD7B26">
        <w:t>14,607</w:t>
      </w:r>
      <w:r>
        <w:t xml:space="preserve"> (examinations) x 0.55 (non-compliance rate) × 2.08 (hours of Production Worker time) = </w:t>
      </w:r>
      <w:r w:rsidR="00CD7B26">
        <w:rPr>
          <w:b/>
          <w:bCs/>
        </w:rPr>
        <w:t>16,</w:t>
      </w:r>
      <w:r w:rsidR="009A4EED">
        <w:rPr>
          <w:b/>
          <w:bCs/>
        </w:rPr>
        <w:t>710</w:t>
      </w:r>
      <w:r>
        <w:rPr>
          <w:b/>
          <w:bCs/>
        </w:rPr>
        <w:t xml:space="preserve"> hours</w:t>
      </w:r>
    </w:p>
    <w:p w:rsidR="00E35242" w:rsidRDefault="00E35242" w:rsidP="00E35242">
      <w:pPr>
        <w:pStyle w:val="BurdenHoursCost"/>
        <w:rPr>
          <w:b/>
          <w:bCs/>
        </w:rPr>
      </w:pPr>
      <w:r>
        <w:rPr>
          <w:b/>
          <w:bCs/>
        </w:rPr>
        <w:t>Annual Cost</w:t>
      </w:r>
      <w:r>
        <w:t xml:space="preserve">:   </w:t>
      </w:r>
      <w:r w:rsidR="00CD7B26">
        <w:t>16,</w:t>
      </w:r>
      <w:r w:rsidR="00BF6B44">
        <w:t>710</w:t>
      </w:r>
      <w:r>
        <w:t xml:space="preserve"> hours × $24.16 (Production worker wage) = </w:t>
      </w:r>
      <w:r>
        <w:rPr>
          <w:b/>
          <w:bCs/>
        </w:rPr>
        <w:t>$</w:t>
      </w:r>
      <w:r w:rsidR="00CD7B26">
        <w:rPr>
          <w:b/>
          <w:bCs/>
        </w:rPr>
        <w:t>403,</w:t>
      </w:r>
      <w:r w:rsidR="00BF6B44">
        <w:rPr>
          <w:b/>
          <w:bCs/>
        </w:rPr>
        <w:t>714</w:t>
      </w:r>
    </w:p>
    <w:p w:rsidR="00E35242" w:rsidRDefault="00E35242" w:rsidP="00E35242">
      <w:pPr>
        <w:pStyle w:val="BurdenHoursCost"/>
        <w:ind w:left="0"/>
      </w:pPr>
      <w:r>
        <w:t>Note: The Agency estimates that 10 percent of the standard medical examinations will lead to further tests recommended by the PLHCP</w:t>
      </w:r>
      <w:r>
        <w:rPr>
          <w:rStyle w:val="FootnoteReference"/>
          <w:lang w:eastAsia="en-US"/>
        </w:rPr>
        <w:footnoteReference w:customMarkFollows="1" w:id="15"/>
        <w:t>[14]</w:t>
      </w:r>
      <w:r>
        <w:t xml:space="preserve"> and are included in the cost and time of the </w:t>
      </w:r>
      <w:r w:rsidR="00301399">
        <w:t>14,607</w:t>
      </w:r>
      <w:r>
        <w:t xml:space="preserve"> employees.  </w:t>
      </w:r>
    </w:p>
    <w:p w:rsidR="00E35242" w:rsidRDefault="00E35242" w:rsidP="00E35242">
      <w:pPr>
        <w:pStyle w:val="BurdenHoursCost"/>
        <w:ind w:left="0"/>
        <w:rPr>
          <w:i/>
          <w:iCs/>
        </w:rPr>
      </w:pPr>
      <w:r>
        <w:rPr>
          <w:i/>
          <w:iCs/>
        </w:rPr>
        <w:t>Referral exams</w:t>
      </w:r>
    </w:p>
    <w:p w:rsidR="00E35242" w:rsidRDefault="00E35242" w:rsidP="00E35242">
      <w:pPr>
        <w:pStyle w:val="BurdenHoursCost"/>
        <w:ind w:left="0"/>
      </w:pPr>
      <w:r>
        <w:t>§1910.1024 (k</w:t>
      </w:r>
      <w:proofErr w:type="gramStart"/>
      <w:r>
        <w:t>)(</w:t>
      </w:r>
      <w:proofErr w:type="gramEnd"/>
      <w:r>
        <w:t>7) --§ 1915.1024 (k)(7) --§ 1926.1124 (k)(7)</w:t>
      </w:r>
    </w:p>
    <w:p w:rsidR="00E35242" w:rsidRDefault="00E35242" w:rsidP="00E35242">
      <w:pPr>
        <w:rPr>
          <w:color w:val="000000"/>
        </w:rPr>
      </w:pPr>
      <w:r>
        <w:rPr>
          <w:color w:val="000000"/>
        </w:rPr>
        <w:t xml:space="preserve">The employer must provide an evaluation at no cost to the employee at a CBD diagnostic center that is mutually agreed upon by the employer and the employee. The examination must be provided within 30 days of; (A) The employer’s receipt of a physician’s written medical opinion to the employer that recommends referral to a CBD diagnostic center; or (B) The employee presenting to the employer a physician’s written medical report indicating that the employee has been confirmed positive or diagnosed with CBD, or recommending referral to a CBD diagnostic center. </w:t>
      </w:r>
    </w:p>
    <w:p w:rsidR="00E35242" w:rsidRDefault="00E35242" w:rsidP="00E35242">
      <w:pPr>
        <w:rPr>
          <w:color w:val="000000"/>
        </w:rPr>
      </w:pPr>
    </w:p>
    <w:p w:rsidR="00E35242" w:rsidRDefault="00E35242" w:rsidP="00E35242">
      <w:pPr>
        <w:pStyle w:val="iReg"/>
        <w:rPr>
          <w:i/>
          <w:iCs/>
        </w:rPr>
      </w:pPr>
      <w:r>
        <w:rPr>
          <w:i/>
          <w:iCs/>
        </w:rPr>
        <w:t>Referral exams to the CBD Diagnostic Center</w:t>
      </w:r>
      <w:r>
        <w:rPr>
          <w:b/>
          <w:bCs/>
          <w:i/>
          <w:iCs/>
        </w:rPr>
        <w:t xml:space="preserve"> --</w:t>
      </w:r>
      <w:r>
        <w:rPr>
          <w:i/>
          <w:iCs/>
        </w:rPr>
        <w:t>Traveling Workers</w:t>
      </w:r>
    </w:p>
    <w:p w:rsidR="00E35242" w:rsidRDefault="00E35242" w:rsidP="00E35242">
      <w:pPr>
        <w:rPr>
          <w:i/>
          <w:iCs/>
          <w:color w:val="000000"/>
        </w:rPr>
      </w:pPr>
    </w:p>
    <w:p w:rsidR="00E35242" w:rsidRDefault="00E35242" w:rsidP="00E35242">
      <w:pPr>
        <w:pStyle w:val="BurdenHoursCost"/>
        <w:ind w:left="0"/>
      </w:pPr>
      <w:r>
        <w:t xml:space="preserve">The estimated annual number of </w:t>
      </w:r>
      <w:r w:rsidR="00577B86">
        <w:t xml:space="preserve">referrals that will require traveling more than a day </w:t>
      </w:r>
      <w:r>
        <w:t>to the CBD diagnostic center is 690. It will take 24 hours and 15 minutes for each employee to travel by plane to the center and complete the</w:t>
      </w:r>
      <w:r>
        <w:rPr>
          <w:i/>
          <w:iCs/>
        </w:rPr>
        <w:t xml:space="preserve"> </w:t>
      </w:r>
      <w:r>
        <w:t>medical examination.</w:t>
      </w:r>
    </w:p>
    <w:p w:rsidR="00E35242" w:rsidRPr="0046031D" w:rsidRDefault="00E35242" w:rsidP="00E35242">
      <w:pPr>
        <w:pStyle w:val="BodyTextFirstIndent"/>
        <w:rPr>
          <w:b/>
          <w:sz w:val="24"/>
          <w:szCs w:val="24"/>
        </w:rPr>
      </w:pPr>
      <w:r>
        <w:rPr>
          <w:b/>
          <w:bCs/>
          <w:sz w:val="24"/>
          <w:szCs w:val="24"/>
          <w:lang w:val="x-none"/>
        </w:rPr>
        <w:t>Burden hours</w:t>
      </w:r>
      <w:r>
        <w:rPr>
          <w:sz w:val="24"/>
          <w:szCs w:val="24"/>
          <w:lang w:val="x-none"/>
        </w:rPr>
        <w:t xml:space="preserve">: </w:t>
      </w:r>
      <w:r>
        <w:rPr>
          <w:sz w:val="24"/>
          <w:szCs w:val="24"/>
        </w:rPr>
        <w:t>690 referrals traveling</w:t>
      </w:r>
      <w:r>
        <w:rPr>
          <w:sz w:val="24"/>
          <w:szCs w:val="24"/>
          <w:lang w:val="x-none"/>
        </w:rPr>
        <w:t xml:space="preserve"> x 1</w:t>
      </w:r>
      <w:r>
        <w:rPr>
          <w:sz w:val="24"/>
          <w:szCs w:val="24"/>
        </w:rPr>
        <w:t xml:space="preserve"> (non-compliance)</w:t>
      </w:r>
      <w:r>
        <w:rPr>
          <w:sz w:val="24"/>
          <w:szCs w:val="24"/>
          <w:lang w:val="x-none"/>
        </w:rPr>
        <w:t xml:space="preserve"> x </w:t>
      </w:r>
      <w:r>
        <w:rPr>
          <w:sz w:val="24"/>
          <w:szCs w:val="24"/>
        </w:rPr>
        <w:t>24.25</w:t>
      </w:r>
      <w:r>
        <w:rPr>
          <w:sz w:val="24"/>
          <w:szCs w:val="24"/>
          <w:lang w:val="x-none"/>
        </w:rPr>
        <w:t xml:space="preserve"> hours = </w:t>
      </w:r>
      <w:r w:rsidRPr="0046031D">
        <w:rPr>
          <w:b/>
          <w:sz w:val="24"/>
          <w:szCs w:val="24"/>
        </w:rPr>
        <w:t>16,733</w:t>
      </w:r>
      <w:r w:rsidRPr="0046031D">
        <w:rPr>
          <w:b/>
          <w:sz w:val="24"/>
          <w:szCs w:val="24"/>
          <w:lang w:val="x-none"/>
        </w:rPr>
        <w:t xml:space="preserve"> hours</w:t>
      </w:r>
    </w:p>
    <w:p w:rsidR="00E35242" w:rsidRDefault="00E35242" w:rsidP="00E35242">
      <w:pPr>
        <w:pStyle w:val="BodyTextFirstIndent"/>
        <w:rPr>
          <w:sz w:val="24"/>
          <w:szCs w:val="24"/>
        </w:rPr>
      </w:pPr>
      <w:r>
        <w:rPr>
          <w:b/>
          <w:bCs/>
          <w:sz w:val="24"/>
          <w:szCs w:val="24"/>
          <w:lang w:val="x-none"/>
        </w:rPr>
        <w:t>Cost</w:t>
      </w:r>
      <w:r>
        <w:rPr>
          <w:sz w:val="24"/>
          <w:szCs w:val="24"/>
          <w:lang w:val="x-none"/>
        </w:rPr>
        <w:t xml:space="preserve">: </w:t>
      </w:r>
      <w:r>
        <w:rPr>
          <w:sz w:val="24"/>
          <w:szCs w:val="24"/>
        </w:rPr>
        <w:t>16,733</w:t>
      </w:r>
      <w:r>
        <w:rPr>
          <w:sz w:val="24"/>
          <w:szCs w:val="24"/>
          <w:lang w:val="x-none"/>
        </w:rPr>
        <w:t xml:space="preserve"> hours x </w:t>
      </w:r>
      <w:r>
        <w:rPr>
          <w:sz w:val="24"/>
          <w:szCs w:val="24"/>
        </w:rPr>
        <w:t>$24.16</w:t>
      </w:r>
      <w:r>
        <w:rPr>
          <w:sz w:val="24"/>
          <w:szCs w:val="24"/>
          <w:lang w:val="x-none"/>
        </w:rPr>
        <w:t xml:space="preserve"> (</w:t>
      </w:r>
      <w:r>
        <w:rPr>
          <w:sz w:val="24"/>
          <w:szCs w:val="24"/>
        </w:rPr>
        <w:t>P</w:t>
      </w:r>
      <w:proofErr w:type="spellStart"/>
      <w:r>
        <w:rPr>
          <w:sz w:val="24"/>
          <w:szCs w:val="24"/>
          <w:lang w:val="x-none"/>
        </w:rPr>
        <w:t>roduction</w:t>
      </w:r>
      <w:proofErr w:type="spellEnd"/>
      <w:r>
        <w:rPr>
          <w:sz w:val="24"/>
          <w:szCs w:val="24"/>
          <w:lang w:val="x-none"/>
        </w:rPr>
        <w:t xml:space="preserve"> worker wage) = $</w:t>
      </w:r>
      <w:r>
        <w:rPr>
          <w:sz w:val="24"/>
          <w:szCs w:val="24"/>
        </w:rPr>
        <w:t>404,269</w:t>
      </w:r>
    </w:p>
    <w:p w:rsidR="00E35242" w:rsidRDefault="00E35242" w:rsidP="00E35242">
      <w:pPr>
        <w:pStyle w:val="iReg"/>
        <w:rPr>
          <w:i/>
          <w:iCs/>
        </w:rPr>
      </w:pPr>
      <w:r>
        <w:rPr>
          <w:i/>
          <w:iCs/>
        </w:rPr>
        <w:t>Referral exams to the CBD Diagnostic Center</w:t>
      </w:r>
      <w:r>
        <w:rPr>
          <w:b/>
          <w:bCs/>
          <w:i/>
          <w:iCs/>
        </w:rPr>
        <w:t xml:space="preserve"> –</w:t>
      </w:r>
      <w:r>
        <w:rPr>
          <w:i/>
          <w:iCs/>
        </w:rPr>
        <w:t>Non-Traveling Workers</w:t>
      </w:r>
    </w:p>
    <w:p w:rsidR="00E35242" w:rsidRDefault="00E35242" w:rsidP="00E35242">
      <w:pPr>
        <w:pStyle w:val="BurdenHoursCost"/>
        <w:ind w:left="0"/>
      </w:pPr>
      <w:r>
        <w:t>The estimated annual number of referrals exams</w:t>
      </w:r>
      <w:r w:rsidR="00577B86">
        <w:t xml:space="preserve"> taking less than a day to travel</w:t>
      </w:r>
      <w:r>
        <w:t xml:space="preserve"> to the CBD diagnostic center is 230. It will take 4 hours and 15 minutes for each employee to travel to the center in town and complete the</w:t>
      </w:r>
      <w:r>
        <w:rPr>
          <w:i/>
          <w:iCs/>
        </w:rPr>
        <w:t xml:space="preserve"> </w:t>
      </w:r>
      <w:r>
        <w:t>medical examination.</w:t>
      </w:r>
    </w:p>
    <w:p w:rsidR="00E35242" w:rsidRDefault="00E35242" w:rsidP="00E35242">
      <w:pPr>
        <w:pStyle w:val="BodyTextFirstIndent"/>
        <w:rPr>
          <w:sz w:val="24"/>
          <w:szCs w:val="24"/>
        </w:rPr>
      </w:pPr>
      <w:r>
        <w:rPr>
          <w:b/>
          <w:bCs/>
          <w:sz w:val="24"/>
          <w:szCs w:val="24"/>
          <w:lang w:val="x-none"/>
        </w:rPr>
        <w:lastRenderedPageBreak/>
        <w:t>Burden hours</w:t>
      </w:r>
      <w:r>
        <w:rPr>
          <w:sz w:val="24"/>
          <w:szCs w:val="24"/>
          <w:lang w:val="x-none"/>
        </w:rPr>
        <w:t xml:space="preserve">: </w:t>
      </w:r>
      <w:r>
        <w:rPr>
          <w:sz w:val="24"/>
          <w:szCs w:val="24"/>
        </w:rPr>
        <w:t>230 referrals non travel</w:t>
      </w:r>
      <w:r>
        <w:rPr>
          <w:sz w:val="24"/>
          <w:szCs w:val="24"/>
          <w:lang w:val="x-none"/>
        </w:rPr>
        <w:t xml:space="preserve"> x 1</w:t>
      </w:r>
      <w:r>
        <w:rPr>
          <w:sz w:val="24"/>
          <w:szCs w:val="24"/>
        </w:rPr>
        <w:t>(non-compliance)</w:t>
      </w:r>
      <w:r>
        <w:rPr>
          <w:sz w:val="24"/>
          <w:szCs w:val="24"/>
          <w:lang w:val="x-none"/>
        </w:rPr>
        <w:t xml:space="preserve"> x </w:t>
      </w:r>
      <w:r>
        <w:rPr>
          <w:sz w:val="24"/>
          <w:szCs w:val="24"/>
        </w:rPr>
        <w:t>4</w:t>
      </w:r>
      <w:r>
        <w:rPr>
          <w:sz w:val="24"/>
          <w:szCs w:val="24"/>
          <w:lang w:val="x-none"/>
        </w:rPr>
        <w:t>.</w:t>
      </w:r>
      <w:r>
        <w:rPr>
          <w:sz w:val="24"/>
          <w:szCs w:val="24"/>
        </w:rPr>
        <w:t>25</w:t>
      </w:r>
      <w:r>
        <w:rPr>
          <w:sz w:val="24"/>
          <w:szCs w:val="24"/>
          <w:lang w:val="x-none"/>
        </w:rPr>
        <w:t xml:space="preserve"> hours </w:t>
      </w:r>
      <w:r w:rsidRPr="0046031D">
        <w:rPr>
          <w:b/>
          <w:sz w:val="24"/>
          <w:szCs w:val="24"/>
          <w:lang w:val="x-none"/>
        </w:rPr>
        <w:t xml:space="preserve">= </w:t>
      </w:r>
      <w:r w:rsidRPr="0046031D">
        <w:rPr>
          <w:b/>
          <w:sz w:val="24"/>
          <w:szCs w:val="24"/>
        </w:rPr>
        <w:t>978</w:t>
      </w:r>
      <w:r w:rsidRPr="0046031D">
        <w:rPr>
          <w:b/>
          <w:sz w:val="24"/>
          <w:szCs w:val="24"/>
          <w:lang w:val="x-none"/>
        </w:rPr>
        <w:t xml:space="preserve"> hours</w:t>
      </w:r>
    </w:p>
    <w:p w:rsidR="00E35242" w:rsidRDefault="00E35242" w:rsidP="00E35242">
      <w:pPr>
        <w:pStyle w:val="BodyTextFirstIndent"/>
        <w:rPr>
          <w:sz w:val="24"/>
          <w:szCs w:val="24"/>
        </w:rPr>
      </w:pPr>
      <w:r>
        <w:rPr>
          <w:b/>
          <w:bCs/>
          <w:sz w:val="24"/>
          <w:szCs w:val="24"/>
          <w:lang w:val="x-none"/>
        </w:rPr>
        <w:t>Cost</w:t>
      </w:r>
      <w:r>
        <w:rPr>
          <w:sz w:val="24"/>
          <w:szCs w:val="24"/>
          <w:lang w:val="x-none"/>
        </w:rPr>
        <w:t xml:space="preserve">: </w:t>
      </w:r>
      <w:r>
        <w:rPr>
          <w:sz w:val="24"/>
          <w:szCs w:val="24"/>
        </w:rPr>
        <w:t>978</w:t>
      </w:r>
      <w:r>
        <w:rPr>
          <w:sz w:val="24"/>
          <w:szCs w:val="24"/>
          <w:lang w:val="x-none"/>
        </w:rPr>
        <w:t xml:space="preserve"> hours x </w:t>
      </w:r>
      <w:r>
        <w:rPr>
          <w:sz w:val="24"/>
          <w:szCs w:val="24"/>
        </w:rPr>
        <w:t xml:space="preserve">$24.16 </w:t>
      </w:r>
      <w:r>
        <w:rPr>
          <w:sz w:val="24"/>
          <w:szCs w:val="24"/>
          <w:lang w:val="x-none"/>
        </w:rPr>
        <w:t>(</w:t>
      </w:r>
      <w:r>
        <w:rPr>
          <w:sz w:val="24"/>
          <w:szCs w:val="24"/>
        </w:rPr>
        <w:t>P</w:t>
      </w:r>
      <w:proofErr w:type="spellStart"/>
      <w:r w:rsidR="000A5922">
        <w:rPr>
          <w:sz w:val="24"/>
          <w:szCs w:val="24"/>
          <w:lang w:val="x-none"/>
        </w:rPr>
        <w:t>roduction</w:t>
      </w:r>
      <w:proofErr w:type="spellEnd"/>
      <w:r>
        <w:rPr>
          <w:sz w:val="24"/>
          <w:szCs w:val="24"/>
          <w:lang w:val="x-none"/>
        </w:rPr>
        <w:t xml:space="preserve"> worker wage) = $</w:t>
      </w:r>
      <w:r>
        <w:rPr>
          <w:sz w:val="24"/>
          <w:szCs w:val="24"/>
        </w:rPr>
        <w:t>23,628</w:t>
      </w:r>
    </w:p>
    <w:p w:rsidR="00E35242" w:rsidRDefault="00E35242" w:rsidP="00E35242">
      <w:pPr>
        <w:pStyle w:val="Heading4"/>
        <w:numPr>
          <w:ilvl w:val="3"/>
          <w:numId w:val="3"/>
        </w:numPr>
        <w:rPr>
          <w:lang w:val="x-none"/>
        </w:rPr>
      </w:pPr>
      <w:r>
        <w:rPr>
          <w:lang w:val="x-none"/>
        </w:rPr>
        <w:t xml:space="preserve">Information Provided to the PLHCP </w:t>
      </w:r>
    </w:p>
    <w:p w:rsidR="00E35242" w:rsidRDefault="00E35242" w:rsidP="00E35242">
      <w:pPr>
        <w:rPr>
          <w:b/>
          <w:bCs/>
        </w:rPr>
      </w:pPr>
      <w:r>
        <w:rPr>
          <w:b/>
          <w:bCs/>
        </w:rPr>
        <w:t>§1910.1024 (k</w:t>
      </w:r>
      <w:proofErr w:type="gramStart"/>
      <w:r>
        <w:rPr>
          <w:b/>
          <w:bCs/>
        </w:rPr>
        <w:t>)(</w:t>
      </w:r>
      <w:proofErr w:type="gramEnd"/>
      <w:r>
        <w:rPr>
          <w:b/>
          <w:bCs/>
        </w:rPr>
        <w:t>4)--  Medical Surveillance-- Information Provided to the PLHCP.</w:t>
      </w:r>
    </w:p>
    <w:p w:rsidR="00E35242" w:rsidRDefault="00E35242" w:rsidP="00E35242">
      <w:pPr>
        <w:rPr>
          <w:u w:val="single"/>
        </w:rPr>
      </w:pPr>
    </w:p>
    <w:p w:rsidR="00E35242" w:rsidRDefault="00E35242" w:rsidP="00E35242">
      <w:pPr>
        <w:rPr>
          <w:u w:val="single"/>
        </w:rPr>
      </w:pPr>
      <w:r>
        <w:t>(4)The employer must ensure that the examining PLHCP (and the agreed-upon CBD diagnostic center, if an evaluation is required under paragraph (k</w:t>
      </w:r>
      <w:proofErr w:type="gramStart"/>
      <w:r>
        <w:t>)(</w:t>
      </w:r>
      <w:proofErr w:type="gramEnd"/>
      <w:r>
        <w:t>7) of this standard) has a copy of this standard and must provide the following information, if known:</w:t>
      </w:r>
    </w:p>
    <w:p w:rsidR="00E35242" w:rsidRDefault="00E35242" w:rsidP="00E35242"/>
    <w:p w:rsidR="00E35242" w:rsidRDefault="00E35242" w:rsidP="00E35242">
      <w:r>
        <w:t>(</w:t>
      </w:r>
      <w:proofErr w:type="spellStart"/>
      <w:r>
        <w:t>i</w:t>
      </w:r>
      <w:proofErr w:type="spellEnd"/>
      <w:r>
        <w:t>) A description of the employee’s former and current duties that relate to the employee’s airborne exposure to and dermal contact with beryllium;</w:t>
      </w:r>
    </w:p>
    <w:p w:rsidR="00E35242" w:rsidRDefault="00E35242" w:rsidP="00E35242"/>
    <w:p w:rsidR="00E35242" w:rsidRDefault="00E35242" w:rsidP="00E35242">
      <w:r>
        <w:t>(ii) The employee’s former and current levels of airborne exposure;</w:t>
      </w:r>
    </w:p>
    <w:p w:rsidR="00E35242" w:rsidRDefault="00E35242" w:rsidP="00E35242"/>
    <w:p w:rsidR="00E35242" w:rsidRDefault="00E35242" w:rsidP="00E35242">
      <w:r>
        <w:t>(iii) A description of any personal protective clothing and equipment, including respirators, used by the employee, including when and for how long the employee has used that personal protective clothing and equipment; and</w:t>
      </w:r>
    </w:p>
    <w:p w:rsidR="00E35242" w:rsidRDefault="00E35242" w:rsidP="00E35242"/>
    <w:p w:rsidR="00E35242" w:rsidRDefault="00E35242" w:rsidP="00E35242">
      <w:proofErr w:type="gramStart"/>
      <w:r>
        <w:t>(iv) Information</w:t>
      </w:r>
      <w:proofErr w:type="gramEnd"/>
      <w:r>
        <w:t xml:space="preserve"> from records of employment-related medical examinations previously provided to the employee, currently within the control of the employer, after obtaining written consent from the employee.</w:t>
      </w:r>
    </w:p>
    <w:p w:rsidR="00E35242" w:rsidRDefault="00E35242" w:rsidP="00E35242"/>
    <w:p w:rsidR="00E35242" w:rsidRDefault="00E35242" w:rsidP="00E35242">
      <w:pPr>
        <w:pStyle w:val="BodyTextFirstIndent"/>
        <w:ind w:firstLine="0"/>
        <w:rPr>
          <w:sz w:val="24"/>
          <w:szCs w:val="24"/>
          <w:lang w:val="x-none"/>
        </w:rPr>
      </w:pPr>
      <w:r>
        <w:rPr>
          <w:sz w:val="24"/>
          <w:szCs w:val="24"/>
          <w:lang w:val="x-none"/>
        </w:rPr>
        <w:t>In the standard, the employer must ensure that the examining PLHCP</w:t>
      </w:r>
      <w:r w:rsidR="000470E9">
        <w:rPr>
          <w:sz w:val="24"/>
          <w:szCs w:val="24"/>
        </w:rPr>
        <w:t xml:space="preserve"> </w:t>
      </w:r>
      <w:r>
        <w:rPr>
          <w:sz w:val="24"/>
          <w:szCs w:val="24"/>
        </w:rPr>
        <w:t>(and the agreed-upon CBD diagnostic center, if an evaluation is required under paragraph (k)(7) of this standard)</w:t>
      </w:r>
      <w:r>
        <w:rPr>
          <w:sz w:val="24"/>
          <w:szCs w:val="24"/>
          <w:lang w:val="x-none"/>
        </w:rPr>
        <w:t xml:space="preserve">  has </w:t>
      </w:r>
      <w:r>
        <w:rPr>
          <w:sz w:val="24"/>
          <w:szCs w:val="24"/>
        </w:rPr>
        <w:t>a</w:t>
      </w:r>
      <w:r>
        <w:rPr>
          <w:sz w:val="24"/>
          <w:szCs w:val="24"/>
          <w:lang w:val="x-none"/>
        </w:rPr>
        <w:t xml:space="preserve"> copy of this standard and shall provide the following information, if known: a description of the employee’s former and current duties that relate to the employee’s occupational exposure; the employee’s former and current levels of occupational exposure; a description of any </w:t>
      </w:r>
      <w:r>
        <w:rPr>
          <w:sz w:val="24"/>
          <w:szCs w:val="24"/>
        </w:rPr>
        <w:t xml:space="preserve">personal </w:t>
      </w:r>
      <w:r>
        <w:rPr>
          <w:sz w:val="24"/>
          <w:szCs w:val="24"/>
          <w:lang w:val="x-none"/>
        </w:rPr>
        <w:t>protective clothing and equipment, including respirators, used by the employee, including when and for how long the employee has used that</w:t>
      </w:r>
      <w:r>
        <w:rPr>
          <w:sz w:val="24"/>
          <w:szCs w:val="24"/>
        </w:rPr>
        <w:t xml:space="preserve"> personal</w:t>
      </w:r>
      <w:r>
        <w:rPr>
          <w:sz w:val="24"/>
          <w:szCs w:val="24"/>
          <w:lang w:val="x-none"/>
        </w:rPr>
        <w:t xml:space="preserve"> protective clothing and equipment; and information from records of employment-related medical examinations previously provided to the employee, currently within the control of the employer, after obtaining a medical release from the employee.</w:t>
      </w:r>
    </w:p>
    <w:p w:rsidR="00E35242" w:rsidRDefault="00E35242" w:rsidP="00E35242">
      <w:pPr>
        <w:pStyle w:val="BodyTextFirstIndent"/>
        <w:ind w:firstLine="0"/>
        <w:rPr>
          <w:sz w:val="24"/>
          <w:szCs w:val="24"/>
          <w:lang w:val="x-none"/>
        </w:rPr>
      </w:pPr>
      <w:r>
        <w:rPr>
          <w:sz w:val="24"/>
          <w:szCs w:val="24"/>
          <w:lang w:val="x-none"/>
        </w:rPr>
        <w:t>OSHA estimate</w:t>
      </w:r>
      <w:r>
        <w:rPr>
          <w:sz w:val="24"/>
          <w:szCs w:val="24"/>
        </w:rPr>
        <w:t>s</w:t>
      </w:r>
      <w:r>
        <w:rPr>
          <w:sz w:val="24"/>
          <w:szCs w:val="24"/>
          <w:lang w:val="x-none"/>
        </w:rPr>
        <w:t xml:space="preserve"> that it will take 15 minutes (.25 hours) of a Supervisor’s time to gather and</w:t>
      </w:r>
      <w:r>
        <w:rPr>
          <w:sz w:val="24"/>
          <w:szCs w:val="24"/>
        </w:rPr>
        <w:t xml:space="preserve"> provide the </w:t>
      </w:r>
      <w:r>
        <w:rPr>
          <w:sz w:val="24"/>
          <w:szCs w:val="24"/>
          <w:lang w:val="x-none"/>
        </w:rPr>
        <w:t xml:space="preserve">information needed for the PLHCP. Baseline non-compliance with this requirement is estimated to be </w:t>
      </w:r>
      <w:r>
        <w:rPr>
          <w:sz w:val="24"/>
          <w:szCs w:val="24"/>
        </w:rPr>
        <w:t>55</w:t>
      </w:r>
      <w:r>
        <w:rPr>
          <w:sz w:val="24"/>
          <w:szCs w:val="24"/>
          <w:lang w:val="x-none"/>
        </w:rPr>
        <w:t xml:space="preserve"> percent.</w:t>
      </w:r>
    </w:p>
    <w:p w:rsidR="00E35242" w:rsidRPr="00D014CD" w:rsidRDefault="00E35242" w:rsidP="00E35242">
      <w:pPr>
        <w:pStyle w:val="BurdenHoursCost"/>
      </w:pPr>
      <w:r>
        <w:rPr>
          <w:b/>
          <w:bCs/>
        </w:rPr>
        <w:t>Burden hours</w:t>
      </w:r>
      <w:r>
        <w:t xml:space="preserve">:  </w:t>
      </w:r>
      <w:r w:rsidR="00CD7B26">
        <w:t>14,607</w:t>
      </w:r>
      <w:r>
        <w:t xml:space="preserve"> (employees) </w:t>
      </w:r>
      <w:r>
        <w:rPr>
          <w:rFonts w:ascii="Symbol" w:hAnsi="Symbol"/>
        </w:rPr>
        <w:t></w:t>
      </w:r>
      <w:r>
        <w:t xml:space="preserve"> 0.55 (non-compliance rate) </w:t>
      </w:r>
      <w:r>
        <w:rPr>
          <w:rFonts w:ascii="Symbol" w:hAnsi="Symbol"/>
        </w:rPr>
        <w:t></w:t>
      </w:r>
      <w:r>
        <w:t xml:space="preserve"> 0.25 (hours of Supervisor time) = </w:t>
      </w:r>
      <w:r w:rsidR="00CD7B26" w:rsidRPr="0046031D">
        <w:rPr>
          <w:b/>
        </w:rPr>
        <w:t>2,</w:t>
      </w:r>
      <w:r w:rsidR="009A4EED">
        <w:rPr>
          <w:b/>
        </w:rPr>
        <w:t>008</w:t>
      </w:r>
      <w:r w:rsidRPr="00D014CD">
        <w:rPr>
          <w:b/>
          <w:bCs/>
        </w:rPr>
        <w:t xml:space="preserve"> </w:t>
      </w:r>
      <w:r w:rsidRPr="00577B86">
        <w:rPr>
          <w:b/>
          <w:bCs/>
        </w:rPr>
        <w:t>hours</w:t>
      </w:r>
    </w:p>
    <w:p w:rsidR="00E35242" w:rsidRDefault="00E35242" w:rsidP="00E35242">
      <w:pPr>
        <w:pStyle w:val="BurdenHoursCost"/>
      </w:pPr>
      <w:r>
        <w:rPr>
          <w:b/>
          <w:bCs/>
        </w:rPr>
        <w:t>Annual Cost</w:t>
      </w:r>
      <w:r>
        <w:t>:  2,</w:t>
      </w:r>
      <w:r w:rsidR="00BF6B44">
        <w:t>008</w:t>
      </w:r>
      <w:r>
        <w:t xml:space="preserve"> (hours) </w:t>
      </w:r>
      <w:r>
        <w:rPr>
          <w:rFonts w:ascii="Symbol" w:hAnsi="Symbol"/>
        </w:rPr>
        <w:t></w:t>
      </w:r>
      <w:r>
        <w:t xml:space="preserve"> $41.08 (Supervisor wage) = </w:t>
      </w:r>
      <w:r>
        <w:rPr>
          <w:b/>
          <w:bCs/>
        </w:rPr>
        <w:t>$</w:t>
      </w:r>
      <w:r w:rsidR="00CD7B26">
        <w:rPr>
          <w:b/>
          <w:bCs/>
        </w:rPr>
        <w:t>82,</w:t>
      </w:r>
      <w:r w:rsidR="00BF6B44">
        <w:rPr>
          <w:b/>
          <w:bCs/>
        </w:rPr>
        <w:t>489</w:t>
      </w:r>
    </w:p>
    <w:p w:rsidR="00E35242" w:rsidRDefault="00E35242" w:rsidP="00E35242">
      <w:pPr>
        <w:pStyle w:val="Heading4"/>
        <w:numPr>
          <w:ilvl w:val="3"/>
          <w:numId w:val="3"/>
        </w:numPr>
        <w:rPr>
          <w:lang w:val="x-none"/>
        </w:rPr>
      </w:pPr>
      <w:r>
        <w:rPr>
          <w:lang w:val="x-none"/>
        </w:rPr>
        <w:lastRenderedPageBreak/>
        <w:t>Licensed Physician’s Written Medical Opinion for the Employer</w:t>
      </w:r>
    </w:p>
    <w:p w:rsidR="00E35242" w:rsidRDefault="00E35242" w:rsidP="00E35242">
      <w:pPr>
        <w:pStyle w:val="iReg"/>
      </w:pPr>
      <w:r>
        <w:rPr>
          <w:b/>
          <w:bCs/>
        </w:rPr>
        <w:t>§1910.1024 (k</w:t>
      </w:r>
      <w:proofErr w:type="gramStart"/>
      <w:r>
        <w:rPr>
          <w:b/>
          <w:bCs/>
        </w:rPr>
        <w:t>)(</w:t>
      </w:r>
      <w:proofErr w:type="gramEnd"/>
      <w:r>
        <w:rPr>
          <w:b/>
          <w:bCs/>
        </w:rPr>
        <w:t xml:space="preserve">6) --§ 1915.1024 (k)(6) --§ 1926.1124 (k)(6) -- Medical Surveillance--   </w:t>
      </w:r>
      <w:r>
        <w:t> </w:t>
      </w:r>
      <w:r>
        <w:rPr>
          <w:b/>
          <w:bCs/>
        </w:rPr>
        <w:t>Licensed Physician’s Written Medical Opinion for the Employer.</w:t>
      </w:r>
    </w:p>
    <w:p w:rsidR="00E35242" w:rsidRDefault="00E35242" w:rsidP="00E35242">
      <w:pPr>
        <w:pStyle w:val="Default"/>
        <w:rPr>
          <w:color w:val="auto"/>
        </w:rPr>
      </w:pPr>
    </w:p>
    <w:p w:rsidR="00E35242" w:rsidRDefault="00216DCB" w:rsidP="00E35242">
      <w:r>
        <w:t>P</w:t>
      </w:r>
      <w:r w:rsidR="00E35242">
        <w:t>aragraph (k</w:t>
      </w:r>
      <w:proofErr w:type="gramStart"/>
      <w:r w:rsidR="00E35242">
        <w:t>)(</w:t>
      </w:r>
      <w:proofErr w:type="gramEnd"/>
      <w:r w:rsidR="00E35242">
        <w:t xml:space="preserve">6) requires the employer to obtain a written medical opinion from the licensed physician within 45 days of the medical examination (including any follow-up </w:t>
      </w:r>
      <w:proofErr w:type="spellStart"/>
      <w:r w:rsidR="00E35242">
        <w:t>BeLPT</w:t>
      </w:r>
      <w:proofErr w:type="spellEnd"/>
      <w:r w:rsidR="00E35242">
        <w:t xml:space="preserve"> required under paragraph (k)(3)(ii)(E) of this standard). </w:t>
      </w:r>
    </w:p>
    <w:p w:rsidR="00E35242" w:rsidRDefault="00E35242" w:rsidP="00E35242"/>
    <w:p w:rsidR="00E35242" w:rsidRDefault="00E35242" w:rsidP="00E35242">
      <w:pPr>
        <w:pStyle w:val="BodyTextFirstIndent"/>
        <w:ind w:firstLine="0"/>
        <w:rPr>
          <w:sz w:val="24"/>
          <w:szCs w:val="24"/>
          <w:lang w:val="x-none"/>
        </w:rPr>
      </w:pPr>
      <w:r>
        <w:rPr>
          <w:sz w:val="24"/>
          <w:szCs w:val="24"/>
          <w:lang w:val="x-none"/>
        </w:rPr>
        <w:t xml:space="preserve">There are </w:t>
      </w:r>
      <w:r w:rsidR="00CD7B26">
        <w:rPr>
          <w:sz w:val="24"/>
          <w:szCs w:val="24"/>
        </w:rPr>
        <w:t>14,607</w:t>
      </w:r>
      <w:r>
        <w:rPr>
          <w:sz w:val="24"/>
          <w:szCs w:val="24"/>
          <w:lang w:val="x-none"/>
        </w:rPr>
        <w:t xml:space="preserve"> affected employees that the employer will need to provide a copy of the licensed physician’s written opinion.  OSHA estimates that it will take 5 minutes (0.08 hour) of a Supervisor’s time to provide a copy of the information to the employee. Baseline non-compliance with this requirement is estimated to be </w:t>
      </w:r>
      <w:r>
        <w:rPr>
          <w:sz w:val="24"/>
          <w:szCs w:val="24"/>
        </w:rPr>
        <w:t>55</w:t>
      </w:r>
      <w:r>
        <w:rPr>
          <w:sz w:val="24"/>
          <w:szCs w:val="24"/>
          <w:lang w:val="x-none"/>
        </w:rPr>
        <w:t xml:space="preserve"> percent.</w:t>
      </w:r>
    </w:p>
    <w:p w:rsidR="00E35242" w:rsidRDefault="00E35242" w:rsidP="00E35242">
      <w:pPr>
        <w:pStyle w:val="Default"/>
        <w:rPr>
          <w:i/>
          <w:iCs/>
          <w:color w:val="auto"/>
        </w:rPr>
      </w:pPr>
      <w:r>
        <w:rPr>
          <w:i/>
          <w:iCs/>
          <w:color w:val="auto"/>
        </w:rPr>
        <w:t>Supervisor:</w:t>
      </w:r>
    </w:p>
    <w:p w:rsidR="00E35242" w:rsidRDefault="00E35242" w:rsidP="00E35242">
      <w:pPr>
        <w:pStyle w:val="Default"/>
        <w:rPr>
          <w:color w:val="auto"/>
        </w:rPr>
      </w:pPr>
    </w:p>
    <w:p w:rsidR="00E35242" w:rsidRDefault="00E35242" w:rsidP="00E35242">
      <w:pPr>
        <w:pStyle w:val="BurdenHoursCost"/>
      </w:pPr>
      <w:r>
        <w:rPr>
          <w:b/>
          <w:bCs/>
        </w:rPr>
        <w:t>Burden hours</w:t>
      </w:r>
      <w:r>
        <w:t xml:space="preserve">:  </w:t>
      </w:r>
      <w:r w:rsidR="00CD7B26">
        <w:t>14,607</w:t>
      </w:r>
      <w:r>
        <w:t xml:space="preserve"> (employees) </w:t>
      </w:r>
      <w:r>
        <w:rPr>
          <w:rFonts w:ascii="Symbol" w:hAnsi="Symbol"/>
        </w:rPr>
        <w:t></w:t>
      </w:r>
      <w:r>
        <w:t xml:space="preserve"> 0.55 (non-compliance rate) </w:t>
      </w:r>
      <w:r>
        <w:rPr>
          <w:rFonts w:ascii="Symbol" w:hAnsi="Symbol"/>
        </w:rPr>
        <w:t></w:t>
      </w:r>
      <w:r>
        <w:t xml:space="preserve"> 0.08 (hours of Supervisor time) =</w:t>
      </w:r>
      <w:r>
        <w:rPr>
          <w:b/>
          <w:bCs/>
        </w:rPr>
        <w:t xml:space="preserve"> </w:t>
      </w:r>
      <w:r w:rsidR="00C96D7C">
        <w:rPr>
          <w:b/>
          <w:bCs/>
        </w:rPr>
        <w:t>643</w:t>
      </w:r>
      <w:r>
        <w:rPr>
          <w:b/>
          <w:bCs/>
        </w:rPr>
        <w:t xml:space="preserve"> hours</w:t>
      </w:r>
    </w:p>
    <w:p w:rsidR="00E35242" w:rsidRDefault="00E35242" w:rsidP="00E35242">
      <w:pPr>
        <w:pStyle w:val="BurdenHoursCost"/>
        <w:rPr>
          <w:b/>
          <w:bCs/>
        </w:rPr>
      </w:pPr>
      <w:r>
        <w:rPr>
          <w:b/>
          <w:bCs/>
        </w:rPr>
        <w:t>Annual Cost</w:t>
      </w:r>
      <w:r>
        <w:t xml:space="preserve">:  </w:t>
      </w:r>
      <w:r w:rsidR="00C96D7C">
        <w:t>643</w:t>
      </w:r>
      <w:r>
        <w:t xml:space="preserve"> (hours) </w:t>
      </w:r>
      <w:r>
        <w:rPr>
          <w:rFonts w:ascii="Symbol" w:hAnsi="Symbol"/>
        </w:rPr>
        <w:t></w:t>
      </w:r>
      <w:r>
        <w:t xml:space="preserve"> $41.08 (Supervisor wage) =</w:t>
      </w:r>
      <w:r>
        <w:rPr>
          <w:b/>
          <w:bCs/>
        </w:rPr>
        <w:t xml:space="preserve"> $</w:t>
      </w:r>
      <w:r w:rsidR="00C96D7C">
        <w:rPr>
          <w:b/>
          <w:bCs/>
        </w:rPr>
        <w:t>26,414</w:t>
      </w:r>
      <w:r>
        <w:rPr>
          <w:b/>
          <w:bCs/>
        </w:rPr>
        <w:t xml:space="preserve"> </w:t>
      </w:r>
    </w:p>
    <w:p w:rsidR="00E35242" w:rsidRDefault="00E35242" w:rsidP="00E35242">
      <w:pPr>
        <w:pStyle w:val="Heading4"/>
        <w:numPr>
          <w:ilvl w:val="3"/>
          <w:numId w:val="3"/>
        </w:numPr>
        <w:rPr>
          <w:lang w:val="x-none"/>
        </w:rPr>
      </w:pPr>
      <w:r>
        <w:rPr>
          <w:lang w:val="x-none"/>
        </w:rPr>
        <w:t>Medical Removal</w:t>
      </w:r>
    </w:p>
    <w:p w:rsidR="00E35242" w:rsidRDefault="00E35242" w:rsidP="00E35242">
      <w:pPr>
        <w:rPr>
          <w:b/>
          <w:bCs/>
        </w:rPr>
      </w:pPr>
      <w:r>
        <w:rPr>
          <w:b/>
          <w:bCs/>
        </w:rPr>
        <w:t>§1910.1024 (l</w:t>
      </w:r>
      <w:proofErr w:type="gramStart"/>
      <w:r>
        <w:rPr>
          <w:b/>
          <w:bCs/>
        </w:rPr>
        <w:t>)(</w:t>
      </w:r>
      <w:proofErr w:type="gramEnd"/>
      <w:r>
        <w:rPr>
          <w:b/>
          <w:bCs/>
        </w:rPr>
        <w:t>1) and (2) --Medical removal.</w:t>
      </w:r>
    </w:p>
    <w:p w:rsidR="00E35242" w:rsidRDefault="00E35242" w:rsidP="00E35242">
      <w:pPr>
        <w:rPr>
          <w:b/>
          <w:bCs/>
        </w:rPr>
      </w:pPr>
    </w:p>
    <w:p w:rsidR="00E35242" w:rsidRDefault="00E35242" w:rsidP="00E35242">
      <w:r>
        <w:t xml:space="preserve">(1) An employee is eligible for medical removal, if the employee works in a job with airborne exposure at or above the action level and either: </w:t>
      </w:r>
    </w:p>
    <w:p w:rsidR="00E35242" w:rsidRDefault="00E35242" w:rsidP="00E35242"/>
    <w:p w:rsidR="00E35242" w:rsidRDefault="00E35242" w:rsidP="00E35242">
      <w:r>
        <w:t>(</w:t>
      </w:r>
      <w:proofErr w:type="spellStart"/>
      <w:r>
        <w:t>i</w:t>
      </w:r>
      <w:proofErr w:type="spellEnd"/>
      <w:r>
        <w:t>) The employee provides the employer with:</w:t>
      </w:r>
    </w:p>
    <w:p w:rsidR="00E35242" w:rsidRDefault="00E35242" w:rsidP="00E35242">
      <w:r>
        <w:t xml:space="preserve">      (A) A written medical report indicating a confirmed positive finding or CBD diagnosis; or </w:t>
      </w:r>
    </w:p>
    <w:p w:rsidR="00E35242" w:rsidRDefault="00E35242" w:rsidP="00E35242">
      <w:r>
        <w:t>      (B) A written medical report recommending removal from airborne exposure to beryllium in accordance with paragraph (k</w:t>
      </w:r>
      <w:proofErr w:type="gramStart"/>
      <w:r>
        <w:t>)(</w:t>
      </w:r>
      <w:proofErr w:type="gramEnd"/>
      <w:r>
        <w:t>5)(v) or (k)(7)(ii) of this standard; or</w:t>
      </w:r>
    </w:p>
    <w:p w:rsidR="00E35242" w:rsidRDefault="00E35242" w:rsidP="00E35242"/>
    <w:p w:rsidR="00E35242" w:rsidRDefault="00E35242" w:rsidP="00E35242">
      <w:r>
        <w:t>(ii) The employer receives a written medical opinion recommending removal from airborne exposure to beryllium in accordance with paragraph (k</w:t>
      </w:r>
      <w:proofErr w:type="gramStart"/>
      <w:r>
        <w:t>)(</w:t>
      </w:r>
      <w:proofErr w:type="gramEnd"/>
      <w:r>
        <w:t>6)(v) or (k)(7)(iii) of this standard.</w:t>
      </w:r>
    </w:p>
    <w:p w:rsidR="00E35242" w:rsidRDefault="00E35242" w:rsidP="00E35242"/>
    <w:p w:rsidR="00E35242" w:rsidRDefault="00E35242" w:rsidP="00E35242">
      <w:r>
        <w:t xml:space="preserve">(2) If an employee is eligible for medical removal, the employer must provide the employee with the employee’s choice of: </w:t>
      </w:r>
    </w:p>
    <w:p w:rsidR="00E35242" w:rsidRDefault="00E35242" w:rsidP="00E35242"/>
    <w:p w:rsidR="00E35242" w:rsidRDefault="00E35242" w:rsidP="00E35242">
      <w:r>
        <w:t>            (</w:t>
      </w:r>
      <w:proofErr w:type="spellStart"/>
      <w:r>
        <w:t>i</w:t>
      </w:r>
      <w:proofErr w:type="spellEnd"/>
      <w:r>
        <w:t>) Removal as described in paragraph (l</w:t>
      </w:r>
      <w:proofErr w:type="gramStart"/>
      <w:r>
        <w:t>)(</w:t>
      </w:r>
      <w:proofErr w:type="gramEnd"/>
      <w:r>
        <w:t>3) of this standard; or</w:t>
      </w:r>
    </w:p>
    <w:p w:rsidR="00E35242" w:rsidRDefault="00E35242" w:rsidP="00E35242">
      <w: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rsidR="00E35242" w:rsidRDefault="00E35242" w:rsidP="00E35242"/>
    <w:p w:rsidR="00E35242" w:rsidRDefault="00E35242" w:rsidP="00E35242">
      <w:r>
        <w:lastRenderedPageBreak/>
        <w:t xml:space="preserve">In accordance with the spreadsheets for the </w:t>
      </w:r>
      <w:r w:rsidR="00E74C10">
        <w:t>PEA</w:t>
      </w:r>
      <w:r>
        <w:t xml:space="preserve">, there are </w:t>
      </w:r>
      <w:r w:rsidR="00577B86">
        <w:t>446</w:t>
      </w:r>
      <w:r w:rsidR="00E74C10">
        <w:t xml:space="preserve"> </w:t>
      </w:r>
      <w:r>
        <w:t>employees</w:t>
      </w:r>
      <w:r w:rsidR="00E74C10">
        <w:rPr>
          <w:rStyle w:val="FootnoteReference"/>
        </w:rPr>
        <w:footnoteReference w:id="16"/>
      </w:r>
      <w:r>
        <w:t xml:space="preserve"> who will request medical removal because of a positive finding of CBD.  OSHA estimates that it will take five minutes (0.08 hour) of a Supervisor’s time to receive and process (including conveying the two options under (l)(2)) for each medical removal request.  OSHA anticipates that this will typically involve the employee authorizing that the PLHCP share a recommendation for removal with the employer.  Baseline non-compliance with this requirement is estimated to be 100 percent.</w:t>
      </w:r>
    </w:p>
    <w:p w:rsidR="00E35242" w:rsidRDefault="00E35242" w:rsidP="00E35242"/>
    <w:p w:rsidR="00E35242" w:rsidRDefault="00E35242" w:rsidP="00E35242">
      <w:pPr>
        <w:pStyle w:val="BodyTextFirstIndent"/>
        <w:rPr>
          <w:sz w:val="24"/>
          <w:szCs w:val="24"/>
        </w:rPr>
      </w:pPr>
      <w:r>
        <w:rPr>
          <w:b/>
          <w:bCs/>
          <w:sz w:val="24"/>
          <w:szCs w:val="24"/>
          <w:lang w:val="x-none"/>
        </w:rPr>
        <w:t>Burden hours</w:t>
      </w:r>
      <w:r>
        <w:rPr>
          <w:sz w:val="24"/>
          <w:szCs w:val="24"/>
          <w:lang w:val="x-none"/>
        </w:rPr>
        <w:t xml:space="preserve">: </w:t>
      </w:r>
      <w:r>
        <w:rPr>
          <w:sz w:val="24"/>
          <w:szCs w:val="24"/>
        </w:rPr>
        <w:t>446</w:t>
      </w:r>
      <w:r>
        <w:rPr>
          <w:sz w:val="24"/>
          <w:szCs w:val="24"/>
          <w:lang w:val="x-none"/>
        </w:rPr>
        <w:t xml:space="preserve"> employees x 1</w:t>
      </w:r>
      <w:r>
        <w:rPr>
          <w:sz w:val="24"/>
          <w:szCs w:val="24"/>
        </w:rPr>
        <w:t xml:space="preserve"> (non-compliance)</w:t>
      </w:r>
      <w:r>
        <w:rPr>
          <w:sz w:val="24"/>
          <w:szCs w:val="24"/>
          <w:lang w:val="x-none"/>
        </w:rPr>
        <w:t xml:space="preserve"> x 0.08 hours = </w:t>
      </w:r>
      <w:r w:rsidRPr="0046031D">
        <w:rPr>
          <w:b/>
          <w:sz w:val="24"/>
          <w:szCs w:val="24"/>
        </w:rPr>
        <w:t>36</w:t>
      </w:r>
      <w:r w:rsidRPr="0046031D">
        <w:rPr>
          <w:b/>
          <w:sz w:val="24"/>
          <w:szCs w:val="24"/>
          <w:lang w:val="x-none"/>
        </w:rPr>
        <w:t xml:space="preserve"> hours</w:t>
      </w:r>
    </w:p>
    <w:p w:rsidR="00E35242" w:rsidRDefault="00E35242" w:rsidP="00E35242">
      <w:pPr>
        <w:pStyle w:val="BodyTextFirstIndent"/>
        <w:rPr>
          <w:sz w:val="24"/>
          <w:szCs w:val="24"/>
        </w:rPr>
      </w:pPr>
      <w:r>
        <w:rPr>
          <w:b/>
          <w:bCs/>
          <w:sz w:val="24"/>
          <w:szCs w:val="24"/>
          <w:lang w:val="x-none"/>
        </w:rPr>
        <w:t>Cost</w:t>
      </w:r>
      <w:r>
        <w:rPr>
          <w:sz w:val="24"/>
          <w:szCs w:val="24"/>
          <w:lang w:val="x-none"/>
        </w:rPr>
        <w:t xml:space="preserve">: </w:t>
      </w:r>
      <w:r>
        <w:rPr>
          <w:sz w:val="24"/>
          <w:szCs w:val="24"/>
        </w:rPr>
        <w:t>36</w:t>
      </w:r>
      <w:r>
        <w:rPr>
          <w:sz w:val="24"/>
          <w:szCs w:val="24"/>
          <w:lang w:val="x-none"/>
        </w:rPr>
        <w:t xml:space="preserve"> hours x </w:t>
      </w:r>
      <w:r>
        <w:rPr>
          <w:sz w:val="24"/>
          <w:szCs w:val="24"/>
        </w:rPr>
        <w:t>$41.08</w:t>
      </w:r>
      <w:r>
        <w:rPr>
          <w:sz w:val="24"/>
          <w:szCs w:val="24"/>
          <w:lang w:val="x-none"/>
        </w:rPr>
        <w:t xml:space="preserve"> (Supervisor wage) = $</w:t>
      </w:r>
      <w:r>
        <w:rPr>
          <w:sz w:val="24"/>
          <w:szCs w:val="24"/>
        </w:rPr>
        <w:t>1,479</w:t>
      </w:r>
    </w:p>
    <w:p w:rsidR="00E35242" w:rsidRDefault="00E35242" w:rsidP="00E35242">
      <w:pPr>
        <w:pStyle w:val="Heading3"/>
        <w:numPr>
          <w:ilvl w:val="2"/>
          <w:numId w:val="3"/>
        </w:numPr>
        <w:rPr>
          <w:lang w:val="x-none"/>
        </w:rPr>
      </w:pPr>
      <w:r>
        <w:rPr>
          <w:lang w:val="x-none"/>
        </w:rPr>
        <w:t>Recordkeeping</w:t>
      </w:r>
    </w:p>
    <w:p w:rsidR="00E35242" w:rsidRDefault="00E35242" w:rsidP="00E35242">
      <w:pPr>
        <w:pStyle w:val="Heading4"/>
        <w:numPr>
          <w:ilvl w:val="3"/>
          <w:numId w:val="3"/>
        </w:numPr>
      </w:pPr>
      <w:bookmarkStart w:id="14" w:name="_Ref406654533"/>
      <w:r>
        <w:rPr>
          <w:lang w:val="x-none"/>
        </w:rPr>
        <w:t xml:space="preserve">Exposure </w:t>
      </w:r>
      <w:bookmarkEnd w:id="14"/>
      <w:r>
        <w:t>Assessment</w:t>
      </w:r>
      <w:r>
        <w:rPr>
          <w:lang w:val="x-none"/>
        </w:rPr>
        <w:t>.</w:t>
      </w:r>
    </w:p>
    <w:p w:rsidR="00E35242" w:rsidRDefault="00E35242" w:rsidP="00E35242">
      <w:pPr>
        <w:rPr>
          <w:b/>
          <w:bCs/>
        </w:rPr>
      </w:pPr>
      <w:r>
        <w:rPr>
          <w:b/>
          <w:bCs/>
        </w:rPr>
        <w:t>§1910.1024 (n</w:t>
      </w:r>
      <w:proofErr w:type="gramStart"/>
      <w:r>
        <w:rPr>
          <w:b/>
          <w:bCs/>
        </w:rPr>
        <w:t>)(</w:t>
      </w:r>
      <w:proofErr w:type="gramEnd"/>
      <w:r>
        <w:rPr>
          <w:b/>
          <w:bCs/>
        </w:rPr>
        <w:t>1)(</w:t>
      </w:r>
      <w:proofErr w:type="spellStart"/>
      <w:r>
        <w:rPr>
          <w:b/>
          <w:bCs/>
        </w:rPr>
        <w:t>i</w:t>
      </w:r>
      <w:proofErr w:type="spellEnd"/>
      <w:r>
        <w:rPr>
          <w:b/>
          <w:bCs/>
        </w:rPr>
        <w:t>), (ii), &amp; (iii) --  Recordkeeping --Air Monitoring Data.</w:t>
      </w:r>
    </w:p>
    <w:p w:rsidR="00E35242" w:rsidRDefault="00E35242" w:rsidP="00E35242">
      <w:pPr>
        <w:rPr>
          <w:b/>
          <w:bCs/>
        </w:rPr>
      </w:pPr>
    </w:p>
    <w:p w:rsidR="00E35242" w:rsidRDefault="00E35242" w:rsidP="00E35242">
      <w:pPr>
        <w:pStyle w:val="Heading5"/>
        <w:numPr>
          <w:ilvl w:val="4"/>
          <w:numId w:val="3"/>
        </w:numPr>
      </w:pPr>
      <w:r>
        <w:t>Initial Exposure Monitoring (paragraph (d</w:t>
      </w:r>
      <w:proofErr w:type="gramStart"/>
      <w:r>
        <w:t>)(</w:t>
      </w:r>
      <w:proofErr w:type="gramEnd"/>
      <w:r>
        <w:t>2) of §1910.1024)</w:t>
      </w:r>
    </w:p>
    <w:p w:rsidR="00E35242" w:rsidRDefault="00E35242" w:rsidP="00E35242">
      <w:pPr>
        <w:pStyle w:val="BodyTextFirstIndent"/>
        <w:ind w:firstLine="0"/>
        <w:rPr>
          <w:sz w:val="24"/>
          <w:szCs w:val="24"/>
          <w:lang w:val="x-none"/>
        </w:rPr>
      </w:pPr>
      <w:r>
        <w:rPr>
          <w:sz w:val="24"/>
          <w:szCs w:val="24"/>
        </w:rPr>
        <w:t>As determined under Initial Exposure Monitoring, paragraph (d</w:t>
      </w:r>
      <w:proofErr w:type="gramStart"/>
      <w:r>
        <w:rPr>
          <w:sz w:val="24"/>
          <w:szCs w:val="24"/>
        </w:rPr>
        <w:t>)(</w:t>
      </w:r>
      <w:proofErr w:type="gramEnd"/>
      <w:r>
        <w:rPr>
          <w:sz w:val="24"/>
          <w:szCs w:val="24"/>
        </w:rPr>
        <w:t>2)</w:t>
      </w:r>
      <w:bookmarkStart w:id="15" w:name="_Hlk406658827"/>
      <w:r>
        <w:rPr>
          <w:sz w:val="24"/>
          <w:szCs w:val="24"/>
        </w:rPr>
        <w:t>, the Agency estimates there are 14,309 exposure monitoring records being generated for this purpose</w:t>
      </w:r>
      <w:bookmarkEnd w:id="15"/>
      <w:r>
        <w:rPr>
          <w:sz w:val="24"/>
          <w:szCs w:val="24"/>
          <w:lang w:val="x-none"/>
        </w:rPr>
        <w:t>.  The Agency estimates that an HR manager will spend 15 minutes (0.25 hours) developing and maintaining</w:t>
      </w:r>
      <w:r>
        <w:rPr>
          <w:sz w:val="24"/>
          <w:szCs w:val="24"/>
        </w:rPr>
        <w:t xml:space="preserve"> records for </w:t>
      </w:r>
      <w:r>
        <w:rPr>
          <w:sz w:val="24"/>
          <w:szCs w:val="24"/>
          <w:lang w:val="x-none"/>
        </w:rPr>
        <w:t>employee records at a loaded hourly wage of $70.44, which includes time to notify employees of the results of the exposure monitoring</w:t>
      </w:r>
      <w:r>
        <w:rPr>
          <w:sz w:val="24"/>
          <w:szCs w:val="24"/>
        </w:rPr>
        <w:t xml:space="preserve"> (typically accomplished by posting the results)</w:t>
      </w:r>
      <w:r>
        <w:rPr>
          <w:sz w:val="24"/>
          <w:szCs w:val="24"/>
          <w:lang w:val="x-none"/>
        </w:rPr>
        <w:t>.</w:t>
      </w:r>
      <w:r>
        <w:rPr>
          <w:rStyle w:val="FootnoteReference"/>
          <w:lang w:val="x-none"/>
        </w:rPr>
        <w:footnoteReference w:customMarkFollows="1" w:id="17"/>
        <w:t>[15]</w:t>
      </w:r>
      <w:r>
        <w:rPr>
          <w:sz w:val="24"/>
          <w:szCs w:val="24"/>
          <w:lang w:val="x-none"/>
        </w:rPr>
        <w:t xml:space="preserve"> Baseline non-compliance with this requirement is estimated to be </w:t>
      </w:r>
      <w:r>
        <w:rPr>
          <w:sz w:val="24"/>
          <w:szCs w:val="24"/>
        </w:rPr>
        <w:t>96</w:t>
      </w:r>
      <w:r>
        <w:rPr>
          <w:sz w:val="24"/>
          <w:szCs w:val="24"/>
          <w:lang w:val="x-none"/>
        </w:rPr>
        <w:t xml:space="preserve"> percent. The burden hours and cost associated with these provisions are:</w:t>
      </w:r>
    </w:p>
    <w:p w:rsidR="00E35242" w:rsidRDefault="00E35242" w:rsidP="00E35242">
      <w:pPr>
        <w:pStyle w:val="BurdenHoursCost"/>
      </w:pPr>
      <w:r>
        <w:rPr>
          <w:b/>
          <w:bCs/>
        </w:rPr>
        <w:t xml:space="preserve">Burden hours: </w:t>
      </w:r>
      <w:r>
        <w:t> 10,</w:t>
      </w:r>
      <w:r w:rsidR="00B55E2B">
        <w:t>864</w:t>
      </w:r>
      <w:r>
        <w:t xml:space="preserve"> (workers sampled) </w:t>
      </w:r>
      <w:r>
        <w:rPr>
          <w:rFonts w:ascii="Symbol" w:hAnsi="Symbol"/>
        </w:rPr>
        <w:t></w:t>
      </w:r>
      <w:r>
        <w:t xml:space="preserve"> 0.96 (non-compliance rate) </w:t>
      </w:r>
      <w:r>
        <w:rPr>
          <w:rFonts w:ascii="Symbol" w:hAnsi="Symbol"/>
        </w:rPr>
        <w:t></w:t>
      </w:r>
      <w:r>
        <w:t xml:space="preserve"> 0.25 (hours of HR Manager </w:t>
      </w:r>
      <w:proofErr w:type="gramStart"/>
      <w:r>
        <w:t>time</w:t>
      </w:r>
      <w:proofErr w:type="gramEnd"/>
      <w:r>
        <w:t xml:space="preserve">) = </w:t>
      </w:r>
      <w:r>
        <w:rPr>
          <w:b/>
          <w:bCs/>
        </w:rPr>
        <w:t>2,607 hours</w:t>
      </w:r>
    </w:p>
    <w:p w:rsidR="00E35242" w:rsidRDefault="00E35242" w:rsidP="00E35242">
      <w:pPr>
        <w:pStyle w:val="BurdenHoursCost"/>
        <w:rPr>
          <w:b/>
          <w:bCs/>
        </w:rPr>
      </w:pPr>
      <w:r>
        <w:rPr>
          <w:b/>
          <w:bCs/>
        </w:rPr>
        <w:t xml:space="preserve">One-Time Cost: </w:t>
      </w:r>
      <w:r>
        <w:t xml:space="preserve"> 2,607 (hours) </w:t>
      </w:r>
      <w:r>
        <w:rPr>
          <w:rFonts w:ascii="Symbol" w:hAnsi="Symbol"/>
        </w:rPr>
        <w:t></w:t>
      </w:r>
      <w:r>
        <w:t xml:space="preserve"> $72.42 (HR Manager </w:t>
      </w:r>
      <w:proofErr w:type="gramStart"/>
      <w:r>
        <w:t>wage</w:t>
      </w:r>
      <w:proofErr w:type="gramEnd"/>
      <w:r>
        <w:t xml:space="preserve">) = </w:t>
      </w:r>
      <w:r>
        <w:rPr>
          <w:b/>
          <w:bCs/>
        </w:rPr>
        <w:t>$188,799</w:t>
      </w:r>
    </w:p>
    <w:p w:rsidR="00E35242" w:rsidRDefault="00E35242" w:rsidP="00E35242">
      <w:pPr>
        <w:pStyle w:val="Heading5"/>
        <w:numPr>
          <w:ilvl w:val="4"/>
          <w:numId w:val="3"/>
        </w:numPr>
      </w:pPr>
      <w:r>
        <w:t>Periodic Exposure Monitoring (paragraph (d</w:t>
      </w:r>
      <w:proofErr w:type="gramStart"/>
      <w:r>
        <w:t>)(</w:t>
      </w:r>
      <w:proofErr w:type="gramEnd"/>
      <w:r>
        <w:t>3) of §1910.1024)</w:t>
      </w:r>
    </w:p>
    <w:p w:rsidR="00E35242" w:rsidRDefault="00E35242" w:rsidP="00E35242">
      <w:pPr>
        <w:pStyle w:val="BodyTextFirstIndent"/>
        <w:ind w:firstLine="0"/>
        <w:rPr>
          <w:sz w:val="24"/>
          <w:szCs w:val="24"/>
          <w:lang w:val="x-none"/>
        </w:rPr>
      </w:pPr>
      <w:r>
        <w:rPr>
          <w:sz w:val="24"/>
          <w:szCs w:val="24"/>
        </w:rPr>
        <w:t>As determined under Periodic Exposure Monitoring, paragraph (d</w:t>
      </w:r>
      <w:proofErr w:type="gramStart"/>
      <w:r>
        <w:rPr>
          <w:sz w:val="24"/>
          <w:szCs w:val="24"/>
        </w:rPr>
        <w:t>)(</w:t>
      </w:r>
      <w:proofErr w:type="gramEnd"/>
      <w:r>
        <w:rPr>
          <w:sz w:val="24"/>
          <w:szCs w:val="24"/>
        </w:rPr>
        <w:t>3), the Agency estimates there are is 8,667 periodic monitoring samples being developed</w:t>
      </w:r>
      <w:r>
        <w:rPr>
          <w:sz w:val="24"/>
          <w:szCs w:val="24"/>
          <w:lang w:val="x-none"/>
        </w:rPr>
        <w:t>.</w:t>
      </w:r>
      <w:r>
        <w:rPr>
          <w:rStyle w:val="FootnoteReference"/>
          <w:lang w:val="x-none"/>
        </w:rPr>
        <w:footnoteReference w:customMarkFollows="1" w:id="18"/>
        <w:t>[16]</w:t>
      </w:r>
      <w:r>
        <w:rPr>
          <w:sz w:val="24"/>
          <w:szCs w:val="24"/>
        </w:rPr>
        <w:t xml:space="preserve">  </w:t>
      </w:r>
      <w:bookmarkStart w:id="16" w:name="_Hlk406659647"/>
      <w:r>
        <w:rPr>
          <w:sz w:val="24"/>
          <w:szCs w:val="24"/>
          <w:lang w:val="x-none"/>
        </w:rPr>
        <w:t xml:space="preserve">The Agency estimates that an </w:t>
      </w:r>
      <w:r>
        <w:rPr>
          <w:sz w:val="24"/>
          <w:szCs w:val="24"/>
          <w:lang w:val="x-none"/>
        </w:rPr>
        <w:lastRenderedPageBreak/>
        <w:t>HR manager will spend 15 minutes (0.25 hours)</w:t>
      </w:r>
      <w:bookmarkEnd w:id="16"/>
      <w:r>
        <w:rPr>
          <w:sz w:val="24"/>
          <w:szCs w:val="24"/>
        </w:rPr>
        <w:t xml:space="preserve"> developing and</w:t>
      </w:r>
      <w:r>
        <w:rPr>
          <w:sz w:val="24"/>
          <w:szCs w:val="24"/>
          <w:lang w:val="x-none"/>
        </w:rPr>
        <w:t xml:space="preserve"> maintaining </w:t>
      </w:r>
      <w:r>
        <w:rPr>
          <w:sz w:val="24"/>
          <w:szCs w:val="24"/>
        </w:rPr>
        <w:t xml:space="preserve">employee monitoring records </w:t>
      </w:r>
      <w:r>
        <w:rPr>
          <w:sz w:val="24"/>
          <w:szCs w:val="24"/>
          <w:lang w:val="x-none"/>
        </w:rPr>
        <w:t>at a loaded hourly wage of $72.42, which includes time to notify employees of the results of the exposure monitoring</w:t>
      </w:r>
      <w:r>
        <w:rPr>
          <w:sz w:val="24"/>
          <w:szCs w:val="24"/>
        </w:rPr>
        <w:t xml:space="preserve"> (typically accomplished by posting the results)</w:t>
      </w:r>
      <w:r>
        <w:rPr>
          <w:sz w:val="24"/>
          <w:szCs w:val="24"/>
          <w:lang w:val="x-none"/>
        </w:rPr>
        <w:t xml:space="preserve">.  Baseline non-compliance with this requirement is estimated to be </w:t>
      </w:r>
      <w:r>
        <w:rPr>
          <w:sz w:val="24"/>
          <w:szCs w:val="24"/>
        </w:rPr>
        <w:t>96</w:t>
      </w:r>
      <w:r>
        <w:rPr>
          <w:sz w:val="24"/>
          <w:szCs w:val="24"/>
          <w:lang w:val="x-none"/>
        </w:rPr>
        <w:t xml:space="preserve"> percent.  The burden hours and cost associated with these provisions are:</w:t>
      </w:r>
    </w:p>
    <w:p w:rsidR="00E35242" w:rsidRDefault="00E35242" w:rsidP="00E35242">
      <w:pPr>
        <w:pStyle w:val="BurdenHoursCost"/>
      </w:pPr>
      <w:r>
        <w:rPr>
          <w:b/>
          <w:bCs/>
        </w:rPr>
        <w:t>Burden hours</w:t>
      </w:r>
      <w:r>
        <w:t>:</w:t>
      </w:r>
      <w:r>
        <w:rPr>
          <w:b/>
          <w:bCs/>
        </w:rPr>
        <w:t xml:space="preserve">  </w:t>
      </w:r>
      <w:r>
        <w:t xml:space="preserve">4,960 (workers sampled per year) </w:t>
      </w:r>
      <w:r>
        <w:rPr>
          <w:rFonts w:ascii="Symbol" w:hAnsi="Symbol"/>
        </w:rPr>
        <w:t></w:t>
      </w:r>
      <w:r>
        <w:t xml:space="preserve"> 0.96 (non-compliance rate) </w:t>
      </w:r>
      <w:r>
        <w:rPr>
          <w:rFonts w:ascii="Symbol" w:hAnsi="Symbol"/>
        </w:rPr>
        <w:t></w:t>
      </w:r>
      <w:r>
        <w:t xml:space="preserve"> 0.25 (hours of HR Manager </w:t>
      </w:r>
      <w:proofErr w:type="gramStart"/>
      <w:r>
        <w:t>time</w:t>
      </w:r>
      <w:proofErr w:type="gramEnd"/>
      <w:r>
        <w:t xml:space="preserve">) = </w:t>
      </w:r>
      <w:r>
        <w:rPr>
          <w:b/>
          <w:bCs/>
        </w:rPr>
        <w:t>1,190 hours</w:t>
      </w:r>
    </w:p>
    <w:p w:rsidR="00E35242" w:rsidRDefault="00E35242" w:rsidP="00E35242">
      <w:pPr>
        <w:pStyle w:val="BurdenHoursCost"/>
      </w:pPr>
      <w:r>
        <w:rPr>
          <w:b/>
          <w:bCs/>
        </w:rPr>
        <w:t>Annual Cost:  1,190</w:t>
      </w:r>
      <w:r>
        <w:t xml:space="preserve"> (hours) </w:t>
      </w:r>
      <w:r>
        <w:rPr>
          <w:rFonts w:ascii="Symbol" w:hAnsi="Symbol"/>
        </w:rPr>
        <w:t></w:t>
      </w:r>
      <w:r>
        <w:t xml:space="preserve"> $72.42 (HR Manager </w:t>
      </w:r>
      <w:proofErr w:type="gramStart"/>
      <w:r>
        <w:t>wage</w:t>
      </w:r>
      <w:proofErr w:type="gramEnd"/>
      <w:r>
        <w:t xml:space="preserve">) = </w:t>
      </w:r>
      <w:r>
        <w:rPr>
          <w:b/>
          <w:bCs/>
        </w:rPr>
        <w:t>$86,180</w:t>
      </w:r>
    </w:p>
    <w:p w:rsidR="00E35242" w:rsidRDefault="00E35242" w:rsidP="00E35242">
      <w:pPr>
        <w:pStyle w:val="Heading5"/>
        <w:numPr>
          <w:ilvl w:val="4"/>
          <w:numId w:val="3"/>
        </w:numPr>
      </w:pPr>
      <w:r>
        <w:t>Additional Exposure Monitoring (paragraphs (d</w:t>
      </w:r>
      <w:proofErr w:type="gramStart"/>
      <w:r>
        <w:t>)(</w:t>
      </w:r>
      <w:proofErr w:type="gramEnd"/>
      <w:r>
        <w:t>4) of § 1910.1024)</w:t>
      </w:r>
    </w:p>
    <w:p w:rsidR="00E35242" w:rsidRDefault="00E35242" w:rsidP="00E35242">
      <w:pPr>
        <w:pStyle w:val="BodyTextFirstIndent"/>
        <w:ind w:firstLine="0"/>
        <w:rPr>
          <w:sz w:val="24"/>
          <w:szCs w:val="24"/>
          <w:lang w:val="x-none"/>
        </w:rPr>
      </w:pPr>
      <w:r>
        <w:rPr>
          <w:lang w:val="x-none"/>
        </w:rPr>
        <w:t xml:space="preserve">Of the number </w:t>
      </w:r>
      <w:r>
        <w:rPr>
          <w:sz w:val="24"/>
          <w:szCs w:val="24"/>
          <w:lang w:val="x-none"/>
        </w:rPr>
        <w:t xml:space="preserve">of at risk workers subject to initial monitoring, </w:t>
      </w:r>
      <w:r w:rsidR="00E74C10">
        <w:rPr>
          <w:sz w:val="24"/>
          <w:szCs w:val="24"/>
        </w:rPr>
        <w:t>10,864</w:t>
      </w:r>
      <w:r>
        <w:rPr>
          <w:sz w:val="24"/>
          <w:szCs w:val="24"/>
          <w:lang w:val="x-none"/>
        </w:rPr>
        <w:t xml:space="preserve"> workers (see previous paragraph, Initial Monitoring), OSHA estimates 10%</w:t>
      </w:r>
      <w:r>
        <w:rPr>
          <w:sz w:val="24"/>
          <w:szCs w:val="24"/>
        </w:rPr>
        <w:t xml:space="preserve">, </w:t>
      </w:r>
      <w:r w:rsidR="00E74C10">
        <w:rPr>
          <w:sz w:val="24"/>
          <w:szCs w:val="24"/>
        </w:rPr>
        <w:t>1,087</w:t>
      </w:r>
      <w:r>
        <w:rPr>
          <w:sz w:val="24"/>
          <w:szCs w:val="24"/>
        </w:rPr>
        <w:t xml:space="preserve"> workers,</w:t>
      </w:r>
      <w:r>
        <w:rPr>
          <w:sz w:val="24"/>
          <w:szCs w:val="24"/>
          <w:lang w:val="x-none"/>
        </w:rPr>
        <w:t xml:space="preserve"> will require additional monitoring resulting from changes in the production process, materials, equipment, personnel, work practices, </w:t>
      </w:r>
      <w:r>
        <w:rPr>
          <w:color w:val="000000"/>
          <w:sz w:val="24"/>
          <w:szCs w:val="24"/>
          <w:lang w:val="x-none"/>
        </w:rPr>
        <w:t>or control methods</w:t>
      </w:r>
      <w:r>
        <w:rPr>
          <w:sz w:val="24"/>
          <w:szCs w:val="24"/>
          <w:lang w:val="x-none"/>
        </w:rPr>
        <w:t xml:space="preserve">.   The Agency estimates that an HR manager will spend 15 minutes (0.25 hours) maintaining the relevant records at a loaded hourly wage of $72.42, which includes time to notify employees of the results of the exposure monitoring. Baseline non-compliance with this requirement is estimated to be </w:t>
      </w:r>
      <w:r>
        <w:rPr>
          <w:sz w:val="24"/>
          <w:szCs w:val="24"/>
        </w:rPr>
        <w:t>96</w:t>
      </w:r>
      <w:r>
        <w:rPr>
          <w:sz w:val="24"/>
          <w:szCs w:val="24"/>
          <w:lang w:val="x-none"/>
        </w:rPr>
        <w:t xml:space="preserve"> percent.  The burden hours and cost associated with these provisions are:</w:t>
      </w:r>
    </w:p>
    <w:p w:rsidR="00E35242" w:rsidRDefault="00E35242" w:rsidP="00E35242">
      <w:pPr>
        <w:pStyle w:val="BurdenHoursCost"/>
      </w:pPr>
      <w:r>
        <w:rPr>
          <w:b/>
          <w:bCs/>
        </w:rPr>
        <w:t>Burden hours</w:t>
      </w:r>
      <w:r>
        <w:t xml:space="preserve">:  1,087 (workers sampled) (workers sampled per year) </w:t>
      </w:r>
      <w:r>
        <w:rPr>
          <w:rFonts w:ascii="Symbol" w:hAnsi="Symbol"/>
        </w:rPr>
        <w:t></w:t>
      </w:r>
      <w:r>
        <w:t xml:space="preserve"> 0.96 (non-compliance rate) </w:t>
      </w:r>
      <w:r>
        <w:rPr>
          <w:rFonts w:ascii="Symbol" w:hAnsi="Symbol"/>
        </w:rPr>
        <w:t></w:t>
      </w:r>
      <w:r>
        <w:t xml:space="preserve"> 0.25 (hours of HR Manager </w:t>
      </w:r>
      <w:proofErr w:type="gramStart"/>
      <w:r>
        <w:t>time</w:t>
      </w:r>
      <w:proofErr w:type="gramEnd"/>
      <w:r>
        <w:t xml:space="preserve">) = </w:t>
      </w:r>
      <w:r>
        <w:rPr>
          <w:b/>
          <w:bCs/>
        </w:rPr>
        <w:t>261 hours</w:t>
      </w:r>
    </w:p>
    <w:p w:rsidR="00E35242" w:rsidRDefault="00E35242" w:rsidP="00E35242">
      <w:pPr>
        <w:pStyle w:val="BurdenHoursCost"/>
        <w:rPr>
          <w:b/>
          <w:bCs/>
        </w:rPr>
      </w:pPr>
      <w:r>
        <w:rPr>
          <w:b/>
          <w:bCs/>
        </w:rPr>
        <w:t>Annual Cost:</w:t>
      </w:r>
      <w:r>
        <w:t xml:space="preserve">  261 (hours) </w:t>
      </w:r>
      <w:r>
        <w:rPr>
          <w:rFonts w:ascii="Symbol" w:hAnsi="Symbol"/>
        </w:rPr>
        <w:t></w:t>
      </w:r>
      <w:r>
        <w:t xml:space="preserve"> $72.42 (HR Manager </w:t>
      </w:r>
      <w:proofErr w:type="gramStart"/>
      <w:r>
        <w:t>wage</w:t>
      </w:r>
      <w:proofErr w:type="gramEnd"/>
      <w:r>
        <w:t xml:space="preserve">) = </w:t>
      </w:r>
      <w:r>
        <w:rPr>
          <w:b/>
          <w:bCs/>
        </w:rPr>
        <w:t>$18,902</w:t>
      </w:r>
    </w:p>
    <w:p w:rsidR="00E35242" w:rsidRDefault="00E35242" w:rsidP="00E35242">
      <w:pPr>
        <w:pStyle w:val="Heading4"/>
        <w:numPr>
          <w:ilvl w:val="3"/>
          <w:numId w:val="3"/>
        </w:numPr>
        <w:rPr>
          <w:lang w:val="x-none"/>
        </w:rPr>
      </w:pPr>
      <w:r>
        <w:rPr>
          <w:lang w:val="x-none"/>
        </w:rPr>
        <w:t xml:space="preserve">Medical Surveillance  </w:t>
      </w:r>
    </w:p>
    <w:p w:rsidR="00E35242" w:rsidRDefault="00E35242" w:rsidP="00E35242">
      <w:pPr>
        <w:rPr>
          <w:b/>
          <w:bCs/>
        </w:rPr>
      </w:pPr>
      <w:r>
        <w:rPr>
          <w:b/>
          <w:bCs/>
          <w:lang w:val="x-none"/>
        </w:rPr>
        <w:t> </w:t>
      </w:r>
      <w:r>
        <w:rPr>
          <w:b/>
          <w:bCs/>
        </w:rPr>
        <w:t>1910.1024 (n</w:t>
      </w:r>
      <w:proofErr w:type="gramStart"/>
      <w:r>
        <w:rPr>
          <w:b/>
          <w:bCs/>
        </w:rPr>
        <w:t>)(</w:t>
      </w:r>
      <w:proofErr w:type="gramEnd"/>
      <w:r>
        <w:rPr>
          <w:b/>
          <w:bCs/>
        </w:rPr>
        <w:t>3) (</w:t>
      </w:r>
      <w:proofErr w:type="spellStart"/>
      <w:r>
        <w:rPr>
          <w:b/>
          <w:bCs/>
        </w:rPr>
        <w:t>i</w:t>
      </w:r>
      <w:proofErr w:type="spellEnd"/>
      <w:r>
        <w:rPr>
          <w:b/>
          <w:bCs/>
        </w:rPr>
        <w:t>), (ii), &amp; (iii) --  Recordkeeping-- Medical Surveillance.</w:t>
      </w:r>
    </w:p>
    <w:p w:rsidR="00E35242" w:rsidRDefault="00E35242" w:rsidP="00E35242">
      <w:pPr>
        <w:rPr>
          <w:b/>
          <w:bCs/>
        </w:rPr>
      </w:pPr>
    </w:p>
    <w:p w:rsidR="00E35242" w:rsidRDefault="00E35242" w:rsidP="00E35242">
      <w:pPr>
        <w:pStyle w:val="iReg"/>
      </w:pPr>
      <w:r>
        <w:t xml:space="preserve">In </w:t>
      </w:r>
      <w:r w:rsidR="00216DCB">
        <w:t xml:space="preserve">the proposed </w:t>
      </w:r>
      <w:r>
        <w:t>paragraph (n</w:t>
      </w:r>
      <w:proofErr w:type="gramStart"/>
      <w:r>
        <w:t>)(</w:t>
      </w:r>
      <w:proofErr w:type="gramEnd"/>
      <w:r>
        <w:t>3)(</w:t>
      </w:r>
      <w:proofErr w:type="spellStart"/>
      <w:r>
        <w:t>i</w:t>
      </w:r>
      <w:proofErr w:type="spellEnd"/>
      <w:r>
        <w:t>), the employer must make and maintain a record for each employee covered by medical surveillance under paragraph (k) of this standard.</w:t>
      </w:r>
    </w:p>
    <w:p w:rsidR="00E35242" w:rsidRDefault="00E35242" w:rsidP="00DC12A2">
      <w:pPr>
        <w:pStyle w:val="BodyTextFirstIndent"/>
        <w:tabs>
          <w:tab w:val="center" w:pos="4680"/>
        </w:tabs>
        <w:ind w:firstLine="0"/>
        <w:rPr>
          <w:i/>
          <w:iCs/>
          <w:sz w:val="24"/>
          <w:szCs w:val="24"/>
        </w:rPr>
      </w:pPr>
      <w:r>
        <w:rPr>
          <w:i/>
          <w:iCs/>
          <w:sz w:val="24"/>
          <w:szCs w:val="24"/>
        </w:rPr>
        <w:t>a. Human Resource manager</w:t>
      </w:r>
      <w:r w:rsidR="009760E7">
        <w:rPr>
          <w:i/>
          <w:iCs/>
          <w:sz w:val="24"/>
          <w:szCs w:val="24"/>
        </w:rPr>
        <w:tab/>
      </w:r>
    </w:p>
    <w:p w:rsidR="00E35242" w:rsidRDefault="00E35242" w:rsidP="00E35242">
      <w:pPr>
        <w:pStyle w:val="BodyTextFirstIndent"/>
        <w:ind w:firstLine="0"/>
        <w:rPr>
          <w:sz w:val="24"/>
          <w:szCs w:val="24"/>
          <w:lang w:val="x-none"/>
        </w:rPr>
      </w:pPr>
      <w:r>
        <w:rPr>
          <w:sz w:val="24"/>
          <w:szCs w:val="24"/>
        </w:rPr>
        <w:t>A</w:t>
      </w:r>
      <w:r>
        <w:rPr>
          <w:sz w:val="24"/>
          <w:szCs w:val="24"/>
          <w:lang w:val="x-none"/>
        </w:rPr>
        <w:t xml:space="preserve"> Human Resource manager </w:t>
      </w:r>
      <w:r>
        <w:rPr>
          <w:sz w:val="24"/>
          <w:szCs w:val="24"/>
        </w:rPr>
        <w:t xml:space="preserve">would expend 15 minutes (.25 hour) to </w:t>
      </w:r>
      <w:r>
        <w:rPr>
          <w:sz w:val="24"/>
          <w:szCs w:val="24"/>
          <w:lang w:val="x-none"/>
        </w:rPr>
        <w:t>re</w:t>
      </w:r>
      <w:r>
        <w:rPr>
          <w:sz w:val="24"/>
          <w:szCs w:val="24"/>
        </w:rPr>
        <w:t>ad, copy the</w:t>
      </w:r>
      <w:r>
        <w:rPr>
          <w:sz w:val="24"/>
          <w:szCs w:val="24"/>
          <w:lang w:val="x-none"/>
        </w:rPr>
        <w:t xml:space="preserve"> PLHCP’s </w:t>
      </w:r>
      <w:r>
        <w:rPr>
          <w:sz w:val="24"/>
          <w:szCs w:val="24"/>
        </w:rPr>
        <w:t>opinion, provide and discuss the</w:t>
      </w:r>
      <w:r>
        <w:rPr>
          <w:sz w:val="24"/>
          <w:szCs w:val="24"/>
          <w:lang w:val="x-none"/>
        </w:rPr>
        <w:t xml:space="preserve"> opinion </w:t>
      </w:r>
      <w:r>
        <w:rPr>
          <w:sz w:val="24"/>
          <w:szCs w:val="24"/>
        </w:rPr>
        <w:t xml:space="preserve">with the </w:t>
      </w:r>
      <w:r>
        <w:rPr>
          <w:sz w:val="24"/>
          <w:szCs w:val="24"/>
          <w:lang w:val="x-none"/>
        </w:rPr>
        <w:t>employee</w:t>
      </w:r>
      <w:r>
        <w:rPr>
          <w:sz w:val="24"/>
          <w:szCs w:val="24"/>
        </w:rPr>
        <w:t>,</w:t>
      </w:r>
      <w:r>
        <w:rPr>
          <w:sz w:val="24"/>
          <w:szCs w:val="24"/>
          <w:lang w:val="x-none"/>
        </w:rPr>
        <w:t xml:space="preserve"> and </w:t>
      </w:r>
      <w:r>
        <w:rPr>
          <w:sz w:val="24"/>
          <w:szCs w:val="24"/>
        </w:rPr>
        <w:t xml:space="preserve">discuss </w:t>
      </w:r>
      <w:r>
        <w:rPr>
          <w:sz w:val="24"/>
          <w:szCs w:val="24"/>
          <w:lang w:val="x-none"/>
        </w:rPr>
        <w:t>any necessary post-exam consultation with the employee.  The number of post</w:t>
      </w:r>
      <w:r>
        <w:rPr>
          <w:sz w:val="24"/>
          <w:szCs w:val="24"/>
        </w:rPr>
        <w:t>-</w:t>
      </w:r>
      <w:r>
        <w:rPr>
          <w:sz w:val="24"/>
          <w:szCs w:val="24"/>
          <w:lang w:val="x-none"/>
        </w:rPr>
        <w:t xml:space="preserve">exam records is </w:t>
      </w:r>
      <w:r w:rsidR="00263001">
        <w:rPr>
          <w:sz w:val="24"/>
          <w:szCs w:val="24"/>
        </w:rPr>
        <w:t>14,607</w:t>
      </w:r>
      <w:r>
        <w:rPr>
          <w:sz w:val="24"/>
          <w:szCs w:val="24"/>
        </w:rPr>
        <w:t xml:space="preserve">; also there </w:t>
      </w:r>
      <w:r>
        <w:rPr>
          <w:sz w:val="24"/>
          <w:szCs w:val="24"/>
        </w:rPr>
        <w:lastRenderedPageBreak/>
        <w:t xml:space="preserve">are </w:t>
      </w:r>
      <w:r w:rsidR="00263001">
        <w:rPr>
          <w:sz w:val="24"/>
          <w:szCs w:val="24"/>
        </w:rPr>
        <w:t>920</w:t>
      </w:r>
      <w:r>
        <w:rPr>
          <w:sz w:val="24"/>
          <w:szCs w:val="24"/>
        </w:rPr>
        <w:t xml:space="preserve"> referral exam records</w:t>
      </w:r>
      <w:r>
        <w:rPr>
          <w:rStyle w:val="FootnoteReference"/>
        </w:rPr>
        <w:footnoteReference w:customMarkFollows="1" w:id="19"/>
        <w:t>[17]</w:t>
      </w:r>
      <w:r>
        <w:rPr>
          <w:sz w:val="24"/>
          <w:szCs w:val="24"/>
        </w:rPr>
        <w:t xml:space="preserve"> for a total of </w:t>
      </w:r>
      <w:r w:rsidR="00263001">
        <w:rPr>
          <w:sz w:val="24"/>
          <w:szCs w:val="24"/>
        </w:rPr>
        <w:t>15,527</w:t>
      </w:r>
      <w:r>
        <w:rPr>
          <w:sz w:val="24"/>
          <w:szCs w:val="24"/>
        </w:rPr>
        <w:t xml:space="preserve">.  </w:t>
      </w:r>
      <w:r>
        <w:rPr>
          <w:sz w:val="24"/>
          <w:szCs w:val="24"/>
          <w:lang w:val="x-none"/>
        </w:rPr>
        <w:t xml:space="preserve">Baseline non-compliance with this requirement is estimated to be </w:t>
      </w:r>
      <w:r>
        <w:rPr>
          <w:sz w:val="24"/>
          <w:szCs w:val="24"/>
        </w:rPr>
        <w:t>96</w:t>
      </w:r>
      <w:r>
        <w:rPr>
          <w:sz w:val="24"/>
          <w:szCs w:val="24"/>
          <w:lang w:val="x-none"/>
        </w:rPr>
        <w:t xml:space="preserve"> percent.</w:t>
      </w:r>
    </w:p>
    <w:p w:rsidR="00E35242" w:rsidRDefault="00E35242" w:rsidP="00E35242">
      <w:pPr>
        <w:pStyle w:val="BurdenHoursCost"/>
      </w:pPr>
      <w:r>
        <w:rPr>
          <w:b/>
          <w:bCs/>
        </w:rPr>
        <w:t>Burden hours</w:t>
      </w:r>
      <w:r>
        <w:t xml:space="preserve">:  15,527(exam records) </w:t>
      </w:r>
      <w:r>
        <w:rPr>
          <w:rFonts w:ascii="Symbol" w:hAnsi="Symbol"/>
        </w:rPr>
        <w:t></w:t>
      </w:r>
      <w:r>
        <w:t xml:space="preserve"> 0.96 (non-compliance rate) × 0.25 (hours of HR Manager </w:t>
      </w:r>
      <w:proofErr w:type="gramStart"/>
      <w:r>
        <w:t>time</w:t>
      </w:r>
      <w:proofErr w:type="gramEnd"/>
      <w:r>
        <w:t>) = 3,726</w:t>
      </w:r>
      <w:r>
        <w:rPr>
          <w:b/>
          <w:bCs/>
        </w:rPr>
        <w:t xml:space="preserve"> hours</w:t>
      </w:r>
    </w:p>
    <w:p w:rsidR="00E35242" w:rsidRDefault="00E35242" w:rsidP="00E35242">
      <w:pPr>
        <w:pStyle w:val="BurdenHoursCost"/>
      </w:pPr>
      <w:r>
        <w:rPr>
          <w:b/>
          <w:bCs/>
        </w:rPr>
        <w:t>Annual Cost</w:t>
      </w:r>
      <w:r>
        <w:t xml:space="preserve">:  3,726 (hours) × $72.42 (HR Manager </w:t>
      </w:r>
      <w:proofErr w:type="gramStart"/>
      <w:r>
        <w:t>wage</w:t>
      </w:r>
      <w:proofErr w:type="gramEnd"/>
      <w:r>
        <w:t>)</w:t>
      </w:r>
      <w:bookmarkStart w:id="17" w:name="_Hlk406660969"/>
      <w:r>
        <w:t xml:space="preserve"> </w:t>
      </w:r>
      <w:bookmarkEnd w:id="17"/>
      <w:r>
        <w:t xml:space="preserve">= </w:t>
      </w:r>
      <w:r>
        <w:rPr>
          <w:b/>
          <w:bCs/>
        </w:rPr>
        <w:t>$269,837</w:t>
      </w:r>
    </w:p>
    <w:p w:rsidR="00E35242" w:rsidRDefault="00E35242" w:rsidP="00E35242">
      <w:pPr>
        <w:pStyle w:val="Heading5"/>
        <w:numPr>
          <w:ilvl w:val="0"/>
          <w:numId w:val="0"/>
        </w:numPr>
      </w:pPr>
      <w:r>
        <w:t>b. Clerical Worker Time</w:t>
      </w:r>
    </w:p>
    <w:p w:rsidR="00E35242" w:rsidRDefault="00E35242" w:rsidP="00E35242">
      <w:pPr>
        <w:pStyle w:val="BodyTextFirstIndent"/>
        <w:ind w:firstLine="0"/>
        <w:rPr>
          <w:sz w:val="24"/>
          <w:szCs w:val="24"/>
          <w:lang w:val="x-none"/>
        </w:rPr>
      </w:pPr>
      <w:r>
        <w:rPr>
          <w:sz w:val="24"/>
          <w:szCs w:val="24"/>
          <w:lang w:val="x-none"/>
        </w:rPr>
        <w:t>Each file would require 5 minutes (0.08 hours) of a clerical worker</w:t>
      </w:r>
      <w:r>
        <w:rPr>
          <w:sz w:val="24"/>
          <w:szCs w:val="24"/>
        </w:rPr>
        <w:t>’</w:t>
      </w:r>
      <w:r>
        <w:rPr>
          <w:sz w:val="24"/>
          <w:szCs w:val="24"/>
          <w:lang w:val="x-none"/>
        </w:rPr>
        <w:t xml:space="preserve">s time to generate and maintain. The total number of medical exam records </w:t>
      </w:r>
      <w:r>
        <w:rPr>
          <w:sz w:val="24"/>
          <w:szCs w:val="24"/>
        </w:rPr>
        <w:t xml:space="preserve">per year </w:t>
      </w:r>
      <w:r>
        <w:rPr>
          <w:sz w:val="24"/>
          <w:szCs w:val="24"/>
          <w:lang w:val="x-none"/>
        </w:rPr>
        <w:t xml:space="preserve">is </w:t>
      </w:r>
      <w:r w:rsidR="00263001">
        <w:rPr>
          <w:sz w:val="24"/>
          <w:szCs w:val="24"/>
        </w:rPr>
        <w:t>15,527</w:t>
      </w:r>
      <w:r>
        <w:rPr>
          <w:sz w:val="24"/>
          <w:szCs w:val="24"/>
          <w:lang w:val="x-none"/>
        </w:rPr>
        <w:t xml:space="preserve">. Baseline non-compliance with this requirement is estimated to be </w:t>
      </w:r>
      <w:r>
        <w:rPr>
          <w:sz w:val="24"/>
          <w:szCs w:val="24"/>
        </w:rPr>
        <w:t>96</w:t>
      </w:r>
      <w:r>
        <w:rPr>
          <w:sz w:val="24"/>
          <w:szCs w:val="24"/>
          <w:lang w:val="x-none"/>
        </w:rPr>
        <w:t xml:space="preserve"> percent.</w:t>
      </w:r>
    </w:p>
    <w:p w:rsidR="00E35242" w:rsidRDefault="00E35242" w:rsidP="00E35242">
      <w:pPr>
        <w:pStyle w:val="BurdenHoursCost"/>
      </w:pPr>
      <w:r>
        <w:rPr>
          <w:b/>
          <w:bCs/>
        </w:rPr>
        <w:t>Burden hours</w:t>
      </w:r>
      <w:r>
        <w:t xml:space="preserve">:  15,527 (exam records) </w:t>
      </w:r>
      <w:r>
        <w:rPr>
          <w:rFonts w:ascii="Symbol" w:hAnsi="Symbol"/>
        </w:rPr>
        <w:t></w:t>
      </w:r>
      <w:r>
        <w:t xml:space="preserve"> 0.96 (non-compliance rate) × 0.08 hours =</w:t>
      </w:r>
      <w:r>
        <w:rPr>
          <w:b/>
          <w:bCs/>
        </w:rPr>
        <w:t xml:space="preserve"> 1,192 hours</w:t>
      </w:r>
    </w:p>
    <w:p w:rsidR="00E35242" w:rsidRDefault="00E35242" w:rsidP="00E35242">
      <w:pPr>
        <w:pStyle w:val="BurdenHoursCost"/>
      </w:pPr>
      <w:r>
        <w:rPr>
          <w:b/>
          <w:bCs/>
        </w:rPr>
        <w:t>Annual Cost</w:t>
      </w:r>
      <w:r>
        <w:t xml:space="preserve">:  1,192 hours × $22.53 (Clerical worker wage) = </w:t>
      </w:r>
      <w:r>
        <w:rPr>
          <w:b/>
          <w:bCs/>
        </w:rPr>
        <w:t>$26,856</w:t>
      </w:r>
    </w:p>
    <w:p w:rsidR="00E35242" w:rsidRDefault="00E35242" w:rsidP="00E35242">
      <w:pPr>
        <w:pStyle w:val="Heading4"/>
        <w:numPr>
          <w:ilvl w:val="3"/>
          <w:numId w:val="3"/>
        </w:numPr>
        <w:rPr>
          <w:lang w:val="x-none"/>
        </w:rPr>
      </w:pPr>
      <w:r>
        <w:rPr>
          <w:lang w:val="x-none"/>
        </w:rPr>
        <w:t xml:space="preserve">Training </w:t>
      </w:r>
    </w:p>
    <w:p w:rsidR="00E35242" w:rsidRDefault="00E35242" w:rsidP="00E35242">
      <w:pPr>
        <w:rPr>
          <w:b/>
          <w:bCs/>
        </w:rPr>
      </w:pPr>
      <w:r>
        <w:rPr>
          <w:b/>
          <w:bCs/>
        </w:rPr>
        <w:t>§1910.1024 (n</w:t>
      </w:r>
      <w:proofErr w:type="gramStart"/>
      <w:r>
        <w:rPr>
          <w:b/>
          <w:bCs/>
        </w:rPr>
        <w:t>)(</w:t>
      </w:r>
      <w:proofErr w:type="gramEnd"/>
      <w:r>
        <w:rPr>
          <w:b/>
          <w:bCs/>
        </w:rPr>
        <w:t>4)(</w:t>
      </w:r>
      <w:proofErr w:type="spellStart"/>
      <w:r>
        <w:rPr>
          <w:b/>
          <w:bCs/>
        </w:rPr>
        <w:t>i</w:t>
      </w:r>
      <w:proofErr w:type="spellEnd"/>
      <w:r>
        <w:rPr>
          <w:b/>
          <w:bCs/>
        </w:rPr>
        <w:t>) &amp; (ii) --  Recordkeeping -- Training.</w:t>
      </w:r>
    </w:p>
    <w:p w:rsidR="00E35242" w:rsidRDefault="00E35242" w:rsidP="00E35242">
      <w:pPr>
        <w:rPr>
          <w:b/>
          <w:bCs/>
        </w:rPr>
      </w:pPr>
    </w:p>
    <w:p w:rsidR="00E35242" w:rsidRDefault="00216DCB" w:rsidP="00E35242">
      <w:pPr>
        <w:pStyle w:val="iReg"/>
      </w:pPr>
      <w:r>
        <w:t>P</w:t>
      </w:r>
      <w:r w:rsidR="00E35242">
        <w:t>aragraph (n</w:t>
      </w:r>
      <w:proofErr w:type="gramStart"/>
      <w:r w:rsidR="00E35242">
        <w:t>)(</w:t>
      </w:r>
      <w:proofErr w:type="gramEnd"/>
      <w:r w:rsidR="00E35242">
        <w:t>4)(</w:t>
      </w:r>
      <w:proofErr w:type="spellStart"/>
      <w:r w:rsidR="00E35242">
        <w:t>i</w:t>
      </w:r>
      <w:proofErr w:type="spellEnd"/>
      <w:r w:rsidR="00E35242">
        <w:t>)</w:t>
      </w:r>
      <w:r>
        <w:t xml:space="preserve"> </w:t>
      </w:r>
      <w:r w:rsidR="00E35242">
        <w:t>requires the employer to prepare a record of the training.  This record must be maintained for three years after the completion of training.</w:t>
      </w:r>
    </w:p>
    <w:p w:rsidR="00E35242" w:rsidRDefault="00E35242" w:rsidP="00E35242">
      <w:pPr>
        <w:pStyle w:val="BodyTextFirstIndent"/>
        <w:ind w:firstLine="0"/>
        <w:rPr>
          <w:sz w:val="24"/>
          <w:szCs w:val="24"/>
          <w:lang w:val="x-none"/>
        </w:rPr>
      </w:pPr>
      <w:r>
        <w:rPr>
          <w:sz w:val="24"/>
          <w:szCs w:val="24"/>
          <w:lang w:val="x-none"/>
        </w:rPr>
        <w:t xml:space="preserve">OSHA estimates that there are </w:t>
      </w:r>
      <w:r w:rsidR="001D450C">
        <w:rPr>
          <w:sz w:val="24"/>
          <w:szCs w:val="24"/>
        </w:rPr>
        <w:t>43,457</w:t>
      </w:r>
      <w:r>
        <w:rPr>
          <w:sz w:val="24"/>
          <w:szCs w:val="24"/>
          <w:lang w:val="x-none"/>
        </w:rPr>
        <w:t xml:space="preserve"> employees that will require a training record to be generated and maintained.</w:t>
      </w:r>
      <w:r>
        <w:rPr>
          <w:sz w:val="24"/>
          <w:szCs w:val="24"/>
        </w:rPr>
        <w:t>  A</w:t>
      </w:r>
      <w:r>
        <w:rPr>
          <w:sz w:val="24"/>
          <w:szCs w:val="24"/>
          <w:lang w:val="x-none"/>
        </w:rPr>
        <w:t xml:space="preserve"> clerical</w:t>
      </w:r>
      <w:r>
        <w:rPr>
          <w:sz w:val="24"/>
          <w:szCs w:val="24"/>
        </w:rPr>
        <w:t xml:space="preserve"> worker will take</w:t>
      </w:r>
      <w:r>
        <w:rPr>
          <w:sz w:val="24"/>
          <w:szCs w:val="24"/>
          <w:lang w:val="x-none"/>
        </w:rPr>
        <w:t xml:space="preserve"> 5 minutes (0.08 hours) to prepare and maintain these records for each employee receiving training.  Baseline non-compliance with this requirement is estimated to be </w:t>
      </w:r>
      <w:r>
        <w:rPr>
          <w:sz w:val="24"/>
          <w:szCs w:val="24"/>
        </w:rPr>
        <w:t>57</w:t>
      </w:r>
      <w:r>
        <w:rPr>
          <w:sz w:val="24"/>
          <w:szCs w:val="24"/>
          <w:lang w:val="x-none"/>
        </w:rPr>
        <w:t xml:space="preserve"> percent.</w:t>
      </w:r>
    </w:p>
    <w:p w:rsidR="00E35242" w:rsidRDefault="00E35242" w:rsidP="00E35242">
      <w:pPr>
        <w:pStyle w:val="BurdenHoursCost"/>
      </w:pPr>
      <w:r>
        <w:rPr>
          <w:b/>
          <w:bCs/>
        </w:rPr>
        <w:t>Burden hours</w:t>
      </w:r>
      <w:r>
        <w:t xml:space="preserve">:  </w:t>
      </w:r>
      <w:r w:rsidR="00C96D7C">
        <w:t>43,457</w:t>
      </w:r>
      <w:r>
        <w:t xml:space="preserve"> (training records) </w:t>
      </w:r>
      <w:r>
        <w:rPr>
          <w:rFonts w:ascii="Symbol" w:hAnsi="Symbol"/>
        </w:rPr>
        <w:t></w:t>
      </w:r>
      <w:r>
        <w:t xml:space="preserve"> .57 (non-compliance rate) × 0.08 (hours of Clerical worker time) = </w:t>
      </w:r>
      <w:r w:rsidR="00C96D7C">
        <w:t>1,982</w:t>
      </w:r>
      <w:r>
        <w:rPr>
          <w:b/>
          <w:bCs/>
        </w:rPr>
        <w:t xml:space="preserve"> hours</w:t>
      </w:r>
    </w:p>
    <w:p w:rsidR="00E35242" w:rsidRDefault="00E35242" w:rsidP="00E35242">
      <w:pPr>
        <w:pStyle w:val="BurdenHoursCost"/>
      </w:pPr>
      <w:r>
        <w:rPr>
          <w:b/>
          <w:bCs/>
        </w:rPr>
        <w:t>Annual Cost</w:t>
      </w:r>
      <w:r>
        <w:t xml:space="preserve">:  </w:t>
      </w:r>
      <w:r w:rsidR="00C96D7C">
        <w:t>1,982</w:t>
      </w:r>
      <w:r>
        <w:t xml:space="preserve"> (hours) × $22.53 (Clerical worker wage) = </w:t>
      </w:r>
      <w:r>
        <w:rPr>
          <w:b/>
          <w:bCs/>
        </w:rPr>
        <w:t>$</w:t>
      </w:r>
      <w:r w:rsidR="00C96D7C">
        <w:rPr>
          <w:b/>
          <w:bCs/>
        </w:rPr>
        <w:t>44,654</w:t>
      </w:r>
    </w:p>
    <w:p w:rsidR="00E35242" w:rsidRDefault="00E35242" w:rsidP="00E35242">
      <w:pPr>
        <w:pStyle w:val="Heading4"/>
        <w:numPr>
          <w:ilvl w:val="3"/>
          <w:numId w:val="3"/>
        </w:numPr>
      </w:pPr>
      <w:bookmarkStart w:id="18" w:name="CommunicationHazCom_12"/>
      <w:bookmarkStart w:id="19" w:name="Recordkeeping_12"/>
      <w:bookmarkEnd w:id="18"/>
      <w:bookmarkEnd w:id="19"/>
      <w:r>
        <w:rPr>
          <w:lang w:val="x-none"/>
        </w:rPr>
        <w:t>Fit Testing Records</w:t>
      </w:r>
    </w:p>
    <w:p w:rsidR="00E35242" w:rsidRDefault="00E35242" w:rsidP="00E35242">
      <w:pPr>
        <w:rPr>
          <w:b/>
          <w:bCs/>
        </w:rPr>
      </w:pPr>
      <w:r>
        <w:rPr>
          <w:lang w:eastAsia="x-none"/>
        </w:rPr>
        <w:t>Under the respiratory protection program, the employer must keep records of all respirator fit testing for every employee affected.  OSHA estimates that there are 650 employees that will be fit tested for respirators.  A clerical workers will have generate and maintain these records.</w:t>
      </w:r>
      <w:r>
        <w:t xml:space="preserve"> It will </w:t>
      </w:r>
      <w:r>
        <w:lastRenderedPageBreak/>
        <w:t>take a clerical worker 5 minutes (0.08 hours) to prepare and maintain these records for each employee being tested.  The baseline for non-compliance is estimated a100 percent.</w:t>
      </w:r>
    </w:p>
    <w:p w:rsidR="00E35242" w:rsidRDefault="00E35242" w:rsidP="00E35242">
      <w:pPr>
        <w:rPr>
          <w:b/>
          <w:bCs/>
        </w:rPr>
      </w:pPr>
    </w:p>
    <w:p w:rsidR="00E35242" w:rsidRDefault="00E35242" w:rsidP="00E35242">
      <w:pPr>
        <w:pStyle w:val="BurdenHoursCost"/>
      </w:pPr>
      <w:r>
        <w:rPr>
          <w:b/>
          <w:bCs/>
        </w:rPr>
        <w:t>Burden hours</w:t>
      </w:r>
      <w:r>
        <w:t xml:space="preserve">:  650 (fit testing records) </w:t>
      </w:r>
      <w:r>
        <w:rPr>
          <w:rFonts w:ascii="Symbol" w:hAnsi="Symbol"/>
        </w:rPr>
        <w:t></w:t>
      </w:r>
      <w:r>
        <w:t xml:space="preserve"> 1</w:t>
      </w:r>
      <w:r w:rsidR="00701DC4">
        <w:t xml:space="preserve"> </w:t>
      </w:r>
      <w:r>
        <w:t xml:space="preserve">(non-compliance rate) × 0.08 (hours of Clerical worker time) = </w:t>
      </w:r>
      <w:r>
        <w:rPr>
          <w:b/>
          <w:bCs/>
        </w:rPr>
        <w:t>52 hours</w:t>
      </w:r>
    </w:p>
    <w:p w:rsidR="00E35242" w:rsidRDefault="00E35242" w:rsidP="00E35242">
      <w:pPr>
        <w:pStyle w:val="BurdenHoursCost"/>
      </w:pPr>
      <w:r>
        <w:rPr>
          <w:b/>
          <w:bCs/>
        </w:rPr>
        <w:t>Cost</w:t>
      </w:r>
      <w:r>
        <w:t xml:space="preserve">:  52 (hours) × $22.53 (Clerical worker wage) = </w:t>
      </w:r>
      <w:r>
        <w:rPr>
          <w:b/>
          <w:bCs/>
        </w:rPr>
        <w:t>$1,172</w:t>
      </w:r>
    </w:p>
    <w:p w:rsidR="00E35242" w:rsidRDefault="00E35242" w:rsidP="00E35242">
      <w:pPr>
        <w:pStyle w:val="Heading3"/>
        <w:numPr>
          <w:ilvl w:val="2"/>
          <w:numId w:val="3"/>
        </w:numPr>
      </w:pPr>
      <w:r>
        <w:t>Access to</w:t>
      </w:r>
      <w:r>
        <w:rPr>
          <w:lang w:val="x-none"/>
        </w:rPr>
        <w:t xml:space="preserve"> Records </w:t>
      </w:r>
    </w:p>
    <w:p w:rsidR="00E35242" w:rsidRDefault="00E35242" w:rsidP="00E35242">
      <w:pPr>
        <w:pStyle w:val="Heading4"/>
        <w:numPr>
          <w:ilvl w:val="3"/>
          <w:numId w:val="3"/>
        </w:numPr>
        <w:rPr>
          <w:lang w:val="x-none"/>
        </w:rPr>
      </w:pPr>
      <w:r>
        <w:t xml:space="preserve">Employee Access to </w:t>
      </w:r>
      <w:r>
        <w:rPr>
          <w:lang w:val="x-none"/>
        </w:rPr>
        <w:t>Written Exposure Control Plan 1910.1024(f</w:t>
      </w:r>
      <w:proofErr w:type="gramStart"/>
      <w:r>
        <w:rPr>
          <w:lang w:val="x-none"/>
        </w:rPr>
        <w:t>)(</w:t>
      </w:r>
      <w:proofErr w:type="gramEnd"/>
      <w:r>
        <w:rPr>
          <w:lang w:val="x-none"/>
        </w:rPr>
        <w:t xml:space="preserve">iii) </w:t>
      </w:r>
    </w:p>
    <w:p w:rsidR="00E35242" w:rsidRDefault="00E35242" w:rsidP="00E35242">
      <w:pPr>
        <w:pStyle w:val="BodyTextFirstIndent"/>
        <w:ind w:firstLine="0"/>
        <w:rPr>
          <w:sz w:val="24"/>
          <w:szCs w:val="24"/>
          <w:lang w:val="x-none"/>
        </w:rPr>
      </w:pPr>
      <w:r>
        <w:rPr>
          <w:sz w:val="24"/>
          <w:szCs w:val="24"/>
          <w:lang w:val="x-none"/>
        </w:rPr>
        <w:t xml:space="preserve">The employer </w:t>
      </w:r>
      <w:r>
        <w:rPr>
          <w:sz w:val="24"/>
          <w:szCs w:val="24"/>
        </w:rPr>
        <w:t>must</w:t>
      </w:r>
      <w:r>
        <w:rPr>
          <w:sz w:val="24"/>
          <w:szCs w:val="24"/>
          <w:lang w:val="x-none"/>
        </w:rPr>
        <w:t xml:space="preserve"> make a copy of the exposure control plan accessible to each employee who is or can reasonably be expected to be exposed to airborne beryllium in accordance with OSHA’s Access to Employee Exposure and Medical Records (Records Access) standard (29 CFR 1910.1020(e)).</w:t>
      </w:r>
    </w:p>
    <w:p w:rsidR="00E35242" w:rsidRDefault="00E35242" w:rsidP="00E35242">
      <w:pPr>
        <w:pStyle w:val="BodyTextFirstIndent"/>
        <w:ind w:firstLine="0"/>
        <w:rPr>
          <w:sz w:val="24"/>
          <w:szCs w:val="24"/>
        </w:rPr>
      </w:pPr>
      <w:r>
        <w:rPr>
          <w:sz w:val="24"/>
          <w:szCs w:val="24"/>
          <w:lang w:val="x-none"/>
        </w:rPr>
        <w:t xml:space="preserve">OSHA estimates </w:t>
      </w:r>
      <w:r>
        <w:rPr>
          <w:sz w:val="24"/>
          <w:szCs w:val="24"/>
        </w:rPr>
        <w:t xml:space="preserve">it </w:t>
      </w:r>
      <w:r>
        <w:rPr>
          <w:sz w:val="24"/>
          <w:szCs w:val="24"/>
          <w:lang w:val="x-none"/>
        </w:rPr>
        <w:t>take</w:t>
      </w:r>
      <w:r>
        <w:rPr>
          <w:sz w:val="24"/>
          <w:szCs w:val="24"/>
        </w:rPr>
        <w:t>s</w:t>
      </w:r>
      <w:r>
        <w:rPr>
          <w:sz w:val="24"/>
          <w:szCs w:val="24"/>
          <w:lang w:val="x-none"/>
        </w:rPr>
        <w:t xml:space="preserve"> 5 minutes (0.08 hours) of a </w:t>
      </w:r>
      <w:r>
        <w:rPr>
          <w:sz w:val="24"/>
          <w:szCs w:val="24"/>
        </w:rPr>
        <w:t>c</w:t>
      </w:r>
      <w:proofErr w:type="spellStart"/>
      <w:r>
        <w:rPr>
          <w:sz w:val="24"/>
          <w:szCs w:val="24"/>
          <w:lang w:val="x-none"/>
        </w:rPr>
        <w:t>lerical</w:t>
      </w:r>
      <w:proofErr w:type="spellEnd"/>
      <w:r>
        <w:rPr>
          <w:sz w:val="24"/>
          <w:szCs w:val="24"/>
          <w:lang w:val="x-none"/>
        </w:rPr>
        <w:t xml:space="preserve"> </w:t>
      </w:r>
      <w:r>
        <w:rPr>
          <w:sz w:val="24"/>
          <w:szCs w:val="24"/>
        </w:rPr>
        <w:t>w</w:t>
      </w:r>
      <w:proofErr w:type="spellStart"/>
      <w:r>
        <w:rPr>
          <w:sz w:val="24"/>
          <w:szCs w:val="24"/>
          <w:lang w:val="x-none"/>
        </w:rPr>
        <w:t>orker’s</w:t>
      </w:r>
      <w:proofErr w:type="spellEnd"/>
      <w:r>
        <w:rPr>
          <w:sz w:val="24"/>
          <w:szCs w:val="24"/>
          <w:lang w:val="x-none"/>
        </w:rPr>
        <w:t xml:space="preserve"> time to </w:t>
      </w:r>
      <w:r>
        <w:rPr>
          <w:sz w:val="24"/>
          <w:szCs w:val="24"/>
        </w:rPr>
        <w:t>make the exposure control plan accessible to the</w:t>
      </w:r>
      <w:r>
        <w:rPr>
          <w:sz w:val="24"/>
          <w:szCs w:val="24"/>
          <w:lang w:val="x-none"/>
        </w:rPr>
        <w:t xml:space="preserve"> worker. </w:t>
      </w:r>
      <w:r>
        <w:rPr>
          <w:sz w:val="24"/>
          <w:szCs w:val="24"/>
        </w:rPr>
        <w:t>OSHA estimates that</w:t>
      </w:r>
      <w:r>
        <w:rPr>
          <w:sz w:val="24"/>
          <w:szCs w:val="24"/>
          <w:lang w:val="x-none"/>
        </w:rPr>
        <w:t xml:space="preserve"> approximately </w:t>
      </w:r>
      <w:r>
        <w:rPr>
          <w:sz w:val="24"/>
          <w:szCs w:val="24"/>
        </w:rPr>
        <w:t>5%</w:t>
      </w:r>
      <w:r>
        <w:rPr>
          <w:sz w:val="24"/>
          <w:szCs w:val="24"/>
          <w:lang w:val="x-none"/>
        </w:rPr>
        <w:t xml:space="preserve"> of the </w:t>
      </w:r>
      <w:r w:rsidR="00F37A70">
        <w:rPr>
          <w:sz w:val="24"/>
          <w:szCs w:val="24"/>
        </w:rPr>
        <w:t xml:space="preserve">50,261 </w:t>
      </w:r>
      <w:r>
        <w:rPr>
          <w:sz w:val="24"/>
          <w:szCs w:val="24"/>
        </w:rPr>
        <w:t xml:space="preserve">at-risk workers, or </w:t>
      </w:r>
      <w:r w:rsidR="00F37A70">
        <w:rPr>
          <w:sz w:val="24"/>
          <w:szCs w:val="24"/>
        </w:rPr>
        <w:t>2,513</w:t>
      </w:r>
      <w:r>
        <w:rPr>
          <w:sz w:val="24"/>
          <w:szCs w:val="24"/>
        </w:rPr>
        <w:t xml:space="preserve"> workers, will request access to their records per year</w:t>
      </w:r>
      <w:r>
        <w:rPr>
          <w:sz w:val="24"/>
          <w:szCs w:val="24"/>
          <w:lang w:val="x-none"/>
        </w:rPr>
        <w:t xml:space="preserve">.  </w:t>
      </w:r>
      <w:r>
        <w:rPr>
          <w:sz w:val="24"/>
          <w:szCs w:val="24"/>
        </w:rPr>
        <w:t>Baseline non-compliance with this requirement is estimated to be 62 percent.</w:t>
      </w:r>
    </w:p>
    <w:p w:rsidR="00E35242" w:rsidRDefault="00E35242" w:rsidP="00E35242">
      <w:pPr>
        <w:pStyle w:val="BurdenHoursCost"/>
      </w:pPr>
      <w:r>
        <w:rPr>
          <w:b/>
          <w:bCs/>
        </w:rPr>
        <w:t>Burden hours</w:t>
      </w:r>
      <w:r>
        <w:t>:  2,</w:t>
      </w:r>
      <w:r w:rsidR="00C96D7C">
        <w:t>51</w:t>
      </w:r>
      <w:r>
        <w:t xml:space="preserve">3 (worker requests for medical documentation) </w:t>
      </w:r>
      <w:r>
        <w:rPr>
          <w:rFonts w:ascii="Symbol" w:hAnsi="Symbol"/>
        </w:rPr>
        <w:t></w:t>
      </w:r>
      <w:r>
        <w:t xml:space="preserve"> 0.62 (non-compliance rate) x 0.08 (hours of Clerical worker time) = </w:t>
      </w:r>
      <w:r>
        <w:rPr>
          <w:b/>
          <w:bCs/>
        </w:rPr>
        <w:t>1</w:t>
      </w:r>
      <w:r w:rsidR="00C96D7C">
        <w:rPr>
          <w:b/>
          <w:bCs/>
        </w:rPr>
        <w:t>25</w:t>
      </w:r>
      <w:r>
        <w:rPr>
          <w:b/>
          <w:bCs/>
        </w:rPr>
        <w:t xml:space="preserve"> hours</w:t>
      </w:r>
    </w:p>
    <w:p w:rsidR="00E35242" w:rsidRDefault="00E35242" w:rsidP="00E35242">
      <w:pPr>
        <w:pStyle w:val="BurdenHoursCost"/>
        <w:rPr>
          <w:b/>
          <w:bCs/>
        </w:rPr>
      </w:pPr>
      <w:r>
        <w:rPr>
          <w:b/>
          <w:bCs/>
        </w:rPr>
        <w:t>One-Time Cost</w:t>
      </w:r>
      <w:r>
        <w:t>:  1</w:t>
      </w:r>
      <w:r w:rsidR="00C96D7C">
        <w:t>25</w:t>
      </w:r>
      <w:r>
        <w:t xml:space="preserve"> (hours) </w:t>
      </w:r>
      <w:r>
        <w:rPr>
          <w:rFonts w:ascii="Symbol" w:hAnsi="Symbol"/>
        </w:rPr>
        <w:t></w:t>
      </w:r>
      <w:r>
        <w:t xml:space="preserve"> $22.53 (Clerical worker wage) = </w:t>
      </w:r>
      <w:r>
        <w:rPr>
          <w:b/>
          <w:bCs/>
        </w:rPr>
        <w:t>$</w:t>
      </w:r>
      <w:r w:rsidR="00C96D7C">
        <w:rPr>
          <w:b/>
          <w:bCs/>
        </w:rPr>
        <w:t>2,816</w:t>
      </w:r>
    </w:p>
    <w:p w:rsidR="00E35242" w:rsidRDefault="00E35242" w:rsidP="00E35242">
      <w:pPr>
        <w:pStyle w:val="Heading4"/>
        <w:numPr>
          <w:ilvl w:val="3"/>
          <w:numId w:val="3"/>
        </w:numPr>
        <w:rPr>
          <w:lang w:val="x-none"/>
        </w:rPr>
      </w:pPr>
      <w:r>
        <w:t xml:space="preserve">Employee </w:t>
      </w:r>
      <w:r>
        <w:rPr>
          <w:lang w:val="x-none"/>
        </w:rPr>
        <w:t xml:space="preserve">Access to </w:t>
      </w:r>
      <w:r>
        <w:t xml:space="preserve">Exposure Monitoring and Medical </w:t>
      </w:r>
      <w:r>
        <w:rPr>
          <w:lang w:val="x-none"/>
        </w:rPr>
        <w:t xml:space="preserve">Records </w:t>
      </w:r>
    </w:p>
    <w:p w:rsidR="00E35242" w:rsidRDefault="00E35242" w:rsidP="00E35242">
      <w:pPr>
        <w:pStyle w:val="BodyTextFirstIndent"/>
        <w:ind w:firstLine="0"/>
        <w:rPr>
          <w:sz w:val="24"/>
          <w:szCs w:val="24"/>
        </w:rPr>
      </w:pPr>
      <w:r>
        <w:rPr>
          <w:b/>
          <w:bCs/>
          <w:sz w:val="24"/>
          <w:szCs w:val="24"/>
          <w:lang w:val="x-none"/>
        </w:rPr>
        <w:t>§1910.1024 (n)(5) -- Employee Access to  Records</w:t>
      </w:r>
      <w:r>
        <w:rPr>
          <w:sz w:val="24"/>
          <w:szCs w:val="24"/>
          <w:lang w:val="x-none"/>
        </w:rPr>
        <w:t>.</w:t>
      </w:r>
    </w:p>
    <w:p w:rsidR="00E35242" w:rsidRDefault="00E35242" w:rsidP="00E35242">
      <w:pPr>
        <w:pStyle w:val="BodyTextFirstIndent"/>
        <w:ind w:firstLine="0"/>
        <w:rPr>
          <w:sz w:val="24"/>
          <w:szCs w:val="24"/>
        </w:rPr>
      </w:pPr>
      <w:r>
        <w:rPr>
          <w:sz w:val="24"/>
          <w:szCs w:val="24"/>
          <w:lang w:val="x-none"/>
        </w:rPr>
        <w:t xml:space="preserve">Upon request, the employer </w:t>
      </w:r>
      <w:r>
        <w:rPr>
          <w:sz w:val="24"/>
          <w:szCs w:val="24"/>
        </w:rPr>
        <w:t>must</w:t>
      </w:r>
      <w:r>
        <w:rPr>
          <w:sz w:val="24"/>
          <w:szCs w:val="24"/>
          <w:lang w:val="x-none"/>
        </w:rPr>
        <w:t xml:space="preserve"> make all records maintained as a requirement of this standard available for examination and copying to the Assistant Secretary, the Director, each employee, and each employee</w:t>
      </w:r>
      <w:r>
        <w:rPr>
          <w:sz w:val="24"/>
          <w:szCs w:val="24"/>
        </w:rPr>
        <w:t>’</w:t>
      </w:r>
      <w:r>
        <w:rPr>
          <w:sz w:val="24"/>
          <w:szCs w:val="24"/>
          <w:lang w:val="x-none"/>
        </w:rPr>
        <w:t>s designated representative(s) in accordance the Records Access standard (29 CFR 1910.1020).  Employers must maintain exposure records and make them available in accordance with 29 CFR 1910.1020</w:t>
      </w:r>
      <w:r>
        <w:rPr>
          <w:sz w:val="24"/>
          <w:szCs w:val="24"/>
        </w:rPr>
        <w:t>.</w:t>
      </w:r>
    </w:p>
    <w:p w:rsidR="00E35242" w:rsidRDefault="00E35242" w:rsidP="00E35242">
      <w:pPr>
        <w:pStyle w:val="BodyTextFirstIndent"/>
        <w:ind w:firstLine="0"/>
        <w:rPr>
          <w:sz w:val="24"/>
          <w:szCs w:val="24"/>
          <w:lang w:val="x-none"/>
        </w:rPr>
      </w:pPr>
      <w:r>
        <w:rPr>
          <w:sz w:val="24"/>
          <w:szCs w:val="24"/>
        </w:rPr>
        <w:t>OSHA estimates that</w:t>
      </w:r>
      <w:r>
        <w:rPr>
          <w:sz w:val="24"/>
          <w:szCs w:val="24"/>
          <w:lang w:val="x-none"/>
        </w:rPr>
        <w:t xml:space="preserve"> approximately </w:t>
      </w:r>
      <w:r>
        <w:rPr>
          <w:sz w:val="24"/>
          <w:szCs w:val="24"/>
        </w:rPr>
        <w:t>5%</w:t>
      </w:r>
      <w:r>
        <w:rPr>
          <w:sz w:val="24"/>
          <w:szCs w:val="24"/>
          <w:lang w:val="x-none"/>
        </w:rPr>
        <w:t xml:space="preserve"> of the </w:t>
      </w:r>
      <w:r w:rsidR="00CB5421">
        <w:rPr>
          <w:sz w:val="24"/>
          <w:szCs w:val="24"/>
        </w:rPr>
        <w:t>50,261</w:t>
      </w:r>
      <w:r>
        <w:rPr>
          <w:sz w:val="24"/>
          <w:szCs w:val="24"/>
        </w:rPr>
        <w:t xml:space="preserve"> at-risk workers, or </w:t>
      </w:r>
      <w:r w:rsidR="00F37A70">
        <w:rPr>
          <w:sz w:val="24"/>
          <w:szCs w:val="24"/>
        </w:rPr>
        <w:t>2,513</w:t>
      </w:r>
      <w:r>
        <w:rPr>
          <w:sz w:val="24"/>
          <w:szCs w:val="24"/>
        </w:rPr>
        <w:t xml:space="preserve"> workers, will request access to their records per year</w:t>
      </w:r>
      <w:r>
        <w:rPr>
          <w:sz w:val="24"/>
          <w:szCs w:val="24"/>
          <w:lang w:val="x-none"/>
        </w:rPr>
        <w:t xml:space="preserve">.  OSHA estimates that it takes </w:t>
      </w:r>
      <w:r>
        <w:rPr>
          <w:sz w:val="24"/>
          <w:szCs w:val="24"/>
        </w:rPr>
        <w:t>5</w:t>
      </w:r>
      <w:r>
        <w:rPr>
          <w:sz w:val="24"/>
          <w:szCs w:val="24"/>
          <w:lang w:val="x-none"/>
        </w:rPr>
        <w:t xml:space="preserve"> minutes (0.</w:t>
      </w:r>
      <w:r>
        <w:rPr>
          <w:sz w:val="24"/>
          <w:szCs w:val="24"/>
        </w:rPr>
        <w:t>08</w:t>
      </w:r>
      <w:r>
        <w:rPr>
          <w:sz w:val="24"/>
          <w:szCs w:val="24"/>
          <w:lang w:val="x-none"/>
        </w:rPr>
        <w:t xml:space="preserve"> hours) of a Clerical worker’s time to disclo</w:t>
      </w:r>
      <w:r>
        <w:rPr>
          <w:sz w:val="24"/>
          <w:szCs w:val="24"/>
        </w:rPr>
        <w:t>se</w:t>
      </w:r>
      <w:r>
        <w:rPr>
          <w:sz w:val="24"/>
          <w:szCs w:val="24"/>
          <w:lang w:val="x-none"/>
        </w:rPr>
        <w:t xml:space="preserve"> these records.  Baseline non-compliance with this requirement is estimated to be 100 percent.  The annual burden hours and cost for this task are estimated to be: </w:t>
      </w:r>
    </w:p>
    <w:p w:rsidR="00E35242" w:rsidRDefault="00E35242" w:rsidP="00E35242">
      <w:pPr>
        <w:pStyle w:val="BurdenHoursCost"/>
        <w:rPr>
          <w:b/>
          <w:bCs/>
        </w:rPr>
      </w:pPr>
      <w:r>
        <w:rPr>
          <w:b/>
          <w:bCs/>
        </w:rPr>
        <w:t>Burden hours</w:t>
      </w:r>
      <w:r>
        <w:t xml:space="preserve">: 2,513 (worker requests for medical documentation) </w:t>
      </w:r>
      <w:r>
        <w:rPr>
          <w:rFonts w:ascii="Symbol" w:hAnsi="Symbol"/>
        </w:rPr>
        <w:t></w:t>
      </w:r>
      <w:r>
        <w:t xml:space="preserve"> 1 (non-compliance rate) </w:t>
      </w:r>
      <w:r>
        <w:rPr>
          <w:rFonts w:ascii="Symbol" w:hAnsi="Symbol"/>
        </w:rPr>
        <w:t></w:t>
      </w:r>
      <w:r>
        <w:t xml:space="preserve"> 0.08 (hours of Clerical worker time) = 201</w:t>
      </w:r>
      <w:r>
        <w:rPr>
          <w:b/>
          <w:bCs/>
        </w:rPr>
        <w:t xml:space="preserve"> hours</w:t>
      </w:r>
    </w:p>
    <w:p w:rsidR="00E35242" w:rsidRDefault="00E35242" w:rsidP="00E35242">
      <w:pPr>
        <w:pStyle w:val="BurdenHoursCost"/>
        <w:rPr>
          <w:b/>
          <w:bCs/>
        </w:rPr>
      </w:pPr>
      <w:r>
        <w:rPr>
          <w:b/>
          <w:bCs/>
        </w:rPr>
        <w:lastRenderedPageBreak/>
        <w:t>Annual Cost</w:t>
      </w:r>
      <w:r>
        <w:t xml:space="preserve">:  201 (hours) </w:t>
      </w:r>
      <w:r>
        <w:rPr>
          <w:rFonts w:ascii="Symbol" w:hAnsi="Symbol"/>
        </w:rPr>
        <w:t></w:t>
      </w:r>
      <w:r>
        <w:t xml:space="preserve"> $22.53 (Clerical worker wage) = </w:t>
      </w:r>
      <w:r>
        <w:rPr>
          <w:b/>
          <w:bCs/>
        </w:rPr>
        <w:t>$4,529</w:t>
      </w:r>
    </w:p>
    <w:p w:rsidR="00E35242" w:rsidRDefault="00E35242" w:rsidP="00E35242">
      <w:pPr>
        <w:pStyle w:val="Heading3"/>
        <w:numPr>
          <w:ilvl w:val="2"/>
          <w:numId w:val="3"/>
        </w:numPr>
      </w:pPr>
      <w:r>
        <w:t>Rule Familiarization</w:t>
      </w:r>
    </w:p>
    <w:p w:rsidR="00E35242" w:rsidRDefault="00DC12A2" w:rsidP="00E35242">
      <w:pPr>
        <w:pStyle w:val="Default"/>
        <w:rPr>
          <w:color w:val="auto"/>
        </w:rPr>
      </w:pPr>
      <w:r w:rsidRPr="00DC12A2">
        <w:rPr>
          <w:color w:val="auto"/>
        </w:rPr>
        <w:t xml:space="preserve">In the current ICR, the Agency included </w:t>
      </w:r>
      <w:r w:rsidR="00EF068E">
        <w:rPr>
          <w:color w:val="auto"/>
        </w:rPr>
        <w:t xml:space="preserve">a </w:t>
      </w:r>
      <w:r w:rsidRPr="00DC12A2">
        <w:rPr>
          <w:color w:val="auto"/>
        </w:rPr>
        <w:t>one-time familiarization burden of 38,328 hours and cost of $1,536,186.  This accounted for the time a supervisor at each affected employer would spend investigating the details of the rule, and for determining how to implement it.  The Agency believes those activities will have been completed by the time the proposed rule is adopted</w:t>
      </w:r>
      <w:r w:rsidR="00EF068E">
        <w:rPr>
          <w:color w:val="auto"/>
        </w:rPr>
        <w:t>, and therefore the Agency estimat</w:t>
      </w:r>
      <w:r w:rsidRPr="00DC12A2">
        <w:rPr>
          <w:color w:val="auto"/>
        </w:rPr>
        <w:t>es no burden in this ICR for employers in general industry.</w:t>
      </w:r>
      <w:r>
        <w:rPr>
          <w:color w:val="auto"/>
        </w:rPr>
        <w:t xml:space="preserve">  </w:t>
      </w:r>
      <w:r w:rsidR="00E35242">
        <w:rPr>
          <w:color w:val="auto"/>
        </w:rPr>
        <w:t xml:space="preserve">OSHA </w:t>
      </w:r>
      <w:r w:rsidR="00243C6C">
        <w:rPr>
          <w:color w:val="auto"/>
        </w:rPr>
        <w:t xml:space="preserve">estimates that </w:t>
      </w:r>
      <w:r w:rsidR="00263001">
        <w:rPr>
          <w:color w:val="auto"/>
        </w:rPr>
        <w:t>it will take employers in construction and shipyards</w:t>
      </w:r>
      <w:r w:rsidR="00D719B8">
        <w:rPr>
          <w:color w:val="auto"/>
        </w:rPr>
        <w:t xml:space="preserve"> 6 </w:t>
      </w:r>
      <w:r w:rsidR="00263001">
        <w:rPr>
          <w:color w:val="auto"/>
        </w:rPr>
        <w:t xml:space="preserve">minutes to </w:t>
      </w:r>
      <w:r>
        <w:rPr>
          <w:color w:val="auto"/>
        </w:rPr>
        <w:t>review the proposed rule, if it becomes final, to determine that they no longer have recordkeeping obligations under the rule</w:t>
      </w:r>
      <w:r w:rsidR="00E35242">
        <w:rPr>
          <w:color w:val="auto"/>
        </w:rPr>
        <w:t xml:space="preserve">.  </w:t>
      </w:r>
    </w:p>
    <w:p w:rsidR="00E35242" w:rsidRPr="00C256BC" w:rsidRDefault="00E35242" w:rsidP="00E35242">
      <w:pPr>
        <w:pStyle w:val="Default"/>
        <w:rPr>
          <w:b/>
          <w:color w:val="auto"/>
        </w:rPr>
      </w:pPr>
    </w:p>
    <w:p w:rsidR="00EF068E" w:rsidRDefault="00EF068E" w:rsidP="00EF068E">
      <w:pPr>
        <w:pStyle w:val="Default"/>
        <w:rPr>
          <w:b/>
          <w:bCs/>
          <w:color w:val="auto"/>
        </w:rPr>
      </w:pPr>
      <w:r>
        <w:rPr>
          <w:b/>
          <w:bCs/>
          <w:i/>
          <w:iCs/>
          <w:color w:val="auto"/>
        </w:rPr>
        <w:t>Small establishment (fewer than 20 employees</w:t>
      </w:r>
      <w:r>
        <w:rPr>
          <w:b/>
          <w:bCs/>
          <w:color w:val="auto"/>
        </w:rPr>
        <w:t>)</w:t>
      </w:r>
    </w:p>
    <w:p w:rsidR="00EF068E" w:rsidRDefault="00EF068E" w:rsidP="00EF068E">
      <w:pPr>
        <w:pStyle w:val="Default"/>
        <w:rPr>
          <w:b/>
          <w:bCs/>
          <w:color w:val="auto"/>
        </w:rPr>
      </w:pPr>
    </w:p>
    <w:p w:rsidR="00EF068E" w:rsidRDefault="00EF068E" w:rsidP="00EF068E">
      <w:pPr>
        <w:ind w:left="2250" w:hanging="1530"/>
      </w:pPr>
      <w:r>
        <w:rPr>
          <w:b/>
          <w:bCs/>
        </w:rPr>
        <w:t>Burden hours</w:t>
      </w:r>
      <w:r>
        <w:t xml:space="preserve">: </w:t>
      </w:r>
      <w:r>
        <w:rPr>
          <w:b/>
          <w:bCs/>
        </w:rPr>
        <w:t> </w:t>
      </w:r>
      <w:r>
        <w:t xml:space="preserve">2,399 affected small establishments x 0.10 (hours of supervisor time) = </w:t>
      </w:r>
      <w:r>
        <w:rPr>
          <w:b/>
          <w:bCs/>
        </w:rPr>
        <w:t>240</w:t>
      </w:r>
      <w:r>
        <w:t xml:space="preserve"> </w:t>
      </w:r>
      <w:r>
        <w:rPr>
          <w:b/>
          <w:bCs/>
        </w:rPr>
        <w:t>hours</w:t>
      </w:r>
    </w:p>
    <w:p w:rsidR="00EF068E" w:rsidRDefault="00EF068E" w:rsidP="00EF068E">
      <w:pPr>
        <w:ind w:left="1710" w:hanging="450"/>
        <w:rPr>
          <w:b/>
          <w:bCs/>
          <w:i/>
          <w:iCs/>
        </w:rPr>
      </w:pPr>
      <w:r>
        <w:rPr>
          <w:b/>
          <w:bCs/>
        </w:rPr>
        <w:t>        Cost</w:t>
      </w:r>
      <w:r>
        <w:t xml:space="preserve">:  240 x $41.08 (Supervisor wage) = </w:t>
      </w:r>
      <w:r>
        <w:rPr>
          <w:b/>
          <w:bCs/>
        </w:rPr>
        <w:t>$9,</w:t>
      </w:r>
      <w:r w:rsidR="0037125F">
        <w:rPr>
          <w:b/>
          <w:bCs/>
        </w:rPr>
        <w:t>85</w:t>
      </w:r>
      <w:r w:rsidR="0008147B">
        <w:rPr>
          <w:b/>
          <w:bCs/>
        </w:rPr>
        <w:t>9</w:t>
      </w:r>
    </w:p>
    <w:p w:rsidR="00E35242" w:rsidRDefault="00E35242" w:rsidP="00E35242">
      <w:pPr>
        <w:ind w:left="1710" w:hanging="450"/>
        <w:rPr>
          <w:b/>
          <w:bCs/>
          <w:i/>
          <w:iCs/>
        </w:rPr>
      </w:pPr>
    </w:p>
    <w:p w:rsidR="00E35242" w:rsidRDefault="00E35242" w:rsidP="00E35242">
      <w:pPr>
        <w:ind w:left="1710" w:hanging="1710"/>
        <w:rPr>
          <w:b/>
          <w:bCs/>
        </w:rPr>
      </w:pPr>
      <w:r>
        <w:rPr>
          <w:b/>
          <w:bCs/>
          <w:i/>
          <w:iCs/>
        </w:rPr>
        <w:t>Medium establishment (20 to 499 employees</w:t>
      </w:r>
      <w:r>
        <w:rPr>
          <w:b/>
          <w:bCs/>
        </w:rPr>
        <w:t>)</w:t>
      </w:r>
    </w:p>
    <w:p w:rsidR="00E35242" w:rsidRDefault="00E35242" w:rsidP="00E35242">
      <w:pPr>
        <w:ind w:left="1710" w:hanging="1710"/>
        <w:rPr>
          <w:b/>
          <w:bCs/>
        </w:rPr>
      </w:pPr>
    </w:p>
    <w:p w:rsidR="00E35242" w:rsidRDefault="00E35242" w:rsidP="00E35242">
      <w:pPr>
        <w:ind w:left="2304" w:hanging="1584"/>
      </w:pPr>
      <w:r>
        <w:rPr>
          <w:b/>
          <w:bCs/>
        </w:rPr>
        <w:t>Burden hours</w:t>
      </w:r>
      <w:r>
        <w:t>:</w:t>
      </w:r>
      <w:r>
        <w:rPr>
          <w:b/>
          <w:bCs/>
        </w:rPr>
        <w:t xml:space="preserve">  </w:t>
      </w:r>
      <w:r w:rsidR="0037125F">
        <w:t>369</w:t>
      </w:r>
      <w:r>
        <w:t xml:space="preserve"> affected medium establishments x </w:t>
      </w:r>
      <w:r w:rsidR="0037125F">
        <w:t xml:space="preserve">0.10 </w:t>
      </w:r>
      <w:r>
        <w:t xml:space="preserve">(hours of supervisor time) = </w:t>
      </w:r>
      <w:r w:rsidR="0037125F">
        <w:rPr>
          <w:b/>
          <w:bCs/>
        </w:rPr>
        <w:t>37</w:t>
      </w:r>
      <w:r>
        <w:t xml:space="preserve"> </w:t>
      </w:r>
      <w:r>
        <w:rPr>
          <w:b/>
          <w:bCs/>
        </w:rPr>
        <w:t>hours</w:t>
      </w:r>
    </w:p>
    <w:p w:rsidR="00E35242" w:rsidRDefault="00E35242" w:rsidP="00E35242">
      <w:pPr>
        <w:ind w:left="2160" w:hanging="1440"/>
        <w:rPr>
          <w:b/>
          <w:bCs/>
        </w:rPr>
      </w:pPr>
      <w:r>
        <w:rPr>
          <w:b/>
          <w:bCs/>
        </w:rPr>
        <w:t>                Cost</w:t>
      </w:r>
      <w:r>
        <w:t xml:space="preserve">:  </w:t>
      </w:r>
      <w:r w:rsidR="0037125F">
        <w:t>37</w:t>
      </w:r>
      <w:r>
        <w:t xml:space="preserve"> x $41.08 (Supervisor wage) = </w:t>
      </w:r>
      <w:r>
        <w:rPr>
          <w:b/>
          <w:bCs/>
        </w:rPr>
        <w:t>$</w:t>
      </w:r>
      <w:r w:rsidR="0037125F">
        <w:rPr>
          <w:b/>
          <w:bCs/>
        </w:rPr>
        <w:t>1,5</w:t>
      </w:r>
      <w:r w:rsidR="0008147B">
        <w:rPr>
          <w:b/>
          <w:bCs/>
        </w:rPr>
        <w:t>20</w:t>
      </w:r>
    </w:p>
    <w:p w:rsidR="00E35242" w:rsidRDefault="00E35242" w:rsidP="00E35242">
      <w:pPr>
        <w:ind w:left="2160" w:hanging="1440"/>
        <w:rPr>
          <w:b/>
          <w:bCs/>
        </w:rPr>
      </w:pPr>
    </w:p>
    <w:p w:rsidR="00E35242" w:rsidRDefault="00E35242" w:rsidP="00E35242">
      <w:pPr>
        <w:ind w:left="2304" w:hanging="2304"/>
        <w:rPr>
          <w:b/>
          <w:bCs/>
          <w:i/>
          <w:iCs/>
        </w:rPr>
      </w:pPr>
      <w:r>
        <w:rPr>
          <w:b/>
          <w:bCs/>
          <w:i/>
          <w:iCs/>
        </w:rPr>
        <w:t>Large establishment (500 or more employees)</w:t>
      </w:r>
    </w:p>
    <w:p w:rsidR="00E35242" w:rsidRDefault="00E35242" w:rsidP="00E35242">
      <w:pPr>
        <w:ind w:left="2304" w:hanging="2304"/>
        <w:rPr>
          <w:b/>
          <w:bCs/>
          <w:i/>
          <w:iCs/>
        </w:rPr>
      </w:pPr>
    </w:p>
    <w:p w:rsidR="00E35242" w:rsidRDefault="00E35242" w:rsidP="00E35242">
      <w:pPr>
        <w:ind w:left="2304" w:hanging="1584"/>
      </w:pPr>
      <w:r>
        <w:rPr>
          <w:b/>
          <w:bCs/>
        </w:rPr>
        <w:t>Burden hours</w:t>
      </w:r>
      <w:r>
        <w:t>:</w:t>
      </w:r>
      <w:r>
        <w:rPr>
          <w:b/>
          <w:bCs/>
        </w:rPr>
        <w:t xml:space="preserve">  </w:t>
      </w:r>
      <w:r w:rsidR="002961C1">
        <w:t xml:space="preserve">28 </w:t>
      </w:r>
      <w:r>
        <w:t xml:space="preserve">affected establishments in large establishments x </w:t>
      </w:r>
      <w:r w:rsidR="002961C1">
        <w:t xml:space="preserve">0.10 </w:t>
      </w:r>
      <w:r>
        <w:t xml:space="preserve">(hours of supervisor time) = </w:t>
      </w:r>
      <w:r w:rsidR="002961C1">
        <w:rPr>
          <w:b/>
          <w:bCs/>
        </w:rPr>
        <w:t>3</w:t>
      </w:r>
      <w:r>
        <w:t xml:space="preserve"> </w:t>
      </w:r>
      <w:r>
        <w:rPr>
          <w:b/>
          <w:bCs/>
        </w:rPr>
        <w:t>hours</w:t>
      </w:r>
    </w:p>
    <w:p w:rsidR="00E35242" w:rsidRDefault="00E35242" w:rsidP="00E35242">
      <w:pPr>
        <w:rPr>
          <w:b/>
          <w:bCs/>
        </w:rPr>
      </w:pPr>
      <w:r>
        <w:rPr>
          <w:b/>
          <w:bCs/>
        </w:rPr>
        <w:t>                            Cost</w:t>
      </w:r>
      <w:r>
        <w:t xml:space="preserve">:  </w:t>
      </w:r>
      <w:r w:rsidR="002961C1">
        <w:t>3</w:t>
      </w:r>
      <w:r>
        <w:t xml:space="preserve"> x $41.08 (Supervisor wage) = </w:t>
      </w:r>
      <w:r>
        <w:rPr>
          <w:b/>
          <w:bCs/>
        </w:rPr>
        <w:t>$</w:t>
      </w:r>
      <w:r w:rsidR="002961C1">
        <w:rPr>
          <w:b/>
          <w:bCs/>
        </w:rPr>
        <w:t>1</w:t>
      </w:r>
      <w:r w:rsidR="0008147B">
        <w:rPr>
          <w:b/>
          <w:bCs/>
        </w:rPr>
        <w:t>23</w:t>
      </w:r>
    </w:p>
    <w:p w:rsidR="00E35242" w:rsidRDefault="00E35242" w:rsidP="00E35242">
      <w:pPr>
        <w:ind w:left="3690" w:hanging="2250"/>
        <w:rPr>
          <w:b/>
          <w:bCs/>
        </w:rPr>
      </w:pPr>
    </w:p>
    <w:p w:rsidR="00E35242" w:rsidRDefault="00E35242" w:rsidP="00E35242">
      <w:pPr>
        <w:rPr>
          <w:b/>
          <w:bCs/>
        </w:rPr>
      </w:pPr>
      <w:r>
        <w:rPr>
          <w:b/>
          <w:bCs/>
        </w:rPr>
        <w:t>Total Burden hours</w:t>
      </w:r>
      <w:r w:rsidRPr="00DC12A2">
        <w:rPr>
          <w:bCs/>
        </w:rPr>
        <w:t>:</w:t>
      </w:r>
      <w:r>
        <w:rPr>
          <w:b/>
          <w:bCs/>
        </w:rPr>
        <w:t xml:space="preserve"> </w:t>
      </w:r>
      <w:r w:rsidR="002961C1">
        <w:t>240+37+3</w:t>
      </w:r>
      <w:r>
        <w:t xml:space="preserve"> =</w:t>
      </w:r>
      <w:r>
        <w:rPr>
          <w:b/>
          <w:bCs/>
        </w:rPr>
        <w:t xml:space="preserve"> </w:t>
      </w:r>
      <w:r w:rsidR="002961C1">
        <w:rPr>
          <w:b/>
          <w:bCs/>
        </w:rPr>
        <w:t>280</w:t>
      </w:r>
    </w:p>
    <w:p w:rsidR="00E35242" w:rsidRDefault="00E35242" w:rsidP="00E35242">
      <w:pPr>
        <w:rPr>
          <w:b/>
          <w:bCs/>
        </w:rPr>
      </w:pPr>
      <w:r>
        <w:rPr>
          <w:b/>
          <w:bCs/>
        </w:rPr>
        <w:t>Total Cost</w:t>
      </w:r>
      <w:r>
        <w:t xml:space="preserve">: </w:t>
      </w:r>
      <w:r>
        <w:rPr>
          <w:b/>
          <w:bCs/>
        </w:rPr>
        <w:t> </w:t>
      </w:r>
      <w:r>
        <w:t>$</w:t>
      </w:r>
      <w:r w:rsidR="002961C1">
        <w:t>9,85</w:t>
      </w:r>
      <w:r w:rsidR="009A4EED">
        <w:t>9</w:t>
      </w:r>
      <w:r>
        <w:t>+ $</w:t>
      </w:r>
      <w:r w:rsidR="002961C1">
        <w:t>1,5</w:t>
      </w:r>
      <w:r w:rsidR="009A4EED">
        <w:t>20</w:t>
      </w:r>
      <w:r>
        <w:t xml:space="preserve"> + $</w:t>
      </w:r>
      <w:r w:rsidR="002961C1">
        <w:t>1</w:t>
      </w:r>
      <w:r w:rsidR="009A4EED">
        <w:t>23</w:t>
      </w:r>
      <w:r>
        <w:t xml:space="preserve"> =</w:t>
      </w:r>
      <w:r>
        <w:rPr>
          <w:b/>
          <w:bCs/>
        </w:rPr>
        <w:t xml:space="preserve"> $</w:t>
      </w:r>
      <w:r w:rsidR="002961C1">
        <w:rPr>
          <w:b/>
          <w:bCs/>
        </w:rPr>
        <w:t>11,</w:t>
      </w:r>
      <w:r w:rsidR="009A4EED">
        <w:rPr>
          <w:b/>
          <w:bCs/>
        </w:rPr>
        <w:t>502</w:t>
      </w:r>
    </w:p>
    <w:p w:rsidR="00E35242" w:rsidRDefault="00E35242"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A867A0" w:rsidRDefault="00A867A0" w:rsidP="00E35242">
      <w:pPr>
        <w:rPr>
          <w:b/>
          <w:bCs/>
        </w:rPr>
      </w:pPr>
    </w:p>
    <w:p w:rsidR="008A4DCB" w:rsidRDefault="008A4DCB">
      <w:pPr>
        <w:autoSpaceDE/>
        <w:autoSpaceDN/>
        <w:spacing w:after="200" w:line="276" w:lineRule="auto"/>
        <w:rPr>
          <w:b/>
          <w:bCs/>
        </w:rPr>
      </w:pPr>
      <w:r>
        <w:rPr>
          <w:b/>
          <w:bCs/>
        </w:rPr>
        <w:lastRenderedPageBreak/>
        <w:br w:type="page"/>
      </w:r>
    </w:p>
    <w:p w:rsidR="008A4DCB" w:rsidRDefault="008A4DCB" w:rsidP="00E35242">
      <w:pPr>
        <w:rPr>
          <w:b/>
          <w:bCs/>
        </w:rPr>
        <w:sectPr w:rsidR="008A4DCB" w:rsidSect="00D5052E">
          <w:headerReference w:type="default" r:id="rId9"/>
          <w:footerReference w:type="default" r:id="rId10"/>
          <w:type w:val="continuous"/>
          <w:pgSz w:w="12240" w:h="15840"/>
          <w:pgMar w:top="1440" w:right="1440" w:bottom="1440" w:left="1440" w:header="720" w:footer="720" w:gutter="0"/>
          <w:cols w:space="720"/>
          <w:docGrid w:linePitch="360"/>
        </w:sectPr>
      </w:pPr>
    </w:p>
    <w:tbl>
      <w:tblPr>
        <w:tblW w:w="13539" w:type="dxa"/>
        <w:tblCellMar>
          <w:left w:w="0" w:type="dxa"/>
          <w:right w:w="0" w:type="dxa"/>
        </w:tblCellMar>
        <w:tblLook w:val="04A0" w:firstRow="1" w:lastRow="0" w:firstColumn="1" w:lastColumn="0" w:noHBand="0" w:noVBand="1"/>
      </w:tblPr>
      <w:tblGrid>
        <w:gridCol w:w="1345"/>
        <w:gridCol w:w="981"/>
        <w:gridCol w:w="1267"/>
        <w:gridCol w:w="1116"/>
        <w:gridCol w:w="1416"/>
        <w:gridCol w:w="1089"/>
        <w:gridCol w:w="927"/>
        <w:gridCol w:w="1416"/>
        <w:gridCol w:w="723"/>
        <w:gridCol w:w="1843"/>
        <w:gridCol w:w="1416"/>
      </w:tblGrid>
      <w:tr w:rsidR="008E5645" w:rsidTr="008E5645">
        <w:trPr>
          <w:trHeight w:val="258"/>
          <w:tblHeader/>
        </w:trPr>
        <w:tc>
          <w:tcPr>
            <w:tcW w:w="13539" w:type="dxa"/>
            <w:gridSpan w:val="11"/>
            <w:tcBorders>
              <w:top w:val="nil"/>
              <w:left w:val="nil"/>
              <w:bottom w:val="single" w:sz="8" w:space="0" w:color="auto"/>
              <w:right w:val="nil"/>
            </w:tcBorders>
            <w:noWrap/>
            <w:tcMar>
              <w:top w:w="0" w:type="dxa"/>
              <w:left w:w="58" w:type="dxa"/>
              <w:bottom w:w="0" w:type="dxa"/>
              <w:right w:w="58" w:type="dxa"/>
            </w:tcMar>
            <w:hideMark/>
          </w:tcPr>
          <w:p w:rsidR="008E5645" w:rsidRDefault="008E5645" w:rsidP="008E5645">
            <w:pPr>
              <w:jc w:val="center"/>
              <w:rPr>
                <w:b/>
                <w:bCs/>
                <w:color w:val="000000"/>
              </w:rPr>
            </w:pPr>
            <w:r>
              <w:rPr>
                <w:b/>
                <w:bCs/>
                <w:sz w:val="22"/>
                <w:szCs w:val="22"/>
                <w:lang w:val="x-none" w:eastAsia="x-none"/>
              </w:rPr>
              <w:lastRenderedPageBreak/>
              <w:br w:type="page"/>
            </w:r>
            <w:r>
              <w:rPr>
                <w:b/>
                <w:bCs/>
                <w:color w:val="000000"/>
              </w:rPr>
              <w:t>Table B</w:t>
            </w:r>
            <w:r w:rsidR="002D4D3D">
              <w:rPr>
                <w:b/>
                <w:bCs/>
                <w:color w:val="000000"/>
              </w:rPr>
              <w:t>1</w:t>
            </w:r>
            <w:r>
              <w:rPr>
                <w:b/>
                <w:bCs/>
                <w:color w:val="000000"/>
              </w:rPr>
              <w:t>. Summary of Burden Hours and Cost Under Item 12 of this Supporting Statement</w:t>
            </w:r>
          </w:p>
        </w:tc>
      </w:tr>
      <w:tr w:rsidR="008E5645" w:rsidTr="008E5645">
        <w:trPr>
          <w:trHeight w:val="258"/>
          <w:tblHeader/>
        </w:trPr>
        <w:tc>
          <w:tcPr>
            <w:tcW w:w="1345" w:type="dxa"/>
            <w:vMerge w:val="restart"/>
            <w:tcBorders>
              <w:top w:val="nil"/>
              <w:left w:val="single" w:sz="8" w:space="0" w:color="auto"/>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 </w:t>
            </w:r>
          </w:p>
        </w:tc>
        <w:tc>
          <w:tcPr>
            <w:tcW w:w="981" w:type="dxa"/>
            <w:vMerge w:val="restart"/>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Frequency</w:t>
            </w:r>
          </w:p>
        </w:tc>
        <w:tc>
          <w:tcPr>
            <w:tcW w:w="1267" w:type="dxa"/>
            <w:vMerge w:val="restart"/>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Basis</w:t>
            </w:r>
          </w:p>
        </w:tc>
        <w:tc>
          <w:tcPr>
            <w:tcW w:w="1116" w:type="dxa"/>
            <w:vMerge w:val="restart"/>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Respondent</w:t>
            </w:r>
          </w:p>
        </w:tc>
        <w:tc>
          <w:tcPr>
            <w:tcW w:w="1416"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Responses per Year</w:t>
            </w:r>
          </w:p>
        </w:tc>
        <w:tc>
          <w:tcPr>
            <w:tcW w:w="1089"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Non-Compliance Rate</w:t>
            </w:r>
          </w:p>
        </w:tc>
        <w:tc>
          <w:tcPr>
            <w:tcW w:w="927"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Hours per Response</w:t>
            </w:r>
          </w:p>
        </w:tc>
        <w:tc>
          <w:tcPr>
            <w:tcW w:w="1416"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Hours per Year</w:t>
            </w:r>
          </w:p>
        </w:tc>
        <w:tc>
          <w:tcPr>
            <w:tcW w:w="723"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Loaded Hourly Wage</w:t>
            </w:r>
          </w:p>
        </w:tc>
        <w:tc>
          <w:tcPr>
            <w:tcW w:w="1843"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Total Cost</w:t>
            </w:r>
          </w:p>
        </w:tc>
        <w:tc>
          <w:tcPr>
            <w:tcW w:w="1416"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color w:val="000000"/>
                <w:sz w:val="20"/>
                <w:szCs w:val="20"/>
              </w:rPr>
            </w:pPr>
            <w:r>
              <w:rPr>
                <w:rFonts w:ascii="Calibri" w:hAnsi="Calibri"/>
                <w:b/>
                <w:bCs/>
                <w:color w:val="000000"/>
                <w:sz w:val="20"/>
                <w:szCs w:val="20"/>
              </w:rPr>
              <w:t>Total Responses</w:t>
            </w:r>
          </w:p>
        </w:tc>
      </w:tr>
      <w:tr w:rsidR="008E5645" w:rsidTr="008E5645">
        <w:trPr>
          <w:trHeight w:val="258"/>
          <w:tblHeader/>
        </w:trPr>
        <w:tc>
          <w:tcPr>
            <w:tcW w:w="0" w:type="auto"/>
            <w:vMerge/>
            <w:tcBorders>
              <w:top w:val="nil"/>
              <w:left w:val="single" w:sz="8" w:space="0" w:color="auto"/>
              <w:bottom w:val="single" w:sz="8" w:space="0" w:color="auto"/>
              <w:right w:val="single" w:sz="8" w:space="0" w:color="auto"/>
            </w:tcBorders>
            <w:vAlign w:val="center"/>
            <w:hideMark/>
          </w:tcPr>
          <w:p w:rsidR="008E5645" w:rsidRDefault="008E5645" w:rsidP="008E5645">
            <w:pPr>
              <w:autoSpaceDE/>
              <w:autoSpaceDN/>
              <w:rPr>
                <w:rFonts w:ascii="Calibri" w:hAnsi="Calibri"/>
                <w:b/>
                <w:bCs/>
                <w:color w:val="000000"/>
                <w:sz w:val="20"/>
                <w:szCs w:val="20"/>
              </w:rPr>
            </w:pPr>
          </w:p>
        </w:tc>
        <w:tc>
          <w:tcPr>
            <w:tcW w:w="0" w:type="auto"/>
            <w:vMerge/>
            <w:tcBorders>
              <w:top w:val="nil"/>
              <w:left w:val="nil"/>
              <w:bottom w:val="single" w:sz="8" w:space="0" w:color="auto"/>
              <w:right w:val="single" w:sz="8" w:space="0" w:color="auto"/>
            </w:tcBorders>
            <w:vAlign w:val="center"/>
            <w:hideMark/>
          </w:tcPr>
          <w:p w:rsidR="008E5645" w:rsidRDefault="008E5645" w:rsidP="008E5645">
            <w:pPr>
              <w:autoSpaceDE/>
              <w:autoSpaceDN/>
              <w:rPr>
                <w:rFonts w:ascii="Calibri" w:hAnsi="Calibri"/>
                <w:b/>
                <w:bCs/>
                <w:color w:val="000000"/>
                <w:sz w:val="20"/>
                <w:szCs w:val="20"/>
              </w:rPr>
            </w:pPr>
          </w:p>
        </w:tc>
        <w:tc>
          <w:tcPr>
            <w:tcW w:w="0" w:type="auto"/>
            <w:vMerge/>
            <w:tcBorders>
              <w:top w:val="nil"/>
              <w:left w:val="nil"/>
              <w:bottom w:val="single" w:sz="8" w:space="0" w:color="auto"/>
              <w:right w:val="single" w:sz="8" w:space="0" w:color="auto"/>
            </w:tcBorders>
            <w:vAlign w:val="center"/>
            <w:hideMark/>
          </w:tcPr>
          <w:p w:rsidR="008E5645" w:rsidRDefault="008E5645" w:rsidP="008E5645">
            <w:pPr>
              <w:autoSpaceDE/>
              <w:autoSpaceDN/>
              <w:rPr>
                <w:rFonts w:ascii="Calibri" w:hAnsi="Calibri"/>
                <w:b/>
                <w:bCs/>
                <w:color w:val="000000"/>
                <w:sz w:val="20"/>
                <w:szCs w:val="20"/>
              </w:rPr>
            </w:pPr>
          </w:p>
        </w:tc>
        <w:tc>
          <w:tcPr>
            <w:tcW w:w="0" w:type="auto"/>
            <w:vMerge/>
            <w:tcBorders>
              <w:top w:val="nil"/>
              <w:left w:val="nil"/>
              <w:bottom w:val="single" w:sz="8" w:space="0" w:color="auto"/>
              <w:right w:val="single" w:sz="8" w:space="0" w:color="auto"/>
            </w:tcBorders>
            <w:vAlign w:val="center"/>
            <w:hideMark/>
          </w:tcPr>
          <w:p w:rsidR="008E5645" w:rsidRDefault="008E5645" w:rsidP="008E5645">
            <w:pPr>
              <w:autoSpaceDE/>
              <w:autoSpaceDN/>
              <w:rPr>
                <w:rFonts w:ascii="Calibri" w:hAnsi="Calibri"/>
                <w:b/>
                <w:bCs/>
                <w:color w:val="000000"/>
                <w:sz w:val="20"/>
                <w:szCs w:val="20"/>
              </w:rPr>
            </w:pPr>
          </w:p>
        </w:tc>
        <w:tc>
          <w:tcPr>
            <w:tcW w:w="1416"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D33AC3" w:rsidP="008E5645">
            <w:pPr>
              <w:jc w:val="center"/>
              <w:rPr>
                <w:rFonts w:ascii="Calibri" w:hAnsi="Calibri"/>
                <w:b/>
                <w:bCs/>
                <w:i/>
                <w:iCs/>
                <w:color w:val="000000"/>
                <w:sz w:val="20"/>
                <w:szCs w:val="20"/>
              </w:rPr>
            </w:pPr>
            <w:r>
              <w:rPr>
                <w:rFonts w:ascii="Calibri" w:hAnsi="Calibri"/>
                <w:b/>
                <w:bCs/>
                <w:i/>
                <w:iCs/>
                <w:color w:val="000000"/>
                <w:sz w:val="20"/>
                <w:szCs w:val="20"/>
              </w:rPr>
              <w:t>a</w:t>
            </w:r>
          </w:p>
        </w:tc>
        <w:tc>
          <w:tcPr>
            <w:tcW w:w="1089"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b</w:t>
            </w:r>
          </w:p>
        </w:tc>
        <w:tc>
          <w:tcPr>
            <w:tcW w:w="927"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D33AC3" w:rsidP="008E5645">
            <w:pPr>
              <w:jc w:val="center"/>
              <w:rPr>
                <w:rFonts w:ascii="Calibri" w:hAnsi="Calibri"/>
                <w:b/>
                <w:bCs/>
                <w:i/>
                <w:iCs/>
                <w:color w:val="000000"/>
                <w:sz w:val="20"/>
                <w:szCs w:val="20"/>
              </w:rPr>
            </w:pPr>
            <w:r>
              <w:rPr>
                <w:rFonts w:ascii="Calibri" w:hAnsi="Calibri"/>
                <w:b/>
                <w:bCs/>
                <w:i/>
                <w:iCs/>
                <w:color w:val="000000"/>
                <w:sz w:val="20"/>
                <w:szCs w:val="20"/>
              </w:rPr>
              <w:t>c</w:t>
            </w:r>
          </w:p>
        </w:tc>
        <w:tc>
          <w:tcPr>
            <w:tcW w:w="1416"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d = a x b x c</w:t>
            </w:r>
          </w:p>
        </w:tc>
        <w:tc>
          <w:tcPr>
            <w:tcW w:w="723"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 xml:space="preserve">e </w:t>
            </w:r>
          </w:p>
        </w:tc>
        <w:tc>
          <w:tcPr>
            <w:tcW w:w="1843"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f = d x e</w:t>
            </w:r>
          </w:p>
        </w:tc>
        <w:tc>
          <w:tcPr>
            <w:tcW w:w="1416"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g = a x b</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A. Exposure Monitoring</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1. Performance Option</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Objective Data</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$0</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2. Scheduled Monitoring Option</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Initial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10,864</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5,215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$125,994</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10,429</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Periodic</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4,960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2,381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$57,525</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4,762</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Additional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1,087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522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$12,612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1,044</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color w:val="000000"/>
                <w:sz w:val="20"/>
                <w:szCs w:val="20"/>
              </w:rPr>
            </w:pP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1843" w:type="dxa"/>
            <w:tcBorders>
              <w:top w:val="nil"/>
              <w:left w:val="nil"/>
              <w:bottom w:val="single" w:sz="8" w:space="0" w:color="auto"/>
              <w:right w:val="nil"/>
            </w:tcBorders>
            <w:tcMar>
              <w:top w:w="0" w:type="dxa"/>
              <w:left w:w="58" w:type="dxa"/>
              <w:bottom w:w="0" w:type="dxa"/>
              <w:right w:w="58" w:type="dxa"/>
            </w:tcMar>
            <w:vAlign w:val="center"/>
          </w:tcPr>
          <w:p w:rsidR="008E5645" w:rsidRDefault="008E5645" w:rsidP="008E5645">
            <w:pPr>
              <w:jc w:val="right"/>
              <w:rPr>
                <w:rFonts w:ascii="Calibri" w:hAnsi="Calibri"/>
                <w:color w:val="000000"/>
                <w:sz w:val="20"/>
                <w:szCs w:val="20"/>
              </w:rPr>
            </w:pP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B. Beryllium Work Areas and Regulated Areas</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1. Written Exposure Control Plan</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3,076</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57%</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8.00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14,027</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$1,015,835</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1,753</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43,457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62%</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13,472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$975,642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26,943</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Update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43,457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62%</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0.80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21,555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$1,561,013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26,943</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2. Respirator Program</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465</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8.00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1,525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$110,441</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191</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Update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465</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381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$27,592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191</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3. Respirator Fit Testing</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Respirator Fit Testing - Labor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650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325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$7,852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650</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lastRenderedPageBreak/>
              <w:t>Respirator Fit Testing - Labor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650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325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$41.08</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$13,351</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650</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4. PPE</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Notify Cleaners in Writing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3,076</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21%</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0.17</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110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$22.53</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$2,478</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646</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5 Medical Surveillance</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Medical Exam - Initial and Annual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14,607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55%</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16,710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$403,714</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8,034</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Referral Exam - Travelling Workers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690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16,733</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$404,269</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690</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Referral Exam - Non-Travelling Workers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230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978</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$24.16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$23,628</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230</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6. Information Provided to the PLHCP</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Provide Information - Supervisor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14,607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55%</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2,008</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$41.08</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$82,489</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8,034</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keepNext/>
              <w:rPr>
                <w:rFonts w:ascii="Calibri" w:hAnsi="Calibri"/>
                <w:b/>
                <w:bCs/>
                <w:sz w:val="20"/>
                <w:szCs w:val="20"/>
              </w:rPr>
            </w:pPr>
            <w:r>
              <w:rPr>
                <w:rFonts w:ascii="Calibri" w:hAnsi="Calibri"/>
                <w:b/>
                <w:bCs/>
                <w:sz w:val="20"/>
                <w:szCs w:val="20"/>
              </w:rPr>
              <w:t>7. Licensed Physician’s Written Medical Opinion</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Process Information - Supervisor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14,607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55%</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643</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$41.08</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$26,414</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8,034</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8. Medical Removal</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Medical Removal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446</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36</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$41.08</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$1,479</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446</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lastRenderedPageBreak/>
              <w:t>C. Recordkeeping</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1. Exposure Monitoring</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Initial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10,864</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2,607</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$188,799</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10,429</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Periodic</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4,960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1,190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$86,180</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4,762</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Additional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1,087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261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$18,902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1,044</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color w:val="000000"/>
                <w:sz w:val="20"/>
                <w:szCs w:val="20"/>
              </w:rPr>
            </w:pP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c>
          <w:tcPr>
            <w:tcW w:w="1843" w:type="dxa"/>
            <w:tcBorders>
              <w:top w:val="nil"/>
              <w:left w:val="nil"/>
              <w:bottom w:val="single" w:sz="8" w:space="0" w:color="auto"/>
              <w:right w:val="nil"/>
            </w:tcBorders>
            <w:tcMar>
              <w:top w:w="0" w:type="dxa"/>
              <w:left w:w="58" w:type="dxa"/>
              <w:bottom w:w="0" w:type="dxa"/>
              <w:right w:w="58" w:type="dxa"/>
            </w:tcMar>
            <w:vAlign w:val="center"/>
          </w:tcPr>
          <w:p w:rsidR="008E5645" w:rsidRDefault="008E5645" w:rsidP="008E5645">
            <w:pPr>
              <w:jc w:val="right"/>
              <w:rPr>
                <w:rFonts w:ascii="Calibri" w:hAnsi="Calibri"/>
                <w:color w:val="000000"/>
                <w:sz w:val="20"/>
                <w:szCs w:val="20"/>
              </w:rPr>
            </w:pP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8E5645" w:rsidRDefault="008E5645" w:rsidP="008E5645">
            <w:pPr>
              <w:jc w:val="right"/>
              <w:rPr>
                <w:rFonts w:ascii="Calibri" w:hAnsi="Calibri"/>
                <w:sz w:val="20"/>
                <w:szCs w:val="20"/>
              </w:rPr>
            </w:pP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2. Medical Surveillance</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Medical Surveillance - HR Manager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15,527</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3,726</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$72.42</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$269,837</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14,906</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Medical Surveillance - Clerical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15,527</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1,192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$22.53</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$26,856</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14,906</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3. Training</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Training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43,457</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57%</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1,982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$22.53</w:t>
            </w:r>
          </w:p>
        </w:tc>
        <w:tc>
          <w:tcPr>
            <w:tcW w:w="184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$44,654</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24,770</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4. Respirator Fit Testing Records</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Respirator Fit Testing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650</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52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$22.53</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$1,172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650</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D. Employee Access to Exposure Monitoring and Medical Records</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Written Exposure Control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2513</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62%</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$22.53</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$2,816</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1,558</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Access to Records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2,513</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201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$22.53</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$4,529</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2,513</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E. Rule Familiarization</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lastRenderedPageBreak/>
              <w:t>Small Establishments (&lt; 20 Employees)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2,399</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0.10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240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$41.08</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$9,859</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2,399</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Medium Establishments (20 - 499 Employees)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369</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0.10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37</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$41.08</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$1,520</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369</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Large Establishments (≥</w:t>
            </w:r>
            <w:r>
              <w:rPr>
                <w:rFonts w:ascii="Calibri" w:hAnsi="Calibri"/>
                <w:sz w:val="17"/>
                <w:szCs w:val="17"/>
              </w:rPr>
              <w:t xml:space="preserve"> 500 Employees)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28</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0.10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3</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$41.08</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$123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28</w:t>
            </w:r>
          </w:p>
        </w:tc>
      </w:tr>
      <w:tr w:rsidR="008E5645"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rsidR="008E5645" w:rsidRDefault="008E5645" w:rsidP="008E5645">
            <w:pPr>
              <w:keepNext/>
              <w:rPr>
                <w:rFonts w:ascii="Calibri" w:hAnsi="Calibri"/>
                <w:b/>
                <w:bCs/>
                <w:sz w:val="20"/>
                <w:szCs w:val="20"/>
              </w:rPr>
            </w:pPr>
            <w:r>
              <w:rPr>
                <w:rFonts w:ascii="Calibri" w:hAnsi="Calibri"/>
                <w:b/>
                <w:bCs/>
                <w:sz w:val="20"/>
                <w:szCs w:val="20"/>
              </w:rPr>
              <w:t>Total</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First Year</w:t>
            </w:r>
            <w:r w:rsidR="00FD4FE2">
              <w:rPr>
                <w:rFonts w:ascii="Calibri" w:hAnsi="Calibri"/>
                <w:sz w:val="20"/>
                <w:szCs w:val="20"/>
              </w:rPr>
              <w:t xml:space="preserve"> Extra</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autoSpaceDE/>
              <w:autoSpaceDN/>
              <w:rPr>
                <w:rFonts w:eastAsia="Times New Roman"/>
                <w:sz w:val="20"/>
                <w:szCs w:val="20"/>
                <w:lang w:eastAsia="en-US"/>
              </w:rPr>
            </w:pPr>
            <w:r>
              <w:rPr>
                <w:rFonts w:eastAsia="Times New Roman"/>
                <w:sz w:val="20"/>
                <w:szCs w:val="20"/>
                <w:lang w:eastAsia="en-US"/>
              </w:rPr>
              <w:t>71,968</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color w:val="000000"/>
                <w:sz w:val="20"/>
                <w:szCs w:val="20"/>
              </w:rPr>
            </w:pPr>
            <w:r>
              <w:rPr>
                <w:rFonts w:ascii="Calibri" w:hAnsi="Calibri"/>
                <w:color w:val="000000"/>
                <w:sz w:val="20"/>
                <w:szCs w:val="20"/>
              </w:rPr>
              <w:t> </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autoSpaceDE/>
              <w:autoSpaceDN/>
              <w:rPr>
                <w:rFonts w:eastAsia="Times New Roman"/>
                <w:sz w:val="20"/>
                <w:szCs w:val="20"/>
                <w:lang w:eastAsia="en-US"/>
              </w:rPr>
            </w:pPr>
            <w:r>
              <w:rPr>
                <w:rFonts w:eastAsia="Times New Roman"/>
                <w:sz w:val="20"/>
                <w:szCs w:val="20"/>
                <w:lang w:eastAsia="en-US"/>
              </w:rPr>
              <w:t>37,162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color w:val="000000"/>
                <w:sz w:val="20"/>
                <w:szCs w:val="20"/>
              </w:rPr>
            </w:pPr>
            <w:r>
              <w:rPr>
                <w:rFonts w:ascii="Calibri" w:hAnsi="Calibri"/>
                <w:color w:val="000000"/>
                <w:sz w:val="20"/>
                <w:szCs w:val="20"/>
              </w:rPr>
              <w:t>$2,429,692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autoSpaceDE/>
              <w:autoSpaceDN/>
              <w:rPr>
                <w:rFonts w:eastAsia="Times New Roman"/>
                <w:sz w:val="20"/>
                <w:szCs w:val="20"/>
                <w:lang w:eastAsia="en-US"/>
              </w:rPr>
            </w:pPr>
            <w:r>
              <w:rPr>
                <w:rFonts w:eastAsia="Times New Roman"/>
                <w:sz w:val="20"/>
                <w:szCs w:val="20"/>
                <w:lang w:eastAsia="en-US"/>
              </w:rPr>
              <w:t>52,987</w:t>
            </w:r>
          </w:p>
        </w:tc>
      </w:tr>
      <w:tr w:rsidR="008E5645"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Annual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autoSpaceDE/>
              <w:autoSpaceDN/>
              <w:rPr>
                <w:rFonts w:eastAsia="Times New Roman"/>
                <w:sz w:val="20"/>
                <w:szCs w:val="20"/>
                <w:lang w:eastAsia="en-US"/>
              </w:rPr>
            </w:pPr>
            <w:r>
              <w:rPr>
                <w:rFonts w:eastAsia="Times New Roman"/>
                <w:sz w:val="20"/>
                <w:szCs w:val="20"/>
                <w:lang w:eastAsia="en-US"/>
              </w:rPr>
              <w:t>185,320</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autoSpaceDE/>
              <w:autoSpaceDN/>
              <w:rPr>
                <w:rFonts w:eastAsia="Times New Roman"/>
                <w:sz w:val="20"/>
                <w:szCs w:val="20"/>
                <w:lang w:eastAsia="en-US"/>
              </w:rPr>
            </w:pPr>
            <w:r>
              <w:rPr>
                <w:rFonts w:eastAsia="Times New Roman"/>
                <w:sz w:val="20"/>
                <w:szCs w:val="20"/>
                <w:lang w:eastAsia="en-US"/>
              </w:rPr>
              <w:t>71,400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rPr>
                <w:rFonts w:ascii="Calibri" w:hAnsi="Calibri"/>
                <w:sz w:val="20"/>
                <w:szCs w:val="20"/>
              </w:rPr>
            </w:pPr>
            <w:r>
              <w:rPr>
                <w:rFonts w:ascii="Calibri" w:hAnsi="Calibri"/>
                <w:sz w:val="20"/>
                <w:szCs w:val="20"/>
              </w:rPr>
              <w:t> </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rsidR="008E5645" w:rsidRDefault="008E5645" w:rsidP="008E5645">
            <w:pPr>
              <w:jc w:val="right"/>
              <w:rPr>
                <w:rFonts w:ascii="Calibri" w:hAnsi="Calibri"/>
                <w:sz w:val="20"/>
                <w:szCs w:val="20"/>
              </w:rPr>
            </w:pPr>
            <w:r>
              <w:rPr>
                <w:rFonts w:ascii="Calibri" w:hAnsi="Calibri"/>
                <w:sz w:val="20"/>
                <w:szCs w:val="20"/>
              </w:rPr>
              <w:t>$3,077,883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8E5645" w:rsidRDefault="008E5645" w:rsidP="008E5645">
            <w:pPr>
              <w:autoSpaceDE/>
              <w:autoSpaceDN/>
              <w:rPr>
                <w:rFonts w:eastAsia="Times New Roman"/>
                <w:sz w:val="20"/>
                <w:szCs w:val="20"/>
                <w:lang w:eastAsia="en-US"/>
              </w:rPr>
            </w:pPr>
            <w:r>
              <w:rPr>
                <w:rFonts w:eastAsia="Times New Roman"/>
                <w:sz w:val="20"/>
                <w:szCs w:val="20"/>
                <w:lang w:eastAsia="en-US"/>
              </w:rPr>
              <w:t>125,017</w:t>
            </w:r>
          </w:p>
        </w:tc>
      </w:tr>
      <w:tr w:rsidR="008E5645" w:rsidTr="008E5645">
        <w:trPr>
          <w:trHeight w:val="258"/>
        </w:trPr>
        <w:tc>
          <w:tcPr>
            <w:tcW w:w="1345" w:type="dxa"/>
            <w:tcBorders>
              <w:top w:val="nil"/>
              <w:left w:val="single" w:sz="8" w:space="0" w:color="auto"/>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FD4FE2" w:rsidP="008E5645">
            <w:pPr>
              <w:rPr>
                <w:rFonts w:ascii="Calibri" w:hAnsi="Calibri"/>
                <w:b/>
                <w:sz w:val="20"/>
                <w:szCs w:val="20"/>
              </w:rPr>
            </w:pPr>
            <w:r>
              <w:rPr>
                <w:rFonts w:ascii="Calibri" w:hAnsi="Calibri"/>
                <w:b/>
                <w:sz w:val="20"/>
                <w:szCs w:val="20"/>
              </w:rPr>
              <w:t xml:space="preserve">Year 1 </w:t>
            </w:r>
            <w:r w:rsidR="008E5645" w:rsidRPr="000F7316">
              <w:rPr>
                <w:rFonts w:ascii="Calibri" w:hAnsi="Calibri"/>
                <w:b/>
                <w:sz w:val="20"/>
                <w:szCs w:val="20"/>
              </w:rPr>
              <w:t>Total</w:t>
            </w:r>
          </w:p>
        </w:tc>
        <w:tc>
          <w:tcPr>
            <w:tcW w:w="981"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267"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116"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416" w:type="dxa"/>
            <w:tcBorders>
              <w:top w:val="nil"/>
              <w:left w:val="nil"/>
              <w:bottom w:val="single" w:sz="8" w:space="0" w:color="auto"/>
              <w:right w:val="nil"/>
            </w:tcBorders>
            <w:shd w:val="clear" w:color="auto" w:fill="92D050"/>
            <w:tcMar>
              <w:top w:w="0" w:type="dxa"/>
              <w:left w:w="58" w:type="dxa"/>
              <w:bottom w:w="0" w:type="dxa"/>
              <w:right w:w="58" w:type="dxa"/>
            </w:tcMar>
            <w:vAlign w:val="center"/>
          </w:tcPr>
          <w:p w:rsidR="008E5645" w:rsidRPr="000F7316" w:rsidRDefault="008E5645" w:rsidP="008E5645">
            <w:pPr>
              <w:autoSpaceDE/>
              <w:autoSpaceDN/>
              <w:rPr>
                <w:rFonts w:eastAsia="Times New Roman"/>
                <w:b/>
                <w:sz w:val="20"/>
                <w:szCs w:val="20"/>
                <w:lang w:eastAsia="en-US"/>
              </w:rPr>
            </w:pPr>
            <w:r w:rsidRPr="000F7316">
              <w:rPr>
                <w:rFonts w:eastAsia="Times New Roman"/>
                <w:b/>
                <w:sz w:val="20"/>
                <w:szCs w:val="20"/>
                <w:lang w:eastAsia="en-US"/>
              </w:rPr>
              <w:t>257,288</w:t>
            </w:r>
          </w:p>
        </w:tc>
        <w:tc>
          <w:tcPr>
            <w:tcW w:w="1089" w:type="dxa"/>
            <w:tcBorders>
              <w:top w:val="nil"/>
              <w:left w:val="single" w:sz="8" w:space="0" w:color="auto"/>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rPr>
                <w:rFonts w:ascii="Calibri" w:hAnsi="Calibri"/>
                <w:b/>
                <w:sz w:val="20"/>
                <w:szCs w:val="20"/>
              </w:rPr>
            </w:pPr>
            <w:r w:rsidRPr="000F7316">
              <w:rPr>
                <w:rFonts w:ascii="Calibri" w:hAnsi="Calibri"/>
                <w:b/>
                <w:sz w:val="20"/>
                <w:szCs w:val="20"/>
              </w:rPr>
              <w:t> </w:t>
            </w:r>
          </w:p>
        </w:tc>
        <w:tc>
          <w:tcPr>
            <w:tcW w:w="927"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416"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autoSpaceDE/>
              <w:autoSpaceDN/>
              <w:rPr>
                <w:rFonts w:eastAsia="Times New Roman"/>
                <w:b/>
                <w:sz w:val="20"/>
                <w:szCs w:val="20"/>
                <w:lang w:eastAsia="en-US"/>
              </w:rPr>
            </w:pPr>
            <w:r w:rsidRPr="000F7316">
              <w:rPr>
                <w:rFonts w:eastAsia="Times New Roman"/>
                <w:b/>
                <w:sz w:val="20"/>
                <w:szCs w:val="20"/>
                <w:lang w:eastAsia="en-US"/>
              </w:rPr>
              <w:t>108,56</w:t>
            </w:r>
            <w:r>
              <w:rPr>
                <w:rFonts w:eastAsia="Times New Roman"/>
                <w:b/>
                <w:sz w:val="20"/>
                <w:szCs w:val="20"/>
                <w:lang w:eastAsia="en-US"/>
              </w:rPr>
              <w:t>2</w:t>
            </w:r>
          </w:p>
        </w:tc>
        <w:tc>
          <w:tcPr>
            <w:tcW w:w="723"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843" w:type="dxa"/>
            <w:tcBorders>
              <w:top w:val="nil"/>
              <w:left w:val="nil"/>
              <w:bottom w:val="single" w:sz="8" w:space="0" w:color="auto"/>
              <w:right w:val="nil"/>
            </w:tcBorders>
            <w:shd w:val="clear" w:color="auto" w:fill="92D050"/>
            <w:tcMar>
              <w:top w:w="0" w:type="dxa"/>
              <w:left w:w="58" w:type="dxa"/>
              <w:bottom w:w="0" w:type="dxa"/>
              <w:right w:w="58" w:type="dxa"/>
            </w:tcMar>
            <w:vAlign w:val="center"/>
          </w:tcPr>
          <w:p w:rsidR="008E5645" w:rsidRPr="000F7316" w:rsidRDefault="008E5645" w:rsidP="008E5645">
            <w:pPr>
              <w:jc w:val="right"/>
              <w:rPr>
                <w:rFonts w:ascii="Calibri" w:hAnsi="Calibri"/>
                <w:b/>
                <w:sz w:val="20"/>
                <w:szCs w:val="20"/>
              </w:rPr>
            </w:pPr>
            <w:r w:rsidRPr="000F7316">
              <w:rPr>
                <w:rFonts w:ascii="Calibri" w:hAnsi="Calibri"/>
                <w:b/>
                <w:sz w:val="20"/>
                <w:szCs w:val="20"/>
              </w:rPr>
              <w:t>$</w:t>
            </w:r>
            <w:r>
              <w:rPr>
                <w:rFonts w:ascii="Calibri" w:hAnsi="Calibri"/>
                <w:b/>
                <w:sz w:val="20"/>
                <w:szCs w:val="20"/>
              </w:rPr>
              <w:t>5</w:t>
            </w:r>
            <w:r w:rsidRPr="000F7316">
              <w:rPr>
                <w:rFonts w:ascii="Calibri" w:hAnsi="Calibri"/>
                <w:b/>
                <w:sz w:val="20"/>
                <w:szCs w:val="20"/>
              </w:rPr>
              <w:t>,507,</w:t>
            </w:r>
            <w:r>
              <w:rPr>
                <w:rFonts w:ascii="Calibri" w:hAnsi="Calibri"/>
                <w:b/>
                <w:sz w:val="20"/>
                <w:szCs w:val="20"/>
              </w:rPr>
              <w:t>575</w:t>
            </w:r>
          </w:p>
        </w:tc>
        <w:tc>
          <w:tcPr>
            <w:tcW w:w="1416" w:type="dxa"/>
            <w:tcBorders>
              <w:top w:val="nil"/>
              <w:left w:val="single" w:sz="8" w:space="0" w:color="auto"/>
              <w:bottom w:val="single" w:sz="8" w:space="0" w:color="auto"/>
              <w:right w:val="single" w:sz="8" w:space="0" w:color="auto"/>
            </w:tcBorders>
            <w:shd w:val="clear" w:color="auto" w:fill="92D050"/>
            <w:tcMar>
              <w:top w:w="0" w:type="dxa"/>
              <w:left w:w="58" w:type="dxa"/>
              <w:bottom w:w="0" w:type="dxa"/>
              <w:right w:w="58" w:type="dxa"/>
            </w:tcMar>
            <w:vAlign w:val="center"/>
          </w:tcPr>
          <w:p w:rsidR="008E5645" w:rsidRPr="000F7316" w:rsidRDefault="008E5645" w:rsidP="008E5645">
            <w:pPr>
              <w:autoSpaceDE/>
              <w:autoSpaceDN/>
              <w:rPr>
                <w:rFonts w:eastAsia="Times New Roman"/>
                <w:b/>
                <w:sz w:val="20"/>
                <w:szCs w:val="20"/>
                <w:lang w:eastAsia="en-US"/>
              </w:rPr>
            </w:pPr>
            <w:r w:rsidRPr="000F7316">
              <w:rPr>
                <w:rFonts w:eastAsia="Times New Roman"/>
                <w:b/>
                <w:sz w:val="20"/>
                <w:szCs w:val="20"/>
                <w:lang w:eastAsia="en-US"/>
              </w:rPr>
              <w:t>1</w:t>
            </w:r>
            <w:r>
              <w:rPr>
                <w:rFonts w:eastAsia="Times New Roman"/>
                <w:b/>
                <w:sz w:val="20"/>
                <w:szCs w:val="20"/>
                <w:lang w:eastAsia="en-US"/>
              </w:rPr>
              <w:t>78,004</w:t>
            </w:r>
          </w:p>
        </w:tc>
      </w:tr>
      <w:tr w:rsidR="008E5645" w:rsidTr="008E5645">
        <w:trPr>
          <w:trHeight w:val="258"/>
        </w:trPr>
        <w:tc>
          <w:tcPr>
            <w:tcW w:w="1345"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Total ICR Three Year Average</w:t>
            </w:r>
          </w:p>
        </w:tc>
        <w:tc>
          <w:tcPr>
            <w:tcW w:w="981"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 </w:t>
            </w:r>
          </w:p>
        </w:tc>
        <w:tc>
          <w:tcPr>
            <w:tcW w:w="1267"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 </w:t>
            </w:r>
          </w:p>
        </w:tc>
        <w:tc>
          <w:tcPr>
            <w:tcW w:w="1116"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Default="008E5645" w:rsidP="008E5645">
            <w:pPr>
              <w:rPr>
                <w:rFonts w:ascii="Calibri" w:hAnsi="Calibri"/>
                <w:b/>
                <w:bCs/>
                <w:sz w:val="20"/>
                <w:szCs w:val="20"/>
              </w:rPr>
            </w:pPr>
            <w:r>
              <w:rPr>
                <w:rFonts w:ascii="Calibri" w:hAnsi="Calibri"/>
                <w:b/>
                <w:bCs/>
                <w:sz w:val="20"/>
                <w:szCs w:val="20"/>
              </w:rPr>
              <w:t> </w:t>
            </w:r>
          </w:p>
        </w:tc>
        <w:tc>
          <w:tcPr>
            <w:tcW w:w="1416" w:type="dxa"/>
            <w:tcBorders>
              <w:top w:val="nil"/>
              <w:left w:val="nil"/>
              <w:bottom w:val="single" w:sz="8" w:space="0" w:color="auto"/>
              <w:right w:val="nil"/>
            </w:tcBorders>
            <w:shd w:val="clear" w:color="auto" w:fill="EAF1DD" w:themeFill="accent3" w:themeFillTint="33"/>
            <w:tcMar>
              <w:top w:w="0" w:type="dxa"/>
              <w:left w:w="58" w:type="dxa"/>
              <w:bottom w:w="0" w:type="dxa"/>
              <w:right w:w="58" w:type="dxa"/>
            </w:tcMar>
            <w:vAlign w:val="center"/>
            <w:hideMark/>
          </w:tcPr>
          <w:p w:rsidR="008E5645" w:rsidRPr="003B0846" w:rsidRDefault="008E5645" w:rsidP="008E5645">
            <w:pPr>
              <w:autoSpaceDE/>
              <w:autoSpaceDN/>
              <w:rPr>
                <w:rFonts w:eastAsia="Times New Roman"/>
                <w:b/>
                <w:sz w:val="20"/>
                <w:szCs w:val="20"/>
                <w:lang w:eastAsia="en-US"/>
              </w:rPr>
            </w:pPr>
            <w:r>
              <w:rPr>
                <w:rFonts w:eastAsia="Times New Roman"/>
                <w:b/>
                <w:sz w:val="20"/>
                <w:szCs w:val="20"/>
                <w:lang w:eastAsia="en-US"/>
              </w:rPr>
              <w:t>209,309</w:t>
            </w:r>
          </w:p>
        </w:tc>
        <w:tc>
          <w:tcPr>
            <w:tcW w:w="1089"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Pr="00440F49" w:rsidRDefault="008E5645" w:rsidP="008E5645">
            <w:pPr>
              <w:rPr>
                <w:rFonts w:ascii="Calibri" w:hAnsi="Calibri"/>
                <w:b/>
                <w:bCs/>
                <w:sz w:val="20"/>
                <w:szCs w:val="20"/>
              </w:rPr>
            </w:pPr>
            <w:r w:rsidRPr="00440F49">
              <w:rPr>
                <w:rFonts w:ascii="Calibri" w:hAnsi="Calibri"/>
                <w:b/>
                <w:bCs/>
                <w:sz w:val="20"/>
                <w:szCs w:val="20"/>
              </w:rPr>
              <w:t> </w:t>
            </w:r>
          </w:p>
        </w:tc>
        <w:tc>
          <w:tcPr>
            <w:tcW w:w="927"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Pr="00F30D92" w:rsidRDefault="008E5645" w:rsidP="008E5645">
            <w:pPr>
              <w:rPr>
                <w:rFonts w:ascii="Calibri" w:hAnsi="Calibri"/>
                <w:b/>
                <w:bCs/>
                <w:sz w:val="20"/>
                <w:szCs w:val="20"/>
              </w:rPr>
            </w:pPr>
            <w:r w:rsidRPr="00F30D92">
              <w:rPr>
                <w:rFonts w:ascii="Calibri" w:hAnsi="Calibri"/>
                <w:b/>
                <w:bCs/>
                <w:sz w:val="20"/>
                <w:szCs w:val="20"/>
              </w:rPr>
              <w:t> </w:t>
            </w:r>
          </w:p>
        </w:tc>
        <w:tc>
          <w:tcPr>
            <w:tcW w:w="1416"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Pr="003B0846" w:rsidRDefault="008E5645" w:rsidP="008E5645">
            <w:pPr>
              <w:autoSpaceDE/>
              <w:autoSpaceDN/>
              <w:rPr>
                <w:rFonts w:eastAsia="Times New Roman"/>
                <w:b/>
                <w:sz w:val="20"/>
                <w:szCs w:val="20"/>
                <w:lang w:eastAsia="en-US"/>
              </w:rPr>
            </w:pPr>
            <w:r>
              <w:rPr>
                <w:rFonts w:eastAsia="Times New Roman"/>
                <w:b/>
                <w:sz w:val="20"/>
                <w:szCs w:val="20"/>
                <w:lang w:eastAsia="en-US"/>
              </w:rPr>
              <w:t>83,787</w:t>
            </w:r>
          </w:p>
        </w:tc>
        <w:tc>
          <w:tcPr>
            <w:tcW w:w="723"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Pr="00440F49" w:rsidRDefault="008E5645" w:rsidP="008E5645">
            <w:pPr>
              <w:rPr>
                <w:rFonts w:ascii="Calibri" w:hAnsi="Calibri"/>
                <w:b/>
                <w:bCs/>
                <w:sz w:val="20"/>
                <w:szCs w:val="20"/>
              </w:rPr>
            </w:pPr>
            <w:r w:rsidRPr="00440F49">
              <w:rPr>
                <w:rFonts w:ascii="Calibri" w:hAnsi="Calibri"/>
                <w:b/>
                <w:bCs/>
                <w:sz w:val="20"/>
                <w:szCs w:val="20"/>
              </w:rPr>
              <w:t> </w:t>
            </w:r>
          </w:p>
        </w:tc>
        <w:tc>
          <w:tcPr>
            <w:tcW w:w="1843" w:type="dxa"/>
            <w:tcBorders>
              <w:top w:val="nil"/>
              <w:left w:val="nil"/>
              <w:bottom w:val="single" w:sz="8" w:space="0" w:color="auto"/>
              <w:right w:val="nil"/>
            </w:tcBorders>
            <w:shd w:val="clear" w:color="auto" w:fill="EAF1DD" w:themeFill="accent3" w:themeFillTint="33"/>
            <w:tcMar>
              <w:top w:w="0" w:type="dxa"/>
              <w:left w:w="58" w:type="dxa"/>
              <w:bottom w:w="0" w:type="dxa"/>
              <w:right w:w="58" w:type="dxa"/>
            </w:tcMar>
            <w:vAlign w:val="center"/>
            <w:hideMark/>
          </w:tcPr>
          <w:p w:rsidR="008E5645" w:rsidRPr="00440F49" w:rsidRDefault="008E5645" w:rsidP="008E5645">
            <w:pPr>
              <w:jc w:val="right"/>
              <w:rPr>
                <w:rFonts w:ascii="Calibri" w:hAnsi="Calibri"/>
                <w:b/>
                <w:bCs/>
                <w:sz w:val="20"/>
                <w:szCs w:val="20"/>
              </w:rPr>
            </w:pPr>
            <w:r w:rsidRPr="00F30D92">
              <w:rPr>
                <w:rFonts w:ascii="Calibri" w:hAnsi="Calibri"/>
                <w:b/>
                <w:bCs/>
                <w:sz w:val="20"/>
                <w:szCs w:val="20"/>
              </w:rPr>
              <w:t>$</w:t>
            </w:r>
            <w:r>
              <w:rPr>
                <w:rFonts w:ascii="Calibri" w:hAnsi="Calibri"/>
                <w:b/>
                <w:bCs/>
                <w:sz w:val="20"/>
                <w:szCs w:val="20"/>
              </w:rPr>
              <w:t>3,887,780</w:t>
            </w:r>
          </w:p>
        </w:tc>
        <w:tc>
          <w:tcPr>
            <w:tcW w:w="1416"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8E5645" w:rsidRPr="003B0846" w:rsidRDefault="008E5645" w:rsidP="008E5645">
            <w:pPr>
              <w:autoSpaceDE/>
              <w:autoSpaceDN/>
              <w:rPr>
                <w:rFonts w:eastAsia="Times New Roman"/>
                <w:b/>
                <w:sz w:val="20"/>
                <w:szCs w:val="20"/>
                <w:lang w:eastAsia="en-US"/>
              </w:rPr>
            </w:pPr>
            <w:r>
              <w:rPr>
                <w:rFonts w:eastAsia="Times New Roman"/>
                <w:b/>
                <w:sz w:val="20"/>
                <w:szCs w:val="20"/>
                <w:lang w:eastAsia="en-US"/>
              </w:rPr>
              <w:t>142,679</w:t>
            </w:r>
          </w:p>
        </w:tc>
      </w:tr>
    </w:tbl>
    <w:p w:rsidR="008E5645" w:rsidRDefault="008E5645" w:rsidP="008E5645">
      <w:pPr>
        <w:rPr>
          <w:b/>
          <w:bCs/>
        </w:rPr>
      </w:pPr>
    </w:p>
    <w:p w:rsidR="008E5645" w:rsidRDefault="008E5645" w:rsidP="008E5645">
      <w:pPr>
        <w:pStyle w:val="BodyTextFirstIndent"/>
        <w:rPr>
          <w:sz w:val="24"/>
          <w:szCs w:val="24"/>
          <w:lang w:val="x-none"/>
        </w:rPr>
      </w:pPr>
    </w:p>
    <w:p w:rsidR="00A867A0" w:rsidRDefault="00A867A0" w:rsidP="00E35242">
      <w:pPr>
        <w:rPr>
          <w:b/>
          <w:bCs/>
        </w:rPr>
      </w:pPr>
    </w:p>
    <w:p w:rsidR="00A867A0" w:rsidRDefault="00A867A0" w:rsidP="00E35242">
      <w:pPr>
        <w:rPr>
          <w:b/>
          <w:bCs/>
        </w:rPr>
      </w:pPr>
    </w:p>
    <w:p w:rsidR="008A4DCB" w:rsidRDefault="008A4DCB" w:rsidP="00E35242">
      <w:pPr>
        <w:rPr>
          <w:b/>
          <w:bCs/>
        </w:rPr>
      </w:pPr>
    </w:p>
    <w:p w:rsidR="008A4DCB" w:rsidRDefault="008A4DCB" w:rsidP="00E35242">
      <w:pPr>
        <w:rPr>
          <w:b/>
          <w:bCs/>
        </w:rPr>
      </w:pPr>
    </w:p>
    <w:p w:rsidR="008A4DCB" w:rsidRDefault="008A4DCB" w:rsidP="00E35242">
      <w:pPr>
        <w:rPr>
          <w:b/>
          <w:bCs/>
        </w:rPr>
      </w:pPr>
    </w:p>
    <w:p w:rsidR="008A4DCB" w:rsidRDefault="008A4DCB" w:rsidP="00E35242">
      <w:pPr>
        <w:rPr>
          <w:b/>
          <w:bCs/>
        </w:rPr>
      </w:pPr>
    </w:p>
    <w:p w:rsidR="00233D9F" w:rsidRDefault="00233D9F" w:rsidP="00E35242">
      <w:pPr>
        <w:rPr>
          <w:b/>
          <w:bCs/>
        </w:rPr>
      </w:pPr>
      <w:r>
        <w:rPr>
          <w:b/>
          <w:bCs/>
        </w:rPr>
        <w:lastRenderedPageBreak/>
        <w:t>Table B2 -- Responses</w:t>
      </w:r>
    </w:p>
    <w:tbl>
      <w:tblPr>
        <w:tblpPr w:leftFromText="180" w:rightFromText="180" w:vertAnchor="text" w:horzAnchor="margin" w:tblpY="107"/>
        <w:tblW w:w="7710" w:type="dxa"/>
        <w:tblCellMar>
          <w:left w:w="0" w:type="dxa"/>
          <w:right w:w="0" w:type="dxa"/>
        </w:tblCellMar>
        <w:tblLook w:val="04A0" w:firstRow="1" w:lastRow="0" w:firstColumn="1" w:lastColumn="0" w:noHBand="0" w:noVBand="1"/>
      </w:tblPr>
      <w:tblGrid>
        <w:gridCol w:w="1345"/>
        <w:gridCol w:w="981"/>
        <w:gridCol w:w="1260"/>
        <w:gridCol w:w="1408"/>
        <w:gridCol w:w="1358"/>
        <w:gridCol w:w="1358"/>
      </w:tblGrid>
      <w:tr w:rsidR="006D104B" w:rsidRPr="00233D9F" w:rsidTr="00044042">
        <w:trPr>
          <w:trHeight w:val="258"/>
          <w:tblHeader/>
        </w:trPr>
        <w:tc>
          <w:tcPr>
            <w:tcW w:w="1345" w:type="dxa"/>
            <w:vMerge w:val="restart"/>
            <w:tcBorders>
              <w:top w:val="nil"/>
              <w:left w:val="single" w:sz="8" w:space="0" w:color="auto"/>
              <w:bottom w:val="single" w:sz="8" w:space="0" w:color="auto"/>
              <w:right w:val="single" w:sz="8" w:space="0" w:color="auto"/>
            </w:tcBorders>
            <w:shd w:val="clear" w:color="auto" w:fill="4BACC6"/>
            <w:tcMar>
              <w:top w:w="0" w:type="dxa"/>
              <w:left w:w="58" w:type="dxa"/>
              <w:bottom w:w="0" w:type="dxa"/>
              <w:right w:w="58" w:type="dxa"/>
            </w:tcMar>
            <w:vAlign w:val="center"/>
            <w:hideMark/>
          </w:tcPr>
          <w:p w:rsidR="006D104B" w:rsidRPr="00233D9F" w:rsidRDefault="00FA2C1C" w:rsidP="00EC214D">
            <w:pPr>
              <w:jc w:val="center"/>
              <w:rPr>
                <w:rFonts w:ascii="Calibri" w:hAnsi="Calibri"/>
                <w:bCs/>
                <w:color w:val="000000"/>
                <w:sz w:val="20"/>
                <w:szCs w:val="20"/>
              </w:rPr>
            </w:pPr>
            <w:r>
              <w:rPr>
                <w:rFonts w:ascii="Calibri" w:hAnsi="Calibri"/>
                <w:bCs/>
                <w:color w:val="000000"/>
                <w:sz w:val="20"/>
                <w:szCs w:val="20"/>
              </w:rPr>
              <w:t>Collections of Information</w:t>
            </w:r>
            <w:r w:rsidR="006D104B" w:rsidRPr="00233D9F">
              <w:rPr>
                <w:rFonts w:ascii="Calibri" w:hAnsi="Calibri"/>
                <w:bCs/>
                <w:color w:val="000000"/>
                <w:sz w:val="20"/>
                <w:szCs w:val="20"/>
              </w:rPr>
              <w:t> </w:t>
            </w:r>
          </w:p>
        </w:tc>
        <w:tc>
          <w:tcPr>
            <w:tcW w:w="981" w:type="dxa"/>
            <w:vMerge w:val="restart"/>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hideMark/>
          </w:tcPr>
          <w:p w:rsidR="006D104B" w:rsidRPr="00233D9F" w:rsidRDefault="006D104B" w:rsidP="00EC214D">
            <w:pPr>
              <w:jc w:val="center"/>
              <w:rPr>
                <w:rFonts w:ascii="Calibri" w:hAnsi="Calibri"/>
                <w:bCs/>
                <w:color w:val="000000"/>
                <w:sz w:val="20"/>
                <w:szCs w:val="20"/>
              </w:rPr>
            </w:pPr>
            <w:r w:rsidRPr="00233D9F">
              <w:rPr>
                <w:rFonts w:ascii="Calibri" w:hAnsi="Calibri"/>
                <w:bCs/>
                <w:color w:val="000000"/>
                <w:sz w:val="20"/>
                <w:szCs w:val="20"/>
              </w:rPr>
              <w:t>Frequency</w:t>
            </w:r>
          </w:p>
        </w:tc>
        <w:tc>
          <w:tcPr>
            <w:tcW w:w="1260" w:type="dxa"/>
            <w:vMerge w:val="restart"/>
            <w:tcBorders>
              <w:top w:val="nil"/>
              <w:left w:val="nil"/>
              <w:right w:val="single" w:sz="8" w:space="0" w:color="auto"/>
            </w:tcBorders>
            <w:shd w:val="clear" w:color="auto" w:fill="4BACC6"/>
            <w:tcMar>
              <w:top w:w="0" w:type="dxa"/>
              <w:left w:w="58" w:type="dxa"/>
              <w:bottom w:w="0" w:type="dxa"/>
              <w:right w:w="58" w:type="dxa"/>
            </w:tcMar>
            <w:vAlign w:val="center"/>
          </w:tcPr>
          <w:p w:rsidR="006D104B" w:rsidRPr="00233D9F" w:rsidRDefault="006D104B" w:rsidP="00EC214D">
            <w:pPr>
              <w:jc w:val="center"/>
              <w:rPr>
                <w:rFonts w:ascii="Calibri" w:hAnsi="Calibri"/>
                <w:bCs/>
                <w:color w:val="000000"/>
                <w:sz w:val="20"/>
                <w:szCs w:val="20"/>
              </w:rPr>
            </w:pPr>
            <w:r w:rsidRPr="00233D9F">
              <w:rPr>
                <w:rFonts w:ascii="Calibri" w:hAnsi="Calibri"/>
                <w:bCs/>
                <w:color w:val="000000"/>
                <w:sz w:val="20"/>
                <w:szCs w:val="20"/>
              </w:rPr>
              <w:t>Proposed</w:t>
            </w:r>
          </w:p>
          <w:p w:rsidR="006D104B" w:rsidRPr="00233D9F" w:rsidRDefault="006D104B" w:rsidP="00EC214D">
            <w:pPr>
              <w:jc w:val="center"/>
              <w:rPr>
                <w:rFonts w:ascii="Calibri" w:hAnsi="Calibri"/>
                <w:bCs/>
                <w:color w:val="000000"/>
                <w:sz w:val="20"/>
                <w:szCs w:val="20"/>
              </w:rPr>
            </w:pPr>
            <w:r w:rsidRPr="00233D9F">
              <w:rPr>
                <w:rFonts w:ascii="Calibri" w:hAnsi="Calibri"/>
                <w:bCs/>
                <w:color w:val="000000"/>
                <w:sz w:val="20"/>
                <w:szCs w:val="20"/>
              </w:rPr>
              <w:t>Responses</w:t>
            </w:r>
          </w:p>
        </w:tc>
        <w:tc>
          <w:tcPr>
            <w:tcW w:w="1408" w:type="dxa"/>
            <w:vMerge w:val="restart"/>
            <w:tcBorders>
              <w:top w:val="nil"/>
              <w:left w:val="nil"/>
              <w:right w:val="single" w:sz="8" w:space="0" w:color="auto"/>
            </w:tcBorders>
            <w:shd w:val="clear" w:color="auto" w:fill="4BACC6"/>
            <w:tcMar>
              <w:top w:w="0" w:type="dxa"/>
              <w:left w:w="58" w:type="dxa"/>
              <w:bottom w:w="0" w:type="dxa"/>
              <w:right w:w="58" w:type="dxa"/>
            </w:tcMar>
            <w:vAlign w:val="center"/>
          </w:tcPr>
          <w:p w:rsidR="006D104B" w:rsidRPr="00233D9F" w:rsidRDefault="006D104B" w:rsidP="00EC214D">
            <w:pPr>
              <w:jc w:val="center"/>
              <w:rPr>
                <w:rFonts w:ascii="Calibri" w:hAnsi="Calibri"/>
                <w:bCs/>
                <w:color w:val="000000"/>
                <w:sz w:val="20"/>
                <w:szCs w:val="20"/>
              </w:rPr>
            </w:pPr>
            <w:r w:rsidRPr="00233D9F">
              <w:rPr>
                <w:rFonts w:ascii="Calibri" w:hAnsi="Calibri"/>
                <w:bCs/>
                <w:color w:val="000000"/>
                <w:sz w:val="20"/>
                <w:szCs w:val="20"/>
              </w:rPr>
              <w:t>Current Responses</w:t>
            </w:r>
          </w:p>
        </w:tc>
        <w:tc>
          <w:tcPr>
            <w:tcW w:w="2716" w:type="dxa"/>
            <w:gridSpan w:val="2"/>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tcPr>
          <w:p w:rsidR="006D104B" w:rsidRDefault="006D104B" w:rsidP="00EC214D">
            <w:pPr>
              <w:jc w:val="center"/>
              <w:rPr>
                <w:rFonts w:ascii="Calibri" w:hAnsi="Calibri"/>
                <w:bCs/>
                <w:color w:val="000000"/>
                <w:sz w:val="20"/>
                <w:szCs w:val="20"/>
              </w:rPr>
            </w:pPr>
          </w:p>
          <w:p w:rsidR="006D104B" w:rsidRPr="00233D9F" w:rsidRDefault="006D104B" w:rsidP="00EC214D">
            <w:pPr>
              <w:jc w:val="center"/>
              <w:rPr>
                <w:rFonts w:ascii="Calibri" w:hAnsi="Calibri"/>
                <w:bCs/>
                <w:color w:val="000000"/>
                <w:sz w:val="20"/>
                <w:szCs w:val="20"/>
              </w:rPr>
            </w:pPr>
            <w:r>
              <w:rPr>
                <w:rFonts w:ascii="Calibri" w:hAnsi="Calibri"/>
                <w:bCs/>
                <w:color w:val="000000"/>
                <w:sz w:val="20"/>
                <w:szCs w:val="20"/>
              </w:rPr>
              <w:t>Requested Change</w:t>
            </w:r>
          </w:p>
          <w:p w:rsidR="006D104B" w:rsidRPr="00233D9F" w:rsidRDefault="006D104B" w:rsidP="00EC214D">
            <w:pPr>
              <w:jc w:val="center"/>
              <w:rPr>
                <w:rFonts w:ascii="Calibri" w:hAnsi="Calibri"/>
                <w:bCs/>
                <w:color w:val="000000"/>
                <w:sz w:val="20"/>
                <w:szCs w:val="20"/>
              </w:rPr>
            </w:pPr>
          </w:p>
        </w:tc>
      </w:tr>
      <w:tr w:rsidR="00AB6CFF" w:rsidRPr="00233D9F" w:rsidTr="00AB6CFF">
        <w:trPr>
          <w:trHeight w:val="258"/>
          <w:tblHeader/>
        </w:trPr>
        <w:tc>
          <w:tcPr>
            <w:tcW w:w="0" w:type="auto"/>
            <w:vMerge/>
            <w:tcBorders>
              <w:top w:val="nil"/>
              <w:left w:val="single" w:sz="8" w:space="0" w:color="auto"/>
              <w:bottom w:val="single" w:sz="8" w:space="0" w:color="auto"/>
              <w:right w:val="single" w:sz="8" w:space="0" w:color="auto"/>
            </w:tcBorders>
            <w:vAlign w:val="center"/>
            <w:hideMark/>
          </w:tcPr>
          <w:p w:rsidR="00AB6CFF" w:rsidRPr="00233D9F" w:rsidRDefault="00AB6CFF" w:rsidP="00EC214D">
            <w:pPr>
              <w:autoSpaceDE/>
              <w:autoSpaceDN/>
              <w:rPr>
                <w:rFonts w:ascii="Calibri" w:hAnsi="Calibri"/>
                <w:bCs/>
                <w:color w:val="000000"/>
                <w:sz w:val="20"/>
                <w:szCs w:val="20"/>
              </w:rPr>
            </w:pPr>
          </w:p>
        </w:tc>
        <w:tc>
          <w:tcPr>
            <w:tcW w:w="0" w:type="auto"/>
            <w:vMerge/>
            <w:tcBorders>
              <w:top w:val="nil"/>
              <w:left w:val="nil"/>
              <w:bottom w:val="single" w:sz="8" w:space="0" w:color="auto"/>
              <w:right w:val="single" w:sz="8" w:space="0" w:color="auto"/>
            </w:tcBorders>
            <w:vAlign w:val="center"/>
            <w:hideMark/>
          </w:tcPr>
          <w:p w:rsidR="00AB6CFF" w:rsidRPr="00233D9F" w:rsidRDefault="00AB6CFF" w:rsidP="00EC214D">
            <w:pPr>
              <w:autoSpaceDE/>
              <w:autoSpaceDN/>
              <w:rPr>
                <w:rFonts w:ascii="Calibri" w:hAnsi="Calibri"/>
                <w:bCs/>
                <w:color w:val="000000"/>
                <w:sz w:val="20"/>
                <w:szCs w:val="20"/>
              </w:rPr>
            </w:pPr>
          </w:p>
        </w:tc>
        <w:tc>
          <w:tcPr>
            <w:tcW w:w="1260" w:type="dxa"/>
            <w:vMerge/>
            <w:tcBorders>
              <w:left w:val="nil"/>
              <w:bottom w:val="single" w:sz="8" w:space="0" w:color="auto"/>
              <w:right w:val="single" w:sz="8" w:space="0" w:color="auto"/>
            </w:tcBorders>
            <w:shd w:val="clear" w:color="auto" w:fill="4BACC6"/>
            <w:tcMar>
              <w:top w:w="0" w:type="dxa"/>
              <w:left w:w="58" w:type="dxa"/>
              <w:bottom w:w="0" w:type="dxa"/>
              <w:right w:w="58" w:type="dxa"/>
            </w:tcMar>
            <w:vAlign w:val="center"/>
          </w:tcPr>
          <w:p w:rsidR="00AB6CFF" w:rsidRPr="00233D9F" w:rsidRDefault="00AB6CFF" w:rsidP="00EC214D">
            <w:pPr>
              <w:jc w:val="center"/>
              <w:rPr>
                <w:rFonts w:ascii="Calibri" w:hAnsi="Calibri"/>
                <w:bCs/>
                <w:i/>
                <w:iCs/>
                <w:color w:val="000000"/>
                <w:sz w:val="20"/>
                <w:szCs w:val="20"/>
              </w:rPr>
            </w:pPr>
          </w:p>
        </w:tc>
        <w:tc>
          <w:tcPr>
            <w:tcW w:w="1408" w:type="dxa"/>
            <w:vMerge/>
            <w:tcBorders>
              <w:left w:val="nil"/>
              <w:bottom w:val="single" w:sz="8" w:space="0" w:color="auto"/>
              <w:right w:val="single" w:sz="8" w:space="0" w:color="auto"/>
            </w:tcBorders>
            <w:shd w:val="clear" w:color="auto" w:fill="4BACC6"/>
            <w:tcMar>
              <w:top w:w="0" w:type="dxa"/>
              <w:left w:w="58" w:type="dxa"/>
              <w:bottom w:w="0" w:type="dxa"/>
              <w:right w:w="58" w:type="dxa"/>
            </w:tcMar>
            <w:vAlign w:val="center"/>
          </w:tcPr>
          <w:p w:rsidR="00AB6CFF" w:rsidRPr="00233D9F" w:rsidRDefault="00AB6CFF" w:rsidP="00EC214D">
            <w:pPr>
              <w:jc w:val="center"/>
              <w:rPr>
                <w:rFonts w:ascii="Calibri" w:hAnsi="Calibri"/>
                <w:bCs/>
                <w:i/>
                <w:iCs/>
                <w:color w:val="000000"/>
                <w:sz w:val="20"/>
                <w:szCs w:val="20"/>
              </w:rPr>
            </w:pPr>
          </w:p>
        </w:tc>
        <w:tc>
          <w:tcPr>
            <w:tcW w:w="1358" w:type="dxa"/>
            <w:tcBorders>
              <w:top w:val="nil"/>
              <w:left w:val="nil"/>
              <w:bottom w:val="single" w:sz="8" w:space="0" w:color="auto"/>
              <w:right w:val="single" w:sz="8" w:space="0" w:color="auto"/>
            </w:tcBorders>
            <w:shd w:val="clear" w:color="auto" w:fill="4BACC6"/>
            <w:tcMar>
              <w:top w:w="0" w:type="dxa"/>
              <w:left w:w="58" w:type="dxa"/>
              <w:bottom w:w="0" w:type="dxa"/>
              <w:right w:w="58" w:type="dxa"/>
            </w:tcMar>
            <w:vAlign w:val="center"/>
          </w:tcPr>
          <w:p w:rsidR="00AB6CFF" w:rsidRPr="00233D9F" w:rsidRDefault="00AB6CFF" w:rsidP="00EC214D">
            <w:pPr>
              <w:jc w:val="center"/>
              <w:rPr>
                <w:rFonts w:ascii="Calibri" w:hAnsi="Calibri"/>
                <w:bCs/>
                <w:i/>
                <w:iCs/>
                <w:color w:val="000000"/>
                <w:sz w:val="20"/>
                <w:szCs w:val="20"/>
              </w:rPr>
            </w:pPr>
            <w:r w:rsidRPr="00233D9F">
              <w:rPr>
                <w:rFonts w:ascii="Calibri" w:hAnsi="Calibri"/>
                <w:bCs/>
                <w:i/>
                <w:iCs/>
                <w:color w:val="000000"/>
                <w:sz w:val="20"/>
                <w:szCs w:val="20"/>
              </w:rPr>
              <w:t>Adjustment</w:t>
            </w:r>
          </w:p>
        </w:tc>
        <w:tc>
          <w:tcPr>
            <w:tcW w:w="1358" w:type="dxa"/>
            <w:tcBorders>
              <w:top w:val="nil"/>
              <w:left w:val="nil"/>
              <w:bottom w:val="single" w:sz="8" w:space="0" w:color="auto"/>
              <w:right w:val="single" w:sz="8" w:space="0" w:color="auto"/>
            </w:tcBorders>
            <w:shd w:val="clear" w:color="auto" w:fill="4BACC6"/>
          </w:tcPr>
          <w:p w:rsidR="00AB6CFF" w:rsidRPr="00233D9F" w:rsidRDefault="00AB6CFF" w:rsidP="00EC214D">
            <w:pPr>
              <w:jc w:val="center"/>
              <w:rPr>
                <w:rFonts w:ascii="Calibri" w:hAnsi="Calibri"/>
                <w:bCs/>
                <w:i/>
                <w:iCs/>
                <w:color w:val="000000"/>
                <w:sz w:val="20"/>
                <w:szCs w:val="20"/>
              </w:rPr>
            </w:pPr>
            <w:r w:rsidRPr="00233D9F">
              <w:rPr>
                <w:rFonts w:ascii="Calibri" w:hAnsi="Calibri"/>
                <w:bCs/>
                <w:i/>
                <w:iCs/>
                <w:color w:val="000000"/>
                <w:sz w:val="20"/>
                <w:szCs w:val="20"/>
              </w:rPr>
              <w:t>Program change</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Objective Data</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color w:val="000000"/>
                <w:sz w:val="20"/>
                <w:szCs w:val="20"/>
              </w:rPr>
            </w:pPr>
            <w:r w:rsidRPr="00233D9F">
              <w:rPr>
                <w:rFonts w:ascii="Calibri" w:hAnsi="Calibri"/>
                <w:color w:val="000000"/>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color w:val="000000"/>
                <w:sz w:val="20"/>
                <w:szCs w:val="20"/>
              </w:rPr>
              <w:t>0</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Initial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10,429</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13,737</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-3,308</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Periodic</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4,762</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8,320</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-3,558</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Additional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1,044</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1,374</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-330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1,753</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3,347</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-1,594</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26,943</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34,065</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-7,122</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Update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26,943</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34,065</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-7,122</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191</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191</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Update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191</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191</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Respirator Fit Testing - Labor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650</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650</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Respirator Fit Testing - Labor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650</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650</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Notify Cleaners in Writing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646</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1,233</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jc w:val="right"/>
              <w:rPr>
                <w:rFonts w:ascii="Calibri" w:hAnsi="Calibri"/>
                <w:sz w:val="20"/>
                <w:szCs w:val="20"/>
              </w:rPr>
            </w:pPr>
          </w:p>
          <w:p w:rsidR="00AB6CFF" w:rsidRPr="00233D9F" w:rsidRDefault="00AB6CFF" w:rsidP="00EC214D">
            <w:pPr>
              <w:jc w:val="right"/>
              <w:rPr>
                <w:rFonts w:ascii="Calibri" w:hAnsi="Calibri"/>
                <w:sz w:val="20"/>
                <w:szCs w:val="20"/>
              </w:rPr>
            </w:pPr>
            <w:r w:rsidRPr="00233D9F">
              <w:rPr>
                <w:rFonts w:ascii="Calibri" w:hAnsi="Calibri"/>
                <w:sz w:val="20"/>
                <w:szCs w:val="20"/>
              </w:rPr>
              <w:t>-587</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Medical Exam - Initial and Annual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8,034</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11,768</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-3,734</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Referral Exam - Travelling Workers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690</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1,011</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-321</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Referral Exam - Non-Travelling Workers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230</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337</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-107</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 xml:space="preserve">Provide </w:t>
            </w:r>
            <w:r w:rsidRPr="00233D9F">
              <w:rPr>
                <w:rFonts w:ascii="Calibri" w:hAnsi="Calibri"/>
                <w:sz w:val="20"/>
                <w:szCs w:val="20"/>
              </w:rPr>
              <w:lastRenderedPageBreak/>
              <w:t xml:space="preserve">Information </w:t>
            </w:r>
            <w:r>
              <w:rPr>
                <w:rFonts w:ascii="Calibri" w:hAnsi="Calibri"/>
                <w:sz w:val="20"/>
                <w:szCs w:val="20"/>
              </w:rPr>
              <w:t>–</w:t>
            </w:r>
            <w:r w:rsidRPr="00233D9F">
              <w:rPr>
                <w:rFonts w:ascii="Calibri" w:hAnsi="Calibri"/>
                <w:sz w:val="20"/>
                <w:szCs w:val="20"/>
              </w:rPr>
              <w:t xml:space="preserve"> Supervisor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lastRenderedPageBreak/>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8,034</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11,768</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jc w:val="right"/>
              <w:rPr>
                <w:rFonts w:ascii="Calibri" w:hAnsi="Calibri"/>
                <w:sz w:val="20"/>
                <w:szCs w:val="20"/>
              </w:rPr>
            </w:pPr>
            <w:r w:rsidRPr="00233D9F">
              <w:rPr>
                <w:rFonts w:ascii="Calibri" w:hAnsi="Calibri"/>
                <w:sz w:val="20"/>
                <w:szCs w:val="20"/>
              </w:rPr>
              <w:t>-3,734</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lastRenderedPageBreak/>
              <w:t>Process Information - Supervisor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8,034</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11,768</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jc w:val="right"/>
              <w:rPr>
                <w:rFonts w:ascii="Calibri" w:hAnsi="Calibri"/>
                <w:sz w:val="20"/>
                <w:szCs w:val="20"/>
              </w:rPr>
            </w:pPr>
            <w:r w:rsidRPr="00233D9F">
              <w:rPr>
                <w:rFonts w:ascii="Calibri" w:hAnsi="Calibri"/>
                <w:sz w:val="20"/>
                <w:szCs w:val="20"/>
              </w:rPr>
              <w:t>-3,734</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Medical Removal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446</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color w:val="000000"/>
                <w:sz w:val="20"/>
                <w:szCs w:val="20"/>
              </w:rPr>
              <w:t>778</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jc w:val="right"/>
              <w:rPr>
                <w:rFonts w:ascii="Calibri" w:hAnsi="Calibri"/>
                <w:sz w:val="20"/>
                <w:szCs w:val="20"/>
              </w:rPr>
            </w:pPr>
            <w:r w:rsidRPr="00233D9F">
              <w:rPr>
                <w:rFonts w:ascii="Calibri" w:hAnsi="Calibri"/>
                <w:sz w:val="20"/>
                <w:szCs w:val="20"/>
              </w:rPr>
              <w:t>-332</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Initial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10,429</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13,737</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-3,308</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Periodic</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4,762</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8,320</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-3,558</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Additional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1,044</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1,374</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-330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Medical Surveillance - HR Manager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14,906</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21,835</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-6,929</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Medical Surveillance - Clerical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14,906</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21,835</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-6,929</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Training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24,770</w:t>
            </w:r>
          </w:p>
        </w:tc>
        <w:tc>
          <w:tcPr>
            <w:tcW w:w="1408"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31,318</w:t>
            </w:r>
          </w:p>
        </w:tc>
        <w:tc>
          <w:tcPr>
            <w:tcW w:w="13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nil"/>
              <w:bottom w:val="single" w:sz="8" w:space="0" w:color="auto"/>
              <w:right w:val="single" w:sz="8" w:space="0" w:color="auto"/>
            </w:tcBorders>
          </w:tcPr>
          <w:p w:rsidR="00AB6CFF" w:rsidRPr="00233D9F" w:rsidRDefault="00AB6CFF" w:rsidP="00EC214D">
            <w:pPr>
              <w:jc w:val="right"/>
              <w:rPr>
                <w:rFonts w:ascii="Calibri" w:hAnsi="Calibri"/>
                <w:sz w:val="20"/>
                <w:szCs w:val="20"/>
              </w:rPr>
            </w:pPr>
            <w:r w:rsidRPr="00233D9F">
              <w:rPr>
                <w:rFonts w:ascii="Calibri" w:hAnsi="Calibri"/>
                <w:sz w:val="20"/>
                <w:szCs w:val="20"/>
              </w:rPr>
              <w:t>-6,548</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Respirator Fit Testing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650</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650</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Written Exposure Control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color w:val="000000"/>
                <w:sz w:val="20"/>
                <w:szCs w:val="20"/>
              </w:rPr>
            </w:pPr>
            <w:r w:rsidRPr="00233D9F">
              <w:rPr>
                <w:rFonts w:ascii="Calibri" w:hAnsi="Calibri"/>
                <w:color w:val="000000"/>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1,558</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1,914</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-356</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Access to Records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2,513</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3,087</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-574</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Small Establishments (&lt; 20 Employees)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2,399</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5,644</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-5,644</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+2,399</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Medium Establishments (20 - 499 Employees)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369</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1,619</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-1,619</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+369</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 xml:space="preserve">Large Establishments </w:t>
            </w:r>
            <w:r w:rsidRPr="00233D9F">
              <w:rPr>
                <w:rFonts w:ascii="Calibri" w:hAnsi="Calibri"/>
                <w:sz w:val="20"/>
                <w:szCs w:val="20"/>
              </w:rPr>
              <w:lastRenderedPageBreak/>
              <w:t>(≥</w:t>
            </w:r>
            <w:r w:rsidR="00B54136">
              <w:rPr>
                <w:rFonts w:ascii="Calibri" w:hAnsi="Calibri"/>
                <w:sz w:val="17"/>
                <w:szCs w:val="17"/>
              </w:rPr>
              <w:t xml:space="preserve"> 50</w:t>
            </w:r>
            <w:r w:rsidRPr="00233D9F">
              <w:rPr>
                <w:rFonts w:ascii="Calibri" w:hAnsi="Calibri"/>
                <w:sz w:val="17"/>
                <w:szCs w:val="17"/>
              </w:rPr>
              <w:t xml:space="preserve"> Employees)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lastRenderedPageBreak/>
              <w:t>First Year</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28</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sz w:val="20"/>
                <w:szCs w:val="20"/>
              </w:rPr>
              <w:t>70</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-70</w:t>
            </w:r>
          </w:p>
        </w:tc>
        <w:tc>
          <w:tcPr>
            <w:tcW w:w="1358" w:type="dxa"/>
            <w:tcBorders>
              <w:top w:val="nil"/>
              <w:left w:val="single" w:sz="8" w:space="0" w:color="auto"/>
              <w:bottom w:val="single" w:sz="8" w:space="0" w:color="auto"/>
              <w:right w:val="single" w:sz="8" w:space="0" w:color="auto"/>
            </w:tcBorders>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+28</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lastRenderedPageBreak/>
              <w:t>First Year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 </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Theme="minorHAnsi" w:hAnsiTheme="minorHAnsi"/>
                <w:sz w:val="20"/>
                <w:szCs w:val="20"/>
              </w:rPr>
            </w:pPr>
            <w:r w:rsidRPr="00233D9F">
              <w:rPr>
                <w:rFonts w:asciiTheme="minorHAnsi" w:eastAsia="Times New Roman" w:hAnsiTheme="minorHAnsi"/>
                <w:sz w:val="20"/>
                <w:szCs w:val="20"/>
                <w:lang w:eastAsia="en-US"/>
              </w:rPr>
              <w:t>52,987</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color w:val="000000"/>
                <w:sz w:val="20"/>
                <w:szCs w:val="20"/>
              </w:rPr>
            </w:pPr>
            <w:r w:rsidRPr="00233D9F">
              <w:rPr>
                <w:rFonts w:ascii="Calibri" w:hAnsi="Calibri"/>
                <w:color w:val="000000"/>
                <w:sz w:val="20"/>
                <w:szCs w:val="20"/>
              </w:rPr>
              <w:t>73,188</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autoSpaceDE/>
              <w:autoSpaceDN/>
              <w:jc w:val="right"/>
              <w:rPr>
                <w:rFonts w:eastAsia="Times New Roman"/>
                <w:sz w:val="20"/>
                <w:szCs w:val="20"/>
                <w:lang w:eastAsia="en-US"/>
              </w:rPr>
            </w:pPr>
            <w:r w:rsidRPr="00233D9F">
              <w:rPr>
                <w:rFonts w:eastAsia="Times New Roman"/>
                <w:sz w:val="20"/>
                <w:szCs w:val="20"/>
                <w:lang w:eastAsia="en-US"/>
              </w:rPr>
              <w:t>-7,333</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autoSpaceDE/>
              <w:autoSpaceDN/>
              <w:jc w:val="right"/>
              <w:rPr>
                <w:rFonts w:eastAsia="Times New Roman"/>
                <w:sz w:val="20"/>
                <w:szCs w:val="20"/>
                <w:lang w:eastAsia="en-US"/>
              </w:rPr>
            </w:pPr>
            <w:r w:rsidRPr="00233D9F">
              <w:rPr>
                <w:rFonts w:eastAsia="Times New Roman"/>
                <w:sz w:val="20"/>
                <w:szCs w:val="20"/>
                <w:lang w:eastAsia="en-US"/>
              </w:rPr>
              <w:t>-12,868</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Annual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Calibri" w:hAnsi="Calibri"/>
                <w:sz w:val="20"/>
                <w:szCs w:val="20"/>
              </w:rPr>
            </w:pPr>
            <w:r w:rsidRPr="00233D9F">
              <w:rPr>
                <w:rFonts w:ascii="Calibri" w:hAnsi="Calibri"/>
                <w:sz w:val="20"/>
                <w:szCs w:val="20"/>
              </w:rPr>
              <w:t> </w:t>
            </w:r>
          </w:p>
        </w:tc>
        <w:tc>
          <w:tcPr>
            <w:tcW w:w="126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AB6CFF" w:rsidRPr="00233D9F" w:rsidRDefault="00AB6CFF" w:rsidP="00EC214D">
            <w:pPr>
              <w:rPr>
                <w:rFonts w:asciiTheme="minorHAnsi" w:hAnsiTheme="minorHAnsi"/>
                <w:sz w:val="20"/>
                <w:szCs w:val="20"/>
              </w:rPr>
            </w:pPr>
            <w:r w:rsidRPr="00233D9F">
              <w:rPr>
                <w:rFonts w:asciiTheme="minorHAnsi" w:eastAsia="Times New Roman" w:hAnsiTheme="minorHAnsi"/>
                <w:sz w:val="20"/>
                <w:szCs w:val="20"/>
                <w:lang w:eastAsia="en-US"/>
              </w:rPr>
              <w:t>125,017</w:t>
            </w:r>
          </w:p>
        </w:tc>
        <w:tc>
          <w:tcPr>
            <w:tcW w:w="1408" w:type="dxa"/>
            <w:tcBorders>
              <w:top w:val="nil"/>
              <w:left w:val="nil"/>
              <w:bottom w:val="single" w:sz="8" w:space="0" w:color="auto"/>
              <w:right w:val="nil"/>
            </w:tcBorders>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sz w:val="20"/>
                <w:szCs w:val="20"/>
              </w:rPr>
              <w:t>173,468</w:t>
            </w:r>
          </w:p>
        </w:tc>
        <w:tc>
          <w:tcPr>
            <w:tcW w:w="1358"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rsidR="00AB6CFF" w:rsidRPr="00233D9F" w:rsidRDefault="00AB6CFF" w:rsidP="00EC214D">
            <w:pPr>
              <w:autoSpaceDE/>
              <w:autoSpaceDN/>
              <w:jc w:val="right"/>
              <w:rPr>
                <w:rFonts w:eastAsia="Times New Roman"/>
                <w:sz w:val="20"/>
                <w:szCs w:val="20"/>
                <w:lang w:eastAsia="en-US"/>
              </w:rPr>
            </w:pPr>
            <w:r w:rsidRPr="00233D9F">
              <w:rPr>
                <w:rFonts w:eastAsia="Times New Roman"/>
                <w:sz w:val="20"/>
                <w:szCs w:val="20"/>
                <w:lang w:eastAsia="en-US"/>
              </w:rPr>
              <w:t>0</w:t>
            </w:r>
          </w:p>
        </w:tc>
        <w:tc>
          <w:tcPr>
            <w:tcW w:w="1358" w:type="dxa"/>
            <w:tcBorders>
              <w:top w:val="nil"/>
              <w:left w:val="single" w:sz="8" w:space="0" w:color="auto"/>
              <w:bottom w:val="single" w:sz="8" w:space="0" w:color="auto"/>
              <w:right w:val="single" w:sz="8" w:space="0" w:color="auto"/>
            </w:tcBorders>
          </w:tcPr>
          <w:p w:rsidR="00AB6CFF" w:rsidRPr="00233D9F" w:rsidRDefault="00AB6CFF" w:rsidP="00EC214D">
            <w:pPr>
              <w:autoSpaceDE/>
              <w:autoSpaceDN/>
              <w:jc w:val="right"/>
              <w:rPr>
                <w:rFonts w:eastAsia="Times New Roman"/>
                <w:sz w:val="20"/>
                <w:szCs w:val="20"/>
                <w:lang w:eastAsia="en-US"/>
              </w:rPr>
            </w:pPr>
            <w:r w:rsidRPr="00233D9F">
              <w:rPr>
                <w:rFonts w:eastAsia="Times New Roman"/>
                <w:sz w:val="20"/>
                <w:szCs w:val="20"/>
                <w:lang w:eastAsia="en-US"/>
              </w:rPr>
              <w:t>-48,451</w:t>
            </w: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shd w:val="clear" w:color="auto" w:fill="92D050"/>
            <w:tcMar>
              <w:top w:w="0" w:type="dxa"/>
              <w:left w:w="58" w:type="dxa"/>
              <w:bottom w:w="0" w:type="dxa"/>
              <w:right w:w="58" w:type="dxa"/>
            </w:tcMar>
            <w:vAlign w:val="center"/>
          </w:tcPr>
          <w:p w:rsidR="00AB6CFF" w:rsidRPr="00233D9F" w:rsidRDefault="00AB6CFF" w:rsidP="00EC214D">
            <w:pPr>
              <w:rPr>
                <w:rFonts w:ascii="Calibri" w:hAnsi="Calibri"/>
                <w:sz w:val="20"/>
                <w:szCs w:val="20"/>
              </w:rPr>
            </w:pPr>
            <w:r w:rsidRPr="00233D9F">
              <w:rPr>
                <w:rFonts w:ascii="Calibri" w:hAnsi="Calibri"/>
                <w:sz w:val="20"/>
                <w:szCs w:val="20"/>
              </w:rPr>
              <w:t>Total</w:t>
            </w:r>
          </w:p>
        </w:tc>
        <w:tc>
          <w:tcPr>
            <w:tcW w:w="981"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AB6CFF" w:rsidRPr="00233D9F" w:rsidRDefault="00AB6CFF" w:rsidP="00EC214D">
            <w:pPr>
              <w:rPr>
                <w:rFonts w:ascii="Calibri" w:hAnsi="Calibri"/>
                <w:sz w:val="20"/>
                <w:szCs w:val="20"/>
              </w:rPr>
            </w:pPr>
            <w:r w:rsidRPr="00233D9F">
              <w:rPr>
                <w:rFonts w:ascii="Calibri" w:hAnsi="Calibri"/>
                <w:sz w:val="20"/>
                <w:szCs w:val="20"/>
              </w:rPr>
              <w:t> </w:t>
            </w:r>
          </w:p>
        </w:tc>
        <w:tc>
          <w:tcPr>
            <w:tcW w:w="1260"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AB6CFF" w:rsidRPr="00233D9F" w:rsidRDefault="00AB6CFF" w:rsidP="00EC214D">
            <w:pPr>
              <w:rPr>
                <w:rFonts w:asciiTheme="minorHAnsi" w:hAnsiTheme="minorHAnsi"/>
                <w:sz w:val="20"/>
                <w:szCs w:val="20"/>
              </w:rPr>
            </w:pPr>
            <w:r w:rsidRPr="00233D9F">
              <w:rPr>
                <w:rFonts w:asciiTheme="minorHAnsi" w:eastAsia="Times New Roman" w:hAnsiTheme="minorHAnsi"/>
                <w:sz w:val="20"/>
                <w:szCs w:val="20"/>
                <w:lang w:eastAsia="en-US"/>
              </w:rPr>
              <w:t>178,004</w:t>
            </w:r>
          </w:p>
        </w:tc>
        <w:tc>
          <w:tcPr>
            <w:tcW w:w="1408" w:type="dxa"/>
            <w:tcBorders>
              <w:top w:val="nil"/>
              <w:left w:val="nil"/>
              <w:bottom w:val="single" w:sz="8" w:space="0" w:color="auto"/>
              <w:right w:val="nil"/>
            </w:tcBorders>
            <w:shd w:val="clear" w:color="auto" w:fill="92D050"/>
            <w:tcMar>
              <w:top w:w="0" w:type="dxa"/>
              <w:left w:w="58" w:type="dxa"/>
              <w:bottom w:w="0" w:type="dxa"/>
              <w:right w:w="58" w:type="dxa"/>
            </w:tcMar>
            <w:vAlign w:val="center"/>
          </w:tcPr>
          <w:p w:rsidR="00AB6CFF" w:rsidRPr="00233D9F" w:rsidRDefault="00AB6CFF" w:rsidP="00EC214D">
            <w:pPr>
              <w:jc w:val="right"/>
              <w:rPr>
                <w:rFonts w:ascii="Calibri" w:hAnsi="Calibri"/>
                <w:sz w:val="20"/>
                <w:szCs w:val="20"/>
              </w:rPr>
            </w:pPr>
            <w:r w:rsidRPr="00233D9F">
              <w:rPr>
                <w:rFonts w:ascii="Calibri" w:hAnsi="Calibri"/>
                <w:bCs/>
                <w:sz w:val="20"/>
                <w:szCs w:val="20"/>
              </w:rPr>
              <w:t>246,656</w:t>
            </w:r>
          </w:p>
        </w:tc>
        <w:tc>
          <w:tcPr>
            <w:tcW w:w="1358" w:type="dxa"/>
            <w:tcBorders>
              <w:top w:val="nil"/>
              <w:left w:val="single" w:sz="8" w:space="0" w:color="auto"/>
              <w:bottom w:val="single" w:sz="8" w:space="0" w:color="auto"/>
              <w:right w:val="single" w:sz="8" w:space="0" w:color="auto"/>
            </w:tcBorders>
            <w:shd w:val="clear" w:color="auto" w:fill="92D050"/>
            <w:tcMar>
              <w:top w:w="0" w:type="dxa"/>
              <w:left w:w="58" w:type="dxa"/>
              <w:bottom w:w="0" w:type="dxa"/>
              <w:right w:w="58" w:type="dxa"/>
            </w:tcMar>
            <w:vAlign w:val="center"/>
          </w:tcPr>
          <w:p w:rsidR="00AB6CFF" w:rsidRPr="00233D9F" w:rsidRDefault="00AB6CFF" w:rsidP="00EC214D">
            <w:pPr>
              <w:jc w:val="right"/>
              <w:rPr>
                <w:rFonts w:eastAsia="Times New Roman"/>
                <w:sz w:val="20"/>
                <w:szCs w:val="20"/>
                <w:lang w:eastAsia="en-US"/>
              </w:rPr>
            </w:pPr>
            <w:r w:rsidRPr="00233D9F">
              <w:rPr>
                <w:rFonts w:eastAsia="Times New Roman"/>
                <w:sz w:val="20"/>
                <w:szCs w:val="20"/>
                <w:lang w:eastAsia="en-US"/>
              </w:rPr>
              <w:t>-</w:t>
            </w:r>
            <w:r w:rsidRPr="00233D9F">
              <w:rPr>
                <w:rFonts w:asciiTheme="minorHAnsi" w:eastAsia="Times New Roman" w:hAnsiTheme="minorHAnsi"/>
                <w:sz w:val="20"/>
                <w:szCs w:val="20"/>
                <w:lang w:eastAsia="en-US"/>
              </w:rPr>
              <w:t>7,333</w:t>
            </w:r>
          </w:p>
        </w:tc>
        <w:tc>
          <w:tcPr>
            <w:tcW w:w="1358" w:type="dxa"/>
            <w:tcBorders>
              <w:top w:val="nil"/>
              <w:left w:val="single" w:sz="8" w:space="0" w:color="auto"/>
              <w:bottom w:val="single" w:sz="8" w:space="0" w:color="auto"/>
              <w:right w:val="single" w:sz="8" w:space="0" w:color="auto"/>
            </w:tcBorders>
            <w:shd w:val="clear" w:color="auto" w:fill="92D050"/>
          </w:tcPr>
          <w:p w:rsidR="00AB6CFF" w:rsidRPr="00233D9F" w:rsidRDefault="00AB6CFF" w:rsidP="00EC214D">
            <w:pPr>
              <w:autoSpaceDE/>
              <w:autoSpaceDN/>
              <w:jc w:val="right"/>
              <w:rPr>
                <w:rFonts w:asciiTheme="minorHAnsi" w:eastAsia="Times New Roman" w:hAnsiTheme="minorHAnsi"/>
                <w:sz w:val="20"/>
                <w:szCs w:val="20"/>
                <w:lang w:eastAsia="en-US"/>
              </w:rPr>
            </w:pPr>
            <w:r w:rsidRPr="00233D9F">
              <w:rPr>
                <w:rFonts w:asciiTheme="minorHAnsi" w:eastAsia="Times New Roman" w:hAnsiTheme="minorHAnsi"/>
                <w:sz w:val="20"/>
                <w:szCs w:val="20"/>
                <w:lang w:eastAsia="en-US"/>
              </w:rPr>
              <w:t>-61,319</w:t>
            </w:r>
          </w:p>
        </w:tc>
      </w:tr>
      <w:tr w:rsidR="00B54136" w:rsidRPr="00233D9F" w:rsidTr="00AB6CFF">
        <w:trPr>
          <w:trHeight w:val="258"/>
        </w:trPr>
        <w:tc>
          <w:tcPr>
            <w:tcW w:w="1345" w:type="dxa"/>
            <w:tcBorders>
              <w:top w:val="nil"/>
              <w:left w:val="single" w:sz="8" w:space="0" w:color="auto"/>
              <w:bottom w:val="single" w:sz="8" w:space="0" w:color="auto"/>
              <w:right w:val="single" w:sz="8" w:space="0" w:color="auto"/>
            </w:tcBorders>
            <w:shd w:val="clear" w:color="auto" w:fill="92D050"/>
            <w:tcMar>
              <w:top w:w="0" w:type="dxa"/>
              <w:left w:w="58" w:type="dxa"/>
              <w:bottom w:w="0" w:type="dxa"/>
              <w:right w:w="58" w:type="dxa"/>
            </w:tcMar>
            <w:vAlign w:val="center"/>
          </w:tcPr>
          <w:p w:rsidR="00B54136" w:rsidRPr="00233D9F" w:rsidRDefault="00B54136" w:rsidP="00EC214D">
            <w:pPr>
              <w:rPr>
                <w:rFonts w:ascii="Calibri" w:hAnsi="Calibri"/>
                <w:sz w:val="20"/>
                <w:szCs w:val="20"/>
              </w:rPr>
            </w:pPr>
          </w:p>
        </w:tc>
        <w:tc>
          <w:tcPr>
            <w:tcW w:w="981"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B54136" w:rsidRPr="00233D9F" w:rsidRDefault="00B54136" w:rsidP="00EC214D">
            <w:pPr>
              <w:rPr>
                <w:rFonts w:ascii="Calibri" w:hAnsi="Calibri"/>
                <w:sz w:val="20"/>
                <w:szCs w:val="20"/>
              </w:rPr>
            </w:pPr>
          </w:p>
        </w:tc>
        <w:tc>
          <w:tcPr>
            <w:tcW w:w="1260" w:type="dxa"/>
            <w:tcBorders>
              <w:top w:val="nil"/>
              <w:left w:val="nil"/>
              <w:bottom w:val="single" w:sz="8" w:space="0" w:color="auto"/>
              <w:right w:val="single" w:sz="8" w:space="0" w:color="auto"/>
            </w:tcBorders>
            <w:shd w:val="clear" w:color="auto" w:fill="92D050"/>
            <w:tcMar>
              <w:top w:w="0" w:type="dxa"/>
              <w:left w:w="58" w:type="dxa"/>
              <w:bottom w:w="0" w:type="dxa"/>
              <w:right w:w="58" w:type="dxa"/>
            </w:tcMar>
            <w:vAlign w:val="center"/>
          </w:tcPr>
          <w:p w:rsidR="00B54136" w:rsidRPr="00233D9F" w:rsidRDefault="00B54136" w:rsidP="00EC214D">
            <w:pPr>
              <w:rPr>
                <w:rFonts w:asciiTheme="minorHAnsi" w:eastAsia="Times New Roman" w:hAnsiTheme="minorHAnsi"/>
                <w:sz w:val="20"/>
                <w:szCs w:val="20"/>
                <w:lang w:eastAsia="en-US"/>
              </w:rPr>
            </w:pPr>
          </w:p>
        </w:tc>
        <w:tc>
          <w:tcPr>
            <w:tcW w:w="1408" w:type="dxa"/>
            <w:tcBorders>
              <w:top w:val="nil"/>
              <w:left w:val="nil"/>
              <w:bottom w:val="single" w:sz="8" w:space="0" w:color="auto"/>
              <w:right w:val="nil"/>
            </w:tcBorders>
            <w:shd w:val="clear" w:color="auto" w:fill="92D050"/>
            <w:tcMar>
              <w:top w:w="0" w:type="dxa"/>
              <w:left w:w="58" w:type="dxa"/>
              <w:bottom w:w="0" w:type="dxa"/>
              <w:right w:w="58" w:type="dxa"/>
            </w:tcMar>
            <w:vAlign w:val="center"/>
          </w:tcPr>
          <w:p w:rsidR="00B54136" w:rsidRPr="00233D9F" w:rsidRDefault="00B54136" w:rsidP="00EC214D">
            <w:pPr>
              <w:jc w:val="right"/>
              <w:rPr>
                <w:rFonts w:ascii="Calibri" w:hAnsi="Calibri"/>
                <w:bCs/>
                <w:sz w:val="20"/>
                <w:szCs w:val="20"/>
              </w:rPr>
            </w:pPr>
            <w:r>
              <w:rPr>
                <w:rFonts w:ascii="Calibri" w:hAnsi="Calibri"/>
                <w:bCs/>
                <w:sz w:val="20"/>
                <w:szCs w:val="20"/>
              </w:rPr>
              <w:t>ADJ-48,792</w:t>
            </w:r>
          </w:p>
        </w:tc>
        <w:tc>
          <w:tcPr>
            <w:tcW w:w="1358" w:type="dxa"/>
            <w:tcBorders>
              <w:top w:val="nil"/>
              <w:left w:val="single" w:sz="8" w:space="0" w:color="auto"/>
              <w:bottom w:val="single" w:sz="8" w:space="0" w:color="auto"/>
              <w:right w:val="single" w:sz="8" w:space="0" w:color="auto"/>
            </w:tcBorders>
            <w:shd w:val="clear" w:color="auto" w:fill="92D050"/>
            <w:tcMar>
              <w:top w:w="0" w:type="dxa"/>
              <w:left w:w="58" w:type="dxa"/>
              <w:bottom w:w="0" w:type="dxa"/>
              <w:right w:w="58" w:type="dxa"/>
            </w:tcMar>
            <w:vAlign w:val="center"/>
          </w:tcPr>
          <w:p w:rsidR="00B54136" w:rsidRPr="00233D9F" w:rsidRDefault="00B54136" w:rsidP="00EC214D">
            <w:pPr>
              <w:jc w:val="right"/>
              <w:rPr>
                <w:rFonts w:eastAsia="Times New Roman"/>
                <w:sz w:val="20"/>
                <w:szCs w:val="20"/>
                <w:lang w:eastAsia="en-US"/>
              </w:rPr>
            </w:pPr>
          </w:p>
        </w:tc>
        <w:tc>
          <w:tcPr>
            <w:tcW w:w="1358" w:type="dxa"/>
            <w:tcBorders>
              <w:top w:val="nil"/>
              <w:left w:val="single" w:sz="8" w:space="0" w:color="auto"/>
              <w:bottom w:val="single" w:sz="8" w:space="0" w:color="auto"/>
              <w:right w:val="single" w:sz="8" w:space="0" w:color="auto"/>
            </w:tcBorders>
            <w:shd w:val="clear" w:color="auto" w:fill="92D050"/>
          </w:tcPr>
          <w:p w:rsidR="00B54136" w:rsidRPr="00233D9F" w:rsidRDefault="00B54136" w:rsidP="00EC214D">
            <w:pPr>
              <w:autoSpaceDE/>
              <w:autoSpaceDN/>
              <w:jc w:val="right"/>
              <w:rPr>
                <w:rFonts w:asciiTheme="minorHAnsi" w:eastAsia="Times New Roman" w:hAnsiTheme="minorHAnsi"/>
                <w:sz w:val="20"/>
                <w:szCs w:val="20"/>
                <w:lang w:eastAsia="en-US"/>
              </w:rPr>
            </w:pPr>
          </w:p>
        </w:tc>
      </w:tr>
      <w:tr w:rsidR="00AB6CFF" w:rsidRPr="00233D9F" w:rsidTr="00AB6CFF">
        <w:trPr>
          <w:trHeight w:val="258"/>
        </w:trPr>
        <w:tc>
          <w:tcPr>
            <w:tcW w:w="1345"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AB6CFF" w:rsidRPr="00233D9F" w:rsidRDefault="00AB6CFF" w:rsidP="00EC214D">
            <w:pPr>
              <w:rPr>
                <w:rFonts w:ascii="Calibri" w:hAnsi="Calibri"/>
                <w:bCs/>
                <w:sz w:val="20"/>
                <w:szCs w:val="20"/>
              </w:rPr>
            </w:pPr>
            <w:r w:rsidRPr="00233D9F">
              <w:rPr>
                <w:rFonts w:ascii="Calibri" w:hAnsi="Calibri"/>
                <w:bCs/>
                <w:sz w:val="20"/>
                <w:szCs w:val="20"/>
              </w:rPr>
              <w:t>Total ICR Three Year Average</w:t>
            </w:r>
          </w:p>
        </w:tc>
        <w:tc>
          <w:tcPr>
            <w:tcW w:w="981"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AB6CFF" w:rsidRPr="00233D9F" w:rsidRDefault="00AB6CFF" w:rsidP="00EC214D">
            <w:pPr>
              <w:rPr>
                <w:rFonts w:ascii="Calibri" w:hAnsi="Calibri"/>
                <w:bCs/>
                <w:sz w:val="20"/>
                <w:szCs w:val="20"/>
              </w:rPr>
            </w:pPr>
            <w:r w:rsidRPr="00233D9F">
              <w:rPr>
                <w:rFonts w:ascii="Calibri" w:hAnsi="Calibri"/>
                <w:bCs/>
                <w:sz w:val="20"/>
                <w:szCs w:val="20"/>
              </w:rPr>
              <w:t> </w:t>
            </w:r>
          </w:p>
        </w:tc>
        <w:tc>
          <w:tcPr>
            <w:tcW w:w="1260"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rsidR="00AB6CFF" w:rsidRPr="00233D9F" w:rsidRDefault="00AB6CFF" w:rsidP="00EC214D">
            <w:pPr>
              <w:rPr>
                <w:rFonts w:asciiTheme="minorHAnsi" w:hAnsiTheme="minorHAnsi"/>
                <w:bCs/>
                <w:sz w:val="20"/>
                <w:szCs w:val="20"/>
              </w:rPr>
            </w:pPr>
            <w:r w:rsidRPr="00233D9F">
              <w:rPr>
                <w:rFonts w:asciiTheme="minorHAnsi" w:eastAsia="Times New Roman" w:hAnsiTheme="minorHAnsi"/>
                <w:sz w:val="20"/>
                <w:szCs w:val="20"/>
                <w:lang w:eastAsia="en-US"/>
              </w:rPr>
              <w:t>142,679</w:t>
            </w:r>
          </w:p>
        </w:tc>
        <w:tc>
          <w:tcPr>
            <w:tcW w:w="1408" w:type="dxa"/>
            <w:tcBorders>
              <w:top w:val="nil"/>
              <w:left w:val="nil"/>
              <w:bottom w:val="single" w:sz="8" w:space="0" w:color="auto"/>
              <w:right w:val="nil"/>
            </w:tcBorders>
            <w:shd w:val="clear" w:color="auto" w:fill="EAF1DD" w:themeFill="accent3" w:themeFillTint="33"/>
            <w:tcMar>
              <w:top w:w="0" w:type="dxa"/>
              <w:left w:w="58" w:type="dxa"/>
              <w:bottom w:w="0" w:type="dxa"/>
              <w:right w:w="58" w:type="dxa"/>
            </w:tcMar>
            <w:vAlign w:val="center"/>
          </w:tcPr>
          <w:p w:rsidR="00AB6CFF" w:rsidRPr="00233D9F" w:rsidRDefault="00AB6CFF" w:rsidP="00EC214D">
            <w:pPr>
              <w:jc w:val="right"/>
              <w:rPr>
                <w:rFonts w:ascii="Calibri" w:hAnsi="Calibri"/>
                <w:bCs/>
                <w:sz w:val="20"/>
                <w:szCs w:val="20"/>
              </w:rPr>
            </w:pPr>
            <w:r w:rsidRPr="00233D9F">
              <w:rPr>
                <w:rFonts w:ascii="Calibri" w:hAnsi="Calibri"/>
                <w:bCs/>
                <w:sz w:val="20"/>
                <w:szCs w:val="20"/>
              </w:rPr>
              <w:t>197,864</w:t>
            </w:r>
          </w:p>
        </w:tc>
        <w:tc>
          <w:tcPr>
            <w:tcW w:w="1358"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tcPr>
          <w:p w:rsidR="00AB6CFF" w:rsidRPr="00233D9F" w:rsidRDefault="00AB6CFF" w:rsidP="00EC214D">
            <w:pPr>
              <w:autoSpaceDE/>
              <w:autoSpaceDN/>
              <w:jc w:val="right"/>
              <w:rPr>
                <w:rFonts w:eastAsia="Times New Roman"/>
                <w:sz w:val="20"/>
                <w:szCs w:val="20"/>
                <w:lang w:eastAsia="en-US"/>
              </w:rPr>
            </w:pPr>
            <w:r w:rsidRPr="00233D9F">
              <w:rPr>
                <w:rFonts w:eastAsia="Times New Roman"/>
                <w:sz w:val="20"/>
                <w:szCs w:val="20"/>
                <w:lang w:eastAsia="en-US"/>
              </w:rPr>
              <w:t>-2,444</w:t>
            </w:r>
          </w:p>
        </w:tc>
        <w:tc>
          <w:tcPr>
            <w:tcW w:w="1358" w:type="dxa"/>
            <w:tcBorders>
              <w:top w:val="nil"/>
              <w:left w:val="single" w:sz="8" w:space="0" w:color="auto"/>
              <w:bottom w:val="single" w:sz="8" w:space="0" w:color="auto"/>
              <w:right w:val="single" w:sz="8" w:space="0" w:color="auto"/>
            </w:tcBorders>
            <w:shd w:val="clear" w:color="auto" w:fill="EAF1DD" w:themeFill="accent3" w:themeFillTint="33"/>
          </w:tcPr>
          <w:p w:rsidR="00AB6CFF" w:rsidRPr="00233D9F" w:rsidRDefault="00AB6CFF" w:rsidP="00EC214D">
            <w:pPr>
              <w:autoSpaceDE/>
              <w:autoSpaceDN/>
              <w:jc w:val="right"/>
              <w:rPr>
                <w:rFonts w:eastAsia="Times New Roman"/>
                <w:sz w:val="20"/>
                <w:szCs w:val="20"/>
                <w:lang w:eastAsia="en-US"/>
              </w:rPr>
            </w:pPr>
          </w:p>
          <w:p w:rsidR="00AB6CFF" w:rsidRPr="00233D9F" w:rsidRDefault="00AB6CFF" w:rsidP="00EC214D">
            <w:pPr>
              <w:autoSpaceDE/>
              <w:autoSpaceDN/>
              <w:jc w:val="right"/>
              <w:rPr>
                <w:rFonts w:eastAsia="Times New Roman"/>
                <w:sz w:val="20"/>
                <w:szCs w:val="20"/>
                <w:lang w:eastAsia="en-US"/>
              </w:rPr>
            </w:pPr>
            <w:r w:rsidRPr="00233D9F">
              <w:rPr>
                <w:rFonts w:eastAsia="Times New Roman"/>
                <w:sz w:val="20"/>
                <w:szCs w:val="20"/>
                <w:lang w:eastAsia="en-US"/>
              </w:rPr>
              <w:t>-52,740</w:t>
            </w:r>
          </w:p>
        </w:tc>
      </w:tr>
    </w:tbl>
    <w:p w:rsidR="008A4DCB" w:rsidRDefault="008A4DCB" w:rsidP="00E35242">
      <w:pPr>
        <w:rPr>
          <w:b/>
          <w:bCs/>
        </w:rPr>
      </w:pPr>
    </w:p>
    <w:p w:rsidR="008A4DCB" w:rsidRDefault="008A4DCB" w:rsidP="00E35242">
      <w:pPr>
        <w:rPr>
          <w:b/>
          <w:bCs/>
        </w:rPr>
      </w:pPr>
    </w:p>
    <w:p w:rsidR="008A4DCB" w:rsidRDefault="008A4DCB" w:rsidP="00E35242">
      <w:pPr>
        <w:rPr>
          <w:b/>
          <w:bCs/>
        </w:rPr>
      </w:pPr>
    </w:p>
    <w:p w:rsidR="008A4DCB" w:rsidRDefault="008A4DCB" w:rsidP="00E35242">
      <w:pPr>
        <w:rPr>
          <w:b/>
          <w:bCs/>
        </w:rPr>
      </w:pPr>
    </w:p>
    <w:p w:rsidR="008A4DCB" w:rsidRDefault="008A4DCB" w:rsidP="00E35242">
      <w:pPr>
        <w:rPr>
          <w:b/>
          <w:bCs/>
        </w:rPr>
      </w:pPr>
    </w:p>
    <w:p w:rsidR="008A4DCB" w:rsidRDefault="008A4DCB" w:rsidP="00E35242">
      <w:pPr>
        <w:rPr>
          <w:b/>
          <w:bCs/>
        </w:rPr>
      </w:pPr>
    </w:p>
    <w:p w:rsidR="008A4DCB" w:rsidRDefault="008A4DCB" w:rsidP="00E35242">
      <w:pPr>
        <w:rPr>
          <w:b/>
          <w:bCs/>
        </w:rPr>
      </w:pPr>
    </w:p>
    <w:p w:rsidR="008A4DCB" w:rsidRDefault="008A4DCB" w:rsidP="00E35242">
      <w:pPr>
        <w:rPr>
          <w:b/>
          <w:bCs/>
        </w:rPr>
      </w:pPr>
    </w:p>
    <w:p w:rsidR="00CC6EB2" w:rsidRDefault="00CC6EB2" w:rsidP="00E35242">
      <w:pPr>
        <w:rPr>
          <w:bCs/>
        </w:rPr>
      </w:pPr>
      <w:r>
        <w:rPr>
          <w:bCs/>
        </w:rPr>
        <w:t xml:space="preserve">The Agency is proposing to request a decrease in the burden hours of 142,679. </w:t>
      </w:r>
    </w:p>
    <w:p w:rsidR="008A4DCB" w:rsidRPr="00CC6EB2" w:rsidRDefault="00CC6EB2" w:rsidP="00E35242">
      <w:pPr>
        <w:rPr>
          <w:bCs/>
        </w:rPr>
        <w:sectPr w:rsidR="008A4DCB" w:rsidRPr="00CC6EB2" w:rsidSect="008A4DCB">
          <w:pgSz w:w="15840" w:h="12240" w:orient="landscape"/>
          <w:pgMar w:top="1440" w:right="1440" w:bottom="1440" w:left="1440" w:header="720" w:footer="720" w:gutter="0"/>
          <w:cols w:space="720"/>
          <w:docGrid w:linePitch="360"/>
        </w:sectPr>
      </w:pPr>
      <w:r>
        <w:rPr>
          <w:bCs/>
        </w:rPr>
        <w:t>The total adjustment is -51,236 (-2,444+ -48,792) and a program change of -52,740.</w:t>
      </w:r>
    </w:p>
    <w:p w:rsidR="008A4DCB" w:rsidRDefault="008A4DCB" w:rsidP="00E35242">
      <w:pPr>
        <w:rPr>
          <w:b/>
          <w:bCs/>
        </w:rPr>
      </w:pPr>
    </w:p>
    <w:p w:rsidR="00A867A0" w:rsidRDefault="00A867A0" w:rsidP="00E35242">
      <w:pPr>
        <w:rPr>
          <w:b/>
          <w:bCs/>
        </w:rPr>
      </w:pPr>
    </w:p>
    <w:p w:rsidR="00E35242" w:rsidRDefault="00E35242" w:rsidP="00E35242">
      <w:pPr>
        <w:pStyle w:val="Heading2"/>
        <w:numPr>
          <w:ilvl w:val="1"/>
          <w:numId w:val="3"/>
        </w:numPr>
        <w:ind w:left="0" w:firstLine="0"/>
        <w:rPr>
          <w:sz w:val="22"/>
          <w:szCs w:val="22"/>
          <w:lang w:val="x-none"/>
        </w:rPr>
      </w:pPr>
      <w:r>
        <w:rPr>
          <w:sz w:val="22"/>
          <w:szCs w:val="22"/>
          <w:lang w:val="x-none"/>
        </w:rPr>
        <w:t xml:space="preserve">Provide an estimate of the total annual cost burden to respondents or </w:t>
      </w:r>
      <w:proofErr w:type="spellStart"/>
      <w:r>
        <w:rPr>
          <w:sz w:val="22"/>
          <w:szCs w:val="22"/>
          <w:lang w:val="x-none"/>
        </w:rPr>
        <w:t>recordkeepers</w:t>
      </w:r>
      <w:proofErr w:type="spellEnd"/>
      <w:r>
        <w:rPr>
          <w:sz w:val="22"/>
          <w:szCs w:val="22"/>
          <w:lang w:val="x-none"/>
        </w:rPr>
        <w:t xml:space="preserve"> resulting from the collection of information.  (Do not include the cost of any hour burden shown in Items 12 and 14.)</w:t>
      </w:r>
    </w:p>
    <w:p w:rsidR="00E35242" w:rsidRDefault="00E35242" w:rsidP="00E35242">
      <w:pPr>
        <w:ind w:left="432" w:firstLine="18"/>
        <w:rPr>
          <w:b/>
          <w:bCs/>
          <w:sz w:val="22"/>
          <w:szCs w:val="22"/>
        </w:rPr>
      </w:pPr>
      <w:r>
        <w:rPr>
          <w:b/>
          <w:b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35242" w:rsidRDefault="00E35242" w:rsidP="00E35242">
      <w:pPr>
        <w:ind w:firstLine="18"/>
        <w:rPr>
          <w:b/>
          <w:bCs/>
          <w:sz w:val="22"/>
          <w:szCs w:val="22"/>
        </w:rPr>
      </w:pPr>
    </w:p>
    <w:p w:rsidR="00E35242" w:rsidRDefault="00E35242" w:rsidP="00E35242">
      <w:pPr>
        <w:ind w:left="432" w:firstLine="18"/>
        <w:rPr>
          <w:b/>
          <w:bCs/>
          <w:sz w:val="22"/>
          <w:szCs w:val="22"/>
        </w:rPr>
      </w:pPr>
      <w:r>
        <w:rPr>
          <w:b/>
          <w:bCs/>
          <w:sz w:val="22"/>
          <w:szCs w:val="22"/>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5242" w:rsidRDefault="00E35242" w:rsidP="00E35242">
      <w:pPr>
        <w:ind w:firstLine="18"/>
        <w:rPr>
          <w:b/>
          <w:bCs/>
          <w:sz w:val="22"/>
          <w:szCs w:val="22"/>
        </w:rPr>
      </w:pPr>
    </w:p>
    <w:p w:rsidR="00E35242" w:rsidRDefault="00E35242" w:rsidP="00E35242">
      <w:pPr>
        <w:ind w:left="432" w:firstLine="18"/>
        <w:rPr>
          <w:b/>
          <w:bCs/>
          <w:sz w:val="22"/>
          <w:szCs w:val="22"/>
        </w:rPr>
      </w:pPr>
      <w:r>
        <w:rPr>
          <w:b/>
          <w:bCs/>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b/>
          <w:bCs/>
          <w:sz w:val="22"/>
          <w:szCs w:val="22"/>
        </w:rPr>
        <w:t>government,</w:t>
      </w:r>
      <w:proofErr w:type="gramEnd"/>
      <w:r>
        <w:rPr>
          <w:b/>
          <w:bCs/>
          <w:sz w:val="22"/>
          <w:szCs w:val="22"/>
        </w:rPr>
        <w:t xml:space="preserve"> or (4) as part of customary and usual business or private practices.</w:t>
      </w:r>
    </w:p>
    <w:p w:rsidR="00E35242" w:rsidRDefault="00E35242" w:rsidP="00E35242">
      <w:pPr>
        <w:pStyle w:val="Default"/>
        <w:rPr>
          <w:color w:val="auto"/>
        </w:rPr>
      </w:pPr>
    </w:p>
    <w:p w:rsidR="00E35242" w:rsidRDefault="00E35242" w:rsidP="00E35242">
      <w:pPr>
        <w:pStyle w:val="Heading4"/>
        <w:numPr>
          <w:ilvl w:val="3"/>
          <w:numId w:val="3"/>
        </w:numPr>
        <w:rPr>
          <w:lang w:val="x-none"/>
        </w:rPr>
      </w:pPr>
      <w:r>
        <w:rPr>
          <w:lang w:val="x-none"/>
        </w:rPr>
        <w:t>Exposure Monitoring</w:t>
      </w:r>
    </w:p>
    <w:p w:rsidR="00E35242" w:rsidRDefault="00E35242" w:rsidP="00E35242">
      <w:pPr>
        <w:pStyle w:val="BodyTextFirstIndent"/>
        <w:ind w:firstLine="0"/>
        <w:rPr>
          <w:sz w:val="24"/>
          <w:szCs w:val="24"/>
          <w:lang w:val="x-none"/>
        </w:rPr>
      </w:pPr>
      <w:r>
        <w:rPr>
          <w:sz w:val="24"/>
          <w:szCs w:val="24"/>
          <w:lang w:val="x-none"/>
        </w:rPr>
        <w:t>The Agency has taken a unit cost for analyzing the samples taken for exposure monitoring.  This exposure monitoring requires that three samples be taken per worker: one time-weighted average (TWA) sample and two short-term exposure limit (STEL) samples</w:t>
      </w:r>
      <w:r>
        <w:rPr>
          <w:sz w:val="24"/>
          <w:szCs w:val="24"/>
        </w:rPr>
        <w:t xml:space="preserve">.  </w:t>
      </w:r>
      <w:r>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003B77D5">
        <w:rPr>
          <w:sz w:val="24"/>
          <w:szCs w:val="24"/>
        </w:rPr>
        <w:t>59</w:t>
      </w:r>
      <w:r w:rsidR="00401B36">
        <w:rPr>
          <w:sz w:val="24"/>
          <w:szCs w:val="24"/>
        </w:rPr>
        <w:t>1.22</w:t>
      </w:r>
      <w:r>
        <w:rPr>
          <w:sz w:val="24"/>
          <w:szCs w:val="24"/>
          <w:lang w:val="x-none"/>
        </w:rPr>
        <w:t>, which is the sum of the cost for contract industrial hygienist services ($</w:t>
      </w:r>
      <w:r w:rsidR="003B77D5">
        <w:rPr>
          <w:sz w:val="24"/>
          <w:szCs w:val="24"/>
        </w:rPr>
        <w:t>440.43</w:t>
      </w:r>
      <w:r>
        <w:rPr>
          <w:sz w:val="24"/>
          <w:szCs w:val="24"/>
          <w:lang w:val="x-none"/>
        </w:rPr>
        <w:t>) and the associated lab fees ($</w:t>
      </w:r>
      <w:r w:rsidR="003B77D5">
        <w:rPr>
          <w:sz w:val="24"/>
          <w:szCs w:val="24"/>
        </w:rPr>
        <w:t>150.79</w:t>
      </w:r>
      <w:r>
        <w:rPr>
          <w:sz w:val="24"/>
          <w:szCs w:val="24"/>
          <w:lang w:val="x-none"/>
        </w:rPr>
        <w:t>).  The unit cost to obtain the two STEL samples is estimated to be $</w:t>
      </w:r>
      <w:r w:rsidR="003B77D5">
        <w:rPr>
          <w:sz w:val="24"/>
          <w:szCs w:val="24"/>
        </w:rPr>
        <w:t>1,182.44</w:t>
      </w:r>
      <w:r>
        <w:rPr>
          <w:sz w:val="24"/>
          <w:szCs w:val="24"/>
          <w:lang w:val="x-none"/>
        </w:rPr>
        <w:t xml:space="preserve"> (2 </w:t>
      </w:r>
      <w:r>
        <w:rPr>
          <w:sz w:val="24"/>
          <w:szCs w:val="24"/>
        </w:rPr>
        <w:t>x</w:t>
      </w:r>
      <w:r>
        <w:rPr>
          <w:sz w:val="24"/>
          <w:szCs w:val="24"/>
          <w:lang w:val="x-none"/>
        </w:rPr>
        <w:t xml:space="preserve"> ($</w:t>
      </w:r>
      <w:r w:rsidR="003B77D5">
        <w:rPr>
          <w:sz w:val="24"/>
          <w:szCs w:val="24"/>
        </w:rPr>
        <w:t>150.79</w:t>
      </w:r>
      <w:r>
        <w:rPr>
          <w:sz w:val="24"/>
          <w:szCs w:val="24"/>
          <w:lang w:val="x-none"/>
        </w:rPr>
        <w:t xml:space="preserve"> + $</w:t>
      </w:r>
      <w:r w:rsidR="003B77D5">
        <w:rPr>
          <w:sz w:val="24"/>
          <w:szCs w:val="24"/>
        </w:rPr>
        <w:t>440.43</w:t>
      </w:r>
      <w:r>
        <w:rPr>
          <w:sz w:val="24"/>
          <w:szCs w:val="24"/>
          <w:lang w:val="x-none"/>
        </w:rPr>
        <w:t>)) per sampled worker.  The unit cost for additional/periodic TWA samples is estimated to be $</w:t>
      </w:r>
      <w:r w:rsidR="00401B36">
        <w:rPr>
          <w:sz w:val="24"/>
          <w:szCs w:val="24"/>
        </w:rPr>
        <w:t>371.01</w:t>
      </w:r>
      <w:r>
        <w:rPr>
          <w:sz w:val="24"/>
          <w:szCs w:val="24"/>
          <w:lang w:val="x-none"/>
        </w:rPr>
        <w:t>, which is the sum of the cost for contract industrial hygienist services ($</w:t>
      </w:r>
      <w:r w:rsidR="00401B36">
        <w:rPr>
          <w:sz w:val="24"/>
          <w:szCs w:val="24"/>
        </w:rPr>
        <w:t>220.22</w:t>
      </w:r>
      <w:r>
        <w:rPr>
          <w:sz w:val="24"/>
          <w:szCs w:val="24"/>
          <w:lang w:val="x-none"/>
        </w:rPr>
        <w:t>) and the associated lab fees ($</w:t>
      </w:r>
      <w:r w:rsidR="00401B36">
        <w:rPr>
          <w:sz w:val="24"/>
          <w:szCs w:val="24"/>
        </w:rPr>
        <w:t>150.79</w:t>
      </w:r>
      <w:r>
        <w:rPr>
          <w:sz w:val="24"/>
          <w:szCs w:val="24"/>
          <w:lang w:val="x-none"/>
        </w:rPr>
        <w:t xml:space="preserve">).  The unit </w:t>
      </w:r>
      <w:r>
        <w:rPr>
          <w:sz w:val="24"/>
          <w:szCs w:val="24"/>
          <w:lang w:val="x-none"/>
        </w:rPr>
        <w:lastRenderedPageBreak/>
        <w:t>cost to obtain additional/periodic STEL samples is estimated to be $</w:t>
      </w:r>
      <w:r w:rsidR="00401B36">
        <w:rPr>
          <w:sz w:val="24"/>
          <w:szCs w:val="24"/>
        </w:rPr>
        <w:t>742.01</w:t>
      </w:r>
      <w:r>
        <w:rPr>
          <w:sz w:val="24"/>
          <w:szCs w:val="24"/>
          <w:lang w:val="x-none"/>
        </w:rPr>
        <w:t xml:space="preserve"> (2 </w:t>
      </w:r>
      <w:r>
        <w:rPr>
          <w:sz w:val="24"/>
          <w:szCs w:val="24"/>
        </w:rPr>
        <w:t>x</w:t>
      </w:r>
      <w:r>
        <w:rPr>
          <w:sz w:val="24"/>
          <w:szCs w:val="24"/>
          <w:lang w:val="x-none"/>
        </w:rPr>
        <w:t xml:space="preserve"> ($</w:t>
      </w:r>
      <w:r w:rsidR="003B77D5">
        <w:rPr>
          <w:sz w:val="24"/>
          <w:szCs w:val="24"/>
        </w:rPr>
        <w:t>150.79</w:t>
      </w:r>
      <w:r>
        <w:rPr>
          <w:sz w:val="24"/>
          <w:szCs w:val="24"/>
          <w:lang w:val="x-none"/>
        </w:rPr>
        <w:t xml:space="preserve"> + $</w:t>
      </w:r>
      <w:r w:rsidR="00401B36">
        <w:rPr>
          <w:sz w:val="24"/>
          <w:szCs w:val="24"/>
        </w:rPr>
        <w:t>220.22</w:t>
      </w:r>
      <w:r>
        <w:rPr>
          <w:sz w:val="24"/>
          <w:szCs w:val="24"/>
          <w:lang w:val="x-none"/>
        </w:rPr>
        <w:t>)).</w:t>
      </w:r>
      <w:r>
        <w:rPr>
          <w:rStyle w:val="FootnoteReference"/>
          <w:lang w:val="x-none"/>
        </w:rPr>
        <w:footnoteReference w:customMarkFollows="1" w:id="20"/>
        <w:t>[18]</w:t>
      </w:r>
      <w:r>
        <w:rPr>
          <w:sz w:val="24"/>
          <w:szCs w:val="24"/>
          <w:lang w:val="x-none"/>
        </w:rPr>
        <w:t xml:space="preserve"> </w:t>
      </w:r>
    </w:p>
    <w:p w:rsidR="00E35242" w:rsidRDefault="00E35242" w:rsidP="00E35242">
      <w:pPr>
        <w:pStyle w:val="BodyTextFirstIndent"/>
        <w:ind w:firstLine="0"/>
        <w:rPr>
          <w:sz w:val="24"/>
          <w:szCs w:val="24"/>
          <w:lang w:val="x-none"/>
        </w:rPr>
      </w:pPr>
      <w:r>
        <w:rPr>
          <w:sz w:val="24"/>
          <w:szCs w:val="24"/>
          <w:lang w:val="x-none"/>
        </w:rPr>
        <w:t xml:space="preserve">Table </w:t>
      </w:r>
      <w:r w:rsidR="00296A72">
        <w:rPr>
          <w:sz w:val="24"/>
          <w:szCs w:val="24"/>
        </w:rPr>
        <w:t>C</w:t>
      </w:r>
      <w:r w:rsidR="00296A72">
        <w:rPr>
          <w:sz w:val="24"/>
          <w:szCs w:val="24"/>
          <w:lang w:val="x-none"/>
        </w:rPr>
        <w:t xml:space="preserve"> </w:t>
      </w:r>
      <w:r>
        <w:rPr>
          <w:sz w:val="24"/>
          <w:szCs w:val="24"/>
          <w:lang w:val="x-none"/>
        </w:rPr>
        <w:t xml:space="preserve">shows the number of responses per year, non-compliance rate, and total cost associated with each type of exposure monitoring sample.  The number of workers affected by the exposure monitoring requirements varies, with </w:t>
      </w:r>
      <w:r w:rsidR="004F7883">
        <w:rPr>
          <w:sz w:val="24"/>
          <w:szCs w:val="24"/>
        </w:rPr>
        <w:t>10,864</w:t>
      </w:r>
      <w:r w:rsidR="00933FEF">
        <w:rPr>
          <w:sz w:val="24"/>
          <w:szCs w:val="24"/>
        </w:rPr>
        <w:t xml:space="preserve"> </w:t>
      </w:r>
      <w:r>
        <w:rPr>
          <w:sz w:val="24"/>
          <w:szCs w:val="24"/>
          <w:lang w:val="x-none"/>
        </w:rPr>
        <w:t xml:space="preserve">workers affected in the first year, </w:t>
      </w:r>
      <w:r w:rsidR="00CA0321">
        <w:rPr>
          <w:sz w:val="24"/>
          <w:szCs w:val="24"/>
        </w:rPr>
        <w:t>4,960</w:t>
      </w:r>
      <w:r w:rsidR="00CA0321">
        <w:rPr>
          <w:sz w:val="24"/>
          <w:szCs w:val="24"/>
          <w:lang w:val="x-none"/>
        </w:rPr>
        <w:t xml:space="preserve"> </w:t>
      </w:r>
      <w:r>
        <w:rPr>
          <w:sz w:val="24"/>
          <w:szCs w:val="24"/>
          <w:lang w:val="x-none"/>
        </w:rPr>
        <w:t xml:space="preserve">workers subject to periodic exposure monitoring, and  </w:t>
      </w:r>
      <w:r w:rsidR="00CA0321">
        <w:rPr>
          <w:sz w:val="24"/>
          <w:szCs w:val="24"/>
        </w:rPr>
        <w:t xml:space="preserve">1,087 </w:t>
      </w:r>
      <w:r>
        <w:rPr>
          <w:sz w:val="24"/>
          <w:szCs w:val="24"/>
          <w:lang w:val="x-none"/>
        </w:rPr>
        <w:t>workers subject to additional exposure monitoring.</w:t>
      </w:r>
      <w:r>
        <w:rPr>
          <w:rStyle w:val="FootnoteReference"/>
          <w:lang w:val="x-none"/>
        </w:rPr>
        <w:footnoteReference w:customMarkFollows="1" w:id="21"/>
        <w:t>[19]</w:t>
      </w:r>
      <w:r>
        <w:rPr>
          <w:sz w:val="24"/>
          <w:szCs w:val="24"/>
          <w:lang w:val="x-none"/>
        </w:rPr>
        <w:t xml:space="preserve">  The total cost is calculated by multiplying the number of workers affected by the cost per sample by the non-compliance rate.  First</w:t>
      </w:r>
      <w:r>
        <w:rPr>
          <w:sz w:val="24"/>
          <w:szCs w:val="24"/>
        </w:rPr>
        <w:t>-</w:t>
      </w:r>
      <w:r>
        <w:rPr>
          <w:sz w:val="24"/>
          <w:szCs w:val="24"/>
          <w:lang w:val="x-none"/>
        </w:rPr>
        <w:t xml:space="preserve">year costs and the costs for each type of sample are summed to arrive at the total costs. </w:t>
      </w:r>
    </w:p>
    <w:tbl>
      <w:tblPr>
        <w:tblW w:w="9252" w:type="dxa"/>
        <w:tblInd w:w="108" w:type="dxa"/>
        <w:tblCellMar>
          <w:left w:w="0" w:type="dxa"/>
          <w:right w:w="0" w:type="dxa"/>
        </w:tblCellMar>
        <w:tblLook w:val="04A0" w:firstRow="1" w:lastRow="0" w:firstColumn="1" w:lastColumn="0" w:noHBand="0" w:noVBand="1"/>
      </w:tblPr>
      <w:tblGrid>
        <w:gridCol w:w="72"/>
        <w:gridCol w:w="144"/>
        <w:gridCol w:w="881"/>
        <w:gridCol w:w="965"/>
        <w:gridCol w:w="216"/>
        <w:gridCol w:w="1286"/>
        <w:gridCol w:w="1313"/>
        <w:gridCol w:w="216"/>
        <w:gridCol w:w="936"/>
        <w:gridCol w:w="219"/>
        <w:gridCol w:w="868"/>
        <w:gridCol w:w="304"/>
        <w:gridCol w:w="698"/>
        <w:gridCol w:w="474"/>
        <w:gridCol w:w="124"/>
        <w:gridCol w:w="536"/>
      </w:tblGrid>
      <w:tr w:rsidR="00E35242" w:rsidTr="00DC12A2">
        <w:trPr>
          <w:trHeight w:val="245"/>
        </w:trPr>
        <w:tc>
          <w:tcPr>
            <w:tcW w:w="72" w:type="dxa"/>
            <w:vAlign w:val="center"/>
            <w:hideMark/>
          </w:tcPr>
          <w:p w:rsidR="00E35242" w:rsidRDefault="00E35242">
            <w:r>
              <w:t> </w:t>
            </w:r>
          </w:p>
        </w:tc>
        <w:tc>
          <w:tcPr>
            <w:tcW w:w="8644" w:type="dxa"/>
            <w:gridSpan w:val="14"/>
            <w:tcMar>
              <w:top w:w="0" w:type="dxa"/>
              <w:left w:w="108" w:type="dxa"/>
              <w:bottom w:w="0" w:type="dxa"/>
              <w:right w:w="108" w:type="dxa"/>
            </w:tcMar>
            <w:vAlign w:val="center"/>
            <w:hideMark/>
          </w:tcPr>
          <w:p w:rsidR="00E35242" w:rsidRDefault="00E35242" w:rsidP="00296A72">
            <w:pPr>
              <w:pStyle w:val="Caption"/>
              <w:keepNext/>
              <w:rPr>
                <w:rFonts w:ascii="Calibri" w:hAnsi="Calibri"/>
                <w:b w:val="0"/>
                <w:bCs w:val="0"/>
                <w:sz w:val="20"/>
                <w:szCs w:val="20"/>
              </w:rPr>
            </w:pPr>
            <w:bookmarkStart w:id="21" w:name="_Ref406584992"/>
            <w:r>
              <w:t xml:space="preserve">Table </w:t>
            </w:r>
            <w:bookmarkEnd w:id="21"/>
            <w:r w:rsidR="00296A72">
              <w:t>C</w:t>
            </w:r>
            <w:r w:rsidR="00EF0A65">
              <w:t>1</w:t>
            </w:r>
            <w:r>
              <w:t>. Direct Costs of Exposure Monitoring</w:t>
            </w:r>
            <w:r w:rsidR="00933FEF">
              <w:br/>
              <w:t>(General Industry Only)</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E35242" w:rsidRDefault="00E35242">
            <w:pPr>
              <w:autoSpaceDE/>
              <w:jc w:val="center"/>
              <w:rPr>
                <w:rFonts w:ascii="Calibri" w:hAnsi="Calibri"/>
                <w:b/>
                <w:bCs/>
                <w:sz w:val="20"/>
                <w:szCs w:val="20"/>
              </w:rPr>
            </w:pPr>
            <w:r>
              <w:rPr>
                <w:rFonts w:ascii="Calibri" w:hAnsi="Calibri"/>
                <w:b/>
                <w:bCs/>
                <w:sz w:val="20"/>
                <w:szCs w:val="20"/>
              </w:rPr>
              <w:t> </w:t>
            </w:r>
          </w:p>
        </w:tc>
        <w:tc>
          <w:tcPr>
            <w:tcW w:w="1181"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35242" w:rsidRDefault="00E35242">
            <w:pPr>
              <w:autoSpaceDE/>
              <w:jc w:val="center"/>
              <w:rPr>
                <w:rFonts w:ascii="Calibri" w:hAnsi="Calibri"/>
                <w:b/>
                <w:bCs/>
                <w:sz w:val="20"/>
                <w:szCs w:val="20"/>
              </w:rPr>
            </w:pPr>
            <w:r>
              <w:rPr>
                <w:rFonts w:ascii="Calibri" w:hAnsi="Calibri"/>
                <w:b/>
                <w:bCs/>
                <w:sz w:val="20"/>
                <w:szCs w:val="20"/>
              </w:rPr>
              <w:t>Frequency</w:t>
            </w:r>
          </w:p>
        </w:tc>
        <w:tc>
          <w:tcPr>
            <w:tcW w:w="128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35242" w:rsidRDefault="00E35242">
            <w:pPr>
              <w:autoSpaceDE/>
              <w:jc w:val="center"/>
              <w:rPr>
                <w:rFonts w:ascii="Calibri" w:hAnsi="Calibri"/>
                <w:b/>
                <w:bCs/>
                <w:sz w:val="20"/>
                <w:szCs w:val="20"/>
              </w:rPr>
            </w:pPr>
            <w:r>
              <w:rPr>
                <w:rFonts w:ascii="Calibri" w:hAnsi="Calibri"/>
                <w:b/>
                <w:bCs/>
                <w:sz w:val="20"/>
                <w:szCs w:val="20"/>
              </w:rPr>
              <w:t>Responses per Year</w:t>
            </w:r>
          </w:p>
        </w:tc>
        <w:tc>
          <w:tcPr>
            <w:tcW w:w="131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35242" w:rsidRDefault="00E35242">
            <w:pPr>
              <w:autoSpaceDE/>
              <w:jc w:val="center"/>
              <w:rPr>
                <w:rFonts w:ascii="Calibri" w:hAnsi="Calibri"/>
                <w:b/>
                <w:bCs/>
                <w:sz w:val="20"/>
                <w:szCs w:val="20"/>
              </w:rPr>
            </w:pPr>
            <w:r>
              <w:rPr>
                <w:rFonts w:ascii="Calibri" w:hAnsi="Calibri"/>
                <w:b/>
                <w:bCs/>
                <w:sz w:val="20"/>
                <w:szCs w:val="20"/>
              </w:rPr>
              <w:t>Non-Compliance Rate</w:t>
            </w:r>
          </w:p>
        </w:tc>
        <w:tc>
          <w:tcPr>
            <w:tcW w:w="1371" w:type="dxa"/>
            <w:gridSpan w:val="3"/>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35242" w:rsidRDefault="00E35242">
            <w:pPr>
              <w:autoSpaceDE/>
              <w:jc w:val="center"/>
              <w:rPr>
                <w:rFonts w:ascii="Calibri" w:hAnsi="Calibri"/>
                <w:b/>
                <w:bCs/>
                <w:sz w:val="20"/>
                <w:szCs w:val="20"/>
              </w:rPr>
            </w:pPr>
            <w:r>
              <w:rPr>
                <w:rFonts w:ascii="Calibri" w:hAnsi="Calibri"/>
                <w:b/>
                <w:bCs/>
                <w:sz w:val="20"/>
                <w:szCs w:val="20"/>
              </w:rPr>
              <w:t>Non-Compliance Responses per year</w:t>
            </w:r>
          </w:p>
        </w:tc>
        <w:tc>
          <w:tcPr>
            <w:tcW w:w="1172"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35242" w:rsidRDefault="00E35242">
            <w:pPr>
              <w:autoSpaceDE/>
              <w:jc w:val="center"/>
              <w:rPr>
                <w:rFonts w:ascii="Calibri" w:hAnsi="Calibri"/>
                <w:b/>
                <w:bCs/>
                <w:sz w:val="20"/>
                <w:szCs w:val="20"/>
              </w:rPr>
            </w:pPr>
            <w:r>
              <w:rPr>
                <w:rFonts w:ascii="Calibri" w:hAnsi="Calibri"/>
                <w:b/>
                <w:bCs/>
                <w:sz w:val="20"/>
                <w:szCs w:val="20"/>
              </w:rPr>
              <w:t>Unit Cost</w:t>
            </w:r>
          </w:p>
        </w:tc>
        <w:tc>
          <w:tcPr>
            <w:tcW w:w="1296" w:type="dxa"/>
            <w:gridSpan w:val="3"/>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E35242" w:rsidRDefault="00E35242">
            <w:pPr>
              <w:autoSpaceDE/>
              <w:jc w:val="center"/>
              <w:rPr>
                <w:rFonts w:ascii="Calibri" w:hAnsi="Calibri"/>
                <w:b/>
                <w:bCs/>
                <w:sz w:val="20"/>
                <w:szCs w:val="20"/>
              </w:rPr>
            </w:pPr>
            <w:r>
              <w:rPr>
                <w:rFonts w:ascii="Calibri" w:hAnsi="Calibri"/>
                <w:b/>
                <w:bCs/>
                <w:sz w:val="20"/>
                <w:szCs w:val="20"/>
              </w:rPr>
              <w:t>Total Cost</w:t>
            </w:r>
          </w:p>
        </w:tc>
        <w:tc>
          <w:tcPr>
            <w:tcW w:w="536" w:type="dxa"/>
            <w:vAlign w:val="center"/>
            <w:hideMark/>
          </w:tcPr>
          <w:p w:rsidR="00E35242" w:rsidRDefault="00E35242">
            <w:r>
              <w:t> </w:t>
            </w:r>
          </w:p>
        </w:tc>
      </w:tr>
      <w:tr w:rsidR="00E35242" w:rsidTr="00DC12A2">
        <w:trPr>
          <w:trHeight w:val="245"/>
        </w:trPr>
        <w:tc>
          <w:tcPr>
            <w:tcW w:w="72" w:type="dxa"/>
            <w:vAlign w:val="center"/>
            <w:hideMark/>
          </w:tcPr>
          <w:p w:rsidR="00E35242" w:rsidRDefault="00E35242">
            <w:r>
              <w:t> </w:t>
            </w:r>
          </w:p>
        </w:tc>
        <w:tc>
          <w:tcPr>
            <w:tcW w:w="8644" w:type="dxa"/>
            <w:gridSpan w:val="14"/>
            <w:tcBorders>
              <w:top w:val="nil"/>
              <w:left w:val="single" w:sz="8" w:space="0" w:color="auto"/>
              <w:bottom w:val="single" w:sz="8" w:space="0" w:color="auto"/>
              <w:right w:val="single" w:sz="8" w:space="0" w:color="auto"/>
            </w:tcBorders>
            <w:shd w:val="clear" w:color="auto" w:fill="76933C"/>
            <w:noWrap/>
            <w:tcMar>
              <w:top w:w="0" w:type="dxa"/>
              <w:left w:w="108" w:type="dxa"/>
              <w:bottom w:w="0" w:type="dxa"/>
              <w:right w:w="108" w:type="dxa"/>
            </w:tcMar>
            <w:vAlign w:val="bottom"/>
            <w:hideMark/>
          </w:tcPr>
          <w:p w:rsidR="00E35242" w:rsidRDefault="00E35242">
            <w:pPr>
              <w:autoSpaceDE/>
              <w:rPr>
                <w:rFonts w:ascii="Calibri" w:hAnsi="Calibri"/>
                <w:sz w:val="22"/>
                <w:szCs w:val="22"/>
              </w:rPr>
            </w:pPr>
            <w:r>
              <w:rPr>
                <w:rFonts w:ascii="Calibri" w:hAnsi="Calibri"/>
                <w:b/>
                <w:bCs/>
                <w:sz w:val="20"/>
                <w:szCs w:val="20"/>
              </w:rPr>
              <w:t>Initial</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TWA Sample</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First Year</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10,864</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96%</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10,429</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204185">
            <w:pPr>
              <w:autoSpaceDE/>
              <w:jc w:val="right"/>
              <w:rPr>
                <w:rFonts w:ascii="Calibri" w:hAnsi="Calibri"/>
                <w:sz w:val="20"/>
                <w:szCs w:val="20"/>
              </w:rPr>
            </w:pPr>
            <w:r>
              <w:rPr>
                <w:rFonts w:ascii="Calibri" w:hAnsi="Calibri"/>
                <w:sz w:val="20"/>
                <w:szCs w:val="20"/>
              </w:rPr>
              <w:t>$</w:t>
            </w:r>
            <w:r w:rsidR="00204185">
              <w:rPr>
                <w:rFonts w:ascii="Calibri" w:hAnsi="Calibri"/>
                <w:sz w:val="20"/>
                <w:szCs w:val="20"/>
              </w:rPr>
              <w:t>591.22</w:t>
            </w:r>
            <w:r>
              <w:rPr>
                <w:rFonts w:ascii="Calibri" w:hAnsi="Calibri"/>
                <w:sz w:val="20"/>
                <w:szCs w:val="20"/>
              </w:rPr>
              <w:t xml:space="preserve">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FF029C">
            <w:pPr>
              <w:autoSpaceDE/>
              <w:jc w:val="right"/>
              <w:rPr>
                <w:rFonts w:ascii="Calibri" w:hAnsi="Calibri"/>
                <w:sz w:val="20"/>
                <w:szCs w:val="20"/>
              </w:rPr>
            </w:pPr>
            <w:r>
              <w:rPr>
                <w:rFonts w:ascii="Calibri" w:hAnsi="Calibri"/>
                <w:sz w:val="20"/>
                <w:szCs w:val="20"/>
              </w:rPr>
              <w:t>$</w:t>
            </w:r>
            <w:r w:rsidR="00FF029C">
              <w:rPr>
                <w:rFonts w:ascii="Calibri" w:hAnsi="Calibri"/>
                <w:sz w:val="20"/>
                <w:szCs w:val="20"/>
              </w:rPr>
              <w:t>6,165,833</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2 STEL Samples</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First Year</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10,864</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96%</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10,429</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FF029C">
            <w:pPr>
              <w:autoSpaceDE/>
              <w:jc w:val="right"/>
              <w:rPr>
                <w:rFonts w:ascii="Calibri" w:hAnsi="Calibri"/>
                <w:sz w:val="20"/>
                <w:szCs w:val="20"/>
              </w:rPr>
            </w:pPr>
            <w:r>
              <w:rPr>
                <w:rFonts w:ascii="Calibri" w:hAnsi="Calibri"/>
                <w:sz w:val="20"/>
                <w:szCs w:val="20"/>
              </w:rPr>
              <w:t>$</w:t>
            </w:r>
            <w:r w:rsidR="00FF029C">
              <w:rPr>
                <w:rFonts w:ascii="Calibri" w:hAnsi="Calibri"/>
                <w:sz w:val="20"/>
                <w:szCs w:val="20"/>
              </w:rPr>
              <w:t>1,182.44</w:t>
            </w:r>
            <w:r>
              <w:rPr>
                <w:rFonts w:ascii="Calibri" w:hAnsi="Calibri"/>
                <w:sz w:val="20"/>
                <w:szCs w:val="20"/>
              </w:rPr>
              <w:t xml:space="preserve">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FF029C">
            <w:pPr>
              <w:autoSpaceDE/>
              <w:jc w:val="right"/>
              <w:rPr>
                <w:rFonts w:ascii="Calibri" w:hAnsi="Calibri"/>
                <w:sz w:val="20"/>
                <w:szCs w:val="20"/>
              </w:rPr>
            </w:pPr>
            <w:r>
              <w:rPr>
                <w:rFonts w:ascii="Calibri" w:hAnsi="Calibri"/>
                <w:sz w:val="20"/>
                <w:szCs w:val="20"/>
              </w:rPr>
              <w:t>$</w:t>
            </w:r>
            <w:r w:rsidR="00FF029C">
              <w:rPr>
                <w:rFonts w:ascii="Calibri" w:hAnsi="Calibri"/>
                <w:sz w:val="20"/>
                <w:szCs w:val="20"/>
              </w:rPr>
              <w:t>12,331,667</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Subtotal</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First Year</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10,864</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 </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10,429</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FF029C">
            <w:pPr>
              <w:autoSpaceDE/>
              <w:jc w:val="right"/>
              <w:rPr>
                <w:rFonts w:ascii="Calibri" w:hAnsi="Calibri"/>
                <w:b/>
                <w:bCs/>
                <w:sz w:val="20"/>
                <w:szCs w:val="20"/>
              </w:rPr>
            </w:pPr>
            <w:r>
              <w:rPr>
                <w:rFonts w:ascii="Calibri" w:hAnsi="Calibri"/>
                <w:b/>
                <w:bCs/>
                <w:sz w:val="20"/>
                <w:szCs w:val="20"/>
              </w:rPr>
              <w:t>$</w:t>
            </w:r>
            <w:r w:rsidR="00FF029C">
              <w:rPr>
                <w:rFonts w:ascii="Calibri" w:hAnsi="Calibri"/>
                <w:b/>
                <w:bCs/>
                <w:sz w:val="20"/>
                <w:szCs w:val="20"/>
              </w:rPr>
              <w:t>18,497,500</w:t>
            </w:r>
          </w:p>
        </w:tc>
        <w:tc>
          <w:tcPr>
            <w:tcW w:w="536" w:type="dxa"/>
            <w:vAlign w:val="center"/>
            <w:hideMark/>
          </w:tcPr>
          <w:p w:rsidR="00E35242" w:rsidRDefault="00E35242">
            <w:r>
              <w:t> </w:t>
            </w:r>
          </w:p>
        </w:tc>
      </w:tr>
      <w:tr w:rsidR="00E35242" w:rsidTr="00DC12A2">
        <w:trPr>
          <w:trHeight w:val="245"/>
        </w:trPr>
        <w:tc>
          <w:tcPr>
            <w:tcW w:w="72" w:type="dxa"/>
            <w:vAlign w:val="center"/>
            <w:hideMark/>
          </w:tcPr>
          <w:p w:rsidR="00E35242" w:rsidRDefault="00E35242">
            <w:r>
              <w:t> </w:t>
            </w:r>
          </w:p>
        </w:tc>
        <w:tc>
          <w:tcPr>
            <w:tcW w:w="8644" w:type="dxa"/>
            <w:gridSpan w:val="14"/>
            <w:tcBorders>
              <w:top w:val="nil"/>
              <w:left w:val="single" w:sz="8" w:space="0" w:color="auto"/>
              <w:bottom w:val="single" w:sz="8" w:space="0" w:color="auto"/>
              <w:right w:val="single" w:sz="8" w:space="0" w:color="auto"/>
            </w:tcBorders>
            <w:shd w:val="clear" w:color="auto" w:fill="76933C"/>
            <w:noWrap/>
            <w:tcMar>
              <w:top w:w="0" w:type="dxa"/>
              <w:left w:w="108" w:type="dxa"/>
              <w:bottom w:w="0" w:type="dxa"/>
              <w:right w:w="108" w:type="dxa"/>
            </w:tcMar>
            <w:vAlign w:val="bottom"/>
            <w:hideMark/>
          </w:tcPr>
          <w:p w:rsidR="00E35242" w:rsidRDefault="00E35242">
            <w:pPr>
              <w:autoSpaceDE/>
              <w:rPr>
                <w:rFonts w:ascii="Calibri" w:hAnsi="Calibri"/>
                <w:sz w:val="22"/>
                <w:szCs w:val="22"/>
              </w:rPr>
            </w:pPr>
            <w:r>
              <w:rPr>
                <w:rFonts w:ascii="Calibri" w:hAnsi="Calibri"/>
                <w:b/>
                <w:bCs/>
                <w:sz w:val="20"/>
                <w:szCs w:val="20"/>
              </w:rPr>
              <w:t>Periodic</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TWA Sample</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Annual</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4,960</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96%</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4,762</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FF029C">
              <w:rPr>
                <w:rFonts w:ascii="Calibri" w:hAnsi="Calibri"/>
                <w:sz w:val="20"/>
                <w:szCs w:val="20"/>
              </w:rPr>
              <w:t>371</w:t>
            </w:r>
            <w:r w:rsidR="00163B09">
              <w:rPr>
                <w:rFonts w:ascii="Calibri" w:hAnsi="Calibri"/>
                <w:sz w:val="20"/>
                <w:szCs w:val="20"/>
              </w:rPr>
              <w:t>.01</w:t>
            </w:r>
            <w:r>
              <w:rPr>
                <w:rFonts w:ascii="Calibri" w:hAnsi="Calibri"/>
                <w:sz w:val="20"/>
                <w:szCs w:val="20"/>
              </w:rPr>
              <w:t xml:space="preserve">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1,766,750</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2 STEL Samples</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Annual</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4,960</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96%</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4,762</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742.01</w:t>
            </w:r>
            <w:r>
              <w:rPr>
                <w:rFonts w:ascii="Calibri" w:hAnsi="Calibri"/>
                <w:sz w:val="20"/>
                <w:szCs w:val="20"/>
              </w:rPr>
              <w:t xml:space="preserve">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3,533,452</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Subtotal</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Annual</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4,960</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 </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4,762</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b/>
                <w:bCs/>
                <w:sz w:val="20"/>
                <w:szCs w:val="20"/>
              </w:rPr>
            </w:pPr>
            <w:r>
              <w:rPr>
                <w:rFonts w:ascii="Calibri" w:hAnsi="Calibri"/>
                <w:b/>
                <w:bCs/>
                <w:sz w:val="20"/>
                <w:szCs w:val="20"/>
              </w:rPr>
              <w:t>$</w:t>
            </w:r>
            <w:r w:rsidR="00163B09">
              <w:rPr>
                <w:rFonts w:ascii="Calibri" w:hAnsi="Calibri"/>
                <w:b/>
                <w:bCs/>
                <w:sz w:val="20"/>
                <w:szCs w:val="20"/>
              </w:rPr>
              <w:t>5,300,202</w:t>
            </w:r>
          </w:p>
        </w:tc>
        <w:tc>
          <w:tcPr>
            <w:tcW w:w="536" w:type="dxa"/>
            <w:vAlign w:val="center"/>
            <w:hideMark/>
          </w:tcPr>
          <w:p w:rsidR="00E35242" w:rsidRDefault="00E35242">
            <w:r>
              <w:t> </w:t>
            </w:r>
          </w:p>
        </w:tc>
      </w:tr>
      <w:tr w:rsidR="00E35242" w:rsidTr="00DC12A2">
        <w:trPr>
          <w:trHeight w:val="245"/>
        </w:trPr>
        <w:tc>
          <w:tcPr>
            <w:tcW w:w="72" w:type="dxa"/>
            <w:vAlign w:val="center"/>
            <w:hideMark/>
          </w:tcPr>
          <w:p w:rsidR="00E35242" w:rsidRDefault="00E35242">
            <w:r>
              <w:t> </w:t>
            </w:r>
          </w:p>
        </w:tc>
        <w:tc>
          <w:tcPr>
            <w:tcW w:w="8644" w:type="dxa"/>
            <w:gridSpan w:val="14"/>
            <w:tcBorders>
              <w:top w:val="nil"/>
              <w:left w:val="single" w:sz="8" w:space="0" w:color="auto"/>
              <w:bottom w:val="single" w:sz="8" w:space="0" w:color="auto"/>
              <w:right w:val="single" w:sz="8" w:space="0" w:color="auto"/>
            </w:tcBorders>
            <w:shd w:val="clear" w:color="auto" w:fill="76933C"/>
            <w:noWrap/>
            <w:tcMar>
              <w:top w:w="0" w:type="dxa"/>
              <w:left w:w="108" w:type="dxa"/>
              <w:bottom w:w="0" w:type="dxa"/>
              <w:right w:w="108" w:type="dxa"/>
            </w:tcMar>
            <w:vAlign w:val="bottom"/>
            <w:hideMark/>
          </w:tcPr>
          <w:p w:rsidR="00E35242" w:rsidRDefault="00E35242">
            <w:pPr>
              <w:autoSpaceDE/>
              <w:rPr>
                <w:rFonts w:ascii="Calibri" w:hAnsi="Calibri"/>
                <w:sz w:val="22"/>
                <w:szCs w:val="22"/>
              </w:rPr>
            </w:pPr>
            <w:r>
              <w:rPr>
                <w:rFonts w:ascii="Calibri" w:hAnsi="Calibri"/>
                <w:b/>
                <w:bCs/>
                <w:sz w:val="20"/>
                <w:szCs w:val="20"/>
              </w:rPr>
              <w:t>Additional</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TWA Sample</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Annual</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1,087</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96%</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1,044</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371.01</w:t>
            </w:r>
            <w:r>
              <w:rPr>
                <w:rFonts w:ascii="Calibri" w:hAnsi="Calibri"/>
                <w:sz w:val="20"/>
                <w:szCs w:val="20"/>
              </w:rPr>
              <w:t xml:space="preserve">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387,334</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2 STEL Samples</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Annual</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1,087</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96%</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1,044</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742.01</w:t>
            </w:r>
            <w:r>
              <w:rPr>
                <w:rFonts w:ascii="Calibri" w:hAnsi="Calibri"/>
                <w:sz w:val="20"/>
                <w:szCs w:val="20"/>
              </w:rPr>
              <w:t xml:space="preserve">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774,658</w:t>
            </w:r>
          </w:p>
        </w:tc>
        <w:tc>
          <w:tcPr>
            <w:tcW w:w="536" w:type="dxa"/>
            <w:vAlign w:val="center"/>
            <w:hideMark/>
          </w:tcPr>
          <w:p w:rsidR="00E35242" w:rsidRDefault="00E35242">
            <w:r>
              <w:t> </w:t>
            </w:r>
          </w:p>
        </w:tc>
      </w:tr>
      <w:tr w:rsidR="00FF029C" w:rsidTr="00DC12A2">
        <w:trPr>
          <w:trHeight w:val="245"/>
        </w:trPr>
        <w:tc>
          <w:tcPr>
            <w:tcW w:w="72" w:type="dxa"/>
            <w:vAlign w:val="center"/>
            <w:hideMark/>
          </w:tcPr>
          <w:p w:rsidR="00E35242" w:rsidRDefault="00E35242">
            <w:r>
              <w:t> </w:t>
            </w:r>
          </w:p>
        </w:tc>
        <w:tc>
          <w:tcPr>
            <w:tcW w:w="10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Subtotal</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rPr>
                <w:rFonts w:ascii="Calibri" w:hAnsi="Calibri"/>
                <w:sz w:val="20"/>
                <w:szCs w:val="20"/>
              </w:rPr>
            </w:pPr>
            <w:r>
              <w:rPr>
                <w:rFonts w:ascii="Calibri" w:hAnsi="Calibri"/>
                <w:sz w:val="20"/>
                <w:szCs w:val="20"/>
              </w:rPr>
              <w:t>Annual</w:t>
            </w:r>
          </w:p>
        </w:tc>
        <w:tc>
          <w:tcPr>
            <w:tcW w:w="15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1,087</w:t>
            </w: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 </w:t>
            </w:r>
          </w:p>
        </w:tc>
        <w:tc>
          <w:tcPr>
            <w:tcW w:w="13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1,044</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pPr>
              <w:autoSpaceDE/>
              <w:jc w:val="right"/>
              <w:rPr>
                <w:rFonts w:ascii="Calibri" w:hAnsi="Calibri"/>
                <w:sz w:val="20"/>
                <w:szCs w:val="20"/>
              </w:rPr>
            </w:pPr>
            <w:r>
              <w:rPr>
                <w:rFonts w:ascii="Calibri" w:hAnsi="Calibri"/>
                <w:sz w:val="20"/>
                <w:szCs w:val="20"/>
              </w:rPr>
              <w:t> </w:t>
            </w:r>
          </w:p>
        </w:tc>
        <w:tc>
          <w:tcPr>
            <w:tcW w:w="12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35242" w:rsidRDefault="00E35242" w:rsidP="00163B09">
            <w:pPr>
              <w:autoSpaceDE/>
              <w:jc w:val="right"/>
              <w:rPr>
                <w:rFonts w:ascii="Calibri" w:hAnsi="Calibri"/>
                <w:b/>
                <w:bCs/>
                <w:sz w:val="20"/>
                <w:szCs w:val="20"/>
              </w:rPr>
            </w:pPr>
            <w:r w:rsidRPr="00D5052E">
              <w:rPr>
                <w:rFonts w:ascii="Calibri" w:hAnsi="Calibri"/>
                <w:b/>
                <w:sz w:val="20"/>
              </w:rPr>
              <w:t>$</w:t>
            </w:r>
            <w:r w:rsidR="00163B09" w:rsidRPr="00D5052E">
              <w:rPr>
                <w:rFonts w:ascii="Calibri" w:hAnsi="Calibri"/>
                <w:b/>
                <w:sz w:val="20"/>
              </w:rPr>
              <w:t>1,161,992</w:t>
            </w:r>
          </w:p>
        </w:tc>
        <w:tc>
          <w:tcPr>
            <w:tcW w:w="536" w:type="dxa"/>
            <w:vAlign w:val="center"/>
            <w:hideMark/>
          </w:tcPr>
          <w:p w:rsidR="00E35242" w:rsidRPr="00D5052E" w:rsidRDefault="00E35242">
            <w:pPr>
              <w:rPr>
                <w:b/>
              </w:rPr>
            </w:pPr>
            <w:r w:rsidRPr="00D5052E">
              <w:rPr>
                <w:b/>
              </w:rPr>
              <w:t> </w:t>
            </w:r>
          </w:p>
        </w:tc>
      </w:tr>
      <w:tr w:rsidR="00E35242" w:rsidTr="00DC12A2">
        <w:trPr>
          <w:trHeight w:val="245"/>
        </w:trPr>
        <w:tc>
          <w:tcPr>
            <w:tcW w:w="72" w:type="dxa"/>
            <w:vAlign w:val="center"/>
            <w:hideMark/>
          </w:tcPr>
          <w:p w:rsidR="00E35242" w:rsidRDefault="00E35242">
            <w:r>
              <w:t> </w:t>
            </w:r>
          </w:p>
        </w:tc>
        <w:tc>
          <w:tcPr>
            <w:tcW w:w="8644" w:type="dxa"/>
            <w:gridSpan w:val="14"/>
            <w:tcBorders>
              <w:top w:val="nil"/>
              <w:left w:val="single" w:sz="8" w:space="0" w:color="auto"/>
              <w:bottom w:val="single" w:sz="8" w:space="0" w:color="auto"/>
              <w:right w:val="single" w:sz="8" w:space="0" w:color="auto"/>
            </w:tcBorders>
            <w:shd w:val="clear" w:color="auto" w:fill="76933C"/>
            <w:noWrap/>
            <w:tcMar>
              <w:top w:w="0" w:type="dxa"/>
              <w:left w:w="108" w:type="dxa"/>
              <w:bottom w:w="0" w:type="dxa"/>
              <w:right w:w="108" w:type="dxa"/>
            </w:tcMar>
            <w:vAlign w:val="bottom"/>
            <w:hideMark/>
          </w:tcPr>
          <w:p w:rsidR="00E35242" w:rsidRDefault="00E35242">
            <w:pPr>
              <w:autoSpaceDE/>
              <w:autoSpaceDN/>
              <w:rPr>
                <w:rFonts w:eastAsia="Times New Roman"/>
                <w:sz w:val="20"/>
                <w:szCs w:val="20"/>
                <w:lang w:eastAsia="en-US"/>
              </w:rPr>
            </w:pPr>
          </w:p>
        </w:tc>
        <w:tc>
          <w:tcPr>
            <w:tcW w:w="536" w:type="dxa"/>
            <w:vAlign w:val="center"/>
            <w:hideMark/>
          </w:tcPr>
          <w:p w:rsidR="00E35242" w:rsidRDefault="00E35242">
            <w:r>
              <w:t> </w:t>
            </w:r>
          </w:p>
        </w:tc>
      </w:tr>
      <w:tr w:rsidR="00E35242" w:rsidTr="00DC12A2">
        <w:trPr>
          <w:trHeight w:val="245"/>
        </w:trPr>
        <w:tc>
          <w:tcPr>
            <w:tcW w:w="72" w:type="dxa"/>
            <w:vAlign w:val="center"/>
            <w:hideMark/>
          </w:tcPr>
          <w:p w:rsidR="00E35242" w:rsidRDefault="00E35242">
            <w:r>
              <w:t> </w:t>
            </w:r>
          </w:p>
        </w:tc>
        <w:tc>
          <w:tcPr>
            <w:tcW w:w="8644" w:type="dxa"/>
            <w:gridSpan w:val="14"/>
            <w:tcBorders>
              <w:top w:val="nil"/>
              <w:left w:val="single" w:sz="8" w:space="0" w:color="auto"/>
              <w:bottom w:val="single" w:sz="8" w:space="0" w:color="auto"/>
              <w:right w:val="single" w:sz="8" w:space="0" w:color="auto"/>
            </w:tcBorders>
            <w:shd w:val="clear" w:color="auto" w:fill="76933C"/>
            <w:noWrap/>
            <w:tcMar>
              <w:top w:w="0" w:type="dxa"/>
              <w:left w:w="108" w:type="dxa"/>
              <w:bottom w:w="0" w:type="dxa"/>
              <w:right w:w="108" w:type="dxa"/>
            </w:tcMar>
            <w:vAlign w:val="bottom"/>
            <w:hideMark/>
          </w:tcPr>
          <w:p w:rsidR="00E35242" w:rsidRDefault="00E35242" w:rsidP="0046031D">
            <w:pPr>
              <w:autoSpaceDE/>
              <w:rPr>
                <w:rFonts w:ascii="Calibri" w:hAnsi="Calibri"/>
                <w:b/>
                <w:bCs/>
                <w:sz w:val="22"/>
                <w:szCs w:val="22"/>
              </w:rPr>
            </w:pPr>
            <w:r>
              <w:rPr>
                <w:rFonts w:ascii="Calibri" w:hAnsi="Calibri"/>
                <w:b/>
                <w:bCs/>
                <w:sz w:val="22"/>
                <w:szCs w:val="22"/>
              </w:rPr>
              <w:t>Total                                                                                                                                        </w:t>
            </w:r>
            <w:r>
              <w:rPr>
                <w:rFonts w:ascii="Calibri" w:hAnsi="Calibri"/>
                <w:b/>
                <w:bCs/>
                <w:sz w:val="20"/>
                <w:szCs w:val="20"/>
              </w:rPr>
              <w:t>$</w:t>
            </w:r>
            <w:r w:rsidR="00D941BC">
              <w:rPr>
                <w:rFonts w:ascii="Calibri" w:hAnsi="Calibri"/>
                <w:b/>
                <w:bCs/>
                <w:sz w:val="20"/>
                <w:szCs w:val="20"/>
              </w:rPr>
              <w:t>24,959,694</w:t>
            </w:r>
          </w:p>
        </w:tc>
        <w:tc>
          <w:tcPr>
            <w:tcW w:w="536" w:type="dxa"/>
            <w:vAlign w:val="center"/>
            <w:hideMark/>
          </w:tcPr>
          <w:p w:rsidR="00E35242" w:rsidRDefault="00E35242">
            <w:r>
              <w:t> </w:t>
            </w:r>
          </w:p>
        </w:tc>
      </w:tr>
      <w:tr w:rsidR="00FF029C" w:rsidTr="00DC12A2">
        <w:trPr>
          <w:trHeight w:val="255"/>
        </w:trPr>
        <w:tc>
          <w:tcPr>
            <w:tcW w:w="5093" w:type="dxa"/>
            <w:gridSpan w:val="8"/>
            <w:tcBorders>
              <w:top w:val="nil"/>
              <w:left w:val="nil"/>
              <w:bottom w:val="single" w:sz="8" w:space="0" w:color="auto"/>
              <w:right w:val="nil"/>
            </w:tcBorders>
            <w:noWrap/>
            <w:tcMar>
              <w:top w:w="0" w:type="dxa"/>
              <w:left w:w="108" w:type="dxa"/>
              <w:bottom w:w="0" w:type="dxa"/>
              <w:right w:w="108" w:type="dxa"/>
            </w:tcMar>
            <w:vAlign w:val="center"/>
            <w:hideMark/>
          </w:tcPr>
          <w:p w:rsidR="00E35242" w:rsidRDefault="00E35242">
            <w:pPr>
              <w:autoSpaceDE/>
              <w:autoSpaceDN/>
              <w:rPr>
                <w:rFonts w:eastAsia="Times New Roman"/>
                <w:sz w:val="20"/>
                <w:szCs w:val="20"/>
                <w:lang w:eastAsia="en-US"/>
              </w:rPr>
            </w:pPr>
          </w:p>
        </w:tc>
        <w:tc>
          <w:tcPr>
            <w:tcW w:w="936" w:type="dxa"/>
            <w:tcBorders>
              <w:top w:val="nil"/>
              <w:left w:val="nil"/>
              <w:bottom w:val="single" w:sz="8" w:space="0" w:color="auto"/>
              <w:right w:val="nil"/>
            </w:tcBorders>
            <w:tcMar>
              <w:top w:w="0" w:type="dxa"/>
              <w:left w:w="108" w:type="dxa"/>
              <w:bottom w:w="0" w:type="dxa"/>
              <w:right w:w="108" w:type="dxa"/>
            </w:tcMar>
            <w:vAlign w:val="center"/>
            <w:hideMark/>
          </w:tcPr>
          <w:p w:rsidR="00E35242" w:rsidRDefault="00E35242">
            <w:pPr>
              <w:rPr>
                <w:rFonts w:ascii="Calibri" w:hAnsi="Calibri"/>
                <w:b/>
                <w:bCs/>
                <w:sz w:val="20"/>
                <w:szCs w:val="20"/>
              </w:rPr>
            </w:pPr>
            <w:r>
              <w:rPr>
                <w:rFonts w:ascii="Calibri" w:hAnsi="Calibri"/>
                <w:b/>
                <w:bCs/>
                <w:sz w:val="20"/>
                <w:szCs w:val="20"/>
              </w:rPr>
              <w:t> </w:t>
            </w:r>
          </w:p>
        </w:tc>
        <w:tc>
          <w:tcPr>
            <w:tcW w:w="1087" w:type="dxa"/>
            <w:gridSpan w:val="2"/>
            <w:tcBorders>
              <w:top w:val="nil"/>
              <w:left w:val="nil"/>
              <w:bottom w:val="single" w:sz="8" w:space="0" w:color="auto"/>
              <w:right w:val="nil"/>
            </w:tcBorders>
            <w:tcMar>
              <w:top w:w="0" w:type="dxa"/>
              <w:left w:w="108" w:type="dxa"/>
              <w:bottom w:w="0" w:type="dxa"/>
              <w:right w:w="108" w:type="dxa"/>
            </w:tcMar>
            <w:vAlign w:val="center"/>
            <w:hideMark/>
          </w:tcPr>
          <w:p w:rsidR="00E35242" w:rsidRDefault="00E35242">
            <w:pPr>
              <w:rPr>
                <w:rFonts w:ascii="Calibri" w:hAnsi="Calibri"/>
                <w:b/>
                <w:bCs/>
                <w:sz w:val="20"/>
                <w:szCs w:val="20"/>
              </w:rPr>
            </w:pPr>
            <w:r>
              <w:rPr>
                <w:rFonts w:ascii="Calibri" w:hAnsi="Calibri"/>
                <w:b/>
                <w:bCs/>
                <w:sz w:val="20"/>
                <w:szCs w:val="20"/>
              </w:rPr>
              <w:t> </w:t>
            </w:r>
          </w:p>
        </w:tc>
        <w:tc>
          <w:tcPr>
            <w:tcW w:w="1002" w:type="dxa"/>
            <w:gridSpan w:val="2"/>
            <w:tcBorders>
              <w:top w:val="nil"/>
              <w:left w:val="nil"/>
              <w:bottom w:val="single" w:sz="8" w:space="0" w:color="auto"/>
              <w:right w:val="nil"/>
            </w:tcBorders>
            <w:tcMar>
              <w:top w:w="0" w:type="dxa"/>
              <w:left w:w="108" w:type="dxa"/>
              <w:bottom w:w="0" w:type="dxa"/>
              <w:right w:w="108" w:type="dxa"/>
            </w:tcMar>
            <w:vAlign w:val="center"/>
            <w:hideMark/>
          </w:tcPr>
          <w:p w:rsidR="00E35242" w:rsidRDefault="00E35242">
            <w:pPr>
              <w:rPr>
                <w:rFonts w:ascii="Calibri" w:hAnsi="Calibri"/>
                <w:b/>
                <w:bCs/>
                <w:sz w:val="20"/>
                <w:szCs w:val="20"/>
              </w:rPr>
            </w:pPr>
            <w:r>
              <w:rPr>
                <w:rFonts w:ascii="Calibri" w:hAnsi="Calibri"/>
                <w:b/>
                <w:bCs/>
                <w:sz w:val="20"/>
                <w:szCs w:val="20"/>
              </w:rPr>
              <w:t> </w:t>
            </w:r>
          </w:p>
        </w:tc>
        <w:tc>
          <w:tcPr>
            <w:tcW w:w="1134" w:type="dxa"/>
            <w:gridSpan w:val="3"/>
            <w:noWrap/>
            <w:tcMar>
              <w:top w:w="0" w:type="dxa"/>
              <w:left w:w="108" w:type="dxa"/>
              <w:bottom w:w="0" w:type="dxa"/>
              <w:right w:w="108" w:type="dxa"/>
            </w:tcMar>
            <w:hideMark/>
          </w:tcPr>
          <w:p w:rsidR="00E35242" w:rsidRDefault="00E35242">
            <w:pPr>
              <w:autoSpaceDE/>
              <w:autoSpaceDN/>
              <w:rPr>
                <w:rFonts w:eastAsia="Times New Roman"/>
                <w:sz w:val="20"/>
                <w:szCs w:val="20"/>
                <w:lang w:eastAsia="en-US"/>
              </w:rPr>
            </w:pPr>
          </w:p>
        </w:tc>
      </w:tr>
      <w:tr w:rsidR="00FF029C" w:rsidTr="00DC12A2">
        <w:tc>
          <w:tcPr>
            <w:tcW w:w="216" w:type="dxa"/>
            <w:gridSpan w:val="2"/>
            <w:vAlign w:val="center"/>
            <w:hideMark/>
          </w:tcPr>
          <w:p w:rsidR="00E35242" w:rsidRDefault="00E35242">
            <w:pPr>
              <w:autoSpaceDE/>
              <w:autoSpaceDN/>
              <w:rPr>
                <w:rFonts w:eastAsia="Times New Roman"/>
                <w:sz w:val="20"/>
                <w:szCs w:val="20"/>
                <w:lang w:eastAsia="en-US"/>
              </w:rPr>
            </w:pPr>
          </w:p>
        </w:tc>
        <w:tc>
          <w:tcPr>
            <w:tcW w:w="881" w:type="dxa"/>
            <w:vAlign w:val="center"/>
            <w:hideMark/>
          </w:tcPr>
          <w:p w:rsidR="00E35242" w:rsidRDefault="00E35242">
            <w:pPr>
              <w:autoSpaceDE/>
              <w:autoSpaceDN/>
              <w:rPr>
                <w:rFonts w:eastAsia="Times New Roman"/>
                <w:sz w:val="20"/>
                <w:szCs w:val="20"/>
                <w:lang w:eastAsia="en-US"/>
              </w:rPr>
            </w:pPr>
          </w:p>
        </w:tc>
        <w:tc>
          <w:tcPr>
            <w:tcW w:w="965" w:type="dxa"/>
            <w:vAlign w:val="center"/>
            <w:hideMark/>
          </w:tcPr>
          <w:p w:rsidR="00E35242" w:rsidRDefault="00E35242">
            <w:pPr>
              <w:autoSpaceDE/>
              <w:autoSpaceDN/>
              <w:rPr>
                <w:rFonts w:eastAsia="Times New Roman"/>
                <w:sz w:val="20"/>
                <w:szCs w:val="20"/>
                <w:lang w:eastAsia="en-US"/>
              </w:rPr>
            </w:pPr>
          </w:p>
        </w:tc>
        <w:tc>
          <w:tcPr>
            <w:tcW w:w="216" w:type="dxa"/>
            <w:vAlign w:val="center"/>
            <w:hideMark/>
          </w:tcPr>
          <w:p w:rsidR="00E35242" w:rsidRDefault="00E35242">
            <w:pPr>
              <w:autoSpaceDE/>
              <w:autoSpaceDN/>
              <w:rPr>
                <w:rFonts w:eastAsia="Times New Roman"/>
                <w:sz w:val="20"/>
                <w:szCs w:val="20"/>
                <w:lang w:eastAsia="en-US"/>
              </w:rPr>
            </w:pPr>
          </w:p>
        </w:tc>
        <w:tc>
          <w:tcPr>
            <w:tcW w:w="1286" w:type="dxa"/>
            <w:vAlign w:val="center"/>
            <w:hideMark/>
          </w:tcPr>
          <w:p w:rsidR="00E35242" w:rsidRDefault="00E35242">
            <w:pPr>
              <w:autoSpaceDE/>
              <w:autoSpaceDN/>
              <w:rPr>
                <w:rFonts w:eastAsia="Times New Roman"/>
                <w:sz w:val="20"/>
                <w:szCs w:val="20"/>
                <w:lang w:eastAsia="en-US"/>
              </w:rPr>
            </w:pPr>
          </w:p>
        </w:tc>
        <w:tc>
          <w:tcPr>
            <w:tcW w:w="1313" w:type="dxa"/>
            <w:vAlign w:val="center"/>
            <w:hideMark/>
          </w:tcPr>
          <w:p w:rsidR="00E35242" w:rsidRDefault="00E35242">
            <w:pPr>
              <w:autoSpaceDE/>
              <w:autoSpaceDN/>
              <w:rPr>
                <w:rFonts w:eastAsia="Times New Roman"/>
                <w:sz w:val="20"/>
                <w:szCs w:val="20"/>
                <w:lang w:eastAsia="en-US"/>
              </w:rPr>
            </w:pPr>
          </w:p>
        </w:tc>
        <w:tc>
          <w:tcPr>
            <w:tcW w:w="216" w:type="dxa"/>
            <w:vAlign w:val="center"/>
            <w:hideMark/>
          </w:tcPr>
          <w:p w:rsidR="00E35242" w:rsidRDefault="00E35242">
            <w:pPr>
              <w:autoSpaceDE/>
              <w:autoSpaceDN/>
              <w:rPr>
                <w:rFonts w:eastAsia="Times New Roman"/>
                <w:sz w:val="20"/>
                <w:szCs w:val="20"/>
                <w:lang w:eastAsia="en-US"/>
              </w:rPr>
            </w:pPr>
          </w:p>
        </w:tc>
        <w:tc>
          <w:tcPr>
            <w:tcW w:w="936" w:type="dxa"/>
            <w:vAlign w:val="center"/>
            <w:hideMark/>
          </w:tcPr>
          <w:p w:rsidR="00E35242" w:rsidRDefault="00E35242">
            <w:pPr>
              <w:autoSpaceDE/>
              <w:autoSpaceDN/>
              <w:rPr>
                <w:rFonts w:eastAsia="Times New Roman"/>
                <w:sz w:val="20"/>
                <w:szCs w:val="20"/>
                <w:lang w:eastAsia="en-US"/>
              </w:rPr>
            </w:pPr>
          </w:p>
        </w:tc>
        <w:tc>
          <w:tcPr>
            <w:tcW w:w="219" w:type="dxa"/>
            <w:vAlign w:val="center"/>
            <w:hideMark/>
          </w:tcPr>
          <w:p w:rsidR="00E35242" w:rsidRDefault="00E35242">
            <w:pPr>
              <w:autoSpaceDE/>
              <w:autoSpaceDN/>
              <w:rPr>
                <w:rFonts w:eastAsia="Times New Roman"/>
                <w:sz w:val="20"/>
                <w:szCs w:val="20"/>
                <w:lang w:eastAsia="en-US"/>
              </w:rPr>
            </w:pPr>
          </w:p>
        </w:tc>
        <w:tc>
          <w:tcPr>
            <w:tcW w:w="868" w:type="dxa"/>
            <w:vAlign w:val="center"/>
            <w:hideMark/>
          </w:tcPr>
          <w:p w:rsidR="00E35242" w:rsidRDefault="00E35242">
            <w:pPr>
              <w:autoSpaceDE/>
              <w:autoSpaceDN/>
              <w:rPr>
                <w:rFonts w:eastAsia="Times New Roman"/>
                <w:sz w:val="20"/>
                <w:szCs w:val="20"/>
                <w:lang w:eastAsia="en-US"/>
              </w:rPr>
            </w:pPr>
          </w:p>
        </w:tc>
        <w:tc>
          <w:tcPr>
            <w:tcW w:w="304" w:type="dxa"/>
            <w:vAlign w:val="center"/>
            <w:hideMark/>
          </w:tcPr>
          <w:p w:rsidR="00E35242" w:rsidRDefault="00E35242">
            <w:pPr>
              <w:autoSpaceDE/>
              <w:autoSpaceDN/>
              <w:rPr>
                <w:rFonts w:eastAsia="Times New Roman"/>
                <w:sz w:val="20"/>
                <w:szCs w:val="20"/>
                <w:lang w:eastAsia="en-US"/>
              </w:rPr>
            </w:pPr>
          </w:p>
        </w:tc>
        <w:tc>
          <w:tcPr>
            <w:tcW w:w="698" w:type="dxa"/>
            <w:vAlign w:val="center"/>
            <w:hideMark/>
          </w:tcPr>
          <w:p w:rsidR="00E35242" w:rsidRDefault="00E35242">
            <w:pPr>
              <w:autoSpaceDE/>
              <w:autoSpaceDN/>
              <w:rPr>
                <w:rFonts w:eastAsia="Times New Roman"/>
                <w:sz w:val="20"/>
                <w:szCs w:val="20"/>
                <w:lang w:eastAsia="en-US"/>
              </w:rPr>
            </w:pPr>
          </w:p>
        </w:tc>
        <w:tc>
          <w:tcPr>
            <w:tcW w:w="474" w:type="dxa"/>
            <w:vAlign w:val="center"/>
            <w:hideMark/>
          </w:tcPr>
          <w:p w:rsidR="00E35242" w:rsidRDefault="00E35242">
            <w:pPr>
              <w:autoSpaceDE/>
              <w:autoSpaceDN/>
              <w:rPr>
                <w:rFonts w:eastAsia="Times New Roman"/>
                <w:sz w:val="20"/>
                <w:szCs w:val="20"/>
                <w:lang w:eastAsia="en-US"/>
              </w:rPr>
            </w:pPr>
          </w:p>
        </w:tc>
        <w:tc>
          <w:tcPr>
            <w:tcW w:w="660" w:type="dxa"/>
            <w:gridSpan w:val="2"/>
            <w:vAlign w:val="center"/>
            <w:hideMark/>
          </w:tcPr>
          <w:p w:rsidR="00E35242" w:rsidRDefault="00E35242">
            <w:pPr>
              <w:autoSpaceDE/>
              <w:autoSpaceDN/>
              <w:rPr>
                <w:rFonts w:eastAsia="Times New Roman"/>
                <w:sz w:val="20"/>
                <w:szCs w:val="20"/>
                <w:lang w:eastAsia="en-US"/>
              </w:rPr>
            </w:pPr>
          </w:p>
        </w:tc>
      </w:tr>
    </w:tbl>
    <w:p w:rsidR="00E35242" w:rsidRDefault="00E35242" w:rsidP="00E35242">
      <w:pPr>
        <w:pStyle w:val="Heading4"/>
        <w:numPr>
          <w:ilvl w:val="3"/>
          <w:numId w:val="3"/>
        </w:numPr>
        <w:rPr>
          <w:lang w:val="x-none"/>
        </w:rPr>
      </w:pPr>
      <w:r>
        <w:lastRenderedPageBreak/>
        <w:t xml:space="preserve">Initial </w:t>
      </w:r>
      <w:r>
        <w:rPr>
          <w:lang w:val="x-none"/>
        </w:rPr>
        <w:t>Medical Examinations</w:t>
      </w:r>
    </w:p>
    <w:p w:rsidR="00E35242" w:rsidRDefault="00E35242" w:rsidP="00E35242">
      <w:pPr>
        <w:pStyle w:val="BodyTextFirstIndent"/>
        <w:ind w:firstLine="0"/>
        <w:rPr>
          <w:sz w:val="24"/>
          <w:szCs w:val="24"/>
        </w:rPr>
      </w:pPr>
      <w:r>
        <w:rPr>
          <w:sz w:val="24"/>
          <w:szCs w:val="24"/>
          <w:lang w:val="x-none"/>
        </w:rPr>
        <w:t xml:space="preserve">The Agency assumes that employers will incur </w:t>
      </w:r>
      <w:r>
        <w:rPr>
          <w:sz w:val="24"/>
          <w:szCs w:val="24"/>
        </w:rPr>
        <w:t xml:space="preserve">an initial medical </w:t>
      </w:r>
      <w:r>
        <w:rPr>
          <w:sz w:val="24"/>
          <w:szCs w:val="24"/>
          <w:lang w:val="x-none"/>
        </w:rPr>
        <w:t xml:space="preserve">cost for the  exams associated with the medical surveillance provision of the rule. The </w:t>
      </w:r>
      <w:r>
        <w:rPr>
          <w:sz w:val="24"/>
          <w:szCs w:val="24"/>
        </w:rPr>
        <w:t>initial medical</w:t>
      </w:r>
      <w:r>
        <w:rPr>
          <w:sz w:val="24"/>
          <w:szCs w:val="24"/>
          <w:lang w:val="x-none"/>
        </w:rPr>
        <w:t xml:space="preserve"> cost associated with </w:t>
      </w:r>
      <w:r>
        <w:rPr>
          <w:sz w:val="24"/>
          <w:szCs w:val="24"/>
        </w:rPr>
        <w:t>initial</w:t>
      </w:r>
      <w:r>
        <w:rPr>
          <w:sz w:val="24"/>
          <w:szCs w:val="24"/>
          <w:lang w:val="x-none"/>
        </w:rPr>
        <w:t xml:space="preserve"> medical exams is $</w:t>
      </w:r>
      <w:r w:rsidR="003B77D5">
        <w:rPr>
          <w:sz w:val="24"/>
          <w:szCs w:val="24"/>
        </w:rPr>
        <w:t>567.31</w:t>
      </w:r>
      <w:r>
        <w:rPr>
          <w:sz w:val="24"/>
          <w:szCs w:val="24"/>
          <w:lang w:val="x-none"/>
        </w:rPr>
        <w:t>, which includes $</w:t>
      </w:r>
      <w:r>
        <w:rPr>
          <w:sz w:val="24"/>
          <w:szCs w:val="24"/>
        </w:rPr>
        <w:t>42.</w:t>
      </w:r>
      <w:r w:rsidR="00296A72">
        <w:rPr>
          <w:sz w:val="24"/>
          <w:szCs w:val="24"/>
        </w:rPr>
        <w:t>83</w:t>
      </w:r>
      <w:r w:rsidR="00296A72">
        <w:rPr>
          <w:sz w:val="24"/>
          <w:szCs w:val="24"/>
          <w:lang w:val="x-none"/>
        </w:rPr>
        <w:t xml:space="preserve"> </w:t>
      </w:r>
      <w:r>
        <w:rPr>
          <w:sz w:val="24"/>
          <w:szCs w:val="24"/>
          <w:lang w:val="x-none"/>
        </w:rPr>
        <w:t>for gathering or updating work and medical history, $</w:t>
      </w:r>
      <w:r w:rsidR="00296A72">
        <w:rPr>
          <w:sz w:val="24"/>
          <w:szCs w:val="24"/>
        </w:rPr>
        <w:t>128.48</w:t>
      </w:r>
      <w:r>
        <w:rPr>
          <w:sz w:val="24"/>
          <w:szCs w:val="24"/>
        </w:rPr>
        <w:t xml:space="preserve"> </w:t>
      </w:r>
      <w:r>
        <w:rPr>
          <w:sz w:val="24"/>
          <w:szCs w:val="24"/>
          <w:lang w:val="x-none"/>
        </w:rPr>
        <w:t>for a full physical exam (encompassing both respiratory and skin requirements), $</w:t>
      </w:r>
      <w:r w:rsidR="00296A72">
        <w:rPr>
          <w:sz w:val="24"/>
          <w:szCs w:val="24"/>
        </w:rPr>
        <w:t>60.21</w:t>
      </w:r>
      <w:r>
        <w:rPr>
          <w:sz w:val="24"/>
          <w:szCs w:val="24"/>
          <w:lang w:val="x-none"/>
        </w:rPr>
        <w:t xml:space="preserve"> for a pulmonary function test, $</w:t>
      </w:r>
      <w:r w:rsidR="00296A72">
        <w:rPr>
          <w:sz w:val="24"/>
          <w:szCs w:val="24"/>
        </w:rPr>
        <w:t>313.77</w:t>
      </w:r>
      <w:r>
        <w:rPr>
          <w:sz w:val="24"/>
          <w:szCs w:val="24"/>
          <w:lang w:val="x-none"/>
        </w:rPr>
        <w:t xml:space="preserve"> for a </w:t>
      </w:r>
      <w:proofErr w:type="spellStart"/>
      <w:r>
        <w:rPr>
          <w:sz w:val="24"/>
          <w:szCs w:val="24"/>
          <w:lang w:val="x-none"/>
        </w:rPr>
        <w:t>BeLPT</w:t>
      </w:r>
      <w:proofErr w:type="spellEnd"/>
      <w:r>
        <w:rPr>
          <w:sz w:val="24"/>
          <w:szCs w:val="24"/>
          <w:lang w:val="x-none"/>
        </w:rPr>
        <w:t>, and $</w:t>
      </w:r>
      <w:r w:rsidR="003B77D5">
        <w:rPr>
          <w:sz w:val="24"/>
          <w:szCs w:val="24"/>
        </w:rPr>
        <w:t>220.19</w:t>
      </w:r>
      <w:r>
        <w:rPr>
          <w:sz w:val="24"/>
          <w:szCs w:val="24"/>
          <w:lang w:val="x-none"/>
        </w:rPr>
        <w:t xml:space="preserve"> for all additional tests (collectively) that the PLHCP may recommend.  For this last element, the Agency estimates that 10 percent of the standard medical examinations will lead to further tests recommended by the PLCHP.</w:t>
      </w:r>
      <w:r>
        <w:rPr>
          <w:rStyle w:val="FootnoteReference"/>
          <w:lang w:val="x-none"/>
        </w:rPr>
        <w:footnoteReference w:customMarkFollows="1" w:id="22"/>
        <w:t>[20]</w:t>
      </w:r>
      <w:r>
        <w:rPr>
          <w:sz w:val="24"/>
          <w:szCs w:val="24"/>
          <w:lang w:val="x-none"/>
        </w:rPr>
        <w:t xml:space="preserve">  </w:t>
      </w:r>
      <w:r>
        <w:rPr>
          <w:sz w:val="24"/>
          <w:szCs w:val="24"/>
        </w:rPr>
        <w:t>The cost for the PLHCP or other medical provider to provide a written medical report to the employee is included in the cost for the medical exams.</w:t>
      </w:r>
    </w:p>
    <w:p w:rsidR="00510977" w:rsidRDefault="00510977" w:rsidP="00E35242">
      <w:pPr>
        <w:pStyle w:val="BodyTextFirstIndent"/>
        <w:ind w:firstLine="0"/>
        <w:rPr>
          <w:rFonts w:eastAsia="Times New Roman"/>
          <w:b/>
          <w:bCs/>
        </w:rPr>
      </w:pPr>
      <w:r>
        <w:rPr>
          <w:sz w:val="24"/>
          <w:szCs w:val="24"/>
          <w:lang w:val="x-none"/>
        </w:rPr>
        <w:t xml:space="preserve">The Agency estimates that </w:t>
      </w:r>
      <w:r>
        <w:rPr>
          <w:sz w:val="24"/>
          <w:szCs w:val="24"/>
        </w:rPr>
        <w:t xml:space="preserve">14,607 </w:t>
      </w:r>
      <w:r>
        <w:rPr>
          <w:sz w:val="24"/>
          <w:szCs w:val="24"/>
          <w:lang w:val="x-none"/>
        </w:rPr>
        <w:t>workers will be subject to annual medical surveillance, and OSHA estimates a non-compliance rate of 0.</w:t>
      </w:r>
      <w:r>
        <w:rPr>
          <w:sz w:val="24"/>
          <w:szCs w:val="24"/>
        </w:rPr>
        <w:t>96</w:t>
      </w:r>
      <w:r>
        <w:rPr>
          <w:sz w:val="24"/>
          <w:szCs w:val="24"/>
          <w:lang w:val="x-none"/>
        </w:rPr>
        <w:t xml:space="preserve"> (</w:t>
      </w:r>
      <w:r>
        <w:rPr>
          <w:sz w:val="24"/>
          <w:szCs w:val="24"/>
        </w:rPr>
        <w:t>14,023</w:t>
      </w:r>
      <w:r>
        <w:rPr>
          <w:sz w:val="24"/>
          <w:szCs w:val="24"/>
          <w:lang w:val="x-none"/>
        </w:rPr>
        <w:t xml:space="preserve"> workers) so the total cost for these workers is $</w:t>
      </w:r>
      <w:r>
        <w:rPr>
          <w:sz w:val="24"/>
          <w:szCs w:val="24"/>
        </w:rPr>
        <w:t>7,955,388</w:t>
      </w:r>
      <w:r>
        <w:rPr>
          <w:sz w:val="24"/>
          <w:szCs w:val="24"/>
          <w:lang w:val="x-none"/>
        </w:rPr>
        <w:t xml:space="preserve"> (</w:t>
      </w:r>
      <w:r>
        <w:rPr>
          <w:sz w:val="24"/>
          <w:szCs w:val="24"/>
        </w:rPr>
        <w:t>14,023</w:t>
      </w:r>
      <w:r>
        <w:rPr>
          <w:sz w:val="24"/>
          <w:szCs w:val="24"/>
          <w:lang w:val="x-none"/>
        </w:rPr>
        <w:t xml:space="preserve"> x $</w:t>
      </w:r>
      <w:r>
        <w:rPr>
          <w:sz w:val="24"/>
          <w:szCs w:val="24"/>
        </w:rPr>
        <w:t>567.31</w:t>
      </w:r>
      <w:r>
        <w:rPr>
          <w:sz w:val="24"/>
          <w:szCs w:val="24"/>
          <w:lang w:val="x-none"/>
        </w:rPr>
        <w:t xml:space="preserve">). </w:t>
      </w:r>
      <w:r>
        <w:rPr>
          <w:sz w:val="24"/>
          <w:szCs w:val="24"/>
        </w:rPr>
        <w:t xml:space="preserve">(See Table C2)The cost for the additional exams is included.  </w:t>
      </w:r>
      <w:r w:rsidRPr="007D0AB6">
        <w:rPr>
          <w:rFonts w:eastAsia="Times New Roman"/>
          <w:b/>
          <w:bCs/>
        </w:rPr>
        <w:t> </w:t>
      </w:r>
    </w:p>
    <w:p w:rsidR="00510977" w:rsidRDefault="00510977" w:rsidP="00E35242">
      <w:pPr>
        <w:pStyle w:val="BodyTextFirstIndent"/>
        <w:ind w:firstLine="0"/>
        <w:rPr>
          <w:sz w:val="24"/>
          <w:szCs w:val="24"/>
        </w:rPr>
      </w:pPr>
      <w:r>
        <w:rPr>
          <w:rFonts w:eastAsia="Times New Roman"/>
          <w:b/>
          <w:bCs/>
        </w:rPr>
        <w:t>Table C2 – Medical Exam Costs</w:t>
      </w:r>
    </w:p>
    <w:tbl>
      <w:tblPr>
        <w:tblStyle w:val="TableGrid"/>
        <w:tblW w:w="0" w:type="auto"/>
        <w:tblLook w:val="04A0" w:firstRow="1" w:lastRow="0" w:firstColumn="1" w:lastColumn="0" w:noHBand="0" w:noVBand="1"/>
      </w:tblPr>
      <w:tblGrid>
        <w:gridCol w:w="1104"/>
        <w:gridCol w:w="1219"/>
        <w:gridCol w:w="1165"/>
        <w:gridCol w:w="1102"/>
        <w:gridCol w:w="1192"/>
        <w:gridCol w:w="1341"/>
        <w:gridCol w:w="1192"/>
        <w:gridCol w:w="1261"/>
      </w:tblGrid>
      <w:tr w:rsidR="00B55E2B" w:rsidTr="007D0AB6">
        <w:tc>
          <w:tcPr>
            <w:tcW w:w="1197" w:type="dxa"/>
            <w:vAlign w:val="center"/>
          </w:tcPr>
          <w:p w:rsidR="00B55E2B" w:rsidRPr="007D0AB6" w:rsidRDefault="00B55E2B" w:rsidP="00E35242">
            <w:pPr>
              <w:pStyle w:val="BodyTextFirstIndent"/>
              <w:ind w:firstLine="0"/>
            </w:pPr>
          </w:p>
        </w:tc>
        <w:tc>
          <w:tcPr>
            <w:tcW w:w="1197" w:type="dxa"/>
            <w:vAlign w:val="center"/>
          </w:tcPr>
          <w:p w:rsidR="00B55E2B" w:rsidRPr="007D0AB6" w:rsidRDefault="00B55E2B" w:rsidP="00E35242">
            <w:pPr>
              <w:pStyle w:val="BodyTextFirstIndent"/>
              <w:ind w:firstLine="0"/>
            </w:pPr>
            <w:r w:rsidRPr="007D0AB6">
              <w:rPr>
                <w:rFonts w:eastAsia="Times New Roman"/>
                <w:b/>
                <w:bCs/>
              </w:rPr>
              <w:t>Frequency</w:t>
            </w:r>
          </w:p>
        </w:tc>
        <w:tc>
          <w:tcPr>
            <w:tcW w:w="1197" w:type="dxa"/>
            <w:vAlign w:val="center"/>
          </w:tcPr>
          <w:p w:rsidR="00B55E2B" w:rsidRPr="007D0AB6" w:rsidRDefault="00B55E2B" w:rsidP="00E35242">
            <w:pPr>
              <w:pStyle w:val="BodyTextFirstIndent"/>
              <w:ind w:firstLine="0"/>
            </w:pPr>
            <w:r w:rsidRPr="007D0AB6">
              <w:rPr>
                <w:rFonts w:eastAsia="Times New Roman"/>
                <w:b/>
                <w:bCs/>
              </w:rPr>
              <w:t>Basis</w:t>
            </w:r>
          </w:p>
        </w:tc>
        <w:tc>
          <w:tcPr>
            <w:tcW w:w="1197" w:type="dxa"/>
            <w:vAlign w:val="center"/>
          </w:tcPr>
          <w:p w:rsidR="00B55E2B" w:rsidRPr="007D0AB6" w:rsidRDefault="00B55E2B" w:rsidP="00E35242">
            <w:pPr>
              <w:pStyle w:val="BodyTextFirstIndent"/>
              <w:ind w:firstLine="0"/>
            </w:pPr>
            <w:r w:rsidRPr="007D0AB6">
              <w:rPr>
                <w:rFonts w:eastAsia="Times New Roman"/>
                <w:b/>
                <w:bCs/>
              </w:rPr>
              <w:t>Unit Cost</w:t>
            </w:r>
          </w:p>
        </w:tc>
        <w:tc>
          <w:tcPr>
            <w:tcW w:w="1197" w:type="dxa"/>
            <w:vAlign w:val="center"/>
          </w:tcPr>
          <w:p w:rsidR="00B55E2B" w:rsidRPr="007D0AB6" w:rsidRDefault="00B55E2B" w:rsidP="00E35242">
            <w:pPr>
              <w:pStyle w:val="BodyTextFirstIndent"/>
              <w:ind w:firstLine="0"/>
            </w:pPr>
            <w:r w:rsidRPr="007D0AB6">
              <w:rPr>
                <w:rFonts w:eastAsia="Times New Roman"/>
                <w:b/>
                <w:bCs/>
              </w:rPr>
              <w:t>Responses per Year</w:t>
            </w:r>
          </w:p>
        </w:tc>
        <w:tc>
          <w:tcPr>
            <w:tcW w:w="1197" w:type="dxa"/>
            <w:vAlign w:val="center"/>
          </w:tcPr>
          <w:p w:rsidR="00B55E2B" w:rsidRPr="007D0AB6" w:rsidRDefault="00B55E2B" w:rsidP="00E35242">
            <w:pPr>
              <w:pStyle w:val="BodyTextFirstIndent"/>
              <w:ind w:firstLine="0"/>
            </w:pPr>
            <w:r w:rsidRPr="007D0AB6">
              <w:rPr>
                <w:rFonts w:eastAsia="Times New Roman"/>
                <w:b/>
                <w:bCs/>
              </w:rPr>
              <w:t>Non-Compliance Rate</w:t>
            </w:r>
          </w:p>
        </w:tc>
        <w:tc>
          <w:tcPr>
            <w:tcW w:w="1197" w:type="dxa"/>
            <w:vAlign w:val="center"/>
          </w:tcPr>
          <w:p w:rsidR="00B55E2B" w:rsidRPr="007D0AB6" w:rsidRDefault="00B55E2B" w:rsidP="00E35242">
            <w:pPr>
              <w:pStyle w:val="BodyTextFirstIndent"/>
              <w:ind w:firstLine="0"/>
            </w:pPr>
            <w:r w:rsidRPr="007D0AB6">
              <w:rPr>
                <w:rFonts w:eastAsia="Times New Roman"/>
                <w:b/>
                <w:bCs/>
              </w:rPr>
              <w:t>Adjusted Responses</w:t>
            </w:r>
          </w:p>
        </w:tc>
        <w:tc>
          <w:tcPr>
            <w:tcW w:w="1197" w:type="dxa"/>
            <w:vAlign w:val="center"/>
          </w:tcPr>
          <w:p w:rsidR="00B55E2B" w:rsidRPr="007D0AB6" w:rsidRDefault="00B55E2B" w:rsidP="00E35242">
            <w:pPr>
              <w:pStyle w:val="BodyTextFirstIndent"/>
              <w:ind w:firstLine="0"/>
            </w:pPr>
            <w:r w:rsidRPr="007D0AB6">
              <w:rPr>
                <w:rFonts w:eastAsia="Times New Roman"/>
                <w:b/>
                <w:bCs/>
              </w:rPr>
              <w:t>Total Cost</w:t>
            </w:r>
          </w:p>
        </w:tc>
      </w:tr>
      <w:tr w:rsidR="00B55E2B" w:rsidTr="007D0AB6">
        <w:tc>
          <w:tcPr>
            <w:tcW w:w="1197" w:type="dxa"/>
            <w:vAlign w:val="center"/>
          </w:tcPr>
          <w:p w:rsidR="00B55E2B" w:rsidRPr="007D0AB6" w:rsidRDefault="00B55E2B" w:rsidP="00E35242">
            <w:pPr>
              <w:pStyle w:val="BodyTextFirstIndent"/>
              <w:ind w:firstLine="0"/>
            </w:pPr>
            <w:r w:rsidRPr="007D0AB6">
              <w:rPr>
                <w:rFonts w:eastAsia="Times New Roman"/>
                <w:color w:val="000000"/>
              </w:rPr>
              <w:t>Medical Exam Costs</w:t>
            </w:r>
          </w:p>
        </w:tc>
        <w:tc>
          <w:tcPr>
            <w:tcW w:w="1197" w:type="dxa"/>
            <w:vAlign w:val="center"/>
          </w:tcPr>
          <w:p w:rsidR="00B55E2B" w:rsidRPr="007D0AB6" w:rsidRDefault="00B55E2B" w:rsidP="00E35242">
            <w:pPr>
              <w:pStyle w:val="BodyTextFirstIndent"/>
              <w:ind w:firstLine="0"/>
            </w:pPr>
            <w:r w:rsidRPr="007D0AB6">
              <w:rPr>
                <w:rFonts w:eastAsia="Times New Roman"/>
                <w:color w:val="000000"/>
              </w:rPr>
              <w:t>Annual</w:t>
            </w:r>
          </w:p>
        </w:tc>
        <w:tc>
          <w:tcPr>
            <w:tcW w:w="1197" w:type="dxa"/>
            <w:vAlign w:val="center"/>
          </w:tcPr>
          <w:p w:rsidR="00B55E2B" w:rsidRPr="007D0AB6" w:rsidRDefault="00B55E2B" w:rsidP="00E35242">
            <w:pPr>
              <w:pStyle w:val="BodyTextFirstIndent"/>
              <w:ind w:firstLine="0"/>
            </w:pPr>
            <w:r w:rsidRPr="007D0AB6">
              <w:rPr>
                <w:rFonts w:eastAsia="Times New Roman"/>
                <w:color w:val="000000"/>
              </w:rPr>
              <w:t>Employee</w:t>
            </w:r>
          </w:p>
        </w:tc>
        <w:tc>
          <w:tcPr>
            <w:tcW w:w="1197" w:type="dxa"/>
            <w:vAlign w:val="center"/>
          </w:tcPr>
          <w:p w:rsidR="00B55E2B" w:rsidRPr="007D0AB6" w:rsidRDefault="00B55E2B" w:rsidP="00E35242">
            <w:pPr>
              <w:pStyle w:val="BodyTextFirstIndent"/>
              <w:ind w:firstLine="0"/>
            </w:pPr>
            <w:r w:rsidRPr="007D0AB6">
              <w:rPr>
                <w:rFonts w:eastAsia="Times New Roman"/>
                <w:color w:val="000000"/>
              </w:rPr>
              <w:t xml:space="preserve">$567.31 </w:t>
            </w:r>
          </w:p>
        </w:tc>
        <w:tc>
          <w:tcPr>
            <w:tcW w:w="1197" w:type="dxa"/>
            <w:vAlign w:val="center"/>
          </w:tcPr>
          <w:p w:rsidR="00B55E2B" w:rsidRPr="007D0AB6" w:rsidRDefault="00E83AF8" w:rsidP="00E35242">
            <w:pPr>
              <w:pStyle w:val="BodyTextFirstIndent"/>
              <w:ind w:firstLine="0"/>
            </w:pPr>
            <w:r w:rsidRPr="007D0AB6">
              <w:t>14,609</w:t>
            </w:r>
          </w:p>
        </w:tc>
        <w:tc>
          <w:tcPr>
            <w:tcW w:w="1197" w:type="dxa"/>
            <w:vAlign w:val="center"/>
          </w:tcPr>
          <w:p w:rsidR="00B55E2B" w:rsidRPr="007D0AB6" w:rsidRDefault="00B55E2B" w:rsidP="00B55E2B">
            <w:pPr>
              <w:pStyle w:val="BodyTextFirstIndent"/>
              <w:ind w:firstLine="0"/>
            </w:pPr>
            <w:r w:rsidRPr="007D0AB6">
              <w:rPr>
                <w:rFonts w:eastAsia="Times New Roman"/>
                <w:color w:val="000000"/>
              </w:rPr>
              <w:t>96%</w:t>
            </w:r>
          </w:p>
        </w:tc>
        <w:tc>
          <w:tcPr>
            <w:tcW w:w="1197" w:type="dxa"/>
            <w:vAlign w:val="center"/>
          </w:tcPr>
          <w:p w:rsidR="00B55E2B" w:rsidRPr="007D0AB6" w:rsidRDefault="00E83AF8" w:rsidP="00E35242">
            <w:pPr>
              <w:pStyle w:val="BodyTextFirstIndent"/>
              <w:ind w:firstLine="0"/>
            </w:pPr>
            <w:r w:rsidRPr="007D0AB6">
              <w:t>14,023</w:t>
            </w:r>
          </w:p>
        </w:tc>
        <w:tc>
          <w:tcPr>
            <w:tcW w:w="1197" w:type="dxa"/>
            <w:vAlign w:val="center"/>
          </w:tcPr>
          <w:p w:rsidR="00B55E2B" w:rsidRPr="007D0AB6" w:rsidRDefault="00B55E2B" w:rsidP="00B55E2B">
            <w:pPr>
              <w:jc w:val="right"/>
              <w:rPr>
                <w:color w:val="000000"/>
                <w:sz w:val="22"/>
                <w:szCs w:val="22"/>
              </w:rPr>
            </w:pPr>
            <w:r w:rsidRPr="007D0AB6">
              <w:rPr>
                <w:color w:val="000000"/>
                <w:sz w:val="22"/>
                <w:szCs w:val="22"/>
              </w:rPr>
              <w:t xml:space="preserve">$ </w:t>
            </w:r>
            <w:r w:rsidR="00E83AF8" w:rsidRPr="007D0AB6">
              <w:rPr>
                <w:color w:val="000000"/>
                <w:sz w:val="22"/>
                <w:szCs w:val="22"/>
              </w:rPr>
              <w:t>7,955,388</w:t>
            </w:r>
          </w:p>
          <w:p w:rsidR="00B55E2B" w:rsidRPr="007D0AB6" w:rsidRDefault="00B55E2B" w:rsidP="00E35242">
            <w:pPr>
              <w:pStyle w:val="BodyTextFirstIndent"/>
              <w:ind w:firstLine="0"/>
            </w:pPr>
          </w:p>
        </w:tc>
      </w:tr>
    </w:tbl>
    <w:p w:rsidR="00E35242" w:rsidRDefault="00E35242" w:rsidP="00E35242">
      <w:pPr>
        <w:pStyle w:val="BodyTextFirstIndent"/>
        <w:ind w:firstLine="0"/>
        <w:rPr>
          <w:b/>
          <w:bCs/>
          <w:sz w:val="24"/>
          <w:szCs w:val="24"/>
        </w:rPr>
      </w:pPr>
      <w:r>
        <w:rPr>
          <w:b/>
          <w:bCs/>
          <w:sz w:val="24"/>
          <w:szCs w:val="24"/>
        </w:rPr>
        <w:t>Total Annual Cost: $</w:t>
      </w:r>
      <w:r w:rsidR="00F30D92">
        <w:rPr>
          <w:b/>
          <w:bCs/>
          <w:sz w:val="24"/>
          <w:szCs w:val="24"/>
        </w:rPr>
        <w:t>7,955,388</w:t>
      </w:r>
    </w:p>
    <w:p w:rsidR="00E35242" w:rsidRDefault="00E35242" w:rsidP="00E35242">
      <w:pPr>
        <w:pStyle w:val="BodyTextFirstIndent"/>
        <w:ind w:firstLine="0"/>
        <w:rPr>
          <w:sz w:val="24"/>
          <w:szCs w:val="24"/>
        </w:rPr>
      </w:pPr>
      <w:r>
        <w:rPr>
          <w:sz w:val="24"/>
          <w:szCs w:val="24"/>
        </w:rPr>
        <w:t xml:space="preserve">3.  </w:t>
      </w:r>
      <w:r>
        <w:rPr>
          <w:sz w:val="24"/>
          <w:szCs w:val="24"/>
          <w:u w:val="single"/>
        </w:rPr>
        <w:t>Respirator Fit-Test Materials</w:t>
      </w:r>
    </w:p>
    <w:p w:rsidR="00E35242" w:rsidRDefault="00E35242" w:rsidP="00E35242">
      <w:pPr>
        <w:pStyle w:val="BodyTextFirstIndent"/>
        <w:ind w:firstLine="0"/>
        <w:rPr>
          <w:sz w:val="24"/>
          <w:szCs w:val="24"/>
        </w:rPr>
      </w:pPr>
      <w:r>
        <w:rPr>
          <w:sz w:val="24"/>
          <w:szCs w:val="24"/>
        </w:rPr>
        <w:t xml:space="preserve">The Agency estimates that it costs employers $1.22 for respirator materials to fit-test each of the 650 employees.  This cost was not significant enough for separate identification in the FEA, but is derived from the respirator fit-test materials costs identified in </w:t>
      </w:r>
      <w:r>
        <w:rPr>
          <w:i/>
          <w:iCs/>
          <w:sz w:val="24"/>
          <w:szCs w:val="24"/>
        </w:rPr>
        <w:t>the Quantitative Fit Testing Protocol: Amendment to the Final Rule on Respiratory Protection</w:t>
      </w:r>
      <w:r>
        <w:rPr>
          <w:sz w:val="24"/>
          <w:szCs w:val="24"/>
        </w:rPr>
        <w:t> NPRM Supporting Statement.</w:t>
      </w:r>
      <w:r>
        <w:rPr>
          <w:rStyle w:val="FootnoteReference"/>
        </w:rPr>
        <w:footnoteReference w:customMarkFollows="1" w:id="23"/>
        <w:t>[22]</w:t>
      </w:r>
      <w:r>
        <w:rPr>
          <w:sz w:val="24"/>
          <w:szCs w:val="24"/>
        </w:rPr>
        <w:t xml:space="preserve"> </w:t>
      </w:r>
    </w:p>
    <w:p w:rsidR="00E35242" w:rsidRDefault="00E35242" w:rsidP="00E35242">
      <w:pPr>
        <w:pStyle w:val="BodyTextFirstIndent"/>
        <w:ind w:firstLine="0"/>
        <w:rPr>
          <w:lang w:val="x-none"/>
        </w:rPr>
      </w:pPr>
      <w:r>
        <w:rPr>
          <w:sz w:val="24"/>
          <w:szCs w:val="24"/>
        </w:rPr>
        <w:t>            Annual Cost:  650 (employees) x $1.22 (cost for materials) = $793</w:t>
      </w:r>
    </w:p>
    <w:p w:rsidR="00E35242" w:rsidRDefault="00E35242" w:rsidP="00E35242">
      <w:pPr>
        <w:pStyle w:val="Heading4"/>
        <w:numPr>
          <w:ilvl w:val="0"/>
          <w:numId w:val="0"/>
        </w:numPr>
        <w:rPr>
          <w:lang w:val="x-none"/>
        </w:rPr>
      </w:pPr>
      <w:r>
        <w:rPr>
          <w:u w:val="none"/>
        </w:rPr>
        <w:lastRenderedPageBreak/>
        <w:t xml:space="preserve">4.  </w:t>
      </w:r>
      <w:r>
        <w:rPr>
          <w:lang w:val="x-none"/>
        </w:rPr>
        <w:t>Total Capital Costs</w:t>
      </w:r>
    </w:p>
    <w:p w:rsidR="00E35242" w:rsidRDefault="00E35242" w:rsidP="00E35242">
      <w:pPr>
        <w:pStyle w:val="BodyTextFirstIndent"/>
        <w:ind w:firstLine="0"/>
        <w:rPr>
          <w:sz w:val="24"/>
          <w:szCs w:val="24"/>
          <w:lang w:val="x-none"/>
        </w:rPr>
      </w:pPr>
      <w:r>
        <w:rPr>
          <w:sz w:val="24"/>
          <w:szCs w:val="24"/>
          <w:lang w:val="x-none"/>
        </w:rPr>
        <w:t>The total costs for this item are the sum of the costs for exposure monitoring and medical examinations.</w:t>
      </w:r>
    </w:p>
    <w:p w:rsidR="00E35242" w:rsidRDefault="00E35242" w:rsidP="00E35242">
      <w:pPr>
        <w:pStyle w:val="BurdenHoursCost"/>
        <w:rPr>
          <w:b/>
          <w:bCs/>
        </w:rPr>
      </w:pPr>
      <w:r>
        <w:rPr>
          <w:b/>
          <w:bCs/>
        </w:rPr>
        <w:t xml:space="preserve">Total Cost: </w:t>
      </w:r>
      <w:r>
        <w:t> $</w:t>
      </w:r>
      <w:r w:rsidR="00D941BC">
        <w:t>24,959,694</w:t>
      </w:r>
      <w:r>
        <w:t>+ $</w:t>
      </w:r>
      <w:r w:rsidR="00F30D92">
        <w:t>7,955,388</w:t>
      </w:r>
      <w:r>
        <w:t xml:space="preserve"> +$793 = </w:t>
      </w:r>
      <w:r>
        <w:rPr>
          <w:b/>
          <w:bCs/>
        </w:rPr>
        <w:t>$</w:t>
      </w:r>
      <w:r w:rsidR="00BF7284">
        <w:rPr>
          <w:b/>
          <w:bCs/>
        </w:rPr>
        <w:t>3</w:t>
      </w:r>
      <w:r w:rsidR="001B33AA">
        <w:rPr>
          <w:b/>
          <w:bCs/>
        </w:rPr>
        <w:t>2</w:t>
      </w:r>
      <w:r w:rsidR="00BF7284">
        <w:rPr>
          <w:b/>
          <w:bCs/>
        </w:rPr>
        <w:t>,</w:t>
      </w:r>
      <w:r w:rsidR="001B33AA">
        <w:rPr>
          <w:b/>
          <w:bCs/>
        </w:rPr>
        <w:t>915</w:t>
      </w:r>
      <w:r w:rsidR="00BF7284">
        <w:rPr>
          <w:b/>
          <w:bCs/>
        </w:rPr>
        <w:t>,</w:t>
      </w:r>
      <w:r w:rsidR="001B33AA">
        <w:rPr>
          <w:b/>
          <w:bCs/>
        </w:rPr>
        <w:t>875</w:t>
      </w:r>
    </w:p>
    <w:p w:rsidR="00EF0A65" w:rsidRDefault="00EF0A65" w:rsidP="00E35242">
      <w:pPr>
        <w:pStyle w:val="BurdenHoursCost"/>
        <w:rPr>
          <w:b/>
          <w:bCs/>
        </w:rPr>
      </w:pPr>
      <w:r>
        <w:rPr>
          <w:b/>
          <w:bCs/>
        </w:rPr>
        <w:t xml:space="preserve">Table </w:t>
      </w:r>
      <w:r w:rsidR="00510977">
        <w:rPr>
          <w:b/>
          <w:bCs/>
        </w:rPr>
        <w:t xml:space="preserve">C3 </w:t>
      </w:r>
      <w:r>
        <w:rPr>
          <w:b/>
          <w:bCs/>
        </w:rPr>
        <w:t>– Annualization of the Proposed Cost</w:t>
      </w:r>
    </w:p>
    <w:tbl>
      <w:tblPr>
        <w:tblStyle w:val="TableGrid"/>
        <w:tblW w:w="0" w:type="auto"/>
        <w:tblInd w:w="720" w:type="dxa"/>
        <w:tblLook w:val="04A0" w:firstRow="1" w:lastRow="0" w:firstColumn="1" w:lastColumn="0" w:noHBand="0" w:noVBand="1"/>
      </w:tblPr>
      <w:tblGrid>
        <w:gridCol w:w="5899"/>
        <w:gridCol w:w="2957"/>
      </w:tblGrid>
      <w:tr w:rsidR="007159F1" w:rsidTr="009A0E11">
        <w:tc>
          <w:tcPr>
            <w:tcW w:w="5899" w:type="dxa"/>
          </w:tcPr>
          <w:p w:rsidR="007159F1" w:rsidRDefault="007159F1" w:rsidP="00E35242">
            <w:pPr>
              <w:pStyle w:val="BurdenHoursCost"/>
              <w:ind w:left="0"/>
              <w:rPr>
                <w:b/>
                <w:bCs/>
              </w:rPr>
            </w:pPr>
            <w:r>
              <w:rPr>
                <w:b/>
                <w:bCs/>
              </w:rPr>
              <w:t>Three Year Average for the ICR</w:t>
            </w:r>
            <w:r>
              <w:rPr>
                <w:rStyle w:val="FootnoteReference"/>
                <w:b/>
                <w:bCs/>
              </w:rPr>
              <w:footnoteReference w:id="24"/>
            </w:r>
          </w:p>
        </w:tc>
        <w:tc>
          <w:tcPr>
            <w:tcW w:w="2957" w:type="dxa"/>
          </w:tcPr>
          <w:p w:rsidR="007159F1" w:rsidRDefault="007159F1" w:rsidP="00E35242">
            <w:pPr>
              <w:pStyle w:val="BurdenHoursCost"/>
              <w:ind w:left="0"/>
              <w:rPr>
                <w:b/>
                <w:bCs/>
              </w:rPr>
            </w:pPr>
            <w:r>
              <w:rPr>
                <w:b/>
                <w:bCs/>
              </w:rPr>
              <w:t>Cost</w:t>
            </w:r>
          </w:p>
        </w:tc>
      </w:tr>
      <w:tr w:rsidR="00DD562A" w:rsidTr="00D5052E">
        <w:tc>
          <w:tcPr>
            <w:tcW w:w="5899" w:type="dxa"/>
          </w:tcPr>
          <w:p w:rsidR="00DD562A" w:rsidRDefault="00DD562A" w:rsidP="00E35242">
            <w:pPr>
              <w:pStyle w:val="BurdenHoursCost"/>
              <w:ind w:left="0"/>
              <w:rPr>
                <w:b/>
                <w:bCs/>
              </w:rPr>
            </w:pPr>
            <w:r>
              <w:rPr>
                <w:b/>
                <w:bCs/>
              </w:rPr>
              <w:t>Exposure Monitoring</w:t>
            </w:r>
          </w:p>
        </w:tc>
        <w:tc>
          <w:tcPr>
            <w:tcW w:w="2957" w:type="dxa"/>
          </w:tcPr>
          <w:p w:rsidR="00DD562A" w:rsidRDefault="00DD562A" w:rsidP="00A71B2B">
            <w:pPr>
              <w:pStyle w:val="BurdenHoursCost"/>
              <w:ind w:left="0"/>
              <w:rPr>
                <w:b/>
                <w:bCs/>
              </w:rPr>
            </w:pPr>
            <w:r>
              <w:rPr>
                <w:b/>
                <w:bCs/>
              </w:rPr>
              <w:t>$12,628,027</w:t>
            </w:r>
          </w:p>
        </w:tc>
      </w:tr>
      <w:tr w:rsidR="00DD562A" w:rsidTr="00D5052E">
        <w:tc>
          <w:tcPr>
            <w:tcW w:w="5899" w:type="dxa"/>
          </w:tcPr>
          <w:p w:rsidR="00DD562A" w:rsidRDefault="00DD562A" w:rsidP="00CA2AF5">
            <w:pPr>
              <w:pStyle w:val="BurdenHoursCost"/>
              <w:ind w:left="0"/>
              <w:rPr>
                <w:b/>
                <w:bCs/>
              </w:rPr>
            </w:pPr>
            <w:r>
              <w:rPr>
                <w:b/>
                <w:bCs/>
              </w:rPr>
              <w:t>Medical Exams</w:t>
            </w:r>
          </w:p>
        </w:tc>
        <w:tc>
          <w:tcPr>
            <w:tcW w:w="2957" w:type="dxa"/>
          </w:tcPr>
          <w:p w:rsidR="00DD562A" w:rsidRDefault="00DD562A" w:rsidP="00E35242">
            <w:pPr>
              <w:pStyle w:val="BurdenHoursCost"/>
              <w:ind w:left="0"/>
              <w:rPr>
                <w:b/>
                <w:bCs/>
              </w:rPr>
            </w:pPr>
            <w:r>
              <w:rPr>
                <w:b/>
                <w:bCs/>
              </w:rPr>
              <w:t>$7,955,388</w:t>
            </w:r>
          </w:p>
        </w:tc>
      </w:tr>
      <w:tr w:rsidR="00DD562A" w:rsidTr="00D5052E">
        <w:tc>
          <w:tcPr>
            <w:tcW w:w="5899" w:type="dxa"/>
          </w:tcPr>
          <w:p w:rsidR="00DD562A" w:rsidRDefault="00DD562A" w:rsidP="00E35242">
            <w:pPr>
              <w:pStyle w:val="BurdenHoursCost"/>
              <w:ind w:left="0"/>
              <w:rPr>
                <w:b/>
                <w:bCs/>
              </w:rPr>
            </w:pPr>
            <w:r>
              <w:rPr>
                <w:b/>
                <w:bCs/>
              </w:rPr>
              <w:t>Fit Testing</w:t>
            </w:r>
          </w:p>
        </w:tc>
        <w:tc>
          <w:tcPr>
            <w:tcW w:w="2957" w:type="dxa"/>
          </w:tcPr>
          <w:p w:rsidR="00DD562A" w:rsidRDefault="00DD562A" w:rsidP="00E35242">
            <w:pPr>
              <w:pStyle w:val="BurdenHoursCost"/>
              <w:ind w:left="0"/>
              <w:rPr>
                <w:b/>
                <w:bCs/>
              </w:rPr>
            </w:pPr>
            <w:r>
              <w:rPr>
                <w:b/>
                <w:bCs/>
              </w:rPr>
              <w:t>$793</w:t>
            </w:r>
          </w:p>
        </w:tc>
      </w:tr>
      <w:tr w:rsidR="00DD562A" w:rsidTr="00D5052E">
        <w:tc>
          <w:tcPr>
            <w:tcW w:w="5899" w:type="dxa"/>
          </w:tcPr>
          <w:p w:rsidR="00DD562A" w:rsidRDefault="00DD562A" w:rsidP="00E35242">
            <w:pPr>
              <w:pStyle w:val="BurdenHoursCost"/>
              <w:ind w:left="0"/>
              <w:rPr>
                <w:b/>
                <w:bCs/>
              </w:rPr>
            </w:pPr>
            <w:r>
              <w:rPr>
                <w:b/>
                <w:bCs/>
              </w:rPr>
              <w:t>Total Cost Average over three years</w:t>
            </w:r>
            <w:r>
              <w:rPr>
                <w:b/>
                <w:bCs/>
              </w:rPr>
              <w:tab/>
            </w:r>
          </w:p>
        </w:tc>
        <w:tc>
          <w:tcPr>
            <w:tcW w:w="2957" w:type="dxa"/>
          </w:tcPr>
          <w:p w:rsidR="00DD562A" w:rsidRDefault="00DD562A" w:rsidP="00A71B2B">
            <w:pPr>
              <w:pStyle w:val="BurdenHoursCost"/>
              <w:ind w:left="0"/>
              <w:rPr>
                <w:b/>
                <w:bCs/>
              </w:rPr>
            </w:pPr>
            <w:r>
              <w:rPr>
                <w:b/>
                <w:bCs/>
              </w:rPr>
              <w:t>$20,584,208</w:t>
            </w:r>
          </w:p>
        </w:tc>
      </w:tr>
    </w:tbl>
    <w:p w:rsidR="00C821F4" w:rsidRDefault="00C821F4" w:rsidP="00E35242">
      <w:pPr>
        <w:pStyle w:val="BurdenHoursCost"/>
        <w:rPr>
          <w:b/>
          <w:bCs/>
        </w:rPr>
      </w:pPr>
    </w:p>
    <w:p w:rsidR="00E35242" w:rsidRDefault="00E35242" w:rsidP="00E35242">
      <w:pPr>
        <w:pStyle w:val="Heading2"/>
        <w:numPr>
          <w:ilvl w:val="1"/>
          <w:numId w:val="3"/>
        </w:numPr>
        <w:ind w:left="0" w:firstLine="0"/>
        <w:rPr>
          <w:sz w:val="22"/>
          <w:szCs w:val="22"/>
          <w:lang w:val="x-none"/>
        </w:rPr>
      </w:pPr>
      <w:r>
        <w:rPr>
          <w:sz w:val="22"/>
          <w:szCs w:val="22"/>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35242" w:rsidRDefault="00E35242" w:rsidP="00E35242">
      <w:r>
        <w:t xml:space="preserve">There are no costs to the Federal Government. </w:t>
      </w:r>
    </w:p>
    <w:p w:rsidR="00E35242" w:rsidRDefault="00E35242" w:rsidP="00E35242"/>
    <w:p w:rsidR="00E35242" w:rsidRDefault="00E35242" w:rsidP="00E35242">
      <w:pPr>
        <w:pStyle w:val="Heading2"/>
        <w:numPr>
          <w:ilvl w:val="1"/>
          <w:numId w:val="3"/>
        </w:numPr>
        <w:ind w:left="0" w:firstLine="0"/>
        <w:rPr>
          <w:lang w:val="x-none"/>
        </w:rPr>
      </w:pPr>
      <w:r>
        <w:rPr>
          <w:lang w:val="x-none"/>
        </w:rPr>
        <w:t>Explain the reasons for any program changes or adjustments.</w:t>
      </w:r>
    </w:p>
    <w:p w:rsidR="00E35242" w:rsidRDefault="00E35242" w:rsidP="00E35242">
      <w:pPr>
        <w:pStyle w:val="BodyTextFirstIndent"/>
        <w:ind w:firstLine="0"/>
        <w:rPr>
          <w:sz w:val="24"/>
          <w:szCs w:val="24"/>
        </w:rPr>
      </w:pPr>
      <w:r>
        <w:rPr>
          <w:sz w:val="24"/>
          <w:szCs w:val="24"/>
          <w:lang w:val="x-none"/>
        </w:rPr>
        <w:t xml:space="preserve">This is a </w:t>
      </w:r>
      <w:r w:rsidR="003B52B0">
        <w:rPr>
          <w:sz w:val="24"/>
          <w:szCs w:val="24"/>
        </w:rPr>
        <w:t>revision to the</w:t>
      </w:r>
      <w:r w:rsidR="00483343">
        <w:rPr>
          <w:sz w:val="24"/>
          <w:szCs w:val="24"/>
        </w:rPr>
        <w:t xml:space="preserve"> </w:t>
      </w:r>
      <w:r w:rsidR="003B52B0">
        <w:rPr>
          <w:sz w:val="24"/>
          <w:szCs w:val="24"/>
        </w:rPr>
        <w:t>existing</w:t>
      </w:r>
      <w:r w:rsidR="003B52B0">
        <w:rPr>
          <w:sz w:val="24"/>
          <w:szCs w:val="24"/>
          <w:lang w:val="x-none"/>
        </w:rPr>
        <w:t xml:space="preserve"> </w:t>
      </w:r>
      <w:r>
        <w:rPr>
          <w:sz w:val="24"/>
          <w:szCs w:val="24"/>
          <w:lang w:val="x-none"/>
        </w:rPr>
        <w:t>collection of information. </w:t>
      </w:r>
      <w:r w:rsidRPr="00D5052E">
        <w:rPr>
          <w:sz w:val="24"/>
          <w:lang w:val="x-none"/>
        </w:rPr>
        <w:t xml:space="preserve"> </w:t>
      </w:r>
      <w:proofErr w:type="spellStart"/>
      <w:r w:rsidR="00D5226D">
        <w:rPr>
          <w:sz w:val="24"/>
          <w:szCs w:val="24"/>
        </w:rPr>
        <w:t>T</w:t>
      </w:r>
      <w:r w:rsidR="00D5226D">
        <w:rPr>
          <w:sz w:val="24"/>
          <w:szCs w:val="24"/>
          <w:lang w:val="x-none"/>
        </w:rPr>
        <w:t>he</w:t>
      </w:r>
      <w:proofErr w:type="spellEnd"/>
      <w:r w:rsidR="00D5226D">
        <w:rPr>
          <w:sz w:val="24"/>
          <w:szCs w:val="24"/>
        </w:rPr>
        <w:t xml:space="preserve"> </w:t>
      </w:r>
      <w:r w:rsidR="00D5226D">
        <w:rPr>
          <w:sz w:val="24"/>
          <w:szCs w:val="24"/>
          <w:lang w:val="x-none"/>
        </w:rPr>
        <w:t>Agency</w:t>
      </w:r>
      <w:r w:rsidR="00D5226D">
        <w:rPr>
          <w:sz w:val="24"/>
          <w:szCs w:val="24"/>
        </w:rPr>
        <w:t xml:space="preserve"> is proposing both a program change and an adjustment (decrease) to the currently approved Beryllium Information Collection. </w:t>
      </w:r>
      <w:r w:rsidR="000470E9">
        <w:rPr>
          <w:sz w:val="24"/>
          <w:szCs w:val="24"/>
        </w:rPr>
        <w:t xml:space="preserve"> The proposal would remove </w:t>
      </w:r>
      <w:r w:rsidR="00274B27">
        <w:rPr>
          <w:sz w:val="24"/>
          <w:szCs w:val="24"/>
        </w:rPr>
        <w:t xml:space="preserve">the </w:t>
      </w:r>
      <w:r w:rsidR="002E1F19">
        <w:rPr>
          <w:sz w:val="24"/>
          <w:szCs w:val="24"/>
        </w:rPr>
        <w:t xml:space="preserve">existing </w:t>
      </w:r>
      <w:r w:rsidRPr="00D5052E">
        <w:rPr>
          <w:sz w:val="24"/>
          <w:lang w:val="x-none"/>
        </w:rPr>
        <w:t xml:space="preserve">collection of information requirements </w:t>
      </w:r>
      <w:r w:rsidR="000470E9">
        <w:rPr>
          <w:sz w:val="24"/>
          <w:szCs w:val="24"/>
        </w:rPr>
        <w:t>currently applicable to the construction and shipyard sectors.</w:t>
      </w:r>
      <w:r w:rsidR="00DC12A2">
        <w:rPr>
          <w:sz w:val="24"/>
          <w:szCs w:val="24"/>
        </w:rPr>
        <w:t xml:space="preserve">  In addition, this revision makes a</w:t>
      </w:r>
      <w:r w:rsidR="00C46925">
        <w:rPr>
          <w:sz w:val="24"/>
          <w:szCs w:val="24"/>
        </w:rPr>
        <w:t>n adjustment in familiarization:  it</w:t>
      </w:r>
      <w:r w:rsidR="00DC12A2">
        <w:rPr>
          <w:sz w:val="24"/>
          <w:szCs w:val="24"/>
        </w:rPr>
        <w:t xml:space="preserve"> remove</w:t>
      </w:r>
      <w:r w:rsidR="00C46925">
        <w:rPr>
          <w:sz w:val="24"/>
          <w:szCs w:val="24"/>
        </w:rPr>
        <w:t>s familiarization</w:t>
      </w:r>
      <w:r w:rsidR="00DC12A2">
        <w:rPr>
          <w:sz w:val="24"/>
          <w:szCs w:val="24"/>
        </w:rPr>
        <w:t xml:space="preserve"> burden and costs that would have already been incurred, and adds burden and cost </w:t>
      </w:r>
      <w:r w:rsidR="00C46925">
        <w:rPr>
          <w:sz w:val="24"/>
          <w:szCs w:val="24"/>
        </w:rPr>
        <w:t>for shipyard and construction employers to determine that their existing paperwork requirements have been eliminated.</w:t>
      </w:r>
      <w:r w:rsidR="000470E9">
        <w:rPr>
          <w:sz w:val="24"/>
          <w:szCs w:val="24"/>
        </w:rPr>
        <w:t xml:space="preserve"> </w:t>
      </w:r>
      <w:r>
        <w:rPr>
          <w:sz w:val="24"/>
          <w:szCs w:val="24"/>
          <w:lang w:val="x-none"/>
        </w:rPr>
        <w:t> </w:t>
      </w:r>
    </w:p>
    <w:p w:rsidR="00027F23" w:rsidRDefault="00027F23" w:rsidP="00E35242">
      <w:pPr>
        <w:pStyle w:val="BodyTextFirstIndent"/>
        <w:ind w:firstLine="0"/>
        <w:rPr>
          <w:sz w:val="24"/>
          <w:szCs w:val="24"/>
        </w:rPr>
      </w:pPr>
    </w:p>
    <w:p w:rsidR="00C07BD0" w:rsidRDefault="00C07BD0" w:rsidP="00E35242">
      <w:pPr>
        <w:pStyle w:val="BodyTextFirstIndent"/>
        <w:ind w:firstLine="0"/>
        <w:rPr>
          <w:sz w:val="24"/>
          <w:szCs w:val="24"/>
        </w:rPr>
      </w:pPr>
    </w:p>
    <w:p w:rsidR="00793554" w:rsidRDefault="00027F23" w:rsidP="00E35242">
      <w:pPr>
        <w:pStyle w:val="BodyTextFirstIndent"/>
        <w:ind w:firstLine="0"/>
        <w:rPr>
          <w:sz w:val="24"/>
          <w:szCs w:val="24"/>
        </w:rPr>
      </w:pPr>
      <w:r>
        <w:rPr>
          <w:sz w:val="24"/>
          <w:szCs w:val="24"/>
        </w:rPr>
        <w:t xml:space="preserve"> </w:t>
      </w:r>
      <w:r w:rsidR="007422C1" w:rsidRPr="00D5052E">
        <w:rPr>
          <w:sz w:val="24"/>
        </w:rPr>
        <w:t xml:space="preserve">OSHA is proposing to revoke the two comprehensive standards applicable to the construction and shipyard sectors.  As a result the </w:t>
      </w:r>
      <w:r w:rsidR="008F7624" w:rsidRPr="00D5052E">
        <w:rPr>
          <w:sz w:val="24"/>
        </w:rPr>
        <w:t>number of</w:t>
      </w:r>
      <w:r w:rsidR="007422C1" w:rsidRPr="00D5052E">
        <w:rPr>
          <w:sz w:val="24"/>
        </w:rPr>
        <w:t xml:space="preserve"> establishments, workers, exposure monitoring samples would be reduced.</w:t>
      </w:r>
      <w:r w:rsidR="00793554">
        <w:rPr>
          <w:sz w:val="24"/>
          <w:szCs w:val="24"/>
        </w:rPr>
        <w:t xml:space="preserve">  This results in a program reduction </w:t>
      </w:r>
      <w:r w:rsidR="002761E1">
        <w:rPr>
          <w:sz w:val="24"/>
          <w:szCs w:val="24"/>
        </w:rPr>
        <w:t xml:space="preserve">of </w:t>
      </w:r>
      <w:r w:rsidR="00E7184D">
        <w:rPr>
          <w:sz w:val="24"/>
          <w:szCs w:val="24"/>
        </w:rPr>
        <w:t xml:space="preserve">-47,371 hours and an adjustment of -38,328 hours, a total reduction of </w:t>
      </w:r>
      <w:r w:rsidR="002761E1">
        <w:rPr>
          <w:sz w:val="24"/>
          <w:szCs w:val="24"/>
        </w:rPr>
        <w:t>85,699</w:t>
      </w:r>
      <w:r w:rsidR="00793554">
        <w:rPr>
          <w:sz w:val="24"/>
          <w:szCs w:val="24"/>
        </w:rPr>
        <w:t xml:space="preserve"> hours from 194,261 to 108,562</w:t>
      </w:r>
      <w:r w:rsidR="002761E1">
        <w:rPr>
          <w:sz w:val="24"/>
          <w:szCs w:val="24"/>
        </w:rPr>
        <w:t>.  (S</w:t>
      </w:r>
      <w:r w:rsidR="00793554">
        <w:rPr>
          <w:sz w:val="24"/>
          <w:szCs w:val="24"/>
        </w:rPr>
        <w:t xml:space="preserve">ee </w:t>
      </w:r>
      <w:r w:rsidR="00793554" w:rsidRPr="00E02CF4">
        <w:rPr>
          <w:i/>
          <w:sz w:val="24"/>
          <w:szCs w:val="24"/>
        </w:rPr>
        <w:t>Table D1 – Requested Changed in Burden Hour</w:t>
      </w:r>
      <w:r w:rsidR="00793554">
        <w:rPr>
          <w:sz w:val="24"/>
          <w:szCs w:val="24"/>
        </w:rPr>
        <w:t>s).</w:t>
      </w:r>
    </w:p>
    <w:p w:rsidR="00027F23" w:rsidRDefault="002761E1" w:rsidP="00E35242">
      <w:pPr>
        <w:pStyle w:val="BodyTextFirstIndent"/>
        <w:ind w:firstLine="0"/>
        <w:rPr>
          <w:sz w:val="24"/>
          <w:szCs w:val="24"/>
        </w:rPr>
      </w:pPr>
      <w:r>
        <w:rPr>
          <w:sz w:val="24"/>
          <w:szCs w:val="24"/>
        </w:rPr>
        <w:t>For the purposes of this ICR, OSHA is</w:t>
      </w:r>
      <w:r w:rsidR="00793554">
        <w:rPr>
          <w:sz w:val="24"/>
          <w:szCs w:val="24"/>
        </w:rPr>
        <w:t xml:space="preserve"> annualizing the burden hours for this package to show the average burden hours over a three year period.</w:t>
      </w:r>
      <w:r>
        <w:rPr>
          <w:sz w:val="24"/>
          <w:szCs w:val="24"/>
        </w:rPr>
        <w:t xml:space="preserve"> The currently approved burden hours of 194,261 when annualized is 131,578</w:t>
      </w:r>
      <w:r w:rsidR="00B42643">
        <w:rPr>
          <w:sz w:val="24"/>
          <w:szCs w:val="24"/>
        </w:rPr>
        <w:t>,</w:t>
      </w:r>
      <w:r>
        <w:rPr>
          <w:sz w:val="24"/>
          <w:szCs w:val="24"/>
        </w:rPr>
        <w:t xml:space="preserve"> annualized</w:t>
      </w:r>
      <w:r w:rsidR="00B42643">
        <w:rPr>
          <w:sz w:val="24"/>
          <w:szCs w:val="24"/>
        </w:rPr>
        <w:t xml:space="preserve"> an adjustment decrease of 62,683. </w:t>
      </w:r>
    </w:p>
    <w:p w:rsidR="00027F23" w:rsidRPr="00147CE1" w:rsidRDefault="002761E1" w:rsidP="00E35242">
      <w:pPr>
        <w:pStyle w:val="BodyTextFirstIndent"/>
        <w:ind w:firstLine="0"/>
        <w:rPr>
          <w:sz w:val="24"/>
          <w:szCs w:val="24"/>
        </w:rPr>
      </w:pPr>
      <w:r>
        <w:rPr>
          <w:sz w:val="24"/>
          <w:szCs w:val="24"/>
        </w:rPr>
        <w:t xml:space="preserve">Therefore, </w:t>
      </w:r>
      <w:r w:rsidR="00147CE1">
        <w:rPr>
          <w:sz w:val="24"/>
          <w:szCs w:val="24"/>
        </w:rPr>
        <w:t xml:space="preserve">OSHA is requesting </w:t>
      </w:r>
      <w:r w:rsidR="00232416">
        <w:rPr>
          <w:sz w:val="24"/>
          <w:szCs w:val="24"/>
        </w:rPr>
        <w:t>an annualized</w:t>
      </w:r>
      <w:r w:rsidR="00805BF9">
        <w:rPr>
          <w:sz w:val="24"/>
          <w:szCs w:val="24"/>
        </w:rPr>
        <w:t xml:space="preserve"> program change of -15,791 </w:t>
      </w:r>
      <w:r w:rsidR="00232416">
        <w:rPr>
          <w:sz w:val="24"/>
          <w:szCs w:val="24"/>
        </w:rPr>
        <w:t xml:space="preserve">hours, </w:t>
      </w:r>
      <w:r w:rsidR="00805BF9">
        <w:rPr>
          <w:sz w:val="24"/>
          <w:szCs w:val="24"/>
        </w:rPr>
        <w:t xml:space="preserve">and an </w:t>
      </w:r>
      <w:r w:rsidR="00232416">
        <w:rPr>
          <w:sz w:val="24"/>
          <w:szCs w:val="24"/>
        </w:rPr>
        <w:t xml:space="preserve">annualized </w:t>
      </w:r>
      <w:r w:rsidR="00805BF9">
        <w:rPr>
          <w:sz w:val="24"/>
          <w:szCs w:val="24"/>
        </w:rPr>
        <w:t xml:space="preserve">adjustment of </w:t>
      </w:r>
      <w:r w:rsidR="00232416">
        <w:rPr>
          <w:sz w:val="24"/>
          <w:szCs w:val="24"/>
        </w:rPr>
        <w:t>-</w:t>
      </w:r>
      <w:r w:rsidR="00805BF9">
        <w:rPr>
          <w:sz w:val="24"/>
          <w:szCs w:val="24"/>
        </w:rPr>
        <w:t>32,000 hours</w:t>
      </w:r>
      <w:r w:rsidR="00232416">
        <w:rPr>
          <w:sz w:val="24"/>
          <w:szCs w:val="24"/>
        </w:rPr>
        <w:t>,</w:t>
      </w:r>
      <w:r w:rsidR="00805BF9">
        <w:rPr>
          <w:sz w:val="24"/>
          <w:szCs w:val="24"/>
        </w:rPr>
        <w:t xml:space="preserve"> </w:t>
      </w:r>
      <w:r w:rsidR="00147CE1">
        <w:rPr>
          <w:sz w:val="24"/>
          <w:szCs w:val="24"/>
        </w:rPr>
        <w:t>a</w:t>
      </w:r>
      <w:r>
        <w:rPr>
          <w:sz w:val="24"/>
          <w:szCs w:val="24"/>
        </w:rPr>
        <w:t xml:space="preserve"> </w:t>
      </w:r>
      <w:r w:rsidR="00232416">
        <w:rPr>
          <w:sz w:val="24"/>
          <w:szCs w:val="24"/>
        </w:rPr>
        <w:t xml:space="preserve">total reduction </w:t>
      </w:r>
      <w:r>
        <w:rPr>
          <w:sz w:val="24"/>
          <w:szCs w:val="24"/>
        </w:rPr>
        <w:t xml:space="preserve">in burden </w:t>
      </w:r>
      <w:r w:rsidR="00147CE1">
        <w:rPr>
          <w:sz w:val="24"/>
          <w:szCs w:val="24"/>
        </w:rPr>
        <w:t>of</w:t>
      </w:r>
      <w:r w:rsidR="00027F23">
        <w:rPr>
          <w:sz w:val="24"/>
          <w:szCs w:val="24"/>
        </w:rPr>
        <w:t xml:space="preserve"> </w:t>
      </w:r>
      <w:r w:rsidR="00232416">
        <w:rPr>
          <w:sz w:val="24"/>
          <w:szCs w:val="24"/>
        </w:rPr>
        <w:t>-</w:t>
      </w:r>
      <w:r w:rsidR="00027F23">
        <w:rPr>
          <w:sz w:val="24"/>
          <w:szCs w:val="24"/>
        </w:rPr>
        <w:t>47,791 hours</w:t>
      </w:r>
      <w:r w:rsidR="00232416">
        <w:rPr>
          <w:sz w:val="24"/>
          <w:szCs w:val="24"/>
        </w:rPr>
        <w:t>, from 131,578 hours to 83,787 hours</w:t>
      </w:r>
      <w:r w:rsidR="00027F23">
        <w:rPr>
          <w:sz w:val="24"/>
          <w:szCs w:val="24"/>
        </w:rPr>
        <w:t xml:space="preserve">.  </w:t>
      </w:r>
      <w:r w:rsidRPr="00027F23">
        <w:rPr>
          <w:sz w:val="24"/>
          <w:szCs w:val="24"/>
        </w:rPr>
        <w:t>(</w:t>
      </w:r>
      <w:r>
        <w:rPr>
          <w:sz w:val="24"/>
          <w:szCs w:val="24"/>
        </w:rPr>
        <w:t>See</w:t>
      </w:r>
      <w:r w:rsidR="00C07BD0">
        <w:rPr>
          <w:sz w:val="24"/>
          <w:szCs w:val="24"/>
        </w:rPr>
        <w:t xml:space="preserve"> </w:t>
      </w:r>
      <w:proofErr w:type="gramStart"/>
      <w:r w:rsidR="00147CE1">
        <w:rPr>
          <w:sz w:val="24"/>
          <w:szCs w:val="24"/>
        </w:rPr>
        <w:t>Table  D</w:t>
      </w:r>
      <w:proofErr w:type="gramEnd"/>
      <w:r w:rsidR="00147CE1">
        <w:rPr>
          <w:sz w:val="24"/>
          <w:szCs w:val="24"/>
        </w:rPr>
        <w:t>-2,</w:t>
      </w:r>
      <w:r w:rsidR="00147CE1" w:rsidRPr="00147CE1">
        <w:rPr>
          <w:b/>
          <w:sz w:val="24"/>
          <w:szCs w:val="24"/>
        </w:rPr>
        <w:t xml:space="preserve"> </w:t>
      </w:r>
      <w:r w:rsidR="00147CE1" w:rsidRPr="00E02CF4">
        <w:rPr>
          <w:i/>
          <w:sz w:val="24"/>
          <w:szCs w:val="24"/>
        </w:rPr>
        <w:t>Annualized Burden Hours for Currently Approved to Requested</w:t>
      </w:r>
      <w:r w:rsidR="00027F23" w:rsidRPr="00E02CF4">
        <w:rPr>
          <w:sz w:val="24"/>
          <w:szCs w:val="24"/>
        </w:rPr>
        <w:t>)</w:t>
      </w:r>
    </w:p>
    <w:p w:rsidR="00027F23" w:rsidRDefault="00027F23" w:rsidP="00E35242">
      <w:pPr>
        <w:pStyle w:val="BodyTextFirstIndent"/>
        <w:ind w:firstLine="0"/>
        <w:rPr>
          <w:sz w:val="24"/>
          <w:szCs w:val="24"/>
        </w:rPr>
      </w:pPr>
    </w:p>
    <w:p w:rsidR="006E3B36" w:rsidRDefault="006E3B36" w:rsidP="000F7316">
      <w:pPr>
        <w:pStyle w:val="BodyTextFirstIndent"/>
        <w:ind w:firstLine="0"/>
        <w:jc w:val="center"/>
        <w:rPr>
          <w:b/>
          <w:sz w:val="24"/>
          <w:szCs w:val="24"/>
        </w:rPr>
      </w:pPr>
    </w:p>
    <w:p w:rsidR="006E3B36" w:rsidRDefault="006E3B36" w:rsidP="000F7316">
      <w:pPr>
        <w:pStyle w:val="BodyTextFirstIndent"/>
        <w:ind w:firstLine="0"/>
        <w:jc w:val="center"/>
        <w:rPr>
          <w:b/>
          <w:sz w:val="24"/>
          <w:szCs w:val="24"/>
        </w:rPr>
      </w:pPr>
    </w:p>
    <w:p w:rsidR="006E3B36" w:rsidRDefault="006E3B36" w:rsidP="000F7316">
      <w:pPr>
        <w:pStyle w:val="BodyTextFirstIndent"/>
        <w:ind w:firstLine="0"/>
        <w:jc w:val="center"/>
        <w:rPr>
          <w:b/>
          <w:sz w:val="24"/>
          <w:szCs w:val="24"/>
        </w:rPr>
      </w:pPr>
    </w:p>
    <w:p w:rsidR="006E3B36" w:rsidRDefault="006E3B36" w:rsidP="000F7316">
      <w:pPr>
        <w:pStyle w:val="BodyTextFirstIndent"/>
        <w:ind w:firstLine="0"/>
        <w:jc w:val="center"/>
        <w:rPr>
          <w:b/>
          <w:sz w:val="24"/>
          <w:szCs w:val="24"/>
        </w:rPr>
      </w:pPr>
    </w:p>
    <w:p w:rsidR="006E3B36" w:rsidRDefault="006E3B36" w:rsidP="000F7316">
      <w:pPr>
        <w:pStyle w:val="BodyTextFirstIndent"/>
        <w:ind w:firstLine="0"/>
        <w:jc w:val="center"/>
        <w:rPr>
          <w:b/>
          <w:sz w:val="24"/>
          <w:szCs w:val="24"/>
        </w:rPr>
      </w:pPr>
    </w:p>
    <w:p w:rsidR="006E3B36" w:rsidRDefault="006E3B36" w:rsidP="000F7316">
      <w:pPr>
        <w:pStyle w:val="BodyTextFirstIndent"/>
        <w:ind w:firstLine="0"/>
        <w:jc w:val="center"/>
        <w:rPr>
          <w:b/>
          <w:sz w:val="24"/>
          <w:szCs w:val="24"/>
        </w:rPr>
      </w:pPr>
    </w:p>
    <w:p w:rsidR="006E3B36" w:rsidRDefault="006E3B36" w:rsidP="000F7316">
      <w:pPr>
        <w:pStyle w:val="BodyTextFirstIndent"/>
        <w:ind w:firstLine="0"/>
        <w:jc w:val="center"/>
        <w:rPr>
          <w:b/>
          <w:sz w:val="24"/>
          <w:szCs w:val="24"/>
        </w:rPr>
      </w:pPr>
    </w:p>
    <w:p w:rsidR="00FB28D4" w:rsidRDefault="00FB28D4" w:rsidP="00243317">
      <w:pPr>
        <w:pStyle w:val="BodyTextFirstIndent"/>
        <w:ind w:firstLine="0"/>
        <w:jc w:val="center"/>
        <w:rPr>
          <w:b/>
          <w:sz w:val="24"/>
          <w:szCs w:val="24"/>
        </w:rPr>
        <w:sectPr w:rsidR="00FB28D4" w:rsidSect="00FB28D4">
          <w:pgSz w:w="12240" w:h="15840"/>
          <w:pgMar w:top="1440" w:right="1440" w:bottom="1440" w:left="1440" w:header="720" w:footer="720" w:gutter="0"/>
          <w:cols w:space="720"/>
          <w:docGrid w:linePitch="360"/>
        </w:sectPr>
      </w:pPr>
    </w:p>
    <w:p w:rsidR="00483343" w:rsidRDefault="00483343" w:rsidP="000F7316">
      <w:pPr>
        <w:pStyle w:val="BodyTextFirstIndent"/>
        <w:ind w:firstLine="0"/>
        <w:jc w:val="center"/>
        <w:rPr>
          <w:b/>
          <w:sz w:val="24"/>
          <w:szCs w:val="24"/>
        </w:rPr>
      </w:pPr>
      <w:r w:rsidRPr="003B0846">
        <w:rPr>
          <w:b/>
          <w:sz w:val="24"/>
          <w:szCs w:val="24"/>
        </w:rPr>
        <w:lastRenderedPageBreak/>
        <w:t xml:space="preserve">Table </w:t>
      </w:r>
      <w:r w:rsidR="00296A72">
        <w:rPr>
          <w:b/>
          <w:sz w:val="24"/>
          <w:szCs w:val="24"/>
        </w:rPr>
        <w:t>D</w:t>
      </w:r>
      <w:r w:rsidR="00C07BD0">
        <w:rPr>
          <w:b/>
          <w:sz w:val="24"/>
          <w:szCs w:val="24"/>
        </w:rPr>
        <w:t>1</w:t>
      </w:r>
      <w:r w:rsidRPr="003B0846">
        <w:rPr>
          <w:b/>
          <w:sz w:val="24"/>
          <w:szCs w:val="24"/>
        </w:rPr>
        <w:t xml:space="preserve"> </w:t>
      </w:r>
      <w:proofErr w:type="gramStart"/>
      <w:r w:rsidRPr="003B0846">
        <w:rPr>
          <w:b/>
          <w:sz w:val="24"/>
          <w:szCs w:val="24"/>
        </w:rPr>
        <w:t xml:space="preserve">–  </w:t>
      </w:r>
      <w:r w:rsidR="00701DC4">
        <w:rPr>
          <w:b/>
          <w:sz w:val="24"/>
          <w:szCs w:val="24"/>
        </w:rPr>
        <w:t>Requested</w:t>
      </w:r>
      <w:proofErr w:type="gramEnd"/>
      <w:r w:rsidR="00701DC4">
        <w:rPr>
          <w:b/>
          <w:sz w:val="24"/>
          <w:szCs w:val="24"/>
        </w:rPr>
        <w:t xml:space="preserve"> Change in Burden Hours </w:t>
      </w:r>
      <w:r w:rsidR="00243317">
        <w:rPr>
          <w:b/>
          <w:sz w:val="24"/>
          <w:szCs w:val="24"/>
        </w:rPr>
        <w:t xml:space="preserve"> </w:t>
      </w:r>
    </w:p>
    <w:p w:rsidR="00EF0A65" w:rsidRPr="00E02CF4" w:rsidRDefault="00EF0A65" w:rsidP="00E02CF4">
      <w:pPr>
        <w:pStyle w:val="BodyTextFirstIndent"/>
        <w:ind w:firstLine="0"/>
        <w:rPr>
          <w:sz w:val="24"/>
          <w:szCs w:val="24"/>
        </w:rPr>
      </w:pPr>
      <w:r w:rsidRPr="00E02CF4">
        <w:rPr>
          <w:sz w:val="20"/>
          <w:szCs w:val="20"/>
        </w:rPr>
        <w:t>OSHA is proposing to revoke the two comprehensive standards applicable to the construction and shipyard sectors.  As a result the number of establishments, workers, exposure monitoring samples would be reduced.</w:t>
      </w:r>
    </w:p>
    <w:tbl>
      <w:tblPr>
        <w:tblStyle w:val="TableGrid"/>
        <w:tblW w:w="13214" w:type="dxa"/>
        <w:tblLayout w:type="fixed"/>
        <w:tblLook w:val="04A0" w:firstRow="1" w:lastRow="0" w:firstColumn="1" w:lastColumn="0" w:noHBand="0" w:noVBand="1"/>
      </w:tblPr>
      <w:tblGrid>
        <w:gridCol w:w="2891"/>
        <w:gridCol w:w="1447"/>
        <w:gridCol w:w="1620"/>
        <w:gridCol w:w="1890"/>
        <w:gridCol w:w="5366"/>
      </w:tblGrid>
      <w:tr w:rsidR="00D5052E" w:rsidRPr="00C47B38" w:rsidTr="00D1070D">
        <w:trPr>
          <w:trHeight w:val="939"/>
        </w:trPr>
        <w:tc>
          <w:tcPr>
            <w:tcW w:w="2891" w:type="dxa"/>
            <w:shd w:val="clear" w:color="auto" w:fill="FFFF00"/>
          </w:tcPr>
          <w:p w:rsidR="007422C1" w:rsidRPr="00C47B38" w:rsidRDefault="007422C1" w:rsidP="00146A12">
            <w:pPr>
              <w:pStyle w:val="BodyTextFirstIndent"/>
              <w:ind w:firstLine="0"/>
              <w:rPr>
                <w:b/>
                <w:sz w:val="20"/>
                <w:szCs w:val="20"/>
              </w:rPr>
            </w:pPr>
            <w:r w:rsidRPr="00C47B38">
              <w:rPr>
                <w:b/>
                <w:sz w:val="20"/>
                <w:szCs w:val="20"/>
              </w:rPr>
              <w:t>Collections of Information</w:t>
            </w:r>
          </w:p>
        </w:tc>
        <w:tc>
          <w:tcPr>
            <w:tcW w:w="1447" w:type="dxa"/>
            <w:shd w:val="clear" w:color="auto" w:fill="FFFF00"/>
          </w:tcPr>
          <w:p w:rsidR="007422C1" w:rsidRPr="00C47B38" w:rsidRDefault="007422C1">
            <w:pPr>
              <w:pStyle w:val="BodyTextFirstIndent"/>
              <w:ind w:firstLine="0"/>
              <w:rPr>
                <w:b/>
                <w:sz w:val="20"/>
                <w:szCs w:val="20"/>
              </w:rPr>
            </w:pPr>
            <w:r w:rsidRPr="00C47B38">
              <w:rPr>
                <w:b/>
                <w:sz w:val="20"/>
                <w:szCs w:val="20"/>
              </w:rPr>
              <w:t>Current Burden Hours</w:t>
            </w:r>
          </w:p>
        </w:tc>
        <w:tc>
          <w:tcPr>
            <w:tcW w:w="1620" w:type="dxa"/>
            <w:shd w:val="clear" w:color="auto" w:fill="FFFF00"/>
          </w:tcPr>
          <w:p w:rsidR="007422C1" w:rsidRPr="00C47B38" w:rsidRDefault="007422C1">
            <w:pPr>
              <w:pStyle w:val="BodyTextFirstIndent"/>
              <w:ind w:firstLine="0"/>
              <w:rPr>
                <w:b/>
                <w:sz w:val="20"/>
                <w:szCs w:val="20"/>
              </w:rPr>
            </w:pPr>
            <w:r w:rsidRPr="00C47B38">
              <w:rPr>
                <w:b/>
                <w:sz w:val="20"/>
                <w:szCs w:val="20"/>
              </w:rPr>
              <w:t>Requested Burden Hours</w:t>
            </w:r>
          </w:p>
        </w:tc>
        <w:tc>
          <w:tcPr>
            <w:tcW w:w="1890" w:type="dxa"/>
            <w:shd w:val="clear" w:color="auto" w:fill="FFFF00"/>
          </w:tcPr>
          <w:p w:rsidR="007422C1" w:rsidRPr="00C47B38" w:rsidRDefault="007422C1" w:rsidP="000C2C08">
            <w:pPr>
              <w:pStyle w:val="BodyTextFirstIndent"/>
              <w:ind w:firstLine="0"/>
              <w:rPr>
                <w:b/>
                <w:sz w:val="20"/>
                <w:szCs w:val="20"/>
              </w:rPr>
            </w:pPr>
            <w:r w:rsidRPr="00C47B38">
              <w:rPr>
                <w:b/>
                <w:sz w:val="20"/>
                <w:szCs w:val="20"/>
              </w:rPr>
              <w:t>Difference Program Change</w:t>
            </w:r>
            <w:r w:rsidR="00121E1E" w:rsidRPr="00C47B38">
              <w:rPr>
                <w:b/>
                <w:sz w:val="20"/>
                <w:szCs w:val="20"/>
              </w:rPr>
              <w:t xml:space="preserve"> (PC)/ Adjustment (Adj.)</w:t>
            </w:r>
          </w:p>
        </w:tc>
        <w:tc>
          <w:tcPr>
            <w:tcW w:w="5366" w:type="dxa"/>
            <w:shd w:val="clear" w:color="auto" w:fill="FFFF00"/>
          </w:tcPr>
          <w:p w:rsidR="007422C1" w:rsidRPr="00C47B38" w:rsidRDefault="00EF0A65">
            <w:pPr>
              <w:pStyle w:val="BodyTextFirstIndent"/>
              <w:ind w:firstLine="0"/>
              <w:rPr>
                <w:b/>
                <w:sz w:val="20"/>
                <w:szCs w:val="20"/>
              </w:rPr>
            </w:pPr>
            <w:r w:rsidRPr="00C47B38">
              <w:rPr>
                <w:b/>
                <w:sz w:val="20"/>
                <w:szCs w:val="20"/>
              </w:rPr>
              <w:t>Explanation</w:t>
            </w:r>
          </w:p>
        </w:tc>
      </w:tr>
      <w:tr w:rsidR="007422C1" w:rsidRPr="00C47B38" w:rsidTr="00D1070D">
        <w:trPr>
          <w:trHeight w:val="227"/>
        </w:trPr>
        <w:tc>
          <w:tcPr>
            <w:tcW w:w="7848" w:type="dxa"/>
            <w:gridSpan w:val="4"/>
            <w:shd w:val="clear" w:color="auto" w:fill="D9D9D9" w:themeFill="background1" w:themeFillShade="D9"/>
            <w:vAlign w:val="center"/>
          </w:tcPr>
          <w:p w:rsidR="007422C1" w:rsidRPr="00C47B38" w:rsidRDefault="007422C1" w:rsidP="003B0846">
            <w:pPr>
              <w:widowControl w:val="0"/>
              <w:adjustRightInd w:val="0"/>
              <w:rPr>
                <w:color w:val="000000"/>
                <w:sz w:val="20"/>
                <w:szCs w:val="20"/>
              </w:rPr>
            </w:pPr>
            <w:r w:rsidRPr="00C47B38">
              <w:rPr>
                <w:b/>
                <w:bCs/>
                <w:sz w:val="20"/>
                <w:szCs w:val="20"/>
              </w:rPr>
              <w:t>A. Exposure Monitoring</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290"/>
        </w:trPr>
        <w:tc>
          <w:tcPr>
            <w:tcW w:w="7848" w:type="dxa"/>
            <w:gridSpan w:val="4"/>
            <w:shd w:val="clear" w:color="auto" w:fill="D9D9D9" w:themeFill="background1" w:themeFillShade="D9"/>
            <w:vAlign w:val="center"/>
          </w:tcPr>
          <w:p w:rsidR="007422C1" w:rsidRPr="00C47B38" w:rsidRDefault="007422C1" w:rsidP="003B0846">
            <w:pPr>
              <w:widowControl w:val="0"/>
              <w:adjustRightInd w:val="0"/>
              <w:rPr>
                <w:color w:val="000000"/>
                <w:sz w:val="20"/>
                <w:szCs w:val="20"/>
              </w:rPr>
            </w:pPr>
            <w:r w:rsidRPr="00C47B38">
              <w:rPr>
                <w:b/>
                <w:bCs/>
                <w:sz w:val="20"/>
                <w:szCs w:val="20"/>
              </w:rPr>
              <w:t>1. Performance Option</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689"/>
        </w:trPr>
        <w:tc>
          <w:tcPr>
            <w:tcW w:w="2891" w:type="dxa"/>
            <w:vAlign w:val="center"/>
          </w:tcPr>
          <w:p w:rsidR="007422C1" w:rsidRPr="00C47B38" w:rsidRDefault="007422C1" w:rsidP="00146A12">
            <w:pPr>
              <w:widowControl w:val="0"/>
              <w:adjustRightInd w:val="0"/>
              <w:rPr>
                <w:sz w:val="20"/>
                <w:szCs w:val="20"/>
              </w:rPr>
            </w:pPr>
            <w:r w:rsidRPr="00C47B38">
              <w:rPr>
                <w:sz w:val="20"/>
                <w:szCs w:val="20"/>
              </w:rPr>
              <w:t>Objective Data</w:t>
            </w:r>
          </w:p>
          <w:p w:rsidR="007422C1" w:rsidRPr="00C47B38" w:rsidRDefault="007422C1">
            <w:pPr>
              <w:pStyle w:val="BodyTextFirstIndent"/>
              <w:ind w:firstLine="0"/>
              <w:rPr>
                <w:sz w:val="20"/>
                <w:szCs w:val="20"/>
              </w:rPr>
            </w:pPr>
          </w:p>
        </w:tc>
        <w:tc>
          <w:tcPr>
            <w:tcW w:w="1447" w:type="dxa"/>
            <w:vAlign w:val="center"/>
          </w:tcPr>
          <w:p w:rsidR="007422C1" w:rsidRPr="00C47B38" w:rsidRDefault="007422C1">
            <w:pPr>
              <w:pStyle w:val="BodyTextFirstIndent"/>
              <w:ind w:firstLine="0"/>
              <w:rPr>
                <w:color w:val="000000"/>
                <w:sz w:val="20"/>
                <w:szCs w:val="20"/>
              </w:rPr>
            </w:pPr>
            <w:r w:rsidRPr="00C47B38">
              <w:rPr>
                <w:color w:val="000000"/>
                <w:sz w:val="20"/>
                <w:szCs w:val="20"/>
              </w:rPr>
              <w:t>0</w:t>
            </w:r>
          </w:p>
        </w:tc>
        <w:tc>
          <w:tcPr>
            <w:tcW w:w="1620" w:type="dxa"/>
            <w:vAlign w:val="center"/>
          </w:tcPr>
          <w:p w:rsidR="007422C1" w:rsidRPr="00C47B38" w:rsidRDefault="007422C1">
            <w:pPr>
              <w:pStyle w:val="BodyTextFirstIndent"/>
              <w:ind w:firstLine="0"/>
              <w:rPr>
                <w:color w:val="000000"/>
                <w:sz w:val="20"/>
                <w:szCs w:val="20"/>
              </w:rPr>
            </w:pPr>
            <w:r w:rsidRPr="00C47B38">
              <w:rPr>
                <w:color w:val="000000"/>
                <w:sz w:val="20"/>
                <w:szCs w:val="20"/>
              </w:rPr>
              <w:t>0</w:t>
            </w:r>
          </w:p>
        </w:tc>
        <w:tc>
          <w:tcPr>
            <w:tcW w:w="1890" w:type="dxa"/>
            <w:vAlign w:val="bottom"/>
          </w:tcPr>
          <w:p w:rsidR="007422C1" w:rsidRPr="00C47B38" w:rsidRDefault="007422C1">
            <w:pPr>
              <w:pStyle w:val="BodyTextFirstIndent"/>
              <w:ind w:firstLine="0"/>
              <w:rPr>
                <w:color w:val="000000"/>
                <w:sz w:val="20"/>
                <w:szCs w:val="20"/>
              </w:rPr>
            </w:pPr>
            <w:r w:rsidRPr="00C47B38">
              <w:rPr>
                <w:color w:val="000000"/>
                <w:sz w:val="20"/>
                <w:szCs w:val="20"/>
              </w:rPr>
              <w:t>0</w:t>
            </w:r>
          </w:p>
        </w:tc>
        <w:tc>
          <w:tcPr>
            <w:tcW w:w="5366" w:type="dxa"/>
          </w:tcPr>
          <w:p w:rsidR="007422C1" w:rsidRPr="00C47B38" w:rsidRDefault="007422C1">
            <w:pPr>
              <w:pStyle w:val="BodyTextFirstIndent"/>
              <w:ind w:firstLine="0"/>
              <w:rPr>
                <w:color w:val="000000"/>
                <w:sz w:val="20"/>
                <w:szCs w:val="20"/>
              </w:rPr>
            </w:pPr>
          </w:p>
        </w:tc>
      </w:tr>
      <w:tr w:rsidR="007422C1" w:rsidRPr="00C47B38" w:rsidTr="00D1070D">
        <w:trPr>
          <w:trHeight w:val="469"/>
        </w:trPr>
        <w:tc>
          <w:tcPr>
            <w:tcW w:w="7848" w:type="dxa"/>
            <w:gridSpan w:val="4"/>
            <w:shd w:val="clear" w:color="auto" w:fill="D9D9D9" w:themeFill="background1" w:themeFillShade="D9"/>
            <w:vAlign w:val="center"/>
          </w:tcPr>
          <w:p w:rsidR="007422C1" w:rsidRPr="00C47B38" w:rsidRDefault="007422C1" w:rsidP="00146A12">
            <w:pPr>
              <w:pStyle w:val="BodyTextFirstIndent"/>
              <w:ind w:firstLine="0"/>
              <w:rPr>
                <w:color w:val="000000"/>
                <w:sz w:val="20"/>
                <w:szCs w:val="20"/>
              </w:rPr>
            </w:pPr>
            <w:r w:rsidRPr="00C47B38">
              <w:rPr>
                <w:b/>
                <w:bCs/>
                <w:sz w:val="20"/>
                <w:szCs w:val="20"/>
              </w:rPr>
              <w:t>2. Scheduled Monitoring Option</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Initial</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6,868</w:t>
            </w:r>
          </w:p>
        </w:tc>
        <w:tc>
          <w:tcPr>
            <w:tcW w:w="1620" w:type="dxa"/>
            <w:vAlign w:val="center"/>
          </w:tcPr>
          <w:p w:rsidR="007422C1" w:rsidRPr="00C47B38" w:rsidRDefault="007422C1" w:rsidP="00F30D92">
            <w:pPr>
              <w:pStyle w:val="BodyTextFirstIndent"/>
              <w:ind w:firstLine="0"/>
              <w:rPr>
                <w:sz w:val="20"/>
                <w:szCs w:val="20"/>
              </w:rPr>
            </w:pPr>
            <w:r w:rsidRPr="00C47B38">
              <w:rPr>
                <w:color w:val="000000"/>
                <w:sz w:val="20"/>
                <w:szCs w:val="20"/>
              </w:rPr>
              <w:t>5,215</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-1,653</w:t>
            </w:r>
            <w:r w:rsidR="00121E1E" w:rsidRPr="00C47B38">
              <w:rPr>
                <w:color w:val="000000"/>
                <w:sz w:val="20"/>
                <w:szCs w:val="20"/>
              </w:rPr>
              <w:t xml:space="preserve"> (PC)</w:t>
            </w:r>
          </w:p>
        </w:tc>
        <w:tc>
          <w:tcPr>
            <w:tcW w:w="5366" w:type="dxa"/>
          </w:tcPr>
          <w:p w:rsidR="007422C1" w:rsidRPr="00C47B38" w:rsidRDefault="007422C1" w:rsidP="00F30D92">
            <w:pPr>
              <w:pStyle w:val="BodyTextFirstIndent"/>
              <w:ind w:firstLine="0"/>
              <w:rPr>
                <w:color w:val="000000"/>
                <w:sz w:val="20"/>
                <w:szCs w:val="20"/>
              </w:rPr>
            </w:pPr>
            <w:r w:rsidRPr="00C47B38">
              <w:rPr>
                <w:color w:val="000000"/>
                <w:sz w:val="20"/>
                <w:szCs w:val="20"/>
              </w:rPr>
              <w:t>The number of initial exposure monitoring samples was reduced from 14,309 to 10,</w:t>
            </w:r>
            <w:r w:rsidR="00B9373B" w:rsidRPr="00C47B38">
              <w:rPr>
                <w:color w:val="000000"/>
                <w:sz w:val="20"/>
                <w:szCs w:val="20"/>
              </w:rPr>
              <w:t>864 samples.</w:t>
            </w: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Periodic</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4,160</w:t>
            </w:r>
          </w:p>
        </w:tc>
        <w:tc>
          <w:tcPr>
            <w:tcW w:w="1620" w:type="dxa"/>
            <w:vAlign w:val="center"/>
          </w:tcPr>
          <w:p w:rsidR="007422C1" w:rsidRPr="00C47B38" w:rsidRDefault="007422C1" w:rsidP="00F30D92">
            <w:pPr>
              <w:pStyle w:val="BodyTextFirstIndent"/>
              <w:ind w:firstLine="0"/>
              <w:rPr>
                <w:sz w:val="20"/>
                <w:szCs w:val="20"/>
              </w:rPr>
            </w:pPr>
            <w:r w:rsidRPr="00C47B38">
              <w:rPr>
                <w:color w:val="000000"/>
                <w:sz w:val="20"/>
                <w:szCs w:val="20"/>
              </w:rPr>
              <w:t>2,381</w:t>
            </w:r>
          </w:p>
        </w:tc>
        <w:tc>
          <w:tcPr>
            <w:tcW w:w="1890" w:type="dxa"/>
            <w:vAlign w:val="bottom"/>
          </w:tcPr>
          <w:p w:rsidR="007422C1" w:rsidRPr="00C47B38" w:rsidRDefault="007422C1" w:rsidP="000C2C08">
            <w:pPr>
              <w:pStyle w:val="BodyTextFirstIndent"/>
              <w:ind w:firstLine="0"/>
              <w:rPr>
                <w:sz w:val="20"/>
                <w:szCs w:val="20"/>
              </w:rPr>
            </w:pPr>
            <w:r w:rsidRPr="00C47B38">
              <w:rPr>
                <w:color w:val="000000"/>
                <w:sz w:val="20"/>
                <w:szCs w:val="20"/>
              </w:rPr>
              <w:t>-1,779</w:t>
            </w:r>
            <w:r w:rsidR="00121E1E" w:rsidRPr="00C47B38">
              <w:rPr>
                <w:color w:val="000000"/>
                <w:sz w:val="20"/>
                <w:szCs w:val="20"/>
              </w:rPr>
              <w:t xml:space="preserve"> (PC)</w:t>
            </w:r>
          </w:p>
        </w:tc>
        <w:tc>
          <w:tcPr>
            <w:tcW w:w="5366" w:type="dxa"/>
          </w:tcPr>
          <w:p w:rsidR="007422C1" w:rsidRPr="00C47B38" w:rsidRDefault="00B9373B">
            <w:pPr>
              <w:pStyle w:val="BodyTextFirstIndent"/>
              <w:ind w:firstLine="0"/>
              <w:rPr>
                <w:color w:val="000000"/>
                <w:sz w:val="20"/>
                <w:szCs w:val="20"/>
              </w:rPr>
            </w:pPr>
            <w:r w:rsidRPr="00C47B38">
              <w:rPr>
                <w:color w:val="000000"/>
                <w:sz w:val="20"/>
                <w:szCs w:val="20"/>
              </w:rPr>
              <w:t>The total number of periodic exposure monitoring samples was reduced from 8,66</w:t>
            </w:r>
            <w:r w:rsidR="00094F03" w:rsidRPr="00C47B38">
              <w:rPr>
                <w:color w:val="000000"/>
                <w:sz w:val="20"/>
                <w:szCs w:val="20"/>
              </w:rPr>
              <w:t>7</w:t>
            </w:r>
            <w:r w:rsidRPr="00C47B38">
              <w:rPr>
                <w:color w:val="000000"/>
                <w:sz w:val="20"/>
                <w:szCs w:val="20"/>
              </w:rPr>
              <w:t xml:space="preserve"> to 4,960 samples.</w:t>
            </w: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Additional</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687</w:t>
            </w:r>
          </w:p>
        </w:tc>
        <w:tc>
          <w:tcPr>
            <w:tcW w:w="1620" w:type="dxa"/>
            <w:vAlign w:val="center"/>
          </w:tcPr>
          <w:p w:rsidR="007422C1" w:rsidRPr="00C47B38" w:rsidRDefault="007422C1" w:rsidP="00F30D92">
            <w:pPr>
              <w:pStyle w:val="BodyTextFirstIndent"/>
              <w:ind w:firstLine="0"/>
              <w:rPr>
                <w:sz w:val="20"/>
                <w:szCs w:val="20"/>
              </w:rPr>
            </w:pPr>
            <w:r w:rsidRPr="00C47B38">
              <w:rPr>
                <w:color w:val="000000"/>
                <w:sz w:val="20"/>
                <w:szCs w:val="20"/>
              </w:rPr>
              <w:t>522</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-165</w:t>
            </w:r>
            <w:r w:rsidR="00121E1E" w:rsidRPr="00C47B38">
              <w:rPr>
                <w:color w:val="000000"/>
                <w:sz w:val="20"/>
                <w:szCs w:val="20"/>
              </w:rPr>
              <w:t xml:space="preserve"> (PC)</w:t>
            </w:r>
          </w:p>
        </w:tc>
        <w:tc>
          <w:tcPr>
            <w:tcW w:w="5366" w:type="dxa"/>
          </w:tcPr>
          <w:p w:rsidR="007422C1" w:rsidRPr="00C47B38" w:rsidRDefault="00B9373B" w:rsidP="00F30D92">
            <w:pPr>
              <w:pStyle w:val="BodyTextFirstIndent"/>
              <w:ind w:firstLine="0"/>
              <w:rPr>
                <w:color w:val="000000"/>
                <w:sz w:val="20"/>
                <w:szCs w:val="20"/>
              </w:rPr>
            </w:pPr>
            <w:r w:rsidRPr="00C47B38">
              <w:rPr>
                <w:color w:val="000000"/>
                <w:sz w:val="20"/>
                <w:szCs w:val="20"/>
              </w:rPr>
              <w:t>The number of additional monitoring samples was reduced from 1,431 to 1,08</w:t>
            </w:r>
            <w:r w:rsidR="000E60CF" w:rsidRPr="00C47B38">
              <w:rPr>
                <w:color w:val="000000"/>
                <w:sz w:val="20"/>
                <w:szCs w:val="20"/>
              </w:rPr>
              <w:t>7</w:t>
            </w:r>
            <w:r w:rsidRPr="00C47B38">
              <w:rPr>
                <w:color w:val="000000"/>
                <w:sz w:val="20"/>
                <w:szCs w:val="20"/>
              </w:rPr>
              <w:t>.</w:t>
            </w:r>
          </w:p>
        </w:tc>
      </w:tr>
      <w:tr w:rsidR="007422C1" w:rsidRPr="00C47B38" w:rsidTr="00D1070D">
        <w:trPr>
          <w:trHeight w:val="469"/>
        </w:trPr>
        <w:tc>
          <w:tcPr>
            <w:tcW w:w="7848" w:type="dxa"/>
            <w:gridSpan w:val="4"/>
            <w:shd w:val="clear" w:color="auto" w:fill="D9D9D9" w:themeFill="background1" w:themeFillShade="D9"/>
            <w:vAlign w:val="center"/>
          </w:tcPr>
          <w:p w:rsidR="007422C1" w:rsidRPr="00C47B38" w:rsidRDefault="007422C1" w:rsidP="00146A12">
            <w:pPr>
              <w:pStyle w:val="BodyTextFirstIndent"/>
              <w:ind w:firstLine="0"/>
              <w:rPr>
                <w:color w:val="000000"/>
                <w:sz w:val="20"/>
                <w:szCs w:val="20"/>
              </w:rPr>
            </w:pPr>
            <w:r w:rsidRPr="00C47B38">
              <w:rPr>
                <w:b/>
                <w:bCs/>
                <w:sz w:val="20"/>
                <w:szCs w:val="20"/>
              </w:rPr>
              <w:t>B. Beryllium Work Areas and Regulated Areas</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469"/>
        </w:trPr>
        <w:tc>
          <w:tcPr>
            <w:tcW w:w="7848" w:type="dxa"/>
            <w:gridSpan w:val="4"/>
            <w:vAlign w:val="center"/>
          </w:tcPr>
          <w:p w:rsidR="007422C1" w:rsidRPr="00C47B38" w:rsidRDefault="007422C1" w:rsidP="00146A12">
            <w:pPr>
              <w:pStyle w:val="BodyTextFirstIndent"/>
              <w:ind w:firstLine="0"/>
              <w:rPr>
                <w:color w:val="000000"/>
                <w:sz w:val="20"/>
                <w:szCs w:val="20"/>
              </w:rPr>
            </w:pPr>
            <w:r w:rsidRPr="00C47B38">
              <w:rPr>
                <w:b/>
                <w:bCs/>
                <w:sz w:val="20"/>
                <w:szCs w:val="20"/>
              </w:rPr>
              <w:t>1. Written Exposure Control Plan</w:t>
            </w:r>
          </w:p>
        </w:tc>
        <w:tc>
          <w:tcPr>
            <w:tcW w:w="5366" w:type="dxa"/>
          </w:tcPr>
          <w:p w:rsidR="007422C1" w:rsidRPr="00C47B38" w:rsidRDefault="007422C1" w:rsidP="00146A12">
            <w:pPr>
              <w:pStyle w:val="BodyTextFirstIndent"/>
              <w:ind w:firstLine="0"/>
              <w:rPr>
                <w:b/>
                <w:bCs/>
                <w:sz w:val="20"/>
                <w:szCs w:val="20"/>
              </w:rPr>
            </w:pP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Develop Plan</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26,776</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14,024</w:t>
            </w:r>
          </w:p>
        </w:tc>
        <w:tc>
          <w:tcPr>
            <w:tcW w:w="1890" w:type="dxa"/>
            <w:vAlign w:val="bottom"/>
          </w:tcPr>
          <w:p w:rsidR="007422C1" w:rsidRPr="00C47B38" w:rsidRDefault="007422C1" w:rsidP="000C2C08">
            <w:pPr>
              <w:pStyle w:val="BodyTextFirstIndent"/>
              <w:ind w:firstLine="0"/>
              <w:rPr>
                <w:sz w:val="20"/>
                <w:szCs w:val="20"/>
              </w:rPr>
            </w:pPr>
            <w:r w:rsidRPr="00C47B38">
              <w:rPr>
                <w:color w:val="000000"/>
                <w:sz w:val="20"/>
                <w:szCs w:val="20"/>
              </w:rPr>
              <w:t>-12,752</w:t>
            </w:r>
            <w:r w:rsidR="00121E1E" w:rsidRPr="00C47B38">
              <w:rPr>
                <w:color w:val="000000"/>
                <w:sz w:val="20"/>
                <w:szCs w:val="20"/>
              </w:rPr>
              <w:t xml:space="preserve"> (PC)</w:t>
            </w:r>
          </w:p>
        </w:tc>
        <w:tc>
          <w:tcPr>
            <w:tcW w:w="5366" w:type="dxa"/>
          </w:tcPr>
          <w:p w:rsidR="007422C1" w:rsidRPr="00C47B38" w:rsidRDefault="00B9373B" w:rsidP="00130CA8">
            <w:pPr>
              <w:pStyle w:val="BodyTextFirstIndent"/>
              <w:ind w:firstLine="0"/>
              <w:rPr>
                <w:color w:val="000000"/>
                <w:sz w:val="20"/>
                <w:szCs w:val="20"/>
              </w:rPr>
            </w:pPr>
            <w:r w:rsidRPr="00C47B38">
              <w:rPr>
                <w:color w:val="000000"/>
                <w:sz w:val="20"/>
                <w:szCs w:val="20"/>
              </w:rPr>
              <w:t>The number of establishments at risk from exposure to Beryllium was reduced from 5,872 to 3,076.</w:t>
            </w: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Develop Plan</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17,032</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13,472</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-3,560</w:t>
            </w:r>
            <w:r w:rsidR="00121E1E" w:rsidRPr="00C47B38">
              <w:rPr>
                <w:color w:val="000000"/>
                <w:sz w:val="20"/>
                <w:szCs w:val="20"/>
              </w:rPr>
              <w:t xml:space="preserve"> (PC)</w:t>
            </w:r>
          </w:p>
        </w:tc>
        <w:tc>
          <w:tcPr>
            <w:tcW w:w="5366" w:type="dxa"/>
          </w:tcPr>
          <w:p w:rsidR="007422C1" w:rsidRPr="00C47B38" w:rsidRDefault="001F0A65">
            <w:pPr>
              <w:pStyle w:val="BodyTextFirstIndent"/>
              <w:ind w:firstLine="0"/>
              <w:rPr>
                <w:color w:val="000000"/>
                <w:sz w:val="20"/>
                <w:szCs w:val="20"/>
              </w:rPr>
            </w:pPr>
            <w:r w:rsidRPr="00C47B38">
              <w:rPr>
                <w:color w:val="000000"/>
                <w:sz w:val="20"/>
                <w:szCs w:val="20"/>
              </w:rPr>
              <w:t xml:space="preserve">Time to develop plan varies with number of employee.  The number of workers at risk was reduced </w:t>
            </w:r>
            <w:proofErr w:type="gramStart"/>
            <w:r w:rsidRPr="00C47B38">
              <w:rPr>
                <w:color w:val="000000"/>
                <w:sz w:val="20"/>
                <w:szCs w:val="20"/>
              </w:rPr>
              <w:t>from  54,943</w:t>
            </w:r>
            <w:proofErr w:type="gramEnd"/>
            <w:r w:rsidRPr="00C47B38">
              <w:rPr>
                <w:color w:val="000000"/>
                <w:sz w:val="20"/>
                <w:szCs w:val="20"/>
              </w:rPr>
              <w:t xml:space="preserve">  to 43,457. </w:t>
            </w: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lastRenderedPageBreak/>
              <w:t>Update Plan</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27,252</w:t>
            </w:r>
          </w:p>
        </w:tc>
        <w:tc>
          <w:tcPr>
            <w:tcW w:w="1620" w:type="dxa"/>
            <w:vAlign w:val="center"/>
          </w:tcPr>
          <w:p w:rsidR="007422C1" w:rsidRPr="00C47B38" w:rsidRDefault="007422C1" w:rsidP="00F30D92">
            <w:pPr>
              <w:pStyle w:val="BodyTextFirstIndent"/>
              <w:ind w:firstLine="0"/>
              <w:rPr>
                <w:sz w:val="20"/>
                <w:szCs w:val="20"/>
              </w:rPr>
            </w:pPr>
            <w:r w:rsidRPr="00C47B38">
              <w:rPr>
                <w:color w:val="000000"/>
                <w:sz w:val="20"/>
                <w:szCs w:val="20"/>
              </w:rPr>
              <w:t>21,</w:t>
            </w:r>
            <w:r w:rsidR="00DB010A" w:rsidRPr="00C47B38">
              <w:rPr>
                <w:color w:val="000000"/>
                <w:sz w:val="20"/>
                <w:szCs w:val="20"/>
              </w:rPr>
              <w:t>555</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-5,698</w:t>
            </w:r>
            <w:r w:rsidR="00121E1E" w:rsidRPr="00C47B38">
              <w:rPr>
                <w:color w:val="000000"/>
                <w:sz w:val="20"/>
                <w:szCs w:val="20"/>
              </w:rPr>
              <w:t xml:space="preserve"> (PC)</w:t>
            </w:r>
          </w:p>
        </w:tc>
        <w:tc>
          <w:tcPr>
            <w:tcW w:w="5366" w:type="dxa"/>
          </w:tcPr>
          <w:p w:rsidR="007422C1" w:rsidRPr="00C47B38" w:rsidRDefault="001F0A65" w:rsidP="00130CA8">
            <w:pPr>
              <w:pStyle w:val="BodyTextFirstIndent"/>
              <w:ind w:firstLine="0"/>
              <w:rPr>
                <w:color w:val="000000"/>
                <w:sz w:val="20"/>
                <w:szCs w:val="20"/>
              </w:rPr>
            </w:pPr>
            <w:r w:rsidRPr="00C47B38">
              <w:rPr>
                <w:color w:val="000000"/>
                <w:sz w:val="20"/>
                <w:szCs w:val="20"/>
              </w:rPr>
              <w:t xml:space="preserve">The number of workers at risk was reduced </w:t>
            </w:r>
            <w:r w:rsidR="008F7624" w:rsidRPr="00C47B38">
              <w:rPr>
                <w:color w:val="000000"/>
                <w:sz w:val="20"/>
                <w:szCs w:val="20"/>
              </w:rPr>
              <w:t>from 54,943 to</w:t>
            </w:r>
            <w:r w:rsidRPr="00C47B38">
              <w:rPr>
                <w:color w:val="000000"/>
                <w:sz w:val="20"/>
                <w:szCs w:val="20"/>
              </w:rPr>
              <w:t xml:space="preserve"> 43,457</w:t>
            </w:r>
            <w:r w:rsidR="00CC57CE" w:rsidRPr="00C47B38">
              <w:rPr>
                <w:color w:val="000000"/>
                <w:sz w:val="20"/>
                <w:szCs w:val="20"/>
              </w:rPr>
              <w:t>.</w:t>
            </w:r>
          </w:p>
        </w:tc>
      </w:tr>
      <w:tr w:rsidR="007422C1" w:rsidRPr="00C47B38" w:rsidTr="00D1070D">
        <w:trPr>
          <w:trHeight w:val="227"/>
        </w:trPr>
        <w:tc>
          <w:tcPr>
            <w:tcW w:w="7848" w:type="dxa"/>
            <w:gridSpan w:val="4"/>
            <w:shd w:val="clear" w:color="auto" w:fill="D9D9D9" w:themeFill="background1" w:themeFillShade="D9"/>
          </w:tcPr>
          <w:p w:rsidR="007422C1" w:rsidRPr="00C47B38" w:rsidRDefault="007422C1" w:rsidP="003B0846">
            <w:pPr>
              <w:widowControl w:val="0"/>
              <w:adjustRightInd w:val="0"/>
              <w:rPr>
                <w:color w:val="000000"/>
                <w:sz w:val="20"/>
                <w:szCs w:val="20"/>
              </w:rPr>
            </w:pPr>
            <w:r w:rsidRPr="00C47B38">
              <w:rPr>
                <w:b/>
                <w:bCs/>
                <w:sz w:val="20"/>
                <w:szCs w:val="20"/>
              </w:rPr>
              <w:t>2. Respirator Program</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Develop Plan</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1,525</w:t>
            </w:r>
          </w:p>
        </w:tc>
        <w:tc>
          <w:tcPr>
            <w:tcW w:w="1620" w:type="dxa"/>
            <w:vAlign w:val="center"/>
          </w:tcPr>
          <w:p w:rsidR="007422C1" w:rsidRPr="00C47B38" w:rsidRDefault="007422C1" w:rsidP="00F30D92">
            <w:pPr>
              <w:pStyle w:val="BodyTextFirstIndent"/>
              <w:ind w:firstLine="0"/>
              <w:rPr>
                <w:sz w:val="20"/>
                <w:szCs w:val="20"/>
              </w:rPr>
            </w:pPr>
            <w:r w:rsidRPr="00C47B38">
              <w:rPr>
                <w:color w:val="000000"/>
                <w:sz w:val="20"/>
                <w:szCs w:val="20"/>
              </w:rPr>
              <w:t>1,525</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0</w:t>
            </w:r>
          </w:p>
        </w:tc>
        <w:tc>
          <w:tcPr>
            <w:tcW w:w="5366" w:type="dxa"/>
          </w:tcPr>
          <w:p w:rsidR="007422C1" w:rsidRPr="00C47B38" w:rsidRDefault="001F0A65" w:rsidP="00F30D92">
            <w:pPr>
              <w:pStyle w:val="BodyTextFirstIndent"/>
              <w:ind w:firstLine="0"/>
              <w:rPr>
                <w:color w:val="000000"/>
                <w:sz w:val="20"/>
                <w:szCs w:val="20"/>
              </w:rPr>
            </w:pPr>
            <w:r w:rsidRPr="00C47B38">
              <w:rPr>
                <w:color w:val="000000"/>
                <w:sz w:val="20"/>
                <w:szCs w:val="20"/>
              </w:rPr>
              <w:t>No Change.</w:t>
            </w:r>
          </w:p>
        </w:tc>
      </w:tr>
      <w:tr w:rsidR="007422C1" w:rsidRPr="00C47B38" w:rsidTr="00D1070D">
        <w:trPr>
          <w:trHeight w:val="469"/>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Update Plan</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381</w:t>
            </w:r>
          </w:p>
        </w:tc>
        <w:tc>
          <w:tcPr>
            <w:tcW w:w="1620" w:type="dxa"/>
            <w:vAlign w:val="center"/>
          </w:tcPr>
          <w:p w:rsidR="007422C1" w:rsidRPr="00C47B38" w:rsidRDefault="007422C1" w:rsidP="00F30D92">
            <w:pPr>
              <w:pStyle w:val="BodyTextFirstIndent"/>
              <w:ind w:firstLine="0"/>
              <w:rPr>
                <w:sz w:val="20"/>
                <w:szCs w:val="20"/>
              </w:rPr>
            </w:pPr>
            <w:r w:rsidRPr="00C47B38">
              <w:rPr>
                <w:color w:val="000000"/>
                <w:sz w:val="20"/>
                <w:szCs w:val="20"/>
              </w:rPr>
              <w:t>381</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0</w:t>
            </w:r>
          </w:p>
        </w:tc>
        <w:tc>
          <w:tcPr>
            <w:tcW w:w="5366" w:type="dxa"/>
          </w:tcPr>
          <w:p w:rsidR="007422C1" w:rsidRPr="00C47B38" w:rsidRDefault="001F0A65" w:rsidP="00F30D92">
            <w:pPr>
              <w:pStyle w:val="BodyTextFirstIndent"/>
              <w:ind w:firstLine="0"/>
              <w:rPr>
                <w:color w:val="000000"/>
                <w:sz w:val="20"/>
                <w:szCs w:val="20"/>
              </w:rPr>
            </w:pPr>
            <w:r w:rsidRPr="00C47B38">
              <w:rPr>
                <w:color w:val="000000"/>
                <w:sz w:val="20"/>
                <w:szCs w:val="20"/>
              </w:rPr>
              <w:t>No Change.</w:t>
            </w:r>
          </w:p>
        </w:tc>
      </w:tr>
      <w:tr w:rsidR="007422C1" w:rsidRPr="00C47B38" w:rsidTr="00D1070D">
        <w:trPr>
          <w:trHeight w:val="242"/>
        </w:trPr>
        <w:tc>
          <w:tcPr>
            <w:tcW w:w="7848" w:type="dxa"/>
            <w:gridSpan w:val="4"/>
            <w:shd w:val="clear" w:color="auto" w:fill="D9D9D9" w:themeFill="background1" w:themeFillShade="D9"/>
          </w:tcPr>
          <w:p w:rsidR="007422C1" w:rsidRPr="00C47B38" w:rsidRDefault="007422C1" w:rsidP="003B0846">
            <w:pPr>
              <w:widowControl w:val="0"/>
              <w:adjustRightInd w:val="0"/>
              <w:rPr>
                <w:color w:val="000000"/>
                <w:sz w:val="20"/>
                <w:szCs w:val="20"/>
              </w:rPr>
            </w:pPr>
            <w:r w:rsidRPr="00C47B38">
              <w:rPr>
                <w:b/>
                <w:bCs/>
                <w:sz w:val="20"/>
                <w:szCs w:val="20"/>
              </w:rPr>
              <w:t>3. Respirator Fit Testing</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Respirator Fit Testing - Labor</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325</w:t>
            </w:r>
          </w:p>
        </w:tc>
        <w:tc>
          <w:tcPr>
            <w:tcW w:w="1620" w:type="dxa"/>
            <w:vAlign w:val="bottom"/>
          </w:tcPr>
          <w:p w:rsidR="007422C1" w:rsidRPr="00C47B38" w:rsidRDefault="007422C1" w:rsidP="00F30D92">
            <w:pPr>
              <w:pStyle w:val="BodyTextFirstIndent"/>
              <w:ind w:firstLine="0"/>
              <w:rPr>
                <w:sz w:val="20"/>
                <w:szCs w:val="20"/>
              </w:rPr>
            </w:pPr>
            <w:r w:rsidRPr="00C47B38">
              <w:rPr>
                <w:color w:val="000000"/>
                <w:sz w:val="20"/>
                <w:szCs w:val="20"/>
              </w:rPr>
              <w:t>325</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0</w:t>
            </w:r>
          </w:p>
        </w:tc>
        <w:tc>
          <w:tcPr>
            <w:tcW w:w="5366" w:type="dxa"/>
          </w:tcPr>
          <w:p w:rsidR="007422C1" w:rsidRPr="00C47B38" w:rsidRDefault="001F0A65" w:rsidP="00F30D92">
            <w:pPr>
              <w:pStyle w:val="BodyTextFirstIndent"/>
              <w:ind w:firstLine="0"/>
              <w:rPr>
                <w:color w:val="000000"/>
                <w:sz w:val="20"/>
                <w:szCs w:val="20"/>
              </w:rPr>
            </w:pPr>
            <w:r w:rsidRPr="00C47B38">
              <w:rPr>
                <w:color w:val="000000"/>
                <w:sz w:val="20"/>
                <w:szCs w:val="20"/>
              </w:rPr>
              <w:t>No Change.</w:t>
            </w: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Respirator Fit Testing - Labor</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325</w:t>
            </w:r>
          </w:p>
        </w:tc>
        <w:tc>
          <w:tcPr>
            <w:tcW w:w="1620" w:type="dxa"/>
            <w:vAlign w:val="bottom"/>
          </w:tcPr>
          <w:p w:rsidR="007422C1" w:rsidRPr="00C47B38" w:rsidRDefault="007422C1" w:rsidP="00F30D92">
            <w:pPr>
              <w:pStyle w:val="BodyTextFirstIndent"/>
              <w:ind w:firstLine="0"/>
              <w:rPr>
                <w:sz w:val="20"/>
                <w:szCs w:val="20"/>
              </w:rPr>
            </w:pPr>
            <w:r w:rsidRPr="00C47B38">
              <w:rPr>
                <w:color w:val="000000"/>
                <w:sz w:val="20"/>
                <w:szCs w:val="20"/>
              </w:rPr>
              <w:t>325</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0</w:t>
            </w:r>
          </w:p>
        </w:tc>
        <w:tc>
          <w:tcPr>
            <w:tcW w:w="5366" w:type="dxa"/>
          </w:tcPr>
          <w:p w:rsidR="007422C1" w:rsidRPr="00C47B38" w:rsidRDefault="001F0A65" w:rsidP="00F30D92">
            <w:pPr>
              <w:pStyle w:val="BodyTextFirstIndent"/>
              <w:ind w:firstLine="0"/>
              <w:rPr>
                <w:color w:val="000000"/>
                <w:sz w:val="20"/>
                <w:szCs w:val="20"/>
              </w:rPr>
            </w:pPr>
            <w:r w:rsidRPr="00C47B38">
              <w:rPr>
                <w:color w:val="000000"/>
                <w:sz w:val="20"/>
                <w:szCs w:val="20"/>
              </w:rPr>
              <w:t>No Change.</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3B0846">
            <w:pPr>
              <w:pStyle w:val="BodyTextFirstIndent"/>
              <w:ind w:firstLine="0"/>
              <w:rPr>
                <w:color w:val="000000"/>
                <w:sz w:val="20"/>
                <w:szCs w:val="20"/>
              </w:rPr>
            </w:pPr>
            <w:r w:rsidRPr="00C47B38">
              <w:rPr>
                <w:b/>
                <w:bCs/>
                <w:sz w:val="20"/>
                <w:szCs w:val="20"/>
              </w:rPr>
              <w:t>4. PPE</w:t>
            </w:r>
          </w:p>
        </w:tc>
        <w:tc>
          <w:tcPr>
            <w:tcW w:w="5366" w:type="dxa"/>
            <w:shd w:val="clear" w:color="auto" w:fill="D9D9D9" w:themeFill="background1" w:themeFillShade="D9"/>
          </w:tcPr>
          <w:p w:rsidR="007422C1" w:rsidRPr="00C47B38" w:rsidRDefault="007422C1" w:rsidP="003B0846">
            <w:pPr>
              <w:pStyle w:val="BodyTextFirstIndent"/>
              <w:ind w:firstLine="0"/>
              <w:rPr>
                <w:b/>
                <w:bCs/>
                <w:sz w:val="20"/>
                <w:szCs w:val="20"/>
              </w:rPr>
            </w:pPr>
          </w:p>
        </w:tc>
      </w:tr>
      <w:tr w:rsidR="007422C1" w:rsidRPr="00C47B38" w:rsidTr="00D1070D">
        <w:trPr>
          <w:trHeight w:val="145"/>
        </w:trPr>
        <w:tc>
          <w:tcPr>
            <w:tcW w:w="2891" w:type="dxa"/>
          </w:tcPr>
          <w:p w:rsidR="007422C1" w:rsidRPr="00C47B38" w:rsidRDefault="007422C1" w:rsidP="00146A12">
            <w:pPr>
              <w:pStyle w:val="BodyTextFirstIndent"/>
              <w:ind w:firstLine="0"/>
              <w:rPr>
                <w:sz w:val="20"/>
                <w:szCs w:val="20"/>
              </w:rPr>
            </w:pPr>
            <w:r w:rsidRPr="00C47B38">
              <w:rPr>
                <w:sz w:val="20"/>
                <w:szCs w:val="20"/>
              </w:rPr>
              <w:t>Notify Cleaners in Writing</w:t>
            </w:r>
          </w:p>
        </w:tc>
        <w:tc>
          <w:tcPr>
            <w:tcW w:w="1447" w:type="dxa"/>
          </w:tcPr>
          <w:p w:rsidR="007422C1" w:rsidRPr="00C47B38" w:rsidRDefault="007422C1" w:rsidP="00146A12">
            <w:pPr>
              <w:pStyle w:val="BodyTextFirstIndent"/>
              <w:ind w:firstLine="0"/>
              <w:rPr>
                <w:sz w:val="20"/>
                <w:szCs w:val="20"/>
              </w:rPr>
            </w:pPr>
            <w:r w:rsidRPr="00C47B38">
              <w:rPr>
                <w:color w:val="000000"/>
                <w:sz w:val="20"/>
                <w:szCs w:val="20"/>
              </w:rPr>
              <w:t>210</w:t>
            </w:r>
          </w:p>
        </w:tc>
        <w:tc>
          <w:tcPr>
            <w:tcW w:w="1620" w:type="dxa"/>
            <w:vAlign w:val="center"/>
          </w:tcPr>
          <w:p w:rsidR="007422C1" w:rsidRPr="00C47B38" w:rsidRDefault="007422C1" w:rsidP="00F30D92">
            <w:pPr>
              <w:pStyle w:val="BodyTextFirstIndent"/>
              <w:ind w:firstLine="0"/>
              <w:rPr>
                <w:sz w:val="20"/>
                <w:szCs w:val="20"/>
              </w:rPr>
            </w:pPr>
            <w:r w:rsidRPr="00C47B38">
              <w:rPr>
                <w:color w:val="000000"/>
                <w:sz w:val="20"/>
                <w:szCs w:val="20"/>
              </w:rPr>
              <w:t>110</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-100</w:t>
            </w:r>
            <w:r w:rsidR="00121E1E" w:rsidRPr="00C47B38">
              <w:rPr>
                <w:color w:val="000000"/>
                <w:sz w:val="20"/>
                <w:szCs w:val="20"/>
              </w:rPr>
              <w:t xml:space="preserve"> (PC)</w:t>
            </w:r>
          </w:p>
        </w:tc>
        <w:tc>
          <w:tcPr>
            <w:tcW w:w="5366" w:type="dxa"/>
          </w:tcPr>
          <w:p w:rsidR="007422C1" w:rsidRPr="00C47B38" w:rsidRDefault="001F0A65" w:rsidP="00F30D92">
            <w:pPr>
              <w:pStyle w:val="BodyTextFirstIndent"/>
              <w:ind w:firstLine="0"/>
              <w:rPr>
                <w:color w:val="000000"/>
                <w:sz w:val="20"/>
                <w:szCs w:val="20"/>
              </w:rPr>
            </w:pPr>
            <w:r w:rsidRPr="00C47B38">
              <w:rPr>
                <w:color w:val="000000"/>
                <w:sz w:val="20"/>
                <w:szCs w:val="20"/>
              </w:rPr>
              <w:t xml:space="preserve">The number of establishments potentially at risk from exposure to beryllium that will need to send out clothing and equipment for laundering, cleaning, or repair was reduced from 5,872 to 3,076. </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146A12">
            <w:pPr>
              <w:pStyle w:val="BodyTextFirstIndent"/>
              <w:ind w:firstLine="0"/>
              <w:rPr>
                <w:color w:val="000000"/>
                <w:sz w:val="20"/>
                <w:szCs w:val="20"/>
              </w:rPr>
            </w:pPr>
            <w:r w:rsidRPr="00C47B38">
              <w:rPr>
                <w:b/>
                <w:bCs/>
                <w:sz w:val="20"/>
                <w:szCs w:val="20"/>
              </w:rPr>
              <w:t>5 Medical Surveillance</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557"/>
        </w:trPr>
        <w:tc>
          <w:tcPr>
            <w:tcW w:w="2891" w:type="dxa"/>
          </w:tcPr>
          <w:p w:rsidR="007422C1" w:rsidRPr="00C47B38" w:rsidRDefault="007422C1" w:rsidP="00146A12">
            <w:pPr>
              <w:pStyle w:val="BodyTextFirstIndent"/>
              <w:ind w:firstLine="0"/>
              <w:rPr>
                <w:sz w:val="20"/>
                <w:szCs w:val="20"/>
              </w:rPr>
            </w:pPr>
            <w:r w:rsidRPr="00C47B38">
              <w:rPr>
                <w:sz w:val="20"/>
                <w:szCs w:val="20"/>
              </w:rPr>
              <w:t>Medical Exam - Initial and Annual</w:t>
            </w:r>
          </w:p>
        </w:tc>
        <w:tc>
          <w:tcPr>
            <w:tcW w:w="1447" w:type="dxa"/>
          </w:tcPr>
          <w:p w:rsidR="007422C1" w:rsidRPr="00C47B38" w:rsidRDefault="007422C1" w:rsidP="00146A12">
            <w:pPr>
              <w:pStyle w:val="BodyTextFirstIndent"/>
              <w:ind w:firstLine="0"/>
              <w:rPr>
                <w:sz w:val="20"/>
                <w:szCs w:val="20"/>
              </w:rPr>
            </w:pPr>
            <w:r w:rsidRPr="00C47B38">
              <w:rPr>
                <w:color w:val="000000"/>
                <w:sz w:val="20"/>
                <w:szCs w:val="20"/>
              </w:rPr>
              <w:t>24,478</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16,</w:t>
            </w:r>
            <w:r w:rsidR="00152265" w:rsidRPr="00C47B38">
              <w:rPr>
                <w:color w:val="000000"/>
                <w:sz w:val="20"/>
                <w:szCs w:val="20"/>
              </w:rPr>
              <w:t>710</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-7,</w:t>
            </w:r>
            <w:r w:rsidR="00DB010A" w:rsidRPr="00C47B38">
              <w:rPr>
                <w:color w:val="000000"/>
                <w:sz w:val="20"/>
                <w:szCs w:val="20"/>
              </w:rPr>
              <w:t>768</w:t>
            </w:r>
            <w:r w:rsidR="00121E1E" w:rsidRPr="00C47B38">
              <w:rPr>
                <w:color w:val="000000"/>
                <w:sz w:val="20"/>
                <w:szCs w:val="20"/>
              </w:rPr>
              <w:t xml:space="preserve"> (PC)</w:t>
            </w:r>
          </w:p>
        </w:tc>
        <w:tc>
          <w:tcPr>
            <w:tcW w:w="5366" w:type="dxa"/>
          </w:tcPr>
          <w:p w:rsidR="007422C1" w:rsidRPr="00C47B38" w:rsidRDefault="001F0A65" w:rsidP="00130CA8">
            <w:pPr>
              <w:pStyle w:val="BodyTextFirstIndent"/>
              <w:ind w:firstLine="0"/>
              <w:rPr>
                <w:color w:val="000000"/>
                <w:sz w:val="20"/>
                <w:szCs w:val="20"/>
              </w:rPr>
            </w:pPr>
            <w:r w:rsidRPr="00C47B38">
              <w:rPr>
                <w:color w:val="000000"/>
                <w:sz w:val="20"/>
                <w:szCs w:val="20"/>
              </w:rPr>
              <w:t xml:space="preserve">The number of employee medical examinations was reduced </w:t>
            </w:r>
            <w:r w:rsidR="00CC57CE" w:rsidRPr="00C47B38">
              <w:rPr>
                <w:color w:val="000000"/>
                <w:sz w:val="20"/>
                <w:szCs w:val="20"/>
              </w:rPr>
              <w:t>from 21,397</w:t>
            </w:r>
            <w:r w:rsidRPr="00C47B38">
              <w:rPr>
                <w:color w:val="000000"/>
                <w:sz w:val="20"/>
                <w:szCs w:val="20"/>
              </w:rPr>
              <w:t xml:space="preserve"> to 14,607.</w:t>
            </w:r>
          </w:p>
        </w:tc>
      </w:tr>
      <w:tr w:rsidR="007422C1" w:rsidRPr="00C47B38" w:rsidTr="00D1070D">
        <w:trPr>
          <w:trHeight w:val="145"/>
        </w:trPr>
        <w:tc>
          <w:tcPr>
            <w:tcW w:w="2891" w:type="dxa"/>
          </w:tcPr>
          <w:p w:rsidR="007422C1" w:rsidRPr="00C47B38" w:rsidRDefault="007422C1" w:rsidP="00146A12">
            <w:pPr>
              <w:widowControl w:val="0"/>
              <w:adjustRightInd w:val="0"/>
              <w:rPr>
                <w:sz w:val="20"/>
                <w:szCs w:val="20"/>
              </w:rPr>
            </w:pPr>
            <w:r w:rsidRPr="00C47B38">
              <w:rPr>
                <w:sz w:val="20"/>
                <w:szCs w:val="20"/>
              </w:rPr>
              <w:t>Referral Exam - Travelling Workers</w:t>
            </w:r>
          </w:p>
          <w:p w:rsidR="007422C1" w:rsidRPr="00C47B38" w:rsidRDefault="007422C1">
            <w:pPr>
              <w:pStyle w:val="BodyTextFirstIndent"/>
              <w:ind w:firstLine="0"/>
              <w:rPr>
                <w:sz w:val="20"/>
                <w:szCs w:val="20"/>
              </w:rPr>
            </w:pPr>
          </w:p>
        </w:tc>
        <w:tc>
          <w:tcPr>
            <w:tcW w:w="1447" w:type="dxa"/>
            <w:vAlign w:val="center"/>
          </w:tcPr>
          <w:p w:rsidR="007422C1" w:rsidRPr="00C47B38" w:rsidRDefault="007422C1">
            <w:pPr>
              <w:pStyle w:val="BodyTextFirstIndent"/>
              <w:ind w:firstLine="0"/>
              <w:rPr>
                <w:sz w:val="20"/>
                <w:szCs w:val="20"/>
              </w:rPr>
            </w:pPr>
            <w:r w:rsidRPr="00C47B38">
              <w:rPr>
                <w:color w:val="000000"/>
                <w:sz w:val="20"/>
                <w:szCs w:val="20"/>
              </w:rPr>
              <w:t>24,517</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16,733</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-7,784</w:t>
            </w:r>
            <w:r w:rsidR="00121E1E" w:rsidRPr="00C47B38">
              <w:rPr>
                <w:color w:val="000000"/>
                <w:sz w:val="20"/>
                <w:szCs w:val="20"/>
              </w:rPr>
              <w:t xml:space="preserve"> (PC)</w:t>
            </w:r>
          </w:p>
        </w:tc>
        <w:tc>
          <w:tcPr>
            <w:tcW w:w="5366" w:type="dxa"/>
          </w:tcPr>
          <w:p w:rsidR="007422C1" w:rsidRPr="00C47B38" w:rsidRDefault="001F0A65" w:rsidP="00130CA8">
            <w:pPr>
              <w:pStyle w:val="BodyTextFirstIndent"/>
              <w:ind w:firstLine="0"/>
              <w:rPr>
                <w:color w:val="000000"/>
                <w:sz w:val="20"/>
                <w:szCs w:val="20"/>
              </w:rPr>
            </w:pPr>
            <w:r w:rsidRPr="00C47B38">
              <w:rPr>
                <w:color w:val="000000"/>
                <w:sz w:val="20"/>
                <w:szCs w:val="20"/>
              </w:rPr>
              <w:t xml:space="preserve">The estimated number of </w:t>
            </w:r>
            <w:r w:rsidR="008F7624" w:rsidRPr="00C47B38">
              <w:rPr>
                <w:color w:val="000000"/>
                <w:sz w:val="20"/>
                <w:szCs w:val="20"/>
              </w:rPr>
              <w:t>annual referrals</w:t>
            </w:r>
            <w:r w:rsidRPr="00C47B38">
              <w:rPr>
                <w:color w:val="000000"/>
                <w:sz w:val="20"/>
                <w:szCs w:val="20"/>
              </w:rPr>
              <w:t xml:space="preserve"> to the CBD diagnostic center was reduced from 1,011 to 690.</w:t>
            </w:r>
          </w:p>
        </w:tc>
      </w:tr>
      <w:tr w:rsidR="007422C1" w:rsidRPr="00C47B38" w:rsidTr="00D1070D">
        <w:trPr>
          <w:trHeight w:val="145"/>
        </w:trPr>
        <w:tc>
          <w:tcPr>
            <w:tcW w:w="2891" w:type="dxa"/>
          </w:tcPr>
          <w:p w:rsidR="007422C1" w:rsidRPr="00C47B38" w:rsidRDefault="007422C1" w:rsidP="00146A12">
            <w:pPr>
              <w:widowControl w:val="0"/>
              <w:adjustRightInd w:val="0"/>
              <w:rPr>
                <w:sz w:val="20"/>
                <w:szCs w:val="20"/>
              </w:rPr>
            </w:pPr>
            <w:r w:rsidRPr="00C47B38">
              <w:rPr>
                <w:sz w:val="20"/>
                <w:szCs w:val="20"/>
              </w:rPr>
              <w:t>Referral Exam - Non-Travelling Workers</w:t>
            </w:r>
          </w:p>
          <w:p w:rsidR="007422C1" w:rsidRPr="00C47B38" w:rsidRDefault="007422C1">
            <w:pPr>
              <w:pStyle w:val="BodyTextFirstIndent"/>
              <w:ind w:firstLine="0"/>
              <w:rPr>
                <w:sz w:val="20"/>
                <w:szCs w:val="20"/>
              </w:rPr>
            </w:pPr>
          </w:p>
        </w:tc>
        <w:tc>
          <w:tcPr>
            <w:tcW w:w="1447" w:type="dxa"/>
            <w:vAlign w:val="center"/>
          </w:tcPr>
          <w:p w:rsidR="007422C1" w:rsidRPr="00C47B38" w:rsidRDefault="007422C1">
            <w:pPr>
              <w:pStyle w:val="BodyTextFirstIndent"/>
              <w:ind w:firstLine="0"/>
              <w:rPr>
                <w:sz w:val="20"/>
                <w:szCs w:val="20"/>
              </w:rPr>
            </w:pPr>
            <w:r w:rsidRPr="00C47B38">
              <w:rPr>
                <w:color w:val="000000"/>
                <w:sz w:val="20"/>
                <w:szCs w:val="20"/>
              </w:rPr>
              <w:t>1,432</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978</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-454</w:t>
            </w:r>
            <w:r w:rsidR="00121E1E" w:rsidRPr="00C47B38">
              <w:rPr>
                <w:color w:val="000000"/>
                <w:sz w:val="20"/>
                <w:szCs w:val="20"/>
              </w:rPr>
              <w:t xml:space="preserve"> (PC)</w:t>
            </w:r>
          </w:p>
        </w:tc>
        <w:tc>
          <w:tcPr>
            <w:tcW w:w="5366" w:type="dxa"/>
          </w:tcPr>
          <w:p w:rsidR="007422C1" w:rsidRPr="00C47B38" w:rsidRDefault="00CC57CE" w:rsidP="00130CA8">
            <w:pPr>
              <w:pStyle w:val="BodyTextFirstIndent"/>
              <w:ind w:firstLine="0"/>
              <w:rPr>
                <w:color w:val="000000"/>
                <w:sz w:val="20"/>
                <w:szCs w:val="20"/>
              </w:rPr>
            </w:pPr>
            <w:r w:rsidRPr="00C47B38">
              <w:rPr>
                <w:color w:val="000000"/>
                <w:sz w:val="20"/>
                <w:szCs w:val="20"/>
              </w:rPr>
              <w:t xml:space="preserve">The </w:t>
            </w:r>
            <w:r w:rsidR="00B17838" w:rsidRPr="00C47B38">
              <w:rPr>
                <w:color w:val="000000"/>
                <w:sz w:val="20"/>
                <w:szCs w:val="20"/>
              </w:rPr>
              <w:t xml:space="preserve">estimated </w:t>
            </w:r>
            <w:r w:rsidRPr="00C47B38">
              <w:rPr>
                <w:color w:val="000000"/>
                <w:sz w:val="20"/>
                <w:szCs w:val="20"/>
              </w:rPr>
              <w:t xml:space="preserve">number of annual number referrals exams to the CBD diagnostic center </w:t>
            </w:r>
            <w:r w:rsidR="000E60CF" w:rsidRPr="00C47B38">
              <w:rPr>
                <w:color w:val="000000"/>
                <w:sz w:val="20"/>
                <w:szCs w:val="20"/>
              </w:rPr>
              <w:t>was reduced from</w:t>
            </w:r>
            <w:r w:rsidRPr="00C47B38">
              <w:rPr>
                <w:color w:val="000000"/>
                <w:sz w:val="20"/>
                <w:szCs w:val="20"/>
              </w:rPr>
              <w:t xml:space="preserve"> 337</w:t>
            </w:r>
            <w:r w:rsidR="000E60CF" w:rsidRPr="00C47B38">
              <w:rPr>
                <w:color w:val="000000"/>
                <w:sz w:val="20"/>
                <w:szCs w:val="20"/>
              </w:rPr>
              <w:t xml:space="preserve"> to 230</w:t>
            </w:r>
            <w:r w:rsidRPr="00C47B38">
              <w:rPr>
                <w:color w:val="000000"/>
                <w:sz w:val="20"/>
                <w:szCs w:val="20"/>
              </w:rPr>
              <w:t>.</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146A12">
            <w:pPr>
              <w:pStyle w:val="BodyTextFirstIndent"/>
              <w:ind w:firstLine="0"/>
              <w:rPr>
                <w:color w:val="000000"/>
                <w:sz w:val="20"/>
                <w:szCs w:val="20"/>
              </w:rPr>
            </w:pPr>
            <w:r w:rsidRPr="00C47B38">
              <w:rPr>
                <w:b/>
                <w:bCs/>
                <w:sz w:val="20"/>
                <w:szCs w:val="20"/>
              </w:rPr>
              <w:t>6. Information Provided to the PLHCP</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145"/>
        </w:trPr>
        <w:tc>
          <w:tcPr>
            <w:tcW w:w="2891" w:type="dxa"/>
          </w:tcPr>
          <w:p w:rsidR="007422C1" w:rsidRPr="00C47B38" w:rsidRDefault="007422C1" w:rsidP="00146A12">
            <w:pPr>
              <w:widowControl w:val="0"/>
              <w:adjustRightInd w:val="0"/>
              <w:rPr>
                <w:sz w:val="20"/>
                <w:szCs w:val="20"/>
              </w:rPr>
            </w:pPr>
            <w:r w:rsidRPr="00C47B38">
              <w:rPr>
                <w:sz w:val="20"/>
                <w:szCs w:val="20"/>
              </w:rPr>
              <w:lastRenderedPageBreak/>
              <w:t>Provide Information - Supervisor</w:t>
            </w:r>
          </w:p>
          <w:p w:rsidR="007422C1" w:rsidRPr="00C47B38" w:rsidRDefault="007422C1">
            <w:pPr>
              <w:pStyle w:val="BodyTextFirstIndent"/>
              <w:ind w:firstLine="0"/>
              <w:rPr>
                <w:sz w:val="20"/>
                <w:szCs w:val="20"/>
              </w:rPr>
            </w:pPr>
          </w:p>
        </w:tc>
        <w:tc>
          <w:tcPr>
            <w:tcW w:w="1447" w:type="dxa"/>
          </w:tcPr>
          <w:p w:rsidR="007422C1" w:rsidRPr="00C47B38" w:rsidRDefault="007422C1">
            <w:pPr>
              <w:pStyle w:val="BodyTextFirstIndent"/>
              <w:ind w:firstLine="0"/>
              <w:rPr>
                <w:sz w:val="20"/>
                <w:szCs w:val="20"/>
              </w:rPr>
            </w:pPr>
            <w:r w:rsidRPr="00C47B38">
              <w:rPr>
                <w:color w:val="000000"/>
                <w:sz w:val="20"/>
                <w:szCs w:val="20"/>
              </w:rPr>
              <w:t>2,942</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2,</w:t>
            </w:r>
            <w:r w:rsidR="00152265" w:rsidRPr="00C47B38">
              <w:rPr>
                <w:color w:val="000000"/>
                <w:sz w:val="20"/>
                <w:szCs w:val="20"/>
              </w:rPr>
              <w:t>008</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w:t>
            </w:r>
            <w:r w:rsidR="00DB010A" w:rsidRPr="00C47B38">
              <w:rPr>
                <w:color w:val="000000"/>
                <w:sz w:val="20"/>
                <w:szCs w:val="20"/>
              </w:rPr>
              <w:t>934</w:t>
            </w:r>
            <w:r w:rsidR="00121E1E" w:rsidRPr="00C47B38">
              <w:rPr>
                <w:color w:val="000000"/>
                <w:sz w:val="20"/>
                <w:szCs w:val="20"/>
              </w:rPr>
              <w:t xml:space="preserve"> (PC)</w:t>
            </w:r>
          </w:p>
        </w:tc>
        <w:tc>
          <w:tcPr>
            <w:tcW w:w="5366" w:type="dxa"/>
          </w:tcPr>
          <w:p w:rsidR="007422C1" w:rsidRPr="00C47B38" w:rsidRDefault="000A5922">
            <w:pPr>
              <w:pStyle w:val="BodyTextFirstIndent"/>
              <w:ind w:firstLine="0"/>
              <w:rPr>
                <w:color w:val="000000"/>
                <w:sz w:val="20"/>
                <w:szCs w:val="20"/>
              </w:rPr>
            </w:pPr>
            <w:r w:rsidRPr="00C47B38">
              <w:rPr>
                <w:color w:val="000000"/>
                <w:sz w:val="20"/>
                <w:szCs w:val="20"/>
              </w:rPr>
              <w:t xml:space="preserve">The estimated number of employees that supervisors would provide information to the PLHCP on was reduced from 21,397 to 14,607 employees. </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146A12">
            <w:pPr>
              <w:pStyle w:val="BodyTextFirstIndent"/>
              <w:ind w:firstLine="0"/>
              <w:rPr>
                <w:color w:val="000000"/>
                <w:sz w:val="20"/>
                <w:szCs w:val="20"/>
              </w:rPr>
            </w:pPr>
            <w:r w:rsidRPr="00C47B38">
              <w:rPr>
                <w:b/>
                <w:bCs/>
                <w:sz w:val="20"/>
                <w:szCs w:val="20"/>
              </w:rPr>
              <w:t>7. Licensed Physician’s Written Medical Opinion</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145"/>
        </w:trPr>
        <w:tc>
          <w:tcPr>
            <w:tcW w:w="2891" w:type="dxa"/>
          </w:tcPr>
          <w:p w:rsidR="007422C1" w:rsidRPr="00C47B38" w:rsidRDefault="007422C1" w:rsidP="00146A12">
            <w:pPr>
              <w:widowControl w:val="0"/>
              <w:adjustRightInd w:val="0"/>
              <w:rPr>
                <w:sz w:val="20"/>
                <w:szCs w:val="20"/>
              </w:rPr>
            </w:pPr>
            <w:r w:rsidRPr="00C47B38">
              <w:rPr>
                <w:sz w:val="20"/>
                <w:szCs w:val="20"/>
              </w:rPr>
              <w:t>Process Information - Supervisor</w:t>
            </w:r>
          </w:p>
          <w:p w:rsidR="007422C1" w:rsidRPr="00C47B38" w:rsidRDefault="007422C1">
            <w:pPr>
              <w:pStyle w:val="BodyTextFirstIndent"/>
              <w:ind w:firstLine="0"/>
              <w:rPr>
                <w:sz w:val="20"/>
                <w:szCs w:val="20"/>
              </w:rPr>
            </w:pPr>
          </w:p>
        </w:tc>
        <w:tc>
          <w:tcPr>
            <w:tcW w:w="1447" w:type="dxa"/>
          </w:tcPr>
          <w:p w:rsidR="007422C1" w:rsidRPr="00C47B38" w:rsidRDefault="007422C1">
            <w:pPr>
              <w:pStyle w:val="BodyTextFirstIndent"/>
              <w:ind w:firstLine="0"/>
              <w:rPr>
                <w:sz w:val="20"/>
                <w:szCs w:val="20"/>
              </w:rPr>
            </w:pPr>
            <w:r w:rsidRPr="00C47B38">
              <w:rPr>
                <w:color w:val="000000"/>
                <w:sz w:val="20"/>
                <w:szCs w:val="20"/>
              </w:rPr>
              <w:t>941</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643</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-298</w:t>
            </w:r>
            <w:r w:rsidR="00121E1E" w:rsidRPr="00C47B38">
              <w:rPr>
                <w:color w:val="000000"/>
                <w:sz w:val="20"/>
                <w:szCs w:val="20"/>
              </w:rPr>
              <w:t xml:space="preserve"> (PC)</w:t>
            </w:r>
          </w:p>
        </w:tc>
        <w:tc>
          <w:tcPr>
            <w:tcW w:w="5366" w:type="dxa"/>
          </w:tcPr>
          <w:p w:rsidR="007422C1" w:rsidRPr="00C47B38" w:rsidRDefault="00094F03">
            <w:pPr>
              <w:pStyle w:val="BodyTextFirstIndent"/>
              <w:ind w:firstLine="0"/>
              <w:rPr>
                <w:color w:val="000000"/>
                <w:sz w:val="20"/>
                <w:szCs w:val="20"/>
              </w:rPr>
            </w:pPr>
            <w:r w:rsidRPr="00C47B38">
              <w:rPr>
                <w:color w:val="000000"/>
                <w:sz w:val="20"/>
                <w:szCs w:val="20"/>
              </w:rPr>
              <w:t>The estimated number of</w:t>
            </w:r>
            <w:r w:rsidR="00B17838" w:rsidRPr="00C47B38">
              <w:rPr>
                <w:color w:val="000000"/>
                <w:sz w:val="20"/>
                <w:szCs w:val="20"/>
              </w:rPr>
              <w:t xml:space="preserve"> </w:t>
            </w:r>
            <w:r w:rsidRPr="00C47B38">
              <w:rPr>
                <w:color w:val="000000"/>
                <w:sz w:val="20"/>
                <w:szCs w:val="20"/>
              </w:rPr>
              <w:t>written medical opinion</w:t>
            </w:r>
            <w:r w:rsidR="00B17838" w:rsidRPr="00C47B38">
              <w:rPr>
                <w:color w:val="000000"/>
                <w:sz w:val="20"/>
                <w:szCs w:val="20"/>
              </w:rPr>
              <w:t xml:space="preserve"> employers obtain </w:t>
            </w:r>
            <w:r w:rsidRPr="00C47B38">
              <w:rPr>
                <w:color w:val="000000"/>
                <w:sz w:val="20"/>
                <w:szCs w:val="20"/>
              </w:rPr>
              <w:t xml:space="preserve">from the </w:t>
            </w:r>
            <w:r w:rsidR="00B17838" w:rsidRPr="00C47B38">
              <w:rPr>
                <w:color w:val="000000"/>
                <w:sz w:val="20"/>
                <w:szCs w:val="20"/>
              </w:rPr>
              <w:t>licensed physician was reduced from 21,397 to 14,607.</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3B0846">
            <w:pPr>
              <w:widowControl w:val="0"/>
              <w:adjustRightInd w:val="0"/>
              <w:rPr>
                <w:color w:val="000000"/>
                <w:sz w:val="20"/>
                <w:szCs w:val="20"/>
              </w:rPr>
            </w:pPr>
            <w:r w:rsidRPr="00C47B38">
              <w:rPr>
                <w:b/>
                <w:bCs/>
                <w:sz w:val="20"/>
                <w:szCs w:val="20"/>
              </w:rPr>
              <w:t>8. Medical Removal</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145"/>
        </w:trPr>
        <w:tc>
          <w:tcPr>
            <w:tcW w:w="2891" w:type="dxa"/>
          </w:tcPr>
          <w:p w:rsidR="007422C1" w:rsidRPr="00C47B38" w:rsidRDefault="007422C1" w:rsidP="00146A12">
            <w:pPr>
              <w:widowControl w:val="0"/>
              <w:adjustRightInd w:val="0"/>
              <w:rPr>
                <w:sz w:val="20"/>
                <w:szCs w:val="20"/>
              </w:rPr>
            </w:pPr>
            <w:r w:rsidRPr="00C47B38">
              <w:rPr>
                <w:sz w:val="20"/>
                <w:szCs w:val="20"/>
              </w:rPr>
              <w:t>Medical Removal</w:t>
            </w:r>
          </w:p>
          <w:p w:rsidR="007422C1" w:rsidRPr="00C47B38" w:rsidRDefault="007422C1">
            <w:pPr>
              <w:pStyle w:val="BodyTextFirstIndent"/>
              <w:ind w:firstLine="0"/>
              <w:rPr>
                <w:sz w:val="20"/>
                <w:szCs w:val="20"/>
              </w:rPr>
            </w:pPr>
          </w:p>
        </w:tc>
        <w:tc>
          <w:tcPr>
            <w:tcW w:w="1447" w:type="dxa"/>
          </w:tcPr>
          <w:p w:rsidR="007422C1" w:rsidRPr="00C47B38" w:rsidRDefault="007422C1">
            <w:pPr>
              <w:pStyle w:val="BodyTextFirstIndent"/>
              <w:ind w:firstLine="0"/>
              <w:rPr>
                <w:sz w:val="20"/>
                <w:szCs w:val="20"/>
              </w:rPr>
            </w:pPr>
            <w:r w:rsidRPr="00C47B38">
              <w:rPr>
                <w:color w:val="000000"/>
                <w:sz w:val="20"/>
                <w:szCs w:val="20"/>
              </w:rPr>
              <w:t>62</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36</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-26</w:t>
            </w:r>
            <w:r w:rsidR="00121E1E" w:rsidRPr="00C47B38">
              <w:rPr>
                <w:color w:val="000000"/>
                <w:sz w:val="20"/>
                <w:szCs w:val="20"/>
              </w:rPr>
              <w:t xml:space="preserve"> (PC) </w:t>
            </w:r>
          </w:p>
        </w:tc>
        <w:tc>
          <w:tcPr>
            <w:tcW w:w="5366" w:type="dxa"/>
          </w:tcPr>
          <w:p w:rsidR="007422C1" w:rsidRPr="00C47B38" w:rsidRDefault="00B17838">
            <w:pPr>
              <w:pStyle w:val="BodyTextFirstIndent"/>
              <w:ind w:firstLine="0"/>
              <w:rPr>
                <w:color w:val="000000"/>
                <w:sz w:val="20"/>
                <w:szCs w:val="20"/>
              </w:rPr>
            </w:pPr>
            <w:r w:rsidRPr="00C47B38">
              <w:rPr>
                <w:color w:val="000000"/>
                <w:sz w:val="20"/>
                <w:szCs w:val="20"/>
              </w:rPr>
              <w:t xml:space="preserve">The estimated number employees who will request medical removal because of a positive finding of CBD was reduced from 778 to 446.  </w:t>
            </w:r>
          </w:p>
        </w:tc>
      </w:tr>
      <w:tr w:rsidR="007422C1" w:rsidRPr="00C47B38" w:rsidTr="00D1070D">
        <w:trPr>
          <w:trHeight w:val="145"/>
        </w:trPr>
        <w:tc>
          <w:tcPr>
            <w:tcW w:w="7848" w:type="dxa"/>
            <w:gridSpan w:val="4"/>
            <w:shd w:val="clear" w:color="auto" w:fill="D9D9D9" w:themeFill="background1" w:themeFillShade="D9"/>
            <w:vAlign w:val="center"/>
          </w:tcPr>
          <w:p w:rsidR="007422C1" w:rsidRPr="00C47B38" w:rsidRDefault="007422C1" w:rsidP="00146A12">
            <w:pPr>
              <w:pStyle w:val="BodyTextFirstIndent"/>
              <w:ind w:firstLine="0"/>
              <w:rPr>
                <w:color w:val="000000"/>
                <w:sz w:val="20"/>
                <w:szCs w:val="20"/>
              </w:rPr>
            </w:pPr>
            <w:r w:rsidRPr="00C47B38">
              <w:rPr>
                <w:b/>
                <w:bCs/>
                <w:sz w:val="20"/>
                <w:szCs w:val="20"/>
              </w:rPr>
              <w:t>C. Recordkeeping</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145"/>
        </w:trPr>
        <w:tc>
          <w:tcPr>
            <w:tcW w:w="7848" w:type="dxa"/>
            <w:gridSpan w:val="4"/>
            <w:shd w:val="clear" w:color="auto" w:fill="D9D9D9" w:themeFill="background1" w:themeFillShade="D9"/>
            <w:vAlign w:val="center"/>
          </w:tcPr>
          <w:p w:rsidR="007422C1" w:rsidRPr="00C47B38" w:rsidRDefault="007422C1" w:rsidP="00146A12">
            <w:pPr>
              <w:pStyle w:val="BodyTextFirstIndent"/>
              <w:ind w:firstLine="0"/>
              <w:rPr>
                <w:color w:val="000000"/>
                <w:sz w:val="20"/>
                <w:szCs w:val="20"/>
              </w:rPr>
            </w:pPr>
            <w:r w:rsidRPr="00C47B38">
              <w:rPr>
                <w:b/>
                <w:bCs/>
                <w:sz w:val="20"/>
                <w:szCs w:val="20"/>
              </w:rPr>
              <w:t>1. Exposure Monitoring</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Initial</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3,434</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2,607</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-827</w:t>
            </w:r>
            <w:r w:rsidR="00121E1E" w:rsidRPr="00C47B38">
              <w:rPr>
                <w:color w:val="000000"/>
                <w:sz w:val="20"/>
                <w:szCs w:val="20"/>
              </w:rPr>
              <w:t xml:space="preserve"> (PC)</w:t>
            </w:r>
          </w:p>
        </w:tc>
        <w:tc>
          <w:tcPr>
            <w:tcW w:w="5366" w:type="dxa"/>
          </w:tcPr>
          <w:p w:rsidR="007422C1" w:rsidRPr="00C47B38" w:rsidRDefault="00B17838">
            <w:pPr>
              <w:pStyle w:val="BodyTextFirstIndent"/>
              <w:ind w:firstLine="0"/>
              <w:rPr>
                <w:color w:val="000000"/>
                <w:sz w:val="20"/>
                <w:szCs w:val="20"/>
              </w:rPr>
            </w:pPr>
            <w:r w:rsidRPr="00C47B38">
              <w:rPr>
                <w:color w:val="000000"/>
                <w:sz w:val="20"/>
                <w:szCs w:val="20"/>
              </w:rPr>
              <w:t xml:space="preserve">The estimated number </w:t>
            </w:r>
            <w:r w:rsidR="009760E7" w:rsidRPr="00C47B38">
              <w:rPr>
                <w:color w:val="000000"/>
                <w:sz w:val="20"/>
                <w:szCs w:val="20"/>
              </w:rPr>
              <w:t xml:space="preserve">of initial monitoring records </w:t>
            </w:r>
            <w:r w:rsidRPr="00C47B38">
              <w:rPr>
                <w:color w:val="000000"/>
                <w:sz w:val="20"/>
                <w:szCs w:val="20"/>
              </w:rPr>
              <w:t>was reduced from 14,309 to 10,</w:t>
            </w:r>
            <w:r w:rsidR="00DB010A" w:rsidRPr="00C47B38">
              <w:rPr>
                <w:color w:val="000000"/>
                <w:sz w:val="20"/>
                <w:szCs w:val="20"/>
              </w:rPr>
              <w:t>864</w:t>
            </w:r>
            <w:r w:rsidRPr="00C47B38">
              <w:rPr>
                <w:color w:val="000000"/>
                <w:sz w:val="20"/>
                <w:szCs w:val="20"/>
              </w:rPr>
              <w:t>.</w:t>
            </w: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Periodic</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2,080</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1,190</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-890</w:t>
            </w:r>
            <w:r w:rsidR="00121E1E" w:rsidRPr="00C47B38">
              <w:rPr>
                <w:color w:val="000000"/>
                <w:sz w:val="20"/>
                <w:szCs w:val="20"/>
              </w:rPr>
              <w:t xml:space="preserve"> (PC)</w:t>
            </w:r>
          </w:p>
        </w:tc>
        <w:tc>
          <w:tcPr>
            <w:tcW w:w="5366" w:type="dxa"/>
          </w:tcPr>
          <w:p w:rsidR="007422C1" w:rsidRPr="00C47B38" w:rsidRDefault="00B17838">
            <w:pPr>
              <w:pStyle w:val="BodyTextFirstIndent"/>
              <w:ind w:firstLine="0"/>
              <w:rPr>
                <w:color w:val="000000"/>
                <w:sz w:val="20"/>
                <w:szCs w:val="20"/>
              </w:rPr>
            </w:pPr>
            <w:r w:rsidRPr="00C47B38">
              <w:rPr>
                <w:color w:val="000000"/>
                <w:sz w:val="20"/>
                <w:szCs w:val="20"/>
              </w:rPr>
              <w:t xml:space="preserve">The estimated number of </w:t>
            </w:r>
            <w:r w:rsidR="009760E7" w:rsidRPr="00C47B38">
              <w:rPr>
                <w:color w:val="000000"/>
                <w:sz w:val="20"/>
                <w:szCs w:val="20"/>
              </w:rPr>
              <w:t xml:space="preserve">periodic monitoring records </w:t>
            </w:r>
            <w:r w:rsidRPr="00C47B38">
              <w:rPr>
                <w:color w:val="000000"/>
                <w:sz w:val="20"/>
                <w:szCs w:val="20"/>
              </w:rPr>
              <w:t>was reduced from 8,667 to 4,960.</w:t>
            </w: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Additional</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343</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261</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-82</w:t>
            </w:r>
            <w:r w:rsidR="00121E1E" w:rsidRPr="00C47B38">
              <w:rPr>
                <w:color w:val="000000"/>
                <w:sz w:val="20"/>
                <w:szCs w:val="20"/>
              </w:rPr>
              <w:t xml:space="preserve"> (PC)</w:t>
            </w:r>
          </w:p>
        </w:tc>
        <w:tc>
          <w:tcPr>
            <w:tcW w:w="5366" w:type="dxa"/>
          </w:tcPr>
          <w:p w:rsidR="007422C1" w:rsidRPr="00C47B38" w:rsidRDefault="009760E7" w:rsidP="00F30D92">
            <w:pPr>
              <w:pStyle w:val="BodyTextFirstIndent"/>
              <w:ind w:firstLine="0"/>
              <w:rPr>
                <w:color w:val="000000"/>
                <w:sz w:val="20"/>
                <w:szCs w:val="20"/>
              </w:rPr>
            </w:pPr>
            <w:r w:rsidRPr="00C47B38">
              <w:rPr>
                <w:color w:val="000000"/>
                <w:sz w:val="20"/>
                <w:szCs w:val="20"/>
              </w:rPr>
              <w:t>The number of additional monitoring samples was reduced from 1,431 to 1,</w:t>
            </w:r>
            <w:r w:rsidR="00DB010A" w:rsidRPr="00C47B38">
              <w:rPr>
                <w:color w:val="000000"/>
                <w:sz w:val="20"/>
                <w:szCs w:val="20"/>
              </w:rPr>
              <w:t>087</w:t>
            </w:r>
            <w:r w:rsidRPr="00C47B38">
              <w:rPr>
                <w:color w:val="000000"/>
                <w:sz w:val="20"/>
                <w:szCs w:val="20"/>
              </w:rPr>
              <w:t>.</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3B0846">
            <w:pPr>
              <w:widowControl w:val="0"/>
              <w:adjustRightInd w:val="0"/>
              <w:rPr>
                <w:color w:val="000000"/>
                <w:sz w:val="20"/>
                <w:szCs w:val="20"/>
              </w:rPr>
            </w:pPr>
            <w:r w:rsidRPr="00C47B38">
              <w:rPr>
                <w:b/>
                <w:bCs/>
                <w:sz w:val="20"/>
                <w:szCs w:val="20"/>
              </w:rPr>
              <w:t>2. Medical Surveillance</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Medical Surveillance - HR Manager</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5,459</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3,726</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-1,733</w:t>
            </w:r>
            <w:r w:rsidR="00121E1E" w:rsidRPr="00C47B38">
              <w:rPr>
                <w:color w:val="000000"/>
                <w:sz w:val="20"/>
                <w:szCs w:val="20"/>
              </w:rPr>
              <w:t xml:space="preserve"> (PC)</w:t>
            </w:r>
          </w:p>
        </w:tc>
        <w:tc>
          <w:tcPr>
            <w:tcW w:w="5366" w:type="dxa"/>
          </w:tcPr>
          <w:p w:rsidR="007422C1" w:rsidRPr="00C47B38" w:rsidRDefault="009760E7">
            <w:pPr>
              <w:pStyle w:val="BodyTextFirstIndent"/>
              <w:ind w:firstLine="0"/>
              <w:rPr>
                <w:color w:val="000000"/>
                <w:sz w:val="20"/>
                <w:szCs w:val="20"/>
              </w:rPr>
            </w:pPr>
            <w:r w:rsidRPr="00C47B38">
              <w:rPr>
                <w:color w:val="000000"/>
                <w:sz w:val="20"/>
                <w:szCs w:val="20"/>
              </w:rPr>
              <w:t>The number medical records employer (human resource manager) must make and maintain for each employee was reduced from 22,745 to 15,527.</w:t>
            </w: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Medical Surveillance - Clerical</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1,747</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1,192</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-555</w:t>
            </w:r>
            <w:r w:rsidR="00121E1E" w:rsidRPr="00C47B38">
              <w:rPr>
                <w:color w:val="000000"/>
                <w:sz w:val="20"/>
                <w:szCs w:val="20"/>
              </w:rPr>
              <w:t xml:space="preserve"> (PC)</w:t>
            </w:r>
          </w:p>
        </w:tc>
        <w:tc>
          <w:tcPr>
            <w:tcW w:w="5366" w:type="dxa"/>
          </w:tcPr>
          <w:p w:rsidR="007422C1" w:rsidRPr="00C47B38" w:rsidRDefault="009760E7" w:rsidP="00F30D92">
            <w:pPr>
              <w:pStyle w:val="BodyTextFirstIndent"/>
              <w:ind w:firstLine="0"/>
              <w:rPr>
                <w:color w:val="000000"/>
                <w:sz w:val="20"/>
                <w:szCs w:val="20"/>
              </w:rPr>
            </w:pPr>
            <w:r w:rsidRPr="00C47B38">
              <w:rPr>
                <w:color w:val="000000"/>
                <w:sz w:val="20"/>
                <w:szCs w:val="20"/>
              </w:rPr>
              <w:t>The number medical records employer (clerical)must make and maintain for each employee was reduced from 22,745 to 15,527</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3B0846">
            <w:pPr>
              <w:widowControl w:val="0"/>
              <w:adjustRightInd w:val="0"/>
              <w:rPr>
                <w:color w:val="000000"/>
                <w:sz w:val="20"/>
                <w:szCs w:val="20"/>
              </w:rPr>
            </w:pPr>
            <w:r w:rsidRPr="00C47B38">
              <w:rPr>
                <w:b/>
                <w:bCs/>
                <w:sz w:val="20"/>
                <w:szCs w:val="20"/>
              </w:rPr>
              <w:lastRenderedPageBreak/>
              <w:t>3. Training</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145"/>
        </w:trPr>
        <w:tc>
          <w:tcPr>
            <w:tcW w:w="2891" w:type="dxa"/>
          </w:tcPr>
          <w:p w:rsidR="007422C1" w:rsidRPr="00C47B38" w:rsidRDefault="007422C1" w:rsidP="00146A12">
            <w:pPr>
              <w:pStyle w:val="BodyTextFirstIndent"/>
              <w:ind w:firstLine="0"/>
              <w:rPr>
                <w:sz w:val="20"/>
                <w:szCs w:val="20"/>
              </w:rPr>
            </w:pPr>
            <w:r w:rsidRPr="00C47B38">
              <w:rPr>
                <w:sz w:val="20"/>
                <w:szCs w:val="20"/>
              </w:rPr>
              <w:t>Training</w:t>
            </w:r>
          </w:p>
        </w:tc>
        <w:tc>
          <w:tcPr>
            <w:tcW w:w="1447" w:type="dxa"/>
          </w:tcPr>
          <w:p w:rsidR="007422C1" w:rsidRPr="00C47B38" w:rsidRDefault="007422C1" w:rsidP="00146A12">
            <w:pPr>
              <w:pStyle w:val="BodyTextFirstIndent"/>
              <w:ind w:firstLine="0"/>
              <w:rPr>
                <w:sz w:val="20"/>
                <w:szCs w:val="20"/>
              </w:rPr>
            </w:pPr>
            <w:r w:rsidRPr="00C47B38">
              <w:rPr>
                <w:color w:val="000000"/>
                <w:sz w:val="20"/>
                <w:szCs w:val="20"/>
              </w:rPr>
              <w:t>2,505</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1,982</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w:t>
            </w:r>
            <w:r w:rsidR="00DB010A" w:rsidRPr="00C47B38">
              <w:rPr>
                <w:color w:val="000000"/>
                <w:sz w:val="20"/>
                <w:szCs w:val="20"/>
              </w:rPr>
              <w:t>523</w:t>
            </w:r>
            <w:r w:rsidR="00121E1E" w:rsidRPr="00C47B38">
              <w:rPr>
                <w:color w:val="000000"/>
                <w:sz w:val="20"/>
                <w:szCs w:val="20"/>
              </w:rPr>
              <w:t xml:space="preserve"> (PC)</w:t>
            </w:r>
          </w:p>
        </w:tc>
        <w:tc>
          <w:tcPr>
            <w:tcW w:w="5366" w:type="dxa"/>
          </w:tcPr>
          <w:p w:rsidR="007422C1" w:rsidRPr="00C47B38" w:rsidRDefault="009760E7">
            <w:pPr>
              <w:pStyle w:val="BodyTextFirstIndent"/>
              <w:ind w:firstLine="0"/>
              <w:rPr>
                <w:color w:val="000000"/>
                <w:sz w:val="20"/>
                <w:szCs w:val="20"/>
              </w:rPr>
            </w:pPr>
            <w:r w:rsidRPr="00C47B38">
              <w:rPr>
                <w:color w:val="000000"/>
                <w:sz w:val="20"/>
                <w:szCs w:val="20"/>
              </w:rPr>
              <w:t>The number of employee training records was reduced from 54,943 to 43,457.</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3B0846">
            <w:pPr>
              <w:widowControl w:val="0"/>
              <w:adjustRightInd w:val="0"/>
              <w:rPr>
                <w:color w:val="000000"/>
                <w:sz w:val="20"/>
                <w:szCs w:val="20"/>
              </w:rPr>
            </w:pPr>
            <w:r w:rsidRPr="00C47B38">
              <w:rPr>
                <w:b/>
                <w:bCs/>
                <w:sz w:val="20"/>
                <w:szCs w:val="20"/>
              </w:rPr>
              <w:t>4. Respirator Fit Testing Records</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145"/>
        </w:trPr>
        <w:tc>
          <w:tcPr>
            <w:tcW w:w="2891" w:type="dxa"/>
          </w:tcPr>
          <w:p w:rsidR="007422C1" w:rsidRPr="00C47B38" w:rsidRDefault="007422C1" w:rsidP="00146A12">
            <w:pPr>
              <w:widowControl w:val="0"/>
              <w:adjustRightInd w:val="0"/>
              <w:rPr>
                <w:sz w:val="20"/>
                <w:szCs w:val="20"/>
              </w:rPr>
            </w:pPr>
            <w:r w:rsidRPr="00C47B38">
              <w:rPr>
                <w:sz w:val="20"/>
                <w:szCs w:val="20"/>
              </w:rPr>
              <w:t>Respirator Fit Testing</w:t>
            </w:r>
          </w:p>
          <w:p w:rsidR="007422C1" w:rsidRPr="00C47B38" w:rsidRDefault="007422C1">
            <w:pPr>
              <w:pStyle w:val="BodyTextFirstIndent"/>
              <w:ind w:firstLine="0"/>
              <w:rPr>
                <w:sz w:val="20"/>
                <w:szCs w:val="20"/>
              </w:rPr>
            </w:pPr>
          </w:p>
        </w:tc>
        <w:tc>
          <w:tcPr>
            <w:tcW w:w="1447" w:type="dxa"/>
          </w:tcPr>
          <w:p w:rsidR="007422C1" w:rsidRPr="00C47B38" w:rsidRDefault="007422C1">
            <w:pPr>
              <w:pStyle w:val="BodyTextFirstIndent"/>
              <w:ind w:firstLine="0"/>
              <w:rPr>
                <w:sz w:val="20"/>
                <w:szCs w:val="20"/>
              </w:rPr>
            </w:pPr>
            <w:r w:rsidRPr="00C47B38">
              <w:rPr>
                <w:color w:val="000000"/>
                <w:sz w:val="20"/>
                <w:szCs w:val="20"/>
              </w:rPr>
              <w:t>52</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52</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0</w:t>
            </w:r>
          </w:p>
        </w:tc>
        <w:tc>
          <w:tcPr>
            <w:tcW w:w="5366" w:type="dxa"/>
          </w:tcPr>
          <w:p w:rsidR="007422C1" w:rsidRPr="00C47B38" w:rsidRDefault="009760E7">
            <w:pPr>
              <w:pStyle w:val="BodyTextFirstIndent"/>
              <w:ind w:firstLine="0"/>
              <w:rPr>
                <w:color w:val="000000"/>
                <w:sz w:val="20"/>
                <w:szCs w:val="20"/>
              </w:rPr>
            </w:pPr>
            <w:r w:rsidRPr="00C47B38">
              <w:rPr>
                <w:color w:val="000000"/>
                <w:sz w:val="20"/>
                <w:szCs w:val="20"/>
              </w:rPr>
              <w:t>No change.</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3B0846">
            <w:pPr>
              <w:widowControl w:val="0"/>
              <w:adjustRightInd w:val="0"/>
              <w:rPr>
                <w:color w:val="000000"/>
                <w:sz w:val="20"/>
                <w:szCs w:val="20"/>
              </w:rPr>
            </w:pPr>
            <w:r w:rsidRPr="00C47B38">
              <w:rPr>
                <w:b/>
                <w:bCs/>
                <w:sz w:val="20"/>
                <w:szCs w:val="20"/>
              </w:rPr>
              <w:t>D. Employee Access to Exposure Monitoring and Medical Records</w:t>
            </w:r>
          </w:p>
        </w:tc>
        <w:tc>
          <w:tcPr>
            <w:tcW w:w="5366" w:type="dxa"/>
            <w:shd w:val="clear" w:color="auto" w:fill="D9D9D9" w:themeFill="background1" w:themeFillShade="D9"/>
          </w:tcPr>
          <w:p w:rsidR="007422C1" w:rsidRPr="00C47B38" w:rsidRDefault="007422C1" w:rsidP="003B0846">
            <w:pPr>
              <w:widowControl w:val="0"/>
              <w:adjustRightInd w:val="0"/>
              <w:rPr>
                <w:b/>
                <w:bCs/>
                <w:sz w:val="20"/>
                <w:szCs w:val="20"/>
              </w:rPr>
            </w:pP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Written Exposure Control Plan</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153</w:t>
            </w:r>
          </w:p>
        </w:tc>
        <w:tc>
          <w:tcPr>
            <w:tcW w:w="1620" w:type="dxa"/>
            <w:vAlign w:val="center"/>
          </w:tcPr>
          <w:p w:rsidR="007422C1" w:rsidRPr="00C47B38" w:rsidRDefault="007422C1">
            <w:pPr>
              <w:pStyle w:val="BodyTextFirstIndent"/>
              <w:ind w:firstLine="0"/>
              <w:rPr>
                <w:sz w:val="20"/>
                <w:szCs w:val="20"/>
              </w:rPr>
            </w:pPr>
            <w:r w:rsidRPr="00C47B38">
              <w:rPr>
                <w:color w:val="000000"/>
                <w:sz w:val="20"/>
                <w:szCs w:val="20"/>
              </w:rPr>
              <w:t>125</w:t>
            </w:r>
          </w:p>
        </w:tc>
        <w:tc>
          <w:tcPr>
            <w:tcW w:w="1890" w:type="dxa"/>
            <w:vAlign w:val="bottom"/>
          </w:tcPr>
          <w:p w:rsidR="007422C1" w:rsidRPr="00C47B38" w:rsidRDefault="007422C1">
            <w:pPr>
              <w:pStyle w:val="BodyTextFirstIndent"/>
              <w:ind w:firstLine="0"/>
              <w:rPr>
                <w:sz w:val="20"/>
                <w:szCs w:val="20"/>
              </w:rPr>
            </w:pPr>
            <w:r w:rsidRPr="00C47B38">
              <w:rPr>
                <w:color w:val="000000"/>
                <w:sz w:val="20"/>
                <w:szCs w:val="20"/>
              </w:rPr>
              <w:t>-28</w:t>
            </w:r>
            <w:r w:rsidR="00121E1E" w:rsidRPr="00C47B38">
              <w:rPr>
                <w:color w:val="000000"/>
                <w:sz w:val="20"/>
                <w:szCs w:val="20"/>
              </w:rPr>
              <w:t xml:space="preserve"> (PC)</w:t>
            </w:r>
          </w:p>
        </w:tc>
        <w:tc>
          <w:tcPr>
            <w:tcW w:w="5366" w:type="dxa"/>
          </w:tcPr>
          <w:p w:rsidR="007422C1" w:rsidRPr="00C47B38" w:rsidRDefault="00B85C6A">
            <w:pPr>
              <w:pStyle w:val="BodyTextFirstIndent"/>
              <w:ind w:firstLine="0"/>
              <w:rPr>
                <w:color w:val="000000"/>
                <w:sz w:val="20"/>
                <w:szCs w:val="20"/>
              </w:rPr>
            </w:pPr>
            <w:r w:rsidRPr="00C47B38">
              <w:rPr>
                <w:color w:val="000000"/>
                <w:sz w:val="20"/>
                <w:szCs w:val="20"/>
              </w:rPr>
              <w:t>The estimated number of employees requesting access to the Written exposure control  plan was reduced from 3,087 to 2,513 requests</w:t>
            </w: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Access to Records</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247</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201</w:t>
            </w:r>
          </w:p>
        </w:tc>
        <w:tc>
          <w:tcPr>
            <w:tcW w:w="1890" w:type="dxa"/>
            <w:vAlign w:val="bottom"/>
          </w:tcPr>
          <w:p w:rsidR="007422C1" w:rsidRPr="00C47B38" w:rsidRDefault="007422C1" w:rsidP="00F30D92">
            <w:pPr>
              <w:pStyle w:val="BodyTextFirstIndent"/>
              <w:ind w:firstLine="0"/>
              <w:rPr>
                <w:sz w:val="20"/>
                <w:szCs w:val="20"/>
              </w:rPr>
            </w:pPr>
            <w:r w:rsidRPr="00C47B38">
              <w:rPr>
                <w:color w:val="000000"/>
                <w:sz w:val="20"/>
                <w:szCs w:val="20"/>
              </w:rPr>
              <w:t>-46</w:t>
            </w:r>
            <w:r w:rsidR="00121E1E" w:rsidRPr="00C47B38">
              <w:rPr>
                <w:color w:val="000000"/>
                <w:sz w:val="20"/>
                <w:szCs w:val="20"/>
              </w:rPr>
              <w:t xml:space="preserve"> (PC)</w:t>
            </w:r>
          </w:p>
        </w:tc>
        <w:tc>
          <w:tcPr>
            <w:tcW w:w="5366" w:type="dxa"/>
          </w:tcPr>
          <w:p w:rsidR="007422C1" w:rsidRPr="00C47B38" w:rsidRDefault="00B85C6A">
            <w:pPr>
              <w:pStyle w:val="BodyTextFirstIndent"/>
              <w:ind w:firstLine="0"/>
              <w:rPr>
                <w:color w:val="000000"/>
                <w:sz w:val="20"/>
                <w:szCs w:val="20"/>
              </w:rPr>
            </w:pPr>
            <w:r w:rsidRPr="00C47B38">
              <w:rPr>
                <w:color w:val="000000"/>
                <w:sz w:val="20"/>
                <w:szCs w:val="20"/>
              </w:rPr>
              <w:t>The estimated number of employees requesting access to their exposure and/ or medical records was reduced from 3,087 to 2,513 requests.</w:t>
            </w:r>
          </w:p>
        </w:tc>
      </w:tr>
      <w:tr w:rsidR="007422C1" w:rsidRPr="00C47B38" w:rsidTr="00D1070D">
        <w:trPr>
          <w:trHeight w:val="145"/>
        </w:trPr>
        <w:tc>
          <w:tcPr>
            <w:tcW w:w="7848" w:type="dxa"/>
            <w:gridSpan w:val="4"/>
            <w:shd w:val="clear" w:color="auto" w:fill="D9D9D9" w:themeFill="background1" w:themeFillShade="D9"/>
          </w:tcPr>
          <w:p w:rsidR="007422C1" w:rsidRPr="00C47B38" w:rsidRDefault="007422C1" w:rsidP="00146A12">
            <w:pPr>
              <w:pStyle w:val="BodyTextFirstIndent"/>
              <w:ind w:firstLine="0"/>
              <w:rPr>
                <w:color w:val="000000"/>
                <w:sz w:val="20"/>
                <w:szCs w:val="20"/>
              </w:rPr>
            </w:pPr>
            <w:r w:rsidRPr="00C47B38">
              <w:rPr>
                <w:b/>
                <w:bCs/>
                <w:sz w:val="20"/>
                <w:szCs w:val="20"/>
              </w:rPr>
              <w:t>E. Rule Familiarization</w:t>
            </w:r>
          </w:p>
        </w:tc>
        <w:tc>
          <w:tcPr>
            <w:tcW w:w="5366" w:type="dxa"/>
            <w:shd w:val="clear" w:color="auto" w:fill="D9D9D9" w:themeFill="background1" w:themeFillShade="D9"/>
          </w:tcPr>
          <w:p w:rsidR="007422C1" w:rsidRPr="00C47B38" w:rsidRDefault="007422C1" w:rsidP="00146A12">
            <w:pPr>
              <w:pStyle w:val="BodyTextFirstIndent"/>
              <w:ind w:firstLine="0"/>
              <w:rPr>
                <w:b/>
                <w:bCs/>
                <w:sz w:val="20"/>
                <w:szCs w:val="20"/>
              </w:rPr>
            </w:pP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Small Establishments (&lt; 20 Employees)</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22,576</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240</w:t>
            </w:r>
          </w:p>
        </w:tc>
        <w:tc>
          <w:tcPr>
            <w:tcW w:w="1890" w:type="dxa"/>
            <w:vAlign w:val="bottom"/>
          </w:tcPr>
          <w:p w:rsidR="00FF5B89" w:rsidRPr="00C47B38" w:rsidRDefault="007422C1" w:rsidP="00FF5B89">
            <w:pPr>
              <w:pStyle w:val="BodyTextFirstIndent"/>
              <w:ind w:firstLine="0"/>
              <w:rPr>
                <w:color w:val="000000"/>
                <w:sz w:val="20"/>
                <w:szCs w:val="20"/>
              </w:rPr>
            </w:pPr>
            <w:r w:rsidRPr="00C47B38">
              <w:rPr>
                <w:color w:val="000000"/>
                <w:sz w:val="20"/>
                <w:szCs w:val="20"/>
              </w:rPr>
              <w:t>-22,</w:t>
            </w:r>
            <w:r w:rsidR="00FF5B89" w:rsidRPr="00C47B38">
              <w:rPr>
                <w:color w:val="000000"/>
                <w:sz w:val="20"/>
                <w:szCs w:val="20"/>
              </w:rPr>
              <w:t>57</w:t>
            </w:r>
            <w:r w:rsidRPr="00C47B38">
              <w:rPr>
                <w:color w:val="000000"/>
                <w:sz w:val="20"/>
                <w:szCs w:val="20"/>
              </w:rPr>
              <w:t>6</w:t>
            </w:r>
            <w:r w:rsidR="00121E1E" w:rsidRPr="00C47B38">
              <w:rPr>
                <w:color w:val="000000"/>
                <w:sz w:val="20"/>
                <w:szCs w:val="20"/>
              </w:rPr>
              <w:t xml:space="preserve"> (Adj.)</w:t>
            </w:r>
          </w:p>
          <w:p w:rsidR="007422C1" w:rsidRPr="00C47B38" w:rsidRDefault="00FF5B89" w:rsidP="00FF5B89">
            <w:pPr>
              <w:pStyle w:val="BodyTextFirstIndent"/>
              <w:ind w:firstLine="0"/>
              <w:rPr>
                <w:color w:val="000000"/>
                <w:sz w:val="20"/>
                <w:szCs w:val="20"/>
              </w:rPr>
            </w:pPr>
            <w:r w:rsidRPr="00C47B38">
              <w:rPr>
                <w:color w:val="000000"/>
                <w:sz w:val="20"/>
                <w:szCs w:val="20"/>
              </w:rPr>
              <w:t>240</w:t>
            </w:r>
            <w:r w:rsidR="00121E1E" w:rsidRPr="00C47B38">
              <w:rPr>
                <w:color w:val="000000"/>
                <w:sz w:val="20"/>
                <w:szCs w:val="20"/>
              </w:rPr>
              <w:t xml:space="preserve"> (PC)</w:t>
            </w:r>
          </w:p>
        </w:tc>
        <w:tc>
          <w:tcPr>
            <w:tcW w:w="5366" w:type="dxa"/>
          </w:tcPr>
          <w:p w:rsidR="00FF5B89" w:rsidRPr="00D1070D" w:rsidRDefault="00FF5B89" w:rsidP="00FF5B89">
            <w:pPr>
              <w:rPr>
                <w:sz w:val="20"/>
                <w:szCs w:val="20"/>
              </w:rPr>
            </w:pPr>
            <w:r w:rsidRPr="00C47B38">
              <w:rPr>
                <w:sz w:val="20"/>
                <w:szCs w:val="20"/>
              </w:rPr>
              <w:t>OSHA removed the</w:t>
            </w:r>
            <w:r w:rsidR="0017603E" w:rsidRPr="00C47B38">
              <w:rPr>
                <w:sz w:val="20"/>
                <w:szCs w:val="20"/>
              </w:rPr>
              <w:t xml:space="preserve"> burden</w:t>
            </w:r>
            <w:r w:rsidRPr="00C47B38">
              <w:rPr>
                <w:sz w:val="20"/>
                <w:szCs w:val="20"/>
              </w:rPr>
              <w:t xml:space="preserve"> hours for all small e</w:t>
            </w:r>
            <w:r w:rsidR="0017603E" w:rsidRPr="00C47B38">
              <w:rPr>
                <w:sz w:val="20"/>
                <w:szCs w:val="20"/>
              </w:rPr>
              <w:t>stablishment</w:t>
            </w:r>
            <w:r w:rsidRPr="00C47B38">
              <w:rPr>
                <w:sz w:val="20"/>
                <w:szCs w:val="20"/>
              </w:rPr>
              <w:t>s to become familiar with the final rule, -22,576 hours.  OSHA added burden hours for construction and maritime e</w:t>
            </w:r>
            <w:r w:rsidR="0017603E" w:rsidRPr="00C47B38">
              <w:rPr>
                <w:sz w:val="20"/>
                <w:szCs w:val="20"/>
              </w:rPr>
              <w:t>stablishments</w:t>
            </w:r>
            <w:r w:rsidRPr="00C47B38">
              <w:rPr>
                <w:sz w:val="20"/>
                <w:szCs w:val="20"/>
              </w:rPr>
              <w:t xml:space="preserve"> to familiari</w:t>
            </w:r>
            <w:r w:rsidR="0017603E" w:rsidRPr="00C47B38">
              <w:rPr>
                <w:sz w:val="20"/>
                <w:szCs w:val="20"/>
              </w:rPr>
              <w:t>ze themselves with the NPRM, +24</w:t>
            </w:r>
            <w:r w:rsidRPr="00C47B38">
              <w:rPr>
                <w:sz w:val="20"/>
                <w:szCs w:val="20"/>
              </w:rPr>
              <w:t xml:space="preserve">0 hours program </w:t>
            </w:r>
            <w:r w:rsidR="0017603E" w:rsidRPr="00C47B38">
              <w:rPr>
                <w:sz w:val="20"/>
                <w:szCs w:val="20"/>
              </w:rPr>
              <w:t>change, and reduce</w:t>
            </w:r>
            <w:r w:rsidR="005F0731" w:rsidRPr="00C47B38">
              <w:rPr>
                <w:sz w:val="20"/>
                <w:szCs w:val="20"/>
              </w:rPr>
              <w:t>d the</w:t>
            </w:r>
            <w:r w:rsidR="0017603E" w:rsidRPr="00C47B38">
              <w:rPr>
                <w:sz w:val="20"/>
                <w:szCs w:val="20"/>
              </w:rPr>
              <w:t xml:space="preserve"> familiarization time from 4</w:t>
            </w:r>
            <w:r w:rsidR="005F0731" w:rsidRPr="00C47B38">
              <w:rPr>
                <w:sz w:val="20"/>
                <w:szCs w:val="20"/>
              </w:rPr>
              <w:t xml:space="preserve"> hours</w:t>
            </w:r>
            <w:r w:rsidR="0017603E" w:rsidRPr="00C47B38">
              <w:rPr>
                <w:sz w:val="20"/>
                <w:szCs w:val="20"/>
              </w:rPr>
              <w:t xml:space="preserve"> to 6 minutes.</w:t>
            </w:r>
          </w:p>
          <w:p w:rsidR="00FF5B89" w:rsidRPr="00C47B38" w:rsidRDefault="00FF5B89" w:rsidP="00236FE0">
            <w:pPr>
              <w:pStyle w:val="BodyTextFirstIndent"/>
              <w:ind w:firstLine="0"/>
              <w:rPr>
                <w:color w:val="000000"/>
                <w:sz w:val="20"/>
                <w:szCs w:val="20"/>
              </w:rPr>
            </w:pPr>
          </w:p>
        </w:tc>
      </w:tr>
      <w:tr w:rsidR="007422C1" w:rsidRPr="00C47B38" w:rsidTr="00D1070D">
        <w:trPr>
          <w:trHeight w:val="145"/>
        </w:trPr>
        <w:tc>
          <w:tcPr>
            <w:tcW w:w="2891" w:type="dxa"/>
            <w:vAlign w:val="center"/>
          </w:tcPr>
          <w:p w:rsidR="007422C1" w:rsidRPr="00C47B38" w:rsidRDefault="007422C1" w:rsidP="00146A12">
            <w:pPr>
              <w:pStyle w:val="BodyTextFirstIndent"/>
              <w:ind w:firstLine="0"/>
              <w:rPr>
                <w:sz w:val="20"/>
                <w:szCs w:val="20"/>
              </w:rPr>
            </w:pPr>
            <w:r w:rsidRPr="00C47B38">
              <w:rPr>
                <w:sz w:val="20"/>
                <w:szCs w:val="20"/>
              </w:rPr>
              <w:t>Medium Establishments (20 - 499 Employees)</w:t>
            </w:r>
          </w:p>
        </w:tc>
        <w:tc>
          <w:tcPr>
            <w:tcW w:w="1447" w:type="dxa"/>
            <w:vAlign w:val="center"/>
          </w:tcPr>
          <w:p w:rsidR="007422C1" w:rsidRPr="00C47B38" w:rsidRDefault="007422C1" w:rsidP="00146A12">
            <w:pPr>
              <w:pStyle w:val="BodyTextFirstIndent"/>
              <w:ind w:firstLine="0"/>
              <w:rPr>
                <w:sz w:val="20"/>
                <w:szCs w:val="20"/>
              </w:rPr>
            </w:pPr>
            <w:r w:rsidRPr="00C47B38">
              <w:rPr>
                <w:color w:val="000000"/>
                <w:sz w:val="20"/>
                <w:szCs w:val="20"/>
              </w:rPr>
              <w:t>12,952</w:t>
            </w:r>
          </w:p>
        </w:tc>
        <w:tc>
          <w:tcPr>
            <w:tcW w:w="1620" w:type="dxa"/>
            <w:vAlign w:val="center"/>
          </w:tcPr>
          <w:p w:rsidR="007422C1" w:rsidRPr="00C47B38" w:rsidRDefault="007422C1" w:rsidP="00146A12">
            <w:pPr>
              <w:pStyle w:val="BodyTextFirstIndent"/>
              <w:ind w:firstLine="0"/>
              <w:rPr>
                <w:sz w:val="20"/>
                <w:szCs w:val="20"/>
              </w:rPr>
            </w:pPr>
            <w:r w:rsidRPr="00C47B38">
              <w:rPr>
                <w:color w:val="000000"/>
                <w:sz w:val="20"/>
                <w:szCs w:val="20"/>
              </w:rPr>
              <w:t>37</w:t>
            </w:r>
          </w:p>
        </w:tc>
        <w:tc>
          <w:tcPr>
            <w:tcW w:w="1890" w:type="dxa"/>
            <w:vAlign w:val="bottom"/>
          </w:tcPr>
          <w:p w:rsidR="007422C1" w:rsidRPr="00C47B38" w:rsidRDefault="007422C1" w:rsidP="00236FE0">
            <w:pPr>
              <w:pStyle w:val="BodyTextFirstIndent"/>
              <w:ind w:firstLine="0"/>
              <w:rPr>
                <w:color w:val="000000"/>
                <w:sz w:val="20"/>
                <w:szCs w:val="20"/>
              </w:rPr>
            </w:pPr>
            <w:r w:rsidRPr="00C47B38">
              <w:rPr>
                <w:color w:val="000000"/>
                <w:sz w:val="20"/>
                <w:szCs w:val="20"/>
              </w:rPr>
              <w:t>12,9</w:t>
            </w:r>
            <w:r w:rsidR="00FF5B89" w:rsidRPr="00C47B38">
              <w:rPr>
                <w:color w:val="000000"/>
                <w:sz w:val="20"/>
                <w:szCs w:val="20"/>
              </w:rPr>
              <w:t>52</w:t>
            </w:r>
            <w:r w:rsidR="00121E1E" w:rsidRPr="00C47B38">
              <w:rPr>
                <w:color w:val="000000"/>
                <w:sz w:val="20"/>
                <w:szCs w:val="20"/>
              </w:rPr>
              <w:t xml:space="preserve"> (Adj.)</w:t>
            </w:r>
          </w:p>
          <w:p w:rsidR="00FF5B89" w:rsidRPr="00C47B38" w:rsidRDefault="00FF5B89" w:rsidP="00D75E53">
            <w:pPr>
              <w:pStyle w:val="BodyTextFirstIndent"/>
              <w:ind w:firstLine="0"/>
              <w:rPr>
                <w:sz w:val="20"/>
                <w:szCs w:val="20"/>
              </w:rPr>
            </w:pPr>
            <w:r w:rsidRPr="00C47B38">
              <w:rPr>
                <w:color w:val="000000"/>
                <w:sz w:val="20"/>
                <w:szCs w:val="20"/>
              </w:rPr>
              <w:t>37</w:t>
            </w:r>
            <w:r w:rsidR="00121E1E" w:rsidRPr="00C47B38">
              <w:rPr>
                <w:color w:val="000000"/>
                <w:sz w:val="20"/>
                <w:szCs w:val="20"/>
              </w:rPr>
              <w:t xml:space="preserve"> (PC)</w:t>
            </w:r>
          </w:p>
        </w:tc>
        <w:tc>
          <w:tcPr>
            <w:tcW w:w="5366" w:type="dxa"/>
          </w:tcPr>
          <w:p w:rsidR="007422C1" w:rsidRPr="00C47B38" w:rsidRDefault="005F0731" w:rsidP="00C56A10">
            <w:pPr>
              <w:pStyle w:val="BodyTextFirstIndent"/>
              <w:ind w:firstLine="0"/>
              <w:rPr>
                <w:color w:val="000000"/>
                <w:sz w:val="20"/>
                <w:szCs w:val="20"/>
              </w:rPr>
            </w:pPr>
            <w:r w:rsidRPr="00C47B38">
              <w:rPr>
                <w:sz w:val="20"/>
                <w:szCs w:val="20"/>
              </w:rPr>
              <w:t>OSHA removed the burden hours for all small establishments to become familiar with the final rule, -12,952 hours.  OSHA added burden hours for construction and maritime establishments to familiarize themselves with the NPRM, +37 hours program change, and reduced the familiarization time from 8 hours to 6 minutes.</w:t>
            </w:r>
          </w:p>
        </w:tc>
      </w:tr>
      <w:tr w:rsidR="006504DE" w:rsidRPr="00C47B38" w:rsidTr="00D1070D">
        <w:trPr>
          <w:trHeight w:val="1637"/>
        </w:trPr>
        <w:tc>
          <w:tcPr>
            <w:tcW w:w="2891" w:type="dxa"/>
            <w:vAlign w:val="center"/>
          </w:tcPr>
          <w:p w:rsidR="006504DE" w:rsidRPr="00C47B38" w:rsidRDefault="006504DE" w:rsidP="00146A12">
            <w:pPr>
              <w:pStyle w:val="BodyTextFirstIndent"/>
              <w:ind w:firstLine="0"/>
              <w:rPr>
                <w:sz w:val="20"/>
                <w:szCs w:val="20"/>
              </w:rPr>
            </w:pPr>
            <w:r w:rsidRPr="00C47B38">
              <w:rPr>
                <w:sz w:val="20"/>
                <w:szCs w:val="20"/>
              </w:rPr>
              <w:lastRenderedPageBreak/>
              <w:t xml:space="preserve">Large Establishments </w:t>
            </w:r>
            <w:r w:rsidRPr="00C47B38">
              <w:rPr>
                <w:rFonts w:hint="eastAsia"/>
                <w:sz w:val="20"/>
                <w:szCs w:val="20"/>
              </w:rPr>
              <w:t>(</w:t>
            </w:r>
            <w:r w:rsidRPr="00C47B38">
              <w:rPr>
                <w:rFonts w:hint="eastAsia"/>
                <w:sz w:val="20"/>
                <w:szCs w:val="20"/>
              </w:rPr>
              <w:t>≥</w:t>
            </w:r>
            <w:r w:rsidRPr="00C47B38">
              <w:rPr>
                <w:sz w:val="20"/>
                <w:szCs w:val="20"/>
              </w:rPr>
              <w:t xml:space="preserve"> 500 Employees)</w:t>
            </w:r>
          </w:p>
        </w:tc>
        <w:tc>
          <w:tcPr>
            <w:tcW w:w="1447" w:type="dxa"/>
            <w:vAlign w:val="center"/>
          </w:tcPr>
          <w:p w:rsidR="006504DE" w:rsidRPr="00C47B38" w:rsidRDefault="006504DE" w:rsidP="00146A12">
            <w:pPr>
              <w:pStyle w:val="BodyTextFirstIndent"/>
              <w:ind w:firstLine="0"/>
              <w:rPr>
                <w:sz w:val="20"/>
                <w:szCs w:val="20"/>
              </w:rPr>
            </w:pPr>
            <w:r w:rsidRPr="00C47B38">
              <w:rPr>
                <w:color w:val="000000"/>
                <w:sz w:val="20"/>
                <w:szCs w:val="20"/>
              </w:rPr>
              <w:t>2,800</w:t>
            </w:r>
          </w:p>
        </w:tc>
        <w:tc>
          <w:tcPr>
            <w:tcW w:w="1620" w:type="dxa"/>
            <w:vAlign w:val="center"/>
          </w:tcPr>
          <w:p w:rsidR="006504DE" w:rsidRPr="00C47B38" w:rsidRDefault="006504DE" w:rsidP="00146A12">
            <w:pPr>
              <w:pStyle w:val="BodyTextFirstIndent"/>
              <w:ind w:firstLine="0"/>
              <w:rPr>
                <w:sz w:val="20"/>
                <w:szCs w:val="20"/>
              </w:rPr>
            </w:pPr>
            <w:r w:rsidRPr="00C47B38">
              <w:rPr>
                <w:color w:val="000000"/>
                <w:sz w:val="20"/>
                <w:szCs w:val="20"/>
              </w:rPr>
              <w:t>3</w:t>
            </w:r>
          </w:p>
        </w:tc>
        <w:tc>
          <w:tcPr>
            <w:tcW w:w="1890" w:type="dxa"/>
            <w:tcBorders>
              <w:bottom w:val="single" w:sz="4" w:space="0" w:color="auto"/>
            </w:tcBorders>
            <w:vAlign w:val="bottom"/>
          </w:tcPr>
          <w:p w:rsidR="00121E1E" w:rsidRPr="00C47B38" w:rsidRDefault="006504DE" w:rsidP="00236FE0">
            <w:pPr>
              <w:pStyle w:val="BodyTextFirstIndent"/>
              <w:ind w:firstLine="0"/>
              <w:rPr>
                <w:color w:val="000000"/>
                <w:sz w:val="20"/>
                <w:szCs w:val="20"/>
              </w:rPr>
            </w:pPr>
            <w:r w:rsidRPr="00C47B38">
              <w:rPr>
                <w:color w:val="000000"/>
                <w:sz w:val="20"/>
                <w:szCs w:val="20"/>
              </w:rPr>
              <w:t>2,800</w:t>
            </w:r>
            <w:r w:rsidR="00E24672" w:rsidRPr="00C47B38">
              <w:rPr>
                <w:color w:val="000000"/>
                <w:sz w:val="20"/>
                <w:szCs w:val="20"/>
              </w:rPr>
              <w:t xml:space="preserve"> (Adj.)</w:t>
            </w:r>
          </w:p>
          <w:p w:rsidR="006504DE" w:rsidRPr="00C47B38" w:rsidRDefault="006504DE" w:rsidP="00236FE0">
            <w:pPr>
              <w:pStyle w:val="BodyTextFirstIndent"/>
              <w:ind w:firstLine="0"/>
              <w:rPr>
                <w:color w:val="000000"/>
                <w:sz w:val="20"/>
                <w:szCs w:val="20"/>
              </w:rPr>
            </w:pPr>
            <w:r w:rsidRPr="00C47B38">
              <w:rPr>
                <w:color w:val="000000"/>
                <w:sz w:val="20"/>
                <w:szCs w:val="20"/>
              </w:rPr>
              <w:t>3</w:t>
            </w:r>
            <w:r w:rsidR="00121E1E" w:rsidRPr="00C47B38">
              <w:rPr>
                <w:color w:val="000000"/>
                <w:sz w:val="20"/>
                <w:szCs w:val="20"/>
              </w:rPr>
              <w:t>(PC)</w:t>
            </w:r>
          </w:p>
          <w:p w:rsidR="006504DE" w:rsidRPr="00C47B38" w:rsidRDefault="006504DE" w:rsidP="00236FE0">
            <w:pPr>
              <w:pStyle w:val="BodyTextFirstIndent"/>
              <w:ind w:firstLine="0"/>
              <w:rPr>
                <w:sz w:val="20"/>
                <w:szCs w:val="20"/>
              </w:rPr>
            </w:pPr>
          </w:p>
        </w:tc>
        <w:tc>
          <w:tcPr>
            <w:tcW w:w="5366" w:type="dxa"/>
          </w:tcPr>
          <w:p w:rsidR="006504DE" w:rsidRPr="00C47B38" w:rsidRDefault="006504DE" w:rsidP="00C56A10">
            <w:pPr>
              <w:pStyle w:val="BodyTextFirstIndent"/>
              <w:ind w:firstLine="0"/>
              <w:rPr>
                <w:color w:val="000000"/>
                <w:sz w:val="20"/>
                <w:szCs w:val="20"/>
              </w:rPr>
            </w:pPr>
            <w:r w:rsidRPr="00C47B38">
              <w:rPr>
                <w:sz w:val="20"/>
                <w:szCs w:val="20"/>
              </w:rPr>
              <w:t>OSHA removed the burden hours for all small establishments to become familiar with the final rule, -2,800 hours.  OSHA added burden hours for construction and maritime establishments to familiarize themselves with the NPRM, +3 hours program change, and reduced the familiarization time from 40 hours to 6 minutes.</w:t>
            </w:r>
          </w:p>
        </w:tc>
      </w:tr>
      <w:tr w:rsidR="00E24672" w:rsidRPr="00C47B38" w:rsidTr="00D1070D">
        <w:trPr>
          <w:trHeight w:val="156"/>
        </w:trPr>
        <w:tc>
          <w:tcPr>
            <w:tcW w:w="2891" w:type="dxa"/>
            <w:vMerge w:val="restart"/>
            <w:shd w:val="clear" w:color="auto" w:fill="92D050"/>
          </w:tcPr>
          <w:p w:rsidR="00E24672" w:rsidRPr="00C47B38" w:rsidRDefault="00E24672" w:rsidP="00146A12">
            <w:pPr>
              <w:pStyle w:val="BodyTextFirstIndent"/>
              <w:ind w:firstLine="0"/>
              <w:rPr>
                <w:b/>
                <w:sz w:val="20"/>
                <w:szCs w:val="20"/>
              </w:rPr>
            </w:pPr>
            <w:r w:rsidRPr="00C47B38">
              <w:rPr>
                <w:b/>
                <w:sz w:val="20"/>
                <w:szCs w:val="20"/>
              </w:rPr>
              <w:t>Totals</w:t>
            </w:r>
          </w:p>
        </w:tc>
        <w:tc>
          <w:tcPr>
            <w:tcW w:w="1447" w:type="dxa"/>
            <w:vMerge w:val="restart"/>
            <w:shd w:val="clear" w:color="auto" w:fill="92D050"/>
          </w:tcPr>
          <w:p w:rsidR="00E24672" w:rsidRPr="00C47B38" w:rsidRDefault="00E24672" w:rsidP="00146A12">
            <w:pPr>
              <w:pStyle w:val="BodyTextFirstIndent"/>
              <w:ind w:firstLine="0"/>
              <w:rPr>
                <w:b/>
                <w:bCs/>
                <w:sz w:val="20"/>
                <w:szCs w:val="20"/>
              </w:rPr>
            </w:pPr>
            <w:r w:rsidRPr="00C47B38">
              <w:rPr>
                <w:b/>
                <w:bCs/>
                <w:sz w:val="20"/>
                <w:szCs w:val="20"/>
              </w:rPr>
              <w:t>194,261</w:t>
            </w:r>
          </w:p>
        </w:tc>
        <w:tc>
          <w:tcPr>
            <w:tcW w:w="1620" w:type="dxa"/>
            <w:vMerge w:val="restart"/>
            <w:shd w:val="clear" w:color="auto" w:fill="92D050"/>
          </w:tcPr>
          <w:p w:rsidR="00E24672" w:rsidRPr="00C47B38" w:rsidRDefault="00E24672" w:rsidP="000C2C08">
            <w:pPr>
              <w:pStyle w:val="BodyTextFirstIndent"/>
              <w:ind w:firstLine="0"/>
              <w:rPr>
                <w:b/>
                <w:bCs/>
                <w:color w:val="000000"/>
                <w:sz w:val="20"/>
                <w:szCs w:val="20"/>
              </w:rPr>
            </w:pPr>
            <w:r w:rsidRPr="00C47B38">
              <w:rPr>
                <w:b/>
                <w:bCs/>
                <w:color w:val="000000"/>
                <w:sz w:val="20"/>
                <w:szCs w:val="20"/>
              </w:rPr>
              <w:t>108,562</w:t>
            </w:r>
          </w:p>
        </w:tc>
        <w:tc>
          <w:tcPr>
            <w:tcW w:w="1890" w:type="dxa"/>
            <w:shd w:val="clear" w:color="auto" w:fill="92D050"/>
          </w:tcPr>
          <w:p w:rsidR="00E24672" w:rsidRPr="00C47B38" w:rsidRDefault="00E24672" w:rsidP="00236FE0">
            <w:pPr>
              <w:pStyle w:val="BodyTextFirstIndent"/>
              <w:ind w:firstLine="0"/>
              <w:rPr>
                <w:b/>
                <w:sz w:val="20"/>
                <w:szCs w:val="20"/>
              </w:rPr>
            </w:pPr>
            <w:r w:rsidRPr="00C47B38">
              <w:rPr>
                <w:b/>
                <w:sz w:val="20"/>
                <w:szCs w:val="20"/>
              </w:rPr>
              <w:t>-38,328 (</w:t>
            </w:r>
            <w:proofErr w:type="spellStart"/>
            <w:r w:rsidRPr="00C47B38">
              <w:rPr>
                <w:b/>
                <w:sz w:val="20"/>
                <w:szCs w:val="20"/>
              </w:rPr>
              <w:t>Adj</w:t>
            </w:r>
            <w:proofErr w:type="spellEnd"/>
            <w:r w:rsidRPr="00C47B38">
              <w:rPr>
                <w:b/>
                <w:sz w:val="20"/>
                <w:szCs w:val="20"/>
              </w:rPr>
              <w:t>)</w:t>
            </w:r>
          </w:p>
        </w:tc>
        <w:tc>
          <w:tcPr>
            <w:tcW w:w="5366" w:type="dxa"/>
            <w:vMerge w:val="restart"/>
            <w:shd w:val="clear" w:color="auto" w:fill="92D050"/>
          </w:tcPr>
          <w:p w:rsidR="00E24672" w:rsidRPr="00D1070D" w:rsidRDefault="00E24672" w:rsidP="000C2C08">
            <w:pPr>
              <w:pStyle w:val="BodyTextFirstIndent"/>
              <w:ind w:firstLine="0"/>
              <w:rPr>
                <w:sz w:val="20"/>
                <w:szCs w:val="20"/>
              </w:rPr>
            </w:pPr>
            <w:r w:rsidRPr="00D1070D">
              <w:rPr>
                <w:sz w:val="20"/>
                <w:szCs w:val="20"/>
              </w:rPr>
              <w:t xml:space="preserve">The agency requests a </w:t>
            </w:r>
            <w:r w:rsidRPr="00D1070D">
              <w:rPr>
                <w:i/>
                <w:sz w:val="20"/>
                <w:szCs w:val="20"/>
                <w:u w:val="single"/>
              </w:rPr>
              <w:t xml:space="preserve">38,328 adjustment </w:t>
            </w:r>
            <w:proofErr w:type="gramStart"/>
            <w:r w:rsidRPr="00D1070D">
              <w:rPr>
                <w:i/>
                <w:sz w:val="20"/>
                <w:szCs w:val="20"/>
                <w:u w:val="single"/>
              </w:rPr>
              <w:t xml:space="preserve">decrease </w:t>
            </w:r>
            <w:r w:rsidR="000C2C08" w:rsidRPr="00C47B38">
              <w:rPr>
                <w:sz w:val="20"/>
                <w:szCs w:val="20"/>
              </w:rPr>
              <w:t xml:space="preserve"> resulting</w:t>
            </w:r>
            <w:proofErr w:type="gramEnd"/>
            <w:r w:rsidR="000C2C08" w:rsidRPr="00C47B38">
              <w:rPr>
                <w:sz w:val="20"/>
                <w:szCs w:val="20"/>
              </w:rPr>
              <w:t xml:space="preserve"> from</w:t>
            </w:r>
            <w:r w:rsidRPr="00C47B38">
              <w:rPr>
                <w:sz w:val="20"/>
                <w:szCs w:val="20"/>
              </w:rPr>
              <w:t xml:space="preserve"> employer</w:t>
            </w:r>
            <w:r w:rsidR="000C2C08" w:rsidRPr="00C47B38">
              <w:rPr>
                <w:sz w:val="20"/>
                <w:szCs w:val="20"/>
              </w:rPr>
              <w:t>s</w:t>
            </w:r>
            <w:r w:rsidRPr="00C47B38">
              <w:rPr>
                <w:sz w:val="20"/>
                <w:szCs w:val="20"/>
              </w:rPr>
              <w:t xml:space="preserve"> becoming familiar with the January 2017 final rule.</w:t>
            </w:r>
            <w:r w:rsidR="000C2C08" w:rsidRPr="00C47B38">
              <w:rPr>
                <w:sz w:val="20"/>
                <w:szCs w:val="20"/>
              </w:rPr>
              <w:t xml:space="preserve">  The Agency is also requesting </w:t>
            </w:r>
            <w:r w:rsidR="000C2C08" w:rsidRPr="00D1070D">
              <w:rPr>
                <w:i/>
                <w:sz w:val="20"/>
                <w:szCs w:val="20"/>
                <w:u w:val="single"/>
              </w:rPr>
              <w:t>a program decrease of -47,371</w:t>
            </w:r>
            <w:r w:rsidR="000C2C08" w:rsidRPr="00C47B38">
              <w:rPr>
                <w:sz w:val="20"/>
                <w:szCs w:val="20"/>
              </w:rPr>
              <w:t xml:space="preserve"> </w:t>
            </w:r>
            <w:r w:rsidR="00EE213F" w:rsidRPr="00C47B38">
              <w:rPr>
                <w:sz w:val="20"/>
                <w:szCs w:val="20"/>
              </w:rPr>
              <w:t>mainly resulting</w:t>
            </w:r>
            <w:r w:rsidR="000C2C08" w:rsidRPr="00C47B38">
              <w:rPr>
                <w:sz w:val="20"/>
                <w:szCs w:val="20"/>
              </w:rPr>
              <w:t xml:space="preserve"> </w:t>
            </w:r>
            <w:proofErr w:type="gramStart"/>
            <w:r w:rsidR="000C2C08" w:rsidRPr="00C47B38">
              <w:rPr>
                <w:sz w:val="20"/>
                <w:szCs w:val="20"/>
              </w:rPr>
              <w:t>from  removing</w:t>
            </w:r>
            <w:proofErr w:type="gramEnd"/>
            <w:r w:rsidR="000C2C08" w:rsidRPr="00C47B38">
              <w:rPr>
                <w:sz w:val="20"/>
                <w:szCs w:val="20"/>
              </w:rPr>
              <w:t xml:space="preserve"> the  construction and shipyard sectors from Be standard.</w:t>
            </w:r>
          </w:p>
        </w:tc>
      </w:tr>
      <w:tr w:rsidR="00E24672" w:rsidRPr="00C47B38" w:rsidTr="00D1070D">
        <w:trPr>
          <w:trHeight w:val="156"/>
        </w:trPr>
        <w:tc>
          <w:tcPr>
            <w:tcW w:w="2891" w:type="dxa"/>
            <w:vMerge/>
            <w:shd w:val="clear" w:color="auto" w:fill="92D050"/>
          </w:tcPr>
          <w:p w:rsidR="00E24672" w:rsidRPr="00C47B38" w:rsidRDefault="00E24672" w:rsidP="00146A12">
            <w:pPr>
              <w:pStyle w:val="BodyTextFirstIndent"/>
              <w:ind w:firstLine="0"/>
              <w:rPr>
                <w:b/>
                <w:sz w:val="20"/>
                <w:szCs w:val="20"/>
              </w:rPr>
            </w:pPr>
          </w:p>
        </w:tc>
        <w:tc>
          <w:tcPr>
            <w:tcW w:w="1447" w:type="dxa"/>
            <w:vMerge/>
            <w:shd w:val="clear" w:color="auto" w:fill="92D050"/>
          </w:tcPr>
          <w:p w:rsidR="00E24672" w:rsidRPr="00C47B38" w:rsidRDefault="00E24672" w:rsidP="00146A12">
            <w:pPr>
              <w:pStyle w:val="BodyTextFirstIndent"/>
              <w:ind w:firstLine="0"/>
              <w:rPr>
                <w:b/>
                <w:bCs/>
                <w:sz w:val="20"/>
                <w:szCs w:val="20"/>
              </w:rPr>
            </w:pPr>
          </w:p>
        </w:tc>
        <w:tc>
          <w:tcPr>
            <w:tcW w:w="1620" w:type="dxa"/>
            <w:vMerge/>
            <w:shd w:val="clear" w:color="auto" w:fill="92D050"/>
            <w:vAlign w:val="bottom"/>
          </w:tcPr>
          <w:p w:rsidR="00E24672" w:rsidRPr="00C47B38" w:rsidRDefault="00E24672">
            <w:pPr>
              <w:pStyle w:val="BodyTextFirstIndent"/>
              <w:ind w:firstLine="0"/>
              <w:rPr>
                <w:b/>
                <w:bCs/>
                <w:color w:val="000000"/>
                <w:sz w:val="20"/>
                <w:szCs w:val="20"/>
              </w:rPr>
            </w:pPr>
          </w:p>
        </w:tc>
        <w:tc>
          <w:tcPr>
            <w:tcW w:w="1890" w:type="dxa"/>
            <w:shd w:val="clear" w:color="auto" w:fill="92D050"/>
          </w:tcPr>
          <w:p w:rsidR="00E24672" w:rsidRPr="00C47B38" w:rsidRDefault="00E24672" w:rsidP="00236FE0">
            <w:pPr>
              <w:pStyle w:val="BodyTextFirstIndent"/>
              <w:ind w:firstLine="0"/>
              <w:rPr>
                <w:b/>
                <w:sz w:val="20"/>
                <w:szCs w:val="20"/>
              </w:rPr>
            </w:pPr>
            <w:r w:rsidRPr="00C47B38">
              <w:rPr>
                <w:b/>
                <w:sz w:val="20"/>
                <w:szCs w:val="20"/>
              </w:rPr>
              <w:t>-47,371 (PC)</w:t>
            </w:r>
          </w:p>
        </w:tc>
        <w:tc>
          <w:tcPr>
            <w:tcW w:w="5366" w:type="dxa"/>
            <w:vMerge/>
            <w:shd w:val="clear" w:color="auto" w:fill="92D050"/>
          </w:tcPr>
          <w:p w:rsidR="00E24672" w:rsidRPr="00C47B38" w:rsidRDefault="00E24672" w:rsidP="00236FE0">
            <w:pPr>
              <w:pStyle w:val="BodyTextFirstIndent"/>
              <w:ind w:firstLine="0"/>
              <w:rPr>
                <w:b/>
                <w:sz w:val="20"/>
                <w:szCs w:val="20"/>
              </w:rPr>
            </w:pPr>
          </w:p>
        </w:tc>
      </w:tr>
      <w:tr w:rsidR="00E24672" w:rsidRPr="00C47B38" w:rsidTr="00D1070D">
        <w:trPr>
          <w:trHeight w:val="156"/>
        </w:trPr>
        <w:tc>
          <w:tcPr>
            <w:tcW w:w="2891" w:type="dxa"/>
            <w:vMerge/>
            <w:shd w:val="clear" w:color="auto" w:fill="92D050"/>
          </w:tcPr>
          <w:p w:rsidR="00E24672" w:rsidRPr="00C47B38" w:rsidRDefault="00E24672" w:rsidP="00146A12">
            <w:pPr>
              <w:pStyle w:val="BodyTextFirstIndent"/>
              <w:ind w:firstLine="0"/>
              <w:rPr>
                <w:b/>
                <w:sz w:val="20"/>
                <w:szCs w:val="20"/>
              </w:rPr>
            </w:pPr>
          </w:p>
        </w:tc>
        <w:tc>
          <w:tcPr>
            <w:tcW w:w="1447" w:type="dxa"/>
            <w:vMerge/>
            <w:shd w:val="clear" w:color="auto" w:fill="92D050"/>
          </w:tcPr>
          <w:p w:rsidR="00E24672" w:rsidRPr="00C47B38" w:rsidRDefault="00E24672" w:rsidP="00146A12">
            <w:pPr>
              <w:pStyle w:val="BodyTextFirstIndent"/>
              <w:ind w:firstLine="0"/>
              <w:rPr>
                <w:b/>
                <w:bCs/>
                <w:sz w:val="20"/>
                <w:szCs w:val="20"/>
              </w:rPr>
            </w:pPr>
          </w:p>
        </w:tc>
        <w:tc>
          <w:tcPr>
            <w:tcW w:w="1620" w:type="dxa"/>
            <w:vMerge/>
            <w:shd w:val="clear" w:color="auto" w:fill="92D050"/>
            <w:vAlign w:val="bottom"/>
          </w:tcPr>
          <w:p w:rsidR="00E24672" w:rsidRPr="00C47B38" w:rsidRDefault="00E24672">
            <w:pPr>
              <w:pStyle w:val="BodyTextFirstIndent"/>
              <w:ind w:firstLine="0"/>
              <w:rPr>
                <w:b/>
                <w:bCs/>
                <w:color w:val="000000"/>
                <w:sz w:val="20"/>
                <w:szCs w:val="20"/>
              </w:rPr>
            </w:pPr>
          </w:p>
        </w:tc>
        <w:tc>
          <w:tcPr>
            <w:tcW w:w="1890" w:type="dxa"/>
            <w:shd w:val="clear" w:color="auto" w:fill="92D050"/>
          </w:tcPr>
          <w:p w:rsidR="00E24672" w:rsidRPr="00C47B38" w:rsidRDefault="00E24672" w:rsidP="00236FE0">
            <w:pPr>
              <w:pStyle w:val="BodyTextFirstIndent"/>
              <w:ind w:firstLine="0"/>
              <w:rPr>
                <w:b/>
                <w:sz w:val="20"/>
                <w:szCs w:val="20"/>
              </w:rPr>
            </w:pPr>
            <w:r w:rsidRPr="00C47B38">
              <w:rPr>
                <w:b/>
                <w:sz w:val="20"/>
                <w:szCs w:val="20"/>
              </w:rPr>
              <w:t>-85,699 Hours</w:t>
            </w:r>
          </w:p>
        </w:tc>
        <w:tc>
          <w:tcPr>
            <w:tcW w:w="5366" w:type="dxa"/>
            <w:vMerge/>
            <w:shd w:val="clear" w:color="auto" w:fill="92D050"/>
          </w:tcPr>
          <w:p w:rsidR="00E24672" w:rsidRPr="00C47B38" w:rsidRDefault="00E24672" w:rsidP="00236FE0">
            <w:pPr>
              <w:pStyle w:val="BodyTextFirstIndent"/>
              <w:ind w:firstLine="0"/>
              <w:rPr>
                <w:b/>
                <w:sz w:val="20"/>
                <w:szCs w:val="20"/>
              </w:rPr>
            </w:pPr>
          </w:p>
        </w:tc>
      </w:tr>
    </w:tbl>
    <w:p w:rsidR="00E24672" w:rsidRDefault="00E24672"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pPr>
    </w:p>
    <w:p w:rsidR="006E0338" w:rsidRDefault="006E0338" w:rsidP="00E35242">
      <w:pPr>
        <w:pStyle w:val="BodyTextFirstIndent"/>
        <w:ind w:firstLine="0"/>
        <w:rPr>
          <w:sz w:val="24"/>
          <w:szCs w:val="24"/>
        </w:rPr>
        <w:sectPr w:rsidR="006E0338" w:rsidSect="006E0338">
          <w:pgSz w:w="15840" w:h="12240" w:orient="landscape"/>
          <w:pgMar w:top="1440" w:right="1440" w:bottom="1440" w:left="1440" w:header="720" w:footer="720" w:gutter="0"/>
          <w:cols w:space="720"/>
          <w:docGrid w:linePitch="360"/>
        </w:sectPr>
      </w:pPr>
    </w:p>
    <w:p w:rsidR="006E0338" w:rsidRDefault="006E0338" w:rsidP="00E35242">
      <w:pPr>
        <w:pStyle w:val="BodyTextFirstIndent"/>
        <w:ind w:firstLine="0"/>
        <w:rPr>
          <w:sz w:val="24"/>
          <w:szCs w:val="24"/>
        </w:rPr>
      </w:pPr>
    </w:p>
    <w:p w:rsidR="00EF0A65" w:rsidRDefault="00EF0A65" w:rsidP="00E35242">
      <w:pPr>
        <w:pStyle w:val="BodyTextFirstIndent"/>
        <w:ind w:firstLine="0"/>
        <w:rPr>
          <w:b/>
          <w:sz w:val="24"/>
          <w:szCs w:val="24"/>
        </w:rPr>
      </w:pPr>
      <w:r>
        <w:rPr>
          <w:b/>
          <w:sz w:val="24"/>
          <w:szCs w:val="24"/>
        </w:rPr>
        <w:t>Table D2 – Annualized Burden Hours for Currently Approved to Requested</w:t>
      </w:r>
    </w:p>
    <w:tbl>
      <w:tblPr>
        <w:tblStyle w:val="TableGrid"/>
        <w:tblW w:w="0" w:type="auto"/>
        <w:tblInd w:w="498" w:type="dxa"/>
        <w:tblLook w:val="04A0" w:firstRow="1" w:lastRow="0" w:firstColumn="1" w:lastColumn="0" w:noHBand="0" w:noVBand="1"/>
      </w:tblPr>
      <w:tblGrid>
        <w:gridCol w:w="2244"/>
        <w:gridCol w:w="1695"/>
        <w:gridCol w:w="1792"/>
        <w:gridCol w:w="1413"/>
        <w:gridCol w:w="1934"/>
      </w:tblGrid>
      <w:tr w:rsidR="004F23B1" w:rsidRPr="00553BD8" w:rsidTr="00D1070D">
        <w:trPr>
          <w:trHeight w:val="468"/>
        </w:trPr>
        <w:tc>
          <w:tcPr>
            <w:tcW w:w="2394" w:type="dxa"/>
            <w:vMerge w:val="restart"/>
            <w:shd w:val="clear" w:color="auto" w:fill="FFFF00"/>
          </w:tcPr>
          <w:p w:rsidR="004F23B1" w:rsidRPr="00D1070D" w:rsidRDefault="004F23B1" w:rsidP="00E35242">
            <w:pPr>
              <w:pStyle w:val="BodyTextFirstIndent"/>
              <w:ind w:firstLine="0"/>
              <w:rPr>
                <w:b/>
                <w:sz w:val="20"/>
                <w:szCs w:val="20"/>
              </w:rPr>
            </w:pPr>
            <w:r w:rsidRPr="00D1070D">
              <w:rPr>
                <w:b/>
                <w:sz w:val="20"/>
                <w:szCs w:val="20"/>
              </w:rPr>
              <w:t>Averaged Over 3 Years</w:t>
            </w:r>
          </w:p>
        </w:tc>
        <w:tc>
          <w:tcPr>
            <w:tcW w:w="1806" w:type="dxa"/>
            <w:vMerge w:val="restart"/>
            <w:shd w:val="clear" w:color="auto" w:fill="FFFF00"/>
          </w:tcPr>
          <w:p w:rsidR="004F23B1" w:rsidRPr="00D1070D" w:rsidRDefault="004F23B1" w:rsidP="008F37A6">
            <w:pPr>
              <w:pStyle w:val="BodyTextFirstIndent"/>
              <w:ind w:firstLine="0"/>
              <w:rPr>
                <w:b/>
                <w:sz w:val="20"/>
                <w:szCs w:val="20"/>
              </w:rPr>
            </w:pPr>
            <w:r w:rsidRPr="00D1070D">
              <w:rPr>
                <w:b/>
                <w:sz w:val="20"/>
                <w:szCs w:val="20"/>
              </w:rPr>
              <w:t>Current Burden Hours</w:t>
            </w:r>
          </w:p>
        </w:tc>
        <w:tc>
          <w:tcPr>
            <w:tcW w:w="1890" w:type="dxa"/>
            <w:vMerge w:val="restart"/>
            <w:shd w:val="clear" w:color="auto" w:fill="FFFF00"/>
          </w:tcPr>
          <w:p w:rsidR="004F23B1" w:rsidRPr="00D1070D" w:rsidRDefault="004F23B1" w:rsidP="00E35242">
            <w:pPr>
              <w:pStyle w:val="BodyTextFirstIndent"/>
              <w:ind w:firstLine="0"/>
              <w:rPr>
                <w:b/>
                <w:sz w:val="20"/>
                <w:szCs w:val="20"/>
              </w:rPr>
            </w:pPr>
            <w:r w:rsidRPr="00D1070D">
              <w:rPr>
                <w:b/>
                <w:sz w:val="20"/>
                <w:szCs w:val="20"/>
              </w:rPr>
              <w:t>Requested Burden Hours</w:t>
            </w:r>
          </w:p>
        </w:tc>
        <w:tc>
          <w:tcPr>
            <w:tcW w:w="3510" w:type="dxa"/>
            <w:gridSpan w:val="2"/>
            <w:shd w:val="clear" w:color="auto" w:fill="FFFF00"/>
            <w:vAlign w:val="center"/>
          </w:tcPr>
          <w:p w:rsidR="004F23B1" w:rsidRPr="00D1070D" w:rsidRDefault="004F23B1" w:rsidP="00D1070D">
            <w:pPr>
              <w:pStyle w:val="BodyTextFirstIndent"/>
              <w:ind w:firstLine="0"/>
              <w:jc w:val="center"/>
              <w:rPr>
                <w:b/>
                <w:sz w:val="20"/>
                <w:szCs w:val="20"/>
              </w:rPr>
            </w:pPr>
            <w:r w:rsidRPr="00D1070D">
              <w:rPr>
                <w:b/>
                <w:sz w:val="20"/>
                <w:szCs w:val="20"/>
              </w:rPr>
              <w:t>Difference</w:t>
            </w:r>
          </w:p>
        </w:tc>
      </w:tr>
      <w:tr w:rsidR="00553BD8" w:rsidRPr="00553BD8" w:rsidTr="00553BD8">
        <w:trPr>
          <w:trHeight w:val="468"/>
        </w:trPr>
        <w:tc>
          <w:tcPr>
            <w:tcW w:w="2394" w:type="dxa"/>
            <w:vMerge/>
            <w:shd w:val="clear" w:color="auto" w:fill="FFFF00"/>
          </w:tcPr>
          <w:p w:rsidR="00553BD8" w:rsidRPr="00553BD8" w:rsidRDefault="00553BD8" w:rsidP="00E35242">
            <w:pPr>
              <w:pStyle w:val="BodyTextFirstIndent"/>
              <w:ind w:firstLine="0"/>
              <w:rPr>
                <w:b/>
                <w:sz w:val="20"/>
                <w:szCs w:val="20"/>
              </w:rPr>
            </w:pPr>
          </w:p>
        </w:tc>
        <w:tc>
          <w:tcPr>
            <w:tcW w:w="1806" w:type="dxa"/>
            <w:vMerge/>
            <w:shd w:val="clear" w:color="auto" w:fill="FFFF00"/>
          </w:tcPr>
          <w:p w:rsidR="00553BD8" w:rsidRPr="00553BD8" w:rsidRDefault="00553BD8" w:rsidP="008F37A6">
            <w:pPr>
              <w:pStyle w:val="BodyTextFirstIndent"/>
              <w:ind w:firstLine="0"/>
              <w:rPr>
                <w:b/>
                <w:sz w:val="20"/>
                <w:szCs w:val="20"/>
              </w:rPr>
            </w:pPr>
          </w:p>
        </w:tc>
        <w:tc>
          <w:tcPr>
            <w:tcW w:w="1890" w:type="dxa"/>
            <w:vMerge/>
            <w:shd w:val="clear" w:color="auto" w:fill="FFFF00"/>
          </w:tcPr>
          <w:p w:rsidR="00553BD8" w:rsidRPr="00553BD8" w:rsidRDefault="00553BD8" w:rsidP="00E35242">
            <w:pPr>
              <w:pStyle w:val="BodyTextFirstIndent"/>
              <w:ind w:firstLine="0"/>
              <w:rPr>
                <w:b/>
                <w:sz w:val="20"/>
                <w:szCs w:val="20"/>
              </w:rPr>
            </w:pPr>
          </w:p>
        </w:tc>
        <w:tc>
          <w:tcPr>
            <w:tcW w:w="1440" w:type="dxa"/>
            <w:shd w:val="clear" w:color="auto" w:fill="FFFF00"/>
          </w:tcPr>
          <w:p w:rsidR="00553BD8" w:rsidRPr="00D75E53" w:rsidRDefault="004F23B1" w:rsidP="00B35DE7">
            <w:pPr>
              <w:pStyle w:val="BodyTextFirstIndent"/>
              <w:tabs>
                <w:tab w:val="left" w:pos="1462"/>
              </w:tabs>
              <w:ind w:firstLine="0"/>
              <w:rPr>
                <w:b/>
                <w:sz w:val="20"/>
                <w:szCs w:val="20"/>
              </w:rPr>
            </w:pPr>
            <w:r>
              <w:rPr>
                <w:b/>
                <w:sz w:val="20"/>
                <w:szCs w:val="20"/>
              </w:rPr>
              <w:t>Adjustment</w:t>
            </w:r>
          </w:p>
        </w:tc>
        <w:tc>
          <w:tcPr>
            <w:tcW w:w="2070" w:type="dxa"/>
            <w:shd w:val="clear" w:color="auto" w:fill="FFFF00"/>
          </w:tcPr>
          <w:p w:rsidR="00553BD8" w:rsidRPr="00D75E53" w:rsidDel="00553BD8" w:rsidRDefault="004F23B1" w:rsidP="00553BD8">
            <w:pPr>
              <w:pStyle w:val="BodyTextFirstIndent"/>
              <w:ind w:firstLine="0"/>
              <w:rPr>
                <w:b/>
                <w:sz w:val="20"/>
                <w:szCs w:val="20"/>
              </w:rPr>
            </w:pPr>
            <w:r>
              <w:rPr>
                <w:b/>
                <w:sz w:val="20"/>
                <w:szCs w:val="20"/>
              </w:rPr>
              <w:t>Program Change</w:t>
            </w:r>
          </w:p>
        </w:tc>
      </w:tr>
      <w:tr w:rsidR="00B35DE7" w:rsidRPr="00553BD8" w:rsidTr="00D1070D">
        <w:tc>
          <w:tcPr>
            <w:tcW w:w="2394" w:type="dxa"/>
          </w:tcPr>
          <w:p w:rsidR="00B35DE7" w:rsidRPr="00D1070D" w:rsidRDefault="00B35DE7" w:rsidP="00D75E53">
            <w:pPr>
              <w:pStyle w:val="BodyTextFirstIndent"/>
              <w:ind w:firstLine="0"/>
              <w:rPr>
                <w:sz w:val="20"/>
                <w:szCs w:val="20"/>
              </w:rPr>
            </w:pPr>
            <w:r w:rsidRPr="00D75E53">
              <w:rPr>
                <w:b/>
                <w:sz w:val="20"/>
                <w:szCs w:val="20"/>
              </w:rPr>
              <w:t>Initial Year + 1</w:t>
            </w:r>
            <w:r w:rsidRPr="009A35FA">
              <w:rPr>
                <w:b/>
                <w:sz w:val="20"/>
                <w:szCs w:val="20"/>
                <w:vertAlign w:val="superscript"/>
              </w:rPr>
              <w:t>st</w:t>
            </w:r>
            <w:r w:rsidRPr="009A35FA">
              <w:rPr>
                <w:b/>
                <w:sz w:val="20"/>
                <w:szCs w:val="20"/>
              </w:rPr>
              <w:t xml:space="preserve"> Year Annual</w:t>
            </w:r>
          </w:p>
        </w:tc>
        <w:tc>
          <w:tcPr>
            <w:tcW w:w="1806" w:type="dxa"/>
          </w:tcPr>
          <w:p w:rsidR="00B35DE7" w:rsidRPr="00D1070D" w:rsidRDefault="00B35DE7" w:rsidP="009A35FA">
            <w:pPr>
              <w:pStyle w:val="BodyTextFirstIndent"/>
              <w:ind w:firstLine="0"/>
              <w:rPr>
                <w:sz w:val="20"/>
                <w:szCs w:val="20"/>
              </w:rPr>
            </w:pPr>
            <w:r w:rsidRPr="00D75E53">
              <w:rPr>
                <w:b/>
                <w:bCs/>
                <w:sz w:val="20"/>
                <w:szCs w:val="20"/>
              </w:rPr>
              <w:t>194,261</w:t>
            </w:r>
          </w:p>
        </w:tc>
        <w:tc>
          <w:tcPr>
            <w:tcW w:w="1890" w:type="dxa"/>
          </w:tcPr>
          <w:p w:rsidR="00B35DE7" w:rsidRPr="00D1070D" w:rsidRDefault="00B35DE7" w:rsidP="009A35FA">
            <w:pPr>
              <w:pStyle w:val="BodyTextFirstIndent"/>
              <w:ind w:firstLine="0"/>
              <w:rPr>
                <w:sz w:val="20"/>
                <w:szCs w:val="20"/>
              </w:rPr>
            </w:pPr>
            <w:r w:rsidRPr="00D75E53">
              <w:rPr>
                <w:b/>
                <w:bCs/>
                <w:color w:val="000000"/>
                <w:sz w:val="20"/>
                <w:szCs w:val="20"/>
              </w:rPr>
              <w:t>108,562</w:t>
            </w:r>
          </w:p>
        </w:tc>
        <w:tc>
          <w:tcPr>
            <w:tcW w:w="1440" w:type="dxa"/>
          </w:tcPr>
          <w:p w:rsidR="00B35DE7" w:rsidRPr="00D1070D" w:rsidRDefault="00B35DE7" w:rsidP="009A35FA">
            <w:pPr>
              <w:pStyle w:val="BodyTextFirstIndent"/>
              <w:ind w:firstLine="0"/>
              <w:rPr>
                <w:sz w:val="20"/>
                <w:szCs w:val="20"/>
              </w:rPr>
            </w:pPr>
            <w:r w:rsidRPr="00D75E53">
              <w:rPr>
                <w:b/>
                <w:sz w:val="20"/>
                <w:szCs w:val="20"/>
              </w:rPr>
              <w:t>-</w:t>
            </w:r>
            <w:r w:rsidRPr="009A35FA">
              <w:rPr>
                <w:b/>
                <w:sz w:val="20"/>
                <w:szCs w:val="20"/>
              </w:rPr>
              <w:t>38,328</w:t>
            </w:r>
          </w:p>
        </w:tc>
        <w:tc>
          <w:tcPr>
            <w:tcW w:w="2070" w:type="dxa"/>
          </w:tcPr>
          <w:p w:rsidR="00B35DE7" w:rsidRPr="009A35FA" w:rsidRDefault="00B35DE7" w:rsidP="00D17E98">
            <w:pPr>
              <w:pStyle w:val="BodyTextFirstIndent"/>
              <w:ind w:firstLine="0"/>
              <w:rPr>
                <w:b/>
                <w:sz w:val="20"/>
                <w:szCs w:val="20"/>
              </w:rPr>
            </w:pPr>
            <w:r w:rsidRPr="00D75E53">
              <w:rPr>
                <w:b/>
                <w:sz w:val="20"/>
                <w:szCs w:val="20"/>
              </w:rPr>
              <w:t>-47,371</w:t>
            </w:r>
          </w:p>
        </w:tc>
      </w:tr>
      <w:tr w:rsidR="00B35DE7" w:rsidRPr="00553BD8" w:rsidTr="00D1070D">
        <w:tc>
          <w:tcPr>
            <w:tcW w:w="2394" w:type="dxa"/>
          </w:tcPr>
          <w:p w:rsidR="00B35DE7" w:rsidRPr="00D1070D" w:rsidRDefault="00B35DE7" w:rsidP="00D75E53">
            <w:pPr>
              <w:pStyle w:val="BodyTextFirstIndent"/>
              <w:ind w:firstLine="0"/>
              <w:rPr>
                <w:sz w:val="20"/>
                <w:szCs w:val="20"/>
              </w:rPr>
            </w:pPr>
            <w:r w:rsidRPr="00D75E53">
              <w:rPr>
                <w:b/>
                <w:sz w:val="20"/>
                <w:szCs w:val="20"/>
              </w:rPr>
              <w:t>2</w:t>
            </w:r>
            <w:r w:rsidRPr="009A35FA">
              <w:rPr>
                <w:b/>
                <w:sz w:val="20"/>
                <w:szCs w:val="20"/>
                <w:vertAlign w:val="superscript"/>
              </w:rPr>
              <w:t>st</w:t>
            </w:r>
            <w:r w:rsidRPr="009A35FA">
              <w:rPr>
                <w:b/>
                <w:sz w:val="20"/>
                <w:szCs w:val="20"/>
              </w:rPr>
              <w:t xml:space="preserve"> Year Annual</w:t>
            </w:r>
          </w:p>
        </w:tc>
        <w:tc>
          <w:tcPr>
            <w:tcW w:w="1806" w:type="dxa"/>
          </w:tcPr>
          <w:p w:rsidR="00B35DE7" w:rsidRPr="00D1070D" w:rsidRDefault="00B35DE7" w:rsidP="009A35FA">
            <w:pPr>
              <w:pStyle w:val="BodyTextFirstIndent"/>
              <w:ind w:firstLine="0"/>
              <w:rPr>
                <w:sz w:val="20"/>
                <w:szCs w:val="20"/>
              </w:rPr>
            </w:pPr>
            <w:r w:rsidRPr="00D75E53">
              <w:rPr>
                <w:b/>
                <w:bCs/>
                <w:sz w:val="20"/>
                <w:szCs w:val="20"/>
              </w:rPr>
              <w:t>100,236</w:t>
            </w:r>
          </w:p>
        </w:tc>
        <w:tc>
          <w:tcPr>
            <w:tcW w:w="1890" w:type="dxa"/>
          </w:tcPr>
          <w:p w:rsidR="00B35DE7" w:rsidRPr="00D1070D" w:rsidRDefault="00B35DE7" w:rsidP="009A35FA">
            <w:pPr>
              <w:pStyle w:val="BodyTextFirstIndent"/>
              <w:ind w:firstLine="0"/>
              <w:rPr>
                <w:sz w:val="20"/>
                <w:szCs w:val="20"/>
              </w:rPr>
            </w:pPr>
            <w:r w:rsidRPr="00D75E53">
              <w:rPr>
                <w:b/>
                <w:bCs/>
                <w:color w:val="000000"/>
                <w:sz w:val="20"/>
                <w:szCs w:val="20"/>
              </w:rPr>
              <w:t>71,400</w:t>
            </w:r>
          </w:p>
        </w:tc>
        <w:tc>
          <w:tcPr>
            <w:tcW w:w="1440" w:type="dxa"/>
          </w:tcPr>
          <w:p w:rsidR="00B35DE7" w:rsidRPr="00D1070D" w:rsidRDefault="00B35DE7" w:rsidP="009A35FA">
            <w:pPr>
              <w:pStyle w:val="BodyTextFirstIndent"/>
              <w:ind w:firstLine="0"/>
              <w:rPr>
                <w:sz w:val="20"/>
                <w:szCs w:val="20"/>
              </w:rPr>
            </w:pPr>
            <w:r w:rsidRPr="00D75E53">
              <w:rPr>
                <w:b/>
                <w:sz w:val="20"/>
                <w:szCs w:val="20"/>
              </w:rPr>
              <w:t>-28,836</w:t>
            </w:r>
          </w:p>
        </w:tc>
        <w:tc>
          <w:tcPr>
            <w:tcW w:w="2070" w:type="dxa"/>
          </w:tcPr>
          <w:p w:rsidR="00B35DE7" w:rsidRPr="00D75E53" w:rsidRDefault="00B35DE7" w:rsidP="00D17E98">
            <w:pPr>
              <w:pStyle w:val="BodyTextFirstIndent"/>
              <w:ind w:firstLine="0"/>
              <w:rPr>
                <w:b/>
                <w:sz w:val="20"/>
                <w:szCs w:val="20"/>
              </w:rPr>
            </w:pPr>
            <w:r w:rsidRPr="00D75E53">
              <w:rPr>
                <w:b/>
                <w:sz w:val="20"/>
                <w:szCs w:val="20"/>
              </w:rPr>
              <w:t>0</w:t>
            </w:r>
          </w:p>
        </w:tc>
      </w:tr>
      <w:tr w:rsidR="00B35DE7" w:rsidRPr="00553BD8" w:rsidTr="00D1070D">
        <w:tc>
          <w:tcPr>
            <w:tcW w:w="2394" w:type="dxa"/>
          </w:tcPr>
          <w:p w:rsidR="00B35DE7" w:rsidRPr="00D1070D" w:rsidRDefault="00B35DE7" w:rsidP="00D75E53">
            <w:pPr>
              <w:pStyle w:val="BodyTextFirstIndent"/>
              <w:ind w:firstLine="0"/>
              <w:rPr>
                <w:sz w:val="20"/>
                <w:szCs w:val="20"/>
              </w:rPr>
            </w:pPr>
            <w:r w:rsidRPr="00D75E53">
              <w:rPr>
                <w:b/>
                <w:sz w:val="20"/>
                <w:szCs w:val="20"/>
              </w:rPr>
              <w:t>3</w:t>
            </w:r>
            <w:r w:rsidRPr="009A35FA">
              <w:rPr>
                <w:b/>
                <w:sz w:val="20"/>
                <w:szCs w:val="20"/>
                <w:vertAlign w:val="superscript"/>
              </w:rPr>
              <w:t>rd</w:t>
            </w:r>
            <w:r w:rsidRPr="009A35FA">
              <w:rPr>
                <w:b/>
                <w:sz w:val="20"/>
                <w:szCs w:val="20"/>
              </w:rPr>
              <w:t xml:space="preserve"> Year Annual</w:t>
            </w:r>
          </w:p>
        </w:tc>
        <w:tc>
          <w:tcPr>
            <w:tcW w:w="1806" w:type="dxa"/>
          </w:tcPr>
          <w:p w:rsidR="00B35DE7" w:rsidRPr="00D1070D" w:rsidRDefault="00B35DE7" w:rsidP="009A35FA">
            <w:pPr>
              <w:pStyle w:val="BodyTextFirstIndent"/>
              <w:ind w:firstLine="0"/>
              <w:rPr>
                <w:sz w:val="20"/>
                <w:szCs w:val="20"/>
              </w:rPr>
            </w:pPr>
            <w:r w:rsidRPr="00D75E53">
              <w:rPr>
                <w:b/>
                <w:bCs/>
                <w:sz w:val="20"/>
                <w:szCs w:val="20"/>
              </w:rPr>
              <w:t>100,236</w:t>
            </w:r>
          </w:p>
        </w:tc>
        <w:tc>
          <w:tcPr>
            <w:tcW w:w="1890" w:type="dxa"/>
          </w:tcPr>
          <w:p w:rsidR="00B35DE7" w:rsidRPr="00D1070D" w:rsidRDefault="00B35DE7" w:rsidP="009A35FA">
            <w:pPr>
              <w:pStyle w:val="BodyTextFirstIndent"/>
              <w:ind w:firstLine="0"/>
              <w:rPr>
                <w:sz w:val="20"/>
                <w:szCs w:val="20"/>
              </w:rPr>
            </w:pPr>
            <w:r w:rsidRPr="00D75E53">
              <w:rPr>
                <w:b/>
                <w:bCs/>
                <w:color w:val="000000"/>
                <w:sz w:val="20"/>
                <w:szCs w:val="20"/>
              </w:rPr>
              <w:t>71,400</w:t>
            </w:r>
          </w:p>
        </w:tc>
        <w:tc>
          <w:tcPr>
            <w:tcW w:w="1440" w:type="dxa"/>
          </w:tcPr>
          <w:p w:rsidR="00B35DE7" w:rsidRPr="00D1070D" w:rsidRDefault="00B35DE7" w:rsidP="009A35FA">
            <w:pPr>
              <w:pStyle w:val="BodyTextFirstIndent"/>
              <w:ind w:firstLine="0"/>
              <w:rPr>
                <w:sz w:val="20"/>
                <w:szCs w:val="20"/>
              </w:rPr>
            </w:pPr>
            <w:r w:rsidRPr="00D75E53">
              <w:rPr>
                <w:b/>
                <w:sz w:val="20"/>
                <w:szCs w:val="20"/>
              </w:rPr>
              <w:t>-28,836</w:t>
            </w:r>
          </w:p>
        </w:tc>
        <w:tc>
          <w:tcPr>
            <w:tcW w:w="2070" w:type="dxa"/>
          </w:tcPr>
          <w:p w:rsidR="00B35DE7" w:rsidRPr="00D75E53" w:rsidRDefault="00B35DE7" w:rsidP="00D17E98">
            <w:pPr>
              <w:pStyle w:val="BodyTextFirstIndent"/>
              <w:ind w:firstLine="0"/>
              <w:rPr>
                <w:b/>
                <w:sz w:val="20"/>
                <w:szCs w:val="20"/>
              </w:rPr>
            </w:pPr>
            <w:r w:rsidRPr="00D75E53">
              <w:rPr>
                <w:b/>
                <w:sz w:val="20"/>
                <w:szCs w:val="20"/>
              </w:rPr>
              <w:t>0</w:t>
            </w:r>
          </w:p>
        </w:tc>
      </w:tr>
      <w:tr w:rsidR="00B35DE7" w:rsidRPr="00553BD8" w:rsidTr="00D1070D">
        <w:tc>
          <w:tcPr>
            <w:tcW w:w="2394" w:type="dxa"/>
            <w:shd w:val="clear" w:color="auto" w:fill="92D050"/>
          </w:tcPr>
          <w:p w:rsidR="00B35DE7" w:rsidRPr="00D1070D" w:rsidRDefault="008F37A6" w:rsidP="00D75E53">
            <w:pPr>
              <w:pStyle w:val="BodyTextFirstIndent"/>
              <w:ind w:firstLine="0"/>
              <w:rPr>
                <w:b/>
                <w:sz w:val="20"/>
                <w:szCs w:val="20"/>
              </w:rPr>
            </w:pPr>
            <w:r w:rsidRPr="00D1070D">
              <w:rPr>
                <w:b/>
                <w:sz w:val="20"/>
                <w:szCs w:val="20"/>
              </w:rPr>
              <w:t>Total</w:t>
            </w:r>
            <w:r w:rsidRPr="00D75E53">
              <w:rPr>
                <w:b/>
                <w:sz w:val="20"/>
                <w:szCs w:val="20"/>
              </w:rPr>
              <w:t xml:space="preserve"> </w:t>
            </w:r>
            <w:r w:rsidR="00EE213F" w:rsidRPr="009A35FA">
              <w:rPr>
                <w:b/>
                <w:sz w:val="20"/>
                <w:szCs w:val="20"/>
              </w:rPr>
              <w:t>Annualized</w:t>
            </w:r>
            <w:r w:rsidRPr="009A35FA">
              <w:rPr>
                <w:b/>
                <w:sz w:val="20"/>
                <w:szCs w:val="20"/>
              </w:rPr>
              <w:t xml:space="preserve"> </w:t>
            </w:r>
            <w:r w:rsidR="00B35DE7" w:rsidRPr="00D1070D">
              <w:rPr>
                <w:b/>
                <w:sz w:val="20"/>
                <w:szCs w:val="20"/>
              </w:rPr>
              <w:t>Average</w:t>
            </w:r>
          </w:p>
        </w:tc>
        <w:tc>
          <w:tcPr>
            <w:tcW w:w="1806" w:type="dxa"/>
            <w:shd w:val="clear" w:color="auto" w:fill="92D050"/>
          </w:tcPr>
          <w:p w:rsidR="00B35DE7" w:rsidRPr="00D1070D" w:rsidRDefault="00B35DE7" w:rsidP="00D17E98">
            <w:pPr>
              <w:pStyle w:val="BodyTextFirstIndent"/>
              <w:ind w:firstLine="0"/>
              <w:rPr>
                <w:b/>
                <w:sz w:val="20"/>
                <w:szCs w:val="20"/>
              </w:rPr>
            </w:pPr>
            <w:r w:rsidRPr="00D1070D">
              <w:rPr>
                <w:b/>
                <w:sz w:val="20"/>
                <w:szCs w:val="20"/>
              </w:rPr>
              <w:t>131,578</w:t>
            </w:r>
          </w:p>
        </w:tc>
        <w:tc>
          <w:tcPr>
            <w:tcW w:w="1890" w:type="dxa"/>
            <w:shd w:val="clear" w:color="auto" w:fill="92D050"/>
          </w:tcPr>
          <w:p w:rsidR="00B35DE7" w:rsidRPr="00D1070D" w:rsidRDefault="00B35DE7">
            <w:pPr>
              <w:pStyle w:val="BodyTextFirstIndent"/>
              <w:ind w:firstLine="0"/>
              <w:rPr>
                <w:b/>
                <w:sz w:val="20"/>
                <w:szCs w:val="20"/>
              </w:rPr>
            </w:pPr>
            <w:r w:rsidRPr="00D1070D">
              <w:rPr>
                <w:b/>
                <w:sz w:val="20"/>
                <w:szCs w:val="20"/>
              </w:rPr>
              <w:t>83,787</w:t>
            </w:r>
          </w:p>
        </w:tc>
        <w:tc>
          <w:tcPr>
            <w:tcW w:w="1440" w:type="dxa"/>
            <w:shd w:val="clear" w:color="auto" w:fill="92D050"/>
          </w:tcPr>
          <w:p w:rsidR="00B35DE7" w:rsidRPr="00D1070D" w:rsidRDefault="00B35DE7">
            <w:pPr>
              <w:pStyle w:val="BodyTextFirstIndent"/>
              <w:ind w:firstLine="0"/>
              <w:rPr>
                <w:b/>
                <w:sz w:val="20"/>
                <w:szCs w:val="20"/>
              </w:rPr>
            </w:pPr>
            <w:r w:rsidRPr="00D1070D">
              <w:rPr>
                <w:b/>
                <w:sz w:val="20"/>
                <w:szCs w:val="20"/>
              </w:rPr>
              <w:t>-32,000</w:t>
            </w:r>
          </w:p>
        </w:tc>
        <w:tc>
          <w:tcPr>
            <w:tcW w:w="2070" w:type="dxa"/>
            <w:shd w:val="clear" w:color="auto" w:fill="92D050"/>
          </w:tcPr>
          <w:p w:rsidR="00B35DE7" w:rsidRPr="00D1070D" w:rsidRDefault="00B35DE7">
            <w:pPr>
              <w:pStyle w:val="BodyTextFirstIndent"/>
              <w:ind w:firstLine="0"/>
              <w:rPr>
                <w:b/>
                <w:sz w:val="20"/>
                <w:szCs w:val="20"/>
              </w:rPr>
            </w:pPr>
            <w:r w:rsidRPr="00D1070D">
              <w:rPr>
                <w:b/>
                <w:sz w:val="20"/>
                <w:szCs w:val="20"/>
              </w:rPr>
              <w:t>-15,7</w:t>
            </w:r>
            <w:r w:rsidR="00880F50" w:rsidRPr="00D1070D">
              <w:rPr>
                <w:b/>
                <w:sz w:val="20"/>
                <w:szCs w:val="20"/>
              </w:rPr>
              <w:t>91</w:t>
            </w:r>
          </w:p>
        </w:tc>
      </w:tr>
    </w:tbl>
    <w:p w:rsidR="00E24672" w:rsidRDefault="00E24672" w:rsidP="00E35242">
      <w:pPr>
        <w:pStyle w:val="BodyTextFirstIndent"/>
        <w:ind w:firstLine="0"/>
        <w:rPr>
          <w:sz w:val="20"/>
          <w:szCs w:val="20"/>
        </w:rPr>
      </w:pPr>
    </w:p>
    <w:p w:rsidR="006E0338" w:rsidRDefault="00E24672" w:rsidP="00E35242">
      <w:pPr>
        <w:pStyle w:val="BodyTextFirstIndent"/>
        <w:ind w:firstLine="0"/>
        <w:rPr>
          <w:sz w:val="20"/>
          <w:szCs w:val="20"/>
        </w:rPr>
      </w:pPr>
      <w:r>
        <w:rPr>
          <w:sz w:val="20"/>
          <w:szCs w:val="20"/>
        </w:rPr>
        <w:t xml:space="preserve">As a result of </w:t>
      </w:r>
      <w:proofErr w:type="gramStart"/>
      <w:r>
        <w:rPr>
          <w:sz w:val="20"/>
          <w:szCs w:val="20"/>
        </w:rPr>
        <w:t>analyzing  the</w:t>
      </w:r>
      <w:proofErr w:type="gramEnd"/>
      <w:r>
        <w:rPr>
          <w:sz w:val="20"/>
          <w:szCs w:val="20"/>
        </w:rPr>
        <w:t xml:space="preserve">  current 194,261 burden hours, there was an </w:t>
      </w:r>
      <w:r w:rsidRPr="00D1070D">
        <w:rPr>
          <w:i/>
          <w:sz w:val="20"/>
          <w:szCs w:val="20"/>
          <w:u w:val="single"/>
        </w:rPr>
        <w:t>adjustment decrease of 62,683</w:t>
      </w:r>
      <w:r>
        <w:rPr>
          <w:sz w:val="20"/>
          <w:szCs w:val="20"/>
        </w:rPr>
        <w:t xml:space="preserve"> hours resulting in  131,578 hours.</w:t>
      </w:r>
    </w:p>
    <w:p w:rsidR="00154203" w:rsidRPr="00880F50" w:rsidRDefault="00880F50" w:rsidP="00E35242">
      <w:pPr>
        <w:pStyle w:val="BodyTextFirstIndent"/>
        <w:ind w:firstLine="0"/>
        <w:rPr>
          <w:sz w:val="20"/>
          <w:szCs w:val="20"/>
        </w:rPr>
      </w:pPr>
      <w:r w:rsidRPr="00880F50">
        <w:rPr>
          <w:sz w:val="20"/>
          <w:szCs w:val="20"/>
        </w:rPr>
        <w:t xml:space="preserve">The currently approved burden hours of 194,261 was </w:t>
      </w:r>
      <w:r>
        <w:rPr>
          <w:sz w:val="20"/>
          <w:szCs w:val="20"/>
        </w:rPr>
        <w:t>adjusted</w:t>
      </w:r>
      <w:r w:rsidRPr="00880F50">
        <w:rPr>
          <w:sz w:val="20"/>
          <w:szCs w:val="20"/>
        </w:rPr>
        <w:t xml:space="preserve"> by as a result of annualiz</w:t>
      </w:r>
      <w:r>
        <w:rPr>
          <w:sz w:val="20"/>
          <w:szCs w:val="20"/>
        </w:rPr>
        <w:t>ing the existing burden hours of 131,578</w:t>
      </w:r>
      <w:r w:rsidR="00B42643">
        <w:rPr>
          <w:sz w:val="20"/>
          <w:szCs w:val="20"/>
        </w:rPr>
        <w:t xml:space="preserve"> hours</w:t>
      </w:r>
      <w:r>
        <w:rPr>
          <w:sz w:val="20"/>
          <w:szCs w:val="20"/>
        </w:rPr>
        <w:t>.</w:t>
      </w:r>
    </w:p>
    <w:p w:rsidR="00154203" w:rsidRDefault="00E33A42" w:rsidP="00E35242">
      <w:pPr>
        <w:pStyle w:val="BodyTextFirstIndent"/>
        <w:ind w:firstLine="0"/>
        <w:rPr>
          <w:sz w:val="24"/>
          <w:szCs w:val="24"/>
        </w:rPr>
      </w:pPr>
      <w:r w:rsidRPr="00E02CF4">
        <w:rPr>
          <w:i/>
        </w:rPr>
        <w:t>Summary of the Changes in Capit</w:t>
      </w:r>
      <w:r w:rsidR="009A0E11">
        <w:rPr>
          <w:i/>
        </w:rPr>
        <w:t>a</w:t>
      </w:r>
      <w:r w:rsidRPr="00E02CF4">
        <w:rPr>
          <w:i/>
        </w:rPr>
        <w:t>l Cost:</w:t>
      </w:r>
    </w:p>
    <w:p w:rsidR="00EE213F" w:rsidRDefault="008F7624" w:rsidP="00E35242">
      <w:pPr>
        <w:pStyle w:val="BodyTextFirstIndent"/>
        <w:ind w:firstLine="0"/>
        <w:rPr>
          <w:sz w:val="24"/>
          <w:szCs w:val="24"/>
        </w:rPr>
      </w:pPr>
      <w:r>
        <w:rPr>
          <w:sz w:val="24"/>
          <w:szCs w:val="24"/>
        </w:rPr>
        <w:t>O</w:t>
      </w:r>
      <w:r w:rsidR="0061662C">
        <w:rPr>
          <w:sz w:val="24"/>
          <w:szCs w:val="24"/>
        </w:rPr>
        <w:t xml:space="preserve">SHA has adjusted the existing </w:t>
      </w:r>
      <w:r w:rsidR="000D027B">
        <w:rPr>
          <w:sz w:val="24"/>
          <w:szCs w:val="24"/>
        </w:rPr>
        <w:t xml:space="preserve">capital </w:t>
      </w:r>
      <w:r w:rsidR="00530348">
        <w:rPr>
          <w:sz w:val="24"/>
          <w:szCs w:val="24"/>
        </w:rPr>
        <w:t>cost estimate</w:t>
      </w:r>
      <w:r w:rsidR="0061662C">
        <w:rPr>
          <w:sz w:val="24"/>
          <w:szCs w:val="24"/>
        </w:rPr>
        <w:t xml:space="preserve"> of </w:t>
      </w:r>
      <w:r w:rsidR="000D027B">
        <w:rPr>
          <w:sz w:val="24"/>
          <w:szCs w:val="24"/>
        </w:rPr>
        <w:t>$</w:t>
      </w:r>
      <w:r w:rsidR="0061662C">
        <w:rPr>
          <w:sz w:val="24"/>
          <w:szCs w:val="24"/>
        </w:rPr>
        <w:t>46,</w:t>
      </w:r>
      <w:r w:rsidR="00C47B38">
        <w:rPr>
          <w:sz w:val="24"/>
          <w:szCs w:val="24"/>
        </w:rPr>
        <w:t>1</w:t>
      </w:r>
      <w:r w:rsidR="0061662C">
        <w:rPr>
          <w:sz w:val="24"/>
          <w:szCs w:val="24"/>
        </w:rPr>
        <w:t>58,266</w:t>
      </w:r>
      <w:r w:rsidR="000D027B">
        <w:rPr>
          <w:sz w:val="24"/>
          <w:szCs w:val="24"/>
        </w:rPr>
        <w:t xml:space="preserve"> to $</w:t>
      </w:r>
      <w:r w:rsidR="00F10E17">
        <w:rPr>
          <w:sz w:val="24"/>
          <w:szCs w:val="24"/>
        </w:rPr>
        <w:t>46,80</w:t>
      </w:r>
      <w:r w:rsidR="003B0350">
        <w:rPr>
          <w:sz w:val="24"/>
          <w:szCs w:val="24"/>
        </w:rPr>
        <w:t>7</w:t>
      </w:r>
      <w:r w:rsidR="00D8155E">
        <w:rPr>
          <w:sz w:val="24"/>
          <w:szCs w:val="24"/>
        </w:rPr>
        <w:t>,</w:t>
      </w:r>
      <w:r w:rsidR="003B0350">
        <w:rPr>
          <w:sz w:val="24"/>
          <w:szCs w:val="24"/>
        </w:rPr>
        <w:t>74</w:t>
      </w:r>
      <w:r w:rsidR="00C47B38">
        <w:rPr>
          <w:sz w:val="24"/>
          <w:szCs w:val="24"/>
        </w:rPr>
        <w:t>3</w:t>
      </w:r>
      <w:r w:rsidR="00D8155E">
        <w:rPr>
          <w:sz w:val="24"/>
          <w:szCs w:val="24"/>
        </w:rPr>
        <w:t xml:space="preserve">, an adjustment increase of </w:t>
      </w:r>
      <w:r w:rsidR="00C47B38">
        <w:rPr>
          <w:sz w:val="24"/>
          <w:szCs w:val="24"/>
        </w:rPr>
        <w:t>$649,477</w:t>
      </w:r>
      <w:r w:rsidR="000D027B">
        <w:rPr>
          <w:sz w:val="24"/>
          <w:szCs w:val="24"/>
        </w:rPr>
        <w:t>. Th</w:t>
      </w:r>
      <w:r w:rsidR="00530348">
        <w:rPr>
          <w:sz w:val="24"/>
          <w:szCs w:val="24"/>
        </w:rPr>
        <w:t>is adjustment</w:t>
      </w:r>
      <w:r w:rsidR="00933FEF">
        <w:rPr>
          <w:sz w:val="24"/>
          <w:szCs w:val="24"/>
        </w:rPr>
        <w:t xml:space="preserve"> increase</w:t>
      </w:r>
      <w:r w:rsidR="00530348">
        <w:rPr>
          <w:sz w:val="24"/>
          <w:szCs w:val="24"/>
        </w:rPr>
        <w:t xml:space="preserve"> is due to an increase in the unit costs for samples, lab fees, and medical exams. </w:t>
      </w:r>
      <w:r w:rsidR="008B69E2">
        <w:rPr>
          <w:sz w:val="24"/>
          <w:szCs w:val="24"/>
        </w:rPr>
        <w:t>The unit cost for samples and lab fees</w:t>
      </w:r>
      <w:r w:rsidR="00530348">
        <w:rPr>
          <w:sz w:val="24"/>
          <w:szCs w:val="24"/>
        </w:rPr>
        <w:t xml:space="preserve"> increased from $583.27 to $591.22</w:t>
      </w:r>
      <w:r w:rsidR="008B69E2">
        <w:rPr>
          <w:sz w:val="24"/>
          <w:szCs w:val="24"/>
        </w:rPr>
        <w:t xml:space="preserve"> and medical exams </w:t>
      </w:r>
      <w:r w:rsidR="000D027B">
        <w:rPr>
          <w:sz w:val="24"/>
          <w:szCs w:val="24"/>
        </w:rPr>
        <w:t>increase</w:t>
      </w:r>
      <w:r w:rsidR="008B69E2">
        <w:rPr>
          <w:sz w:val="24"/>
          <w:szCs w:val="24"/>
        </w:rPr>
        <w:t xml:space="preserve">d from $558.84 to $567.31. </w:t>
      </w:r>
    </w:p>
    <w:p w:rsidR="006A59B7" w:rsidRDefault="00945D24" w:rsidP="00E35242">
      <w:pPr>
        <w:pStyle w:val="BodyTextFirstIndent"/>
        <w:ind w:firstLine="0"/>
        <w:rPr>
          <w:sz w:val="24"/>
          <w:szCs w:val="24"/>
        </w:rPr>
      </w:pPr>
      <w:r w:rsidRPr="0046031D">
        <w:rPr>
          <w:b/>
          <w:sz w:val="24"/>
          <w:szCs w:val="24"/>
        </w:rPr>
        <w:t xml:space="preserve">Table </w:t>
      </w:r>
      <w:r w:rsidR="000506B7">
        <w:rPr>
          <w:b/>
          <w:sz w:val="24"/>
          <w:szCs w:val="24"/>
        </w:rPr>
        <w:t>E</w:t>
      </w:r>
      <w:r w:rsidR="000506B7" w:rsidRPr="0046031D">
        <w:rPr>
          <w:b/>
          <w:sz w:val="24"/>
          <w:szCs w:val="24"/>
        </w:rPr>
        <w:t xml:space="preserve"> </w:t>
      </w:r>
      <w:r w:rsidRPr="0046031D">
        <w:rPr>
          <w:b/>
          <w:sz w:val="24"/>
          <w:szCs w:val="24"/>
        </w:rPr>
        <w:t>– Summary</w:t>
      </w:r>
      <w:r w:rsidR="00EE213F">
        <w:rPr>
          <w:b/>
          <w:sz w:val="24"/>
          <w:szCs w:val="24"/>
        </w:rPr>
        <w:t xml:space="preserve"> </w:t>
      </w:r>
      <w:r w:rsidRPr="0046031D">
        <w:rPr>
          <w:b/>
          <w:sz w:val="24"/>
          <w:szCs w:val="24"/>
        </w:rPr>
        <w:t>of Cost</w:t>
      </w:r>
      <w:r w:rsidR="00D75E53">
        <w:rPr>
          <w:b/>
          <w:sz w:val="24"/>
          <w:szCs w:val="24"/>
        </w:rPr>
        <w:t xml:space="preserve"> Adjustment Increase</w:t>
      </w:r>
    </w:p>
    <w:tbl>
      <w:tblPr>
        <w:tblStyle w:val="TableGrid"/>
        <w:tblW w:w="0" w:type="auto"/>
        <w:tblLook w:val="04A0" w:firstRow="1" w:lastRow="0" w:firstColumn="1" w:lastColumn="0" w:noHBand="0" w:noVBand="1"/>
      </w:tblPr>
      <w:tblGrid>
        <w:gridCol w:w="2149"/>
        <w:gridCol w:w="1455"/>
        <w:gridCol w:w="1994"/>
        <w:gridCol w:w="2740"/>
      </w:tblGrid>
      <w:tr w:rsidR="00D75E53" w:rsidRPr="008D23B7" w:rsidTr="00553BD8">
        <w:tc>
          <w:tcPr>
            <w:tcW w:w="2149" w:type="dxa"/>
            <w:shd w:val="clear" w:color="auto" w:fill="92D050"/>
          </w:tcPr>
          <w:p w:rsidR="00D75E53" w:rsidRPr="00D1070D" w:rsidRDefault="00D75E53" w:rsidP="00E35242">
            <w:pPr>
              <w:pStyle w:val="BodyTextFirstIndent"/>
              <w:ind w:firstLine="0"/>
              <w:rPr>
                <w:b/>
                <w:sz w:val="20"/>
                <w:szCs w:val="20"/>
              </w:rPr>
            </w:pPr>
            <w:r w:rsidRPr="00D1070D">
              <w:rPr>
                <w:b/>
                <w:sz w:val="20"/>
                <w:szCs w:val="20"/>
              </w:rPr>
              <w:t>Title</w:t>
            </w:r>
          </w:p>
        </w:tc>
        <w:tc>
          <w:tcPr>
            <w:tcW w:w="1455" w:type="dxa"/>
            <w:shd w:val="clear" w:color="auto" w:fill="92D050"/>
          </w:tcPr>
          <w:p w:rsidR="00D75E53" w:rsidRPr="00D1070D" w:rsidRDefault="00D75E53" w:rsidP="00E35242">
            <w:pPr>
              <w:pStyle w:val="BodyTextFirstIndent"/>
              <w:ind w:firstLine="0"/>
              <w:rPr>
                <w:b/>
                <w:sz w:val="20"/>
                <w:szCs w:val="20"/>
              </w:rPr>
            </w:pPr>
            <w:r w:rsidRPr="00D1070D">
              <w:rPr>
                <w:b/>
                <w:sz w:val="20"/>
                <w:szCs w:val="20"/>
              </w:rPr>
              <w:t>Current Cost</w:t>
            </w:r>
          </w:p>
        </w:tc>
        <w:tc>
          <w:tcPr>
            <w:tcW w:w="1994" w:type="dxa"/>
            <w:shd w:val="clear" w:color="auto" w:fill="92D050"/>
          </w:tcPr>
          <w:p w:rsidR="00D75E53" w:rsidRPr="00D1070D" w:rsidRDefault="00D75E53" w:rsidP="00CC326B">
            <w:pPr>
              <w:pStyle w:val="BodyTextFirstIndent"/>
              <w:ind w:firstLine="0"/>
              <w:rPr>
                <w:b/>
                <w:sz w:val="20"/>
                <w:szCs w:val="20"/>
              </w:rPr>
            </w:pPr>
            <w:r w:rsidRPr="00D1070D">
              <w:rPr>
                <w:b/>
                <w:sz w:val="20"/>
                <w:szCs w:val="20"/>
              </w:rPr>
              <w:t>Propose Cost Increase</w:t>
            </w:r>
            <w:r>
              <w:rPr>
                <w:b/>
                <w:sz w:val="20"/>
                <w:szCs w:val="20"/>
              </w:rPr>
              <w:t xml:space="preserve"> (</w:t>
            </w:r>
            <w:r w:rsidRPr="00D1070D">
              <w:rPr>
                <w:b/>
                <w:sz w:val="20"/>
                <w:szCs w:val="20"/>
              </w:rPr>
              <w:t>Adjustment</w:t>
            </w:r>
            <w:r>
              <w:rPr>
                <w:b/>
                <w:sz w:val="20"/>
                <w:szCs w:val="20"/>
              </w:rPr>
              <w:t>)</w:t>
            </w:r>
          </w:p>
        </w:tc>
        <w:tc>
          <w:tcPr>
            <w:tcW w:w="2740" w:type="dxa"/>
            <w:shd w:val="clear" w:color="auto" w:fill="92D050"/>
          </w:tcPr>
          <w:p w:rsidR="00D75E53" w:rsidRPr="00D1070D" w:rsidRDefault="00D75E53" w:rsidP="00D75E53">
            <w:pPr>
              <w:pStyle w:val="BodyTextFirstIndent"/>
              <w:ind w:firstLine="0"/>
              <w:rPr>
                <w:b/>
                <w:sz w:val="20"/>
                <w:szCs w:val="20"/>
              </w:rPr>
            </w:pPr>
            <w:r w:rsidRPr="00D1070D">
              <w:rPr>
                <w:b/>
                <w:sz w:val="20"/>
                <w:szCs w:val="20"/>
              </w:rPr>
              <w:t xml:space="preserve">  </w:t>
            </w:r>
            <w:r>
              <w:rPr>
                <w:b/>
                <w:sz w:val="20"/>
                <w:szCs w:val="20"/>
              </w:rPr>
              <w:t xml:space="preserve"> Adjusted </w:t>
            </w:r>
            <w:r w:rsidRPr="00D1070D">
              <w:rPr>
                <w:b/>
                <w:sz w:val="20"/>
                <w:szCs w:val="20"/>
              </w:rPr>
              <w:t xml:space="preserve">Burden Hours  due to Unit cost increases to Exposure Monitoring  and Medical Examinations </w:t>
            </w:r>
          </w:p>
        </w:tc>
      </w:tr>
      <w:tr w:rsidR="00D75E53" w:rsidRPr="008D23B7" w:rsidTr="00553BD8">
        <w:tc>
          <w:tcPr>
            <w:tcW w:w="2149" w:type="dxa"/>
          </w:tcPr>
          <w:p w:rsidR="00D75E53" w:rsidRPr="00D1070D" w:rsidRDefault="00D75E53" w:rsidP="00E35242">
            <w:pPr>
              <w:pStyle w:val="BodyTextFirstIndent"/>
              <w:ind w:firstLine="0"/>
              <w:rPr>
                <w:sz w:val="20"/>
                <w:szCs w:val="20"/>
              </w:rPr>
            </w:pPr>
            <w:r w:rsidRPr="00D1070D">
              <w:rPr>
                <w:sz w:val="20"/>
                <w:szCs w:val="20"/>
              </w:rPr>
              <w:t>Exposure Monitoring</w:t>
            </w:r>
          </w:p>
        </w:tc>
        <w:tc>
          <w:tcPr>
            <w:tcW w:w="1455" w:type="dxa"/>
          </w:tcPr>
          <w:p w:rsidR="00D75E53" w:rsidRPr="00D1070D" w:rsidRDefault="00D75E53">
            <w:pPr>
              <w:pStyle w:val="BodyTextFirstIndent"/>
              <w:ind w:firstLine="0"/>
              <w:rPr>
                <w:sz w:val="20"/>
                <w:szCs w:val="20"/>
              </w:rPr>
            </w:pPr>
            <w:r w:rsidRPr="00D1070D">
              <w:rPr>
                <w:sz w:val="20"/>
                <w:szCs w:val="20"/>
              </w:rPr>
              <w:t>$34,678,341</w:t>
            </w:r>
          </w:p>
        </w:tc>
        <w:tc>
          <w:tcPr>
            <w:tcW w:w="1994" w:type="dxa"/>
          </w:tcPr>
          <w:p w:rsidR="00D75E53" w:rsidRPr="00D1070D" w:rsidRDefault="00C47B38" w:rsidP="00945D24">
            <w:pPr>
              <w:pStyle w:val="BodyTextFirstIndent"/>
              <w:ind w:firstLine="0"/>
              <w:rPr>
                <w:sz w:val="20"/>
                <w:szCs w:val="20"/>
              </w:rPr>
            </w:pPr>
            <w:r>
              <w:rPr>
                <w:sz w:val="20"/>
                <w:szCs w:val="20"/>
              </w:rPr>
              <w:t>$475,494</w:t>
            </w:r>
          </w:p>
        </w:tc>
        <w:tc>
          <w:tcPr>
            <w:tcW w:w="2740" w:type="dxa"/>
          </w:tcPr>
          <w:p w:rsidR="00D75E53" w:rsidRPr="00D1070D" w:rsidRDefault="00D75E53">
            <w:pPr>
              <w:pStyle w:val="BodyTextFirstIndent"/>
              <w:ind w:firstLine="0"/>
              <w:rPr>
                <w:sz w:val="20"/>
                <w:szCs w:val="20"/>
              </w:rPr>
            </w:pPr>
            <w:r w:rsidRPr="00D1070D">
              <w:rPr>
                <w:sz w:val="20"/>
                <w:szCs w:val="20"/>
              </w:rPr>
              <w:t>$35,</w:t>
            </w:r>
            <w:r w:rsidR="00D17E98">
              <w:rPr>
                <w:sz w:val="20"/>
                <w:szCs w:val="20"/>
              </w:rPr>
              <w:t>15</w:t>
            </w:r>
            <w:r w:rsidR="003B0350">
              <w:rPr>
                <w:sz w:val="20"/>
                <w:szCs w:val="20"/>
              </w:rPr>
              <w:t>3,835</w:t>
            </w:r>
          </w:p>
        </w:tc>
      </w:tr>
      <w:tr w:rsidR="00D75E53" w:rsidRPr="008D23B7" w:rsidTr="00553BD8">
        <w:tc>
          <w:tcPr>
            <w:tcW w:w="2149" w:type="dxa"/>
          </w:tcPr>
          <w:p w:rsidR="00D75E53" w:rsidRPr="00D1070D" w:rsidRDefault="00D75E53" w:rsidP="00E35242">
            <w:pPr>
              <w:pStyle w:val="BodyTextFirstIndent"/>
              <w:ind w:firstLine="0"/>
              <w:rPr>
                <w:sz w:val="20"/>
                <w:szCs w:val="20"/>
              </w:rPr>
            </w:pPr>
            <w:r w:rsidRPr="00D1070D">
              <w:rPr>
                <w:sz w:val="20"/>
                <w:szCs w:val="20"/>
              </w:rPr>
              <w:t>Medical Exams</w:t>
            </w:r>
          </w:p>
        </w:tc>
        <w:tc>
          <w:tcPr>
            <w:tcW w:w="1455" w:type="dxa"/>
          </w:tcPr>
          <w:p w:rsidR="00D75E53" w:rsidRPr="00D1070D" w:rsidRDefault="00D75E53" w:rsidP="00E35242">
            <w:pPr>
              <w:pStyle w:val="BodyTextFirstIndent"/>
              <w:ind w:firstLine="0"/>
              <w:rPr>
                <w:sz w:val="20"/>
                <w:szCs w:val="20"/>
              </w:rPr>
            </w:pPr>
            <w:r w:rsidRPr="00D1070D">
              <w:rPr>
                <w:sz w:val="20"/>
                <w:szCs w:val="20"/>
              </w:rPr>
              <w:t>$11,479,132</w:t>
            </w:r>
          </w:p>
        </w:tc>
        <w:tc>
          <w:tcPr>
            <w:tcW w:w="1994" w:type="dxa"/>
          </w:tcPr>
          <w:p w:rsidR="00D75E53" w:rsidRPr="00D1070D" w:rsidRDefault="00D75E53" w:rsidP="00945D24">
            <w:pPr>
              <w:pStyle w:val="BodyTextFirstIndent"/>
              <w:ind w:firstLine="0"/>
              <w:rPr>
                <w:sz w:val="20"/>
                <w:szCs w:val="20"/>
              </w:rPr>
            </w:pPr>
            <w:r w:rsidRPr="00D1070D">
              <w:rPr>
                <w:sz w:val="20"/>
                <w:szCs w:val="20"/>
              </w:rPr>
              <w:t>$173,983</w:t>
            </w:r>
          </w:p>
        </w:tc>
        <w:tc>
          <w:tcPr>
            <w:tcW w:w="2740" w:type="dxa"/>
          </w:tcPr>
          <w:p w:rsidR="00D75E53" w:rsidRPr="00D1070D" w:rsidRDefault="00D75E53" w:rsidP="00945D24">
            <w:pPr>
              <w:pStyle w:val="BodyTextFirstIndent"/>
              <w:ind w:firstLine="0"/>
              <w:rPr>
                <w:sz w:val="20"/>
                <w:szCs w:val="20"/>
              </w:rPr>
            </w:pPr>
            <w:r w:rsidRPr="00D1070D">
              <w:rPr>
                <w:sz w:val="20"/>
                <w:szCs w:val="20"/>
              </w:rPr>
              <w:t>$11,653,115</w:t>
            </w:r>
          </w:p>
        </w:tc>
      </w:tr>
      <w:tr w:rsidR="00D75E53" w:rsidRPr="008D23B7" w:rsidTr="004F23B1">
        <w:trPr>
          <w:trHeight w:val="575"/>
        </w:trPr>
        <w:tc>
          <w:tcPr>
            <w:tcW w:w="2149" w:type="dxa"/>
          </w:tcPr>
          <w:p w:rsidR="00D75E53" w:rsidRPr="00D1070D" w:rsidRDefault="00D75E53" w:rsidP="006A59B7">
            <w:pPr>
              <w:pStyle w:val="BodyTextFirstIndent"/>
              <w:ind w:firstLine="0"/>
              <w:rPr>
                <w:sz w:val="20"/>
                <w:szCs w:val="20"/>
              </w:rPr>
            </w:pPr>
            <w:r w:rsidRPr="00D1070D">
              <w:rPr>
                <w:sz w:val="20"/>
                <w:szCs w:val="20"/>
              </w:rPr>
              <w:t>Respirator fit Testing Materials</w:t>
            </w:r>
          </w:p>
        </w:tc>
        <w:tc>
          <w:tcPr>
            <w:tcW w:w="1455" w:type="dxa"/>
          </w:tcPr>
          <w:p w:rsidR="00D75E53" w:rsidRPr="00D1070D" w:rsidRDefault="00D75E53" w:rsidP="00E35242">
            <w:pPr>
              <w:pStyle w:val="BodyTextFirstIndent"/>
              <w:ind w:firstLine="0"/>
              <w:rPr>
                <w:sz w:val="20"/>
                <w:szCs w:val="20"/>
              </w:rPr>
            </w:pPr>
            <w:r w:rsidRPr="00D1070D">
              <w:rPr>
                <w:sz w:val="20"/>
                <w:szCs w:val="20"/>
              </w:rPr>
              <w:t>$793</w:t>
            </w:r>
          </w:p>
        </w:tc>
        <w:tc>
          <w:tcPr>
            <w:tcW w:w="1994" w:type="dxa"/>
          </w:tcPr>
          <w:p w:rsidR="00D75E53" w:rsidRPr="00D1070D" w:rsidRDefault="00D75E53" w:rsidP="00945D24">
            <w:pPr>
              <w:pStyle w:val="BodyTextFirstIndent"/>
              <w:ind w:firstLine="0"/>
              <w:rPr>
                <w:sz w:val="20"/>
                <w:szCs w:val="20"/>
              </w:rPr>
            </w:pPr>
            <w:r>
              <w:rPr>
                <w:sz w:val="20"/>
                <w:szCs w:val="20"/>
              </w:rPr>
              <w:t>0</w:t>
            </w:r>
          </w:p>
        </w:tc>
        <w:tc>
          <w:tcPr>
            <w:tcW w:w="2740" w:type="dxa"/>
          </w:tcPr>
          <w:p w:rsidR="00D75E53" w:rsidRPr="00D1070D" w:rsidRDefault="00D75E53" w:rsidP="00945D24">
            <w:pPr>
              <w:pStyle w:val="BodyTextFirstIndent"/>
              <w:ind w:firstLine="0"/>
              <w:rPr>
                <w:sz w:val="20"/>
                <w:szCs w:val="20"/>
              </w:rPr>
            </w:pPr>
            <w:r w:rsidRPr="00D1070D">
              <w:rPr>
                <w:sz w:val="20"/>
                <w:szCs w:val="20"/>
              </w:rPr>
              <w:t>$793</w:t>
            </w:r>
          </w:p>
        </w:tc>
      </w:tr>
      <w:tr w:rsidR="00D75E53" w:rsidRPr="008D23B7" w:rsidTr="00553BD8">
        <w:tc>
          <w:tcPr>
            <w:tcW w:w="2149" w:type="dxa"/>
            <w:shd w:val="clear" w:color="auto" w:fill="F2F2F2" w:themeFill="background1" w:themeFillShade="F2"/>
          </w:tcPr>
          <w:p w:rsidR="00D75E53" w:rsidRPr="00D1070D" w:rsidRDefault="00D75E53" w:rsidP="00E35242">
            <w:pPr>
              <w:pStyle w:val="BodyTextFirstIndent"/>
              <w:ind w:firstLine="0"/>
              <w:rPr>
                <w:b/>
                <w:sz w:val="20"/>
                <w:szCs w:val="20"/>
              </w:rPr>
            </w:pPr>
            <w:r w:rsidRPr="00D1070D">
              <w:rPr>
                <w:b/>
                <w:sz w:val="20"/>
                <w:szCs w:val="20"/>
              </w:rPr>
              <w:t>Total</w:t>
            </w:r>
          </w:p>
        </w:tc>
        <w:tc>
          <w:tcPr>
            <w:tcW w:w="1455" w:type="dxa"/>
            <w:shd w:val="clear" w:color="auto" w:fill="F2F2F2" w:themeFill="background1" w:themeFillShade="F2"/>
          </w:tcPr>
          <w:p w:rsidR="00D75E53" w:rsidRPr="00D1070D" w:rsidRDefault="00D75E53" w:rsidP="00E35242">
            <w:pPr>
              <w:pStyle w:val="BodyTextFirstIndent"/>
              <w:ind w:firstLine="0"/>
              <w:rPr>
                <w:b/>
                <w:sz w:val="20"/>
                <w:szCs w:val="20"/>
              </w:rPr>
            </w:pPr>
            <w:r w:rsidRPr="00D1070D">
              <w:rPr>
                <w:b/>
                <w:sz w:val="20"/>
                <w:szCs w:val="20"/>
              </w:rPr>
              <w:t>$46,158,266</w:t>
            </w:r>
          </w:p>
        </w:tc>
        <w:tc>
          <w:tcPr>
            <w:tcW w:w="1994" w:type="dxa"/>
            <w:shd w:val="clear" w:color="auto" w:fill="F2F2F2" w:themeFill="background1" w:themeFillShade="F2"/>
          </w:tcPr>
          <w:p w:rsidR="00D75E53" w:rsidRPr="00D1070D" w:rsidRDefault="00C47B38" w:rsidP="00D75E53">
            <w:pPr>
              <w:pStyle w:val="BodyTextFirstIndent"/>
              <w:ind w:firstLine="0"/>
              <w:rPr>
                <w:b/>
                <w:sz w:val="20"/>
                <w:szCs w:val="20"/>
              </w:rPr>
            </w:pPr>
            <w:r>
              <w:rPr>
                <w:b/>
                <w:sz w:val="20"/>
                <w:szCs w:val="20"/>
              </w:rPr>
              <w:t>$649,477</w:t>
            </w:r>
            <w:r w:rsidR="00D75E53">
              <w:rPr>
                <w:b/>
                <w:sz w:val="20"/>
                <w:szCs w:val="20"/>
              </w:rPr>
              <w:t xml:space="preserve"> (</w:t>
            </w:r>
            <w:proofErr w:type="spellStart"/>
            <w:r w:rsidR="00D75E53">
              <w:rPr>
                <w:b/>
                <w:sz w:val="20"/>
                <w:szCs w:val="20"/>
              </w:rPr>
              <w:t>Adj</w:t>
            </w:r>
            <w:proofErr w:type="spellEnd"/>
            <w:r w:rsidR="00D75E53">
              <w:rPr>
                <w:b/>
                <w:sz w:val="20"/>
                <w:szCs w:val="20"/>
              </w:rPr>
              <w:t>)</w:t>
            </w:r>
          </w:p>
        </w:tc>
        <w:tc>
          <w:tcPr>
            <w:tcW w:w="2740" w:type="dxa"/>
            <w:shd w:val="clear" w:color="auto" w:fill="F2F2F2" w:themeFill="background1" w:themeFillShade="F2"/>
          </w:tcPr>
          <w:p w:rsidR="00D75E53" w:rsidRPr="00D1070D" w:rsidRDefault="00D75E53" w:rsidP="00D75E53">
            <w:pPr>
              <w:pStyle w:val="BodyTextFirstIndent"/>
              <w:ind w:firstLine="0"/>
              <w:rPr>
                <w:b/>
                <w:sz w:val="20"/>
                <w:szCs w:val="20"/>
              </w:rPr>
            </w:pPr>
            <w:r w:rsidRPr="00D1070D">
              <w:rPr>
                <w:b/>
                <w:sz w:val="20"/>
                <w:szCs w:val="20"/>
              </w:rPr>
              <w:t>$46,80</w:t>
            </w:r>
            <w:r w:rsidR="00D17E98">
              <w:rPr>
                <w:b/>
                <w:sz w:val="20"/>
                <w:szCs w:val="20"/>
              </w:rPr>
              <w:t>7</w:t>
            </w:r>
            <w:r w:rsidR="003B0350">
              <w:rPr>
                <w:b/>
                <w:sz w:val="20"/>
                <w:szCs w:val="20"/>
              </w:rPr>
              <w:t>,743</w:t>
            </w:r>
          </w:p>
        </w:tc>
      </w:tr>
    </w:tbl>
    <w:p w:rsidR="00EE213F" w:rsidRDefault="00EE213F" w:rsidP="00E35242">
      <w:pPr>
        <w:pStyle w:val="BodyTextFirstIndent"/>
        <w:ind w:firstLine="0"/>
        <w:rPr>
          <w:b/>
          <w:sz w:val="24"/>
          <w:szCs w:val="24"/>
        </w:rPr>
      </w:pPr>
    </w:p>
    <w:p w:rsidR="006A59B7" w:rsidRDefault="00EE213F" w:rsidP="00E35242">
      <w:pPr>
        <w:pStyle w:val="BodyTextFirstIndent"/>
        <w:ind w:firstLine="0"/>
        <w:rPr>
          <w:sz w:val="24"/>
          <w:szCs w:val="24"/>
        </w:rPr>
      </w:pPr>
      <w:r>
        <w:rPr>
          <w:b/>
          <w:sz w:val="24"/>
          <w:szCs w:val="24"/>
        </w:rPr>
        <w:lastRenderedPageBreak/>
        <w:t xml:space="preserve"> Table F - Annualizing Adjusted Costs</w:t>
      </w:r>
      <w:r w:rsidR="004F0562">
        <w:rPr>
          <w:sz w:val="24"/>
          <w:szCs w:val="24"/>
        </w:rPr>
        <w:t>:</w:t>
      </w:r>
    </w:p>
    <w:p w:rsidR="004F0562" w:rsidRDefault="009A35FA" w:rsidP="00E35242">
      <w:pPr>
        <w:pStyle w:val="BodyTextFirstIndent"/>
        <w:ind w:firstLine="0"/>
        <w:rPr>
          <w:sz w:val="24"/>
          <w:szCs w:val="24"/>
        </w:rPr>
      </w:pPr>
      <w:r>
        <w:rPr>
          <w:sz w:val="24"/>
          <w:szCs w:val="24"/>
        </w:rPr>
        <w:t xml:space="preserve">OSHA has annualized </w:t>
      </w:r>
      <w:r w:rsidR="007B3EC2">
        <w:rPr>
          <w:sz w:val="24"/>
          <w:szCs w:val="24"/>
        </w:rPr>
        <w:t>the existing capital cost estimate of</w:t>
      </w:r>
      <w:r w:rsidR="0021787C">
        <w:rPr>
          <w:sz w:val="24"/>
          <w:szCs w:val="24"/>
        </w:rPr>
        <w:t xml:space="preserve"> $</w:t>
      </w:r>
      <w:r w:rsidR="0021787C" w:rsidRPr="00E02CF4">
        <w:rPr>
          <w:sz w:val="24"/>
          <w:szCs w:val="24"/>
        </w:rPr>
        <w:t>46,</w:t>
      </w:r>
      <w:r>
        <w:rPr>
          <w:sz w:val="24"/>
          <w:szCs w:val="24"/>
        </w:rPr>
        <w:t>80</w:t>
      </w:r>
      <w:r w:rsidR="003B0350">
        <w:rPr>
          <w:sz w:val="24"/>
          <w:szCs w:val="24"/>
        </w:rPr>
        <w:t>7</w:t>
      </w:r>
      <w:r w:rsidR="0021787C" w:rsidRPr="00E02CF4">
        <w:rPr>
          <w:sz w:val="24"/>
          <w:szCs w:val="24"/>
        </w:rPr>
        <w:t>,</w:t>
      </w:r>
      <w:r w:rsidR="003B0350">
        <w:rPr>
          <w:sz w:val="24"/>
          <w:szCs w:val="24"/>
        </w:rPr>
        <w:t>743</w:t>
      </w:r>
      <w:r w:rsidR="0021787C" w:rsidRPr="00E02CF4">
        <w:rPr>
          <w:sz w:val="24"/>
          <w:szCs w:val="24"/>
        </w:rPr>
        <w:t xml:space="preserve"> to</w:t>
      </w:r>
      <w:r w:rsidR="007B3EC2">
        <w:rPr>
          <w:sz w:val="24"/>
          <w:szCs w:val="24"/>
        </w:rPr>
        <w:t xml:space="preserve"> $</w:t>
      </w:r>
      <w:r w:rsidR="00697A2B">
        <w:rPr>
          <w:sz w:val="24"/>
          <w:szCs w:val="24"/>
        </w:rPr>
        <w:t>30,</w:t>
      </w:r>
      <w:r>
        <w:rPr>
          <w:sz w:val="24"/>
          <w:szCs w:val="24"/>
        </w:rPr>
        <w:t>56</w:t>
      </w:r>
      <w:r w:rsidR="00330D8C">
        <w:rPr>
          <w:sz w:val="24"/>
          <w:szCs w:val="24"/>
        </w:rPr>
        <w:t>4,990</w:t>
      </w:r>
      <w:r>
        <w:rPr>
          <w:sz w:val="24"/>
          <w:szCs w:val="24"/>
        </w:rPr>
        <w:t xml:space="preserve"> annually</w:t>
      </w:r>
      <w:r w:rsidR="00C47B38">
        <w:rPr>
          <w:sz w:val="24"/>
          <w:szCs w:val="24"/>
        </w:rPr>
        <w:t>, an adjustment decrease of $16,242,753</w:t>
      </w:r>
      <w:r>
        <w:rPr>
          <w:sz w:val="24"/>
          <w:szCs w:val="24"/>
        </w:rPr>
        <w:t>.</w:t>
      </w:r>
      <w:r w:rsidR="007B3EC2">
        <w:rPr>
          <w:sz w:val="24"/>
          <w:szCs w:val="24"/>
        </w:rPr>
        <w:t xml:space="preserve"> </w:t>
      </w:r>
      <w:r>
        <w:rPr>
          <w:sz w:val="24"/>
          <w:szCs w:val="24"/>
        </w:rPr>
        <w:t xml:space="preserve"> In addition, d</w:t>
      </w:r>
      <w:r w:rsidR="007B3EC2">
        <w:rPr>
          <w:sz w:val="24"/>
          <w:szCs w:val="24"/>
        </w:rPr>
        <w:t>ue to the removal of construction and maritime, the capital cost estimate</w:t>
      </w:r>
      <w:r w:rsidR="0021787C">
        <w:rPr>
          <w:sz w:val="24"/>
          <w:szCs w:val="24"/>
        </w:rPr>
        <w:t>d</w:t>
      </w:r>
      <w:r w:rsidR="007B3EC2">
        <w:rPr>
          <w:sz w:val="24"/>
          <w:szCs w:val="24"/>
        </w:rPr>
        <w:t xml:space="preserve"> for general industry </w:t>
      </w:r>
      <w:r w:rsidR="00E45D0A">
        <w:rPr>
          <w:sz w:val="24"/>
          <w:szCs w:val="24"/>
        </w:rPr>
        <w:t xml:space="preserve">when annualized is </w:t>
      </w:r>
      <w:r w:rsidR="007B3EC2">
        <w:rPr>
          <w:sz w:val="24"/>
          <w:szCs w:val="24"/>
        </w:rPr>
        <w:t>$</w:t>
      </w:r>
      <w:r w:rsidR="00854FA9">
        <w:rPr>
          <w:sz w:val="24"/>
          <w:szCs w:val="24"/>
        </w:rPr>
        <w:t>20,584,20</w:t>
      </w:r>
      <w:r w:rsidR="006E0338">
        <w:rPr>
          <w:sz w:val="24"/>
          <w:szCs w:val="24"/>
        </w:rPr>
        <w:t>9</w:t>
      </w:r>
      <w:r w:rsidR="007B3EC2">
        <w:rPr>
          <w:sz w:val="24"/>
          <w:szCs w:val="24"/>
        </w:rPr>
        <w:t xml:space="preserve"> and </w:t>
      </w:r>
      <w:r w:rsidR="00E45D0A">
        <w:rPr>
          <w:sz w:val="24"/>
          <w:szCs w:val="24"/>
        </w:rPr>
        <w:t>the annualized capit</w:t>
      </w:r>
      <w:r w:rsidR="00EE213F">
        <w:rPr>
          <w:sz w:val="24"/>
          <w:szCs w:val="24"/>
        </w:rPr>
        <w:t>a</w:t>
      </w:r>
      <w:r w:rsidR="00E45D0A">
        <w:rPr>
          <w:sz w:val="24"/>
          <w:szCs w:val="24"/>
        </w:rPr>
        <w:t xml:space="preserve">l cost </w:t>
      </w:r>
      <w:r w:rsidR="007B3EC2">
        <w:rPr>
          <w:sz w:val="24"/>
          <w:szCs w:val="24"/>
        </w:rPr>
        <w:t xml:space="preserve"> for </w:t>
      </w:r>
      <w:r w:rsidR="00E45D0A">
        <w:rPr>
          <w:sz w:val="24"/>
          <w:szCs w:val="24"/>
        </w:rPr>
        <w:t xml:space="preserve">removing the </w:t>
      </w:r>
      <w:r w:rsidR="007B3EC2">
        <w:rPr>
          <w:sz w:val="24"/>
          <w:szCs w:val="24"/>
        </w:rPr>
        <w:t xml:space="preserve">construction and maritime industries </w:t>
      </w:r>
      <w:r w:rsidR="00E45D0A">
        <w:rPr>
          <w:sz w:val="24"/>
          <w:szCs w:val="24"/>
        </w:rPr>
        <w:t xml:space="preserve">is </w:t>
      </w:r>
      <w:r w:rsidR="007B3EC2">
        <w:rPr>
          <w:sz w:val="24"/>
          <w:szCs w:val="24"/>
        </w:rPr>
        <w:t xml:space="preserve"> a program change </w:t>
      </w:r>
      <w:r w:rsidR="00FD4FE2">
        <w:rPr>
          <w:sz w:val="24"/>
          <w:szCs w:val="24"/>
        </w:rPr>
        <w:t xml:space="preserve">decrease </w:t>
      </w:r>
      <w:bookmarkStart w:id="22" w:name="_GoBack"/>
      <w:bookmarkEnd w:id="22"/>
      <w:r w:rsidR="007B3EC2">
        <w:rPr>
          <w:sz w:val="24"/>
          <w:szCs w:val="24"/>
        </w:rPr>
        <w:t>of $</w:t>
      </w:r>
      <w:r w:rsidR="000506B7" w:rsidRPr="00D1070D">
        <w:rPr>
          <w:sz w:val="24"/>
          <w:szCs w:val="24"/>
        </w:rPr>
        <w:t>9,980,</w:t>
      </w:r>
      <w:r w:rsidR="006E0338">
        <w:rPr>
          <w:sz w:val="24"/>
          <w:szCs w:val="24"/>
        </w:rPr>
        <w:t>781</w:t>
      </w:r>
      <w:r w:rsidR="007B3EC2">
        <w:rPr>
          <w:sz w:val="24"/>
          <w:szCs w:val="24"/>
        </w:rPr>
        <w:t>.</w:t>
      </w:r>
    </w:p>
    <w:tbl>
      <w:tblPr>
        <w:tblW w:w="10880" w:type="dxa"/>
        <w:tblInd w:w="-756" w:type="dxa"/>
        <w:tblLook w:val="04A0" w:firstRow="1" w:lastRow="0" w:firstColumn="1" w:lastColumn="0" w:noHBand="0" w:noVBand="1"/>
      </w:tblPr>
      <w:tblGrid>
        <w:gridCol w:w="2304"/>
        <w:gridCol w:w="1440"/>
        <w:gridCol w:w="1876"/>
        <w:gridCol w:w="1640"/>
        <w:gridCol w:w="1434"/>
        <w:gridCol w:w="2186"/>
      </w:tblGrid>
      <w:tr w:rsidR="00C47B38" w:rsidRPr="00EE213F" w:rsidTr="00D1070D">
        <w:trPr>
          <w:trHeight w:val="1500"/>
        </w:trPr>
        <w:tc>
          <w:tcPr>
            <w:tcW w:w="2304" w:type="dxa"/>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Title</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Current Burden Hours with Adjusted Cost Increase</w:t>
            </w:r>
          </w:p>
        </w:tc>
        <w:tc>
          <w:tcPr>
            <w:tcW w:w="1876" w:type="dxa"/>
            <w:tcBorders>
              <w:top w:val="single" w:sz="8" w:space="0" w:color="auto"/>
              <w:left w:val="nil"/>
              <w:bottom w:val="nil"/>
              <w:right w:val="single" w:sz="8" w:space="0" w:color="auto"/>
            </w:tcBorders>
            <w:shd w:val="clear" w:color="000000" w:fill="92D050"/>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Adjus</w:t>
            </w:r>
            <w:r w:rsidR="00330D8C">
              <w:rPr>
                <w:rFonts w:eastAsia="Times New Roman"/>
                <w:b/>
                <w:bCs/>
                <w:color w:val="000000"/>
                <w:sz w:val="20"/>
                <w:szCs w:val="20"/>
                <w:lang w:eastAsia="en-US"/>
              </w:rPr>
              <w:t>t</w:t>
            </w:r>
            <w:r w:rsidRPr="00EE213F">
              <w:rPr>
                <w:rFonts w:eastAsia="Times New Roman"/>
                <w:b/>
                <w:bCs/>
                <w:color w:val="000000"/>
                <w:sz w:val="20"/>
                <w:szCs w:val="20"/>
                <w:lang w:eastAsia="en-US"/>
              </w:rPr>
              <w:t>ment Resulting From Annualization</w:t>
            </w:r>
          </w:p>
        </w:tc>
        <w:tc>
          <w:tcPr>
            <w:tcW w:w="1640" w:type="dxa"/>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Annualized Costs Over Three-year Period</w:t>
            </w:r>
          </w:p>
        </w:tc>
        <w:tc>
          <w:tcPr>
            <w:tcW w:w="1434" w:type="dxa"/>
            <w:tcBorders>
              <w:top w:val="single" w:sz="8" w:space="0" w:color="auto"/>
              <w:left w:val="nil"/>
              <w:bottom w:val="nil"/>
              <w:right w:val="single" w:sz="8" w:space="0" w:color="auto"/>
            </w:tcBorders>
            <w:shd w:val="clear" w:color="000000" w:fill="92D050"/>
            <w:vAlign w:val="center"/>
            <w:hideMark/>
          </w:tcPr>
          <w:p w:rsidR="00EE213F" w:rsidRPr="00EE213F" w:rsidRDefault="006E0338" w:rsidP="00EE213F">
            <w:pPr>
              <w:autoSpaceDE/>
              <w:autoSpaceDN/>
              <w:rPr>
                <w:rFonts w:eastAsia="Times New Roman"/>
                <w:b/>
                <w:bCs/>
                <w:color w:val="000000"/>
                <w:sz w:val="20"/>
                <w:szCs w:val="20"/>
                <w:lang w:eastAsia="en-US"/>
              </w:rPr>
            </w:pPr>
            <w:r>
              <w:rPr>
                <w:rFonts w:eastAsia="Times New Roman"/>
                <w:b/>
                <w:bCs/>
                <w:color w:val="000000"/>
                <w:sz w:val="20"/>
                <w:szCs w:val="20"/>
                <w:lang w:eastAsia="en-US"/>
              </w:rPr>
              <w:t>Cost Savings</w:t>
            </w:r>
          </w:p>
        </w:tc>
        <w:tc>
          <w:tcPr>
            <w:tcW w:w="2186" w:type="dxa"/>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Requested Annualized  Cost</w:t>
            </w:r>
          </w:p>
        </w:tc>
      </w:tr>
      <w:tr w:rsidR="00C47B38" w:rsidRPr="00EE213F" w:rsidTr="00D1070D">
        <w:trPr>
          <w:trHeight w:val="300"/>
        </w:trPr>
        <w:tc>
          <w:tcPr>
            <w:tcW w:w="2304" w:type="dxa"/>
            <w:vMerge/>
            <w:tcBorders>
              <w:top w:val="single" w:sz="8" w:space="0" w:color="auto"/>
              <w:left w:val="single" w:sz="8" w:space="0" w:color="auto"/>
              <w:bottom w:val="single" w:sz="8" w:space="0" w:color="000000"/>
              <w:right w:val="single" w:sz="8" w:space="0" w:color="auto"/>
            </w:tcBorders>
            <w:vAlign w:val="center"/>
            <w:hideMark/>
          </w:tcPr>
          <w:p w:rsidR="00EE213F" w:rsidRPr="00EE213F" w:rsidRDefault="00EE213F" w:rsidP="00EE213F">
            <w:pPr>
              <w:autoSpaceDE/>
              <w:autoSpaceDN/>
              <w:rPr>
                <w:rFonts w:eastAsia="Times New Roman"/>
                <w:b/>
                <w:bCs/>
                <w:color w:val="000000"/>
                <w:sz w:val="20"/>
                <w:szCs w:val="20"/>
                <w:lang w:eastAsia="en-US"/>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EE213F" w:rsidRPr="00EE213F" w:rsidRDefault="00EE213F" w:rsidP="00EE213F">
            <w:pPr>
              <w:autoSpaceDE/>
              <w:autoSpaceDN/>
              <w:rPr>
                <w:rFonts w:eastAsia="Times New Roman"/>
                <w:b/>
                <w:bCs/>
                <w:color w:val="000000"/>
                <w:sz w:val="20"/>
                <w:szCs w:val="20"/>
                <w:lang w:eastAsia="en-US"/>
              </w:rPr>
            </w:pPr>
          </w:p>
        </w:tc>
        <w:tc>
          <w:tcPr>
            <w:tcW w:w="1876" w:type="dxa"/>
            <w:tcBorders>
              <w:top w:val="nil"/>
              <w:left w:val="nil"/>
              <w:bottom w:val="single" w:sz="8" w:space="0" w:color="auto"/>
              <w:right w:val="single" w:sz="8" w:space="0" w:color="auto"/>
            </w:tcBorders>
            <w:shd w:val="clear" w:color="000000" w:fill="92D050"/>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 </w:t>
            </w: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EE213F" w:rsidRPr="00EE213F" w:rsidRDefault="00EE213F" w:rsidP="00EE213F">
            <w:pPr>
              <w:autoSpaceDE/>
              <w:autoSpaceDN/>
              <w:rPr>
                <w:rFonts w:eastAsia="Times New Roman"/>
                <w:b/>
                <w:bCs/>
                <w:color w:val="000000"/>
                <w:sz w:val="20"/>
                <w:szCs w:val="20"/>
                <w:lang w:eastAsia="en-US"/>
              </w:rPr>
            </w:pPr>
          </w:p>
        </w:tc>
        <w:tc>
          <w:tcPr>
            <w:tcW w:w="1434" w:type="dxa"/>
            <w:tcBorders>
              <w:top w:val="nil"/>
              <w:left w:val="nil"/>
              <w:bottom w:val="single" w:sz="8" w:space="0" w:color="auto"/>
              <w:right w:val="single" w:sz="8" w:space="0" w:color="auto"/>
            </w:tcBorders>
            <w:shd w:val="clear" w:color="000000" w:fill="92D050"/>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(Program Change)</w:t>
            </w:r>
          </w:p>
        </w:tc>
        <w:tc>
          <w:tcPr>
            <w:tcW w:w="2186" w:type="dxa"/>
            <w:vMerge/>
            <w:tcBorders>
              <w:top w:val="single" w:sz="8" w:space="0" w:color="auto"/>
              <w:left w:val="single" w:sz="8" w:space="0" w:color="auto"/>
              <w:bottom w:val="single" w:sz="8" w:space="0" w:color="000000"/>
              <w:right w:val="single" w:sz="8" w:space="0" w:color="auto"/>
            </w:tcBorders>
            <w:vAlign w:val="center"/>
            <w:hideMark/>
          </w:tcPr>
          <w:p w:rsidR="00EE213F" w:rsidRPr="00EE213F" w:rsidRDefault="00EE213F" w:rsidP="00EE213F">
            <w:pPr>
              <w:autoSpaceDE/>
              <w:autoSpaceDN/>
              <w:rPr>
                <w:rFonts w:eastAsia="Times New Roman"/>
                <w:b/>
                <w:bCs/>
                <w:color w:val="000000"/>
                <w:sz w:val="20"/>
                <w:szCs w:val="20"/>
                <w:lang w:eastAsia="en-US"/>
              </w:rPr>
            </w:pPr>
          </w:p>
        </w:tc>
      </w:tr>
      <w:tr w:rsidR="00C47B38" w:rsidRPr="00EE213F" w:rsidTr="00C47B38">
        <w:trPr>
          <w:trHeight w:val="300"/>
        </w:trPr>
        <w:tc>
          <w:tcPr>
            <w:tcW w:w="2304" w:type="dxa"/>
            <w:tcBorders>
              <w:top w:val="nil"/>
              <w:left w:val="single" w:sz="8" w:space="0" w:color="auto"/>
              <w:bottom w:val="single" w:sz="8" w:space="0" w:color="auto"/>
              <w:right w:val="single" w:sz="8" w:space="0" w:color="auto"/>
            </w:tcBorders>
            <w:shd w:val="clear" w:color="auto" w:fill="auto"/>
            <w:vAlign w:val="center"/>
            <w:hideMark/>
          </w:tcPr>
          <w:p w:rsidR="00EE213F" w:rsidRPr="00EE213F" w:rsidRDefault="00EE213F" w:rsidP="00EE213F">
            <w:pPr>
              <w:autoSpaceDE/>
              <w:autoSpaceDN/>
              <w:rPr>
                <w:rFonts w:eastAsia="Times New Roman"/>
                <w:color w:val="000000"/>
                <w:sz w:val="20"/>
                <w:szCs w:val="20"/>
                <w:lang w:eastAsia="en-US"/>
              </w:rPr>
            </w:pPr>
            <w:r w:rsidRPr="00EE213F">
              <w:rPr>
                <w:rFonts w:eastAsia="Times New Roman"/>
                <w:color w:val="000000"/>
                <w:sz w:val="20"/>
                <w:szCs w:val="20"/>
                <w:lang w:eastAsia="en-US"/>
              </w:rPr>
              <w:t>Exposure Monitoring</w:t>
            </w:r>
          </w:p>
        </w:tc>
        <w:tc>
          <w:tcPr>
            <w:tcW w:w="1440"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$35,153,835 </w:t>
            </w:r>
          </w:p>
        </w:tc>
        <w:tc>
          <w:tcPr>
            <w:tcW w:w="1876" w:type="dxa"/>
            <w:tcBorders>
              <w:top w:val="nil"/>
              <w:left w:val="nil"/>
              <w:bottom w:val="single" w:sz="8" w:space="0" w:color="auto"/>
              <w:right w:val="single" w:sz="8" w:space="0" w:color="auto"/>
            </w:tcBorders>
            <w:shd w:val="clear" w:color="auto" w:fill="auto"/>
            <w:vAlign w:val="center"/>
            <w:hideMark/>
          </w:tcPr>
          <w:p w:rsidR="00EE213F" w:rsidRPr="00D1070D" w:rsidRDefault="00C47B38" w:rsidP="00EE213F">
            <w:pPr>
              <w:autoSpaceDE/>
              <w:autoSpaceDN/>
              <w:jc w:val="right"/>
              <w:rPr>
                <w:rFonts w:eastAsia="Times New Roman"/>
                <w:sz w:val="20"/>
                <w:szCs w:val="20"/>
                <w:lang w:eastAsia="en-US"/>
              </w:rPr>
            </w:pPr>
            <w:r>
              <w:rPr>
                <w:rFonts w:eastAsia="Times New Roman"/>
                <w:sz w:val="20"/>
                <w:szCs w:val="20"/>
                <w:lang w:eastAsia="en-US"/>
              </w:rPr>
              <w:t>-</w:t>
            </w:r>
            <w:r w:rsidRPr="00D1070D">
              <w:rPr>
                <w:rFonts w:eastAsia="Times New Roman"/>
                <w:sz w:val="20"/>
                <w:szCs w:val="20"/>
                <w:lang w:eastAsia="en-US"/>
              </w:rPr>
              <w:t>$16,242,753</w:t>
            </w:r>
          </w:p>
        </w:tc>
        <w:tc>
          <w:tcPr>
            <w:tcW w:w="1640" w:type="dxa"/>
            <w:tcBorders>
              <w:top w:val="nil"/>
              <w:left w:val="nil"/>
              <w:bottom w:val="single" w:sz="8" w:space="0" w:color="auto"/>
              <w:right w:val="single" w:sz="8" w:space="0" w:color="auto"/>
            </w:tcBorders>
            <w:shd w:val="clear" w:color="auto" w:fill="auto"/>
            <w:vAlign w:val="center"/>
            <w:hideMark/>
          </w:tcPr>
          <w:p w:rsidR="00EE213F" w:rsidRPr="00EE213F" w:rsidRDefault="00330D8C" w:rsidP="00EE213F">
            <w:pPr>
              <w:autoSpaceDE/>
              <w:autoSpaceDN/>
              <w:jc w:val="right"/>
              <w:rPr>
                <w:rFonts w:eastAsia="Times New Roman"/>
                <w:color w:val="000000"/>
                <w:sz w:val="20"/>
                <w:szCs w:val="20"/>
                <w:lang w:eastAsia="en-US"/>
              </w:rPr>
            </w:pPr>
            <w:r>
              <w:rPr>
                <w:rFonts w:eastAsia="Times New Roman"/>
                <w:color w:val="000000"/>
                <w:sz w:val="20"/>
                <w:szCs w:val="20"/>
                <w:lang w:eastAsia="en-US"/>
              </w:rPr>
              <w:t>$18,911,082</w:t>
            </w:r>
            <w:r w:rsidR="00EE213F" w:rsidRPr="00EE213F">
              <w:rPr>
                <w:rFonts w:eastAsia="Times New Roman"/>
                <w:color w:val="000000"/>
                <w:sz w:val="20"/>
                <w:szCs w:val="20"/>
                <w:lang w:eastAsia="en-US"/>
              </w:rPr>
              <w:t xml:space="preserve"> </w:t>
            </w:r>
          </w:p>
        </w:tc>
        <w:tc>
          <w:tcPr>
            <w:tcW w:w="1434" w:type="dxa"/>
            <w:tcBorders>
              <w:top w:val="nil"/>
              <w:left w:val="nil"/>
              <w:bottom w:val="single" w:sz="8" w:space="0" w:color="auto"/>
              <w:right w:val="single" w:sz="8" w:space="0" w:color="auto"/>
            </w:tcBorders>
            <w:shd w:val="clear" w:color="auto" w:fill="auto"/>
            <w:vAlign w:val="center"/>
            <w:hideMark/>
          </w:tcPr>
          <w:p w:rsidR="00EE213F" w:rsidRPr="00EE213F" w:rsidRDefault="006E0338" w:rsidP="00EE213F">
            <w:pPr>
              <w:autoSpaceDE/>
              <w:autoSpaceDN/>
              <w:jc w:val="right"/>
              <w:rPr>
                <w:rFonts w:eastAsia="Times New Roman"/>
                <w:color w:val="000000"/>
                <w:sz w:val="20"/>
                <w:szCs w:val="20"/>
                <w:lang w:eastAsia="en-US"/>
              </w:rPr>
            </w:pPr>
            <w:r>
              <w:rPr>
                <w:rFonts w:eastAsia="Times New Roman"/>
                <w:color w:val="000000"/>
                <w:sz w:val="20"/>
                <w:szCs w:val="20"/>
                <w:lang w:eastAsia="en-US"/>
              </w:rPr>
              <w:t>-</w:t>
            </w:r>
            <w:r w:rsidR="00C47B38">
              <w:rPr>
                <w:rFonts w:eastAsia="Times New Roman"/>
                <w:color w:val="000000"/>
                <w:sz w:val="20"/>
                <w:szCs w:val="20"/>
                <w:lang w:eastAsia="en-US"/>
              </w:rPr>
              <w:t>$6,283,054</w:t>
            </w:r>
            <w:r w:rsidR="00EE213F" w:rsidRPr="00EE213F">
              <w:rPr>
                <w:rFonts w:eastAsia="Times New Roman"/>
                <w:color w:val="000000"/>
                <w:sz w:val="20"/>
                <w:szCs w:val="20"/>
                <w:lang w:eastAsia="en-US"/>
              </w:rPr>
              <w:t xml:space="preserve"> </w:t>
            </w:r>
          </w:p>
        </w:tc>
        <w:tc>
          <w:tcPr>
            <w:tcW w:w="2186"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$12,628,028 </w:t>
            </w:r>
          </w:p>
        </w:tc>
      </w:tr>
      <w:tr w:rsidR="00C47B38" w:rsidRPr="00EE213F" w:rsidTr="00C47B38">
        <w:trPr>
          <w:trHeight w:val="300"/>
        </w:trPr>
        <w:tc>
          <w:tcPr>
            <w:tcW w:w="2304" w:type="dxa"/>
            <w:tcBorders>
              <w:top w:val="nil"/>
              <w:left w:val="single" w:sz="8" w:space="0" w:color="auto"/>
              <w:bottom w:val="single" w:sz="8" w:space="0" w:color="auto"/>
              <w:right w:val="single" w:sz="8" w:space="0" w:color="auto"/>
            </w:tcBorders>
            <w:shd w:val="clear" w:color="auto" w:fill="auto"/>
            <w:vAlign w:val="center"/>
            <w:hideMark/>
          </w:tcPr>
          <w:p w:rsidR="00EE213F" w:rsidRPr="00EE213F" w:rsidRDefault="00EE213F" w:rsidP="00EE213F">
            <w:pPr>
              <w:autoSpaceDE/>
              <w:autoSpaceDN/>
              <w:rPr>
                <w:rFonts w:eastAsia="Times New Roman"/>
                <w:color w:val="000000"/>
                <w:sz w:val="20"/>
                <w:szCs w:val="20"/>
                <w:lang w:eastAsia="en-US"/>
              </w:rPr>
            </w:pPr>
            <w:r w:rsidRPr="00EE213F">
              <w:rPr>
                <w:rFonts w:eastAsia="Times New Roman"/>
                <w:color w:val="000000"/>
                <w:sz w:val="20"/>
                <w:szCs w:val="20"/>
                <w:lang w:eastAsia="en-US"/>
              </w:rPr>
              <w:t>Medical Exams</w:t>
            </w:r>
          </w:p>
        </w:tc>
        <w:tc>
          <w:tcPr>
            <w:tcW w:w="1440"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$11,653,115 </w:t>
            </w:r>
          </w:p>
        </w:tc>
        <w:tc>
          <w:tcPr>
            <w:tcW w:w="1876" w:type="dxa"/>
            <w:tcBorders>
              <w:top w:val="nil"/>
              <w:left w:val="nil"/>
              <w:bottom w:val="single" w:sz="8" w:space="0" w:color="auto"/>
              <w:right w:val="single" w:sz="8" w:space="0" w:color="auto"/>
            </w:tcBorders>
            <w:shd w:val="clear" w:color="auto" w:fill="auto"/>
            <w:vAlign w:val="center"/>
            <w:hideMark/>
          </w:tcPr>
          <w:p w:rsidR="00EE213F" w:rsidRPr="00D1070D" w:rsidRDefault="00EE213F" w:rsidP="00EE213F">
            <w:pPr>
              <w:autoSpaceDE/>
              <w:autoSpaceDN/>
              <w:jc w:val="right"/>
              <w:rPr>
                <w:rFonts w:eastAsia="Times New Roman"/>
                <w:sz w:val="20"/>
                <w:szCs w:val="20"/>
                <w:lang w:eastAsia="en-US"/>
              </w:rPr>
            </w:pPr>
            <w:r w:rsidRPr="00D1070D">
              <w:rPr>
                <w:rFonts w:eastAsia="Times New Roman"/>
                <w:sz w:val="20"/>
                <w:szCs w:val="20"/>
                <w:lang w:eastAsia="en-US"/>
              </w:rPr>
              <w:t xml:space="preserve">$0 </w:t>
            </w:r>
          </w:p>
        </w:tc>
        <w:tc>
          <w:tcPr>
            <w:tcW w:w="1640" w:type="dxa"/>
            <w:tcBorders>
              <w:top w:val="nil"/>
              <w:left w:val="nil"/>
              <w:bottom w:val="single" w:sz="8" w:space="0" w:color="auto"/>
              <w:right w:val="single" w:sz="8" w:space="0" w:color="auto"/>
            </w:tcBorders>
            <w:shd w:val="clear" w:color="auto" w:fill="auto"/>
            <w:vAlign w:val="center"/>
            <w:hideMark/>
          </w:tcPr>
          <w:p w:rsidR="00EE213F" w:rsidRPr="00EE213F" w:rsidRDefault="00330D8C" w:rsidP="00EE213F">
            <w:pPr>
              <w:autoSpaceDE/>
              <w:autoSpaceDN/>
              <w:jc w:val="right"/>
              <w:rPr>
                <w:rFonts w:eastAsia="Times New Roman"/>
                <w:color w:val="000000"/>
                <w:sz w:val="20"/>
                <w:szCs w:val="20"/>
                <w:lang w:eastAsia="en-US"/>
              </w:rPr>
            </w:pPr>
            <w:r>
              <w:rPr>
                <w:rFonts w:eastAsia="Times New Roman"/>
                <w:color w:val="000000"/>
                <w:sz w:val="20"/>
                <w:szCs w:val="20"/>
                <w:lang w:eastAsia="en-US"/>
              </w:rPr>
              <w:t>$11,653,115</w:t>
            </w:r>
            <w:r w:rsidR="00EE213F" w:rsidRPr="00EE213F">
              <w:rPr>
                <w:rFonts w:eastAsia="Times New Roman"/>
                <w:color w:val="000000"/>
                <w:sz w:val="20"/>
                <w:szCs w:val="20"/>
                <w:lang w:eastAsia="en-US"/>
              </w:rPr>
              <w:t xml:space="preserve"> </w:t>
            </w:r>
          </w:p>
        </w:tc>
        <w:tc>
          <w:tcPr>
            <w:tcW w:w="1434" w:type="dxa"/>
            <w:tcBorders>
              <w:top w:val="nil"/>
              <w:left w:val="nil"/>
              <w:bottom w:val="single" w:sz="8" w:space="0" w:color="auto"/>
              <w:right w:val="single" w:sz="8" w:space="0" w:color="auto"/>
            </w:tcBorders>
            <w:shd w:val="clear" w:color="auto" w:fill="auto"/>
            <w:vAlign w:val="center"/>
            <w:hideMark/>
          </w:tcPr>
          <w:p w:rsidR="00EE213F" w:rsidRPr="00EE213F" w:rsidRDefault="006E0338" w:rsidP="00EE213F">
            <w:pPr>
              <w:autoSpaceDE/>
              <w:autoSpaceDN/>
              <w:jc w:val="right"/>
              <w:rPr>
                <w:rFonts w:eastAsia="Times New Roman"/>
                <w:color w:val="000000"/>
                <w:sz w:val="20"/>
                <w:szCs w:val="20"/>
                <w:lang w:eastAsia="en-US"/>
              </w:rPr>
            </w:pPr>
            <w:r>
              <w:rPr>
                <w:rFonts w:eastAsia="Times New Roman"/>
                <w:color w:val="000000"/>
                <w:sz w:val="20"/>
                <w:szCs w:val="20"/>
                <w:lang w:eastAsia="en-US"/>
              </w:rPr>
              <w:t>-$3,697,727</w:t>
            </w:r>
          </w:p>
        </w:tc>
        <w:tc>
          <w:tcPr>
            <w:tcW w:w="2186"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$7,955,388 </w:t>
            </w:r>
          </w:p>
        </w:tc>
      </w:tr>
      <w:tr w:rsidR="00C47B38" w:rsidRPr="00EE213F" w:rsidTr="00C47B38">
        <w:trPr>
          <w:trHeight w:val="540"/>
        </w:trPr>
        <w:tc>
          <w:tcPr>
            <w:tcW w:w="2304" w:type="dxa"/>
            <w:tcBorders>
              <w:top w:val="nil"/>
              <w:left w:val="single" w:sz="8" w:space="0" w:color="auto"/>
              <w:bottom w:val="single" w:sz="8" w:space="0" w:color="auto"/>
              <w:right w:val="single" w:sz="8" w:space="0" w:color="auto"/>
            </w:tcBorders>
            <w:shd w:val="clear" w:color="auto" w:fill="auto"/>
            <w:vAlign w:val="center"/>
            <w:hideMark/>
          </w:tcPr>
          <w:p w:rsidR="00EE213F" w:rsidRPr="00EE213F" w:rsidRDefault="00EE213F" w:rsidP="00EE213F">
            <w:pPr>
              <w:autoSpaceDE/>
              <w:autoSpaceDN/>
              <w:rPr>
                <w:rFonts w:eastAsia="Times New Roman"/>
                <w:color w:val="000000"/>
                <w:sz w:val="20"/>
                <w:szCs w:val="20"/>
                <w:lang w:eastAsia="en-US"/>
              </w:rPr>
            </w:pPr>
            <w:r w:rsidRPr="00EE213F">
              <w:rPr>
                <w:rFonts w:eastAsia="Times New Roman"/>
                <w:color w:val="000000"/>
                <w:sz w:val="20"/>
                <w:szCs w:val="20"/>
                <w:lang w:eastAsia="en-US"/>
              </w:rPr>
              <w:t>Respirator fit Testing Materials</w:t>
            </w:r>
          </w:p>
        </w:tc>
        <w:tc>
          <w:tcPr>
            <w:tcW w:w="1440"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$793 </w:t>
            </w:r>
          </w:p>
        </w:tc>
        <w:tc>
          <w:tcPr>
            <w:tcW w:w="1876" w:type="dxa"/>
            <w:tcBorders>
              <w:top w:val="nil"/>
              <w:left w:val="nil"/>
              <w:bottom w:val="single" w:sz="8" w:space="0" w:color="auto"/>
              <w:right w:val="single" w:sz="8" w:space="0" w:color="auto"/>
            </w:tcBorders>
            <w:shd w:val="clear" w:color="auto" w:fill="auto"/>
            <w:vAlign w:val="center"/>
            <w:hideMark/>
          </w:tcPr>
          <w:p w:rsidR="00EE213F" w:rsidRPr="00D1070D" w:rsidRDefault="00EE213F" w:rsidP="00EE213F">
            <w:pPr>
              <w:autoSpaceDE/>
              <w:autoSpaceDN/>
              <w:jc w:val="right"/>
              <w:rPr>
                <w:rFonts w:eastAsia="Times New Roman"/>
                <w:sz w:val="20"/>
                <w:szCs w:val="20"/>
                <w:lang w:eastAsia="en-US"/>
              </w:rPr>
            </w:pPr>
            <w:r w:rsidRPr="00D1070D">
              <w:rPr>
                <w:rFonts w:eastAsia="Times New Roman"/>
                <w:sz w:val="20"/>
                <w:szCs w:val="20"/>
                <w:lang w:eastAsia="en-US"/>
              </w:rPr>
              <w:t xml:space="preserve">$0 </w:t>
            </w:r>
          </w:p>
        </w:tc>
        <w:tc>
          <w:tcPr>
            <w:tcW w:w="1640"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$793 </w:t>
            </w:r>
          </w:p>
        </w:tc>
        <w:tc>
          <w:tcPr>
            <w:tcW w:w="1434"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$0 </w:t>
            </w:r>
          </w:p>
        </w:tc>
        <w:tc>
          <w:tcPr>
            <w:tcW w:w="2186" w:type="dxa"/>
            <w:tcBorders>
              <w:top w:val="nil"/>
              <w:left w:val="nil"/>
              <w:bottom w:val="single" w:sz="8" w:space="0" w:color="auto"/>
              <w:right w:val="single" w:sz="8" w:space="0" w:color="auto"/>
            </w:tcBorders>
            <w:shd w:val="clear" w:color="auto" w:fill="auto"/>
            <w:vAlign w:val="center"/>
            <w:hideMark/>
          </w:tcPr>
          <w:p w:rsidR="00EE213F" w:rsidRPr="00EE213F" w:rsidRDefault="00EE213F" w:rsidP="00EE213F">
            <w:pPr>
              <w:autoSpaceDE/>
              <w:autoSpaceDN/>
              <w:jc w:val="right"/>
              <w:rPr>
                <w:rFonts w:eastAsia="Times New Roman"/>
                <w:color w:val="000000"/>
                <w:sz w:val="20"/>
                <w:szCs w:val="20"/>
                <w:lang w:eastAsia="en-US"/>
              </w:rPr>
            </w:pPr>
            <w:r w:rsidRPr="00EE213F">
              <w:rPr>
                <w:rFonts w:eastAsia="Times New Roman"/>
                <w:color w:val="000000"/>
                <w:sz w:val="20"/>
                <w:szCs w:val="20"/>
                <w:lang w:eastAsia="en-US"/>
              </w:rPr>
              <w:t xml:space="preserve">$793 </w:t>
            </w:r>
          </w:p>
        </w:tc>
      </w:tr>
      <w:tr w:rsidR="00C47B38" w:rsidRPr="00EE213F" w:rsidTr="00D1070D">
        <w:trPr>
          <w:trHeight w:val="300"/>
        </w:trPr>
        <w:tc>
          <w:tcPr>
            <w:tcW w:w="2304" w:type="dxa"/>
            <w:tcBorders>
              <w:top w:val="nil"/>
              <w:left w:val="single" w:sz="8" w:space="0" w:color="auto"/>
              <w:bottom w:val="single" w:sz="8" w:space="0" w:color="auto"/>
              <w:right w:val="single" w:sz="8" w:space="0" w:color="auto"/>
            </w:tcBorders>
            <w:shd w:val="clear" w:color="000000" w:fill="F2F2F2"/>
            <w:vAlign w:val="center"/>
            <w:hideMark/>
          </w:tcPr>
          <w:p w:rsidR="00EE213F" w:rsidRPr="00EE213F" w:rsidRDefault="00EE213F" w:rsidP="00EE213F">
            <w:pPr>
              <w:autoSpaceDE/>
              <w:autoSpaceDN/>
              <w:rPr>
                <w:rFonts w:eastAsia="Times New Roman"/>
                <w:b/>
                <w:bCs/>
                <w:color w:val="000000"/>
                <w:sz w:val="20"/>
                <w:szCs w:val="20"/>
                <w:lang w:eastAsia="en-US"/>
              </w:rPr>
            </w:pPr>
            <w:r w:rsidRPr="00EE213F">
              <w:rPr>
                <w:rFonts w:eastAsia="Times New Roman"/>
                <w:b/>
                <w:bCs/>
                <w:color w:val="000000"/>
                <w:sz w:val="20"/>
                <w:szCs w:val="20"/>
                <w:lang w:eastAsia="en-US"/>
              </w:rPr>
              <w:t>Total</w:t>
            </w:r>
          </w:p>
        </w:tc>
        <w:tc>
          <w:tcPr>
            <w:tcW w:w="1440" w:type="dxa"/>
            <w:tcBorders>
              <w:top w:val="nil"/>
              <w:left w:val="nil"/>
              <w:bottom w:val="single" w:sz="8" w:space="0" w:color="auto"/>
              <w:right w:val="single" w:sz="8" w:space="0" w:color="auto"/>
            </w:tcBorders>
            <w:shd w:val="clear" w:color="000000" w:fill="F2F2F2"/>
            <w:vAlign w:val="center"/>
            <w:hideMark/>
          </w:tcPr>
          <w:p w:rsidR="00EE213F" w:rsidRPr="00EE213F" w:rsidRDefault="00D17E98">
            <w:pPr>
              <w:autoSpaceDE/>
              <w:autoSpaceDN/>
              <w:jc w:val="right"/>
              <w:rPr>
                <w:rFonts w:eastAsia="Times New Roman"/>
                <w:b/>
                <w:bCs/>
                <w:color w:val="000000"/>
                <w:sz w:val="20"/>
                <w:szCs w:val="20"/>
                <w:lang w:eastAsia="en-US"/>
              </w:rPr>
            </w:pPr>
            <w:r>
              <w:rPr>
                <w:rFonts w:eastAsia="Times New Roman"/>
                <w:b/>
                <w:bCs/>
                <w:color w:val="000000"/>
                <w:sz w:val="20"/>
                <w:szCs w:val="20"/>
                <w:lang w:eastAsia="en-US"/>
              </w:rPr>
              <w:t>$46,807,743</w:t>
            </w:r>
            <w:r w:rsidR="00EE213F" w:rsidRPr="00EE213F">
              <w:rPr>
                <w:rFonts w:eastAsia="Times New Roman"/>
                <w:b/>
                <w:bCs/>
                <w:color w:val="000000"/>
                <w:sz w:val="20"/>
                <w:szCs w:val="20"/>
                <w:lang w:eastAsia="en-US"/>
              </w:rPr>
              <w:t xml:space="preserve"> </w:t>
            </w:r>
          </w:p>
        </w:tc>
        <w:tc>
          <w:tcPr>
            <w:tcW w:w="1876" w:type="dxa"/>
            <w:tcBorders>
              <w:top w:val="nil"/>
              <w:left w:val="nil"/>
              <w:bottom w:val="single" w:sz="8" w:space="0" w:color="auto"/>
              <w:right w:val="single" w:sz="8" w:space="0" w:color="auto"/>
            </w:tcBorders>
            <w:shd w:val="clear" w:color="000000" w:fill="F2F2F2"/>
            <w:vAlign w:val="center"/>
            <w:hideMark/>
          </w:tcPr>
          <w:p w:rsidR="00EE213F" w:rsidRPr="00D1070D" w:rsidRDefault="00C47B38">
            <w:pPr>
              <w:autoSpaceDE/>
              <w:autoSpaceDN/>
              <w:jc w:val="right"/>
              <w:rPr>
                <w:rFonts w:eastAsia="Times New Roman"/>
                <w:b/>
                <w:bCs/>
                <w:sz w:val="20"/>
                <w:szCs w:val="20"/>
                <w:lang w:eastAsia="en-US"/>
              </w:rPr>
            </w:pPr>
            <w:r>
              <w:rPr>
                <w:rFonts w:eastAsia="Times New Roman"/>
                <w:b/>
                <w:bCs/>
                <w:sz w:val="20"/>
                <w:szCs w:val="20"/>
                <w:lang w:eastAsia="en-US"/>
              </w:rPr>
              <w:t>-</w:t>
            </w:r>
            <w:r w:rsidR="00EE213F" w:rsidRPr="00D1070D">
              <w:rPr>
                <w:rFonts w:eastAsia="Times New Roman"/>
                <w:b/>
                <w:bCs/>
                <w:sz w:val="20"/>
                <w:szCs w:val="20"/>
                <w:lang w:eastAsia="en-US"/>
              </w:rPr>
              <w:t>$16,24</w:t>
            </w:r>
            <w:r w:rsidRPr="00D1070D">
              <w:rPr>
                <w:rFonts w:eastAsia="Times New Roman"/>
                <w:b/>
                <w:bCs/>
                <w:sz w:val="20"/>
                <w:szCs w:val="20"/>
                <w:lang w:eastAsia="en-US"/>
              </w:rPr>
              <w:t>2,753</w:t>
            </w:r>
            <w:r w:rsidR="00EE213F" w:rsidRPr="00D1070D">
              <w:rPr>
                <w:rFonts w:eastAsia="Times New Roman"/>
                <w:b/>
                <w:bCs/>
                <w:sz w:val="20"/>
                <w:szCs w:val="20"/>
                <w:lang w:eastAsia="en-US"/>
              </w:rPr>
              <w:t xml:space="preserve">   </w:t>
            </w:r>
          </w:p>
        </w:tc>
        <w:tc>
          <w:tcPr>
            <w:tcW w:w="1640" w:type="dxa"/>
            <w:tcBorders>
              <w:top w:val="nil"/>
              <w:left w:val="nil"/>
              <w:bottom w:val="single" w:sz="8" w:space="0" w:color="auto"/>
              <w:right w:val="single" w:sz="8" w:space="0" w:color="auto"/>
            </w:tcBorders>
            <w:shd w:val="clear" w:color="000000" w:fill="F2F2F2"/>
            <w:vAlign w:val="center"/>
            <w:hideMark/>
          </w:tcPr>
          <w:p w:rsidR="00EE213F" w:rsidRPr="00EE213F" w:rsidRDefault="00D17E98" w:rsidP="00EE213F">
            <w:pPr>
              <w:autoSpaceDE/>
              <w:autoSpaceDN/>
              <w:jc w:val="right"/>
              <w:rPr>
                <w:rFonts w:eastAsia="Times New Roman"/>
                <w:b/>
                <w:bCs/>
                <w:color w:val="000000"/>
                <w:sz w:val="20"/>
                <w:szCs w:val="20"/>
                <w:lang w:eastAsia="en-US"/>
              </w:rPr>
            </w:pPr>
            <w:r>
              <w:rPr>
                <w:rFonts w:eastAsia="Times New Roman"/>
                <w:b/>
                <w:bCs/>
                <w:color w:val="000000"/>
                <w:sz w:val="20"/>
                <w:szCs w:val="20"/>
                <w:lang w:eastAsia="en-US"/>
              </w:rPr>
              <w:t>$30,56</w:t>
            </w:r>
            <w:r w:rsidR="00330D8C">
              <w:rPr>
                <w:rFonts w:eastAsia="Times New Roman"/>
                <w:b/>
                <w:bCs/>
                <w:color w:val="000000"/>
                <w:sz w:val="20"/>
                <w:szCs w:val="20"/>
                <w:lang w:eastAsia="en-US"/>
              </w:rPr>
              <w:t>4,990</w:t>
            </w:r>
            <w:r w:rsidR="00EE213F" w:rsidRPr="00EE213F">
              <w:rPr>
                <w:rFonts w:eastAsia="Times New Roman"/>
                <w:b/>
                <w:bCs/>
                <w:color w:val="000000"/>
                <w:sz w:val="20"/>
                <w:szCs w:val="20"/>
                <w:lang w:eastAsia="en-US"/>
              </w:rPr>
              <w:t xml:space="preserve"> </w:t>
            </w:r>
          </w:p>
        </w:tc>
        <w:tc>
          <w:tcPr>
            <w:tcW w:w="1434" w:type="dxa"/>
            <w:tcBorders>
              <w:top w:val="nil"/>
              <w:left w:val="nil"/>
              <w:bottom w:val="single" w:sz="8" w:space="0" w:color="auto"/>
              <w:right w:val="single" w:sz="8" w:space="0" w:color="auto"/>
            </w:tcBorders>
            <w:shd w:val="clear" w:color="000000" w:fill="F2F2F2"/>
            <w:vAlign w:val="center"/>
            <w:hideMark/>
          </w:tcPr>
          <w:p w:rsidR="00EE213F" w:rsidRPr="00EE213F" w:rsidRDefault="00FD4FE2" w:rsidP="00EE213F">
            <w:pPr>
              <w:autoSpaceDE/>
              <w:autoSpaceDN/>
              <w:jc w:val="right"/>
              <w:rPr>
                <w:rFonts w:eastAsia="Times New Roman"/>
                <w:b/>
                <w:bCs/>
                <w:color w:val="000000"/>
                <w:sz w:val="20"/>
                <w:szCs w:val="20"/>
                <w:lang w:eastAsia="en-US"/>
              </w:rPr>
            </w:pPr>
            <w:r>
              <w:rPr>
                <w:rFonts w:eastAsia="Times New Roman"/>
                <w:b/>
                <w:bCs/>
                <w:color w:val="000000"/>
                <w:sz w:val="20"/>
                <w:szCs w:val="20"/>
                <w:lang w:eastAsia="en-US"/>
              </w:rPr>
              <w:t>-</w:t>
            </w:r>
            <w:r w:rsidR="006E0338">
              <w:rPr>
                <w:rFonts w:eastAsia="Times New Roman"/>
                <w:b/>
                <w:bCs/>
                <w:color w:val="000000"/>
                <w:sz w:val="20"/>
                <w:szCs w:val="20"/>
                <w:lang w:eastAsia="en-US"/>
              </w:rPr>
              <w:t>$9,980,781</w:t>
            </w:r>
            <w:r w:rsidR="00EE213F" w:rsidRPr="00EE213F">
              <w:rPr>
                <w:rFonts w:eastAsia="Times New Roman"/>
                <w:b/>
                <w:bCs/>
                <w:color w:val="000000"/>
                <w:sz w:val="20"/>
                <w:szCs w:val="20"/>
                <w:lang w:eastAsia="en-US"/>
              </w:rPr>
              <w:t xml:space="preserve"> </w:t>
            </w:r>
          </w:p>
        </w:tc>
        <w:tc>
          <w:tcPr>
            <w:tcW w:w="2186" w:type="dxa"/>
            <w:tcBorders>
              <w:top w:val="nil"/>
              <w:left w:val="nil"/>
              <w:bottom w:val="single" w:sz="8" w:space="0" w:color="auto"/>
              <w:right w:val="single" w:sz="8" w:space="0" w:color="auto"/>
            </w:tcBorders>
            <w:shd w:val="clear" w:color="000000" w:fill="F2F2F2"/>
            <w:vAlign w:val="center"/>
            <w:hideMark/>
          </w:tcPr>
          <w:p w:rsidR="00EE213F" w:rsidRPr="00EE213F" w:rsidRDefault="00EE213F">
            <w:pPr>
              <w:autoSpaceDE/>
              <w:autoSpaceDN/>
              <w:jc w:val="right"/>
              <w:rPr>
                <w:rFonts w:eastAsia="Times New Roman"/>
                <w:b/>
                <w:bCs/>
                <w:color w:val="000000"/>
                <w:sz w:val="20"/>
                <w:szCs w:val="20"/>
                <w:lang w:eastAsia="en-US"/>
              </w:rPr>
            </w:pPr>
            <w:r w:rsidRPr="00EE213F">
              <w:rPr>
                <w:rFonts w:eastAsia="Times New Roman"/>
                <w:b/>
                <w:bCs/>
                <w:color w:val="000000"/>
                <w:sz w:val="20"/>
                <w:szCs w:val="20"/>
                <w:lang w:eastAsia="en-US"/>
              </w:rPr>
              <w:t>$20,584,20</w:t>
            </w:r>
            <w:r w:rsidR="006E0338">
              <w:rPr>
                <w:rFonts w:eastAsia="Times New Roman"/>
                <w:b/>
                <w:bCs/>
                <w:color w:val="000000"/>
                <w:sz w:val="20"/>
                <w:szCs w:val="20"/>
                <w:lang w:eastAsia="en-US"/>
              </w:rPr>
              <w:t>9</w:t>
            </w:r>
            <w:r w:rsidRPr="00EE213F">
              <w:rPr>
                <w:rFonts w:eastAsia="Times New Roman"/>
                <w:b/>
                <w:bCs/>
                <w:color w:val="000000"/>
                <w:sz w:val="20"/>
                <w:szCs w:val="20"/>
                <w:lang w:eastAsia="en-US"/>
              </w:rPr>
              <w:t xml:space="preserve"> </w:t>
            </w:r>
          </w:p>
        </w:tc>
      </w:tr>
    </w:tbl>
    <w:p w:rsidR="005A7D5B" w:rsidRDefault="005A7D5B" w:rsidP="00E35242">
      <w:pPr>
        <w:pStyle w:val="BodyTextFirstIndent"/>
        <w:ind w:firstLine="0"/>
        <w:rPr>
          <w:sz w:val="24"/>
          <w:szCs w:val="24"/>
        </w:rPr>
      </w:pPr>
    </w:p>
    <w:p w:rsidR="00E35242" w:rsidRPr="005A7D5B" w:rsidRDefault="00E35242" w:rsidP="005A7D5B">
      <w:pPr>
        <w:pStyle w:val="Heading2"/>
        <w:numPr>
          <w:ilvl w:val="1"/>
          <w:numId w:val="3"/>
        </w:numPr>
        <w:ind w:left="0" w:firstLine="0"/>
        <w:rPr>
          <w:sz w:val="22"/>
          <w:szCs w:val="22"/>
          <w:lang w:val="x-none"/>
        </w:rPr>
      </w:pPr>
      <w:r w:rsidRPr="005A7D5B">
        <w:rPr>
          <w:sz w:val="22"/>
          <w:szCs w:val="22"/>
          <w:lang w:val="x-non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242" w:rsidRDefault="00E35242" w:rsidP="00E35242">
      <w:pPr>
        <w:pStyle w:val="BodyTextFirstIndent"/>
        <w:ind w:firstLine="0"/>
        <w:rPr>
          <w:b/>
          <w:bCs/>
          <w:sz w:val="24"/>
          <w:szCs w:val="24"/>
          <w:lang w:val="x-none"/>
        </w:rPr>
      </w:pPr>
      <w:r>
        <w:rPr>
          <w:sz w:val="24"/>
          <w:szCs w:val="24"/>
          <w:lang w:val="x-none"/>
        </w:rPr>
        <w:t xml:space="preserve">OSHA will not publish the information collected under the </w:t>
      </w:r>
      <w:r w:rsidR="00216DCB">
        <w:rPr>
          <w:sz w:val="24"/>
          <w:szCs w:val="24"/>
        </w:rPr>
        <w:t>propos</w:t>
      </w:r>
      <w:r w:rsidR="00FE4E43">
        <w:rPr>
          <w:sz w:val="24"/>
          <w:szCs w:val="24"/>
        </w:rPr>
        <w:t>al</w:t>
      </w:r>
      <w:r>
        <w:rPr>
          <w:sz w:val="24"/>
          <w:szCs w:val="24"/>
          <w:lang w:val="x-none"/>
        </w:rPr>
        <w:t xml:space="preserve">. </w:t>
      </w:r>
    </w:p>
    <w:p w:rsidR="00E35242" w:rsidRDefault="00E35242" w:rsidP="00E35242">
      <w:pPr>
        <w:pStyle w:val="Heading2"/>
        <w:numPr>
          <w:ilvl w:val="1"/>
          <w:numId w:val="3"/>
        </w:numPr>
        <w:ind w:left="0" w:firstLine="0"/>
        <w:rPr>
          <w:lang w:val="x-none"/>
        </w:rPr>
      </w:pPr>
      <w:r>
        <w:rPr>
          <w:lang w:val="x-none"/>
        </w:rPr>
        <w:t>If seeking approval to not display the expiration date for OMB approval of the information collection, explain the reasons that display would be inappropriate.</w:t>
      </w:r>
    </w:p>
    <w:p w:rsidR="00E35242" w:rsidRDefault="00E35242" w:rsidP="00E35242">
      <w:pPr>
        <w:pStyle w:val="BodyTextFirstIndent"/>
        <w:ind w:firstLine="0"/>
        <w:rPr>
          <w:lang w:val="x-none"/>
        </w:rPr>
      </w:pPr>
      <w:r>
        <w:rPr>
          <w:sz w:val="24"/>
          <w:szCs w:val="24"/>
          <w:lang w:val="x-none"/>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Pr>
          <w:lang w:val="x-none"/>
        </w:rPr>
        <w:t xml:space="preserve"> </w:t>
      </w:r>
    </w:p>
    <w:p w:rsidR="00E35242" w:rsidRDefault="00E35242" w:rsidP="00E35242">
      <w:pPr>
        <w:pStyle w:val="Heading2"/>
        <w:numPr>
          <w:ilvl w:val="1"/>
          <w:numId w:val="3"/>
        </w:numPr>
        <w:ind w:left="0" w:firstLine="0"/>
        <w:rPr>
          <w:lang w:val="x-none"/>
        </w:rPr>
      </w:pPr>
      <w:r>
        <w:rPr>
          <w:sz w:val="22"/>
          <w:szCs w:val="22"/>
          <w:lang w:val="x-none"/>
        </w:rPr>
        <w:t>Explain each exception to the certification statement.</w:t>
      </w:r>
    </w:p>
    <w:p w:rsidR="00E35242" w:rsidRDefault="00E35242" w:rsidP="00DC12A2">
      <w:pPr>
        <w:pStyle w:val="BodyTextFirstIndent"/>
        <w:ind w:firstLine="0"/>
      </w:pPr>
      <w:r>
        <w:rPr>
          <w:sz w:val="24"/>
          <w:szCs w:val="24"/>
          <w:lang w:val="x-none"/>
        </w:rPr>
        <w:t>OSHA is not requesting an exception to the certification statement.</w:t>
      </w:r>
    </w:p>
    <w:p w:rsidR="00E35242" w:rsidRDefault="00E35242" w:rsidP="00E35242">
      <w:pPr>
        <w:pStyle w:val="Heading1"/>
        <w:numPr>
          <w:ilvl w:val="0"/>
          <w:numId w:val="3"/>
        </w:numPr>
        <w:rPr>
          <w:lang w:val="x-none"/>
        </w:rPr>
      </w:pPr>
      <w:r>
        <w:rPr>
          <w:lang w:val="x-none"/>
        </w:rPr>
        <w:t>COLLECTIONS OF INFORMATION EMPLOYING STATISTICAL METHODS     </w:t>
      </w:r>
    </w:p>
    <w:p w:rsidR="00E35242" w:rsidRDefault="00E35242" w:rsidP="00E35242">
      <w:pPr>
        <w:pStyle w:val="BodyTextFirstIndent"/>
        <w:ind w:firstLine="0"/>
        <w:rPr>
          <w:sz w:val="24"/>
          <w:szCs w:val="24"/>
          <w:lang w:val="x-none"/>
        </w:rPr>
      </w:pPr>
      <w:r>
        <w:rPr>
          <w:sz w:val="24"/>
          <w:szCs w:val="24"/>
          <w:lang w:val="x-none"/>
        </w:rPr>
        <w:t>This Supporting Statement does not contain any collection of information requirements that employ statistical methods.</w:t>
      </w:r>
    </w:p>
    <w:p w:rsidR="00424F31" w:rsidRDefault="00424F31"/>
    <w:sectPr w:rsidR="00424F31" w:rsidSect="005162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C6" w:rsidRDefault="008527C6" w:rsidP="00E35242">
      <w:r>
        <w:separator/>
      </w:r>
    </w:p>
  </w:endnote>
  <w:endnote w:type="continuationSeparator" w:id="0">
    <w:p w:rsidR="008527C6" w:rsidRDefault="008527C6" w:rsidP="00E35242">
      <w:r>
        <w:continuationSeparator/>
      </w:r>
    </w:p>
  </w:endnote>
  <w:endnote w:type="continuationNotice" w:id="1">
    <w:p w:rsidR="008527C6" w:rsidRDefault="00852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527243"/>
      <w:docPartObj>
        <w:docPartGallery w:val="Page Numbers (Bottom of Page)"/>
        <w:docPartUnique/>
      </w:docPartObj>
    </w:sdtPr>
    <w:sdtEndPr>
      <w:rPr>
        <w:noProof/>
      </w:rPr>
    </w:sdtEndPr>
    <w:sdtContent>
      <w:p w:rsidR="0092132D" w:rsidRDefault="0092132D">
        <w:pPr>
          <w:pStyle w:val="Footer"/>
          <w:jc w:val="center"/>
        </w:pPr>
        <w:r>
          <w:fldChar w:fldCharType="begin"/>
        </w:r>
        <w:r>
          <w:instrText xml:space="preserve"> PAGE   \* MERGEFORMAT </w:instrText>
        </w:r>
        <w:r>
          <w:fldChar w:fldCharType="separate"/>
        </w:r>
        <w:r w:rsidR="00FD4FE2">
          <w:rPr>
            <w:noProof/>
          </w:rPr>
          <w:t>63</w:t>
        </w:r>
        <w:r>
          <w:rPr>
            <w:noProof/>
          </w:rPr>
          <w:fldChar w:fldCharType="end"/>
        </w:r>
      </w:p>
    </w:sdtContent>
  </w:sdt>
  <w:p w:rsidR="0092132D" w:rsidRDefault="00921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C6" w:rsidRDefault="008527C6" w:rsidP="00E35242">
      <w:r>
        <w:separator/>
      </w:r>
    </w:p>
  </w:footnote>
  <w:footnote w:type="continuationSeparator" w:id="0">
    <w:p w:rsidR="008527C6" w:rsidRDefault="008527C6" w:rsidP="00E35242">
      <w:r>
        <w:continuationSeparator/>
      </w:r>
    </w:p>
  </w:footnote>
  <w:footnote w:type="continuationNotice" w:id="1">
    <w:p w:rsidR="008527C6" w:rsidRDefault="008527C6"/>
  </w:footnote>
  <w:footnote w:id="2">
    <w:p w:rsidR="0092132D" w:rsidRDefault="0092132D" w:rsidP="00E35242">
      <w:pPr>
        <w:pStyle w:val="Default"/>
        <w:ind w:firstLine="720"/>
        <w:rPr>
          <w:sz w:val="20"/>
          <w:szCs w:val="20"/>
        </w:rPr>
      </w:pPr>
      <w:r>
        <w:rPr>
          <w:rStyle w:val="FootnoteReference"/>
          <w:sz w:val="22"/>
          <w:szCs w:val="22"/>
          <w:lang w:eastAsia="en-US"/>
        </w:rPr>
        <w:t>[1]</w:t>
      </w:r>
      <w:r>
        <w:rPr>
          <w:sz w:val="20"/>
          <w:szCs w:val="20"/>
        </w:rPr>
        <w:t xml:space="preserve">The purpose of this Supporting Statement is to analyze and describe the burden hours and costs associated with provisions of the proposed standard that contain collections of information (paperwork) requirements; this Supporting Statement does not provide information or guidance on how to comply with, or how to enforce, these provisions.  </w:t>
      </w:r>
    </w:p>
    <w:p w:rsidR="0092132D" w:rsidRDefault="0092132D" w:rsidP="00E35242">
      <w:pPr>
        <w:pStyle w:val="FootnoteText"/>
      </w:pPr>
    </w:p>
  </w:footnote>
  <w:footnote w:id="3">
    <w:p w:rsidR="0092132D" w:rsidRDefault="0092132D" w:rsidP="00E35242">
      <w:pPr>
        <w:pStyle w:val="FootnoteText"/>
      </w:pPr>
      <w:r>
        <w:rPr>
          <w:rStyle w:val="FootnoteReference"/>
          <w:lang w:eastAsia="en-US"/>
        </w:rPr>
        <w:t>[2]</w:t>
      </w:r>
      <w:r>
        <w:t xml:space="preserve"> The Agency accounts for the burden hours and costs associated with compliance with the HCS, such as the development of a hazard communication program, under the Information Collection Request (ICR) for the HCS.  OMB Control No. 1218-0072.  </w:t>
      </w:r>
    </w:p>
  </w:footnote>
  <w:footnote w:id="4">
    <w:p w:rsidR="0092132D" w:rsidRDefault="0092132D" w:rsidP="00E35242">
      <w:pPr>
        <w:pStyle w:val="FootnoteText"/>
        <w:ind w:left="720" w:firstLine="0"/>
      </w:pPr>
      <w:r>
        <w:rPr>
          <w:rStyle w:val="FootnoteReference"/>
          <w:sz w:val="22"/>
          <w:szCs w:val="22"/>
          <w:lang w:eastAsia="en-US"/>
        </w:rPr>
        <w:t>[3]</w:t>
      </w:r>
      <w:r>
        <w:t xml:space="preserve">The rulemaking docket is available for public inspection and copying in the OSHA Docket Office and at </w:t>
      </w:r>
      <w:r>
        <w:rPr>
          <w:i/>
          <w:iCs/>
          <w:u w:val="single"/>
        </w:rPr>
        <w:t>http://</w:t>
      </w:r>
      <w:hyperlink r:id="rId1" w:history="1">
        <w:r>
          <w:rPr>
            <w:rStyle w:val="Hyperlink"/>
            <w:i/>
            <w:iCs/>
          </w:rPr>
          <w:t>www.regulations.gov</w:t>
        </w:r>
      </w:hyperlink>
      <w:r>
        <w:t xml:space="preserve"> (Docket Number: OSHA-H005C-2006-0870).</w:t>
      </w:r>
    </w:p>
  </w:footnote>
  <w:footnote w:id="5">
    <w:p w:rsidR="0092132D" w:rsidRDefault="0092132D" w:rsidP="00E35242">
      <w:pPr>
        <w:pStyle w:val="FootnoteText"/>
      </w:pPr>
      <w:r>
        <w:rPr>
          <w:rStyle w:val="FootnoteReference"/>
          <w:lang w:eastAsia="en-US"/>
        </w:rPr>
        <w:t>[4]</w:t>
      </w:r>
      <w:r>
        <w:t xml:space="preserve"> The PEA tables referenced in this Supporting Statement may be downloaded from www.regulations.gov.</w:t>
      </w:r>
    </w:p>
  </w:footnote>
  <w:footnote w:id="6">
    <w:p w:rsidR="0092132D" w:rsidRDefault="0092132D" w:rsidP="00E35242">
      <w:pPr>
        <w:pStyle w:val="FootnoteTex"/>
      </w:pPr>
      <w:r>
        <w:rPr>
          <w:rStyle w:val="FootnoteReference"/>
          <w:lang w:eastAsia="en-US"/>
        </w:rPr>
        <w:t>[5]</w:t>
      </w:r>
      <w:r>
        <w:t xml:space="preserve"> As stated earlier, all wage rates with no explicit source other than the given Standard Occupational  Classification (SOC) are from the 2016 Occupational Employment Statistics (OES) of the Bureau of Labor Statistics (BLS, 205), and is the median wage for that SOC.</w:t>
      </w:r>
    </w:p>
  </w:footnote>
  <w:footnote w:id="7">
    <w:p w:rsidR="0092132D" w:rsidRDefault="0092132D" w:rsidP="004B0B66">
      <w:pPr>
        <w:pStyle w:val="CommentText"/>
      </w:pPr>
      <w:r>
        <w:rPr>
          <w:rStyle w:val="FootnoteReference"/>
          <w:lang w:eastAsia="en-US"/>
        </w:rPr>
        <w:t>[6]</w:t>
      </w:r>
      <w:r>
        <w:t>.</w:t>
      </w:r>
      <w:r w:rsidRPr="004B0B66">
        <w:t xml:space="preserve"> </w:t>
      </w:r>
      <w:r>
        <w:t>This number has been adjusted down from 61,747 to 50,261 affected workers because of the removal of 11,486 construction and shipyard workers. The total number of affected workers can be found in Table V-4 of the PEA.</w:t>
      </w:r>
    </w:p>
    <w:p w:rsidR="0092132D" w:rsidRDefault="0092132D" w:rsidP="00E35242">
      <w:pPr>
        <w:pStyle w:val="FootnoteText"/>
      </w:pPr>
    </w:p>
  </w:footnote>
  <w:footnote w:id="8">
    <w:p w:rsidR="0092132D" w:rsidRDefault="0092132D" w:rsidP="00E35242">
      <w:pPr>
        <w:pStyle w:val="FootnoteText"/>
      </w:pPr>
      <w:r>
        <w:rPr>
          <w:rStyle w:val="FootnoteReference"/>
          <w:lang w:eastAsia="en-US"/>
        </w:rPr>
        <w:t>[7]</w:t>
      </w:r>
      <w:r>
        <w:t xml:space="preserve"> </w:t>
      </w:r>
      <w:r w:rsidRPr="008E5645">
        <w:t xml:space="preserve">Although the samples are estimated to represent, on average, the exposures of four employees per sample, the sampling will typically be conducted in the direct breathing area of only a single employee per sample.  Thus, the productivity loss would only affect one worker per sample. </w:t>
      </w:r>
    </w:p>
  </w:footnote>
  <w:footnote w:id="9">
    <w:p w:rsidR="0092132D" w:rsidRDefault="0092132D">
      <w:pPr>
        <w:pStyle w:val="FootnoteText"/>
      </w:pPr>
      <w:r>
        <w:rPr>
          <w:rStyle w:val="FootnoteReference"/>
        </w:rPr>
        <w:footnoteRef/>
      </w:r>
      <w:r>
        <w:t xml:space="preserve"> </w:t>
      </w:r>
      <w:r w:rsidRPr="008D56F1">
        <w:t xml:space="preserve">Note </w:t>
      </w:r>
      <w:r>
        <w:t xml:space="preserve">the </w:t>
      </w:r>
      <w:r w:rsidRPr="008D56F1">
        <w:t>approved ICR</w:t>
      </w:r>
      <w:r>
        <w:t xml:space="preserve"> estimates</w:t>
      </w:r>
      <w:r w:rsidRPr="008D56F1">
        <w:t xml:space="preserve"> 5,743</w:t>
      </w:r>
      <w:r>
        <w:t xml:space="preserve"> abrasive blasting workers. </w:t>
      </w:r>
    </w:p>
  </w:footnote>
  <w:footnote w:id="10">
    <w:p w:rsidR="0092132D" w:rsidRDefault="0092132D">
      <w:pPr>
        <w:pStyle w:val="FootnoteText"/>
      </w:pPr>
      <w:r>
        <w:rPr>
          <w:rStyle w:val="FootnoteReference"/>
        </w:rPr>
        <w:footnoteRef/>
      </w:r>
      <w:r>
        <w:t xml:space="preserve"> </w:t>
      </w:r>
      <w:r w:rsidRPr="00DC12A2">
        <w:t>The abrasive blasting workers sampling requires an additional 20% more samples to account for the high failure rate resulting from clogged sampling equipment</w:t>
      </w:r>
      <w:r>
        <w:t>.</w:t>
      </w:r>
    </w:p>
  </w:footnote>
  <w:footnote w:id="11">
    <w:p w:rsidR="0092132D" w:rsidRDefault="0092132D" w:rsidP="00E35242">
      <w:pPr>
        <w:pStyle w:val="ListParagraph"/>
        <w:ind w:left="0" w:firstLine="720"/>
        <w:rPr>
          <w:rFonts w:ascii="Times New Roman" w:hAnsi="Times New Roman"/>
          <w:sz w:val="20"/>
          <w:szCs w:val="20"/>
        </w:rPr>
      </w:pPr>
      <w:r w:rsidRPr="00EA7F88">
        <w:rPr>
          <w:rStyle w:val="FootnoteReference"/>
          <w:rFonts w:ascii="Times New Roman" w:hAnsi="Times New Roman"/>
          <w:sz w:val="20"/>
          <w:szCs w:val="20"/>
          <w:lang w:eastAsia="en-US"/>
        </w:rPr>
        <w:t>[10]</w:t>
      </w:r>
      <w:r w:rsidRPr="00EA7F88">
        <w:rPr>
          <w:rFonts w:ascii="Times New Roman" w:hAnsi="Times New Roman"/>
          <w:sz w:val="20"/>
          <w:szCs w:val="20"/>
        </w:rPr>
        <w:t>This is the number of at-risk workers (50,261), less the substituting dental labs (less the 5,954 and 850 for the two substituting dental labs NAICS), totaling 43,457.</w:t>
      </w:r>
    </w:p>
    <w:p w:rsidR="0092132D" w:rsidRDefault="0092132D" w:rsidP="00E35242">
      <w:pPr>
        <w:pStyle w:val="FootnoteText"/>
      </w:pPr>
    </w:p>
  </w:footnote>
  <w:footnote w:id="12">
    <w:p w:rsidR="0092132D" w:rsidRDefault="0092132D" w:rsidP="00E35242">
      <w:pPr>
        <w:pStyle w:val="FootnoteText"/>
      </w:pPr>
      <w:r>
        <w:rPr>
          <w:rStyle w:val="FootnoteReference"/>
          <w:lang w:eastAsia="en-US"/>
        </w:rPr>
        <w:t>[11]</w:t>
      </w:r>
      <w:r>
        <w:t xml:space="preserve"> Source: FEA spreadsheets, Tab “Rule”.  This number is derived from subtracting the number of substituting dental firms from the total number of firms with exposures above the PEL.</w:t>
      </w:r>
    </w:p>
  </w:footnote>
  <w:footnote w:id="13">
    <w:p w:rsidR="0092132D" w:rsidRDefault="0092132D" w:rsidP="00E35242">
      <w:pPr>
        <w:pStyle w:val="FootnoteText"/>
      </w:pPr>
      <w:r>
        <w:rPr>
          <w:rStyle w:val="FootnoteReference"/>
          <w:lang w:eastAsia="en-US"/>
        </w:rPr>
        <w:t>[12]</w:t>
      </w:r>
      <w:r>
        <w:t xml:space="preserve"> Source: Table V-14, </w:t>
      </w:r>
      <w:r>
        <w:rPr>
          <w:i/>
          <w:iCs/>
        </w:rPr>
        <w:t>Number of Workers needing Respirators and Respirator Costs, by sector and NAICS Industry,</w:t>
      </w:r>
      <w:r>
        <w:t xml:space="preserve"> of the FEA.</w:t>
      </w:r>
    </w:p>
    <w:p w:rsidR="0092132D" w:rsidRDefault="0092132D" w:rsidP="00E35242">
      <w:pPr>
        <w:pStyle w:val="FootnoteText"/>
      </w:pPr>
    </w:p>
  </w:footnote>
  <w:footnote w:id="14">
    <w:p w:rsidR="0092132D" w:rsidRDefault="0092132D" w:rsidP="00E35242">
      <w:pPr>
        <w:pStyle w:val="FootnoteText"/>
      </w:pPr>
      <w:r>
        <w:rPr>
          <w:rStyle w:val="FootnoteReference"/>
          <w:lang w:eastAsia="en-US"/>
        </w:rPr>
        <w:t>[13]</w:t>
      </w:r>
      <w:r>
        <w:t xml:space="preserve"> Paragraph (k</w:t>
      </w:r>
      <w:proofErr w:type="gramStart"/>
      <w:r>
        <w:t>)(</w:t>
      </w:r>
      <w:proofErr w:type="gramEnd"/>
      <w:r>
        <w:t>3) provides the content of examinations.</w:t>
      </w:r>
    </w:p>
  </w:footnote>
  <w:footnote w:id="15">
    <w:p w:rsidR="0092132D" w:rsidRDefault="0092132D" w:rsidP="00E35242">
      <w:pPr>
        <w:pStyle w:val="FootnoteText"/>
      </w:pPr>
      <w:r w:rsidRPr="00C256BC">
        <w:rPr>
          <w:rStyle w:val="FootnoteReference"/>
        </w:rPr>
        <w:t>[14]</w:t>
      </w:r>
      <w:r w:rsidRPr="00C256BC">
        <w:t xml:space="preserve"> These exposure monitoring unit costs are summarized in the spreadsheets of the PEA</w:t>
      </w:r>
      <w:r>
        <w:t>.</w:t>
      </w:r>
    </w:p>
  </w:footnote>
  <w:footnote w:id="16">
    <w:p w:rsidR="0092132D" w:rsidRDefault="0092132D">
      <w:pPr>
        <w:pStyle w:val="FootnoteText"/>
      </w:pPr>
      <w:r>
        <w:rPr>
          <w:rStyle w:val="FootnoteReference"/>
        </w:rPr>
        <w:footnoteRef/>
      </w:r>
      <w:r>
        <w:t xml:space="preserve"> In the current ICR, there are 778 affected employees. Under the ICR tab of the proposed spreadsheet, there are 332 employees in construction and maritime being removed which leaves 446 employees in general industry affected.</w:t>
      </w:r>
    </w:p>
  </w:footnote>
  <w:footnote w:id="17">
    <w:p w:rsidR="0092132D" w:rsidRDefault="0092132D" w:rsidP="00E35242">
      <w:pPr>
        <w:pStyle w:val="FootnoteText"/>
      </w:pPr>
      <w:r>
        <w:rPr>
          <w:rStyle w:val="FootnoteReference"/>
          <w:lang w:eastAsia="en-US"/>
        </w:rPr>
        <w:t>[15]</w:t>
      </w:r>
      <w:r>
        <w:t xml:space="preserve"> Where exposures exceed the TWA PEL or STEL, the written exposure monitoring notification shall include suspected or known sources of exposure and the corrective action(s) the employer has taken or will take to reduce exposure to or below the PELs, and where feasible corrective action exists but had not been implemented when the monitoring was conducted.</w:t>
      </w:r>
    </w:p>
  </w:footnote>
  <w:footnote w:id="18">
    <w:p w:rsidR="0092132D" w:rsidRDefault="0092132D" w:rsidP="00E35242">
      <w:pPr>
        <w:pStyle w:val="CommentText"/>
        <w:rPr>
          <w:sz w:val="24"/>
          <w:szCs w:val="24"/>
        </w:rPr>
      </w:pPr>
      <w:r>
        <w:rPr>
          <w:rStyle w:val="FootnoteReference"/>
          <w:lang w:eastAsia="en-US"/>
        </w:rPr>
        <w:t>[16]</w:t>
      </w:r>
      <w:r>
        <w:t xml:space="preserve"> 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proposed standard’s requirements and do not need to conduct initial exposure monitoring or subsequent periodic monitoring</w:t>
      </w:r>
      <w:r>
        <w:rPr>
          <w:sz w:val="24"/>
          <w:szCs w:val="24"/>
        </w:rPr>
        <w:t xml:space="preserve">.  </w:t>
      </w:r>
    </w:p>
    <w:p w:rsidR="0092132D" w:rsidRDefault="0092132D" w:rsidP="00E35242">
      <w:pPr>
        <w:pStyle w:val="FootnoteText"/>
      </w:pPr>
    </w:p>
  </w:footnote>
  <w:footnote w:id="19">
    <w:p w:rsidR="0092132D" w:rsidRDefault="0092132D" w:rsidP="00E35242">
      <w:pPr>
        <w:pStyle w:val="FootnoteText"/>
      </w:pPr>
      <w:r>
        <w:rPr>
          <w:rStyle w:val="FootnoteReference"/>
          <w:lang w:eastAsia="en-US"/>
        </w:rPr>
        <w:t>[17]</w:t>
      </w:r>
      <w:r>
        <w:t>  Under the Medical Surveillance section of Item 12, the Agency estimates there are 690 referral examinations where workers travel on average 12 hours to a CBD Diagnostic Center; and 230 referral examinations where employees travel on average 4.25 hours to the CBD Diagnostic center.</w:t>
      </w:r>
    </w:p>
  </w:footnote>
  <w:footnote w:id="20">
    <w:p w:rsidR="0092132D" w:rsidRDefault="0092132D" w:rsidP="00E35242">
      <w:pPr>
        <w:pStyle w:val="FootnoteText"/>
      </w:pPr>
      <w:r>
        <w:rPr>
          <w:rStyle w:val="FootnoteReference"/>
          <w:lang w:eastAsia="en-US"/>
        </w:rPr>
        <w:t>[18]</w:t>
      </w:r>
      <w:r>
        <w:t xml:space="preserve"> These exposure monitoring unit costs are summarized in Tables of the PE</w:t>
      </w:r>
      <w:r>
        <w:rPr>
          <w:caps/>
        </w:rPr>
        <w:t>A SPREADSHEETS</w:t>
      </w:r>
      <w:r>
        <w:t>.</w:t>
      </w:r>
    </w:p>
  </w:footnote>
  <w:footnote w:id="21">
    <w:p w:rsidR="0092132D" w:rsidRDefault="0092132D" w:rsidP="00E35242">
      <w:pPr>
        <w:pStyle w:val="FootnoteText"/>
      </w:pPr>
      <w:r>
        <w:rPr>
          <w:rStyle w:val="FootnoteReference"/>
          <w:lang w:eastAsia="en-US"/>
        </w:rPr>
        <w:t>[19]</w:t>
      </w:r>
      <w:r>
        <w:t xml:space="preserve"> </w:t>
      </w:r>
      <w:bookmarkStart w:id="20" w:name="_Hlk406585913"/>
      <w:proofErr w:type="gramStart"/>
      <w:r>
        <w:t>The derivation of the number of affected workers described in Section</w:t>
      </w:r>
      <w:bookmarkEnd w:id="20"/>
      <w:r>
        <w:t xml:space="preserve"> 12 above.</w:t>
      </w:r>
      <w:proofErr w:type="gramEnd"/>
    </w:p>
  </w:footnote>
  <w:footnote w:id="22">
    <w:p w:rsidR="0092132D" w:rsidRDefault="0092132D" w:rsidP="00E35242">
      <w:pPr>
        <w:pStyle w:val="FootnoteText"/>
      </w:pPr>
      <w:r>
        <w:rPr>
          <w:rStyle w:val="FootnoteReference"/>
          <w:lang w:eastAsia="en-US"/>
        </w:rPr>
        <w:t>[20]</w:t>
      </w:r>
      <w:r>
        <w:t xml:space="preserve"> These exposure monitoring unit costs are summarized in Table V-17 of the FEA.</w:t>
      </w:r>
    </w:p>
  </w:footnote>
  <w:footnote w:id="23">
    <w:p w:rsidR="0092132D" w:rsidRDefault="0092132D" w:rsidP="00E35242">
      <w:pPr>
        <w:pStyle w:val="FootnoteText"/>
      </w:pPr>
      <w:r>
        <w:rPr>
          <w:rStyle w:val="FootnoteReference"/>
          <w:lang w:eastAsia="en-US"/>
        </w:rPr>
        <w:t>[22]</w:t>
      </w:r>
      <w:r>
        <w:t xml:space="preserve">  </w:t>
      </w:r>
      <w:r>
        <w:rPr>
          <w:i/>
          <w:iCs/>
        </w:rPr>
        <w:t xml:space="preserve">Respiratory Protection QNFT NPRM </w:t>
      </w:r>
      <w:r>
        <w:t xml:space="preserve">supporting statement, published Oct. 7, 2016, available at </w:t>
      </w:r>
      <w:hyperlink r:id="rId2" w:history="1">
        <w:r>
          <w:rPr>
            <w:rStyle w:val="Hyperlink"/>
          </w:rPr>
          <w:t>https://www.reginfo.gov/public/do/PRAViewDocument?ref_nbr=201511-1218-005</w:t>
        </w:r>
      </w:hyperlink>
      <w:r>
        <w:t xml:space="preserve"> , p. 27.</w:t>
      </w:r>
    </w:p>
  </w:footnote>
  <w:footnote w:id="24">
    <w:p w:rsidR="0092132D" w:rsidRDefault="0092132D">
      <w:pPr>
        <w:pStyle w:val="FootnoteText"/>
      </w:pPr>
      <w:r>
        <w:rPr>
          <w:rStyle w:val="FootnoteReference"/>
        </w:rPr>
        <w:footnoteRef/>
      </w:r>
      <w:r>
        <w:t xml:space="preserve"> The three year average is calculated by taking the first year costs (initial, annual, and additional exposure monitoring) plus the 2</w:t>
      </w:r>
      <w:r w:rsidRPr="00E02CF4">
        <w:rPr>
          <w:vertAlign w:val="superscript"/>
        </w:rPr>
        <w:t>nd</w:t>
      </w:r>
      <w:r>
        <w:t xml:space="preserve"> and 3</w:t>
      </w:r>
      <w:r w:rsidRPr="00E02CF4">
        <w:rPr>
          <w:vertAlign w:val="superscript"/>
        </w:rPr>
        <w:t>rd</w:t>
      </w:r>
      <w:r>
        <w:t xml:space="preserve"> year costs (annual and additional exposure monitoring) and dividing the sum by three.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2D" w:rsidRDefault="0092132D" w:rsidP="00925ED6">
    <w:pPr>
      <w:pStyle w:val="Header"/>
    </w:pPr>
    <w:r>
      <w:t>BERYLLIUM STANDARD FOR GENERAL INDUSTRY (29 CFR 1910.1024)</w:t>
    </w:r>
  </w:p>
  <w:p w:rsidR="0092132D" w:rsidRDefault="0092132D" w:rsidP="00925ED6">
    <w:pPr>
      <w:pStyle w:val="Header"/>
    </w:pPr>
    <w:r>
      <w:t>1218-0267</w:t>
    </w:r>
  </w:p>
  <w:p w:rsidR="0092132D" w:rsidRDefault="0092132D" w:rsidP="00925ED6">
    <w:pPr>
      <w:pStyle w:val="Header"/>
    </w:pPr>
    <w:r>
      <w:t>June 2017</w:t>
    </w:r>
  </w:p>
  <w:p w:rsidR="0092132D" w:rsidRDefault="0092132D">
    <w:pPr>
      <w:pStyle w:val="Header"/>
    </w:pPr>
  </w:p>
  <w:p w:rsidR="0092132D" w:rsidRDefault="00921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2B199B"/>
    <w:multiLevelType w:val="multilevel"/>
    <w:tmpl w:val="E26E2376"/>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63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42"/>
    <w:rsid w:val="00000E37"/>
    <w:rsid w:val="00002CE9"/>
    <w:rsid w:val="000040D3"/>
    <w:rsid w:val="00010DBE"/>
    <w:rsid w:val="00011229"/>
    <w:rsid w:val="00011F36"/>
    <w:rsid w:val="0001205F"/>
    <w:rsid w:val="0001302F"/>
    <w:rsid w:val="000138AA"/>
    <w:rsid w:val="00015492"/>
    <w:rsid w:val="000155C6"/>
    <w:rsid w:val="000157A7"/>
    <w:rsid w:val="00015CA2"/>
    <w:rsid w:val="00016127"/>
    <w:rsid w:val="000175F3"/>
    <w:rsid w:val="00021963"/>
    <w:rsid w:val="00021B8C"/>
    <w:rsid w:val="00023996"/>
    <w:rsid w:val="00023B7B"/>
    <w:rsid w:val="00025258"/>
    <w:rsid w:val="00026878"/>
    <w:rsid w:val="00026F00"/>
    <w:rsid w:val="00027F23"/>
    <w:rsid w:val="000308B0"/>
    <w:rsid w:val="00031F72"/>
    <w:rsid w:val="00033233"/>
    <w:rsid w:val="00033953"/>
    <w:rsid w:val="00033E85"/>
    <w:rsid w:val="000370ED"/>
    <w:rsid w:val="000373FE"/>
    <w:rsid w:val="00041D5D"/>
    <w:rsid w:val="00043163"/>
    <w:rsid w:val="000435FC"/>
    <w:rsid w:val="00044156"/>
    <w:rsid w:val="000447DB"/>
    <w:rsid w:val="00044841"/>
    <w:rsid w:val="0004527B"/>
    <w:rsid w:val="0004531C"/>
    <w:rsid w:val="0004629A"/>
    <w:rsid w:val="00046627"/>
    <w:rsid w:val="000470E9"/>
    <w:rsid w:val="000506B7"/>
    <w:rsid w:val="000527AC"/>
    <w:rsid w:val="00053D7E"/>
    <w:rsid w:val="00054969"/>
    <w:rsid w:val="00056C41"/>
    <w:rsid w:val="00057782"/>
    <w:rsid w:val="000600A7"/>
    <w:rsid w:val="000604F3"/>
    <w:rsid w:val="00060AD6"/>
    <w:rsid w:val="0006162F"/>
    <w:rsid w:val="00063B3B"/>
    <w:rsid w:val="00063E0F"/>
    <w:rsid w:val="00070E96"/>
    <w:rsid w:val="000710A3"/>
    <w:rsid w:val="000710E2"/>
    <w:rsid w:val="000726BA"/>
    <w:rsid w:val="0007703F"/>
    <w:rsid w:val="000808D3"/>
    <w:rsid w:val="00080B2A"/>
    <w:rsid w:val="0008147B"/>
    <w:rsid w:val="000827C2"/>
    <w:rsid w:val="0008390E"/>
    <w:rsid w:val="00086FEF"/>
    <w:rsid w:val="0009016E"/>
    <w:rsid w:val="000912A8"/>
    <w:rsid w:val="00091F5A"/>
    <w:rsid w:val="0009340F"/>
    <w:rsid w:val="00093FD7"/>
    <w:rsid w:val="00094F03"/>
    <w:rsid w:val="00095A96"/>
    <w:rsid w:val="00097911"/>
    <w:rsid w:val="000979C5"/>
    <w:rsid w:val="000A286F"/>
    <w:rsid w:val="000A3ED1"/>
    <w:rsid w:val="000A5922"/>
    <w:rsid w:val="000A5ABD"/>
    <w:rsid w:val="000A6208"/>
    <w:rsid w:val="000A697A"/>
    <w:rsid w:val="000A700A"/>
    <w:rsid w:val="000B0431"/>
    <w:rsid w:val="000B1E67"/>
    <w:rsid w:val="000B22B4"/>
    <w:rsid w:val="000B2D78"/>
    <w:rsid w:val="000B587F"/>
    <w:rsid w:val="000B5FF3"/>
    <w:rsid w:val="000B713F"/>
    <w:rsid w:val="000C0763"/>
    <w:rsid w:val="000C0A28"/>
    <w:rsid w:val="000C0DA6"/>
    <w:rsid w:val="000C0FC4"/>
    <w:rsid w:val="000C1FCC"/>
    <w:rsid w:val="000C290F"/>
    <w:rsid w:val="000C2C08"/>
    <w:rsid w:val="000C437D"/>
    <w:rsid w:val="000C78C5"/>
    <w:rsid w:val="000C793E"/>
    <w:rsid w:val="000D027B"/>
    <w:rsid w:val="000D243B"/>
    <w:rsid w:val="000D2470"/>
    <w:rsid w:val="000D30A3"/>
    <w:rsid w:val="000D33A5"/>
    <w:rsid w:val="000D3A4D"/>
    <w:rsid w:val="000D5958"/>
    <w:rsid w:val="000D5E6A"/>
    <w:rsid w:val="000D67A6"/>
    <w:rsid w:val="000E19B1"/>
    <w:rsid w:val="000E5013"/>
    <w:rsid w:val="000E60CF"/>
    <w:rsid w:val="000F1BE7"/>
    <w:rsid w:val="000F2F0C"/>
    <w:rsid w:val="000F32BF"/>
    <w:rsid w:val="000F4C11"/>
    <w:rsid w:val="000F4D1D"/>
    <w:rsid w:val="000F4F59"/>
    <w:rsid w:val="000F54A9"/>
    <w:rsid w:val="000F7316"/>
    <w:rsid w:val="000F7698"/>
    <w:rsid w:val="000F7B58"/>
    <w:rsid w:val="00100E9A"/>
    <w:rsid w:val="00101AF9"/>
    <w:rsid w:val="00103C4C"/>
    <w:rsid w:val="00107BF0"/>
    <w:rsid w:val="00107D2E"/>
    <w:rsid w:val="00115045"/>
    <w:rsid w:val="00115D5B"/>
    <w:rsid w:val="00116A83"/>
    <w:rsid w:val="00116BBD"/>
    <w:rsid w:val="001170C1"/>
    <w:rsid w:val="00117AB7"/>
    <w:rsid w:val="00121153"/>
    <w:rsid w:val="0012154C"/>
    <w:rsid w:val="00121E1E"/>
    <w:rsid w:val="001224E5"/>
    <w:rsid w:val="001237EF"/>
    <w:rsid w:val="00125EE6"/>
    <w:rsid w:val="001263F1"/>
    <w:rsid w:val="001306F0"/>
    <w:rsid w:val="00130CA8"/>
    <w:rsid w:val="0013348E"/>
    <w:rsid w:val="00135185"/>
    <w:rsid w:val="00136D56"/>
    <w:rsid w:val="00137FF8"/>
    <w:rsid w:val="00140577"/>
    <w:rsid w:val="00141438"/>
    <w:rsid w:val="001435EB"/>
    <w:rsid w:val="00143C16"/>
    <w:rsid w:val="0014471C"/>
    <w:rsid w:val="001454AA"/>
    <w:rsid w:val="001454FC"/>
    <w:rsid w:val="00146A12"/>
    <w:rsid w:val="001473E7"/>
    <w:rsid w:val="00147CE1"/>
    <w:rsid w:val="00150B49"/>
    <w:rsid w:val="00150EAD"/>
    <w:rsid w:val="00152265"/>
    <w:rsid w:val="00152D3A"/>
    <w:rsid w:val="00154203"/>
    <w:rsid w:val="001550B8"/>
    <w:rsid w:val="001563C6"/>
    <w:rsid w:val="0016067D"/>
    <w:rsid w:val="0016069B"/>
    <w:rsid w:val="00162CAF"/>
    <w:rsid w:val="00163B09"/>
    <w:rsid w:val="001651B2"/>
    <w:rsid w:val="00165518"/>
    <w:rsid w:val="00165FC8"/>
    <w:rsid w:val="001664E1"/>
    <w:rsid w:val="001671DF"/>
    <w:rsid w:val="00167578"/>
    <w:rsid w:val="00170C11"/>
    <w:rsid w:val="00170FE8"/>
    <w:rsid w:val="0017100D"/>
    <w:rsid w:val="001717A5"/>
    <w:rsid w:val="00173026"/>
    <w:rsid w:val="0017388E"/>
    <w:rsid w:val="00173D0E"/>
    <w:rsid w:val="00174E7A"/>
    <w:rsid w:val="0017603E"/>
    <w:rsid w:val="00177B52"/>
    <w:rsid w:val="0018102C"/>
    <w:rsid w:val="00181F3C"/>
    <w:rsid w:val="00183E0B"/>
    <w:rsid w:val="00185AD4"/>
    <w:rsid w:val="00185E62"/>
    <w:rsid w:val="001861E8"/>
    <w:rsid w:val="00186B31"/>
    <w:rsid w:val="001875B7"/>
    <w:rsid w:val="00187DD7"/>
    <w:rsid w:val="00187EC9"/>
    <w:rsid w:val="00187F6F"/>
    <w:rsid w:val="00191D73"/>
    <w:rsid w:val="00193106"/>
    <w:rsid w:val="00196303"/>
    <w:rsid w:val="001A047C"/>
    <w:rsid w:val="001A0591"/>
    <w:rsid w:val="001A2A6D"/>
    <w:rsid w:val="001A5D16"/>
    <w:rsid w:val="001A62BD"/>
    <w:rsid w:val="001A68F0"/>
    <w:rsid w:val="001A7DAF"/>
    <w:rsid w:val="001B04F5"/>
    <w:rsid w:val="001B1E50"/>
    <w:rsid w:val="001B33AA"/>
    <w:rsid w:val="001B3739"/>
    <w:rsid w:val="001B390D"/>
    <w:rsid w:val="001B44AB"/>
    <w:rsid w:val="001B469A"/>
    <w:rsid w:val="001B5D8E"/>
    <w:rsid w:val="001B76E4"/>
    <w:rsid w:val="001B78D5"/>
    <w:rsid w:val="001C0040"/>
    <w:rsid w:val="001C01D0"/>
    <w:rsid w:val="001C2243"/>
    <w:rsid w:val="001C291F"/>
    <w:rsid w:val="001C32BE"/>
    <w:rsid w:val="001C4E54"/>
    <w:rsid w:val="001C4F33"/>
    <w:rsid w:val="001C6662"/>
    <w:rsid w:val="001D1313"/>
    <w:rsid w:val="001D3809"/>
    <w:rsid w:val="001D381F"/>
    <w:rsid w:val="001D3C22"/>
    <w:rsid w:val="001D3DAE"/>
    <w:rsid w:val="001D40A6"/>
    <w:rsid w:val="001D41DF"/>
    <w:rsid w:val="001D450C"/>
    <w:rsid w:val="001D4948"/>
    <w:rsid w:val="001D62BB"/>
    <w:rsid w:val="001D67A6"/>
    <w:rsid w:val="001D7537"/>
    <w:rsid w:val="001E3F30"/>
    <w:rsid w:val="001E4608"/>
    <w:rsid w:val="001E5649"/>
    <w:rsid w:val="001E683C"/>
    <w:rsid w:val="001E715E"/>
    <w:rsid w:val="001F0A65"/>
    <w:rsid w:val="001F3795"/>
    <w:rsid w:val="002001C6"/>
    <w:rsid w:val="00200FD5"/>
    <w:rsid w:val="00201A6F"/>
    <w:rsid w:val="002020B1"/>
    <w:rsid w:val="00202329"/>
    <w:rsid w:val="00203890"/>
    <w:rsid w:val="00204185"/>
    <w:rsid w:val="00204280"/>
    <w:rsid w:val="002054F5"/>
    <w:rsid w:val="002072B3"/>
    <w:rsid w:val="00211AF9"/>
    <w:rsid w:val="002150A6"/>
    <w:rsid w:val="00216DCB"/>
    <w:rsid w:val="00217178"/>
    <w:rsid w:val="0021787C"/>
    <w:rsid w:val="00223497"/>
    <w:rsid w:val="0022411B"/>
    <w:rsid w:val="00225B34"/>
    <w:rsid w:val="00226953"/>
    <w:rsid w:val="0022756B"/>
    <w:rsid w:val="00230A32"/>
    <w:rsid w:val="00230C18"/>
    <w:rsid w:val="00230EEA"/>
    <w:rsid w:val="00231737"/>
    <w:rsid w:val="00232416"/>
    <w:rsid w:val="0023282A"/>
    <w:rsid w:val="00233ABC"/>
    <w:rsid w:val="00233BB2"/>
    <w:rsid w:val="00233D9F"/>
    <w:rsid w:val="00234428"/>
    <w:rsid w:val="00234836"/>
    <w:rsid w:val="00235149"/>
    <w:rsid w:val="002354B3"/>
    <w:rsid w:val="0023642E"/>
    <w:rsid w:val="00236FE0"/>
    <w:rsid w:val="00237806"/>
    <w:rsid w:val="00237D36"/>
    <w:rsid w:val="0024090F"/>
    <w:rsid w:val="002411EB"/>
    <w:rsid w:val="00241D1B"/>
    <w:rsid w:val="002426AA"/>
    <w:rsid w:val="00242C70"/>
    <w:rsid w:val="00242D3A"/>
    <w:rsid w:val="00243317"/>
    <w:rsid w:val="00243911"/>
    <w:rsid w:val="00243C6C"/>
    <w:rsid w:val="002444C9"/>
    <w:rsid w:val="00244D37"/>
    <w:rsid w:val="00244DF2"/>
    <w:rsid w:val="00245AC8"/>
    <w:rsid w:val="00250B43"/>
    <w:rsid w:val="00251FD1"/>
    <w:rsid w:val="002547DE"/>
    <w:rsid w:val="00255068"/>
    <w:rsid w:val="00255610"/>
    <w:rsid w:val="0025661A"/>
    <w:rsid w:val="00257466"/>
    <w:rsid w:val="002576D1"/>
    <w:rsid w:val="00257D40"/>
    <w:rsid w:val="00261180"/>
    <w:rsid w:val="00261807"/>
    <w:rsid w:val="002621E8"/>
    <w:rsid w:val="00262B0B"/>
    <w:rsid w:val="00263001"/>
    <w:rsid w:val="0026378C"/>
    <w:rsid w:val="00263FA1"/>
    <w:rsid w:val="002648B0"/>
    <w:rsid w:val="00264ABB"/>
    <w:rsid w:val="00266091"/>
    <w:rsid w:val="002660A3"/>
    <w:rsid w:val="002664A8"/>
    <w:rsid w:val="00266C72"/>
    <w:rsid w:val="002679A8"/>
    <w:rsid w:val="00267A6F"/>
    <w:rsid w:val="00270879"/>
    <w:rsid w:val="00271B55"/>
    <w:rsid w:val="00271FBB"/>
    <w:rsid w:val="002720A1"/>
    <w:rsid w:val="00272244"/>
    <w:rsid w:val="00274B27"/>
    <w:rsid w:val="0027571D"/>
    <w:rsid w:val="002761E1"/>
    <w:rsid w:val="0027636A"/>
    <w:rsid w:val="00276714"/>
    <w:rsid w:val="0027705C"/>
    <w:rsid w:val="00277DA0"/>
    <w:rsid w:val="00277E18"/>
    <w:rsid w:val="0028066A"/>
    <w:rsid w:val="002820D4"/>
    <w:rsid w:val="002823D9"/>
    <w:rsid w:val="002829E7"/>
    <w:rsid w:val="002844A3"/>
    <w:rsid w:val="00284749"/>
    <w:rsid w:val="002857F0"/>
    <w:rsid w:val="00287399"/>
    <w:rsid w:val="00291089"/>
    <w:rsid w:val="002937E9"/>
    <w:rsid w:val="00295388"/>
    <w:rsid w:val="00295A32"/>
    <w:rsid w:val="002961C1"/>
    <w:rsid w:val="00296A72"/>
    <w:rsid w:val="00297141"/>
    <w:rsid w:val="00297A24"/>
    <w:rsid w:val="002A1E50"/>
    <w:rsid w:val="002A29E9"/>
    <w:rsid w:val="002A2F0E"/>
    <w:rsid w:val="002A3F12"/>
    <w:rsid w:val="002A452E"/>
    <w:rsid w:val="002A6936"/>
    <w:rsid w:val="002A6D22"/>
    <w:rsid w:val="002A6ECA"/>
    <w:rsid w:val="002A768F"/>
    <w:rsid w:val="002B1641"/>
    <w:rsid w:val="002B204F"/>
    <w:rsid w:val="002B2699"/>
    <w:rsid w:val="002B3E69"/>
    <w:rsid w:val="002B4DB5"/>
    <w:rsid w:val="002B552F"/>
    <w:rsid w:val="002C2F1D"/>
    <w:rsid w:val="002C38C0"/>
    <w:rsid w:val="002C6AAD"/>
    <w:rsid w:val="002D1350"/>
    <w:rsid w:val="002D19B4"/>
    <w:rsid w:val="002D3F84"/>
    <w:rsid w:val="002D4CC2"/>
    <w:rsid w:val="002D4D3D"/>
    <w:rsid w:val="002D5B58"/>
    <w:rsid w:val="002D66A6"/>
    <w:rsid w:val="002D67DA"/>
    <w:rsid w:val="002E1F19"/>
    <w:rsid w:val="002E4672"/>
    <w:rsid w:val="002E6051"/>
    <w:rsid w:val="002E64B3"/>
    <w:rsid w:val="002E6A72"/>
    <w:rsid w:val="002E77CA"/>
    <w:rsid w:val="002E7B48"/>
    <w:rsid w:val="002F0775"/>
    <w:rsid w:val="002F1285"/>
    <w:rsid w:val="002F17AE"/>
    <w:rsid w:val="002F1AFB"/>
    <w:rsid w:val="002F2B3F"/>
    <w:rsid w:val="002F4726"/>
    <w:rsid w:val="00300C40"/>
    <w:rsid w:val="00301399"/>
    <w:rsid w:val="0030303D"/>
    <w:rsid w:val="00303667"/>
    <w:rsid w:val="003046AE"/>
    <w:rsid w:val="00304C56"/>
    <w:rsid w:val="00305C7D"/>
    <w:rsid w:val="00307775"/>
    <w:rsid w:val="00311996"/>
    <w:rsid w:val="00312A86"/>
    <w:rsid w:val="00313678"/>
    <w:rsid w:val="00316A2A"/>
    <w:rsid w:val="0031734B"/>
    <w:rsid w:val="00322427"/>
    <w:rsid w:val="003236A5"/>
    <w:rsid w:val="00323B77"/>
    <w:rsid w:val="003251DA"/>
    <w:rsid w:val="00325440"/>
    <w:rsid w:val="00325861"/>
    <w:rsid w:val="0032627C"/>
    <w:rsid w:val="0032763A"/>
    <w:rsid w:val="00330BD3"/>
    <w:rsid w:val="00330D8C"/>
    <w:rsid w:val="0033440B"/>
    <w:rsid w:val="00334C3E"/>
    <w:rsid w:val="00337459"/>
    <w:rsid w:val="00337587"/>
    <w:rsid w:val="003413E7"/>
    <w:rsid w:val="003414FA"/>
    <w:rsid w:val="003435CA"/>
    <w:rsid w:val="00344110"/>
    <w:rsid w:val="00345BEC"/>
    <w:rsid w:val="00345D01"/>
    <w:rsid w:val="00345FC4"/>
    <w:rsid w:val="00346913"/>
    <w:rsid w:val="0035126D"/>
    <w:rsid w:val="00351659"/>
    <w:rsid w:val="00351AB3"/>
    <w:rsid w:val="00351F7C"/>
    <w:rsid w:val="00352D32"/>
    <w:rsid w:val="00353C0D"/>
    <w:rsid w:val="00354104"/>
    <w:rsid w:val="0035601D"/>
    <w:rsid w:val="003568EE"/>
    <w:rsid w:val="00357F2A"/>
    <w:rsid w:val="00361FD0"/>
    <w:rsid w:val="003621CF"/>
    <w:rsid w:val="003628C3"/>
    <w:rsid w:val="00364022"/>
    <w:rsid w:val="003655A7"/>
    <w:rsid w:val="00365796"/>
    <w:rsid w:val="0037051E"/>
    <w:rsid w:val="0037125F"/>
    <w:rsid w:val="003728BB"/>
    <w:rsid w:val="00372A40"/>
    <w:rsid w:val="00373ED5"/>
    <w:rsid w:val="00373FDF"/>
    <w:rsid w:val="003804E1"/>
    <w:rsid w:val="003834C4"/>
    <w:rsid w:val="003872C0"/>
    <w:rsid w:val="003919CC"/>
    <w:rsid w:val="0039201E"/>
    <w:rsid w:val="00392DE7"/>
    <w:rsid w:val="0039528D"/>
    <w:rsid w:val="00395A58"/>
    <w:rsid w:val="0039752D"/>
    <w:rsid w:val="00397B5A"/>
    <w:rsid w:val="003A1113"/>
    <w:rsid w:val="003A21D7"/>
    <w:rsid w:val="003A47AB"/>
    <w:rsid w:val="003A604E"/>
    <w:rsid w:val="003A61B4"/>
    <w:rsid w:val="003A6D25"/>
    <w:rsid w:val="003A7B34"/>
    <w:rsid w:val="003B0350"/>
    <w:rsid w:val="003B0846"/>
    <w:rsid w:val="003B52B0"/>
    <w:rsid w:val="003B5517"/>
    <w:rsid w:val="003B5589"/>
    <w:rsid w:val="003B5C38"/>
    <w:rsid w:val="003B5E98"/>
    <w:rsid w:val="003B6316"/>
    <w:rsid w:val="003B67B5"/>
    <w:rsid w:val="003B77D5"/>
    <w:rsid w:val="003B7BC5"/>
    <w:rsid w:val="003C12B0"/>
    <w:rsid w:val="003C1DF6"/>
    <w:rsid w:val="003C22BD"/>
    <w:rsid w:val="003C36FD"/>
    <w:rsid w:val="003C475A"/>
    <w:rsid w:val="003D7723"/>
    <w:rsid w:val="003D7730"/>
    <w:rsid w:val="003D7FBD"/>
    <w:rsid w:val="003E02CB"/>
    <w:rsid w:val="003E0692"/>
    <w:rsid w:val="003E099B"/>
    <w:rsid w:val="003E0C5C"/>
    <w:rsid w:val="003E0CCF"/>
    <w:rsid w:val="003E106E"/>
    <w:rsid w:val="003E30E1"/>
    <w:rsid w:val="003E4D0F"/>
    <w:rsid w:val="003F03E7"/>
    <w:rsid w:val="003F0897"/>
    <w:rsid w:val="003F1215"/>
    <w:rsid w:val="003F16FC"/>
    <w:rsid w:val="003F1DBA"/>
    <w:rsid w:val="003F1F8D"/>
    <w:rsid w:val="003F280B"/>
    <w:rsid w:val="003F3F95"/>
    <w:rsid w:val="003F5766"/>
    <w:rsid w:val="003F5E67"/>
    <w:rsid w:val="003F6AE4"/>
    <w:rsid w:val="003F71CC"/>
    <w:rsid w:val="003F74CB"/>
    <w:rsid w:val="00401728"/>
    <w:rsid w:val="00401B36"/>
    <w:rsid w:val="004046D0"/>
    <w:rsid w:val="00404994"/>
    <w:rsid w:val="00404FEF"/>
    <w:rsid w:val="00405E0A"/>
    <w:rsid w:val="00406599"/>
    <w:rsid w:val="00406947"/>
    <w:rsid w:val="004101FB"/>
    <w:rsid w:val="00410865"/>
    <w:rsid w:val="00411C86"/>
    <w:rsid w:val="00413E18"/>
    <w:rsid w:val="00414D45"/>
    <w:rsid w:val="004165CA"/>
    <w:rsid w:val="0041791D"/>
    <w:rsid w:val="00417AD3"/>
    <w:rsid w:val="00420B98"/>
    <w:rsid w:val="00420FC5"/>
    <w:rsid w:val="00422381"/>
    <w:rsid w:val="004226B3"/>
    <w:rsid w:val="00423F4A"/>
    <w:rsid w:val="00424F31"/>
    <w:rsid w:val="00425B40"/>
    <w:rsid w:val="00430235"/>
    <w:rsid w:val="00433595"/>
    <w:rsid w:val="00433B3C"/>
    <w:rsid w:val="00434F1D"/>
    <w:rsid w:val="0043565D"/>
    <w:rsid w:val="004361E1"/>
    <w:rsid w:val="00436798"/>
    <w:rsid w:val="004367A9"/>
    <w:rsid w:val="00440478"/>
    <w:rsid w:val="00440F49"/>
    <w:rsid w:val="004410BE"/>
    <w:rsid w:val="004420F0"/>
    <w:rsid w:val="00443445"/>
    <w:rsid w:val="0044428F"/>
    <w:rsid w:val="00444A8B"/>
    <w:rsid w:val="00451A31"/>
    <w:rsid w:val="00452E7E"/>
    <w:rsid w:val="00454B32"/>
    <w:rsid w:val="004553A9"/>
    <w:rsid w:val="00455DF3"/>
    <w:rsid w:val="00456B6A"/>
    <w:rsid w:val="00456F59"/>
    <w:rsid w:val="0046031D"/>
    <w:rsid w:val="00460876"/>
    <w:rsid w:val="00460C51"/>
    <w:rsid w:val="0046136F"/>
    <w:rsid w:val="004619E6"/>
    <w:rsid w:val="00461AAC"/>
    <w:rsid w:val="004644AA"/>
    <w:rsid w:val="0047194F"/>
    <w:rsid w:val="00475276"/>
    <w:rsid w:val="00476800"/>
    <w:rsid w:val="0048004E"/>
    <w:rsid w:val="00481A29"/>
    <w:rsid w:val="00482046"/>
    <w:rsid w:val="00483343"/>
    <w:rsid w:val="004838D7"/>
    <w:rsid w:val="00484BF1"/>
    <w:rsid w:val="004874CC"/>
    <w:rsid w:val="0048784D"/>
    <w:rsid w:val="00487965"/>
    <w:rsid w:val="00487C90"/>
    <w:rsid w:val="00492160"/>
    <w:rsid w:val="00493942"/>
    <w:rsid w:val="004954DC"/>
    <w:rsid w:val="00495A63"/>
    <w:rsid w:val="004971AB"/>
    <w:rsid w:val="004A0152"/>
    <w:rsid w:val="004A2738"/>
    <w:rsid w:val="004A431A"/>
    <w:rsid w:val="004A4510"/>
    <w:rsid w:val="004A5EEF"/>
    <w:rsid w:val="004A65F9"/>
    <w:rsid w:val="004A6601"/>
    <w:rsid w:val="004A7141"/>
    <w:rsid w:val="004A7CE8"/>
    <w:rsid w:val="004B0B66"/>
    <w:rsid w:val="004B2477"/>
    <w:rsid w:val="004B4AA8"/>
    <w:rsid w:val="004B4C4F"/>
    <w:rsid w:val="004B52B1"/>
    <w:rsid w:val="004B6500"/>
    <w:rsid w:val="004B65FC"/>
    <w:rsid w:val="004B6793"/>
    <w:rsid w:val="004B6D68"/>
    <w:rsid w:val="004B7B58"/>
    <w:rsid w:val="004C0C73"/>
    <w:rsid w:val="004C54E0"/>
    <w:rsid w:val="004C55DB"/>
    <w:rsid w:val="004C5E67"/>
    <w:rsid w:val="004C5FCB"/>
    <w:rsid w:val="004C6FAE"/>
    <w:rsid w:val="004C754B"/>
    <w:rsid w:val="004D001A"/>
    <w:rsid w:val="004D00EE"/>
    <w:rsid w:val="004D1D9C"/>
    <w:rsid w:val="004D47D2"/>
    <w:rsid w:val="004D50A2"/>
    <w:rsid w:val="004D5E67"/>
    <w:rsid w:val="004D758D"/>
    <w:rsid w:val="004D7F83"/>
    <w:rsid w:val="004E1AAF"/>
    <w:rsid w:val="004E1DDC"/>
    <w:rsid w:val="004E2269"/>
    <w:rsid w:val="004E2ACE"/>
    <w:rsid w:val="004E2D26"/>
    <w:rsid w:val="004E320B"/>
    <w:rsid w:val="004E394E"/>
    <w:rsid w:val="004E5331"/>
    <w:rsid w:val="004E62FB"/>
    <w:rsid w:val="004F0562"/>
    <w:rsid w:val="004F0DFA"/>
    <w:rsid w:val="004F23B1"/>
    <w:rsid w:val="004F38B4"/>
    <w:rsid w:val="004F45EC"/>
    <w:rsid w:val="004F4B9E"/>
    <w:rsid w:val="004F4C9A"/>
    <w:rsid w:val="004F61FA"/>
    <w:rsid w:val="004F65DE"/>
    <w:rsid w:val="004F6E0C"/>
    <w:rsid w:val="004F74F8"/>
    <w:rsid w:val="004F7883"/>
    <w:rsid w:val="00500626"/>
    <w:rsid w:val="00503A81"/>
    <w:rsid w:val="005045DF"/>
    <w:rsid w:val="00505140"/>
    <w:rsid w:val="00505B75"/>
    <w:rsid w:val="00505C1A"/>
    <w:rsid w:val="00506CF1"/>
    <w:rsid w:val="00510977"/>
    <w:rsid w:val="00510F12"/>
    <w:rsid w:val="0051245D"/>
    <w:rsid w:val="00513F27"/>
    <w:rsid w:val="00513F3A"/>
    <w:rsid w:val="0051452F"/>
    <w:rsid w:val="0051555F"/>
    <w:rsid w:val="00515B3D"/>
    <w:rsid w:val="00516204"/>
    <w:rsid w:val="00517707"/>
    <w:rsid w:val="00517ED9"/>
    <w:rsid w:val="005204A2"/>
    <w:rsid w:val="005215B5"/>
    <w:rsid w:val="00521DB9"/>
    <w:rsid w:val="00521E42"/>
    <w:rsid w:val="0052304D"/>
    <w:rsid w:val="00523FF1"/>
    <w:rsid w:val="00524233"/>
    <w:rsid w:val="005251D2"/>
    <w:rsid w:val="0052572E"/>
    <w:rsid w:val="00525DAC"/>
    <w:rsid w:val="00527C3C"/>
    <w:rsid w:val="00530348"/>
    <w:rsid w:val="00531280"/>
    <w:rsid w:val="005345A3"/>
    <w:rsid w:val="005346C5"/>
    <w:rsid w:val="00540EC1"/>
    <w:rsid w:val="00542878"/>
    <w:rsid w:val="00545A5E"/>
    <w:rsid w:val="00546AAF"/>
    <w:rsid w:val="00546E4D"/>
    <w:rsid w:val="00550A45"/>
    <w:rsid w:val="00551075"/>
    <w:rsid w:val="00553BD8"/>
    <w:rsid w:val="0055482F"/>
    <w:rsid w:val="0055647C"/>
    <w:rsid w:val="00556EA6"/>
    <w:rsid w:val="00556FF7"/>
    <w:rsid w:val="00562DB9"/>
    <w:rsid w:val="005632C0"/>
    <w:rsid w:val="00564079"/>
    <w:rsid w:val="00570A95"/>
    <w:rsid w:val="00570F2B"/>
    <w:rsid w:val="00571611"/>
    <w:rsid w:val="00573CC1"/>
    <w:rsid w:val="00574D0D"/>
    <w:rsid w:val="005756BB"/>
    <w:rsid w:val="0057576D"/>
    <w:rsid w:val="00575BCC"/>
    <w:rsid w:val="00577112"/>
    <w:rsid w:val="00577B86"/>
    <w:rsid w:val="00577DDB"/>
    <w:rsid w:val="00580522"/>
    <w:rsid w:val="00581037"/>
    <w:rsid w:val="00581B7B"/>
    <w:rsid w:val="005822EF"/>
    <w:rsid w:val="005860CB"/>
    <w:rsid w:val="00590347"/>
    <w:rsid w:val="00591FBB"/>
    <w:rsid w:val="005922B6"/>
    <w:rsid w:val="00592984"/>
    <w:rsid w:val="005952E8"/>
    <w:rsid w:val="00596492"/>
    <w:rsid w:val="005A0D31"/>
    <w:rsid w:val="005A1123"/>
    <w:rsid w:val="005A173C"/>
    <w:rsid w:val="005A1958"/>
    <w:rsid w:val="005A2791"/>
    <w:rsid w:val="005A3036"/>
    <w:rsid w:val="005A44B1"/>
    <w:rsid w:val="005A7D5B"/>
    <w:rsid w:val="005B02AA"/>
    <w:rsid w:val="005B0606"/>
    <w:rsid w:val="005B1687"/>
    <w:rsid w:val="005B1815"/>
    <w:rsid w:val="005B341E"/>
    <w:rsid w:val="005B3C1A"/>
    <w:rsid w:val="005B509B"/>
    <w:rsid w:val="005B51C9"/>
    <w:rsid w:val="005B6497"/>
    <w:rsid w:val="005B64DB"/>
    <w:rsid w:val="005B6DDD"/>
    <w:rsid w:val="005B7031"/>
    <w:rsid w:val="005C1B71"/>
    <w:rsid w:val="005C2DC4"/>
    <w:rsid w:val="005C4CFC"/>
    <w:rsid w:val="005C6A2C"/>
    <w:rsid w:val="005D11B5"/>
    <w:rsid w:val="005D1E44"/>
    <w:rsid w:val="005E13C2"/>
    <w:rsid w:val="005E220E"/>
    <w:rsid w:val="005E2DCF"/>
    <w:rsid w:val="005E3F7D"/>
    <w:rsid w:val="005E4476"/>
    <w:rsid w:val="005E5960"/>
    <w:rsid w:val="005E621F"/>
    <w:rsid w:val="005E64F6"/>
    <w:rsid w:val="005E70FA"/>
    <w:rsid w:val="005F0731"/>
    <w:rsid w:val="005F0D2E"/>
    <w:rsid w:val="005F1AC2"/>
    <w:rsid w:val="005F2832"/>
    <w:rsid w:val="005F297E"/>
    <w:rsid w:val="005F308B"/>
    <w:rsid w:val="005F3380"/>
    <w:rsid w:val="005F3B1E"/>
    <w:rsid w:val="006011CB"/>
    <w:rsid w:val="006014AA"/>
    <w:rsid w:val="00601510"/>
    <w:rsid w:val="006043F6"/>
    <w:rsid w:val="0060544B"/>
    <w:rsid w:val="006062CC"/>
    <w:rsid w:val="00610B2F"/>
    <w:rsid w:val="006113AF"/>
    <w:rsid w:val="00611689"/>
    <w:rsid w:val="006135E8"/>
    <w:rsid w:val="006148E9"/>
    <w:rsid w:val="0061662C"/>
    <w:rsid w:val="0061663B"/>
    <w:rsid w:val="006173C0"/>
    <w:rsid w:val="00621613"/>
    <w:rsid w:val="0062356E"/>
    <w:rsid w:val="00630801"/>
    <w:rsid w:val="00630840"/>
    <w:rsid w:val="00633219"/>
    <w:rsid w:val="00634432"/>
    <w:rsid w:val="0063466E"/>
    <w:rsid w:val="006378A7"/>
    <w:rsid w:val="006404AA"/>
    <w:rsid w:val="00643BB7"/>
    <w:rsid w:val="006452C4"/>
    <w:rsid w:val="006503C8"/>
    <w:rsid w:val="006504DE"/>
    <w:rsid w:val="00652CB2"/>
    <w:rsid w:val="00653735"/>
    <w:rsid w:val="006540F9"/>
    <w:rsid w:val="00655439"/>
    <w:rsid w:val="00656A5C"/>
    <w:rsid w:val="00656C07"/>
    <w:rsid w:val="00660B15"/>
    <w:rsid w:val="00662034"/>
    <w:rsid w:val="0066300C"/>
    <w:rsid w:val="00665083"/>
    <w:rsid w:val="00666345"/>
    <w:rsid w:val="00666BA6"/>
    <w:rsid w:val="00666C6A"/>
    <w:rsid w:val="00671803"/>
    <w:rsid w:val="00671BE2"/>
    <w:rsid w:val="00671F14"/>
    <w:rsid w:val="00672173"/>
    <w:rsid w:val="00672CBC"/>
    <w:rsid w:val="00672D5F"/>
    <w:rsid w:val="00675740"/>
    <w:rsid w:val="006761F1"/>
    <w:rsid w:val="00680EEE"/>
    <w:rsid w:val="006818A8"/>
    <w:rsid w:val="00682050"/>
    <w:rsid w:val="006839F2"/>
    <w:rsid w:val="006845A4"/>
    <w:rsid w:val="00685F11"/>
    <w:rsid w:val="00686351"/>
    <w:rsid w:val="0068742C"/>
    <w:rsid w:val="00687D17"/>
    <w:rsid w:val="006903E2"/>
    <w:rsid w:val="00692402"/>
    <w:rsid w:val="00692841"/>
    <w:rsid w:val="00692955"/>
    <w:rsid w:val="00692A51"/>
    <w:rsid w:val="00692AD8"/>
    <w:rsid w:val="00694128"/>
    <w:rsid w:val="00695048"/>
    <w:rsid w:val="00695A8E"/>
    <w:rsid w:val="00695E04"/>
    <w:rsid w:val="0069756A"/>
    <w:rsid w:val="00697A2B"/>
    <w:rsid w:val="006A23D0"/>
    <w:rsid w:val="006A2BA8"/>
    <w:rsid w:val="006A2FA6"/>
    <w:rsid w:val="006A59B7"/>
    <w:rsid w:val="006A67EA"/>
    <w:rsid w:val="006A7B34"/>
    <w:rsid w:val="006B0AD4"/>
    <w:rsid w:val="006B10D3"/>
    <w:rsid w:val="006B1DF4"/>
    <w:rsid w:val="006B3408"/>
    <w:rsid w:val="006B34AD"/>
    <w:rsid w:val="006B5359"/>
    <w:rsid w:val="006B6194"/>
    <w:rsid w:val="006B6809"/>
    <w:rsid w:val="006C027F"/>
    <w:rsid w:val="006C064E"/>
    <w:rsid w:val="006C0E7A"/>
    <w:rsid w:val="006C11FB"/>
    <w:rsid w:val="006C6C10"/>
    <w:rsid w:val="006C6F71"/>
    <w:rsid w:val="006D104B"/>
    <w:rsid w:val="006D164B"/>
    <w:rsid w:val="006D1D64"/>
    <w:rsid w:val="006D2054"/>
    <w:rsid w:val="006D2CEA"/>
    <w:rsid w:val="006D326D"/>
    <w:rsid w:val="006D49A1"/>
    <w:rsid w:val="006D582E"/>
    <w:rsid w:val="006D66E7"/>
    <w:rsid w:val="006D6E71"/>
    <w:rsid w:val="006D7D4D"/>
    <w:rsid w:val="006E0338"/>
    <w:rsid w:val="006E127D"/>
    <w:rsid w:val="006E1EFC"/>
    <w:rsid w:val="006E3B36"/>
    <w:rsid w:val="006E403A"/>
    <w:rsid w:val="006E5115"/>
    <w:rsid w:val="006E6479"/>
    <w:rsid w:val="006E6481"/>
    <w:rsid w:val="006E6DDF"/>
    <w:rsid w:val="006E712A"/>
    <w:rsid w:val="006F1F6D"/>
    <w:rsid w:val="006F441F"/>
    <w:rsid w:val="006F6C67"/>
    <w:rsid w:val="006F7B34"/>
    <w:rsid w:val="006F7C5D"/>
    <w:rsid w:val="00700702"/>
    <w:rsid w:val="007013CE"/>
    <w:rsid w:val="00701562"/>
    <w:rsid w:val="00701DC4"/>
    <w:rsid w:val="007022F2"/>
    <w:rsid w:val="007036AB"/>
    <w:rsid w:val="00703849"/>
    <w:rsid w:val="00703BEC"/>
    <w:rsid w:val="00704062"/>
    <w:rsid w:val="007045CE"/>
    <w:rsid w:val="00706B92"/>
    <w:rsid w:val="007070AB"/>
    <w:rsid w:val="0070750B"/>
    <w:rsid w:val="0071011C"/>
    <w:rsid w:val="00711BA2"/>
    <w:rsid w:val="00713230"/>
    <w:rsid w:val="00713DEE"/>
    <w:rsid w:val="00713FDA"/>
    <w:rsid w:val="00714CF8"/>
    <w:rsid w:val="007159F1"/>
    <w:rsid w:val="00715B71"/>
    <w:rsid w:val="00721CF1"/>
    <w:rsid w:val="0072266B"/>
    <w:rsid w:val="00722DAA"/>
    <w:rsid w:val="0072382A"/>
    <w:rsid w:val="00725556"/>
    <w:rsid w:val="0072672F"/>
    <w:rsid w:val="00726E7D"/>
    <w:rsid w:val="007277ED"/>
    <w:rsid w:val="00731E76"/>
    <w:rsid w:val="007324CD"/>
    <w:rsid w:val="0073294D"/>
    <w:rsid w:val="0073301B"/>
    <w:rsid w:val="00735A5D"/>
    <w:rsid w:val="0073684F"/>
    <w:rsid w:val="007375EA"/>
    <w:rsid w:val="00737CB9"/>
    <w:rsid w:val="00740BDF"/>
    <w:rsid w:val="007422BA"/>
    <w:rsid w:val="007422C1"/>
    <w:rsid w:val="00743C55"/>
    <w:rsid w:val="007442F2"/>
    <w:rsid w:val="0074475E"/>
    <w:rsid w:val="00744E5C"/>
    <w:rsid w:val="00744EC9"/>
    <w:rsid w:val="0074630C"/>
    <w:rsid w:val="00746860"/>
    <w:rsid w:val="00751F4E"/>
    <w:rsid w:val="00752E17"/>
    <w:rsid w:val="0075360E"/>
    <w:rsid w:val="00753B3B"/>
    <w:rsid w:val="0075719D"/>
    <w:rsid w:val="007639CC"/>
    <w:rsid w:val="00763B6A"/>
    <w:rsid w:val="00770BC1"/>
    <w:rsid w:val="00772AD2"/>
    <w:rsid w:val="00774CD4"/>
    <w:rsid w:val="00776011"/>
    <w:rsid w:val="00776A62"/>
    <w:rsid w:val="00782386"/>
    <w:rsid w:val="007839A4"/>
    <w:rsid w:val="00783B90"/>
    <w:rsid w:val="00784877"/>
    <w:rsid w:val="007853BF"/>
    <w:rsid w:val="00785DCC"/>
    <w:rsid w:val="00786AAA"/>
    <w:rsid w:val="00787636"/>
    <w:rsid w:val="00787A28"/>
    <w:rsid w:val="0079012E"/>
    <w:rsid w:val="007902C8"/>
    <w:rsid w:val="007910E6"/>
    <w:rsid w:val="007922F8"/>
    <w:rsid w:val="007928AB"/>
    <w:rsid w:val="00793006"/>
    <w:rsid w:val="00793554"/>
    <w:rsid w:val="00794CD9"/>
    <w:rsid w:val="0079582D"/>
    <w:rsid w:val="00796789"/>
    <w:rsid w:val="007A01E6"/>
    <w:rsid w:val="007A2DF7"/>
    <w:rsid w:val="007A40A4"/>
    <w:rsid w:val="007A4327"/>
    <w:rsid w:val="007A512C"/>
    <w:rsid w:val="007A610E"/>
    <w:rsid w:val="007A6FC7"/>
    <w:rsid w:val="007B0378"/>
    <w:rsid w:val="007B149F"/>
    <w:rsid w:val="007B20CA"/>
    <w:rsid w:val="007B3EC2"/>
    <w:rsid w:val="007B4ABC"/>
    <w:rsid w:val="007C0A20"/>
    <w:rsid w:val="007C38ED"/>
    <w:rsid w:val="007C3FF0"/>
    <w:rsid w:val="007C5690"/>
    <w:rsid w:val="007C6A59"/>
    <w:rsid w:val="007C7224"/>
    <w:rsid w:val="007D01AB"/>
    <w:rsid w:val="007D0727"/>
    <w:rsid w:val="007D0AB6"/>
    <w:rsid w:val="007D0BEE"/>
    <w:rsid w:val="007D1E90"/>
    <w:rsid w:val="007D4632"/>
    <w:rsid w:val="007D616B"/>
    <w:rsid w:val="007D7290"/>
    <w:rsid w:val="007E01A6"/>
    <w:rsid w:val="007E03D8"/>
    <w:rsid w:val="007E07EF"/>
    <w:rsid w:val="007E19E9"/>
    <w:rsid w:val="007E21D0"/>
    <w:rsid w:val="007E4CEE"/>
    <w:rsid w:val="007F1A7D"/>
    <w:rsid w:val="007F1E43"/>
    <w:rsid w:val="007F3727"/>
    <w:rsid w:val="007F3DD6"/>
    <w:rsid w:val="007F5875"/>
    <w:rsid w:val="007F6686"/>
    <w:rsid w:val="007F66C6"/>
    <w:rsid w:val="007F73B5"/>
    <w:rsid w:val="008003DD"/>
    <w:rsid w:val="00804A34"/>
    <w:rsid w:val="00805BF9"/>
    <w:rsid w:val="008063F3"/>
    <w:rsid w:val="008072B8"/>
    <w:rsid w:val="0081071B"/>
    <w:rsid w:val="008116F9"/>
    <w:rsid w:val="0081239C"/>
    <w:rsid w:val="008123A5"/>
    <w:rsid w:val="0081287C"/>
    <w:rsid w:val="008160D8"/>
    <w:rsid w:val="008216B2"/>
    <w:rsid w:val="00821AC0"/>
    <w:rsid w:val="00821DD9"/>
    <w:rsid w:val="00822355"/>
    <w:rsid w:val="008225E2"/>
    <w:rsid w:val="00822CBB"/>
    <w:rsid w:val="008243FE"/>
    <w:rsid w:val="0082447A"/>
    <w:rsid w:val="00824E4E"/>
    <w:rsid w:val="0083027C"/>
    <w:rsid w:val="00830865"/>
    <w:rsid w:val="0083200B"/>
    <w:rsid w:val="00832903"/>
    <w:rsid w:val="00832CCC"/>
    <w:rsid w:val="008331B8"/>
    <w:rsid w:val="00833477"/>
    <w:rsid w:val="0083506B"/>
    <w:rsid w:val="00837744"/>
    <w:rsid w:val="00840B3C"/>
    <w:rsid w:val="00840D88"/>
    <w:rsid w:val="00841997"/>
    <w:rsid w:val="00843182"/>
    <w:rsid w:val="00843586"/>
    <w:rsid w:val="008449E1"/>
    <w:rsid w:val="00845433"/>
    <w:rsid w:val="00845A4F"/>
    <w:rsid w:val="00850F3E"/>
    <w:rsid w:val="00851206"/>
    <w:rsid w:val="00852388"/>
    <w:rsid w:val="008527AE"/>
    <w:rsid w:val="008527C6"/>
    <w:rsid w:val="00853B7E"/>
    <w:rsid w:val="00854FA9"/>
    <w:rsid w:val="008551A1"/>
    <w:rsid w:val="008555C0"/>
    <w:rsid w:val="00855C0E"/>
    <w:rsid w:val="00855CF4"/>
    <w:rsid w:val="008569B5"/>
    <w:rsid w:val="008600DF"/>
    <w:rsid w:val="00861426"/>
    <w:rsid w:val="0086295C"/>
    <w:rsid w:val="00862C8A"/>
    <w:rsid w:val="0086419D"/>
    <w:rsid w:val="00866713"/>
    <w:rsid w:val="008671C9"/>
    <w:rsid w:val="00867DCE"/>
    <w:rsid w:val="008700B6"/>
    <w:rsid w:val="00870A9A"/>
    <w:rsid w:val="00870E0F"/>
    <w:rsid w:val="00871D1B"/>
    <w:rsid w:val="00871E7F"/>
    <w:rsid w:val="00873027"/>
    <w:rsid w:val="00873E83"/>
    <w:rsid w:val="008742C7"/>
    <w:rsid w:val="008746CD"/>
    <w:rsid w:val="00875062"/>
    <w:rsid w:val="00875573"/>
    <w:rsid w:val="0087648F"/>
    <w:rsid w:val="00877201"/>
    <w:rsid w:val="008778C9"/>
    <w:rsid w:val="00877C5A"/>
    <w:rsid w:val="00877EEA"/>
    <w:rsid w:val="00877FC1"/>
    <w:rsid w:val="00880BDD"/>
    <w:rsid w:val="00880F50"/>
    <w:rsid w:val="00882A14"/>
    <w:rsid w:val="0088471C"/>
    <w:rsid w:val="00884ED2"/>
    <w:rsid w:val="00885050"/>
    <w:rsid w:val="00885621"/>
    <w:rsid w:val="008856C5"/>
    <w:rsid w:val="00885D89"/>
    <w:rsid w:val="00885E4D"/>
    <w:rsid w:val="0088638E"/>
    <w:rsid w:val="008878CF"/>
    <w:rsid w:val="00891257"/>
    <w:rsid w:val="00891D75"/>
    <w:rsid w:val="0089202A"/>
    <w:rsid w:val="0089251D"/>
    <w:rsid w:val="00892759"/>
    <w:rsid w:val="00892E7D"/>
    <w:rsid w:val="008939BF"/>
    <w:rsid w:val="00894701"/>
    <w:rsid w:val="008978E5"/>
    <w:rsid w:val="00897939"/>
    <w:rsid w:val="008A0BAE"/>
    <w:rsid w:val="008A2493"/>
    <w:rsid w:val="008A4615"/>
    <w:rsid w:val="008A4DCB"/>
    <w:rsid w:val="008A79F6"/>
    <w:rsid w:val="008A7D52"/>
    <w:rsid w:val="008B008A"/>
    <w:rsid w:val="008B089F"/>
    <w:rsid w:val="008B29DA"/>
    <w:rsid w:val="008B4508"/>
    <w:rsid w:val="008B5DD6"/>
    <w:rsid w:val="008B5E43"/>
    <w:rsid w:val="008B6085"/>
    <w:rsid w:val="008B69E2"/>
    <w:rsid w:val="008B7A12"/>
    <w:rsid w:val="008C0C8A"/>
    <w:rsid w:val="008C188D"/>
    <w:rsid w:val="008C1981"/>
    <w:rsid w:val="008C2BEE"/>
    <w:rsid w:val="008C4B36"/>
    <w:rsid w:val="008C5B85"/>
    <w:rsid w:val="008C5C45"/>
    <w:rsid w:val="008C69BA"/>
    <w:rsid w:val="008D192B"/>
    <w:rsid w:val="008D23B7"/>
    <w:rsid w:val="008D244A"/>
    <w:rsid w:val="008D32ED"/>
    <w:rsid w:val="008D40C6"/>
    <w:rsid w:val="008D4329"/>
    <w:rsid w:val="008D4927"/>
    <w:rsid w:val="008D4F52"/>
    <w:rsid w:val="008D56F1"/>
    <w:rsid w:val="008D594E"/>
    <w:rsid w:val="008D5C24"/>
    <w:rsid w:val="008D7EA4"/>
    <w:rsid w:val="008E0E11"/>
    <w:rsid w:val="008E0EDF"/>
    <w:rsid w:val="008E2FD9"/>
    <w:rsid w:val="008E39EE"/>
    <w:rsid w:val="008E4919"/>
    <w:rsid w:val="008E4D49"/>
    <w:rsid w:val="008E5645"/>
    <w:rsid w:val="008E7F75"/>
    <w:rsid w:val="008F02D3"/>
    <w:rsid w:val="008F032D"/>
    <w:rsid w:val="008F2113"/>
    <w:rsid w:val="008F3145"/>
    <w:rsid w:val="008F37A6"/>
    <w:rsid w:val="008F43D7"/>
    <w:rsid w:val="008F7020"/>
    <w:rsid w:val="008F7624"/>
    <w:rsid w:val="0090002B"/>
    <w:rsid w:val="009000CE"/>
    <w:rsid w:val="009003B5"/>
    <w:rsid w:val="009017F3"/>
    <w:rsid w:val="009033B8"/>
    <w:rsid w:val="009047CB"/>
    <w:rsid w:val="00906838"/>
    <w:rsid w:val="00910BFC"/>
    <w:rsid w:val="00913DEB"/>
    <w:rsid w:val="00913EA7"/>
    <w:rsid w:val="00913F78"/>
    <w:rsid w:val="009164E7"/>
    <w:rsid w:val="00916D23"/>
    <w:rsid w:val="009175B8"/>
    <w:rsid w:val="009176D5"/>
    <w:rsid w:val="00920019"/>
    <w:rsid w:val="00920C25"/>
    <w:rsid w:val="0092132D"/>
    <w:rsid w:val="009227E8"/>
    <w:rsid w:val="009232F8"/>
    <w:rsid w:val="00925A6C"/>
    <w:rsid w:val="00925B4F"/>
    <w:rsid w:val="00925ED6"/>
    <w:rsid w:val="00925EED"/>
    <w:rsid w:val="00926198"/>
    <w:rsid w:val="00926606"/>
    <w:rsid w:val="00931D25"/>
    <w:rsid w:val="00932320"/>
    <w:rsid w:val="00932671"/>
    <w:rsid w:val="00933526"/>
    <w:rsid w:val="00933ACD"/>
    <w:rsid w:val="00933FEF"/>
    <w:rsid w:val="009348D7"/>
    <w:rsid w:val="009355EB"/>
    <w:rsid w:val="00935C3F"/>
    <w:rsid w:val="009363D2"/>
    <w:rsid w:val="009374D9"/>
    <w:rsid w:val="00937DBF"/>
    <w:rsid w:val="00940657"/>
    <w:rsid w:val="00940BCC"/>
    <w:rsid w:val="0094284D"/>
    <w:rsid w:val="009433C8"/>
    <w:rsid w:val="00943D9E"/>
    <w:rsid w:val="00945D24"/>
    <w:rsid w:val="0094652A"/>
    <w:rsid w:val="00946A53"/>
    <w:rsid w:val="0094765C"/>
    <w:rsid w:val="00947B9E"/>
    <w:rsid w:val="00947F1D"/>
    <w:rsid w:val="009504A8"/>
    <w:rsid w:val="00950AB6"/>
    <w:rsid w:val="009511AC"/>
    <w:rsid w:val="00951F66"/>
    <w:rsid w:val="00952651"/>
    <w:rsid w:val="0095593D"/>
    <w:rsid w:val="00955DE7"/>
    <w:rsid w:val="009576B5"/>
    <w:rsid w:val="00960E87"/>
    <w:rsid w:val="009635B5"/>
    <w:rsid w:val="009642B5"/>
    <w:rsid w:val="0096566F"/>
    <w:rsid w:val="00966793"/>
    <w:rsid w:val="009700CC"/>
    <w:rsid w:val="009717B8"/>
    <w:rsid w:val="0097424E"/>
    <w:rsid w:val="009760E7"/>
    <w:rsid w:val="00981038"/>
    <w:rsid w:val="00982FF5"/>
    <w:rsid w:val="0098351B"/>
    <w:rsid w:val="00983C84"/>
    <w:rsid w:val="00984981"/>
    <w:rsid w:val="009872CB"/>
    <w:rsid w:val="009900F0"/>
    <w:rsid w:val="0099039C"/>
    <w:rsid w:val="00990ABE"/>
    <w:rsid w:val="00990CEE"/>
    <w:rsid w:val="0099101A"/>
    <w:rsid w:val="009915F8"/>
    <w:rsid w:val="00991FAB"/>
    <w:rsid w:val="009923CD"/>
    <w:rsid w:val="00992516"/>
    <w:rsid w:val="00992564"/>
    <w:rsid w:val="00993621"/>
    <w:rsid w:val="0099488F"/>
    <w:rsid w:val="00994A81"/>
    <w:rsid w:val="00995184"/>
    <w:rsid w:val="009965C6"/>
    <w:rsid w:val="00996AB3"/>
    <w:rsid w:val="00996E7D"/>
    <w:rsid w:val="009A0229"/>
    <w:rsid w:val="009A0D37"/>
    <w:rsid w:val="009A0E11"/>
    <w:rsid w:val="009A1C70"/>
    <w:rsid w:val="009A320F"/>
    <w:rsid w:val="009A35FA"/>
    <w:rsid w:val="009A4EED"/>
    <w:rsid w:val="009A5162"/>
    <w:rsid w:val="009A6BA9"/>
    <w:rsid w:val="009A7B80"/>
    <w:rsid w:val="009B26F3"/>
    <w:rsid w:val="009B2A8E"/>
    <w:rsid w:val="009B34C8"/>
    <w:rsid w:val="009B359A"/>
    <w:rsid w:val="009B43E1"/>
    <w:rsid w:val="009B4CC0"/>
    <w:rsid w:val="009B6502"/>
    <w:rsid w:val="009B6D08"/>
    <w:rsid w:val="009B6F94"/>
    <w:rsid w:val="009B725D"/>
    <w:rsid w:val="009B728B"/>
    <w:rsid w:val="009B7BB0"/>
    <w:rsid w:val="009C0145"/>
    <w:rsid w:val="009C1051"/>
    <w:rsid w:val="009C4D3A"/>
    <w:rsid w:val="009C5374"/>
    <w:rsid w:val="009D3A39"/>
    <w:rsid w:val="009D4346"/>
    <w:rsid w:val="009D6CD0"/>
    <w:rsid w:val="009E0092"/>
    <w:rsid w:val="009E1FC5"/>
    <w:rsid w:val="009E4B5B"/>
    <w:rsid w:val="009E7972"/>
    <w:rsid w:val="009F0ECB"/>
    <w:rsid w:val="009F129A"/>
    <w:rsid w:val="009F143B"/>
    <w:rsid w:val="009F1A81"/>
    <w:rsid w:val="009F317E"/>
    <w:rsid w:val="009F36C2"/>
    <w:rsid w:val="009F3D8F"/>
    <w:rsid w:val="009F51FF"/>
    <w:rsid w:val="00A007D5"/>
    <w:rsid w:val="00A00F08"/>
    <w:rsid w:val="00A01D8C"/>
    <w:rsid w:val="00A0218A"/>
    <w:rsid w:val="00A04178"/>
    <w:rsid w:val="00A0424F"/>
    <w:rsid w:val="00A05B5A"/>
    <w:rsid w:val="00A05CF7"/>
    <w:rsid w:val="00A07FEF"/>
    <w:rsid w:val="00A106D3"/>
    <w:rsid w:val="00A11E36"/>
    <w:rsid w:val="00A12DC8"/>
    <w:rsid w:val="00A14324"/>
    <w:rsid w:val="00A14B03"/>
    <w:rsid w:val="00A14E7B"/>
    <w:rsid w:val="00A16854"/>
    <w:rsid w:val="00A1712E"/>
    <w:rsid w:val="00A1735D"/>
    <w:rsid w:val="00A17BDE"/>
    <w:rsid w:val="00A17FBC"/>
    <w:rsid w:val="00A2165F"/>
    <w:rsid w:val="00A23507"/>
    <w:rsid w:val="00A24AC7"/>
    <w:rsid w:val="00A25DEB"/>
    <w:rsid w:val="00A25E1D"/>
    <w:rsid w:val="00A26D8F"/>
    <w:rsid w:val="00A27430"/>
    <w:rsid w:val="00A27D3D"/>
    <w:rsid w:val="00A27EBF"/>
    <w:rsid w:val="00A306A3"/>
    <w:rsid w:val="00A30A18"/>
    <w:rsid w:val="00A31007"/>
    <w:rsid w:val="00A3173C"/>
    <w:rsid w:val="00A3194A"/>
    <w:rsid w:val="00A32110"/>
    <w:rsid w:val="00A34040"/>
    <w:rsid w:val="00A3595E"/>
    <w:rsid w:val="00A365C8"/>
    <w:rsid w:val="00A36A06"/>
    <w:rsid w:val="00A3774E"/>
    <w:rsid w:val="00A37C63"/>
    <w:rsid w:val="00A41441"/>
    <w:rsid w:val="00A431BA"/>
    <w:rsid w:val="00A462B2"/>
    <w:rsid w:val="00A462B3"/>
    <w:rsid w:val="00A46BDF"/>
    <w:rsid w:val="00A47990"/>
    <w:rsid w:val="00A47F88"/>
    <w:rsid w:val="00A50DBF"/>
    <w:rsid w:val="00A5395F"/>
    <w:rsid w:val="00A54A21"/>
    <w:rsid w:val="00A556B0"/>
    <w:rsid w:val="00A56EF2"/>
    <w:rsid w:val="00A57DC8"/>
    <w:rsid w:val="00A609BA"/>
    <w:rsid w:val="00A61A40"/>
    <w:rsid w:val="00A62116"/>
    <w:rsid w:val="00A62175"/>
    <w:rsid w:val="00A64923"/>
    <w:rsid w:val="00A667FE"/>
    <w:rsid w:val="00A709C1"/>
    <w:rsid w:val="00A71B2B"/>
    <w:rsid w:val="00A73D26"/>
    <w:rsid w:val="00A7635A"/>
    <w:rsid w:val="00A77510"/>
    <w:rsid w:val="00A77C4F"/>
    <w:rsid w:val="00A8010E"/>
    <w:rsid w:val="00A80CCB"/>
    <w:rsid w:val="00A81313"/>
    <w:rsid w:val="00A8151D"/>
    <w:rsid w:val="00A81DE9"/>
    <w:rsid w:val="00A83BE2"/>
    <w:rsid w:val="00A84212"/>
    <w:rsid w:val="00A843B6"/>
    <w:rsid w:val="00A84E32"/>
    <w:rsid w:val="00A86224"/>
    <w:rsid w:val="00A867A0"/>
    <w:rsid w:val="00A876C2"/>
    <w:rsid w:val="00A87C90"/>
    <w:rsid w:val="00A9115B"/>
    <w:rsid w:val="00A92D0F"/>
    <w:rsid w:val="00A9309A"/>
    <w:rsid w:val="00A93C78"/>
    <w:rsid w:val="00A944C6"/>
    <w:rsid w:val="00A946F4"/>
    <w:rsid w:val="00A958AC"/>
    <w:rsid w:val="00AA06AE"/>
    <w:rsid w:val="00AA239E"/>
    <w:rsid w:val="00AA2C17"/>
    <w:rsid w:val="00AA487B"/>
    <w:rsid w:val="00AA4ADE"/>
    <w:rsid w:val="00AA718E"/>
    <w:rsid w:val="00AB1202"/>
    <w:rsid w:val="00AB1476"/>
    <w:rsid w:val="00AB2307"/>
    <w:rsid w:val="00AB31AC"/>
    <w:rsid w:val="00AB5C7C"/>
    <w:rsid w:val="00AB66B0"/>
    <w:rsid w:val="00AB6CFF"/>
    <w:rsid w:val="00AB769C"/>
    <w:rsid w:val="00AC2A8D"/>
    <w:rsid w:val="00AC30AD"/>
    <w:rsid w:val="00AC3638"/>
    <w:rsid w:val="00AC5442"/>
    <w:rsid w:val="00AD0EB8"/>
    <w:rsid w:val="00AD2EFF"/>
    <w:rsid w:val="00AD3859"/>
    <w:rsid w:val="00AD4C8F"/>
    <w:rsid w:val="00AD50AE"/>
    <w:rsid w:val="00AD65D0"/>
    <w:rsid w:val="00AD7F5E"/>
    <w:rsid w:val="00AE023C"/>
    <w:rsid w:val="00AE0F67"/>
    <w:rsid w:val="00AE13D7"/>
    <w:rsid w:val="00AE2060"/>
    <w:rsid w:val="00AE2E00"/>
    <w:rsid w:val="00AE3E20"/>
    <w:rsid w:val="00AE4536"/>
    <w:rsid w:val="00AE67B5"/>
    <w:rsid w:val="00AE6A41"/>
    <w:rsid w:val="00AE758E"/>
    <w:rsid w:val="00AF050A"/>
    <w:rsid w:val="00AF07B5"/>
    <w:rsid w:val="00AF22EE"/>
    <w:rsid w:val="00AF3BF2"/>
    <w:rsid w:val="00AF3D1D"/>
    <w:rsid w:val="00AF4A63"/>
    <w:rsid w:val="00AF5D39"/>
    <w:rsid w:val="00AF7D05"/>
    <w:rsid w:val="00B00254"/>
    <w:rsid w:val="00B018E7"/>
    <w:rsid w:val="00B01F2D"/>
    <w:rsid w:val="00B02E4C"/>
    <w:rsid w:val="00B03C30"/>
    <w:rsid w:val="00B03F24"/>
    <w:rsid w:val="00B05A83"/>
    <w:rsid w:val="00B05CCF"/>
    <w:rsid w:val="00B065EF"/>
    <w:rsid w:val="00B06D1C"/>
    <w:rsid w:val="00B070F0"/>
    <w:rsid w:val="00B125F6"/>
    <w:rsid w:val="00B13065"/>
    <w:rsid w:val="00B145C0"/>
    <w:rsid w:val="00B14E61"/>
    <w:rsid w:val="00B17838"/>
    <w:rsid w:val="00B17DF5"/>
    <w:rsid w:val="00B22DB2"/>
    <w:rsid w:val="00B23063"/>
    <w:rsid w:val="00B23B44"/>
    <w:rsid w:val="00B23B8C"/>
    <w:rsid w:val="00B25DB8"/>
    <w:rsid w:val="00B26828"/>
    <w:rsid w:val="00B26ACD"/>
    <w:rsid w:val="00B3300D"/>
    <w:rsid w:val="00B3350D"/>
    <w:rsid w:val="00B33DEB"/>
    <w:rsid w:val="00B35DE7"/>
    <w:rsid w:val="00B3601E"/>
    <w:rsid w:val="00B36B9A"/>
    <w:rsid w:val="00B37F0E"/>
    <w:rsid w:val="00B42643"/>
    <w:rsid w:val="00B43A29"/>
    <w:rsid w:val="00B43AEF"/>
    <w:rsid w:val="00B44017"/>
    <w:rsid w:val="00B4539A"/>
    <w:rsid w:val="00B45857"/>
    <w:rsid w:val="00B45BDD"/>
    <w:rsid w:val="00B45D3D"/>
    <w:rsid w:val="00B46A03"/>
    <w:rsid w:val="00B47566"/>
    <w:rsid w:val="00B50D54"/>
    <w:rsid w:val="00B51AA1"/>
    <w:rsid w:val="00B54136"/>
    <w:rsid w:val="00B551FC"/>
    <w:rsid w:val="00B55B8B"/>
    <w:rsid w:val="00B55E2B"/>
    <w:rsid w:val="00B560EC"/>
    <w:rsid w:val="00B570F5"/>
    <w:rsid w:val="00B60CEA"/>
    <w:rsid w:val="00B610D2"/>
    <w:rsid w:val="00B61B7E"/>
    <w:rsid w:val="00B61C87"/>
    <w:rsid w:val="00B628A5"/>
    <w:rsid w:val="00B6368C"/>
    <w:rsid w:val="00B63844"/>
    <w:rsid w:val="00B64ABB"/>
    <w:rsid w:val="00B67870"/>
    <w:rsid w:val="00B70D50"/>
    <w:rsid w:val="00B741FE"/>
    <w:rsid w:val="00B7449D"/>
    <w:rsid w:val="00B74C95"/>
    <w:rsid w:val="00B74D06"/>
    <w:rsid w:val="00B75B83"/>
    <w:rsid w:val="00B77109"/>
    <w:rsid w:val="00B809F2"/>
    <w:rsid w:val="00B812B4"/>
    <w:rsid w:val="00B825DA"/>
    <w:rsid w:val="00B83B7A"/>
    <w:rsid w:val="00B85C6A"/>
    <w:rsid w:val="00B90500"/>
    <w:rsid w:val="00B90757"/>
    <w:rsid w:val="00B917AD"/>
    <w:rsid w:val="00B92240"/>
    <w:rsid w:val="00B9373B"/>
    <w:rsid w:val="00B95BD3"/>
    <w:rsid w:val="00B96346"/>
    <w:rsid w:val="00B96E08"/>
    <w:rsid w:val="00B97FD6"/>
    <w:rsid w:val="00BA0CE2"/>
    <w:rsid w:val="00BA1585"/>
    <w:rsid w:val="00BA1A58"/>
    <w:rsid w:val="00BA26F6"/>
    <w:rsid w:val="00BA321D"/>
    <w:rsid w:val="00BA43F1"/>
    <w:rsid w:val="00BA46BF"/>
    <w:rsid w:val="00BA4FC2"/>
    <w:rsid w:val="00BA50A7"/>
    <w:rsid w:val="00BA5929"/>
    <w:rsid w:val="00BA5CA2"/>
    <w:rsid w:val="00BA6D16"/>
    <w:rsid w:val="00BA6F82"/>
    <w:rsid w:val="00BA7DA2"/>
    <w:rsid w:val="00BB145E"/>
    <w:rsid w:val="00BB287F"/>
    <w:rsid w:val="00BB377D"/>
    <w:rsid w:val="00BB4829"/>
    <w:rsid w:val="00BB4F2D"/>
    <w:rsid w:val="00BB5A03"/>
    <w:rsid w:val="00BB62F8"/>
    <w:rsid w:val="00BB6D6A"/>
    <w:rsid w:val="00BC0631"/>
    <w:rsid w:val="00BC10D1"/>
    <w:rsid w:val="00BC1678"/>
    <w:rsid w:val="00BC24D0"/>
    <w:rsid w:val="00BC32E7"/>
    <w:rsid w:val="00BC551E"/>
    <w:rsid w:val="00BC582F"/>
    <w:rsid w:val="00BC5939"/>
    <w:rsid w:val="00BD0AF5"/>
    <w:rsid w:val="00BD1052"/>
    <w:rsid w:val="00BD1DBB"/>
    <w:rsid w:val="00BD1FD7"/>
    <w:rsid w:val="00BD3942"/>
    <w:rsid w:val="00BD41F1"/>
    <w:rsid w:val="00BD4AB4"/>
    <w:rsid w:val="00BE0163"/>
    <w:rsid w:val="00BE0292"/>
    <w:rsid w:val="00BE0E03"/>
    <w:rsid w:val="00BE2317"/>
    <w:rsid w:val="00BE257C"/>
    <w:rsid w:val="00BE3511"/>
    <w:rsid w:val="00BE4A78"/>
    <w:rsid w:val="00BE4F17"/>
    <w:rsid w:val="00BE58FA"/>
    <w:rsid w:val="00BE5AE8"/>
    <w:rsid w:val="00BF15E9"/>
    <w:rsid w:val="00BF24EE"/>
    <w:rsid w:val="00BF3155"/>
    <w:rsid w:val="00BF3415"/>
    <w:rsid w:val="00BF4B5E"/>
    <w:rsid w:val="00BF6B44"/>
    <w:rsid w:val="00BF7284"/>
    <w:rsid w:val="00C016B1"/>
    <w:rsid w:val="00C01F28"/>
    <w:rsid w:val="00C027A8"/>
    <w:rsid w:val="00C030F8"/>
    <w:rsid w:val="00C06402"/>
    <w:rsid w:val="00C07BD0"/>
    <w:rsid w:val="00C101A9"/>
    <w:rsid w:val="00C111F4"/>
    <w:rsid w:val="00C11B91"/>
    <w:rsid w:val="00C12241"/>
    <w:rsid w:val="00C12724"/>
    <w:rsid w:val="00C14E3E"/>
    <w:rsid w:val="00C15036"/>
    <w:rsid w:val="00C20B6D"/>
    <w:rsid w:val="00C256BC"/>
    <w:rsid w:val="00C319DD"/>
    <w:rsid w:val="00C31EFF"/>
    <w:rsid w:val="00C33664"/>
    <w:rsid w:val="00C34783"/>
    <w:rsid w:val="00C34C7B"/>
    <w:rsid w:val="00C3563C"/>
    <w:rsid w:val="00C359E8"/>
    <w:rsid w:val="00C35B3F"/>
    <w:rsid w:val="00C35D6B"/>
    <w:rsid w:val="00C370C0"/>
    <w:rsid w:val="00C3728E"/>
    <w:rsid w:val="00C37BC5"/>
    <w:rsid w:val="00C42292"/>
    <w:rsid w:val="00C422F9"/>
    <w:rsid w:val="00C429D4"/>
    <w:rsid w:val="00C44268"/>
    <w:rsid w:val="00C46925"/>
    <w:rsid w:val="00C46F8B"/>
    <w:rsid w:val="00C4794A"/>
    <w:rsid w:val="00C47A4A"/>
    <w:rsid w:val="00C47B38"/>
    <w:rsid w:val="00C513C2"/>
    <w:rsid w:val="00C52BB8"/>
    <w:rsid w:val="00C53374"/>
    <w:rsid w:val="00C53B29"/>
    <w:rsid w:val="00C54AF0"/>
    <w:rsid w:val="00C56A10"/>
    <w:rsid w:val="00C627A7"/>
    <w:rsid w:val="00C6376F"/>
    <w:rsid w:val="00C638C5"/>
    <w:rsid w:val="00C648E1"/>
    <w:rsid w:val="00C65A9C"/>
    <w:rsid w:val="00C65ADF"/>
    <w:rsid w:val="00C65B63"/>
    <w:rsid w:val="00C65CB3"/>
    <w:rsid w:val="00C65EE7"/>
    <w:rsid w:val="00C66982"/>
    <w:rsid w:val="00C6729B"/>
    <w:rsid w:val="00C73B42"/>
    <w:rsid w:val="00C7419F"/>
    <w:rsid w:val="00C747AF"/>
    <w:rsid w:val="00C7795B"/>
    <w:rsid w:val="00C81039"/>
    <w:rsid w:val="00C821F4"/>
    <w:rsid w:val="00C825B8"/>
    <w:rsid w:val="00C8297E"/>
    <w:rsid w:val="00C82BC9"/>
    <w:rsid w:val="00C8479A"/>
    <w:rsid w:val="00C85139"/>
    <w:rsid w:val="00C860B4"/>
    <w:rsid w:val="00C86F81"/>
    <w:rsid w:val="00C87034"/>
    <w:rsid w:val="00C8725A"/>
    <w:rsid w:val="00C8743D"/>
    <w:rsid w:val="00C876D3"/>
    <w:rsid w:val="00C90AFA"/>
    <w:rsid w:val="00C9310E"/>
    <w:rsid w:val="00C952A6"/>
    <w:rsid w:val="00C95561"/>
    <w:rsid w:val="00C95754"/>
    <w:rsid w:val="00C95DDE"/>
    <w:rsid w:val="00C96202"/>
    <w:rsid w:val="00C96323"/>
    <w:rsid w:val="00C96D7C"/>
    <w:rsid w:val="00C97FFE"/>
    <w:rsid w:val="00CA0321"/>
    <w:rsid w:val="00CA0E94"/>
    <w:rsid w:val="00CA2AF5"/>
    <w:rsid w:val="00CA337D"/>
    <w:rsid w:val="00CA4ABB"/>
    <w:rsid w:val="00CA4B7E"/>
    <w:rsid w:val="00CA5963"/>
    <w:rsid w:val="00CA7101"/>
    <w:rsid w:val="00CB04FB"/>
    <w:rsid w:val="00CB2BA5"/>
    <w:rsid w:val="00CB2EBB"/>
    <w:rsid w:val="00CB39A4"/>
    <w:rsid w:val="00CB3CAD"/>
    <w:rsid w:val="00CB5421"/>
    <w:rsid w:val="00CB569B"/>
    <w:rsid w:val="00CB6335"/>
    <w:rsid w:val="00CB6E95"/>
    <w:rsid w:val="00CB7054"/>
    <w:rsid w:val="00CB7156"/>
    <w:rsid w:val="00CC0C18"/>
    <w:rsid w:val="00CC176D"/>
    <w:rsid w:val="00CC1B43"/>
    <w:rsid w:val="00CC2277"/>
    <w:rsid w:val="00CC326B"/>
    <w:rsid w:val="00CC3ACB"/>
    <w:rsid w:val="00CC4AE7"/>
    <w:rsid w:val="00CC560C"/>
    <w:rsid w:val="00CC57CE"/>
    <w:rsid w:val="00CC6EB2"/>
    <w:rsid w:val="00CC7C64"/>
    <w:rsid w:val="00CD17BC"/>
    <w:rsid w:val="00CD2791"/>
    <w:rsid w:val="00CD31AC"/>
    <w:rsid w:val="00CD3269"/>
    <w:rsid w:val="00CD55E7"/>
    <w:rsid w:val="00CD6AF1"/>
    <w:rsid w:val="00CD7008"/>
    <w:rsid w:val="00CD7B26"/>
    <w:rsid w:val="00CE2C40"/>
    <w:rsid w:val="00CE2DB1"/>
    <w:rsid w:val="00CE4716"/>
    <w:rsid w:val="00CE6941"/>
    <w:rsid w:val="00CE6C6A"/>
    <w:rsid w:val="00CE77AF"/>
    <w:rsid w:val="00CF0D27"/>
    <w:rsid w:val="00CF2C53"/>
    <w:rsid w:val="00CF43C3"/>
    <w:rsid w:val="00CF535D"/>
    <w:rsid w:val="00CF53CF"/>
    <w:rsid w:val="00CF57FF"/>
    <w:rsid w:val="00CF6B51"/>
    <w:rsid w:val="00D014CD"/>
    <w:rsid w:val="00D01735"/>
    <w:rsid w:val="00D02040"/>
    <w:rsid w:val="00D027ED"/>
    <w:rsid w:val="00D0447C"/>
    <w:rsid w:val="00D055FB"/>
    <w:rsid w:val="00D05E3D"/>
    <w:rsid w:val="00D06FC0"/>
    <w:rsid w:val="00D0736D"/>
    <w:rsid w:val="00D1070D"/>
    <w:rsid w:val="00D10BAC"/>
    <w:rsid w:val="00D111E0"/>
    <w:rsid w:val="00D1150C"/>
    <w:rsid w:val="00D11A6F"/>
    <w:rsid w:val="00D11AB9"/>
    <w:rsid w:val="00D12878"/>
    <w:rsid w:val="00D12BD6"/>
    <w:rsid w:val="00D150B2"/>
    <w:rsid w:val="00D151BD"/>
    <w:rsid w:val="00D160FF"/>
    <w:rsid w:val="00D16393"/>
    <w:rsid w:val="00D16D15"/>
    <w:rsid w:val="00D17E98"/>
    <w:rsid w:val="00D21EBC"/>
    <w:rsid w:val="00D23EF3"/>
    <w:rsid w:val="00D24570"/>
    <w:rsid w:val="00D33AC3"/>
    <w:rsid w:val="00D346B2"/>
    <w:rsid w:val="00D35CE6"/>
    <w:rsid w:val="00D36392"/>
    <w:rsid w:val="00D36D69"/>
    <w:rsid w:val="00D371AD"/>
    <w:rsid w:val="00D4310A"/>
    <w:rsid w:val="00D4331B"/>
    <w:rsid w:val="00D43608"/>
    <w:rsid w:val="00D44225"/>
    <w:rsid w:val="00D45237"/>
    <w:rsid w:val="00D456ED"/>
    <w:rsid w:val="00D501E0"/>
    <w:rsid w:val="00D5052E"/>
    <w:rsid w:val="00D50F20"/>
    <w:rsid w:val="00D5127C"/>
    <w:rsid w:val="00D5226D"/>
    <w:rsid w:val="00D544BE"/>
    <w:rsid w:val="00D55160"/>
    <w:rsid w:val="00D560BB"/>
    <w:rsid w:val="00D56913"/>
    <w:rsid w:val="00D579DF"/>
    <w:rsid w:val="00D60EF5"/>
    <w:rsid w:val="00D61069"/>
    <w:rsid w:val="00D6284E"/>
    <w:rsid w:val="00D63986"/>
    <w:rsid w:val="00D63F58"/>
    <w:rsid w:val="00D64593"/>
    <w:rsid w:val="00D657A9"/>
    <w:rsid w:val="00D6590F"/>
    <w:rsid w:val="00D66461"/>
    <w:rsid w:val="00D70C29"/>
    <w:rsid w:val="00D71094"/>
    <w:rsid w:val="00D719B8"/>
    <w:rsid w:val="00D72D9C"/>
    <w:rsid w:val="00D73CC3"/>
    <w:rsid w:val="00D7471F"/>
    <w:rsid w:val="00D7549E"/>
    <w:rsid w:val="00D75E53"/>
    <w:rsid w:val="00D77A0C"/>
    <w:rsid w:val="00D80EC5"/>
    <w:rsid w:val="00D8155E"/>
    <w:rsid w:val="00D82117"/>
    <w:rsid w:val="00D82B73"/>
    <w:rsid w:val="00D86C0A"/>
    <w:rsid w:val="00D90B2D"/>
    <w:rsid w:val="00D92E89"/>
    <w:rsid w:val="00D93DF0"/>
    <w:rsid w:val="00D941BC"/>
    <w:rsid w:val="00D94664"/>
    <w:rsid w:val="00D9532A"/>
    <w:rsid w:val="00D95D21"/>
    <w:rsid w:val="00DA2334"/>
    <w:rsid w:val="00DA38E8"/>
    <w:rsid w:val="00DA496A"/>
    <w:rsid w:val="00DB010A"/>
    <w:rsid w:val="00DB03FF"/>
    <w:rsid w:val="00DB045A"/>
    <w:rsid w:val="00DB062C"/>
    <w:rsid w:val="00DB1106"/>
    <w:rsid w:val="00DB4DE4"/>
    <w:rsid w:val="00DB61D2"/>
    <w:rsid w:val="00DB6C36"/>
    <w:rsid w:val="00DB7096"/>
    <w:rsid w:val="00DB7337"/>
    <w:rsid w:val="00DB75B7"/>
    <w:rsid w:val="00DC12A2"/>
    <w:rsid w:val="00DC1579"/>
    <w:rsid w:val="00DC4690"/>
    <w:rsid w:val="00DC4C7F"/>
    <w:rsid w:val="00DC5820"/>
    <w:rsid w:val="00DC5CD0"/>
    <w:rsid w:val="00DC7223"/>
    <w:rsid w:val="00DC7F5D"/>
    <w:rsid w:val="00DD17F2"/>
    <w:rsid w:val="00DD1BDB"/>
    <w:rsid w:val="00DD2A6B"/>
    <w:rsid w:val="00DD4367"/>
    <w:rsid w:val="00DD438A"/>
    <w:rsid w:val="00DD562A"/>
    <w:rsid w:val="00DD6E1B"/>
    <w:rsid w:val="00DE01BE"/>
    <w:rsid w:val="00DE1823"/>
    <w:rsid w:val="00DE3CB2"/>
    <w:rsid w:val="00DE4A79"/>
    <w:rsid w:val="00DE4DA4"/>
    <w:rsid w:val="00DE4F55"/>
    <w:rsid w:val="00DE54E6"/>
    <w:rsid w:val="00DE5A0D"/>
    <w:rsid w:val="00DE5A35"/>
    <w:rsid w:val="00DE5C10"/>
    <w:rsid w:val="00DE606D"/>
    <w:rsid w:val="00DE6D62"/>
    <w:rsid w:val="00DE7823"/>
    <w:rsid w:val="00DE7934"/>
    <w:rsid w:val="00DF018F"/>
    <w:rsid w:val="00DF0EEE"/>
    <w:rsid w:val="00DF1F9C"/>
    <w:rsid w:val="00DF362D"/>
    <w:rsid w:val="00DF3742"/>
    <w:rsid w:val="00DF61A4"/>
    <w:rsid w:val="00DF7097"/>
    <w:rsid w:val="00DF711C"/>
    <w:rsid w:val="00DF72DC"/>
    <w:rsid w:val="00DF76A4"/>
    <w:rsid w:val="00DF7B3F"/>
    <w:rsid w:val="00E00159"/>
    <w:rsid w:val="00E00C7A"/>
    <w:rsid w:val="00E01083"/>
    <w:rsid w:val="00E02CF4"/>
    <w:rsid w:val="00E056BD"/>
    <w:rsid w:val="00E06E1A"/>
    <w:rsid w:val="00E0729A"/>
    <w:rsid w:val="00E07D15"/>
    <w:rsid w:val="00E12DE7"/>
    <w:rsid w:val="00E145E5"/>
    <w:rsid w:val="00E155EA"/>
    <w:rsid w:val="00E164D7"/>
    <w:rsid w:val="00E16E37"/>
    <w:rsid w:val="00E200C7"/>
    <w:rsid w:val="00E20BE8"/>
    <w:rsid w:val="00E2158D"/>
    <w:rsid w:val="00E225B9"/>
    <w:rsid w:val="00E2363F"/>
    <w:rsid w:val="00E236F5"/>
    <w:rsid w:val="00E23F83"/>
    <w:rsid w:val="00E24672"/>
    <w:rsid w:val="00E2526E"/>
    <w:rsid w:val="00E25369"/>
    <w:rsid w:val="00E268FA"/>
    <w:rsid w:val="00E26C64"/>
    <w:rsid w:val="00E2785B"/>
    <w:rsid w:val="00E27A34"/>
    <w:rsid w:val="00E3078B"/>
    <w:rsid w:val="00E33089"/>
    <w:rsid w:val="00E335A5"/>
    <w:rsid w:val="00E33788"/>
    <w:rsid w:val="00E33A42"/>
    <w:rsid w:val="00E340A6"/>
    <w:rsid w:val="00E35242"/>
    <w:rsid w:val="00E369D6"/>
    <w:rsid w:val="00E37556"/>
    <w:rsid w:val="00E411B4"/>
    <w:rsid w:val="00E4177F"/>
    <w:rsid w:val="00E4195C"/>
    <w:rsid w:val="00E4391A"/>
    <w:rsid w:val="00E4445C"/>
    <w:rsid w:val="00E45D0A"/>
    <w:rsid w:val="00E50521"/>
    <w:rsid w:val="00E533F1"/>
    <w:rsid w:val="00E54816"/>
    <w:rsid w:val="00E554E1"/>
    <w:rsid w:val="00E57971"/>
    <w:rsid w:val="00E61B1C"/>
    <w:rsid w:val="00E63B31"/>
    <w:rsid w:val="00E643EA"/>
    <w:rsid w:val="00E64483"/>
    <w:rsid w:val="00E649B6"/>
    <w:rsid w:val="00E65C15"/>
    <w:rsid w:val="00E65D18"/>
    <w:rsid w:val="00E7073F"/>
    <w:rsid w:val="00E70CEE"/>
    <w:rsid w:val="00E70E17"/>
    <w:rsid w:val="00E7184D"/>
    <w:rsid w:val="00E722DB"/>
    <w:rsid w:val="00E726A1"/>
    <w:rsid w:val="00E72E75"/>
    <w:rsid w:val="00E73DEB"/>
    <w:rsid w:val="00E746F4"/>
    <w:rsid w:val="00E747FE"/>
    <w:rsid w:val="00E74C10"/>
    <w:rsid w:val="00E75E43"/>
    <w:rsid w:val="00E8117F"/>
    <w:rsid w:val="00E81BDF"/>
    <w:rsid w:val="00E81E2B"/>
    <w:rsid w:val="00E837E7"/>
    <w:rsid w:val="00E83AF8"/>
    <w:rsid w:val="00E83AFE"/>
    <w:rsid w:val="00E87354"/>
    <w:rsid w:val="00E91A6B"/>
    <w:rsid w:val="00E95ACF"/>
    <w:rsid w:val="00E969C1"/>
    <w:rsid w:val="00E96F3A"/>
    <w:rsid w:val="00E971F0"/>
    <w:rsid w:val="00E97953"/>
    <w:rsid w:val="00EA16F7"/>
    <w:rsid w:val="00EA1A7F"/>
    <w:rsid w:val="00EA1E85"/>
    <w:rsid w:val="00EA2977"/>
    <w:rsid w:val="00EA4247"/>
    <w:rsid w:val="00EA49ED"/>
    <w:rsid w:val="00EA5134"/>
    <w:rsid w:val="00EA66D7"/>
    <w:rsid w:val="00EA717B"/>
    <w:rsid w:val="00EA7F88"/>
    <w:rsid w:val="00EB005A"/>
    <w:rsid w:val="00EB46B7"/>
    <w:rsid w:val="00EB4B4C"/>
    <w:rsid w:val="00EB55F2"/>
    <w:rsid w:val="00EC11D6"/>
    <w:rsid w:val="00EC1C33"/>
    <w:rsid w:val="00EC214D"/>
    <w:rsid w:val="00EC2702"/>
    <w:rsid w:val="00EC4921"/>
    <w:rsid w:val="00EC4A89"/>
    <w:rsid w:val="00EC5F3A"/>
    <w:rsid w:val="00EC7C49"/>
    <w:rsid w:val="00ED14C7"/>
    <w:rsid w:val="00ED17E4"/>
    <w:rsid w:val="00ED28AE"/>
    <w:rsid w:val="00ED56EF"/>
    <w:rsid w:val="00ED6C4F"/>
    <w:rsid w:val="00ED78A0"/>
    <w:rsid w:val="00EE02A8"/>
    <w:rsid w:val="00EE0D9B"/>
    <w:rsid w:val="00EE213F"/>
    <w:rsid w:val="00EE3489"/>
    <w:rsid w:val="00EE349F"/>
    <w:rsid w:val="00EE388E"/>
    <w:rsid w:val="00EE3C90"/>
    <w:rsid w:val="00EF03E2"/>
    <w:rsid w:val="00EF068E"/>
    <w:rsid w:val="00EF0A65"/>
    <w:rsid w:val="00EF0B6A"/>
    <w:rsid w:val="00EF1657"/>
    <w:rsid w:val="00EF24A0"/>
    <w:rsid w:val="00EF2C5C"/>
    <w:rsid w:val="00EF2D3A"/>
    <w:rsid w:val="00EF345D"/>
    <w:rsid w:val="00EF3A00"/>
    <w:rsid w:val="00EF4F9D"/>
    <w:rsid w:val="00EF5FF9"/>
    <w:rsid w:val="00EF756D"/>
    <w:rsid w:val="00EF7BF3"/>
    <w:rsid w:val="00F00814"/>
    <w:rsid w:val="00F00BA6"/>
    <w:rsid w:val="00F04CAD"/>
    <w:rsid w:val="00F0722E"/>
    <w:rsid w:val="00F10E17"/>
    <w:rsid w:val="00F11DDB"/>
    <w:rsid w:val="00F12BEB"/>
    <w:rsid w:val="00F1458F"/>
    <w:rsid w:val="00F145A8"/>
    <w:rsid w:val="00F14D2B"/>
    <w:rsid w:val="00F15344"/>
    <w:rsid w:val="00F163E3"/>
    <w:rsid w:val="00F16F3A"/>
    <w:rsid w:val="00F1743E"/>
    <w:rsid w:val="00F179DB"/>
    <w:rsid w:val="00F20548"/>
    <w:rsid w:val="00F20EFE"/>
    <w:rsid w:val="00F21C34"/>
    <w:rsid w:val="00F21D4F"/>
    <w:rsid w:val="00F21E79"/>
    <w:rsid w:val="00F22D36"/>
    <w:rsid w:val="00F2523C"/>
    <w:rsid w:val="00F25B15"/>
    <w:rsid w:val="00F25F77"/>
    <w:rsid w:val="00F25FA9"/>
    <w:rsid w:val="00F276D7"/>
    <w:rsid w:val="00F27D37"/>
    <w:rsid w:val="00F30188"/>
    <w:rsid w:val="00F30D92"/>
    <w:rsid w:val="00F31EAE"/>
    <w:rsid w:val="00F34187"/>
    <w:rsid w:val="00F3480A"/>
    <w:rsid w:val="00F3630A"/>
    <w:rsid w:val="00F367F1"/>
    <w:rsid w:val="00F36BC2"/>
    <w:rsid w:val="00F37A70"/>
    <w:rsid w:val="00F40901"/>
    <w:rsid w:val="00F4100A"/>
    <w:rsid w:val="00F4210F"/>
    <w:rsid w:val="00F42698"/>
    <w:rsid w:val="00F42CFB"/>
    <w:rsid w:val="00F42D7E"/>
    <w:rsid w:val="00F43861"/>
    <w:rsid w:val="00F4496F"/>
    <w:rsid w:val="00F44A22"/>
    <w:rsid w:val="00F45605"/>
    <w:rsid w:val="00F47F0A"/>
    <w:rsid w:val="00F504B0"/>
    <w:rsid w:val="00F50A80"/>
    <w:rsid w:val="00F51711"/>
    <w:rsid w:val="00F51E99"/>
    <w:rsid w:val="00F54926"/>
    <w:rsid w:val="00F56A55"/>
    <w:rsid w:val="00F60F70"/>
    <w:rsid w:val="00F63D7C"/>
    <w:rsid w:val="00F64379"/>
    <w:rsid w:val="00F6441D"/>
    <w:rsid w:val="00F6456D"/>
    <w:rsid w:val="00F655F9"/>
    <w:rsid w:val="00F66D9A"/>
    <w:rsid w:val="00F66F1B"/>
    <w:rsid w:val="00F675AE"/>
    <w:rsid w:val="00F70CE9"/>
    <w:rsid w:val="00F70EAF"/>
    <w:rsid w:val="00F71148"/>
    <w:rsid w:val="00F71625"/>
    <w:rsid w:val="00F72512"/>
    <w:rsid w:val="00F72E0C"/>
    <w:rsid w:val="00F7457A"/>
    <w:rsid w:val="00F74E2B"/>
    <w:rsid w:val="00F7686D"/>
    <w:rsid w:val="00F7692D"/>
    <w:rsid w:val="00F80AB9"/>
    <w:rsid w:val="00F80B94"/>
    <w:rsid w:val="00F81D5A"/>
    <w:rsid w:val="00F828DC"/>
    <w:rsid w:val="00F834BF"/>
    <w:rsid w:val="00F83F11"/>
    <w:rsid w:val="00F84483"/>
    <w:rsid w:val="00F865DE"/>
    <w:rsid w:val="00F92974"/>
    <w:rsid w:val="00F94284"/>
    <w:rsid w:val="00F95108"/>
    <w:rsid w:val="00F9528E"/>
    <w:rsid w:val="00FA2C1C"/>
    <w:rsid w:val="00FA3723"/>
    <w:rsid w:val="00FA4E00"/>
    <w:rsid w:val="00FA4EBB"/>
    <w:rsid w:val="00FA643E"/>
    <w:rsid w:val="00FB0FD3"/>
    <w:rsid w:val="00FB179C"/>
    <w:rsid w:val="00FB1AA2"/>
    <w:rsid w:val="00FB28D4"/>
    <w:rsid w:val="00FB2ABD"/>
    <w:rsid w:val="00FB4B7C"/>
    <w:rsid w:val="00FC01E9"/>
    <w:rsid w:val="00FC10A9"/>
    <w:rsid w:val="00FC37C6"/>
    <w:rsid w:val="00FC3AAB"/>
    <w:rsid w:val="00FC3FA3"/>
    <w:rsid w:val="00FC46FB"/>
    <w:rsid w:val="00FC5267"/>
    <w:rsid w:val="00FC5429"/>
    <w:rsid w:val="00FC6FC6"/>
    <w:rsid w:val="00FD13A0"/>
    <w:rsid w:val="00FD3217"/>
    <w:rsid w:val="00FD3A1E"/>
    <w:rsid w:val="00FD489F"/>
    <w:rsid w:val="00FD4FE2"/>
    <w:rsid w:val="00FD75D2"/>
    <w:rsid w:val="00FD7D37"/>
    <w:rsid w:val="00FE0709"/>
    <w:rsid w:val="00FE0DBE"/>
    <w:rsid w:val="00FE112F"/>
    <w:rsid w:val="00FE1625"/>
    <w:rsid w:val="00FE21B8"/>
    <w:rsid w:val="00FE267E"/>
    <w:rsid w:val="00FE2F88"/>
    <w:rsid w:val="00FE43AB"/>
    <w:rsid w:val="00FE4E43"/>
    <w:rsid w:val="00FE58B8"/>
    <w:rsid w:val="00FE6842"/>
    <w:rsid w:val="00FE728E"/>
    <w:rsid w:val="00FF029C"/>
    <w:rsid w:val="00FF08FA"/>
    <w:rsid w:val="00FF09B0"/>
    <w:rsid w:val="00FF1D79"/>
    <w:rsid w:val="00FF2E80"/>
    <w:rsid w:val="00FF4C8F"/>
    <w:rsid w:val="00FF5B89"/>
    <w:rsid w:val="00FF6027"/>
    <w:rsid w:val="00FF6E41"/>
    <w:rsid w:val="00FF736B"/>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1"/>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semiHidden/>
    <w:unhideWhenUsed/>
    <w:qFormat/>
    <w:rsid w:val="00E35242"/>
    <w:pPr>
      <w:keepNext/>
      <w:numPr>
        <w:ilvl w:val="1"/>
        <w:numId w:val="1"/>
      </w:numPr>
      <w:spacing w:after="240"/>
      <w:ind w:left="0" w:firstLine="0"/>
      <w:outlineLvl w:val="1"/>
    </w:pPr>
    <w:rPr>
      <w:b/>
      <w:bCs/>
      <w:lang w:eastAsia="x-none"/>
    </w:rPr>
  </w:style>
  <w:style w:type="paragraph" w:styleId="Heading3">
    <w:name w:val="heading 3"/>
    <w:basedOn w:val="Normal"/>
    <w:link w:val="Heading3Char"/>
    <w:uiPriority w:val="9"/>
    <w:semiHidden/>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iPriority w:val="9"/>
    <w:semiHidden/>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iPriority w:val="9"/>
    <w:semiHidden/>
    <w:unhideWhenUsed/>
    <w:qFormat/>
    <w:rsid w:val="00E35242"/>
    <w:pPr>
      <w:numPr>
        <w:ilvl w:val="4"/>
        <w:numId w:val="1"/>
      </w:numPr>
      <w:autoSpaceDE/>
      <w:autoSpaceDN/>
      <w:spacing w:after="240"/>
      <w:outlineLvl w:val="4"/>
    </w:pPr>
    <w:rPr>
      <w:i/>
      <w:iCs/>
    </w:rPr>
  </w:style>
  <w:style w:type="paragraph" w:styleId="Heading6">
    <w:name w:val="heading 6"/>
    <w:basedOn w:val="Normal"/>
    <w:link w:val="Heading6Char"/>
    <w:uiPriority w:val="9"/>
    <w:semiHidden/>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semiHidden/>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iPriority w:val="9"/>
    <w:semiHidden/>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semiHidden/>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semiHidden/>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semiHidden/>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semiHidden/>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semiHidden/>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semiHidden/>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semiHidden/>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character" w:styleId="Hyperlink">
    <w:name w:val="Hyperlink"/>
    <w:basedOn w:val="DefaultParagraphFont"/>
    <w:uiPriority w:val="99"/>
    <w:semiHidden/>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basedOn w:val="Normal"/>
    <w:link w:val="FootnoteTextChar1"/>
    <w:uiPriority w:val="99"/>
    <w:semiHidden/>
    <w:unhideWhenUsed/>
    <w:rsid w:val="00E35242"/>
    <w:pPr>
      <w:ind w:firstLine="720"/>
    </w:pPr>
    <w:rPr>
      <w:sz w:val="20"/>
      <w:szCs w:val="20"/>
    </w:rPr>
  </w:style>
  <w:style w:type="character" w:customStyle="1" w:styleId="FootnoteTextChar">
    <w:name w:val="Footnote Text Char"/>
    <w:basedOn w:val="DefaultParagraphFont"/>
    <w:uiPriority w:val="99"/>
    <w:semiHidden/>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semiHidden/>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semiHidden/>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semiHidden/>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semiHidden/>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uiPriority w:val="99"/>
    <w:semiHidden/>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basedOn w:val="DefaultParagraphFont"/>
    <w:uiPriority w:val="99"/>
    <w:semiHidden/>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uiPriority w:val="99"/>
    <w:semiHidden/>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B2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1"/>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semiHidden/>
    <w:unhideWhenUsed/>
    <w:qFormat/>
    <w:rsid w:val="00E35242"/>
    <w:pPr>
      <w:keepNext/>
      <w:numPr>
        <w:ilvl w:val="1"/>
        <w:numId w:val="1"/>
      </w:numPr>
      <w:spacing w:after="240"/>
      <w:ind w:left="0" w:firstLine="0"/>
      <w:outlineLvl w:val="1"/>
    </w:pPr>
    <w:rPr>
      <w:b/>
      <w:bCs/>
      <w:lang w:eastAsia="x-none"/>
    </w:rPr>
  </w:style>
  <w:style w:type="paragraph" w:styleId="Heading3">
    <w:name w:val="heading 3"/>
    <w:basedOn w:val="Normal"/>
    <w:link w:val="Heading3Char"/>
    <w:uiPriority w:val="9"/>
    <w:semiHidden/>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iPriority w:val="9"/>
    <w:semiHidden/>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iPriority w:val="9"/>
    <w:semiHidden/>
    <w:unhideWhenUsed/>
    <w:qFormat/>
    <w:rsid w:val="00E35242"/>
    <w:pPr>
      <w:numPr>
        <w:ilvl w:val="4"/>
        <w:numId w:val="1"/>
      </w:numPr>
      <w:autoSpaceDE/>
      <w:autoSpaceDN/>
      <w:spacing w:after="240"/>
      <w:outlineLvl w:val="4"/>
    </w:pPr>
    <w:rPr>
      <w:i/>
      <w:iCs/>
    </w:rPr>
  </w:style>
  <w:style w:type="paragraph" w:styleId="Heading6">
    <w:name w:val="heading 6"/>
    <w:basedOn w:val="Normal"/>
    <w:link w:val="Heading6Char"/>
    <w:uiPriority w:val="9"/>
    <w:semiHidden/>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semiHidden/>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iPriority w:val="9"/>
    <w:semiHidden/>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semiHidden/>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semiHidden/>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semiHidden/>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semiHidden/>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semiHidden/>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semiHidden/>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semiHidden/>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character" w:styleId="Hyperlink">
    <w:name w:val="Hyperlink"/>
    <w:basedOn w:val="DefaultParagraphFont"/>
    <w:uiPriority w:val="99"/>
    <w:semiHidden/>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basedOn w:val="Normal"/>
    <w:link w:val="FootnoteTextChar1"/>
    <w:uiPriority w:val="99"/>
    <w:semiHidden/>
    <w:unhideWhenUsed/>
    <w:rsid w:val="00E35242"/>
    <w:pPr>
      <w:ind w:firstLine="720"/>
    </w:pPr>
    <w:rPr>
      <w:sz w:val="20"/>
      <w:szCs w:val="20"/>
    </w:rPr>
  </w:style>
  <w:style w:type="character" w:customStyle="1" w:styleId="FootnoteTextChar">
    <w:name w:val="Footnote Text Char"/>
    <w:basedOn w:val="DefaultParagraphFont"/>
    <w:uiPriority w:val="99"/>
    <w:semiHidden/>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semiHidden/>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semiHidden/>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semiHidden/>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semiHidden/>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uiPriority w:val="99"/>
    <w:semiHidden/>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basedOn w:val="DefaultParagraphFont"/>
    <w:uiPriority w:val="99"/>
    <w:semiHidden/>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uiPriority w:val="99"/>
    <w:semiHidden/>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B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227181476">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447962555">
      <w:bodyDiv w:val="1"/>
      <w:marLeft w:val="0"/>
      <w:marRight w:val="0"/>
      <w:marTop w:val="0"/>
      <w:marBottom w:val="0"/>
      <w:divBdr>
        <w:top w:val="none" w:sz="0" w:space="0" w:color="auto"/>
        <w:left w:val="none" w:sz="0" w:space="0" w:color="auto"/>
        <w:bottom w:val="none" w:sz="0" w:space="0" w:color="auto"/>
        <w:right w:val="none" w:sz="0" w:space="0" w:color="auto"/>
      </w:divBdr>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Document?ref_nbr=201511-1218-005" TargetMode="External"/><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72518-B0DB-44D1-B45F-EBA16B74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19498</Words>
  <Characters>111139</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Cannon, Belinda - OSHA</cp:lastModifiedBy>
  <cp:revision>2</cp:revision>
  <cp:lastPrinted>2017-06-13T21:46:00Z</cp:lastPrinted>
  <dcterms:created xsi:type="dcterms:W3CDTF">2017-06-15T20:33:00Z</dcterms:created>
  <dcterms:modified xsi:type="dcterms:W3CDTF">2017-06-15T20:33:00Z</dcterms:modified>
</cp:coreProperties>
</file>