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32F7F" w14:textId="77777777" w:rsidR="00415EBB" w:rsidRDefault="008748A3" w:rsidP="005D2F0F">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 Study of </w:t>
      </w:r>
      <w:r w:rsidR="000F2C46">
        <w:rPr>
          <w:rFonts w:ascii="Times New Roman" w:hAnsi="Times New Roman" w:cs="Times New Roman"/>
          <w:b/>
          <w:sz w:val="24"/>
          <w:szCs w:val="24"/>
        </w:rPr>
        <w:t xml:space="preserve">Customer Satisfaction with </w:t>
      </w:r>
      <w:r>
        <w:rPr>
          <w:rFonts w:ascii="Times New Roman" w:hAnsi="Times New Roman" w:cs="Times New Roman"/>
          <w:b/>
          <w:sz w:val="24"/>
          <w:szCs w:val="24"/>
        </w:rPr>
        <w:t>ODEP Technical Assistance (TA) Centers</w:t>
      </w:r>
    </w:p>
    <w:p w14:paraId="54620FAB" w14:textId="77777777" w:rsidR="00613C2C" w:rsidRPr="002C0EDA" w:rsidRDefault="00E32C1D" w:rsidP="005D2F0F">
      <w:pPr>
        <w:pStyle w:val="Header"/>
        <w:spacing w:line="276" w:lineRule="auto"/>
        <w:jc w:val="center"/>
        <w:rPr>
          <w:rFonts w:ascii="Times New Roman" w:hAnsi="Times New Roman" w:cs="Times New Roman"/>
          <w:b/>
          <w:sz w:val="24"/>
          <w:szCs w:val="24"/>
        </w:rPr>
      </w:pPr>
      <w:r w:rsidRPr="002C0EDA">
        <w:rPr>
          <w:rFonts w:ascii="Times New Roman" w:hAnsi="Times New Roman" w:cs="Times New Roman"/>
          <w:b/>
          <w:sz w:val="24"/>
          <w:szCs w:val="24"/>
        </w:rPr>
        <w:t xml:space="preserve">Supporting </w:t>
      </w:r>
      <w:r w:rsidR="003542F1" w:rsidRPr="002C0EDA">
        <w:rPr>
          <w:rFonts w:ascii="Times New Roman" w:hAnsi="Times New Roman" w:cs="Times New Roman"/>
          <w:b/>
          <w:sz w:val="24"/>
          <w:szCs w:val="24"/>
        </w:rPr>
        <w:t xml:space="preserve">Material for OMB </w:t>
      </w:r>
      <w:r w:rsidRPr="002C0EDA">
        <w:rPr>
          <w:rFonts w:ascii="Times New Roman" w:hAnsi="Times New Roman" w:cs="Times New Roman"/>
          <w:b/>
          <w:sz w:val="24"/>
          <w:szCs w:val="24"/>
        </w:rPr>
        <w:t>Clearance</w:t>
      </w:r>
    </w:p>
    <w:p w14:paraId="066328CC" w14:textId="77777777" w:rsidR="00397728" w:rsidRPr="002C0EDA" w:rsidRDefault="0010110E" w:rsidP="005D2F0F">
      <w:pPr>
        <w:jc w:val="center"/>
        <w:rPr>
          <w:rFonts w:ascii="Times New Roman" w:hAnsi="Times New Roman" w:cs="Times New Roman"/>
          <w:b/>
          <w:bCs/>
          <w:sz w:val="24"/>
          <w:szCs w:val="24"/>
        </w:rPr>
      </w:pPr>
      <w:r w:rsidRPr="002C0EDA">
        <w:rPr>
          <w:rFonts w:ascii="Times New Roman" w:hAnsi="Times New Roman" w:cs="Times New Roman"/>
          <w:b/>
          <w:bCs/>
          <w:sz w:val="24"/>
          <w:szCs w:val="24"/>
        </w:rPr>
        <w:t xml:space="preserve">Part A. </w:t>
      </w:r>
      <w:r w:rsidR="00397728" w:rsidRPr="002C0EDA">
        <w:rPr>
          <w:rFonts w:ascii="Times New Roman" w:hAnsi="Times New Roman" w:cs="Times New Roman"/>
          <w:b/>
          <w:bCs/>
          <w:sz w:val="24"/>
          <w:szCs w:val="24"/>
        </w:rPr>
        <w:t>Justification</w:t>
      </w:r>
    </w:p>
    <w:p w14:paraId="78BD8B2B" w14:textId="77777777" w:rsidR="00397728"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Circumstances Making the Collection of Information Necessary</w:t>
      </w:r>
    </w:p>
    <w:p w14:paraId="1A90D9AC" w14:textId="77777777" w:rsidR="008748A3" w:rsidRPr="008748A3" w:rsidRDefault="008748A3" w:rsidP="008748A3">
      <w:pPr>
        <w:rPr>
          <w:rFonts w:ascii="Times New Roman" w:hAnsi="Times New Roman"/>
          <w:sz w:val="24"/>
          <w:szCs w:val="24"/>
        </w:rPr>
      </w:pPr>
      <w:r w:rsidRPr="008748A3">
        <w:rPr>
          <w:rFonts w:ascii="Times New Roman" w:hAnsi="Times New Roman"/>
          <w:sz w:val="24"/>
          <w:szCs w:val="24"/>
        </w:rPr>
        <w:t xml:space="preserve">The Department of Labor’s (DOL) Office of Disability Employment Policy (ODEP) established five Technical Assistance (TA) Centers to serve a diverse set of purposes, functions, and customers. Operating with grants funded by ODEP, these Centers assist employers, federal agencies, state governments, non-profits, individuals with disabilities, and others with technical assistance and policy development concerning the integration of people with disabilities into employment. Currently, the five grantees operating ODEP’s TA Centers are: </w:t>
      </w:r>
    </w:p>
    <w:p w14:paraId="41FB6870" w14:textId="77777777" w:rsidR="008748A3" w:rsidRDefault="008748A3" w:rsidP="008748A3">
      <w:pPr>
        <w:pStyle w:val="ListParagraph"/>
        <w:numPr>
          <w:ilvl w:val="0"/>
          <w:numId w:val="8"/>
        </w:numPr>
        <w:rPr>
          <w:rFonts w:ascii="Times New Roman" w:hAnsi="Times New Roman" w:cs="Times New Roman"/>
          <w:sz w:val="24"/>
          <w:szCs w:val="24"/>
        </w:rPr>
      </w:pPr>
      <w:r w:rsidRPr="008748A3">
        <w:rPr>
          <w:rFonts w:ascii="Times New Roman" w:hAnsi="Times New Roman" w:cs="Times New Roman"/>
          <w:sz w:val="24"/>
          <w:szCs w:val="24"/>
        </w:rPr>
        <w:t xml:space="preserve">The Viscardi Center, which supports the Employer Assistance Resource Network (EARN); </w:t>
      </w:r>
    </w:p>
    <w:p w14:paraId="64E25911" w14:textId="77777777" w:rsidR="007F0010" w:rsidRPr="008748A3" w:rsidRDefault="007F0010" w:rsidP="007F0010">
      <w:pPr>
        <w:pStyle w:val="ListParagraph"/>
        <w:rPr>
          <w:rFonts w:ascii="Times New Roman" w:hAnsi="Times New Roman" w:cs="Times New Roman"/>
          <w:sz w:val="24"/>
          <w:szCs w:val="24"/>
        </w:rPr>
      </w:pPr>
    </w:p>
    <w:p w14:paraId="5A7FCCD9" w14:textId="77777777" w:rsidR="008748A3" w:rsidRDefault="008748A3" w:rsidP="008748A3">
      <w:pPr>
        <w:pStyle w:val="ListParagraph"/>
        <w:numPr>
          <w:ilvl w:val="0"/>
          <w:numId w:val="8"/>
        </w:numPr>
        <w:rPr>
          <w:rFonts w:ascii="Times New Roman" w:hAnsi="Times New Roman" w:cs="Times New Roman"/>
          <w:sz w:val="24"/>
          <w:szCs w:val="24"/>
        </w:rPr>
      </w:pPr>
      <w:r w:rsidRPr="008748A3">
        <w:rPr>
          <w:rFonts w:ascii="Times New Roman" w:hAnsi="Times New Roman" w:cs="Times New Roman"/>
          <w:sz w:val="24"/>
          <w:szCs w:val="24"/>
        </w:rPr>
        <w:t>The Institute of Educational Leadership, which houses the National Collaborative on Workforce and Disability for Youth (</w:t>
      </w:r>
      <w:r w:rsidR="007F0010">
        <w:rPr>
          <w:rFonts w:ascii="Times New Roman" w:hAnsi="Times New Roman" w:cs="Times New Roman"/>
          <w:sz w:val="24"/>
          <w:szCs w:val="24"/>
        </w:rPr>
        <w:t>NCWD/Y);</w:t>
      </w:r>
    </w:p>
    <w:p w14:paraId="73E27B58" w14:textId="77777777" w:rsidR="007F0010" w:rsidRPr="007F0010" w:rsidRDefault="007F0010" w:rsidP="007F0010">
      <w:pPr>
        <w:pStyle w:val="ListParagraph"/>
        <w:rPr>
          <w:rFonts w:ascii="Times New Roman" w:hAnsi="Times New Roman" w:cs="Times New Roman"/>
          <w:sz w:val="24"/>
          <w:szCs w:val="24"/>
        </w:rPr>
      </w:pPr>
    </w:p>
    <w:p w14:paraId="52A2C8FE" w14:textId="77777777" w:rsidR="008748A3" w:rsidRDefault="008748A3" w:rsidP="008748A3">
      <w:pPr>
        <w:pStyle w:val="ListParagraph"/>
        <w:numPr>
          <w:ilvl w:val="0"/>
          <w:numId w:val="8"/>
        </w:numPr>
        <w:rPr>
          <w:rFonts w:ascii="Times New Roman" w:hAnsi="Times New Roman" w:cs="Times New Roman"/>
          <w:sz w:val="24"/>
          <w:szCs w:val="24"/>
        </w:rPr>
      </w:pPr>
      <w:r w:rsidRPr="008748A3">
        <w:rPr>
          <w:rFonts w:ascii="Times New Roman" w:hAnsi="Times New Roman" w:cs="Times New Roman"/>
          <w:sz w:val="24"/>
          <w:szCs w:val="24"/>
        </w:rPr>
        <w:t xml:space="preserve">West Virginia University, which maintains the Job Accommodation Network (JAN); </w:t>
      </w:r>
    </w:p>
    <w:p w14:paraId="4A059303" w14:textId="77777777" w:rsidR="007F0010" w:rsidRPr="007F0010" w:rsidRDefault="007F0010" w:rsidP="007F0010">
      <w:pPr>
        <w:pStyle w:val="ListParagraph"/>
        <w:rPr>
          <w:rFonts w:ascii="Times New Roman" w:hAnsi="Times New Roman" w:cs="Times New Roman"/>
          <w:sz w:val="24"/>
          <w:szCs w:val="24"/>
        </w:rPr>
      </w:pPr>
    </w:p>
    <w:p w14:paraId="52E5B2A7" w14:textId="77777777" w:rsidR="008748A3" w:rsidRDefault="008748A3" w:rsidP="008748A3">
      <w:pPr>
        <w:pStyle w:val="ListParagraph"/>
        <w:numPr>
          <w:ilvl w:val="0"/>
          <w:numId w:val="8"/>
        </w:numPr>
        <w:rPr>
          <w:rFonts w:ascii="Times New Roman" w:hAnsi="Times New Roman" w:cs="Times New Roman"/>
          <w:sz w:val="24"/>
          <w:szCs w:val="24"/>
        </w:rPr>
      </w:pPr>
      <w:r w:rsidRPr="008748A3">
        <w:rPr>
          <w:rFonts w:ascii="Times New Roman" w:hAnsi="Times New Roman" w:cs="Times New Roman"/>
          <w:sz w:val="24"/>
          <w:szCs w:val="24"/>
        </w:rPr>
        <w:t xml:space="preserve">Rehabilitation Engineering and Assistive Technology Society of North America, which supports the Partnership on Employment and Accessible Technology (PEAT); and </w:t>
      </w:r>
    </w:p>
    <w:p w14:paraId="5103A555" w14:textId="77777777" w:rsidR="007F0010" w:rsidRPr="007F0010" w:rsidRDefault="007F0010" w:rsidP="007F0010">
      <w:pPr>
        <w:pStyle w:val="ListParagraph"/>
        <w:rPr>
          <w:rFonts w:ascii="Times New Roman" w:hAnsi="Times New Roman" w:cs="Times New Roman"/>
          <w:sz w:val="24"/>
          <w:szCs w:val="24"/>
        </w:rPr>
      </w:pPr>
    </w:p>
    <w:p w14:paraId="13EA809A" w14:textId="77777777" w:rsidR="008748A3" w:rsidRPr="008748A3" w:rsidRDefault="008748A3" w:rsidP="008748A3">
      <w:pPr>
        <w:pStyle w:val="ListParagraph"/>
        <w:numPr>
          <w:ilvl w:val="0"/>
          <w:numId w:val="8"/>
        </w:numPr>
        <w:rPr>
          <w:rFonts w:ascii="Times New Roman" w:hAnsi="Times New Roman" w:cs="Times New Roman"/>
          <w:sz w:val="24"/>
          <w:szCs w:val="24"/>
        </w:rPr>
      </w:pPr>
      <w:r w:rsidRPr="008748A3">
        <w:rPr>
          <w:rFonts w:ascii="Times New Roman" w:hAnsi="Times New Roman" w:cs="Times New Roman"/>
          <w:sz w:val="24"/>
          <w:szCs w:val="24"/>
        </w:rPr>
        <w:t>The National Disability Institute, which houses the National Center on Leadership for the Employment and Economic Advancement of People with Disabilities (LEAD).</w:t>
      </w:r>
    </w:p>
    <w:p w14:paraId="26545BCE" w14:textId="3E4A9E5B" w:rsidR="00EC5C23" w:rsidRDefault="008748A3" w:rsidP="008748A3">
      <w:pPr>
        <w:rPr>
          <w:rFonts w:ascii="Times New Roman" w:hAnsi="Times New Roman"/>
          <w:sz w:val="24"/>
          <w:szCs w:val="24"/>
        </w:rPr>
      </w:pPr>
      <w:r w:rsidRPr="008748A3">
        <w:rPr>
          <w:rFonts w:ascii="Times New Roman" w:hAnsi="Times New Roman"/>
          <w:sz w:val="24"/>
          <w:szCs w:val="24"/>
        </w:rPr>
        <w:t xml:space="preserve">DOL’s Chief Evaluation Office (CEO) in partnership with ODEP will methodically study the level of customer satisfaction with the TA Centers. </w:t>
      </w:r>
      <w:r w:rsidR="00227B04" w:rsidRPr="00227B04">
        <w:rPr>
          <w:rFonts w:ascii="Times New Roman" w:hAnsi="Times New Roman"/>
          <w:sz w:val="24"/>
          <w:szCs w:val="24"/>
        </w:rPr>
        <w:t>CEO undertakes a learning agenda process each year to identify Departmental priorities for program evaluations.  This evaluation was prioritized as part of that process in FY</w:t>
      </w:r>
      <w:r w:rsidR="00227B04">
        <w:rPr>
          <w:rFonts w:ascii="Times New Roman" w:hAnsi="Times New Roman"/>
          <w:sz w:val="24"/>
          <w:szCs w:val="24"/>
        </w:rPr>
        <w:t xml:space="preserve">2014. </w:t>
      </w:r>
      <w:r w:rsidR="00227B04" w:rsidRPr="00227B04">
        <w:rPr>
          <w:rFonts w:ascii="Times New Roman" w:hAnsi="Times New Roman"/>
          <w:sz w:val="24"/>
          <w:szCs w:val="24"/>
        </w:rPr>
        <w:t>Division H, Title I, section 107 of Public Law 114-113, the “Consolidated Appropriations Act, 2016” authorizes the Secretary of Labor to reserve not more than 0.75 percent from special budget accounts for transfer to and use by the Department’s Chief Evaluation Office (CEO) for departmental program evaluation. Further, 29 USC 3224a (1), authorizes the Secretary of Labor to conduct ongoing evaluation of programs and activities to improve the management and effectiveness of these programs.</w:t>
      </w:r>
      <w:r w:rsidR="00227B04">
        <w:rPr>
          <w:rFonts w:ascii="Times New Roman" w:hAnsi="Times New Roman"/>
          <w:sz w:val="24"/>
          <w:szCs w:val="24"/>
        </w:rPr>
        <w:t xml:space="preserve"> </w:t>
      </w:r>
      <w:r w:rsidRPr="008748A3">
        <w:rPr>
          <w:rFonts w:ascii="Times New Roman" w:hAnsi="Times New Roman"/>
          <w:sz w:val="24"/>
          <w:szCs w:val="24"/>
        </w:rPr>
        <w:t>CEO contracted with Westat to conduct this five-year study. The overarching objectives are to determine the extent to which customers are satisfied with the TA provided by the Centers and to document the processes and methods used by the TA Centers to encourage the adoption and implementation of ODEP’s policies and practices by targeted and untargeted customers</w:t>
      </w:r>
      <w:r w:rsidR="00EC5C23" w:rsidRPr="002C0EDA">
        <w:rPr>
          <w:rFonts w:ascii="Times New Roman" w:hAnsi="Times New Roman"/>
          <w:sz w:val="24"/>
          <w:szCs w:val="24"/>
        </w:rPr>
        <w:t xml:space="preserve">. </w:t>
      </w:r>
      <w:r>
        <w:rPr>
          <w:rFonts w:ascii="Times New Roman" w:hAnsi="Times New Roman"/>
          <w:sz w:val="24"/>
          <w:szCs w:val="24"/>
        </w:rPr>
        <w:t>DOL requests clearance to collect the information needed to meet the study’s objectives.</w:t>
      </w:r>
    </w:p>
    <w:p w14:paraId="4FA9E3DF" w14:textId="77777777" w:rsidR="005D2F0F" w:rsidRPr="002C0EDA" w:rsidRDefault="005D2F0F" w:rsidP="008748A3">
      <w:pPr>
        <w:rPr>
          <w:rFonts w:ascii="Times New Roman" w:hAnsi="Times New Roman"/>
          <w:sz w:val="24"/>
          <w:szCs w:val="24"/>
        </w:rPr>
      </w:pPr>
    </w:p>
    <w:p w14:paraId="0D52A8BC" w14:textId="77777777" w:rsidR="00397728" w:rsidRPr="002C0EDA" w:rsidRDefault="00397728" w:rsidP="000D5A3F">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lastRenderedPageBreak/>
        <w:t>Pur</w:t>
      </w:r>
      <w:r w:rsidR="009657D1" w:rsidRPr="002C0EDA">
        <w:rPr>
          <w:rFonts w:ascii="Times New Roman" w:hAnsi="Times New Roman" w:cs="Times New Roman"/>
          <w:b/>
          <w:sz w:val="24"/>
          <w:szCs w:val="24"/>
        </w:rPr>
        <w:t xml:space="preserve">pose and Use of the Information </w:t>
      </w:r>
      <w:r w:rsidRPr="002C0EDA">
        <w:rPr>
          <w:rFonts w:ascii="Times New Roman" w:hAnsi="Times New Roman" w:cs="Times New Roman"/>
          <w:b/>
          <w:sz w:val="24"/>
          <w:szCs w:val="24"/>
        </w:rPr>
        <w:t>Collection</w:t>
      </w:r>
    </w:p>
    <w:p w14:paraId="371FDEEF" w14:textId="77777777" w:rsidR="007F0010" w:rsidRPr="007F0010" w:rsidRDefault="007F0010" w:rsidP="007F0010">
      <w:pPr>
        <w:rPr>
          <w:rFonts w:ascii="Times New Roman" w:hAnsi="Times New Roman"/>
          <w:sz w:val="24"/>
          <w:szCs w:val="24"/>
        </w:rPr>
      </w:pPr>
      <w:r>
        <w:rPr>
          <w:rFonts w:ascii="Times New Roman" w:hAnsi="Times New Roman"/>
          <w:sz w:val="24"/>
          <w:szCs w:val="24"/>
        </w:rPr>
        <w:t xml:space="preserve">The information collection will </w:t>
      </w:r>
      <w:r w:rsidR="008748A3" w:rsidRPr="008748A3">
        <w:rPr>
          <w:rFonts w:ascii="Times New Roman" w:hAnsi="Times New Roman"/>
          <w:sz w:val="24"/>
          <w:szCs w:val="24"/>
        </w:rPr>
        <w:t xml:space="preserve">answer research questions regarding the quality and utility of the services </w:t>
      </w:r>
      <w:r w:rsidR="008748A3">
        <w:rPr>
          <w:rFonts w:ascii="Times New Roman" w:hAnsi="Times New Roman"/>
          <w:sz w:val="24"/>
          <w:szCs w:val="24"/>
        </w:rPr>
        <w:t xml:space="preserve">the TA Centers </w:t>
      </w:r>
      <w:r w:rsidR="008748A3" w:rsidRPr="008748A3">
        <w:rPr>
          <w:rFonts w:ascii="Times New Roman" w:hAnsi="Times New Roman"/>
          <w:sz w:val="24"/>
          <w:szCs w:val="24"/>
        </w:rPr>
        <w:t xml:space="preserve">provide, and the degree to which Center programs and services have led to use of ODEP’s recommended policies and practices. </w:t>
      </w:r>
      <w:r w:rsidR="007C596F">
        <w:rPr>
          <w:rFonts w:ascii="Times New Roman" w:hAnsi="Times New Roman"/>
          <w:sz w:val="24"/>
          <w:szCs w:val="24"/>
        </w:rPr>
        <w:t>To do so, DOL</w:t>
      </w:r>
      <w:r>
        <w:rPr>
          <w:rFonts w:ascii="Times New Roman" w:hAnsi="Times New Roman"/>
          <w:sz w:val="24"/>
          <w:szCs w:val="24"/>
        </w:rPr>
        <w:t xml:space="preserve"> </w:t>
      </w:r>
      <w:r w:rsidR="008748A3" w:rsidRPr="008748A3">
        <w:rPr>
          <w:rFonts w:ascii="Times New Roman" w:hAnsi="Times New Roman"/>
          <w:sz w:val="24"/>
          <w:szCs w:val="24"/>
        </w:rPr>
        <w:t xml:space="preserve">will </w:t>
      </w:r>
      <w:r w:rsidR="008748A3">
        <w:rPr>
          <w:rFonts w:ascii="Times New Roman" w:hAnsi="Times New Roman"/>
          <w:sz w:val="24"/>
          <w:szCs w:val="24"/>
        </w:rPr>
        <w:t xml:space="preserve">collect </w:t>
      </w:r>
      <w:r w:rsidR="008748A3" w:rsidRPr="008748A3">
        <w:rPr>
          <w:rFonts w:ascii="Times New Roman" w:hAnsi="Times New Roman"/>
          <w:sz w:val="24"/>
          <w:szCs w:val="24"/>
        </w:rPr>
        <w:t xml:space="preserve">data annually </w:t>
      </w:r>
      <w:r w:rsidR="003D5863">
        <w:rPr>
          <w:rFonts w:ascii="Times New Roman" w:hAnsi="Times New Roman"/>
          <w:sz w:val="24"/>
          <w:szCs w:val="24"/>
        </w:rPr>
        <w:t xml:space="preserve">from a sample of TA Center customers </w:t>
      </w:r>
      <w:r w:rsidR="008748A3" w:rsidRPr="008748A3">
        <w:rPr>
          <w:rFonts w:ascii="Times New Roman" w:hAnsi="Times New Roman"/>
          <w:sz w:val="24"/>
          <w:szCs w:val="24"/>
        </w:rPr>
        <w:t>for three years to assess customer satisfaction and document the processes by which ODEP policies and practices are delivered to and adopted by TA Center customers</w:t>
      </w:r>
      <w:r>
        <w:rPr>
          <w:rFonts w:ascii="Times New Roman" w:hAnsi="Times New Roman"/>
          <w:sz w:val="24"/>
          <w:szCs w:val="24"/>
        </w:rPr>
        <w:t>. The data collection activities are described below</w:t>
      </w:r>
      <w:r w:rsidRPr="007F0010">
        <w:rPr>
          <w:rFonts w:ascii="Times New Roman" w:hAnsi="Times New Roman"/>
          <w:sz w:val="24"/>
          <w:szCs w:val="24"/>
        </w:rPr>
        <w:t xml:space="preserve">. </w:t>
      </w:r>
    </w:p>
    <w:p w14:paraId="5CB837DC" w14:textId="32E2F215" w:rsidR="007F0010" w:rsidRDefault="007C596F" w:rsidP="007F001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Pulse Survey. The study team</w:t>
      </w:r>
      <w:r w:rsidR="007F0010" w:rsidRPr="007F0010">
        <w:rPr>
          <w:rFonts w:ascii="Times New Roman" w:hAnsi="Times New Roman" w:cs="Times New Roman"/>
          <w:sz w:val="24"/>
          <w:szCs w:val="24"/>
        </w:rPr>
        <w:t xml:space="preserve"> will invite customers who request TA from the Centers to complete a web-based Pulse Survey approximately 48 hours after initiating such requests. This brief survey (no more than 10 questions) will collect customers’ initial impressions of responsiveness, clarity, relevance, and perceived value. Because the sampling unit for the Pulse Survey is a TA event, this design will allow us to collect comparable data on customer satisfaction across all Centers from the greatest cross-section of customers and the greatest range of TA. </w:t>
      </w:r>
    </w:p>
    <w:p w14:paraId="2243E63D" w14:textId="77777777" w:rsidR="007F0010" w:rsidRPr="007F0010" w:rsidRDefault="007F0010" w:rsidP="007F0010">
      <w:pPr>
        <w:pStyle w:val="ListParagraph"/>
        <w:rPr>
          <w:rFonts w:ascii="Times New Roman" w:hAnsi="Times New Roman" w:cs="Times New Roman"/>
          <w:sz w:val="24"/>
          <w:szCs w:val="24"/>
        </w:rPr>
      </w:pPr>
    </w:p>
    <w:p w14:paraId="21E47A8B" w14:textId="77777777" w:rsidR="007F0010" w:rsidRDefault="007C596F" w:rsidP="007F001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In-Depth Survey. The study team</w:t>
      </w:r>
      <w:r w:rsidR="007F0010" w:rsidRPr="007F0010">
        <w:rPr>
          <w:rFonts w:ascii="Times New Roman" w:hAnsi="Times New Roman" w:cs="Times New Roman"/>
          <w:sz w:val="24"/>
          <w:szCs w:val="24"/>
        </w:rPr>
        <w:t xml:space="preserve"> will administer an annual web-based In-Depth Survey to a subsample of customers receiving TA and policy disseminatio</w:t>
      </w:r>
      <w:r>
        <w:rPr>
          <w:rFonts w:ascii="Times New Roman" w:hAnsi="Times New Roman" w:cs="Times New Roman"/>
          <w:sz w:val="24"/>
          <w:szCs w:val="24"/>
        </w:rPr>
        <w:t>n of special interest to DOL. They</w:t>
      </w:r>
      <w:r w:rsidR="007F0010" w:rsidRPr="007F0010">
        <w:rPr>
          <w:rFonts w:ascii="Times New Roman" w:hAnsi="Times New Roman" w:cs="Times New Roman"/>
          <w:sz w:val="24"/>
          <w:szCs w:val="24"/>
        </w:rPr>
        <w:t xml:space="preserve"> will subsample customers receiving intensive TA provided over time, customers participating in networking and collaborative activities; and frequent customers. Whereas the Pulse Survey will ask about customer satisfaction with specific TA events, the In-Depth Survey will assess overall satisfaction with the Centers and the extent of policy dissemination.</w:t>
      </w:r>
    </w:p>
    <w:p w14:paraId="553DEBCE" w14:textId="77777777" w:rsidR="007F0010" w:rsidRPr="007F0010" w:rsidRDefault="007F0010" w:rsidP="007F0010">
      <w:pPr>
        <w:pStyle w:val="ListParagraph"/>
        <w:rPr>
          <w:rFonts w:ascii="Times New Roman" w:hAnsi="Times New Roman" w:cs="Times New Roman"/>
          <w:sz w:val="24"/>
          <w:szCs w:val="24"/>
        </w:rPr>
      </w:pPr>
    </w:p>
    <w:p w14:paraId="438C1859" w14:textId="77777777" w:rsidR="007F0010" w:rsidRPr="007F0010" w:rsidRDefault="007F0010" w:rsidP="007F0010">
      <w:pPr>
        <w:pStyle w:val="ListParagraph"/>
        <w:numPr>
          <w:ilvl w:val="0"/>
          <w:numId w:val="8"/>
        </w:numPr>
        <w:rPr>
          <w:rFonts w:ascii="Times New Roman" w:hAnsi="Times New Roman" w:cs="Times New Roman"/>
          <w:sz w:val="24"/>
          <w:szCs w:val="24"/>
        </w:rPr>
      </w:pPr>
      <w:r w:rsidRPr="007F0010">
        <w:rPr>
          <w:rFonts w:ascii="Times New Roman" w:hAnsi="Times New Roman" w:cs="Times New Roman"/>
          <w:sz w:val="24"/>
          <w:szCs w:val="24"/>
        </w:rPr>
        <w:t>Qualitative Interviews. Based on response</w:t>
      </w:r>
      <w:r w:rsidR="007C596F">
        <w:rPr>
          <w:rFonts w:ascii="Times New Roman" w:hAnsi="Times New Roman" w:cs="Times New Roman"/>
          <w:sz w:val="24"/>
          <w:szCs w:val="24"/>
        </w:rPr>
        <w:t>s to the In-Depth Survey, the study team</w:t>
      </w:r>
      <w:r w:rsidRPr="007F0010">
        <w:rPr>
          <w:rFonts w:ascii="Times New Roman" w:hAnsi="Times New Roman" w:cs="Times New Roman"/>
          <w:sz w:val="24"/>
          <w:szCs w:val="24"/>
        </w:rPr>
        <w:t xml:space="preserve"> will select a small subsample of customers to complete qualitative telephone interviews that will allow us to drill down further in our examination of satisfaction with and utilization of TA services and </w:t>
      </w:r>
      <w:r w:rsidR="007C596F">
        <w:rPr>
          <w:rFonts w:ascii="Times New Roman" w:hAnsi="Times New Roman" w:cs="Times New Roman"/>
          <w:sz w:val="24"/>
          <w:szCs w:val="24"/>
        </w:rPr>
        <w:t>policy dissemination. Because they</w:t>
      </w:r>
      <w:r w:rsidRPr="007F0010">
        <w:rPr>
          <w:rFonts w:ascii="Times New Roman" w:hAnsi="Times New Roman" w:cs="Times New Roman"/>
          <w:sz w:val="24"/>
          <w:szCs w:val="24"/>
        </w:rPr>
        <w:t xml:space="preserve"> plan to select purposively three types of customers for these interviews – employers, government agencies, and community based organizations – we will be able to assess the utility and implementation of TA and policy dissemination within specific settings of different organizations. Furthermore, to explore how TA and policy dissemination c</w:t>
      </w:r>
      <w:r w:rsidR="007C596F">
        <w:rPr>
          <w:rFonts w:ascii="Times New Roman" w:hAnsi="Times New Roman" w:cs="Times New Roman"/>
          <w:sz w:val="24"/>
          <w:szCs w:val="24"/>
        </w:rPr>
        <w:t>an be improved in the future, the study team</w:t>
      </w:r>
      <w:r w:rsidRPr="007F0010">
        <w:rPr>
          <w:rFonts w:ascii="Times New Roman" w:hAnsi="Times New Roman" w:cs="Times New Roman"/>
          <w:sz w:val="24"/>
          <w:szCs w:val="24"/>
        </w:rPr>
        <w:t xml:space="preserve"> will select customers reporting both high and low levels of customer satisfaction.</w:t>
      </w:r>
    </w:p>
    <w:p w14:paraId="708EF85A" w14:textId="77777777" w:rsidR="007F0010" w:rsidRPr="007F0010" w:rsidRDefault="007C596F" w:rsidP="007F0010">
      <w:pPr>
        <w:rPr>
          <w:rFonts w:ascii="Times New Roman" w:hAnsi="Times New Roman"/>
          <w:sz w:val="24"/>
          <w:szCs w:val="24"/>
        </w:rPr>
      </w:pPr>
      <w:r>
        <w:rPr>
          <w:rFonts w:ascii="Times New Roman" w:hAnsi="Times New Roman"/>
          <w:sz w:val="24"/>
          <w:szCs w:val="24"/>
        </w:rPr>
        <w:t>In addition, the study team</w:t>
      </w:r>
      <w:r w:rsidR="007F0010" w:rsidRPr="007F0010">
        <w:rPr>
          <w:rFonts w:ascii="Times New Roman" w:hAnsi="Times New Roman"/>
          <w:sz w:val="24"/>
          <w:szCs w:val="24"/>
        </w:rPr>
        <w:t xml:space="preserve"> will conduct additional rounds of interviews with Center directors and staff to get their perspective on issues associated with perceived adoption and implementation of ODEP’s policies and practices. Furthermore, this study will collect relevant administrative data from each of the Centers such as the number of monthly hits on the Center’s website and the number of direct requests for consultation services. </w:t>
      </w:r>
    </w:p>
    <w:p w14:paraId="37DA95B9" w14:textId="77777777" w:rsidR="00227B04" w:rsidRDefault="007C596F" w:rsidP="002744F5">
      <w:pPr>
        <w:rPr>
          <w:rFonts w:ascii="Times New Roman" w:hAnsi="Times New Roman" w:cs="Times New Roman"/>
          <w:b/>
          <w:sz w:val="24"/>
          <w:szCs w:val="24"/>
        </w:rPr>
      </w:pPr>
      <w:r>
        <w:rPr>
          <w:rFonts w:ascii="Times New Roman" w:hAnsi="Times New Roman"/>
          <w:sz w:val="24"/>
          <w:szCs w:val="24"/>
        </w:rPr>
        <w:t>The study team</w:t>
      </w:r>
      <w:r w:rsidR="007F0010" w:rsidRPr="007F0010">
        <w:rPr>
          <w:rFonts w:ascii="Times New Roman" w:hAnsi="Times New Roman"/>
          <w:sz w:val="24"/>
          <w:szCs w:val="24"/>
        </w:rPr>
        <w:t xml:space="preserve"> will conduct both qualitative and quantitative analyses of the data collected to answer the research questions. The two customer satisfaction surveys will provide data on overall satisfaction with the TA services, perceived quality of services, customer expectations, as well as information on perceived</w:t>
      </w:r>
      <w:r>
        <w:rPr>
          <w:rFonts w:ascii="Times New Roman" w:hAnsi="Times New Roman"/>
          <w:sz w:val="24"/>
          <w:szCs w:val="24"/>
        </w:rPr>
        <w:t xml:space="preserve"> adoption and implementation. They</w:t>
      </w:r>
      <w:r w:rsidR="007F0010" w:rsidRPr="007F0010">
        <w:rPr>
          <w:rFonts w:ascii="Times New Roman" w:hAnsi="Times New Roman"/>
          <w:sz w:val="24"/>
          <w:szCs w:val="24"/>
        </w:rPr>
        <w:t xml:space="preserve"> will examine these measures in the aggregate, as well as explore subgroup differences (e.g., by type of user, type of service, etc.). The qualitative telephone interviews will provide richer data on two important dimensions of the customer experience: 1) satisfaction with the quality, relevance and usefulness of the received TA to accomplish Center objectives and 2) the extent to which the TA received results in perceived adoption and implementation of ODEP policies</w:t>
      </w:r>
      <w:r w:rsidR="007F0010">
        <w:rPr>
          <w:rFonts w:ascii="Times New Roman" w:hAnsi="Times New Roman"/>
          <w:sz w:val="24"/>
          <w:szCs w:val="24"/>
        </w:rPr>
        <w:t>.</w:t>
      </w:r>
    </w:p>
    <w:p w14:paraId="57AEABF4" w14:textId="77777777" w:rsidR="000D5A3F" w:rsidRPr="002744F5" w:rsidRDefault="00397728" w:rsidP="00227B04">
      <w:pPr>
        <w:numPr>
          <w:ilvl w:val="0"/>
          <w:numId w:val="1"/>
        </w:numPr>
        <w:ind w:left="0"/>
        <w:rPr>
          <w:rFonts w:ascii="Times New Roman" w:hAnsi="Times New Roman" w:cs="Times New Roman"/>
          <w:b/>
          <w:sz w:val="24"/>
          <w:szCs w:val="24"/>
        </w:rPr>
      </w:pPr>
      <w:r w:rsidRPr="002744F5">
        <w:rPr>
          <w:rFonts w:ascii="Times New Roman" w:hAnsi="Times New Roman" w:cs="Times New Roman"/>
          <w:b/>
          <w:sz w:val="24"/>
          <w:szCs w:val="24"/>
        </w:rPr>
        <w:t xml:space="preserve">Use of Information Technology </w:t>
      </w:r>
    </w:p>
    <w:p w14:paraId="63078FFF" w14:textId="476DD3AA" w:rsidR="006D6A29" w:rsidRDefault="006D6A29" w:rsidP="006D6A29">
      <w:pPr>
        <w:rPr>
          <w:rFonts w:ascii="Times New Roman" w:hAnsi="Times New Roman"/>
          <w:sz w:val="24"/>
          <w:szCs w:val="24"/>
        </w:rPr>
      </w:pPr>
      <w:r w:rsidRPr="006D6A29">
        <w:rPr>
          <w:rFonts w:ascii="Times New Roman" w:hAnsi="Times New Roman"/>
          <w:sz w:val="24"/>
          <w:szCs w:val="24"/>
        </w:rPr>
        <w:t xml:space="preserve">The TA Centers currently have varying types and amounts of customer information. Most of the Centers have some kind of customer database, but they are not always comprehensive with some databases containing more information about customers than others. Successful implementation of the surveys hinges on development of a complete sample frame of all customers. Furthermore, a robust system containing comprehensive customer information can enhance Centers’ knowledge of their audience. </w:t>
      </w:r>
    </w:p>
    <w:p w14:paraId="342C1A1B" w14:textId="77777777" w:rsidR="006D6A29" w:rsidRPr="006D6A29" w:rsidRDefault="006D6A29" w:rsidP="006D6A29">
      <w:pPr>
        <w:rPr>
          <w:rFonts w:ascii="Times New Roman" w:hAnsi="Times New Roman"/>
          <w:sz w:val="24"/>
          <w:szCs w:val="24"/>
        </w:rPr>
      </w:pPr>
      <w:r w:rsidRPr="006D6A29">
        <w:rPr>
          <w:rFonts w:ascii="Times New Roman" w:hAnsi="Times New Roman"/>
          <w:sz w:val="24"/>
          <w:szCs w:val="24"/>
        </w:rPr>
        <w:t>To identify and gain access t</w:t>
      </w:r>
      <w:r w:rsidR="007C596F">
        <w:rPr>
          <w:rFonts w:ascii="Times New Roman" w:hAnsi="Times New Roman"/>
          <w:sz w:val="24"/>
          <w:szCs w:val="24"/>
        </w:rPr>
        <w:t xml:space="preserve">o all types of customers, the study team </w:t>
      </w:r>
      <w:r w:rsidRPr="006D6A29">
        <w:rPr>
          <w:rFonts w:ascii="Times New Roman" w:hAnsi="Times New Roman"/>
          <w:sz w:val="24"/>
          <w:szCs w:val="24"/>
        </w:rPr>
        <w:t xml:space="preserve">will develop a customer database that each TA Center will use to record prospectively basic information on all customers to the </w:t>
      </w:r>
      <w:r w:rsidR="007C596F">
        <w:rPr>
          <w:rFonts w:ascii="Times New Roman" w:hAnsi="Times New Roman"/>
          <w:sz w:val="24"/>
          <w:szCs w:val="24"/>
        </w:rPr>
        <w:t>greatest extent possible. The study team</w:t>
      </w:r>
      <w:r w:rsidRPr="006D6A29">
        <w:rPr>
          <w:rFonts w:ascii="Times New Roman" w:hAnsi="Times New Roman"/>
          <w:sz w:val="24"/>
          <w:szCs w:val="24"/>
        </w:rPr>
        <w:t xml:space="preserve"> will embed sampling capability within the database such that the system will appropriately administer the data collection instruments to sampled customers</w:t>
      </w:r>
      <w:r>
        <w:rPr>
          <w:rFonts w:ascii="Times New Roman" w:hAnsi="Times New Roman"/>
          <w:sz w:val="24"/>
          <w:szCs w:val="24"/>
        </w:rPr>
        <w:t xml:space="preserve"> upon OMB approval</w:t>
      </w:r>
      <w:r w:rsidRPr="006D6A29">
        <w:rPr>
          <w:rFonts w:ascii="Times New Roman" w:hAnsi="Times New Roman"/>
          <w:sz w:val="24"/>
          <w:szCs w:val="24"/>
        </w:rPr>
        <w:t>.</w:t>
      </w:r>
    </w:p>
    <w:p w14:paraId="1AF249F0" w14:textId="77777777" w:rsidR="006D6A29" w:rsidRPr="006D6A29" w:rsidRDefault="006D6A29" w:rsidP="006D6A29">
      <w:pPr>
        <w:rPr>
          <w:rFonts w:ascii="Times New Roman" w:hAnsi="Times New Roman"/>
          <w:sz w:val="24"/>
          <w:szCs w:val="24"/>
        </w:rPr>
      </w:pPr>
      <w:r w:rsidRPr="006D6A29">
        <w:rPr>
          <w:rFonts w:ascii="Times New Roman" w:hAnsi="Times New Roman"/>
          <w:sz w:val="24"/>
          <w:szCs w:val="24"/>
        </w:rPr>
        <w:t>In addition to serving as the sampling frame for this study, the database will also create an enduring mechanism that TA Centers can use in the future to report out to ODEP, in a standardized fashion, how many and what types of customers are being served during any given period. Secondary advantages of this system include ongoing maintenance of comparable data across Centers; ease of data reporting to ODEP; and a standardized organizational method for all incoming, future grantees</w:t>
      </w:r>
      <w:r w:rsidR="001E5EA5">
        <w:rPr>
          <w:rFonts w:ascii="Times New Roman" w:hAnsi="Times New Roman"/>
          <w:sz w:val="24"/>
          <w:szCs w:val="24"/>
        </w:rPr>
        <w:t>.</w:t>
      </w:r>
    </w:p>
    <w:p w14:paraId="5C0B44A4" w14:textId="77777777" w:rsidR="006D6A29" w:rsidRPr="006D6A29" w:rsidRDefault="006D6A29" w:rsidP="006D6A29">
      <w:pPr>
        <w:rPr>
          <w:rFonts w:ascii="Times New Roman" w:hAnsi="Times New Roman"/>
          <w:sz w:val="24"/>
          <w:szCs w:val="24"/>
        </w:rPr>
      </w:pPr>
      <w:r>
        <w:rPr>
          <w:rFonts w:ascii="Times New Roman" w:hAnsi="Times New Roman"/>
          <w:sz w:val="24"/>
          <w:szCs w:val="24"/>
        </w:rPr>
        <w:t xml:space="preserve">The study management system housing the database will deploy both the Pulse Survey and In-Depth Survey to sampled customers </w:t>
      </w:r>
      <w:r w:rsidRPr="006D6A29">
        <w:rPr>
          <w:rFonts w:ascii="Times New Roman" w:hAnsi="Times New Roman"/>
          <w:sz w:val="24"/>
          <w:szCs w:val="24"/>
        </w:rPr>
        <w:t xml:space="preserve">using web-based technology. </w:t>
      </w:r>
      <w:r>
        <w:rPr>
          <w:rFonts w:ascii="Times New Roman" w:hAnsi="Times New Roman"/>
          <w:sz w:val="24"/>
          <w:szCs w:val="24"/>
        </w:rPr>
        <w:t xml:space="preserve">We </w:t>
      </w:r>
      <w:r w:rsidRPr="006D6A29">
        <w:rPr>
          <w:rFonts w:ascii="Times New Roman" w:hAnsi="Times New Roman"/>
          <w:sz w:val="24"/>
          <w:szCs w:val="24"/>
        </w:rPr>
        <w:t>anticipate that the online survey will be less burdensome</w:t>
      </w:r>
      <w:r>
        <w:rPr>
          <w:rFonts w:ascii="Times New Roman" w:hAnsi="Times New Roman"/>
          <w:sz w:val="24"/>
          <w:szCs w:val="24"/>
        </w:rPr>
        <w:t xml:space="preserve"> to respondents</w:t>
      </w:r>
      <w:r w:rsidRPr="006D6A29">
        <w:rPr>
          <w:rFonts w:ascii="Times New Roman" w:hAnsi="Times New Roman"/>
          <w:sz w:val="24"/>
          <w:szCs w:val="24"/>
        </w:rPr>
        <w:t xml:space="preserve">, as it will offer easy access and submission, while also allowing </w:t>
      </w:r>
      <w:r>
        <w:rPr>
          <w:rFonts w:ascii="Times New Roman" w:hAnsi="Times New Roman"/>
          <w:sz w:val="24"/>
          <w:szCs w:val="24"/>
        </w:rPr>
        <w:t>respondents</w:t>
      </w:r>
      <w:r w:rsidRPr="006D6A29">
        <w:rPr>
          <w:rFonts w:ascii="Times New Roman" w:hAnsi="Times New Roman"/>
          <w:sz w:val="24"/>
          <w:szCs w:val="24"/>
        </w:rPr>
        <w:t xml:space="preserve"> to complete the survey at a time convenient to them and at their own pace. An online survey has the additional advantages of reducing the potential for errors by checking for logical consistency across answers, accepting only valid responses and enforcing automated skip patterns. </w:t>
      </w:r>
    </w:p>
    <w:p w14:paraId="37553A38" w14:textId="77777777" w:rsidR="00C3167B" w:rsidRPr="002C0EDA" w:rsidRDefault="00397728" w:rsidP="00C3167B">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E</w:t>
      </w:r>
      <w:r w:rsidR="0056214A">
        <w:rPr>
          <w:rFonts w:ascii="Times New Roman" w:hAnsi="Times New Roman" w:cs="Times New Roman"/>
          <w:b/>
          <w:sz w:val="24"/>
          <w:szCs w:val="24"/>
        </w:rPr>
        <w:t>fforts to Identify Duplication</w:t>
      </w:r>
    </w:p>
    <w:p w14:paraId="5BA74CBC" w14:textId="3EFC15E9" w:rsidR="006D6A29" w:rsidRPr="006D6A29" w:rsidRDefault="006D6A29" w:rsidP="006D6A29">
      <w:pPr>
        <w:rPr>
          <w:rFonts w:ascii="Times New Roman" w:hAnsi="Times New Roman"/>
          <w:sz w:val="24"/>
          <w:szCs w:val="24"/>
        </w:rPr>
      </w:pPr>
      <w:r w:rsidRPr="006D6A29">
        <w:rPr>
          <w:rFonts w:ascii="Times New Roman" w:hAnsi="Times New Roman"/>
          <w:sz w:val="24"/>
          <w:szCs w:val="24"/>
        </w:rPr>
        <w:t xml:space="preserve">The proposed data collection </w:t>
      </w:r>
      <w:r w:rsidR="0056214A">
        <w:rPr>
          <w:rFonts w:ascii="Times New Roman" w:hAnsi="Times New Roman"/>
          <w:sz w:val="24"/>
          <w:szCs w:val="24"/>
        </w:rPr>
        <w:t xml:space="preserve">will allow DOL to assess customers’ perceptions of the </w:t>
      </w:r>
      <w:r w:rsidR="0056214A" w:rsidRPr="008748A3">
        <w:rPr>
          <w:rFonts w:ascii="Times New Roman" w:hAnsi="Times New Roman"/>
          <w:sz w:val="24"/>
          <w:szCs w:val="24"/>
        </w:rPr>
        <w:t xml:space="preserve">quality and utility of the services </w:t>
      </w:r>
      <w:r w:rsidR="0056214A">
        <w:rPr>
          <w:rFonts w:ascii="Times New Roman" w:hAnsi="Times New Roman"/>
          <w:sz w:val="24"/>
          <w:szCs w:val="24"/>
        </w:rPr>
        <w:t xml:space="preserve">the TA Centers </w:t>
      </w:r>
      <w:r w:rsidR="0056214A" w:rsidRPr="008748A3">
        <w:rPr>
          <w:rFonts w:ascii="Times New Roman" w:hAnsi="Times New Roman"/>
          <w:sz w:val="24"/>
          <w:szCs w:val="24"/>
        </w:rPr>
        <w:t xml:space="preserve">provide, and the degree to which </w:t>
      </w:r>
      <w:r w:rsidR="0056214A">
        <w:rPr>
          <w:rFonts w:ascii="Times New Roman" w:hAnsi="Times New Roman"/>
          <w:sz w:val="24"/>
          <w:szCs w:val="24"/>
        </w:rPr>
        <w:t xml:space="preserve">customers perceive that </w:t>
      </w:r>
      <w:r w:rsidR="0056214A" w:rsidRPr="008748A3">
        <w:rPr>
          <w:rFonts w:ascii="Times New Roman" w:hAnsi="Times New Roman"/>
          <w:sz w:val="24"/>
          <w:szCs w:val="24"/>
        </w:rPr>
        <w:t xml:space="preserve">Center programs and </w:t>
      </w:r>
      <w:r w:rsidR="007C596F">
        <w:rPr>
          <w:rFonts w:ascii="Times New Roman" w:hAnsi="Times New Roman"/>
          <w:sz w:val="24"/>
          <w:szCs w:val="24"/>
        </w:rPr>
        <w:t>services have led to use of ODEP</w:t>
      </w:r>
      <w:r w:rsidR="0056214A" w:rsidRPr="008748A3">
        <w:rPr>
          <w:rFonts w:ascii="Times New Roman" w:hAnsi="Times New Roman"/>
          <w:sz w:val="24"/>
          <w:szCs w:val="24"/>
        </w:rPr>
        <w:t>’s recommended policies and practices</w:t>
      </w:r>
      <w:r w:rsidRPr="006D6A29">
        <w:rPr>
          <w:rFonts w:ascii="Times New Roman" w:hAnsi="Times New Roman"/>
          <w:sz w:val="24"/>
          <w:szCs w:val="24"/>
        </w:rPr>
        <w:t xml:space="preserve">. </w:t>
      </w:r>
      <w:r w:rsidR="0056214A">
        <w:rPr>
          <w:rFonts w:ascii="Times New Roman" w:hAnsi="Times New Roman"/>
          <w:sz w:val="24"/>
          <w:szCs w:val="24"/>
        </w:rPr>
        <w:t xml:space="preserve">Although some of the TA Centers engage in activities to assess customer satisfaction with specific aspects of the TA they provide, there is currently no comparable data available related to customer satisfaction for </w:t>
      </w:r>
      <w:r w:rsidR="00B459A5">
        <w:rPr>
          <w:rFonts w:ascii="Times New Roman" w:hAnsi="Times New Roman"/>
          <w:sz w:val="24"/>
          <w:szCs w:val="24"/>
        </w:rPr>
        <w:t>the</w:t>
      </w:r>
      <w:r w:rsidR="0056214A">
        <w:rPr>
          <w:rFonts w:ascii="Times New Roman" w:hAnsi="Times New Roman"/>
          <w:sz w:val="24"/>
          <w:szCs w:val="24"/>
        </w:rPr>
        <w:t xml:space="preserve"> </w:t>
      </w:r>
      <w:r w:rsidR="00B459A5">
        <w:rPr>
          <w:rFonts w:ascii="Times New Roman" w:hAnsi="Times New Roman"/>
          <w:sz w:val="24"/>
          <w:szCs w:val="24"/>
        </w:rPr>
        <w:t xml:space="preserve">TA </w:t>
      </w:r>
      <w:r w:rsidR="0056214A">
        <w:rPr>
          <w:rFonts w:ascii="Times New Roman" w:hAnsi="Times New Roman"/>
          <w:sz w:val="24"/>
          <w:szCs w:val="24"/>
        </w:rPr>
        <w:t xml:space="preserve">Centers. </w:t>
      </w:r>
      <w:r w:rsidR="001E5EA5">
        <w:rPr>
          <w:rFonts w:ascii="Times New Roman" w:hAnsi="Times New Roman"/>
          <w:sz w:val="24"/>
          <w:szCs w:val="24"/>
        </w:rPr>
        <w:t xml:space="preserve">While these specific data related to an individual TA Center </w:t>
      </w:r>
      <w:r w:rsidR="001E5EA5" w:rsidRPr="006D6A29">
        <w:rPr>
          <w:rFonts w:ascii="Times New Roman" w:hAnsi="Times New Roman"/>
          <w:sz w:val="24"/>
          <w:szCs w:val="24"/>
        </w:rPr>
        <w:t xml:space="preserve">are important and useful data sources, they do not provide </w:t>
      </w:r>
      <w:r w:rsidR="001E5EA5">
        <w:rPr>
          <w:rFonts w:ascii="Times New Roman" w:hAnsi="Times New Roman"/>
          <w:sz w:val="24"/>
          <w:szCs w:val="24"/>
        </w:rPr>
        <w:t xml:space="preserve">comparable </w:t>
      </w:r>
      <w:r w:rsidR="001E5EA5" w:rsidRPr="006D6A29">
        <w:rPr>
          <w:rFonts w:ascii="Times New Roman" w:hAnsi="Times New Roman"/>
          <w:sz w:val="24"/>
          <w:szCs w:val="24"/>
        </w:rPr>
        <w:t xml:space="preserve">information </w:t>
      </w:r>
      <w:r w:rsidR="001E5EA5">
        <w:rPr>
          <w:rFonts w:ascii="Times New Roman" w:hAnsi="Times New Roman"/>
          <w:sz w:val="24"/>
          <w:szCs w:val="24"/>
        </w:rPr>
        <w:t xml:space="preserve">that DOL can use to assess customer across </w:t>
      </w:r>
      <w:r w:rsidR="00B459A5">
        <w:rPr>
          <w:rFonts w:ascii="Times New Roman" w:hAnsi="Times New Roman"/>
          <w:sz w:val="24"/>
          <w:szCs w:val="24"/>
        </w:rPr>
        <w:t xml:space="preserve">the </w:t>
      </w:r>
      <w:r w:rsidR="001E5EA5">
        <w:rPr>
          <w:rFonts w:ascii="Times New Roman" w:hAnsi="Times New Roman"/>
          <w:sz w:val="24"/>
          <w:szCs w:val="24"/>
        </w:rPr>
        <w:t xml:space="preserve">TA Centers. </w:t>
      </w:r>
      <w:r w:rsidR="00D44889">
        <w:rPr>
          <w:rFonts w:ascii="Times New Roman" w:hAnsi="Times New Roman"/>
          <w:sz w:val="24"/>
          <w:szCs w:val="24"/>
        </w:rPr>
        <w:t>In addition</w:t>
      </w:r>
      <w:r w:rsidR="001E5EA5">
        <w:rPr>
          <w:rFonts w:ascii="Times New Roman" w:hAnsi="Times New Roman"/>
          <w:sz w:val="24"/>
          <w:szCs w:val="24"/>
        </w:rPr>
        <w:t xml:space="preserve">, </w:t>
      </w:r>
      <w:r w:rsidRPr="006D6A29">
        <w:rPr>
          <w:rFonts w:ascii="Times New Roman" w:hAnsi="Times New Roman"/>
          <w:sz w:val="24"/>
          <w:szCs w:val="24"/>
        </w:rPr>
        <w:t xml:space="preserve">DOL is not aware of any previous or planned effort to collect information concerning </w:t>
      </w:r>
      <w:r w:rsidR="0056214A">
        <w:rPr>
          <w:rFonts w:ascii="Times New Roman" w:hAnsi="Times New Roman"/>
          <w:sz w:val="24"/>
          <w:szCs w:val="24"/>
        </w:rPr>
        <w:t xml:space="preserve">the extent to which customers perceive that </w:t>
      </w:r>
      <w:r w:rsidR="0056214A" w:rsidRPr="008748A3">
        <w:rPr>
          <w:rFonts w:ascii="Times New Roman" w:hAnsi="Times New Roman"/>
          <w:sz w:val="24"/>
          <w:szCs w:val="24"/>
        </w:rPr>
        <w:t>Center programs and services have led to use of ODEP’s recommended policies and practices</w:t>
      </w:r>
      <w:r w:rsidRPr="006D6A29">
        <w:rPr>
          <w:rFonts w:ascii="Times New Roman" w:hAnsi="Times New Roman"/>
          <w:sz w:val="24"/>
          <w:szCs w:val="24"/>
        </w:rPr>
        <w:t xml:space="preserve">. </w:t>
      </w:r>
      <w:r w:rsidR="001E5EA5">
        <w:rPr>
          <w:rFonts w:ascii="Times New Roman" w:hAnsi="Times New Roman"/>
          <w:sz w:val="24"/>
          <w:szCs w:val="24"/>
        </w:rPr>
        <w:t>Hence, the proposed data collection is needed to gather the information necessary to address the study research questions.</w:t>
      </w:r>
    </w:p>
    <w:p w14:paraId="3C37B2B2" w14:textId="77777777" w:rsidR="00397728"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Impact on Small Bu</w:t>
      </w:r>
      <w:r w:rsidR="002E6831" w:rsidRPr="002C0EDA">
        <w:rPr>
          <w:rFonts w:ascii="Times New Roman" w:hAnsi="Times New Roman" w:cs="Times New Roman"/>
          <w:b/>
          <w:sz w:val="24"/>
          <w:szCs w:val="24"/>
        </w:rPr>
        <w:t>sinesses or Other Small Entities</w:t>
      </w:r>
    </w:p>
    <w:p w14:paraId="3FCF2DCE" w14:textId="77777777" w:rsidR="002E6831" w:rsidRPr="002C0EDA" w:rsidRDefault="001E5EA5" w:rsidP="00DC2252">
      <w:pPr>
        <w:rPr>
          <w:rFonts w:ascii="Times New Roman" w:hAnsi="Times New Roman"/>
          <w:sz w:val="24"/>
          <w:szCs w:val="24"/>
        </w:rPr>
      </w:pPr>
      <w:r>
        <w:rPr>
          <w:rFonts w:ascii="Times New Roman" w:hAnsi="Times New Roman"/>
          <w:sz w:val="24"/>
          <w:szCs w:val="24"/>
        </w:rPr>
        <w:t xml:space="preserve">The TA Centers serve a variety of customer types, including employers that may be classified as small businesses. Hence, it is likely that such employers will be sampled for both survey activities. However, </w:t>
      </w:r>
      <w:r w:rsidR="00D44889">
        <w:rPr>
          <w:rFonts w:ascii="Times New Roman" w:hAnsi="Times New Roman"/>
          <w:sz w:val="24"/>
          <w:szCs w:val="24"/>
        </w:rPr>
        <w:t>only the employee initiating contact with the TA Center will be invited to complete the survey. Furthermore, the estimated length of the Pulse Survey will be no more than 5 minutes, and the In-Depth Survey will average no more than 15 minutes. Because the number of employees within an organization that we will invite to complete these brief surveys is relatively small, we expect the impact on small business to be minimal.</w:t>
      </w:r>
    </w:p>
    <w:p w14:paraId="0A1D1B32" w14:textId="77777777" w:rsidR="00397728"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Consequence</w:t>
      </w:r>
      <w:r w:rsidR="00D44889">
        <w:rPr>
          <w:rFonts w:ascii="Times New Roman" w:hAnsi="Times New Roman" w:cs="Times New Roman"/>
          <w:b/>
          <w:sz w:val="24"/>
          <w:szCs w:val="24"/>
        </w:rPr>
        <w:t xml:space="preserve"> to Federal Program or Policy Activity if Collection is not Conducted</w:t>
      </w:r>
    </w:p>
    <w:p w14:paraId="19A8FB19" w14:textId="77777777" w:rsidR="00BE218A" w:rsidRPr="002C0EDA" w:rsidRDefault="00D44889" w:rsidP="00DC2252">
      <w:pPr>
        <w:rPr>
          <w:rFonts w:ascii="Times New Roman" w:hAnsi="Times New Roman"/>
          <w:sz w:val="24"/>
          <w:szCs w:val="24"/>
        </w:rPr>
      </w:pPr>
      <w:r>
        <w:rPr>
          <w:rFonts w:ascii="Times New Roman" w:hAnsi="Times New Roman"/>
          <w:sz w:val="24"/>
          <w:szCs w:val="24"/>
        </w:rPr>
        <w:t>If the proposed data collection activities are not conducted, detailed information to answer the research questions otherwise would not be available.</w:t>
      </w:r>
    </w:p>
    <w:p w14:paraId="02B5AED3" w14:textId="77777777" w:rsidR="00CE2795" w:rsidRPr="002C0EDA" w:rsidRDefault="00397728" w:rsidP="00CE2795">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 xml:space="preserve">Special </w:t>
      </w:r>
      <w:r w:rsidR="00D44889">
        <w:rPr>
          <w:rFonts w:ascii="Times New Roman" w:hAnsi="Times New Roman" w:cs="Times New Roman"/>
          <w:b/>
          <w:sz w:val="24"/>
          <w:szCs w:val="24"/>
        </w:rPr>
        <w:t xml:space="preserve">Data Collection </w:t>
      </w:r>
      <w:r w:rsidRPr="002C0EDA">
        <w:rPr>
          <w:rFonts w:ascii="Times New Roman" w:hAnsi="Times New Roman" w:cs="Times New Roman"/>
          <w:b/>
          <w:sz w:val="24"/>
          <w:szCs w:val="24"/>
        </w:rPr>
        <w:t>Circumstances Relating to the Guidelines of 5 CFR 1320.5</w:t>
      </w:r>
    </w:p>
    <w:p w14:paraId="0F0085BC" w14:textId="77777777" w:rsidR="00CE2795" w:rsidRPr="00D44889" w:rsidRDefault="00D44889" w:rsidP="00CE2795">
      <w:pPr>
        <w:rPr>
          <w:rFonts w:ascii="Times New Roman" w:hAnsi="Times New Roman"/>
          <w:sz w:val="24"/>
          <w:szCs w:val="24"/>
        </w:rPr>
      </w:pPr>
      <w:r w:rsidRPr="00D44889">
        <w:rPr>
          <w:rFonts w:ascii="Times New Roman" w:hAnsi="Times New Roman"/>
          <w:sz w:val="24"/>
          <w:szCs w:val="24"/>
        </w:rPr>
        <w:t>There are no special circumstances that would require this information collection to be conducted in any manner other than that described above. The data collection will be performed in a manner consistent with federal guidelines</w:t>
      </w:r>
      <w:r w:rsidR="00CE2795" w:rsidRPr="00D44889">
        <w:rPr>
          <w:rFonts w:ascii="Times New Roman" w:hAnsi="Times New Roman"/>
          <w:sz w:val="24"/>
          <w:szCs w:val="24"/>
        </w:rPr>
        <w:t xml:space="preserve">. </w:t>
      </w:r>
    </w:p>
    <w:p w14:paraId="22172FCE" w14:textId="77777777" w:rsidR="00397728"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Comments in Response to the Federal Register Notice and Efforts to Consult Outside the Agency</w:t>
      </w:r>
    </w:p>
    <w:p w14:paraId="6E91A649" w14:textId="30E3DC00" w:rsidR="00BE218A" w:rsidRDefault="00D44889" w:rsidP="00BC1FE9">
      <w:pPr>
        <w:spacing w:after="0" w:line="264" w:lineRule="auto"/>
        <w:rPr>
          <w:rFonts w:ascii="Times New Roman" w:hAnsi="Times New Roman" w:cs="Times New Roman"/>
          <w:sz w:val="24"/>
          <w:szCs w:val="24"/>
        </w:rPr>
      </w:pPr>
      <w:r w:rsidRPr="002C0EDA">
        <w:rPr>
          <w:rFonts w:ascii="Times New Roman" w:hAnsi="Times New Roman" w:cs="Times New Roman"/>
          <w:sz w:val="24"/>
          <w:szCs w:val="24"/>
        </w:rPr>
        <w:t xml:space="preserve">The notice of the proposed information collection activity </w:t>
      </w:r>
      <w:r w:rsidR="00F945F6">
        <w:rPr>
          <w:rFonts w:ascii="Times New Roman" w:hAnsi="Times New Roman" w:cs="Times New Roman"/>
          <w:sz w:val="24"/>
          <w:szCs w:val="24"/>
        </w:rPr>
        <w:t xml:space="preserve">was published in the Federal Register on </w:t>
      </w:r>
      <w:r w:rsidR="00077B32" w:rsidRPr="00077B32">
        <w:rPr>
          <w:rFonts w:ascii="Times New Roman" w:hAnsi="Times New Roman" w:cs="Times New Roman"/>
          <w:sz w:val="24"/>
          <w:szCs w:val="24"/>
        </w:rPr>
        <w:t>82 FR 27080</w:t>
      </w:r>
      <w:r w:rsidR="00077B32">
        <w:rPr>
          <w:rFonts w:ascii="Times New Roman" w:hAnsi="Times New Roman" w:cs="Times New Roman"/>
          <w:sz w:val="24"/>
          <w:szCs w:val="24"/>
        </w:rPr>
        <w:t xml:space="preserve"> on </w:t>
      </w:r>
      <w:r w:rsidR="00F945F6">
        <w:rPr>
          <w:rFonts w:ascii="Times New Roman" w:hAnsi="Times New Roman" w:cs="Times New Roman"/>
          <w:sz w:val="24"/>
          <w:szCs w:val="24"/>
        </w:rPr>
        <w:t>6/13/2017</w:t>
      </w:r>
      <w:r w:rsidR="00077B32">
        <w:rPr>
          <w:rFonts w:ascii="Times New Roman" w:hAnsi="Times New Roman" w:cs="Times New Roman"/>
          <w:sz w:val="24"/>
          <w:szCs w:val="24"/>
        </w:rPr>
        <w:t>.</w:t>
      </w:r>
      <w:r w:rsidR="000C5DC2">
        <w:rPr>
          <w:rFonts w:ascii="Times New Roman" w:hAnsi="Times New Roman" w:cs="Times New Roman"/>
          <w:sz w:val="24"/>
          <w:szCs w:val="24"/>
        </w:rPr>
        <w:t xml:space="preserve"> </w:t>
      </w:r>
      <w:r w:rsidR="00F945F6">
        <w:rPr>
          <w:rFonts w:ascii="Times New Roman" w:hAnsi="Times New Roman" w:cs="Times New Roman"/>
          <w:sz w:val="24"/>
          <w:szCs w:val="24"/>
        </w:rPr>
        <w:t>There w</w:t>
      </w:r>
      <w:r w:rsidR="000C5DC2">
        <w:rPr>
          <w:rFonts w:ascii="Times New Roman" w:hAnsi="Times New Roman" w:cs="Times New Roman"/>
          <w:sz w:val="24"/>
          <w:szCs w:val="24"/>
        </w:rPr>
        <w:t xml:space="preserve">ere </w:t>
      </w:r>
      <w:r w:rsidR="00077B32">
        <w:rPr>
          <w:rFonts w:ascii="Times New Roman" w:hAnsi="Times New Roman" w:cs="Times New Roman"/>
          <w:sz w:val="24"/>
          <w:szCs w:val="24"/>
        </w:rPr>
        <w:t>no public comment</w:t>
      </w:r>
      <w:r w:rsidR="000C5DC2">
        <w:rPr>
          <w:rFonts w:ascii="Times New Roman" w:hAnsi="Times New Roman" w:cs="Times New Roman"/>
          <w:sz w:val="24"/>
          <w:szCs w:val="24"/>
        </w:rPr>
        <w:t>s</w:t>
      </w:r>
      <w:r w:rsidR="00077B32">
        <w:rPr>
          <w:rFonts w:ascii="Times New Roman" w:hAnsi="Times New Roman" w:cs="Times New Roman"/>
          <w:sz w:val="24"/>
          <w:szCs w:val="24"/>
        </w:rPr>
        <w:t xml:space="preserve">. </w:t>
      </w:r>
    </w:p>
    <w:p w14:paraId="64A51E0D" w14:textId="77777777" w:rsidR="00BC1FE9" w:rsidRDefault="00BC1FE9" w:rsidP="00BC1FE9">
      <w:pPr>
        <w:spacing w:after="0" w:line="264" w:lineRule="auto"/>
        <w:rPr>
          <w:rFonts w:ascii="Times New Roman" w:hAnsi="Times New Roman" w:cs="Times New Roman"/>
          <w:sz w:val="24"/>
          <w:szCs w:val="24"/>
        </w:rPr>
      </w:pPr>
    </w:p>
    <w:p w14:paraId="2D7EC957" w14:textId="77777777" w:rsidR="00642AA0" w:rsidRDefault="00146C04" w:rsidP="00BC1FE9">
      <w:pPr>
        <w:pStyle w:val="PlainText"/>
        <w:spacing w:line="264" w:lineRule="auto"/>
        <w:rPr>
          <w:rFonts w:ascii="Times New Roman" w:hAnsi="Times New Roman" w:cs="Times New Roman"/>
          <w:sz w:val="24"/>
          <w:szCs w:val="24"/>
        </w:rPr>
      </w:pPr>
      <w:r w:rsidRPr="00146C04">
        <w:rPr>
          <w:rFonts w:ascii="Times New Roman" w:hAnsi="Times New Roman" w:cs="Times New Roman"/>
          <w:sz w:val="24"/>
          <w:szCs w:val="24"/>
        </w:rPr>
        <w:t>The following individuals from outside the agency were consulted to provide input and recommendations on the study design and data collection</w:t>
      </w:r>
      <w:r w:rsidR="00BC1FE9">
        <w:rPr>
          <w:rFonts w:ascii="Times New Roman" w:hAnsi="Times New Roman" w:cs="Times New Roman"/>
          <w:sz w:val="24"/>
          <w:szCs w:val="24"/>
        </w:rPr>
        <w:t xml:space="preserve"> methods</w:t>
      </w:r>
      <w:r w:rsidRPr="00146C04">
        <w:rPr>
          <w:rFonts w:ascii="Times New Roman" w:hAnsi="Times New Roman" w:cs="Times New Roman"/>
          <w:sz w:val="24"/>
          <w:szCs w:val="24"/>
        </w:rPr>
        <w:t xml:space="preserve">: </w:t>
      </w:r>
      <w:r>
        <w:rPr>
          <w:rFonts w:ascii="Times New Roman" w:hAnsi="Times New Roman" w:cs="Times New Roman"/>
          <w:sz w:val="24"/>
          <w:szCs w:val="24"/>
        </w:rPr>
        <w:t xml:space="preserve">Dr. </w:t>
      </w:r>
      <w:r w:rsidRPr="00146C04">
        <w:rPr>
          <w:rFonts w:ascii="Times New Roman" w:hAnsi="Times New Roman" w:cs="Times New Roman"/>
          <w:sz w:val="24"/>
          <w:szCs w:val="24"/>
        </w:rPr>
        <w:t>Brenda Turnbull</w:t>
      </w:r>
      <w:r w:rsidR="00642AA0">
        <w:rPr>
          <w:rFonts w:ascii="Times New Roman" w:hAnsi="Times New Roman" w:cs="Times New Roman"/>
          <w:sz w:val="24"/>
          <w:szCs w:val="24"/>
        </w:rPr>
        <w:t>, Senior Researcher at</w:t>
      </w:r>
      <w:r w:rsidRPr="00146C04">
        <w:rPr>
          <w:rFonts w:ascii="Times New Roman" w:hAnsi="Times New Roman" w:cs="Times New Roman"/>
          <w:sz w:val="24"/>
          <w:szCs w:val="24"/>
        </w:rPr>
        <w:t xml:space="preserve"> Policy Studies As</w:t>
      </w:r>
      <w:r w:rsidR="00642AA0">
        <w:rPr>
          <w:rFonts w:ascii="Times New Roman" w:hAnsi="Times New Roman" w:cs="Times New Roman"/>
          <w:sz w:val="24"/>
          <w:szCs w:val="24"/>
        </w:rPr>
        <w:t>s</w:t>
      </w:r>
      <w:r w:rsidRPr="00146C04">
        <w:rPr>
          <w:rFonts w:ascii="Times New Roman" w:hAnsi="Times New Roman" w:cs="Times New Roman"/>
          <w:sz w:val="24"/>
          <w:szCs w:val="24"/>
        </w:rPr>
        <w:t>ociates</w:t>
      </w:r>
      <w:r w:rsidR="00642AA0">
        <w:rPr>
          <w:rFonts w:ascii="Times New Roman" w:hAnsi="Times New Roman" w:cs="Times New Roman"/>
          <w:sz w:val="24"/>
          <w:szCs w:val="24"/>
        </w:rPr>
        <w:t>, Inc.</w:t>
      </w:r>
      <w:r>
        <w:rPr>
          <w:rFonts w:ascii="Times New Roman" w:hAnsi="Times New Roman" w:cs="Times New Roman"/>
          <w:sz w:val="24"/>
          <w:szCs w:val="24"/>
        </w:rPr>
        <w:t xml:space="preserve">; </w:t>
      </w:r>
      <w:r w:rsidR="004230A3">
        <w:rPr>
          <w:rFonts w:ascii="Times New Roman" w:hAnsi="Times New Roman" w:cs="Times New Roman"/>
          <w:sz w:val="24"/>
          <w:szCs w:val="24"/>
        </w:rPr>
        <w:t xml:space="preserve">Professor </w:t>
      </w:r>
      <w:r w:rsidRPr="00146C04">
        <w:rPr>
          <w:rFonts w:ascii="Times New Roman" w:hAnsi="Times New Roman" w:cs="Times New Roman"/>
          <w:sz w:val="24"/>
          <w:szCs w:val="24"/>
        </w:rPr>
        <w:t>John Kregel</w:t>
      </w:r>
      <w:r w:rsidR="00642AA0">
        <w:rPr>
          <w:rFonts w:ascii="Times New Roman" w:hAnsi="Times New Roman" w:cs="Times New Roman"/>
          <w:sz w:val="24"/>
          <w:szCs w:val="24"/>
        </w:rPr>
        <w:t xml:space="preserve"> of</w:t>
      </w:r>
      <w:r w:rsidRPr="00146C04">
        <w:rPr>
          <w:rFonts w:ascii="Times New Roman" w:hAnsi="Times New Roman" w:cs="Times New Roman"/>
          <w:sz w:val="24"/>
          <w:szCs w:val="24"/>
        </w:rPr>
        <w:t xml:space="preserve"> Virginia Commonwealth University</w:t>
      </w:r>
      <w:r>
        <w:rPr>
          <w:rFonts w:ascii="Times New Roman" w:hAnsi="Times New Roman" w:cs="Times New Roman"/>
          <w:sz w:val="24"/>
          <w:szCs w:val="24"/>
        </w:rPr>
        <w:t xml:space="preserve">; and Ms. </w:t>
      </w:r>
      <w:r w:rsidRPr="00146C04">
        <w:rPr>
          <w:rFonts w:ascii="Times New Roman" w:hAnsi="Times New Roman" w:cs="Times New Roman"/>
          <w:sz w:val="24"/>
          <w:szCs w:val="24"/>
        </w:rPr>
        <w:t>Judy Young</w:t>
      </w:r>
      <w:r w:rsidR="00642AA0">
        <w:rPr>
          <w:rFonts w:ascii="Times New Roman" w:hAnsi="Times New Roman" w:cs="Times New Roman"/>
          <w:sz w:val="24"/>
          <w:szCs w:val="24"/>
        </w:rPr>
        <w:t>, Associate Director of Training and Development at Cornell University Industrial and Labor Relations School</w:t>
      </w:r>
      <w:r w:rsidR="004230A3">
        <w:rPr>
          <w:rFonts w:ascii="Times New Roman" w:hAnsi="Times New Roman" w:cs="Times New Roman"/>
          <w:sz w:val="24"/>
          <w:szCs w:val="24"/>
        </w:rPr>
        <w:t>.</w:t>
      </w:r>
    </w:p>
    <w:p w14:paraId="73FEE8AB" w14:textId="77777777" w:rsidR="00642AA0" w:rsidRDefault="00642AA0" w:rsidP="00BC1FE9">
      <w:pPr>
        <w:pStyle w:val="PlainText"/>
        <w:spacing w:line="264" w:lineRule="auto"/>
        <w:rPr>
          <w:rFonts w:ascii="Times New Roman" w:hAnsi="Times New Roman" w:cs="Times New Roman"/>
          <w:sz w:val="24"/>
          <w:szCs w:val="24"/>
        </w:rPr>
      </w:pPr>
    </w:p>
    <w:p w14:paraId="1530CEB3" w14:textId="77777777" w:rsidR="0014087A" w:rsidRPr="002C0EDA" w:rsidRDefault="00397728" w:rsidP="0014087A">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Explanation of Any Payment or Gift to Respondents</w:t>
      </w:r>
    </w:p>
    <w:p w14:paraId="0C767622" w14:textId="77777777" w:rsidR="000A08CA" w:rsidRPr="002C0EDA" w:rsidRDefault="000A08CA" w:rsidP="000A08CA">
      <w:pPr>
        <w:rPr>
          <w:rFonts w:ascii="Times New Roman" w:hAnsi="Times New Roman" w:cs="Times New Roman"/>
          <w:sz w:val="24"/>
          <w:szCs w:val="24"/>
        </w:rPr>
      </w:pPr>
      <w:r>
        <w:rPr>
          <w:rFonts w:ascii="Times New Roman" w:hAnsi="Times New Roman"/>
          <w:sz w:val="24"/>
          <w:szCs w:val="24"/>
        </w:rPr>
        <w:t>Data collection activities will not include any incentive payments or gifts to respondents.</w:t>
      </w:r>
    </w:p>
    <w:p w14:paraId="379EA64E" w14:textId="77777777" w:rsidR="00A640FA" w:rsidRPr="002C0EDA" w:rsidRDefault="00397728" w:rsidP="00A640FA">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 xml:space="preserve">Assurance of </w:t>
      </w:r>
      <w:r w:rsidR="004F1221">
        <w:rPr>
          <w:rFonts w:ascii="Times New Roman" w:hAnsi="Times New Roman" w:cs="Times New Roman"/>
          <w:b/>
          <w:sz w:val="24"/>
          <w:szCs w:val="24"/>
        </w:rPr>
        <w:t>Privacy</w:t>
      </w:r>
      <w:r w:rsidR="004F1221" w:rsidRPr="002C0EDA">
        <w:rPr>
          <w:rFonts w:ascii="Times New Roman" w:hAnsi="Times New Roman" w:cs="Times New Roman"/>
          <w:b/>
          <w:sz w:val="24"/>
          <w:szCs w:val="24"/>
        </w:rPr>
        <w:t xml:space="preserve"> </w:t>
      </w:r>
      <w:r w:rsidRPr="002C0EDA">
        <w:rPr>
          <w:rFonts w:ascii="Times New Roman" w:hAnsi="Times New Roman" w:cs="Times New Roman"/>
          <w:b/>
          <w:sz w:val="24"/>
          <w:szCs w:val="24"/>
        </w:rPr>
        <w:t>Provided to Respondents</w:t>
      </w:r>
    </w:p>
    <w:p w14:paraId="5C5EE1C4" w14:textId="77777777" w:rsidR="000A08CA" w:rsidRPr="000A08CA" w:rsidRDefault="000A08CA" w:rsidP="000A08CA">
      <w:pPr>
        <w:rPr>
          <w:rFonts w:ascii="Times New Roman" w:hAnsi="Times New Roman"/>
          <w:sz w:val="24"/>
          <w:szCs w:val="24"/>
        </w:rPr>
      </w:pPr>
      <w:r w:rsidRPr="000A08CA">
        <w:rPr>
          <w:rFonts w:ascii="Times New Roman" w:hAnsi="Times New Roman"/>
          <w:sz w:val="24"/>
          <w:szCs w:val="24"/>
        </w:rPr>
        <w:t xml:space="preserve">Respondents will be informed that their responses will be kept private to the extent permitted by law. All participants will be informed that the information collected will be reported in aggregate form only and no reported information will identify any individuals. Terms of the DOL contract authorizing data collection require the contractor to maintain the privacy of all information collected, unless written permission is provided by the respondent. </w:t>
      </w:r>
      <w:r w:rsidR="007C596F">
        <w:rPr>
          <w:rFonts w:ascii="Times New Roman" w:hAnsi="Times New Roman"/>
          <w:sz w:val="24"/>
          <w:szCs w:val="24"/>
        </w:rPr>
        <w:t>The study team</w:t>
      </w:r>
      <w:r>
        <w:rPr>
          <w:rFonts w:ascii="Times New Roman" w:hAnsi="Times New Roman"/>
          <w:sz w:val="24"/>
          <w:szCs w:val="24"/>
        </w:rPr>
        <w:t xml:space="preserve"> </w:t>
      </w:r>
      <w:r w:rsidRPr="000A08CA">
        <w:rPr>
          <w:rFonts w:ascii="Times New Roman" w:hAnsi="Times New Roman"/>
          <w:sz w:val="24"/>
          <w:szCs w:val="24"/>
        </w:rPr>
        <w:t xml:space="preserve">will protect personal information in accordance with Federal and state laws and contractual requirements. </w:t>
      </w:r>
    </w:p>
    <w:p w14:paraId="3F07F777" w14:textId="77777777" w:rsidR="000A08CA" w:rsidRPr="000A08CA" w:rsidRDefault="000A08CA" w:rsidP="000A08CA">
      <w:pPr>
        <w:rPr>
          <w:rFonts w:ascii="Times New Roman" w:hAnsi="Times New Roman"/>
          <w:sz w:val="24"/>
          <w:szCs w:val="24"/>
        </w:rPr>
      </w:pPr>
      <w:r w:rsidRPr="000A08CA">
        <w:rPr>
          <w:rFonts w:ascii="Times New Roman" w:hAnsi="Times New Roman"/>
          <w:sz w:val="24"/>
          <w:szCs w:val="24"/>
        </w:rPr>
        <w:t xml:space="preserve">The security procedures </w:t>
      </w:r>
      <w:r w:rsidR="007C596F">
        <w:rPr>
          <w:rFonts w:ascii="Times New Roman" w:hAnsi="Times New Roman"/>
          <w:sz w:val="24"/>
          <w:szCs w:val="24"/>
        </w:rPr>
        <w:t>the study team</w:t>
      </w:r>
      <w:r>
        <w:rPr>
          <w:rFonts w:ascii="Times New Roman" w:hAnsi="Times New Roman"/>
          <w:sz w:val="24"/>
          <w:szCs w:val="24"/>
        </w:rPr>
        <w:t xml:space="preserve"> will </w:t>
      </w:r>
      <w:r w:rsidRPr="000A08CA">
        <w:rPr>
          <w:rFonts w:ascii="Times New Roman" w:hAnsi="Times New Roman"/>
          <w:sz w:val="24"/>
          <w:szCs w:val="24"/>
        </w:rPr>
        <w:t>implement</w:t>
      </w:r>
      <w:r>
        <w:rPr>
          <w:rFonts w:ascii="Times New Roman" w:hAnsi="Times New Roman"/>
          <w:sz w:val="24"/>
          <w:szCs w:val="24"/>
        </w:rPr>
        <w:t xml:space="preserve"> </w:t>
      </w:r>
      <w:r w:rsidR="007C596F">
        <w:rPr>
          <w:rFonts w:ascii="Times New Roman" w:hAnsi="Times New Roman"/>
          <w:sz w:val="24"/>
          <w:szCs w:val="24"/>
        </w:rPr>
        <w:t>cover</w:t>
      </w:r>
      <w:r w:rsidRPr="000A08CA">
        <w:rPr>
          <w:rFonts w:ascii="Times New Roman" w:hAnsi="Times New Roman"/>
          <w:sz w:val="24"/>
          <w:szCs w:val="24"/>
        </w:rPr>
        <w:t xml:space="preserve"> all aspects of data handling for hard and electronic data. When not in use, all hardcopy documents </w:t>
      </w:r>
      <w:r>
        <w:rPr>
          <w:rFonts w:ascii="Times New Roman" w:hAnsi="Times New Roman"/>
          <w:sz w:val="24"/>
          <w:szCs w:val="24"/>
        </w:rPr>
        <w:t xml:space="preserve">(e.g., interview notes or transcribed interviews) </w:t>
      </w:r>
      <w:r w:rsidRPr="000A08CA">
        <w:rPr>
          <w:rFonts w:ascii="Times New Roman" w:hAnsi="Times New Roman"/>
          <w:sz w:val="24"/>
          <w:szCs w:val="24"/>
        </w:rPr>
        <w:t>will be stored in locked file cabinets or locked storage rooms. Unless otherwise required by DOL, these documents will be destroyed when no longer needed for the project.</w:t>
      </w:r>
    </w:p>
    <w:p w14:paraId="2FAD7336" w14:textId="77777777" w:rsidR="000A08CA" w:rsidRPr="000A08CA" w:rsidRDefault="000A08CA" w:rsidP="000A08CA">
      <w:pPr>
        <w:rPr>
          <w:rFonts w:ascii="Times New Roman" w:hAnsi="Times New Roman"/>
          <w:sz w:val="24"/>
          <w:szCs w:val="24"/>
        </w:rPr>
      </w:pPr>
      <w:r>
        <w:rPr>
          <w:rFonts w:ascii="Times New Roman" w:hAnsi="Times New Roman"/>
          <w:sz w:val="24"/>
          <w:szCs w:val="24"/>
        </w:rPr>
        <w:t xml:space="preserve">Qualitative interviews will be recorded, </w:t>
      </w:r>
      <w:r w:rsidRPr="000A08CA">
        <w:rPr>
          <w:rFonts w:ascii="Times New Roman" w:hAnsi="Times New Roman"/>
          <w:sz w:val="24"/>
          <w:szCs w:val="24"/>
        </w:rPr>
        <w:t>subject to respondent approval. Interviewers will ensure a private meeting space</w:t>
      </w:r>
      <w:r>
        <w:rPr>
          <w:rFonts w:ascii="Times New Roman" w:hAnsi="Times New Roman"/>
          <w:sz w:val="24"/>
          <w:szCs w:val="24"/>
        </w:rPr>
        <w:t xml:space="preserve"> for any in-person interviews</w:t>
      </w:r>
      <w:r w:rsidRPr="000A08CA">
        <w:rPr>
          <w:rFonts w:ascii="Times New Roman" w:hAnsi="Times New Roman"/>
          <w:sz w:val="24"/>
          <w:szCs w:val="24"/>
        </w:rPr>
        <w:t xml:space="preserve">. Written materials and analyses from the interviews used as part of study reports will be prepared in such a way as to protect the identity of individuals. Only the </w:t>
      </w:r>
      <w:r>
        <w:rPr>
          <w:rFonts w:ascii="Times New Roman" w:hAnsi="Times New Roman"/>
          <w:sz w:val="24"/>
          <w:szCs w:val="24"/>
        </w:rPr>
        <w:t xml:space="preserve">project </w:t>
      </w:r>
      <w:r w:rsidRPr="000A08CA">
        <w:rPr>
          <w:rFonts w:ascii="Times New Roman" w:hAnsi="Times New Roman"/>
          <w:sz w:val="24"/>
          <w:szCs w:val="24"/>
        </w:rPr>
        <w:t xml:space="preserve">staff present at the interviews, the principal investigator, project director, and selected staff helping transcribe the recordings will have access to the notes. Notes will be securely stored in protected electronic files or locked cabinets. Only the staff members present at the interviews or transcribing the recordings will have access to the recordings. </w:t>
      </w:r>
    </w:p>
    <w:p w14:paraId="2C29B66F" w14:textId="77777777" w:rsidR="006E278D" w:rsidRPr="000A08CA" w:rsidRDefault="000A08CA" w:rsidP="000A08CA">
      <w:pPr>
        <w:rPr>
          <w:rFonts w:ascii="Times New Roman" w:hAnsi="Times New Roman"/>
          <w:sz w:val="24"/>
          <w:szCs w:val="24"/>
        </w:rPr>
      </w:pPr>
      <w:r w:rsidRPr="000A08CA">
        <w:rPr>
          <w:rFonts w:ascii="Times New Roman" w:hAnsi="Times New Roman"/>
          <w:sz w:val="24"/>
          <w:szCs w:val="24"/>
        </w:rPr>
        <w:t xml:space="preserve">Access to the </w:t>
      </w:r>
      <w:r>
        <w:rPr>
          <w:rFonts w:ascii="Times New Roman" w:hAnsi="Times New Roman"/>
          <w:sz w:val="24"/>
          <w:szCs w:val="24"/>
        </w:rPr>
        <w:t xml:space="preserve">web </w:t>
      </w:r>
      <w:r w:rsidRPr="000A08CA">
        <w:rPr>
          <w:rFonts w:ascii="Times New Roman" w:hAnsi="Times New Roman"/>
          <w:sz w:val="24"/>
          <w:szCs w:val="24"/>
        </w:rPr>
        <w:t>surveys will require a unique PIN provided to the respondent. Survey data collection will use secure sockets layer encryption technology to ensure that information is secure and protected</w:t>
      </w:r>
      <w:r w:rsidR="00BF2621" w:rsidRPr="000A08CA">
        <w:rPr>
          <w:rFonts w:ascii="Times New Roman" w:hAnsi="Times New Roman"/>
          <w:sz w:val="24"/>
          <w:szCs w:val="24"/>
        </w:rPr>
        <w:t>.</w:t>
      </w:r>
    </w:p>
    <w:p w14:paraId="574895AB" w14:textId="77777777" w:rsidR="00BA3B50"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Justification for Sensitive Questions</w:t>
      </w:r>
    </w:p>
    <w:p w14:paraId="16A296B1" w14:textId="77777777" w:rsidR="00767279" w:rsidRPr="002C0EDA" w:rsidRDefault="000A08CA" w:rsidP="0025043F">
      <w:pPr>
        <w:rPr>
          <w:rFonts w:ascii="Times New Roman" w:hAnsi="Times New Roman" w:cs="Times New Roman"/>
          <w:sz w:val="24"/>
          <w:szCs w:val="24"/>
        </w:rPr>
      </w:pPr>
      <w:r>
        <w:rPr>
          <w:rFonts w:ascii="Times New Roman" w:hAnsi="Times New Roman"/>
          <w:sz w:val="24"/>
          <w:szCs w:val="24"/>
        </w:rPr>
        <w:t>There are no questions in the interviews or surveys that are of a sensitive nature</w:t>
      </w:r>
      <w:r w:rsidR="00767279" w:rsidRPr="002C0EDA">
        <w:rPr>
          <w:rFonts w:ascii="Times New Roman" w:hAnsi="Times New Roman" w:cs="Times New Roman"/>
          <w:sz w:val="24"/>
          <w:szCs w:val="24"/>
        </w:rPr>
        <w:t xml:space="preserve">. </w:t>
      </w:r>
    </w:p>
    <w:p w14:paraId="767BC868" w14:textId="77777777" w:rsidR="00397728"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Estimates of Annualized Burden Hours and Costs</w:t>
      </w:r>
    </w:p>
    <w:p w14:paraId="05C44242" w14:textId="157C8F23" w:rsidR="00AF04CA" w:rsidRDefault="008F68EB" w:rsidP="005D2F0F">
      <w:pPr>
        <w:spacing w:after="0"/>
        <w:rPr>
          <w:rFonts w:ascii="Times New Roman" w:hAnsi="Times New Roman" w:cs="Times New Roman"/>
          <w:sz w:val="24"/>
          <w:szCs w:val="24"/>
        </w:rPr>
      </w:pPr>
      <w:r>
        <w:rPr>
          <w:rFonts w:ascii="Times New Roman" w:hAnsi="Times New Roman" w:cs="Times New Roman"/>
          <w:sz w:val="24"/>
          <w:szCs w:val="24"/>
        </w:rPr>
        <w:t xml:space="preserve">Table </w:t>
      </w:r>
      <w:r w:rsidR="00DF57CF">
        <w:rPr>
          <w:rFonts w:ascii="Times New Roman" w:hAnsi="Times New Roman" w:cs="Times New Roman"/>
          <w:sz w:val="24"/>
          <w:szCs w:val="24"/>
        </w:rPr>
        <w:t>A-</w:t>
      </w:r>
      <w:r>
        <w:rPr>
          <w:rFonts w:ascii="Times New Roman" w:hAnsi="Times New Roman" w:cs="Times New Roman"/>
          <w:sz w:val="24"/>
          <w:szCs w:val="24"/>
        </w:rPr>
        <w:t>1</w:t>
      </w:r>
      <w:r w:rsidR="002C0EDA">
        <w:rPr>
          <w:rFonts w:ascii="Times New Roman" w:hAnsi="Times New Roman" w:cs="Times New Roman"/>
          <w:sz w:val="24"/>
          <w:szCs w:val="24"/>
        </w:rPr>
        <w:t xml:space="preserve"> </w:t>
      </w:r>
      <w:r w:rsidR="00AF04CA" w:rsidRPr="002C0EDA">
        <w:rPr>
          <w:rFonts w:ascii="Times New Roman" w:hAnsi="Times New Roman" w:cs="Times New Roman"/>
          <w:sz w:val="24"/>
          <w:szCs w:val="24"/>
        </w:rPr>
        <w:t>provides the number of respondents, frequency of responses</w:t>
      </w:r>
      <w:r w:rsidR="00F30411" w:rsidRPr="002C0EDA">
        <w:rPr>
          <w:rFonts w:ascii="Times New Roman" w:hAnsi="Times New Roman" w:cs="Times New Roman"/>
          <w:sz w:val="24"/>
          <w:szCs w:val="24"/>
        </w:rPr>
        <w:t>,</w:t>
      </w:r>
      <w:r w:rsidR="00AF04CA" w:rsidRPr="002C0EDA">
        <w:rPr>
          <w:rFonts w:ascii="Times New Roman" w:hAnsi="Times New Roman" w:cs="Times New Roman"/>
          <w:sz w:val="24"/>
          <w:szCs w:val="24"/>
        </w:rPr>
        <w:t xml:space="preserve"> and </w:t>
      </w:r>
      <w:r w:rsidR="007510B8">
        <w:rPr>
          <w:rFonts w:ascii="Times New Roman" w:hAnsi="Times New Roman" w:cs="Times New Roman"/>
          <w:sz w:val="24"/>
          <w:szCs w:val="24"/>
        </w:rPr>
        <w:t xml:space="preserve">the </w:t>
      </w:r>
      <w:r w:rsidR="00AF04CA" w:rsidRPr="002C0EDA">
        <w:rPr>
          <w:rFonts w:ascii="Times New Roman" w:hAnsi="Times New Roman" w:cs="Times New Roman"/>
          <w:sz w:val="24"/>
          <w:szCs w:val="24"/>
        </w:rPr>
        <w:t>burden</w:t>
      </w:r>
      <w:r>
        <w:rPr>
          <w:rFonts w:ascii="Times New Roman" w:hAnsi="Times New Roman" w:cs="Times New Roman"/>
          <w:sz w:val="24"/>
          <w:szCs w:val="24"/>
        </w:rPr>
        <w:t xml:space="preserve"> hours</w:t>
      </w:r>
      <w:r w:rsidR="00097E8D" w:rsidRPr="002C0EDA">
        <w:rPr>
          <w:rFonts w:ascii="Times New Roman" w:hAnsi="Times New Roman" w:cs="Times New Roman"/>
          <w:sz w:val="24"/>
          <w:szCs w:val="24"/>
        </w:rPr>
        <w:t xml:space="preserve"> f</w:t>
      </w:r>
      <w:r w:rsidR="00AF04CA" w:rsidRPr="002C0EDA">
        <w:rPr>
          <w:rFonts w:ascii="Times New Roman" w:hAnsi="Times New Roman" w:cs="Times New Roman"/>
          <w:sz w:val="24"/>
          <w:szCs w:val="24"/>
        </w:rPr>
        <w:t>or the data collection.</w:t>
      </w:r>
      <w:r w:rsidR="002C0C76" w:rsidRPr="002C0EDA">
        <w:rPr>
          <w:rFonts w:ascii="Times New Roman" w:hAnsi="Times New Roman" w:cs="Times New Roman"/>
          <w:sz w:val="24"/>
          <w:szCs w:val="24"/>
        </w:rPr>
        <w:t xml:space="preserve"> </w:t>
      </w:r>
    </w:p>
    <w:p w14:paraId="775DD77F" w14:textId="2C5F15C9" w:rsidR="00662086" w:rsidRPr="00E7417B" w:rsidRDefault="007510B8" w:rsidP="005D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olor w:val="000000"/>
          <w:szCs w:val="24"/>
        </w:rPr>
      </w:pPr>
      <w:r>
        <w:rPr>
          <w:rFonts w:ascii="Times New Roman" w:eastAsia="Times New Roman" w:hAnsi="Times New Roman"/>
          <w:color w:val="000000"/>
          <w:szCs w:val="24"/>
        </w:rPr>
        <w:t xml:space="preserve">Table A-1. </w:t>
      </w:r>
      <w:r w:rsidR="00662086">
        <w:rPr>
          <w:rFonts w:ascii="Times New Roman" w:eastAsia="Times New Roman" w:hAnsi="Times New Roman"/>
          <w:color w:val="000000"/>
          <w:szCs w:val="24"/>
        </w:rPr>
        <w:t>Estimated Annualized Respondent Hour and Cost Burdens</w:t>
      </w:r>
    </w:p>
    <w:tbl>
      <w:tblPr>
        <w:tblStyle w:val="PlainTable210"/>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47"/>
        <w:gridCol w:w="1170"/>
        <w:gridCol w:w="1170"/>
        <w:gridCol w:w="990"/>
        <w:gridCol w:w="1350"/>
        <w:gridCol w:w="990"/>
        <w:gridCol w:w="810"/>
        <w:gridCol w:w="900"/>
        <w:gridCol w:w="833"/>
      </w:tblGrid>
      <w:tr w:rsidR="00E251F6" w:rsidRPr="00E251F6" w14:paraId="7A4A5B27" w14:textId="77777777" w:rsidTr="005D2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bottom w:val="none" w:sz="0" w:space="0" w:color="auto"/>
            </w:tcBorders>
            <w:vAlign w:val="bottom"/>
          </w:tcPr>
          <w:p w14:paraId="66212D14" w14:textId="77777777" w:rsidR="00E251F6" w:rsidRPr="00E251F6" w:rsidRDefault="00E251F6" w:rsidP="00BF1B6E">
            <w:pPr>
              <w:pStyle w:val="NormalSS"/>
              <w:spacing w:after="0"/>
              <w:ind w:firstLine="0"/>
              <w:jc w:val="center"/>
              <w:rPr>
                <w:b w:val="0"/>
                <w:bCs w:val="0"/>
                <w:iCs/>
                <w:sz w:val="18"/>
                <w:szCs w:val="18"/>
              </w:rPr>
            </w:pPr>
            <w:r w:rsidRPr="00E251F6">
              <w:rPr>
                <w:b w:val="0"/>
                <w:iCs/>
                <w:sz w:val="18"/>
                <w:szCs w:val="18"/>
              </w:rPr>
              <w:t>Data Collection Activity</w:t>
            </w:r>
          </w:p>
        </w:tc>
        <w:tc>
          <w:tcPr>
            <w:tcW w:w="1147" w:type="dxa"/>
            <w:tcBorders>
              <w:bottom w:val="none" w:sz="0" w:space="0" w:color="auto"/>
            </w:tcBorders>
            <w:vAlign w:val="bottom"/>
          </w:tcPr>
          <w:p w14:paraId="21CB418B" w14:textId="77777777" w:rsidR="00E251F6" w:rsidRPr="00E251F6" w:rsidRDefault="00E251F6" w:rsidP="00BF1B6E">
            <w:pPr>
              <w:pStyle w:val="NormalSS"/>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iCs/>
                <w:sz w:val="18"/>
                <w:szCs w:val="18"/>
              </w:rPr>
            </w:pPr>
            <w:r w:rsidRPr="00E251F6">
              <w:rPr>
                <w:b w:val="0"/>
                <w:iCs/>
                <w:sz w:val="18"/>
                <w:szCs w:val="18"/>
              </w:rPr>
              <w:t>Total Number of  Respondents</w:t>
            </w:r>
          </w:p>
        </w:tc>
        <w:tc>
          <w:tcPr>
            <w:tcW w:w="1170" w:type="dxa"/>
            <w:tcBorders>
              <w:bottom w:val="none" w:sz="0" w:space="0" w:color="auto"/>
            </w:tcBorders>
            <w:vAlign w:val="bottom"/>
          </w:tcPr>
          <w:p w14:paraId="0D9E2CD8" w14:textId="77777777" w:rsidR="00E251F6" w:rsidRPr="00E251F6" w:rsidRDefault="00E251F6" w:rsidP="00BF1B6E">
            <w:pPr>
              <w:pStyle w:val="NormalSS"/>
              <w:spacing w:after="0"/>
              <w:ind w:firstLine="0"/>
              <w:jc w:val="center"/>
              <w:cnfStyle w:val="100000000000" w:firstRow="1" w:lastRow="0" w:firstColumn="0" w:lastColumn="0" w:oddVBand="0" w:evenVBand="0" w:oddHBand="0" w:evenHBand="0" w:firstRowFirstColumn="0" w:firstRowLastColumn="0" w:lastRowFirstColumn="0" w:lastRowLastColumn="0"/>
              <w:rPr>
                <w:b w:val="0"/>
                <w:iCs/>
                <w:sz w:val="18"/>
                <w:szCs w:val="18"/>
              </w:rPr>
            </w:pPr>
            <w:r w:rsidRPr="00E251F6">
              <w:rPr>
                <w:b w:val="0"/>
                <w:iCs/>
                <w:sz w:val="18"/>
                <w:szCs w:val="18"/>
              </w:rPr>
              <w:t>Annual Number of Respondents</w:t>
            </w:r>
          </w:p>
        </w:tc>
        <w:tc>
          <w:tcPr>
            <w:tcW w:w="1170" w:type="dxa"/>
            <w:tcBorders>
              <w:bottom w:val="none" w:sz="0" w:space="0" w:color="auto"/>
            </w:tcBorders>
            <w:vAlign w:val="bottom"/>
          </w:tcPr>
          <w:p w14:paraId="082B088E" w14:textId="77777777" w:rsidR="00E251F6" w:rsidRPr="00E251F6" w:rsidRDefault="00E251F6" w:rsidP="00BF1B6E">
            <w:pPr>
              <w:pStyle w:val="NormalSS"/>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iCs/>
                <w:sz w:val="18"/>
                <w:szCs w:val="18"/>
              </w:rPr>
            </w:pPr>
            <w:r w:rsidRPr="00E251F6">
              <w:rPr>
                <w:b w:val="0"/>
                <w:iCs/>
                <w:sz w:val="18"/>
                <w:szCs w:val="18"/>
              </w:rPr>
              <w:t>Number of Responses  per Respondent</w:t>
            </w:r>
          </w:p>
        </w:tc>
        <w:tc>
          <w:tcPr>
            <w:tcW w:w="990" w:type="dxa"/>
            <w:tcBorders>
              <w:bottom w:val="none" w:sz="0" w:space="0" w:color="auto"/>
            </w:tcBorders>
            <w:vAlign w:val="bottom"/>
          </w:tcPr>
          <w:p w14:paraId="75F3D7E5" w14:textId="77777777" w:rsidR="00E251F6" w:rsidRPr="00E251F6" w:rsidRDefault="00E251F6" w:rsidP="00BF1B6E">
            <w:pPr>
              <w:pStyle w:val="NormalSS"/>
              <w:spacing w:after="0"/>
              <w:ind w:firstLine="0"/>
              <w:jc w:val="center"/>
              <w:cnfStyle w:val="100000000000" w:firstRow="1" w:lastRow="0" w:firstColumn="0" w:lastColumn="0" w:oddVBand="0" w:evenVBand="0" w:oddHBand="0" w:evenHBand="0" w:firstRowFirstColumn="0" w:firstRowLastColumn="0" w:lastRowFirstColumn="0" w:lastRowLastColumn="0"/>
              <w:rPr>
                <w:b w:val="0"/>
                <w:iCs/>
                <w:sz w:val="18"/>
                <w:szCs w:val="18"/>
              </w:rPr>
            </w:pPr>
            <w:r w:rsidRPr="00E251F6">
              <w:rPr>
                <w:b w:val="0"/>
                <w:iCs/>
                <w:sz w:val="18"/>
                <w:szCs w:val="18"/>
              </w:rPr>
              <w:t>Total Annual Responses</w:t>
            </w:r>
          </w:p>
        </w:tc>
        <w:tc>
          <w:tcPr>
            <w:tcW w:w="1350" w:type="dxa"/>
            <w:tcBorders>
              <w:bottom w:val="none" w:sz="0" w:space="0" w:color="auto"/>
            </w:tcBorders>
            <w:vAlign w:val="bottom"/>
          </w:tcPr>
          <w:p w14:paraId="26AE61C1" w14:textId="77777777" w:rsidR="00E251F6" w:rsidRDefault="00E251F6" w:rsidP="00BF1B6E">
            <w:pPr>
              <w:pStyle w:val="NormalSS"/>
              <w:spacing w:after="0"/>
              <w:ind w:firstLine="0"/>
              <w:jc w:val="center"/>
              <w:cnfStyle w:val="100000000000" w:firstRow="1" w:lastRow="0" w:firstColumn="0" w:lastColumn="0" w:oddVBand="0" w:evenVBand="0" w:oddHBand="0" w:evenHBand="0" w:firstRowFirstColumn="0" w:firstRowLastColumn="0" w:lastRowFirstColumn="0" w:lastRowLastColumn="0"/>
              <w:rPr>
                <w:b w:val="0"/>
                <w:iCs/>
                <w:sz w:val="18"/>
                <w:szCs w:val="18"/>
              </w:rPr>
            </w:pPr>
            <w:r w:rsidRPr="00E251F6">
              <w:rPr>
                <w:b w:val="0"/>
                <w:iCs/>
                <w:sz w:val="18"/>
                <w:szCs w:val="18"/>
              </w:rPr>
              <w:t>Average Burden Hours per Response</w:t>
            </w:r>
          </w:p>
          <w:p w14:paraId="0AE902CE" w14:textId="77777777" w:rsidR="00662086" w:rsidRPr="00E251F6" w:rsidRDefault="00662086" w:rsidP="00662086">
            <w:pPr>
              <w:pStyle w:val="NormalSS"/>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iCs/>
                <w:sz w:val="18"/>
                <w:szCs w:val="18"/>
              </w:rPr>
            </w:pPr>
            <w:r>
              <w:rPr>
                <w:b w:val="0"/>
                <w:iCs/>
                <w:sz w:val="18"/>
                <w:szCs w:val="18"/>
              </w:rPr>
              <w:t>(In Hours)</w:t>
            </w:r>
          </w:p>
        </w:tc>
        <w:tc>
          <w:tcPr>
            <w:tcW w:w="990" w:type="dxa"/>
            <w:tcBorders>
              <w:bottom w:val="none" w:sz="0" w:space="0" w:color="auto"/>
            </w:tcBorders>
            <w:vAlign w:val="bottom"/>
          </w:tcPr>
          <w:p w14:paraId="281D5C93" w14:textId="77777777" w:rsidR="00E251F6" w:rsidRPr="00E251F6" w:rsidRDefault="00E251F6" w:rsidP="00BF1B6E">
            <w:pPr>
              <w:pStyle w:val="NormalSS"/>
              <w:spacing w:after="0"/>
              <w:ind w:firstLine="0"/>
              <w:jc w:val="center"/>
              <w:cnfStyle w:val="100000000000" w:firstRow="1" w:lastRow="0" w:firstColumn="0" w:lastColumn="0" w:oddVBand="0" w:evenVBand="0" w:oddHBand="0" w:evenHBand="0" w:firstRowFirstColumn="0" w:firstRowLastColumn="0" w:lastRowFirstColumn="0" w:lastRowLastColumn="0"/>
              <w:rPr>
                <w:b w:val="0"/>
                <w:iCs/>
                <w:sz w:val="18"/>
                <w:szCs w:val="18"/>
              </w:rPr>
            </w:pPr>
            <w:r w:rsidRPr="00E251F6">
              <w:rPr>
                <w:b w:val="0"/>
                <w:iCs/>
                <w:sz w:val="18"/>
                <w:szCs w:val="18"/>
              </w:rPr>
              <w:t>Total Annual Burden Hours</w:t>
            </w:r>
          </w:p>
        </w:tc>
        <w:tc>
          <w:tcPr>
            <w:tcW w:w="810" w:type="dxa"/>
            <w:tcBorders>
              <w:bottom w:val="none" w:sz="0" w:space="0" w:color="auto"/>
            </w:tcBorders>
            <w:vAlign w:val="bottom"/>
          </w:tcPr>
          <w:p w14:paraId="09752EAD" w14:textId="77777777" w:rsidR="00E251F6" w:rsidRPr="00E251F6" w:rsidRDefault="00E251F6" w:rsidP="00BF1B6E">
            <w:pPr>
              <w:pStyle w:val="NormalSS"/>
              <w:spacing w:after="0"/>
              <w:ind w:firstLine="0"/>
              <w:jc w:val="center"/>
              <w:cnfStyle w:val="100000000000" w:firstRow="1" w:lastRow="0" w:firstColumn="0" w:lastColumn="0" w:oddVBand="0" w:evenVBand="0" w:oddHBand="0" w:evenHBand="0" w:firstRowFirstColumn="0" w:firstRowLastColumn="0" w:lastRowFirstColumn="0" w:lastRowLastColumn="0"/>
              <w:rPr>
                <w:b w:val="0"/>
                <w:iCs/>
                <w:sz w:val="18"/>
                <w:szCs w:val="18"/>
              </w:rPr>
            </w:pPr>
            <w:r w:rsidRPr="00E251F6">
              <w:rPr>
                <w:b w:val="0"/>
                <w:iCs/>
                <w:sz w:val="18"/>
                <w:szCs w:val="18"/>
              </w:rPr>
              <w:t>Total Burden Hours</w:t>
            </w:r>
          </w:p>
        </w:tc>
        <w:tc>
          <w:tcPr>
            <w:tcW w:w="900" w:type="dxa"/>
            <w:tcBorders>
              <w:bottom w:val="none" w:sz="0" w:space="0" w:color="auto"/>
            </w:tcBorders>
            <w:vAlign w:val="bottom"/>
          </w:tcPr>
          <w:p w14:paraId="6F8C49F5" w14:textId="74845126" w:rsidR="00E251F6" w:rsidRPr="00E251F6" w:rsidRDefault="00E251F6" w:rsidP="00BF1B6E">
            <w:pPr>
              <w:pStyle w:val="NormalSS"/>
              <w:spacing w:after="0"/>
              <w:ind w:firstLine="0"/>
              <w:jc w:val="center"/>
              <w:cnfStyle w:val="100000000000" w:firstRow="1" w:lastRow="0" w:firstColumn="0" w:lastColumn="0" w:oddVBand="0" w:evenVBand="0" w:oddHBand="0" w:evenHBand="0" w:firstRowFirstColumn="0" w:firstRowLastColumn="0" w:lastRowFirstColumn="0" w:lastRowLastColumn="0"/>
              <w:rPr>
                <w:b w:val="0"/>
                <w:iCs/>
                <w:sz w:val="18"/>
                <w:szCs w:val="18"/>
              </w:rPr>
            </w:pPr>
            <w:r w:rsidRPr="00E251F6">
              <w:rPr>
                <w:b w:val="0"/>
                <w:iCs/>
                <w:sz w:val="18"/>
                <w:szCs w:val="18"/>
              </w:rPr>
              <w:t>Average Hourly Rate</w:t>
            </w:r>
            <w:r w:rsidR="007510B8">
              <w:rPr>
                <w:rStyle w:val="FootnoteReference"/>
                <w:b w:val="0"/>
                <w:iCs/>
                <w:sz w:val="18"/>
                <w:szCs w:val="18"/>
              </w:rPr>
              <w:footnoteReference w:id="2"/>
            </w:r>
          </w:p>
        </w:tc>
        <w:tc>
          <w:tcPr>
            <w:tcW w:w="833" w:type="dxa"/>
            <w:tcBorders>
              <w:bottom w:val="none" w:sz="0" w:space="0" w:color="auto"/>
            </w:tcBorders>
            <w:vAlign w:val="bottom"/>
          </w:tcPr>
          <w:p w14:paraId="73FE3529" w14:textId="5596B9E1" w:rsidR="00E251F6" w:rsidRPr="00E251F6" w:rsidRDefault="005D2F0F" w:rsidP="00BF1B6E">
            <w:pPr>
              <w:pStyle w:val="NormalSS"/>
              <w:spacing w:after="0"/>
              <w:ind w:firstLine="0"/>
              <w:jc w:val="center"/>
              <w:cnfStyle w:val="100000000000" w:firstRow="1" w:lastRow="0" w:firstColumn="0" w:lastColumn="0" w:oddVBand="0" w:evenVBand="0" w:oddHBand="0" w:evenHBand="0" w:firstRowFirstColumn="0" w:firstRowLastColumn="0" w:lastRowFirstColumn="0" w:lastRowLastColumn="0"/>
              <w:rPr>
                <w:b w:val="0"/>
                <w:iCs/>
                <w:sz w:val="18"/>
                <w:szCs w:val="18"/>
              </w:rPr>
            </w:pPr>
            <w:r>
              <w:rPr>
                <w:b w:val="0"/>
                <w:iCs/>
                <w:sz w:val="18"/>
                <w:szCs w:val="18"/>
              </w:rPr>
              <w:t>Annual</w:t>
            </w:r>
            <w:r w:rsidRPr="00E251F6">
              <w:rPr>
                <w:b w:val="0"/>
                <w:iCs/>
                <w:sz w:val="18"/>
                <w:szCs w:val="18"/>
              </w:rPr>
              <w:t xml:space="preserve"> </w:t>
            </w:r>
            <w:r w:rsidR="00E251F6" w:rsidRPr="00E251F6">
              <w:rPr>
                <w:b w:val="0"/>
                <w:iCs/>
                <w:sz w:val="18"/>
                <w:szCs w:val="18"/>
              </w:rPr>
              <w:t>Cost Burden</w:t>
            </w:r>
          </w:p>
        </w:tc>
      </w:tr>
      <w:tr w:rsidR="00E251F6" w:rsidRPr="00E251F6" w14:paraId="53822520" w14:textId="77777777" w:rsidTr="005D2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bottom w:val="none" w:sz="0" w:space="0" w:color="auto"/>
            </w:tcBorders>
            <w:vAlign w:val="center"/>
          </w:tcPr>
          <w:p w14:paraId="1197F1B7" w14:textId="77777777" w:rsidR="00E251F6" w:rsidRPr="00E251F6" w:rsidRDefault="00E251F6" w:rsidP="00BF1B6E">
            <w:pPr>
              <w:pStyle w:val="NormalSS"/>
              <w:spacing w:after="0"/>
              <w:ind w:firstLine="0"/>
              <w:rPr>
                <w:b w:val="0"/>
                <w:bCs w:val="0"/>
                <w:iCs/>
                <w:sz w:val="18"/>
                <w:szCs w:val="18"/>
              </w:rPr>
            </w:pPr>
            <w:r w:rsidRPr="00E251F6">
              <w:rPr>
                <w:b w:val="0"/>
                <w:iCs/>
                <w:sz w:val="18"/>
                <w:szCs w:val="18"/>
              </w:rPr>
              <w:t>Pulse Survey</w:t>
            </w:r>
          </w:p>
        </w:tc>
        <w:tc>
          <w:tcPr>
            <w:tcW w:w="1147" w:type="dxa"/>
            <w:tcBorders>
              <w:top w:val="none" w:sz="0" w:space="0" w:color="auto"/>
              <w:bottom w:val="none" w:sz="0" w:space="0" w:color="auto"/>
            </w:tcBorders>
            <w:vAlign w:val="center"/>
          </w:tcPr>
          <w:p w14:paraId="0D20A76A" w14:textId="77777777" w:rsidR="00E251F6" w:rsidRPr="00E251F6" w:rsidRDefault="00E251F6" w:rsidP="00BF1B6E">
            <w:pPr>
              <w:pStyle w:val="NormalSS"/>
              <w:tabs>
                <w:tab w:val="clear" w:pos="432"/>
                <w:tab w:val="decimal" w:pos="97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33,900</w:t>
            </w:r>
          </w:p>
        </w:tc>
        <w:tc>
          <w:tcPr>
            <w:tcW w:w="1170" w:type="dxa"/>
            <w:tcBorders>
              <w:top w:val="none" w:sz="0" w:space="0" w:color="auto"/>
              <w:bottom w:val="none" w:sz="0" w:space="0" w:color="auto"/>
            </w:tcBorders>
            <w:vAlign w:val="center"/>
          </w:tcPr>
          <w:p w14:paraId="38C34E3F" w14:textId="77777777" w:rsidR="00E251F6" w:rsidRPr="00E251F6" w:rsidRDefault="00E251F6" w:rsidP="00BF1B6E">
            <w:pPr>
              <w:pStyle w:val="NormalSS"/>
              <w:tabs>
                <w:tab w:val="clear" w:pos="432"/>
                <w:tab w:val="decimal" w:pos="97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11,300</w:t>
            </w:r>
          </w:p>
        </w:tc>
        <w:tc>
          <w:tcPr>
            <w:tcW w:w="1170" w:type="dxa"/>
            <w:tcBorders>
              <w:top w:val="none" w:sz="0" w:space="0" w:color="auto"/>
              <w:bottom w:val="none" w:sz="0" w:space="0" w:color="auto"/>
            </w:tcBorders>
            <w:vAlign w:val="center"/>
          </w:tcPr>
          <w:p w14:paraId="379D9E54" w14:textId="77777777" w:rsidR="00E251F6" w:rsidRPr="00E251F6" w:rsidRDefault="00E251F6" w:rsidP="00BF1B6E">
            <w:pPr>
              <w:pStyle w:val="NormalSS"/>
              <w:spacing w:after="0"/>
              <w:ind w:firstLine="0"/>
              <w:jc w:val="center"/>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1</w:t>
            </w:r>
          </w:p>
        </w:tc>
        <w:tc>
          <w:tcPr>
            <w:tcW w:w="990" w:type="dxa"/>
            <w:tcBorders>
              <w:top w:val="none" w:sz="0" w:space="0" w:color="auto"/>
              <w:bottom w:val="none" w:sz="0" w:space="0" w:color="auto"/>
            </w:tcBorders>
            <w:vAlign w:val="center"/>
          </w:tcPr>
          <w:p w14:paraId="34CFD562" w14:textId="77777777" w:rsidR="00E251F6" w:rsidRPr="00E251F6" w:rsidRDefault="00E251F6" w:rsidP="00BF1B6E">
            <w:pPr>
              <w:pStyle w:val="NormalSS"/>
              <w:tabs>
                <w:tab w:val="clear" w:pos="432"/>
                <w:tab w:val="decimal" w:pos="61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11,300</w:t>
            </w:r>
          </w:p>
        </w:tc>
        <w:tc>
          <w:tcPr>
            <w:tcW w:w="1350" w:type="dxa"/>
            <w:tcBorders>
              <w:top w:val="none" w:sz="0" w:space="0" w:color="auto"/>
              <w:bottom w:val="none" w:sz="0" w:space="0" w:color="auto"/>
            </w:tcBorders>
            <w:vAlign w:val="center"/>
          </w:tcPr>
          <w:p w14:paraId="2439D46A" w14:textId="56D389F9" w:rsidR="00E251F6" w:rsidRPr="00E251F6" w:rsidRDefault="00662086" w:rsidP="00BF1B6E">
            <w:pPr>
              <w:pStyle w:val="NormalSS"/>
              <w:tabs>
                <w:tab w:val="clear" w:pos="432"/>
                <w:tab w:val="decimal" w:pos="660"/>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Pr>
                <w:bCs/>
                <w:iCs/>
                <w:sz w:val="18"/>
                <w:szCs w:val="18"/>
              </w:rPr>
              <w:t>5/60</w:t>
            </w:r>
          </w:p>
        </w:tc>
        <w:tc>
          <w:tcPr>
            <w:tcW w:w="990" w:type="dxa"/>
            <w:tcBorders>
              <w:top w:val="none" w:sz="0" w:space="0" w:color="auto"/>
              <w:bottom w:val="none" w:sz="0" w:space="0" w:color="auto"/>
            </w:tcBorders>
            <w:vAlign w:val="center"/>
          </w:tcPr>
          <w:p w14:paraId="5996A8BE" w14:textId="7F6415C9" w:rsidR="00E251F6" w:rsidRPr="00E251F6" w:rsidRDefault="00077B32" w:rsidP="00BF1B6E">
            <w:pPr>
              <w:pStyle w:val="NormalSS"/>
              <w:tabs>
                <w:tab w:val="clear" w:pos="432"/>
                <w:tab w:val="decimal" w:pos="52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Pr>
                <w:bCs/>
                <w:iCs/>
                <w:sz w:val="18"/>
                <w:szCs w:val="18"/>
              </w:rPr>
              <w:t>942</w:t>
            </w:r>
          </w:p>
        </w:tc>
        <w:tc>
          <w:tcPr>
            <w:tcW w:w="810" w:type="dxa"/>
            <w:tcBorders>
              <w:top w:val="none" w:sz="0" w:space="0" w:color="auto"/>
              <w:bottom w:val="none" w:sz="0" w:space="0" w:color="auto"/>
            </w:tcBorders>
            <w:vAlign w:val="center"/>
          </w:tcPr>
          <w:p w14:paraId="03D470BF" w14:textId="3DA4B1E9" w:rsidR="00E251F6" w:rsidRPr="00E251F6" w:rsidRDefault="00077B32" w:rsidP="00BF1B6E">
            <w:pPr>
              <w:pStyle w:val="NormalSS"/>
              <w:tabs>
                <w:tab w:val="clear" w:pos="432"/>
                <w:tab w:val="decimal" w:pos="52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Pr>
                <w:bCs/>
                <w:iCs/>
                <w:sz w:val="18"/>
                <w:szCs w:val="18"/>
              </w:rPr>
              <w:t>2,825</w:t>
            </w:r>
          </w:p>
        </w:tc>
        <w:tc>
          <w:tcPr>
            <w:tcW w:w="900" w:type="dxa"/>
            <w:tcBorders>
              <w:top w:val="none" w:sz="0" w:space="0" w:color="auto"/>
              <w:bottom w:val="none" w:sz="0" w:space="0" w:color="auto"/>
            </w:tcBorders>
            <w:vAlign w:val="center"/>
          </w:tcPr>
          <w:p w14:paraId="07F5FC33" w14:textId="77777777" w:rsidR="00E251F6" w:rsidRPr="00E251F6" w:rsidRDefault="00E251F6" w:rsidP="00BF1B6E">
            <w:pPr>
              <w:pStyle w:val="NormalSS"/>
              <w:tabs>
                <w:tab w:val="clear" w:pos="432"/>
                <w:tab w:val="decimal" w:pos="34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$23.86</w:t>
            </w:r>
          </w:p>
        </w:tc>
        <w:tc>
          <w:tcPr>
            <w:tcW w:w="833" w:type="dxa"/>
            <w:tcBorders>
              <w:top w:val="none" w:sz="0" w:space="0" w:color="auto"/>
              <w:bottom w:val="none" w:sz="0" w:space="0" w:color="auto"/>
            </w:tcBorders>
            <w:vAlign w:val="center"/>
          </w:tcPr>
          <w:p w14:paraId="02D8D579" w14:textId="422E6D79" w:rsidR="00E251F6" w:rsidRPr="00E251F6" w:rsidRDefault="00E251F6" w:rsidP="005761BB">
            <w:pPr>
              <w:pStyle w:val="NormalSS"/>
              <w:tabs>
                <w:tab w:val="clear" w:pos="432"/>
                <w:tab w:val="decimal" w:pos="79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w:t>
            </w:r>
            <w:r w:rsidR="005D2F0F">
              <w:rPr>
                <w:bCs/>
                <w:iCs/>
                <w:sz w:val="18"/>
                <w:szCs w:val="18"/>
              </w:rPr>
              <w:t>22</w:t>
            </w:r>
            <w:r w:rsidRPr="00E251F6">
              <w:rPr>
                <w:bCs/>
                <w:iCs/>
                <w:sz w:val="18"/>
                <w:szCs w:val="18"/>
              </w:rPr>
              <w:t>,</w:t>
            </w:r>
            <w:r w:rsidR="005761BB">
              <w:rPr>
                <w:bCs/>
                <w:iCs/>
                <w:sz w:val="18"/>
                <w:szCs w:val="18"/>
              </w:rPr>
              <w:t>4</w:t>
            </w:r>
            <w:r w:rsidR="005D2F0F">
              <w:rPr>
                <w:bCs/>
                <w:iCs/>
                <w:sz w:val="18"/>
                <w:szCs w:val="18"/>
              </w:rPr>
              <w:t>76</w:t>
            </w:r>
            <w:r w:rsidRPr="00E251F6">
              <w:rPr>
                <w:bCs/>
                <w:iCs/>
                <w:sz w:val="18"/>
                <w:szCs w:val="18"/>
              </w:rPr>
              <w:t xml:space="preserve"> </w:t>
            </w:r>
          </w:p>
        </w:tc>
      </w:tr>
      <w:tr w:rsidR="00E251F6" w:rsidRPr="00E251F6" w14:paraId="4E0C7DF2" w14:textId="77777777" w:rsidTr="005D2F0F">
        <w:tc>
          <w:tcPr>
            <w:cnfStyle w:val="001000000000" w:firstRow="0" w:lastRow="0" w:firstColumn="1" w:lastColumn="0" w:oddVBand="0" w:evenVBand="0" w:oddHBand="0" w:evenHBand="0" w:firstRowFirstColumn="0" w:firstRowLastColumn="0" w:lastRowFirstColumn="0" w:lastRowLastColumn="0"/>
            <w:tcW w:w="1440" w:type="dxa"/>
            <w:vAlign w:val="center"/>
          </w:tcPr>
          <w:p w14:paraId="42D70FDF" w14:textId="77777777" w:rsidR="00E251F6" w:rsidRPr="00E251F6" w:rsidRDefault="00E251F6" w:rsidP="00BF1B6E">
            <w:pPr>
              <w:pStyle w:val="NormalSS"/>
              <w:spacing w:after="0"/>
              <w:ind w:firstLine="0"/>
              <w:rPr>
                <w:b w:val="0"/>
                <w:bCs w:val="0"/>
                <w:iCs/>
                <w:sz w:val="18"/>
                <w:szCs w:val="18"/>
              </w:rPr>
            </w:pPr>
            <w:r w:rsidRPr="00E251F6">
              <w:rPr>
                <w:b w:val="0"/>
                <w:iCs/>
                <w:sz w:val="18"/>
                <w:szCs w:val="18"/>
              </w:rPr>
              <w:t>In-Depth Survey</w:t>
            </w:r>
          </w:p>
        </w:tc>
        <w:tc>
          <w:tcPr>
            <w:tcW w:w="1147" w:type="dxa"/>
            <w:vAlign w:val="center"/>
          </w:tcPr>
          <w:p w14:paraId="4F88C749" w14:textId="77777777" w:rsidR="00E251F6" w:rsidRPr="00E251F6" w:rsidRDefault="00E251F6" w:rsidP="00BF1B6E">
            <w:pPr>
              <w:pStyle w:val="NormalSS"/>
              <w:tabs>
                <w:tab w:val="clear" w:pos="432"/>
                <w:tab w:val="decimal" w:pos="97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9,855</w:t>
            </w:r>
          </w:p>
        </w:tc>
        <w:tc>
          <w:tcPr>
            <w:tcW w:w="1170" w:type="dxa"/>
            <w:vAlign w:val="center"/>
          </w:tcPr>
          <w:p w14:paraId="4D521D3A" w14:textId="77777777" w:rsidR="00E251F6" w:rsidRPr="00E251F6" w:rsidRDefault="00E251F6" w:rsidP="00BF1B6E">
            <w:pPr>
              <w:pStyle w:val="NormalSS"/>
              <w:tabs>
                <w:tab w:val="clear" w:pos="432"/>
                <w:tab w:val="decimal" w:pos="97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3,285</w:t>
            </w:r>
          </w:p>
        </w:tc>
        <w:tc>
          <w:tcPr>
            <w:tcW w:w="1170" w:type="dxa"/>
            <w:vAlign w:val="center"/>
          </w:tcPr>
          <w:p w14:paraId="62380E83" w14:textId="77777777" w:rsidR="00E251F6" w:rsidRPr="00E251F6" w:rsidRDefault="00E251F6" w:rsidP="00BF1B6E">
            <w:pPr>
              <w:pStyle w:val="NormalSS"/>
              <w:spacing w:after="0"/>
              <w:ind w:firstLine="0"/>
              <w:jc w:val="center"/>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1</w:t>
            </w:r>
          </w:p>
        </w:tc>
        <w:tc>
          <w:tcPr>
            <w:tcW w:w="990" w:type="dxa"/>
            <w:vAlign w:val="center"/>
          </w:tcPr>
          <w:p w14:paraId="1B91ACA1" w14:textId="77777777" w:rsidR="00E251F6" w:rsidRPr="00E251F6" w:rsidRDefault="00E251F6" w:rsidP="00BF1B6E">
            <w:pPr>
              <w:pStyle w:val="NormalSS"/>
              <w:tabs>
                <w:tab w:val="clear" w:pos="432"/>
                <w:tab w:val="decimal" w:pos="61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3,285</w:t>
            </w:r>
          </w:p>
        </w:tc>
        <w:tc>
          <w:tcPr>
            <w:tcW w:w="1350" w:type="dxa"/>
            <w:vAlign w:val="center"/>
          </w:tcPr>
          <w:p w14:paraId="3E986BB0" w14:textId="659CAE22" w:rsidR="00E251F6" w:rsidRPr="00E251F6" w:rsidRDefault="00662086" w:rsidP="00BF1B6E">
            <w:pPr>
              <w:pStyle w:val="NormalSS"/>
              <w:tabs>
                <w:tab w:val="clear" w:pos="432"/>
                <w:tab w:val="decimal" w:pos="660"/>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Pr>
                <w:bCs/>
                <w:iCs/>
                <w:sz w:val="18"/>
                <w:szCs w:val="18"/>
              </w:rPr>
              <w:t>15/60</w:t>
            </w:r>
          </w:p>
        </w:tc>
        <w:tc>
          <w:tcPr>
            <w:tcW w:w="990" w:type="dxa"/>
            <w:vAlign w:val="center"/>
          </w:tcPr>
          <w:p w14:paraId="7868188C" w14:textId="46D13C7F" w:rsidR="00E251F6" w:rsidRPr="00E251F6" w:rsidRDefault="00E251F6" w:rsidP="00BF1B6E">
            <w:pPr>
              <w:pStyle w:val="NormalSS"/>
              <w:tabs>
                <w:tab w:val="clear" w:pos="432"/>
                <w:tab w:val="decimal" w:pos="52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821</w:t>
            </w:r>
          </w:p>
        </w:tc>
        <w:tc>
          <w:tcPr>
            <w:tcW w:w="810" w:type="dxa"/>
            <w:vAlign w:val="center"/>
          </w:tcPr>
          <w:p w14:paraId="4C82BC5A" w14:textId="640AAE6C" w:rsidR="00E251F6" w:rsidRPr="00E251F6" w:rsidRDefault="00E251F6" w:rsidP="00BF1B6E">
            <w:pPr>
              <w:pStyle w:val="NormalSS"/>
              <w:tabs>
                <w:tab w:val="clear" w:pos="432"/>
                <w:tab w:val="decimal" w:pos="52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2,46</w:t>
            </w:r>
            <w:r w:rsidR="00BB6C88">
              <w:rPr>
                <w:bCs/>
                <w:iCs/>
                <w:sz w:val="18"/>
                <w:szCs w:val="18"/>
              </w:rPr>
              <w:t>4</w:t>
            </w:r>
          </w:p>
        </w:tc>
        <w:tc>
          <w:tcPr>
            <w:tcW w:w="900" w:type="dxa"/>
            <w:vAlign w:val="center"/>
          </w:tcPr>
          <w:p w14:paraId="4E80AE86" w14:textId="77777777" w:rsidR="00E251F6" w:rsidRPr="00E251F6" w:rsidRDefault="00E251F6" w:rsidP="00BF1B6E">
            <w:pPr>
              <w:pStyle w:val="NormalSS"/>
              <w:tabs>
                <w:tab w:val="clear" w:pos="432"/>
                <w:tab w:val="decimal" w:pos="34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$23.86</w:t>
            </w:r>
          </w:p>
        </w:tc>
        <w:tc>
          <w:tcPr>
            <w:tcW w:w="833" w:type="dxa"/>
            <w:vAlign w:val="center"/>
          </w:tcPr>
          <w:p w14:paraId="39B41EC0" w14:textId="6C791705" w:rsidR="00E251F6" w:rsidRPr="00E251F6" w:rsidRDefault="00E251F6" w:rsidP="005D2F0F">
            <w:pPr>
              <w:pStyle w:val="NormalSS"/>
              <w:tabs>
                <w:tab w:val="clear" w:pos="432"/>
                <w:tab w:val="decimal" w:pos="79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w:t>
            </w:r>
            <w:r w:rsidR="005D2F0F">
              <w:rPr>
                <w:bCs/>
                <w:iCs/>
                <w:sz w:val="18"/>
                <w:szCs w:val="18"/>
              </w:rPr>
              <w:t>19,589</w:t>
            </w:r>
            <w:r w:rsidRPr="00E251F6">
              <w:rPr>
                <w:bCs/>
                <w:iCs/>
                <w:sz w:val="18"/>
                <w:szCs w:val="18"/>
              </w:rPr>
              <w:t xml:space="preserve"> </w:t>
            </w:r>
          </w:p>
        </w:tc>
      </w:tr>
      <w:tr w:rsidR="00E251F6" w:rsidRPr="00E251F6" w14:paraId="799100E3" w14:textId="77777777" w:rsidTr="005D2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bottom w:val="none" w:sz="0" w:space="0" w:color="auto"/>
            </w:tcBorders>
            <w:vAlign w:val="center"/>
          </w:tcPr>
          <w:p w14:paraId="504890B8" w14:textId="77777777" w:rsidR="00E251F6" w:rsidRPr="00E251F6" w:rsidRDefault="00E251F6" w:rsidP="00BF1B6E">
            <w:pPr>
              <w:pStyle w:val="NormalSS"/>
              <w:spacing w:after="0"/>
              <w:ind w:firstLine="0"/>
              <w:rPr>
                <w:b w:val="0"/>
                <w:bCs w:val="0"/>
                <w:iCs/>
                <w:sz w:val="18"/>
                <w:szCs w:val="18"/>
              </w:rPr>
            </w:pPr>
            <w:r w:rsidRPr="00E251F6">
              <w:rPr>
                <w:b w:val="0"/>
                <w:iCs/>
                <w:sz w:val="18"/>
                <w:szCs w:val="18"/>
              </w:rPr>
              <w:t>Qualitative Interviews with Customers</w:t>
            </w:r>
          </w:p>
        </w:tc>
        <w:tc>
          <w:tcPr>
            <w:tcW w:w="1147" w:type="dxa"/>
            <w:tcBorders>
              <w:top w:val="none" w:sz="0" w:space="0" w:color="auto"/>
              <w:bottom w:val="none" w:sz="0" w:space="0" w:color="auto"/>
            </w:tcBorders>
            <w:vAlign w:val="center"/>
          </w:tcPr>
          <w:p w14:paraId="0AE4BA97" w14:textId="77777777" w:rsidR="00E251F6" w:rsidRPr="00E251F6" w:rsidRDefault="00E251F6" w:rsidP="00BF1B6E">
            <w:pPr>
              <w:pStyle w:val="NormalSS"/>
              <w:tabs>
                <w:tab w:val="clear" w:pos="432"/>
                <w:tab w:val="decimal" w:pos="97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72</w:t>
            </w:r>
          </w:p>
        </w:tc>
        <w:tc>
          <w:tcPr>
            <w:tcW w:w="1170" w:type="dxa"/>
            <w:tcBorders>
              <w:top w:val="none" w:sz="0" w:space="0" w:color="auto"/>
              <w:bottom w:val="none" w:sz="0" w:space="0" w:color="auto"/>
            </w:tcBorders>
            <w:vAlign w:val="center"/>
          </w:tcPr>
          <w:p w14:paraId="03D6DADF" w14:textId="77777777" w:rsidR="00E251F6" w:rsidRPr="00E251F6" w:rsidRDefault="00E251F6" w:rsidP="00BF1B6E">
            <w:pPr>
              <w:pStyle w:val="NormalSS"/>
              <w:tabs>
                <w:tab w:val="clear" w:pos="432"/>
                <w:tab w:val="decimal" w:pos="97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24</w:t>
            </w:r>
          </w:p>
        </w:tc>
        <w:tc>
          <w:tcPr>
            <w:tcW w:w="1170" w:type="dxa"/>
            <w:tcBorders>
              <w:top w:val="none" w:sz="0" w:space="0" w:color="auto"/>
              <w:bottom w:val="none" w:sz="0" w:space="0" w:color="auto"/>
            </w:tcBorders>
            <w:vAlign w:val="center"/>
          </w:tcPr>
          <w:p w14:paraId="64975056" w14:textId="77777777" w:rsidR="00E251F6" w:rsidRPr="00E251F6" w:rsidRDefault="00E251F6" w:rsidP="00BF1B6E">
            <w:pPr>
              <w:pStyle w:val="NormalSS"/>
              <w:spacing w:after="0"/>
              <w:ind w:firstLine="0"/>
              <w:jc w:val="center"/>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1</w:t>
            </w:r>
          </w:p>
        </w:tc>
        <w:tc>
          <w:tcPr>
            <w:tcW w:w="990" w:type="dxa"/>
            <w:tcBorders>
              <w:top w:val="none" w:sz="0" w:space="0" w:color="auto"/>
              <w:bottom w:val="none" w:sz="0" w:space="0" w:color="auto"/>
            </w:tcBorders>
            <w:vAlign w:val="center"/>
          </w:tcPr>
          <w:p w14:paraId="1BF1DD58" w14:textId="77777777" w:rsidR="00E251F6" w:rsidRPr="00E251F6" w:rsidRDefault="00E251F6" w:rsidP="00BF1B6E">
            <w:pPr>
              <w:pStyle w:val="NormalSS"/>
              <w:tabs>
                <w:tab w:val="clear" w:pos="432"/>
                <w:tab w:val="decimal" w:pos="61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24</w:t>
            </w:r>
          </w:p>
        </w:tc>
        <w:tc>
          <w:tcPr>
            <w:tcW w:w="1350" w:type="dxa"/>
            <w:tcBorders>
              <w:top w:val="none" w:sz="0" w:space="0" w:color="auto"/>
              <w:bottom w:val="none" w:sz="0" w:space="0" w:color="auto"/>
            </w:tcBorders>
            <w:vAlign w:val="center"/>
          </w:tcPr>
          <w:p w14:paraId="28C5343D" w14:textId="09D53383" w:rsidR="00E251F6" w:rsidRPr="00E251F6" w:rsidRDefault="00E251F6" w:rsidP="00BF1B6E">
            <w:pPr>
              <w:pStyle w:val="NormalSS"/>
              <w:tabs>
                <w:tab w:val="clear" w:pos="432"/>
                <w:tab w:val="decimal" w:pos="660"/>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1</w:t>
            </w:r>
          </w:p>
        </w:tc>
        <w:tc>
          <w:tcPr>
            <w:tcW w:w="990" w:type="dxa"/>
            <w:tcBorders>
              <w:top w:val="none" w:sz="0" w:space="0" w:color="auto"/>
              <w:bottom w:val="none" w:sz="0" w:space="0" w:color="auto"/>
            </w:tcBorders>
            <w:vAlign w:val="center"/>
          </w:tcPr>
          <w:p w14:paraId="3071D5A3" w14:textId="5325D2B3" w:rsidR="00E251F6" w:rsidRPr="00E251F6" w:rsidRDefault="00E251F6" w:rsidP="00BF1B6E">
            <w:pPr>
              <w:pStyle w:val="NormalSS"/>
              <w:tabs>
                <w:tab w:val="clear" w:pos="432"/>
                <w:tab w:val="decimal" w:pos="52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24</w:t>
            </w:r>
          </w:p>
        </w:tc>
        <w:tc>
          <w:tcPr>
            <w:tcW w:w="810" w:type="dxa"/>
            <w:tcBorders>
              <w:top w:val="none" w:sz="0" w:space="0" w:color="auto"/>
              <w:bottom w:val="none" w:sz="0" w:space="0" w:color="auto"/>
            </w:tcBorders>
            <w:vAlign w:val="center"/>
          </w:tcPr>
          <w:p w14:paraId="1A1DA103" w14:textId="6D10FA03" w:rsidR="00E251F6" w:rsidRPr="00E251F6" w:rsidRDefault="00E251F6" w:rsidP="00BF1B6E">
            <w:pPr>
              <w:pStyle w:val="NormalSS"/>
              <w:tabs>
                <w:tab w:val="clear" w:pos="432"/>
                <w:tab w:val="decimal" w:pos="52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72</w:t>
            </w:r>
          </w:p>
        </w:tc>
        <w:tc>
          <w:tcPr>
            <w:tcW w:w="900" w:type="dxa"/>
            <w:tcBorders>
              <w:top w:val="none" w:sz="0" w:space="0" w:color="auto"/>
              <w:bottom w:val="none" w:sz="0" w:space="0" w:color="auto"/>
            </w:tcBorders>
            <w:vAlign w:val="center"/>
          </w:tcPr>
          <w:p w14:paraId="7DB6BEE9" w14:textId="77777777" w:rsidR="00E251F6" w:rsidRPr="00E251F6" w:rsidRDefault="00E251F6" w:rsidP="00BF1B6E">
            <w:pPr>
              <w:pStyle w:val="NormalSS"/>
              <w:tabs>
                <w:tab w:val="clear" w:pos="432"/>
                <w:tab w:val="decimal" w:pos="34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$23.86</w:t>
            </w:r>
          </w:p>
        </w:tc>
        <w:tc>
          <w:tcPr>
            <w:tcW w:w="833" w:type="dxa"/>
            <w:tcBorders>
              <w:top w:val="none" w:sz="0" w:space="0" w:color="auto"/>
              <w:bottom w:val="none" w:sz="0" w:space="0" w:color="auto"/>
            </w:tcBorders>
            <w:vAlign w:val="center"/>
          </w:tcPr>
          <w:p w14:paraId="66C6F424" w14:textId="6C954112" w:rsidR="00E251F6" w:rsidRPr="00E251F6" w:rsidRDefault="00E251F6" w:rsidP="005D2F0F">
            <w:pPr>
              <w:pStyle w:val="NormalSS"/>
              <w:tabs>
                <w:tab w:val="clear" w:pos="432"/>
                <w:tab w:val="decimal" w:pos="79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w:t>
            </w:r>
            <w:r w:rsidR="005D2F0F">
              <w:rPr>
                <w:bCs/>
                <w:iCs/>
                <w:sz w:val="18"/>
                <w:szCs w:val="18"/>
              </w:rPr>
              <w:t>573</w:t>
            </w:r>
            <w:r w:rsidRPr="00E251F6">
              <w:rPr>
                <w:bCs/>
                <w:iCs/>
                <w:sz w:val="18"/>
                <w:szCs w:val="18"/>
              </w:rPr>
              <w:t xml:space="preserve"> </w:t>
            </w:r>
          </w:p>
        </w:tc>
      </w:tr>
      <w:tr w:rsidR="00E251F6" w:rsidRPr="00E251F6" w14:paraId="273D9E2C" w14:textId="77777777" w:rsidTr="005D2F0F">
        <w:tc>
          <w:tcPr>
            <w:cnfStyle w:val="001000000000" w:firstRow="0" w:lastRow="0" w:firstColumn="1" w:lastColumn="0" w:oddVBand="0" w:evenVBand="0" w:oddHBand="0" w:evenHBand="0" w:firstRowFirstColumn="0" w:firstRowLastColumn="0" w:lastRowFirstColumn="0" w:lastRowLastColumn="0"/>
            <w:tcW w:w="1440" w:type="dxa"/>
            <w:vAlign w:val="center"/>
          </w:tcPr>
          <w:p w14:paraId="4ADBEF50" w14:textId="77777777" w:rsidR="00E251F6" w:rsidRPr="00E251F6" w:rsidRDefault="00E251F6" w:rsidP="00BF1B6E">
            <w:pPr>
              <w:pStyle w:val="NormalSS"/>
              <w:spacing w:after="0"/>
              <w:ind w:firstLine="0"/>
              <w:rPr>
                <w:b w:val="0"/>
                <w:iCs/>
                <w:sz w:val="18"/>
                <w:szCs w:val="18"/>
              </w:rPr>
            </w:pPr>
            <w:r w:rsidRPr="00E251F6">
              <w:rPr>
                <w:b w:val="0"/>
                <w:iCs/>
                <w:sz w:val="18"/>
                <w:szCs w:val="18"/>
              </w:rPr>
              <w:t>Qualitative Interviews with Center staff</w:t>
            </w:r>
          </w:p>
        </w:tc>
        <w:tc>
          <w:tcPr>
            <w:tcW w:w="1147" w:type="dxa"/>
            <w:vAlign w:val="center"/>
          </w:tcPr>
          <w:p w14:paraId="7278AACC" w14:textId="77777777" w:rsidR="00E251F6" w:rsidRPr="00E251F6" w:rsidRDefault="00E251F6" w:rsidP="00BF1B6E">
            <w:pPr>
              <w:pStyle w:val="NormalSS"/>
              <w:tabs>
                <w:tab w:val="clear" w:pos="432"/>
                <w:tab w:val="decimal" w:pos="97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30</w:t>
            </w:r>
          </w:p>
        </w:tc>
        <w:tc>
          <w:tcPr>
            <w:tcW w:w="1170" w:type="dxa"/>
            <w:vAlign w:val="center"/>
          </w:tcPr>
          <w:p w14:paraId="1A3D530A" w14:textId="77777777" w:rsidR="00E251F6" w:rsidRPr="00E251F6" w:rsidRDefault="00E251F6" w:rsidP="00BF1B6E">
            <w:pPr>
              <w:pStyle w:val="NormalSS"/>
              <w:tabs>
                <w:tab w:val="clear" w:pos="432"/>
                <w:tab w:val="decimal" w:pos="97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10</w:t>
            </w:r>
          </w:p>
        </w:tc>
        <w:tc>
          <w:tcPr>
            <w:tcW w:w="1170" w:type="dxa"/>
            <w:vAlign w:val="center"/>
          </w:tcPr>
          <w:p w14:paraId="3DA77515" w14:textId="77777777" w:rsidR="00E251F6" w:rsidRPr="00E251F6" w:rsidRDefault="00E251F6" w:rsidP="00BF1B6E">
            <w:pPr>
              <w:pStyle w:val="NormalSS"/>
              <w:spacing w:after="0"/>
              <w:ind w:firstLine="0"/>
              <w:jc w:val="center"/>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1</w:t>
            </w:r>
          </w:p>
        </w:tc>
        <w:tc>
          <w:tcPr>
            <w:tcW w:w="990" w:type="dxa"/>
            <w:vAlign w:val="center"/>
          </w:tcPr>
          <w:p w14:paraId="5C438749" w14:textId="77777777" w:rsidR="00E251F6" w:rsidRPr="00E251F6" w:rsidRDefault="00E251F6" w:rsidP="00BF1B6E">
            <w:pPr>
              <w:pStyle w:val="NormalSS"/>
              <w:tabs>
                <w:tab w:val="clear" w:pos="432"/>
                <w:tab w:val="decimal" w:pos="61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10</w:t>
            </w:r>
          </w:p>
        </w:tc>
        <w:tc>
          <w:tcPr>
            <w:tcW w:w="1350" w:type="dxa"/>
            <w:vAlign w:val="center"/>
          </w:tcPr>
          <w:p w14:paraId="25A9E180" w14:textId="23DEA674" w:rsidR="00E251F6" w:rsidRPr="00E251F6" w:rsidRDefault="00E251F6" w:rsidP="00BF1B6E">
            <w:pPr>
              <w:pStyle w:val="NormalSS"/>
              <w:tabs>
                <w:tab w:val="clear" w:pos="432"/>
                <w:tab w:val="decimal" w:pos="660"/>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1</w:t>
            </w:r>
          </w:p>
        </w:tc>
        <w:tc>
          <w:tcPr>
            <w:tcW w:w="990" w:type="dxa"/>
            <w:vAlign w:val="center"/>
          </w:tcPr>
          <w:p w14:paraId="013CA726" w14:textId="2FA48170" w:rsidR="00E251F6" w:rsidRPr="00E251F6" w:rsidRDefault="00E251F6" w:rsidP="00BF1B6E">
            <w:pPr>
              <w:pStyle w:val="NormalSS"/>
              <w:tabs>
                <w:tab w:val="clear" w:pos="432"/>
                <w:tab w:val="decimal" w:pos="52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10</w:t>
            </w:r>
          </w:p>
        </w:tc>
        <w:tc>
          <w:tcPr>
            <w:tcW w:w="810" w:type="dxa"/>
            <w:vAlign w:val="center"/>
          </w:tcPr>
          <w:p w14:paraId="0EE50066" w14:textId="55068299" w:rsidR="00E251F6" w:rsidRPr="00E251F6" w:rsidRDefault="00E251F6" w:rsidP="00BF1B6E">
            <w:pPr>
              <w:pStyle w:val="NormalSS"/>
              <w:tabs>
                <w:tab w:val="clear" w:pos="432"/>
                <w:tab w:val="decimal" w:pos="52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30</w:t>
            </w:r>
          </w:p>
        </w:tc>
        <w:tc>
          <w:tcPr>
            <w:tcW w:w="900" w:type="dxa"/>
            <w:vAlign w:val="center"/>
          </w:tcPr>
          <w:p w14:paraId="024D0740" w14:textId="77777777" w:rsidR="00E251F6" w:rsidRPr="00E251F6" w:rsidRDefault="00E251F6" w:rsidP="00BF1B6E">
            <w:pPr>
              <w:pStyle w:val="NormalSS"/>
              <w:tabs>
                <w:tab w:val="clear" w:pos="432"/>
                <w:tab w:val="decimal" w:pos="34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$56.74</w:t>
            </w:r>
          </w:p>
        </w:tc>
        <w:tc>
          <w:tcPr>
            <w:tcW w:w="833" w:type="dxa"/>
            <w:vAlign w:val="center"/>
          </w:tcPr>
          <w:p w14:paraId="601BD816" w14:textId="758E33C5" w:rsidR="00E251F6" w:rsidRPr="00E251F6" w:rsidRDefault="00E251F6" w:rsidP="005D2F0F">
            <w:pPr>
              <w:pStyle w:val="NormalSS"/>
              <w:tabs>
                <w:tab w:val="clear" w:pos="432"/>
                <w:tab w:val="decimal" w:pos="795"/>
              </w:tabs>
              <w:spacing w:after="0"/>
              <w:ind w:firstLine="0"/>
              <w:cnfStyle w:val="000000000000" w:firstRow="0" w:lastRow="0" w:firstColumn="0" w:lastColumn="0" w:oddVBand="0" w:evenVBand="0" w:oddHBand="0" w:evenHBand="0" w:firstRowFirstColumn="0" w:firstRowLastColumn="0" w:lastRowFirstColumn="0" w:lastRowLastColumn="0"/>
              <w:rPr>
                <w:bCs/>
                <w:iCs/>
                <w:sz w:val="18"/>
                <w:szCs w:val="18"/>
              </w:rPr>
            </w:pPr>
            <w:r w:rsidRPr="00E251F6">
              <w:rPr>
                <w:bCs/>
                <w:iCs/>
                <w:sz w:val="18"/>
                <w:szCs w:val="18"/>
              </w:rPr>
              <w:t>$</w:t>
            </w:r>
            <w:r w:rsidR="005D2F0F">
              <w:rPr>
                <w:bCs/>
                <w:iCs/>
                <w:sz w:val="18"/>
                <w:szCs w:val="18"/>
              </w:rPr>
              <w:t>567</w:t>
            </w:r>
            <w:r w:rsidRPr="00E251F6">
              <w:rPr>
                <w:bCs/>
                <w:iCs/>
                <w:sz w:val="18"/>
                <w:szCs w:val="18"/>
              </w:rPr>
              <w:t xml:space="preserve"> </w:t>
            </w:r>
          </w:p>
        </w:tc>
      </w:tr>
      <w:tr w:rsidR="00E251F6" w:rsidRPr="00E251F6" w14:paraId="787EAABE" w14:textId="77777777" w:rsidTr="005D2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bottom w:val="none" w:sz="0" w:space="0" w:color="auto"/>
            </w:tcBorders>
            <w:vAlign w:val="center"/>
          </w:tcPr>
          <w:p w14:paraId="01E9CC70" w14:textId="77777777" w:rsidR="00E251F6" w:rsidRPr="00E251F6" w:rsidRDefault="00E251F6" w:rsidP="00BF1B6E">
            <w:pPr>
              <w:pStyle w:val="NormalSS"/>
              <w:spacing w:after="0"/>
              <w:ind w:firstLine="0"/>
              <w:rPr>
                <w:iCs/>
                <w:sz w:val="18"/>
                <w:szCs w:val="18"/>
              </w:rPr>
            </w:pPr>
            <w:r w:rsidRPr="00E251F6">
              <w:rPr>
                <w:iCs/>
                <w:sz w:val="18"/>
                <w:szCs w:val="18"/>
              </w:rPr>
              <w:t>TOTAL</w:t>
            </w:r>
          </w:p>
        </w:tc>
        <w:tc>
          <w:tcPr>
            <w:tcW w:w="1147" w:type="dxa"/>
            <w:tcBorders>
              <w:top w:val="none" w:sz="0" w:space="0" w:color="auto"/>
              <w:bottom w:val="none" w:sz="0" w:space="0" w:color="auto"/>
            </w:tcBorders>
            <w:vAlign w:val="center"/>
          </w:tcPr>
          <w:p w14:paraId="01549EFC" w14:textId="77777777" w:rsidR="00E251F6" w:rsidRPr="00E251F6" w:rsidRDefault="00E251F6" w:rsidP="00BF1B6E">
            <w:pPr>
              <w:pStyle w:val="NormalSS"/>
              <w:tabs>
                <w:tab w:val="clear" w:pos="432"/>
                <w:tab w:val="decimal" w:pos="97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43,857</w:t>
            </w:r>
          </w:p>
        </w:tc>
        <w:tc>
          <w:tcPr>
            <w:tcW w:w="1170" w:type="dxa"/>
            <w:tcBorders>
              <w:top w:val="none" w:sz="0" w:space="0" w:color="auto"/>
              <w:bottom w:val="none" w:sz="0" w:space="0" w:color="auto"/>
            </w:tcBorders>
            <w:vAlign w:val="center"/>
          </w:tcPr>
          <w:p w14:paraId="2663E92A" w14:textId="77777777" w:rsidR="00E251F6" w:rsidRPr="00E251F6" w:rsidRDefault="00E251F6" w:rsidP="00BF1B6E">
            <w:pPr>
              <w:pStyle w:val="NormalSS"/>
              <w:tabs>
                <w:tab w:val="clear" w:pos="432"/>
                <w:tab w:val="decimal" w:pos="97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14,619</w:t>
            </w:r>
          </w:p>
        </w:tc>
        <w:tc>
          <w:tcPr>
            <w:tcW w:w="1170" w:type="dxa"/>
            <w:tcBorders>
              <w:top w:val="none" w:sz="0" w:space="0" w:color="auto"/>
              <w:bottom w:val="none" w:sz="0" w:space="0" w:color="auto"/>
            </w:tcBorders>
            <w:vAlign w:val="center"/>
          </w:tcPr>
          <w:p w14:paraId="61F4C2E5" w14:textId="77777777" w:rsidR="00E251F6" w:rsidRPr="00E251F6" w:rsidRDefault="00E251F6" w:rsidP="00BF1B6E">
            <w:pPr>
              <w:pStyle w:val="NormalSS"/>
              <w:spacing w:after="0"/>
              <w:ind w:firstLine="0"/>
              <w:jc w:val="center"/>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w:t>
            </w:r>
          </w:p>
        </w:tc>
        <w:tc>
          <w:tcPr>
            <w:tcW w:w="990" w:type="dxa"/>
            <w:tcBorders>
              <w:top w:val="none" w:sz="0" w:space="0" w:color="auto"/>
              <w:bottom w:val="none" w:sz="0" w:space="0" w:color="auto"/>
            </w:tcBorders>
            <w:vAlign w:val="center"/>
          </w:tcPr>
          <w:p w14:paraId="05E5C5AA" w14:textId="77777777" w:rsidR="00E251F6" w:rsidRPr="00E251F6" w:rsidRDefault="00E251F6" w:rsidP="00BF1B6E">
            <w:pPr>
              <w:pStyle w:val="NormalSS"/>
              <w:tabs>
                <w:tab w:val="clear" w:pos="432"/>
                <w:tab w:val="decimal" w:pos="61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14,619</w:t>
            </w:r>
          </w:p>
        </w:tc>
        <w:tc>
          <w:tcPr>
            <w:tcW w:w="1350" w:type="dxa"/>
            <w:tcBorders>
              <w:top w:val="none" w:sz="0" w:space="0" w:color="auto"/>
              <w:bottom w:val="none" w:sz="0" w:space="0" w:color="auto"/>
            </w:tcBorders>
            <w:vAlign w:val="center"/>
          </w:tcPr>
          <w:p w14:paraId="5ADCCD4B" w14:textId="77777777" w:rsidR="00E251F6" w:rsidRPr="00E251F6" w:rsidRDefault="00E251F6" w:rsidP="00BF1B6E">
            <w:pPr>
              <w:pStyle w:val="NormalSS"/>
              <w:tabs>
                <w:tab w:val="clear" w:pos="432"/>
                <w:tab w:val="decimal" w:pos="660"/>
              </w:tabs>
              <w:spacing w:after="0"/>
              <w:ind w:firstLine="0"/>
              <w:jc w:val="center"/>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w:t>
            </w:r>
          </w:p>
        </w:tc>
        <w:tc>
          <w:tcPr>
            <w:tcW w:w="990" w:type="dxa"/>
            <w:tcBorders>
              <w:top w:val="none" w:sz="0" w:space="0" w:color="auto"/>
              <w:bottom w:val="none" w:sz="0" w:space="0" w:color="auto"/>
            </w:tcBorders>
            <w:vAlign w:val="center"/>
          </w:tcPr>
          <w:p w14:paraId="63BC9B79" w14:textId="56154E63" w:rsidR="00E251F6" w:rsidRPr="00E251F6" w:rsidRDefault="00E251F6" w:rsidP="00BF1B6E">
            <w:pPr>
              <w:pStyle w:val="NormalSS"/>
              <w:tabs>
                <w:tab w:val="clear" w:pos="432"/>
                <w:tab w:val="decimal" w:pos="52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1,793</w:t>
            </w:r>
          </w:p>
        </w:tc>
        <w:tc>
          <w:tcPr>
            <w:tcW w:w="810" w:type="dxa"/>
            <w:tcBorders>
              <w:top w:val="none" w:sz="0" w:space="0" w:color="auto"/>
              <w:bottom w:val="none" w:sz="0" w:space="0" w:color="auto"/>
            </w:tcBorders>
          </w:tcPr>
          <w:p w14:paraId="55A55A01" w14:textId="0A6D09B4" w:rsidR="00E251F6" w:rsidRPr="00E251F6" w:rsidRDefault="00E251F6" w:rsidP="00BF1B6E">
            <w:pPr>
              <w:pStyle w:val="NormalSS"/>
              <w:tabs>
                <w:tab w:val="clear" w:pos="432"/>
                <w:tab w:val="decimal" w:pos="52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5,3</w:t>
            </w:r>
            <w:r w:rsidR="00BB6C88">
              <w:rPr>
                <w:bCs/>
                <w:iCs/>
                <w:sz w:val="18"/>
                <w:szCs w:val="18"/>
              </w:rPr>
              <w:t>91</w:t>
            </w:r>
          </w:p>
        </w:tc>
        <w:tc>
          <w:tcPr>
            <w:tcW w:w="900" w:type="dxa"/>
            <w:tcBorders>
              <w:top w:val="none" w:sz="0" w:space="0" w:color="auto"/>
              <w:bottom w:val="none" w:sz="0" w:space="0" w:color="auto"/>
            </w:tcBorders>
          </w:tcPr>
          <w:p w14:paraId="437ACB87" w14:textId="77777777" w:rsidR="00E251F6" w:rsidRPr="00E251F6" w:rsidRDefault="00E251F6" w:rsidP="00BF1B6E">
            <w:pPr>
              <w:pStyle w:val="NormalSS"/>
              <w:tabs>
                <w:tab w:val="clear" w:pos="432"/>
                <w:tab w:val="decimal" w:pos="43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w:t>
            </w:r>
          </w:p>
        </w:tc>
        <w:tc>
          <w:tcPr>
            <w:tcW w:w="833" w:type="dxa"/>
            <w:tcBorders>
              <w:top w:val="none" w:sz="0" w:space="0" w:color="auto"/>
              <w:bottom w:val="none" w:sz="0" w:space="0" w:color="auto"/>
            </w:tcBorders>
            <w:vAlign w:val="center"/>
          </w:tcPr>
          <w:p w14:paraId="58DEDAD9" w14:textId="069274F6" w:rsidR="00E251F6" w:rsidRPr="00E251F6" w:rsidRDefault="00E251F6" w:rsidP="005D2F0F">
            <w:pPr>
              <w:pStyle w:val="NormalSS"/>
              <w:tabs>
                <w:tab w:val="clear" w:pos="432"/>
                <w:tab w:val="decimal" w:pos="795"/>
              </w:tabs>
              <w:spacing w:after="0"/>
              <w:ind w:firstLine="0"/>
              <w:cnfStyle w:val="000000100000" w:firstRow="0" w:lastRow="0" w:firstColumn="0" w:lastColumn="0" w:oddVBand="0" w:evenVBand="0" w:oddHBand="1" w:evenHBand="0" w:firstRowFirstColumn="0" w:firstRowLastColumn="0" w:lastRowFirstColumn="0" w:lastRowLastColumn="0"/>
              <w:rPr>
                <w:bCs/>
                <w:iCs/>
                <w:sz w:val="18"/>
                <w:szCs w:val="18"/>
              </w:rPr>
            </w:pPr>
            <w:r w:rsidRPr="00E251F6">
              <w:rPr>
                <w:bCs/>
                <w:iCs/>
                <w:sz w:val="18"/>
                <w:szCs w:val="18"/>
              </w:rPr>
              <w:t>$</w:t>
            </w:r>
            <w:r w:rsidR="005D2F0F">
              <w:rPr>
                <w:bCs/>
                <w:iCs/>
                <w:sz w:val="18"/>
                <w:szCs w:val="18"/>
              </w:rPr>
              <w:t>43,205</w:t>
            </w:r>
            <w:r w:rsidRPr="00E251F6">
              <w:rPr>
                <w:bCs/>
                <w:iCs/>
                <w:sz w:val="18"/>
                <w:szCs w:val="18"/>
              </w:rPr>
              <w:t xml:space="preserve"> </w:t>
            </w:r>
          </w:p>
        </w:tc>
      </w:tr>
    </w:tbl>
    <w:p w14:paraId="5B333543" w14:textId="77777777" w:rsidR="00397728"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Estimates of Other Total Annual Cost Burden to Respondents and Record Keepers</w:t>
      </w:r>
    </w:p>
    <w:p w14:paraId="568F374F" w14:textId="5B948FCC" w:rsidR="002C0C76" w:rsidRPr="002C0EDA" w:rsidRDefault="002C0C76" w:rsidP="00DC2252">
      <w:pPr>
        <w:rPr>
          <w:rFonts w:ascii="Times New Roman" w:hAnsi="Times New Roman" w:cs="Times New Roman"/>
          <w:sz w:val="24"/>
          <w:szCs w:val="24"/>
        </w:rPr>
      </w:pPr>
      <w:r w:rsidRPr="002C0EDA">
        <w:rPr>
          <w:rFonts w:ascii="Times New Roman" w:hAnsi="Times New Roman" w:cs="Times New Roman"/>
          <w:sz w:val="24"/>
          <w:szCs w:val="24"/>
        </w:rPr>
        <w:t xml:space="preserve">There </w:t>
      </w:r>
      <w:r w:rsidR="008C3A71">
        <w:rPr>
          <w:rFonts w:ascii="Times New Roman" w:hAnsi="Times New Roman" w:cs="Times New Roman"/>
          <w:sz w:val="24"/>
          <w:szCs w:val="24"/>
        </w:rPr>
        <w:t xml:space="preserve">are </w:t>
      </w:r>
      <w:r w:rsidRPr="002C0EDA">
        <w:rPr>
          <w:rFonts w:ascii="Times New Roman" w:hAnsi="Times New Roman" w:cs="Times New Roman"/>
          <w:sz w:val="24"/>
          <w:szCs w:val="24"/>
        </w:rPr>
        <w:t xml:space="preserve">no additional </w:t>
      </w:r>
      <w:r w:rsidR="008C3A71">
        <w:rPr>
          <w:rFonts w:ascii="Times New Roman" w:hAnsi="Times New Roman" w:cs="Times New Roman"/>
          <w:sz w:val="24"/>
          <w:szCs w:val="24"/>
        </w:rPr>
        <w:t xml:space="preserve">cost to the respondents other than their time. </w:t>
      </w:r>
    </w:p>
    <w:p w14:paraId="4F49C816" w14:textId="77777777" w:rsidR="00397728"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Annualized Cost to the Federal Government</w:t>
      </w:r>
    </w:p>
    <w:p w14:paraId="4712B691" w14:textId="2FCF55AE" w:rsidR="00130920" w:rsidRPr="00130920" w:rsidRDefault="00130920" w:rsidP="00B10823">
      <w:pPr>
        <w:ind w:left="288"/>
        <w:rPr>
          <w:rFonts w:ascii="Times New Roman" w:hAnsi="Times New Roman" w:cs="Times New Roman"/>
          <w:sz w:val="24"/>
          <w:szCs w:val="24"/>
        </w:rPr>
      </w:pPr>
      <w:r w:rsidRPr="00130920">
        <w:rPr>
          <w:rFonts w:ascii="Times New Roman" w:hAnsi="Times New Roman" w:cs="Times New Roman"/>
          <w:sz w:val="24"/>
          <w:szCs w:val="24"/>
        </w:rPr>
        <w:t>1.</w:t>
      </w:r>
      <w:r>
        <w:rPr>
          <w:rFonts w:ascii="Times New Roman" w:hAnsi="Times New Roman" w:cs="Times New Roman"/>
          <w:sz w:val="24"/>
          <w:szCs w:val="24"/>
        </w:rPr>
        <w:t xml:space="preserve"> </w:t>
      </w:r>
      <w:r w:rsidRPr="00FE5929">
        <w:rPr>
          <w:rFonts w:ascii="Times New Roman" w:hAnsi="Times New Roman" w:cs="Times New Roman"/>
          <w:sz w:val="24"/>
          <w:szCs w:val="24"/>
        </w:rPr>
        <w:t>The estimated cost to the federal government for the contractor to carry out this study is $1,356,081</w:t>
      </w:r>
      <w:r>
        <w:rPr>
          <w:rFonts w:ascii="Times New Roman" w:hAnsi="Times New Roman" w:cs="Times New Roman"/>
          <w:sz w:val="24"/>
          <w:szCs w:val="24"/>
        </w:rPr>
        <w:t xml:space="preserve">.  </w:t>
      </w:r>
      <w:r w:rsidRPr="00130920">
        <w:rPr>
          <w:rFonts w:ascii="Times New Roman" w:hAnsi="Times New Roman" w:cs="Times New Roman"/>
          <w:sz w:val="24"/>
          <w:szCs w:val="24"/>
        </w:rPr>
        <w:t>The estimated cost was calculated by estimating labor hours, operational expenses, and additional costs associated with the design of study’s qualitative protocols; sample development; development and implementation of the pulse and in-depth surveys; development and maintenance of the study database; quantitative and qualitative analysis; and the preparation of interim and final reports of evaluation findings.</w:t>
      </w:r>
      <w:r>
        <w:rPr>
          <w:rFonts w:ascii="Times New Roman" w:hAnsi="Times New Roman" w:cs="Times New Roman"/>
          <w:sz w:val="24"/>
          <w:szCs w:val="24"/>
        </w:rPr>
        <w:t xml:space="preserve"> </w:t>
      </w:r>
      <w:r w:rsidR="00FE5929" w:rsidRPr="00FE5929">
        <w:rPr>
          <w:rFonts w:ascii="Times New Roman" w:hAnsi="Times New Roman" w:cs="Times New Roman"/>
          <w:sz w:val="24"/>
          <w:szCs w:val="24"/>
        </w:rPr>
        <w:t>The data collection period covered by this justification is three years,</w:t>
      </w:r>
      <w:r w:rsidR="00FE5929">
        <w:rPr>
          <w:rFonts w:ascii="Times New Roman" w:hAnsi="Times New Roman" w:cs="Times New Roman"/>
          <w:sz w:val="24"/>
          <w:szCs w:val="24"/>
        </w:rPr>
        <w:t xml:space="preserve"> so a</w:t>
      </w:r>
      <w:r>
        <w:rPr>
          <w:rFonts w:ascii="Times New Roman" w:hAnsi="Times New Roman" w:cs="Times New Roman"/>
          <w:sz w:val="24"/>
          <w:szCs w:val="24"/>
        </w:rPr>
        <w:t xml:space="preserve">nnualized, </w:t>
      </w:r>
      <w:r w:rsidR="00FE5929">
        <w:rPr>
          <w:rFonts w:ascii="Times New Roman" w:hAnsi="Times New Roman" w:cs="Times New Roman"/>
          <w:sz w:val="24"/>
          <w:szCs w:val="24"/>
        </w:rPr>
        <w:t xml:space="preserve">the </w:t>
      </w:r>
      <w:r w:rsidR="00FE5929" w:rsidRPr="00FE5929">
        <w:rPr>
          <w:rFonts w:ascii="Times New Roman" w:hAnsi="Times New Roman" w:cs="Times New Roman"/>
          <w:sz w:val="24"/>
          <w:szCs w:val="24"/>
        </w:rPr>
        <w:t xml:space="preserve">estimated cost to the federal government for the contractor to carry out this study is </w:t>
      </w:r>
      <w:r>
        <w:rPr>
          <w:rFonts w:ascii="Times New Roman" w:hAnsi="Times New Roman" w:cs="Times New Roman"/>
          <w:sz w:val="24"/>
          <w:szCs w:val="24"/>
        </w:rPr>
        <w:t>$452,027</w:t>
      </w:r>
      <w:r w:rsidR="00FE5929">
        <w:rPr>
          <w:rFonts w:ascii="Times New Roman" w:hAnsi="Times New Roman" w:cs="Times New Roman"/>
          <w:sz w:val="24"/>
          <w:szCs w:val="24"/>
        </w:rPr>
        <w:t xml:space="preserve"> ($1,356,081/ 3= $452,027).</w:t>
      </w:r>
    </w:p>
    <w:p w14:paraId="4D02BE57" w14:textId="6C922BA4" w:rsidR="000C1976" w:rsidRDefault="00130920" w:rsidP="00B10823">
      <w:pPr>
        <w:ind w:left="288"/>
        <w:rPr>
          <w:rFonts w:ascii="Times New Roman" w:hAnsi="Times New Roman" w:cs="Times New Roman"/>
          <w:sz w:val="24"/>
          <w:szCs w:val="24"/>
        </w:rPr>
      </w:pPr>
      <w:r w:rsidRPr="00130920">
        <w:rPr>
          <w:rFonts w:ascii="Times New Roman" w:hAnsi="Times New Roman" w:cs="Times New Roman"/>
          <w:sz w:val="24"/>
          <w:szCs w:val="24"/>
        </w:rPr>
        <w:t xml:space="preserve">2. In addition, </w:t>
      </w:r>
      <w:r w:rsidRPr="00FE5929">
        <w:rPr>
          <w:rFonts w:ascii="Times New Roman" w:hAnsi="Times New Roman" w:cs="Times New Roman"/>
          <w:sz w:val="24"/>
          <w:szCs w:val="24"/>
        </w:rPr>
        <w:t>DOL expects the annual level of effort for Federal government technical staff to oversee the contract</w:t>
      </w:r>
      <w:r w:rsidRPr="00130920">
        <w:rPr>
          <w:rFonts w:ascii="Times New Roman" w:hAnsi="Times New Roman" w:cs="Times New Roman"/>
          <w:sz w:val="24"/>
          <w:szCs w:val="24"/>
        </w:rPr>
        <w:t xml:space="preserve"> will require 200 hours for one Washington D.C.-based GS-14, Step 4 employee earning $59.04 per hour. To account for fringe benefits and other overhead costs the agency applies a multiplication factor of 1.6. The annual cost </w:t>
      </w:r>
      <w:r w:rsidR="00FE5929" w:rsidRPr="00FE5929">
        <w:rPr>
          <w:rFonts w:ascii="Times New Roman" w:hAnsi="Times New Roman" w:cs="Times New Roman"/>
          <w:sz w:val="24"/>
          <w:szCs w:val="24"/>
        </w:rPr>
        <w:t>for Federal government technical staff to oversee the contract</w:t>
      </w:r>
      <w:r w:rsidR="00FE5929">
        <w:rPr>
          <w:rFonts w:ascii="Times New Roman" w:hAnsi="Times New Roman" w:cs="Times New Roman"/>
          <w:sz w:val="24"/>
          <w:szCs w:val="24"/>
        </w:rPr>
        <w:t xml:space="preserve"> </w:t>
      </w:r>
      <w:r w:rsidRPr="00130920">
        <w:rPr>
          <w:rFonts w:ascii="Times New Roman" w:hAnsi="Times New Roman" w:cs="Times New Roman"/>
          <w:sz w:val="24"/>
          <w:szCs w:val="24"/>
        </w:rPr>
        <w:t xml:space="preserve">is $18,893 ($59.04 x 1.6 x 200 = $18,893). </w:t>
      </w:r>
    </w:p>
    <w:p w14:paraId="36EEA567" w14:textId="224BED75" w:rsidR="00FE5929" w:rsidRDefault="00FE5929" w:rsidP="00FE5929">
      <w:pPr>
        <w:rPr>
          <w:rFonts w:ascii="Times New Roman" w:hAnsi="Times New Roman" w:cs="Times New Roman"/>
          <w:sz w:val="24"/>
          <w:szCs w:val="24"/>
        </w:rPr>
      </w:pPr>
      <w:r w:rsidRPr="00130920">
        <w:rPr>
          <w:rFonts w:ascii="Times New Roman" w:hAnsi="Times New Roman" w:cs="Times New Roman"/>
          <w:sz w:val="24"/>
          <w:szCs w:val="24"/>
        </w:rPr>
        <w:t xml:space="preserve">The total </w:t>
      </w:r>
      <w:r w:rsidRPr="00FE5929">
        <w:rPr>
          <w:rFonts w:ascii="Times New Roman" w:hAnsi="Times New Roman" w:cs="Times New Roman"/>
          <w:sz w:val="24"/>
          <w:szCs w:val="24"/>
        </w:rPr>
        <w:t xml:space="preserve">annualized cost is </w:t>
      </w:r>
      <w:r>
        <w:rPr>
          <w:rFonts w:ascii="Times New Roman" w:hAnsi="Times New Roman" w:cs="Times New Roman"/>
          <w:sz w:val="24"/>
          <w:szCs w:val="24"/>
        </w:rPr>
        <w:t>$</w:t>
      </w:r>
      <w:r w:rsidR="00B10823">
        <w:rPr>
          <w:rFonts w:ascii="Times New Roman" w:hAnsi="Times New Roman" w:cs="Times New Roman"/>
          <w:sz w:val="24"/>
          <w:szCs w:val="24"/>
        </w:rPr>
        <w:t>470,920 ($</w:t>
      </w:r>
      <w:r>
        <w:rPr>
          <w:rFonts w:ascii="Times New Roman" w:hAnsi="Times New Roman" w:cs="Times New Roman"/>
          <w:sz w:val="24"/>
          <w:szCs w:val="24"/>
        </w:rPr>
        <w:t>4</w:t>
      </w:r>
      <w:r w:rsidRPr="00FE5929">
        <w:rPr>
          <w:rFonts w:ascii="Times New Roman" w:hAnsi="Times New Roman" w:cs="Times New Roman"/>
          <w:sz w:val="24"/>
          <w:szCs w:val="24"/>
        </w:rPr>
        <w:t>52,027</w:t>
      </w:r>
      <w:r>
        <w:rPr>
          <w:rFonts w:ascii="Times New Roman" w:hAnsi="Times New Roman" w:cs="Times New Roman"/>
          <w:sz w:val="24"/>
          <w:szCs w:val="24"/>
        </w:rPr>
        <w:t xml:space="preserve"> + $18,893= $470,920</w:t>
      </w:r>
      <w:r w:rsidR="00B10823">
        <w:rPr>
          <w:rFonts w:ascii="Times New Roman" w:hAnsi="Times New Roman" w:cs="Times New Roman"/>
          <w:sz w:val="24"/>
          <w:szCs w:val="24"/>
        </w:rPr>
        <w:t>)</w:t>
      </w:r>
      <w:r>
        <w:rPr>
          <w:rFonts w:ascii="Times New Roman" w:hAnsi="Times New Roman" w:cs="Times New Roman"/>
          <w:sz w:val="24"/>
          <w:szCs w:val="24"/>
        </w:rPr>
        <w:t>.</w:t>
      </w:r>
      <w:r w:rsidR="00B10823">
        <w:rPr>
          <w:rFonts w:ascii="Times New Roman" w:hAnsi="Times New Roman" w:cs="Times New Roman"/>
          <w:sz w:val="24"/>
          <w:szCs w:val="24"/>
        </w:rPr>
        <w:t xml:space="preserve"> </w:t>
      </w:r>
    </w:p>
    <w:p w14:paraId="031E67F4" w14:textId="77777777" w:rsidR="00397728"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Explanation for Program Changes or Adjustments</w:t>
      </w:r>
    </w:p>
    <w:p w14:paraId="4086AF1E" w14:textId="6FB72705" w:rsidR="0096180F" w:rsidRPr="002C0EDA" w:rsidRDefault="008C3A71" w:rsidP="00DC2252">
      <w:pPr>
        <w:rPr>
          <w:rFonts w:ascii="Times New Roman" w:hAnsi="Times New Roman" w:cs="Times New Roman"/>
          <w:sz w:val="24"/>
          <w:szCs w:val="24"/>
        </w:rPr>
      </w:pPr>
      <w:r>
        <w:rPr>
          <w:rFonts w:ascii="Times New Roman" w:hAnsi="Times New Roman" w:cs="Times New Roman"/>
          <w:sz w:val="24"/>
          <w:szCs w:val="24"/>
        </w:rPr>
        <w:t>T</w:t>
      </w:r>
      <w:r w:rsidR="002744F5">
        <w:rPr>
          <w:rFonts w:ascii="Times New Roman" w:hAnsi="Times New Roman" w:cs="Times New Roman"/>
          <w:sz w:val="24"/>
          <w:szCs w:val="24"/>
        </w:rPr>
        <w:t>his is a</w:t>
      </w:r>
      <w:r w:rsidR="001F60EF" w:rsidRPr="002C0EDA">
        <w:rPr>
          <w:rFonts w:ascii="Times New Roman" w:hAnsi="Times New Roman" w:cs="Times New Roman"/>
          <w:sz w:val="24"/>
          <w:szCs w:val="24"/>
        </w:rPr>
        <w:t xml:space="preserve"> </w:t>
      </w:r>
      <w:r w:rsidR="004F1221">
        <w:rPr>
          <w:rFonts w:ascii="Times New Roman" w:hAnsi="Times New Roman" w:cs="Times New Roman"/>
          <w:sz w:val="24"/>
          <w:szCs w:val="24"/>
        </w:rPr>
        <w:t>new data collection.</w:t>
      </w:r>
    </w:p>
    <w:p w14:paraId="09F8E394" w14:textId="77777777" w:rsidR="00397728" w:rsidRPr="00967834" w:rsidRDefault="00397728" w:rsidP="00DC2252">
      <w:pPr>
        <w:numPr>
          <w:ilvl w:val="0"/>
          <w:numId w:val="1"/>
        </w:numPr>
        <w:ind w:left="0"/>
        <w:rPr>
          <w:rFonts w:ascii="Times New Roman" w:hAnsi="Times New Roman" w:cs="Times New Roman"/>
          <w:b/>
          <w:sz w:val="24"/>
          <w:szCs w:val="24"/>
        </w:rPr>
      </w:pPr>
      <w:r w:rsidRPr="00967834">
        <w:rPr>
          <w:rFonts w:ascii="Times New Roman" w:hAnsi="Times New Roman" w:cs="Times New Roman"/>
          <w:b/>
          <w:sz w:val="24"/>
          <w:szCs w:val="24"/>
        </w:rPr>
        <w:t>Plans for Tabulation and Publication and Project Time Schedule</w:t>
      </w:r>
    </w:p>
    <w:p w14:paraId="2C3F486F" w14:textId="77777777" w:rsidR="00B5716C" w:rsidRDefault="00B733C1" w:rsidP="00B733C1">
      <w:pPr>
        <w:rPr>
          <w:rFonts w:ascii="Times New Roman" w:hAnsi="Times New Roman" w:cs="Times New Roman"/>
          <w:sz w:val="24"/>
          <w:szCs w:val="24"/>
        </w:rPr>
      </w:pPr>
      <w:r w:rsidRPr="00B733C1">
        <w:rPr>
          <w:rFonts w:ascii="Times New Roman" w:hAnsi="Times New Roman" w:cs="Times New Roman"/>
          <w:sz w:val="24"/>
          <w:szCs w:val="24"/>
        </w:rPr>
        <w:t xml:space="preserve">To address the </w:t>
      </w:r>
      <w:r>
        <w:rPr>
          <w:rFonts w:ascii="Times New Roman" w:hAnsi="Times New Roman" w:cs="Times New Roman"/>
          <w:sz w:val="24"/>
          <w:szCs w:val="24"/>
        </w:rPr>
        <w:t xml:space="preserve">research </w:t>
      </w:r>
      <w:r w:rsidR="00E40672">
        <w:rPr>
          <w:rFonts w:ascii="Times New Roman" w:hAnsi="Times New Roman" w:cs="Times New Roman"/>
          <w:sz w:val="24"/>
          <w:szCs w:val="24"/>
        </w:rPr>
        <w:t>questions, the study team</w:t>
      </w:r>
      <w:r w:rsidRPr="00B733C1">
        <w:rPr>
          <w:rFonts w:ascii="Times New Roman" w:hAnsi="Times New Roman" w:cs="Times New Roman"/>
          <w:sz w:val="24"/>
          <w:szCs w:val="24"/>
        </w:rPr>
        <w:t xml:space="preserve"> will use a combination of quantitative analysis (e.g., descriptive statistics of survey data, significance testing of differences in estimates between subgroups, regression analysis) content analysis of the qualitative data, and a revi</w:t>
      </w:r>
      <w:r>
        <w:rPr>
          <w:rFonts w:ascii="Times New Roman" w:hAnsi="Times New Roman" w:cs="Times New Roman"/>
          <w:sz w:val="24"/>
          <w:szCs w:val="24"/>
        </w:rPr>
        <w:t>ew of administrative documents.</w:t>
      </w:r>
    </w:p>
    <w:p w14:paraId="12CA8F7C" w14:textId="77777777" w:rsidR="00DD714D" w:rsidRPr="00DD714D" w:rsidRDefault="00DD714D" w:rsidP="00DD714D">
      <w:pPr>
        <w:rPr>
          <w:rFonts w:ascii="Times New Roman" w:hAnsi="Times New Roman" w:cs="Times New Roman"/>
          <w:sz w:val="24"/>
          <w:szCs w:val="24"/>
        </w:rPr>
      </w:pPr>
      <w:r w:rsidRPr="00DD714D">
        <w:rPr>
          <w:rFonts w:ascii="Times New Roman" w:hAnsi="Times New Roman" w:cs="Times New Roman"/>
          <w:b/>
          <w:sz w:val="24"/>
          <w:szCs w:val="24"/>
        </w:rPr>
        <w:t>Summary of Survey Results.</w:t>
      </w:r>
      <w:r w:rsidR="00E40672">
        <w:rPr>
          <w:rFonts w:ascii="Times New Roman" w:hAnsi="Times New Roman" w:cs="Times New Roman"/>
          <w:sz w:val="24"/>
          <w:szCs w:val="24"/>
        </w:rPr>
        <w:t xml:space="preserve"> The study team</w:t>
      </w:r>
      <w:r w:rsidRPr="00DD714D">
        <w:rPr>
          <w:rFonts w:ascii="Times New Roman" w:hAnsi="Times New Roman" w:cs="Times New Roman"/>
          <w:sz w:val="24"/>
          <w:szCs w:val="24"/>
        </w:rPr>
        <w:t xml:space="preserve"> will administer the customer satisfaction survey annually for three years. Upon the completi</w:t>
      </w:r>
      <w:r w:rsidR="00E40672">
        <w:rPr>
          <w:rFonts w:ascii="Times New Roman" w:hAnsi="Times New Roman" w:cs="Times New Roman"/>
          <w:sz w:val="24"/>
          <w:szCs w:val="24"/>
        </w:rPr>
        <w:t>on of each annual survey, the study team</w:t>
      </w:r>
      <w:r w:rsidRPr="00DD714D">
        <w:rPr>
          <w:rFonts w:ascii="Times New Roman" w:hAnsi="Times New Roman" w:cs="Times New Roman"/>
          <w:sz w:val="24"/>
          <w:szCs w:val="24"/>
        </w:rPr>
        <w:t xml:space="preserve"> will pr</w:t>
      </w:r>
      <w:r w:rsidR="002B67E5">
        <w:rPr>
          <w:rFonts w:ascii="Times New Roman" w:hAnsi="Times New Roman" w:cs="Times New Roman"/>
          <w:sz w:val="24"/>
          <w:szCs w:val="24"/>
        </w:rPr>
        <w:t xml:space="preserve">epare </w:t>
      </w:r>
      <w:r w:rsidRPr="00DD714D">
        <w:rPr>
          <w:rFonts w:ascii="Times New Roman" w:hAnsi="Times New Roman" w:cs="Times New Roman"/>
          <w:sz w:val="24"/>
          <w:szCs w:val="24"/>
        </w:rPr>
        <w:t xml:space="preserve">a </w:t>
      </w:r>
      <w:r w:rsidR="002B67E5">
        <w:rPr>
          <w:rFonts w:ascii="Times New Roman" w:hAnsi="Times New Roman" w:cs="Times New Roman"/>
          <w:sz w:val="24"/>
          <w:szCs w:val="24"/>
        </w:rPr>
        <w:t xml:space="preserve">comprehensive </w:t>
      </w:r>
      <w:r w:rsidRPr="00DD714D">
        <w:rPr>
          <w:rFonts w:ascii="Times New Roman" w:hAnsi="Times New Roman" w:cs="Times New Roman"/>
          <w:sz w:val="24"/>
          <w:szCs w:val="24"/>
        </w:rPr>
        <w:t xml:space="preserve">summary of the results. These </w:t>
      </w:r>
      <w:r w:rsidR="002B67E5">
        <w:rPr>
          <w:rFonts w:ascii="Times New Roman" w:hAnsi="Times New Roman" w:cs="Times New Roman"/>
          <w:sz w:val="24"/>
          <w:szCs w:val="24"/>
        </w:rPr>
        <w:t xml:space="preserve">annual </w:t>
      </w:r>
      <w:r w:rsidRPr="00DD714D">
        <w:rPr>
          <w:rFonts w:ascii="Times New Roman" w:hAnsi="Times New Roman" w:cs="Times New Roman"/>
          <w:sz w:val="24"/>
          <w:szCs w:val="24"/>
        </w:rPr>
        <w:t xml:space="preserve">summaries will include an explanation of the methodology used as well as descriptive statistics. </w:t>
      </w:r>
    </w:p>
    <w:p w14:paraId="7FEF549F" w14:textId="77777777" w:rsidR="00DD714D" w:rsidRPr="00DD714D" w:rsidRDefault="00DD714D" w:rsidP="00DD714D">
      <w:pPr>
        <w:rPr>
          <w:rFonts w:ascii="Times New Roman" w:hAnsi="Times New Roman" w:cs="Times New Roman"/>
          <w:sz w:val="24"/>
          <w:szCs w:val="24"/>
        </w:rPr>
      </w:pPr>
      <w:r w:rsidRPr="00DD714D">
        <w:rPr>
          <w:rFonts w:ascii="Times New Roman" w:hAnsi="Times New Roman" w:cs="Times New Roman"/>
          <w:b/>
          <w:sz w:val="24"/>
          <w:szCs w:val="24"/>
        </w:rPr>
        <w:t>Interim and Final Reports.</w:t>
      </w:r>
      <w:r w:rsidRPr="00DD714D">
        <w:rPr>
          <w:rFonts w:ascii="Times New Roman" w:hAnsi="Times New Roman" w:cs="Times New Roman"/>
          <w:sz w:val="24"/>
          <w:szCs w:val="24"/>
        </w:rPr>
        <w:t xml:space="preserve"> The interim and final reports will provide key document</w:t>
      </w:r>
      <w:r w:rsidR="002B67E5">
        <w:rPr>
          <w:rFonts w:ascii="Times New Roman" w:hAnsi="Times New Roman" w:cs="Times New Roman"/>
          <w:sz w:val="24"/>
          <w:szCs w:val="24"/>
        </w:rPr>
        <w:t>ation</w:t>
      </w:r>
      <w:r w:rsidRPr="00DD714D">
        <w:rPr>
          <w:rFonts w:ascii="Times New Roman" w:hAnsi="Times New Roman" w:cs="Times New Roman"/>
          <w:sz w:val="24"/>
          <w:szCs w:val="24"/>
        </w:rPr>
        <w:t xml:space="preserve"> o</w:t>
      </w:r>
      <w:r w:rsidR="002B67E5">
        <w:rPr>
          <w:rFonts w:ascii="Times New Roman" w:hAnsi="Times New Roman" w:cs="Times New Roman"/>
          <w:sz w:val="24"/>
          <w:szCs w:val="24"/>
        </w:rPr>
        <w:t>f</w:t>
      </w:r>
      <w:r w:rsidRPr="00DD714D">
        <w:rPr>
          <w:rFonts w:ascii="Times New Roman" w:hAnsi="Times New Roman" w:cs="Times New Roman"/>
          <w:sz w:val="24"/>
          <w:szCs w:val="24"/>
        </w:rPr>
        <w:t xml:space="preserve"> the data collecti</w:t>
      </w:r>
      <w:r w:rsidR="00E40672">
        <w:rPr>
          <w:rFonts w:ascii="Times New Roman" w:hAnsi="Times New Roman" w:cs="Times New Roman"/>
          <w:sz w:val="24"/>
          <w:szCs w:val="24"/>
        </w:rPr>
        <w:t>on activities and findings. The reports</w:t>
      </w:r>
      <w:r w:rsidRPr="00DD714D">
        <w:rPr>
          <w:rFonts w:ascii="Times New Roman" w:hAnsi="Times New Roman" w:cs="Times New Roman"/>
          <w:sz w:val="24"/>
          <w:szCs w:val="24"/>
        </w:rPr>
        <w:t xml:space="preserve"> will include an overview of the study, a description of data collection, a summary of the data used in the analyses and methodology, major findings, and implications of the findings. In addition, both the interim and final reports will also inc</w:t>
      </w:r>
      <w:r w:rsidR="00E40672">
        <w:rPr>
          <w:rFonts w:ascii="Times New Roman" w:hAnsi="Times New Roman" w:cs="Times New Roman"/>
          <w:sz w:val="24"/>
          <w:szCs w:val="24"/>
        </w:rPr>
        <w:t>lude a 150-word abstract. The study team</w:t>
      </w:r>
      <w:r w:rsidRPr="00DD714D">
        <w:rPr>
          <w:rFonts w:ascii="Times New Roman" w:hAnsi="Times New Roman" w:cs="Times New Roman"/>
          <w:sz w:val="24"/>
          <w:szCs w:val="24"/>
        </w:rPr>
        <w:t xml:space="preserve"> will </w:t>
      </w:r>
      <w:r w:rsidR="002B67E5">
        <w:rPr>
          <w:rFonts w:ascii="Times New Roman" w:hAnsi="Times New Roman" w:cs="Times New Roman"/>
          <w:sz w:val="24"/>
          <w:szCs w:val="24"/>
        </w:rPr>
        <w:t>prepare</w:t>
      </w:r>
      <w:r w:rsidRPr="00DD714D">
        <w:rPr>
          <w:rFonts w:ascii="Times New Roman" w:hAnsi="Times New Roman" w:cs="Times New Roman"/>
          <w:sz w:val="24"/>
          <w:szCs w:val="24"/>
        </w:rPr>
        <w:t xml:space="preserve"> a detailed outline of the interim report in Year 3, based on the findings from the dat</w:t>
      </w:r>
      <w:r w:rsidR="00E40672">
        <w:rPr>
          <w:rFonts w:ascii="Times New Roman" w:hAnsi="Times New Roman" w:cs="Times New Roman"/>
          <w:sz w:val="24"/>
          <w:szCs w:val="24"/>
        </w:rPr>
        <w:t>a collected up to that point. The study team</w:t>
      </w:r>
      <w:r w:rsidRPr="00DD714D">
        <w:rPr>
          <w:rFonts w:ascii="Times New Roman" w:hAnsi="Times New Roman" w:cs="Times New Roman"/>
          <w:sz w:val="24"/>
          <w:szCs w:val="24"/>
        </w:rPr>
        <w:t xml:space="preserve"> will </w:t>
      </w:r>
      <w:r w:rsidR="002B67E5">
        <w:rPr>
          <w:rFonts w:ascii="Times New Roman" w:hAnsi="Times New Roman" w:cs="Times New Roman"/>
          <w:sz w:val="24"/>
          <w:szCs w:val="24"/>
        </w:rPr>
        <w:t xml:space="preserve">prepare </w:t>
      </w:r>
      <w:r w:rsidRPr="00DD714D">
        <w:rPr>
          <w:rFonts w:ascii="Times New Roman" w:hAnsi="Times New Roman" w:cs="Times New Roman"/>
          <w:sz w:val="24"/>
          <w:szCs w:val="24"/>
        </w:rPr>
        <w:t xml:space="preserve">a </w:t>
      </w:r>
      <w:r w:rsidR="002B67E5">
        <w:rPr>
          <w:rFonts w:ascii="Times New Roman" w:hAnsi="Times New Roman" w:cs="Times New Roman"/>
          <w:sz w:val="24"/>
          <w:szCs w:val="24"/>
        </w:rPr>
        <w:t>f</w:t>
      </w:r>
      <w:r w:rsidRPr="00DD714D">
        <w:rPr>
          <w:rFonts w:ascii="Times New Roman" w:hAnsi="Times New Roman" w:cs="Times New Roman"/>
          <w:sz w:val="24"/>
          <w:szCs w:val="24"/>
        </w:rPr>
        <w:t xml:space="preserve">inal draft </w:t>
      </w:r>
      <w:r w:rsidR="002B67E5">
        <w:rPr>
          <w:rFonts w:ascii="Times New Roman" w:hAnsi="Times New Roman" w:cs="Times New Roman"/>
          <w:sz w:val="24"/>
          <w:szCs w:val="24"/>
        </w:rPr>
        <w:t>report describing the overall study findings and methodology. The fin</w:t>
      </w:r>
      <w:r w:rsidRPr="00DD714D">
        <w:rPr>
          <w:rFonts w:ascii="Times New Roman" w:hAnsi="Times New Roman" w:cs="Times New Roman"/>
          <w:sz w:val="24"/>
          <w:szCs w:val="24"/>
        </w:rPr>
        <w:t>al report will build upon the interim report, providing updated findings based on new data and comparisons over time. The process for the final report will be similar to that for the interim report with a detailed outline submitted by month 55 (Year 5), a draft report submitted by month 57, and the revised final version submitted by month 59 (at least 30 days prior to contract end).</w:t>
      </w:r>
    </w:p>
    <w:p w14:paraId="1B8E4A08" w14:textId="77777777" w:rsidR="00397728"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Reason(s) Display of OMB Expiration Date is Inappropriate</w:t>
      </w:r>
    </w:p>
    <w:p w14:paraId="3CBAC888" w14:textId="77777777" w:rsidR="0096180F" w:rsidRPr="002C0EDA" w:rsidRDefault="00A32EE0" w:rsidP="00DC2252">
      <w:pPr>
        <w:rPr>
          <w:rFonts w:ascii="Times New Roman" w:hAnsi="Times New Roman" w:cs="Times New Roman"/>
          <w:sz w:val="24"/>
          <w:szCs w:val="24"/>
        </w:rPr>
      </w:pPr>
      <w:r w:rsidRPr="002C0EDA">
        <w:rPr>
          <w:rFonts w:ascii="Times New Roman" w:hAnsi="Times New Roman" w:cs="Times New Roman"/>
          <w:sz w:val="24"/>
          <w:szCs w:val="24"/>
        </w:rPr>
        <w:t>It is appropriate for the proposed data collection materials to display the OMB expiration date.</w:t>
      </w:r>
    </w:p>
    <w:p w14:paraId="64ABE903" w14:textId="77777777" w:rsidR="00397728" w:rsidRPr="002C0EDA" w:rsidRDefault="00397728" w:rsidP="00DC2252">
      <w:pPr>
        <w:numPr>
          <w:ilvl w:val="0"/>
          <w:numId w:val="1"/>
        </w:numPr>
        <w:ind w:left="0"/>
        <w:rPr>
          <w:rFonts w:ascii="Times New Roman" w:hAnsi="Times New Roman" w:cs="Times New Roman"/>
          <w:b/>
          <w:sz w:val="24"/>
          <w:szCs w:val="24"/>
        </w:rPr>
      </w:pPr>
      <w:r w:rsidRPr="002C0EDA">
        <w:rPr>
          <w:rFonts w:ascii="Times New Roman" w:hAnsi="Times New Roman" w:cs="Times New Roman"/>
          <w:b/>
          <w:sz w:val="24"/>
          <w:szCs w:val="24"/>
        </w:rPr>
        <w:t>Exceptions to Certification for Paperwork Reduction Act Submissions</w:t>
      </w:r>
    </w:p>
    <w:p w14:paraId="32170F9A" w14:textId="77777777" w:rsidR="0096180F" w:rsidRPr="002C0EDA" w:rsidRDefault="00AF3D3F" w:rsidP="00DC2252">
      <w:pPr>
        <w:rPr>
          <w:rFonts w:ascii="Times New Roman" w:hAnsi="Times New Roman" w:cs="Times New Roman"/>
          <w:sz w:val="24"/>
          <w:szCs w:val="24"/>
        </w:rPr>
      </w:pPr>
      <w:r w:rsidRPr="002C0EDA">
        <w:rPr>
          <w:rFonts w:ascii="Times New Roman" w:hAnsi="Times New Roman" w:cs="Times New Roman"/>
          <w:sz w:val="24"/>
          <w:szCs w:val="24"/>
        </w:rPr>
        <w:t xml:space="preserve">We are not requesting any exceptions to </w:t>
      </w:r>
      <w:r w:rsidR="00DE0F41" w:rsidRPr="002C0EDA">
        <w:rPr>
          <w:rFonts w:ascii="Times New Roman" w:hAnsi="Times New Roman" w:cs="Times New Roman"/>
          <w:sz w:val="24"/>
          <w:szCs w:val="24"/>
        </w:rPr>
        <w:t xml:space="preserve">certification under the </w:t>
      </w:r>
      <w:r w:rsidRPr="002C0EDA">
        <w:rPr>
          <w:rFonts w:ascii="Times New Roman" w:hAnsi="Times New Roman" w:cs="Times New Roman"/>
          <w:sz w:val="24"/>
          <w:szCs w:val="24"/>
        </w:rPr>
        <w:t>Paperwork Reduction Act</w:t>
      </w:r>
      <w:r w:rsidR="00DE0F41" w:rsidRPr="002C0EDA">
        <w:rPr>
          <w:rFonts w:ascii="Times New Roman" w:hAnsi="Times New Roman" w:cs="Times New Roman"/>
          <w:sz w:val="24"/>
          <w:szCs w:val="24"/>
        </w:rPr>
        <w:t xml:space="preserve"> (PRA). Th</w:t>
      </w:r>
      <w:r w:rsidRPr="002C0EDA">
        <w:rPr>
          <w:rFonts w:ascii="Times New Roman" w:hAnsi="Times New Roman" w:cs="Times New Roman"/>
          <w:sz w:val="24"/>
          <w:szCs w:val="24"/>
        </w:rPr>
        <w:t xml:space="preserve">is </w:t>
      </w:r>
      <w:r w:rsidR="00DE0F41" w:rsidRPr="002C0EDA">
        <w:rPr>
          <w:rFonts w:ascii="Times New Roman" w:hAnsi="Times New Roman" w:cs="Times New Roman"/>
          <w:sz w:val="24"/>
          <w:szCs w:val="24"/>
        </w:rPr>
        <w:t xml:space="preserve">package </w:t>
      </w:r>
      <w:r w:rsidRPr="002C0EDA">
        <w:rPr>
          <w:rFonts w:ascii="Times New Roman" w:hAnsi="Times New Roman" w:cs="Times New Roman"/>
          <w:sz w:val="24"/>
          <w:szCs w:val="24"/>
        </w:rPr>
        <w:t xml:space="preserve">is our submission </w:t>
      </w:r>
      <w:r w:rsidR="00DE0F41" w:rsidRPr="002C0EDA">
        <w:rPr>
          <w:rFonts w:ascii="Times New Roman" w:hAnsi="Times New Roman" w:cs="Times New Roman"/>
          <w:sz w:val="24"/>
          <w:szCs w:val="24"/>
        </w:rPr>
        <w:t>to comply</w:t>
      </w:r>
      <w:r w:rsidRPr="002C0EDA">
        <w:rPr>
          <w:rFonts w:ascii="Times New Roman" w:hAnsi="Times New Roman" w:cs="Times New Roman"/>
          <w:sz w:val="24"/>
          <w:szCs w:val="24"/>
        </w:rPr>
        <w:t xml:space="preserve"> with the PRA</w:t>
      </w:r>
      <w:r w:rsidR="0096180F" w:rsidRPr="002C0EDA">
        <w:rPr>
          <w:rFonts w:ascii="Times New Roman" w:hAnsi="Times New Roman" w:cs="Times New Roman"/>
          <w:sz w:val="24"/>
          <w:szCs w:val="24"/>
        </w:rPr>
        <w:t>.</w:t>
      </w:r>
    </w:p>
    <w:sectPr w:rsidR="0096180F" w:rsidRPr="002C0EDA" w:rsidSect="00D77B87">
      <w:headerReference w:type="default" r:id="rId9"/>
      <w:footerReference w:type="default" r:id="rId10"/>
      <w:headerReference w:type="firs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938C3" w14:textId="77777777" w:rsidR="00C50722" w:rsidRDefault="00C50722" w:rsidP="00E32C1D">
      <w:pPr>
        <w:spacing w:after="0" w:line="240" w:lineRule="auto"/>
      </w:pPr>
      <w:r>
        <w:separator/>
      </w:r>
    </w:p>
  </w:endnote>
  <w:endnote w:type="continuationSeparator" w:id="0">
    <w:p w14:paraId="6A24CC71" w14:textId="77777777" w:rsidR="00C50722" w:rsidRDefault="00C50722" w:rsidP="00E32C1D">
      <w:pPr>
        <w:spacing w:after="0" w:line="240" w:lineRule="auto"/>
      </w:pPr>
      <w:r>
        <w:continuationSeparator/>
      </w:r>
    </w:p>
  </w:endnote>
  <w:endnote w:type="continuationNotice" w:id="1">
    <w:p w14:paraId="19AEC848" w14:textId="77777777" w:rsidR="00C50722" w:rsidRDefault="00C50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26235"/>
      <w:docPartObj>
        <w:docPartGallery w:val="Page Numbers (Bottom of Page)"/>
        <w:docPartUnique/>
      </w:docPartObj>
    </w:sdtPr>
    <w:sdtEndPr>
      <w:rPr>
        <w:rFonts w:ascii="Times New Roman" w:hAnsi="Times New Roman" w:cs="Times New Roman"/>
        <w:noProof/>
      </w:rPr>
    </w:sdtEndPr>
    <w:sdtContent>
      <w:p w14:paraId="5E74431D" w14:textId="19C4B24E" w:rsidR="008F68EB" w:rsidRPr="00DC2252" w:rsidRDefault="00AB04C7">
        <w:pPr>
          <w:pStyle w:val="Footer"/>
          <w:jc w:val="center"/>
          <w:rPr>
            <w:rFonts w:ascii="Times New Roman" w:hAnsi="Times New Roman" w:cs="Times New Roman"/>
          </w:rPr>
        </w:pPr>
        <w:r w:rsidRPr="00DC2252">
          <w:rPr>
            <w:rFonts w:ascii="Times New Roman" w:hAnsi="Times New Roman" w:cs="Times New Roman"/>
          </w:rPr>
          <w:fldChar w:fldCharType="begin"/>
        </w:r>
        <w:r w:rsidR="008F68EB" w:rsidRPr="00DC2252">
          <w:rPr>
            <w:rFonts w:ascii="Times New Roman" w:hAnsi="Times New Roman" w:cs="Times New Roman"/>
          </w:rPr>
          <w:instrText xml:space="preserve"> PAGE   \* MERGEFORMAT </w:instrText>
        </w:r>
        <w:r w:rsidRPr="00DC2252">
          <w:rPr>
            <w:rFonts w:ascii="Times New Roman" w:hAnsi="Times New Roman" w:cs="Times New Roman"/>
          </w:rPr>
          <w:fldChar w:fldCharType="separate"/>
        </w:r>
        <w:r w:rsidR="005D2F0F">
          <w:rPr>
            <w:rFonts w:ascii="Times New Roman" w:hAnsi="Times New Roman" w:cs="Times New Roman"/>
            <w:noProof/>
          </w:rPr>
          <w:t>7</w:t>
        </w:r>
        <w:r w:rsidRPr="00DC225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D74CE" w14:textId="77777777" w:rsidR="00C50722" w:rsidRDefault="00C50722" w:rsidP="00E32C1D">
      <w:pPr>
        <w:spacing w:after="0" w:line="240" w:lineRule="auto"/>
      </w:pPr>
      <w:r>
        <w:separator/>
      </w:r>
    </w:p>
  </w:footnote>
  <w:footnote w:type="continuationSeparator" w:id="0">
    <w:p w14:paraId="2797C895" w14:textId="77777777" w:rsidR="00C50722" w:rsidRDefault="00C50722" w:rsidP="00E32C1D">
      <w:pPr>
        <w:spacing w:after="0" w:line="240" w:lineRule="auto"/>
      </w:pPr>
      <w:r>
        <w:continuationSeparator/>
      </w:r>
    </w:p>
  </w:footnote>
  <w:footnote w:type="continuationNotice" w:id="1">
    <w:p w14:paraId="08E66606" w14:textId="77777777" w:rsidR="00C50722" w:rsidRDefault="00C50722">
      <w:pPr>
        <w:spacing w:after="0" w:line="240" w:lineRule="auto"/>
      </w:pPr>
    </w:p>
  </w:footnote>
  <w:footnote w:id="2">
    <w:p w14:paraId="132A01F0" w14:textId="5721F989" w:rsidR="007510B8" w:rsidRPr="007A0512" w:rsidRDefault="007510B8">
      <w:pPr>
        <w:pStyle w:val="FootnoteText"/>
        <w:rPr>
          <w:sz w:val="18"/>
          <w:szCs w:val="18"/>
        </w:rPr>
      </w:pPr>
      <w:r w:rsidRPr="007A0512">
        <w:rPr>
          <w:rFonts w:ascii="Times New Roman" w:hAnsi="Times New Roman" w:cs="Times New Roman"/>
          <w:sz w:val="18"/>
          <w:szCs w:val="18"/>
        </w:rPr>
        <w:footnoteRef/>
      </w:r>
      <w:r w:rsidRPr="007A0512">
        <w:rPr>
          <w:rFonts w:ascii="Times New Roman" w:hAnsi="Times New Roman" w:cs="Times New Roman"/>
          <w:sz w:val="18"/>
          <w:szCs w:val="18"/>
        </w:rPr>
        <w:t xml:space="preserve"> </w:t>
      </w:r>
      <w:r w:rsidRPr="005D2F0F">
        <w:rPr>
          <w:rFonts w:ascii="Times New Roman" w:hAnsi="Times New Roman" w:cs="Times New Roman"/>
          <w:sz w:val="16"/>
          <w:szCs w:val="16"/>
        </w:rPr>
        <w:t>The average hourly wage rates were obtained using the latest Occupational Employment Statistics data on wages, adjusted for inflation</w:t>
      </w:r>
      <w:r w:rsidR="005D2F0F" w:rsidRPr="005D2F0F">
        <w:rPr>
          <w:rFonts w:ascii="Times New Roman" w:hAnsi="Times New Roman" w:cs="Times New Roman"/>
          <w:sz w:val="16"/>
          <w:szCs w:val="16"/>
        </w:rPr>
        <w:t>.</w:t>
      </w:r>
      <w:r w:rsidRPr="005D2F0F">
        <w:rPr>
          <w:rFonts w:ascii="Times New Roman" w:hAnsi="Times New Roman" w:cs="Times New Roman"/>
          <w:sz w:val="16"/>
          <w:szCs w:val="16"/>
        </w:rPr>
        <w:t xml:space="preserve"> Bureau of Labor Statistics, “Occupational Employment Statistics—May 2016 National Occupational Employment and Wage Estimates” (https://www.bls.gov/oes/current/oes_nat.htm#00-0000)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F33F0" w14:textId="77777777" w:rsidR="00B237BF" w:rsidRPr="00B237BF" w:rsidRDefault="00B237BF" w:rsidP="00B237BF">
    <w:pPr>
      <w:pStyle w:val="Header"/>
      <w:rPr>
        <w:rFonts w:ascii="Times New Roman" w:hAnsi="Times New Roman" w:cs="Times New Roman"/>
        <w:sz w:val="18"/>
        <w:szCs w:val="18"/>
      </w:rPr>
    </w:pPr>
    <w:r w:rsidRPr="00B237BF">
      <w:rPr>
        <w:rFonts w:ascii="Times New Roman" w:hAnsi="Times New Roman" w:cs="Times New Roman"/>
        <w:sz w:val="18"/>
        <w:szCs w:val="18"/>
      </w:rPr>
      <w:t>A Study of Customer Satisfaction with Office of Disability Employment Policy (ODEP) Technical Assistance (TA) Centers</w:t>
    </w:r>
  </w:p>
  <w:p w14:paraId="40187480" w14:textId="77777777" w:rsidR="00B237BF" w:rsidRPr="00B237BF" w:rsidRDefault="00B237BF" w:rsidP="00B237BF">
    <w:pPr>
      <w:pStyle w:val="Header"/>
      <w:rPr>
        <w:rFonts w:ascii="Times New Roman" w:hAnsi="Times New Roman" w:cs="Times New Roman"/>
        <w:sz w:val="18"/>
        <w:szCs w:val="18"/>
      </w:rPr>
    </w:pPr>
    <w:r w:rsidRPr="00B237BF">
      <w:rPr>
        <w:rFonts w:ascii="Times New Roman" w:hAnsi="Times New Roman" w:cs="Times New Roman"/>
        <w:sz w:val="18"/>
        <w:szCs w:val="18"/>
      </w:rPr>
      <w:t xml:space="preserve">OMB No. 1230-0NEW </w:t>
    </w:r>
  </w:p>
  <w:p w14:paraId="7BB0A5F7" w14:textId="053A2513" w:rsidR="00B237BF" w:rsidRDefault="00B237BF" w:rsidP="00B237BF">
    <w:pPr>
      <w:pStyle w:val="Header"/>
      <w:spacing w:after="240"/>
    </w:pPr>
    <w:r w:rsidRPr="00B237BF">
      <w:rPr>
        <w:rFonts w:ascii="Times New Roman" w:hAnsi="Times New Roman" w:cs="Times New Roman"/>
        <w:sz w:val="18"/>
        <w:szCs w:val="18"/>
      </w:rP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61C9B" w14:textId="77777777" w:rsidR="00B237BF" w:rsidRPr="00B237BF" w:rsidRDefault="00B237BF" w:rsidP="00B237BF">
    <w:pPr>
      <w:pStyle w:val="Header"/>
      <w:rPr>
        <w:rFonts w:ascii="Times New Roman" w:hAnsi="Times New Roman" w:cs="Times New Roman"/>
        <w:sz w:val="18"/>
        <w:szCs w:val="18"/>
      </w:rPr>
    </w:pPr>
    <w:r w:rsidRPr="00B237BF">
      <w:rPr>
        <w:rFonts w:ascii="Times New Roman" w:hAnsi="Times New Roman" w:cs="Times New Roman"/>
        <w:sz w:val="18"/>
        <w:szCs w:val="18"/>
      </w:rPr>
      <w:t>A Study of Customer Satisfaction with Office of Disability Employment Policy (ODEP) Technical Assistance (TA) Centers</w:t>
    </w:r>
  </w:p>
  <w:p w14:paraId="7CD44B15" w14:textId="77777777" w:rsidR="00B237BF" w:rsidRPr="00B237BF" w:rsidRDefault="00B237BF" w:rsidP="00B237BF">
    <w:pPr>
      <w:pStyle w:val="Header"/>
      <w:rPr>
        <w:rFonts w:ascii="Times New Roman" w:hAnsi="Times New Roman" w:cs="Times New Roman"/>
        <w:sz w:val="18"/>
        <w:szCs w:val="18"/>
      </w:rPr>
    </w:pPr>
    <w:r w:rsidRPr="00B237BF">
      <w:rPr>
        <w:rFonts w:ascii="Times New Roman" w:hAnsi="Times New Roman" w:cs="Times New Roman"/>
        <w:sz w:val="18"/>
        <w:szCs w:val="18"/>
      </w:rPr>
      <w:t xml:space="preserve">OMB No. 1230-0NEW </w:t>
    </w:r>
  </w:p>
  <w:p w14:paraId="7A0193FC" w14:textId="77517098" w:rsidR="008F68EB" w:rsidRPr="00B237BF" w:rsidRDefault="00B237BF" w:rsidP="005D2F0F">
    <w:pPr>
      <w:pStyle w:val="Header"/>
      <w:spacing w:after="240"/>
      <w:rPr>
        <w:rFonts w:ascii="Times New Roman" w:hAnsi="Times New Roman" w:cs="Times New Roman"/>
        <w:sz w:val="18"/>
        <w:szCs w:val="18"/>
      </w:rPr>
    </w:pPr>
    <w:r w:rsidRPr="00B237BF">
      <w:rPr>
        <w:rFonts w:ascii="Times New Roman" w:hAnsi="Times New Roman" w:cs="Times New Roman"/>
        <w:sz w:val="18"/>
        <w:szCs w:val="18"/>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FC8"/>
    <w:multiLevelType w:val="hybridMultilevel"/>
    <w:tmpl w:val="50DEE3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155D49D5"/>
    <w:multiLevelType w:val="hybridMultilevel"/>
    <w:tmpl w:val="8242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93423"/>
    <w:multiLevelType w:val="hybridMultilevel"/>
    <w:tmpl w:val="D7402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4F20D45"/>
    <w:multiLevelType w:val="hybridMultilevel"/>
    <w:tmpl w:val="EF24B7B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28852AA4"/>
    <w:multiLevelType w:val="hybridMultilevel"/>
    <w:tmpl w:val="16B69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B24B39"/>
    <w:multiLevelType w:val="hybridMultilevel"/>
    <w:tmpl w:val="2BD4C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0264F"/>
    <w:multiLevelType w:val="hybridMultilevel"/>
    <w:tmpl w:val="2722A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88252F"/>
    <w:multiLevelType w:val="hybridMultilevel"/>
    <w:tmpl w:val="7DC0BCBA"/>
    <w:lvl w:ilvl="0" w:tplc="BF62B6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EF2DAC"/>
    <w:multiLevelType w:val="hybridMultilevel"/>
    <w:tmpl w:val="C60E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532D06"/>
    <w:multiLevelType w:val="hybridMultilevel"/>
    <w:tmpl w:val="BF3E54F6"/>
    <w:lvl w:ilvl="0" w:tplc="75DAAC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E17008"/>
    <w:multiLevelType w:val="hybridMultilevel"/>
    <w:tmpl w:val="4A4A7590"/>
    <w:lvl w:ilvl="0" w:tplc="BF62B64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B67C8A"/>
    <w:multiLevelType w:val="hybridMultilevel"/>
    <w:tmpl w:val="2722A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D71E9"/>
    <w:multiLevelType w:val="hybridMultilevel"/>
    <w:tmpl w:val="F68E3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61F24"/>
    <w:multiLevelType w:val="multilevel"/>
    <w:tmpl w:val="B76A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FF63E3"/>
    <w:multiLevelType w:val="hybridMultilevel"/>
    <w:tmpl w:val="9C08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5A0EE4"/>
    <w:multiLevelType w:val="hybridMultilevel"/>
    <w:tmpl w:val="C5F4B6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F37B8D"/>
    <w:multiLevelType w:val="multilevel"/>
    <w:tmpl w:val="5FD0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8"/>
  </w:num>
  <w:num w:numId="4">
    <w:abstractNumId w:val="7"/>
  </w:num>
  <w:num w:numId="5">
    <w:abstractNumId w:val="10"/>
  </w:num>
  <w:num w:numId="6">
    <w:abstractNumId w:val="9"/>
  </w:num>
  <w:num w:numId="7">
    <w:abstractNumId w:val="3"/>
  </w:num>
  <w:num w:numId="8">
    <w:abstractNumId w:val="4"/>
  </w:num>
  <w:num w:numId="9">
    <w:abstractNumId w:val="2"/>
  </w:num>
  <w:num w:numId="10">
    <w:abstractNumId w:val="14"/>
  </w:num>
  <w:num w:numId="11">
    <w:abstractNumId w:val="2"/>
  </w:num>
  <w:num w:numId="12">
    <w:abstractNumId w:val="5"/>
  </w:num>
  <w:num w:numId="13">
    <w:abstractNumId w:val="1"/>
  </w:num>
  <w:num w:numId="14">
    <w:abstractNumId w:val="11"/>
  </w:num>
  <w:num w:numId="15">
    <w:abstractNumId w:val="6"/>
  </w:num>
  <w:num w:numId="16">
    <w:abstractNumId w:val="15"/>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28"/>
    <w:rsid w:val="00002FFB"/>
    <w:rsid w:val="00012C40"/>
    <w:rsid w:val="00015E85"/>
    <w:rsid w:val="00034027"/>
    <w:rsid w:val="00053BCB"/>
    <w:rsid w:val="00065464"/>
    <w:rsid w:val="00070115"/>
    <w:rsid w:val="00072C91"/>
    <w:rsid w:val="00077B32"/>
    <w:rsid w:val="00090744"/>
    <w:rsid w:val="00092015"/>
    <w:rsid w:val="0009430D"/>
    <w:rsid w:val="00097E8D"/>
    <w:rsid w:val="000A08CA"/>
    <w:rsid w:val="000B4787"/>
    <w:rsid w:val="000B5F12"/>
    <w:rsid w:val="000C1976"/>
    <w:rsid w:val="000C5DC2"/>
    <w:rsid w:val="000D199A"/>
    <w:rsid w:val="000D5A3F"/>
    <w:rsid w:val="000F2C46"/>
    <w:rsid w:val="0010110E"/>
    <w:rsid w:val="00110447"/>
    <w:rsid w:val="00125138"/>
    <w:rsid w:val="00126CEF"/>
    <w:rsid w:val="00130920"/>
    <w:rsid w:val="00137C8A"/>
    <w:rsid w:val="0014087A"/>
    <w:rsid w:val="00146C04"/>
    <w:rsid w:val="001506F0"/>
    <w:rsid w:val="00157E28"/>
    <w:rsid w:val="00161316"/>
    <w:rsid w:val="00162259"/>
    <w:rsid w:val="00165CD4"/>
    <w:rsid w:val="00171EEF"/>
    <w:rsid w:val="001908FD"/>
    <w:rsid w:val="00194ABD"/>
    <w:rsid w:val="001B4AEE"/>
    <w:rsid w:val="001B5156"/>
    <w:rsid w:val="001E5EA5"/>
    <w:rsid w:val="001F0796"/>
    <w:rsid w:val="001F60EF"/>
    <w:rsid w:val="002177D9"/>
    <w:rsid w:val="00220BB2"/>
    <w:rsid w:val="002267FD"/>
    <w:rsid w:val="00227B04"/>
    <w:rsid w:val="0025043F"/>
    <w:rsid w:val="002521D1"/>
    <w:rsid w:val="00256744"/>
    <w:rsid w:val="00272EFE"/>
    <w:rsid w:val="0027332D"/>
    <w:rsid w:val="00273F2E"/>
    <w:rsid w:val="002744F5"/>
    <w:rsid w:val="0028427E"/>
    <w:rsid w:val="002849DB"/>
    <w:rsid w:val="00295483"/>
    <w:rsid w:val="002A3273"/>
    <w:rsid w:val="002A514A"/>
    <w:rsid w:val="002B472A"/>
    <w:rsid w:val="002B67E5"/>
    <w:rsid w:val="002C0C76"/>
    <w:rsid w:val="002C0EDA"/>
    <w:rsid w:val="002C65A6"/>
    <w:rsid w:val="002D7D59"/>
    <w:rsid w:val="002E6831"/>
    <w:rsid w:val="0032236A"/>
    <w:rsid w:val="003246D9"/>
    <w:rsid w:val="0034439C"/>
    <w:rsid w:val="0034764B"/>
    <w:rsid w:val="003539B6"/>
    <w:rsid w:val="003542F1"/>
    <w:rsid w:val="00355B6B"/>
    <w:rsid w:val="00397728"/>
    <w:rsid w:val="00397A3D"/>
    <w:rsid w:val="003B6DB5"/>
    <w:rsid w:val="003C5742"/>
    <w:rsid w:val="003D5863"/>
    <w:rsid w:val="003E1A22"/>
    <w:rsid w:val="003F697F"/>
    <w:rsid w:val="00415EBB"/>
    <w:rsid w:val="004230A3"/>
    <w:rsid w:val="00423140"/>
    <w:rsid w:val="00431972"/>
    <w:rsid w:val="00432818"/>
    <w:rsid w:val="004519BC"/>
    <w:rsid w:val="0045275A"/>
    <w:rsid w:val="00466A16"/>
    <w:rsid w:val="004707B0"/>
    <w:rsid w:val="00494748"/>
    <w:rsid w:val="00496D85"/>
    <w:rsid w:val="004A1DA0"/>
    <w:rsid w:val="004A3C6C"/>
    <w:rsid w:val="004A7789"/>
    <w:rsid w:val="004C66AC"/>
    <w:rsid w:val="004D4FB2"/>
    <w:rsid w:val="004F1221"/>
    <w:rsid w:val="004F3C9D"/>
    <w:rsid w:val="00503C6B"/>
    <w:rsid w:val="00505251"/>
    <w:rsid w:val="00510775"/>
    <w:rsid w:val="00510CDE"/>
    <w:rsid w:val="00513993"/>
    <w:rsid w:val="005155C1"/>
    <w:rsid w:val="00540983"/>
    <w:rsid w:val="00541642"/>
    <w:rsid w:val="005513AB"/>
    <w:rsid w:val="005613BC"/>
    <w:rsid w:val="0056214A"/>
    <w:rsid w:val="00573C32"/>
    <w:rsid w:val="00575C2C"/>
    <w:rsid w:val="005761BB"/>
    <w:rsid w:val="00585699"/>
    <w:rsid w:val="00585E2F"/>
    <w:rsid w:val="005871FD"/>
    <w:rsid w:val="00595855"/>
    <w:rsid w:val="005A3C0B"/>
    <w:rsid w:val="005A5D59"/>
    <w:rsid w:val="005B1149"/>
    <w:rsid w:val="005B6FE8"/>
    <w:rsid w:val="005C030E"/>
    <w:rsid w:val="005C0948"/>
    <w:rsid w:val="005C3DA9"/>
    <w:rsid w:val="005D2F0F"/>
    <w:rsid w:val="005E5025"/>
    <w:rsid w:val="005E6019"/>
    <w:rsid w:val="005E7B0D"/>
    <w:rsid w:val="005F05F1"/>
    <w:rsid w:val="005F2E89"/>
    <w:rsid w:val="00602D2F"/>
    <w:rsid w:val="00611E8E"/>
    <w:rsid w:val="00612B8B"/>
    <w:rsid w:val="00613C2C"/>
    <w:rsid w:val="006240E2"/>
    <w:rsid w:val="00624ED9"/>
    <w:rsid w:val="0062593D"/>
    <w:rsid w:val="00627FF4"/>
    <w:rsid w:val="006317C6"/>
    <w:rsid w:val="006359C7"/>
    <w:rsid w:val="00642AA0"/>
    <w:rsid w:val="00642E21"/>
    <w:rsid w:val="0065134F"/>
    <w:rsid w:val="00662086"/>
    <w:rsid w:val="006656B5"/>
    <w:rsid w:val="00684109"/>
    <w:rsid w:val="00692461"/>
    <w:rsid w:val="00697597"/>
    <w:rsid w:val="006A3373"/>
    <w:rsid w:val="006B0DC4"/>
    <w:rsid w:val="006B1E0F"/>
    <w:rsid w:val="006C776C"/>
    <w:rsid w:val="006D6A29"/>
    <w:rsid w:val="006E278D"/>
    <w:rsid w:val="006E38DB"/>
    <w:rsid w:val="006E418E"/>
    <w:rsid w:val="006F6878"/>
    <w:rsid w:val="00702679"/>
    <w:rsid w:val="007225F5"/>
    <w:rsid w:val="00725FD7"/>
    <w:rsid w:val="00730529"/>
    <w:rsid w:val="00730604"/>
    <w:rsid w:val="00744249"/>
    <w:rsid w:val="007510B8"/>
    <w:rsid w:val="00751EFC"/>
    <w:rsid w:val="00765394"/>
    <w:rsid w:val="00767279"/>
    <w:rsid w:val="00772D68"/>
    <w:rsid w:val="007823BA"/>
    <w:rsid w:val="00785955"/>
    <w:rsid w:val="007A0512"/>
    <w:rsid w:val="007A696B"/>
    <w:rsid w:val="007C596F"/>
    <w:rsid w:val="007D2B0C"/>
    <w:rsid w:val="007E310A"/>
    <w:rsid w:val="007F0010"/>
    <w:rsid w:val="007F46C0"/>
    <w:rsid w:val="008034EB"/>
    <w:rsid w:val="008039BD"/>
    <w:rsid w:val="0083294F"/>
    <w:rsid w:val="008334C0"/>
    <w:rsid w:val="008412C9"/>
    <w:rsid w:val="00846421"/>
    <w:rsid w:val="0086383A"/>
    <w:rsid w:val="00871819"/>
    <w:rsid w:val="008748A3"/>
    <w:rsid w:val="00874FE2"/>
    <w:rsid w:val="008767FD"/>
    <w:rsid w:val="00890B41"/>
    <w:rsid w:val="008911ED"/>
    <w:rsid w:val="008A4379"/>
    <w:rsid w:val="008C3A71"/>
    <w:rsid w:val="008C3EDC"/>
    <w:rsid w:val="008C5ACD"/>
    <w:rsid w:val="008E0519"/>
    <w:rsid w:val="008E3B79"/>
    <w:rsid w:val="008F562C"/>
    <w:rsid w:val="008F68EB"/>
    <w:rsid w:val="009106D7"/>
    <w:rsid w:val="00915181"/>
    <w:rsid w:val="009308B0"/>
    <w:rsid w:val="00931008"/>
    <w:rsid w:val="009503F6"/>
    <w:rsid w:val="00960331"/>
    <w:rsid w:val="0096180F"/>
    <w:rsid w:val="009657D1"/>
    <w:rsid w:val="00967834"/>
    <w:rsid w:val="00970550"/>
    <w:rsid w:val="0099781A"/>
    <w:rsid w:val="009A392E"/>
    <w:rsid w:val="009B2C6E"/>
    <w:rsid w:val="009B773F"/>
    <w:rsid w:val="009B78D8"/>
    <w:rsid w:val="009C364F"/>
    <w:rsid w:val="009D64AD"/>
    <w:rsid w:val="009F281B"/>
    <w:rsid w:val="00A07837"/>
    <w:rsid w:val="00A32EE0"/>
    <w:rsid w:val="00A33762"/>
    <w:rsid w:val="00A640FA"/>
    <w:rsid w:val="00A753C5"/>
    <w:rsid w:val="00A82DDC"/>
    <w:rsid w:val="00A840D7"/>
    <w:rsid w:val="00A90385"/>
    <w:rsid w:val="00A920D9"/>
    <w:rsid w:val="00A937AE"/>
    <w:rsid w:val="00AB04C7"/>
    <w:rsid w:val="00AE6C89"/>
    <w:rsid w:val="00AF04CA"/>
    <w:rsid w:val="00AF0509"/>
    <w:rsid w:val="00AF0996"/>
    <w:rsid w:val="00AF1BAA"/>
    <w:rsid w:val="00AF3D3F"/>
    <w:rsid w:val="00AF663A"/>
    <w:rsid w:val="00B10823"/>
    <w:rsid w:val="00B108E0"/>
    <w:rsid w:val="00B2237F"/>
    <w:rsid w:val="00B237BF"/>
    <w:rsid w:val="00B459A5"/>
    <w:rsid w:val="00B5716C"/>
    <w:rsid w:val="00B64F4C"/>
    <w:rsid w:val="00B71BA6"/>
    <w:rsid w:val="00B733C1"/>
    <w:rsid w:val="00B77CAB"/>
    <w:rsid w:val="00B85071"/>
    <w:rsid w:val="00B90287"/>
    <w:rsid w:val="00B951B4"/>
    <w:rsid w:val="00BA3B50"/>
    <w:rsid w:val="00BA6A94"/>
    <w:rsid w:val="00BB37E8"/>
    <w:rsid w:val="00BB6C88"/>
    <w:rsid w:val="00BC1FE9"/>
    <w:rsid w:val="00BC2D71"/>
    <w:rsid w:val="00BD1ACD"/>
    <w:rsid w:val="00BD430B"/>
    <w:rsid w:val="00BD7F5F"/>
    <w:rsid w:val="00BE218A"/>
    <w:rsid w:val="00BF1F4F"/>
    <w:rsid w:val="00BF2621"/>
    <w:rsid w:val="00BF6A90"/>
    <w:rsid w:val="00C10BBF"/>
    <w:rsid w:val="00C3167B"/>
    <w:rsid w:val="00C36C64"/>
    <w:rsid w:val="00C50722"/>
    <w:rsid w:val="00C60354"/>
    <w:rsid w:val="00C65DFD"/>
    <w:rsid w:val="00C742FA"/>
    <w:rsid w:val="00C80790"/>
    <w:rsid w:val="00C81227"/>
    <w:rsid w:val="00CC043B"/>
    <w:rsid w:val="00CD4B05"/>
    <w:rsid w:val="00CD4B54"/>
    <w:rsid w:val="00CD7D98"/>
    <w:rsid w:val="00CE2795"/>
    <w:rsid w:val="00CE3B04"/>
    <w:rsid w:val="00CE4C4C"/>
    <w:rsid w:val="00CF69B2"/>
    <w:rsid w:val="00D003B8"/>
    <w:rsid w:val="00D02328"/>
    <w:rsid w:val="00D144DF"/>
    <w:rsid w:val="00D27D66"/>
    <w:rsid w:val="00D3066B"/>
    <w:rsid w:val="00D30D5B"/>
    <w:rsid w:val="00D44889"/>
    <w:rsid w:val="00D548E6"/>
    <w:rsid w:val="00D77B87"/>
    <w:rsid w:val="00D96306"/>
    <w:rsid w:val="00DA0D88"/>
    <w:rsid w:val="00DB2AF3"/>
    <w:rsid w:val="00DB7EAC"/>
    <w:rsid w:val="00DC2252"/>
    <w:rsid w:val="00DC230C"/>
    <w:rsid w:val="00DC57C0"/>
    <w:rsid w:val="00DD714D"/>
    <w:rsid w:val="00DE0F41"/>
    <w:rsid w:val="00DE5408"/>
    <w:rsid w:val="00DF2E12"/>
    <w:rsid w:val="00DF30AF"/>
    <w:rsid w:val="00DF57CF"/>
    <w:rsid w:val="00DF7646"/>
    <w:rsid w:val="00DF7792"/>
    <w:rsid w:val="00DF7927"/>
    <w:rsid w:val="00E251F6"/>
    <w:rsid w:val="00E32C1D"/>
    <w:rsid w:val="00E35AD7"/>
    <w:rsid w:val="00E40672"/>
    <w:rsid w:val="00E41042"/>
    <w:rsid w:val="00E51741"/>
    <w:rsid w:val="00E64A12"/>
    <w:rsid w:val="00E7024B"/>
    <w:rsid w:val="00E74B84"/>
    <w:rsid w:val="00E75856"/>
    <w:rsid w:val="00E8100F"/>
    <w:rsid w:val="00E82FE6"/>
    <w:rsid w:val="00E85E54"/>
    <w:rsid w:val="00E875B3"/>
    <w:rsid w:val="00E93BBF"/>
    <w:rsid w:val="00E94D77"/>
    <w:rsid w:val="00EA3AAA"/>
    <w:rsid w:val="00EB6F47"/>
    <w:rsid w:val="00EC323C"/>
    <w:rsid w:val="00EC5521"/>
    <w:rsid w:val="00EC5C23"/>
    <w:rsid w:val="00ED425E"/>
    <w:rsid w:val="00EE29B6"/>
    <w:rsid w:val="00F066A9"/>
    <w:rsid w:val="00F1671F"/>
    <w:rsid w:val="00F21D71"/>
    <w:rsid w:val="00F30411"/>
    <w:rsid w:val="00F47889"/>
    <w:rsid w:val="00F70DA6"/>
    <w:rsid w:val="00F92895"/>
    <w:rsid w:val="00F945F6"/>
    <w:rsid w:val="00F95D94"/>
    <w:rsid w:val="00F961FC"/>
    <w:rsid w:val="00FA3FE5"/>
    <w:rsid w:val="00FC7E61"/>
    <w:rsid w:val="00FD0489"/>
    <w:rsid w:val="00FD4C8A"/>
    <w:rsid w:val="00FE0D9C"/>
    <w:rsid w:val="00FE5929"/>
    <w:rsid w:val="00FF72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5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C7"/>
  </w:style>
  <w:style w:type="paragraph" w:styleId="Heading1">
    <w:name w:val="heading 1"/>
    <w:aliases w:val="Chapter title"/>
    <w:basedOn w:val="Normal"/>
    <w:next w:val="BodyTextFirstIndent"/>
    <w:link w:val="Heading1Char"/>
    <w:uiPriority w:val="99"/>
    <w:qFormat/>
    <w:rsid w:val="008C3EDC"/>
    <w:pPr>
      <w:keepNext/>
      <w:pageBreakBefore/>
      <w:suppressLineNumbers/>
      <w:pBdr>
        <w:bottom w:val="double" w:sz="4" w:space="1" w:color="auto"/>
      </w:pBdr>
      <w:spacing w:before="360" w:after="720" w:line="240" w:lineRule="auto"/>
      <w:jc w:val="center"/>
      <w:outlineLvl w:val="0"/>
    </w:pPr>
    <w:rPr>
      <w:rFonts w:cs="Times New Roman"/>
      <w:b/>
      <w:caps/>
      <w:sz w:val="28"/>
    </w:rPr>
  </w:style>
  <w:style w:type="paragraph" w:styleId="Heading2">
    <w:name w:val="heading 2"/>
    <w:aliases w:val="A-Head"/>
    <w:basedOn w:val="Normal"/>
    <w:next w:val="BodyTextFirstIndent"/>
    <w:link w:val="Heading2Char"/>
    <w:uiPriority w:val="99"/>
    <w:qFormat/>
    <w:rsid w:val="008C3EDC"/>
    <w:pPr>
      <w:keepNext/>
      <w:suppressLineNumbers/>
      <w:spacing w:before="360" w:after="360" w:line="240" w:lineRule="auto"/>
      <w:jc w:val="center"/>
      <w:outlineLvl w:val="1"/>
    </w:pPr>
    <w:rPr>
      <w:rFonts w:cs="Times New Roman"/>
      <w:b/>
      <w:caps/>
      <w:sz w:val="24"/>
    </w:rPr>
  </w:style>
  <w:style w:type="paragraph" w:styleId="Heading4">
    <w:name w:val="heading 4"/>
    <w:basedOn w:val="Normal"/>
    <w:next w:val="Normal"/>
    <w:link w:val="Heading4Char"/>
    <w:uiPriority w:val="9"/>
    <w:semiHidden/>
    <w:unhideWhenUsed/>
    <w:qFormat/>
    <w:rsid w:val="00B733C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rsid w:val="008C3EDC"/>
    <w:rPr>
      <w:rFonts w:cs="Times New Roman"/>
      <w:b/>
      <w:caps/>
      <w:sz w:val="28"/>
    </w:rPr>
  </w:style>
  <w:style w:type="paragraph" w:styleId="BodyText">
    <w:name w:val="Body Text"/>
    <w:basedOn w:val="Normal"/>
    <w:link w:val="BodyTextChar"/>
    <w:uiPriority w:val="99"/>
    <w:semiHidden/>
    <w:unhideWhenUsed/>
    <w:rsid w:val="008C3EDC"/>
    <w:pPr>
      <w:spacing w:after="120"/>
    </w:pPr>
  </w:style>
  <w:style w:type="character" w:customStyle="1" w:styleId="BodyTextChar">
    <w:name w:val="Body Text Char"/>
    <w:basedOn w:val="DefaultParagraphFont"/>
    <w:link w:val="BodyText"/>
    <w:uiPriority w:val="99"/>
    <w:semiHidden/>
    <w:rsid w:val="008C3EDC"/>
  </w:style>
  <w:style w:type="paragraph" w:styleId="BodyTextFirstIndent">
    <w:name w:val="Body Text First Indent"/>
    <w:basedOn w:val="BodyText"/>
    <w:link w:val="BodyTextFirstIndentChar"/>
    <w:uiPriority w:val="99"/>
    <w:semiHidden/>
    <w:unhideWhenUsed/>
    <w:rsid w:val="008C3EDC"/>
    <w:pPr>
      <w:spacing w:after="200"/>
      <w:ind w:firstLine="360"/>
    </w:pPr>
  </w:style>
  <w:style w:type="character" w:customStyle="1" w:styleId="BodyTextFirstIndentChar">
    <w:name w:val="Body Text First Indent Char"/>
    <w:basedOn w:val="BodyTextChar"/>
    <w:link w:val="BodyTextFirstIndent"/>
    <w:uiPriority w:val="99"/>
    <w:semiHidden/>
    <w:rsid w:val="008C3EDC"/>
  </w:style>
  <w:style w:type="character" w:customStyle="1" w:styleId="Heading2Char">
    <w:name w:val="Heading 2 Char"/>
    <w:aliases w:val="A-Head Char"/>
    <w:basedOn w:val="DefaultParagraphFont"/>
    <w:link w:val="Heading2"/>
    <w:uiPriority w:val="99"/>
    <w:rsid w:val="008C3EDC"/>
    <w:rPr>
      <w:rFonts w:cs="Times New Roman"/>
      <w:b/>
      <w:caps/>
      <w:sz w:val="24"/>
    </w:rPr>
  </w:style>
  <w:style w:type="paragraph" w:customStyle="1" w:styleId="Style1">
    <w:name w:val="Style1"/>
    <w:aliases w:val="chapter title"/>
    <w:basedOn w:val="Heading1"/>
    <w:link w:val="Style1Char"/>
    <w:qFormat/>
    <w:rsid w:val="006C776C"/>
    <w:rPr>
      <w:szCs w:val="20"/>
    </w:rPr>
  </w:style>
  <w:style w:type="character" w:customStyle="1" w:styleId="Style1Char">
    <w:name w:val="Style1 Char"/>
    <w:aliases w:val="chapter title Char"/>
    <w:basedOn w:val="Heading1Char"/>
    <w:link w:val="Style1"/>
    <w:rsid w:val="006C776C"/>
    <w:rPr>
      <w:rFonts w:cs="Times New Roman"/>
      <w:b/>
      <w:caps/>
      <w:sz w:val="28"/>
      <w:szCs w:val="20"/>
    </w:rPr>
  </w:style>
  <w:style w:type="paragraph" w:styleId="Header">
    <w:name w:val="header"/>
    <w:basedOn w:val="Normal"/>
    <w:link w:val="HeaderChar"/>
    <w:uiPriority w:val="99"/>
    <w:unhideWhenUsed/>
    <w:rsid w:val="0035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F1"/>
  </w:style>
  <w:style w:type="paragraph" w:styleId="ListParagraph">
    <w:name w:val="List Paragraph"/>
    <w:basedOn w:val="Normal"/>
    <w:uiPriority w:val="34"/>
    <w:qFormat/>
    <w:rsid w:val="00744249"/>
    <w:pPr>
      <w:ind w:left="720"/>
      <w:contextualSpacing/>
    </w:pPr>
  </w:style>
  <w:style w:type="paragraph" w:styleId="BalloonText">
    <w:name w:val="Balloon Text"/>
    <w:basedOn w:val="Normal"/>
    <w:link w:val="BalloonTextChar"/>
    <w:uiPriority w:val="99"/>
    <w:semiHidden/>
    <w:unhideWhenUsed/>
    <w:rsid w:val="00DA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88"/>
    <w:rPr>
      <w:rFonts w:ascii="Tahoma" w:hAnsi="Tahoma" w:cs="Tahoma"/>
      <w:sz w:val="16"/>
      <w:szCs w:val="16"/>
    </w:rPr>
  </w:style>
  <w:style w:type="paragraph" w:styleId="Footer">
    <w:name w:val="footer"/>
    <w:basedOn w:val="Normal"/>
    <w:link w:val="FooterChar"/>
    <w:uiPriority w:val="99"/>
    <w:unhideWhenUsed/>
    <w:rsid w:val="00E3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1D"/>
  </w:style>
  <w:style w:type="character" w:styleId="CommentReference">
    <w:name w:val="annotation reference"/>
    <w:basedOn w:val="DefaultParagraphFont"/>
    <w:uiPriority w:val="99"/>
    <w:semiHidden/>
    <w:unhideWhenUsed/>
    <w:rsid w:val="007F46C0"/>
    <w:rPr>
      <w:sz w:val="16"/>
      <w:szCs w:val="16"/>
    </w:rPr>
  </w:style>
  <w:style w:type="paragraph" w:styleId="CommentText">
    <w:name w:val="annotation text"/>
    <w:basedOn w:val="Normal"/>
    <w:link w:val="CommentTextChar"/>
    <w:uiPriority w:val="99"/>
    <w:unhideWhenUsed/>
    <w:rsid w:val="007F46C0"/>
    <w:pPr>
      <w:spacing w:line="240" w:lineRule="auto"/>
    </w:pPr>
    <w:rPr>
      <w:sz w:val="20"/>
      <w:szCs w:val="20"/>
    </w:rPr>
  </w:style>
  <w:style w:type="character" w:customStyle="1" w:styleId="CommentTextChar">
    <w:name w:val="Comment Text Char"/>
    <w:basedOn w:val="DefaultParagraphFont"/>
    <w:link w:val="CommentText"/>
    <w:uiPriority w:val="99"/>
    <w:rsid w:val="007F46C0"/>
    <w:rPr>
      <w:sz w:val="20"/>
      <w:szCs w:val="20"/>
    </w:rPr>
  </w:style>
  <w:style w:type="paragraph" w:styleId="CommentSubject">
    <w:name w:val="annotation subject"/>
    <w:basedOn w:val="CommentText"/>
    <w:next w:val="CommentText"/>
    <w:link w:val="CommentSubjectChar"/>
    <w:uiPriority w:val="99"/>
    <w:semiHidden/>
    <w:unhideWhenUsed/>
    <w:rsid w:val="007F46C0"/>
    <w:rPr>
      <w:b/>
      <w:bCs/>
    </w:rPr>
  </w:style>
  <w:style w:type="character" w:customStyle="1" w:styleId="CommentSubjectChar">
    <w:name w:val="Comment Subject Char"/>
    <w:basedOn w:val="CommentTextChar"/>
    <w:link w:val="CommentSubject"/>
    <w:uiPriority w:val="99"/>
    <w:semiHidden/>
    <w:rsid w:val="007F46C0"/>
    <w:rPr>
      <w:b/>
      <w:bCs/>
      <w:sz w:val="20"/>
      <w:szCs w:val="20"/>
    </w:rPr>
  </w:style>
  <w:style w:type="paragraph" w:customStyle="1" w:styleId="P1-StandPara">
    <w:name w:val="P1-Stand Para"/>
    <w:rsid w:val="00EC5521"/>
    <w:pPr>
      <w:spacing w:after="0" w:line="360" w:lineRule="atLeast"/>
      <w:ind w:firstLine="1152"/>
      <w:jc w:val="both"/>
    </w:pPr>
    <w:rPr>
      <w:rFonts w:ascii="Times New Roman" w:eastAsia="Times New Roman" w:hAnsi="Times New Roman" w:cs="Times New Roman"/>
      <w:szCs w:val="20"/>
    </w:rPr>
  </w:style>
  <w:style w:type="character" w:customStyle="1" w:styleId="ninetypercent">
    <w:name w:val="ninetypercent"/>
    <w:basedOn w:val="DefaultParagraphFont"/>
    <w:rsid w:val="009C364F"/>
  </w:style>
  <w:style w:type="paragraph" w:customStyle="1" w:styleId="L1-FlLSp12">
    <w:name w:val="L1-FlL Sp&amp;1/2"/>
    <w:basedOn w:val="Normal"/>
    <w:link w:val="L1-FlLSp12Char"/>
    <w:rsid w:val="0014087A"/>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14087A"/>
    <w:rPr>
      <w:rFonts w:ascii="Garamond" w:eastAsia="Times New Roman" w:hAnsi="Garamond" w:cs="Times New Roman"/>
      <w:sz w:val="24"/>
      <w:szCs w:val="20"/>
    </w:rPr>
  </w:style>
  <w:style w:type="paragraph" w:customStyle="1" w:styleId="N0-FlLftBullet">
    <w:name w:val="N0-Fl Lft Bullet"/>
    <w:basedOn w:val="Normal"/>
    <w:rsid w:val="000D5A3F"/>
    <w:pPr>
      <w:spacing w:after="120" w:line="240" w:lineRule="atLeast"/>
      <w:ind w:left="547" w:hanging="547"/>
    </w:pPr>
    <w:rPr>
      <w:rFonts w:ascii="Times New Roman" w:eastAsia="Times New Roman" w:hAnsi="Times New Roman" w:cs="Times New Roman"/>
      <w:sz w:val="24"/>
      <w:szCs w:val="24"/>
    </w:rPr>
  </w:style>
  <w:style w:type="paragraph" w:customStyle="1" w:styleId="SL-FlLftSgl">
    <w:name w:val="SL-Fl Lft Sgl"/>
    <w:basedOn w:val="Normal"/>
    <w:rsid w:val="00BF2621"/>
    <w:pPr>
      <w:spacing w:after="0" w:line="240" w:lineRule="atLeast"/>
    </w:pPr>
    <w:rPr>
      <w:rFonts w:ascii="Garamond" w:eastAsia="Times New Roman" w:hAnsi="Garamond" w:cs="Times New Roman"/>
      <w:sz w:val="24"/>
      <w:szCs w:val="20"/>
    </w:rPr>
  </w:style>
  <w:style w:type="paragraph" w:customStyle="1" w:styleId="N2-2ndBullet">
    <w:name w:val="N2-2nd Bullet"/>
    <w:basedOn w:val="Normal"/>
    <w:rsid w:val="00EC323C"/>
    <w:pPr>
      <w:tabs>
        <w:tab w:val="left" w:pos="1728"/>
      </w:tabs>
      <w:spacing w:after="240" w:line="240" w:lineRule="atLeast"/>
      <w:ind w:left="1728" w:hanging="576"/>
      <w:jc w:val="both"/>
    </w:pPr>
    <w:rPr>
      <w:rFonts w:ascii="Times New Roman" w:eastAsia="Times New Roman" w:hAnsi="Times New Roman" w:cs="Times New Roman"/>
      <w:szCs w:val="24"/>
    </w:rPr>
  </w:style>
  <w:style w:type="paragraph" w:customStyle="1" w:styleId="C2-CtrSglSp">
    <w:name w:val="C2-Ctr Sgl Sp"/>
    <w:basedOn w:val="Normal"/>
    <w:rsid w:val="008F68EB"/>
    <w:pPr>
      <w:keepLines/>
      <w:spacing w:after="0" w:line="280" w:lineRule="atLeast"/>
      <w:jc w:val="center"/>
    </w:pPr>
    <w:rPr>
      <w:rFonts w:ascii="Times New Roman" w:eastAsia="Times New Roman" w:hAnsi="Times New Roman" w:cs="Times New Roman"/>
    </w:rPr>
  </w:style>
  <w:style w:type="paragraph" w:customStyle="1" w:styleId="TT-TableTitle">
    <w:name w:val="TT-Table Title"/>
    <w:basedOn w:val="Heading2"/>
    <w:next w:val="SL-FlLftSgl"/>
    <w:link w:val="TT-TableTitleChar"/>
    <w:rsid w:val="008F68EB"/>
    <w:pPr>
      <w:suppressLineNumbers w:val="0"/>
      <w:pBdr>
        <w:top w:val="single" w:sz="4" w:space="3" w:color="FFFFFF" w:themeColor="background1"/>
        <w:left w:val="single" w:sz="4" w:space="10" w:color="FFFFFF" w:themeColor="background1"/>
        <w:right w:val="single" w:sz="4" w:space="4" w:color="FFFFFF" w:themeColor="background1"/>
      </w:pBdr>
      <w:spacing w:before="0" w:after="120" w:line="280" w:lineRule="atLeast"/>
      <w:ind w:left="1440" w:hanging="1440"/>
      <w:jc w:val="left"/>
    </w:pPr>
    <w:rPr>
      <w:rFonts w:ascii="Franklin Gothic Medium" w:eastAsia="Times New Roman" w:hAnsi="Franklin Gothic Medium"/>
      <w:caps w:val="0"/>
      <w:color w:val="14487C"/>
      <w:sz w:val="22"/>
      <w:szCs w:val="24"/>
    </w:rPr>
  </w:style>
  <w:style w:type="character" w:customStyle="1" w:styleId="TT-TableTitleChar">
    <w:name w:val="TT-Table Title Char"/>
    <w:link w:val="TT-TableTitle"/>
    <w:rsid w:val="008F68EB"/>
    <w:rPr>
      <w:rFonts w:ascii="Franklin Gothic Medium" w:eastAsia="Times New Roman" w:hAnsi="Franklin Gothic Medium" w:cs="Times New Roman"/>
      <w:b/>
      <w:color w:val="14487C"/>
      <w:szCs w:val="24"/>
    </w:rPr>
  </w:style>
  <w:style w:type="character" w:styleId="Hyperlink">
    <w:name w:val="Hyperlink"/>
    <w:basedOn w:val="DefaultParagraphFont"/>
    <w:uiPriority w:val="99"/>
    <w:unhideWhenUsed/>
    <w:rsid w:val="0083294F"/>
    <w:rPr>
      <w:color w:val="0000FF" w:themeColor="hyperlink"/>
      <w:u w:val="single"/>
    </w:rPr>
  </w:style>
  <w:style w:type="paragraph" w:styleId="Revision">
    <w:name w:val="Revision"/>
    <w:hidden/>
    <w:uiPriority w:val="99"/>
    <w:semiHidden/>
    <w:rsid w:val="00DF30AF"/>
    <w:pPr>
      <w:spacing w:after="0" w:line="240" w:lineRule="auto"/>
    </w:pPr>
  </w:style>
  <w:style w:type="paragraph" w:customStyle="1" w:styleId="NormalSS">
    <w:name w:val="NormalSS"/>
    <w:basedOn w:val="Normal"/>
    <w:link w:val="NormalSSChar"/>
    <w:qFormat/>
    <w:rsid w:val="00B733C1"/>
    <w:pPr>
      <w:tabs>
        <w:tab w:val="left" w:pos="432"/>
      </w:tabs>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locked/>
    <w:rsid w:val="00B733C1"/>
    <w:rPr>
      <w:rFonts w:ascii="Times New Roman" w:eastAsia="Times New Roman" w:hAnsi="Times New Roman" w:cs="Times New Roman"/>
      <w:sz w:val="24"/>
      <w:szCs w:val="20"/>
    </w:rPr>
  </w:style>
  <w:style w:type="table" w:customStyle="1" w:styleId="PlainTable21">
    <w:name w:val="Plain Table 21"/>
    <w:basedOn w:val="TableNormal"/>
    <w:uiPriority w:val="42"/>
    <w:rsid w:val="00B733C1"/>
    <w:pPr>
      <w:spacing w:after="0" w:line="240" w:lineRule="auto"/>
    </w:pPr>
    <w:rPr>
      <w:rFonts w:ascii="Calibri" w:eastAsia="Calibri" w:hAnsi="Calibri"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B733C1"/>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DD7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14D"/>
    <w:rPr>
      <w:sz w:val="20"/>
      <w:szCs w:val="20"/>
    </w:rPr>
  </w:style>
  <w:style w:type="character" w:styleId="FootnoteReference">
    <w:name w:val="footnote reference"/>
    <w:basedOn w:val="DefaultParagraphFont"/>
    <w:uiPriority w:val="99"/>
    <w:semiHidden/>
    <w:unhideWhenUsed/>
    <w:rsid w:val="00DD714D"/>
    <w:rPr>
      <w:vertAlign w:val="superscript"/>
    </w:rPr>
  </w:style>
  <w:style w:type="table" w:customStyle="1" w:styleId="PlainTable210">
    <w:name w:val="Plain Table 21"/>
    <w:basedOn w:val="TableNormal"/>
    <w:uiPriority w:val="42"/>
    <w:rsid w:val="004707B0"/>
    <w:pPr>
      <w:spacing w:after="0" w:line="240" w:lineRule="auto"/>
    </w:pPr>
    <w:rPr>
      <w:rFonts w:ascii="Calibri" w:eastAsia="Calibri" w:hAnsi="Calibri"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146C0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46C0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C7"/>
  </w:style>
  <w:style w:type="paragraph" w:styleId="Heading1">
    <w:name w:val="heading 1"/>
    <w:aliases w:val="Chapter title"/>
    <w:basedOn w:val="Normal"/>
    <w:next w:val="BodyTextFirstIndent"/>
    <w:link w:val="Heading1Char"/>
    <w:uiPriority w:val="99"/>
    <w:qFormat/>
    <w:rsid w:val="008C3EDC"/>
    <w:pPr>
      <w:keepNext/>
      <w:pageBreakBefore/>
      <w:suppressLineNumbers/>
      <w:pBdr>
        <w:bottom w:val="double" w:sz="4" w:space="1" w:color="auto"/>
      </w:pBdr>
      <w:spacing w:before="360" w:after="720" w:line="240" w:lineRule="auto"/>
      <w:jc w:val="center"/>
      <w:outlineLvl w:val="0"/>
    </w:pPr>
    <w:rPr>
      <w:rFonts w:cs="Times New Roman"/>
      <w:b/>
      <w:caps/>
      <w:sz w:val="28"/>
    </w:rPr>
  </w:style>
  <w:style w:type="paragraph" w:styleId="Heading2">
    <w:name w:val="heading 2"/>
    <w:aliases w:val="A-Head"/>
    <w:basedOn w:val="Normal"/>
    <w:next w:val="BodyTextFirstIndent"/>
    <w:link w:val="Heading2Char"/>
    <w:uiPriority w:val="99"/>
    <w:qFormat/>
    <w:rsid w:val="008C3EDC"/>
    <w:pPr>
      <w:keepNext/>
      <w:suppressLineNumbers/>
      <w:spacing w:before="360" w:after="360" w:line="240" w:lineRule="auto"/>
      <w:jc w:val="center"/>
      <w:outlineLvl w:val="1"/>
    </w:pPr>
    <w:rPr>
      <w:rFonts w:cs="Times New Roman"/>
      <w:b/>
      <w:caps/>
      <w:sz w:val="24"/>
    </w:rPr>
  </w:style>
  <w:style w:type="paragraph" w:styleId="Heading4">
    <w:name w:val="heading 4"/>
    <w:basedOn w:val="Normal"/>
    <w:next w:val="Normal"/>
    <w:link w:val="Heading4Char"/>
    <w:uiPriority w:val="9"/>
    <w:semiHidden/>
    <w:unhideWhenUsed/>
    <w:qFormat/>
    <w:rsid w:val="00B733C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9"/>
    <w:rsid w:val="008C3EDC"/>
    <w:rPr>
      <w:rFonts w:cs="Times New Roman"/>
      <w:b/>
      <w:caps/>
      <w:sz w:val="28"/>
    </w:rPr>
  </w:style>
  <w:style w:type="paragraph" w:styleId="BodyText">
    <w:name w:val="Body Text"/>
    <w:basedOn w:val="Normal"/>
    <w:link w:val="BodyTextChar"/>
    <w:uiPriority w:val="99"/>
    <w:semiHidden/>
    <w:unhideWhenUsed/>
    <w:rsid w:val="008C3EDC"/>
    <w:pPr>
      <w:spacing w:after="120"/>
    </w:pPr>
  </w:style>
  <w:style w:type="character" w:customStyle="1" w:styleId="BodyTextChar">
    <w:name w:val="Body Text Char"/>
    <w:basedOn w:val="DefaultParagraphFont"/>
    <w:link w:val="BodyText"/>
    <w:uiPriority w:val="99"/>
    <w:semiHidden/>
    <w:rsid w:val="008C3EDC"/>
  </w:style>
  <w:style w:type="paragraph" w:styleId="BodyTextFirstIndent">
    <w:name w:val="Body Text First Indent"/>
    <w:basedOn w:val="BodyText"/>
    <w:link w:val="BodyTextFirstIndentChar"/>
    <w:uiPriority w:val="99"/>
    <w:semiHidden/>
    <w:unhideWhenUsed/>
    <w:rsid w:val="008C3EDC"/>
    <w:pPr>
      <w:spacing w:after="200"/>
      <w:ind w:firstLine="360"/>
    </w:pPr>
  </w:style>
  <w:style w:type="character" w:customStyle="1" w:styleId="BodyTextFirstIndentChar">
    <w:name w:val="Body Text First Indent Char"/>
    <w:basedOn w:val="BodyTextChar"/>
    <w:link w:val="BodyTextFirstIndent"/>
    <w:uiPriority w:val="99"/>
    <w:semiHidden/>
    <w:rsid w:val="008C3EDC"/>
  </w:style>
  <w:style w:type="character" w:customStyle="1" w:styleId="Heading2Char">
    <w:name w:val="Heading 2 Char"/>
    <w:aliases w:val="A-Head Char"/>
    <w:basedOn w:val="DefaultParagraphFont"/>
    <w:link w:val="Heading2"/>
    <w:uiPriority w:val="99"/>
    <w:rsid w:val="008C3EDC"/>
    <w:rPr>
      <w:rFonts w:cs="Times New Roman"/>
      <w:b/>
      <w:caps/>
      <w:sz w:val="24"/>
    </w:rPr>
  </w:style>
  <w:style w:type="paragraph" w:customStyle="1" w:styleId="Style1">
    <w:name w:val="Style1"/>
    <w:aliases w:val="chapter title"/>
    <w:basedOn w:val="Heading1"/>
    <w:link w:val="Style1Char"/>
    <w:qFormat/>
    <w:rsid w:val="006C776C"/>
    <w:rPr>
      <w:szCs w:val="20"/>
    </w:rPr>
  </w:style>
  <w:style w:type="character" w:customStyle="1" w:styleId="Style1Char">
    <w:name w:val="Style1 Char"/>
    <w:aliases w:val="chapter title Char"/>
    <w:basedOn w:val="Heading1Char"/>
    <w:link w:val="Style1"/>
    <w:rsid w:val="006C776C"/>
    <w:rPr>
      <w:rFonts w:cs="Times New Roman"/>
      <w:b/>
      <w:caps/>
      <w:sz w:val="28"/>
      <w:szCs w:val="20"/>
    </w:rPr>
  </w:style>
  <w:style w:type="paragraph" w:styleId="Header">
    <w:name w:val="header"/>
    <w:basedOn w:val="Normal"/>
    <w:link w:val="HeaderChar"/>
    <w:uiPriority w:val="99"/>
    <w:unhideWhenUsed/>
    <w:rsid w:val="0035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F1"/>
  </w:style>
  <w:style w:type="paragraph" w:styleId="ListParagraph">
    <w:name w:val="List Paragraph"/>
    <w:basedOn w:val="Normal"/>
    <w:uiPriority w:val="34"/>
    <w:qFormat/>
    <w:rsid w:val="00744249"/>
    <w:pPr>
      <w:ind w:left="720"/>
      <w:contextualSpacing/>
    </w:pPr>
  </w:style>
  <w:style w:type="paragraph" w:styleId="BalloonText">
    <w:name w:val="Balloon Text"/>
    <w:basedOn w:val="Normal"/>
    <w:link w:val="BalloonTextChar"/>
    <w:uiPriority w:val="99"/>
    <w:semiHidden/>
    <w:unhideWhenUsed/>
    <w:rsid w:val="00DA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88"/>
    <w:rPr>
      <w:rFonts w:ascii="Tahoma" w:hAnsi="Tahoma" w:cs="Tahoma"/>
      <w:sz w:val="16"/>
      <w:szCs w:val="16"/>
    </w:rPr>
  </w:style>
  <w:style w:type="paragraph" w:styleId="Footer">
    <w:name w:val="footer"/>
    <w:basedOn w:val="Normal"/>
    <w:link w:val="FooterChar"/>
    <w:uiPriority w:val="99"/>
    <w:unhideWhenUsed/>
    <w:rsid w:val="00E3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1D"/>
  </w:style>
  <w:style w:type="character" w:styleId="CommentReference">
    <w:name w:val="annotation reference"/>
    <w:basedOn w:val="DefaultParagraphFont"/>
    <w:uiPriority w:val="99"/>
    <w:semiHidden/>
    <w:unhideWhenUsed/>
    <w:rsid w:val="007F46C0"/>
    <w:rPr>
      <w:sz w:val="16"/>
      <w:szCs w:val="16"/>
    </w:rPr>
  </w:style>
  <w:style w:type="paragraph" w:styleId="CommentText">
    <w:name w:val="annotation text"/>
    <w:basedOn w:val="Normal"/>
    <w:link w:val="CommentTextChar"/>
    <w:uiPriority w:val="99"/>
    <w:unhideWhenUsed/>
    <w:rsid w:val="007F46C0"/>
    <w:pPr>
      <w:spacing w:line="240" w:lineRule="auto"/>
    </w:pPr>
    <w:rPr>
      <w:sz w:val="20"/>
      <w:szCs w:val="20"/>
    </w:rPr>
  </w:style>
  <w:style w:type="character" w:customStyle="1" w:styleId="CommentTextChar">
    <w:name w:val="Comment Text Char"/>
    <w:basedOn w:val="DefaultParagraphFont"/>
    <w:link w:val="CommentText"/>
    <w:uiPriority w:val="99"/>
    <w:rsid w:val="007F46C0"/>
    <w:rPr>
      <w:sz w:val="20"/>
      <w:szCs w:val="20"/>
    </w:rPr>
  </w:style>
  <w:style w:type="paragraph" w:styleId="CommentSubject">
    <w:name w:val="annotation subject"/>
    <w:basedOn w:val="CommentText"/>
    <w:next w:val="CommentText"/>
    <w:link w:val="CommentSubjectChar"/>
    <w:uiPriority w:val="99"/>
    <w:semiHidden/>
    <w:unhideWhenUsed/>
    <w:rsid w:val="007F46C0"/>
    <w:rPr>
      <w:b/>
      <w:bCs/>
    </w:rPr>
  </w:style>
  <w:style w:type="character" w:customStyle="1" w:styleId="CommentSubjectChar">
    <w:name w:val="Comment Subject Char"/>
    <w:basedOn w:val="CommentTextChar"/>
    <w:link w:val="CommentSubject"/>
    <w:uiPriority w:val="99"/>
    <w:semiHidden/>
    <w:rsid w:val="007F46C0"/>
    <w:rPr>
      <w:b/>
      <w:bCs/>
      <w:sz w:val="20"/>
      <w:szCs w:val="20"/>
    </w:rPr>
  </w:style>
  <w:style w:type="paragraph" w:customStyle="1" w:styleId="P1-StandPara">
    <w:name w:val="P1-Stand Para"/>
    <w:rsid w:val="00EC5521"/>
    <w:pPr>
      <w:spacing w:after="0" w:line="360" w:lineRule="atLeast"/>
      <w:ind w:firstLine="1152"/>
      <w:jc w:val="both"/>
    </w:pPr>
    <w:rPr>
      <w:rFonts w:ascii="Times New Roman" w:eastAsia="Times New Roman" w:hAnsi="Times New Roman" w:cs="Times New Roman"/>
      <w:szCs w:val="20"/>
    </w:rPr>
  </w:style>
  <w:style w:type="character" w:customStyle="1" w:styleId="ninetypercent">
    <w:name w:val="ninetypercent"/>
    <w:basedOn w:val="DefaultParagraphFont"/>
    <w:rsid w:val="009C364F"/>
  </w:style>
  <w:style w:type="paragraph" w:customStyle="1" w:styleId="L1-FlLSp12">
    <w:name w:val="L1-FlL Sp&amp;1/2"/>
    <w:basedOn w:val="Normal"/>
    <w:link w:val="L1-FlLSp12Char"/>
    <w:rsid w:val="0014087A"/>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14087A"/>
    <w:rPr>
      <w:rFonts w:ascii="Garamond" w:eastAsia="Times New Roman" w:hAnsi="Garamond" w:cs="Times New Roman"/>
      <w:sz w:val="24"/>
      <w:szCs w:val="20"/>
    </w:rPr>
  </w:style>
  <w:style w:type="paragraph" w:customStyle="1" w:styleId="N0-FlLftBullet">
    <w:name w:val="N0-Fl Lft Bullet"/>
    <w:basedOn w:val="Normal"/>
    <w:rsid w:val="000D5A3F"/>
    <w:pPr>
      <w:spacing w:after="120" w:line="240" w:lineRule="atLeast"/>
      <w:ind w:left="547" w:hanging="547"/>
    </w:pPr>
    <w:rPr>
      <w:rFonts w:ascii="Times New Roman" w:eastAsia="Times New Roman" w:hAnsi="Times New Roman" w:cs="Times New Roman"/>
      <w:sz w:val="24"/>
      <w:szCs w:val="24"/>
    </w:rPr>
  </w:style>
  <w:style w:type="paragraph" w:customStyle="1" w:styleId="SL-FlLftSgl">
    <w:name w:val="SL-Fl Lft Sgl"/>
    <w:basedOn w:val="Normal"/>
    <w:rsid w:val="00BF2621"/>
    <w:pPr>
      <w:spacing w:after="0" w:line="240" w:lineRule="atLeast"/>
    </w:pPr>
    <w:rPr>
      <w:rFonts w:ascii="Garamond" w:eastAsia="Times New Roman" w:hAnsi="Garamond" w:cs="Times New Roman"/>
      <w:sz w:val="24"/>
      <w:szCs w:val="20"/>
    </w:rPr>
  </w:style>
  <w:style w:type="paragraph" w:customStyle="1" w:styleId="N2-2ndBullet">
    <w:name w:val="N2-2nd Bullet"/>
    <w:basedOn w:val="Normal"/>
    <w:rsid w:val="00EC323C"/>
    <w:pPr>
      <w:tabs>
        <w:tab w:val="left" w:pos="1728"/>
      </w:tabs>
      <w:spacing w:after="240" w:line="240" w:lineRule="atLeast"/>
      <w:ind w:left="1728" w:hanging="576"/>
      <w:jc w:val="both"/>
    </w:pPr>
    <w:rPr>
      <w:rFonts w:ascii="Times New Roman" w:eastAsia="Times New Roman" w:hAnsi="Times New Roman" w:cs="Times New Roman"/>
      <w:szCs w:val="24"/>
    </w:rPr>
  </w:style>
  <w:style w:type="paragraph" w:customStyle="1" w:styleId="C2-CtrSglSp">
    <w:name w:val="C2-Ctr Sgl Sp"/>
    <w:basedOn w:val="Normal"/>
    <w:rsid w:val="008F68EB"/>
    <w:pPr>
      <w:keepLines/>
      <w:spacing w:after="0" w:line="280" w:lineRule="atLeast"/>
      <w:jc w:val="center"/>
    </w:pPr>
    <w:rPr>
      <w:rFonts w:ascii="Times New Roman" w:eastAsia="Times New Roman" w:hAnsi="Times New Roman" w:cs="Times New Roman"/>
    </w:rPr>
  </w:style>
  <w:style w:type="paragraph" w:customStyle="1" w:styleId="TT-TableTitle">
    <w:name w:val="TT-Table Title"/>
    <w:basedOn w:val="Heading2"/>
    <w:next w:val="SL-FlLftSgl"/>
    <w:link w:val="TT-TableTitleChar"/>
    <w:rsid w:val="008F68EB"/>
    <w:pPr>
      <w:suppressLineNumbers w:val="0"/>
      <w:pBdr>
        <w:top w:val="single" w:sz="4" w:space="3" w:color="FFFFFF" w:themeColor="background1"/>
        <w:left w:val="single" w:sz="4" w:space="10" w:color="FFFFFF" w:themeColor="background1"/>
        <w:right w:val="single" w:sz="4" w:space="4" w:color="FFFFFF" w:themeColor="background1"/>
      </w:pBdr>
      <w:spacing w:before="0" w:after="120" w:line="280" w:lineRule="atLeast"/>
      <w:ind w:left="1440" w:hanging="1440"/>
      <w:jc w:val="left"/>
    </w:pPr>
    <w:rPr>
      <w:rFonts w:ascii="Franklin Gothic Medium" w:eastAsia="Times New Roman" w:hAnsi="Franklin Gothic Medium"/>
      <w:caps w:val="0"/>
      <w:color w:val="14487C"/>
      <w:sz w:val="22"/>
      <w:szCs w:val="24"/>
    </w:rPr>
  </w:style>
  <w:style w:type="character" w:customStyle="1" w:styleId="TT-TableTitleChar">
    <w:name w:val="TT-Table Title Char"/>
    <w:link w:val="TT-TableTitle"/>
    <w:rsid w:val="008F68EB"/>
    <w:rPr>
      <w:rFonts w:ascii="Franklin Gothic Medium" w:eastAsia="Times New Roman" w:hAnsi="Franklin Gothic Medium" w:cs="Times New Roman"/>
      <w:b/>
      <w:color w:val="14487C"/>
      <w:szCs w:val="24"/>
    </w:rPr>
  </w:style>
  <w:style w:type="character" w:styleId="Hyperlink">
    <w:name w:val="Hyperlink"/>
    <w:basedOn w:val="DefaultParagraphFont"/>
    <w:uiPriority w:val="99"/>
    <w:unhideWhenUsed/>
    <w:rsid w:val="0083294F"/>
    <w:rPr>
      <w:color w:val="0000FF" w:themeColor="hyperlink"/>
      <w:u w:val="single"/>
    </w:rPr>
  </w:style>
  <w:style w:type="paragraph" w:styleId="Revision">
    <w:name w:val="Revision"/>
    <w:hidden/>
    <w:uiPriority w:val="99"/>
    <w:semiHidden/>
    <w:rsid w:val="00DF30AF"/>
    <w:pPr>
      <w:spacing w:after="0" w:line="240" w:lineRule="auto"/>
    </w:pPr>
  </w:style>
  <w:style w:type="paragraph" w:customStyle="1" w:styleId="NormalSS">
    <w:name w:val="NormalSS"/>
    <w:basedOn w:val="Normal"/>
    <w:link w:val="NormalSSChar"/>
    <w:qFormat/>
    <w:rsid w:val="00B733C1"/>
    <w:pPr>
      <w:tabs>
        <w:tab w:val="left" w:pos="432"/>
      </w:tabs>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locked/>
    <w:rsid w:val="00B733C1"/>
    <w:rPr>
      <w:rFonts w:ascii="Times New Roman" w:eastAsia="Times New Roman" w:hAnsi="Times New Roman" w:cs="Times New Roman"/>
      <w:sz w:val="24"/>
      <w:szCs w:val="20"/>
    </w:rPr>
  </w:style>
  <w:style w:type="table" w:customStyle="1" w:styleId="PlainTable21">
    <w:name w:val="Plain Table 21"/>
    <w:basedOn w:val="TableNormal"/>
    <w:uiPriority w:val="42"/>
    <w:rsid w:val="00B733C1"/>
    <w:pPr>
      <w:spacing w:after="0" w:line="240" w:lineRule="auto"/>
    </w:pPr>
    <w:rPr>
      <w:rFonts w:ascii="Calibri" w:eastAsia="Calibri" w:hAnsi="Calibri"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B733C1"/>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DD7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14D"/>
    <w:rPr>
      <w:sz w:val="20"/>
      <w:szCs w:val="20"/>
    </w:rPr>
  </w:style>
  <w:style w:type="character" w:styleId="FootnoteReference">
    <w:name w:val="footnote reference"/>
    <w:basedOn w:val="DefaultParagraphFont"/>
    <w:uiPriority w:val="99"/>
    <w:semiHidden/>
    <w:unhideWhenUsed/>
    <w:rsid w:val="00DD714D"/>
    <w:rPr>
      <w:vertAlign w:val="superscript"/>
    </w:rPr>
  </w:style>
  <w:style w:type="table" w:customStyle="1" w:styleId="PlainTable210">
    <w:name w:val="Plain Table 21"/>
    <w:basedOn w:val="TableNormal"/>
    <w:uiPriority w:val="42"/>
    <w:rsid w:val="004707B0"/>
    <w:pPr>
      <w:spacing w:after="0" w:line="240" w:lineRule="auto"/>
    </w:pPr>
    <w:rPr>
      <w:rFonts w:ascii="Calibri" w:eastAsia="Calibri" w:hAnsi="Calibri"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146C0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46C0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5814">
      <w:bodyDiv w:val="1"/>
      <w:marLeft w:val="0"/>
      <w:marRight w:val="0"/>
      <w:marTop w:val="0"/>
      <w:marBottom w:val="0"/>
      <w:divBdr>
        <w:top w:val="none" w:sz="0" w:space="0" w:color="auto"/>
        <w:left w:val="none" w:sz="0" w:space="0" w:color="auto"/>
        <w:bottom w:val="none" w:sz="0" w:space="0" w:color="auto"/>
        <w:right w:val="none" w:sz="0" w:space="0" w:color="auto"/>
      </w:divBdr>
    </w:div>
    <w:div w:id="1127623689">
      <w:bodyDiv w:val="1"/>
      <w:marLeft w:val="0"/>
      <w:marRight w:val="0"/>
      <w:marTop w:val="0"/>
      <w:marBottom w:val="0"/>
      <w:divBdr>
        <w:top w:val="none" w:sz="0" w:space="0" w:color="auto"/>
        <w:left w:val="none" w:sz="0" w:space="0" w:color="auto"/>
        <w:bottom w:val="none" w:sz="0" w:space="0" w:color="auto"/>
        <w:right w:val="none" w:sz="0" w:space="0" w:color="auto"/>
      </w:divBdr>
    </w:div>
    <w:div w:id="1150102051">
      <w:bodyDiv w:val="1"/>
      <w:marLeft w:val="0"/>
      <w:marRight w:val="0"/>
      <w:marTop w:val="0"/>
      <w:marBottom w:val="0"/>
      <w:divBdr>
        <w:top w:val="none" w:sz="0" w:space="0" w:color="auto"/>
        <w:left w:val="none" w:sz="0" w:space="0" w:color="auto"/>
        <w:bottom w:val="none" w:sz="0" w:space="0" w:color="auto"/>
        <w:right w:val="none" w:sz="0" w:space="0" w:color="auto"/>
      </w:divBdr>
      <w:divsChild>
        <w:div w:id="502672095">
          <w:marLeft w:val="0"/>
          <w:marRight w:val="0"/>
          <w:marTop w:val="150"/>
          <w:marBottom w:val="150"/>
          <w:divBdr>
            <w:top w:val="single" w:sz="6" w:space="0" w:color="9B9A7A"/>
            <w:left w:val="single" w:sz="6" w:space="0" w:color="9B9A7A"/>
            <w:bottom w:val="single" w:sz="6" w:space="0" w:color="9B9A7A"/>
            <w:right w:val="single" w:sz="6" w:space="0" w:color="9B9A7A"/>
          </w:divBdr>
          <w:divsChild>
            <w:div w:id="597716046">
              <w:marLeft w:val="0"/>
              <w:marRight w:val="0"/>
              <w:marTop w:val="0"/>
              <w:marBottom w:val="0"/>
              <w:divBdr>
                <w:top w:val="none" w:sz="0" w:space="0" w:color="auto"/>
                <w:left w:val="none" w:sz="0" w:space="0" w:color="auto"/>
                <w:bottom w:val="none" w:sz="0" w:space="0" w:color="auto"/>
                <w:right w:val="none" w:sz="0" w:space="0" w:color="auto"/>
              </w:divBdr>
              <w:divsChild>
                <w:div w:id="513999272">
                  <w:marLeft w:val="3225"/>
                  <w:marRight w:val="225"/>
                  <w:marTop w:val="0"/>
                  <w:marBottom w:val="0"/>
                  <w:divBdr>
                    <w:top w:val="none" w:sz="0" w:space="0" w:color="auto"/>
                    <w:left w:val="none" w:sz="0" w:space="0" w:color="auto"/>
                    <w:bottom w:val="none" w:sz="0" w:space="0" w:color="auto"/>
                    <w:right w:val="none" w:sz="0" w:space="0" w:color="auto"/>
                  </w:divBdr>
                  <w:divsChild>
                    <w:div w:id="11633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983B-2CB6-4972-A5B4-E4BBEE68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18020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SYSTEM</cp:lastModifiedBy>
  <cp:revision>2</cp:revision>
  <cp:lastPrinted>2017-12-12T19:45:00Z</cp:lastPrinted>
  <dcterms:created xsi:type="dcterms:W3CDTF">2018-04-24T19:51:00Z</dcterms:created>
  <dcterms:modified xsi:type="dcterms:W3CDTF">2018-04-24T19:51:00Z</dcterms:modified>
</cp:coreProperties>
</file>