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70D" w:rsidRPr="002903D2" w:rsidRDefault="000A2BCC" w:rsidP="000A2BCC">
      <w:pPr>
        <w:pStyle w:val="Title"/>
        <w:spacing w:after="0"/>
        <w:rPr>
          <w:sz w:val="44"/>
          <w:szCs w:val="44"/>
        </w:rPr>
      </w:pPr>
      <w:r w:rsidRPr="002903D2">
        <w:rPr>
          <w:sz w:val="44"/>
          <w:szCs w:val="44"/>
        </w:rPr>
        <w:t>Justification for non-substantive change request.</w:t>
      </w:r>
    </w:p>
    <w:p w:rsidR="000A2BCC" w:rsidRPr="002903D2" w:rsidRDefault="000A2BCC" w:rsidP="000A2BCC">
      <w:pPr>
        <w:pStyle w:val="Subtitle"/>
        <w:spacing w:after="0"/>
        <w:jc w:val="center"/>
      </w:pPr>
      <w:r w:rsidRPr="002903D2">
        <w:t>1405-0142 Request for prior approval for brokering activity</w:t>
      </w:r>
    </w:p>
    <w:p w:rsidR="001E3A7C" w:rsidRPr="002903D2" w:rsidRDefault="001E3A7C" w:rsidP="001E3A7C">
      <w:pPr>
        <w:pStyle w:val="Heading1"/>
      </w:pPr>
      <w:r w:rsidRPr="002903D2">
        <w:t>Summary</w:t>
      </w:r>
    </w:p>
    <w:p w:rsidR="000A2BCC" w:rsidRPr="002903D2" w:rsidRDefault="000A2BCC" w:rsidP="000A2BCC">
      <w:r w:rsidRPr="002903D2">
        <w:t>DDTC requests to amend 1405-0142</w:t>
      </w:r>
      <w:r w:rsidR="00B824FF" w:rsidRPr="002903D2">
        <w:t>, r</w:t>
      </w:r>
      <w:r w:rsidRPr="002903D2">
        <w:t xml:space="preserve">equest for prior approval for brokering activity, via a non-substantive change request.  1405-0142 does not have a form associated with it.  Currently, respondents are instructed by the collection’s supporting statement to submit information </w:t>
      </w:r>
      <w:r w:rsidR="00B824FF" w:rsidRPr="002903D2">
        <w:t>in accordance with 22 CFR part 129.  DDTC wishes to provide industry the opportunity to respond to this collection electronically via DDTC’s new case management system.  This system, which will be accessed through DDTC’s website, will allow industry to submit information securely through the internet, thus eliminating the need for third part</w:t>
      </w:r>
      <w:r w:rsidR="000971B0" w:rsidRPr="002903D2">
        <w:t>y delivery</w:t>
      </w:r>
      <w:r w:rsidR="00B824FF" w:rsidRPr="002903D2">
        <w:t>.  DDTC has developed form DS-</w:t>
      </w:r>
      <w:r w:rsidR="002903D2" w:rsidRPr="002903D2">
        <w:t>4294</w:t>
      </w:r>
      <w:r w:rsidR="00B824FF" w:rsidRPr="002903D2">
        <w:t xml:space="preserve"> to electronically capture the information required by DDTC to </w:t>
      </w:r>
      <w:r w:rsidR="001E3A7C" w:rsidRPr="002903D2">
        <w:t xml:space="preserve">process requests related to this collection.  If </w:t>
      </w:r>
      <w:r w:rsidR="000971B0" w:rsidRPr="002903D2">
        <w:t xml:space="preserve">this request is </w:t>
      </w:r>
      <w:r w:rsidR="001E3A7C" w:rsidRPr="002903D2">
        <w:t>approved by OMB, respondents will have the option of submitting their requests in hard copy</w:t>
      </w:r>
      <w:r w:rsidR="00894F9E">
        <w:t xml:space="preserve"> using any written format</w:t>
      </w:r>
      <w:r w:rsidR="001E3A7C" w:rsidRPr="002903D2">
        <w:t xml:space="preserve"> (no change to the process) or electronically via form DS-</w:t>
      </w:r>
      <w:r w:rsidR="002903D2" w:rsidRPr="002903D2">
        <w:t>4294</w:t>
      </w:r>
      <w:r w:rsidR="001E3A7C" w:rsidRPr="002903D2">
        <w:t>.</w:t>
      </w:r>
    </w:p>
    <w:p w:rsidR="001E3A7C" w:rsidRPr="002903D2" w:rsidRDefault="001E3A7C" w:rsidP="001E3A7C">
      <w:r w:rsidRPr="002903D2">
        <w:t>1405-0142 was last approved in January 2016.  At that time, DDTC provided notice to the public that an electronic me</w:t>
      </w:r>
      <w:r w:rsidR="00343DDD" w:rsidRPr="002903D2">
        <w:t>thod</w:t>
      </w:r>
      <w:r w:rsidRPr="002903D2">
        <w:t xml:space="preserve"> of submission was forthcoming:</w:t>
      </w:r>
    </w:p>
    <w:p w:rsidR="001E3A7C" w:rsidRPr="002903D2" w:rsidRDefault="001E3A7C" w:rsidP="001E3A7C">
      <w:pPr>
        <w:rPr>
          <w:rStyle w:val="Emphasis"/>
        </w:rPr>
      </w:pPr>
      <w:r w:rsidRPr="002903D2">
        <w:rPr>
          <w:rStyle w:val="Emphasis"/>
        </w:rPr>
        <w:t>“Currently, there is no option of electronic submission of this information.  Submissions are made via hardcopy documentation.  Applicants are referred to ITAR part 129 for guidance on information to submit regarding proposed brokering activity.  DDTC plans to provide an electronic form that applicants may use for the purposes of obtaining prior written approval for proposed brokering activity.  Eventually, the applicant will be able to access this form from the DDTC website, complete it online, and submit it via the Internet.”</w:t>
      </w:r>
      <w:r w:rsidR="00343DDD" w:rsidRPr="002903D2">
        <w:rPr>
          <w:rStyle w:val="Emphasis"/>
        </w:rPr>
        <w:t xml:space="preserve"> (Supporting Statement, Question 3)</w:t>
      </w:r>
    </w:p>
    <w:p w:rsidR="001E3A7C" w:rsidRPr="002903D2" w:rsidRDefault="001E3A7C" w:rsidP="001E3A7C">
      <w:r w:rsidRPr="002903D2">
        <w:t xml:space="preserve">DDTC did not receive comments in response to the possibility of electronic submission during the 60 or 30 day comment periods.  </w:t>
      </w:r>
    </w:p>
    <w:p w:rsidR="00343DDD" w:rsidRPr="002903D2" w:rsidRDefault="00343DDD" w:rsidP="00343DDD">
      <w:pPr>
        <w:pStyle w:val="Heading1"/>
      </w:pPr>
      <w:r w:rsidRPr="002903D2">
        <w:t>Proposed form DS-</w:t>
      </w:r>
      <w:r w:rsidR="002903D2" w:rsidRPr="002903D2">
        <w:t>4294</w:t>
      </w:r>
    </w:p>
    <w:p w:rsidR="00183293" w:rsidRPr="002903D2" w:rsidRDefault="00183293" w:rsidP="00183293"/>
    <w:tbl>
      <w:tblPr>
        <w:tblStyle w:val="LightShading"/>
        <w:tblW w:w="0" w:type="auto"/>
        <w:jc w:val="center"/>
        <w:tblLook w:val="0420" w:firstRow="1" w:lastRow="0" w:firstColumn="0" w:lastColumn="0" w:noHBand="0" w:noVBand="1"/>
      </w:tblPr>
      <w:tblGrid>
        <w:gridCol w:w="3170"/>
        <w:gridCol w:w="2976"/>
        <w:gridCol w:w="3430"/>
      </w:tblGrid>
      <w:tr w:rsidR="00183293" w:rsidRPr="002903D2" w:rsidTr="0024133B">
        <w:trPr>
          <w:cnfStyle w:val="100000000000" w:firstRow="1" w:lastRow="0" w:firstColumn="0" w:lastColumn="0" w:oddVBand="0" w:evenVBand="0" w:oddHBand="0" w:evenHBand="0" w:firstRowFirstColumn="0" w:firstRowLastColumn="0" w:lastRowFirstColumn="0" w:lastRowLastColumn="0"/>
          <w:jc w:val="center"/>
        </w:trPr>
        <w:tc>
          <w:tcPr>
            <w:tcW w:w="3170" w:type="dxa"/>
          </w:tcPr>
          <w:p w:rsidR="00183293" w:rsidRPr="002903D2" w:rsidRDefault="00183293" w:rsidP="0024133B">
            <w:pPr>
              <w:jc w:val="center"/>
            </w:pPr>
            <w:r w:rsidRPr="002903D2">
              <w:t>Block</w:t>
            </w:r>
          </w:p>
        </w:tc>
        <w:tc>
          <w:tcPr>
            <w:tcW w:w="2976" w:type="dxa"/>
          </w:tcPr>
          <w:p w:rsidR="00183293" w:rsidRPr="002903D2" w:rsidRDefault="00183293" w:rsidP="0024133B">
            <w:pPr>
              <w:jc w:val="center"/>
            </w:pPr>
          </w:p>
        </w:tc>
        <w:tc>
          <w:tcPr>
            <w:tcW w:w="3430" w:type="dxa"/>
          </w:tcPr>
          <w:p w:rsidR="00183293" w:rsidRPr="002903D2" w:rsidRDefault="00183293" w:rsidP="0024133B">
            <w:pPr>
              <w:jc w:val="center"/>
            </w:pPr>
            <w:r w:rsidRPr="002903D2">
              <w:t>Corresponds with ITAR Section</w:t>
            </w:r>
          </w:p>
        </w:tc>
      </w:tr>
      <w:tr w:rsidR="00183293" w:rsidRPr="002903D2" w:rsidTr="0024133B">
        <w:trPr>
          <w:cnfStyle w:val="000000100000" w:firstRow="0" w:lastRow="0" w:firstColumn="0" w:lastColumn="0" w:oddVBand="0" w:evenVBand="0" w:oddHBand="1" w:evenHBand="0" w:firstRowFirstColumn="0" w:firstRowLastColumn="0" w:lastRowFirstColumn="0" w:lastRowLastColumn="0"/>
          <w:jc w:val="center"/>
        </w:trPr>
        <w:tc>
          <w:tcPr>
            <w:tcW w:w="3170" w:type="dxa"/>
          </w:tcPr>
          <w:p w:rsidR="00183293" w:rsidRPr="002903D2" w:rsidRDefault="00183293" w:rsidP="0024133B">
            <w:pPr>
              <w:jc w:val="center"/>
            </w:pPr>
            <w:r w:rsidRPr="002903D2">
              <w:t>Transaction Number</w:t>
            </w:r>
          </w:p>
        </w:tc>
        <w:tc>
          <w:tcPr>
            <w:tcW w:w="2976" w:type="dxa"/>
          </w:tcPr>
          <w:p w:rsidR="00183293" w:rsidRPr="002903D2" w:rsidRDefault="00183293" w:rsidP="0024133B">
            <w:pPr>
              <w:jc w:val="center"/>
            </w:pPr>
            <w:r w:rsidRPr="002903D2">
              <w:sym w:font="Wingdings" w:char="F0E0"/>
            </w:r>
          </w:p>
        </w:tc>
        <w:tc>
          <w:tcPr>
            <w:tcW w:w="3430" w:type="dxa"/>
          </w:tcPr>
          <w:p w:rsidR="00183293" w:rsidRPr="002903D2" w:rsidRDefault="00183293" w:rsidP="0024133B">
            <w:pPr>
              <w:jc w:val="center"/>
            </w:pPr>
            <w:r w:rsidRPr="002903D2">
              <w:t>N/A</w:t>
            </w:r>
          </w:p>
        </w:tc>
      </w:tr>
      <w:tr w:rsidR="00183293" w:rsidRPr="002903D2" w:rsidTr="0024133B">
        <w:trPr>
          <w:jc w:val="center"/>
        </w:trPr>
        <w:tc>
          <w:tcPr>
            <w:tcW w:w="3170" w:type="dxa"/>
          </w:tcPr>
          <w:p w:rsidR="00183293" w:rsidRPr="002903D2" w:rsidRDefault="00183293" w:rsidP="0024133B">
            <w:pPr>
              <w:jc w:val="center"/>
            </w:pPr>
            <w:r w:rsidRPr="002903D2">
              <w:t>Supporting Documents</w:t>
            </w:r>
          </w:p>
        </w:tc>
        <w:tc>
          <w:tcPr>
            <w:tcW w:w="2976" w:type="dxa"/>
          </w:tcPr>
          <w:p w:rsidR="00183293" w:rsidRPr="002903D2" w:rsidRDefault="00183293" w:rsidP="0024133B">
            <w:pPr>
              <w:jc w:val="center"/>
            </w:pPr>
            <w:r w:rsidRPr="002903D2">
              <w:sym w:font="Wingdings" w:char="F0E0"/>
            </w:r>
          </w:p>
        </w:tc>
        <w:tc>
          <w:tcPr>
            <w:tcW w:w="3430" w:type="dxa"/>
          </w:tcPr>
          <w:p w:rsidR="00183293" w:rsidRPr="002903D2" w:rsidRDefault="00183293" w:rsidP="0024133B">
            <w:pPr>
              <w:jc w:val="center"/>
            </w:pPr>
            <w:r w:rsidRPr="002903D2">
              <w:t>N/A</w:t>
            </w:r>
          </w:p>
        </w:tc>
      </w:tr>
      <w:tr w:rsidR="00183293" w:rsidRPr="002903D2" w:rsidTr="0024133B">
        <w:trPr>
          <w:cnfStyle w:val="000000100000" w:firstRow="0" w:lastRow="0" w:firstColumn="0" w:lastColumn="0" w:oddVBand="0" w:evenVBand="0" w:oddHBand="1" w:evenHBand="0" w:firstRowFirstColumn="0" w:firstRowLastColumn="0" w:lastRowFirstColumn="0" w:lastRowLastColumn="0"/>
          <w:jc w:val="center"/>
        </w:trPr>
        <w:tc>
          <w:tcPr>
            <w:tcW w:w="3170" w:type="dxa"/>
          </w:tcPr>
          <w:p w:rsidR="00183293" w:rsidRPr="002903D2" w:rsidRDefault="00183293" w:rsidP="0024133B">
            <w:pPr>
              <w:jc w:val="center"/>
            </w:pPr>
            <w:r w:rsidRPr="002903D2">
              <w:t>1</w:t>
            </w:r>
          </w:p>
        </w:tc>
        <w:tc>
          <w:tcPr>
            <w:tcW w:w="2976" w:type="dxa"/>
          </w:tcPr>
          <w:p w:rsidR="00183293" w:rsidRPr="002903D2" w:rsidRDefault="00183293" w:rsidP="0024133B">
            <w:pPr>
              <w:jc w:val="center"/>
            </w:pPr>
            <w:r w:rsidRPr="002903D2">
              <w:sym w:font="Wingdings" w:char="F0E0"/>
            </w:r>
          </w:p>
        </w:tc>
        <w:tc>
          <w:tcPr>
            <w:tcW w:w="3430" w:type="dxa"/>
          </w:tcPr>
          <w:p w:rsidR="00183293" w:rsidRPr="002903D2" w:rsidRDefault="00183293" w:rsidP="0024133B">
            <w:pPr>
              <w:jc w:val="center"/>
            </w:pPr>
            <w:r w:rsidRPr="002903D2">
              <w:t>Date is generated by the system.</w:t>
            </w:r>
          </w:p>
        </w:tc>
      </w:tr>
      <w:tr w:rsidR="00183293" w:rsidRPr="002903D2" w:rsidTr="0024133B">
        <w:trPr>
          <w:jc w:val="center"/>
        </w:trPr>
        <w:tc>
          <w:tcPr>
            <w:tcW w:w="3170" w:type="dxa"/>
          </w:tcPr>
          <w:p w:rsidR="00183293" w:rsidRPr="002903D2" w:rsidRDefault="00183293" w:rsidP="0024133B">
            <w:pPr>
              <w:jc w:val="center"/>
              <w:rPr>
                <w:color w:val="auto"/>
              </w:rPr>
            </w:pPr>
            <w:r w:rsidRPr="002903D2">
              <w:rPr>
                <w:color w:val="auto"/>
              </w:rPr>
              <w:t>2</w:t>
            </w:r>
          </w:p>
        </w:tc>
        <w:tc>
          <w:tcPr>
            <w:tcW w:w="2976" w:type="dxa"/>
          </w:tcPr>
          <w:p w:rsidR="00183293" w:rsidRPr="002903D2" w:rsidRDefault="00183293" w:rsidP="0024133B">
            <w:pPr>
              <w:jc w:val="center"/>
              <w:rPr>
                <w:color w:val="auto"/>
              </w:rPr>
            </w:pPr>
            <w:r w:rsidRPr="002903D2">
              <w:rPr>
                <w:color w:val="auto"/>
              </w:rPr>
              <w:sym w:font="Wingdings" w:char="F0E0"/>
            </w:r>
          </w:p>
        </w:tc>
        <w:tc>
          <w:tcPr>
            <w:tcW w:w="3430" w:type="dxa"/>
          </w:tcPr>
          <w:p w:rsidR="00183293" w:rsidRPr="002903D2" w:rsidRDefault="00183293" w:rsidP="0024133B">
            <w:pPr>
              <w:jc w:val="center"/>
              <w:rPr>
                <w:color w:val="auto"/>
              </w:rPr>
            </w:pPr>
            <w:r w:rsidRPr="002903D2">
              <w:rPr>
                <w:color w:val="auto"/>
              </w:rPr>
              <w:t>129.6(a)(1)</w:t>
            </w:r>
          </w:p>
        </w:tc>
      </w:tr>
      <w:tr w:rsidR="00183293" w:rsidRPr="002903D2" w:rsidTr="0024133B">
        <w:trPr>
          <w:cnfStyle w:val="000000100000" w:firstRow="0" w:lastRow="0" w:firstColumn="0" w:lastColumn="0" w:oddVBand="0" w:evenVBand="0" w:oddHBand="1" w:evenHBand="0" w:firstRowFirstColumn="0" w:firstRowLastColumn="0" w:lastRowFirstColumn="0" w:lastRowLastColumn="0"/>
          <w:jc w:val="center"/>
        </w:trPr>
        <w:tc>
          <w:tcPr>
            <w:tcW w:w="3170" w:type="dxa"/>
          </w:tcPr>
          <w:p w:rsidR="00183293" w:rsidRPr="002903D2" w:rsidRDefault="00183293" w:rsidP="0024133B">
            <w:pPr>
              <w:jc w:val="center"/>
              <w:rPr>
                <w:color w:val="auto"/>
              </w:rPr>
            </w:pPr>
            <w:r w:rsidRPr="002903D2">
              <w:rPr>
                <w:color w:val="auto"/>
              </w:rPr>
              <w:t>3</w:t>
            </w:r>
          </w:p>
        </w:tc>
        <w:tc>
          <w:tcPr>
            <w:tcW w:w="2976" w:type="dxa"/>
          </w:tcPr>
          <w:p w:rsidR="00183293" w:rsidRPr="002903D2" w:rsidRDefault="00183293" w:rsidP="0024133B">
            <w:pPr>
              <w:jc w:val="center"/>
              <w:rPr>
                <w:color w:val="auto"/>
              </w:rPr>
            </w:pPr>
            <w:r w:rsidRPr="002903D2">
              <w:rPr>
                <w:color w:val="auto"/>
              </w:rPr>
              <w:sym w:font="Wingdings" w:char="F0E0"/>
            </w:r>
          </w:p>
        </w:tc>
        <w:tc>
          <w:tcPr>
            <w:tcW w:w="3430" w:type="dxa"/>
          </w:tcPr>
          <w:p w:rsidR="00183293" w:rsidRPr="002903D2" w:rsidRDefault="00183293" w:rsidP="0024133B">
            <w:pPr>
              <w:jc w:val="center"/>
              <w:rPr>
                <w:color w:val="auto"/>
              </w:rPr>
            </w:pPr>
            <w:r w:rsidRPr="002903D2">
              <w:rPr>
                <w:color w:val="auto"/>
              </w:rPr>
              <w:t>129.6(a)(2)</w:t>
            </w:r>
          </w:p>
        </w:tc>
      </w:tr>
      <w:tr w:rsidR="00183293" w:rsidRPr="002903D2" w:rsidTr="0024133B">
        <w:trPr>
          <w:jc w:val="center"/>
        </w:trPr>
        <w:tc>
          <w:tcPr>
            <w:tcW w:w="3170" w:type="dxa"/>
          </w:tcPr>
          <w:p w:rsidR="00183293" w:rsidRPr="002903D2" w:rsidRDefault="00183293" w:rsidP="0024133B">
            <w:pPr>
              <w:jc w:val="center"/>
              <w:rPr>
                <w:color w:val="auto"/>
              </w:rPr>
            </w:pPr>
            <w:r w:rsidRPr="002903D2">
              <w:rPr>
                <w:color w:val="auto"/>
              </w:rPr>
              <w:t>4</w:t>
            </w:r>
          </w:p>
        </w:tc>
        <w:tc>
          <w:tcPr>
            <w:tcW w:w="2976" w:type="dxa"/>
          </w:tcPr>
          <w:p w:rsidR="00183293" w:rsidRPr="002903D2" w:rsidRDefault="00183293" w:rsidP="0024133B">
            <w:pPr>
              <w:jc w:val="center"/>
              <w:rPr>
                <w:color w:val="auto"/>
              </w:rPr>
            </w:pPr>
            <w:r w:rsidRPr="002903D2">
              <w:rPr>
                <w:color w:val="auto"/>
              </w:rPr>
              <w:sym w:font="Wingdings" w:char="F0E0"/>
            </w:r>
          </w:p>
        </w:tc>
        <w:tc>
          <w:tcPr>
            <w:tcW w:w="3430" w:type="dxa"/>
          </w:tcPr>
          <w:p w:rsidR="00183293" w:rsidRPr="002903D2" w:rsidRDefault="00183293" w:rsidP="0024133B">
            <w:pPr>
              <w:jc w:val="center"/>
              <w:rPr>
                <w:color w:val="auto"/>
              </w:rPr>
            </w:pPr>
            <w:r w:rsidRPr="002903D2">
              <w:rPr>
                <w:color w:val="auto"/>
              </w:rPr>
              <w:t>129.6(b)(1)</w:t>
            </w:r>
          </w:p>
        </w:tc>
      </w:tr>
      <w:tr w:rsidR="00183293" w:rsidRPr="002903D2" w:rsidTr="0024133B">
        <w:trPr>
          <w:cnfStyle w:val="000000100000" w:firstRow="0" w:lastRow="0" w:firstColumn="0" w:lastColumn="0" w:oddVBand="0" w:evenVBand="0" w:oddHBand="1" w:evenHBand="0" w:firstRowFirstColumn="0" w:firstRowLastColumn="0" w:lastRowFirstColumn="0" w:lastRowLastColumn="0"/>
          <w:jc w:val="center"/>
        </w:trPr>
        <w:tc>
          <w:tcPr>
            <w:tcW w:w="3170" w:type="dxa"/>
          </w:tcPr>
          <w:p w:rsidR="00183293" w:rsidRPr="002903D2" w:rsidRDefault="00183293" w:rsidP="0024133B">
            <w:pPr>
              <w:jc w:val="center"/>
              <w:rPr>
                <w:color w:val="auto"/>
              </w:rPr>
            </w:pPr>
            <w:r w:rsidRPr="002903D2">
              <w:rPr>
                <w:color w:val="auto"/>
              </w:rPr>
              <w:t>5</w:t>
            </w:r>
          </w:p>
        </w:tc>
        <w:tc>
          <w:tcPr>
            <w:tcW w:w="2976" w:type="dxa"/>
          </w:tcPr>
          <w:p w:rsidR="00183293" w:rsidRPr="002903D2" w:rsidRDefault="00183293" w:rsidP="0024133B">
            <w:pPr>
              <w:jc w:val="center"/>
              <w:rPr>
                <w:color w:val="auto"/>
              </w:rPr>
            </w:pPr>
            <w:r w:rsidRPr="002903D2">
              <w:rPr>
                <w:color w:val="auto"/>
              </w:rPr>
              <w:sym w:font="Wingdings" w:char="F0E0"/>
            </w:r>
          </w:p>
        </w:tc>
        <w:tc>
          <w:tcPr>
            <w:tcW w:w="3430" w:type="dxa"/>
          </w:tcPr>
          <w:p w:rsidR="00183293" w:rsidRPr="002903D2" w:rsidRDefault="00183293" w:rsidP="0024133B">
            <w:pPr>
              <w:jc w:val="center"/>
              <w:rPr>
                <w:color w:val="auto"/>
              </w:rPr>
            </w:pPr>
            <w:r w:rsidRPr="002903D2">
              <w:rPr>
                <w:color w:val="auto"/>
              </w:rPr>
              <w:t>129.6(b)(2)</w:t>
            </w:r>
          </w:p>
        </w:tc>
      </w:tr>
      <w:tr w:rsidR="00183293" w:rsidRPr="002903D2" w:rsidTr="0024133B">
        <w:trPr>
          <w:jc w:val="center"/>
        </w:trPr>
        <w:tc>
          <w:tcPr>
            <w:tcW w:w="3170" w:type="dxa"/>
          </w:tcPr>
          <w:p w:rsidR="00183293" w:rsidRPr="002903D2" w:rsidRDefault="00183293" w:rsidP="0024133B">
            <w:pPr>
              <w:jc w:val="center"/>
              <w:rPr>
                <w:color w:val="auto"/>
              </w:rPr>
            </w:pPr>
            <w:r w:rsidRPr="002903D2">
              <w:rPr>
                <w:color w:val="auto"/>
              </w:rPr>
              <w:t>6</w:t>
            </w:r>
          </w:p>
        </w:tc>
        <w:tc>
          <w:tcPr>
            <w:tcW w:w="2976" w:type="dxa"/>
          </w:tcPr>
          <w:p w:rsidR="00183293" w:rsidRPr="002903D2" w:rsidRDefault="00183293" w:rsidP="0024133B">
            <w:pPr>
              <w:jc w:val="center"/>
              <w:rPr>
                <w:color w:val="auto"/>
              </w:rPr>
            </w:pPr>
            <w:r w:rsidRPr="002903D2">
              <w:rPr>
                <w:color w:val="auto"/>
              </w:rPr>
              <w:sym w:font="Wingdings" w:char="F0E0"/>
            </w:r>
          </w:p>
        </w:tc>
        <w:tc>
          <w:tcPr>
            <w:tcW w:w="3430" w:type="dxa"/>
          </w:tcPr>
          <w:p w:rsidR="00183293" w:rsidRPr="002903D2" w:rsidRDefault="00183293" w:rsidP="0024133B">
            <w:pPr>
              <w:jc w:val="center"/>
              <w:rPr>
                <w:color w:val="auto"/>
              </w:rPr>
            </w:pPr>
            <w:r w:rsidRPr="002903D2">
              <w:rPr>
                <w:color w:val="auto"/>
              </w:rPr>
              <w:t>129.6(b)(3)</w:t>
            </w:r>
          </w:p>
        </w:tc>
      </w:tr>
      <w:tr w:rsidR="00183293" w:rsidRPr="002903D2" w:rsidTr="0024133B">
        <w:trPr>
          <w:cnfStyle w:val="000000100000" w:firstRow="0" w:lastRow="0" w:firstColumn="0" w:lastColumn="0" w:oddVBand="0" w:evenVBand="0" w:oddHBand="1" w:evenHBand="0" w:firstRowFirstColumn="0" w:firstRowLastColumn="0" w:lastRowFirstColumn="0" w:lastRowLastColumn="0"/>
          <w:jc w:val="center"/>
        </w:trPr>
        <w:tc>
          <w:tcPr>
            <w:tcW w:w="3170" w:type="dxa"/>
          </w:tcPr>
          <w:p w:rsidR="00183293" w:rsidRPr="002903D2" w:rsidRDefault="00183293" w:rsidP="0024133B">
            <w:pPr>
              <w:jc w:val="center"/>
              <w:rPr>
                <w:color w:val="auto"/>
              </w:rPr>
            </w:pPr>
            <w:r w:rsidRPr="002903D2">
              <w:rPr>
                <w:color w:val="auto"/>
              </w:rPr>
              <w:t>7</w:t>
            </w:r>
          </w:p>
        </w:tc>
        <w:tc>
          <w:tcPr>
            <w:tcW w:w="2976" w:type="dxa"/>
          </w:tcPr>
          <w:p w:rsidR="00183293" w:rsidRPr="002903D2" w:rsidRDefault="00183293" w:rsidP="0024133B">
            <w:pPr>
              <w:jc w:val="center"/>
              <w:rPr>
                <w:color w:val="auto"/>
              </w:rPr>
            </w:pPr>
            <w:r w:rsidRPr="002903D2">
              <w:rPr>
                <w:color w:val="auto"/>
              </w:rPr>
              <w:sym w:font="Wingdings" w:char="F0E0"/>
            </w:r>
          </w:p>
        </w:tc>
        <w:tc>
          <w:tcPr>
            <w:tcW w:w="3430" w:type="dxa"/>
          </w:tcPr>
          <w:p w:rsidR="00183293" w:rsidRPr="002903D2" w:rsidRDefault="00894F9E" w:rsidP="0024133B">
            <w:pPr>
              <w:jc w:val="center"/>
              <w:rPr>
                <w:color w:val="auto"/>
              </w:rPr>
            </w:pPr>
            <w:r>
              <w:rPr>
                <w:color w:val="auto"/>
              </w:rPr>
              <w:t>Calculated Automatically</w:t>
            </w:r>
          </w:p>
        </w:tc>
      </w:tr>
      <w:tr w:rsidR="00183293" w:rsidRPr="002903D2" w:rsidTr="0024133B">
        <w:trPr>
          <w:jc w:val="center"/>
        </w:trPr>
        <w:tc>
          <w:tcPr>
            <w:tcW w:w="3170" w:type="dxa"/>
          </w:tcPr>
          <w:p w:rsidR="00183293" w:rsidRPr="002903D2" w:rsidRDefault="00183293" w:rsidP="0024133B">
            <w:pPr>
              <w:jc w:val="center"/>
              <w:rPr>
                <w:color w:val="auto"/>
              </w:rPr>
            </w:pPr>
            <w:r w:rsidRPr="002903D2">
              <w:rPr>
                <w:color w:val="auto"/>
              </w:rPr>
              <w:t>8</w:t>
            </w:r>
          </w:p>
        </w:tc>
        <w:tc>
          <w:tcPr>
            <w:tcW w:w="2976" w:type="dxa"/>
          </w:tcPr>
          <w:p w:rsidR="00183293" w:rsidRPr="002903D2" w:rsidRDefault="00183293" w:rsidP="0024133B">
            <w:pPr>
              <w:jc w:val="center"/>
              <w:rPr>
                <w:color w:val="auto"/>
              </w:rPr>
            </w:pPr>
            <w:r w:rsidRPr="002903D2">
              <w:rPr>
                <w:color w:val="auto"/>
              </w:rPr>
              <w:sym w:font="Wingdings" w:char="F0E0"/>
            </w:r>
          </w:p>
        </w:tc>
        <w:tc>
          <w:tcPr>
            <w:tcW w:w="3430" w:type="dxa"/>
          </w:tcPr>
          <w:p w:rsidR="00183293" w:rsidRPr="002903D2" w:rsidRDefault="00894F9E" w:rsidP="0024133B">
            <w:pPr>
              <w:jc w:val="center"/>
              <w:rPr>
                <w:color w:val="auto"/>
              </w:rPr>
            </w:pPr>
            <w:r>
              <w:rPr>
                <w:color w:val="auto"/>
              </w:rPr>
              <w:t>129.6(b)(3)(vii)</w:t>
            </w:r>
          </w:p>
        </w:tc>
      </w:tr>
      <w:tr w:rsidR="00894F9E" w:rsidRPr="002903D2" w:rsidTr="0024133B">
        <w:trPr>
          <w:cnfStyle w:val="000000100000" w:firstRow="0" w:lastRow="0" w:firstColumn="0" w:lastColumn="0" w:oddVBand="0" w:evenVBand="0" w:oddHBand="1" w:evenHBand="0" w:firstRowFirstColumn="0" w:firstRowLastColumn="0" w:lastRowFirstColumn="0" w:lastRowLastColumn="0"/>
          <w:jc w:val="center"/>
        </w:trPr>
        <w:tc>
          <w:tcPr>
            <w:tcW w:w="3170" w:type="dxa"/>
          </w:tcPr>
          <w:p w:rsidR="00894F9E" w:rsidRPr="002903D2" w:rsidRDefault="00894F9E" w:rsidP="0024133B">
            <w:pPr>
              <w:jc w:val="center"/>
            </w:pPr>
            <w:r>
              <w:lastRenderedPageBreak/>
              <w:t>9</w:t>
            </w:r>
          </w:p>
        </w:tc>
        <w:tc>
          <w:tcPr>
            <w:tcW w:w="2976" w:type="dxa"/>
          </w:tcPr>
          <w:p w:rsidR="00894F9E" w:rsidRPr="002903D2" w:rsidRDefault="00894F9E" w:rsidP="0024133B">
            <w:pPr>
              <w:jc w:val="center"/>
            </w:pPr>
            <w:r w:rsidRPr="00894F9E">
              <w:sym w:font="Wingdings" w:char="F0E0"/>
            </w:r>
          </w:p>
        </w:tc>
        <w:tc>
          <w:tcPr>
            <w:tcW w:w="3430" w:type="dxa"/>
          </w:tcPr>
          <w:p w:rsidR="00894F9E" w:rsidRPr="002903D2" w:rsidRDefault="00894F9E" w:rsidP="0024133B">
            <w:pPr>
              <w:jc w:val="center"/>
            </w:pPr>
            <w:r w:rsidRPr="00894F9E">
              <w:t>129.6(b)(3)(vii)</w:t>
            </w:r>
          </w:p>
        </w:tc>
      </w:tr>
      <w:tr w:rsidR="00894F9E" w:rsidRPr="002903D2" w:rsidTr="0024133B">
        <w:trPr>
          <w:jc w:val="center"/>
        </w:trPr>
        <w:tc>
          <w:tcPr>
            <w:tcW w:w="3170" w:type="dxa"/>
          </w:tcPr>
          <w:p w:rsidR="00894F9E" w:rsidRPr="002903D2" w:rsidRDefault="00894F9E" w:rsidP="0024133B">
            <w:pPr>
              <w:jc w:val="center"/>
            </w:pPr>
            <w:r>
              <w:t>10</w:t>
            </w:r>
          </w:p>
        </w:tc>
        <w:tc>
          <w:tcPr>
            <w:tcW w:w="2976" w:type="dxa"/>
          </w:tcPr>
          <w:p w:rsidR="00894F9E" w:rsidRPr="002903D2" w:rsidRDefault="00894F9E" w:rsidP="0024133B">
            <w:pPr>
              <w:jc w:val="center"/>
            </w:pPr>
            <w:r w:rsidRPr="00894F9E">
              <w:sym w:font="Wingdings" w:char="F0E0"/>
            </w:r>
          </w:p>
        </w:tc>
        <w:tc>
          <w:tcPr>
            <w:tcW w:w="3430" w:type="dxa"/>
          </w:tcPr>
          <w:p w:rsidR="00894F9E" w:rsidRPr="002903D2" w:rsidRDefault="00894F9E" w:rsidP="00894F9E">
            <w:pPr>
              <w:jc w:val="center"/>
            </w:pPr>
            <w:r>
              <w:t>129.6(b)(4)</w:t>
            </w:r>
          </w:p>
        </w:tc>
      </w:tr>
      <w:tr w:rsidR="00894F9E" w:rsidRPr="002903D2" w:rsidTr="0024133B">
        <w:trPr>
          <w:cnfStyle w:val="000000100000" w:firstRow="0" w:lastRow="0" w:firstColumn="0" w:lastColumn="0" w:oddVBand="0" w:evenVBand="0" w:oddHBand="1" w:evenHBand="0" w:firstRowFirstColumn="0" w:firstRowLastColumn="0" w:lastRowFirstColumn="0" w:lastRowLastColumn="0"/>
          <w:jc w:val="center"/>
        </w:trPr>
        <w:tc>
          <w:tcPr>
            <w:tcW w:w="3170" w:type="dxa"/>
          </w:tcPr>
          <w:p w:rsidR="00894F9E" w:rsidRPr="002903D2" w:rsidRDefault="00894F9E" w:rsidP="0024133B">
            <w:pPr>
              <w:jc w:val="center"/>
            </w:pPr>
            <w:r>
              <w:t>11</w:t>
            </w:r>
          </w:p>
        </w:tc>
        <w:tc>
          <w:tcPr>
            <w:tcW w:w="2976" w:type="dxa"/>
          </w:tcPr>
          <w:p w:rsidR="00894F9E" w:rsidRPr="002903D2" w:rsidRDefault="00894F9E" w:rsidP="0024133B">
            <w:pPr>
              <w:jc w:val="center"/>
            </w:pPr>
            <w:r w:rsidRPr="00894F9E">
              <w:sym w:font="Wingdings" w:char="F0E0"/>
            </w:r>
          </w:p>
        </w:tc>
        <w:tc>
          <w:tcPr>
            <w:tcW w:w="3430" w:type="dxa"/>
          </w:tcPr>
          <w:p w:rsidR="00894F9E" w:rsidRPr="002903D2" w:rsidRDefault="00894F9E" w:rsidP="00894F9E">
            <w:pPr>
              <w:jc w:val="center"/>
            </w:pPr>
            <w:r>
              <w:t>129.6(c) and 129.6(d)</w:t>
            </w:r>
          </w:p>
        </w:tc>
      </w:tr>
    </w:tbl>
    <w:p w:rsidR="00E13770" w:rsidRPr="002903D2" w:rsidRDefault="00C06A62" w:rsidP="00E13770">
      <w:pPr>
        <w:pStyle w:val="Heading2"/>
      </w:pPr>
      <w:r w:rsidRPr="002903D2">
        <w:t>Blocks 1-</w:t>
      </w:r>
      <w:r w:rsidR="00894F9E">
        <w:t>11</w:t>
      </w:r>
      <w:r w:rsidR="00FD4E5D" w:rsidRPr="002903D2">
        <w:t xml:space="preserve"> </w:t>
      </w:r>
      <w:r w:rsidR="00FD4E5D" w:rsidRPr="002903D2">
        <w:rPr>
          <w:i/>
        </w:rPr>
        <w:t>(required fields)</w:t>
      </w:r>
      <w:r w:rsidR="00E13770" w:rsidRPr="002903D2">
        <w:rPr>
          <w:i/>
        </w:rPr>
        <w:t>:</w:t>
      </w:r>
    </w:p>
    <w:p w:rsidR="00343DDD" w:rsidRPr="002903D2" w:rsidRDefault="00343DDD" w:rsidP="001E3A7C">
      <w:r w:rsidRPr="002903D2">
        <w:t>The proposed form, DS-</w:t>
      </w:r>
      <w:r w:rsidR="002903D2" w:rsidRPr="002903D2">
        <w:t>4294</w:t>
      </w:r>
      <w:r w:rsidR="00E13770" w:rsidRPr="002903D2">
        <w:t>, does not require</w:t>
      </w:r>
      <w:r w:rsidRPr="002903D2">
        <w:t xml:space="preserve"> information beyond what is currently approved.  Respondents are currently required to provide all information required by part 129 of the ITAR.  ITAR §</w:t>
      </w:r>
      <w:r w:rsidR="00025900">
        <w:t> </w:t>
      </w:r>
      <w:r w:rsidRPr="002903D2">
        <w:t>129.6</w:t>
      </w:r>
      <w:r w:rsidR="002F1715">
        <w:t>(b)</w:t>
      </w:r>
      <w:r w:rsidR="00025900">
        <w:t xml:space="preserve"> and (c)</w:t>
      </w:r>
      <w:r w:rsidRPr="002903D2">
        <w:t xml:space="preserve"> (Procedures for obtaining approval) </w:t>
      </w:r>
      <w:r w:rsidR="002F1715">
        <w:t xml:space="preserve">requires applicants to fully describe the brokering activities that will be undertaken, including certain enumerated </w:t>
      </w:r>
      <w:r w:rsidR="00025900">
        <w:t>requirements</w:t>
      </w:r>
      <w:r w:rsidR="002F1715">
        <w:t xml:space="preserve">.  </w:t>
      </w:r>
      <w:r w:rsidRPr="002903D2">
        <w:t xml:space="preserve">This new form </w:t>
      </w:r>
      <w:r w:rsidR="002F1715">
        <w:t>captures the requirements enumerated in § </w:t>
      </w:r>
      <w:r w:rsidR="00801C08">
        <w:t>129.6</w:t>
      </w:r>
      <w:r w:rsidR="00801C08" w:rsidRPr="002903D2">
        <w:t xml:space="preserve"> </w:t>
      </w:r>
      <w:r w:rsidR="00801C08">
        <w:t>and</w:t>
      </w:r>
      <w:r w:rsidRPr="002903D2">
        <w:t xml:space="preserve"> </w:t>
      </w:r>
      <w:r w:rsidR="002F1715">
        <w:t xml:space="preserve">does not </w:t>
      </w:r>
      <w:r w:rsidR="00FD4E5D" w:rsidRPr="002903D2">
        <w:t>requir</w:t>
      </w:r>
      <w:r w:rsidR="00110065">
        <w:t>es</w:t>
      </w:r>
      <w:r w:rsidRPr="002903D2">
        <w:t xml:space="preserve"> </w:t>
      </w:r>
      <w:r w:rsidR="002F1715">
        <w:t>applicants</w:t>
      </w:r>
      <w:r w:rsidR="002F1715" w:rsidRPr="002903D2">
        <w:t xml:space="preserve"> </w:t>
      </w:r>
      <w:r w:rsidRPr="002903D2">
        <w:t xml:space="preserve">to provide </w:t>
      </w:r>
      <w:r w:rsidR="002F1715">
        <w:t>any additional</w:t>
      </w:r>
      <w:r w:rsidR="005832BE">
        <w:t xml:space="preserve"> information</w:t>
      </w:r>
      <w:r w:rsidRPr="002903D2">
        <w:t xml:space="preserve">.  </w:t>
      </w:r>
      <w:r w:rsidR="002F1715">
        <w:t>The form also allows for the possibility, as described in ITAR § 129.6(d)</w:t>
      </w:r>
      <w:r w:rsidR="00025900">
        <w:t>,</w:t>
      </w:r>
      <w:r w:rsidR="002F1715">
        <w:t xml:space="preserve"> that at the time of submission certain of the enumerated requirements in 129.6(b) </w:t>
      </w:r>
      <w:r w:rsidR="00025900">
        <w:t xml:space="preserve">may not be available and allows the applicant to nevertheless submit the form and explain the missing information in Block 11.  </w:t>
      </w:r>
      <w:r w:rsidRPr="002903D2">
        <w:t xml:space="preserve">Please refer to the matrix </w:t>
      </w:r>
      <w:r w:rsidR="00183293" w:rsidRPr="002903D2">
        <w:t>above</w:t>
      </w:r>
      <w:r w:rsidRPr="002903D2">
        <w:t xml:space="preserve"> for more detailed information on how DS-</w:t>
      </w:r>
      <w:r w:rsidR="002903D2" w:rsidRPr="002903D2">
        <w:t>4294</w:t>
      </w:r>
      <w:r w:rsidRPr="002903D2">
        <w:t xml:space="preserve"> aligns with § 129.6.</w:t>
      </w:r>
    </w:p>
    <w:p w:rsidR="00E13770" w:rsidRPr="002903D2" w:rsidRDefault="00C06A62" w:rsidP="00C06A62">
      <w:pPr>
        <w:pStyle w:val="Heading2"/>
        <w:spacing w:before="240"/>
      </w:pPr>
      <w:r w:rsidRPr="002903D2">
        <w:t>Cover Page (</w:t>
      </w:r>
      <w:r w:rsidRPr="002903D2">
        <w:rPr>
          <w:i/>
        </w:rPr>
        <w:t>o</w:t>
      </w:r>
      <w:r w:rsidR="00E13770" w:rsidRPr="002903D2">
        <w:rPr>
          <w:i/>
        </w:rPr>
        <w:t>ptional fields</w:t>
      </w:r>
      <w:r w:rsidRPr="002903D2">
        <w:t>)</w:t>
      </w:r>
      <w:r w:rsidR="00E13770" w:rsidRPr="002903D2">
        <w:t>:</w:t>
      </w:r>
    </w:p>
    <w:p w:rsidR="00E13770" w:rsidRPr="002903D2" w:rsidRDefault="00FD4E5D" w:rsidP="00E13770">
      <w:r w:rsidRPr="002903D2">
        <w:t xml:space="preserve">DDTC has included two optional fields on the form that are not required by § 129.6—Transaction ID and Supporting Documentation.  </w:t>
      </w:r>
      <w:r w:rsidR="00E13770" w:rsidRPr="002903D2">
        <w:t>.</w:t>
      </w:r>
    </w:p>
    <w:p w:rsidR="00FD4E5D" w:rsidRPr="002903D2" w:rsidRDefault="00FD4E5D" w:rsidP="00E13770">
      <w:r w:rsidRPr="002903D2">
        <w:t xml:space="preserve">Providing a Transaction ID may be preferred by respondents who submit multiple requests at the same time.  These IDs, which could be anything from a descriptive phrase to an internal tracking number, </w:t>
      </w:r>
      <w:r w:rsidR="00183293" w:rsidRPr="002903D2">
        <w:t xml:space="preserve">will make it easier for respondents to differentiate between submissions without having to open documents for viewing.  The screenshot below illustrates an example of what a respondent with multiple submissions might see when tracking their submissions.  </w:t>
      </w:r>
    </w:p>
    <w:p w:rsidR="00183293" w:rsidRPr="002903D2" w:rsidRDefault="00183293" w:rsidP="00E13770">
      <w:r w:rsidRPr="002903D2">
        <w:rPr>
          <w:noProof/>
        </w:rPr>
        <mc:AlternateContent>
          <mc:Choice Requires="wps">
            <w:drawing>
              <wp:anchor distT="0" distB="0" distL="114300" distR="114300" simplePos="0" relativeHeight="251659264" behindDoc="0" locked="0" layoutInCell="1" allowOverlap="1" wp14:anchorId="15BCC341" wp14:editId="059B56A1">
                <wp:simplePos x="0" y="0"/>
                <wp:positionH relativeFrom="column">
                  <wp:posOffset>1467293</wp:posOffset>
                </wp:positionH>
                <wp:positionV relativeFrom="paragraph">
                  <wp:posOffset>683378</wp:posOffset>
                </wp:positionV>
                <wp:extent cx="1371600" cy="1531089"/>
                <wp:effectExtent l="0" t="0" r="19050" b="12065"/>
                <wp:wrapNone/>
                <wp:docPr id="2" name="Rectangle 2"/>
                <wp:cNvGraphicFramePr/>
                <a:graphic xmlns:a="http://schemas.openxmlformats.org/drawingml/2006/main">
                  <a:graphicData uri="http://schemas.microsoft.com/office/word/2010/wordprocessingShape">
                    <wps:wsp>
                      <wps:cNvSpPr/>
                      <wps:spPr>
                        <a:xfrm>
                          <a:off x="0" y="0"/>
                          <a:ext cx="1371600" cy="1531089"/>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o:spid="_x0000_s1026" style="position:absolute;margin-left:115.55pt;margin-top:53.8pt;width:108pt;height:120.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" filled="f" strokecolor="#c0504d [3205]" strokeweight="2pt"/>
            </w:pict>
          </mc:Fallback>
        </mc:AlternateContent>
      </w:r>
      <w:r w:rsidRPr="002903D2">
        <w:rPr>
          <w:noProof/>
        </w:rPr>
        <w:drawing>
          <wp:inline distT="0" distB="0" distL="0" distR="0" wp14:anchorId="335712F0" wp14:editId="2E7E60B9">
            <wp:extent cx="5943600" cy="2130602"/>
            <wp:effectExtent l="0" t="0" r="0" b="3175"/>
            <wp:docPr id="1" name="Picture 1" descr="cid:image001.png@01D29721.C8085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9721.C808557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943600" cy="2130602"/>
                    </a:xfrm>
                    <a:prstGeom prst="rect">
                      <a:avLst/>
                    </a:prstGeom>
                    <a:noFill/>
                    <a:ln>
                      <a:noFill/>
                    </a:ln>
                  </pic:spPr>
                </pic:pic>
              </a:graphicData>
            </a:graphic>
          </wp:inline>
        </w:drawing>
      </w:r>
    </w:p>
    <w:p w:rsidR="00183293" w:rsidRPr="002903D2" w:rsidRDefault="00183293" w:rsidP="00E13770"/>
    <w:p w:rsidR="00183293" w:rsidRPr="002903D2" w:rsidRDefault="00183293" w:rsidP="00E13770">
      <w:r w:rsidRPr="002903D2">
        <w:t>The current process does not prohibit respondents from attaching supporting documentation</w:t>
      </w:r>
      <w:r w:rsidR="008F5016" w:rsidRPr="002903D2">
        <w:t xml:space="preserve"> they feel might</w:t>
      </w:r>
      <w:r w:rsidRPr="002903D2">
        <w:t xml:space="preserve"> be helpful to include with their submission.  The “documents” field on Form DS-</w:t>
      </w:r>
      <w:r w:rsidR="002903D2" w:rsidRPr="002903D2">
        <w:t>4294</w:t>
      </w:r>
      <w:r w:rsidRPr="002903D2">
        <w:t xml:space="preserve"> will ensure that respondents who normally submit supporting documentation are not stripped of the ability to submit electronically via form DS-</w:t>
      </w:r>
      <w:r w:rsidR="002903D2" w:rsidRPr="002903D2">
        <w:t>4294</w:t>
      </w:r>
      <w:r w:rsidRPr="002903D2">
        <w:t xml:space="preserve">.  </w:t>
      </w:r>
    </w:p>
    <w:p w:rsidR="00183293" w:rsidRPr="002903D2" w:rsidRDefault="00183293" w:rsidP="00E13770">
      <w:r w:rsidRPr="002903D2">
        <w:lastRenderedPageBreak/>
        <w:t xml:space="preserve">DDTC recognizes that these options may be very important to respondents and </w:t>
      </w:r>
      <w:r w:rsidR="008F5016" w:rsidRPr="002903D2">
        <w:t>might</w:t>
      </w:r>
      <w:r w:rsidRPr="002903D2">
        <w:t xml:space="preserve"> usually</w:t>
      </w:r>
      <w:r w:rsidR="008F5016" w:rsidRPr="002903D2">
        <w:t xml:space="preserve"> be</w:t>
      </w:r>
      <w:r w:rsidRPr="002903D2">
        <w:t xml:space="preserve"> included in paper submissions.  This is why DDTC does not wish to prohibit industry from providing one or both of these.  DDTC, however, </w:t>
      </w:r>
      <w:r w:rsidRPr="002903D2">
        <w:rPr>
          <w:b/>
        </w:rPr>
        <w:t>will not</w:t>
      </w:r>
      <w:r w:rsidRPr="002903D2">
        <w:t xml:space="preserve"> reject a submission if a respondent chooses not to provide a transaction number and/or supporting documentation</w:t>
      </w:r>
    </w:p>
    <w:p w:rsidR="00183293" w:rsidRPr="002903D2" w:rsidRDefault="00183293" w:rsidP="00E13770"/>
    <w:p w:rsidR="001E3A7C" w:rsidRPr="002903D2" w:rsidRDefault="003D498E" w:rsidP="003D498E">
      <w:pPr>
        <w:pStyle w:val="Heading1"/>
        <w:rPr>
          <w:rStyle w:val="Emphasis"/>
          <w:i w:val="0"/>
          <w:iCs w:val="0"/>
        </w:rPr>
      </w:pPr>
      <w:r w:rsidRPr="002903D2">
        <w:rPr>
          <w:rStyle w:val="Emphasis"/>
          <w:i w:val="0"/>
          <w:iCs w:val="0"/>
        </w:rPr>
        <w:t>Benefits</w:t>
      </w:r>
    </w:p>
    <w:p w:rsidR="003D498E" w:rsidRPr="002903D2" w:rsidRDefault="003D498E" w:rsidP="003D498E">
      <w:r w:rsidRPr="002903D2">
        <w:t>Allowing electronic submission will produce the following benefits:</w:t>
      </w:r>
    </w:p>
    <w:p w:rsidR="003D498E" w:rsidRDefault="00025900" w:rsidP="003D498E">
      <w:pPr>
        <w:pStyle w:val="ListParagraph"/>
        <w:numPr>
          <w:ilvl w:val="0"/>
          <w:numId w:val="3"/>
        </w:numPr>
      </w:pPr>
      <w:r>
        <w:t>Applicants</w:t>
      </w:r>
      <w:r w:rsidRPr="002903D2">
        <w:t xml:space="preserve"> </w:t>
      </w:r>
      <w:r w:rsidR="003D498E" w:rsidRPr="002903D2">
        <w:t xml:space="preserve">who choose to submit electronically will </w:t>
      </w:r>
      <w:r w:rsidR="000971B0" w:rsidRPr="002903D2">
        <w:t xml:space="preserve">instantly </w:t>
      </w:r>
      <w:r w:rsidR="003D498E" w:rsidRPr="002903D2">
        <w:t>transmit their inform</w:t>
      </w:r>
      <w:r w:rsidR="000971B0" w:rsidRPr="002903D2">
        <w:t>ation directly to DDTC</w:t>
      </w:r>
      <w:r w:rsidR="003D498E" w:rsidRPr="002903D2">
        <w:t>.  This eliminates the need for a third party to transport information to DDTC which, in turn, reduces the amount of time that passes between industry submission and DDTC response</w:t>
      </w:r>
      <w:r w:rsidR="000971B0" w:rsidRPr="002903D2">
        <w:t xml:space="preserve">, as well as eliminates any costs associated with mailing </w:t>
      </w:r>
      <w:r w:rsidR="008F5016" w:rsidRPr="002903D2">
        <w:t>submissions and responses</w:t>
      </w:r>
      <w:r w:rsidR="003D498E" w:rsidRPr="002903D2">
        <w:t>.</w:t>
      </w:r>
    </w:p>
    <w:p w:rsidR="005832BE" w:rsidRPr="002903D2" w:rsidRDefault="005832BE" w:rsidP="003D498E">
      <w:pPr>
        <w:pStyle w:val="ListParagraph"/>
        <w:numPr>
          <w:ilvl w:val="0"/>
          <w:numId w:val="3"/>
        </w:numPr>
      </w:pPr>
      <w:r>
        <w:t>DS-4294 assists applicants by clearly identifying required fields while providing a systematic approach to submission.  Ensuring that all required information has been provided reduces the risk of requests being returned without action due to a lack of information.</w:t>
      </w:r>
    </w:p>
    <w:p w:rsidR="000971B0" w:rsidRDefault="000971B0" w:rsidP="003D498E">
      <w:pPr>
        <w:pStyle w:val="ListParagraph"/>
        <w:numPr>
          <w:ilvl w:val="0"/>
          <w:numId w:val="3"/>
        </w:numPr>
      </w:pPr>
      <w:r w:rsidRPr="002903D2">
        <w:t>Form DS-</w:t>
      </w:r>
      <w:r w:rsidR="002903D2">
        <w:t>4294</w:t>
      </w:r>
      <w:r w:rsidRPr="002903D2">
        <w:t xml:space="preserve"> structures the data to be more easily assessed by DDTC.</w:t>
      </w:r>
    </w:p>
    <w:p w:rsidR="003B0C40" w:rsidRDefault="003B0C40" w:rsidP="003B0C40"/>
    <w:p w:rsidR="003B0C40" w:rsidRDefault="003B0C40" w:rsidP="003B0C40"/>
    <w:p w:rsidR="003B0C40" w:rsidRDefault="003B0C40" w:rsidP="003B0C40"/>
    <w:p w:rsidR="003B0C40" w:rsidRDefault="003B0C40" w:rsidP="003B0C40"/>
    <w:p w:rsidR="003B0C40" w:rsidRDefault="003B0C40" w:rsidP="003B0C40"/>
    <w:p w:rsidR="003B0C40" w:rsidRDefault="003B0C40" w:rsidP="003B0C40"/>
    <w:p w:rsidR="003B0C40" w:rsidRDefault="003B0C40" w:rsidP="003B0C40"/>
    <w:p w:rsidR="003B0C40" w:rsidRDefault="003B0C40" w:rsidP="003B0C40"/>
    <w:p w:rsidR="003B0C40" w:rsidRDefault="003B0C40" w:rsidP="003B0C40"/>
    <w:p w:rsidR="003B0C40" w:rsidRDefault="003B0C40" w:rsidP="003B0C40"/>
    <w:p w:rsidR="003B0C40" w:rsidRDefault="003B0C40" w:rsidP="003B0C40"/>
    <w:p w:rsidR="003B0C40" w:rsidRDefault="003B0C40" w:rsidP="003B0C40"/>
    <w:p w:rsidR="003B0C40" w:rsidRDefault="003B0C40" w:rsidP="003B0C40"/>
    <w:p w:rsidR="003B0C40" w:rsidRDefault="003B0C40" w:rsidP="003B0C40"/>
    <w:p w:rsidR="003B0C40" w:rsidRDefault="003B0C40" w:rsidP="003B0C40">
      <w:r>
        <w:lastRenderedPageBreak/>
        <w:t xml:space="preserve">Drafted: </w:t>
      </w:r>
      <w:proofErr w:type="spellStart"/>
      <w:r>
        <w:t>DCanfield</w:t>
      </w:r>
      <w:proofErr w:type="spellEnd"/>
      <w:r>
        <w:t xml:space="preserve"> x33759</w:t>
      </w:r>
    </w:p>
    <w:p w:rsidR="003B0C40" w:rsidRDefault="003B0C40" w:rsidP="003B0C40">
      <w:r>
        <w:t xml:space="preserve">Approved: </w:t>
      </w:r>
      <w:proofErr w:type="spellStart"/>
      <w:r>
        <w:t>KWrege</w:t>
      </w:r>
      <w:proofErr w:type="spellEnd"/>
    </w:p>
    <w:p w:rsidR="003B0C40" w:rsidRDefault="003B0C40" w:rsidP="003B0C40">
      <w:pPr>
        <w:spacing w:after="0"/>
      </w:pPr>
      <w:r>
        <w:t>Cleared:</w:t>
      </w:r>
    </w:p>
    <w:p w:rsidR="003B0C40" w:rsidRDefault="003B0C40" w:rsidP="003B0C40">
      <w:pPr>
        <w:spacing w:after="0"/>
      </w:pPr>
      <w:r>
        <w:t>DTCM</w:t>
      </w:r>
      <w:r>
        <w:tab/>
      </w:r>
      <w:r>
        <w:tab/>
      </w:r>
      <w:proofErr w:type="spellStart"/>
      <w:r>
        <w:t>ADearth</w:t>
      </w:r>
      <w:proofErr w:type="spellEnd"/>
      <w:r>
        <w:tab/>
        <w:t>(ok)</w:t>
      </w:r>
      <w:bookmarkStart w:id="0" w:name="_GoBack"/>
      <w:bookmarkEnd w:id="0"/>
    </w:p>
    <w:p w:rsidR="003B0C40" w:rsidRPr="002903D2" w:rsidRDefault="003B0C40" w:rsidP="003B0C40">
      <w:pPr>
        <w:spacing w:after="0"/>
      </w:pPr>
      <w:r>
        <w:t>L/PM</w:t>
      </w:r>
      <w:r>
        <w:tab/>
      </w:r>
      <w:r>
        <w:tab/>
      </w:r>
      <w:proofErr w:type="spellStart"/>
      <w:r>
        <w:t>SRogers</w:t>
      </w:r>
      <w:proofErr w:type="spellEnd"/>
      <w:r>
        <w:tab/>
      </w:r>
      <w:r>
        <w:tab/>
        <w:t>(ok)</w:t>
      </w:r>
    </w:p>
    <w:sectPr w:rsidR="003B0C40" w:rsidRPr="002903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260466"/>
    <w:multiLevelType w:val="hybridMultilevel"/>
    <w:tmpl w:val="C85C1A9A"/>
    <w:lvl w:ilvl="0" w:tplc="461C1526">
      <w:start w:val="12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701E8B"/>
    <w:multiLevelType w:val="hybridMultilevel"/>
    <w:tmpl w:val="9B9C4256"/>
    <w:lvl w:ilvl="0" w:tplc="AA5E5530">
      <w:start w:val="12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48F12E1"/>
    <w:multiLevelType w:val="hybridMultilevel"/>
    <w:tmpl w:val="0958C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BCC"/>
    <w:rsid w:val="00025900"/>
    <w:rsid w:val="000971B0"/>
    <w:rsid w:val="000A2BCC"/>
    <w:rsid w:val="00110065"/>
    <w:rsid w:val="00183293"/>
    <w:rsid w:val="001E3A7C"/>
    <w:rsid w:val="002903D2"/>
    <w:rsid w:val="002F1715"/>
    <w:rsid w:val="00343DDD"/>
    <w:rsid w:val="003B0C40"/>
    <w:rsid w:val="003D498E"/>
    <w:rsid w:val="005832BE"/>
    <w:rsid w:val="006D40FC"/>
    <w:rsid w:val="00801C08"/>
    <w:rsid w:val="00806944"/>
    <w:rsid w:val="00894F9E"/>
    <w:rsid w:val="008F5016"/>
    <w:rsid w:val="00B824FF"/>
    <w:rsid w:val="00C06A62"/>
    <w:rsid w:val="00D50A80"/>
    <w:rsid w:val="00E13770"/>
    <w:rsid w:val="00E9170D"/>
    <w:rsid w:val="00FD4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E3A7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1377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A2BC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A2BC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A2BC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A2BC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1E3A7C"/>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1E3A7C"/>
    <w:rPr>
      <w:i/>
      <w:iCs/>
    </w:rPr>
  </w:style>
  <w:style w:type="table" w:styleId="TableGrid">
    <w:name w:val="Table Grid"/>
    <w:basedOn w:val="TableNormal"/>
    <w:uiPriority w:val="59"/>
    <w:rsid w:val="006D4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6D40F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6D40FC"/>
    <w:pPr>
      <w:ind w:left="720"/>
      <w:contextualSpacing/>
    </w:pPr>
  </w:style>
  <w:style w:type="character" w:customStyle="1" w:styleId="Heading2Char">
    <w:name w:val="Heading 2 Char"/>
    <w:basedOn w:val="DefaultParagraphFont"/>
    <w:link w:val="Heading2"/>
    <w:uiPriority w:val="9"/>
    <w:rsid w:val="00E13770"/>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1832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3293"/>
    <w:rPr>
      <w:rFonts w:ascii="Tahoma" w:hAnsi="Tahoma" w:cs="Tahoma"/>
      <w:sz w:val="16"/>
      <w:szCs w:val="16"/>
    </w:rPr>
  </w:style>
  <w:style w:type="character" w:styleId="CommentReference">
    <w:name w:val="annotation reference"/>
    <w:basedOn w:val="DefaultParagraphFont"/>
    <w:uiPriority w:val="99"/>
    <w:semiHidden/>
    <w:unhideWhenUsed/>
    <w:rsid w:val="00110065"/>
    <w:rPr>
      <w:sz w:val="16"/>
      <w:szCs w:val="16"/>
    </w:rPr>
  </w:style>
  <w:style w:type="paragraph" w:styleId="CommentText">
    <w:name w:val="annotation text"/>
    <w:basedOn w:val="Normal"/>
    <w:link w:val="CommentTextChar"/>
    <w:uiPriority w:val="99"/>
    <w:semiHidden/>
    <w:unhideWhenUsed/>
    <w:rsid w:val="00110065"/>
    <w:pPr>
      <w:spacing w:line="240" w:lineRule="auto"/>
    </w:pPr>
    <w:rPr>
      <w:sz w:val="20"/>
      <w:szCs w:val="20"/>
    </w:rPr>
  </w:style>
  <w:style w:type="character" w:customStyle="1" w:styleId="CommentTextChar">
    <w:name w:val="Comment Text Char"/>
    <w:basedOn w:val="DefaultParagraphFont"/>
    <w:link w:val="CommentText"/>
    <w:uiPriority w:val="99"/>
    <w:semiHidden/>
    <w:rsid w:val="00110065"/>
    <w:rPr>
      <w:sz w:val="20"/>
      <w:szCs w:val="20"/>
    </w:rPr>
  </w:style>
  <w:style w:type="paragraph" w:styleId="CommentSubject">
    <w:name w:val="annotation subject"/>
    <w:basedOn w:val="CommentText"/>
    <w:next w:val="CommentText"/>
    <w:link w:val="CommentSubjectChar"/>
    <w:uiPriority w:val="99"/>
    <w:semiHidden/>
    <w:unhideWhenUsed/>
    <w:rsid w:val="00110065"/>
    <w:rPr>
      <w:b/>
      <w:bCs/>
    </w:rPr>
  </w:style>
  <w:style w:type="character" w:customStyle="1" w:styleId="CommentSubjectChar">
    <w:name w:val="Comment Subject Char"/>
    <w:basedOn w:val="CommentTextChar"/>
    <w:link w:val="CommentSubject"/>
    <w:uiPriority w:val="99"/>
    <w:semiHidden/>
    <w:rsid w:val="0011006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E3A7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1377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A2BC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A2BC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A2BC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A2BC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1E3A7C"/>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1E3A7C"/>
    <w:rPr>
      <w:i/>
      <w:iCs/>
    </w:rPr>
  </w:style>
  <w:style w:type="table" w:styleId="TableGrid">
    <w:name w:val="Table Grid"/>
    <w:basedOn w:val="TableNormal"/>
    <w:uiPriority w:val="59"/>
    <w:rsid w:val="006D4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6D40F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6D40FC"/>
    <w:pPr>
      <w:ind w:left="720"/>
      <w:contextualSpacing/>
    </w:pPr>
  </w:style>
  <w:style w:type="character" w:customStyle="1" w:styleId="Heading2Char">
    <w:name w:val="Heading 2 Char"/>
    <w:basedOn w:val="DefaultParagraphFont"/>
    <w:link w:val="Heading2"/>
    <w:uiPriority w:val="9"/>
    <w:rsid w:val="00E13770"/>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1832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3293"/>
    <w:rPr>
      <w:rFonts w:ascii="Tahoma" w:hAnsi="Tahoma" w:cs="Tahoma"/>
      <w:sz w:val="16"/>
      <w:szCs w:val="16"/>
    </w:rPr>
  </w:style>
  <w:style w:type="character" w:styleId="CommentReference">
    <w:name w:val="annotation reference"/>
    <w:basedOn w:val="DefaultParagraphFont"/>
    <w:uiPriority w:val="99"/>
    <w:semiHidden/>
    <w:unhideWhenUsed/>
    <w:rsid w:val="00110065"/>
    <w:rPr>
      <w:sz w:val="16"/>
      <w:szCs w:val="16"/>
    </w:rPr>
  </w:style>
  <w:style w:type="paragraph" w:styleId="CommentText">
    <w:name w:val="annotation text"/>
    <w:basedOn w:val="Normal"/>
    <w:link w:val="CommentTextChar"/>
    <w:uiPriority w:val="99"/>
    <w:semiHidden/>
    <w:unhideWhenUsed/>
    <w:rsid w:val="00110065"/>
    <w:pPr>
      <w:spacing w:line="240" w:lineRule="auto"/>
    </w:pPr>
    <w:rPr>
      <w:sz w:val="20"/>
      <w:szCs w:val="20"/>
    </w:rPr>
  </w:style>
  <w:style w:type="character" w:customStyle="1" w:styleId="CommentTextChar">
    <w:name w:val="Comment Text Char"/>
    <w:basedOn w:val="DefaultParagraphFont"/>
    <w:link w:val="CommentText"/>
    <w:uiPriority w:val="99"/>
    <w:semiHidden/>
    <w:rsid w:val="00110065"/>
    <w:rPr>
      <w:sz w:val="20"/>
      <w:szCs w:val="20"/>
    </w:rPr>
  </w:style>
  <w:style w:type="paragraph" w:styleId="CommentSubject">
    <w:name w:val="annotation subject"/>
    <w:basedOn w:val="CommentText"/>
    <w:next w:val="CommentText"/>
    <w:link w:val="CommentSubjectChar"/>
    <w:uiPriority w:val="99"/>
    <w:semiHidden/>
    <w:unhideWhenUsed/>
    <w:rsid w:val="00110065"/>
    <w:rPr>
      <w:b/>
      <w:bCs/>
    </w:rPr>
  </w:style>
  <w:style w:type="character" w:customStyle="1" w:styleId="CommentSubjectChar">
    <w:name w:val="Comment Subject Char"/>
    <w:basedOn w:val="CommentTextChar"/>
    <w:link w:val="CommentSubject"/>
    <w:uiPriority w:val="99"/>
    <w:semiHidden/>
    <w:rsid w:val="001100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png@01D29726.E33505A0"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6E53F-5DAF-4DA4-A85C-F01D1E955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810</Words>
  <Characters>4620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5420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CanfieldDP</dc:creator>
  <cp:lastModifiedBy>CanfieldDP</cp:lastModifiedBy>
  <cp:revision>5</cp:revision>
  <dcterms:created xsi:type="dcterms:W3CDTF">2017-03-16T12:15:00Z</dcterms:created>
  <dcterms:modified xsi:type="dcterms:W3CDTF">2017-04-06T14:13:00Z</dcterms:modified>
</cp:coreProperties>
</file>