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D67D7">
        <w:rPr>
          <w:sz w:val="28"/>
        </w:rPr>
        <w:t>1506-0062</w:t>
      </w:r>
      <w:r>
        <w:rPr>
          <w:sz w:val="28"/>
        </w:rPr>
        <w:t>)</w:t>
      </w:r>
    </w:p>
    <w:p w:rsidR="00E50293" w:rsidRPr="009239AA" w:rsidRDefault="0022397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8BCF55" wp14:editId="7F9DC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C5CCF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64B38">
        <w:t xml:space="preserve">Financial Crimes Enforcement Network (FinCEN) </w:t>
      </w:r>
      <w:r w:rsidR="00891524">
        <w:t xml:space="preserve">Rapid Response Program Interest </w:t>
      </w:r>
      <w:r w:rsidR="00A64B38">
        <w:t>Survey</w:t>
      </w:r>
    </w:p>
    <w:p w:rsidR="005E714A" w:rsidRDefault="005E714A"/>
    <w:p w:rsidR="00E26329" w:rsidRDefault="00F15956" w:rsidP="00891524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370B0">
        <w:rPr>
          <w:b/>
        </w:rPr>
        <w:t xml:space="preserve">FinCEN seeks to gather </w:t>
      </w:r>
      <w:r w:rsidR="005E4A9B">
        <w:rPr>
          <w:b/>
        </w:rPr>
        <w:t xml:space="preserve">customer </w:t>
      </w:r>
      <w:r w:rsidR="00891524">
        <w:rPr>
          <w:b/>
        </w:rPr>
        <w:t xml:space="preserve">interest </w:t>
      </w:r>
      <w:r w:rsidR="00213332">
        <w:rPr>
          <w:b/>
        </w:rPr>
        <w:t xml:space="preserve">on </w:t>
      </w:r>
      <w:r w:rsidR="00891524">
        <w:rPr>
          <w:b/>
        </w:rPr>
        <w:t>the utilization of FinCEN’s Rapid Response Program</w:t>
      </w:r>
      <w:r w:rsidR="00F370B0">
        <w:rPr>
          <w:b/>
        </w:rPr>
        <w:t xml:space="preserve">.  Data from the survey will be used to </w:t>
      </w:r>
      <w:r w:rsidR="00891524">
        <w:rPr>
          <w:b/>
        </w:rPr>
        <w:t xml:space="preserve">determine </w:t>
      </w:r>
      <w:r w:rsidR="00213332">
        <w:rPr>
          <w:b/>
        </w:rPr>
        <w:t>the feasibility</w:t>
      </w:r>
      <w:r w:rsidR="00891524">
        <w:rPr>
          <w:b/>
        </w:rPr>
        <w:t xml:space="preserve"> of adding a RRP tab to FinCEN’s Secure Information Sharing System (SISS)</w:t>
      </w:r>
      <w:r w:rsidR="00213332">
        <w:rPr>
          <w:b/>
        </w:rPr>
        <w:t>.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370B0">
        <w:t xml:space="preserve">Respondents </w:t>
      </w:r>
      <w:r w:rsidR="004B7814">
        <w:t>will be</w:t>
      </w:r>
      <w:r w:rsidR="00891524">
        <w:t xml:space="preserve"> </w:t>
      </w:r>
      <w:r w:rsidR="00307662">
        <w:t xml:space="preserve">comprised of approximately 16000 </w:t>
      </w:r>
      <w:r w:rsidR="00891524">
        <w:t xml:space="preserve">financial </w:t>
      </w:r>
      <w:r w:rsidR="00213332">
        <w:t xml:space="preserve">institutions. </w:t>
      </w:r>
    </w:p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891524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</w:t>
      </w:r>
      <w:r w:rsidR="00891524" w:rsidRPr="00891524">
        <w:rPr>
          <w:u w:val="single"/>
        </w:rPr>
        <w:t>Jeffery E. Gaines</w:t>
      </w:r>
      <w:r w:rsidRPr="00891524">
        <w:rPr>
          <w:u w:val="single"/>
        </w:rPr>
        <w:t>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E4A9B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5E4A9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350"/>
        <w:gridCol w:w="1363"/>
      </w:tblGrid>
      <w:tr w:rsidR="00EF2095" w:rsidTr="00307662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307662">
        <w:trPr>
          <w:trHeight w:val="274"/>
        </w:trPr>
        <w:tc>
          <w:tcPr>
            <w:tcW w:w="5418" w:type="dxa"/>
          </w:tcPr>
          <w:p w:rsidR="006832D9" w:rsidRDefault="00891524" w:rsidP="00843796">
            <w:r>
              <w:t>Financial Institutions</w:t>
            </w:r>
            <w:r w:rsidR="000A39D4">
              <w:t xml:space="preserve">    16000 x 40%</w:t>
            </w:r>
          </w:p>
        </w:tc>
        <w:tc>
          <w:tcPr>
            <w:tcW w:w="1530" w:type="dxa"/>
          </w:tcPr>
          <w:p w:rsidR="006832D9" w:rsidRDefault="000A39D4" w:rsidP="000A39D4">
            <w:r>
              <w:t>9</w:t>
            </w:r>
            <w:r w:rsidR="00307662">
              <w:t>600</w:t>
            </w:r>
          </w:p>
        </w:tc>
        <w:tc>
          <w:tcPr>
            <w:tcW w:w="1350" w:type="dxa"/>
          </w:tcPr>
          <w:p w:rsidR="006832D9" w:rsidRDefault="004E740D" w:rsidP="00843796">
            <w:r>
              <w:t>5</w:t>
            </w:r>
            <w:r w:rsidR="00891524">
              <w:t xml:space="preserve"> </w:t>
            </w:r>
            <w:r w:rsidR="004B7814">
              <w:t>min</w:t>
            </w:r>
          </w:p>
        </w:tc>
        <w:tc>
          <w:tcPr>
            <w:tcW w:w="1363" w:type="dxa"/>
          </w:tcPr>
          <w:p w:rsidR="006832D9" w:rsidRDefault="002476CB" w:rsidP="00843796">
            <w:r>
              <w:t>800</w:t>
            </w:r>
          </w:p>
        </w:tc>
      </w:tr>
      <w:tr w:rsidR="00EF2095" w:rsidTr="0030766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350" w:type="dxa"/>
          </w:tcPr>
          <w:p w:rsidR="006832D9" w:rsidRDefault="006832D9" w:rsidP="00843796"/>
        </w:tc>
        <w:tc>
          <w:tcPr>
            <w:tcW w:w="1363" w:type="dxa"/>
          </w:tcPr>
          <w:p w:rsidR="006832D9" w:rsidRDefault="006832D9" w:rsidP="00843796"/>
        </w:tc>
      </w:tr>
      <w:tr w:rsidR="00EF2095" w:rsidTr="00307662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A39D4" w:rsidP="004B7814">
            <w:pPr>
              <w:rPr>
                <w:b/>
              </w:rPr>
            </w:pPr>
            <w:r>
              <w:rPr>
                <w:b/>
              </w:rPr>
              <w:t>96</w:t>
            </w:r>
            <w:r w:rsidR="00307662">
              <w:rPr>
                <w:b/>
              </w:rPr>
              <w:t>0</w:t>
            </w:r>
            <w:r w:rsidR="00AE6609">
              <w:rPr>
                <w:b/>
              </w:rPr>
              <w:t>0</w:t>
            </w:r>
          </w:p>
        </w:tc>
        <w:tc>
          <w:tcPr>
            <w:tcW w:w="1350" w:type="dxa"/>
          </w:tcPr>
          <w:p w:rsidR="006832D9" w:rsidRDefault="00891524" w:rsidP="00843796">
            <w:r>
              <w:t xml:space="preserve"> </w:t>
            </w:r>
            <w:r w:rsidR="002D67D7">
              <w:t xml:space="preserve">5 </w:t>
            </w:r>
            <w:r>
              <w:t>Min</w:t>
            </w:r>
          </w:p>
        </w:tc>
        <w:tc>
          <w:tcPr>
            <w:tcW w:w="1363" w:type="dxa"/>
          </w:tcPr>
          <w:p w:rsidR="002476CB" w:rsidRPr="0001027E" w:rsidRDefault="002476CB" w:rsidP="004E740D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2476CB" w:rsidTr="00307662">
        <w:trPr>
          <w:trHeight w:val="289"/>
        </w:trPr>
        <w:tc>
          <w:tcPr>
            <w:tcW w:w="5418" w:type="dxa"/>
          </w:tcPr>
          <w:p w:rsidR="002476CB" w:rsidRPr="0001027E" w:rsidRDefault="002476CB" w:rsidP="00843796">
            <w:pPr>
              <w:rPr>
                <w:b/>
              </w:rPr>
            </w:pPr>
          </w:p>
        </w:tc>
        <w:tc>
          <w:tcPr>
            <w:tcW w:w="1530" w:type="dxa"/>
          </w:tcPr>
          <w:p w:rsidR="002476CB" w:rsidRDefault="002476CB" w:rsidP="004B7814">
            <w:pPr>
              <w:rPr>
                <w:b/>
              </w:rPr>
            </w:pPr>
          </w:p>
        </w:tc>
        <w:tc>
          <w:tcPr>
            <w:tcW w:w="1350" w:type="dxa"/>
          </w:tcPr>
          <w:p w:rsidR="002476CB" w:rsidRDefault="002476CB" w:rsidP="00843796"/>
        </w:tc>
        <w:tc>
          <w:tcPr>
            <w:tcW w:w="1363" w:type="dxa"/>
          </w:tcPr>
          <w:p w:rsidR="002476CB" w:rsidRDefault="002476CB" w:rsidP="004E740D">
            <w:pPr>
              <w:rPr>
                <w:b/>
              </w:rPr>
            </w:pPr>
          </w:p>
        </w:tc>
      </w:tr>
    </w:tbl>
    <w:p w:rsidR="00F3170F" w:rsidRDefault="00F3170F" w:rsidP="00F3170F"/>
    <w:p w:rsidR="00926F99" w:rsidRDefault="001C39F7">
      <w:r w:rsidRPr="00926F99">
        <w:rPr>
          <w:b/>
        </w:rPr>
        <w:t xml:space="preserve">FEDERAL </w:t>
      </w:r>
      <w:r w:rsidR="009F5923" w:rsidRPr="00926F99">
        <w:rPr>
          <w:b/>
        </w:rPr>
        <w:t>COST</w:t>
      </w:r>
      <w:r w:rsidR="00F06866" w:rsidRPr="00926F99">
        <w:rPr>
          <w:b/>
        </w:rPr>
        <w:t>:</w:t>
      </w:r>
      <w:r w:rsidR="00895229" w:rsidRPr="00926F99">
        <w:rPr>
          <w:b/>
        </w:rPr>
        <w:t xml:space="preserve"> </w:t>
      </w:r>
      <w:r w:rsidR="00C86E91" w:rsidRPr="00926F99">
        <w:rPr>
          <w:b/>
        </w:rPr>
        <w:t xml:space="preserve"> </w:t>
      </w:r>
      <w:r w:rsidR="00C86E91" w:rsidRPr="00926F99">
        <w:t>The estimated annual cost to the Federal government is</w:t>
      </w:r>
      <w:r w:rsidR="00E14143" w:rsidRPr="00926F99">
        <w:t>:</w:t>
      </w:r>
      <w:r w:rsidR="00C86E91" w:rsidRPr="00926F99">
        <w:t xml:space="preserve"> </w:t>
      </w:r>
      <w:r w:rsidR="00926F99" w:rsidRPr="00926F99">
        <w:t>$388</w:t>
      </w:r>
      <w:r w:rsidR="002E5AE9">
        <w:t>.4</w:t>
      </w:r>
      <w:r w:rsidR="00E14143" w:rsidRPr="00926F99">
        <w:t>0</w:t>
      </w:r>
      <w:r w:rsidR="00AE6609" w:rsidRPr="00926F99">
        <w:t>.</w:t>
      </w:r>
      <w:r w:rsidR="00AE6609">
        <w:t xml:space="preserve">  The estimate</w:t>
      </w:r>
      <w:r w:rsidR="00926F99">
        <w:t>d</w:t>
      </w:r>
      <w:r w:rsidR="00AE6609">
        <w:t xml:space="preserve"> cost to the government is based on the </w:t>
      </w:r>
      <w:r w:rsidR="00926F99">
        <w:t>salary of the Operations Director</w:t>
      </w:r>
      <w:r w:rsidR="00926F99" w:rsidRPr="00926F99">
        <w:t xml:space="preserve"> at the GS15 level with an hourly rate of $77.68</w:t>
      </w:r>
      <w:r w:rsidR="00926F99">
        <w:t xml:space="preserve">.  The Operations Director will review the compiled results from anticipated 40% of respondents.  The review and pulling of reports will require at maximum 5 hours of man power requirement.  </w:t>
      </w:r>
    </w:p>
    <w:p w:rsidR="00926F99" w:rsidRDefault="00926F99"/>
    <w:p w:rsidR="005E714A" w:rsidRDefault="00926F99">
      <w:pPr>
        <w:rPr>
          <w:b/>
        </w:rPr>
      </w:pPr>
      <w:r w:rsidRPr="002E5AE9">
        <w:rPr>
          <w:b/>
        </w:rPr>
        <w:t>Formula:</w:t>
      </w:r>
      <w:r>
        <w:t xml:space="preserve">  $77.68 multiplied by five hours comes to $388.40.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633DD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B2174" w:rsidP="00BB2174">
      <w:pPr>
        <w:ind w:left="720"/>
      </w:pPr>
      <w:r>
        <w:t>FinCEN currently uses</w:t>
      </w:r>
      <w:r w:rsidR="00307662">
        <w:t xml:space="preserve"> the </w:t>
      </w:r>
      <w:r w:rsidR="009D03A8" w:rsidRPr="009D03A8">
        <w:t>Secure In</w:t>
      </w:r>
      <w:r w:rsidR="009D03A8">
        <w:t xml:space="preserve">formation Sharing System (SISS) </w:t>
      </w:r>
      <w:r w:rsidR="00307662">
        <w:t xml:space="preserve">for financial institution to access relevant information.  </w:t>
      </w:r>
      <w:r>
        <w:t xml:space="preserve"> </w:t>
      </w:r>
      <w:r w:rsidR="009D03A8">
        <w:t>We intend to post a link to this survey on the SISS to collect the interest level of financial institutions interested in the Rapid Response Program (RRP)</w:t>
      </w:r>
      <w:r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B2174">
        <w:t>X</w:t>
      </w:r>
      <w:r>
        <w:t>] Web-based</w:t>
      </w:r>
      <w:r w:rsidR="00C67F5C">
        <w:t xml:space="preserve"> or other forms of Social Media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B2174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2397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7BB315" wp14:editId="3E922A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2DD10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13332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B9" w:rsidRDefault="008B5AB9">
      <w:r>
        <w:separator/>
      </w:r>
    </w:p>
  </w:endnote>
  <w:endnote w:type="continuationSeparator" w:id="0">
    <w:p w:rsidR="008B5AB9" w:rsidRDefault="008B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40AE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B9" w:rsidRDefault="008B5AB9">
      <w:r>
        <w:separator/>
      </w:r>
    </w:p>
  </w:footnote>
  <w:footnote w:type="continuationSeparator" w:id="0">
    <w:p w:rsidR="008B5AB9" w:rsidRDefault="008B5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0fade33-33a5-49d9-9c00-c91b2559a5b3"/>
  </w:docVars>
  <w:rsids>
    <w:rsidRoot w:val="00D6383F"/>
    <w:rsid w:val="0001027E"/>
    <w:rsid w:val="00023A57"/>
    <w:rsid w:val="00047A64"/>
    <w:rsid w:val="00067329"/>
    <w:rsid w:val="000A39D4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3C7D"/>
    <w:rsid w:val="00213332"/>
    <w:rsid w:val="00223970"/>
    <w:rsid w:val="00237B48"/>
    <w:rsid w:val="0024521E"/>
    <w:rsid w:val="002476CB"/>
    <w:rsid w:val="00263C3D"/>
    <w:rsid w:val="00274D0B"/>
    <w:rsid w:val="002B052D"/>
    <w:rsid w:val="002B34CD"/>
    <w:rsid w:val="002B3C95"/>
    <w:rsid w:val="002D0B92"/>
    <w:rsid w:val="002D67D7"/>
    <w:rsid w:val="002E5AE9"/>
    <w:rsid w:val="00307662"/>
    <w:rsid w:val="003D5BBE"/>
    <w:rsid w:val="003E3C61"/>
    <w:rsid w:val="003F1C5B"/>
    <w:rsid w:val="004111DB"/>
    <w:rsid w:val="0041242E"/>
    <w:rsid w:val="00434E33"/>
    <w:rsid w:val="00441434"/>
    <w:rsid w:val="0045264C"/>
    <w:rsid w:val="004876EC"/>
    <w:rsid w:val="004B7814"/>
    <w:rsid w:val="004D6E14"/>
    <w:rsid w:val="004E740D"/>
    <w:rsid w:val="005009B0"/>
    <w:rsid w:val="005633DD"/>
    <w:rsid w:val="005A1006"/>
    <w:rsid w:val="005E08B8"/>
    <w:rsid w:val="005E4A9B"/>
    <w:rsid w:val="005E714A"/>
    <w:rsid w:val="005F693D"/>
    <w:rsid w:val="006140A0"/>
    <w:rsid w:val="00636621"/>
    <w:rsid w:val="00642B49"/>
    <w:rsid w:val="006832D9"/>
    <w:rsid w:val="00690A8C"/>
    <w:rsid w:val="0069403B"/>
    <w:rsid w:val="006F3DDE"/>
    <w:rsid w:val="00704678"/>
    <w:rsid w:val="007425E7"/>
    <w:rsid w:val="007F7080"/>
    <w:rsid w:val="00802607"/>
    <w:rsid w:val="008101A5"/>
    <w:rsid w:val="008203A7"/>
    <w:rsid w:val="00822664"/>
    <w:rsid w:val="008228C3"/>
    <w:rsid w:val="00843796"/>
    <w:rsid w:val="00867719"/>
    <w:rsid w:val="00891524"/>
    <w:rsid w:val="00895229"/>
    <w:rsid w:val="008B2EB3"/>
    <w:rsid w:val="008B5AB9"/>
    <w:rsid w:val="008F0203"/>
    <w:rsid w:val="008F50D4"/>
    <w:rsid w:val="008F63B5"/>
    <w:rsid w:val="009239AA"/>
    <w:rsid w:val="00926F99"/>
    <w:rsid w:val="00935ADA"/>
    <w:rsid w:val="00946B6C"/>
    <w:rsid w:val="00955A71"/>
    <w:rsid w:val="0096108F"/>
    <w:rsid w:val="0098404E"/>
    <w:rsid w:val="009C13B9"/>
    <w:rsid w:val="009D01A2"/>
    <w:rsid w:val="009D03A8"/>
    <w:rsid w:val="009F5923"/>
    <w:rsid w:val="00A403BB"/>
    <w:rsid w:val="00A40AEC"/>
    <w:rsid w:val="00A64B38"/>
    <w:rsid w:val="00A674DF"/>
    <w:rsid w:val="00A83AA6"/>
    <w:rsid w:val="00A9337E"/>
    <w:rsid w:val="00A934D6"/>
    <w:rsid w:val="00AD1BC3"/>
    <w:rsid w:val="00AE1809"/>
    <w:rsid w:val="00AE6609"/>
    <w:rsid w:val="00B80D76"/>
    <w:rsid w:val="00B824F4"/>
    <w:rsid w:val="00BA2105"/>
    <w:rsid w:val="00BA7E06"/>
    <w:rsid w:val="00BB2174"/>
    <w:rsid w:val="00BB43B5"/>
    <w:rsid w:val="00BB6219"/>
    <w:rsid w:val="00BD290F"/>
    <w:rsid w:val="00BD78CA"/>
    <w:rsid w:val="00C14CC4"/>
    <w:rsid w:val="00C33C52"/>
    <w:rsid w:val="00C40D8B"/>
    <w:rsid w:val="00C67F5C"/>
    <w:rsid w:val="00C8407A"/>
    <w:rsid w:val="00C8488C"/>
    <w:rsid w:val="00C86E91"/>
    <w:rsid w:val="00CA1992"/>
    <w:rsid w:val="00CA2650"/>
    <w:rsid w:val="00CB1078"/>
    <w:rsid w:val="00CC6FAF"/>
    <w:rsid w:val="00CF6542"/>
    <w:rsid w:val="00D24698"/>
    <w:rsid w:val="00D6383F"/>
    <w:rsid w:val="00DB59D0"/>
    <w:rsid w:val="00DC33D3"/>
    <w:rsid w:val="00E1414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70B0"/>
    <w:rsid w:val="00F51AC7"/>
    <w:rsid w:val="00F976B0"/>
    <w:rsid w:val="00FA6DE7"/>
    <w:rsid w:val="00FA7DE4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2017-08-24T12:07:00Z</dcterms:created>
  <dcterms:modified xsi:type="dcterms:W3CDTF">2017-08-24T12:07:00Z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