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AF3A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0CE2AA2F" w14:textId="77777777" w:rsidR="00AF1157" w:rsidRPr="007A5D4B" w:rsidRDefault="00AF1157" w:rsidP="00D73D2D">
      <w:pPr>
        <w:suppressAutoHyphens/>
        <w:jc w:val="center"/>
        <w:rPr>
          <w:rFonts w:ascii="Arial" w:hAnsi="Arial" w:cs="Arial"/>
          <w:b/>
          <w:sz w:val="22"/>
          <w:szCs w:val="22"/>
        </w:rPr>
      </w:pPr>
    </w:p>
    <w:p w14:paraId="6EA7965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E3FED43" w14:textId="77777777" w:rsidR="00AF1157" w:rsidRPr="007A5D4B" w:rsidRDefault="00AF1157" w:rsidP="00D73D2D">
      <w:pPr>
        <w:suppressAutoHyphens/>
        <w:jc w:val="center"/>
        <w:rPr>
          <w:rFonts w:ascii="Arial" w:hAnsi="Arial" w:cs="Arial"/>
          <w:b/>
          <w:sz w:val="22"/>
          <w:szCs w:val="22"/>
        </w:rPr>
      </w:pPr>
    </w:p>
    <w:p w14:paraId="657DF2D6"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BD9F13B" w14:textId="77777777" w:rsidR="00AF1157" w:rsidRPr="007A5D4B" w:rsidRDefault="00AF1157" w:rsidP="00D73D2D">
      <w:pPr>
        <w:suppressAutoHyphens/>
        <w:jc w:val="center"/>
        <w:rPr>
          <w:rFonts w:ascii="Arial" w:hAnsi="Arial" w:cs="Arial"/>
          <w:b/>
          <w:sz w:val="22"/>
          <w:szCs w:val="22"/>
        </w:rPr>
      </w:pPr>
    </w:p>
    <w:p w14:paraId="63083714" w14:textId="77777777" w:rsidR="00AF1157" w:rsidRPr="00FA2C9C"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w:t>
      </w:r>
      <w:r w:rsidRPr="00FA2C9C">
        <w:rPr>
          <w:rFonts w:ascii="Arial" w:hAnsi="Arial" w:cs="Arial"/>
          <w:b/>
          <w:sz w:val="22"/>
          <w:szCs w:val="22"/>
        </w:rPr>
        <w:t>Control Number 1513</w:t>
      </w:r>
      <w:r w:rsidR="00D73D2D" w:rsidRPr="00FA2C9C">
        <w:rPr>
          <w:rFonts w:ascii="Arial" w:hAnsi="Arial" w:cs="Arial"/>
          <w:b/>
          <w:sz w:val="22"/>
          <w:szCs w:val="22"/>
        </w:rPr>
        <w:t>–</w:t>
      </w:r>
      <w:r w:rsidR="00291542" w:rsidRPr="00FA2C9C">
        <w:rPr>
          <w:rFonts w:ascii="Arial" w:hAnsi="Arial" w:cs="Arial"/>
          <w:b/>
          <w:sz w:val="22"/>
          <w:szCs w:val="22"/>
        </w:rPr>
        <w:t xml:space="preserve">0094 </w:t>
      </w:r>
    </w:p>
    <w:p w14:paraId="4D35E184" w14:textId="77777777" w:rsidR="00AF1157" w:rsidRPr="00FA2C9C" w:rsidRDefault="00AF1157" w:rsidP="00D73D2D">
      <w:pPr>
        <w:suppressAutoHyphens/>
        <w:rPr>
          <w:rFonts w:ascii="Arial" w:hAnsi="Arial" w:cs="Arial"/>
          <w:sz w:val="22"/>
          <w:szCs w:val="22"/>
        </w:rPr>
      </w:pPr>
    </w:p>
    <w:p w14:paraId="27196A55" w14:textId="77777777" w:rsidR="00D73D2D" w:rsidRPr="00FA2C9C" w:rsidRDefault="00D73D2D" w:rsidP="00D73D2D">
      <w:pPr>
        <w:suppressAutoHyphens/>
        <w:rPr>
          <w:rFonts w:ascii="Arial" w:hAnsi="Arial" w:cs="Arial"/>
          <w:sz w:val="22"/>
          <w:szCs w:val="22"/>
        </w:rPr>
      </w:pPr>
    </w:p>
    <w:p w14:paraId="15110F81" w14:textId="77777777" w:rsidR="00E86B1B" w:rsidRPr="00FA2C9C" w:rsidRDefault="00E86B1B" w:rsidP="00D73D2D">
      <w:pPr>
        <w:suppressAutoHyphens/>
        <w:rPr>
          <w:rFonts w:ascii="Arial" w:hAnsi="Arial" w:cs="Arial"/>
          <w:sz w:val="22"/>
          <w:szCs w:val="22"/>
          <w:u w:val="single"/>
        </w:rPr>
      </w:pPr>
      <w:r w:rsidRPr="00FA2C9C">
        <w:rPr>
          <w:rFonts w:ascii="Arial" w:hAnsi="Arial" w:cs="Arial"/>
          <w:sz w:val="22"/>
          <w:szCs w:val="22"/>
          <w:u w:val="single"/>
        </w:rPr>
        <w:t xml:space="preserve">Information Collection Request Title: </w:t>
      </w:r>
    </w:p>
    <w:p w14:paraId="4A8C8C6C" w14:textId="77777777" w:rsidR="00E86B1B" w:rsidRPr="00FA2C9C" w:rsidRDefault="00E86B1B" w:rsidP="00D73D2D">
      <w:pPr>
        <w:suppressAutoHyphens/>
        <w:rPr>
          <w:rFonts w:ascii="Arial" w:hAnsi="Arial" w:cs="Arial"/>
          <w:sz w:val="22"/>
          <w:szCs w:val="22"/>
          <w:u w:val="single"/>
        </w:rPr>
      </w:pPr>
    </w:p>
    <w:p w14:paraId="0CF3ECCB" w14:textId="576C27C3" w:rsidR="009A6532" w:rsidRPr="00FA2C9C" w:rsidRDefault="00FA2C9C" w:rsidP="007F14C5">
      <w:pPr>
        <w:ind w:left="360"/>
        <w:rPr>
          <w:rFonts w:ascii="Arial" w:hAnsi="Arial" w:cs="Arial"/>
          <w:sz w:val="22"/>
          <w:szCs w:val="22"/>
        </w:rPr>
      </w:pPr>
      <w:r w:rsidRPr="00FA2C9C">
        <w:rPr>
          <w:rFonts w:ascii="Arial" w:hAnsi="Arial" w:cs="Arial"/>
          <w:sz w:val="22"/>
          <w:szCs w:val="22"/>
        </w:rPr>
        <w:t>Federal Firearms and Ammunition Quarterly Excise Tax Return</w:t>
      </w:r>
      <w:r w:rsidR="00286368">
        <w:rPr>
          <w:rFonts w:ascii="Arial" w:hAnsi="Arial" w:cs="Arial"/>
          <w:sz w:val="22"/>
          <w:szCs w:val="22"/>
        </w:rPr>
        <w:t>.</w:t>
      </w:r>
      <w:r w:rsidRPr="00FA2C9C">
        <w:rPr>
          <w:rFonts w:ascii="Arial" w:hAnsi="Arial" w:cs="Arial"/>
          <w:sz w:val="22"/>
          <w:szCs w:val="22"/>
        </w:rPr>
        <w:t xml:space="preserve"> </w:t>
      </w:r>
    </w:p>
    <w:p w14:paraId="04CFEE42" w14:textId="77777777" w:rsidR="00E86B1B" w:rsidRDefault="00E86B1B" w:rsidP="009A6532">
      <w:pPr>
        <w:rPr>
          <w:rFonts w:ascii="Arial" w:hAnsi="Arial" w:cs="Arial"/>
          <w:sz w:val="22"/>
          <w:szCs w:val="22"/>
        </w:rPr>
      </w:pPr>
    </w:p>
    <w:p w14:paraId="16686AD6" w14:textId="1BA8F02F" w:rsidR="007F14C5" w:rsidRPr="007F14C5" w:rsidRDefault="00B00BF7" w:rsidP="004517A4">
      <w:pPr>
        <w:rPr>
          <w:rFonts w:ascii="Arial" w:hAnsi="Arial" w:cs="Arial"/>
          <w:sz w:val="22"/>
          <w:szCs w:val="22"/>
          <w:u w:val="single"/>
        </w:rPr>
      </w:pPr>
      <w:r w:rsidRPr="007F14C5">
        <w:rPr>
          <w:rFonts w:ascii="Arial" w:hAnsi="Arial" w:cs="Arial"/>
          <w:sz w:val="22"/>
          <w:szCs w:val="22"/>
          <w:u w:val="single"/>
        </w:rPr>
        <w:t xml:space="preserve">Collection Instrument: </w:t>
      </w:r>
    </w:p>
    <w:p w14:paraId="66E1DDD6" w14:textId="77777777" w:rsidR="007F14C5" w:rsidRDefault="007F14C5" w:rsidP="004517A4">
      <w:pPr>
        <w:rPr>
          <w:rFonts w:ascii="Arial" w:hAnsi="Arial" w:cs="Arial"/>
          <w:sz w:val="22"/>
          <w:szCs w:val="22"/>
        </w:rPr>
      </w:pPr>
    </w:p>
    <w:p w14:paraId="2844D1DC" w14:textId="5AD71080" w:rsidR="00AF1157" w:rsidRPr="00FA2C9C" w:rsidRDefault="00B00BF7" w:rsidP="007F14C5">
      <w:pPr>
        <w:ind w:left="360"/>
        <w:rPr>
          <w:rFonts w:ascii="Arial" w:hAnsi="Arial" w:cs="Arial"/>
          <w:sz w:val="22"/>
          <w:szCs w:val="22"/>
        </w:rPr>
      </w:pPr>
      <w:r>
        <w:rPr>
          <w:rFonts w:ascii="Arial" w:hAnsi="Arial" w:cs="Arial"/>
          <w:sz w:val="22"/>
          <w:szCs w:val="22"/>
        </w:rPr>
        <w:t>TTB F</w:t>
      </w:r>
      <w:r w:rsidR="00FA2C9C" w:rsidRPr="00FA2C9C">
        <w:rPr>
          <w:rFonts w:ascii="Arial" w:hAnsi="Arial" w:cs="Arial"/>
          <w:sz w:val="22"/>
          <w:szCs w:val="22"/>
        </w:rPr>
        <w:t> 5300.26</w:t>
      </w:r>
      <w:r>
        <w:rPr>
          <w:rFonts w:ascii="Arial" w:hAnsi="Arial" w:cs="Arial"/>
          <w:sz w:val="22"/>
          <w:szCs w:val="22"/>
        </w:rPr>
        <w:t xml:space="preserve">, </w:t>
      </w:r>
      <w:r w:rsidR="00FA2C9C" w:rsidRPr="00FA2C9C">
        <w:rPr>
          <w:rFonts w:ascii="Arial" w:hAnsi="Arial" w:cs="Arial"/>
          <w:sz w:val="22"/>
          <w:szCs w:val="22"/>
        </w:rPr>
        <w:t>Federal Firearms and Ammunition Quarterly Excise Tax Return</w:t>
      </w:r>
      <w:r w:rsidR="004517A4">
        <w:rPr>
          <w:rFonts w:ascii="Arial" w:hAnsi="Arial" w:cs="Arial"/>
          <w:sz w:val="22"/>
          <w:szCs w:val="22"/>
        </w:rPr>
        <w:t>.</w:t>
      </w:r>
      <w:r w:rsidR="00FA2C9C" w:rsidRPr="00FA2C9C">
        <w:rPr>
          <w:rFonts w:ascii="Arial" w:hAnsi="Arial" w:cs="Arial"/>
          <w:sz w:val="22"/>
          <w:szCs w:val="22"/>
        </w:rPr>
        <w:t xml:space="preserve"> </w:t>
      </w:r>
    </w:p>
    <w:p w14:paraId="73339F37" w14:textId="77777777" w:rsidR="00AF1157" w:rsidRPr="00FA2C9C" w:rsidRDefault="00AF1157" w:rsidP="00D73D2D">
      <w:pPr>
        <w:suppressAutoHyphens/>
        <w:rPr>
          <w:rFonts w:ascii="Arial" w:hAnsi="Arial" w:cs="Arial"/>
          <w:sz w:val="22"/>
          <w:szCs w:val="22"/>
        </w:rPr>
      </w:pPr>
    </w:p>
    <w:p w14:paraId="1E6FE6F6" w14:textId="77777777" w:rsidR="00D73D2D" w:rsidRPr="00FA2C9C" w:rsidRDefault="00D73D2D" w:rsidP="00D73D2D">
      <w:pPr>
        <w:suppressAutoHyphens/>
        <w:rPr>
          <w:rFonts w:ascii="Arial" w:hAnsi="Arial" w:cs="Arial"/>
          <w:sz w:val="22"/>
          <w:szCs w:val="22"/>
        </w:rPr>
      </w:pPr>
    </w:p>
    <w:p w14:paraId="45FC2716" w14:textId="77777777" w:rsidR="00AF1157" w:rsidRPr="007A5D4B" w:rsidRDefault="00AF1157" w:rsidP="00D73D2D">
      <w:pPr>
        <w:suppressAutoHyphens/>
        <w:rPr>
          <w:rFonts w:ascii="Arial" w:hAnsi="Arial" w:cs="Arial"/>
          <w:b/>
          <w:sz w:val="22"/>
          <w:szCs w:val="22"/>
          <w:u w:val="single"/>
        </w:rPr>
      </w:pPr>
      <w:r w:rsidRPr="00FA2C9C">
        <w:rPr>
          <w:rFonts w:ascii="Arial" w:hAnsi="Arial" w:cs="Arial"/>
          <w:b/>
          <w:sz w:val="22"/>
          <w:szCs w:val="22"/>
          <w:u w:val="single"/>
        </w:rPr>
        <w:t>A.  J</w:t>
      </w:r>
      <w:r w:rsidR="00BD3333" w:rsidRPr="00FA2C9C">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57447E9" w14:textId="77777777" w:rsidR="00AF1157" w:rsidRPr="007A5D4B" w:rsidRDefault="00AF1157" w:rsidP="00D73D2D">
      <w:pPr>
        <w:suppressAutoHyphens/>
        <w:rPr>
          <w:rFonts w:ascii="Arial" w:hAnsi="Arial" w:cs="Arial"/>
          <w:sz w:val="22"/>
          <w:szCs w:val="22"/>
        </w:rPr>
      </w:pPr>
    </w:p>
    <w:p w14:paraId="08F7BC7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23050C33" w14:textId="77777777" w:rsidR="00AF1157" w:rsidRDefault="00AF1157" w:rsidP="008B146B">
      <w:pPr>
        <w:ind w:left="360"/>
        <w:rPr>
          <w:rFonts w:ascii="Arial" w:hAnsi="Arial" w:cs="Arial"/>
          <w:sz w:val="22"/>
          <w:szCs w:val="22"/>
        </w:rPr>
      </w:pPr>
    </w:p>
    <w:p w14:paraId="13B1CF81" w14:textId="5E5A8D03" w:rsidR="00FE1349" w:rsidRDefault="00472277" w:rsidP="008B146B">
      <w:pPr>
        <w:ind w:left="360"/>
        <w:rPr>
          <w:rFonts w:ascii="Arial" w:hAnsi="Arial" w:cs="Arial"/>
          <w:sz w:val="22"/>
          <w:szCs w:val="22"/>
        </w:rPr>
      </w:pPr>
      <w:r>
        <w:rPr>
          <w:rFonts w:ascii="Arial" w:hAnsi="Arial" w:cs="Arial"/>
          <w:sz w:val="22"/>
          <w:szCs w:val="22"/>
        </w:rPr>
        <w:t>T</w:t>
      </w:r>
      <w:r w:rsidR="00FE1349">
        <w:rPr>
          <w:rFonts w:ascii="Arial" w:hAnsi="Arial" w:cs="Arial"/>
          <w:sz w:val="22"/>
          <w:szCs w:val="22"/>
        </w:rPr>
        <w:t xml:space="preserve">he Internal Revenue Code of 1986, as amended (IRC), at 26 U.S.C. 4181 imposes </w:t>
      </w:r>
      <w:r w:rsidR="00FA2C9C" w:rsidRPr="00FA2C9C">
        <w:rPr>
          <w:rFonts w:ascii="Arial" w:hAnsi="Arial" w:cs="Arial"/>
          <w:sz w:val="22"/>
          <w:szCs w:val="22"/>
        </w:rPr>
        <w:t xml:space="preserve">Federal excise tax </w:t>
      </w:r>
      <w:r w:rsidR="008E2DD6" w:rsidRPr="008E2DD6">
        <w:rPr>
          <w:rFonts w:ascii="Arial" w:hAnsi="Arial" w:cs="Arial"/>
          <w:sz w:val="22"/>
          <w:szCs w:val="22"/>
        </w:rPr>
        <w:t>on the sale of pistols</w:t>
      </w:r>
      <w:r w:rsidR="008E2DD6">
        <w:rPr>
          <w:rFonts w:ascii="Arial" w:hAnsi="Arial" w:cs="Arial"/>
          <w:sz w:val="22"/>
          <w:szCs w:val="22"/>
        </w:rPr>
        <w:t>,</w:t>
      </w:r>
      <w:r w:rsidR="008E2DD6" w:rsidRPr="008E2DD6">
        <w:rPr>
          <w:rFonts w:ascii="Arial" w:hAnsi="Arial" w:cs="Arial"/>
          <w:sz w:val="22"/>
          <w:szCs w:val="22"/>
        </w:rPr>
        <w:t xml:space="preserve"> revolvers, </w:t>
      </w:r>
      <w:r w:rsidR="00FE1349">
        <w:rPr>
          <w:rFonts w:ascii="Arial" w:hAnsi="Arial" w:cs="Arial"/>
          <w:sz w:val="22"/>
          <w:szCs w:val="22"/>
        </w:rPr>
        <w:t xml:space="preserve">and </w:t>
      </w:r>
      <w:r w:rsidR="008E2DD6" w:rsidRPr="008E2DD6">
        <w:rPr>
          <w:rFonts w:ascii="Arial" w:hAnsi="Arial" w:cs="Arial"/>
          <w:sz w:val="22"/>
          <w:szCs w:val="22"/>
        </w:rPr>
        <w:t>other firearms</w:t>
      </w:r>
      <w:r w:rsidR="00FE1349">
        <w:rPr>
          <w:rFonts w:ascii="Arial" w:hAnsi="Arial" w:cs="Arial"/>
          <w:sz w:val="22"/>
          <w:szCs w:val="22"/>
        </w:rPr>
        <w:t>,</w:t>
      </w:r>
      <w:r w:rsidR="008E2DD6" w:rsidRPr="008E2DD6">
        <w:rPr>
          <w:rFonts w:ascii="Arial" w:hAnsi="Arial" w:cs="Arial"/>
          <w:sz w:val="22"/>
          <w:szCs w:val="22"/>
        </w:rPr>
        <w:t xml:space="preserve"> and </w:t>
      </w:r>
      <w:r w:rsidR="008E2DD6">
        <w:rPr>
          <w:rFonts w:ascii="Arial" w:hAnsi="Arial" w:cs="Arial"/>
          <w:sz w:val="22"/>
          <w:szCs w:val="22"/>
        </w:rPr>
        <w:t xml:space="preserve">on </w:t>
      </w:r>
      <w:r w:rsidR="008E2DD6" w:rsidRPr="008E2DD6">
        <w:rPr>
          <w:rFonts w:ascii="Arial" w:hAnsi="Arial" w:cs="Arial"/>
          <w:sz w:val="22"/>
          <w:szCs w:val="22"/>
        </w:rPr>
        <w:t>shells and cartridges (ammunition)</w:t>
      </w:r>
      <w:r w:rsidR="00FE1349">
        <w:rPr>
          <w:rFonts w:ascii="Arial" w:hAnsi="Arial" w:cs="Arial"/>
          <w:sz w:val="22"/>
          <w:szCs w:val="22"/>
        </w:rPr>
        <w:t>,</w:t>
      </w:r>
      <w:r w:rsidR="008E2DD6" w:rsidRPr="008E2DD6">
        <w:rPr>
          <w:rFonts w:ascii="Arial" w:hAnsi="Arial" w:cs="Arial"/>
          <w:sz w:val="22"/>
          <w:szCs w:val="22"/>
        </w:rPr>
        <w:t xml:space="preserve"> sold by manufact</w:t>
      </w:r>
      <w:r w:rsidR="008E2DD6">
        <w:rPr>
          <w:rFonts w:ascii="Arial" w:hAnsi="Arial" w:cs="Arial"/>
          <w:sz w:val="22"/>
          <w:szCs w:val="22"/>
        </w:rPr>
        <w:t>urers, producers, and importers</w:t>
      </w:r>
      <w:r w:rsidR="0009733E">
        <w:rPr>
          <w:rFonts w:ascii="Arial" w:hAnsi="Arial" w:cs="Arial"/>
          <w:sz w:val="22"/>
          <w:szCs w:val="22"/>
        </w:rPr>
        <w:t xml:space="preserve"> of such articles</w:t>
      </w:r>
      <w:r w:rsidR="000338FB">
        <w:rPr>
          <w:rFonts w:ascii="Arial" w:hAnsi="Arial" w:cs="Arial"/>
          <w:sz w:val="22"/>
          <w:szCs w:val="22"/>
        </w:rPr>
        <w:t xml:space="preserve">. </w:t>
      </w:r>
      <w:r w:rsidR="00FA2C9C" w:rsidRPr="00FA2C9C">
        <w:rPr>
          <w:rFonts w:ascii="Arial" w:hAnsi="Arial" w:cs="Arial"/>
          <w:sz w:val="22"/>
          <w:szCs w:val="22"/>
        </w:rPr>
        <w:t xml:space="preserve"> </w:t>
      </w:r>
      <w:r w:rsidR="00FA2C9C">
        <w:rPr>
          <w:rFonts w:ascii="Arial" w:hAnsi="Arial" w:cs="Arial"/>
          <w:sz w:val="22"/>
          <w:szCs w:val="22"/>
        </w:rPr>
        <w:t>The IRC</w:t>
      </w:r>
      <w:r w:rsidR="00FE1349">
        <w:rPr>
          <w:rFonts w:ascii="Arial" w:hAnsi="Arial" w:cs="Arial"/>
          <w:sz w:val="22"/>
          <w:szCs w:val="22"/>
        </w:rPr>
        <w:t>,</w:t>
      </w:r>
      <w:r w:rsidR="000338FB">
        <w:rPr>
          <w:rFonts w:ascii="Arial" w:hAnsi="Arial" w:cs="Arial"/>
          <w:sz w:val="22"/>
          <w:szCs w:val="22"/>
        </w:rPr>
        <w:t xml:space="preserve"> </w:t>
      </w:r>
      <w:r w:rsidR="00FA2C9C">
        <w:rPr>
          <w:rFonts w:ascii="Arial" w:hAnsi="Arial" w:cs="Arial"/>
          <w:sz w:val="22"/>
          <w:szCs w:val="22"/>
        </w:rPr>
        <w:t xml:space="preserve">at </w:t>
      </w:r>
      <w:r w:rsidR="00FA2C9C" w:rsidRPr="00FA2C9C">
        <w:rPr>
          <w:rFonts w:ascii="Arial" w:hAnsi="Arial" w:cs="Arial"/>
          <w:sz w:val="22"/>
          <w:szCs w:val="22"/>
        </w:rPr>
        <w:t>26 U.S.C. 6001</w:t>
      </w:r>
      <w:r w:rsidR="00531849">
        <w:rPr>
          <w:rFonts w:ascii="Arial" w:hAnsi="Arial" w:cs="Arial"/>
          <w:sz w:val="22"/>
          <w:szCs w:val="22"/>
        </w:rPr>
        <w:t>, 6011, and 6302</w:t>
      </w:r>
      <w:r w:rsidR="00FE1349">
        <w:rPr>
          <w:rFonts w:ascii="Arial" w:hAnsi="Arial" w:cs="Arial"/>
          <w:sz w:val="22"/>
          <w:szCs w:val="22"/>
        </w:rPr>
        <w:t>,</w:t>
      </w:r>
      <w:r w:rsidR="0009733E">
        <w:rPr>
          <w:rFonts w:ascii="Arial" w:hAnsi="Arial" w:cs="Arial"/>
          <w:sz w:val="22"/>
          <w:szCs w:val="22"/>
        </w:rPr>
        <w:t xml:space="preserve"> also</w:t>
      </w:r>
      <w:r w:rsidR="00FE1349">
        <w:rPr>
          <w:rFonts w:ascii="Arial" w:hAnsi="Arial" w:cs="Arial"/>
          <w:sz w:val="22"/>
          <w:szCs w:val="22"/>
        </w:rPr>
        <w:t xml:space="preserve"> authorizes</w:t>
      </w:r>
      <w:r w:rsidR="009025C5">
        <w:rPr>
          <w:rFonts w:ascii="Arial" w:hAnsi="Arial" w:cs="Arial"/>
          <w:sz w:val="22"/>
          <w:szCs w:val="22"/>
        </w:rPr>
        <w:t xml:space="preserve"> the Secretary of the Treasury to issue regulations regarding </w:t>
      </w:r>
      <w:r w:rsidR="00B00BF7">
        <w:rPr>
          <w:rFonts w:ascii="Arial" w:hAnsi="Arial" w:cs="Arial"/>
          <w:sz w:val="22"/>
          <w:szCs w:val="22"/>
        </w:rPr>
        <w:t xml:space="preserve">IRC-based </w:t>
      </w:r>
      <w:r w:rsidR="009025C5">
        <w:rPr>
          <w:rFonts w:ascii="Arial" w:hAnsi="Arial" w:cs="Arial"/>
          <w:sz w:val="22"/>
          <w:szCs w:val="22"/>
        </w:rPr>
        <w:t>tax</w:t>
      </w:r>
      <w:r w:rsidR="00D12EEF">
        <w:rPr>
          <w:rFonts w:ascii="Arial" w:hAnsi="Arial" w:cs="Arial"/>
          <w:sz w:val="22"/>
          <w:szCs w:val="22"/>
        </w:rPr>
        <w:t>es,</w:t>
      </w:r>
      <w:r w:rsidR="009025C5">
        <w:rPr>
          <w:rFonts w:ascii="Arial" w:hAnsi="Arial" w:cs="Arial"/>
          <w:sz w:val="22"/>
          <w:szCs w:val="22"/>
        </w:rPr>
        <w:t xml:space="preserve"> returns</w:t>
      </w:r>
      <w:r w:rsidR="00D12EEF">
        <w:rPr>
          <w:rFonts w:ascii="Arial" w:hAnsi="Arial" w:cs="Arial"/>
          <w:sz w:val="22"/>
          <w:szCs w:val="22"/>
        </w:rPr>
        <w:t>,</w:t>
      </w:r>
      <w:r w:rsidR="009025C5">
        <w:rPr>
          <w:rFonts w:ascii="Arial" w:hAnsi="Arial" w:cs="Arial"/>
          <w:sz w:val="22"/>
          <w:szCs w:val="22"/>
        </w:rPr>
        <w:t xml:space="preserve"> and records</w:t>
      </w:r>
      <w:r w:rsidR="00531849">
        <w:rPr>
          <w:rFonts w:ascii="Arial" w:hAnsi="Arial" w:cs="Arial"/>
          <w:sz w:val="22"/>
          <w:szCs w:val="22"/>
        </w:rPr>
        <w:t>, including the mode and time for collecting taxes due</w:t>
      </w:r>
      <w:r w:rsidR="009025C5">
        <w:rPr>
          <w:rFonts w:ascii="Arial" w:hAnsi="Arial" w:cs="Arial"/>
          <w:sz w:val="22"/>
          <w:szCs w:val="22"/>
        </w:rPr>
        <w:t>.</w:t>
      </w:r>
      <w:r w:rsidR="00B00BF7">
        <w:rPr>
          <w:rFonts w:ascii="Arial" w:hAnsi="Arial" w:cs="Arial"/>
          <w:sz w:val="22"/>
          <w:szCs w:val="22"/>
        </w:rPr>
        <w:t xml:space="preserve"> </w:t>
      </w:r>
    </w:p>
    <w:p w14:paraId="27724C93" w14:textId="77777777" w:rsidR="00FE1349" w:rsidRDefault="00FE1349" w:rsidP="008B146B">
      <w:pPr>
        <w:ind w:left="360"/>
        <w:rPr>
          <w:rFonts w:ascii="Arial" w:hAnsi="Arial" w:cs="Arial"/>
          <w:sz w:val="22"/>
          <w:szCs w:val="22"/>
        </w:rPr>
      </w:pPr>
    </w:p>
    <w:p w14:paraId="66F06C88" w14:textId="77777777" w:rsidR="00FE1349" w:rsidRDefault="00FE1349" w:rsidP="00FE1349">
      <w:pPr>
        <w:suppressAutoHyphens/>
        <w:spacing w:line="240" w:lineRule="atLeast"/>
        <w:ind w:left="360"/>
        <w:rPr>
          <w:rFonts w:ascii="Arial" w:hAnsi="Arial" w:cs="Arial"/>
          <w:sz w:val="22"/>
          <w:szCs w:val="22"/>
        </w:rPr>
      </w:pPr>
      <w:r w:rsidRPr="00E00873">
        <w:rPr>
          <w:rFonts w:ascii="Arial" w:hAnsi="Arial" w:cs="Arial"/>
          <w:sz w:val="22"/>
          <w:szCs w:val="22"/>
        </w:rPr>
        <w:t xml:space="preserve">The Alcohol and Tobacco Tax and Trade Bureau (TTB) administers </w:t>
      </w:r>
      <w:r>
        <w:rPr>
          <w:rFonts w:ascii="Arial" w:hAnsi="Arial" w:cs="Arial"/>
          <w:sz w:val="22"/>
          <w:szCs w:val="22"/>
        </w:rPr>
        <w:t xml:space="preserve">and collects the firearms and ammunition excise tax </w:t>
      </w:r>
      <w:r w:rsidR="00B00BF7">
        <w:rPr>
          <w:rFonts w:ascii="Arial" w:hAnsi="Arial" w:cs="Arial"/>
          <w:sz w:val="22"/>
          <w:szCs w:val="22"/>
        </w:rPr>
        <w:t xml:space="preserve">(FAET) </w:t>
      </w:r>
      <w:r>
        <w:rPr>
          <w:rFonts w:ascii="Arial" w:hAnsi="Arial" w:cs="Arial"/>
          <w:sz w:val="22"/>
          <w:szCs w:val="22"/>
        </w:rPr>
        <w:t>pu</w:t>
      </w:r>
      <w:r w:rsidRPr="00E00873">
        <w:rPr>
          <w:rFonts w:ascii="Arial" w:hAnsi="Arial" w:cs="Arial"/>
          <w:sz w:val="22"/>
          <w:szCs w:val="22"/>
        </w:rPr>
        <w:t xml:space="preserve">rsuant to </w:t>
      </w:r>
      <w:r>
        <w:rPr>
          <w:rFonts w:ascii="Arial" w:hAnsi="Arial" w:cs="Arial"/>
          <w:sz w:val="22"/>
          <w:szCs w:val="22"/>
        </w:rPr>
        <w:t>section 1111(d) of</w:t>
      </w:r>
      <w:r w:rsidRPr="00E00873">
        <w:rPr>
          <w:rFonts w:ascii="Arial" w:hAnsi="Arial" w:cs="Arial"/>
          <w:sz w:val="22"/>
          <w:szCs w:val="22"/>
        </w:rPr>
        <w:t xml:space="preserve"> the Homeland Security Act of 2002</w:t>
      </w:r>
      <w:r>
        <w:rPr>
          <w:rFonts w:ascii="Arial" w:hAnsi="Arial" w:cs="Arial"/>
          <w:sz w:val="22"/>
          <w:szCs w:val="22"/>
        </w:rPr>
        <w:t>, as codified at 6 </w:t>
      </w:r>
      <w:r w:rsidRPr="00E00873">
        <w:rPr>
          <w:rFonts w:ascii="Arial" w:hAnsi="Arial" w:cs="Arial"/>
          <w:sz w:val="22"/>
          <w:szCs w:val="22"/>
        </w:rPr>
        <w:t>U.S.C. 531(d)</w:t>
      </w:r>
      <w:r>
        <w:rPr>
          <w:rFonts w:ascii="Arial" w:hAnsi="Arial" w:cs="Arial"/>
          <w:sz w:val="22"/>
          <w:szCs w:val="22"/>
        </w:rPr>
        <w:t xml:space="preserve">.  In addition, </w:t>
      </w:r>
      <w:r w:rsidRPr="00E00873">
        <w:rPr>
          <w:rFonts w:ascii="Arial" w:hAnsi="Arial" w:cs="Arial"/>
          <w:sz w:val="22"/>
          <w:szCs w:val="22"/>
        </w:rPr>
        <w:t xml:space="preserve">the </w:t>
      </w:r>
      <w:r>
        <w:rPr>
          <w:rFonts w:ascii="Arial" w:hAnsi="Arial" w:cs="Arial"/>
          <w:sz w:val="22"/>
          <w:szCs w:val="22"/>
        </w:rPr>
        <w:t xml:space="preserve">Secretary has delegated certain IRC administrative, enforcement, and regulatory </w:t>
      </w:r>
      <w:r w:rsidRPr="00E00873">
        <w:rPr>
          <w:rFonts w:ascii="Arial" w:hAnsi="Arial" w:cs="Arial"/>
          <w:sz w:val="22"/>
          <w:szCs w:val="22"/>
        </w:rPr>
        <w:t xml:space="preserve">authorities </w:t>
      </w:r>
      <w:r>
        <w:rPr>
          <w:rFonts w:ascii="Arial" w:hAnsi="Arial" w:cs="Arial"/>
          <w:sz w:val="22"/>
          <w:szCs w:val="22"/>
        </w:rPr>
        <w:t xml:space="preserve">to TTB </w:t>
      </w:r>
      <w:r w:rsidRPr="00AD180D">
        <w:rPr>
          <w:rFonts w:ascii="Arial" w:hAnsi="Arial" w:cs="Arial"/>
          <w:sz w:val="22"/>
          <w:szCs w:val="22"/>
        </w:rPr>
        <w:t>through Treasury Department Order 120–01</w:t>
      </w:r>
      <w:r>
        <w:rPr>
          <w:rFonts w:ascii="Arial" w:hAnsi="Arial" w:cs="Arial"/>
          <w:sz w:val="22"/>
          <w:szCs w:val="22"/>
        </w:rPr>
        <w:t xml:space="preserve">. </w:t>
      </w:r>
    </w:p>
    <w:p w14:paraId="30808209" w14:textId="77777777" w:rsidR="00FE1349" w:rsidRDefault="00FE1349" w:rsidP="008B146B">
      <w:pPr>
        <w:ind w:left="360"/>
        <w:rPr>
          <w:rFonts w:ascii="Arial" w:hAnsi="Arial" w:cs="Arial"/>
          <w:sz w:val="22"/>
          <w:szCs w:val="22"/>
        </w:rPr>
      </w:pPr>
    </w:p>
    <w:p w14:paraId="0BCF4689" w14:textId="501CF89E" w:rsidR="00381088" w:rsidRDefault="009025C5" w:rsidP="008B146B">
      <w:pPr>
        <w:ind w:left="360"/>
        <w:rPr>
          <w:rFonts w:ascii="Arial" w:hAnsi="Arial" w:cs="Arial"/>
          <w:sz w:val="22"/>
          <w:szCs w:val="22"/>
        </w:rPr>
      </w:pPr>
      <w:r>
        <w:rPr>
          <w:rFonts w:ascii="Arial" w:hAnsi="Arial" w:cs="Arial"/>
          <w:sz w:val="22"/>
          <w:szCs w:val="22"/>
        </w:rPr>
        <w:t xml:space="preserve">The TTB regulations regarding </w:t>
      </w:r>
      <w:r w:rsidR="00B00BF7">
        <w:rPr>
          <w:rFonts w:ascii="Arial" w:hAnsi="Arial" w:cs="Arial"/>
          <w:sz w:val="22"/>
          <w:szCs w:val="22"/>
        </w:rPr>
        <w:t xml:space="preserve">FAET </w:t>
      </w:r>
      <w:r>
        <w:rPr>
          <w:rFonts w:ascii="Arial" w:hAnsi="Arial" w:cs="Arial"/>
          <w:sz w:val="22"/>
          <w:szCs w:val="22"/>
        </w:rPr>
        <w:t xml:space="preserve">are contained in 27 CFR </w:t>
      </w:r>
      <w:r w:rsidR="00FE4722">
        <w:rPr>
          <w:rFonts w:ascii="Arial" w:hAnsi="Arial" w:cs="Arial"/>
          <w:sz w:val="22"/>
          <w:szCs w:val="22"/>
        </w:rPr>
        <w:t>P</w:t>
      </w:r>
      <w:r>
        <w:rPr>
          <w:rFonts w:ascii="Arial" w:hAnsi="Arial" w:cs="Arial"/>
          <w:sz w:val="22"/>
          <w:szCs w:val="22"/>
        </w:rPr>
        <w:t>art 53</w:t>
      </w:r>
      <w:r w:rsidR="00FE4722">
        <w:rPr>
          <w:rFonts w:ascii="Arial" w:hAnsi="Arial" w:cs="Arial"/>
          <w:sz w:val="22"/>
          <w:szCs w:val="22"/>
        </w:rPr>
        <w:t>, Manufacturers Excise Tax</w:t>
      </w:r>
      <w:r w:rsidR="000847CD">
        <w:rPr>
          <w:rFonts w:ascii="Arial" w:hAnsi="Arial" w:cs="Arial"/>
          <w:sz w:val="22"/>
          <w:szCs w:val="22"/>
        </w:rPr>
        <w:t>es</w:t>
      </w:r>
      <w:r w:rsidR="00FE4722">
        <w:rPr>
          <w:rFonts w:ascii="Arial" w:hAnsi="Arial" w:cs="Arial"/>
          <w:sz w:val="22"/>
          <w:szCs w:val="22"/>
        </w:rPr>
        <w:t>—Firearms and Ammunition</w:t>
      </w:r>
      <w:r>
        <w:rPr>
          <w:rFonts w:ascii="Arial" w:hAnsi="Arial" w:cs="Arial"/>
          <w:sz w:val="22"/>
          <w:szCs w:val="22"/>
        </w:rPr>
        <w:t>.  Specifically, 27 CFR 53.151 requires</w:t>
      </w:r>
      <w:r w:rsidR="00531849" w:rsidRPr="00531849">
        <w:rPr>
          <w:rFonts w:ascii="Arial" w:hAnsi="Arial" w:cs="Arial"/>
          <w:sz w:val="22"/>
          <w:szCs w:val="22"/>
        </w:rPr>
        <w:t xml:space="preserve"> </w:t>
      </w:r>
      <w:r w:rsidR="009A1340">
        <w:rPr>
          <w:rFonts w:ascii="Arial" w:hAnsi="Arial" w:cs="Arial"/>
          <w:sz w:val="22"/>
          <w:szCs w:val="22"/>
        </w:rPr>
        <w:t>persons</w:t>
      </w:r>
      <w:r w:rsidR="00531849" w:rsidRPr="00531849">
        <w:rPr>
          <w:rFonts w:ascii="Arial" w:hAnsi="Arial" w:cs="Arial"/>
          <w:sz w:val="22"/>
          <w:szCs w:val="22"/>
        </w:rPr>
        <w:t xml:space="preserve"> who have</w:t>
      </w:r>
      <w:r w:rsidR="00531849">
        <w:rPr>
          <w:rFonts w:ascii="Arial" w:hAnsi="Arial" w:cs="Arial"/>
          <w:sz w:val="22"/>
          <w:szCs w:val="22"/>
        </w:rPr>
        <w:t xml:space="preserve"> FAET </w:t>
      </w:r>
      <w:r w:rsidR="00531849" w:rsidRPr="00531849">
        <w:rPr>
          <w:rFonts w:ascii="Arial" w:hAnsi="Arial" w:cs="Arial"/>
          <w:sz w:val="22"/>
          <w:szCs w:val="22"/>
        </w:rPr>
        <w:t>liability to submit a quarterly tax return</w:t>
      </w:r>
      <w:r w:rsidR="00531849">
        <w:rPr>
          <w:rFonts w:ascii="Arial" w:hAnsi="Arial" w:cs="Arial"/>
          <w:sz w:val="22"/>
          <w:szCs w:val="22"/>
        </w:rPr>
        <w:t xml:space="preserve"> </w:t>
      </w:r>
      <w:r w:rsidR="009A1340">
        <w:rPr>
          <w:rFonts w:ascii="Arial" w:hAnsi="Arial" w:cs="Arial"/>
          <w:sz w:val="22"/>
          <w:szCs w:val="22"/>
        </w:rPr>
        <w:t>using form TTB F </w:t>
      </w:r>
      <w:r w:rsidR="00531849" w:rsidRPr="00531849">
        <w:rPr>
          <w:rFonts w:ascii="Arial" w:hAnsi="Arial" w:cs="Arial"/>
          <w:sz w:val="22"/>
          <w:szCs w:val="22"/>
        </w:rPr>
        <w:t>5300.26</w:t>
      </w:r>
      <w:r w:rsidR="00381088">
        <w:rPr>
          <w:rFonts w:ascii="Arial" w:hAnsi="Arial" w:cs="Arial"/>
          <w:sz w:val="22"/>
          <w:szCs w:val="22"/>
        </w:rPr>
        <w:t>,</w:t>
      </w:r>
      <w:r w:rsidR="00381088" w:rsidRPr="00381088">
        <w:rPr>
          <w:rFonts w:ascii="Arial" w:hAnsi="Arial" w:cs="Arial"/>
          <w:sz w:val="22"/>
          <w:szCs w:val="22"/>
        </w:rPr>
        <w:t xml:space="preserve"> </w:t>
      </w:r>
      <w:r w:rsidR="00381088" w:rsidRPr="00FA2C9C">
        <w:rPr>
          <w:rFonts w:ascii="Arial" w:hAnsi="Arial" w:cs="Arial"/>
          <w:sz w:val="22"/>
          <w:szCs w:val="22"/>
        </w:rPr>
        <w:t>Federal Firearms and Ammunition Quarterly Excise Tax Return</w:t>
      </w:r>
      <w:r w:rsidR="00531849" w:rsidRPr="00531849">
        <w:rPr>
          <w:rFonts w:ascii="Arial" w:hAnsi="Arial" w:cs="Arial"/>
          <w:sz w:val="22"/>
          <w:szCs w:val="22"/>
        </w:rPr>
        <w:t xml:space="preserve">. </w:t>
      </w:r>
      <w:r w:rsidR="00531849">
        <w:rPr>
          <w:rFonts w:ascii="Arial" w:hAnsi="Arial" w:cs="Arial"/>
          <w:sz w:val="22"/>
          <w:szCs w:val="22"/>
        </w:rPr>
        <w:t xml:space="preserve"> </w:t>
      </w:r>
      <w:r w:rsidR="00997C68">
        <w:rPr>
          <w:rFonts w:ascii="Arial" w:hAnsi="Arial" w:cs="Arial"/>
          <w:sz w:val="22"/>
          <w:szCs w:val="22"/>
        </w:rPr>
        <w:t>Also u</w:t>
      </w:r>
      <w:r w:rsidR="009A1340">
        <w:rPr>
          <w:rFonts w:ascii="Arial" w:hAnsi="Arial" w:cs="Arial"/>
          <w:sz w:val="22"/>
          <w:szCs w:val="22"/>
        </w:rPr>
        <w:t>nder that section, persons without any FAET liability in a given calendar quarter are not required to file a quarterly return, but those without any</w:t>
      </w:r>
      <w:r w:rsidR="000847CD">
        <w:rPr>
          <w:rFonts w:ascii="Arial" w:hAnsi="Arial" w:cs="Arial"/>
          <w:sz w:val="22"/>
          <w:szCs w:val="22"/>
        </w:rPr>
        <w:t xml:space="preserve"> such</w:t>
      </w:r>
      <w:r w:rsidR="009A1340">
        <w:rPr>
          <w:rFonts w:ascii="Arial" w:hAnsi="Arial" w:cs="Arial"/>
          <w:sz w:val="22"/>
          <w:szCs w:val="22"/>
        </w:rPr>
        <w:t xml:space="preserve"> liability for an entire calendar year are required to file an annual return.  In </w:t>
      </w:r>
      <w:r w:rsidR="00FE4722">
        <w:rPr>
          <w:rFonts w:ascii="Arial" w:hAnsi="Arial" w:cs="Arial"/>
          <w:sz w:val="22"/>
          <w:szCs w:val="22"/>
        </w:rPr>
        <w:t>addition, § </w:t>
      </w:r>
      <w:r>
        <w:rPr>
          <w:rFonts w:ascii="Arial" w:hAnsi="Arial" w:cs="Arial"/>
          <w:sz w:val="22"/>
          <w:szCs w:val="22"/>
        </w:rPr>
        <w:t xml:space="preserve">53.152 </w:t>
      </w:r>
      <w:r w:rsidR="000223A4">
        <w:rPr>
          <w:rFonts w:ascii="Arial" w:hAnsi="Arial" w:cs="Arial"/>
          <w:sz w:val="22"/>
          <w:szCs w:val="22"/>
        </w:rPr>
        <w:t xml:space="preserve">requires </w:t>
      </w:r>
      <w:r>
        <w:rPr>
          <w:rFonts w:ascii="Arial" w:hAnsi="Arial" w:cs="Arial"/>
          <w:sz w:val="22"/>
          <w:szCs w:val="22"/>
        </w:rPr>
        <w:t>a final r</w:t>
      </w:r>
      <w:r w:rsidR="00FE1349">
        <w:rPr>
          <w:rFonts w:ascii="Arial" w:hAnsi="Arial" w:cs="Arial"/>
          <w:sz w:val="22"/>
          <w:szCs w:val="22"/>
        </w:rPr>
        <w:t>eturn</w:t>
      </w:r>
      <w:r>
        <w:rPr>
          <w:rFonts w:ascii="Arial" w:hAnsi="Arial" w:cs="Arial"/>
          <w:sz w:val="22"/>
          <w:szCs w:val="22"/>
        </w:rPr>
        <w:t xml:space="preserve"> for </w:t>
      </w:r>
      <w:r w:rsidR="00CC43A6">
        <w:rPr>
          <w:rFonts w:ascii="Arial" w:hAnsi="Arial" w:cs="Arial"/>
          <w:sz w:val="22"/>
          <w:szCs w:val="22"/>
        </w:rPr>
        <w:t xml:space="preserve">proprietors who cease </w:t>
      </w:r>
      <w:r w:rsidR="000223A4">
        <w:rPr>
          <w:rFonts w:ascii="Arial" w:hAnsi="Arial" w:cs="Arial"/>
          <w:sz w:val="22"/>
          <w:szCs w:val="22"/>
        </w:rPr>
        <w:t>operations</w:t>
      </w:r>
      <w:r w:rsidR="00CC43A6">
        <w:rPr>
          <w:rFonts w:ascii="Arial" w:hAnsi="Arial" w:cs="Arial"/>
          <w:sz w:val="22"/>
          <w:szCs w:val="22"/>
        </w:rPr>
        <w:t xml:space="preserve">, </w:t>
      </w:r>
      <w:r w:rsidR="00FE4722">
        <w:rPr>
          <w:rFonts w:ascii="Arial" w:hAnsi="Arial" w:cs="Arial"/>
          <w:sz w:val="22"/>
          <w:szCs w:val="22"/>
        </w:rPr>
        <w:t>§ </w:t>
      </w:r>
      <w:r w:rsidR="000338FB">
        <w:rPr>
          <w:rFonts w:ascii="Arial" w:hAnsi="Arial" w:cs="Arial"/>
          <w:sz w:val="22"/>
          <w:szCs w:val="22"/>
        </w:rPr>
        <w:t>53.</w:t>
      </w:r>
      <w:r w:rsidR="00CC43A6">
        <w:rPr>
          <w:rFonts w:ascii="Arial" w:hAnsi="Arial" w:cs="Arial"/>
          <w:sz w:val="22"/>
          <w:szCs w:val="22"/>
        </w:rPr>
        <w:t>153 specifies the time for filing</w:t>
      </w:r>
      <w:r w:rsidR="00DD1D06">
        <w:rPr>
          <w:rFonts w:ascii="Arial" w:hAnsi="Arial" w:cs="Arial"/>
          <w:sz w:val="22"/>
          <w:szCs w:val="22"/>
        </w:rPr>
        <w:t xml:space="preserve"> FAET returns</w:t>
      </w:r>
      <w:r w:rsidR="00CC43A6">
        <w:rPr>
          <w:rFonts w:ascii="Arial" w:hAnsi="Arial" w:cs="Arial"/>
          <w:sz w:val="22"/>
          <w:szCs w:val="22"/>
        </w:rPr>
        <w:t xml:space="preserve">, and </w:t>
      </w:r>
      <w:r w:rsidR="00FE4722">
        <w:rPr>
          <w:rFonts w:ascii="Arial" w:hAnsi="Arial" w:cs="Arial"/>
          <w:sz w:val="22"/>
          <w:szCs w:val="22"/>
        </w:rPr>
        <w:t>§ </w:t>
      </w:r>
      <w:r w:rsidR="00CC43A6">
        <w:rPr>
          <w:rFonts w:ascii="Arial" w:hAnsi="Arial" w:cs="Arial"/>
          <w:sz w:val="22"/>
          <w:szCs w:val="22"/>
        </w:rPr>
        <w:t xml:space="preserve">53.154 </w:t>
      </w:r>
      <w:r w:rsidR="000338FB">
        <w:rPr>
          <w:rFonts w:ascii="Arial" w:hAnsi="Arial" w:cs="Arial"/>
          <w:sz w:val="22"/>
          <w:szCs w:val="22"/>
        </w:rPr>
        <w:t xml:space="preserve">prescribes </w:t>
      </w:r>
      <w:r w:rsidR="00CC43A6">
        <w:rPr>
          <w:rFonts w:ascii="Arial" w:hAnsi="Arial" w:cs="Arial"/>
          <w:sz w:val="22"/>
          <w:szCs w:val="22"/>
        </w:rPr>
        <w:t xml:space="preserve">the manner for filing </w:t>
      </w:r>
      <w:r w:rsidR="00DD1D06">
        <w:rPr>
          <w:rFonts w:ascii="Arial" w:hAnsi="Arial" w:cs="Arial"/>
          <w:sz w:val="22"/>
          <w:szCs w:val="22"/>
        </w:rPr>
        <w:t xml:space="preserve">FAET </w:t>
      </w:r>
      <w:r w:rsidR="00CC43A6">
        <w:rPr>
          <w:rFonts w:ascii="Arial" w:hAnsi="Arial" w:cs="Arial"/>
          <w:sz w:val="22"/>
          <w:szCs w:val="22"/>
        </w:rPr>
        <w:t>return</w:t>
      </w:r>
      <w:r w:rsidR="00DD1D06">
        <w:rPr>
          <w:rFonts w:ascii="Arial" w:hAnsi="Arial" w:cs="Arial"/>
          <w:sz w:val="22"/>
          <w:szCs w:val="22"/>
        </w:rPr>
        <w:t>s</w:t>
      </w:r>
      <w:r w:rsidR="00CC43A6">
        <w:rPr>
          <w:rFonts w:ascii="Arial" w:hAnsi="Arial" w:cs="Arial"/>
          <w:sz w:val="22"/>
          <w:szCs w:val="22"/>
        </w:rPr>
        <w:t xml:space="preserve">. </w:t>
      </w:r>
    </w:p>
    <w:p w14:paraId="6D05D428" w14:textId="77777777" w:rsidR="00381088" w:rsidRDefault="00381088" w:rsidP="008B146B">
      <w:pPr>
        <w:ind w:left="360"/>
        <w:rPr>
          <w:rFonts w:ascii="Arial" w:hAnsi="Arial" w:cs="Arial"/>
          <w:sz w:val="22"/>
          <w:szCs w:val="22"/>
        </w:rPr>
      </w:pPr>
    </w:p>
    <w:p w14:paraId="720E3A9F" w14:textId="6A843644" w:rsidR="000847CD" w:rsidRDefault="00531849" w:rsidP="008B146B">
      <w:pPr>
        <w:ind w:left="360"/>
        <w:rPr>
          <w:rFonts w:ascii="Arial" w:hAnsi="Arial" w:cs="Arial"/>
          <w:sz w:val="22"/>
          <w:szCs w:val="22"/>
        </w:rPr>
      </w:pPr>
      <w:r w:rsidRPr="00531849">
        <w:rPr>
          <w:rFonts w:ascii="Arial" w:hAnsi="Arial" w:cs="Arial"/>
          <w:sz w:val="22"/>
          <w:szCs w:val="22"/>
        </w:rPr>
        <w:t xml:space="preserve">The information collected on </w:t>
      </w:r>
      <w:r w:rsidR="00381088">
        <w:rPr>
          <w:rFonts w:ascii="Arial" w:hAnsi="Arial" w:cs="Arial"/>
          <w:sz w:val="22"/>
          <w:szCs w:val="22"/>
        </w:rPr>
        <w:t xml:space="preserve">TTB F 5300.26 </w:t>
      </w:r>
      <w:r w:rsidRPr="00531849">
        <w:rPr>
          <w:rFonts w:ascii="Arial" w:hAnsi="Arial" w:cs="Arial"/>
          <w:sz w:val="22"/>
          <w:szCs w:val="22"/>
        </w:rPr>
        <w:t>is necessary to</w:t>
      </w:r>
      <w:r w:rsidR="000847CD">
        <w:rPr>
          <w:rFonts w:ascii="Arial" w:hAnsi="Arial" w:cs="Arial"/>
          <w:sz w:val="22"/>
          <w:szCs w:val="22"/>
        </w:rPr>
        <w:t xml:space="preserve"> protect the revenue</w:t>
      </w:r>
      <w:r w:rsidR="00381088">
        <w:rPr>
          <w:rFonts w:ascii="Arial" w:hAnsi="Arial" w:cs="Arial"/>
          <w:sz w:val="22"/>
          <w:szCs w:val="22"/>
        </w:rPr>
        <w:t xml:space="preserve"> and is essential to TTB’s administration of its FAET collection responsibilities.  </w:t>
      </w:r>
      <w:r w:rsidR="000847CD">
        <w:rPr>
          <w:rFonts w:ascii="Arial" w:hAnsi="Arial" w:cs="Arial"/>
          <w:sz w:val="22"/>
          <w:szCs w:val="22"/>
        </w:rPr>
        <w:t>The required use of TTB F 5300.26 supports</w:t>
      </w:r>
      <w:r w:rsidR="000847CD" w:rsidRPr="00FA2C9C">
        <w:rPr>
          <w:rFonts w:ascii="Arial" w:hAnsi="Arial" w:cs="Arial"/>
          <w:sz w:val="22"/>
          <w:szCs w:val="22"/>
        </w:rPr>
        <w:t xml:space="preserve"> timely collection of </w:t>
      </w:r>
      <w:r w:rsidR="000847CD">
        <w:rPr>
          <w:rFonts w:ascii="Arial" w:hAnsi="Arial" w:cs="Arial"/>
          <w:sz w:val="22"/>
          <w:szCs w:val="22"/>
        </w:rPr>
        <w:t>FAET</w:t>
      </w:r>
      <w:r w:rsidR="00381088">
        <w:rPr>
          <w:rFonts w:ascii="Arial" w:hAnsi="Arial" w:cs="Arial"/>
          <w:sz w:val="22"/>
          <w:szCs w:val="22"/>
        </w:rPr>
        <w:t xml:space="preserve">.  The collected information </w:t>
      </w:r>
      <w:r w:rsidR="000847CD">
        <w:rPr>
          <w:rFonts w:ascii="Arial" w:hAnsi="Arial" w:cs="Arial"/>
          <w:sz w:val="22"/>
          <w:szCs w:val="22"/>
        </w:rPr>
        <w:t xml:space="preserve">identifies the </w:t>
      </w:r>
      <w:r w:rsidR="000847CD">
        <w:rPr>
          <w:rFonts w:ascii="Arial" w:hAnsi="Arial" w:cs="Arial"/>
          <w:sz w:val="22"/>
          <w:szCs w:val="22"/>
        </w:rPr>
        <w:lastRenderedPageBreak/>
        <w:t>taxpayer,</w:t>
      </w:r>
      <w:r w:rsidR="00381088">
        <w:rPr>
          <w:rFonts w:ascii="Arial" w:hAnsi="Arial" w:cs="Arial"/>
          <w:sz w:val="22"/>
          <w:szCs w:val="22"/>
        </w:rPr>
        <w:t xml:space="preserve"> </w:t>
      </w:r>
      <w:r w:rsidR="000847CD">
        <w:rPr>
          <w:rFonts w:ascii="Arial" w:hAnsi="Arial" w:cs="Arial"/>
          <w:sz w:val="22"/>
          <w:szCs w:val="22"/>
        </w:rPr>
        <w:t xml:space="preserve">ensures </w:t>
      </w:r>
      <w:r w:rsidR="000847CD" w:rsidRPr="00FA2C9C">
        <w:rPr>
          <w:rFonts w:ascii="Arial" w:hAnsi="Arial" w:cs="Arial"/>
          <w:sz w:val="22"/>
          <w:szCs w:val="22"/>
        </w:rPr>
        <w:t xml:space="preserve">proper calculation of </w:t>
      </w:r>
      <w:r w:rsidR="00381088">
        <w:rPr>
          <w:rFonts w:ascii="Arial" w:hAnsi="Arial" w:cs="Arial"/>
          <w:sz w:val="22"/>
          <w:szCs w:val="22"/>
        </w:rPr>
        <w:t xml:space="preserve">FAET </w:t>
      </w:r>
      <w:r w:rsidR="000847CD" w:rsidRPr="00FA2C9C">
        <w:rPr>
          <w:rFonts w:ascii="Arial" w:hAnsi="Arial" w:cs="Arial"/>
          <w:sz w:val="22"/>
          <w:szCs w:val="22"/>
        </w:rPr>
        <w:t>liability</w:t>
      </w:r>
      <w:r w:rsidR="00381088">
        <w:rPr>
          <w:rFonts w:ascii="Arial" w:hAnsi="Arial" w:cs="Arial"/>
          <w:sz w:val="22"/>
          <w:szCs w:val="22"/>
        </w:rPr>
        <w:t>,</w:t>
      </w:r>
      <w:r w:rsidR="000847CD" w:rsidRPr="00FA2C9C">
        <w:rPr>
          <w:rFonts w:ascii="Arial" w:hAnsi="Arial" w:cs="Arial"/>
          <w:sz w:val="22"/>
          <w:szCs w:val="22"/>
        </w:rPr>
        <w:t xml:space="preserve"> </w:t>
      </w:r>
      <w:r w:rsidR="000847CD">
        <w:rPr>
          <w:rFonts w:ascii="Arial" w:hAnsi="Arial" w:cs="Arial"/>
          <w:sz w:val="22"/>
          <w:szCs w:val="22"/>
        </w:rPr>
        <w:t xml:space="preserve">and </w:t>
      </w:r>
      <w:r w:rsidR="00381088">
        <w:rPr>
          <w:rFonts w:ascii="Arial" w:hAnsi="Arial" w:cs="Arial"/>
          <w:sz w:val="22"/>
          <w:szCs w:val="22"/>
        </w:rPr>
        <w:t xml:space="preserve">ensures </w:t>
      </w:r>
      <w:r w:rsidR="000847CD" w:rsidRPr="00FA2C9C">
        <w:rPr>
          <w:rFonts w:ascii="Arial" w:hAnsi="Arial" w:cs="Arial"/>
          <w:sz w:val="22"/>
          <w:szCs w:val="22"/>
        </w:rPr>
        <w:t xml:space="preserve">crediting of </w:t>
      </w:r>
      <w:r w:rsidR="000847CD">
        <w:rPr>
          <w:rFonts w:ascii="Arial" w:hAnsi="Arial" w:cs="Arial"/>
          <w:sz w:val="22"/>
          <w:szCs w:val="22"/>
        </w:rPr>
        <w:t xml:space="preserve">the collected </w:t>
      </w:r>
      <w:r w:rsidR="000847CD" w:rsidRPr="00FA2C9C">
        <w:rPr>
          <w:rFonts w:ascii="Arial" w:hAnsi="Arial" w:cs="Arial"/>
          <w:sz w:val="22"/>
          <w:szCs w:val="22"/>
        </w:rPr>
        <w:t>funds to the taxpayer's account</w:t>
      </w:r>
      <w:r w:rsidR="000847CD">
        <w:rPr>
          <w:rFonts w:ascii="Arial" w:hAnsi="Arial" w:cs="Arial"/>
          <w:sz w:val="22"/>
          <w:szCs w:val="22"/>
        </w:rPr>
        <w:t xml:space="preserve">. </w:t>
      </w:r>
    </w:p>
    <w:p w14:paraId="28F20B7B" w14:textId="77777777" w:rsidR="000847CD" w:rsidRDefault="000847CD" w:rsidP="004D086A">
      <w:pPr>
        <w:suppressAutoHyphens/>
        <w:ind w:left="360"/>
        <w:rPr>
          <w:rFonts w:ascii="Arial" w:hAnsi="Arial" w:cs="Arial"/>
          <w:sz w:val="22"/>
          <w:szCs w:val="22"/>
        </w:rPr>
      </w:pPr>
    </w:p>
    <w:p w14:paraId="3DB2E508" w14:textId="77777777" w:rsidR="005E4F99" w:rsidRPr="00ED4A03" w:rsidRDefault="005E4F99" w:rsidP="004D086A">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3092745" w14:textId="77777777" w:rsidR="00ED4A03" w:rsidRPr="00ED4A03" w:rsidRDefault="00ED4A03" w:rsidP="00ED4A03">
      <w:pPr>
        <w:numPr>
          <w:ilvl w:val="0"/>
          <w:numId w:val="1"/>
        </w:numPr>
        <w:tabs>
          <w:tab w:val="left" w:pos="1080"/>
        </w:tabs>
        <w:suppressAutoHyphens/>
        <w:spacing w:before="80"/>
        <w:ind w:firstLine="0"/>
        <w:rPr>
          <w:rFonts w:ascii="Arial" w:hAnsi="Arial" w:cs="Arial"/>
          <w:sz w:val="22"/>
          <w:szCs w:val="22"/>
        </w:rPr>
      </w:pPr>
      <w:r w:rsidRPr="00ED4A03">
        <w:rPr>
          <w:rFonts w:ascii="Arial" w:hAnsi="Arial" w:cs="Arial"/>
          <w:sz w:val="22"/>
          <w:szCs w:val="22"/>
        </w:rPr>
        <w:t>Line of Business/Sub-function:  General Government/Taxation Management.</w:t>
      </w:r>
      <w:r>
        <w:rPr>
          <w:rFonts w:ascii="Arial" w:hAnsi="Arial" w:cs="Arial"/>
          <w:sz w:val="22"/>
          <w:szCs w:val="22"/>
        </w:rPr>
        <w:t xml:space="preserve"> </w:t>
      </w:r>
    </w:p>
    <w:p w14:paraId="613440DB" w14:textId="59EABD6D" w:rsidR="005E4F99" w:rsidRDefault="00ED4A03" w:rsidP="00ED4A03">
      <w:pPr>
        <w:numPr>
          <w:ilvl w:val="0"/>
          <w:numId w:val="1"/>
        </w:numPr>
        <w:tabs>
          <w:tab w:val="left" w:pos="1080"/>
        </w:tabs>
        <w:suppressAutoHyphens/>
        <w:spacing w:before="80"/>
        <w:ind w:firstLine="0"/>
        <w:rPr>
          <w:rFonts w:ascii="Arial" w:hAnsi="Arial" w:cs="Arial"/>
          <w:sz w:val="22"/>
          <w:szCs w:val="22"/>
        </w:rPr>
      </w:pPr>
      <w:r w:rsidRPr="00ED4A03">
        <w:rPr>
          <w:rFonts w:ascii="Arial" w:hAnsi="Arial" w:cs="Arial"/>
          <w:sz w:val="22"/>
          <w:szCs w:val="22"/>
        </w:rPr>
        <w:t xml:space="preserve">IT Investment:  </w:t>
      </w:r>
      <w:r>
        <w:rPr>
          <w:rFonts w:ascii="Arial" w:hAnsi="Arial" w:cs="Arial"/>
          <w:sz w:val="22"/>
          <w:szCs w:val="22"/>
        </w:rPr>
        <w:t xml:space="preserve">Tax Major Application Systems. </w:t>
      </w:r>
    </w:p>
    <w:p w14:paraId="2CA8F3A4" w14:textId="77777777" w:rsidR="005E4F99" w:rsidRPr="00723842" w:rsidRDefault="005E4F99" w:rsidP="00D73D2D">
      <w:pPr>
        <w:suppressAutoHyphens/>
        <w:rPr>
          <w:rFonts w:ascii="Arial" w:hAnsi="Arial" w:cs="Arial"/>
          <w:sz w:val="36"/>
          <w:szCs w:val="36"/>
        </w:rPr>
      </w:pPr>
    </w:p>
    <w:p w14:paraId="6897AB80" w14:textId="0B52AC54"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D9B2DEF" w14:textId="77777777" w:rsidR="00AF1157" w:rsidRDefault="00AF1157" w:rsidP="000329F4">
      <w:pPr>
        <w:suppressAutoHyphens/>
        <w:ind w:left="360"/>
        <w:rPr>
          <w:rFonts w:ascii="Arial" w:hAnsi="Arial" w:cs="Arial"/>
          <w:sz w:val="22"/>
          <w:szCs w:val="22"/>
        </w:rPr>
      </w:pPr>
    </w:p>
    <w:p w14:paraId="653DFAE5" w14:textId="74140CF6" w:rsidR="00D414AB" w:rsidRDefault="00381088" w:rsidP="00CC43A6">
      <w:pPr>
        <w:suppressAutoHyphens/>
        <w:ind w:left="360"/>
        <w:rPr>
          <w:rFonts w:ascii="Arial" w:hAnsi="Arial" w:cs="Arial"/>
          <w:sz w:val="22"/>
          <w:szCs w:val="22"/>
        </w:rPr>
      </w:pPr>
      <w:r>
        <w:rPr>
          <w:rFonts w:ascii="Arial" w:hAnsi="Arial" w:cs="Arial"/>
          <w:sz w:val="22"/>
          <w:szCs w:val="22"/>
        </w:rPr>
        <w:t xml:space="preserve">The use of </w:t>
      </w:r>
      <w:r w:rsidR="00CC43A6">
        <w:rPr>
          <w:rFonts w:ascii="Arial" w:hAnsi="Arial" w:cs="Arial"/>
          <w:sz w:val="22"/>
          <w:szCs w:val="22"/>
        </w:rPr>
        <w:t>TTB F </w:t>
      </w:r>
      <w:r w:rsidR="00A37D1B" w:rsidRPr="00CC43A6">
        <w:rPr>
          <w:rFonts w:ascii="Arial" w:hAnsi="Arial" w:cs="Arial"/>
          <w:sz w:val="22"/>
          <w:szCs w:val="22"/>
        </w:rPr>
        <w:t>5</w:t>
      </w:r>
      <w:r w:rsidR="00A37D1B">
        <w:rPr>
          <w:rFonts w:ascii="Arial" w:hAnsi="Arial" w:cs="Arial"/>
          <w:sz w:val="22"/>
          <w:szCs w:val="22"/>
        </w:rPr>
        <w:t>3</w:t>
      </w:r>
      <w:r w:rsidR="00A37D1B" w:rsidRPr="00CC43A6">
        <w:rPr>
          <w:rFonts w:ascii="Arial" w:hAnsi="Arial" w:cs="Arial"/>
          <w:sz w:val="22"/>
          <w:szCs w:val="22"/>
        </w:rPr>
        <w:t>00</w:t>
      </w:r>
      <w:r w:rsidR="00CC43A6" w:rsidRPr="00CC43A6">
        <w:rPr>
          <w:rFonts w:ascii="Arial" w:hAnsi="Arial" w:cs="Arial"/>
          <w:sz w:val="22"/>
          <w:szCs w:val="22"/>
        </w:rPr>
        <w:t xml:space="preserve">.26 is </w:t>
      </w:r>
      <w:r w:rsidR="000E5AEA">
        <w:rPr>
          <w:rFonts w:ascii="Arial" w:hAnsi="Arial" w:cs="Arial"/>
          <w:sz w:val="22"/>
          <w:szCs w:val="22"/>
        </w:rPr>
        <w:t>necessary to protect the revenue</w:t>
      </w:r>
      <w:r>
        <w:rPr>
          <w:rFonts w:ascii="Arial" w:hAnsi="Arial" w:cs="Arial"/>
          <w:sz w:val="22"/>
          <w:szCs w:val="22"/>
        </w:rPr>
        <w:t>,</w:t>
      </w:r>
      <w:r w:rsidR="000E5AEA">
        <w:rPr>
          <w:rFonts w:ascii="Arial" w:hAnsi="Arial" w:cs="Arial"/>
          <w:sz w:val="22"/>
          <w:szCs w:val="22"/>
        </w:rPr>
        <w:t xml:space="preserve"> and </w:t>
      </w:r>
      <w:r>
        <w:rPr>
          <w:rFonts w:ascii="Arial" w:hAnsi="Arial" w:cs="Arial"/>
          <w:sz w:val="22"/>
          <w:szCs w:val="22"/>
        </w:rPr>
        <w:t xml:space="preserve">the collected information </w:t>
      </w:r>
      <w:r w:rsidR="000E5AEA">
        <w:rPr>
          <w:rFonts w:ascii="Arial" w:hAnsi="Arial" w:cs="Arial"/>
          <w:sz w:val="22"/>
          <w:szCs w:val="22"/>
        </w:rPr>
        <w:t xml:space="preserve">is </w:t>
      </w:r>
      <w:r w:rsidR="00CC43A6" w:rsidRPr="00CC43A6">
        <w:rPr>
          <w:rFonts w:ascii="Arial" w:hAnsi="Arial" w:cs="Arial"/>
          <w:sz w:val="22"/>
          <w:szCs w:val="22"/>
        </w:rPr>
        <w:t xml:space="preserve">essential to TTB's ability to administer its excise tax collection responsibilities </w:t>
      </w:r>
      <w:r w:rsidR="000338FB">
        <w:rPr>
          <w:rFonts w:ascii="Arial" w:hAnsi="Arial" w:cs="Arial"/>
          <w:sz w:val="22"/>
          <w:szCs w:val="22"/>
        </w:rPr>
        <w:t>regarding</w:t>
      </w:r>
      <w:r w:rsidR="000338FB" w:rsidRPr="00CC43A6">
        <w:rPr>
          <w:rFonts w:ascii="Arial" w:hAnsi="Arial" w:cs="Arial"/>
          <w:sz w:val="22"/>
          <w:szCs w:val="22"/>
        </w:rPr>
        <w:t xml:space="preserve"> </w:t>
      </w:r>
      <w:r w:rsidR="00CC43A6" w:rsidRPr="00CC43A6">
        <w:rPr>
          <w:rFonts w:ascii="Arial" w:hAnsi="Arial" w:cs="Arial"/>
          <w:sz w:val="22"/>
          <w:szCs w:val="22"/>
        </w:rPr>
        <w:t xml:space="preserve">firearms and ammunition.  </w:t>
      </w:r>
      <w:r w:rsidR="000E5AEA">
        <w:rPr>
          <w:rFonts w:ascii="Arial" w:hAnsi="Arial" w:cs="Arial"/>
          <w:sz w:val="22"/>
          <w:szCs w:val="22"/>
        </w:rPr>
        <w:t xml:space="preserve">TTB uses the </w:t>
      </w:r>
      <w:r w:rsidR="00CC43A6" w:rsidRPr="00CC43A6">
        <w:rPr>
          <w:rFonts w:ascii="Arial" w:hAnsi="Arial" w:cs="Arial"/>
          <w:sz w:val="22"/>
          <w:szCs w:val="22"/>
        </w:rPr>
        <w:t xml:space="preserve">information </w:t>
      </w:r>
      <w:r w:rsidR="00CC43A6">
        <w:rPr>
          <w:rFonts w:ascii="Arial" w:hAnsi="Arial" w:cs="Arial"/>
          <w:sz w:val="22"/>
          <w:szCs w:val="22"/>
        </w:rPr>
        <w:t xml:space="preserve">collected on TTB F 5300.26 </w:t>
      </w:r>
      <w:r w:rsidR="00CC43A6" w:rsidRPr="00CC43A6">
        <w:rPr>
          <w:rFonts w:ascii="Arial" w:hAnsi="Arial" w:cs="Arial"/>
          <w:sz w:val="22"/>
          <w:szCs w:val="22"/>
        </w:rPr>
        <w:t>to identify the taxpayer</w:t>
      </w:r>
      <w:r w:rsidR="00CC43A6">
        <w:rPr>
          <w:rFonts w:ascii="Arial" w:hAnsi="Arial" w:cs="Arial"/>
          <w:sz w:val="22"/>
          <w:szCs w:val="22"/>
        </w:rPr>
        <w:t xml:space="preserve">, the amount and type of taxes due, and the amount of payments made.  </w:t>
      </w:r>
      <w:r w:rsidR="00CC43A6" w:rsidRPr="00CC43A6">
        <w:rPr>
          <w:rFonts w:ascii="Arial" w:hAnsi="Arial" w:cs="Arial"/>
          <w:sz w:val="22"/>
          <w:szCs w:val="22"/>
        </w:rPr>
        <w:t xml:space="preserve">TTB </w:t>
      </w:r>
      <w:r w:rsidR="000E5AEA">
        <w:rPr>
          <w:rFonts w:ascii="Arial" w:hAnsi="Arial" w:cs="Arial"/>
          <w:sz w:val="22"/>
          <w:szCs w:val="22"/>
        </w:rPr>
        <w:t xml:space="preserve">also </w:t>
      </w:r>
      <w:r w:rsidR="00CC43A6">
        <w:rPr>
          <w:rFonts w:ascii="Arial" w:hAnsi="Arial" w:cs="Arial"/>
          <w:sz w:val="22"/>
          <w:szCs w:val="22"/>
        </w:rPr>
        <w:t xml:space="preserve">uses </w:t>
      </w:r>
      <w:r w:rsidR="00CC43A6" w:rsidRPr="00CC43A6">
        <w:rPr>
          <w:rFonts w:ascii="Arial" w:hAnsi="Arial" w:cs="Arial"/>
          <w:sz w:val="22"/>
          <w:szCs w:val="22"/>
        </w:rPr>
        <w:t>th</w:t>
      </w:r>
      <w:r w:rsidR="00CC43A6">
        <w:rPr>
          <w:rFonts w:ascii="Arial" w:hAnsi="Arial" w:cs="Arial"/>
          <w:sz w:val="22"/>
          <w:szCs w:val="22"/>
        </w:rPr>
        <w:t>e</w:t>
      </w:r>
      <w:r w:rsidR="00CC43A6" w:rsidRPr="00CC43A6">
        <w:rPr>
          <w:rFonts w:ascii="Arial" w:hAnsi="Arial" w:cs="Arial"/>
          <w:sz w:val="22"/>
          <w:szCs w:val="22"/>
        </w:rPr>
        <w:t xml:space="preserve"> information </w:t>
      </w:r>
      <w:r w:rsidR="00FE4722">
        <w:rPr>
          <w:rFonts w:ascii="Arial" w:hAnsi="Arial" w:cs="Arial"/>
          <w:sz w:val="22"/>
          <w:szCs w:val="22"/>
        </w:rPr>
        <w:t xml:space="preserve">collected on </w:t>
      </w:r>
      <w:r w:rsidR="00CC43A6">
        <w:rPr>
          <w:rFonts w:ascii="Arial" w:hAnsi="Arial" w:cs="Arial"/>
          <w:sz w:val="22"/>
          <w:szCs w:val="22"/>
        </w:rPr>
        <w:t>th</w:t>
      </w:r>
      <w:r w:rsidR="007C6915">
        <w:rPr>
          <w:rFonts w:ascii="Arial" w:hAnsi="Arial" w:cs="Arial"/>
          <w:sz w:val="22"/>
          <w:szCs w:val="22"/>
        </w:rPr>
        <w:t>e FAET</w:t>
      </w:r>
      <w:r w:rsidR="00CC43A6">
        <w:rPr>
          <w:rFonts w:ascii="Arial" w:hAnsi="Arial" w:cs="Arial"/>
          <w:sz w:val="22"/>
          <w:szCs w:val="22"/>
        </w:rPr>
        <w:t xml:space="preserve"> </w:t>
      </w:r>
      <w:r w:rsidR="00FE4722">
        <w:rPr>
          <w:rFonts w:ascii="Arial" w:hAnsi="Arial" w:cs="Arial"/>
          <w:sz w:val="22"/>
          <w:szCs w:val="22"/>
        </w:rPr>
        <w:t>return</w:t>
      </w:r>
      <w:r w:rsidR="00CC43A6">
        <w:rPr>
          <w:rFonts w:ascii="Arial" w:hAnsi="Arial" w:cs="Arial"/>
          <w:sz w:val="22"/>
          <w:szCs w:val="22"/>
        </w:rPr>
        <w:t xml:space="preserve"> </w:t>
      </w:r>
      <w:r w:rsidR="00CC43A6" w:rsidRPr="00CC43A6">
        <w:rPr>
          <w:rFonts w:ascii="Arial" w:hAnsi="Arial" w:cs="Arial"/>
          <w:sz w:val="22"/>
          <w:szCs w:val="22"/>
        </w:rPr>
        <w:t xml:space="preserve">to determine whether the taxpayer has paid the correct amount of tax and to take additional action, such as </w:t>
      </w:r>
      <w:r w:rsidR="000847CD">
        <w:rPr>
          <w:rFonts w:ascii="Arial" w:hAnsi="Arial" w:cs="Arial"/>
          <w:sz w:val="22"/>
          <w:szCs w:val="22"/>
        </w:rPr>
        <w:t xml:space="preserve">assessment </w:t>
      </w:r>
      <w:r w:rsidR="00CC43A6" w:rsidRPr="00CC43A6">
        <w:rPr>
          <w:rFonts w:ascii="Arial" w:hAnsi="Arial" w:cs="Arial"/>
          <w:sz w:val="22"/>
          <w:szCs w:val="22"/>
        </w:rPr>
        <w:t xml:space="preserve">or refund, </w:t>
      </w:r>
      <w:r w:rsidR="000223A4">
        <w:rPr>
          <w:rFonts w:ascii="Arial" w:hAnsi="Arial" w:cs="Arial"/>
          <w:sz w:val="22"/>
          <w:szCs w:val="22"/>
        </w:rPr>
        <w:t>as necessary</w:t>
      </w:r>
      <w:r w:rsidR="00CC43A6" w:rsidRPr="00CC43A6">
        <w:rPr>
          <w:rFonts w:ascii="Arial" w:hAnsi="Arial" w:cs="Arial"/>
          <w:sz w:val="22"/>
          <w:szCs w:val="22"/>
        </w:rPr>
        <w:t xml:space="preserve">. </w:t>
      </w:r>
      <w:r w:rsidR="00997C68">
        <w:rPr>
          <w:rFonts w:ascii="Arial" w:hAnsi="Arial" w:cs="Arial"/>
          <w:sz w:val="22"/>
          <w:szCs w:val="22"/>
        </w:rPr>
        <w:t xml:space="preserve"> </w:t>
      </w:r>
    </w:p>
    <w:p w14:paraId="44BC0969" w14:textId="77777777" w:rsidR="00997C68" w:rsidRDefault="00997C68" w:rsidP="00CC43A6">
      <w:pPr>
        <w:suppressAutoHyphens/>
        <w:ind w:left="360"/>
        <w:rPr>
          <w:rFonts w:ascii="Arial" w:hAnsi="Arial" w:cs="Arial"/>
          <w:sz w:val="22"/>
          <w:szCs w:val="22"/>
        </w:rPr>
      </w:pPr>
    </w:p>
    <w:p w14:paraId="7CC1DECD" w14:textId="5AD348E7" w:rsidR="00997C68" w:rsidRDefault="00997C68" w:rsidP="00CC43A6">
      <w:pPr>
        <w:suppressAutoHyphens/>
        <w:ind w:left="360"/>
        <w:rPr>
          <w:rFonts w:ascii="Arial" w:hAnsi="Arial" w:cs="Arial"/>
          <w:sz w:val="22"/>
          <w:szCs w:val="22"/>
        </w:rPr>
      </w:pPr>
      <w:r w:rsidRPr="008E2DD6">
        <w:rPr>
          <w:rFonts w:ascii="Arial" w:hAnsi="Arial" w:cs="Arial"/>
          <w:sz w:val="22"/>
          <w:szCs w:val="22"/>
        </w:rPr>
        <w:t>In addi</w:t>
      </w:r>
      <w:r>
        <w:rPr>
          <w:rFonts w:ascii="Arial" w:hAnsi="Arial" w:cs="Arial"/>
          <w:sz w:val="22"/>
          <w:szCs w:val="22"/>
        </w:rPr>
        <w:t>tion, Federal law at 16 U.S.C. chapter 5B requires the Department</w:t>
      </w:r>
      <w:r w:rsidR="0047416C">
        <w:rPr>
          <w:rFonts w:ascii="Arial" w:hAnsi="Arial" w:cs="Arial"/>
          <w:sz w:val="22"/>
          <w:szCs w:val="22"/>
        </w:rPr>
        <w:t xml:space="preserve"> of the Interior</w:t>
      </w:r>
      <w:r>
        <w:rPr>
          <w:rFonts w:ascii="Arial" w:hAnsi="Arial" w:cs="Arial"/>
          <w:sz w:val="22"/>
          <w:szCs w:val="22"/>
        </w:rPr>
        <w:t xml:space="preserve"> to distribute the excise tax collected on ammunition and on each type of firearm (pistols, revolvers, and other firearms) to the States to fund particular wildlife conservation and outdoor recreation programs.  The specific amount of tax paid on ammunition and each type of firearm is required information on TTB F 5300.26.  TTB uses this information to calculate how much funding is available to the Department </w:t>
      </w:r>
      <w:r w:rsidR="0047416C">
        <w:rPr>
          <w:rFonts w:ascii="Arial" w:hAnsi="Arial" w:cs="Arial"/>
          <w:sz w:val="22"/>
          <w:szCs w:val="22"/>
        </w:rPr>
        <w:t xml:space="preserve">of the Interior </w:t>
      </w:r>
      <w:r>
        <w:rPr>
          <w:rFonts w:ascii="Arial" w:hAnsi="Arial" w:cs="Arial"/>
          <w:sz w:val="22"/>
          <w:szCs w:val="22"/>
        </w:rPr>
        <w:t xml:space="preserve">for distribution to each State and program. </w:t>
      </w:r>
    </w:p>
    <w:p w14:paraId="15CF1190" w14:textId="77777777" w:rsidR="00AF1157" w:rsidRPr="00723842" w:rsidRDefault="00AF1157" w:rsidP="00D73D2D">
      <w:pPr>
        <w:ind w:left="576" w:hanging="576"/>
        <w:rPr>
          <w:rFonts w:ascii="Arial" w:hAnsi="Arial" w:cs="Arial"/>
          <w:sz w:val="36"/>
          <w:szCs w:val="36"/>
        </w:rPr>
      </w:pPr>
    </w:p>
    <w:p w14:paraId="43E18A2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E7D7632" w14:textId="77777777" w:rsidR="00AF1157" w:rsidRPr="007A5D4B" w:rsidRDefault="00AF1157" w:rsidP="00D73D2D">
      <w:pPr>
        <w:suppressAutoHyphens/>
        <w:rPr>
          <w:rFonts w:ascii="Arial" w:hAnsi="Arial" w:cs="Arial"/>
          <w:sz w:val="22"/>
          <w:szCs w:val="22"/>
        </w:rPr>
      </w:pPr>
    </w:p>
    <w:p w14:paraId="6E2C4450" w14:textId="249FA85A" w:rsidR="00723842" w:rsidRDefault="00723842" w:rsidP="00723842">
      <w:pPr>
        <w:suppressAutoHyphens/>
        <w:ind w:left="360"/>
        <w:rPr>
          <w:rFonts w:ascii="Arial" w:hAnsi="Arial" w:cs="Arial"/>
          <w:sz w:val="22"/>
          <w:szCs w:val="22"/>
        </w:rPr>
      </w:pPr>
      <w:r>
        <w:rPr>
          <w:rFonts w:ascii="Arial" w:hAnsi="Arial" w:cs="Arial"/>
          <w:sz w:val="22"/>
          <w:szCs w:val="22"/>
        </w:rPr>
        <w:t>Currently, r</w:t>
      </w:r>
      <w:r w:rsidR="00FE4722">
        <w:rPr>
          <w:rFonts w:ascii="Arial" w:hAnsi="Arial" w:cs="Arial"/>
          <w:sz w:val="22"/>
          <w:szCs w:val="22"/>
        </w:rPr>
        <w:t xml:space="preserve">espondents </w:t>
      </w:r>
      <w:r w:rsidR="003E1F93">
        <w:rPr>
          <w:rFonts w:ascii="Arial" w:hAnsi="Arial" w:cs="Arial"/>
          <w:sz w:val="22"/>
          <w:szCs w:val="22"/>
        </w:rPr>
        <w:t>who have registered with TTB to use the Federal Government’s Pay.gov system (</w:t>
      </w:r>
      <w:r w:rsidR="003E1F93" w:rsidRPr="003E1F93">
        <w:rPr>
          <w:rFonts w:ascii="Arial" w:hAnsi="Arial" w:cs="Arial"/>
          <w:i/>
          <w:sz w:val="22"/>
          <w:szCs w:val="22"/>
        </w:rPr>
        <w:t>https://www.pay.gov/public/home</w:t>
      </w:r>
      <w:r w:rsidR="003E1F93">
        <w:rPr>
          <w:rFonts w:ascii="Arial" w:hAnsi="Arial" w:cs="Arial"/>
          <w:sz w:val="22"/>
          <w:szCs w:val="22"/>
        </w:rPr>
        <w:t xml:space="preserve">) </w:t>
      </w:r>
      <w:r w:rsidR="00FE4722" w:rsidRPr="00FE4722">
        <w:rPr>
          <w:rFonts w:ascii="Arial" w:hAnsi="Arial" w:cs="Arial"/>
          <w:sz w:val="22"/>
          <w:szCs w:val="22"/>
        </w:rPr>
        <w:t xml:space="preserve">may </w:t>
      </w:r>
      <w:r>
        <w:rPr>
          <w:rFonts w:ascii="Arial" w:hAnsi="Arial" w:cs="Arial"/>
          <w:sz w:val="22"/>
          <w:szCs w:val="22"/>
        </w:rPr>
        <w:t xml:space="preserve">electronically </w:t>
      </w:r>
      <w:r w:rsidR="00FE4722" w:rsidRPr="00FE4722">
        <w:rPr>
          <w:rFonts w:ascii="Arial" w:hAnsi="Arial" w:cs="Arial"/>
          <w:sz w:val="22"/>
          <w:szCs w:val="22"/>
        </w:rPr>
        <w:t>complete and submit TTB F 5</w:t>
      </w:r>
      <w:r w:rsidR="00FE4722">
        <w:rPr>
          <w:rFonts w:ascii="Arial" w:hAnsi="Arial" w:cs="Arial"/>
          <w:sz w:val="22"/>
          <w:szCs w:val="22"/>
        </w:rPr>
        <w:t>300.26</w:t>
      </w:r>
      <w:r w:rsidR="003E1F93">
        <w:rPr>
          <w:rFonts w:ascii="Arial" w:hAnsi="Arial" w:cs="Arial"/>
          <w:sz w:val="22"/>
          <w:szCs w:val="22"/>
        </w:rPr>
        <w:t>,</w:t>
      </w:r>
      <w:r w:rsidR="00FE4722">
        <w:rPr>
          <w:rFonts w:ascii="Arial" w:hAnsi="Arial" w:cs="Arial"/>
          <w:sz w:val="22"/>
          <w:szCs w:val="22"/>
        </w:rPr>
        <w:t xml:space="preserve"> </w:t>
      </w:r>
      <w:r w:rsidR="003E1F93">
        <w:rPr>
          <w:rFonts w:ascii="Arial" w:hAnsi="Arial" w:cs="Arial"/>
          <w:sz w:val="22"/>
          <w:szCs w:val="22"/>
        </w:rPr>
        <w:t>and pay any FAET liability, v</w:t>
      </w:r>
      <w:r w:rsidR="00FE4722" w:rsidRPr="00FE4722">
        <w:rPr>
          <w:rFonts w:ascii="Arial" w:hAnsi="Arial" w:cs="Arial"/>
          <w:sz w:val="22"/>
          <w:szCs w:val="22"/>
        </w:rPr>
        <w:t>ia the Pay.gov online system</w:t>
      </w:r>
      <w:r w:rsidR="00E277B9">
        <w:rPr>
          <w:rFonts w:ascii="Arial" w:hAnsi="Arial" w:cs="Arial"/>
          <w:sz w:val="22"/>
          <w:szCs w:val="22"/>
        </w:rPr>
        <w:t xml:space="preserve"> (see </w:t>
      </w:r>
      <w:r w:rsidR="00E277B9" w:rsidRPr="00E277B9">
        <w:rPr>
          <w:rFonts w:ascii="Arial" w:hAnsi="Arial" w:cs="Arial"/>
          <w:i/>
          <w:sz w:val="22"/>
          <w:szCs w:val="22"/>
        </w:rPr>
        <w:t>https://www.pay.gov/public/home</w:t>
      </w:r>
      <w:r w:rsidR="00E277B9">
        <w:rPr>
          <w:rFonts w:ascii="Arial" w:hAnsi="Arial" w:cs="Arial"/>
          <w:sz w:val="22"/>
          <w:szCs w:val="22"/>
        </w:rPr>
        <w:t>).</w:t>
      </w:r>
      <w:r w:rsidR="00FE4722" w:rsidRPr="00FE4722">
        <w:rPr>
          <w:rFonts w:ascii="Arial" w:hAnsi="Arial" w:cs="Arial"/>
          <w:sz w:val="22"/>
          <w:szCs w:val="22"/>
        </w:rPr>
        <w:t xml:space="preserve">  In addition, TTB F 5</w:t>
      </w:r>
      <w:r w:rsidR="00FE4722">
        <w:rPr>
          <w:rFonts w:ascii="Arial" w:hAnsi="Arial" w:cs="Arial"/>
          <w:sz w:val="22"/>
          <w:szCs w:val="22"/>
        </w:rPr>
        <w:t>300.26</w:t>
      </w:r>
      <w:r w:rsidR="00FE4722" w:rsidRPr="00FE4722">
        <w:rPr>
          <w:rFonts w:ascii="Arial" w:hAnsi="Arial" w:cs="Arial"/>
          <w:sz w:val="22"/>
          <w:szCs w:val="22"/>
        </w:rPr>
        <w:t xml:space="preserve"> is available on the TTB website at </w:t>
      </w:r>
      <w:r w:rsidR="00FE4722" w:rsidRPr="00FA5C87">
        <w:rPr>
          <w:rFonts w:ascii="Arial" w:hAnsi="Arial" w:cs="Arial"/>
          <w:i/>
          <w:sz w:val="22"/>
          <w:szCs w:val="22"/>
        </w:rPr>
        <w:t>http</w:t>
      </w:r>
      <w:r w:rsidR="000223A4">
        <w:rPr>
          <w:rFonts w:ascii="Arial" w:hAnsi="Arial" w:cs="Arial"/>
          <w:i/>
          <w:sz w:val="22"/>
          <w:szCs w:val="22"/>
        </w:rPr>
        <w:t>s</w:t>
      </w:r>
      <w:r w:rsidR="00FE4722" w:rsidRPr="00FA5C87">
        <w:rPr>
          <w:rFonts w:ascii="Arial" w:hAnsi="Arial" w:cs="Arial"/>
          <w:i/>
          <w:sz w:val="22"/>
          <w:szCs w:val="22"/>
        </w:rPr>
        <w:t>://www.ttb.gov</w:t>
      </w:r>
      <w:r w:rsidR="00FE4722" w:rsidRPr="00FE4722">
        <w:rPr>
          <w:rFonts w:ascii="Arial" w:hAnsi="Arial" w:cs="Arial"/>
          <w:sz w:val="22"/>
          <w:szCs w:val="22"/>
        </w:rPr>
        <w:t xml:space="preserve"> as a fillable</w:t>
      </w:r>
      <w:r w:rsidR="007F14C5">
        <w:rPr>
          <w:rFonts w:ascii="Arial" w:hAnsi="Arial" w:cs="Arial"/>
          <w:sz w:val="22"/>
          <w:szCs w:val="22"/>
        </w:rPr>
        <w:t>-</w:t>
      </w:r>
      <w:r w:rsidR="0004283F">
        <w:rPr>
          <w:rFonts w:ascii="Arial" w:hAnsi="Arial" w:cs="Arial"/>
          <w:sz w:val="22"/>
          <w:szCs w:val="22"/>
        </w:rPr>
        <w:t xml:space="preserve">printable form. </w:t>
      </w:r>
    </w:p>
    <w:p w14:paraId="33459D56" w14:textId="77777777" w:rsidR="00AF1157" w:rsidRPr="00723842" w:rsidRDefault="00AF1157" w:rsidP="00D73D2D">
      <w:pPr>
        <w:suppressAutoHyphens/>
        <w:rPr>
          <w:rFonts w:ascii="Arial" w:hAnsi="Arial" w:cs="Arial"/>
          <w:sz w:val="36"/>
          <w:szCs w:val="36"/>
        </w:rPr>
      </w:pPr>
    </w:p>
    <w:p w14:paraId="10B1B1D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C00C839" w14:textId="77777777" w:rsidR="00AF1157" w:rsidRPr="007A5D4B" w:rsidRDefault="00AF1157" w:rsidP="00D73D2D">
      <w:pPr>
        <w:suppressAutoHyphens/>
        <w:ind w:left="480" w:hanging="480"/>
        <w:rPr>
          <w:rFonts w:ascii="Arial" w:hAnsi="Arial" w:cs="Arial"/>
          <w:sz w:val="22"/>
          <w:szCs w:val="22"/>
        </w:rPr>
      </w:pPr>
    </w:p>
    <w:p w14:paraId="150DE5E3" w14:textId="57A8D3B3" w:rsidR="006A793C" w:rsidRDefault="00723842" w:rsidP="006A793C">
      <w:pPr>
        <w:ind w:left="360"/>
        <w:rPr>
          <w:rFonts w:ascii="Arial" w:hAnsi="Arial" w:cs="Arial"/>
          <w:sz w:val="22"/>
          <w:szCs w:val="22"/>
          <w:highlight w:val="yellow"/>
        </w:rPr>
      </w:pPr>
      <w:r>
        <w:rPr>
          <w:rFonts w:ascii="Arial" w:hAnsi="Arial" w:cs="Arial"/>
          <w:sz w:val="22"/>
          <w:szCs w:val="22"/>
        </w:rPr>
        <w:t xml:space="preserve">TTB is the only Federal government agency that </w:t>
      </w:r>
      <w:r w:rsidR="00997C68">
        <w:rPr>
          <w:rFonts w:ascii="Arial" w:hAnsi="Arial" w:cs="Arial"/>
          <w:sz w:val="22"/>
          <w:szCs w:val="22"/>
        </w:rPr>
        <w:t xml:space="preserve">administers </w:t>
      </w:r>
      <w:r>
        <w:rPr>
          <w:rFonts w:ascii="Arial" w:hAnsi="Arial" w:cs="Arial"/>
          <w:sz w:val="22"/>
          <w:szCs w:val="22"/>
        </w:rPr>
        <w:t>FAET, and t</w:t>
      </w:r>
      <w:r w:rsidR="00416C2F">
        <w:rPr>
          <w:rFonts w:ascii="Arial" w:hAnsi="Arial" w:cs="Arial"/>
          <w:sz w:val="22"/>
          <w:szCs w:val="22"/>
        </w:rPr>
        <w:t>h</w:t>
      </w:r>
      <w:r w:rsidR="006A793C">
        <w:rPr>
          <w:rFonts w:ascii="Arial" w:hAnsi="Arial" w:cs="Arial"/>
          <w:sz w:val="22"/>
          <w:szCs w:val="22"/>
        </w:rPr>
        <w:t>e information collected on TTB F </w:t>
      </w:r>
      <w:r w:rsidR="006A793C" w:rsidRPr="006A793C">
        <w:rPr>
          <w:rFonts w:ascii="Arial" w:hAnsi="Arial" w:cs="Arial"/>
          <w:sz w:val="22"/>
          <w:szCs w:val="22"/>
        </w:rPr>
        <w:t>5300.26 is pertinent</w:t>
      </w:r>
      <w:r w:rsidR="006A793C">
        <w:rPr>
          <w:rFonts w:ascii="Arial" w:hAnsi="Arial" w:cs="Arial"/>
          <w:sz w:val="22"/>
          <w:szCs w:val="22"/>
        </w:rPr>
        <w:t xml:space="preserve"> and unique to each respondent</w:t>
      </w:r>
      <w:r w:rsidR="00EB165F">
        <w:rPr>
          <w:rFonts w:ascii="Arial" w:hAnsi="Arial" w:cs="Arial"/>
          <w:sz w:val="22"/>
          <w:szCs w:val="22"/>
        </w:rPr>
        <w:t>’s</w:t>
      </w:r>
      <w:r w:rsidR="00990985">
        <w:rPr>
          <w:rFonts w:ascii="Arial" w:hAnsi="Arial" w:cs="Arial"/>
          <w:sz w:val="22"/>
          <w:szCs w:val="22"/>
        </w:rPr>
        <w:t xml:space="preserve"> Federal excise</w:t>
      </w:r>
      <w:r w:rsidR="00997C68">
        <w:rPr>
          <w:rFonts w:ascii="Arial" w:hAnsi="Arial" w:cs="Arial"/>
          <w:sz w:val="22"/>
          <w:szCs w:val="22"/>
        </w:rPr>
        <w:t xml:space="preserve"> tax-related activities and liabilities</w:t>
      </w:r>
      <w:r>
        <w:rPr>
          <w:rFonts w:ascii="Arial" w:hAnsi="Arial" w:cs="Arial"/>
          <w:sz w:val="22"/>
          <w:szCs w:val="22"/>
        </w:rPr>
        <w:t xml:space="preserve">.  </w:t>
      </w:r>
      <w:r w:rsidR="00416C2F">
        <w:rPr>
          <w:rFonts w:ascii="Arial" w:hAnsi="Arial" w:cs="Arial"/>
          <w:sz w:val="22"/>
          <w:szCs w:val="22"/>
        </w:rPr>
        <w:t>Therefore,</w:t>
      </w:r>
      <w:r w:rsidR="00416C2F" w:rsidRPr="00416C2F">
        <w:rPr>
          <w:rFonts w:ascii="Arial" w:hAnsi="Arial" w:cs="Arial"/>
          <w:sz w:val="22"/>
          <w:szCs w:val="22"/>
        </w:rPr>
        <w:t xml:space="preserve"> </w:t>
      </w:r>
      <w:r w:rsidR="00416C2F">
        <w:rPr>
          <w:rFonts w:ascii="Arial" w:hAnsi="Arial" w:cs="Arial"/>
          <w:sz w:val="22"/>
          <w:szCs w:val="22"/>
        </w:rPr>
        <w:t>i</w:t>
      </w:r>
      <w:r w:rsidR="006A793C" w:rsidRPr="006A793C">
        <w:rPr>
          <w:rFonts w:ascii="Arial" w:hAnsi="Arial" w:cs="Arial"/>
          <w:sz w:val="22"/>
          <w:szCs w:val="22"/>
        </w:rPr>
        <w:t>nformation s</w:t>
      </w:r>
      <w:r w:rsidR="00997C68">
        <w:rPr>
          <w:rFonts w:ascii="Arial" w:hAnsi="Arial" w:cs="Arial"/>
          <w:sz w:val="22"/>
          <w:szCs w:val="22"/>
        </w:rPr>
        <w:t xml:space="preserve">imilar to that collected on TTB F 5300.26 </w:t>
      </w:r>
      <w:r w:rsidR="006A793C" w:rsidRPr="006A793C">
        <w:rPr>
          <w:rFonts w:ascii="Arial" w:hAnsi="Arial" w:cs="Arial"/>
          <w:sz w:val="22"/>
          <w:szCs w:val="22"/>
        </w:rPr>
        <w:t>is</w:t>
      </w:r>
      <w:r>
        <w:rPr>
          <w:rFonts w:ascii="Arial" w:hAnsi="Arial" w:cs="Arial"/>
          <w:sz w:val="22"/>
          <w:szCs w:val="22"/>
        </w:rPr>
        <w:t xml:space="preserve"> n</w:t>
      </w:r>
      <w:r w:rsidR="006A793C" w:rsidRPr="006A793C">
        <w:rPr>
          <w:rFonts w:ascii="Arial" w:hAnsi="Arial" w:cs="Arial"/>
          <w:sz w:val="22"/>
          <w:szCs w:val="22"/>
        </w:rPr>
        <w:t xml:space="preserve">ot available </w:t>
      </w:r>
      <w:r>
        <w:rPr>
          <w:rFonts w:ascii="Arial" w:hAnsi="Arial" w:cs="Arial"/>
          <w:sz w:val="22"/>
          <w:szCs w:val="22"/>
        </w:rPr>
        <w:t xml:space="preserve">elsewhere to the Federal government or TTB, </w:t>
      </w:r>
      <w:r w:rsidR="00416C2F">
        <w:rPr>
          <w:rFonts w:ascii="Arial" w:hAnsi="Arial" w:cs="Arial"/>
          <w:sz w:val="22"/>
          <w:szCs w:val="22"/>
        </w:rPr>
        <w:t xml:space="preserve">and there is no duplication of this collection among TTB’s </w:t>
      </w:r>
      <w:r w:rsidR="0017710F">
        <w:rPr>
          <w:rFonts w:ascii="Arial" w:hAnsi="Arial" w:cs="Arial"/>
          <w:sz w:val="22"/>
          <w:szCs w:val="22"/>
        </w:rPr>
        <w:t xml:space="preserve">other </w:t>
      </w:r>
      <w:r w:rsidR="006A793C" w:rsidRPr="006A793C">
        <w:rPr>
          <w:rFonts w:ascii="Arial" w:hAnsi="Arial" w:cs="Arial"/>
          <w:sz w:val="22"/>
          <w:szCs w:val="22"/>
        </w:rPr>
        <w:t>approved information collections.</w:t>
      </w:r>
      <w:r w:rsidR="00416C2F">
        <w:rPr>
          <w:rFonts w:ascii="Arial" w:hAnsi="Arial" w:cs="Arial"/>
          <w:sz w:val="22"/>
          <w:szCs w:val="22"/>
        </w:rPr>
        <w:t xml:space="preserve"> </w:t>
      </w:r>
    </w:p>
    <w:p w14:paraId="5138EB43" w14:textId="77777777" w:rsidR="007A5D4B" w:rsidRPr="00861033" w:rsidRDefault="007A5D4B" w:rsidP="007A5D4B">
      <w:pPr>
        <w:suppressAutoHyphens/>
        <w:rPr>
          <w:rFonts w:ascii="Arial" w:hAnsi="Arial" w:cs="Arial"/>
          <w:sz w:val="36"/>
          <w:szCs w:val="36"/>
        </w:rPr>
      </w:pPr>
      <w:bookmarkStart w:id="0" w:name="_GoBack"/>
      <w:bookmarkEnd w:id="0"/>
    </w:p>
    <w:p w14:paraId="501F55E3" w14:textId="77777777" w:rsidR="003E1F93" w:rsidRDefault="003E1F93">
      <w:pPr>
        <w:rPr>
          <w:rFonts w:ascii="Arial" w:hAnsi="Arial" w:cs="Arial"/>
          <w:i/>
          <w:sz w:val="22"/>
          <w:szCs w:val="22"/>
        </w:rPr>
      </w:pPr>
      <w:r>
        <w:rPr>
          <w:rFonts w:ascii="Arial" w:hAnsi="Arial" w:cs="Arial"/>
          <w:i/>
          <w:sz w:val="22"/>
          <w:szCs w:val="22"/>
        </w:rPr>
        <w:br w:type="page"/>
      </w:r>
    </w:p>
    <w:p w14:paraId="0FA65337" w14:textId="1C0A3EFE"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AD331B4" w14:textId="77777777" w:rsidR="007A5D4B" w:rsidRPr="007A5D4B" w:rsidRDefault="007A5D4B" w:rsidP="007A5D4B">
      <w:pPr>
        <w:suppressAutoHyphens/>
        <w:ind w:left="480" w:hanging="480"/>
        <w:rPr>
          <w:rFonts w:ascii="Arial" w:hAnsi="Arial" w:cs="Arial"/>
          <w:sz w:val="22"/>
          <w:szCs w:val="22"/>
        </w:rPr>
      </w:pPr>
    </w:p>
    <w:p w14:paraId="1326C699" w14:textId="0AA1CFB4" w:rsidR="00416C2F" w:rsidRDefault="00416C2F" w:rsidP="004D086A">
      <w:pPr>
        <w:ind w:left="360"/>
        <w:rPr>
          <w:rFonts w:ascii="Arial" w:hAnsi="Arial" w:cs="Arial"/>
          <w:sz w:val="22"/>
          <w:szCs w:val="22"/>
        </w:rPr>
      </w:pPr>
      <w:r w:rsidRPr="00416C2F">
        <w:rPr>
          <w:rFonts w:ascii="Arial" w:hAnsi="Arial" w:cs="Arial"/>
          <w:sz w:val="22"/>
          <w:szCs w:val="22"/>
        </w:rPr>
        <w:t>This information collection does not have a significant impact on a substantial number of small businesses or other small entities</w:t>
      </w:r>
      <w:r w:rsidR="000D1F05">
        <w:rPr>
          <w:rFonts w:ascii="Arial" w:hAnsi="Arial" w:cs="Arial"/>
          <w:sz w:val="22"/>
          <w:szCs w:val="22"/>
        </w:rPr>
        <w:t>.  P</w:t>
      </w:r>
      <w:r w:rsidR="00BF0328" w:rsidRPr="00BF0328">
        <w:rPr>
          <w:rFonts w:ascii="Arial" w:hAnsi="Arial" w:cs="Arial"/>
          <w:sz w:val="22"/>
          <w:szCs w:val="22"/>
        </w:rPr>
        <w:t>ersons and businesses who manufacture</w:t>
      </w:r>
      <w:r w:rsidR="00990985">
        <w:rPr>
          <w:rFonts w:ascii="Arial" w:hAnsi="Arial" w:cs="Arial"/>
          <w:sz w:val="22"/>
          <w:szCs w:val="22"/>
        </w:rPr>
        <w:t>, produce,</w:t>
      </w:r>
      <w:r w:rsidR="00BF0328" w:rsidRPr="00BF0328">
        <w:rPr>
          <w:rFonts w:ascii="Arial" w:hAnsi="Arial" w:cs="Arial"/>
          <w:sz w:val="22"/>
          <w:szCs w:val="22"/>
        </w:rPr>
        <w:t xml:space="preserve"> or import less than 50 firearms in a given calendar year are exempt from the Federal</w:t>
      </w:r>
      <w:r w:rsidR="00BF0328">
        <w:rPr>
          <w:rFonts w:ascii="Arial" w:hAnsi="Arial" w:cs="Arial"/>
          <w:sz w:val="22"/>
          <w:szCs w:val="22"/>
        </w:rPr>
        <w:t xml:space="preserve"> excise tax on those firearms per 26 U.S.C. 4182(c). </w:t>
      </w:r>
      <w:r w:rsidR="00D755E7">
        <w:rPr>
          <w:rFonts w:ascii="Arial" w:hAnsi="Arial" w:cs="Arial"/>
          <w:sz w:val="22"/>
          <w:szCs w:val="22"/>
        </w:rPr>
        <w:t xml:space="preserve"> All other entities, regardless of size, </w:t>
      </w:r>
      <w:r w:rsidR="00C20646">
        <w:rPr>
          <w:rFonts w:ascii="Arial" w:hAnsi="Arial" w:cs="Arial"/>
          <w:sz w:val="22"/>
          <w:szCs w:val="22"/>
        </w:rPr>
        <w:t>that manufacture, produce, or import firearms and/or ammunition for sale</w:t>
      </w:r>
      <w:r w:rsidR="00CC1E71">
        <w:rPr>
          <w:rFonts w:ascii="Arial" w:hAnsi="Arial" w:cs="Arial"/>
          <w:sz w:val="22"/>
          <w:szCs w:val="22"/>
        </w:rPr>
        <w:t>,</w:t>
      </w:r>
      <w:r w:rsidR="00C20646">
        <w:rPr>
          <w:rFonts w:ascii="Arial" w:hAnsi="Arial" w:cs="Arial"/>
          <w:sz w:val="22"/>
          <w:szCs w:val="22"/>
        </w:rPr>
        <w:t xml:space="preserve"> </w:t>
      </w:r>
      <w:r w:rsidR="0017710F">
        <w:rPr>
          <w:rFonts w:ascii="Arial" w:hAnsi="Arial" w:cs="Arial"/>
          <w:sz w:val="22"/>
          <w:szCs w:val="22"/>
        </w:rPr>
        <w:t>and are liable for FAET</w:t>
      </w:r>
      <w:r w:rsidR="00CC1E71">
        <w:rPr>
          <w:rFonts w:ascii="Arial" w:hAnsi="Arial" w:cs="Arial"/>
          <w:sz w:val="22"/>
          <w:szCs w:val="22"/>
        </w:rPr>
        <w:t>,</w:t>
      </w:r>
      <w:r w:rsidR="0017710F">
        <w:rPr>
          <w:rFonts w:ascii="Arial" w:hAnsi="Arial" w:cs="Arial"/>
          <w:sz w:val="22"/>
          <w:szCs w:val="22"/>
        </w:rPr>
        <w:t xml:space="preserve"> </w:t>
      </w:r>
      <w:r w:rsidR="00D755E7">
        <w:rPr>
          <w:rFonts w:ascii="Arial" w:hAnsi="Arial" w:cs="Arial"/>
          <w:sz w:val="22"/>
          <w:szCs w:val="22"/>
        </w:rPr>
        <w:t xml:space="preserve">are required by </w:t>
      </w:r>
      <w:r w:rsidR="00844290">
        <w:rPr>
          <w:rFonts w:ascii="Arial" w:hAnsi="Arial" w:cs="Arial"/>
          <w:sz w:val="22"/>
          <w:szCs w:val="22"/>
        </w:rPr>
        <w:t xml:space="preserve">regulation </w:t>
      </w:r>
      <w:r w:rsidR="00D755E7">
        <w:rPr>
          <w:rFonts w:ascii="Arial" w:hAnsi="Arial" w:cs="Arial"/>
          <w:sz w:val="22"/>
          <w:szCs w:val="22"/>
        </w:rPr>
        <w:t xml:space="preserve">to </w:t>
      </w:r>
      <w:r w:rsidR="00C20646">
        <w:rPr>
          <w:rFonts w:ascii="Arial" w:hAnsi="Arial" w:cs="Arial"/>
          <w:sz w:val="22"/>
          <w:szCs w:val="22"/>
        </w:rPr>
        <w:t>file an FAET return</w:t>
      </w:r>
      <w:r w:rsidR="003E1F93">
        <w:rPr>
          <w:rFonts w:ascii="Arial" w:hAnsi="Arial" w:cs="Arial"/>
          <w:sz w:val="22"/>
          <w:szCs w:val="22"/>
        </w:rPr>
        <w:t xml:space="preserve"> on a quarterly basis.  Industry members without any FAET liability in a given calendar quarter are not required to file a return.  Those industry members with no FAET liability for an entire calendar</w:t>
      </w:r>
      <w:r w:rsidR="001012CC">
        <w:rPr>
          <w:rFonts w:ascii="Arial" w:hAnsi="Arial" w:cs="Arial"/>
          <w:sz w:val="22"/>
          <w:szCs w:val="22"/>
        </w:rPr>
        <w:t xml:space="preserve"> year</w:t>
      </w:r>
      <w:r w:rsidR="003E1F93">
        <w:rPr>
          <w:rFonts w:ascii="Arial" w:hAnsi="Arial" w:cs="Arial"/>
          <w:sz w:val="22"/>
          <w:szCs w:val="22"/>
        </w:rPr>
        <w:t xml:space="preserve"> are only required to file a return showing they have no such liability. </w:t>
      </w:r>
    </w:p>
    <w:p w14:paraId="519D86F7" w14:textId="77777777" w:rsidR="007A5D4B" w:rsidRPr="00861033" w:rsidRDefault="007A5D4B" w:rsidP="007A5D4B">
      <w:pPr>
        <w:suppressAutoHyphens/>
        <w:rPr>
          <w:rFonts w:ascii="Arial" w:hAnsi="Arial" w:cs="Arial"/>
          <w:sz w:val="36"/>
          <w:szCs w:val="36"/>
        </w:rPr>
      </w:pPr>
    </w:p>
    <w:p w14:paraId="234F9217"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EA44676" w14:textId="77777777" w:rsidR="00AF1157" w:rsidRDefault="00AF1157" w:rsidP="00D73D2D">
      <w:pPr>
        <w:suppressAutoHyphens/>
        <w:ind w:left="480" w:hanging="480"/>
        <w:rPr>
          <w:rFonts w:ascii="Arial" w:hAnsi="Arial" w:cs="Arial"/>
          <w:sz w:val="22"/>
          <w:szCs w:val="22"/>
        </w:rPr>
      </w:pPr>
    </w:p>
    <w:p w14:paraId="3F2FE8FF" w14:textId="40720818" w:rsidR="00BF0328" w:rsidRDefault="00BF0328" w:rsidP="00BF0328">
      <w:pPr>
        <w:suppressAutoHyphens/>
        <w:ind w:left="360"/>
        <w:rPr>
          <w:rFonts w:ascii="Arial" w:hAnsi="Arial" w:cs="Arial"/>
          <w:sz w:val="22"/>
          <w:szCs w:val="22"/>
        </w:rPr>
      </w:pPr>
      <w:r>
        <w:rPr>
          <w:rFonts w:ascii="Arial" w:hAnsi="Arial" w:cs="Arial"/>
          <w:sz w:val="22"/>
          <w:szCs w:val="22"/>
        </w:rPr>
        <w:t>TTB F</w:t>
      </w:r>
      <w:r w:rsidR="000D1F05">
        <w:rPr>
          <w:rFonts w:ascii="Arial" w:hAnsi="Arial" w:cs="Arial"/>
          <w:sz w:val="22"/>
          <w:szCs w:val="22"/>
        </w:rPr>
        <w:t> </w:t>
      </w:r>
      <w:r>
        <w:rPr>
          <w:rFonts w:ascii="Arial" w:hAnsi="Arial" w:cs="Arial"/>
          <w:sz w:val="22"/>
          <w:szCs w:val="22"/>
        </w:rPr>
        <w:t xml:space="preserve">5300.26 </w:t>
      </w:r>
      <w:r w:rsidRPr="00BF0328">
        <w:rPr>
          <w:rFonts w:ascii="Arial" w:hAnsi="Arial" w:cs="Arial"/>
          <w:sz w:val="22"/>
          <w:szCs w:val="22"/>
        </w:rPr>
        <w:t xml:space="preserve">is essential to </w:t>
      </w:r>
      <w:r w:rsidR="00396FE7">
        <w:rPr>
          <w:rFonts w:ascii="Arial" w:hAnsi="Arial" w:cs="Arial"/>
          <w:sz w:val="22"/>
          <w:szCs w:val="22"/>
        </w:rPr>
        <w:t xml:space="preserve">TTB’s </w:t>
      </w:r>
      <w:r w:rsidR="00723842">
        <w:rPr>
          <w:rFonts w:ascii="Arial" w:hAnsi="Arial" w:cs="Arial"/>
          <w:sz w:val="22"/>
          <w:szCs w:val="22"/>
        </w:rPr>
        <w:t xml:space="preserve">FAET </w:t>
      </w:r>
      <w:r w:rsidRPr="00BF0328">
        <w:rPr>
          <w:rFonts w:ascii="Arial" w:hAnsi="Arial" w:cs="Arial"/>
          <w:sz w:val="22"/>
          <w:szCs w:val="22"/>
        </w:rPr>
        <w:t xml:space="preserve">collection responsibilities.  The absence of </w:t>
      </w:r>
      <w:r>
        <w:rPr>
          <w:rFonts w:ascii="Arial" w:hAnsi="Arial" w:cs="Arial"/>
          <w:sz w:val="22"/>
          <w:szCs w:val="22"/>
        </w:rPr>
        <w:t xml:space="preserve">the </w:t>
      </w:r>
      <w:r w:rsidR="00723842">
        <w:rPr>
          <w:rFonts w:ascii="Arial" w:hAnsi="Arial" w:cs="Arial"/>
          <w:sz w:val="22"/>
          <w:szCs w:val="22"/>
        </w:rPr>
        <w:t>FAET ret</w:t>
      </w:r>
      <w:r>
        <w:rPr>
          <w:rFonts w:ascii="Arial" w:hAnsi="Arial" w:cs="Arial"/>
          <w:sz w:val="22"/>
          <w:szCs w:val="22"/>
        </w:rPr>
        <w:t xml:space="preserve">urn’s </w:t>
      </w:r>
      <w:r w:rsidRPr="00BF0328">
        <w:rPr>
          <w:rFonts w:ascii="Arial" w:hAnsi="Arial" w:cs="Arial"/>
          <w:sz w:val="22"/>
          <w:szCs w:val="22"/>
        </w:rPr>
        <w:t xml:space="preserve">information would </w:t>
      </w:r>
      <w:r>
        <w:rPr>
          <w:rFonts w:ascii="Arial" w:hAnsi="Arial" w:cs="Arial"/>
          <w:sz w:val="22"/>
          <w:szCs w:val="22"/>
        </w:rPr>
        <w:t xml:space="preserve">jeopardize the revenue since TTB would not be able to identify </w:t>
      </w:r>
      <w:r w:rsidR="00396FE7">
        <w:rPr>
          <w:rFonts w:ascii="Arial" w:hAnsi="Arial" w:cs="Arial"/>
          <w:sz w:val="22"/>
          <w:szCs w:val="22"/>
        </w:rPr>
        <w:t>taxpayers liable for the tax, identify the</w:t>
      </w:r>
      <w:r w:rsidR="00F95884">
        <w:rPr>
          <w:rFonts w:ascii="Arial" w:hAnsi="Arial" w:cs="Arial"/>
          <w:sz w:val="22"/>
          <w:szCs w:val="22"/>
        </w:rPr>
        <w:t xml:space="preserve"> amount of the</w:t>
      </w:r>
      <w:r w:rsidR="00396FE7">
        <w:rPr>
          <w:rFonts w:ascii="Arial" w:hAnsi="Arial" w:cs="Arial"/>
          <w:sz w:val="22"/>
          <w:szCs w:val="22"/>
        </w:rPr>
        <w:t xml:space="preserve"> </w:t>
      </w:r>
      <w:r>
        <w:rPr>
          <w:rFonts w:ascii="Arial" w:hAnsi="Arial" w:cs="Arial"/>
          <w:sz w:val="22"/>
          <w:szCs w:val="22"/>
        </w:rPr>
        <w:t>taxpayer</w:t>
      </w:r>
      <w:r w:rsidR="00396FE7">
        <w:rPr>
          <w:rFonts w:ascii="Arial" w:hAnsi="Arial" w:cs="Arial"/>
          <w:sz w:val="22"/>
          <w:szCs w:val="22"/>
        </w:rPr>
        <w:t>’</w:t>
      </w:r>
      <w:r>
        <w:rPr>
          <w:rFonts w:ascii="Arial" w:hAnsi="Arial" w:cs="Arial"/>
          <w:sz w:val="22"/>
          <w:szCs w:val="22"/>
        </w:rPr>
        <w:t>s liability for this tax</w:t>
      </w:r>
      <w:r w:rsidR="00396FE7">
        <w:rPr>
          <w:rFonts w:ascii="Arial" w:hAnsi="Arial" w:cs="Arial"/>
          <w:sz w:val="22"/>
          <w:szCs w:val="22"/>
        </w:rPr>
        <w:t>,</w:t>
      </w:r>
      <w:r>
        <w:rPr>
          <w:rFonts w:ascii="Arial" w:hAnsi="Arial" w:cs="Arial"/>
          <w:sz w:val="22"/>
          <w:szCs w:val="22"/>
        </w:rPr>
        <w:t xml:space="preserve"> </w:t>
      </w:r>
      <w:r w:rsidR="00B25D2D">
        <w:rPr>
          <w:rFonts w:ascii="Arial" w:hAnsi="Arial" w:cs="Arial"/>
          <w:sz w:val="22"/>
          <w:szCs w:val="22"/>
        </w:rPr>
        <w:t xml:space="preserve">or determine </w:t>
      </w:r>
      <w:r>
        <w:rPr>
          <w:rFonts w:ascii="Arial" w:hAnsi="Arial" w:cs="Arial"/>
          <w:sz w:val="22"/>
          <w:szCs w:val="22"/>
        </w:rPr>
        <w:t>if proper payments were made.</w:t>
      </w:r>
      <w:r w:rsidR="00B25D2D">
        <w:rPr>
          <w:rFonts w:ascii="Arial" w:hAnsi="Arial" w:cs="Arial"/>
          <w:sz w:val="22"/>
          <w:szCs w:val="22"/>
        </w:rPr>
        <w:t xml:space="preserve"> </w:t>
      </w:r>
      <w:r w:rsidR="003E1F93">
        <w:rPr>
          <w:rFonts w:ascii="Arial" w:hAnsi="Arial" w:cs="Arial"/>
          <w:sz w:val="22"/>
          <w:szCs w:val="22"/>
        </w:rPr>
        <w:t xml:space="preserve"> Respondents with FAET tax liability are required by TTB regulation to file a return on TTB F 5300.26 on a quarterly basis.  TTB believes that less frequent collection of this return would jeopardize the revenue. </w:t>
      </w:r>
    </w:p>
    <w:p w14:paraId="2C0A4718" w14:textId="77777777" w:rsidR="00BF0328" w:rsidRDefault="00BF0328" w:rsidP="00BF0328">
      <w:pPr>
        <w:suppressAutoHyphens/>
        <w:ind w:left="360"/>
        <w:rPr>
          <w:rFonts w:ascii="Arial" w:hAnsi="Arial" w:cs="Arial"/>
          <w:sz w:val="22"/>
          <w:szCs w:val="22"/>
        </w:rPr>
      </w:pPr>
    </w:p>
    <w:p w14:paraId="21562FFF" w14:textId="5A200713" w:rsidR="00BF0328" w:rsidRDefault="00997C68" w:rsidP="00BF0328">
      <w:pPr>
        <w:suppressAutoHyphens/>
        <w:ind w:left="360"/>
        <w:rPr>
          <w:rFonts w:ascii="Arial" w:hAnsi="Arial" w:cs="Arial"/>
          <w:sz w:val="22"/>
          <w:szCs w:val="22"/>
        </w:rPr>
      </w:pPr>
      <w:r w:rsidRPr="008E2DD6">
        <w:rPr>
          <w:rFonts w:ascii="Arial" w:hAnsi="Arial" w:cs="Arial"/>
          <w:sz w:val="22"/>
          <w:szCs w:val="22"/>
        </w:rPr>
        <w:t>In addi</w:t>
      </w:r>
      <w:r>
        <w:rPr>
          <w:rFonts w:ascii="Arial" w:hAnsi="Arial" w:cs="Arial"/>
          <w:sz w:val="22"/>
          <w:szCs w:val="22"/>
        </w:rPr>
        <w:t>tion, Federal law at 16 U.S.C. chapter 5B requires the Department</w:t>
      </w:r>
      <w:r w:rsidR="001012CC">
        <w:rPr>
          <w:rFonts w:ascii="Arial" w:hAnsi="Arial" w:cs="Arial"/>
          <w:sz w:val="22"/>
          <w:szCs w:val="22"/>
        </w:rPr>
        <w:t xml:space="preserve"> of the Interior</w:t>
      </w:r>
      <w:r>
        <w:rPr>
          <w:rFonts w:ascii="Arial" w:hAnsi="Arial" w:cs="Arial"/>
          <w:sz w:val="22"/>
          <w:szCs w:val="22"/>
        </w:rPr>
        <w:t xml:space="preserve"> to distribute the excise tax collected on ammunition and on each type of firearm (pistols, revolvers, and other firearms) to the States to fund particular wildlife conservation and outdoor recreation programs.  The specific amount of tax paid on each ammunition and each type of firearm is required information on TTB F 5300.26.  TTB uses this information to calculate how much funding is available to the Department </w:t>
      </w:r>
      <w:r w:rsidR="001012CC">
        <w:rPr>
          <w:rFonts w:ascii="Arial" w:hAnsi="Arial" w:cs="Arial"/>
          <w:sz w:val="22"/>
          <w:szCs w:val="22"/>
        </w:rPr>
        <w:t xml:space="preserve">of the Interior </w:t>
      </w:r>
      <w:r>
        <w:rPr>
          <w:rFonts w:ascii="Arial" w:hAnsi="Arial" w:cs="Arial"/>
          <w:sz w:val="22"/>
          <w:szCs w:val="22"/>
        </w:rPr>
        <w:t xml:space="preserve">for distribution to each State and each program.  </w:t>
      </w:r>
      <w:r w:rsidR="00BF0328" w:rsidRPr="00BF0328">
        <w:rPr>
          <w:rFonts w:ascii="Arial" w:hAnsi="Arial" w:cs="Arial"/>
          <w:sz w:val="22"/>
          <w:szCs w:val="22"/>
        </w:rPr>
        <w:t>Without this information, the Department</w:t>
      </w:r>
      <w:r w:rsidR="001012CC">
        <w:rPr>
          <w:rFonts w:ascii="Arial" w:hAnsi="Arial" w:cs="Arial"/>
          <w:sz w:val="22"/>
          <w:szCs w:val="22"/>
        </w:rPr>
        <w:t xml:space="preserve"> of the Interior</w:t>
      </w:r>
      <w:r w:rsidR="00BF0328" w:rsidRPr="00BF0328">
        <w:rPr>
          <w:rFonts w:ascii="Arial" w:hAnsi="Arial" w:cs="Arial"/>
          <w:sz w:val="22"/>
          <w:szCs w:val="22"/>
        </w:rPr>
        <w:t xml:space="preserve"> would be unable to correctly allocate </w:t>
      </w:r>
      <w:r w:rsidR="00AE4EBB">
        <w:rPr>
          <w:rFonts w:ascii="Arial" w:hAnsi="Arial" w:cs="Arial"/>
          <w:sz w:val="22"/>
          <w:szCs w:val="22"/>
        </w:rPr>
        <w:t xml:space="preserve">these </w:t>
      </w:r>
      <w:r w:rsidR="00BF0328" w:rsidRPr="00BF0328">
        <w:rPr>
          <w:rFonts w:ascii="Arial" w:hAnsi="Arial" w:cs="Arial"/>
          <w:sz w:val="22"/>
          <w:szCs w:val="22"/>
        </w:rPr>
        <w:t>funds</w:t>
      </w:r>
      <w:r w:rsidR="00AE4EBB">
        <w:rPr>
          <w:rFonts w:ascii="Arial" w:hAnsi="Arial" w:cs="Arial"/>
          <w:sz w:val="22"/>
          <w:szCs w:val="22"/>
        </w:rPr>
        <w:t xml:space="preserve"> as directed by law. </w:t>
      </w:r>
    </w:p>
    <w:p w14:paraId="027C2008" w14:textId="77777777" w:rsidR="007A5D4B" w:rsidRPr="00861033" w:rsidRDefault="007A5D4B" w:rsidP="007A5D4B">
      <w:pPr>
        <w:suppressAutoHyphens/>
        <w:rPr>
          <w:rFonts w:ascii="Arial" w:hAnsi="Arial" w:cs="Arial"/>
          <w:sz w:val="36"/>
          <w:szCs w:val="36"/>
        </w:rPr>
      </w:pPr>
    </w:p>
    <w:p w14:paraId="6EE596F0"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DC72B1" w14:textId="77777777" w:rsidR="00101DE7" w:rsidRPr="007A5D4B" w:rsidRDefault="00101DE7" w:rsidP="00D73D2D">
      <w:pPr>
        <w:rPr>
          <w:rFonts w:ascii="Arial" w:hAnsi="Arial" w:cs="Arial"/>
          <w:sz w:val="22"/>
          <w:szCs w:val="22"/>
        </w:rPr>
      </w:pPr>
    </w:p>
    <w:p w14:paraId="3C28EAA9" w14:textId="77777777" w:rsidR="00EC4FC3" w:rsidRPr="007A5D4B" w:rsidRDefault="00EC4FC3" w:rsidP="004D086A">
      <w:pPr>
        <w:ind w:left="360"/>
        <w:rPr>
          <w:rFonts w:ascii="Arial" w:hAnsi="Arial" w:cs="Arial"/>
          <w:sz w:val="22"/>
          <w:szCs w:val="22"/>
        </w:rPr>
      </w:pPr>
      <w:r w:rsidRPr="00AE4EBB">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08BF20B3" w14:textId="77777777" w:rsidR="00EC4FC3" w:rsidRPr="00861033" w:rsidRDefault="00EC4FC3" w:rsidP="00D73D2D">
      <w:pPr>
        <w:rPr>
          <w:rFonts w:ascii="Arial" w:hAnsi="Arial" w:cs="Arial"/>
          <w:sz w:val="36"/>
          <w:szCs w:val="36"/>
        </w:rPr>
      </w:pPr>
    </w:p>
    <w:p w14:paraId="27563B8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237B032" w14:textId="77777777" w:rsidR="005C282B" w:rsidRPr="007A5D4B" w:rsidRDefault="005C282B" w:rsidP="00D73D2D">
      <w:pPr>
        <w:suppressAutoHyphens/>
        <w:ind w:left="480" w:hanging="480"/>
        <w:rPr>
          <w:rFonts w:ascii="Arial" w:hAnsi="Arial" w:cs="Arial"/>
          <w:sz w:val="22"/>
          <w:szCs w:val="22"/>
        </w:rPr>
      </w:pPr>
    </w:p>
    <w:p w14:paraId="1D6F4070" w14:textId="77777777" w:rsidR="00D414AB" w:rsidRPr="00AE4EBB" w:rsidRDefault="00723842" w:rsidP="004D086A">
      <w:pPr>
        <w:ind w:left="360"/>
        <w:rPr>
          <w:rFonts w:ascii="Arial" w:hAnsi="Arial" w:cs="Arial"/>
          <w:sz w:val="22"/>
          <w:szCs w:val="22"/>
        </w:rPr>
      </w:pPr>
      <w:r>
        <w:rPr>
          <w:rFonts w:ascii="Arial" w:hAnsi="Arial" w:cs="Arial"/>
          <w:sz w:val="22"/>
          <w:szCs w:val="22"/>
        </w:rPr>
        <w:t>To solicit comments from the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Tuesday, February 14, 2017, at </w:t>
      </w:r>
      <w:r w:rsidRPr="00DF777E">
        <w:rPr>
          <w:rFonts w:ascii="Arial" w:hAnsi="Arial" w:cs="Arial"/>
          <w:sz w:val="22"/>
          <w:szCs w:val="22"/>
        </w:rPr>
        <w:t>82 FR 10630</w:t>
      </w:r>
      <w:r>
        <w:rPr>
          <w:rFonts w:ascii="Arial" w:hAnsi="Arial" w:cs="Arial"/>
          <w:sz w:val="22"/>
          <w:szCs w:val="22"/>
        </w:rPr>
        <w:t xml:space="preserve">. </w:t>
      </w:r>
      <w:r w:rsidRPr="00DF777E">
        <w:rPr>
          <w:rFonts w:ascii="Arial" w:hAnsi="Arial" w:cs="Arial"/>
          <w:sz w:val="22"/>
          <w:szCs w:val="22"/>
        </w:rPr>
        <w:t xml:space="preserve"> TTB received no comments</w:t>
      </w:r>
      <w:r>
        <w:rPr>
          <w:rFonts w:ascii="Arial" w:hAnsi="Arial" w:cs="Arial"/>
          <w:sz w:val="22"/>
          <w:szCs w:val="22"/>
        </w:rPr>
        <w:t xml:space="preserve"> on this information collection</w:t>
      </w:r>
      <w:r w:rsidRPr="00DF777E">
        <w:rPr>
          <w:rFonts w:ascii="Arial" w:hAnsi="Arial" w:cs="Arial"/>
          <w:sz w:val="22"/>
          <w:szCs w:val="22"/>
        </w:rPr>
        <w:t xml:space="preserve"> in response to th</w:t>
      </w:r>
      <w:r>
        <w:rPr>
          <w:rFonts w:ascii="Arial" w:hAnsi="Arial" w:cs="Arial"/>
          <w:sz w:val="22"/>
          <w:szCs w:val="22"/>
        </w:rPr>
        <w:t>at</w:t>
      </w:r>
      <w:r w:rsidRPr="00DF777E">
        <w:rPr>
          <w:rFonts w:ascii="Arial" w:hAnsi="Arial" w:cs="Arial"/>
          <w:sz w:val="22"/>
          <w:szCs w:val="22"/>
        </w:rPr>
        <w:t xml:space="preserve"> notice</w:t>
      </w:r>
      <w:r>
        <w:rPr>
          <w:rFonts w:ascii="Arial" w:hAnsi="Arial" w:cs="Arial"/>
          <w:sz w:val="22"/>
          <w:szCs w:val="22"/>
        </w:rPr>
        <w:t xml:space="preserve">. </w:t>
      </w:r>
    </w:p>
    <w:p w14:paraId="5007CD19" w14:textId="77777777" w:rsidR="00734B25" w:rsidRPr="00861033" w:rsidRDefault="00734B25" w:rsidP="00D73D2D">
      <w:pPr>
        <w:suppressAutoHyphens/>
        <w:rPr>
          <w:rFonts w:ascii="Arial" w:hAnsi="Arial" w:cs="Arial"/>
          <w:sz w:val="36"/>
          <w:szCs w:val="36"/>
        </w:rPr>
      </w:pPr>
    </w:p>
    <w:p w14:paraId="2B266FA1" w14:textId="77777777" w:rsidR="003E1F93" w:rsidRDefault="003E1F93">
      <w:pPr>
        <w:rPr>
          <w:rFonts w:ascii="Arial" w:hAnsi="Arial" w:cs="Arial"/>
          <w:i/>
          <w:sz w:val="22"/>
          <w:szCs w:val="22"/>
        </w:rPr>
      </w:pPr>
      <w:r>
        <w:rPr>
          <w:rFonts w:ascii="Arial" w:hAnsi="Arial" w:cs="Arial"/>
          <w:i/>
          <w:sz w:val="22"/>
          <w:szCs w:val="22"/>
        </w:rPr>
        <w:br w:type="page"/>
      </w:r>
    </w:p>
    <w:p w14:paraId="56540BB3" w14:textId="24C816FB" w:rsidR="00EC4FC3" w:rsidRPr="00D656EA" w:rsidRDefault="005E4F9B" w:rsidP="00D73D2D">
      <w:pPr>
        <w:suppressAutoHyphens/>
        <w:rPr>
          <w:rFonts w:ascii="Arial" w:hAnsi="Arial" w:cs="Arial"/>
          <w:i/>
          <w:sz w:val="22"/>
          <w:szCs w:val="22"/>
        </w:rPr>
      </w:pPr>
      <w:r w:rsidRPr="00D656EA">
        <w:rPr>
          <w:rFonts w:ascii="Arial" w:hAnsi="Arial" w:cs="Arial"/>
          <w:i/>
          <w:sz w:val="22"/>
          <w:szCs w:val="22"/>
        </w:rPr>
        <w:lastRenderedPageBreak/>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151C723" w14:textId="77777777" w:rsidR="00EC4FC3" w:rsidRPr="007A5D4B" w:rsidRDefault="00EC4FC3" w:rsidP="00D73D2D">
      <w:pPr>
        <w:suppressAutoHyphens/>
        <w:rPr>
          <w:rFonts w:ascii="Arial" w:hAnsi="Arial" w:cs="Arial"/>
          <w:sz w:val="22"/>
          <w:szCs w:val="22"/>
        </w:rPr>
      </w:pPr>
    </w:p>
    <w:p w14:paraId="6951863E"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797F487" w14:textId="77777777" w:rsidR="00EC4FC3" w:rsidRPr="00861033" w:rsidRDefault="00EC4FC3" w:rsidP="00D73D2D">
      <w:pPr>
        <w:suppressAutoHyphens/>
        <w:rPr>
          <w:rFonts w:ascii="Arial" w:hAnsi="Arial" w:cs="Arial"/>
          <w:sz w:val="36"/>
          <w:szCs w:val="36"/>
        </w:rPr>
      </w:pPr>
    </w:p>
    <w:p w14:paraId="1B8CD07D"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426FF31" w14:textId="77777777" w:rsidR="00EC4FC3" w:rsidRPr="007A5D4B" w:rsidRDefault="00EC4FC3" w:rsidP="00D73D2D">
      <w:pPr>
        <w:rPr>
          <w:rFonts w:ascii="Arial" w:hAnsi="Arial" w:cs="Arial"/>
          <w:sz w:val="22"/>
          <w:szCs w:val="22"/>
        </w:rPr>
      </w:pPr>
    </w:p>
    <w:p w14:paraId="67189B9E" w14:textId="64D78167" w:rsidR="00861033" w:rsidRPr="00861033" w:rsidRDefault="00AB4A0A" w:rsidP="00861033">
      <w:pPr>
        <w:ind w:left="360"/>
        <w:rPr>
          <w:rFonts w:ascii="Arial" w:hAnsi="Arial" w:cs="Arial"/>
          <w:sz w:val="22"/>
          <w:szCs w:val="22"/>
        </w:rPr>
      </w:pPr>
      <w:r>
        <w:rPr>
          <w:rFonts w:ascii="Arial" w:hAnsi="Arial" w:cs="Arial"/>
          <w:sz w:val="22"/>
          <w:szCs w:val="22"/>
        </w:rPr>
        <w:t xml:space="preserve">TTB F 5300.26 contains a general Privacy Act Statement and a Privacy Act Statement regarding TTB’s use of information provided by respondents who pay taxes by paper check.  </w:t>
      </w:r>
      <w:r w:rsidR="00AF1157" w:rsidRPr="000D1F05">
        <w:rPr>
          <w:rFonts w:ascii="Arial" w:hAnsi="Arial" w:cs="Arial"/>
          <w:sz w:val="22"/>
          <w:szCs w:val="22"/>
        </w:rPr>
        <w:t xml:space="preserve">No </w:t>
      </w:r>
      <w:r>
        <w:rPr>
          <w:rFonts w:ascii="Arial" w:hAnsi="Arial" w:cs="Arial"/>
          <w:sz w:val="22"/>
          <w:szCs w:val="22"/>
        </w:rPr>
        <w:t xml:space="preserve">other </w:t>
      </w:r>
      <w:r w:rsidR="00AF1157" w:rsidRPr="000D1F05">
        <w:rPr>
          <w:rFonts w:ascii="Arial" w:hAnsi="Arial" w:cs="Arial"/>
          <w:sz w:val="22"/>
          <w:szCs w:val="22"/>
        </w:rPr>
        <w:t>specific assurance of confidentiality is provided on this form</w:t>
      </w:r>
      <w:r w:rsidR="008603B9" w:rsidRPr="000D1F05">
        <w:rPr>
          <w:rFonts w:ascii="Arial" w:hAnsi="Arial" w:cs="Arial"/>
          <w:sz w:val="22"/>
          <w:szCs w:val="22"/>
        </w:rPr>
        <w:t>.  H</w:t>
      </w:r>
      <w:r w:rsidR="00AF1157" w:rsidRPr="000D1F05">
        <w:rPr>
          <w:rFonts w:ascii="Arial" w:hAnsi="Arial" w:cs="Arial"/>
          <w:sz w:val="22"/>
          <w:szCs w:val="22"/>
        </w:rPr>
        <w:t xml:space="preserve">owever, </w:t>
      </w:r>
      <w:r w:rsidR="000D1F05" w:rsidRPr="000D1F05">
        <w:rPr>
          <w:rFonts w:ascii="Arial" w:hAnsi="Arial" w:cs="Arial"/>
          <w:sz w:val="22"/>
          <w:szCs w:val="22"/>
        </w:rPr>
        <w:t xml:space="preserve">Federal </w:t>
      </w:r>
      <w:r w:rsidR="00861033">
        <w:rPr>
          <w:rFonts w:ascii="Arial" w:hAnsi="Arial" w:cs="Arial"/>
          <w:sz w:val="22"/>
          <w:szCs w:val="22"/>
        </w:rPr>
        <w:t>law</w:t>
      </w:r>
      <w:r w:rsidR="000D1F05" w:rsidRPr="000D1F05">
        <w:rPr>
          <w:rFonts w:ascii="Arial" w:hAnsi="Arial" w:cs="Arial"/>
          <w:sz w:val="22"/>
          <w:szCs w:val="22"/>
        </w:rPr>
        <w:t xml:space="preserve"> at 5 U.S.C. 552 protects the confidentiality of proprietary information obtained by the Government from re</w:t>
      </w:r>
      <w:r w:rsidR="00F95884">
        <w:rPr>
          <w:rFonts w:ascii="Arial" w:hAnsi="Arial" w:cs="Arial"/>
          <w:sz w:val="22"/>
          <w:szCs w:val="22"/>
        </w:rPr>
        <w:t>spondents</w:t>
      </w:r>
      <w:r w:rsidR="000D1F05" w:rsidRPr="000D1F05">
        <w:rPr>
          <w:rFonts w:ascii="Arial" w:hAnsi="Arial" w:cs="Arial"/>
          <w:sz w:val="22"/>
          <w:szCs w:val="22"/>
        </w:rPr>
        <w:t xml:space="preserve">, and 26 U.S.C. 6103 prohibits disclosure of tax returns and return information unless specifically authorized </w:t>
      </w:r>
      <w:r w:rsidR="000D1F05">
        <w:rPr>
          <w:rFonts w:ascii="Arial" w:hAnsi="Arial" w:cs="Arial"/>
          <w:sz w:val="22"/>
          <w:szCs w:val="22"/>
        </w:rPr>
        <w:t xml:space="preserve">by that </w:t>
      </w:r>
      <w:r w:rsidR="000D1F05" w:rsidRPr="000D1F05">
        <w:rPr>
          <w:rFonts w:ascii="Arial" w:hAnsi="Arial" w:cs="Arial"/>
          <w:sz w:val="22"/>
          <w:szCs w:val="22"/>
        </w:rPr>
        <w:t>section</w:t>
      </w:r>
      <w:r w:rsidR="000D1F05">
        <w:rPr>
          <w:rFonts w:ascii="Arial" w:hAnsi="Arial" w:cs="Arial"/>
          <w:sz w:val="22"/>
          <w:szCs w:val="22"/>
        </w:rPr>
        <w:t xml:space="preserve">. </w:t>
      </w:r>
      <w:r w:rsidR="00861033">
        <w:rPr>
          <w:rFonts w:ascii="Arial" w:hAnsi="Arial" w:cs="Arial"/>
          <w:sz w:val="22"/>
          <w:szCs w:val="22"/>
        </w:rPr>
        <w:t xml:space="preserve"> </w:t>
      </w:r>
      <w:r w:rsidR="00861033" w:rsidRPr="00861033">
        <w:rPr>
          <w:rFonts w:ascii="Arial" w:hAnsi="Arial" w:cs="Arial"/>
          <w:sz w:val="22"/>
          <w:szCs w:val="22"/>
        </w:rPr>
        <w:t xml:space="preserve">TTB maintains </w:t>
      </w:r>
      <w:r w:rsidR="00861033">
        <w:rPr>
          <w:rFonts w:ascii="Arial" w:hAnsi="Arial" w:cs="Arial"/>
          <w:sz w:val="22"/>
          <w:szCs w:val="22"/>
        </w:rPr>
        <w:t>FAET returns and the collected information</w:t>
      </w:r>
      <w:r w:rsidR="00861033" w:rsidRPr="00861033">
        <w:rPr>
          <w:rFonts w:ascii="Arial" w:hAnsi="Arial" w:cs="Arial"/>
          <w:sz w:val="22"/>
          <w:szCs w:val="22"/>
        </w:rPr>
        <w:t xml:space="preserve"> in secure file rooms with controlled access and in password-protected computer systems. </w:t>
      </w:r>
    </w:p>
    <w:p w14:paraId="3616EBAB" w14:textId="77777777" w:rsidR="00AF1157" w:rsidRPr="00861033" w:rsidRDefault="00AF1157" w:rsidP="00D73D2D">
      <w:pPr>
        <w:suppressAutoHyphens/>
        <w:rPr>
          <w:rFonts w:ascii="Arial" w:hAnsi="Arial" w:cs="Arial"/>
          <w:sz w:val="36"/>
          <w:szCs w:val="36"/>
        </w:rPr>
      </w:pPr>
    </w:p>
    <w:p w14:paraId="285BCED9" w14:textId="77777777" w:rsidR="0038747C" w:rsidRPr="00965E7F" w:rsidRDefault="00D656EA" w:rsidP="00D73D2D">
      <w:pPr>
        <w:rPr>
          <w:rFonts w:ascii="Arial" w:hAnsi="Arial" w:cs="Arial"/>
          <w:i/>
          <w:sz w:val="22"/>
          <w:szCs w:val="22"/>
        </w:rPr>
      </w:pPr>
      <w:r w:rsidRPr="00965E7F">
        <w:rPr>
          <w:rFonts w:ascii="Arial" w:hAnsi="Arial" w:cs="Arial"/>
          <w:i/>
          <w:sz w:val="22"/>
          <w:szCs w:val="22"/>
        </w:rPr>
        <w:t xml:space="preserve">11.  </w:t>
      </w:r>
      <w:r w:rsidR="0038747C" w:rsidRPr="00965E7F">
        <w:rPr>
          <w:rFonts w:ascii="Arial" w:hAnsi="Arial" w:cs="Arial"/>
          <w:i/>
          <w:sz w:val="22"/>
          <w:szCs w:val="22"/>
        </w:rPr>
        <w:t>What</w:t>
      </w:r>
      <w:r w:rsidRPr="00965E7F">
        <w:rPr>
          <w:rFonts w:ascii="Arial" w:hAnsi="Arial" w:cs="Arial"/>
          <w:i/>
          <w:sz w:val="22"/>
          <w:szCs w:val="22"/>
        </w:rPr>
        <w:t xml:space="preserve"> is the</w:t>
      </w:r>
      <w:r w:rsidR="0038747C" w:rsidRPr="00965E7F">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65E7F">
        <w:rPr>
          <w:rFonts w:ascii="Arial" w:hAnsi="Arial" w:cs="Arial"/>
          <w:i/>
          <w:sz w:val="22"/>
          <w:szCs w:val="22"/>
        </w:rPr>
        <w:t xml:space="preserve">the </w:t>
      </w:r>
      <w:r w:rsidR="0038747C" w:rsidRPr="00965E7F">
        <w:rPr>
          <w:rFonts w:ascii="Arial" w:hAnsi="Arial" w:cs="Arial"/>
          <w:i/>
          <w:sz w:val="22"/>
          <w:szCs w:val="22"/>
        </w:rPr>
        <w:t>Privacy Act System of Records notice (SORN) issued for the electronic system in which the PII is being stored.</w:t>
      </w:r>
      <w:r w:rsidRPr="00965E7F">
        <w:rPr>
          <w:rFonts w:ascii="Arial" w:hAnsi="Arial" w:cs="Arial"/>
          <w:i/>
          <w:sz w:val="22"/>
          <w:szCs w:val="22"/>
        </w:rPr>
        <w:t xml:space="preserve"> </w:t>
      </w:r>
    </w:p>
    <w:p w14:paraId="651B187F" w14:textId="77777777" w:rsidR="0038747C" w:rsidRPr="00965E7F" w:rsidRDefault="0038747C" w:rsidP="00BB3833">
      <w:pPr>
        <w:ind w:left="360"/>
        <w:rPr>
          <w:rFonts w:ascii="Arial" w:hAnsi="Arial" w:cs="Arial"/>
          <w:i/>
          <w:sz w:val="22"/>
          <w:szCs w:val="22"/>
        </w:rPr>
      </w:pPr>
    </w:p>
    <w:p w14:paraId="3289D6B8" w14:textId="7E8B1679" w:rsidR="00120201" w:rsidRPr="00861033" w:rsidRDefault="00120201" w:rsidP="00BB3833">
      <w:pPr>
        <w:widowControl w:val="0"/>
        <w:suppressAutoHyphens/>
        <w:autoSpaceDE w:val="0"/>
        <w:autoSpaceDN w:val="0"/>
        <w:adjustRightInd w:val="0"/>
        <w:ind w:left="360"/>
        <w:rPr>
          <w:rFonts w:ascii="Arial" w:hAnsi="Arial" w:cs="Arial"/>
          <w:sz w:val="22"/>
          <w:szCs w:val="22"/>
        </w:rPr>
      </w:pPr>
      <w:r w:rsidRPr="003672B7">
        <w:rPr>
          <w:rFonts w:ascii="Arial" w:hAnsi="Arial" w:cs="Arial"/>
          <w:sz w:val="22"/>
          <w:szCs w:val="22"/>
        </w:rPr>
        <w:t xml:space="preserve">This information collection contains no questions of a sensitive nature. </w:t>
      </w:r>
      <w:r w:rsidR="00BB3833">
        <w:rPr>
          <w:rFonts w:ascii="Arial" w:hAnsi="Arial" w:cs="Arial"/>
          <w:sz w:val="22"/>
          <w:szCs w:val="22"/>
        </w:rPr>
        <w:t xml:space="preserve"> </w:t>
      </w:r>
      <w:r w:rsidRPr="003672B7">
        <w:rPr>
          <w:rFonts w:ascii="Arial" w:hAnsi="Arial" w:cs="Arial"/>
          <w:sz w:val="22"/>
          <w:szCs w:val="22"/>
        </w:rPr>
        <w:t xml:space="preserve">TTB has completed a Privacy Impact Assessment (PIA) for information collected under this request as part of the </w:t>
      </w:r>
      <w:r>
        <w:rPr>
          <w:rFonts w:ascii="Arial" w:hAnsi="Arial" w:cs="Arial"/>
          <w:sz w:val="22"/>
          <w:szCs w:val="22"/>
        </w:rPr>
        <w:t>Tax Major Application Systems</w:t>
      </w:r>
      <w:r w:rsidRPr="003672B7">
        <w:rPr>
          <w:rFonts w:ascii="Arial" w:hAnsi="Arial" w:cs="Arial"/>
          <w:sz w:val="22"/>
          <w:szCs w:val="22"/>
        </w:rPr>
        <w:t xml:space="preserve">, and has issued a Privacy Act System of Records notice (SORN) for this system under TTB .001—Regulatory Enforcement Record System, published in the Federal Register on </w:t>
      </w:r>
      <w:r w:rsidR="00861033">
        <w:rPr>
          <w:rFonts w:ascii="Arial" w:hAnsi="Arial" w:cs="Arial"/>
          <w:sz w:val="22"/>
          <w:szCs w:val="22"/>
        </w:rPr>
        <w:t>January 28, 2015, at 80</w:t>
      </w:r>
      <w:r w:rsidRPr="003672B7">
        <w:rPr>
          <w:rFonts w:ascii="Arial" w:hAnsi="Arial" w:cs="Arial"/>
          <w:sz w:val="22"/>
          <w:szCs w:val="22"/>
        </w:rPr>
        <w:t xml:space="preserve"> FR </w:t>
      </w:r>
      <w:r w:rsidR="00861033">
        <w:rPr>
          <w:rFonts w:ascii="Arial" w:hAnsi="Arial" w:cs="Arial"/>
          <w:sz w:val="22"/>
          <w:szCs w:val="22"/>
        </w:rPr>
        <w:t>4637</w:t>
      </w:r>
      <w:r w:rsidRPr="003672B7">
        <w:rPr>
          <w:rFonts w:ascii="Arial" w:hAnsi="Arial" w:cs="Arial"/>
          <w:sz w:val="22"/>
          <w:szCs w:val="22"/>
        </w:rPr>
        <w:t xml:space="preserve">.  TTB’s PIAs are available on the TTB website at </w:t>
      </w:r>
      <w:r w:rsidRPr="00FA5C87">
        <w:rPr>
          <w:rFonts w:ascii="Arial" w:hAnsi="Arial" w:cs="Arial"/>
          <w:i/>
          <w:sz w:val="22"/>
          <w:szCs w:val="22"/>
        </w:rPr>
        <w:t>http</w:t>
      </w:r>
      <w:r w:rsidR="00396FE7">
        <w:rPr>
          <w:rFonts w:ascii="Arial" w:hAnsi="Arial" w:cs="Arial"/>
          <w:i/>
          <w:sz w:val="22"/>
          <w:szCs w:val="22"/>
        </w:rPr>
        <w:t>s</w:t>
      </w:r>
      <w:r w:rsidRPr="00FA5C87">
        <w:rPr>
          <w:rFonts w:ascii="Arial" w:hAnsi="Arial" w:cs="Arial"/>
          <w:i/>
          <w:sz w:val="22"/>
          <w:szCs w:val="22"/>
        </w:rPr>
        <w:t>://www.ttb.gov/foia/pia.shtml</w:t>
      </w:r>
      <w:r w:rsidRPr="00861033">
        <w:rPr>
          <w:rFonts w:ascii="Arial" w:hAnsi="Arial" w:cs="Arial"/>
          <w:sz w:val="22"/>
          <w:szCs w:val="22"/>
        </w:rPr>
        <w:t xml:space="preserve">. </w:t>
      </w:r>
    </w:p>
    <w:p w14:paraId="6CFF3060" w14:textId="77777777" w:rsidR="00861033" w:rsidRPr="00861033" w:rsidRDefault="00861033" w:rsidP="00861033">
      <w:pPr>
        <w:widowControl w:val="0"/>
        <w:suppressAutoHyphens/>
        <w:autoSpaceDE w:val="0"/>
        <w:autoSpaceDN w:val="0"/>
        <w:adjustRightInd w:val="0"/>
        <w:rPr>
          <w:rFonts w:ascii="Arial" w:hAnsi="Arial" w:cs="Arial"/>
          <w:sz w:val="36"/>
          <w:szCs w:val="36"/>
        </w:rPr>
      </w:pPr>
    </w:p>
    <w:p w14:paraId="14EFC36C"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D28B31E" w14:textId="77777777" w:rsidR="00AF1157" w:rsidRPr="007A5D4B" w:rsidRDefault="00AF1157" w:rsidP="00FF7123">
      <w:pPr>
        <w:suppressAutoHyphens/>
        <w:ind w:left="360"/>
        <w:rPr>
          <w:rFonts w:ascii="Arial" w:hAnsi="Arial" w:cs="Arial"/>
          <w:sz w:val="22"/>
          <w:szCs w:val="22"/>
        </w:rPr>
      </w:pPr>
    </w:p>
    <w:p w14:paraId="2D6C582C" w14:textId="38AD0B9E" w:rsidR="00861033" w:rsidRDefault="00AB7E76" w:rsidP="00FF7123">
      <w:pPr>
        <w:suppressAutoHyphens/>
        <w:spacing w:line="240" w:lineRule="exact"/>
        <w:ind w:left="360"/>
        <w:rPr>
          <w:rFonts w:ascii="Arial" w:hAnsi="Arial" w:cs="Arial"/>
          <w:sz w:val="22"/>
          <w:szCs w:val="22"/>
        </w:rPr>
      </w:pPr>
      <w:r>
        <w:rPr>
          <w:rFonts w:ascii="Arial" w:hAnsi="Arial" w:cs="Arial"/>
          <w:sz w:val="22"/>
          <w:szCs w:val="22"/>
        </w:rPr>
        <w:t xml:space="preserve">Based on TTB personnel’s knowledge of the </w:t>
      </w:r>
      <w:r w:rsidR="00CC1E71">
        <w:rPr>
          <w:rFonts w:ascii="Arial" w:hAnsi="Arial" w:cs="Arial"/>
          <w:sz w:val="22"/>
          <w:szCs w:val="22"/>
        </w:rPr>
        <w:t xml:space="preserve">firearms and ammunition </w:t>
      </w:r>
      <w:r>
        <w:rPr>
          <w:rFonts w:ascii="Arial" w:hAnsi="Arial" w:cs="Arial"/>
          <w:sz w:val="22"/>
          <w:szCs w:val="22"/>
        </w:rPr>
        <w:t xml:space="preserve">industry, we </w:t>
      </w:r>
      <w:r w:rsidR="00861033">
        <w:rPr>
          <w:rFonts w:ascii="Arial" w:hAnsi="Arial" w:cs="Arial"/>
          <w:sz w:val="22"/>
          <w:szCs w:val="22"/>
        </w:rPr>
        <w:t xml:space="preserve">currently estimate that 675 respondents (660 private sector businesses and 15 individuals or households) are required to file FAET returns on a quarterly basis, resulting in 2,700 annual responses (2,640 for private sector businesses and 60 for individuals or households). </w:t>
      </w:r>
    </w:p>
    <w:p w14:paraId="307F5465" w14:textId="77777777" w:rsidR="00861033" w:rsidRDefault="00861033" w:rsidP="00FF7123">
      <w:pPr>
        <w:suppressAutoHyphens/>
        <w:spacing w:line="240" w:lineRule="exact"/>
        <w:ind w:left="360"/>
        <w:rPr>
          <w:rFonts w:ascii="Arial" w:hAnsi="Arial" w:cs="Arial"/>
          <w:sz w:val="22"/>
          <w:szCs w:val="22"/>
        </w:rPr>
      </w:pPr>
    </w:p>
    <w:p w14:paraId="1FD57A50" w14:textId="29E7A78F" w:rsidR="00AE4EBB" w:rsidRPr="00A700FE" w:rsidRDefault="00411ECA" w:rsidP="00FF7123">
      <w:pPr>
        <w:suppressAutoHyphens/>
        <w:spacing w:line="240" w:lineRule="exact"/>
        <w:ind w:left="360"/>
        <w:rPr>
          <w:rFonts w:ascii="Arial" w:hAnsi="Arial" w:cs="Arial"/>
          <w:sz w:val="22"/>
          <w:szCs w:val="22"/>
        </w:rPr>
      </w:pPr>
      <w:r>
        <w:rPr>
          <w:rFonts w:ascii="Arial" w:hAnsi="Arial" w:cs="Arial"/>
          <w:sz w:val="22"/>
          <w:szCs w:val="22"/>
        </w:rPr>
        <w:t>T</w:t>
      </w:r>
      <w:r w:rsidR="00FF7123">
        <w:rPr>
          <w:rFonts w:ascii="Arial" w:hAnsi="Arial" w:cs="Arial"/>
          <w:sz w:val="22"/>
          <w:szCs w:val="22"/>
        </w:rPr>
        <w:t>he a</w:t>
      </w:r>
      <w:r w:rsidR="00AE4EBB" w:rsidRPr="00A700FE">
        <w:rPr>
          <w:rFonts w:ascii="Arial" w:hAnsi="Arial" w:cs="Arial"/>
          <w:sz w:val="22"/>
          <w:szCs w:val="22"/>
        </w:rPr>
        <w:t xml:space="preserve">mount of time necessary to complete </w:t>
      </w:r>
      <w:r w:rsidR="00AB7E76">
        <w:rPr>
          <w:rFonts w:ascii="Arial" w:hAnsi="Arial" w:cs="Arial"/>
          <w:sz w:val="22"/>
          <w:szCs w:val="22"/>
        </w:rPr>
        <w:t xml:space="preserve">the FAET return, </w:t>
      </w:r>
      <w:r w:rsidR="00FF7123">
        <w:rPr>
          <w:rFonts w:ascii="Arial" w:hAnsi="Arial" w:cs="Arial"/>
          <w:sz w:val="22"/>
          <w:szCs w:val="22"/>
        </w:rPr>
        <w:t>TTB F 5300.26</w:t>
      </w:r>
      <w:r w:rsidR="00AB7E76">
        <w:rPr>
          <w:rFonts w:ascii="Arial" w:hAnsi="Arial" w:cs="Arial"/>
          <w:sz w:val="22"/>
          <w:szCs w:val="22"/>
        </w:rPr>
        <w:t>,</w:t>
      </w:r>
      <w:r w:rsidR="00FF7123">
        <w:rPr>
          <w:rFonts w:ascii="Arial" w:hAnsi="Arial" w:cs="Arial"/>
          <w:sz w:val="22"/>
          <w:szCs w:val="22"/>
        </w:rPr>
        <w:t xml:space="preserve"> </w:t>
      </w:r>
      <w:r w:rsidR="00AE4EBB" w:rsidRPr="00A700FE">
        <w:rPr>
          <w:rFonts w:ascii="Arial" w:hAnsi="Arial" w:cs="Arial"/>
          <w:sz w:val="22"/>
          <w:szCs w:val="22"/>
        </w:rPr>
        <w:t xml:space="preserve">varies widely </w:t>
      </w:r>
      <w:r w:rsidR="00AB7E76">
        <w:rPr>
          <w:rFonts w:ascii="Arial" w:hAnsi="Arial" w:cs="Arial"/>
          <w:sz w:val="22"/>
          <w:szCs w:val="22"/>
        </w:rPr>
        <w:t xml:space="preserve">due to </w:t>
      </w:r>
      <w:r w:rsidR="00AE4EBB" w:rsidRPr="00A700FE">
        <w:rPr>
          <w:rFonts w:ascii="Arial" w:hAnsi="Arial" w:cs="Arial"/>
          <w:sz w:val="22"/>
          <w:szCs w:val="22"/>
        </w:rPr>
        <w:t xml:space="preserve">differences in the </w:t>
      </w:r>
      <w:r w:rsidR="00D755E7">
        <w:rPr>
          <w:rFonts w:ascii="Arial" w:hAnsi="Arial" w:cs="Arial"/>
          <w:sz w:val="22"/>
          <w:szCs w:val="22"/>
        </w:rPr>
        <w:t>number of taxable sales and uses sub</w:t>
      </w:r>
      <w:r w:rsidR="00AE4EBB" w:rsidRPr="00A700FE">
        <w:rPr>
          <w:rFonts w:ascii="Arial" w:hAnsi="Arial" w:cs="Arial"/>
          <w:sz w:val="22"/>
          <w:szCs w:val="22"/>
        </w:rPr>
        <w:t xml:space="preserve">ject to tax </w:t>
      </w:r>
      <w:r w:rsidR="00FF7123">
        <w:rPr>
          <w:rFonts w:ascii="Arial" w:hAnsi="Arial" w:cs="Arial"/>
          <w:sz w:val="22"/>
          <w:szCs w:val="22"/>
        </w:rPr>
        <w:t>among tax</w:t>
      </w:r>
      <w:r w:rsidR="00AE4EBB" w:rsidRPr="00A700FE">
        <w:rPr>
          <w:rFonts w:ascii="Arial" w:hAnsi="Arial" w:cs="Arial"/>
          <w:sz w:val="22"/>
          <w:szCs w:val="22"/>
        </w:rPr>
        <w:t>payer</w:t>
      </w:r>
      <w:r w:rsidR="00FF7123">
        <w:rPr>
          <w:rFonts w:ascii="Arial" w:hAnsi="Arial" w:cs="Arial"/>
          <w:sz w:val="22"/>
          <w:szCs w:val="22"/>
        </w:rPr>
        <w:t>s</w:t>
      </w:r>
      <w:r w:rsidR="00AB7E76">
        <w:rPr>
          <w:rFonts w:ascii="Arial" w:hAnsi="Arial" w:cs="Arial"/>
          <w:sz w:val="22"/>
          <w:szCs w:val="22"/>
        </w:rPr>
        <w:t xml:space="preserve">, and due to </w:t>
      </w:r>
      <w:r w:rsidR="00AE4EBB" w:rsidRPr="00A700FE">
        <w:rPr>
          <w:rFonts w:ascii="Arial" w:hAnsi="Arial" w:cs="Arial"/>
          <w:sz w:val="22"/>
          <w:szCs w:val="22"/>
        </w:rPr>
        <w:t>the complexity of how</w:t>
      </w:r>
      <w:r w:rsidR="00AB7E76">
        <w:rPr>
          <w:rFonts w:ascii="Arial" w:hAnsi="Arial" w:cs="Arial"/>
          <w:sz w:val="22"/>
          <w:szCs w:val="22"/>
        </w:rPr>
        <w:t xml:space="preserve"> FAET</w:t>
      </w:r>
      <w:r w:rsidR="00AE4EBB" w:rsidRPr="00A700FE">
        <w:rPr>
          <w:rFonts w:ascii="Arial" w:hAnsi="Arial" w:cs="Arial"/>
          <w:sz w:val="22"/>
          <w:szCs w:val="22"/>
        </w:rPr>
        <w:t xml:space="preserve"> is determined </w:t>
      </w:r>
      <w:r w:rsidR="00D755E7">
        <w:rPr>
          <w:rFonts w:ascii="Arial" w:hAnsi="Arial" w:cs="Arial"/>
          <w:sz w:val="22"/>
          <w:szCs w:val="22"/>
        </w:rPr>
        <w:t xml:space="preserve">for </w:t>
      </w:r>
      <w:r w:rsidR="00AE4EBB" w:rsidRPr="00A700FE">
        <w:rPr>
          <w:rFonts w:ascii="Arial" w:hAnsi="Arial" w:cs="Arial"/>
          <w:sz w:val="22"/>
          <w:szCs w:val="22"/>
        </w:rPr>
        <w:t xml:space="preserve">each sale or use by a taxpayer.  </w:t>
      </w:r>
      <w:r w:rsidR="00AB7E76">
        <w:rPr>
          <w:rFonts w:ascii="Arial" w:hAnsi="Arial" w:cs="Arial"/>
          <w:sz w:val="22"/>
          <w:szCs w:val="22"/>
        </w:rPr>
        <w:t xml:space="preserve">Depending on circumstances, </w:t>
      </w:r>
      <w:r w:rsidR="00D755E7">
        <w:rPr>
          <w:rFonts w:ascii="Arial" w:hAnsi="Arial" w:cs="Arial"/>
          <w:sz w:val="22"/>
          <w:szCs w:val="22"/>
        </w:rPr>
        <w:t xml:space="preserve">TTB estimates that </w:t>
      </w:r>
      <w:r w:rsidR="00AB7E76">
        <w:rPr>
          <w:rFonts w:ascii="Arial" w:hAnsi="Arial" w:cs="Arial"/>
          <w:sz w:val="22"/>
          <w:szCs w:val="22"/>
        </w:rPr>
        <w:t>t</w:t>
      </w:r>
      <w:r w:rsidR="00AE4EBB" w:rsidRPr="00A700FE">
        <w:rPr>
          <w:rFonts w:ascii="Arial" w:hAnsi="Arial" w:cs="Arial"/>
          <w:sz w:val="22"/>
          <w:szCs w:val="22"/>
        </w:rPr>
        <w:t xml:space="preserve">he amount of time necessary </w:t>
      </w:r>
      <w:r w:rsidR="00AB7E76">
        <w:rPr>
          <w:rFonts w:ascii="Arial" w:hAnsi="Arial" w:cs="Arial"/>
          <w:sz w:val="22"/>
          <w:szCs w:val="22"/>
        </w:rPr>
        <w:t xml:space="preserve">for a respondent to </w:t>
      </w:r>
      <w:r w:rsidR="00AE4EBB" w:rsidRPr="00A700FE">
        <w:rPr>
          <w:rFonts w:ascii="Arial" w:hAnsi="Arial" w:cs="Arial"/>
          <w:sz w:val="22"/>
          <w:szCs w:val="22"/>
        </w:rPr>
        <w:t xml:space="preserve">complete </w:t>
      </w:r>
      <w:r w:rsidR="00AB7E76">
        <w:rPr>
          <w:rFonts w:ascii="Arial" w:hAnsi="Arial" w:cs="Arial"/>
          <w:sz w:val="22"/>
          <w:szCs w:val="22"/>
        </w:rPr>
        <w:t xml:space="preserve">a FAET </w:t>
      </w:r>
      <w:r w:rsidR="00FF7123">
        <w:rPr>
          <w:rFonts w:ascii="Arial" w:hAnsi="Arial" w:cs="Arial"/>
          <w:sz w:val="22"/>
          <w:szCs w:val="22"/>
        </w:rPr>
        <w:t xml:space="preserve">return </w:t>
      </w:r>
      <w:r w:rsidR="00D755E7">
        <w:rPr>
          <w:rFonts w:ascii="Arial" w:hAnsi="Arial" w:cs="Arial"/>
          <w:sz w:val="22"/>
          <w:szCs w:val="22"/>
        </w:rPr>
        <w:t xml:space="preserve">varies </w:t>
      </w:r>
      <w:r w:rsidR="00AE4EBB" w:rsidRPr="00A700FE">
        <w:rPr>
          <w:rFonts w:ascii="Arial" w:hAnsi="Arial" w:cs="Arial"/>
          <w:sz w:val="22"/>
          <w:szCs w:val="22"/>
        </w:rPr>
        <w:t>from a few minutes for</w:t>
      </w:r>
      <w:r w:rsidR="00FF7123">
        <w:rPr>
          <w:rFonts w:ascii="Arial" w:hAnsi="Arial" w:cs="Arial"/>
          <w:sz w:val="22"/>
          <w:szCs w:val="22"/>
        </w:rPr>
        <w:t xml:space="preserve"> a no liability tax return to </w:t>
      </w:r>
      <w:r w:rsidR="00D755E7">
        <w:rPr>
          <w:rFonts w:ascii="Arial" w:hAnsi="Arial" w:cs="Arial"/>
          <w:sz w:val="22"/>
          <w:szCs w:val="22"/>
        </w:rPr>
        <w:t xml:space="preserve">a maximum of </w:t>
      </w:r>
      <w:r w:rsidR="00FF7123">
        <w:rPr>
          <w:rFonts w:ascii="Arial" w:hAnsi="Arial" w:cs="Arial"/>
          <w:sz w:val="22"/>
          <w:szCs w:val="22"/>
        </w:rPr>
        <w:t>7 </w:t>
      </w:r>
      <w:r w:rsidR="00AE4EBB" w:rsidRPr="00A700FE">
        <w:rPr>
          <w:rFonts w:ascii="Arial" w:hAnsi="Arial" w:cs="Arial"/>
          <w:sz w:val="22"/>
          <w:szCs w:val="22"/>
        </w:rPr>
        <w:t xml:space="preserve">hours for a taxpayer with </w:t>
      </w:r>
      <w:r w:rsidR="009A21AC">
        <w:rPr>
          <w:rFonts w:ascii="Arial" w:hAnsi="Arial" w:cs="Arial"/>
          <w:sz w:val="22"/>
          <w:szCs w:val="22"/>
        </w:rPr>
        <w:t>numerous</w:t>
      </w:r>
      <w:r w:rsidR="00AE4EBB" w:rsidRPr="00A700FE">
        <w:rPr>
          <w:rFonts w:ascii="Arial" w:hAnsi="Arial" w:cs="Arial"/>
          <w:sz w:val="22"/>
          <w:szCs w:val="22"/>
        </w:rPr>
        <w:t xml:space="preserve"> and complex transaction</w:t>
      </w:r>
      <w:r w:rsidR="00FF7123">
        <w:rPr>
          <w:rFonts w:ascii="Arial" w:hAnsi="Arial" w:cs="Arial"/>
          <w:sz w:val="22"/>
          <w:szCs w:val="22"/>
        </w:rPr>
        <w:t>s</w:t>
      </w:r>
      <w:r w:rsidR="00AE4EBB" w:rsidRPr="00A700FE">
        <w:rPr>
          <w:rFonts w:ascii="Arial" w:hAnsi="Arial" w:cs="Arial"/>
          <w:sz w:val="22"/>
          <w:szCs w:val="22"/>
        </w:rPr>
        <w:t xml:space="preserve">.  </w:t>
      </w:r>
      <w:r w:rsidR="00AB7E76">
        <w:rPr>
          <w:rFonts w:ascii="Arial" w:hAnsi="Arial" w:cs="Arial"/>
          <w:sz w:val="22"/>
          <w:szCs w:val="22"/>
        </w:rPr>
        <w:t>B</w:t>
      </w:r>
      <w:r w:rsidR="008537B2">
        <w:rPr>
          <w:rFonts w:ascii="Arial" w:hAnsi="Arial" w:cs="Arial"/>
          <w:sz w:val="22"/>
          <w:szCs w:val="22"/>
        </w:rPr>
        <w:t xml:space="preserve">ased </w:t>
      </w:r>
      <w:r w:rsidR="009A21AC">
        <w:rPr>
          <w:rFonts w:ascii="Arial" w:hAnsi="Arial" w:cs="Arial"/>
          <w:sz w:val="22"/>
          <w:szCs w:val="22"/>
        </w:rPr>
        <w:t xml:space="preserve">on </w:t>
      </w:r>
      <w:r w:rsidR="008537B2">
        <w:rPr>
          <w:rFonts w:ascii="Arial" w:hAnsi="Arial" w:cs="Arial"/>
          <w:sz w:val="22"/>
          <w:szCs w:val="22"/>
        </w:rPr>
        <w:t xml:space="preserve">the </w:t>
      </w:r>
      <w:r w:rsidR="00AB7E76">
        <w:rPr>
          <w:rFonts w:ascii="Arial" w:hAnsi="Arial" w:cs="Arial"/>
          <w:sz w:val="22"/>
          <w:szCs w:val="22"/>
        </w:rPr>
        <w:t>maximum 7</w:t>
      </w:r>
      <w:r w:rsidR="00CC1E71">
        <w:rPr>
          <w:rFonts w:ascii="Arial" w:hAnsi="Arial" w:cs="Arial"/>
          <w:sz w:val="22"/>
          <w:szCs w:val="22"/>
        </w:rPr>
        <w:t> </w:t>
      </w:r>
      <w:r w:rsidR="00AB7E76">
        <w:rPr>
          <w:rFonts w:ascii="Arial" w:hAnsi="Arial" w:cs="Arial"/>
          <w:sz w:val="22"/>
          <w:szCs w:val="22"/>
        </w:rPr>
        <w:t xml:space="preserve">hour </w:t>
      </w:r>
      <w:r w:rsidR="008537B2">
        <w:rPr>
          <w:rFonts w:ascii="Arial" w:hAnsi="Arial" w:cs="Arial"/>
          <w:sz w:val="22"/>
          <w:szCs w:val="22"/>
        </w:rPr>
        <w:t>burden for this collection</w:t>
      </w:r>
      <w:r w:rsidR="00AB7E76">
        <w:rPr>
          <w:rFonts w:ascii="Arial" w:hAnsi="Arial" w:cs="Arial"/>
          <w:sz w:val="22"/>
          <w:szCs w:val="22"/>
        </w:rPr>
        <w:t>, TTB estimates the total annual burden for this information collection to be 18,900 hours (18,480 hours for private sector businesses and 420 hours</w:t>
      </w:r>
      <w:r w:rsidR="008537B2">
        <w:rPr>
          <w:rFonts w:ascii="Arial" w:hAnsi="Arial" w:cs="Arial"/>
          <w:sz w:val="22"/>
          <w:szCs w:val="22"/>
        </w:rPr>
        <w:t xml:space="preserve"> </w:t>
      </w:r>
      <w:r w:rsidR="00AB7E76">
        <w:rPr>
          <w:rFonts w:ascii="Arial" w:hAnsi="Arial" w:cs="Arial"/>
          <w:sz w:val="22"/>
          <w:szCs w:val="22"/>
        </w:rPr>
        <w:t xml:space="preserve">for individuals or households). </w:t>
      </w:r>
    </w:p>
    <w:p w14:paraId="5BC21DD0" w14:textId="77777777" w:rsidR="00AE4EBB" w:rsidRPr="00A700FE" w:rsidRDefault="00AE4EBB" w:rsidP="00FF7123">
      <w:pPr>
        <w:suppressAutoHyphens/>
        <w:spacing w:line="240" w:lineRule="exact"/>
        <w:ind w:left="360"/>
        <w:rPr>
          <w:rFonts w:ascii="Arial" w:hAnsi="Arial" w:cs="Arial"/>
          <w:sz w:val="22"/>
          <w:szCs w:val="22"/>
        </w:rPr>
      </w:pPr>
    </w:p>
    <w:p w14:paraId="40FE8ABB" w14:textId="07AB7F13" w:rsidR="00AE4EBB" w:rsidRDefault="00AB7E76" w:rsidP="000666DF">
      <w:pPr>
        <w:pStyle w:val="Header"/>
        <w:tabs>
          <w:tab w:val="clear" w:pos="4320"/>
          <w:tab w:val="clear" w:pos="8640"/>
        </w:tabs>
        <w:ind w:left="360"/>
        <w:rPr>
          <w:rFonts w:ascii="Arial" w:hAnsi="Arial" w:cs="Arial"/>
          <w:sz w:val="22"/>
          <w:szCs w:val="22"/>
        </w:rPr>
      </w:pPr>
      <w:r w:rsidRPr="000666DF">
        <w:rPr>
          <w:rFonts w:ascii="Arial" w:hAnsi="Arial" w:cs="Arial"/>
          <w:sz w:val="22"/>
          <w:szCs w:val="22"/>
          <w:u w:val="single"/>
        </w:rPr>
        <w:t>Summary:</w:t>
      </w:r>
      <w:r>
        <w:rPr>
          <w:rFonts w:ascii="Arial" w:hAnsi="Arial" w:cs="Arial"/>
          <w:sz w:val="22"/>
          <w:szCs w:val="22"/>
        </w:rPr>
        <w:t xml:space="preserve">  </w:t>
      </w:r>
      <w:r w:rsidR="00A15147">
        <w:rPr>
          <w:rFonts w:ascii="Arial" w:hAnsi="Arial" w:cs="Arial"/>
          <w:sz w:val="22"/>
          <w:szCs w:val="22"/>
        </w:rPr>
        <w:t>6</w:t>
      </w:r>
      <w:r>
        <w:rPr>
          <w:rFonts w:ascii="Arial" w:hAnsi="Arial" w:cs="Arial"/>
          <w:sz w:val="22"/>
          <w:szCs w:val="22"/>
        </w:rPr>
        <w:t>75</w:t>
      </w:r>
      <w:r w:rsidR="00FF7123">
        <w:rPr>
          <w:rFonts w:ascii="Arial" w:hAnsi="Arial" w:cs="Arial"/>
          <w:sz w:val="22"/>
          <w:szCs w:val="22"/>
        </w:rPr>
        <w:t xml:space="preserve"> </w:t>
      </w:r>
      <w:r w:rsidR="00A15147">
        <w:rPr>
          <w:rFonts w:ascii="Arial" w:hAnsi="Arial" w:cs="Arial"/>
          <w:sz w:val="22"/>
          <w:szCs w:val="22"/>
        </w:rPr>
        <w:t xml:space="preserve">respondents </w:t>
      </w:r>
      <w:r w:rsidR="00FF7123">
        <w:rPr>
          <w:rFonts w:ascii="Arial" w:hAnsi="Arial" w:cs="Arial"/>
          <w:sz w:val="22"/>
          <w:szCs w:val="22"/>
        </w:rPr>
        <w:t>x</w:t>
      </w:r>
      <w:r w:rsidR="00AE4EBB">
        <w:rPr>
          <w:rFonts w:ascii="Arial" w:hAnsi="Arial" w:cs="Arial"/>
          <w:sz w:val="22"/>
          <w:szCs w:val="22"/>
        </w:rPr>
        <w:t xml:space="preserve"> 4 </w:t>
      </w:r>
      <w:r w:rsidR="00A15147">
        <w:rPr>
          <w:rFonts w:ascii="Arial" w:hAnsi="Arial" w:cs="Arial"/>
          <w:sz w:val="22"/>
          <w:szCs w:val="22"/>
        </w:rPr>
        <w:t xml:space="preserve">responses </w:t>
      </w:r>
      <w:r>
        <w:rPr>
          <w:rFonts w:ascii="Arial" w:hAnsi="Arial" w:cs="Arial"/>
          <w:sz w:val="22"/>
          <w:szCs w:val="22"/>
        </w:rPr>
        <w:t xml:space="preserve">per year </w:t>
      </w:r>
      <w:r w:rsidR="00AE4EBB">
        <w:rPr>
          <w:rFonts w:ascii="Arial" w:hAnsi="Arial" w:cs="Arial"/>
          <w:sz w:val="22"/>
          <w:szCs w:val="22"/>
        </w:rPr>
        <w:t xml:space="preserve">= </w:t>
      </w:r>
      <w:r w:rsidR="00A47141">
        <w:rPr>
          <w:rFonts w:ascii="Arial" w:hAnsi="Arial" w:cs="Arial"/>
          <w:sz w:val="22"/>
          <w:szCs w:val="22"/>
        </w:rPr>
        <w:t>2</w:t>
      </w:r>
      <w:r>
        <w:rPr>
          <w:rFonts w:ascii="Arial" w:hAnsi="Arial" w:cs="Arial"/>
          <w:sz w:val="22"/>
          <w:szCs w:val="22"/>
        </w:rPr>
        <w:t>,7</w:t>
      </w:r>
      <w:r w:rsidR="00A15147">
        <w:rPr>
          <w:rFonts w:ascii="Arial" w:hAnsi="Arial" w:cs="Arial"/>
          <w:sz w:val="22"/>
          <w:szCs w:val="22"/>
        </w:rPr>
        <w:t>00</w:t>
      </w:r>
      <w:r w:rsidR="00A47141">
        <w:rPr>
          <w:rFonts w:ascii="Arial" w:hAnsi="Arial" w:cs="Arial"/>
          <w:sz w:val="22"/>
          <w:szCs w:val="22"/>
        </w:rPr>
        <w:t xml:space="preserve"> </w:t>
      </w:r>
      <w:r>
        <w:rPr>
          <w:rFonts w:ascii="Arial" w:hAnsi="Arial" w:cs="Arial"/>
          <w:sz w:val="22"/>
          <w:szCs w:val="22"/>
        </w:rPr>
        <w:t xml:space="preserve">annual </w:t>
      </w:r>
      <w:r w:rsidR="00A47141">
        <w:rPr>
          <w:rFonts w:ascii="Arial" w:hAnsi="Arial" w:cs="Arial"/>
          <w:sz w:val="22"/>
          <w:szCs w:val="22"/>
        </w:rPr>
        <w:t>responses at 7</w:t>
      </w:r>
      <w:r w:rsidR="00A15147">
        <w:rPr>
          <w:rFonts w:ascii="Arial" w:hAnsi="Arial" w:cs="Arial"/>
          <w:sz w:val="22"/>
          <w:szCs w:val="22"/>
        </w:rPr>
        <w:t> </w:t>
      </w:r>
      <w:r w:rsidR="00A47141">
        <w:rPr>
          <w:rFonts w:ascii="Arial" w:hAnsi="Arial" w:cs="Arial"/>
          <w:sz w:val="22"/>
          <w:szCs w:val="22"/>
        </w:rPr>
        <w:t>hours per response = 1</w:t>
      </w:r>
      <w:r w:rsidR="00A15147">
        <w:rPr>
          <w:rFonts w:ascii="Arial" w:hAnsi="Arial" w:cs="Arial"/>
          <w:sz w:val="22"/>
          <w:szCs w:val="22"/>
        </w:rPr>
        <w:t>8</w:t>
      </w:r>
      <w:r w:rsidR="00A47141">
        <w:rPr>
          <w:rFonts w:ascii="Arial" w:hAnsi="Arial" w:cs="Arial"/>
          <w:sz w:val="22"/>
          <w:szCs w:val="22"/>
        </w:rPr>
        <w:t>,</w:t>
      </w:r>
      <w:r w:rsidR="00D755E7">
        <w:rPr>
          <w:rFonts w:ascii="Arial" w:hAnsi="Arial" w:cs="Arial"/>
          <w:sz w:val="22"/>
          <w:szCs w:val="22"/>
        </w:rPr>
        <w:t>9</w:t>
      </w:r>
      <w:r w:rsidR="00A15147">
        <w:rPr>
          <w:rFonts w:ascii="Arial" w:hAnsi="Arial" w:cs="Arial"/>
          <w:sz w:val="22"/>
          <w:szCs w:val="22"/>
        </w:rPr>
        <w:t>00</w:t>
      </w:r>
      <w:r w:rsidR="00A47141">
        <w:rPr>
          <w:rFonts w:ascii="Arial" w:hAnsi="Arial" w:cs="Arial"/>
          <w:sz w:val="22"/>
          <w:szCs w:val="22"/>
        </w:rPr>
        <w:t xml:space="preserve"> </w:t>
      </w:r>
      <w:r w:rsidR="00A15147">
        <w:rPr>
          <w:rFonts w:ascii="Arial" w:hAnsi="Arial" w:cs="Arial"/>
          <w:sz w:val="22"/>
          <w:szCs w:val="22"/>
        </w:rPr>
        <w:t xml:space="preserve">total annual </w:t>
      </w:r>
      <w:r w:rsidR="00A47141">
        <w:rPr>
          <w:rFonts w:ascii="Arial" w:hAnsi="Arial" w:cs="Arial"/>
          <w:sz w:val="22"/>
          <w:szCs w:val="22"/>
        </w:rPr>
        <w:t xml:space="preserve">burden hours. </w:t>
      </w:r>
    </w:p>
    <w:p w14:paraId="001CFD6E" w14:textId="77777777" w:rsidR="00AF060A" w:rsidRPr="00D755E7" w:rsidRDefault="00AF060A" w:rsidP="00D73D2D">
      <w:pPr>
        <w:rPr>
          <w:rFonts w:ascii="Arial" w:hAnsi="Arial" w:cs="Arial"/>
          <w:sz w:val="36"/>
          <w:szCs w:val="36"/>
        </w:rPr>
      </w:pPr>
    </w:p>
    <w:p w14:paraId="7333221A"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0BB021AE" w14:textId="77777777" w:rsidR="00101DE7" w:rsidRPr="007A5D4B" w:rsidRDefault="00101DE7" w:rsidP="00D73D2D">
      <w:pPr>
        <w:suppressAutoHyphens/>
        <w:ind w:left="480" w:hanging="480"/>
        <w:rPr>
          <w:rFonts w:ascii="Arial" w:hAnsi="Arial" w:cs="Arial"/>
          <w:sz w:val="22"/>
          <w:szCs w:val="22"/>
        </w:rPr>
      </w:pPr>
    </w:p>
    <w:p w14:paraId="7F08D72A" w14:textId="77777777" w:rsidR="00A47141" w:rsidRPr="00A47141" w:rsidRDefault="00A47141" w:rsidP="00A47141">
      <w:pPr>
        <w:suppressAutoHyphens/>
        <w:ind w:left="360"/>
        <w:rPr>
          <w:rFonts w:ascii="Arial" w:hAnsi="Arial" w:cs="Arial"/>
          <w:sz w:val="22"/>
          <w:szCs w:val="22"/>
        </w:rPr>
      </w:pPr>
      <w:r w:rsidRPr="00A47141">
        <w:rPr>
          <w:rFonts w:ascii="Arial" w:hAnsi="Arial" w:cs="Arial"/>
          <w:sz w:val="22"/>
          <w:szCs w:val="22"/>
        </w:rPr>
        <w:t xml:space="preserve">Estimates of </w:t>
      </w:r>
      <w:r>
        <w:rPr>
          <w:rFonts w:ascii="Arial" w:hAnsi="Arial" w:cs="Arial"/>
          <w:sz w:val="22"/>
          <w:szCs w:val="22"/>
        </w:rPr>
        <w:t xml:space="preserve">average </w:t>
      </w:r>
      <w:r w:rsidRPr="00A47141">
        <w:rPr>
          <w:rFonts w:ascii="Arial" w:hAnsi="Arial" w:cs="Arial"/>
          <w:sz w:val="22"/>
          <w:szCs w:val="22"/>
        </w:rPr>
        <w:t>annual cost to respondents, based on knowledge of the form's burden hours and average costs per hour, are as follows:</w:t>
      </w:r>
      <w:r>
        <w:rPr>
          <w:rFonts w:ascii="Arial" w:hAnsi="Arial" w:cs="Arial"/>
          <w:sz w:val="22"/>
          <w:szCs w:val="22"/>
        </w:rPr>
        <w:t xml:space="preserve"> </w:t>
      </w:r>
    </w:p>
    <w:p w14:paraId="113366FD" w14:textId="77777777" w:rsidR="00A47141" w:rsidRDefault="00A47141" w:rsidP="00A47141">
      <w:pPr>
        <w:suppressAutoHyphens/>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350"/>
      </w:tblGrid>
      <w:tr w:rsidR="00A47141" w:rsidRPr="00DC164C" w14:paraId="431F7141" w14:textId="77777777" w:rsidTr="00C20646">
        <w:trPr>
          <w:trHeight w:val="360"/>
          <w:jc w:val="center"/>
        </w:trPr>
        <w:tc>
          <w:tcPr>
            <w:tcW w:w="4410" w:type="dxa"/>
            <w:shd w:val="clear" w:color="auto" w:fill="auto"/>
            <w:vAlign w:val="center"/>
          </w:tcPr>
          <w:p w14:paraId="7C02ADC8" w14:textId="77777777" w:rsidR="00A47141" w:rsidRPr="00DC164C" w:rsidRDefault="00A47141" w:rsidP="00DC164C">
            <w:pPr>
              <w:suppressAutoHyphens/>
              <w:rPr>
                <w:rFonts w:ascii="Arial" w:hAnsi="Arial" w:cs="Arial"/>
                <w:sz w:val="22"/>
                <w:szCs w:val="22"/>
              </w:rPr>
            </w:pPr>
            <w:r w:rsidRPr="00DC164C">
              <w:rPr>
                <w:rFonts w:ascii="Arial" w:hAnsi="Arial" w:cs="Arial"/>
                <w:sz w:val="22"/>
                <w:szCs w:val="22"/>
              </w:rPr>
              <w:t>Clerical costs (filing, mailing, etc.)</w:t>
            </w:r>
          </w:p>
        </w:tc>
        <w:tc>
          <w:tcPr>
            <w:tcW w:w="1350" w:type="dxa"/>
            <w:shd w:val="clear" w:color="auto" w:fill="auto"/>
            <w:vAlign w:val="center"/>
          </w:tcPr>
          <w:p w14:paraId="0DD1C280" w14:textId="22AA3E91" w:rsidR="00A47141" w:rsidRPr="00DC164C" w:rsidRDefault="00A47141" w:rsidP="00352085">
            <w:pPr>
              <w:suppressAutoHyphens/>
              <w:jc w:val="right"/>
              <w:rPr>
                <w:rFonts w:ascii="Arial" w:hAnsi="Arial" w:cs="Arial"/>
                <w:sz w:val="22"/>
                <w:szCs w:val="22"/>
              </w:rPr>
            </w:pPr>
            <w:r w:rsidRPr="00DC164C">
              <w:rPr>
                <w:rFonts w:ascii="Arial" w:hAnsi="Arial" w:cs="Arial"/>
                <w:sz w:val="22"/>
                <w:szCs w:val="22"/>
              </w:rPr>
              <w:t xml:space="preserve">$ </w:t>
            </w:r>
            <w:r w:rsidR="00352085">
              <w:rPr>
                <w:rFonts w:ascii="Arial" w:hAnsi="Arial" w:cs="Arial"/>
                <w:sz w:val="22"/>
                <w:szCs w:val="22"/>
              </w:rPr>
              <w:t>560</w:t>
            </w:r>
          </w:p>
        </w:tc>
      </w:tr>
      <w:tr w:rsidR="00A47141" w:rsidRPr="00DC164C" w14:paraId="555C5111" w14:textId="77777777" w:rsidTr="00C20646">
        <w:trPr>
          <w:trHeight w:val="360"/>
          <w:jc w:val="center"/>
        </w:trPr>
        <w:tc>
          <w:tcPr>
            <w:tcW w:w="4410" w:type="dxa"/>
            <w:shd w:val="clear" w:color="auto" w:fill="auto"/>
            <w:vAlign w:val="center"/>
          </w:tcPr>
          <w:p w14:paraId="2848B2C4" w14:textId="77777777" w:rsidR="00A47141" w:rsidRPr="00DC164C" w:rsidRDefault="00A47141" w:rsidP="00DC164C">
            <w:pPr>
              <w:suppressAutoHyphens/>
              <w:rPr>
                <w:rFonts w:ascii="Arial" w:hAnsi="Arial" w:cs="Arial"/>
                <w:sz w:val="22"/>
                <w:szCs w:val="22"/>
              </w:rPr>
            </w:pPr>
            <w:r w:rsidRPr="00DC164C">
              <w:rPr>
                <w:rFonts w:ascii="Arial" w:hAnsi="Arial" w:cs="Arial"/>
                <w:sz w:val="22"/>
                <w:szCs w:val="22"/>
              </w:rPr>
              <w:t>Other Salary (assembling records, making calculations, and completing the return)</w:t>
            </w:r>
          </w:p>
        </w:tc>
        <w:tc>
          <w:tcPr>
            <w:tcW w:w="1350" w:type="dxa"/>
            <w:shd w:val="clear" w:color="auto" w:fill="auto"/>
            <w:vAlign w:val="center"/>
          </w:tcPr>
          <w:p w14:paraId="07FECF1D" w14:textId="7C714442" w:rsidR="00A47141" w:rsidRPr="00DC164C" w:rsidRDefault="00352085" w:rsidP="00352085">
            <w:pPr>
              <w:suppressAutoHyphens/>
              <w:jc w:val="right"/>
              <w:rPr>
                <w:rFonts w:ascii="Arial" w:hAnsi="Arial" w:cs="Arial"/>
                <w:sz w:val="22"/>
                <w:szCs w:val="22"/>
              </w:rPr>
            </w:pPr>
            <w:r>
              <w:rPr>
                <w:rFonts w:ascii="Arial" w:hAnsi="Arial" w:cs="Arial"/>
                <w:sz w:val="22"/>
                <w:szCs w:val="22"/>
              </w:rPr>
              <w:t>2</w:t>
            </w:r>
            <w:r w:rsidR="00A47141" w:rsidRPr="00DC164C">
              <w:rPr>
                <w:rFonts w:ascii="Arial" w:hAnsi="Arial" w:cs="Arial"/>
                <w:sz w:val="22"/>
                <w:szCs w:val="22"/>
              </w:rPr>
              <w:t>,</w:t>
            </w:r>
            <w:r>
              <w:rPr>
                <w:rFonts w:ascii="Arial" w:hAnsi="Arial" w:cs="Arial"/>
                <w:sz w:val="22"/>
                <w:szCs w:val="22"/>
              </w:rPr>
              <w:t>8</w:t>
            </w:r>
            <w:r w:rsidR="00A47141" w:rsidRPr="00DC164C">
              <w:rPr>
                <w:rFonts w:ascii="Arial" w:hAnsi="Arial" w:cs="Arial"/>
                <w:sz w:val="22"/>
                <w:szCs w:val="22"/>
              </w:rPr>
              <w:t>00</w:t>
            </w:r>
          </w:p>
        </w:tc>
      </w:tr>
      <w:tr w:rsidR="00A47141" w:rsidRPr="00DC164C" w14:paraId="40854F87" w14:textId="77777777" w:rsidTr="00C20646">
        <w:trPr>
          <w:trHeight w:val="360"/>
          <w:jc w:val="center"/>
        </w:trPr>
        <w:tc>
          <w:tcPr>
            <w:tcW w:w="4410" w:type="dxa"/>
            <w:tcBorders>
              <w:bottom w:val="single" w:sz="12" w:space="0" w:color="auto"/>
            </w:tcBorders>
            <w:shd w:val="clear" w:color="auto" w:fill="auto"/>
            <w:vAlign w:val="center"/>
          </w:tcPr>
          <w:p w14:paraId="519EE898" w14:textId="77777777" w:rsidR="00A47141" w:rsidRPr="00DC164C" w:rsidRDefault="00A47141" w:rsidP="00DC164C">
            <w:pPr>
              <w:suppressAutoHyphens/>
              <w:rPr>
                <w:rFonts w:ascii="Arial" w:hAnsi="Arial" w:cs="Arial"/>
                <w:sz w:val="22"/>
                <w:szCs w:val="22"/>
              </w:rPr>
            </w:pPr>
            <w:r w:rsidRPr="00DC164C">
              <w:rPr>
                <w:rFonts w:ascii="Arial" w:hAnsi="Arial" w:cs="Arial"/>
                <w:sz w:val="22"/>
                <w:szCs w:val="22"/>
              </w:rPr>
              <w:t>Overhead</w:t>
            </w:r>
          </w:p>
        </w:tc>
        <w:tc>
          <w:tcPr>
            <w:tcW w:w="1350" w:type="dxa"/>
            <w:tcBorders>
              <w:bottom w:val="single" w:sz="12" w:space="0" w:color="auto"/>
            </w:tcBorders>
            <w:shd w:val="clear" w:color="auto" w:fill="auto"/>
            <w:vAlign w:val="center"/>
          </w:tcPr>
          <w:p w14:paraId="584DECE1" w14:textId="0CEC1FB4" w:rsidR="00A47141" w:rsidRPr="00DC164C" w:rsidRDefault="00352085" w:rsidP="00DC164C">
            <w:pPr>
              <w:suppressAutoHyphens/>
              <w:jc w:val="right"/>
              <w:rPr>
                <w:rFonts w:ascii="Arial" w:hAnsi="Arial" w:cs="Arial"/>
                <w:sz w:val="22"/>
                <w:szCs w:val="22"/>
              </w:rPr>
            </w:pPr>
            <w:r>
              <w:rPr>
                <w:rFonts w:ascii="Arial" w:hAnsi="Arial" w:cs="Arial"/>
                <w:sz w:val="22"/>
                <w:szCs w:val="22"/>
              </w:rPr>
              <w:t>1,</w:t>
            </w:r>
            <w:r w:rsidR="00A47141" w:rsidRPr="00DC164C">
              <w:rPr>
                <w:rFonts w:ascii="Arial" w:hAnsi="Arial" w:cs="Arial"/>
                <w:sz w:val="22"/>
                <w:szCs w:val="22"/>
              </w:rPr>
              <w:t>800</w:t>
            </w:r>
          </w:p>
        </w:tc>
      </w:tr>
      <w:tr w:rsidR="00A47141" w:rsidRPr="00DC164C" w14:paraId="741F84C3" w14:textId="77777777" w:rsidTr="00C20646">
        <w:trPr>
          <w:trHeight w:val="467"/>
          <w:jc w:val="center"/>
        </w:trPr>
        <w:tc>
          <w:tcPr>
            <w:tcW w:w="4410" w:type="dxa"/>
            <w:tcBorders>
              <w:top w:val="single" w:sz="12" w:space="0" w:color="auto"/>
              <w:left w:val="single" w:sz="2" w:space="0" w:color="auto"/>
              <w:bottom w:val="single" w:sz="2" w:space="0" w:color="auto"/>
              <w:right w:val="single" w:sz="2" w:space="0" w:color="auto"/>
            </w:tcBorders>
            <w:shd w:val="clear" w:color="auto" w:fill="auto"/>
            <w:vAlign w:val="center"/>
          </w:tcPr>
          <w:p w14:paraId="5548B513" w14:textId="392F7ECA" w:rsidR="00A47141" w:rsidRPr="00DC164C" w:rsidRDefault="00A47141" w:rsidP="007C6915">
            <w:pPr>
              <w:suppressAutoHyphens/>
              <w:rPr>
                <w:rFonts w:ascii="Arial" w:hAnsi="Arial" w:cs="Arial"/>
                <w:sz w:val="22"/>
                <w:szCs w:val="22"/>
              </w:rPr>
            </w:pPr>
            <w:r w:rsidRPr="00DC164C">
              <w:rPr>
                <w:rFonts w:ascii="Arial" w:hAnsi="Arial" w:cs="Arial"/>
                <w:sz w:val="22"/>
                <w:szCs w:val="22"/>
              </w:rPr>
              <w:t>T</w:t>
            </w:r>
            <w:r w:rsidR="007C6915">
              <w:rPr>
                <w:rFonts w:ascii="Arial" w:hAnsi="Arial" w:cs="Arial"/>
                <w:sz w:val="22"/>
                <w:szCs w:val="22"/>
              </w:rPr>
              <w:t xml:space="preserve">OTAL COSTS </w:t>
            </w:r>
          </w:p>
        </w:tc>
        <w:tc>
          <w:tcPr>
            <w:tcW w:w="1350" w:type="dxa"/>
            <w:tcBorders>
              <w:top w:val="single" w:sz="12" w:space="0" w:color="auto"/>
              <w:left w:val="single" w:sz="2" w:space="0" w:color="auto"/>
              <w:bottom w:val="single" w:sz="2" w:space="0" w:color="auto"/>
              <w:right w:val="single" w:sz="2" w:space="0" w:color="auto"/>
            </w:tcBorders>
            <w:shd w:val="clear" w:color="auto" w:fill="auto"/>
            <w:vAlign w:val="center"/>
          </w:tcPr>
          <w:p w14:paraId="61577B3C" w14:textId="75D70446" w:rsidR="00A47141" w:rsidRPr="00DC164C" w:rsidRDefault="00A47141" w:rsidP="00352085">
            <w:pPr>
              <w:suppressAutoHyphens/>
              <w:jc w:val="right"/>
              <w:rPr>
                <w:rFonts w:ascii="Arial" w:hAnsi="Arial" w:cs="Arial"/>
                <w:sz w:val="22"/>
                <w:szCs w:val="22"/>
              </w:rPr>
            </w:pPr>
            <w:r w:rsidRPr="00DC164C">
              <w:rPr>
                <w:rFonts w:ascii="Arial" w:hAnsi="Arial" w:cs="Arial"/>
                <w:sz w:val="22"/>
                <w:szCs w:val="22"/>
              </w:rPr>
              <w:t>$</w:t>
            </w:r>
            <w:r w:rsidR="00352085">
              <w:rPr>
                <w:rFonts w:ascii="Arial" w:hAnsi="Arial" w:cs="Arial"/>
                <w:sz w:val="22"/>
                <w:szCs w:val="22"/>
              </w:rPr>
              <w:t>5,160</w:t>
            </w:r>
          </w:p>
        </w:tc>
      </w:tr>
    </w:tbl>
    <w:p w14:paraId="7835101E" w14:textId="77777777" w:rsidR="00AF1157" w:rsidRPr="00D755E7" w:rsidRDefault="00AF1157" w:rsidP="00D73D2D">
      <w:pPr>
        <w:suppressAutoHyphens/>
        <w:rPr>
          <w:rFonts w:ascii="Arial" w:hAnsi="Arial" w:cs="Arial"/>
          <w:sz w:val="36"/>
          <w:szCs w:val="36"/>
        </w:rPr>
      </w:pPr>
    </w:p>
    <w:p w14:paraId="26B842AA"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5E23FAA" w14:textId="77777777" w:rsidR="00AF1157" w:rsidRPr="007A5D4B" w:rsidRDefault="00AF1157" w:rsidP="00D73D2D">
      <w:pPr>
        <w:suppressAutoHyphens/>
        <w:ind w:left="480" w:hanging="480"/>
        <w:rPr>
          <w:rFonts w:ascii="Arial" w:hAnsi="Arial" w:cs="Arial"/>
          <w:sz w:val="22"/>
          <w:szCs w:val="22"/>
        </w:rPr>
      </w:pPr>
    </w:p>
    <w:p w14:paraId="53B1104F"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4ACB7F57" w14:textId="77777777" w:rsidR="00A47141" w:rsidRPr="0069718A" w:rsidRDefault="00A47141" w:rsidP="004D086A">
      <w:pPr>
        <w:ind w:left="360"/>
        <w:rPr>
          <w:rFonts w:ascii="Arial" w:hAnsi="Arial" w:cs="Arial"/>
          <w:sz w:val="22"/>
          <w:szCs w:val="22"/>
        </w:rPr>
      </w:pPr>
    </w:p>
    <w:tbl>
      <w:tblPr>
        <w:tblW w:w="6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4876"/>
        <w:gridCol w:w="1829"/>
      </w:tblGrid>
      <w:tr w:rsidR="00AF060A" w:rsidRPr="00D20C3A" w14:paraId="7D8B8B1F" w14:textId="77777777" w:rsidTr="007C6915">
        <w:trPr>
          <w:trHeight w:val="360"/>
          <w:jc w:val="center"/>
        </w:trPr>
        <w:tc>
          <w:tcPr>
            <w:tcW w:w="4876" w:type="dxa"/>
            <w:shd w:val="clear" w:color="auto" w:fill="auto"/>
            <w:vAlign w:val="center"/>
          </w:tcPr>
          <w:p w14:paraId="7BE101DF" w14:textId="77777777" w:rsidR="00AF060A" w:rsidRPr="00D20C3A" w:rsidRDefault="00AF060A" w:rsidP="007B4E08">
            <w:pPr>
              <w:ind w:left="72"/>
              <w:rPr>
                <w:rFonts w:ascii="Arial" w:hAnsi="Arial" w:cs="Arial"/>
                <w:sz w:val="22"/>
                <w:szCs w:val="22"/>
              </w:rPr>
            </w:pPr>
            <w:r w:rsidRPr="00D20C3A">
              <w:rPr>
                <w:rFonts w:ascii="Arial" w:hAnsi="Arial" w:cs="Arial"/>
                <w:sz w:val="22"/>
                <w:szCs w:val="22"/>
              </w:rPr>
              <w:t>Clerical cost</w:t>
            </w:r>
            <w:r w:rsidR="00DA29D8" w:rsidRPr="00D20C3A">
              <w:rPr>
                <w:rFonts w:ascii="Arial" w:hAnsi="Arial" w:cs="Arial"/>
                <w:sz w:val="22"/>
                <w:szCs w:val="22"/>
              </w:rPr>
              <w:t>s</w:t>
            </w:r>
          </w:p>
        </w:tc>
        <w:tc>
          <w:tcPr>
            <w:tcW w:w="1829" w:type="dxa"/>
            <w:shd w:val="clear" w:color="auto" w:fill="auto"/>
            <w:vAlign w:val="center"/>
          </w:tcPr>
          <w:p w14:paraId="0211BCFB" w14:textId="1488530F" w:rsidR="00AF060A" w:rsidRPr="00D20C3A" w:rsidRDefault="00D20C3A" w:rsidP="000666DF">
            <w:pPr>
              <w:ind w:left="360"/>
              <w:jc w:val="right"/>
              <w:rPr>
                <w:rFonts w:ascii="Arial" w:hAnsi="Arial" w:cs="Arial"/>
                <w:sz w:val="22"/>
                <w:szCs w:val="22"/>
              </w:rPr>
            </w:pPr>
            <w:r w:rsidRPr="00D20C3A">
              <w:rPr>
                <w:rFonts w:ascii="Arial" w:hAnsi="Arial" w:cs="Arial"/>
                <w:sz w:val="22"/>
                <w:szCs w:val="22"/>
              </w:rPr>
              <w:t xml:space="preserve">$ </w:t>
            </w:r>
            <w:r w:rsidR="000666DF">
              <w:rPr>
                <w:rFonts w:ascii="Arial" w:hAnsi="Arial" w:cs="Arial"/>
                <w:sz w:val="22"/>
                <w:szCs w:val="22"/>
              </w:rPr>
              <w:t>5,595</w:t>
            </w:r>
          </w:p>
        </w:tc>
      </w:tr>
      <w:tr w:rsidR="00D20C3A" w:rsidRPr="00D20C3A" w14:paraId="674A5BB2" w14:textId="77777777" w:rsidTr="007C6915">
        <w:trPr>
          <w:trHeight w:val="360"/>
          <w:jc w:val="center"/>
        </w:trPr>
        <w:tc>
          <w:tcPr>
            <w:tcW w:w="4876" w:type="dxa"/>
            <w:shd w:val="clear" w:color="auto" w:fill="auto"/>
            <w:vAlign w:val="center"/>
          </w:tcPr>
          <w:p w14:paraId="6D652F54" w14:textId="77777777" w:rsidR="00D20C3A" w:rsidRPr="00D20C3A" w:rsidRDefault="00D20C3A" w:rsidP="007B4E08">
            <w:pPr>
              <w:ind w:left="72"/>
              <w:rPr>
                <w:rFonts w:ascii="Arial" w:hAnsi="Arial" w:cs="Arial"/>
                <w:sz w:val="22"/>
                <w:szCs w:val="22"/>
              </w:rPr>
            </w:pPr>
            <w:r w:rsidRPr="00D20C3A">
              <w:rPr>
                <w:rFonts w:ascii="Arial" w:hAnsi="Arial" w:cs="Arial"/>
                <w:sz w:val="22"/>
                <w:szCs w:val="22"/>
              </w:rPr>
              <w:t>Overhead</w:t>
            </w:r>
          </w:p>
        </w:tc>
        <w:tc>
          <w:tcPr>
            <w:tcW w:w="1829" w:type="dxa"/>
            <w:shd w:val="clear" w:color="auto" w:fill="auto"/>
            <w:vAlign w:val="center"/>
          </w:tcPr>
          <w:p w14:paraId="5DD59F3A" w14:textId="4CE710EF" w:rsidR="00D20C3A" w:rsidRPr="00D20C3A" w:rsidRDefault="00352085" w:rsidP="00352085">
            <w:pPr>
              <w:ind w:left="360"/>
              <w:jc w:val="right"/>
              <w:rPr>
                <w:rFonts w:ascii="Arial" w:hAnsi="Arial" w:cs="Arial"/>
                <w:sz w:val="22"/>
                <w:szCs w:val="22"/>
              </w:rPr>
            </w:pPr>
            <w:r>
              <w:rPr>
                <w:rFonts w:ascii="Arial" w:hAnsi="Arial" w:cs="Arial"/>
                <w:sz w:val="22"/>
                <w:szCs w:val="22"/>
              </w:rPr>
              <w:t>5,0</w:t>
            </w:r>
            <w:r w:rsidR="00D20C3A" w:rsidRPr="00D20C3A">
              <w:rPr>
                <w:rFonts w:ascii="Arial" w:hAnsi="Arial" w:cs="Arial"/>
                <w:sz w:val="22"/>
                <w:szCs w:val="22"/>
              </w:rPr>
              <w:t>00</w:t>
            </w:r>
          </w:p>
        </w:tc>
      </w:tr>
      <w:tr w:rsidR="00AF060A" w:rsidRPr="00D20C3A" w14:paraId="69636E75" w14:textId="77777777" w:rsidTr="007C6915">
        <w:trPr>
          <w:trHeight w:val="360"/>
          <w:jc w:val="center"/>
        </w:trPr>
        <w:tc>
          <w:tcPr>
            <w:tcW w:w="4876" w:type="dxa"/>
            <w:tcBorders>
              <w:bottom w:val="single" w:sz="12" w:space="0" w:color="auto"/>
            </w:tcBorders>
            <w:shd w:val="clear" w:color="auto" w:fill="auto"/>
            <w:vAlign w:val="center"/>
          </w:tcPr>
          <w:p w14:paraId="2AAC9D86" w14:textId="77777777" w:rsidR="00AF060A" w:rsidRPr="00D20C3A" w:rsidRDefault="00AF060A" w:rsidP="00DA29D8">
            <w:pPr>
              <w:ind w:left="72"/>
              <w:rPr>
                <w:rFonts w:ascii="Arial" w:hAnsi="Arial" w:cs="Arial"/>
                <w:sz w:val="22"/>
                <w:szCs w:val="22"/>
              </w:rPr>
            </w:pPr>
            <w:r w:rsidRPr="00D20C3A">
              <w:rPr>
                <w:rFonts w:ascii="Arial" w:hAnsi="Arial" w:cs="Arial"/>
                <w:sz w:val="22"/>
                <w:szCs w:val="22"/>
              </w:rPr>
              <w:t xml:space="preserve">Other Salary </w:t>
            </w:r>
            <w:r w:rsidR="00DA29D8" w:rsidRPr="00D20C3A">
              <w:rPr>
                <w:rFonts w:ascii="Arial" w:hAnsi="Arial" w:cs="Arial"/>
                <w:sz w:val="22"/>
                <w:szCs w:val="22"/>
              </w:rPr>
              <w:t xml:space="preserve">costs </w:t>
            </w:r>
            <w:r w:rsidRPr="00D20C3A">
              <w:rPr>
                <w:rFonts w:ascii="Arial" w:hAnsi="Arial" w:cs="Arial"/>
                <w:sz w:val="22"/>
                <w:szCs w:val="22"/>
              </w:rPr>
              <w:t>(review, supervisory, etc.)</w:t>
            </w:r>
          </w:p>
        </w:tc>
        <w:tc>
          <w:tcPr>
            <w:tcW w:w="1829" w:type="dxa"/>
            <w:tcBorders>
              <w:bottom w:val="single" w:sz="12" w:space="0" w:color="auto"/>
            </w:tcBorders>
            <w:shd w:val="clear" w:color="auto" w:fill="auto"/>
            <w:vAlign w:val="center"/>
          </w:tcPr>
          <w:p w14:paraId="3B23D9B3" w14:textId="57817A4A" w:rsidR="00AF060A" w:rsidRPr="00D20C3A" w:rsidRDefault="000666DF" w:rsidP="000666DF">
            <w:pPr>
              <w:ind w:left="360"/>
              <w:jc w:val="right"/>
              <w:rPr>
                <w:rFonts w:ascii="Arial" w:hAnsi="Arial" w:cs="Arial"/>
                <w:sz w:val="22"/>
                <w:szCs w:val="22"/>
              </w:rPr>
            </w:pPr>
            <w:r>
              <w:rPr>
                <w:rFonts w:ascii="Arial" w:hAnsi="Arial" w:cs="Arial"/>
                <w:sz w:val="22"/>
                <w:szCs w:val="22"/>
              </w:rPr>
              <w:t>65,570</w:t>
            </w:r>
          </w:p>
        </w:tc>
      </w:tr>
      <w:tr w:rsidR="00AF060A" w:rsidRPr="00D20C3A" w14:paraId="3E59106C" w14:textId="77777777" w:rsidTr="007C6915">
        <w:trPr>
          <w:trHeight w:val="360"/>
          <w:jc w:val="center"/>
        </w:trPr>
        <w:tc>
          <w:tcPr>
            <w:tcW w:w="4876" w:type="dxa"/>
            <w:tcBorders>
              <w:top w:val="single" w:sz="12" w:space="0" w:color="auto"/>
            </w:tcBorders>
            <w:shd w:val="clear" w:color="auto" w:fill="auto"/>
            <w:vAlign w:val="center"/>
          </w:tcPr>
          <w:p w14:paraId="269174D1" w14:textId="77777777" w:rsidR="00AF060A" w:rsidRPr="00D20C3A" w:rsidRDefault="00AF060A" w:rsidP="007B4E08">
            <w:pPr>
              <w:ind w:left="72"/>
              <w:rPr>
                <w:rFonts w:ascii="Arial" w:hAnsi="Arial" w:cs="Arial"/>
                <w:sz w:val="22"/>
                <w:szCs w:val="22"/>
              </w:rPr>
            </w:pPr>
            <w:r w:rsidRPr="00D20C3A">
              <w:rPr>
                <w:rFonts w:ascii="Arial" w:hAnsi="Arial" w:cs="Arial"/>
                <w:sz w:val="22"/>
                <w:szCs w:val="22"/>
              </w:rPr>
              <w:t>TOTAL</w:t>
            </w:r>
            <w:r w:rsidR="00DA29D8" w:rsidRPr="00D20C3A">
              <w:rPr>
                <w:rFonts w:ascii="Arial" w:hAnsi="Arial" w:cs="Arial"/>
                <w:sz w:val="22"/>
                <w:szCs w:val="22"/>
              </w:rPr>
              <w:t xml:space="preserve"> COSTS </w:t>
            </w:r>
          </w:p>
        </w:tc>
        <w:tc>
          <w:tcPr>
            <w:tcW w:w="1829" w:type="dxa"/>
            <w:tcBorders>
              <w:top w:val="single" w:sz="12" w:space="0" w:color="auto"/>
            </w:tcBorders>
            <w:shd w:val="clear" w:color="auto" w:fill="auto"/>
            <w:vAlign w:val="center"/>
          </w:tcPr>
          <w:p w14:paraId="353B487F" w14:textId="34AF2B4F" w:rsidR="00AF060A" w:rsidRPr="00D20C3A" w:rsidRDefault="00A47141" w:rsidP="000666DF">
            <w:pPr>
              <w:ind w:left="360"/>
              <w:jc w:val="right"/>
              <w:rPr>
                <w:rFonts w:ascii="Arial" w:hAnsi="Arial" w:cs="Arial"/>
                <w:sz w:val="22"/>
                <w:szCs w:val="22"/>
              </w:rPr>
            </w:pPr>
            <w:r w:rsidRPr="00D20C3A">
              <w:rPr>
                <w:rFonts w:ascii="Arial" w:hAnsi="Arial" w:cs="Arial"/>
                <w:sz w:val="22"/>
                <w:szCs w:val="22"/>
              </w:rPr>
              <w:t xml:space="preserve">$ </w:t>
            </w:r>
            <w:r w:rsidR="000666DF">
              <w:rPr>
                <w:rFonts w:ascii="Arial" w:hAnsi="Arial" w:cs="Arial"/>
                <w:sz w:val="22"/>
                <w:szCs w:val="22"/>
              </w:rPr>
              <w:t>76,165</w:t>
            </w:r>
          </w:p>
        </w:tc>
      </w:tr>
    </w:tbl>
    <w:p w14:paraId="79D7C25E" w14:textId="77777777" w:rsidR="00D6325C" w:rsidRPr="00D755E7" w:rsidRDefault="00D6325C" w:rsidP="00D73D2D">
      <w:pPr>
        <w:rPr>
          <w:rFonts w:ascii="Arial" w:hAnsi="Arial" w:cs="Arial"/>
          <w:sz w:val="36"/>
          <w:szCs w:val="36"/>
        </w:rPr>
      </w:pPr>
    </w:p>
    <w:p w14:paraId="654886C2" w14:textId="01B52E93" w:rsidR="00AF1157" w:rsidRPr="00D20C3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D20C3A">
        <w:rPr>
          <w:rFonts w:ascii="Arial" w:hAnsi="Arial" w:cs="Arial"/>
          <w:i/>
          <w:sz w:val="22"/>
          <w:szCs w:val="22"/>
        </w:rPr>
        <w:t>What is the reason for any program changes or adjustments reported?</w:t>
      </w:r>
      <w:r w:rsidRPr="00D20C3A">
        <w:rPr>
          <w:rFonts w:ascii="Arial" w:hAnsi="Arial" w:cs="Arial"/>
          <w:i/>
          <w:sz w:val="22"/>
          <w:szCs w:val="22"/>
        </w:rPr>
        <w:t xml:space="preserve"> </w:t>
      </w:r>
    </w:p>
    <w:p w14:paraId="2A66AEFF" w14:textId="77777777" w:rsidR="00AF1157" w:rsidRPr="00D20C3A" w:rsidRDefault="00AF1157" w:rsidP="00D73D2D">
      <w:pPr>
        <w:suppressAutoHyphens/>
        <w:rPr>
          <w:rFonts w:ascii="Arial" w:hAnsi="Arial" w:cs="Arial"/>
          <w:sz w:val="22"/>
          <w:szCs w:val="22"/>
        </w:rPr>
      </w:pPr>
    </w:p>
    <w:p w14:paraId="40544367" w14:textId="77777777" w:rsidR="00D755E7" w:rsidRDefault="00D755E7" w:rsidP="0069718A">
      <w:pPr>
        <w:ind w:left="360"/>
        <w:rPr>
          <w:rFonts w:ascii="Arial" w:hAnsi="Arial" w:cs="Arial"/>
          <w:sz w:val="22"/>
          <w:szCs w:val="22"/>
        </w:rPr>
      </w:pPr>
      <w:r>
        <w:rPr>
          <w:rFonts w:ascii="Arial" w:hAnsi="Arial" w:cs="Arial"/>
          <w:sz w:val="22"/>
          <w:szCs w:val="22"/>
        </w:rPr>
        <w:t xml:space="preserve">There are no program changes associated with this information collection.  </w:t>
      </w:r>
    </w:p>
    <w:p w14:paraId="7BAAAD4B" w14:textId="77777777" w:rsidR="00D755E7" w:rsidRDefault="00D755E7" w:rsidP="0069718A">
      <w:pPr>
        <w:ind w:left="360"/>
        <w:rPr>
          <w:rFonts w:ascii="Arial" w:hAnsi="Arial" w:cs="Arial"/>
          <w:sz w:val="22"/>
          <w:szCs w:val="22"/>
        </w:rPr>
      </w:pPr>
    </w:p>
    <w:p w14:paraId="5DC6FF25" w14:textId="239CD6FB" w:rsidR="00D755E7" w:rsidRDefault="00D755E7" w:rsidP="00D755E7">
      <w:pPr>
        <w:ind w:left="360"/>
        <w:rPr>
          <w:rFonts w:ascii="Arial" w:hAnsi="Arial" w:cs="Arial"/>
          <w:sz w:val="22"/>
          <w:szCs w:val="22"/>
        </w:rPr>
      </w:pPr>
      <w:r>
        <w:rPr>
          <w:rFonts w:ascii="Arial" w:hAnsi="Arial" w:cs="Arial"/>
          <w:sz w:val="22"/>
          <w:szCs w:val="22"/>
        </w:rPr>
        <w:t xml:space="preserve">As for adjustments, </w:t>
      </w:r>
      <w:r w:rsidRPr="00D755E7">
        <w:rPr>
          <w:rFonts w:ascii="Arial" w:hAnsi="Arial" w:cs="Arial"/>
          <w:sz w:val="22"/>
          <w:szCs w:val="22"/>
        </w:rPr>
        <w:t>TTB is increasing the estimated number of respondents</w:t>
      </w:r>
      <w:r w:rsidR="00C20646">
        <w:rPr>
          <w:rFonts w:ascii="Arial" w:hAnsi="Arial" w:cs="Arial"/>
          <w:sz w:val="22"/>
          <w:szCs w:val="22"/>
        </w:rPr>
        <w:t>, responses, and e</w:t>
      </w:r>
      <w:r w:rsidRPr="00D755E7">
        <w:rPr>
          <w:rFonts w:ascii="Arial" w:hAnsi="Arial" w:cs="Arial"/>
          <w:sz w:val="22"/>
          <w:szCs w:val="22"/>
        </w:rPr>
        <w:t xml:space="preserve">stimated total annual burden hours associated with this collection </w:t>
      </w:r>
      <w:r w:rsidR="00DF0C44">
        <w:rPr>
          <w:rFonts w:ascii="Arial" w:hAnsi="Arial" w:cs="Arial"/>
          <w:sz w:val="22"/>
          <w:szCs w:val="22"/>
        </w:rPr>
        <w:t xml:space="preserve">by 25 respondents </w:t>
      </w:r>
      <w:r w:rsidR="00C20646">
        <w:rPr>
          <w:rFonts w:ascii="Arial" w:hAnsi="Arial" w:cs="Arial"/>
          <w:sz w:val="22"/>
          <w:szCs w:val="22"/>
        </w:rPr>
        <w:t xml:space="preserve">due to an increase in the number of </w:t>
      </w:r>
      <w:r w:rsidRPr="00D755E7">
        <w:rPr>
          <w:rFonts w:ascii="Arial" w:hAnsi="Arial" w:cs="Arial"/>
          <w:sz w:val="22"/>
          <w:szCs w:val="22"/>
        </w:rPr>
        <w:t xml:space="preserve">firearms and ammunition </w:t>
      </w:r>
      <w:r w:rsidR="00C20646">
        <w:rPr>
          <w:rFonts w:ascii="Arial" w:hAnsi="Arial" w:cs="Arial"/>
          <w:sz w:val="22"/>
          <w:szCs w:val="22"/>
        </w:rPr>
        <w:t xml:space="preserve">excise </w:t>
      </w:r>
      <w:r w:rsidRPr="00D755E7">
        <w:rPr>
          <w:rFonts w:ascii="Arial" w:hAnsi="Arial" w:cs="Arial"/>
          <w:sz w:val="22"/>
          <w:szCs w:val="22"/>
        </w:rPr>
        <w:t xml:space="preserve">taxpayers. </w:t>
      </w:r>
    </w:p>
    <w:p w14:paraId="363713AC" w14:textId="77777777" w:rsidR="00D755E7" w:rsidRPr="00D755E7" w:rsidRDefault="00D755E7" w:rsidP="00D755E7">
      <w:pPr>
        <w:ind w:left="360"/>
        <w:rPr>
          <w:rFonts w:ascii="Arial" w:hAnsi="Arial" w:cs="Arial"/>
          <w:sz w:val="22"/>
          <w:szCs w:val="22"/>
        </w:rPr>
      </w:pPr>
    </w:p>
    <w:p w14:paraId="79FA702B" w14:textId="09EEC261" w:rsidR="00D755E7" w:rsidRPr="00D755E7" w:rsidRDefault="00D755E7" w:rsidP="00D755E7">
      <w:pPr>
        <w:ind w:left="360"/>
        <w:rPr>
          <w:rFonts w:ascii="Arial" w:hAnsi="Arial" w:cs="Arial"/>
          <w:sz w:val="22"/>
          <w:szCs w:val="22"/>
        </w:rPr>
      </w:pPr>
      <w:r w:rsidRPr="00D755E7">
        <w:rPr>
          <w:rFonts w:ascii="Arial" w:hAnsi="Arial" w:cs="Arial"/>
          <w:sz w:val="22"/>
          <w:szCs w:val="22"/>
        </w:rPr>
        <w:t>In addition, TTB is revising the FAET return form, F 5300.26, to clarify certain data fields and instructions</w:t>
      </w:r>
      <w:r w:rsidR="008F090B">
        <w:rPr>
          <w:rFonts w:ascii="Arial" w:hAnsi="Arial" w:cs="Arial"/>
          <w:sz w:val="22"/>
          <w:szCs w:val="22"/>
        </w:rPr>
        <w:t xml:space="preserve"> to improve </w:t>
      </w:r>
      <w:r w:rsidRPr="00D755E7">
        <w:rPr>
          <w:rFonts w:ascii="Arial" w:hAnsi="Arial" w:cs="Arial"/>
          <w:sz w:val="22"/>
          <w:szCs w:val="22"/>
        </w:rPr>
        <w:t>the accuracy of the information reported</w:t>
      </w:r>
      <w:r w:rsidR="008F090B">
        <w:rPr>
          <w:rFonts w:ascii="Arial" w:hAnsi="Arial" w:cs="Arial"/>
          <w:sz w:val="22"/>
          <w:szCs w:val="22"/>
        </w:rPr>
        <w:t xml:space="preserve">, which will allow </w:t>
      </w:r>
      <w:r w:rsidRPr="00D755E7">
        <w:rPr>
          <w:rFonts w:ascii="Arial" w:hAnsi="Arial" w:cs="Arial"/>
          <w:sz w:val="22"/>
          <w:szCs w:val="22"/>
        </w:rPr>
        <w:t xml:space="preserve">TTB to more accurately verify the </w:t>
      </w:r>
      <w:r w:rsidR="008F090B">
        <w:rPr>
          <w:rFonts w:ascii="Arial" w:hAnsi="Arial" w:cs="Arial"/>
          <w:sz w:val="22"/>
          <w:szCs w:val="22"/>
        </w:rPr>
        <w:t>respondent’s t</w:t>
      </w:r>
      <w:r w:rsidR="008F090B" w:rsidRPr="00D755E7">
        <w:rPr>
          <w:rFonts w:ascii="Arial" w:hAnsi="Arial" w:cs="Arial"/>
          <w:sz w:val="22"/>
          <w:szCs w:val="22"/>
        </w:rPr>
        <w:t xml:space="preserve">ax </w:t>
      </w:r>
      <w:r w:rsidRPr="00D755E7">
        <w:rPr>
          <w:rFonts w:ascii="Arial" w:hAnsi="Arial" w:cs="Arial"/>
          <w:sz w:val="22"/>
          <w:szCs w:val="22"/>
        </w:rPr>
        <w:t>liability.  The revisions to F 5300.26 include r</w:t>
      </w:r>
      <w:r>
        <w:rPr>
          <w:rFonts w:ascii="Arial" w:hAnsi="Arial" w:cs="Arial"/>
          <w:sz w:val="22"/>
          <w:szCs w:val="22"/>
        </w:rPr>
        <w:t>eorganizing data fields in Part </w:t>
      </w:r>
      <w:r w:rsidRPr="00D755E7">
        <w:rPr>
          <w:rFonts w:ascii="Arial" w:hAnsi="Arial" w:cs="Arial"/>
          <w:sz w:val="22"/>
          <w:szCs w:val="22"/>
        </w:rPr>
        <w:t xml:space="preserve">II, Calculation of Taxes on Sale or Uses During this Tax Period, adding instructional language to Schedules A and B to clarify that they are used to claim adjustments for prior quarter activity, and adding a “printed” name field to the signature area of the form.  TTB </w:t>
      </w:r>
      <w:r w:rsidR="00A621BB" w:rsidRPr="00D755E7">
        <w:rPr>
          <w:rFonts w:ascii="Arial" w:hAnsi="Arial" w:cs="Arial"/>
          <w:sz w:val="22"/>
          <w:szCs w:val="22"/>
        </w:rPr>
        <w:t xml:space="preserve">also </w:t>
      </w:r>
      <w:r w:rsidRPr="00D755E7">
        <w:rPr>
          <w:rFonts w:ascii="Arial" w:hAnsi="Arial" w:cs="Arial"/>
          <w:sz w:val="22"/>
          <w:szCs w:val="22"/>
        </w:rPr>
        <w:t>has updated the form’s instructions to remove obsolete language and improve clarity.  TTB also has made other format, grammatical, and typographic corrections to the form.  In addition, to support future automation efforts, TTB has added a bar code to each page of the form</w:t>
      </w:r>
      <w:r w:rsidR="0004283F">
        <w:rPr>
          <w:rFonts w:ascii="Arial" w:hAnsi="Arial" w:cs="Arial"/>
          <w:sz w:val="22"/>
          <w:szCs w:val="22"/>
        </w:rPr>
        <w:t xml:space="preserve"> that identifies the form number and </w:t>
      </w:r>
      <w:r w:rsidR="00844290">
        <w:rPr>
          <w:rFonts w:ascii="Arial" w:hAnsi="Arial" w:cs="Arial"/>
          <w:sz w:val="22"/>
          <w:szCs w:val="22"/>
        </w:rPr>
        <w:t xml:space="preserve">the </w:t>
      </w:r>
      <w:r w:rsidR="0004283F">
        <w:rPr>
          <w:rFonts w:ascii="Arial" w:hAnsi="Arial" w:cs="Arial"/>
          <w:sz w:val="22"/>
          <w:szCs w:val="22"/>
        </w:rPr>
        <w:t>page number of the form</w:t>
      </w:r>
      <w:r w:rsidRPr="00D755E7">
        <w:rPr>
          <w:rFonts w:ascii="Arial" w:hAnsi="Arial" w:cs="Arial"/>
          <w:sz w:val="22"/>
          <w:szCs w:val="22"/>
        </w:rPr>
        <w:t xml:space="preserve">. </w:t>
      </w:r>
    </w:p>
    <w:p w14:paraId="17AE14CA" w14:textId="77777777" w:rsidR="00AF060A" w:rsidRPr="00D755E7" w:rsidRDefault="00AF060A" w:rsidP="00AF060A">
      <w:pPr>
        <w:suppressAutoHyphens/>
        <w:rPr>
          <w:rFonts w:ascii="Arial" w:hAnsi="Arial" w:cs="Arial"/>
          <w:sz w:val="36"/>
          <w:szCs w:val="36"/>
        </w:rPr>
      </w:pPr>
    </w:p>
    <w:p w14:paraId="0C6043E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419C96F" w14:textId="77777777" w:rsidR="00AF1157" w:rsidRPr="007A5D4B" w:rsidRDefault="00AF1157" w:rsidP="00D73D2D">
      <w:pPr>
        <w:suppressAutoHyphens/>
        <w:ind w:left="480" w:hanging="480"/>
        <w:rPr>
          <w:rFonts w:ascii="Arial" w:hAnsi="Arial" w:cs="Arial"/>
          <w:sz w:val="22"/>
          <w:szCs w:val="22"/>
        </w:rPr>
      </w:pPr>
    </w:p>
    <w:p w14:paraId="6EE25C80" w14:textId="7C5A5188" w:rsidR="00BB3833" w:rsidRDefault="00BB3833" w:rsidP="004D086A">
      <w:pPr>
        <w:suppressAutoHyphens/>
        <w:ind w:left="360"/>
        <w:rPr>
          <w:rFonts w:ascii="Arial" w:hAnsi="Arial" w:cs="Arial"/>
          <w:sz w:val="22"/>
          <w:szCs w:val="22"/>
        </w:rPr>
      </w:pPr>
      <w:r>
        <w:rPr>
          <w:rFonts w:ascii="Arial" w:hAnsi="Arial" w:cs="Arial"/>
          <w:sz w:val="22"/>
          <w:szCs w:val="22"/>
        </w:rPr>
        <w:t xml:space="preserve">TTB uses portions of the information gathered by this collection to compile a generalized quarterly report regarding the total amount of FAET collected.  However, no individual taxpayer or amount of FAET paid by an individual taxpayer is identifiable in these reports (see </w:t>
      </w:r>
      <w:r w:rsidRPr="00BB3833">
        <w:rPr>
          <w:rFonts w:ascii="Arial" w:hAnsi="Arial" w:cs="Arial"/>
          <w:i/>
          <w:sz w:val="22"/>
          <w:szCs w:val="22"/>
        </w:rPr>
        <w:t>https://www.ttb.gov/tax_audit/tax_collections.shtml</w:t>
      </w:r>
      <w:r>
        <w:rPr>
          <w:rFonts w:ascii="Arial" w:hAnsi="Arial" w:cs="Arial"/>
          <w:sz w:val="22"/>
          <w:szCs w:val="22"/>
        </w:rPr>
        <w:t xml:space="preserve">). </w:t>
      </w:r>
    </w:p>
    <w:p w14:paraId="72F3BEF4" w14:textId="77777777" w:rsidR="00AF1157" w:rsidRPr="00D755E7" w:rsidRDefault="00AF1157" w:rsidP="00D73D2D">
      <w:pPr>
        <w:suppressAutoHyphens/>
        <w:rPr>
          <w:rFonts w:ascii="Arial" w:hAnsi="Arial" w:cs="Arial"/>
          <w:sz w:val="36"/>
          <w:szCs w:val="36"/>
        </w:rPr>
      </w:pPr>
    </w:p>
    <w:p w14:paraId="0BF196FF"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4E3A6DF5" w14:textId="77777777" w:rsidR="00AF1157" w:rsidRPr="007A5D4B" w:rsidRDefault="00AF1157" w:rsidP="00D73D2D">
      <w:pPr>
        <w:suppressAutoHyphens/>
        <w:rPr>
          <w:rFonts w:ascii="Arial" w:hAnsi="Arial" w:cs="Arial"/>
          <w:sz w:val="22"/>
          <w:szCs w:val="22"/>
        </w:rPr>
      </w:pPr>
    </w:p>
    <w:p w14:paraId="3299281F" w14:textId="77777777" w:rsidR="00AF1157" w:rsidRDefault="00014CEB" w:rsidP="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38A4F81E" w14:textId="77777777" w:rsidR="00014CEB" w:rsidRPr="00D755E7" w:rsidRDefault="00014CEB" w:rsidP="00D755E7">
      <w:pPr>
        <w:autoSpaceDE w:val="0"/>
        <w:autoSpaceDN w:val="0"/>
        <w:rPr>
          <w:rFonts w:ascii="Arial" w:hAnsi="Arial" w:cs="Arial"/>
          <w:sz w:val="36"/>
          <w:szCs w:val="36"/>
        </w:rPr>
      </w:pPr>
    </w:p>
    <w:p w14:paraId="2BCF5BFC" w14:textId="5D1DEEDC"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D089828" w14:textId="77777777" w:rsidR="00AF1157" w:rsidRPr="00FD18EE" w:rsidRDefault="00AF1157" w:rsidP="00BA1A21">
      <w:pPr>
        <w:suppressAutoHyphens/>
        <w:ind w:left="360"/>
        <w:rPr>
          <w:rFonts w:ascii="Arial" w:hAnsi="Arial" w:cs="Arial"/>
          <w:sz w:val="22"/>
          <w:szCs w:val="22"/>
        </w:rPr>
      </w:pPr>
    </w:p>
    <w:p w14:paraId="5DC2068E" w14:textId="77777777" w:rsidR="00D20C3A" w:rsidRPr="00D20C3A" w:rsidRDefault="00D20C3A" w:rsidP="00D755E7">
      <w:pPr>
        <w:spacing w:after="120"/>
        <w:ind w:left="360"/>
        <w:rPr>
          <w:rFonts w:ascii="Arial" w:hAnsi="Arial" w:cs="Arial"/>
          <w:sz w:val="22"/>
          <w:szCs w:val="22"/>
        </w:rPr>
      </w:pPr>
      <w:r w:rsidRPr="00D20C3A">
        <w:rPr>
          <w:rFonts w:ascii="Arial" w:hAnsi="Arial" w:cs="Arial"/>
          <w:sz w:val="22"/>
          <w:szCs w:val="22"/>
        </w:rPr>
        <w:t>(c)  See item 5 above</w:t>
      </w:r>
      <w:r>
        <w:rPr>
          <w:rFonts w:ascii="Arial" w:hAnsi="Arial" w:cs="Arial"/>
          <w:sz w:val="22"/>
          <w:szCs w:val="22"/>
        </w:rPr>
        <w:t xml:space="preserve">. </w:t>
      </w:r>
    </w:p>
    <w:p w14:paraId="77824F1F" w14:textId="77777777" w:rsidR="00D20C3A" w:rsidRPr="00D20C3A" w:rsidRDefault="00D20C3A" w:rsidP="00D755E7">
      <w:pPr>
        <w:spacing w:after="120"/>
        <w:ind w:left="360"/>
        <w:rPr>
          <w:rFonts w:ascii="Arial" w:hAnsi="Arial" w:cs="Arial"/>
          <w:sz w:val="22"/>
          <w:szCs w:val="22"/>
        </w:rPr>
      </w:pPr>
      <w:r w:rsidRPr="00D20C3A">
        <w:rPr>
          <w:rFonts w:ascii="Arial" w:hAnsi="Arial" w:cs="Arial"/>
          <w:sz w:val="22"/>
          <w:szCs w:val="22"/>
        </w:rPr>
        <w:t>(f)   This is not a recordkeeping requirement</w:t>
      </w:r>
      <w:r>
        <w:rPr>
          <w:rFonts w:ascii="Arial" w:hAnsi="Arial" w:cs="Arial"/>
          <w:sz w:val="22"/>
          <w:szCs w:val="22"/>
        </w:rPr>
        <w:t xml:space="preserve">. </w:t>
      </w:r>
    </w:p>
    <w:p w14:paraId="5D225AC9" w14:textId="77777777" w:rsidR="00D20C3A" w:rsidRPr="00D20C3A" w:rsidRDefault="00D20C3A" w:rsidP="00D755E7">
      <w:pPr>
        <w:spacing w:after="120"/>
        <w:ind w:left="360"/>
        <w:rPr>
          <w:rFonts w:ascii="Arial" w:hAnsi="Arial" w:cs="Arial"/>
          <w:sz w:val="22"/>
          <w:szCs w:val="22"/>
        </w:rPr>
      </w:pPr>
      <w:r w:rsidRPr="00D20C3A">
        <w:rPr>
          <w:rFonts w:ascii="Arial" w:hAnsi="Arial" w:cs="Arial"/>
          <w:sz w:val="22"/>
          <w:szCs w:val="22"/>
        </w:rPr>
        <w:t>(i)   No statistical survey methodology is involved</w:t>
      </w:r>
      <w:r>
        <w:rPr>
          <w:rFonts w:ascii="Arial" w:hAnsi="Arial" w:cs="Arial"/>
          <w:sz w:val="22"/>
          <w:szCs w:val="22"/>
        </w:rPr>
        <w:t xml:space="preserve">. </w:t>
      </w:r>
    </w:p>
    <w:p w14:paraId="0A01BB0C" w14:textId="77777777" w:rsidR="00D20C3A" w:rsidRDefault="00D20C3A" w:rsidP="00D20C3A">
      <w:pPr>
        <w:ind w:left="360"/>
        <w:rPr>
          <w:rFonts w:ascii="Arial" w:hAnsi="Arial" w:cs="Arial"/>
          <w:sz w:val="22"/>
          <w:szCs w:val="22"/>
          <w:highlight w:val="yellow"/>
        </w:rPr>
      </w:pPr>
      <w:r w:rsidRPr="00D20C3A">
        <w:rPr>
          <w:rFonts w:ascii="Arial" w:hAnsi="Arial" w:cs="Arial"/>
          <w:sz w:val="22"/>
          <w:szCs w:val="22"/>
        </w:rPr>
        <w:t>(j)   See item 3 above</w:t>
      </w:r>
      <w:r>
        <w:rPr>
          <w:rFonts w:ascii="Arial" w:hAnsi="Arial" w:cs="Arial"/>
          <w:sz w:val="22"/>
          <w:szCs w:val="22"/>
        </w:rPr>
        <w:t xml:space="preserve">. </w:t>
      </w:r>
    </w:p>
    <w:p w14:paraId="7F716FA8" w14:textId="77777777" w:rsidR="00D20C3A" w:rsidRPr="00D755E7" w:rsidRDefault="00D20C3A" w:rsidP="00D755E7">
      <w:pPr>
        <w:rPr>
          <w:rFonts w:ascii="Arial" w:hAnsi="Arial" w:cs="Arial"/>
          <w:sz w:val="36"/>
          <w:szCs w:val="36"/>
          <w:highlight w:val="yellow"/>
        </w:rPr>
      </w:pPr>
    </w:p>
    <w:p w14:paraId="3DD577FE" w14:textId="77777777" w:rsidR="00E115FD" w:rsidRPr="00D755E7" w:rsidRDefault="00E115FD" w:rsidP="00D73D2D">
      <w:pPr>
        <w:rPr>
          <w:rFonts w:ascii="Arial" w:hAnsi="Arial" w:cs="Arial"/>
          <w:sz w:val="36"/>
          <w:szCs w:val="36"/>
        </w:rPr>
      </w:pPr>
    </w:p>
    <w:p w14:paraId="41691DC5"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78A7E7E1" w14:textId="77777777" w:rsidR="00BD3333" w:rsidRPr="007A5D4B" w:rsidRDefault="00BD3333" w:rsidP="00D73D2D">
      <w:pPr>
        <w:pStyle w:val="Header"/>
        <w:tabs>
          <w:tab w:val="clear" w:pos="4320"/>
          <w:tab w:val="clear" w:pos="8640"/>
        </w:tabs>
        <w:rPr>
          <w:rFonts w:ascii="Arial" w:hAnsi="Arial" w:cs="Arial"/>
          <w:sz w:val="22"/>
          <w:szCs w:val="22"/>
        </w:rPr>
      </w:pPr>
    </w:p>
    <w:p w14:paraId="5C77905B"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71E9E95E" w14:textId="77777777" w:rsidR="00AF1157" w:rsidRDefault="00AF1157" w:rsidP="00D73D2D">
      <w:pPr>
        <w:suppressAutoHyphens/>
        <w:rPr>
          <w:rFonts w:ascii="Arial" w:hAnsi="Arial" w:cs="Arial"/>
          <w:sz w:val="22"/>
          <w:szCs w:val="22"/>
        </w:rPr>
      </w:pPr>
    </w:p>
    <w:p w14:paraId="35AAB415" w14:textId="77777777" w:rsidR="00BA1A21" w:rsidRDefault="00BA1A21" w:rsidP="00D73D2D">
      <w:pPr>
        <w:suppressAutoHyphens/>
        <w:rPr>
          <w:rFonts w:ascii="Arial" w:hAnsi="Arial" w:cs="Arial"/>
          <w:sz w:val="22"/>
          <w:szCs w:val="22"/>
        </w:rPr>
      </w:pPr>
    </w:p>
    <w:sectPr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208AF" w14:textId="77777777" w:rsidR="00D12EEF" w:rsidRDefault="00D12EEF">
      <w:r>
        <w:separator/>
      </w:r>
    </w:p>
  </w:endnote>
  <w:endnote w:type="continuationSeparator" w:id="0">
    <w:p w14:paraId="1EF582E8" w14:textId="77777777" w:rsidR="00D12EEF" w:rsidRDefault="00D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26F13" w14:textId="31BE801F" w:rsidR="00D12EEF" w:rsidRPr="007A5D4B" w:rsidRDefault="00D12EEF" w:rsidP="0017710F">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1513–0094 Supporting Statement (06–2017</w:t>
    </w:r>
    <w:r w:rsidR="00DF0C44">
      <w:rPr>
        <w:rFonts w:ascii="Arial" w:hAnsi="Arial" w:cs="Arial"/>
        <w:sz w:val="20"/>
        <w:szCs w:val="20"/>
      </w:rPr>
      <w:t xml:space="preserve"> Final</w:t>
    </w:r>
    <w:r>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6F22" w14:textId="2CE03E30" w:rsidR="00D12EEF" w:rsidRPr="007A5D4B" w:rsidRDefault="00D12EEF" w:rsidP="0017710F">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1513–0094 Supporting Statement (06–2017</w:t>
    </w:r>
    <w:r w:rsidR="00DF0C44">
      <w:rPr>
        <w:rFonts w:ascii="Arial" w:hAnsi="Arial" w:cs="Arial"/>
        <w:sz w:val="20"/>
        <w:szCs w:val="20"/>
      </w:rPr>
      <w:t xml:space="preserve"> Final</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89F81" w14:textId="77777777" w:rsidR="00D12EEF" w:rsidRDefault="00D12EEF">
      <w:r>
        <w:separator/>
      </w:r>
    </w:p>
  </w:footnote>
  <w:footnote w:type="continuationSeparator" w:id="0">
    <w:p w14:paraId="72CAB109" w14:textId="77777777" w:rsidR="00D12EEF" w:rsidRDefault="00D12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C073" w14:textId="77777777" w:rsidR="00D12EEF" w:rsidRPr="007A5D4B" w:rsidRDefault="00D12EE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F0C44">
      <w:rPr>
        <w:rStyle w:val="PageNumber"/>
        <w:rFonts w:ascii="Arial" w:hAnsi="Arial" w:cs="Arial"/>
        <w:noProof/>
        <w:sz w:val="22"/>
        <w:szCs w:val="22"/>
      </w:rPr>
      <w:t>3</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802A" w14:textId="77777777" w:rsidR="00D12EEF" w:rsidRPr="007A5D4B" w:rsidRDefault="00D12EE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64CA5"/>
    <w:multiLevelType w:val="hybridMultilevel"/>
    <w:tmpl w:val="F0BE5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AE9"/>
    <w:rsid w:val="00012E43"/>
    <w:rsid w:val="00013DFF"/>
    <w:rsid w:val="00014CEB"/>
    <w:rsid w:val="000223A4"/>
    <w:rsid w:val="0003032C"/>
    <w:rsid w:val="000329F4"/>
    <w:rsid w:val="000338FB"/>
    <w:rsid w:val="0004283F"/>
    <w:rsid w:val="0004708F"/>
    <w:rsid w:val="000473AC"/>
    <w:rsid w:val="0004764C"/>
    <w:rsid w:val="00052367"/>
    <w:rsid w:val="000666DF"/>
    <w:rsid w:val="0007392F"/>
    <w:rsid w:val="00074898"/>
    <w:rsid w:val="000847CD"/>
    <w:rsid w:val="00091E04"/>
    <w:rsid w:val="00095F53"/>
    <w:rsid w:val="0009733E"/>
    <w:rsid w:val="000A2E33"/>
    <w:rsid w:val="000A4E1A"/>
    <w:rsid w:val="000B3E08"/>
    <w:rsid w:val="000D1F05"/>
    <w:rsid w:val="000D6313"/>
    <w:rsid w:val="000E0DF1"/>
    <w:rsid w:val="000E5AEA"/>
    <w:rsid w:val="001012CC"/>
    <w:rsid w:val="00101DE7"/>
    <w:rsid w:val="00103986"/>
    <w:rsid w:val="00120201"/>
    <w:rsid w:val="00134363"/>
    <w:rsid w:val="001608E4"/>
    <w:rsid w:val="0017710F"/>
    <w:rsid w:val="001E621E"/>
    <w:rsid w:val="001E7BDE"/>
    <w:rsid w:val="0022156B"/>
    <w:rsid w:val="00223541"/>
    <w:rsid w:val="00231730"/>
    <w:rsid w:val="00250066"/>
    <w:rsid w:val="00254DC6"/>
    <w:rsid w:val="00273CEE"/>
    <w:rsid w:val="00276081"/>
    <w:rsid w:val="00286368"/>
    <w:rsid w:val="00291542"/>
    <w:rsid w:val="002A184B"/>
    <w:rsid w:val="002B47FB"/>
    <w:rsid w:val="002C55BB"/>
    <w:rsid w:val="002D1324"/>
    <w:rsid w:val="002E6145"/>
    <w:rsid w:val="002F205A"/>
    <w:rsid w:val="0033260C"/>
    <w:rsid w:val="00352085"/>
    <w:rsid w:val="00352CAE"/>
    <w:rsid w:val="00381088"/>
    <w:rsid w:val="00381FFC"/>
    <w:rsid w:val="0038747C"/>
    <w:rsid w:val="00396FE7"/>
    <w:rsid w:val="003D3C37"/>
    <w:rsid w:val="003E1F93"/>
    <w:rsid w:val="00405E85"/>
    <w:rsid w:val="00411ECA"/>
    <w:rsid w:val="00416C2F"/>
    <w:rsid w:val="004220A5"/>
    <w:rsid w:val="00425C6C"/>
    <w:rsid w:val="0044522E"/>
    <w:rsid w:val="00447B6B"/>
    <w:rsid w:val="004517A4"/>
    <w:rsid w:val="00467185"/>
    <w:rsid w:val="004714D9"/>
    <w:rsid w:val="00472277"/>
    <w:rsid w:val="0047416C"/>
    <w:rsid w:val="004A3DE5"/>
    <w:rsid w:val="004D086A"/>
    <w:rsid w:val="004D1808"/>
    <w:rsid w:val="004D3468"/>
    <w:rsid w:val="004D4299"/>
    <w:rsid w:val="004E2C89"/>
    <w:rsid w:val="004F62C7"/>
    <w:rsid w:val="0050368E"/>
    <w:rsid w:val="00521379"/>
    <w:rsid w:val="005278E4"/>
    <w:rsid w:val="00531849"/>
    <w:rsid w:val="00536D29"/>
    <w:rsid w:val="0056137D"/>
    <w:rsid w:val="005A6AF2"/>
    <w:rsid w:val="005B0485"/>
    <w:rsid w:val="005C282B"/>
    <w:rsid w:val="005E4F99"/>
    <w:rsid w:val="005E4F9B"/>
    <w:rsid w:val="005E762F"/>
    <w:rsid w:val="00616D37"/>
    <w:rsid w:val="0062065D"/>
    <w:rsid w:val="006244FF"/>
    <w:rsid w:val="00631780"/>
    <w:rsid w:val="006474FC"/>
    <w:rsid w:val="00657DE6"/>
    <w:rsid w:val="00663972"/>
    <w:rsid w:val="0069718A"/>
    <w:rsid w:val="006A35C6"/>
    <w:rsid w:val="006A793C"/>
    <w:rsid w:val="006F2142"/>
    <w:rsid w:val="00721C76"/>
    <w:rsid w:val="00723842"/>
    <w:rsid w:val="00734B25"/>
    <w:rsid w:val="00736DD6"/>
    <w:rsid w:val="007A5D4B"/>
    <w:rsid w:val="007B4E08"/>
    <w:rsid w:val="007C6915"/>
    <w:rsid w:val="007D0CC0"/>
    <w:rsid w:val="007D5727"/>
    <w:rsid w:val="007D577A"/>
    <w:rsid w:val="007E2BE5"/>
    <w:rsid w:val="007E57D5"/>
    <w:rsid w:val="007F14C5"/>
    <w:rsid w:val="007F40E3"/>
    <w:rsid w:val="007F41DA"/>
    <w:rsid w:val="00804B0C"/>
    <w:rsid w:val="00811A04"/>
    <w:rsid w:val="00827956"/>
    <w:rsid w:val="0082797A"/>
    <w:rsid w:val="00844290"/>
    <w:rsid w:val="00846305"/>
    <w:rsid w:val="008537B2"/>
    <w:rsid w:val="008603B9"/>
    <w:rsid w:val="00861033"/>
    <w:rsid w:val="008B146B"/>
    <w:rsid w:val="008C399F"/>
    <w:rsid w:val="008E2DD6"/>
    <w:rsid w:val="008F090B"/>
    <w:rsid w:val="009025C5"/>
    <w:rsid w:val="0096457D"/>
    <w:rsid w:val="00965E7F"/>
    <w:rsid w:val="00982C75"/>
    <w:rsid w:val="00990985"/>
    <w:rsid w:val="00997C68"/>
    <w:rsid w:val="009A1340"/>
    <w:rsid w:val="009A1CD5"/>
    <w:rsid w:val="009A21AC"/>
    <w:rsid w:val="009A6532"/>
    <w:rsid w:val="009C0AB2"/>
    <w:rsid w:val="009D1BA5"/>
    <w:rsid w:val="009D4F28"/>
    <w:rsid w:val="009E496B"/>
    <w:rsid w:val="009E4E4C"/>
    <w:rsid w:val="00A018C6"/>
    <w:rsid w:val="00A07E7E"/>
    <w:rsid w:val="00A15147"/>
    <w:rsid w:val="00A17E04"/>
    <w:rsid w:val="00A265EC"/>
    <w:rsid w:val="00A37D1B"/>
    <w:rsid w:val="00A47141"/>
    <w:rsid w:val="00A621BB"/>
    <w:rsid w:val="00A95AB7"/>
    <w:rsid w:val="00AA3F8F"/>
    <w:rsid w:val="00AA6881"/>
    <w:rsid w:val="00AB4A0A"/>
    <w:rsid w:val="00AB7E76"/>
    <w:rsid w:val="00AC686F"/>
    <w:rsid w:val="00AC6C42"/>
    <w:rsid w:val="00AD4166"/>
    <w:rsid w:val="00AE4EBB"/>
    <w:rsid w:val="00AF060A"/>
    <w:rsid w:val="00AF1157"/>
    <w:rsid w:val="00B00BF7"/>
    <w:rsid w:val="00B23FF6"/>
    <w:rsid w:val="00B25D2D"/>
    <w:rsid w:val="00B27EE1"/>
    <w:rsid w:val="00B31E02"/>
    <w:rsid w:val="00B42903"/>
    <w:rsid w:val="00B54151"/>
    <w:rsid w:val="00B72AC4"/>
    <w:rsid w:val="00B84DBB"/>
    <w:rsid w:val="00B95061"/>
    <w:rsid w:val="00BA1A21"/>
    <w:rsid w:val="00BB3833"/>
    <w:rsid w:val="00BB67E5"/>
    <w:rsid w:val="00BC1D1F"/>
    <w:rsid w:val="00BD3333"/>
    <w:rsid w:val="00BE3C19"/>
    <w:rsid w:val="00BE784B"/>
    <w:rsid w:val="00BF0328"/>
    <w:rsid w:val="00C1362D"/>
    <w:rsid w:val="00C20646"/>
    <w:rsid w:val="00C271EA"/>
    <w:rsid w:val="00C71838"/>
    <w:rsid w:val="00C924BF"/>
    <w:rsid w:val="00CA07BF"/>
    <w:rsid w:val="00CA7E3C"/>
    <w:rsid w:val="00CC1E71"/>
    <w:rsid w:val="00CC2DE7"/>
    <w:rsid w:val="00CC43A6"/>
    <w:rsid w:val="00D004D6"/>
    <w:rsid w:val="00D01AA2"/>
    <w:rsid w:val="00D03A61"/>
    <w:rsid w:val="00D12EEF"/>
    <w:rsid w:val="00D20C3A"/>
    <w:rsid w:val="00D414AB"/>
    <w:rsid w:val="00D50640"/>
    <w:rsid w:val="00D56B01"/>
    <w:rsid w:val="00D6325C"/>
    <w:rsid w:val="00D656EA"/>
    <w:rsid w:val="00D73D2D"/>
    <w:rsid w:val="00D742EE"/>
    <w:rsid w:val="00D755E7"/>
    <w:rsid w:val="00D76DF0"/>
    <w:rsid w:val="00D93BE5"/>
    <w:rsid w:val="00DA29D8"/>
    <w:rsid w:val="00DC164C"/>
    <w:rsid w:val="00DD1D06"/>
    <w:rsid w:val="00DF0C44"/>
    <w:rsid w:val="00DF5F98"/>
    <w:rsid w:val="00E115FD"/>
    <w:rsid w:val="00E277B9"/>
    <w:rsid w:val="00E323CD"/>
    <w:rsid w:val="00E41ED9"/>
    <w:rsid w:val="00E45CBA"/>
    <w:rsid w:val="00E56E11"/>
    <w:rsid w:val="00E86B1B"/>
    <w:rsid w:val="00E95C5F"/>
    <w:rsid w:val="00EB165F"/>
    <w:rsid w:val="00EB5169"/>
    <w:rsid w:val="00EC2696"/>
    <w:rsid w:val="00EC4FC3"/>
    <w:rsid w:val="00ED4A03"/>
    <w:rsid w:val="00ED7233"/>
    <w:rsid w:val="00EE4237"/>
    <w:rsid w:val="00F03208"/>
    <w:rsid w:val="00F058FA"/>
    <w:rsid w:val="00F40915"/>
    <w:rsid w:val="00F53614"/>
    <w:rsid w:val="00F618E0"/>
    <w:rsid w:val="00F71414"/>
    <w:rsid w:val="00F7466E"/>
    <w:rsid w:val="00F95884"/>
    <w:rsid w:val="00F95A6D"/>
    <w:rsid w:val="00FA228E"/>
    <w:rsid w:val="00FA2C9C"/>
    <w:rsid w:val="00FA5C87"/>
    <w:rsid w:val="00FD18EE"/>
    <w:rsid w:val="00FE0E8F"/>
    <w:rsid w:val="00FE1349"/>
    <w:rsid w:val="00FE29D6"/>
    <w:rsid w:val="00FE4722"/>
    <w:rsid w:val="00FF0C74"/>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E266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6474FC"/>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336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11089A90.dotm</Template>
  <TotalTime>0</TotalTime>
  <Pages>6</Pages>
  <Words>2416</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Links>
    <vt:vector size="12" baseType="variant">
      <vt:variant>
        <vt:i4>5111890</vt:i4>
      </vt:variant>
      <vt:variant>
        <vt:i4>3</vt:i4>
      </vt:variant>
      <vt:variant>
        <vt:i4>0</vt:i4>
      </vt:variant>
      <vt:variant>
        <vt:i4>5</vt:i4>
      </vt:variant>
      <vt:variant>
        <vt:lpwstr>http://www.ttb.gov/foia/pia.shtml</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2017-06-26T14:46:00Z</dcterms:created>
  <dcterms:modified xsi:type="dcterms:W3CDTF">2017-06-26T14:56:00Z</dcterms:modified>
</cp:coreProperties>
</file>