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E0" w:rsidRDefault="00525CE0" w:rsidP="00254A4A">
      <w:pPr>
        <w:pStyle w:val="Title"/>
        <w:rPr>
          <w:caps/>
        </w:rPr>
      </w:pPr>
      <w:bookmarkStart w:id="0" w:name="_GoBack"/>
      <w:bookmarkEnd w:id="0"/>
      <w:r>
        <w:rPr>
          <w:caps/>
        </w:rPr>
        <w:t>Supporting Statement</w:t>
      </w:r>
    </w:p>
    <w:p w:rsidR="00805BF1" w:rsidRDefault="00805BF1" w:rsidP="00254A4A">
      <w:pPr>
        <w:pStyle w:val="Title"/>
        <w:rPr>
          <w:b w:val="0"/>
          <w:bCs w:val="0"/>
          <w:caps/>
        </w:rPr>
      </w:pPr>
    </w:p>
    <w:p w:rsidR="00717CDA" w:rsidRDefault="00805BF1" w:rsidP="00254A4A">
      <w:pPr>
        <w:pStyle w:val="Title"/>
        <w:rPr>
          <w:snapToGrid w:val="0"/>
        </w:rPr>
      </w:pPr>
      <w:r>
        <w:rPr>
          <w:snapToGrid w:val="0"/>
        </w:rPr>
        <w:t xml:space="preserve">Advanced Capital Adequacy Framework </w:t>
      </w:r>
    </w:p>
    <w:p w:rsidR="00561A8D" w:rsidRDefault="00805BF1" w:rsidP="00254A4A">
      <w:pPr>
        <w:pStyle w:val="Title"/>
        <w:rPr>
          <w:snapToGrid w:val="0"/>
        </w:rPr>
      </w:pPr>
      <w:r>
        <w:rPr>
          <w:snapToGrid w:val="0"/>
        </w:rPr>
        <w:t>Regulatory Reporting Requirements</w:t>
      </w:r>
    </w:p>
    <w:p w:rsidR="00717CDA" w:rsidRDefault="00717CDA" w:rsidP="00254A4A">
      <w:pPr>
        <w:pStyle w:val="Title"/>
        <w:rPr>
          <w:snapToGrid w:val="0"/>
        </w:rPr>
      </w:pPr>
    </w:p>
    <w:p w:rsidR="00805BF1" w:rsidRDefault="00561A8D" w:rsidP="00254A4A">
      <w:pPr>
        <w:pStyle w:val="Title"/>
      </w:pPr>
      <w:r>
        <w:rPr>
          <w:snapToGrid w:val="0"/>
        </w:rPr>
        <w:t>FFIEC 101</w:t>
      </w:r>
      <w:r w:rsidR="00805BF1">
        <w:t xml:space="preserve"> </w:t>
      </w:r>
    </w:p>
    <w:p w:rsidR="00805BF1" w:rsidRDefault="00805BF1" w:rsidP="00254A4A">
      <w:pPr>
        <w:pStyle w:val="Title"/>
      </w:pPr>
    </w:p>
    <w:p w:rsidR="00684677" w:rsidRDefault="0060764D" w:rsidP="00254A4A">
      <w:pPr>
        <w:pStyle w:val="Title"/>
      </w:pPr>
      <w:r>
        <w:t>OMB Control No. 1557-0239</w:t>
      </w:r>
    </w:p>
    <w:p w:rsidR="00525CE0" w:rsidRDefault="00525CE0" w:rsidP="00254A4A">
      <w:pPr>
        <w:rPr>
          <w:b/>
          <w:bCs/>
        </w:rPr>
      </w:pPr>
    </w:p>
    <w:p w:rsidR="00CF2A4E" w:rsidRPr="00461F90" w:rsidRDefault="00CF2A4E" w:rsidP="00CF2A4E">
      <w:pPr>
        <w:autoSpaceDE w:val="0"/>
        <w:autoSpaceDN w:val="0"/>
        <w:rPr>
          <w:rFonts w:eastAsiaTheme="minorHAnsi"/>
          <w:szCs w:val="22"/>
        </w:rPr>
      </w:pPr>
      <w:r w:rsidRPr="00461F90">
        <w:rPr>
          <w:rFonts w:eastAsiaTheme="minorHAnsi"/>
          <w:szCs w:val="22"/>
        </w:rPr>
        <w:t xml:space="preserve">On </w:t>
      </w:r>
      <w:r w:rsidR="009A3521">
        <w:rPr>
          <w:rFonts w:eastAsiaTheme="minorHAnsi"/>
          <w:szCs w:val="22"/>
        </w:rPr>
        <w:t>March 1, 2017</w:t>
      </w:r>
      <w:r w:rsidRPr="00461F90">
        <w:rPr>
          <w:rFonts w:eastAsiaTheme="minorHAnsi"/>
          <w:szCs w:val="22"/>
        </w:rPr>
        <w:t xml:space="preserve">, the agencies published a notice in the </w:t>
      </w:r>
      <w:r w:rsidRPr="00461F90">
        <w:rPr>
          <w:rFonts w:eastAsiaTheme="minorHAnsi"/>
          <w:b/>
          <w:bCs/>
          <w:szCs w:val="22"/>
        </w:rPr>
        <w:t xml:space="preserve">Federal Register </w:t>
      </w:r>
      <w:r w:rsidRPr="00461F90">
        <w:rPr>
          <w:rFonts w:eastAsiaTheme="minorHAnsi"/>
          <w:szCs w:val="22"/>
        </w:rPr>
        <w:t>(</w:t>
      </w:r>
      <w:r w:rsidR="009A3521" w:rsidRPr="00461F90">
        <w:rPr>
          <w:rFonts w:eastAsiaTheme="minorHAnsi"/>
          <w:szCs w:val="22"/>
        </w:rPr>
        <w:t>8</w:t>
      </w:r>
      <w:r w:rsidR="009A3521">
        <w:rPr>
          <w:rFonts w:eastAsiaTheme="minorHAnsi"/>
          <w:szCs w:val="22"/>
        </w:rPr>
        <w:t>2</w:t>
      </w:r>
      <w:r w:rsidR="009A3521" w:rsidRPr="00461F90">
        <w:rPr>
          <w:rFonts w:eastAsiaTheme="minorHAnsi"/>
          <w:szCs w:val="22"/>
        </w:rPr>
        <w:t xml:space="preserve"> </w:t>
      </w:r>
      <w:r w:rsidRPr="00461F90">
        <w:rPr>
          <w:rFonts w:eastAsiaTheme="minorHAnsi"/>
          <w:szCs w:val="22"/>
        </w:rPr>
        <w:t xml:space="preserve">FR </w:t>
      </w:r>
      <w:r w:rsidR="009A3521">
        <w:rPr>
          <w:rFonts w:eastAsiaTheme="minorHAnsi"/>
          <w:szCs w:val="22"/>
        </w:rPr>
        <w:t>12274</w:t>
      </w:r>
      <w:r w:rsidRPr="00461F90">
        <w:rPr>
          <w:rFonts w:eastAsiaTheme="minorHAnsi"/>
          <w:szCs w:val="22"/>
        </w:rPr>
        <w:t xml:space="preserve">) proposing to modify </w:t>
      </w:r>
      <w:r>
        <w:rPr>
          <w:rFonts w:eastAsiaTheme="minorHAnsi"/>
          <w:szCs w:val="22"/>
        </w:rPr>
        <w:t xml:space="preserve">and extend </w:t>
      </w:r>
      <w:r w:rsidRPr="00461F90">
        <w:rPr>
          <w:rFonts w:eastAsiaTheme="minorHAnsi"/>
          <w:szCs w:val="22"/>
        </w:rPr>
        <w:t xml:space="preserve">the FFIEC </w:t>
      </w:r>
      <w:r>
        <w:rPr>
          <w:rFonts w:eastAsiaTheme="minorHAnsi"/>
          <w:szCs w:val="22"/>
        </w:rPr>
        <w:t>101</w:t>
      </w:r>
      <w:r w:rsidRPr="00461F90">
        <w:rPr>
          <w:rFonts w:eastAsiaTheme="minorHAnsi"/>
          <w:szCs w:val="22"/>
        </w:rPr>
        <w:t xml:space="preserve"> reporting form by </w:t>
      </w:r>
      <w:r w:rsidR="009A3521">
        <w:rPr>
          <w:rFonts w:eastAsiaTheme="minorHAnsi"/>
          <w:szCs w:val="22"/>
        </w:rPr>
        <w:t xml:space="preserve">removing </w:t>
      </w:r>
      <w:r w:rsidR="001553AF">
        <w:rPr>
          <w:rFonts w:eastAsiaTheme="minorHAnsi"/>
          <w:szCs w:val="22"/>
        </w:rPr>
        <w:t>two items related to reporting of credit valuation adjustments (CVA) and exposure at default (EAD), as the agencies no longer need banks to report this information in those items</w:t>
      </w:r>
      <w:r w:rsidRPr="00461F90">
        <w:rPr>
          <w:rFonts w:eastAsiaTheme="minorHAnsi"/>
          <w:szCs w:val="22"/>
        </w:rPr>
        <w:t xml:space="preserve">. If approved, the revisions would be effective beginning with the September 30, </w:t>
      </w:r>
      <w:r w:rsidR="001553AF" w:rsidRPr="00461F90">
        <w:rPr>
          <w:rFonts w:eastAsiaTheme="minorHAnsi"/>
          <w:szCs w:val="22"/>
        </w:rPr>
        <w:t>201</w:t>
      </w:r>
      <w:r w:rsidR="001553AF">
        <w:rPr>
          <w:rFonts w:eastAsiaTheme="minorHAnsi"/>
          <w:szCs w:val="22"/>
        </w:rPr>
        <w:t>7</w:t>
      </w:r>
      <w:r w:rsidR="001553AF" w:rsidRPr="00461F90">
        <w:rPr>
          <w:rFonts w:eastAsiaTheme="minorHAnsi"/>
          <w:szCs w:val="22"/>
        </w:rPr>
        <w:t xml:space="preserve"> </w:t>
      </w:r>
      <w:r w:rsidRPr="00461F90">
        <w:rPr>
          <w:rFonts w:eastAsiaTheme="minorHAnsi"/>
          <w:szCs w:val="22"/>
        </w:rPr>
        <w:t xml:space="preserve">report. The agencies received </w:t>
      </w:r>
      <w:r>
        <w:rPr>
          <w:rFonts w:eastAsiaTheme="minorHAnsi"/>
          <w:szCs w:val="22"/>
        </w:rPr>
        <w:t>no comments on the proposed changes</w:t>
      </w:r>
      <w:r w:rsidRPr="00461F90">
        <w:rPr>
          <w:rFonts w:eastAsiaTheme="minorHAnsi"/>
          <w:szCs w:val="22"/>
        </w:rPr>
        <w:t>.</w:t>
      </w:r>
    </w:p>
    <w:p w:rsidR="00CF2A4E" w:rsidRDefault="00CF2A4E" w:rsidP="00254A4A">
      <w:pPr>
        <w:rPr>
          <w:b/>
          <w:bCs/>
        </w:rPr>
      </w:pPr>
    </w:p>
    <w:p w:rsidR="00525CE0" w:rsidRDefault="00525CE0" w:rsidP="00254A4A">
      <w:pPr>
        <w:rPr>
          <w:b/>
          <w:bCs/>
        </w:rPr>
      </w:pPr>
      <w:r>
        <w:rPr>
          <w:b/>
          <w:bCs/>
        </w:rPr>
        <w:t>A.  Justification.</w:t>
      </w:r>
    </w:p>
    <w:p w:rsidR="00525CE0" w:rsidRDefault="00525CE0" w:rsidP="00254A4A"/>
    <w:p w:rsidR="00525CE0" w:rsidRPr="00821384" w:rsidRDefault="00525CE0" w:rsidP="00254A4A">
      <w:pPr>
        <w:rPr>
          <w:b/>
          <w:bCs/>
          <w:iCs/>
        </w:rPr>
      </w:pPr>
      <w:r w:rsidRPr="00821384">
        <w:rPr>
          <w:b/>
          <w:bCs/>
          <w:iCs/>
        </w:rPr>
        <w:t>1.  Circumstances that make the collection necessary:</w:t>
      </w:r>
    </w:p>
    <w:p w:rsidR="006239ED" w:rsidRPr="006239ED" w:rsidRDefault="006239ED" w:rsidP="00254A4A"/>
    <w:p w:rsidR="00142550" w:rsidRDefault="00E02055" w:rsidP="00254A4A">
      <w:pPr>
        <w:rPr>
          <w:snapToGrid w:val="0"/>
          <w:szCs w:val="24"/>
        </w:rPr>
      </w:pPr>
      <w:r>
        <w:rPr>
          <w:snapToGrid w:val="0"/>
        </w:rPr>
        <w:tab/>
      </w:r>
      <w:r w:rsidR="00F02598">
        <w:rPr>
          <w:snapToGrid w:val="0"/>
        </w:rPr>
        <w:t xml:space="preserve">The OCC is charged with assuring the safety and soundness of national banks and Federal savings associations. (12 U.S.C. 1). </w:t>
      </w:r>
      <w:r w:rsidR="004500A9">
        <w:rPr>
          <w:snapToGrid w:val="0"/>
        </w:rPr>
        <w:t xml:space="preserve"> In carrying out those duties, banks must submit information to the OCC: </w:t>
      </w:r>
      <w:r w:rsidR="00142550">
        <w:rPr>
          <w:snapToGrid w:val="0"/>
          <w:szCs w:val="24"/>
        </w:rPr>
        <w:t xml:space="preserve">12 U.S.C. 161 (national banks) </w:t>
      </w:r>
      <w:r w:rsidR="00142550" w:rsidRPr="00142550">
        <w:rPr>
          <w:snapToGrid w:val="0"/>
          <w:szCs w:val="24"/>
        </w:rPr>
        <w:t xml:space="preserve">and 12 U.S.C. 1464 (savings associations). </w:t>
      </w:r>
      <w:r w:rsidR="004500A9">
        <w:rPr>
          <w:snapToGrid w:val="0"/>
          <w:szCs w:val="24"/>
        </w:rPr>
        <w:t xml:space="preserve">The OCC uses this information to </w:t>
      </w:r>
      <w:r w:rsidR="004500A9">
        <w:t>assess and monitor the levels and components of each bank’s risk-based capital requirements and the adequacy of the entity’s capital under the Advanced Capital Adequacy Framework, which is a significant component of a bank’s safety and soundness.</w:t>
      </w:r>
    </w:p>
    <w:p w:rsidR="00525CE0" w:rsidRPr="003B11EF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2.  Use of the information:</w:t>
      </w:r>
    </w:p>
    <w:p w:rsidR="00525CE0" w:rsidRDefault="00525CE0" w:rsidP="00254A4A">
      <w:pPr>
        <w:pStyle w:val="Footer"/>
        <w:tabs>
          <w:tab w:val="clear" w:pos="4320"/>
          <w:tab w:val="clear" w:pos="8640"/>
        </w:tabs>
      </w:pPr>
    </w:p>
    <w:p w:rsidR="006215F5" w:rsidRDefault="006215F5" w:rsidP="00254A4A">
      <w:pPr>
        <w:pStyle w:val="Footer"/>
        <w:tabs>
          <w:tab w:val="clear" w:pos="4320"/>
          <w:tab w:val="clear" w:pos="8640"/>
        </w:tabs>
      </w:pPr>
      <w:r>
        <w:tab/>
        <w:t>The OCC use</w:t>
      </w:r>
      <w:r w:rsidR="001E6D66">
        <w:t>s</w:t>
      </w:r>
      <w:r>
        <w:t xml:space="preserve"> the information to </w:t>
      </w:r>
      <w:r w:rsidR="006166D8">
        <w:t xml:space="preserve">assess and </w:t>
      </w:r>
      <w:r>
        <w:t xml:space="preserve">monitor </w:t>
      </w:r>
      <w:r w:rsidR="006166D8">
        <w:t xml:space="preserve">the levels and components of each bank’s risk-based capital requirements and the adequacy of the entity’s capital under the </w:t>
      </w:r>
      <w:r w:rsidR="008A1E17">
        <w:t>Advanced Capital Adequacy Framework</w:t>
      </w:r>
      <w:r w:rsidR="006166D8">
        <w:t>.  The data allow</w:t>
      </w:r>
      <w:r w:rsidR="001E6D66">
        <w:t>s</w:t>
      </w:r>
      <w:r w:rsidR="006166D8">
        <w:t xml:space="preserve"> the OCC to evaluate the quantitative impact and competitive implications of the framework on individual respondents and on the industry.</w:t>
      </w:r>
      <w:r w:rsidR="0020767E">
        <w:t xml:space="preserve">  The reporting schedules assist banks in understanding expectations surrounding the system development necessary for implementation and validation of the framework.  The data also </w:t>
      </w:r>
      <w:r w:rsidR="008A1E17">
        <w:t xml:space="preserve">improves the OCC’s ability to monitor bank activities </w:t>
      </w:r>
      <w:r w:rsidR="009E5A9D">
        <w:t>through the</w:t>
      </w:r>
      <w:r w:rsidR="0020767E">
        <w:t xml:space="preserve"> examination processes.</w:t>
      </w:r>
    </w:p>
    <w:p w:rsidR="00E5003C" w:rsidRDefault="00E5003C" w:rsidP="00254A4A">
      <w:pPr>
        <w:pStyle w:val="Footer"/>
        <w:tabs>
          <w:tab w:val="clear" w:pos="4320"/>
          <w:tab w:val="clear" w:pos="8640"/>
        </w:tabs>
      </w:pPr>
    </w:p>
    <w:p w:rsidR="009E5A9D" w:rsidRDefault="009E5A9D" w:rsidP="00254A4A">
      <w:pPr>
        <w:pStyle w:val="Footer"/>
        <w:tabs>
          <w:tab w:val="clear" w:pos="4320"/>
          <w:tab w:val="clear" w:pos="8640"/>
        </w:tabs>
      </w:pPr>
      <w:r>
        <w:tab/>
        <w:t>The purpose of the detailed reports, identified below, is to obtain information that broadly reflects risk segments within each portfolio.  The reports enable the OCC to conduct off-site assessment of banks’ regulatory capital calculations, perform trend analyses of capital changes, conduct peer analyses of capital and risk parameters, and direct the focus of on-site examination efforts.</w:t>
      </w:r>
    </w:p>
    <w:p w:rsidR="009E5A9D" w:rsidRDefault="009E5A9D" w:rsidP="00254A4A">
      <w:pPr>
        <w:pStyle w:val="Footer"/>
        <w:tabs>
          <w:tab w:val="clear" w:pos="4320"/>
          <w:tab w:val="clear" w:pos="8640"/>
        </w:tabs>
      </w:pPr>
    </w:p>
    <w:p w:rsidR="00E5003C" w:rsidRDefault="009E5A9D" w:rsidP="00254A4A">
      <w:pPr>
        <w:pStyle w:val="Footer"/>
        <w:tabs>
          <w:tab w:val="clear" w:pos="4320"/>
          <w:tab w:val="clear" w:pos="8640"/>
        </w:tabs>
      </w:pPr>
      <w:r>
        <w:lastRenderedPageBreak/>
        <w:t xml:space="preserve">  </w:t>
      </w:r>
      <w:r w:rsidR="00E5003C">
        <w:tab/>
        <w:t xml:space="preserve">The information </w:t>
      </w:r>
      <w:r w:rsidR="001E6D66">
        <w:t>is</w:t>
      </w:r>
      <w:r w:rsidR="00E5003C">
        <w:t xml:space="preserve"> collected using the form “FFIEC 101.”  </w:t>
      </w:r>
      <w:r w:rsidR="001E6D66">
        <w:t xml:space="preserve">The </w:t>
      </w:r>
      <w:r w:rsidR="00E5003C">
        <w:t xml:space="preserve">FFIEC </w:t>
      </w:r>
      <w:r w:rsidR="00F21241">
        <w:t xml:space="preserve">101 </w:t>
      </w:r>
      <w:r w:rsidR="00E5003C">
        <w:t xml:space="preserve">contains </w:t>
      </w:r>
      <w:r w:rsidR="00F21241">
        <w:t>nineteen</w:t>
      </w:r>
      <w:r w:rsidR="00E5003C">
        <w:t xml:space="preserve"> schedules, A through </w:t>
      </w:r>
      <w:r w:rsidR="00F21241">
        <w:t>S</w:t>
      </w:r>
      <w:r w:rsidR="00E5003C">
        <w:t xml:space="preserve">, for banks to submit detailed data on the components of their capital and risk-weighted assets.  </w:t>
      </w:r>
    </w:p>
    <w:p w:rsidR="00E7290F" w:rsidRDefault="00E7290F" w:rsidP="00254A4A">
      <w:pPr>
        <w:pStyle w:val="Footer"/>
        <w:tabs>
          <w:tab w:val="clear" w:pos="4320"/>
          <w:tab w:val="clear" w:pos="8640"/>
        </w:tabs>
      </w:pPr>
    </w:p>
    <w:p w:rsidR="00F72F97" w:rsidRDefault="00E7290F" w:rsidP="00254A4A">
      <w:pPr>
        <w:pStyle w:val="Footer"/>
        <w:tabs>
          <w:tab w:val="clear" w:pos="4320"/>
          <w:tab w:val="clear" w:pos="8640"/>
        </w:tabs>
      </w:pPr>
      <w:r>
        <w:tab/>
        <w:t>Schedule A includes information about the components of Tier 1 capital, Tier 2 capital, and adjustments to regulatory capital as defined in the NPRM.  Schedule B contains:  summary information about risk-weighted assets by risk type; and, for credit risk exposures, outstanding balances and aggregated information about the drivers and estimates on which the calculation of risk-weighted assets are based.</w:t>
      </w:r>
      <w:r w:rsidR="008A1E17" w:rsidDel="008A1E17">
        <w:t xml:space="preserve"> </w:t>
      </w:r>
    </w:p>
    <w:p w:rsidR="00CF2A4E" w:rsidRDefault="00CF2A4E" w:rsidP="00254A4A">
      <w:pPr>
        <w:pStyle w:val="Footer"/>
        <w:tabs>
          <w:tab w:val="clear" w:pos="4320"/>
          <w:tab w:val="clear" w:pos="8640"/>
        </w:tabs>
      </w:pPr>
    </w:p>
    <w:p w:rsidR="00F72F97" w:rsidRDefault="00BA6A9C" w:rsidP="00254A4A">
      <w:pPr>
        <w:pStyle w:val="Footer"/>
        <w:tabs>
          <w:tab w:val="clear" w:pos="4320"/>
          <w:tab w:val="clear" w:pos="8640"/>
        </w:tabs>
      </w:pPr>
      <w:r>
        <w:tab/>
      </w:r>
      <w:r w:rsidR="00F72F97">
        <w:t>Schedules C</w:t>
      </w:r>
      <w:r w:rsidR="000126E1">
        <w:t>-</w:t>
      </w:r>
      <w:r w:rsidR="00F21241">
        <w:t>J</w:t>
      </w:r>
      <w:r w:rsidR="00F72F97">
        <w:t xml:space="preserve"> include data items within the wholesale exposure c</w:t>
      </w:r>
      <w:r w:rsidR="000126E1">
        <w:t>ategory</w:t>
      </w:r>
      <w:r w:rsidR="009E5A9D">
        <w:t xml:space="preserve"> for banks’ risk-weighted assets</w:t>
      </w:r>
      <w:r w:rsidR="000126E1">
        <w:t xml:space="preserve">.  </w:t>
      </w:r>
    </w:p>
    <w:p w:rsidR="000126E1" w:rsidRDefault="000126E1" w:rsidP="00254A4A">
      <w:pPr>
        <w:pStyle w:val="Footer"/>
        <w:tabs>
          <w:tab w:val="clear" w:pos="4320"/>
          <w:tab w:val="clear" w:pos="8640"/>
        </w:tabs>
      </w:pPr>
    </w:p>
    <w:p w:rsidR="000126E1" w:rsidRDefault="000126E1" w:rsidP="00254A4A">
      <w:pPr>
        <w:pStyle w:val="Footer"/>
        <w:tabs>
          <w:tab w:val="clear" w:pos="4320"/>
          <w:tab w:val="clear" w:pos="8640"/>
        </w:tabs>
      </w:pPr>
      <w:r>
        <w:tab/>
        <w:t xml:space="preserve">Schedules </w:t>
      </w:r>
      <w:r w:rsidR="00F21241">
        <w:t>K-O</w:t>
      </w:r>
      <w:r>
        <w:t xml:space="preserve"> are data items within the retail exposure category and each schedule represents a sub-portfolio of the retail exposure category </w:t>
      </w:r>
      <w:r w:rsidR="009E5A9D">
        <w:t>for banks’ risk-weighted assets</w:t>
      </w:r>
      <w:r>
        <w:t xml:space="preserve">.  </w:t>
      </w:r>
    </w:p>
    <w:p w:rsidR="000126E1" w:rsidRDefault="000126E1" w:rsidP="00254A4A">
      <w:pPr>
        <w:pStyle w:val="Footer"/>
        <w:tabs>
          <w:tab w:val="clear" w:pos="4320"/>
          <w:tab w:val="clear" w:pos="8640"/>
        </w:tabs>
      </w:pPr>
    </w:p>
    <w:p w:rsidR="000126E1" w:rsidRDefault="000126E1" w:rsidP="00254A4A">
      <w:pPr>
        <w:pStyle w:val="Footer"/>
        <w:tabs>
          <w:tab w:val="clear" w:pos="4320"/>
          <w:tab w:val="clear" w:pos="8640"/>
        </w:tabs>
      </w:pPr>
      <w:r>
        <w:tab/>
        <w:t xml:space="preserve">Schedules </w:t>
      </w:r>
      <w:r w:rsidR="00F21241">
        <w:t>P and Q</w:t>
      </w:r>
      <w:r>
        <w:t xml:space="preserve"> are data items within the securitization exposure class</w:t>
      </w:r>
      <w:r w:rsidR="009E5A9D">
        <w:t xml:space="preserve"> for banks’ risk-weighted assets</w:t>
      </w:r>
      <w:r>
        <w:t xml:space="preserve">.  </w:t>
      </w:r>
    </w:p>
    <w:p w:rsidR="000126E1" w:rsidRDefault="000126E1" w:rsidP="00254A4A">
      <w:pPr>
        <w:pStyle w:val="Footer"/>
        <w:tabs>
          <w:tab w:val="clear" w:pos="4320"/>
          <w:tab w:val="clear" w:pos="8640"/>
        </w:tabs>
      </w:pPr>
    </w:p>
    <w:p w:rsidR="000126E1" w:rsidRDefault="000126E1" w:rsidP="00254A4A">
      <w:pPr>
        <w:pStyle w:val="Footer"/>
        <w:tabs>
          <w:tab w:val="clear" w:pos="4320"/>
          <w:tab w:val="clear" w:pos="8640"/>
        </w:tabs>
      </w:pPr>
      <w:r>
        <w:tab/>
        <w:t xml:space="preserve">Schedule </w:t>
      </w:r>
      <w:r w:rsidR="00F21241">
        <w:t>R</w:t>
      </w:r>
      <w:r>
        <w:t xml:space="preserve"> provides:  information about a bank’s equity exposures by type of exposure and by approach to measuring required capital; and information on equity exposures subject to specific weights and equity exposures to investment funds.  </w:t>
      </w:r>
    </w:p>
    <w:p w:rsidR="000126E1" w:rsidRDefault="000126E1" w:rsidP="00254A4A">
      <w:pPr>
        <w:pStyle w:val="Footer"/>
        <w:tabs>
          <w:tab w:val="clear" w:pos="4320"/>
          <w:tab w:val="clear" w:pos="8640"/>
        </w:tabs>
      </w:pPr>
    </w:p>
    <w:p w:rsidR="00727A07" w:rsidRDefault="000126E1" w:rsidP="00254A4A">
      <w:pPr>
        <w:pStyle w:val="Footer"/>
        <w:tabs>
          <w:tab w:val="clear" w:pos="4320"/>
          <w:tab w:val="clear" w:pos="8640"/>
        </w:tabs>
      </w:pPr>
      <w:r>
        <w:tab/>
        <w:t xml:space="preserve">Schedule </w:t>
      </w:r>
      <w:r w:rsidR="00F21241">
        <w:t>S</w:t>
      </w:r>
      <w:r>
        <w:t xml:space="preserve"> provides data within the operational risk exposure class.  The data items include details</w:t>
      </w:r>
      <w:r w:rsidR="00727A07">
        <w:t xml:space="preserve"> about historical operational losses for the reporting period and those used to model operational risk capital.  </w:t>
      </w:r>
    </w:p>
    <w:p w:rsidR="00715714" w:rsidRDefault="00715714" w:rsidP="00254A4A">
      <w:pPr>
        <w:pStyle w:val="Footer"/>
        <w:tabs>
          <w:tab w:val="clear" w:pos="4320"/>
          <w:tab w:val="clear" w:pos="8640"/>
        </w:tabs>
      </w:pPr>
    </w:p>
    <w:p w:rsidR="00525CE0" w:rsidRPr="00821384" w:rsidRDefault="00525CE0" w:rsidP="00254A4A">
      <w:pPr>
        <w:rPr>
          <w:b/>
          <w:bCs/>
          <w:iCs/>
        </w:rPr>
      </w:pPr>
      <w:r w:rsidRPr="00821384">
        <w:rPr>
          <w:b/>
          <w:bCs/>
          <w:iCs/>
        </w:rPr>
        <w:t>3.  Consideration of the use of improved information technology:</w:t>
      </w:r>
    </w:p>
    <w:p w:rsidR="00525CE0" w:rsidRDefault="00525CE0" w:rsidP="00254A4A"/>
    <w:p w:rsidR="00525CE0" w:rsidRDefault="009E5A9D" w:rsidP="00254A4A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Banks must file the information required under this collection electronically. </w:t>
      </w:r>
      <w:r w:rsidR="00D3467E">
        <w:rPr>
          <w:i w:val="0"/>
          <w:iCs w:val="0"/>
        </w:rPr>
        <w:t>A</w:t>
      </w:r>
      <w:r w:rsidR="00525CE0">
        <w:rPr>
          <w:i w:val="0"/>
          <w:iCs w:val="0"/>
        </w:rPr>
        <w:t>ny information technology that permits review by OCC examiners</w:t>
      </w:r>
      <w:r w:rsidR="00D3467E">
        <w:rPr>
          <w:i w:val="0"/>
          <w:iCs w:val="0"/>
        </w:rPr>
        <w:t xml:space="preserve"> may be used</w:t>
      </w:r>
      <w:r w:rsidR="00525CE0">
        <w:rPr>
          <w:i w:val="0"/>
          <w:iCs w:val="0"/>
        </w:rPr>
        <w:t>.</w:t>
      </w:r>
    </w:p>
    <w:p w:rsidR="00525CE0" w:rsidRDefault="00525CE0" w:rsidP="00254A4A"/>
    <w:p w:rsidR="00525CE0" w:rsidRPr="00821384" w:rsidRDefault="00525CE0" w:rsidP="00254A4A">
      <w:pPr>
        <w:rPr>
          <w:b/>
          <w:bCs/>
          <w:iCs/>
        </w:rPr>
      </w:pPr>
      <w:r w:rsidRPr="00821384">
        <w:rPr>
          <w:b/>
          <w:bCs/>
          <w:iCs/>
        </w:rPr>
        <w:t>4.  Efforts to identify duplication:</w:t>
      </w:r>
    </w:p>
    <w:p w:rsidR="00525CE0" w:rsidRDefault="00525CE0" w:rsidP="00254A4A"/>
    <w:p w:rsidR="00525CE0" w:rsidRDefault="00525CE0" w:rsidP="00254A4A">
      <w:r>
        <w:t>The required information is unique and is not duplicative of any other information already collected.</w:t>
      </w:r>
    </w:p>
    <w:p w:rsidR="00F21241" w:rsidRPr="004A0424" w:rsidRDefault="00F21241" w:rsidP="00254A4A"/>
    <w:p w:rsidR="00525CE0" w:rsidRPr="00CF2A4E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 xml:space="preserve">5.  </w:t>
      </w:r>
      <w:r w:rsidR="00CF2A4E" w:rsidRPr="00CF2A4E">
        <w:rPr>
          <w:rFonts w:ascii="Times New Roman TUR" w:hAnsi="Times New Roman TUR" w:cs="Times New Roman TUR"/>
          <w:b/>
          <w:bCs/>
          <w:i w:val="0"/>
        </w:rPr>
        <w:t>If the collection of information impacts small businesses or other small entities, describe any methods used to minimize burden.</w:t>
      </w:r>
    </w:p>
    <w:p w:rsidR="00525CE0" w:rsidRDefault="00525CE0" w:rsidP="00254A4A"/>
    <w:p w:rsidR="00525CE0" w:rsidRDefault="009E5A9D" w:rsidP="00254A4A">
      <w:r>
        <w:t xml:space="preserve">Small </w:t>
      </w:r>
      <w:r w:rsidR="00E734D9">
        <w:t>banks</w:t>
      </w:r>
      <w:r>
        <w:t xml:space="preserve"> are not impacted by this collection</w:t>
      </w:r>
      <w:r w:rsidR="002C51C4">
        <w:t xml:space="preserve">. The FFIEC 101 is only required for advanced approaches banks, which are </w:t>
      </w:r>
      <w:r w:rsidR="00E734D9">
        <w:t xml:space="preserve">generally </w:t>
      </w:r>
      <w:r w:rsidR="002C51C4">
        <w:t xml:space="preserve">those </w:t>
      </w:r>
      <w:r w:rsidR="00E734D9">
        <w:t>with at least $50 billion of assets.</w:t>
      </w:r>
    </w:p>
    <w:p w:rsidR="00525CE0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6.  Consequences if the collection were conducted less frequently:</w:t>
      </w:r>
    </w:p>
    <w:p w:rsidR="00525CE0" w:rsidRDefault="00525CE0" w:rsidP="00254A4A"/>
    <w:p w:rsidR="00525CE0" w:rsidRDefault="00525CE0" w:rsidP="00254A4A">
      <w:r>
        <w:lastRenderedPageBreak/>
        <w:t xml:space="preserve">The OCC </w:t>
      </w:r>
      <w:r w:rsidR="00C50979">
        <w:t>would</w:t>
      </w:r>
      <w:r>
        <w:t xml:space="preserve"> not be able to adequately monitor capital levels and ensure safety and soundness</w:t>
      </w:r>
      <w:r w:rsidR="00E734D9">
        <w:t xml:space="preserve"> of </w:t>
      </w:r>
      <w:r w:rsidR="004500A9">
        <w:t>national banks and Federal savings associations in a timely manner</w:t>
      </w:r>
      <w:r>
        <w:t>.</w:t>
      </w:r>
    </w:p>
    <w:p w:rsidR="00525CE0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7.  Special circumstances:</w:t>
      </w:r>
    </w:p>
    <w:p w:rsidR="00525CE0" w:rsidRDefault="00525CE0" w:rsidP="00254A4A"/>
    <w:p w:rsidR="00525CE0" w:rsidRDefault="00E734D9" w:rsidP="00254A4A">
      <w:r>
        <w:t>There are no special circumstances in this collection</w:t>
      </w:r>
      <w:r w:rsidR="00525CE0">
        <w:t>.</w:t>
      </w:r>
    </w:p>
    <w:p w:rsidR="00525CE0" w:rsidRDefault="00525CE0" w:rsidP="00254A4A">
      <w:pPr>
        <w:pStyle w:val="BodyText"/>
        <w:rPr>
          <w:b/>
          <w:bCs/>
        </w:rPr>
      </w:pPr>
    </w:p>
    <w:p w:rsidR="00525CE0" w:rsidRPr="004A0424" w:rsidRDefault="00525CE0" w:rsidP="00254A4A">
      <w:pPr>
        <w:pStyle w:val="BodyText"/>
        <w:rPr>
          <w:i w:val="0"/>
          <w:iCs w:val="0"/>
        </w:rPr>
      </w:pPr>
      <w:r w:rsidRPr="00821384">
        <w:rPr>
          <w:b/>
          <w:bCs/>
          <w:i w:val="0"/>
        </w:rPr>
        <w:t>8.  Efforts to consult with persons outside the agency:</w:t>
      </w:r>
      <w:r w:rsidRPr="004A0424">
        <w:rPr>
          <w:i w:val="0"/>
          <w:iCs w:val="0"/>
        </w:rPr>
        <w:t xml:space="preserve">  </w:t>
      </w:r>
    </w:p>
    <w:p w:rsidR="001434A3" w:rsidRDefault="001434A3" w:rsidP="00254A4A">
      <w:pPr>
        <w:pStyle w:val="BodyText"/>
        <w:rPr>
          <w:i w:val="0"/>
          <w:iCs w:val="0"/>
        </w:rPr>
      </w:pPr>
    </w:p>
    <w:p w:rsidR="002C51C4" w:rsidRDefault="002C51C4" w:rsidP="002C51C4">
      <w:pPr>
        <w:autoSpaceDE w:val="0"/>
        <w:autoSpaceDN w:val="0"/>
        <w:rPr>
          <w:rFonts w:eastAsiaTheme="minorHAnsi"/>
          <w:szCs w:val="22"/>
        </w:rPr>
      </w:pPr>
      <w:r w:rsidRPr="00461F90">
        <w:rPr>
          <w:rFonts w:eastAsiaTheme="minorHAnsi"/>
          <w:szCs w:val="22"/>
        </w:rPr>
        <w:t xml:space="preserve">On </w:t>
      </w:r>
      <w:r w:rsidR="001B4507">
        <w:rPr>
          <w:rFonts w:eastAsiaTheme="minorHAnsi"/>
          <w:szCs w:val="22"/>
        </w:rPr>
        <w:t>March 1, 2017</w:t>
      </w:r>
      <w:r w:rsidRPr="00461F90">
        <w:rPr>
          <w:rFonts w:eastAsiaTheme="minorHAnsi"/>
          <w:szCs w:val="22"/>
        </w:rPr>
        <w:t xml:space="preserve">, the agencies published a notice in the </w:t>
      </w:r>
      <w:r w:rsidRPr="00461F90">
        <w:rPr>
          <w:rFonts w:eastAsiaTheme="minorHAnsi"/>
          <w:b/>
          <w:bCs/>
          <w:szCs w:val="22"/>
        </w:rPr>
        <w:t xml:space="preserve">Federal Register </w:t>
      </w:r>
      <w:r w:rsidRPr="00461F90">
        <w:rPr>
          <w:rFonts w:eastAsiaTheme="minorHAnsi"/>
          <w:szCs w:val="22"/>
        </w:rPr>
        <w:t>(</w:t>
      </w:r>
      <w:r w:rsidR="001B4507" w:rsidRPr="00461F90">
        <w:rPr>
          <w:rFonts w:eastAsiaTheme="minorHAnsi"/>
          <w:szCs w:val="22"/>
        </w:rPr>
        <w:t>8</w:t>
      </w:r>
      <w:r w:rsidR="001B4507">
        <w:rPr>
          <w:rFonts w:eastAsiaTheme="minorHAnsi"/>
          <w:szCs w:val="22"/>
        </w:rPr>
        <w:t>2</w:t>
      </w:r>
      <w:r w:rsidR="001B4507" w:rsidRPr="00461F90">
        <w:rPr>
          <w:rFonts w:eastAsiaTheme="minorHAnsi"/>
          <w:szCs w:val="22"/>
        </w:rPr>
        <w:t xml:space="preserve"> </w:t>
      </w:r>
      <w:r w:rsidRPr="00461F90">
        <w:rPr>
          <w:rFonts w:eastAsiaTheme="minorHAnsi"/>
          <w:szCs w:val="22"/>
        </w:rPr>
        <w:t xml:space="preserve">FR </w:t>
      </w:r>
      <w:r w:rsidR="001B4507">
        <w:rPr>
          <w:rFonts w:eastAsiaTheme="minorHAnsi"/>
          <w:szCs w:val="22"/>
        </w:rPr>
        <w:t>12274</w:t>
      </w:r>
      <w:r w:rsidRPr="00461F90">
        <w:rPr>
          <w:rFonts w:eastAsiaTheme="minorHAnsi"/>
          <w:szCs w:val="22"/>
        </w:rPr>
        <w:t xml:space="preserve">) proposing to modify </w:t>
      </w:r>
      <w:r>
        <w:rPr>
          <w:rFonts w:eastAsiaTheme="minorHAnsi"/>
          <w:szCs w:val="22"/>
        </w:rPr>
        <w:t xml:space="preserve">and extend </w:t>
      </w:r>
      <w:r w:rsidRPr="00461F90">
        <w:rPr>
          <w:rFonts w:eastAsiaTheme="minorHAnsi"/>
          <w:szCs w:val="22"/>
        </w:rPr>
        <w:t xml:space="preserve">the FFIEC </w:t>
      </w:r>
      <w:r>
        <w:rPr>
          <w:rFonts w:eastAsiaTheme="minorHAnsi"/>
          <w:szCs w:val="22"/>
        </w:rPr>
        <w:t>101</w:t>
      </w:r>
      <w:r w:rsidRPr="00461F90">
        <w:rPr>
          <w:rFonts w:eastAsiaTheme="minorHAnsi"/>
          <w:szCs w:val="22"/>
        </w:rPr>
        <w:t xml:space="preserve"> reporting form by </w:t>
      </w:r>
      <w:r w:rsidR="008C1328">
        <w:rPr>
          <w:rFonts w:eastAsiaTheme="minorHAnsi"/>
          <w:szCs w:val="22"/>
        </w:rPr>
        <w:t>removing two items related to reporting of credit valuation adjustments (CVA) and exposure at default (EAD), as the agencies no longer need banks to report this information in those items</w:t>
      </w:r>
      <w:r w:rsidRPr="00461F90">
        <w:rPr>
          <w:rFonts w:eastAsiaTheme="minorHAnsi"/>
          <w:szCs w:val="22"/>
        </w:rPr>
        <w:t xml:space="preserve">. If approved, the revisions would be effective beginning with the September 30, </w:t>
      </w:r>
      <w:r w:rsidR="008C1328" w:rsidRPr="00461F90">
        <w:rPr>
          <w:rFonts w:eastAsiaTheme="minorHAnsi"/>
          <w:szCs w:val="22"/>
        </w:rPr>
        <w:t>201</w:t>
      </w:r>
      <w:r w:rsidR="008C1328">
        <w:rPr>
          <w:rFonts w:eastAsiaTheme="minorHAnsi"/>
          <w:szCs w:val="22"/>
        </w:rPr>
        <w:t>7</w:t>
      </w:r>
      <w:r w:rsidR="008C1328" w:rsidRPr="00461F90">
        <w:rPr>
          <w:rFonts w:eastAsiaTheme="minorHAnsi"/>
          <w:szCs w:val="22"/>
        </w:rPr>
        <w:t xml:space="preserve"> </w:t>
      </w:r>
      <w:r w:rsidRPr="00461F90">
        <w:rPr>
          <w:rFonts w:eastAsiaTheme="minorHAnsi"/>
          <w:szCs w:val="22"/>
        </w:rPr>
        <w:t xml:space="preserve">report. The agencies received </w:t>
      </w:r>
      <w:r>
        <w:rPr>
          <w:rFonts w:eastAsiaTheme="minorHAnsi"/>
          <w:szCs w:val="22"/>
        </w:rPr>
        <w:t>no comments on the proposed changes</w:t>
      </w:r>
      <w:r w:rsidRPr="00461F90">
        <w:rPr>
          <w:rFonts w:eastAsiaTheme="minorHAnsi"/>
          <w:szCs w:val="22"/>
        </w:rPr>
        <w:t>.</w:t>
      </w:r>
    </w:p>
    <w:p w:rsidR="002C51C4" w:rsidRDefault="002C51C4" w:rsidP="002C51C4">
      <w:pPr>
        <w:autoSpaceDE w:val="0"/>
        <w:autoSpaceDN w:val="0"/>
        <w:rPr>
          <w:rFonts w:eastAsiaTheme="minorHAnsi"/>
          <w:szCs w:val="22"/>
        </w:rPr>
      </w:pPr>
    </w:p>
    <w:p w:rsidR="002C51C4" w:rsidRDefault="002C51C4" w:rsidP="002C51C4">
      <w:pPr>
        <w:autoSpaceDE w:val="0"/>
        <w:autoSpaceDN w:val="0"/>
        <w:rPr>
          <w:i/>
          <w:color w:val="000000"/>
          <w:sz w:val="20"/>
        </w:rPr>
      </w:pPr>
      <w:r>
        <w:rPr>
          <w:rFonts w:eastAsiaTheme="minorHAnsi"/>
          <w:szCs w:val="22"/>
        </w:rPr>
        <w:t xml:space="preserve">The proposed changes would </w:t>
      </w:r>
      <w:r w:rsidR="008C1328">
        <w:rPr>
          <w:rFonts w:eastAsiaTheme="minorHAnsi"/>
          <w:szCs w:val="22"/>
        </w:rPr>
        <w:t xml:space="preserve">remove </w:t>
      </w:r>
      <w:r>
        <w:rPr>
          <w:rFonts w:eastAsiaTheme="minorHAnsi"/>
          <w:szCs w:val="22"/>
        </w:rPr>
        <w:t xml:space="preserve">FFIEC 101, Schedule </w:t>
      </w:r>
      <w:r w:rsidR="008C1328">
        <w:rPr>
          <w:rFonts w:eastAsiaTheme="minorHAnsi"/>
          <w:szCs w:val="22"/>
        </w:rPr>
        <w:t>B</w:t>
      </w:r>
      <w:r>
        <w:rPr>
          <w:rFonts w:eastAsiaTheme="minorHAnsi"/>
          <w:szCs w:val="22"/>
        </w:rPr>
        <w:t xml:space="preserve">, Items </w:t>
      </w:r>
      <w:r w:rsidR="008C1328">
        <w:rPr>
          <w:rFonts w:eastAsiaTheme="minorHAnsi"/>
          <w:szCs w:val="22"/>
        </w:rPr>
        <w:t>31.a and 31.b. in Column D.</w:t>
      </w:r>
      <w:r>
        <w:rPr>
          <w:rFonts w:eastAsiaTheme="minorHAnsi"/>
          <w:szCs w:val="22"/>
        </w:rPr>
        <w:t xml:space="preserve">. </w:t>
      </w:r>
      <w:r w:rsidR="008C1328">
        <w:rPr>
          <w:rFonts w:eastAsiaTheme="minorHAnsi"/>
          <w:szCs w:val="22"/>
        </w:rPr>
        <w:t>These items collect information on a bank’s credit valuation adjustments under the simple approach and advanced approaches capital rules. These items are currently collected but remain confidential and are not disclosed outside the Federal banking agencies.</w:t>
      </w:r>
    </w:p>
    <w:p w:rsidR="00525CE0" w:rsidRPr="00254A4A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9.  Payment or gift to respondents:</w:t>
      </w:r>
    </w:p>
    <w:p w:rsidR="00525CE0" w:rsidRDefault="00525CE0" w:rsidP="00254A4A"/>
    <w:p w:rsidR="00525CE0" w:rsidRDefault="00525CE0" w:rsidP="00254A4A">
      <w:r>
        <w:t>None.</w:t>
      </w:r>
    </w:p>
    <w:p w:rsidR="00525CE0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10.  Any assurance of confidentiality:</w:t>
      </w:r>
    </w:p>
    <w:p w:rsidR="00525CE0" w:rsidRDefault="00525CE0" w:rsidP="00254A4A"/>
    <w:p w:rsidR="00265763" w:rsidRDefault="00AD0192" w:rsidP="00254A4A">
      <w:pPr>
        <w:rPr>
          <w:szCs w:val="24"/>
        </w:rPr>
      </w:pPr>
      <w:r>
        <w:rPr>
          <w:snapToGrid w:val="0"/>
          <w:szCs w:val="24"/>
        </w:rPr>
        <w:tab/>
      </w:r>
      <w:r w:rsidR="00E734D9">
        <w:rPr>
          <w:snapToGrid w:val="0"/>
          <w:szCs w:val="24"/>
        </w:rPr>
        <w:t>T</w:t>
      </w:r>
      <w:r w:rsidRPr="00142550">
        <w:rPr>
          <w:snapToGrid w:val="0"/>
          <w:szCs w:val="24"/>
        </w:rPr>
        <w:t xml:space="preserve">he FFIEC 101 information collections are </w:t>
      </w:r>
      <w:r w:rsidR="00F02598">
        <w:rPr>
          <w:snapToGrid w:val="0"/>
          <w:szCs w:val="24"/>
        </w:rPr>
        <w:t xml:space="preserve">generally </w:t>
      </w:r>
      <w:r w:rsidRPr="00142550">
        <w:rPr>
          <w:snapToGrid w:val="0"/>
          <w:szCs w:val="24"/>
        </w:rPr>
        <w:t xml:space="preserve">given </w:t>
      </w:r>
      <w:r w:rsidRPr="00142550">
        <w:rPr>
          <w:szCs w:val="24"/>
        </w:rPr>
        <w:t>confidential treatment (5 U.S.C. 552(b)(4))</w:t>
      </w:r>
      <w:r w:rsidR="00F02598">
        <w:rPr>
          <w:szCs w:val="24"/>
        </w:rPr>
        <w:t xml:space="preserve">. </w:t>
      </w:r>
      <w:r w:rsidRPr="00142550">
        <w:rPr>
          <w:szCs w:val="24"/>
        </w:rPr>
        <w:t xml:space="preserve"> </w:t>
      </w:r>
      <w:r w:rsidR="00F02598">
        <w:rPr>
          <w:szCs w:val="24"/>
        </w:rPr>
        <w:t>However, t</w:t>
      </w:r>
      <w:r w:rsidR="00F02598" w:rsidRPr="00142550">
        <w:rPr>
          <w:szCs w:val="24"/>
        </w:rPr>
        <w:t xml:space="preserve">he agencies make public the information collected on the FFIEC 101 Schedule A, except for a few advanced approaches-specific line items identified below, for all advanced approaches institutions regardless of their parallel run status starting with the report for the March 31, 2014, report date.  </w:t>
      </w:r>
      <w:r w:rsidR="00F02598">
        <w:rPr>
          <w:szCs w:val="24"/>
        </w:rPr>
        <w:t>F</w:t>
      </w:r>
      <w:r w:rsidR="00F02598" w:rsidRPr="00142550">
        <w:rPr>
          <w:szCs w:val="24"/>
        </w:rPr>
        <w:t xml:space="preserve">or </w:t>
      </w:r>
      <w:r w:rsidRPr="00142550">
        <w:rPr>
          <w:szCs w:val="24"/>
        </w:rPr>
        <w:t xml:space="preserve">report dates after the reporting institution conducts a satisfactory parallel run Schedules A and B, as well as line items 1 and 2 of Schedule S, of the institution’s FFIEC 101 are no longer given confidential treatment.  </w:t>
      </w:r>
    </w:p>
    <w:p w:rsidR="00525CE0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11.  Justification for questions of a sensitive nature:</w:t>
      </w:r>
    </w:p>
    <w:p w:rsidR="00525CE0" w:rsidRDefault="00525CE0" w:rsidP="00254A4A"/>
    <w:p w:rsidR="00525CE0" w:rsidRDefault="00525CE0" w:rsidP="00254A4A">
      <w:r>
        <w:t>There are no questions of a sensitive nature.</w:t>
      </w:r>
    </w:p>
    <w:p w:rsidR="00525CE0" w:rsidRPr="00821384" w:rsidRDefault="00525CE0" w:rsidP="00254A4A">
      <w:pPr>
        <w:pStyle w:val="BodyText"/>
        <w:rPr>
          <w:b/>
          <w:bCs/>
          <w:i w:val="0"/>
        </w:rPr>
      </w:pPr>
    </w:p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12.  Burden estimate:</w:t>
      </w:r>
    </w:p>
    <w:p w:rsidR="00266047" w:rsidRDefault="00266047" w:rsidP="00254A4A">
      <w:pPr>
        <w:rPr>
          <w:snapToGrid w:val="0"/>
        </w:rPr>
      </w:pPr>
    </w:p>
    <w:p w:rsidR="00C74A52" w:rsidRDefault="00D342FE" w:rsidP="00254A4A">
      <w:pPr>
        <w:rPr>
          <w:snapToGrid w:val="0"/>
        </w:rPr>
      </w:pPr>
      <w:bookmarkStart w:id="1" w:name="OLE_LINK1"/>
      <w:r>
        <w:rPr>
          <w:i/>
          <w:snapToGrid w:val="0"/>
        </w:rPr>
        <w:tab/>
      </w:r>
      <w:r w:rsidR="00C74A52">
        <w:rPr>
          <w:i/>
          <w:snapToGrid w:val="0"/>
        </w:rPr>
        <w:t xml:space="preserve">Estimated Number of Respondents: </w:t>
      </w:r>
      <w:r w:rsidR="00C74A52">
        <w:rPr>
          <w:snapToGrid w:val="0"/>
        </w:rPr>
        <w:t>14</w:t>
      </w:r>
      <w:r w:rsidR="00C74A52">
        <w:rPr>
          <w:i/>
          <w:snapToGrid w:val="0"/>
        </w:rPr>
        <w:t xml:space="preserve"> </w:t>
      </w:r>
      <w:r w:rsidR="00C74A52">
        <w:rPr>
          <w:snapToGrid w:val="0"/>
        </w:rPr>
        <w:t>national banks and savings associations.</w:t>
      </w:r>
    </w:p>
    <w:p w:rsidR="00C74A52" w:rsidRDefault="00C74A52" w:rsidP="00254A4A">
      <w:pPr>
        <w:rPr>
          <w:snapToGrid w:val="0"/>
        </w:rPr>
      </w:pPr>
    </w:p>
    <w:p w:rsidR="00C74A52" w:rsidRDefault="00C74A52" w:rsidP="00254A4A">
      <w:pPr>
        <w:rPr>
          <w:snapToGrid w:val="0"/>
        </w:rPr>
      </w:pPr>
      <w:r>
        <w:rPr>
          <w:snapToGrid w:val="0"/>
        </w:rPr>
        <w:tab/>
      </w:r>
      <w:r>
        <w:rPr>
          <w:i/>
          <w:snapToGrid w:val="0"/>
        </w:rPr>
        <w:t>Estimated Time per Response:</w:t>
      </w:r>
      <w:r>
        <w:rPr>
          <w:snapToGrid w:val="0"/>
        </w:rPr>
        <w:t xml:space="preserve">  675 burden hours per quarter to file.</w:t>
      </w:r>
    </w:p>
    <w:p w:rsidR="00C74A52" w:rsidRDefault="00C74A52" w:rsidP="00254A4A">
      <w:pPr>
        <w:rPr>
          <w:snapToGrid w:val="0"/>
        </w:rPr>
      </w:pPr>
    </w:p>
    <w:p w:rsidR="00C74A52" w:rsidRDefault="00C74A52" w:rsidP="00254A4A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ab/>
      </w:r>
      <w:r>
        <w:rPr>
          <w:i/>
          <w:snapToGrid w:val="0"/>
        </w:rPr>
        <w:t>Estimated Total Annual Burden:</w:t>
      </w:r>
      <w:r>
        <w:rPr>
          <w:snapToGrid w:val="0"/>
        </w:rPr>
        <w:t xml:space="preserve"> 37,800 hours.</w:t>
      </w:r>
    </w:p>
    <w:bookmarkEnd w:id="1"/>
    <w:p w:rsidR="00C74A52" w:rsidRDefault="00C74A52" w:rsidP="00254A4A">
      <w:pPr>
        <w:pStyle w:val="Footer"/>
        <w:tabs>
          <w:tab w:val="left" w:pos="720"/>
        </w:tabs>
        <w:rPr>
          <w:rStyle w:val="a"/>
          <w:rFonts w:ascii="Arial Narrow" w:hAnsi="Arial Narrow"/>
        </w:rPr>
      </w:pPr>
    </w:p>
    <w:p w:rsidR="00C74A52" w:rsidRDefault="00C74A52" w:rsidP="00254A4A">
      <w:pPr>
        <w:rPr>
          <w:b/>
          <w:bCs/>
          <w:i/>
          <w:iCs/>
        </w:rPr>
      </w:pPr>
    </w:p>
    <w:p w:rsidR="00C74A52" w:rsidRPr="00254A4A" w:rsidRDefault="00C74A52" w:rsidP="00254A4A">
      <w:pPr>
        <w:rPr>
          <w:b/>
          <w:bCs/>
          <w:iCs/>
        </w:rPr>
      </w:pPr>
      <w:r w:rsidRPr="00254A4A">
        <w:rPr>
          <w:b/>
          <w:bCs/>
          <w:iCs/>
        </w:rPr>
        <w:t>Cost of Hour Burden to Respondents:</w:t>
      </w:r>
    </w:p>
    <w:p w:rsidR="00C74A52" w:rsidRDefault="00C74A52" w:rsidP="00254A4A">
      <w:pPr>
        <w:rPr>
          <w:b/>
          <w:bCs/>
        </w:rPr>
      </w:pPr>
    </w:p>
    <w:p w:rsidR="00C74A52" w:rsidRDefault="00C74A52" w:rsidP="00254A4A">
      <w:r>
        <w:t>The OCC estimates the cost of the hour burden to respondents as follows:</w:t>
      </w:r>
    </w:p>
    <w:p w:rsidR="00C74A52" w:rsidRDefault="00C74A52" w:rsidP="00254A4A">
      <w:pPr>
        <w:rPr>
          <w:i/>
          <w:iCs/>
          <w:u w:val="single"/>
        </w:rPr>
      </w:pPr>
    </w:p>
    <w:p w:rsidR="00C74A52" w:rsidRDefault="00C74A52" w:rsidP="00254A4A">
      <w:pPr>
        <w:pStyle w:val="Footer"/>
        <w:tabs>
          <w:tab w:val="left" w:pos="720"/>
        </w:tabs>
      </w:pPr>
      <w:r>
        <w:rPr>
          <w:rStyle w:val="a"/>
        </w:rPr>
        <w:t xml:space="preserve">37,800 </w:t>
      </w:r>
      <w:r>
        <w:t>x $100/hour (combination of various levels of staff) = $ 3,780,000</w:t>
      </w:r>
    </w:p>
    <w:p w:rsidR="00C74A52" w:rsidRDefault="00C74A52" w:rsidP="00254A4A">
      <w:pPr>
        <w:pStyle w:val="Footer"/>
        <w:tabs>
          <w:tab w:val="left" w:pos="720"/>
        </w:tabs>
      </w:pPr>
    </w:p>
    <w:p w:rsidR="00C74A52" w:rsidRDefault="00C74A52" w:rsidP="00254A4A">
      <w:r>
        <w:t>Total Hour Burden Cost:  $ 3,780,000</w:t>
      </w:r>
      <w:r>
        <w:tab/>
      </w:r>
      <w:r>
        <w:tab/>
      </w:r>
      <w:r>
        <w:tab/>
      </w:r>
    </w:p>
    <w:p w:rsidR="00C74A52" w:rsidRDefault="00C74A52" w:rsidP="00254A4A"/>
    <w:p w:rsidR="00C74A52" w:rsidRPr="00254A4A" w:rsidRDefault="00C74A52" w:rsidP="00254A4A">
      <w:pPr>
        <w:pStyle w:val="BodyText"/>
        <w:rPr>
          <w:b/>
          <w:bCs/>
          <w:i w:val="0"/>
        </w:rPr>
      </w:pPr>
      <w:r w:rsidRPr="00254A4A">
        <w:rPr>
          <w:b/>
          <w:bCs/>
          <w:i w:val="0"/>
        </w:rPr>
        <w:t>13.  Estimate of total annual costs to respondents (excluding cost of hour burden in Item #12):</w:t>
      </w:r>
    </w:p>
    <w:p w:rsidR="00C74A52" w:rsidRDefault="00C74A52" w:rsidP="00254A4A"/>
    <w:p w:rsidR="00C74A52" w:rsidRDefault="00C74A52" w:rsidP="00254A4A">
      <w:r>
        <w:t>Not applicable.</w:t>
      </w:r>
    </w:p>
    <w:p w:rsidR="00C74A52" w:rsidRDefault="00C74A52" w:rsidP="00254A4A"/>
    <w:p w:rsidR="00C74A52" w:rsidRPr="00254A4A" w:rsidRDefault="00C74A52" w:rsidP="00254A4A">
      <w:pPr>
        <w:pStyle w:val="BodyText"/>
        <w:rPr>
          <w:b/>
          <w:bCs/>
          <w:i w:val="0"/>
        </w:rPr>
      </w:pPr>
      <w:r w:rsidRPr="00254A4A">
        <w:rPr>
          <w:b/>
          <w:bCs/>
          <w:i w:val="0"/>
        </w:rPr>
        <w:t>14.  Estimate of annualized costs to the Federal government:</w:t>
      </w:r>
    </w:p>
    <w:p w:rsidR="00C74A52" w:rsidRDefault="00C74A52" w:rsidP="00254A4A">
      <w:pPr>
        <w:pStyle w:val="Footer"/>
        <w:tabs>
          <w:tab w:val="left" w:pos="720"/>
        </w:tabs>
      </w:pPr>
    </w:p>
    <w:p w:rsidR="00C74A52" w:rsidRDefault="00C74A52" w:rsidP="00254A4A">
      <w:r>
        <w:t>Not applicable.</w:t>
      </w:r>
    </w:p>
    <w:p w:rsidR="00C74A52" w:rsidRDefault="00C74A52" w:rsidP="00254A4A">
      <w:pPr>
        <w:pStyle w:val="BodyText"/>
        <w:rPr>
          <w:b/>
          <w:bCs/>
        </w:rPr>
      </w:pPr>
    </w:p>
    <w:p w:rsidR="00C74A52" w:rsidRPr="00254A4A" w:rsidRDefault="00C74A52" w:rsidP="00254A4A">
      <w:pPr>
        <w:pStyle w:val="BodyText"/>
        <w:rPr>
          <w:b/>
          <w:bCs/>
          <w:i w:val="0"/>
        </w:rPr>
      </w:pPr>
      <w:r w:rsidRPr="00254A4A">
        <w:rPr>
          <w:b/>
          <w:bCs/>
          <w:i w:val="0"/>
        </w:rPr>
        <w:t>15.  Change in burden:</w:t>
      </w:r>
    </w:p>
    <w:p w:rsidR="00C74A52" w:rsidRDefault="00C74A52" w:rsidP="00254A4A"/>
    <w:p w:rsidR="00C74A52" w:rsidRDefault="004E01C9" w:rsidP="00254A4A">
      <w:r>
        <w:rPr>
          <w:snapToGrid w:val="0"/>
        </w:rPr>
        <w:t xml:space="preserve">The OCC anticipates no change in burden for the respondents it supervises. </w:t>
      </w:r>
      <w:r w:rsidR="003F2F1E">
        <w:rPr>
          <w:snapToGrid w:val="0"/>
        </w:rPr>
        <w:t xml:space="preserve">Even though the OCC is collecting two fewer items, banks would generally still calculate those amounts </w:t>
      </w:r>
      <w:r w:rsidR="003C1330">
        <w:rPr>
          <w:snapToGrid w:val="0"/>
        </w:rPr>
        <w:t>to feed into other totals requested in the FFIEC 101</w:t>
      </w:r>
      <w:r w:rsidR="003F2F1E">
        <w:rPr>
          <w:snapToGrid w:val="0"/>
        </w:rPr>
        <w:t>.</w:t>
      </w:r>
    </w:p>
    <w:p w:rsidR="00525CE0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 xml:space="preserve">16.  </w:t>
      </w:r>
      <w:r w:rsidR="004A0424">
        <w:rPr>
          <w:b/>
          <w:bCs/>
          <w:i w:val="0"/>
        </w:rPr>
        <w:t>Publication of information for statistical purposes</w:t>
      </w:r>
      <w:r w:rsidRPr="00821384">
        <w:rPr>
          <w:b/>
          <w:bCs/>
          <w:i w:val="0"/>
        </w:rPr>
        <w:t>:</w:t>
      </w:r>
    </w:p>
    <w:p w:rsidR="00525CE0" w:rsidRDefault="00525CE0" w:rsidP="00254A4A"/>
    <w:p w:rsidR="00525CE0" w:rsidRDefault="00525CE0" w:rsidP="00254A4A">
      <w:r>
        <w:t xml:space="preserve">The OCC </w:t>
      </w:r>
      <w:r w:rsidR="004A0424">
        <w:t>is not</w:t>
      </w:r>
      <w:r>
        <w:t xml:space="preserve"> publish</w:t>
      </w:r>
      <w:r w:rsidR="004A0424">
        <w:t>ing</w:t>
      </w:r>
      <w:r>
        <w:t xml:space="preserve"> the information for statistical purposes.</w:t>
      </w:r>
    </w:p>
    <w:p w:rsidR="00525CE0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17.  Reasons for not displaying OMB approval expiration date:</w:t>
      </w:r>
    </w:p>
    <w:p w:rsidR="00525CE0" w:rsidRDefault="00525CE0" w:rsidP="00254A4A"/>
    <w:p w:rsidR="00525CE0" w:rsidRDefault="00002DDD" w:rsidP="00254A4A">
      <w:r>
        <w:t>Not applicable</w:t>
      </w:r>
      <w:r w:rsidR="00525CE0">
        <w:t>.</w:t>
      </w:r>
    </w:p>
    <w:p w:rsidR="00525CE0" w:rsidRDefault="00525CE0" w:rsidP="00254A4A"/>
    <w:p w:rsidR="00525CE0" w:rsidRPr="00821384" w:rsidRDefault="00525CE0" w:rsidP="00254A4A">
      <w:pPr>
        <w:pStyle w:val="BodyText"/>
        <w:rPr>
          <w:b/>
          <w:bCs/>
          <w:i w:val="0"/>
        </w:rPr>
      </w:pPr>
      <w:r w:rsidRPr="00821384">
        <w:rPr>
          <w:b/>
          <w:bCs/>
          <w:i w:val="0"/>
        </w:rPr>
        <w:t>18.  Exceptions to the certification statement in Item 19 of OMB Form 83-I:</w:t>
      </w:r>
    </w:p>
    <w:p w:rsidR="00525CE0" w:rsidRDefault="00525CE0" w:rsidP="00254A4A"/>
    <w:p w:rsidR="00525CE0" w:rsidRDefault="00525CE0" w:rsidP="00254A4A">
      <w:r>
        <w:t>None.</w:t>
      </w:r>
    </w:p>
    <w:p w:rsidR="00525CE0" w:rsidRDefault="00525CE0" w:rsidP="00254A4A">
      <w:pPr>
        <w:rPr>
          <w:b/>
          <w:bCs/>
        </w:rPr>
      </w:pPr>
    </w:p>
    <w:p w:rsidR="00525CE0" w:rsidRDefault="00525CE0" w:rsidP="00254A4A">
      <w:r>
        <w:rPr>
          <w:b/>
          <w:bCs/>
        </w:rPr>
        <w:t>B.  Collections of Information Employing Statistical Methods.</w:t>
      </w:r>
    </w:p>
    <w:p w:rsidR="00525CE0" w:rsidRDefault="00525CE0" w:rsidP="00254A4A"/>
    <w:p w:rsidR="00525CE0" w:rsidRDefault="00525CE0" w:rsidP="00254A4A">
      <w:r>
        <w:t>Not applicable.</w:t>
      </w:r>
    </w:p>
    <w:p w:rsidR="00525CE0" w:rsidRDefault="00525CE0" w:rsidP="003F75BC">
      <w:pPr>
        <w:ind w:right="1253"/>
        <w:jc w:val="center"/>
      </w:pPr>
    </w:p>
    <w:sectPr w:rsidR="00525CE0" w:rsidSect="00254A4A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83" w:rsidRDefault="00600083">
      <w:r>
        <w:separator/>
      </w:r>
    </w:p>
  </w:endnote>
  <w:endnote w:type="continuationSeparator" w:id="0">
    <w:p w:rsidR="00600083" w:rsidRDefault="0060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8" w:rsidRDefault="00444C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CD8" w:rsidRDefault="00444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8" w:rsidRDefault="00444C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2CA0">
      <w:rPr>
        <w:rStyle w:val="PageNumber"/>
        <w:noProof/>
      </w:rPr>
      <w:t>4</w:t>
    </w:r>
    <w:r>
      <w:rPr>
        <w:rStyle w:val="PageNumber"/>
      </w:rPr>
      <w:fldChar w:fldCharType="end"/>
    </w:r>
  </w:p>
  <w:p w:rsidR="00444CD8" w:rsidRDefault="00444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83" w:rsidRDefault="00600083">
      <w:r>
        <w:separator/>
      </w:r>
    </w:p>
  </w:footnote>
  <w:footnote w:type="continuationSeparator" w:id="0">
    <w:p w:rsidR="00600083" w:rsidRDefault="0060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5DF"/>
    <w:multiLevelType w:val="hybridMultilevel"/>
    <w:tmpl w:val="D45EA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6426020"/>
    <w:multiLevelType w:val="hybridMultilevel"/>
    <w:tmpl w:val="D05E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5247"/>
    <w:multiLevelType w:val="hybridMultilevel"/>
    <w:tmpl w:val="5DB4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BB95D6D"/>
    <w:multiLevelType w:val="hybridMultilevel"/>
    <w:tmpl w:val="F2DA3740"/>
    <w:lvl w:ilvl="0" w:tplc="C6BA7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EC162A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C45F93"/>
    <w:multiLevelType w:val="hybridMultilevel"/>
    <w:tmpl w:val="1F545AC8"/>
    <w:lvl w:ilvl="0" w:tplc="D8CCB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758C2"/>
    <w:multiLevelType w:val="hybridMultilevel"/>
    <w:tmpl w:val="984E8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A38AF"/>
    <w:multiLevelType w:val="hybridMultilevel"/>
    <w:tmpl w:val="9E54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70B9F"/>
    <w:multiLevelType w:val="hybridMultilevel"/>
    <w:tmpl w:val="667E6928"/>
    <w:lvl w:ilvl="0" w:tplc="D8CCB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83C54"/>
    <w:multiLevelType w:val="hybridMultilevel"/>
    <w:tmpl w:val="64D0D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6"/>
  </w:num>
  <w:num w:numId="18">
    <w:abstractNumId w:val="10"/>
  </w:num>
  <w:num w:numId="19">
    <w:abstractNumId w:val="7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11"/>
    <w:rsid w:val="00002DDD"/>
    <w:rsid w:val="000126E1"/>
    <w:rsid w:val="000252E7"/>
    <w:rsid w:val="0004061E"/>
    <w:rsid w:val="000610BC"/>
    <w:rsid w:val="00076A4F"/>
    <w:rsid w:val="00087A62"/>
    <w:rsid w:val="000D523A"/>
    <w:rsid w:val="000F6886"/>
    <w:rsid w:val="00120FA7"/>
    <w:rsid w:val="00142550"/>
    <w:rsid w:val="001434A3"/>
    <w:rsid w:val="001553AF"/>
    <w:rsid w:val="00171BC6"/>
    <w:rsid w:val="00176FF6"/>
    <w:rsid w:val="0018566D"/>
    <w:rsid w:val="001B4507"/>
    <w:rsid w:val="001D39E5"/>
    <w:rsid w:val="001E6D66"/>
    <w:rsid w:val="001E6DBC"/>
    <w:rsid w:val="00205237"/>
    <w:rsid w:val="0020767E"/>
    <w:rsid w:val="002117DC"/>
    <w:rsid w:val="00217CA1"/>
    <w:rsid w:val="0022275F"/>
    <w:rsid w:val="002278DF"/>
    <w:rsid w:val="00254A4A"/>
    <w:rsid w:val="00265763"/>
    <w:rsid w:val="002658C1"/>
    <w:rsid w:val="00266047"/>
    <w:rsid w:val="002662D2"/>
    <w:rsid w:val="00296FAF"/>
    <w:rsid w:val="002A5E7F"/>
    <w:rsid w:val="002C39C5"/>
    <w:rsid w:val="002C51C4"/>
    <w:rsid w:val="002F2CA0"/>
    <w:rsid w:val="00315033"/>
    <w:rsid w:val="00315EDB"/>
    <w:rsid w:val="0032129B"/>
    <w:rsid w:val="00327BD0"/>
    <w:rsid w:val="00333150"/>
    <w:rsid w:val="00374F9B"/>
    <w:rsid w:val="00384C6F"/>
    <w:rsid w:val="003B11EF"/>
    <w:rsid w:val="003C1330"/>
    <w:rsid w:val="003E061B"/>
    <w:rsid w:val="003F2F1E"/>
    <w:rsid w:val="003F75BC"/>
    <w:rsid w:val="00416C1C"/>
    <w:rsid w:val="00444CD8"/>
    <w:rsid w:val="004500A9"/>
    <w:rsid w:val="0048535C"/>
    <w:rsid w:val="00487DF0"/>
    <w:rsid w:val="00492571"/>
    <w:rsid w:val="004936FB"/>
    <w:rsid w:val="004A0424"/>
    <w:rsid w:val="004A6D5D"/>
    <w:rsid w:val="004C0373"/>
    <w:rsid w:val="004C6CDC"/>
    <w:rsid w:val="004C74DC"/>
    <w:rsid w:val="004E01C9"/>
    <w:rsid w:val="004E6E4E"/>
    <w:rsid w:val="004F2597"/>
    <w:rsid w:val="004F2940"/>
    <w:rsid w:val="00525CE0"/>
    <w:rsid w:val="00560C79"/>
    <w:rsid w:val="00561A8D"/>
    <w:rsid w:val="005D3A1C"/>
    <w:rsid w:val="005F2558"/>
    <w:rsid w:val="00600083"/>
    <w:rsid w:val="00604121"/>
    <w:rsid w:val="0060764D"/>
    <w:rsid w:val="006166D8"/>
    <w:rsid w:val="006215F5"/>
    <w:rsid w:val="006239ED"/>
    <w:rsid w:val="0064769A"/>
    <w:rsid w:val="00661B56"/>
    <w:rsid w:val="00667C24"/>
    <w:rsid w:val="006765C9"/>
    <w:rsid w:val="00684270"/>
    <w:rsid w:val="00684677"/>
    <w:rsid w:val="006A1289"/>
    <w:rsid w:val="00715714"/>
    <w:rsid w:val="00717CDA"/>
    <w:rsid w:val="00727A07"/>
    <w:rsid w:val="007405C7"/>
    <w:rsid w:val="00767123"/>
    <w:rsid w:val="00793CE9"/>
    <w:rsid w:val="00793ED6"/>
    <w:rsid w:val="007C13C0"/>
    <w:rsid w:val="007F3D36"/>
    <w:rsid w:val="00805BF1"/>
    <w:rsid w:val="00821384"/>
    <w:rsid w:val="00853621"/>
    <w:rsid w:val="008A1E17"/>
    <w:rsid w:val="008A64C8"/>
    <w:rsid w:val="008B5E16"/>
    <w:rsid w:val="008C1328"/>
    <w:rsid w:val="008E37AF"/>
    <w:rsid w:val="008E6897"/>
    <w:rsid w:val="008F5525"/>
    <w:rsid w:val="00900A4C"/>
    <w:rsid w:val="00915BFB"/>
    <w:rsid w:val="0092414B"/>
    <w:rsid w:val="009422B6"/>
    <w:rsid w:val="009A3521"/>
    <w:rsid w:val="009B42C2"/>
    <w:rsid w:val="009D76EF"/>
    <w:rsid w:val="009E292D"/>
    <w:rsid w:val="009E5A9D"/>
    <w:rsid w:val="009F17B6"/>
    <w:rsid w:val="009F61E0"/>
    <w:rsid w:val="00A052F7"/>
    <w:rsid w:val="00A26A6A"/>
    <w:rsid w:val="00A54C28"/>
    <w:rsid w:val="00A735A6"/>
    <w:rsid w:val="00AB306F"/>
    <w:rsid w:val="00AD0192"/>
    <w:rsid w:val="00AE7411"/>
    <w:rsid w:val="00AF6EEE"/>
    <w:rsid w:val="00B00B16"/>
    <w:rsid w:val="00B02779"/>
    <w:rsid w:val="00B15F98"/>
    <w:rsid w:val="00BA1290"/>
    <w:rsid w:val="00BA6A9C"/>
    <w:rsid w:val="00BB1E61"/>
    <w:rsid w:val="00BF6F8E"/>
    <w:rsid w:val="00C143AD"/>
    <w:rsid w:val="00C16873"/>
    <w:rsid w:val="00C27FC9"/>
    <w:rsid w:val="00C32B69"/>
    <w:rsid w:val="00C50979"/>
    <w:rsid w:val="00C74A52"/>
    <w:rsid w:val="00C7539D"/>
    <w:rsid w:val="00CC4EE2"/>
    <w:rsid w:val="00CE3B34"/>
    <w:rsid w:val="00CF2A4E"/>
    <w:rsid w:val="00D03898"/>
    <w:rsid w:val="00D06F8C"/>
    <w:rsid w:val="00D342FE"/>
    <w:rsid w:val="00D3467E"/>
    <w:rsid w:val="00D3782D"/>
    <w:rsid w:val="00D42166"/>
    <w:rsid w:val="00D560B2"/>
    <w:rsid w:val="00D77BC1"/>
    <w:rsid w:val="00D86C94"/>
    <w:rsid w:val="00DD5A4D"/>
    <w:rsid w:val="00E02055"/>
    <w:rsid w:val="00E42987"/>
    <w:rsid w:val="00E5003C"/>
    <w:rsid w:val="00E512F9"/>
    <w:rsid w:val="00E6726C"/>
    <w:rsid w:val="00E723FE"/>
    <w:rsid w:val="00E7290F"/>
    <w:rsid w:val="00E734D9"/>
    <w:rsid w:val="00E93F80"/>
    <w:rsid w:val="00EA1167"/>
    <w:rsid w:val="00EC244F"/>
    <w:rsid w:val="00EE70C3"/>
    <w:rsid w:val="00EF6F81"/>
    <w:rsid w:val="00F02598"/>
    <w:rsid w:val="00F1103A"/>
    <w:rsid w:val="00F21241"/>
    <w:rsid w:val="00F44E82"/>
    <w:rsid w:val="00F72F97"/>
    <w:rsid w:val="00FD429B"/>
    <w:rsid w:val="00FD7BB6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2FA860-164D-4C09-ADCB-B3C76997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12,fr,Style 19,Style 16,Nota,Footnote symbol,Footnote,Appel note de bas de p,BVI fnr,SUPERS,Footnote Reference Superscript,(Footnote Reference),Footnote reference number,note TESI,EN Footnote Reference,Voetnootverwijzing"/>
    <w:rPr>
      <w:vertAlign w:val="superscript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i/>
      <w:iCs/>
    </w:rPr>
  </w:style>
  <w:style w:type="character" w:customStyle="1" w:styleId="a">
    <w:name w:val="_"/>
  </w:style>
  <w:style w:type="character" w:customStyle="1" w:styleId="documentbody1">
    <w:name w:val="documentbody1"/>
    <w:rPr>
      <w:rFonts w:ascii="Verdana" w:hAnsi="Verdana" w:hint="default"/>
      <w:sz w:val="19"/>
      <w:szCs w:val="19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</w:pPr>
    <w:rPr>
      <w:color w:val="000000"/>
    </w:rPr>
  </w:style>
  <w:style w:type="paragraph" w:styleId="BalloonText">
    <w:name w:val="Balloon Text"/>
    <w:basedOn w:val="Normal"/>
    <w:semiHidden/>
    <w:rsid w:val="00793CE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E02055"/>
    <w:pPr>
      <w:spacing w:after="120" w:line="480" w:lineRule="auto"/>
      <w:ind w:left="360"/>
    </w:pPr>
  </w:style>
  <w:style w:type="character" w:customStyle="1" w:styleId="FootnoteTextChar">
    <w:name w:val="Footnote Text Char"/>
    <w:link w:val="FootnoteText"/>
    <w:semiHidden/>
    <w:locked/>
    <w:rsid w:val="00B15F98"/>
    <w:rPr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C74A52"/>
    <w:rPr>
      <w:sz w:val="24"/>
    </w:rPr>
  </w:style>
  <w:style w:type="character" w:customStyle="1" w:styleId="BodyTextChar">
    <w:name w:val="Body Text Char"/>
    <w:basedOn w:val="DefaultParagraphFont"/>
    <w:link w:val="BodyText"/>
    <w:rsid w:val="00C74A52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6625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 II – NOTICE OF PROPOSED RULEMAKING</vt:lpstr>
    </vt:vector>
  </TitlesOfParts>
  <Company>OCC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 II – NOTICE OF PROPOSED RULEMAKING</dc:title>
  <dc:creator>Administrator</dc:creator>
  <cp:lastModifiedBy>Gottlieb, Mary</cp:lastModifiedBy>
  <cp:revision>2</cp:revision>
  <cp:lastPrinted>2017-05-31T13:50:00Z</cp:lastPrinted>
  <dcterms:created xsi:type="dcterms:W3CDTF">2017-05-31T13:51:00Z</dcterms:created>
  <dcterms:modified xsi:type="dcterms:W3CDTF">2017-05-31T13:51:00Z</dcterms:modified>
</cp:coreProperties>
</file>