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322" w:rsidRPr="00D84322" w:rsidRDefault="00D84322" w:rsidP="00D84322">
      <w:pPr>
        <w:spacing w:before="45" w:after="150" w:line="240" w:lineRule="auto"/>
        <w:outlineLvl w:val="1"/>
        <w:rPr>
          <w:rFonts w:ascii="Georgia" w:eastAsia="Times New Roman" w:hAnsi="Georgia" w:cs="Arial"/>
          <w:caps/>
          <w:color w:val="B31B3B"/>
          <w:kern w:val="36"/>
          <w:sz w:val="34"/>
          <w:szCs w:val="34"/>
          <w:lang w:val="en"/>
        </w:rPr>
      </w:pPr>
      <w:r w:rsidRPr="00D84322">
        <w:rPr>
          <w:rFonts w:ascii="Georgia" w:eastAsia="Times New Roman" w:hAnsi="Georgia" w:cs="Arial"/>
          <w:caps/>
          <w:color w:val="B31B3B"/>
          <w:kern w:val="36"/>
          <w:sz w:val="34"/>
          <w:szCs w:val="34"/>
          <w:lang w:val="en"/>
        </w:rPr>
        <w:t>19 U.S. Code § 66 - Rules and forms prescribed by Secretary</w:t>
      </w:r>
    </w:p>
    <w:p w:rsidR="00D84322" w:rsidRPr="00D84322" w:rsidRDefault="00D84322" w:rsidP="00D84322">
      <w:pPr>
        <w:spacing w:after="0" w:line="240" w:lineRule="auto"/>
        <w:rPr>
          <w:rFonts w:ascii="Helvetica" w:eastAsia="Times New Roman" w:hAnsi="Helvetica" w:cs="Arial"/>
          <w:color w:val="333333"/>
          <w:sz w:val="21"/>
          <w:szCs w:val="21"/>
          <w:lang w:val="en"/>
        </w:rPr>
      </w:pPr>
      <w:r w:rsidRPr="00D84322">
        <w:rPr>
          <w:rFonts w:ascii="Helvetica" w:eastAsia="Times New Roman" w:hAnsi="Helvetica" w:cs="Arial"/>
          <w:color w:val="333333"/>
          <w:sz w:val="21"/>
          <w:szCs w:val="21"/>
          <w:lang w:val="en"/>
        </w:rPr>
        <w:t xml:space="preserve">Current through Pub. L. </w:t>
      </w:r>
      <w:hyperlink r:id="rId5" w:tgtFrame="_blank" w:tooltip="Pub. L. 113-234" w:history="1">
        <w:r w:rsidRPr="00D84322">
          <w:rPr>
            <w:rFonts w:ascii="Helvetica" w:eastAsia="Times New Roman" w:hAnsi="Helvetica" w:cs="Arial"/>
            <w:color w:val="428BCA"/>
            <w:sz w:val="21"/>
            <w:szCs w:val="21"/>
            <w:lang w:val="en"/>
          </w:rPr>
          <w:t>113-234</w:t>
        </w:r>
      </w:hyperlink>
      <w:r w:rsidRPr="00D84322">
        <w:rPr>
          <w:rFonts w:ascii="Helvetica" w:eastAsia="Times New Roman" w:hAnsi="Helvetica" w:cs="Arial"/>
          <w:color w:val="333333"/>
          <w:sz w:val="21"/>
          <w:szCs w:val="21"/>
          <w:lang w:val="en"/>
        </w:rPr>
        <w:t xml:space="preserve">. (See </w:t>
      </w:r>
      <w:hyperlink r:id="rId6" w:history="1">
        <w:r w:rsidRPr="00D84322">
          <w:rPr>
            <w:rFonts w:ascii="Helvetica" w:eastAsia="Times New Roman" w:hAnsi="Helvetica" w:cs="Arial"/>
            <w:color w:val="428BCA"/>
            <w:sz w:val="21"/>
            <w:szCs w:val="21"/>
            <w:lang w:val="en"/>
          </w:rPr>
          <w:t>Public Laws for the current Congress</w:t>
        </w:r>
      </w:hyperlink>
      <w:r w:rsidRPr="00D84322">
        <w:rPr>
          <w:rFonts w:ascii="Helvetica" w:eastAsia="Times New Roman" w:hAnsi="Helvetica" w:cs="Arial"/>
          <w:color w:val="333333"/>
          <w:sz w:val="21"/>
          <w:szCs w:val="21"/>
          <w:lang w:val="en"/>
        </w:rPr>
        <w:t>.)</w:t>
      </w:r>
    </w:p>
    <w:p w:rsidR="00D84322" w:rsidRPr="00D84322" w:rsidRDefault="00D84322" w:rsidP="00D84322">
      <w:pPr>
        <w:numPr>
          <w:ilvl w:val="0"/>
          <w:numId w:val="1"/>
        </w:numPr>
        <w:spacing w:after="60" w:line="240" w:lineRule="auto"/>
        <w:ind w:left="360"/>
        <w:rPr>
          <w:rFonts w:ascii="Helvetica" w:eastAsia="Times New Roman" w:hAnsi="Helvetica" w:cs="Arial"/>
          <w:color w:val="333333"/>
          <w:sz w:val="21"/>
          <w:szCs w:val="21"/>
          <w:lang w:val="en"/>
        </w:rPr>
      </w:pPr>
      <w:hyperlink r:id="rId7" w:anchor="qt-us_code_temp_noupdates" w:history="1">
        <w:r w:rsidRPr="00D84322">
          <w:rPr>
            <w:rFonts w:ascii="Helvetica" w:eastAsia="Times New Roman" w:hAnsi="Helvetica" w:cs="Arial"/>
            <w:color w:val="000000"/>
            <w:sz w:val="21"/>
            <w:szCs w:val="21"/>
            <w:lang w:val="en"/>
          </w:rPr>
          <w:t>US Code</w:t>
        </w:r>
      </w:hyperlink>
    </w:p>
    <w:p w:rsidR="00D84322" w:rsidRPr="00D84322" w:rsidRDefault="00D84322" w:rsidP="00D84322">
      <w:pPr>
        <w:numPr>
          <w:ilvl w:val="0"/>
          <w:numId w:val="1"/>
        </w:numPr>
        <w:spacing w:after="60" w:line="240" w:lineRule="auto"/>
        <w:ind w:left="360"/>
        <w:rPr>
          <w:rFonts w:ascii="Helvetica" w:eastAsia="Times New Roman" w:hAnsi="Helvetica" w:cs="Arial"/>
          <w:color w:val="333333"/>
          <w:sz w:val="21"/>
          <w:szCs w:val="21"/>
          <w:lang w:val="en"/>
        </w:rPr>
      </w:pPr>
      <w:hyperlink r:id="rId8" w:anchor="qt-us_code_temp_noupdates" w:history="1">
        <w:r w:rsidRPr="00D84322">
          <w:rPr>
            <w:rFonts w:ascii="Helvetica" w:eastAsia="Times New Roman" w:hAnsi="Helvetica" w:cs="Arial"/>
            <w:color w:val="000000"/>
            <w:sz w:val="21"/>
            <w:szCs w:val="21"/>
            <w:lang w:val="en"/>
          </w:rPr>
          <w:t>Notes</w:t>
        </w:r>
      </w:hyperlink>
    </w:p>
    <w:p w:rsidR="00D84322" w:rsidRPr="00D84322" w:rsidRDefault="00D84322" w:rsidP="00D84322">
      <w:pPr>
        <w:numPr>
          <w:ilvl w:val="0"/>
          <w:numId w:val="1"/>
        </w:numPr>
        <w:spacing w:after="60" w:line="240" w:lineRule="auto"/>
        <w:ind w:left="360"/>
        <w:rPr>
          <w:rFonts w:ascii="Helvetica" w:eastAsia="Times New Roman" w:hAnsi="Helvetica" w:cs="Arial"/>
          <w:color w:val="333333"/>
          <w:sz w:val="21"/>
          <w:szCs w:val="21"/>
          <w:lang w:val="en"/>
        </w:rPr>
      </w:pPr>
      <w:hyperlink r:id="rId9" w:anchor="qt-us_code_temp_noupdates" w:history="1">
        <w:r w:rsidRPr="00D84322">
          <w:rPr>
            <w:rFonts w:ascii="Helvetica" w:eastAsia="Times New Roman" w:hAnsi="Helvetica" w:cs="Arial"/>
            <w:color w:val="000000"/>
            <w:sz w:val="21"/>
            <w:szCs w:val="21"/>
            <w:lang w:val="en"/>
          </w:rPr>
          <w:t>Authorities (CFR)</w:t>
        </w:r>
      </w:hyperlink>
    </w:p>
    <w:p w:rsidR="00D84322" w:rsidRPr="00D84322" w:rsidRDefault="00D84322" w:rsidP="00D84322">
      <w:pPr>
        <w:spacing w:after="0" w:line="240" w:lineRule="auto"/>
        <w:jc w:val="right"/>
        <w:rPr>
          <w:rFonts w:ascii="Helvetica" w:eastAsia="Times New Roman" w:hAnsi="Helvetica" w:cs="Arial"/>
          <w:color w:val="333333"/>
          <w:sz w:val="21"/>
          <w:szCs w:val="21"/>
          <w:lang w:val="en"/>
        </w:rPr>
      </w:pPr>
      <w:hyperlink r:id="rId10" w:tooltip="§ 64. Laws imposing fines applicable to persons acting under customs laws" w:history="1">
        <w:proofErr w:type="spellStart"/>
        <w:proofErr w:type="gramStart"/>
        <w:r w:rsidRPr="00D84322">
          <w:rPr>
            <w:rFonts w:ascii="Helvetica" w:eastAsia="Times New Roman" w:hAnsi="Helvetica" w:cs="Arial"/>
            <w:color w:val="428BCA"/>
            <w:sz w:val="21"/>
            <w:szCs w:val="21"/>
            <w:lang w:val="en"/>
          </w:rPr>
          <w:t>prev</w:t>
        </w:r>
        <w:proofErr w:type="spellEnd"/>
        <w:proofErr w:type="gramEnd"/>
      </w:hyperlink>
      <w:r w:rsidRPr="00D84322">
        <w:rPr>
          <w:rFonts w:ascii="Helvetica" w:eastAsia="Times New Roman" w:hAnsi="Helvetica" w:cs="Arial"/>
          <w:color w:val="333333"/>
          <w:sz w:val="21"/>
          <w:szCs w:val="21"/>
          <w:lang w:val="en"/>
        </w:rPr>
        <w:t xml:space="preserve"> | </w:t>
      </w:r>
      <w:hyperlink r:id="rId11" w:tooltip="§ 67. Repealed.]" w:history="1">
        <w:r w:rsidRPr="00D84322">
          <w:rPr>
            <w:rFonts w:ascii="Helvetica" w:eastAsia="Times New Roman" w:hAnsi="Helvetica" w:cs="Arial"/>
            <w:color w:val="428BCA"/>
            <w:sz w:val="21"/>
            <w:szCs w:val="21"/>
            <w:lang w:val="en"/>
          </w:rPr>
          <w:t>next</w:t>
        </w:r>
      </w:hyperlink>
    </w:p>
    <w:p w:rsidR="00D84322" w:rsidRPr="00D84322" w:rsidRDefault="00D84322" w:rsidP="00D84322">
      <w:pPr>
        <w:spacing w:after="0" w:line="240" w:lineRule="auto"/>
        <w:rPr>
          <w:rFonts w:ascii="Helvetica" w:eastAsia="Times New Roman" w:hAnsi="Helvetica" w:cs="Arial"/>
          <w:color w:val="333333"/>
          <w:sz w:val="21"/>
          <w:szCs w:val="21"/>
          <w:lang w:val="en"/>
        </w:rPr>
      </w:pPr>
      <w:r w:rsidRPr="00D84322">
        <w:rPr>
          <w:rFonts w:ascii="Helvetica" w:eastAsia="Times New Roman" w:hAnsi="Helvetica" w:cs="Arial"/>
          <w:color w:val="333333"/>
          <w:sz w:val="21"/>
          <w:szCs w:val="21"/>
          <w:lang w:val="en"/>
        </w:rPr>
        <w:t xml:space="preserve">The Secretary of the Treasury shall prescribe forms of entries, oaths, bonds, and other papers, and rules and regulations not inconsistent with law, to be used in carrying out the provisions of law relating to raising revenue from imports, or to duties on imports, or to warehousing, and shall give such directions to customs officers and prescribe such rules and forms to be observed by them as may be necessary for the proper execution of the law. </w:t>
      </w:r>
    </w:p>
    <w:p w:rsidR="000850F5" w:rsidRDefault="000850F5">
      <w:bookmarkStart w:id="0" w:name="_GoBack"/>
      <w:bookmarkEnd w:id="0"/>
    </w:p>
    <w:sectPr w:rsidR="00085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34963"/>
    <w:multiLevelType w:val="multilevel"/>
    <w:tmpl w:val="228E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322"/>
    <w:rsid w:val="000850F5"/>
    <w:rsid w:val="003B2D9A"/>
    <w:rsid w:val="00D84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FCE68-F633-4A87-B1B1-4686BE80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4322"/>
    <w:rPr>
      <w:strike w:val="0"/>
      <w:dstrike w:val="0"/>
      <w:color w:val="428BC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413234">
      <w:bodyDiv w:val="1"/>
      <w:marLeft w:val="0"/>
      <w:marRight w:val="0"/>
      <w:marTop w:val="0"/>
      <w:marBottom w:val="0"/>
      <w:divBdr>
        <w:top w:val="none" w:sz="0" w:space="0" w:color="auto"/>
        <w:left w:val="none" w:sz="0" w:space="0" w:color="auto"/>
        <w:bottom w:val="none" w:sz="0" w:space="0" w:color="auto"/>
        <w:right w:val="none" w:sz="0" w:space="0" w:color="auto"/>
      </w:divBdr>
      <w:divsChild>
        <w:div w:id="1490367857">
          <w:marLeft w:val="0"/>
          <w:marRight w:val="0"/>
          <w:marTop w:val="0"/>
          <w:marBottom w:val="0"/>
          <w:divBdr>
            <w:top w:val="none" w:sz="0" w:space="0" w:color="auto"/>
            <w:left w:val="none" w:sz="0" w:space="0" w:color="auto"/>
            <w:bottom w:val="none" w:sz="0" w:space="0" w:color="auto"/>
            <w:right w:val="none" w:sz="0" w:space="0" w:color="auto"/>
          </w:divBdr>
          <w:divsChild>
            <w:div w:id="1818719352">
              <w:marLeft w:val="0"/>
              <w:marRight w:val="0"/>
              <w:marTop w:val="0"/>
              <w:marBottom w:val="0"/>
              <w:divBdr>
                <w:top w:val="none" w:sz="0" w:space="0" w:color="auto"/>
                <w:left w:val="none" w:sz="0" w:space="0" w:color="auto"/>
                <w:bottom w:val="none" w:sz="0" w:space="0" w:color="auto"/>
                <w:right w:val="none" w:sz="0" w:space="0" w:color="auto"/>
              </w:divBdr>
              <w:divsChild>
                <w:div w:id="1525441112">
                  <w:marLeft w:val="0"/>
                  <w:marRight w:val="0"/>
                  <w:marTop w:val="0"/>
                  <w:marBottom w:val="0"/>
                  <w:divBdr>
                    <w:top w:val="none" w:sz="0" w:space="0" w:color="auto"/>
                    <w:left w:val="none" w:sz="0" w:space="0" w:color="auto"/>
                    <w:bottom w:val="none" w:sz="0" w:space="0" w:color="auto"/>
                    <w:right w:val="none" w:sz="0" w:space="0" w:color="auto"/>
                  </w:divBdr>
                  <w:divsChild>
                    <w:div w:id="399522669">
                      <w:marLeft w:val="0"/>
                      <w:marRight w:val="0"/>
                      <w:marTop w:val="0"/>
                      <w:marBottom w:val="0"/>
                      <w:divBdr>
                        <w:top w:val="none" w:sz="0" w:space="0" w:color="auto"/>
                        <w:left w:val="none" w:sz="0" w:space="0" w:color="auto"/>
                        <w:bottom w:val="none" w:sz="0" w:space="0" w:color="auto"/>
                        <w:right w:val="none" w:sz="0" w:space="0" w:color="auto"/>
                      </w:divBdr>
                      <w:divsChild>
                        <w:div w:id="449276148">
                          <w:marLeft w:val="0"/>
                          <w:marRight w:val="0"/>
                          <w:marTop w:val="0"/>
                          <w:marBottom w:val="0"/>
                          <w:divBdr>
                            <w:top w:val="none" w:sz="0" w:space="0" w:color="auto"/>
                            <w:left w:val="none" w:sz="0" w:space="0" w:color="auto"/>
                            <w:bottom w:val="none" w:sz="0" w:space="0" w:color="auto"/>
                            <w:right w:val="none" w:sz="0" w:space="0" w:color="auto"/>
                          </w:divBdr>
                          <w:divsChild>
                            <w:div w:id="1774474737">
                              <w:marLeft w:val="0"/>
                              <w:marRight w:val="0"/>
                              <w:marTop w:val="0"/>
                              <w:marBottom w:val="0"/>
                              <w:divBdr>
                                <w:top w:val="none" w:sz="0" w:space="0" w:color="auto"/>
                                <w:left w:val="none" w:sz="0" w:space="0" w:color="auto"/>
                                <w:bottom w:val="none" w:sz="0" w:space="0" w:color="auto"/>
                                <w:right w:val="none" w:sz="0" w:space="0" w:color="auto"/>
                              </w:divBdr>
                              <w:divsChild>
                                <w:div w:id="15849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7515">
                          <w:marLeft w:val="0"/>
                          <w:marRight w:val="0"/>
                          <w:marTop w:val="0"/>
                          <w:marBottom w:val="0"/>
                          <w:divBdr>
                            <w:top w:val="none" w:sz="0" w:space="0" w:color="auto"/>
                            <w:left w:val="none" w:sz="0" w:space="0" w:color="auto"/>
                            <w:bottom w:val="none" w:sz="0" w:space="0" w:color="auto"/>
                            <w:right w:val="none" w:sz="0" w:space="0" w:color="auto"/>
                          </w:divBdr>
                          <w:divsChild>
                            <w:div w:id="311839457">
                              <w:marLeft w:val="0"/>
                              <w:marRight w:val="0"/>
                              <w:marTop w:val="0"/>
                              <w:marBottom w:val="0"/>
                              <w:divBdr>
                                <w:top w:val="none" w:sz="0" w:space="0" w:color="auto"/>
                                <w:left w:val="none" w:sz="0" w:space="0" w:color="auto"/>
                                <w:bottom w:val="none" w:sz="0" w:space="0" w:color="auto"/>
                                <w:right w:val="none" w:sz="0" w:space="0" w:color="auto"/>
                              </w:divBdr>
                              <w:divsChild>
                                <w:div w:id="879979384">
                                  <w:marLeft w:val="0"/>
                                  <w:marRight w:val="0"/>
                                  <w:marTop w:val="0"/>
                                  <w:marBottom w:val="0"/>
                                  <w:divBdr>
                                    <w:top w:val="none" w:sz="0" w:space="0" w:color="auto"/>
                                    <w:left w:val="none" w:sz="0" w:space="0" w:color="auto"/>
                                    <w:bottom w:val="none" w:sz="0" w:space="0" w:color="auto"/>
                                    <w:right w:val="none" w:sz="0" w:space="0" w:color="auto"/>
                                  </w:divBdr>
                                </w:div>
                                <w:div w:id="618688747">
                                  <w:marLeft w:val="0"/>
                                  <w:marRight w:val="0"/>
                                  <w:marTop w:val="0"/>
                                  <w:marBottom w:val="0"/>
                                  <w:divBdr>
                                    <w:top w:val="none" w:sz="0" w:space="0" w:color="auto"/>
                                    <w:left w:val="none" w:sz="0" w:space="0" w:color="auto"/>
                                    <w:bottom w:val="none" w:sz="0" w:space="0" w:color="auto"/>
                                    <w:right w:val="none" w:sz="0" w:space="0" w:color="auto"/>
                                  </w:divBdr>
                                  <w:divsChild>
                                    <w:div w:id="2115010096">
                                      <w:marLeft w:val="0"/>
                                      <w:marRight w:val="0"/>
                                      <w:marTop w:val="0"/>
                                      <w:marBottom w:val="0"/>
                                      <w:divBdr>
                                        <w:top w:val="none" w:sz="0" w:space="0" w:color="auto"/>
                                        <w:left w:val="none" w:sz="0" w:space="0" w:color="auto"/>
                                        <w:bottom w:val="none" w:sz="0" w:space="0" w:color="auto"/>
                                        <w:right w:val="none" w:sz="0" w:space="0" w:color="auto"/>
                                      </w:divBdr>
                                      <w:divsChild>
                                        <w:div w:id="1648389438">
                                          <w:marLeft w:val="0"/>
                                          <w:marRight w:val="0"/>
                                          <w:marTop w:val="0"/>
                                          <w:marBottom w:val="0"/>
                                          <w:divBdr>
                                            <w:top w:val="none" w:sz="0" w:space="0" w:color="auto"/>
                                            <w:left w:val="none" w:sz="0" w:space="0" w:color="auto"/>
                                            <w:bottom w:val="none" w:sz="0" w:space="0" w:color="auto"/>
                                            <w:right w:val="none" w:sz="0" w:space="0" w:color="auto"/>
                                          </w:divBdr>
                                          <w:divsChild>
                                            <w:div w:id="19188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text/19/66?qt-us_code_temp_noupdates=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w.cornell.edu/uscode/text/19/66?qt-us_code_temp_noupdates=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omas.loc.gov/home/LegislativeData.php?n=PublicLaws" TargetMode="External"/><Relationship Id="rId11" Type="http://schemas.openxmlformats.org/officeDocument/2006/relationships/hyperlink" Target="http://www.law.cornell.edu/uscode/text/19/67" TargetMode="External"/><Relationship Id="rId5" Type="http://schemas.openxmlformats.org/officeDocument/2006/relationships/hyperlink" Target="http://www.gpo.gov/fdsys/pkg/PLAW-113publ234/html/PLAW-113publ234.htm" TargetMode="External"/><Relationship Id="rId10" Type="http://schemas.openxmlformats.org/officeDocument/2006/relationships/hyperlink" Target="http://www.law.cornell.edu/uscode/text/19/64" TargetMode="External"/><Relationship Id="rId4" Type="http://schemas.openxmlformats.org/officeDocument/2006/relationships/webSettings" Target="webSettings.xml"/><Relationship Id="rId9" Type="http://schemas.openxmlformats.org/officeDocument/2006/relationships/hyperlink" Target="http://www.law.cornell.edu/uscode/text/19/66?qt-us_code_temp_noupdate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 Customs &amp; Border Protection</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DENNING, TRACEY</dc:creator>
  <cp:keywords/>
  <dc:description/>
  <cp:lastModifiedBy>DENNING, TRACEY</cp:lastModifiedBy>
  <cp:revision>2</cp:revision>
  <dcterms:created xsi:type="dcterms:W3CDTF">2015-02-19T18:13:00Z</dcterms:created>
  <dcterms:modified xsi:type="dcterms:W3CDTF">2015-02-19T18:13:00Z</dcterms:modified>
</cp:coreProperties>
</file>