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AE" w:rsidRPr="00256EAE" w:rsidRDefault="00256EAE" w:rsidP="00256EAE">
      <w:pPr>
        <w:pStyle w:val="Title"/>
        <w:jc w:val="right"/>
        <w:rPr>
          <w:rFonts w:ascii="Arial" w:hAnsi="Arial" w:cs="Arial"/>
          <w:sz w:val="28"/>
        </w:rPr>
      </w:pPr>
      <w:r w:rsidRPr="00256EAE">
        <w:rPr>
          <w:rFonts w:ascii="Arial" w:hAnsi="Arial" w:cs="Arial"/>
          <w:sz w:val="28"/>
        </w:rPr>
        <w:fldChar w:fldCharType="begin"/>
      </w:r>
      <w:r w:rsidRPr="00256EAE">
        <w:rPr>
          <w:rFonts w:ascii="Arial" w:hAnsi="Arial" w:cs="Arial"/>
          <w:sz w:val="28"/>
        </w:rPr>
        <w:instrText xml:space="preserve"> DATE \@ "M/d/yyyy" </w:instrText>
      </w:r>
      <w:r w:rsidRPr="00256EAE">
        <w:rPr>
          <w:rFonts w:ascii="Arial" w:hAnsi="Arial" w:cs="Arial"/>
          <w:sz w:val="28"/>
        </w:rPr>
        <w:fldChar w:fldCharType="separate"/>
      </w:r>
      <w:r w:rsidR="00B52EA7">
        <w:rPr>
          <w:rFonts w:ascii="Arial" w:hAnsi="Arial" w:cs="Arial"/>
          <w:noProof/>
          <w:sz w:val="28"/>
        </w:rPr>
        <w:t>12/12/2016</w:t>
      </w:r>
      <w:r w:rsidRPr="00256EAE">
        <w:rPr>
          <w:rFonts w:ascii="Arial" w:hAnsi="Arial" w:cs="Arial"/>
          <w:sz w:val="28"/>
        </w:rPr>
        <w:fldChar w:fldCharType="end"/>
      </w:r>
    </w:p>
    <w:p w:rsidR="00256EAE" w:rsidRPr="00244357" w:rsidRDefault="00402D69" w:rsidP="00256EAE">
      <w:pPr>
        <w:pStyle w:val="Title"/>
        <w:rPr>
          <w:rFonts w:ascii="Arial" w:hAnsi="Arial" w:cs="Arial"/>
        </w:rPr>
      </w:pPr>
      <w:r w:rsidRPr="00244357">
        <w:rPr>
          <w:rFonts w:ascii="Arial" w:hAnsi="Arial" w:cs="Arial"/>
        </w:rPr>
        <w:t xml:space="preserve">Supporting Statement for </w:t>
      </w:r>
    </w:p>
    <w:p w:rsidR="00402D69" w:rsidRPr="00244357" w:rsidRDefault="00402D69" w:rsidP="00402D69">
      <w:pPr>
        <w:pStyle w:val="Title"/>
        <w:rPr>
          <w:rFonts w:ascii="Arial" w:hAnsi="Arial" w:cs="Arial"/>
          <w:sz w:val="28"/>
        </w:rPr>
      </w:pPr>
      <w:r w:rsidRPr="00244357">
        <w:rPr>
          <w:rFonts w:ascii="Arial" w:hAnsi="Arial" w:cs="Arial"/>
        </w:rPr>
        <w:t>Paperwork Reduction Act Submissions</w:t>
      </w:r>
    </w:p>
    <w:p w:rsidR="00402D69" w:rsidRPr="00DA74B9" w:rsidRDefault="00402D69" w:rsidP="00402D69">
      <w:pPr>
        <w:tabs>
          <w:tab w:val="left" w:pos="-720"/>
        </w:tabs>
        <w:suppressAutoHyphens/>
        <w:rPr>
          <w:b/>
          <w:color w:val="FF0000"/>
          <w:sz w:val="28"/>
        </w:rPr>
      </w:pPr>
    </w:p>
    <w:p w:rsidR="00256EAE" w:rsidRDefault="00256EAE" w:rsidP="00256EAE">
      <w:pPr>
        <w:tabs>
          <w:tab w:val="left" w:pos="-720"/>
        </w:tabs>
        <w:suppressAutoHyphens/>
        <w:rPr>
          <w:b/>
          <w:color w:val="FF0000"/>
          <w:sz w:val="28"/>
          <w:szCs w:val="28"/>
        </w:rPr>
      </w:pPr>
      <w:r w:rsidRPr="00B92B09">
        <w:rPr>
          <w:b/>
          <w:sz w:val="28"/>
          <w:szCs w:val="28"/>
        </w:rPr>
        <w:t xml:space="preserve">OMB Control Number:  1660 </w:t>
      </w:r>
      <w:r>
        <w:rPr>
          <w:b/>
          <w:sz w:val="28"/>
          <w:szCs w:val="28"/>
        </w:rPr>
        <w:t>–</w:t>
      </w:r>
      <w:r w:rsidRPr="00B92B09">
        <w:rPr>
          <w:b/>
          <w:sz w:val="28"/>
          <w:szCs w:val="28"/>
        </w:rPr>
        <w:t xml:space="preserve"> </w:t>
      </w:r>
      <w:r w:rsidR="00B52EA7">
        <w:rPr>
          <w:b/>
          <w:color w:val="FF0000"/>
          <w:sz w:val="28"/>
          <w:szCs w:val="28"/>
        </w:rPr>
        <w:t>NW102</w:t>
      </w:r>
    </w:p>
    <w:p w:rsidR="00256EAE" w:rsidRPr="00B92B09" w:rsidRDefault="00256EAE" w:rsidP="00256EAE">
      <w:pPr>
        <w:tabs>
          <w:tab w:val="left" w:pos="-720"/>
        </w:tabs>
        <w:suppressAutoHyphens/>
        <w:rPr>
          <w:b/>
          <w:sz w:val="28"/>
          <w:szCs w:val="28"/>
        </w:rPr>
      </w:pPr>
    </w:p>
    <w:p w:rsidR="00256EAE" w:rsidRDefault="00256EAE" w:rsidP="00256EAE">
      <w:pPr>
        <w:tabs>
          <w:tab w:val="left" w:pos="-720"/>
        </w:tabs>
        <w:suppressAutoHyphens/>
        <w:rPr>
          <w:b/>
          <w:sz w:val="28"/>
          <w:szCs w:val="28"/>
        </w:rPr>
      </w:pPr>
      <w:r w:rsidRPr="00B92B09">
        <w:rPr>
          <w:b/>
          <w:sz w:val="28"/>
          <w:szCs w:val="28"/>
        </w:rPr>
        <w:t xml:space="preserve">Title:  </w:t>
      </w:r>
      <w:r>
        <w:rPr>
          <w:b/>
          <w:sz w:val="28"/>
          <w:szCs w:val="28"/>
        </w:rPr>
        <w:t>Federal Emergency Management Agency Individual Assistance Customer Satisfaction Surveys</w:t>
      </w:r>
    </w:p>
    <w:p w:rsidR="00256EAE" w:rsidRPr="00B92B09" w:rsidRDefault="00256EAE" w:rsidP="00256EAE">
      <w:pPr>
        <w:tabs>
          <w:tab w:val="left" w:pos="-720"/>
        </w:tabs>
        <w:suppressAutoHyphens/>
        <w:rPr>
          <w:b/>
          <w:sz w:val="28"/>
          <w:szCs w:val="28"/>
        </w:rPr>
      </w:pPr>
    </w:p>
    <w:p w:rsidR="00256EAE" w:rsidRDefault="00256EAE" w:rsidP="00256EAE">
      <w:pPr>
        <w:tabs>
          <w:tab w:val="left" w:pos="-720"/>
        </w:tabs>
        <w:suppressAutoHyphens/>
        <w:rPr>
          <w:b/>
          <w:sz w:val="28"/>
          <w:szCs w:val="28"/>
        </w:rPr>
      </w:pPr>
      <w:r w:rsidRPr="00B92B09">
        <w:rPr>
          <w:b/>
          <w:sz w:val="28"/>
          <w:szCs w:val="28"/>
        </w:rPr>
        <w:t xml:space="preserve">Form Number(s):  </w:t>
      </w:r>
    </w:p>
    <w:p w:rsidR="00EE0A65" w:rsidRPr="00700F8A" w:rsidRDefault="00EE0A65" w:rsidP="00EE0A65">
      <w:pPr>
        <w:tabs>
          <w:tab w:val="left" w:pos="-720"/>
        </w:tabs>
        <w:suppressAutoHyphens/>
        <w:rPr>
          <w:b/>
          <w:sz w:val="28"/>
          <w:szCs w:val="28"/>
        </w:rPr>
      </w:pPr>
      <w:r w:rsidRPr="00B92B09">
        <w:rPr>
          <w:b/>
          <w:sz w:val="28"/>
          <w:szCs w:val="28"/>
        </w:rPr>
        <w:t xml:space="preserve">FEMA </w:t>
      </w:r>
      <w:r w:rsidRPr="00700F8A">
        <w:rPr>
          <w:b/>
          <w:sz w:val="28"/>
          <w:szCs w:val="28"/>
        </w:rPr>
        <w:t>Form 519-0-36</w:t>
      </w:r>
      <w:r w:rsidRPr="00700F8A">
        <w:rPr>
          <w:b/>
          <w:sz w:val="28"/>
          <w:szCs w:val="28"/>
        </w:rPr>
        <w:tab/>
        <w:t>Initial Survey –Phone</w:t>
      </w:r>
    </w:p>
    <w:p w:rsidR="00EE0A65" w:rsidRPr="00700F8A" w:rsidRDefault="00EE0A65" w:rsidP="00EE0A65">
      <w:pPr>
        <w:tabs>
          <w:tab w:val="left" w:pos="-720"/>
        </w:tabs>
        <w:suppressAutoHyphens/>
        <w:rPr>
          <w:b/>
          <w:sz w:val="28"/>
          <w:szCs w:val="28"/>
        </w:rPr>
      </w:pPr>
      <w:r w:rsidRPr="00700F8A">
        <w:rPr>
          <w:b/>
          <w:sz w:val="28"/>
          <w:szCs w:val="28"/>
        </w:rPr>
        <w:t>FEMA Form 519-0-37</w:t>
      </w:r>
      <w:r w:rsidRPr="00700F8A">
        <w:rPr>
          <w:b/>
          <w:sz w:val="28"/>
          <w:szCs w:val="28"/>
        </w:rPr>
        <w:tab/>
        <w:t>Initial Survey -Electronic</w:t>
      </w:r>
    </w:p>
    <w:p w:rsidR="00EE0A65" w:rsidRPr="00700F8A" w:rsidRDefault="00EE0A65" w:rsidP="00EE0A65">
      <w:pPr>
        <w:tabs>
          <w:tab w:val="left" w:pos="-720"/>
        </w:tabs>
        <w:suppressAutoHyphens/>
        <w:rPr>
          <w:b/>
          <w:sz w:val="28"/>
          <w:szCs w:val="28"/>
        </w:rPr>
      </w:pPr>
      <w:r w:rsidRPr="00700F8A">
        <w:rPr>
          <w:b/>
          <w:sz w:val="28"/>
          <w:szCs w:val="28"/>
        </w:rPr>
        <w:t>FEMA Form 519-0-38 Contact Survey -Phone</w:t>
      </w:r>
    </w:p>
    <w:p w:rsidR="00EE0A65" w:rsidRPr="00700F8A" w:rsidRDefault="00EE0A65" w:rsidP="00EE0A65">
      <w:pPr>
        <w:tabs>
          <w:tab w:val="left" w:pos="-720"/>
        </w:tabs>
        <w:suppressAutoHyphens/>
        <w:rPr>
          <w:b/>
          <w:sz w:val="28"/>
          <w:szCs w:val="28"/>
        </w:rPr>
      </w:pPr>
      <w:r w:rsidRPr="00700F8A">
        <w:rPr>
          <w:b/>
          <w:sz w:val="28"/>
          <w:szCs w:val="28"/>
        </w:rPr>
        <w:t>FEMA Form 519-0-39 Contact Survey- Electronic</w:t>
      </w:r>
    </w:p>
    <w:p w:rsidR="00EE0A65" w:rsidRPr="00700F8A" w:rsidRDefault="00EE0A65" w:rsidP="00EE0A65">
      <w:pPr>
        <w:tabs>
          <w:tab w:val="left" w:pos="-720"/>
        </w:tabs>
        <w:suppressAutoHyphens/>
        <w:rPr>
          <w:b/>
          <w:sz w:val="28"/>
          <w:szCs w:val="28"/>
        </w:rPr>
      </w:pPr>
      <w:r w:rsidRPr="00700F8A">
        <w:rPr>
          <w:b/>
          <w:sz w:val="28"/>
          <w:szCs w:val="28"/>
        </w:rPr>
        <w:t>FEMA Form 519-0-40 Assessment Survey -Phone</w:t>
      </w:r>
    </w:p>
    <w:p w:rsidR="00EE0A65" w:rsidRPr="00700F8A" w:rsidRDefault="00EE0A65" w:rsidP="00EE0A65">
      <w:pPr>
        <w:tabs>
          <w:tab w:val="left" w:pos="-720"/>
        </w:tabs>
        <w:suppressAutoHyphens/>
        <w:rPr>
          <w:b/>
          <w:sz w:val="28"/>
          <w:szCs w:val="28"/>
        </w:rPr>
      </w:pPr>
      <w:r w:rsidRPr="00700F8A">
        <w:rPr>
          <w:b/>
          <w:sz w:val="28"/>
          <w:szCs w:val="28"/>
        </w:rPr>
        <w:t xml:space="preserve">FEMA Form 519-0-41 Assessment Survey - Electronic </w:t>
      </w:r>
    </w:p>
    <w:p w:rsidR="00402D69" w:rsidRDefault="00402D69" w:rsidP="00402D69">
      <w:pPr>
        <w:tabs>
          <w:tab w:val="left" w:pos="-720"/>
        </w:tabs>
        <w:suppressAutoHyphens/>
        <w:rPr>
          <w:color w:val="31849B"/>
        </w:rPr>
      </w:pPr>
    </w:p>
    <w:p w:rsidR="00875636" w:rsidRPr="002F0D00" w:rsidRDefault="00875636" w:rsidP="00875636">
      <w:pPr>
        <w:pStyle w:val="Heading1"/>
        <w:rPr>
          <w:szCs w:val="28"/>
        </w:rPr>
      </w:pPr>
      <w:r w:rsidRPr="002F0D00">
        <w:rPr>
          <w:szCs w:val="28"/>
        </w:rPr>
        <w:t xml:space="preserve">To streamline the paperwork process, this new collection of surveys replaces </w:t>
      </w:r>
      <w:r>
        <w:rPr>
          <w:szCs w:val="28"/>
        </w:rPr>
        <w:t>two</w:t>
      </w:r>
      <w:r w:rsidRPr="002F0D00">
        <w:rPr>
          <w:szCs w:val="28"/>
        </w:rPr>
        <w:t xml:space="preserve"> unexpired collections of FEMA Individual Assistance Customer Satisfaction Surveys: 1) 1660-0036 with 11 surveys</w:t>
      </w:r>
      <w:r>
        <w:rPr>
          <w:szCs w:val="28"/>
        </w:rPr>
        <w:t xml:space="preserve"> and</w:t>
      </w:r>
      <w:r w:rsidRPr="002F0D00">
        <w:rPr>
          <w:szCs w:val="28"/>
        </w:rPr>
        <w:t xml:space="preserve"> 2) </w:t>
      </w:r>
      <w:r>
        <w:rPr>
          <w:szCs w:val="28"/>
        </w:rPr>
        <w:t>1660-0128 with 1 survey</w:t>
      </w:r>
      <w:r w:rsidRPr="002F0D00">
        <w:rPr>
          <w:szCs w:val="28"/>
        </w:rPr>
        <w:t>. The 1</w:t>
      </w:r>
      <w:r>
        <w:rPr>
          <w:szCs w:val="28"/>
        </w:rPr>
        <w:t>2</w:t>
      </w:r>
      <w:r w:rsidRPr="002F0D00">
        <w:rPr>
          <w:szCs w:val="28"/>
        </w:rPr>
        <w:t xml:space="preserve"> surveys in these </w:t>
      </w:r>
      <w:r>
        <w:rPr>
          <w:szCs w:val="28"/>
        </w:rPr>
        <w:t xml:space="preserve">two </w:t>
      </w:r>
      <w:r w:rsidRPr="002F0D00">
        <w:rPr>
          <w:szCs w:val="28"/>
        </w:rPr>
        <w:t>collections</w:t>
      </w:r>
      <w:r>
        <w:rPr>
          <w:szCs w:val="28"/>
        </w:rPr>
        <w:t xml:space="preserve">, which expire 9/2017 and 1/2018 respectively, </w:t>
      </w:r>
      <w:r w:rsidRPr="002F0D00">
        <w:rPr>
          <w:szCs w:val="28"/>
        </w:rPr>
        <w:t>will be replaced with this new collection. Upon approval of this new collection, the t</w:t>
      </w:r>
      <w:r>
        <w:rPr>
          <w:szCs w:val="28"/>
        </w:rPr>
        <w:t>wo</w:t>
      </w:r>
      <w:r w:rsidRPr="002F0D00">
        <w:rPr>
          <w:szCs w:val="28"/>
        </w:rPr>
        <w:t xml:space="preserve"> current collections will be discontinued.</w:t>
      </w:r>
    </w:p>
    <w:p w:rsidR="00875636" w:rsidRDefault="00875636" w:rsidP="00402D69">
      <w:pPr>
        <w:tabs>
          <w:tab w:val="left" w:pos="-720"/>
        </w:tabs>
        <w:suppressAutoHyphens/>
        <w:rPr>
          <w:color w:val="31849B"/>
        </w:rPr>
      </w:pPr>
    </w:p>
    <w:p w:rsidR="00842E74" w:rsidRPr="009762BB" w:rsidRDefault="00842E74">
      <w:pPr>
        <w:tabs>
          <w:tab w:val="left" w:pos="-720"/>
        </w:tabs>
        <w:suppressAutoHyphens/>
        <w:rPr>
          <w:b/>
          <w:sz w:val="28"/>
        </w:rPr>
      </w:pPr>
      <w:r w:rsidRPr="009762BB">
        <w:rPr>
          <w:b/>
          <w:sz w:val="28"/>
        </w:rPr>
        <w:t>B.  Collections of Information Employing Statistical Methods.</w:t>
      </w:r>
    </w:p>
    <w:p w:rsidR="00842E74" w:rsidRPr="009762BB" w:rsidRDefault="00842E74">
      <w:pPr>
        <w:tabs>
          <w:tab w:val="left" w:pos="-720"/>
        </w:tabs>
        <w:suppressAutoHyphens/>
      </w:pPr>
      <w:r w:rsidRPr="009762BB">
        <w:fldChar w:fldCharType="begin"/>
      </w:r>
      <w:r w:rsidRPr="009762BB">
        <w:instrText>ADVANCE \R 0.95</w:instrText>
      </w:r>
      <w:r w:rsidRPr="009762BB">
        <w:fldChar w:fldCharType="end"/>
      </w:r>
      <w:r w:rsidRPr="009762BB">
        <w:fldChar w:fldCharType="begin"/>
      </w:r>
      <w:r w:rsidRPr="009762BB">
        <w:instrText>ADVANCE \R 0.95</w:instrText>
      </w:r>
      <w:r w:rsidRPr="009762BB">
        <w:fldChar w:fldCharType="end"/>
      </w:r>
      <w:r w:rsidRPr="009762BB">
        <w:tab/>
      </w:r>
    </w:p>
    <w:p w:rsidR="00842E74" w:rsidRPr="009762BB" w:rsidRDefault="00842E74">
      <w:pPr>
        <w:tabs>
          <w:tab w:val="left" w:pos="-720"/>
        </w:tabs>
        <w:suppressAutoHyphens/>
      </w:pPr>
      <w:r w:rsidRPr="009762BB">
        <w:t>When Item 17 on the Form OMB 83-I is checked “Yes”, the following documentation should be included in the Supporting Statement to the extent it applies to the methods proposed:</w:t>
      </w:r>
    </w:p>
    <w:p w:rsidR="00842E74" w:rsidRPr="009762BB" w:rsidRDefault="00842E74">
      <w:pPr>
        <w:tabs>
          <w:tab w:val="left" w:pos="-720"/>
        </w:tabs>
        <w:suppressAutoHyphens/>
      </w:pPr>
    </w:p>
    <w:p w:rsidR="008D08F6" w:rsidRPr="009762BB" w:rsidRDefault="008D08F6">
      <w:pPr>
        <w:tabs>
          <w:tab w:val="left" w:pos="-720"/>
        </w:tabs>
        <w:suppressAutoHyphens/>
        <w:rPr>
          <w:b/>
        </w:rPr>
      </w:pPr>
      <w:r w:rsidRPr="009762BB">
        <w:rPr>
          <w:b/>
        </w:rPr>
        <w:t>If the collection does not involve statistical methodology please enter “THERE IS NO STATISTICAL METHODOLOG</w:t>
      </w:r>
      <w:r w:rsidR="0081216A">
        <w:rPr>
          <w:b/>
        </w:rPr>
        <w:t xml:space="preserve">Y INVOLVED IN THIS COLLECTION” </w:t>
      </w:r>
      <w:r w:rsidRPr="009762BB">
        <w:rPr>
          <w:b/>
        </w:rPr>
        <w:t xml:space="preserve">and delete Q1 through 5. </w:t>
      </w:r>
    </w:p>
    <w:p w:rsidR="008D08F6" w:rsidRPr="009762BB" w:rsidRDefault="008D08F6">
      <w:pPr>
        <w:tabs>
          <w:tab w:val="left" w:pos="-720"/>
        </w:tabs>
        <w:suppressAutoHyphens/>
        <w:rPr>
          <w:b/>
        </w:rPr>
      </w:pPr>
    </w:p>
    <w:p w:rsidR="001B57CA" w:rsidRDefault="006B296C" w:rsidP="001B57CA">
      <w:pPr>
        <w:tabs>
          <w:tab w:val="left" w:pos="-720"/>
          <w:tab w:val="num" w:pos="1080"/>
        </w:tabs>
        <w:suppressAutoHyphens/>
        <w:spacing w:after="120"/>
      </w:pPr>
      <w:r w:rsidRPr="009762BB">
        <w:rPr>
          <w:b/>
          <w:bCs/>
        </w:rPr>
        <w:t xml:space="preserve">1.  </w:t>
      </w:r>
      <w:r w:rsidR="00842E74" w:rsidRPr="009762BB">
        <w:rPr>
          <w:b/>
          <w:bCs/>
        </w:rPr>
        <w:t>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r w:rsidR="003D05F2" w:rsidRPr="009762BB">
        <w:t xml:space="preserve"> </w:t>
      </w:r>
    </w:p>
    <w:p w:rsidR="00256EAE" w:rsidRDefault="00795574" w:rsidP="001B57CA">
      <w:pPr>
        <w:tabs>
          <w:tab w:val="left" w:pos="-720"/>
          <w:tab w:val="num" w:pos="1080"/>
        </w:tabs>
        <w:suppressAutoHyphens/>
        <w:spacing w:after="120"/>
      </w:pPr>
      <w:r>
        <w:t>The sampling</w:t>
      </w:r>
      <w:r w:rsidR="007031C2">
        <w:t xml:space="preserve"> </w:t>
      </w:r>
      <w:r w:rsidR="007105CE">
        <w:t xml:space="preserve">frame </w:t>
      </w:r>
      <w:r w:rsidR="00256EAE">
        <w:t>consist of all disaster survivors who registered for assistance with FEMA</w:t>
      </w:r>
      <w:r w:rsidR="007105CE">
        <w:t xml:space="preserve">. </w:t>
      </w:r>
      <w:r w:rsidR="00256EAE">
        <w:t xml:space="preserve">The subpopulations are </w:t>
      </w:r>
      <w:r w:rsidR="007031C2">
        <w:t xml:space="preserve">then </w:t>
      </w:r>
      <w:r w:rsidR="00256EAE">
        <w:t>grouped by the intent of the</w:t>
      </w:r>
      <w:r w:rsidR="00327ED7">
        <w:t xml:space="preserve"> scope of each survey </w:t>
      </w:r>
      <w:r w:rsidR="00256EAE">
        <w:t>as follows:</w:t>
      </w:r>
    </w:p>
    <w:p w:rsidR="001D5F32" w:rsidRDefault="00256EAE" w:rsidP="00DA1BD8">
      <w:r w:rsidRPr="00161F10">
        <w:rPr>
          <w:b/>
        </w:rPr>
        <w:t>Initial Survey</w:t>
      </w:r>
      <w:r w:rsidR="0091474B" w:rsidRPr="00161F10">
        <w:rPr>
          <w:b/>
        </w:rPr>
        <w:t xml:space="preserve"> (Phone or E</w:t>
      </w:r>
      <w:r w:rsidR="00BA0845">
        <w:rPr>
          <w:b/>
        </w:rPr>
        <w:t>lectronic</w:t>
      </w:r>
      <w:r w:rsidR="0091474B" w:rsidRPr="00161F10">
        <w:rPr>
          <w:b/>
        </w:rPr>
        <w:t>)</w:t>
      </w:r>
      <w:r w:rsidRPr="00161F10">
        <w:rPr>
          <w:b/>
        </w:rPr>
        <w:t xml:space="preserve"> </w:t>
      </w:r>
      <w:r w:rsidRPr="00161F10">
        <w:t>measure</w:t>
      </w:r>
      <w:r w:rsidR="00B16681" w:rsidRPr="00161F10">
        <w:t>s</w:t>
      </w:r>
      <w:r w:rsidRPr="00161F10">
        <w:t xml:space="preserve"> the quality of disaster assistance information and service</w:t>
      </w:r>
      <w:r w:rsidR="00C1072D">
        <w:t>s</w:t>
      </w:r>
      <w:r w:rsidRPr="00161F10">
        <w:t xml:space="preserve"> received during the initial registration proc</w:t>
      </w:r>
      <w:r w:rsidR="00B16681" w:rsidRPr="00161F10">
        <w:t xml:space="preserve">ess. </w:t>
      </w:r>
      <w:r w:rsidR="006D4D28">
        <w:t>Possible registration</w:t>
      </w:r>
      <w:r w:rsidR="00176076" w:rsidRPr="00161F10">
        <w:t xml:space="preserve"> methods </w:t>
      </w:r>
      <w:r w:rsidR="006D4D28">
        <w:t>include</w:t>
      </w:r>
      <w:r w:rsidR="00176076" w:rsidRPr="00161F10">
        <w:t xml:space="preserve"> (1) with a FEMA representative or (2) online via D</w:t>
      </w:r>
      <w:r w:rsidR="006D4D28">
        <w:t>isasterAssistance.gov website.</w:t>
      </w:r>
      <w:r w:rsidR="00DA1BD8">
        <w:t xml:space="preserve"> </w:t>
      </w:r>
      <w:r w:rsidR="006D4D28">
        <w:t xml:space="preserve"> </w:t>
      </w:r>
    </w:p>
    <w:p w:rsidR="001D5F32" w:rsidRDefault="001D5F32" w:rsidP="00DA1BD8"/>
    <w:p w:rsidR="00DA1BD8" w:rsidRDefault="001D5F32" w:rsidP="00DA1BD8">
      <w:r>
        <w:lastRenderedPageBreak/>
        <w:t xml:space="preserve">Proportionating registration </w:t>
      </w:r>
      <w:r w:rsidRPr="00161F10">
        <w:t>m</w:t>
      </w:r>
      <w:r>
        <w:t>ethods</w:t>
      </w:r>
      <w:r w:rsidRPr="00161F10">
        <w:t xml:space="preserve"> into </w:t>
      </w:r>
      <w:r>
        <w:t xml:space="preserve">homogeneous subgroups </w:t>
      </w:r>
      <w:r w:rsidRPr="00161F10">
        <w:t xml:space="preserve">reflect the primary interest </w:t>
      </w:r>
      <w:r>
        <w:t>of the Initial Survey</w:t>
      </w:r>
      <w:r w:rsidRPr="00161F10">
        <w:t xml:space="preserve">.  </w:t>
      </w:r>
      <w:r w:rsidR="006D4D28">
        <w:t>The s</w:t>
      </w:r>
      <w:r w:rsidR="00176076" w:rsidRPr="00161F10">
        <w:t xml:space="preserve">ample will include a </w:t>
      </w:r>
      <w:r w:rsidR="006D4D28">
        <w:t>proportionate amount of applicants who used each registration</w:t>
      </w:r>
      <w:r w:rsidR="00176076" w:rsidRPr="00161F10">
        <w:t xml:space="preserve"> method (FEMA representative or online).</w:t>
      </w:r>
      <w:r w:rsidR="00DA1BD8" w:rsidRPr="00DA1BD8">
        <w:t xml:space="preserve"> </w:t>
      </w:r>
      <w:r w:rsidR="00DA1BD8">
        <w:t xml:space="preserve"> A proportionate sample of registration methods (e.g., 63.77% - Representative, 36.23% - Online)</w:t>
      </w:r>
      <w:r>
        <w:t xml:space="preserve"> will be</w:t>
      </w:r>
      <w:r w:rsidR="00DA1BD8">
        <w:t xml:space="preserve"> derived for weekly administration, the data is then divided into the applicant’s </w:t>
      </w:r>
      <w:r>
        <w:t xml:space="preserve">preferred </w:t>
      </w:r>
      <w:r w:rsidR="00DA1BD8">
        <w:t xml:space="preserve">communication method.  </w:t>
      </w:r>
    </w:p>
    <w:p w:rsidR="00E7402E" w:rsidRDefault="00E7402E" w:rsidP="00256EAE"/>
    <w:p w:rsidR="007502DB" w:rsidRDefault="00C11F9E" w:rsidP="00256EAE">
      <w:r>
        <w:t xml:space="preserve">The total population of applicants is approximately </w:t>
      </w:r>
      <w:r w:rsidR="00DA1BD8">
        <w:t>378,674</w:t>
      </w:r>
      <w:r>
        <w:t xml:space="preserve">, based on a 5 year average of disaster registration data.  </w:t>
      </w:r>
      <w:r w:rsidR="004E5AE1" w:rsidRPr="00161F10">
        <w:t>The target number of completion</w:t>
      </w:r>
      <w:r w:rsidR="005A220B">
        <w:t>s</w:t>
      </w:r>
      <w:r w:rsidR="004E5AE1" w:rsidRPr="00161F10">
        <w:t xml:space="preserve"> per month is 400 to ensure statistical inference with 95% confidence level, 0.5 variability assumption on the population, and 5% precision (Margin of error). </w:t>
      </w:r>
    </w:p>
    <w:p w:rsidR="007502DB" w:rsidRDefault="007502DB" w:rsidP="00256EAE"/>
    <w:p w:rsidR="00925DA9" w:rsidRDefault="005A220B" w:rsidP="00256EAE">
      <w:r>
        <w:t xml:space="preserve">The system </w:t>
      </w:r>
      <w:r w:rsidR="00974630">
        <w:t xml:space="preserve">is flagged by </w:t>
      </w:r>
      <w:r w:rsidR="001D5F32">
        <w:t xml:space="preserve">the preferred </w:t>
      </w:r>
      <w:r w:rsidR="00974630">
        <w:t xml:space="preserve">communication method and the administration </w:t>
      </w:r>
      <w:r w:rsidR="00190D73">
        <w:t xml:space="preserve">method to deliver the survey </w:t>
      </w:r>
      <w:r w:rsidR="00974630">
        <w:t xml:space="preserve">(Phone or Electronic). </w:t>
      </w:r>
    </w:p>
    <w:p w:rsidR="00925DA9" w:rsidRDefault="00925DA9" w:rsidP="00602C56">
      <w:r>
        <w:t xml:space="preserve">1. </w:t>
      </w:r>
      <w:r w:rsidR="00974630">
        <w:t xml:space="preserve">Phone Survey: </w:t>
      </w:r>
      <w:r w:rsidR="005A220B">
        <w:t>Historical data show</w:t>
      </w:r>
      <w:r w:rsidR="00D30D9A">
        <w:t>s</w:t>
      </w:r>
      <w:r w:rsidR="005A220B">
        <w:t xml:space="preserve"> approximately </w:t>
      </w:r>
      <w:r w:rsidR="00DA1BD8">
        <w:t>257,498</w:t>
      </w:r>
      <w:r w:rsidR="007502DB">
        <w:t xml:space="preserve"> (68%)</w:t>
      </w:r>
      <w:r>
        <w:t xml:space="preserve"> applicants</w:t>
      </w:r>
      <w:r w:rsidR="005A220B">
        <w:t xml:space="preserve"> </w:t>
      </w:r>
      <w:r w:rsidR="00D640EF">
        <w:t>with</w:t>
      </w:r>
      <w:r w:rsidR="00D30D9A">
        <w:t xml:space="preserve"> a </w:t>
      </w:r>
      <w:r w:rsidR="005A220B">
        <w:t>preferred</w:t>
      </w:r>
      <w:r w:rsidR="00974630">
        <w:t xml:space="preserve"> communication</w:t>
      </w:r>
      <w:r w:rsidR="005A220B">
        <w:t xml:space="preserve"> method by</w:t>
      </w:r>
      <w:r w:rsidR="00974630">
        <w:t xml:space="preserve"> US Mail</w:t>
      </w:r>
      <w:r>
        <w:t xml:space="preserve"> </w:t>
      </w:r>
      <w:r w:rsidR="005A220B">
        <w:t xml:space="preserve">with a </w:t>
      </w:r>
      <w:r w:rsidR="00161F10">
        <w:t xml:space="preserve">response rate </w:t>
      </w:r>
      <w:r>
        <w:t>of</w:t>
      </w:r>
      <w:r w:rsidR="00161F10">
        <w:t xml:space="preserve"> approximately 34%</w:t>
      </w:r>
      <w:r w:rsidR="00D640EF">
        <w:t xml:space="preserve"> based on historical data</w:t>
      </w:r>
      <w:r>
        <w:t xml:space="preserve">. </w:t>
      </w:r>
    </w:p>
    <w:p w:rsidR="0030521A" w:rsidRDefault="00925DA9" w:rsidP="00602C56">
      <w:r>
        <w:t xml:space="preserve">2. </w:t>
      </w:r>
      <w:r w:rsidR="00974630">
        <w:t xml:space="preserve">Electronic Survey: </w:t>
      </w:r>
      <w:r w:rsidR="0059593B">
        <w:t>Historical data shows a</w:t>
      </w:r>
      <w:r>
        <w:t xml:space="preserve">pproximately </w:t>
      </w:r>
      <w:r w:rsidR="00DA1BD8">
        <w:t>121,176</w:t>
      </w:r>
      <w:r>
        <w:t xml:space="preserve"> </w:t>
      </w:r>
      <w:r w:rsidR="007502DB">
        <w:t xml:space="preserve">(32%) </w:t>
      </w:r>
      <w:r>
        <w:t xml:space="preserve">applicants </w:t>
      </w:r>
      <w:r w:rsidR="00D640EF">
        <w:t>with</w:t>
      </w:r>
      <w:r w:rsidR="00D30D9A">
        <w:t xml:space="preserve"> </w:t>
      </w:r>
      <w:r w:rsidR="0059593B">
        <w:t>a</w:t>
      </w:r>
      <w:r>
        <w:t xml:space="preserve"> preferred </w:t>
      </w:r>
      <w:r w:rsidR="0059593B">
        <w:t xml:space="preserve">communication </w:t>
      </w:r>
      <w:r>
        <w:t xml:space="preserve">method </w:t>
      </w:r>
      <w:r w:rsidR="0059593B">
        <w:t xml:space="preserve">of email. </w:t>
      </w:r>
      <w:r w:rsidR="00D30D9A">
        <w:t xml:space="preserve"> </w:t>
      </w:r>
      <w:r w:rsidR="0059593B">
        <w:t xml:space="preserve">The </w:t>
      </w:r>
      <w:r w:rsidR="00161F10">
        <w:t xml:space="preserve">expected response rate for </w:t>
      </w:r>
      <w:r w:rsidR="0059593B">
        <w:t>the electronic</w:t>
      </w:r>
      <w:r w:rsidR="00161F10">
        <w:t xml:space="preserve"> survey </w:t>
      </w:r>
      <w:r w:rsidR="00C62B5C">
        <w:t>is</w:t>
      </w:r>
      <w:r w:rsidR="00161F10">
        <w:t xml:space="preserve"> approximately 30% based on empirical research of web based surveys and industry standards.  </w:t>
      </w:r>
    </w:p>
    <w:p w:rsidR="00176076" w:rsidRDefault="0030521A" w:rsidP="0030521A">
      <w:pPr>
        <w:ind w:firstLine="720"/>
      </w:pPr>
      <w:r w:rsidRPr="00585B40">
        <w:fldChar w:fldCharType="begin"/>
      </w:r>
      <w:r w:rsidRPr="00585B40">
        <w:instrText xml:space="preserve"> QUOTE </w:instrText>
      </w:r>
      <m:oMath>
        <m:r>
          <m:rPr>
            <m:sty m:val="p"/>
          </m:rPr>
          <w:rPr>
            <w:rFonts w:ascii="Cambria Math" w:hAnsi="Cambria Math"/>
          </w:rPr>
          <m:t>9,566=</m:t>
        </m:r>
        <m:f>
          <m:fPr>
            <m:ctrlPr>
              <w:rPr>
                <w:rFonts w:ascii="Cambria Math" w:eastAsia="Calibri" w:hAnsi="Cambria Math"/>
                <w:i/>
                <w:sz w:val="22"/>
                <w:szCs w:val="22"/>
              </w:rPr>
            </m:ctrlPr>
          </m:fPr>
          <m:num>
            <m:r>
              <m:rPr>
                <m:sty m:val="p"/>
              </m:rPr>
              <w:rPr>
                <w:rFonts w:ascii="Cambria Math" w:hAnsi="Cambria Math"/>
              </w:rPr>
              <m:t>272×12 Months</m:t>
            </m:r>
          </m:num>
          <m:den>
            <m:r>
              <m:rPr>
                <m:sty m:val="p"/>
              </m:rPr>
              <w:rPr>
                <w:rFonts w:ascii="Cambria Math" w:hAnsi="Cambria Math"/>
              </w:rPr>
              <m:t>0.34</m:t>
            </m:r>
          </m:den>
        </m:f>
      </m:oMath>
      <w:r w:rsidRPr="00585B40">
        <w:instrText xml:space="preserve"> </w:instrText>
      </w:r>
      <w:r w:rsidRPr="00585B40">
        <w:fldChar w:fldCharType="end"/>
      </w:r>
    </w:p>
    <w:p w:rsidR="003E461F" w:rsidRPr="00161F10" w:rsidRDefault="00256EAE" w:rsidP="003E461F">
      <w:r>
        <w:rPr>
          <w:b/>
        </w:rPr>
        <w:t xml:space="preserve">Contact Survey </w:t>
      </w:r>
      <w:r w:rsidR="003E461F" w:rsidRPr="00161F10">
        <w:rPr>
          <w:b/>
        </w:rPr>
        <w:t>(Phone or E</w:t>
      </w:r>
      <w:r w:rsidR="00BA0845">
        <w:rPr>
          <w:b/>
        </w:rPr>
        <w:t>lectronic</w:t>
      </w:r>
      <w:r w:rsidR="003E461F" w:rsidRPr="00161F10">
        <w:rPr>
          <w:b/>
        </w:rPr>
        <w:t xml:space="preserve">) </w:t>
      </w:r>
      <w:r w:rsidR="003E461F" w:rsidRPr="00161F10">
        <w:t>measures the quality of disaster ass</w:t>
      </w:r>
      <w:r w:rsidR="00337137">
        <w:t xml:space="preserve">istance information and services </w:t>
      </w:r>
      <w:r w:rsidR="003E461F" w:rsidRPr="00161F10">
        <w:t xml:space="preserve">received during </w:t>
      </w:r>
      <w:r w:rsidR="003E461F">
        <w:t>additional contact methods with FEMA</w:t>
      </w:r>
      <w:r w:rsidR="003E461F" w:rsidRPr="00161F10">
        <w:t>.</w:t>
      </w:r>
      <w:r w:rsidR="00457DA6">
        <w:t xml:space="preserve"> </w:t>
      </w:r>
      <w:r w:rsidR="003E461F">
        <w:t xml:space="preserve">These contact </w:t>
      </w:r>
      <w:r w:rsidR="003E461F" w:rsidRPr="00161F10">
        <w:t xml:space="preserve">methods consist </w:t>
      </w:r>
      <w:r w:rsidR="003E461F" w:rsidRPr="003E461F">
        <w:t>(1) with a FEMA representative phone contact (2) FEMA inspector contact and (3) online account access via DisasterAssistance.gov website.</w:t>
      </w:r>
      <w:r w:rsidR="00FC2BA5">
        <w:t xml:space="preserve"> </w:t>
      </w:r>
      <w:r w:rsidR="003E461F" w:rsidRPr="00161F10">
        <w:t xml:space="preserve"> </w:t>
      </w:r>
      <w:r w:rsidR="00FC2BA5">
        <w:t xml:space="preserve">This would include someone checking the status of their application, or calling a Representative to ask questions about their case. </w:t>
      </w:r>
      <w:r w:rsidR="00FC2BA5" w:rsidRPr="00161F10">
        <w:t xml:space="preserve"> </w:t>
      </w:r>
      <w:r w:rsidR="003E461F" w:rsidRPr="00161F10">
        <w:t xml:space="preserve">Sample will include a proportionate amount of </w:t>
      </w:r>
      <w:r w:rsidR="003E461F">
        <w:t>contact</w:t>
      </w:r>
      <w:r w:rsidR="003E461F" w:rsidRPr="00161F10">
        <w:t xml:space="preserve"> method</w:t>
      </w:r>
      <w:r w:rsidR="003E461F">
        <w:t>s.</w:t>
      </w:r>
    </w:p>
    <w:p w:rsidR="00FC2BA5" w:rsidRDefault="00FC2BA5" w:rsidP="003E461F"/>
    <w:p w:rsidR="00FC2BA5" w:rsidRDefault="00FC2BA5" w:rsidP="00FC2BA5">
      <w:r>
        <w:t>The use of proportionating contact</w:t>
      </w:r>
      <w:r w:rsidRPr="00161F10">
        <w:t xml:space="preserve"> m</w:t>
      </w:r>
      <w:r>
        <w:t>ethods</w:t>
      </w:r>
      <w:r w:rsidRPr="00161F10">
        <w:t xml:space="preserve"> into </w:t>
      </w:r>
      <w:r>
        <w:t>subgroups</w:t>
      </w:r>
      <w:r w:rsidRPr="00161F10">
        <w:t xml:space="preserve"> reflect the primary interest of the</w:t>
      </w:r>
      <w:r>
        <w:t xml:space="preserve"> Contact S</w:t>
      </w:r>
      <w:r w:rsidRPr="00161F10">
        <w:t xml:space="preserve">urvey.  </w:t>
      </w:r>
      <w:r>
        <w:t>A proportionate sample of con</w:t>
      </w:r>
      <w:r w:rsidR="00A16FD9">
        <w:t>tact methods (e.g</w:t>
      </w:r>
      <w:r>
        <w:t>. 63.19% - Calls to Representatives, 6.3% - Online checking of status, and 30.5</w:t>
      </w:r>
      <w:r w:rsidR="00D640EF">
        <w:t>1</w:t>
      </w:r>
      <w:r>
        <w:t xml:space="preserve">% Inspection) is derived for weekly administration, the data is then divided into the applicant’s </w:t>
      </w:r>
      <w:r w:rsidR="00190D73">
        <w:t xml:space="preserve">preferred </w:t>
      </w:r>
      <w:r>
        <w:t xml:space="preserve">communication method. </w:t>
      </w:r>
    </w:p>
    <w:p w:rsidR="00FC2BA5" w:rsidRDefault="00FC2BA5" w:rsidP="003E461F"/>
    <w:p w:rsidR="003E461F" w:rsidRDefault="00C11F9E" w:rsidP="003E461F">
      <w:r>
        <w:t>The total population of registered applicants who had post-registration interac</w:t>
      </w:r>
      <w:r w:rsidR="00C13FD5">
        <w:t xml:space="preserve">tions is approximately </w:t>
      </w:r>
      <w:r w:rsidR="00190D73">
        <w:t>263,099</w:t>
      </w:r>
      <w:r w:rsidR="00C13FD5">
        <w:t xml:space="preserve">, </w:t>
      </w:r>
      <w:r>
        <w:t>based on a 5 year average</w:t>
      </w:r>
      <w:r w:rsidR="00C13FD5">
        <w:t xml:space="preserve">.  </w:t>
      </w:r>
      <w:r w:rsidR="003E461F" w:rsidRPr="00161F10">
        <w:t>The target number of completion</w:t>
      </w:r>
      <w:r w:rsidR="00620808">
        <w:t>s</w:t>
      </w:r>
      <w:r w:rsidR="003E461F" w:rsidRPr="00161F10">
        <w:t xml:space="preserve"> per month is </w:t>
      </w:r>
      <w:r w:rsidR="003E461F">
        <w:t>6</w:t>
      </w:r>
      <w:r w:rsidR="003E461F" w:rsidRPr="00161F10">
        <w:t>00 to ensure statistical inference with 95% confidence level, 0.5 variability assumption on the population, and 5% precision</w:t>
      </w:r>
      <w:r w:rsidR="003E461F">
        <w:t xml:space="preserve"> (Margin of error).</w:t>
      </w:r>
    </w:p>
    <w:p w:rsidR="00C11F9E" w:rsidRDefault="00C11F9E" w:rsidP="00C11F9E"/>
    <w:p w:rsidR="00C11F9E" w:rsidRDefault="00C11F9E" w:rsidP="00C11F9E">
      <w:r>
        <w:t xml:space="preserve">The system is flagged by </w:t>
      </w:r>
      <w:r w:rsidR="00190D73">
        <w:t xml:space="preserve">the preferred </w:t>
      </w:r>
      <w:r>
        <w:t>communication method and the administration</w:t>
      </w:r>
      <w:r w:rsidR="00190D73">
        <w:t xml:space="preserve"> method to deliver the survey</w:t>
      </w:r>
      <w:r>
        <w:t xml:space="preserve"> (Phone or Electronic). </w:t>
      </w:r>
    </w:p>
    <w:p w:rsidR="00585B40" w:rsidRDefault="00471E23" w:rsidP="00585B40">
      <w:pPr>
        <w:numPr>
          <w:ilvl w:val="0"/>
          <w:numId w:val="22"/>
        </w:numPr>
      </w:pPr>
      <w:r>
        <w:t>Phone Survey: Historical data showed approximately</w:t>
      </w:r>
      <w:r w:rsidR="002C7586">
        <w:t xml:space="preserve"> </w:t>
      </w:r>
      <w:r w:rsidR="00190D73">
        <w:t>178,907</w:t>
      </w:r>
      <w:r w:rsidR="00D640EF">
        <w:t xml:space="preserve"> (68%)</w:t>
      </w:r>
      <w:r w:rsidR="002C7586">
        <w:t xml:space="preserve"> registered applicants with a preferred </w:t>
      </w:r>
      <w:r>
        <w:t xml:space="preserve">communication </w:t>
      </w:r>
      <w:r w:rsidR="002C7586">
        <w:t xml:space="preserve">method of </w:t>
      </w:r>
      <w:r>
        <w:t>US Mail</w:t>
      </w:r>
      <w:r w:rsidR="002C7586">
        <w:t xml:space="preserve"> ha</w:t>
      </w:r>
      <w:r w:rsidR="00901644">
        <w:t>d</w:t>
      </w:r>
      <w:r w:rsidR="002C7586">
        <w:t xml:space="preserve"> an expected response rate of approximately 3</w:t>
      </w:r>
      <w:r w:rsidR="005E6E7C">
        <w:t>6</w:t>
      </w:r>
      <w:r w:rsidR="002C7586">
        <w:t xml:space="preserve">% based on historical data. </w:t>
      </w:r>
      <w:r w:rsidR="00C739C2">
        <w:t xml:space="preserve"> </w:t>
      </w:r>
    </w:p>
    <w:p w:rsidR="0030521A" w:rsidRPr="00161F10" w:rsidRDefault="00471E23" w:rsidP="00602C56">
      <w:pPr>
        <w:numPr>
          <w:ilvl w:val="0"/>
          <w:numId w:val="22"/>
        </w:numPr>
      </w:pPr>
      <w:r>
        <w:t xml:space="preserve">Electronic Survey: Historical data showed approximately </w:t>
      </w:r>
      <w:r w:rsidR="00190D73">
        <w:t>84,192</w:t>
      </w:r>
      <w:r w:rsidR="002C7586">
        <w:t xml:space="preserve"> </w:t>
      </w:r>
      <w:r w:rsidR="00D640EF">
        <w:t xml:space="preserve">(32%) </w:t>
      </w:r>
      <w:r w:rsidR="002C7586">
        <w:t xml:space="preserve">registered applicants with a preferred </w:t>
      </w:r>
      <w:r>
        <w:t xml:space="preserve">communication </w:t>
      </w:r>
      <w:r w:rsidR="002C7586">
        <w:t xml:space="preserve">method </w:t>
      </w:r>
      <w:r>
        <w:t xml:space="preserve">of </w:t>
      </w:r>
      <w:r w:rsidR="002C7586">
        <w:t>email</w:t>
      </w:r>
      <w:r w:rsidR="00D640EF">
        <w:t>. The</w:t>
      </w:r>
      <w:r w:rsidR="002C7586">
        <w:t xml:space="preserve"> expected response rate for the </w:t>
      </w:r>
      <w:r w:rsidR="00D640EF">
        <w:t xml:space="preserve">electronic </w:t>
      </w:r>
      <w:r w:rsidR="002C7586">
        <w:t xml:space="preserve">survey is approximately 30% based on empirical research of web based surveys and industry standards.  </w:t>
      </w:r>
    </w:p>
    <w:p w:rsidR="002C7586" w:rsidRPr="00161F10" w:rsidRDefault="002C7586" w:rsidP="003E461F"/>
    <w:p w:rsidR="00584EE4" w:rsidRPr="00161F10" w:rsidRDefault="00256EAE" w:rsidP="00584EE4">
      <w:r>
        <w:rPr>
          <w:b/>
        </w:rPr>
        <w:t xml:space="preserve">Assessment </w:t>
      </w:r>
      <w:r w:rsidR="00D640EF">
        <w:rPr>
          <w:b/>
        </w:rPr>
        <w:t xml:space="preserve">Survey </w:t>
      </w:r>
      <w:r w:rsidR="00584EE4" w:rsidRPr="00161F10">
        <w:rPr>
          <w:b/>
        </w:rPr>
        <w:t>(Phone or E</w:t>
      </w:r>
      <w:r w:rsidR="00BA0845">
        <w:rPr>
          <w:b/>
        </w:rPr>
        <w:t>lectronic</w:t>
      </w:r>
      <w:r w:rsidR="00584EE4" w:rsidRPr="00161F10">
        <w:rPr>
          <w:b/>
        </w:rPr>
        <w:t xml:space="preserve">) </w:t>
      </w:r>
      <w:r w:rsidR="00584EE4" w:rsidRPr="00161F10">
        <w:t>measures the quality of disaster ass</w:t>
      </w:r>
      <w:r w:rsidR="00C1072D">
        <w:t xml:space="preserve">istance information and services </w:t>
      </w:r>
      <w:r w:rsidR="00584EE4" w:rsidRPr="00161F10">
        <w:t xml:space="preserve">received </w:t>
      </w:r>
      <w:r w:rsidR="00584EE4">
        <w:t>after eligibility is determined</w:t>
      </w:r>
      <w:r w:rsidR="00584EE4" w:rsidRPr="00161F10">
        <w:t xml:space="preserve">. </w:t>
      </w:r>
      <w:r w:rsidR="00D640EF">
        <w:t xml:space="preserve"> </w:t>
      </w:r>
      <w:r w:rsidR="00584EE4" w:rsidRPr="00161F10">
        <w:t>Sample will include a</w:t>
      </w:r>
      <w:r w:rsidR="000F550F">
        <w:t xml:space="preserve">n equal </w:t>
      </w:r>
      <w:r w:rsidR="00584EE4" w:rsidRPr="00161F10">
        <w:t xml:space="preserve">amount of </w:t>
      </w:r>
      <w:r w:rsidR="000F550F">
        <w:t>eligibility status</w:t>
      </w:r>
      <w:r w:rsidR="007105CE">
        <w:t>es</w:t>
      </w:r>
      <w:r w:rsidR="000F550F">
        <w:t xml:space="preserve"> based on the 5 year </w:t>
      </w:r>
      <w:r w:rsidR="00D640EF">
        <w:t xml:space="preserve">average </w:t>
      </w:r>
      <w:r w:rsidR="00471E23">
        <w:t>of the population</w:t>
      </w:r>
      <w:r w:rsidR="001C514C">
        <w:t xml:space="preserve"> being approximately 50% for</w:t>
      </w:r>
      <w:r w:rsidR="00901644">
        <w:t xml:space="preserve"> </w:t>
      </w:r>
      <w:r w:rsidR="00621CAE">
        <w:t>each eligibility status.</w:t>
      </w:r>
    </w:p>
    <w:p w:rsidR="00A5710E" w:rsidRDefault="00A5710E" w:rsidP="00584EE4"/>
    <w:p w:rsidR="00584EE4" w:rsidRPr="00161F10" w:rsidRDefault="00584EE4" w:rsidP="00584EE4">
      <w:r w:rsidRPr="00161F10">
        <w:t>The target number of completion</w:t>
      </w:r>
      <w:r w:rsidR="00A5710E">
        <w:t>s</w:t>
      </w:r>
      <w:r w:rsidRPr="00161F10">
        <w:t xml:space="preserve"> per month is </w:t>
      </w:r>
      <w:r>
        <w:t>8</w:t>
      </w:r>
      <w:r w:rsidRPr="00161F10">
        <w:t>00</w:t>
      </w:r>
      <w:r w:rsidR="00A5710E">
        <w:t xml:space="preserve"> </w:t>
      </w:r>
      <w:r w:rsidR="00160EC2">
        <w:t xml:space="preserve">(400 Eligible </w:t>
      </w:r>
      <w:r w:rsidR="00A5710E">
        <w:t>and</w:t>
      </w:r>
      <w:r w:rsidR="00160EC2">
        <w:t xml:space="preserve"> 400 Ineligible)</w:t>
      </w:r>
      <w:r w:rsidRPr="00161F10">
        <w:t xml:space="preserve"> to ensure statistical inference with 95% confidence level, 0.5 variability assumption on the population, and 5% precision</w:t>
      </w:r>
      <w:r>
        <w:t xml:space="preserve"> (Margin of error)</w:t>
      </w:r>
      <w:r w:rsidR="00160EC2">
        <w:t xml:space="preserve"> for each eligibility status</w:t>
      </w:r>
      <w:r>
        <w:t>.</w:t>
      </w:r>
    </w:p>
    <w:p w:rsidR="00A5710E" w:rsidRDefault="00A5710E" w:rsidP="00A5710E"/>
    <w:p w:rsidR="00A5710E" w:rsidRDefault="00A5710E" w:rsidP="00A5710E">
      <w:r>
        <w:lastRenderedPageBreak/>
        <w:t xml:space="preserve">The system is flagged by the preferred communication method and the administration method to deliver the survey (Phone or Electronic). </w:t>
      </w:r>
    </w:p>
    <w:p w:rsidR="00A5710E" w:rsidRDefault="00A5710E" w:rsidP="00A5710E">
      <w:r>
        <w:t xml:space="preserve">1. Phone Survey: Historical data shows approximately 257,498 (68%) applicants with a preferred communication method by US Mail with a response rate of approximately 28% based on historical data. </w:t>
      </w:r>
    </w:p>
    <w:p w:rsidR="00A5710E" w:rsidRDefault="00A5710E" w:rsidP="00A5710E">
      <w:r>
        <w:t xml:space="preserve">2. Electronic Survey: Historical data shows approximately 121,176 (32%) applicants with a preferred communication method of email.  The expected response rate for the electronic survey is approximately 30% based on empirical research of web based surveys and industry standards.  </w:t>
      </w:r>
    </w:p>
    <w:p w:rsidR="00D03CC6" w:rsidRDefault="00D03CC6" w:rsidP="00584EE4"/>
    <w:p w:rsidR="00E23A02" w:rsidRDefault="00D03CC6" w:rsidP="00584EE4">
      <w:pPr>
        <w:rPr>
          <w:bCs/>
        </w:rPr>
      </w:pPr>
      <w:r w:rsidRPr="00D03CC6">
        <w:rPr>
          <w:b/>
          <w:bCs/>
        </w:rPr>
        <w:t xml:space="preserve">Qualitative research </w:t>
      </w:r>
      <w:r w:rsidRPr="00D03CC6">
        <w:rPr>
          <w:bCs/>
        </w:rPr>
        <w:t>(</w:t>
      </w:r>
      <w:r>
        <w:rPr>
          <w:bCs/>
        </w:rPr>
        <w:t xml:space="preserve">focus groups and interviews) will not be subject to </w:t>
      </w:r>
      <w:r w:rsidR="00532A04">
        <w:rPr>
          <w:bCs/>
        </w:rPr>
        <w:t>probabilistic</w:t>
      </w:r>
      <w:r>
        <w:rPr>
          <w:bCs/>
        </w:rPr>
        <w:t xml:space="preserve"> sampling methods (e.g., usu</w:t>
      </w:r>
      <w:r w:rsidR="009817AA">
        <w:rPr>
          <w:bCs/>
        </w:rPr>
        <w:t>ally based on purposive or convenience sampling</w:t>
      </w:r>
      <w:r>
        <w:rPr>
          <w:bCs/>
        </w:rPr>
        <w:t>).</w:t>
      </w:r>
      <w:r w:rsidR="00ED0A68">
        <w:rPr>
          <w:bCs/>
        </w:rPr>
        <w:t xml:space="preserve"> Historical data shows</w:t>
      </w:r>
      <w:r w:rsidR="00E23A02">
        <w:rPr>
          <w:bCs/>
        </w:rPr>
        <w:t xml:space="preserve"> response rates of</w:t>
      </w:r>
      <w:r w:rsidR="00ED0A68">
        <w:rPr>
          <w:bCs/>
        </w:rPr>
        <w:t xml:space="preserve"> </w:t>
      </w:r>
      <w:r w:rsidR="00DD7A80">
        <w:rPr>
          <w:bCs/>
        </w:rPr>
        <w:t xml:space="preserve">6% </w:t>
      </w:r>
      <w:r w:rsidR="00ED0A68">
        <w:rPr>
          <w:bCs/>
        </w:rPr>
        <w:t>for focus groups</w:t>
      </w:r>
      <w:r w:rsidR="00DD7A80">
        <w:rPr>
          <w:bCs/>
        </w:rPr>
        <w:t xml:space="preserve"> without incentive</w:t>
      </w:r>
      <w:r w:rsidR="00A16FD9">
        <w:rPr>
          <w:bCs/>
        </w:rPr>
        <w:t xml:space="preserve"> to participate</w:t>
      </w:r>
      <w:r w:rsidR="00ED0A68">
        <w:rPr>
          <w:bCs/>
        </w:rPr>
        <w:t xml:space="preserve">. </w:t>
      </w:r>
    </w:p>
    <w:p w:rsidR="00D03CC6" w:rsidRPr="00602C56" w:rsidRDefault="00ED0A68" w:rsidP="00584EE4">
      <w:pPr>
        <w:rPr>
          <w:bCs/>
        </w:rPr>
      </w:pPr>
      <w:r>
        <w:rPr>
          <w:bCs/>
        </w:rPr>
        <w:t xml:space="preserve"> </w:t>
      </w:r>
    </w:p>
    <w:p w:rsidR="00281EB8" w:rsidRPr="001B57CA" w:rsidRDefault="00AF042A" w:rsidP="009817AA">
      <w:pPr>
        <w:tabs>
          <w:tab w:val="left" w:pos="-720"/>
          <w:tab w:val="num" w:pos="1080"/>
        </w:tabs>
        <w:suppressAutoHyphens/>
        <w:spacing w:after="120"/>
        <w:rPr>
          <w:sz w:val="18"/>
          <w:szCs w:val="18"/>
        </w:rPr>
      </w:pPr>
      <w:r w:rsidRPr="001B57CA">
        <w:rPr>
          <w:sz w:val="18"/>
          <w:szCs w:val="18"/>
        </w:rPr>
        <w:t xml:space="preserve">The table </w:t>
      </w:r>
      <w:r w:rsidR="00281EB8">
        <w:rPr>
          <w:sz w:val="18"/>
          <w:szCs w:val="18"/>
        </w:rPr>
        <w:t>b</w:t>
      </w:r>
      <w:r w:rsidRPr="001B57CA">
        <w:rPr>
          <w:sz w:val="18"/>
          <w:szCs w:val="18"/>
        </w:rPr>
        <w:t>e</w:t>
      </w:r>
      <w:r w:rsidR="00281EB8">
        <w:rPr>
          <w:sz w:val="18"/>
          <w:szCs w:val="18"/>
        </w:rPr>
        <w:t>low</w:t>
      </w:r>
      <w:r w:rsidRPr="001B57CA">
        <w:rPr>
          <w:sz w:val="18"/>
          <w:szCs w:val="18"/>
        </w:rPr>
        <w:t xml:space="preserve"> shows the estimated size of the universe covered by the collection</w:t>
      </w:r>
      <w:r w:rsidR="0058744F" w:rsidRPr="001B57CA">
        <w:rPr>
          <w:sz w:val="18"/>
          <w:szCs w:val="18"/>
        </w:rPr>
        <w:t xml:space="preserve"> and</w:t>
      </w:r>
      <w:r w:rsidRPr="001B57CA">
        <w:rPr>
          <w:sz w:val="18"/>
          <w:szCs w:val="18"/>
        </w:rPr>
        <w:t xml:space="preserve"> the corresponding samples for </w:t>
      </w:r>
      <w:r w:rsidR="0058744F" w:rsidRPr="001B57CA">
        <w:rPr>
          <w:sz w:val="18"/>
          <w:szCs w:val="18"/>
        </w:rPr>
        <w:t>each survey.</w:t>
      </w:r>
    </w:p>
    <w:tbl>
      <w:tblPr>
        <w:tblW w:w="11132" w:type="dxa"/>
        <w:tblLook w:val="04A0" w:firstRow="1" w:lastRow="0" w:firstColumn="1" w:lastColumn="0" w:noHBand="0" w:noVBand="1"/>
      </w:tblPr>
      <w:tblGrid>
        <w:gridCol w:w="1494"/>
        <w:gridCol w:w="1215"/>
        <w:gridCol w:w="1688"/>
        <w:gridCol w:w="1127"/>
        <w:gridCol w:w="1187"/>
        <w:gridCol w:w="1187"/>
        <w:gridCol w:w="1294"/>
        <w:gridCol w:w="937"/>
        <w:gridCol w:w="1003"/>
      </w:tblGrid>
      <w:tr w:rsidR="00B3224E" w:rsidTr="00152834">
        <w:trPr>
          <w:trHeight w:val="282"/>
        </w:trPr>
        <w:tc>
          <w:tcPr>
            <w:tcW w:w="1113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3224E" w:rsidRDefault="00B3224E">
            <w:pPr>
              <w:rPr>
                <w:b/>
                <w:bCs/>
                <w:sz w:val="20"/>
                <w:szCs w:val="20"/>
              </w:rPr>
            </w:pPr>
            <w:r>
              <w:rPr>
                <w:b/>
                <w:bCs/>
                <w:sz w:val="20"/>
                <w:szCs w:val="20"/>
              </w:rPr>
              <w:t>Part B Question #1: Description of Respondent Universe, Sampling Method, Response Rates</w:t>
            </w:r>
          </w:p>
        </w:tc>
      </w:tr>
      <w:tr w:rsidR="00B3224E" w:rsidTr="00152834">
        <w:trPr>
          <w:trHeight w:val="1376"/>
        </w:trPr>
        <w:tc>
          <w:tcPr>
            <w:tcW w:w="1494" w:type="dxa"/>
            <w:vMerge w:val="restart"/>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jc w:val="center"/>
              <w:rPr>
                <w:b/>
                <w:bCs/>
                <w:sz w:val="20"/>
                <w:szCs w:val="20"/>
              </w:rPr>
            </w:pPr>
            <w:r>
              <w:rPr>
                <w:b/>
                <w:bCs/>
                <w:sz w:val="20"/>
                <w:szCs w:val="20"/>
              </w:rPr>
              <w:t>Type of Respondent / Entity</w:t>
            </w:r>
          </w:p>
        </w:tc>
        <w:tc>
          <w:tcPr>
            <w:tcW w:w="1215" w:type="dxa"/>
            <w:vMerge w:val="restart"/>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Form Name / Form Number</w:t>
            </w:r>
          </w:p>
        </w:tc>
        <w:tc>
          <w:tcPr>
            <w:tcW w:w="1688" w:type="dxa"/>
            <w:tcBorders>
              <w:top w:val="nil"/>
              <w:left w:val="nil"/>
              <w:bottom w:val="single" w:sz="4" w:space="0" w:color="auto"/>
              <w:right w:val="single" w:sz="4" w:space="0" w:color="auto"/>
            </w:tcBorders>
            <w:shd w:val="clear" w:color="000000" w:fill="D8E4BC"/>
            <w:vAlign w:val="center"/>
            <w:hideMark/>
          </w:tcPr>
          <w:p w:rsidR="00B3224E" w:rsidRDefault="00B3224E">
            <w:pPr>
              <w:rPr>
                <w:b/>
                <w:bCs/>
                <w:sz w:val="18"/>
                <w:szCs w:val="18"/>
              </w:rPr>
            </w:pPr>
            <w:r>
              <w:rPr>
                <w:b/>
                <w:bCs/>
                <w:sz w:val="18"/>
                <w:szCs w:val="18"/>
              </w:rPr>
              <w:t>Respondent Universe Numerical Estimate Basis</w:t>
            </w:r>
          </w:p>
        </w:tc>
        <w:tc>
          <w:tcPr>
            <w:tcW w:w="1127" w:type="dxa"/>
            <w:tcBorders>
              <w:top w:val="nil"/>
              <w:left w:val="nil"/>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Potential Respondent Universe Numerical Estimate</w:t>
            </w:r>
          </w:p>
        </w:tc>
        <w:tc>
          <w:tcPr>
            <w:tcW w:w="1187" w:type="dxa"/>
            <w:vMerge w:val="restart"/>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 xml:space="preserve">Target  Completions per Month </w:t>
            </w:r>
          </w:p>
        </w:tc>
        <w:tc>
          <w:tcPr>
            <w:tcW w:w="1187" w:type="dxa"/>
            <w:vMerge w:val="restart"/>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Target Completions per Year</w:t>
            </w:r>
          </w:p>
        </w:tc>
        <w:tc>
          <w:tcPr>
            <w:tcW w:w="1294" w:type="dxa"/>
            <w:vMerge w:val="restart"/>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Sampling Criteria for Universe</w:t>
            </w:r>
          </w:p>
        </w:tc>
        <w:tc>
          <w:tcPr>
            <w:tcW w:w="937" w:type="dxa"/>
            <w:vMerge w:val="restart"/>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 xml:space="preserve">Actual or Expected Survey Response Rates with Actual 2nd Qtr. FY16 Avg of 33.71% </w:t>
            </w:r>
          </w:p>
        </w:tc>
        <w:tc>
          <w:tcPr>
            <w:tcW w:w="1003" w:type="dxa"/>
            <w:tcBorders>
              <w:top w:val="nil"/>
              <w:left w:val="nil"/>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Target Annual Adjusted Sample Size</w:t>
            </w:r>
          </w:p>
        </w:tc>
      </w:tr>
      <w:tr w:rsidR="00B3224E" w:rsidTr="00152834">
        <w:trPr>
          <w:trHeight w:val="599"/>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b/>
                <w:bCs/>
                <w:sz w:val="20"/>
                <w:szCs w:val="20"/>
              </w:rPr>
            </w:pPr>
          </w:p>
        </w:tc>
        <w:tc>
          <w:tcPr>
            <w:tcW w:w="1215" w:type="dxa"/>
            <w:vMerge/>
            <w:tcBorders>
              <w:top w:val="nil"/>
              <w:left w:val="single" w:sz="4" w:space="0" w:color="auto"/>
              <w:bottom w:val="single" w:sz="4" w:space="0" w:color="auto"/>
              <w:right w:val="single" w:sz="4" w:space="0" w:color="auto"/>
            </w:tcBorders>
            <w:vAlign w:val="center"/>
            <w:hideMark/>
          </w:tcPr>
          <w:p w:rsidR="00B3224E" w:rsidRDefault="00B3224E">
            <w:pPr>
              <w:rPr>
                <w:b/>
                <w:bCs/>
                <w:sz w:val="18"/>
                <w:szCs w:val="18"/>
              </w:rPr>
            </w:pPr>
          </w:p>
        </w:tc>
        <w:tc>
          <w:tcPr>
            <w:tcW w:w="2815" w:type="dxa"/>
            <w:gridSpan w:val="2"/>
            <w:tcBorders>
              <w:top w:val="single" w:sz="4" w:space="0" w:color="auto"/>
              <w:left w:val="nil"/>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 xml:space="preserve">Respondent Universe  </w:t>
            </w:r>
          </w:p>
        </w:tc>
        <w:tc>
          <w:tcPr>
            <w:tcW w:w="1187" w:type="dxa"/>
            <w:vMerge/>
            <w:tcBorders>
              <w:top w:val="nil"/>
              <w:left w:val="single" w:sz="4" w:space="0" w:color="auto"/>
              <w:bottom w:val="single" w:sz="4" w:space="0" w:color="auto"/>
              <w:right w:val="single" w:sz="4" w:space="0" w:color="auto"/>
            </w:tcBorders>
            <w:vAlign w:val="center"/>
            <w:hideMark/>
          </w:tcPr>
          <w:p w:rsidR="00B3224E" w:rsidRDefault="00B3224E">
            <w:pPr>
              <w:rPr>
                <w:b/>
                <w:bCs/>
                <w:sz w:val="18"/>
                <w:szCs w:val="18"/>
              </w:rPr>
            </w:pPr>
          </w:p>
        </w:tc>
        <w:tc>
          <w:tcPr>
            <w:tcW w:w="1187" w:type="dxa"/>
            <w:vMerge/>
            <w:tcBorders>
              <w:top w:val="nil"/>
              <w:left w:val="single" w:sz="4" w:space="0" w:color="auto"/>
              <w:bottom w:val="single" w:sz="4" w:space="0" w:color="auto"/>
              <w:right w:val="single" w:sz="4" w:space="0" w:color="auto"/>
            </w:tcBorders>
            <w:vAlign w:val="center"/>
            <w:hideMark/>
          </w:tcPr>
          <w:p w:rsidR="00B3224E" w:rsidRDefault="00B3224E">
            <w:pPr>
              <w:rPr>
                <w:b/>
                <w:bCs/>
                <w:sz w:val="18"/>
                <w:szCs w:val="18"/>
              </w:rPr>
            </w:pPr>
          </w:p>
        </w:tc>
        <w:tc>
          <w:tcPr>
            <w:tcW w:w="1294" w:type="dxa"/>
            <w:vMerge/>
            <w:tcBorders>
              <w:top w:val="nil"/>
              <w:left w:val="single" w:sz="4" w:space="0" w:color="auto"/>
              <w:bottom w:val="single" w:sz="4" w:space="0" w:color="auto"/>
              <w:right w:val="single" w:sz="4" w:space="0" w:color="auto"/>
            </w:tcBorders>
            <w:vAlign w:val="center"/>
            <w:hideMark/>
          </w:tcPr>
          <w:p w:rsidR="00B3224E" w:rsidRDefault="00B3224E">
            <w:pPr>
              <w:rPr>
                <w:b/>
                <w:bCs/>
                <w:sz w:val="18"/>
                <w:szCs w:val="18"/>
              </w:rPr>
            </w:pPr>
          </w:p>
        </w:tc>
        <w:tc>
          <w:tcPr>
            <w:tcW w:w="937" w:type="dxa"/>
            <w:vMerge/>
            <w:tcBorders>
              <w:top w:val="nil"/>
              <w:left w:val="single" w:sz="4" w:space="0" w:color="auto"/>
              <w:bottom w:val="single" w:sz="4" w:space="0" w:color="auto"/>
              <w:right w:val="single" w:sz="4" w:space="0" w:color="auto"/>
            </w:tcBorders>
            <w:vAlign w:val="center"/>
            <w:hideMark/>
          </w:tcPr>
          <w:p w:rsidR="00B3224E" w:rsidRDefault="00B3224E">
            <w:pPr>
              <w:rPr>
                <w:b/>
                <w:bCs/>
                <w:sz w:val="18"/>
                <w:szCs w:val="18"/>
              </w:rPr>
            </w:pPr>
          </w:p>
        </w:tc>
        <w:tc>
          <w:tcPr>
            <w:tcW w:w="1003" w:type="dxa"/>
            <w:tcBorders>
              <w:top w:val="nil"/>
              <w:left w:val="nil"/>
              <w:bottom w:val="single" w:sz="4" w:space="0" w:color="auto"/>
              <w:right w:val="single" w:sz="4" w:space="0" w:color="auto"/>
            </w:tcBorders>
            <w:shd w:val="clear" w:color="000000" w:fill="D8E4BC"/>
            <w:vAlign w:val="center"/>
            <w:hideMark/>
          </w:tcPr>
          <w:p w:rsidR="00B3224E" w:rsidRDefault="00B3224E">
            <w:pPr>
              <w:jc w:val="center"/>
              <w:rPr>
                <w:b/>
                <w:bCs/>
                <w:sz w:val="18"/>
                <w:szCs w:val="18"/>
              </w:rPr>
            </w:pPr>
            <w:r>
              <w:rPr>
                <w:b/>
                <w:bCs/>
                <w:sz w:val="18"/>
                <w:szCs w:val="18"/>
              </w:rPr>
              <w:t> </w:t>
            </w:r>
          </w:p>
        </w:tc>
      </w:tr>
      <w:tr w:rsidR="00B3224E" w:rsidTr="00152834">
        <w:trPr>
          <w:trHeight w:val="705"/>
        </w:trPr>
        <w:tc>
          <w:tcPr>
            <w:tcW w:w="1494" w:type="dxa"/>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rPr>
                <w:b/>
                <w:bCs/>
                <w:sz w:val="20"/>
                <w:szCs w:val="20"/>
              </w:rPr>
            </w:pPr>
            <w:r>
              <w:rPr>
                <w:b/>
                <w:bCs/>
                <w:sz w:val="20"/>
                <w:szCs w:val="20"/>
              </w:rPr>
              <w:t>Surveys</w:t>
            </w: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color w:val="FF0000"/>
                <w:sz w:val="20"/>
                <w:szCs w:val="20"/>
              </w:rPr>
            </w:pPr>
            <w:r>
              <w:rPr>
                <w:color w:val="FF0000"/>
                <w:sz w:val="20"/>
                <w:szCs w:val="20"/>
              </w:rPr>
              <w:t> </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b/>
                <w:bCs/>
                <w:sz w:val="18"/>
                <w:szCs w:val="18"/>
              </w:rPr>
            </w:pPr>
            <w:r>
              <w:rPr>
                <w:b/>
                <w:bCs/>
                <w:sz w:val="18"/>
                <w:szCs w:val="18"/>
              </w:rPr>
              <w:t>5 Year Average of All:</w:t>
            </w:r>
          </w:p>
        </w:tc>
        <w:tc>
          <w:tcPr>
            <w:tcW w:w="112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A</w:t>
            </w:r>
          </w:p>
        </w:tc>
        <w:tc>
          <w:tcPr>
            <w:tcW w:w="1187" w:type="dxa"/>
            <w:tcBorders>
              <w:top w:val="nil"/>
              <w:left w:val="nil"/>
              <w:bottom w:val="single" w:sz="4" w:space="0" w:color="auto"/>
              <w:right w:val="single" w:sz="4" w:space="0" w:color="auto"/>
            </w:tcBorders>
            <w:shd w:val="clear" w:color="000000" w:fill="FFFFFF"/>
            <w:vAlign w:val="center"/>
            <w:hideMark/>
          </w:tcPr>
          <w:p w:rsidR="00B3224E" w:rsidRDefault="00B3224E">
            <w:pPr>
              <w:jc w:val="center"/>
              <w:rPr>
                <w:sz w:val="20"/>
                <w:szCs w:val="20"/>
              </w:rPr>
            </w:pPr>
            <w:r>
              <w:rPr>
                <w:sz w:val="20"/>
                <w:szCs w:val="20"/>
              </w:rPr>
              <w:t>B</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noProof/>
                <w:sz w:val="20"/>
                <w:szCs w:val="20"/>
              </w:rPr>
              <w:drawing>
                <wp:anchor distT="0" distB="0" distL="114300" distR="114300" simplePos="0" relativeHeight="251657216" behindDoc="0" locked="0" layoutInCell="1" allowOverlap="1">
                  <wp:simplePos x="0" y="0"/>
                  <wp:positionH relativeFrom="column">
                    <wp:posOffset>182880</wp:posOffset>
                  </wp:positionH>
                  <wp:positionV relativeFrom="paragraph">
                    <wp:posOffset>152400</wp:posOffset>
                  </wp:positionV>
                  <wp:extent cx="411480" cy="175260"/>
                  <wp:effectExtent l="0" t="0" r="762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1480" cy="17526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294" w:type="dxa"/>
            <w:tcBorders>
              <w:top w:val="nil"/>
              <w:left w:val="nil"/>
              <w:bottom w:val="single" w:sz="4" w:space="0" w:color="auto"/>
              <w:right w:val="single" w:sz="4" w:space="0" w:color="auto"/>
            </w:tcBorders>
            <w:shd w:val="clear" w:color="auto" w:fill="auto"/>
            <w:noWrap/>
            <w:vAlign w:val="bottom"/>
            <w:hideMark/>
          </w:tcPr>
          <w:p w:rsidR="00B3224E" w:rsidRDefault="00B3224E">
            <w:pPr>
              <w:rPr>
                <w:rFonts w:ascii="Calibri" w:hAnsi="Calibri"/>
                <w:color w:val="000000"/>
                <w:sz w:val="22"/>
                <w:szCs w:val="22"/>
              </w:rPr>
            </w:pPr>
            <w:r>
              <w:rPr>
                <w:rFonts w:ascii="Calibri" w:hAnsi="Calibri"/>
                <w:color w:val="000000"/>
                <w:sz w:val="22"/>
                <w:szCs w:val="22"/>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D</w:t>
            </w:r>
          </w:p>
        </w:tc>
        <w:tc>
          <w:tcPr>
            <w:tcW w:w="1003" w:type="dxa"/>
            <w:tcBorders>
              <w:top w:val="nil"/>
              <w:left w:val="nil"/>
              <w:bottom w:val="single" w:sz="4" w:space="0" w:color="auto"/>
              <w:right w:val="single" w:sz="4" w:space="0" w:color="auto"/>
            </w:tcBorders>
            <w:shd w:val="clear" w:color="auto" w:fill="auto"/>
            <w:noWrap/>
            <w:vAlign w:val="bottom"/>
            <w:hideMark/>
          </w:tcPr>
          <w:p w:rsidR="00B3224E" w:rsidRDefault="00B3224E">
            <w:pPr>
              <w:rPr>
                <w:rFonts w:ascii="Calibri" w:hAnsi="Calibri"/>
                <w:color w:val="000000"/>
                <w:sz w:val="22"/>
                <w:szCs w:val="22"/>
              </w:rPr>
            </w:pPr>
            <w:r>
              <w:rPr>
                <w:rFonts w:ascii="Calibri" w:hAnsi="Calibri"/>
                <w:noProof/>
                <w:color w:val="000000"/>
                <w:sz w:val="22"/>
                <w:szCs w:val="22"/>
              </w:rPr>
              <w:drawing>
                <wp:anchor distT="0" distB="0" distL="114300" distR="114300" simplePos="0" relativeHeight="251658240" behindDoc="0" locked="0" layoutInCell="1" allowOverlap="1">
                  <wp:simplePos x="0" y="0"/>
                  <wp:positionH relativeFrom="column">
                    <wp:posOffset>57150</wp:posOffset>
                  </wp:positionH>
                  <wp:positionV relativeFrom="paragraph">
                    <wp:posOffset>-237490</wp:posOffset>
                  </wp:positionV>
                  <wp:extent cx="411480" cy="327660"/>
                  <wp:effectExtent l="0" t="0" r="762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1480" cy="32766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B3224E" w:rsidTr="00152834">
        <w:trPr>
          <w:trHeight w:val="1552"/>
        </w:trPr>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xml:space="preserve">Individuals and Households </w:t>
            </w: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xml:space="preserve">Initial Survey- Phone/ </w:t>
            </w:r>
            <w:r>
              <w:rPr>
                <w:sz w:val="20"/>
                <w:szCs w:val="20"/>
              </w:rPr>
              <w:br/>
              <w:t xml:space="preserve">FEMA Form </w:t>
            </w:r>
            <w:r w:rsidR="00A112B4" w:rsidRPr="00A112B4">
              <w:rPr>
                <w:rFonts w:eastAsiaTheme="minorHAnsi"/>
                <w:sz w:val="20"/>
                <w:szCs w:val="28"/>
              </w:rPr>
              <w:t>519-0-36</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rsidP="00A112B4">
            <w:pPr>
              <w:rPr>
                <w:sz w:val="20"/>
                <w:szCs w:val="20"/>
              </w:rPr>
            </w:pPr>
            <w:r>
              <w:rPr>
                <w:sz w:val="20"/>
                <w:szCs w:val="20"/>
              </w:rPr>
              <w:t xml:space="preserve">Registration modes:  FEMA Representative or On-Line. Preferred method of communication- </w:t>
            </w:r>
            <w:r w:rsidR="00A112B4">
              <w:rPr>
                <w:sz w:val="20"/>
                <w:szCs w:val="20"/>
              </w:rPr>
              <w:t>phone</w:t>
            </w:r>
            <w:r>
              <w:rPr>
                <w:sz w:val="20"/>
                <w:szCs w:val="20"/>
              </w:rPr>
              <w:t xml:space="preserve">. </w:t>
            </w:r>
          </w:p>
        </w:tc>
        <w:tc>
          <w:tcPr>
            <w:tcW w:w="112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257,498</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272</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3,264</w:t>
            </w:r>
          </w:p>
        </w:tc>
        <w:tc>
          <w:tcPr>
            <w:tcW w:w="1294" w:type="dxa"/>
            <w:tcBorders>
              <w:top w:val="nil"/>
              <w:left w:val="nil"/>
              <w:bottom w:val="single" w:sz="4" w:space="0" w:color="auto"/>
              <w:right w:val="single" w:sz="4" w:space="0" w:color="auto"/>
            </w:tcBorders>
            <w:shd w:val="clear" w:color="000000" w:fill="FFFFFF"/>
            <w:vAlign w:val="center"/>
            <w:hideMark/>
          </w:tcPr>
          <w:p w:rsidR="00B3224E" w:rsidRDefault="00B3224E">
            <w:pPr>
              <w:rPr>
                <w:sz w:val="20"/>
                <w:szCs w:val="20"/>
              </w:rPr>
            </w:pPr>
            <w:r>
              <w:rPr>
                <w:sz w:val="20"/>
                <w:szCs w:val="20"/>
              </w:rPr>
              <w:t>Weekly Sample proportionate  to the registration mode</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34%</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9,600</w:t>
            </w:r>
          </w:p>
        </w:tc>
      </w:tr>
      <w:tr w:rsidR="00B3224E" w:rsidTr="00152834">
        <w:trPr>
          <w:trHeight w:val="1552"/>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Initial Survey- Electronic/</w:t>
            </w:r>
            <w:r>
              <w:rPr>
                <w:sz w:val="20"/>
                <w:szCs w:val="20"/>
              </w:rPr>
              <w:br/>
              <w:t xml:space="preserve">FEMA Form </w:t>
            </w:r>
            <w:r w:rsidR="00A112B4" w:rsidRPr="00A112B4">
              <w:rPr>
                <w:rFonts w:eastAsiaTheme="minorHAnsi"/>
                <w:sz w:val="20"/>
                <w:szCs w:val="28"/>
              </w:rPr>
              <w:t>519-0-3</w:t>
            </w:r>
            <w:r w:rsidR="00A112B4">
              <w:rPr>
                <w:rFonts w:eastAsiaTheme="minorHAnsi"/>
                <w:sz w:val="20"/>
                <w:szCs w:val="28"/>
              </w:rPr>
              <w:t>7</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Registration modes:  FEMA Representative or On-Line. Preferred method of communication is email.</w:t>
            </w:r>
          </w:p>
        </w:tc>
        <w:tc>
          <w:tcPr>
            <w:tcW w:w="112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121,176</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128</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1,536</w:t>
            </w:r>
          </w:p>
        </w:tc>
        <w:tc>
          <w:tcPr>
            <w:tcW w:w="1294" w:type="dxa"/>
            <w:tcBorders>
              <w:top w:val="nil"/>
              <w:left w:val="nil"/>
              <w:bottom w:val="single" w:sz="4" w:space="0" w:color="auto"/>
              <w:right w:val="single" w:sz="4" w:space="0" w:color="auto"/>
            </w:tcBorders>
            <w:shd w:val="clear" w:color="000000" w:fill="FFFFFF"/>
            <w:vAlign w:val="center"/>
            <w:hideMark/>
          </w:tcPr>
          <w:p w:rsidR="00B3224E" w:rsidRDefault="00B3224E">
            <w:pPr>
              <w:rPr>
                <w:sz w:val="20"/>
                <w:szCs w:val="20"/>
              </w:rPr>
            </w:pPr>
            <w:r>
              <w:rPr>
                <w:sz w:val="20"/>
                <w:szCs w:val="20"/>
              </w:rPr>
              <w:t>Weekly Sample proportionate  to the registration mode</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30%</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5,120</w:t>
            </w:r>
          </w:p>
        </w:tc>
      </w:tr>
      <w:tr w:rsidR="00B3224E" w:rsidTr="00152834">
        <w:trPr>
          <w:trHeight w:val="282"/>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000000" w:fill="F2F2F2"/>
            <w:vAlign w:val="center"/>
            <w:hideMark/>
          </w:tcPr>
          <w:p w:rsidR="00B3224E" w:rsidRDefault="00B3224E">
            <w:pPr>
              <w:rPr>
                <w:b/>
                <w:bCs/>
                <w:sz w:val="20"/>
                <w:szCs w:val="20"/>
              </w:rPr>
            </w:pPr>
            <w:r>
              <w:rPr>
                <w:b/>
                <w:bCs/>
                <w:sz w:val="20"/>
                <w:szCs w:val="20"/>
              </w:rPr>
              <w:t>Initial Survey</w:t>
            </w:r>
          </w:p>
        </w:tc>
        <w:tc>
          <w:tcPr>
            <w:tcW w:w="1688"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112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378,674</w:t>
            </w:r>
          </w:p>
        </w:tc>
        <w:tc>
          <w:tcPr>
            <w:tcW w:w="118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400</w:t>
            </w:r>
          </w:p>
        </w:tc>
        <w:tc>
          <w:tcPr>
            <w:tcW w:w="118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4,800</w:t>
            </w:r>
          </w:p>
        </w:tc>
        <w:tc>
          <w:tcPr>
            <w:tcW w:w="1294"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93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1003"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14,720</w:t>
            </w:r>
          </w:p>
        </w:tc>
      </w:tr>
      <w:tr w:rsidR="00B3224E" w:rsidTr="00152834">
        <w:trPr>
          <w:trHeight w:val="1552"/>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Contact Survey- Phone/</w:t>
            </w:r>
            <w:r>
              <w:rPr>
                <w:sz w:val="20"/>
                <w:szCs w:val="20"/>
              </w:rPr>
              <w:br/>
              <w:t xml:space="preserve">FEMA Form </w:t>
            </w:r>
            <w:r w:rsidR="00A112B4" w:rsidRPr="00A112B4">
              <w:rPr>
                <w:rFonts w:eastAsiaTheme="minorHAnsi"/>
                <w:sz w:val="20"/>
                <w:szCs w:val="28"/>
              </w:rPr>
              <w:t>519-0-3</w:t>
            </w:r>
            <w:r w:rsidR="00A112B4">
              <w:rPr>
                <w:rFonts w:eastAsiaTheme="minorHAnsi"/>
                <w:sz w:val="20"/>
                <w:szCs w:val="28"/>
              </w:rPr>
              <w:t>8</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xml:space="preserve">Contact modes:  Calling Helpline , On-Line, or Inspection  Preferred method of communication is phone. </w:t>
            </w:r>
          </w:p>
        </w:tc>
        <w:tc>
          <w:tcPr>
            <w:tcW w:w="112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178,907</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408</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4,896</w:t>
            </w:r>
          </w:p>
        </w:tc>
        <w:tc>
          <w:tcPr>
            <w:tcW w:w="1294" w:type="dxa"/>
            <w:tcBorders>
              <w:top w:val="nil"/>
              <w:left w:val="nil"/>
              <w:bottom w:val="single" w:sz="4" w:space="0" w:color="auto"/>
              <w:right w:val="single" w:sz="4" w:space="0" w:color="auto"/>
            </w:tcBorders>
            <w:shd w:val="clear" w:color="000000" w:fill="FFFFFF"/>
            <w:vAlign w:val="center"/>
            <w:hideMark/>
          </w:tcPr>
          <w:p w:rsidR="00B3224E" w:rsidRDefault="00B3224E">
            <w:pPr>
              <w:rPr>
                <w:sz w:val="20"/>
                <w:szCs w:val="20"/>
              </w:rPr>
            </w:pPr>
            <w:r>
              <w:rPr>
                <w:sz w:val="20"/>
                <w:szCs w:val="20"/>
              </w:rPr>
              <w:t>Weekly Sample proportionate  to contact modes.</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36%</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13,600</w:t>
            </w:r>
          </w:p>
        </w:tc>
      </w:tr>
      <w:tr w:rsidR="00B3224E" w:rsidTr="00152834">
        <w:trPr>
          <w:trHeight w:val="1552"/>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Contact Survey-Electronic/</w:t>
            </w:r>
            <w:r>
              <w:rPr>
                <w:sz w:val="20"/>
                <w:szCs w:val="20"/>
              </w:rPr>
              <w:br/>
              <w:t xml:space="preserve">FEMA Form </w:t>
            </w:r>
            <w:r w:rsidR="00152834" w:rsidRPr="00A112B4">
              <w:rPr>
                <w:rFonts w:eastAsiaTheme="minorHAnsi"/>
                <w:sz w:val="20"/>
                <w:szCs w:val="28"/>
              </w:rPr>
              <w:t>519-0-3</w:t>
            </w:r>
            <w:r w:rsidR="00152834">
              <w:rPr>
                <w:rFonts w:eastAsiaTheme="minorHAnsi"/>
                <w:sz w:val="20"/>
                <w:szCs w:val="28"/>
              </w:rPr>
              <w:t>9</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Contact modes:  Calling Helpline , On-Line, or Inspection.  Preferred method of communication is email.</w:t>
            </w:r>
          </w:p>
        </w:tc>
        <w:tc>
          <w:tcPr>
            <w:tcW w:w="112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84,192</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192</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2,304</w:t>
            </w:r>
          </w:p>
        </w:tc>
        <w:tc>
          <w:tcPr>
            <w:tcW w:w="1294" w:type="dxa"/>
            <w:tcBorders>
              <w:top w:val="nil"/>
              <w:left w:val="nil"/>
              <w:bottom w:val="single" w:sz="4" w:space="0" w:color="auto"/>
              <w:right w:val="single" w:sz="4" w:space="0" w:color="auto"/>
            </w:tcBorders>
            <w:shd w:val="clear" w:color="000000" w:fill="FFFFFF"/>
            <w:vAlign w:val="center"/>
            <w:hideMark/>
          </w:tcPr>
          <w:p w:rsidR="00B3224E" w:rsidRDefault="00B3224E">
            <w:pPr>
              <w:rPr>
                <w:sz w:val="20"/>
                <w:szCs w:val="20"/>
              </w:rPr>
            </w:pPr>
            <w:r>
              <w:rPr>
                <w:sz w:val="20"/>
                <w:szCs w:val="20"/>
              </w:rPr>
              <w:t>Weekly Sample proportionate  to contact modes.</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30%</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7,680</w:t>
            </w:r>
          </w:p>
        </w:tc>
      </w:tr>
      <w:tr w:rsidR="00B3224E" w:rsidTr="00152834">
        <w:trPr>
          <w:trHeight w:val="282"/>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000000" w:fill="F2F2F2"/>
            <w:vAlign w:val="center"/>
            <w:hideMark/>
          </w:tcPr>
          <w:p w:rsidR="00B3224E" w:rsidRDefault="00B3224E">
            <w:pPr>
              <w:rPr>
                <w:b/>
                <w:bCs/>
                <w:sz w:val="20"/>
                <w:szCs w:val="20"/>
              </w:rPr>
            </w:pPr>
            <w:r>
              <w:rPr>
                <w:b/>
                <w:bCs/>
                <w:sz w:val="20"/>
                <w:szCs w:val="20"/>
              </w:rPr>
              <w:t>Contact Survey</w:t>
            </w:r>
          </w:p>
        </w:tc>
        <w:tc>
          <w:tcPr>
            <w:tcW w:w="1688"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112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263,099</w:t>
            </w:r>
          </w:p>
        </w:tc>
        <w:tc>
          <w:tcPr>
            <w:tcW w:w="118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600</w:t>
            </w:r>
          </w:p>
        </w:tc>
        <w:tc>
          <w:tcPr>
            <w:tcW w:w="118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7,200</w:t>
            </w:r>
          </w:p>
        </w:tc>
        <w:tc>
          <w:tcPr>
            <w:tcW w:w="1294"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93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1003"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21,280</w:t>
            </w:r>
          </w:p>
        </w:tc>
      </w:tr>
      <w:tr w:rsidR="00B3224E" w:rsidTr="00152834">
        <w:trPr>
          <w:trHeight w:val="1811"/>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xml:space="preserve">Assessment Survey-Phone/ FEMA Form </w:t>
            </w:r>
            <w:r w:rsidR="00152834">
              <w:rPr>
                <w:rFonts w:eastAsiaTheme="minorHAnsi"/>
                <w:sz w:val="20"/>
                <w:szCs w:val="28"/>
              </w:rPr>
              <w:t>519-0-40</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xml:space="preserve">Eligibility determinations:  Eligible vs Ineligible applicants.  Preferred method of communication is phone. </w:t>
            </w:r>
          </w:p>
        </w:tc>
        <w:tc>
          <w:tcPr>
            <w:tcW w:w="112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257,498</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544</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6,528</w:t>
            </w:r>
          </w:p>
        </w:tc>
        <w:tc>
          <w:tcPr>
            <w:tcW w:w="1294" w:type="dxa"/>
            <w:tcBorders>
              <w:top w:val="nil"/>
              <w:left w:val="nil"/>
              <w:bottom w:val="single" w:sz="4" w:space="0" w:color="auto"/>
              <w:right w:val="single" w:sz="4" w:space="0" w:color="auto"/>
            </w:tcBorders>
            <w:shd w:val="clear" w:color="000000" w:fill="FFFFFF"/>
            <w:vAlign w:val="center"/>
            <w:hideMark/>
          </w:tcPr>
          <w:p w:rsidR="00B3224E" w:rsidRDefault="00B3224E">
            <w:pPr>
              <w:rPr>
                <w:sz w:val="20"/>
                <w:szCs w:val="20"/>
              </w:rPr>
            </w:pPr>
            <w:r>
              <w:rPr>
                <w:sz w:val="20"/>
                <w:szCs w:val="20"/>
              </w:rPr>
              <w:t>Monthly sample equally distributed for eligible vs ineligible applicants.</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28%</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23,314</w:t>
            </w:r>
          </w:p>
        </w:tc>
      </w:tr>
      <w:tr w:rsidR="00B3224E" w:rsidTr="00152834">
        <w:trPr>
          <w:trHeight w:val="1811"/>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xml:space="preserve">Assessment Survey-Electronic/  FEMA Form </w:t>
            </w:r>
            <w:r w:rsidR="00152834">
              <w:rPr>
                <w:rFonts w:eastAsiaTheme="minorHAnsi"/>
                <w:sz w:val="20"/>
                <w:szCs w:val="28"/>
              </w:rPr>
              <w:t>519-0-41</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Eligibility determinations:  Eligible vs Ineligible applicants.  Preferred method of communication is email.</w:t>
            </w:r>
          </w:p>
        </w:tc>
        <w:tc>
          <w:tcPr>
            <w:tcW w:w="112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121,176</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sz w:val="20"/>
                <w:szCs w:val="20"/>
              </w:rPr>
            </w:pPr>
            <w:r>
              <w:rPr>
                <w:sz w:val="20"/>
                <w:szCs w:val="20"/>
              </w:rPr>
              <w:t>256</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3,072</w:t>
            </w:r>
          </w:p>
        </w:tc>
        <w:tc>
          <w:tcPr>
            <w:tcW w:w="1294" w:type="dxa"/>
            <w:tcBorders>
              <w:top w:val="nil"/>
              <w:left w:val="nil"/>
              <w:bottom w:val="single" w:sz="4" w:space="0" w:color="auto"/>
              <w:right w:val="single" w:sz="4" w:space="0" w:color="auto"/>
            </w:tcBorders>
            <w:shd w:val="clear" w:color="000000" w:fill="FFFFFF"/>
            <w:vAlign w:val="center"/>
            <w:hideMark/>
          </w:tcPr>
          <w:p w:rsidR="00B3224E" w:rsidRDefault="00B3224E">
            <w:pPr>
              <w:rPr>
                <w:sz w:val="20"/>
                <w:szCs w:val="20"/>
              </w:rPr>
            </w:pPr>
            <w:r>
              <w:rPr>
                <w:sz w:val="20"/>
                <w:szCs w:val="20"/>
              </w:rPr>
              <w:t>Monthly sample equally distributed for eligible vs ineligible applicants.</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30%</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10,240</w:t>
            </w:r>
          </w:p>
        </w:tc>
      </w:tr>
      <w:tr w:rsidR="00B3224E" w:rsidTr="00152834">
        <w:trPr>
          <w:trHeight w:val="517"/>
        </w:trPr>
        <w:tc>
          <w:tcPr>
            <w:tcW w:w="1494" w:type="dxa"/>
            <w:tcBorders>
              <w:top w:val="nil"/>
              <w:left w:val="single" w:sz="4" w:space="0" w:color="auto"/>
              <w:bottom w:val="single" w:sz="4" w:space="0" w:color="auto"/>
              <w:right w:val="single" w:sz="4" w:space="0" w:color="auto"/>
            </w:tcBorders>
            <w:shd w:val="clear" w:color="auto" w:fill="auto"/>
            <w:vAlign w:val="center"/>
            <w:hideMark/>
          </w:tcPr>
          <w:p w:rsidR="00B3224E" w:rsidRDefault="00B3224E">
            <w:pPr>
              <w:rPr>
                <w:rFonts w:ascii="Calibri" w:hAnsi="Calibri"/>
                <w:color w:val="000000"/>
                <w:sz w:val="22"/>
                <w:szCs w:val="22"/>
              </w:rPr>
            </w:pPr>
            <w:r>
              <w:rPr>
                <w:rFonts w:ascii="Calibri" w:hAnsi="Calibri"/>
                <w:color w:val="000000"/>
                <w:sz w:val="22"/>
                <w:szCs w:val="22"/>
              </w:rPr>
              <w:t> </w:t>
            </w:r>
          </w:p>
        </w:tc>
        <w:tc>
          <w:tcPr>
            <w:tcW w:w="1215" w:type="dxa"/>
            <w:tcBorders>
              <w:top w:val="nil"/>
              <w:left w:val="nil"/>
              <w:bottom w:val="single" w:sz="4" w:space="0" w:color="auto"/>
              <w:right w:val="single" w:sz="4" w:space="0" w:color="auto"/>
            </w:tcBorders>
            <w:shd w:val="clear" w:color="000000" w:fill="F2F2F2"/>
            <w:vAlign w:val="center"/>
            <w:hideMark/>
          </w:tcPr>
          <w:p w:rsidR="00B3224E" w:rsidRDefault="00B3224E">
            <w:pPr>
              <w:rPr>
                <w:b/>
                <w:bCs/>
                <w:sz w:val="20"/>
                <w:szCs w:val="20"/>
              </w:rPr>
            </w:pPr>
            <w:r>
              <w:rPr>
                <w:b/>
                <w:bCs/>
                <w:sz w:val="20"/>
                <w:szCs w:val="20"/>
              </w:rPr>
              <w:t xml:space="preserve">Assessment Survey  </w:t>
            </w:r>
          </w:p>
        </w:tc>
        <w:tc>
          <w:tcPr>
            <w:tcW w:w="1688" w:type="dxa"/>
            <w:tcBorders>
              <w:top w:val="nil"/>
              <w:left w:val="nil"/>
              <w:bottom w:val="single" w:sz="4" w:space="0" w:color="auto"/>
              <w:right w:val="single" w:sz="4" w:space="0" w:color="auto"/>
            </w:tcBorders>
            <w:shd w:val="clear" w:color="000000" w:fill="F2F2F2"/>
            <w:vAlign w:val="center"/>
            <w:hideMark/>
          </w:tcPr>
          <w:p w:rsidR="00B3224E" w:rsidRDefault="00B3224E">
            <w:pPr>
              <w:rPr>
                <w:b/>
                <w:bCs/>
                <w:sz w:val="20"/>
                <w:szCs w:val="20"/>
              </w:rPr>
            </w:pPr>
            <w:r>
              <w:rPr>
                <w:b/>
                <w:bCs/>
                <w:sz w:val="20"/>
                <w:szCs w:val="20"/>
              </w:rPr>
              <w:t> </w:t>
            </w:r>
          </w:p>
        </w:tc>
        <w:tc>
          <w:tcPr>
            <w:tcW w:w="112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378,674</w:t>
            </w:r>
          </w:p>
        </w:tc>
        <w:tc>
          <w:tcPr>
            <w:tcW w:w="118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800</w:t>
            </w:r>
          </w:p>
        </w:tc>
        <w:tc>
          <w:tcPr>
            <w:tcW w:w="118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9,600</w:t>
            </w:r>
          </w:p>
        </w:tc>
        <w:tc>
          <w:tcPr>
            <w:tcW w:w="1294"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937"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 </w:t>
            </w:r>
          </w:p>
        </w:tc>
        <w:tc>
          <w:tcPr>
            <w:tcW w:w="1003" w:type="dxa"/>
            <w:tcBorders>
              <w:top w:val="nil"/>
              <w:left w:val="nil"/>
              <w:bottom w:val="single" w:sz="4" w:space="0" w:color="auto"/>
              <w:right w:val="single" w:sz="4" w:space="0" w:color="auto"/>
            </w:tcBorders>
            <w:shd w:val="clear" w:color="000000" w:fill="F2F2F2"/>
            <w:vAlign w:val="center"/>
            <w:hideMark/>
          </w:tcPr>
          <w:p w:rsidR="00B3224E" w:rsidRDefault="00B3224E">
            <w:pPr>
              <w:jc w:val="center"/>
              <w:rPr>
                <w:b/>
                <w:bCs/>
                <w:sz w:val="20"/>
                <w:szCs w:val="20"/>
              </w:rPr>
            </w:pPr>
            <w:r>
              <w:rPr>
                <w:b/>
                <w:bCs/>
                <w:sz w:val="20"/>
                <w:szCs w:val="20"/>
              </w:rPr>
              <w:t>33,554</w:t>
            </w:r>
          </w:p>
        </w:tc>
      </w:tr>
      <w:tr w:rsidR="00B3224E" w:rsidTr="00152834">
        <w:trPr>
          <w:trHeight w:val="517"/>
        </w:trPr>
        <w:tc>
          <w:tcPr>
            <w:tcW w:w="1494" w:type="dxa"/>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rPr>
                <w:b/>
                <w:bCs/>
                <w:sz w:val="20"/>
                <w:szCs w:val="20"/>
              </w:rPr>
            </w:pPr>
            <w:r>
              <w:rPr>
                <w:b/>
                <w:bCs/>
                <w:sz w:val="20"/>
                <w:szCs w:val="20"/>
              </w:rPr>
              <w:t>Total Survey Sample Size</w:t>
            </w:r>
          </w:p>
        </w:tc>
        <w:tc>
          <w:tcPr>
            <w:tcW w:w="1215" w:type="dxa"/>
            <w:tcBorders>
              <w:top w:val="nil"/>
              <w:left w:val="nil"/>
              <w:bottom w:val="single" w:sz="4" w:space="0" w:color="auto"/>
              <w:right w:val="single" w:sz="4" w:space="0" w:color="auto"/>
            </w:tcBorders>
            <w:shd w:val="clear" w:color="000000" w:fill="D9D9D9"/>
            <w:vAlign w:val="center"/>
            <w:hideMark/>
          </w:tcPr>
          <w:p w:rsidR="00B3224E" w:rsidRDefault="00B3224E">
            <w:pPr>
              <w:jc w:val="center"/>
              <w:rPr>
                <w:color w:val="FF0000"/>
                <w:sz w:val="20"/>
                <w:szCs w:val="20"/>
              </w:rPr>
            </w:pPr>
            <w:r>
              <w:rPr>
                <w:color w:val="FF0000"/>
                <w:sz w:val="20"/>
                <w:szCs w:val="20"/>
              </w:rPr>
              <w:t> </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color w:val="FF0000"/>
                <w:sz w:val="20"/>
                <w:szCs w:val="20"/>
              </w:rPr>
            </w:pPr>
            <w:r>
              <w:rPr>
                <w:color w:val="FF0000"/>
                <w:sz w:val="20"/>
                <w:szCs w:val="20"/>
              </w:rPr>
              <w:t> </w:t>
            </w:r>
          </w:p>
        </w:tc>
        <w:tc>
          <w:tcPr>
            <w:tcW w:w="1127" w:type="dxa"/>
            <w:tcBorders>
              <w:top w:val="nil"/>
              <w:left w:val="nil"/>
              <w:bottom w:val="single" w:sz="4" w:space="0" w:color="auto"/>
              <w:right w:val="single" w:sz="4" w:space="0" w:color="auto"/>
            </w:tcBorders>
            <w:shd w:val="clear" w:color="000000" w:fill="D9D9D9"/>
            <w:vAlign w:val="center"/>
            <w:hideMark/>
          </w:tcPr>
          <w:p w:rsidR="00B3224E" w:rsidRDefault="00B3224E">
            <w:pPr>
              <w:jc w:val="center"/>
              <w:rPr>
                <w:b/>
                <w:bCs/>
                <w:color w:val="FF0000"/>
                <w:sz w:val="20"/>
                <w:szCs w:val="20"/>
              </w:rPr>
            </w:pPr>
            <w:r>
              <w:rPr>
                <w:b/>
                <w:bCs/>
                <w:color w:val="FF0000"/>
                <w:sz w:val="20"/>
                <w:szCs w:val="20"/>
              </w:rPr>
              <w:t> </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b/>
                <w:bCs/>
                <w:sz w:val="20"/>
                <w:szCs w:val="20"/>
              </w:rPr>
            </w:pPr>
            <w:r>
              <w:rPr>
                <w:b/>
                <w:bCs/>
                <w:sz w:val="20"/>
                <w:szCs w:val="20"/>
              </w:rPr>
              <w:t>1,800</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b/>
                <w:bCs/>
                <w:sz w:val="20"/>
                <w:szCs w:val="20"/>
              </w:rPr>
            </w:pPr>
            <w:r>
              <w:rPr>
                <w:b/>
                <w:bCs/>
                <w:sz w:val="20"/>
                <w:szCs w:val="20"/>
              </w:rPr>
              <w:t>21,600</w:t>
            </w:r>
          </w:p>
        </w:tc>
        <w:tc>
          <w:tcPr>
            <w:tcW w:w="1294" w:type="dxa"/>
            <w:tcBorders>
              <w:top w:val="nil"/>
              <w:left w:val="nil"/>
              <w:bottom w:val="single" w:sz="4" w:space="0" w:color="auto"/>
              <w:right w:val="single" w:sz="4" w:space="0" w:color="auto"/>
            </w:tcBorders>
            <w:shd w:val="clear" w:color="000000" w:fill="D9D9D9"/>
            <w:vAlign w:val="center"/>
            <w:hideMark/>
          </w:tcPr>
          <w:p w:rsidR="00B3224E" w:rsidRDefault="00B3224E">
            <w:pPr>
              <w:rPr>
                <w:color w:val="FF0000"/>
                <w:sz w:val="20"/>
                <w:szCs w:val="20"/>
              </w:rPr>
            </w:pPr>
            <w:r>
              <w:rPr>
                <w:color w:val="FF0000"/>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b/>
                <w:bCs/>
                <w:sz w:val="20"/>
                <w:szCs w:val="20"/>
              </w:rPr>
            </w:pPr>
            <w:r>
              <w:rPr>
                <w:b/>
                <w:bCs/>
                <w:sz w:val="20"/>
                <w:szCs w:val="20"/>
              </w:rPr>
              <w:t>34%</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rsidP="00B52EA7">
            <w:pPr>
              <w:jc w:val="center"/>
              <w:rPr>
                <w:b/>
                <w:bCs/>
                <w:sz w:val="20"/>
                <w:szCs w:val="20"/>
              </w:rPr>
            </w:pPr>
            <w:r>
              <w:rPr>
                <w:b/>
                <w:bCs/>
                <w:sz w:val="20"/>
                <w:szCs w:val="20"/>
              </w:rPr>
              <w:t>6</w:t>
            </w:r>
            <w:r w:rsidR="00B52EA7">
              <w:rPr>
                <w:b/>
                <w:bCs/>
                <w:sz w:val="20"/>
                <w:szCs w:val="20"/>
              </w:rPr>
              <w:t>9,554</w:t>
            </w:r>
            <w:bookmarkStart w:id="0" w:name="_GoBack"/>
            <w:bookmarkEnd w:id="0"/>
          </w:p>
        </w:tc>
      </w:tr>
      <w:tr w:rsidR="00B3224E" w:rsidTr="00152834">
        <w:trPr>
          <w:trHeight w:val="282"/>
        </w:trPr>
        <w:tc>
          <w:tcPr>
            <w:tcW w:w="1494" w:type="dxa"/>
            <w:tcBorders>
              <w:top w:val="nil"/>
              <w:left w:val="single" w:sz="4" w:space="0" w:color="auto"/>
              <w:bottom w:val="single" w:sz="4" w:space="0" w:color="auto"/>
              <w:right w:val="single" w:sz="4" w:space="0" w:color="auto"/>
            </w:tcBorders>
            <w:shd w:val="clear" w:color="000000" w:fill="D8E4BC"/>
            <w:noWrap/>
            <w:vAlign w:val="bottom"/>
            <w:hideMark/>
          </w:tcPr>
          <w:p w:rsidR="00B3224E" w:rsidRDefault="00B3224E">
            <w:pPr>
              <w:rPr>
                <w:b/>
                <w:bCs/>
                <w:sz w:val="20"/>
                <w:szCs w:val="20"/>
              </w:rPr>
            </w:pPr>
            <w:r>
              <w:rPr>
                <w:b/>
                <w:bCs/>
                <w:sz w:val="20"/>
                <w:szCs w:val="20"/>
              </w:rPr>
              <w:t>Qualitative Studies</w:t>
            </w:r>
          </w:p>
        </w:tc>
        <w:tc>
          <w:tcPr>
            <w:tcW w:w="1215" w:type="dxa"/>
            <w:tcBorders>
              <w:top w:val="nil"/>
              <w:left w:val="nil"/>
              <w:bottom w:val="single" w:sz="4" w:space="0" w:color="auto"/>
              <w:right w:val="single" w:sz="4" w:space="0" w:color="auto"/>
            </w:tcBorders>
            <w:shd w:val="clear" w:color="auto" w:fill="auto"/>
            <w:noWrap/>
            <w:vAlign w:val="bottom"/>
            <w:hideMark/>
          </w:tcPr>
          <w:p w:rsidR="00B3224E" w:rsidRDefault="00B3224E">
            <w:pPr>
              <w:rPr>
                <w:color w:val="FF0000"/>
                <w:sz w:val="20"/>
                <w:szCs w:val="20"/>
              </w:rPr>
            </w:pPr>
            <w:r>
              <w:rPr>
                <w:color w:val="FF0000"/>
                <w:sz w:val="20"/>
                <w:szCs w:val="20"/>
              </w:rPr>
              <w:t> </w:t>
            </w:r>
          </w:p>
        </w:tc>
        <w:tc>
          <w:tcPr>
            <w:tcW w:w="1688" w:type="dxa"/>
            <w:tcBorders>
              <w:top w:val="nil"/>
              <w:left w:val="nil"/>
              <w:bottom w:val="single" w:sz="4" w:space="0" w:color="auto"/>
              <w:right w:val="single" w:sz="4" w:space="0" w:color="auto"/>
            </w:tcBorders>
            <w:shd w:val="clear" w:color="auto" w:fill="auto"/>
            <w:vAlign w:val="center"/>
            <w:hideMark/>
          </w:tcPr>
          <w:p w:rsidR="00B3224E" w:rsidRDefault="00B3224E">
            <w:pPr>
              <w:rPr>
                <w:b/>
                <w:bCs/>
                <w:color w:val="FF0000"/>
                <w:sz w:val="20"/>
                <w:szCs w:val="20"/>
              </w:rPr>
            </w:pPr>
            <w:r>
              <w:rPr>
                <w:b/>
                <w:bCs/>
                <w:color w:val="FF0000"/>
                <w:sz w:val="20"/>
                <w:szCs w:val="20"/>
              </w:rPr>
              <w:t> </w:t>
            </w:r>
          </w:p>
        </w:tc>
        <w:tc>
          <w:tcPr>
            <w:tcW w:w="112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color w:val="FF0000"/>
                <w:sz w:val="20"/>
                <w:szCs w:val="20"/>
              </w:rPr>
            </w:pPr>
            <w:r>
              <w:rPr>
                <w:color w:val="FF0000"/>
                <w:sz w:val="20"/>
                <w:szCs w:val="20"/>
              </w:rPr>
              <w:t> </w:t>
            </w:r>
          </w:p>
        </w:tc>
        <w:tc>
          <w:tcPr>
            <w:tcW w:w="1187" w:type="dxa"/>
            <w:tcBorders>
              <w:top w:val="nil"/>
              <w:left w:val="nil"/>
              <w:bottom w:val="single" w:sz="4" w:space="0" w:color="auto"/>
              <w:right w:val="single" w:sz="4" w:space="0" w:color="auto"/>
            </w:tcBorders>
            <w:shd w:val="clear" w:color="auto" w:fill="auto"/>
            <w:vAlign w:val="center"/>
            <w:hideMark/>
          </w:tcPr>
          <w:p w:rsidR="00B3224E" w:rsidRDefault="00B3224E">
            <w:pPr>
              <w:jc w:val="center"/>
              <w:rPr>
                <w:b/>
                <w:bCs/>
                <w:color w:val="FF0000"/>
                <w:sz w:val="20"/>
                <w:szCs w:val="20"/>
              </w:rPr>
            </w:pPr>
            <w:r>
              <w:rPr>
                <w:b/>
                <w:bCs/>
                <w:color w:val="FF0000"/>
                <w:sz w:val="20"/>
                <w:szCs w:val="20"/>
              </w:rPr>
              <w:t> </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rsidR="00B3224E" w:rsidRDefault="00B3224E">
            <w:pPr>
              <w:rPr>
                <w:b/>
                <w:bCs/>
                <w:color w:val="FF0000"/>
                <w:sz w:val="20"/>
                <w:szCs w:val="20"/>
              </w:rPr>
            </w:pPr>
            <w:r>
              <w:rPr>
                <w:b/>
                <w:bCs/>
                <w:color w:val="FF0000"/>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color w:val="FF0000"/>
                <w:sz w:val="20"/>
                <w:szCs w:val="20"/>
              </w:rPr>
            </w:pPr>
            <w:r>
              <w:rPr>
                <w:color w:val="FF0000"/>
                <w:sz w:val="20"/>
                <w:szCs w:val="20"/>
              </w:rPr>
              <w:t> </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color w:val="FF0000"/>
                <w:sz w:val="20"/>
                <w:szCs w:val="20"/>
              </w:rPr>
            </w:pPr>
            <w:r>
              <w:rPr>
                <w:color w:val="FF0000"/>
                <w:sz w:val="20"/>
                <w:szCs w:val="20"/>
              </w:rPr>
              <w:t> </w:t>
            </w:r>
          </w:p>
        </w:tc>
      </w:tr>
      <w:tr w:rsidR="00B3224E" w:rsidTr="00152834">
        <w:trPr>
          <w:trHeight w:val="776"/>
        </w:trPr>
        <w:tc>
          <w:tcPr>
            <w:tcW w:w="1494" w:type="dxa"/>
            <w:vMerge w:val="restart"/>
            <w:tcBorders>
              <w:top w:val="nil"/>
              <w:left w:val="single" w:sz="4" w:space="0" w:color="auto"/>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xml:space="preserve">Individuals and Households </w:t>
            </w: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Focus Group for 2 Hrs Plus Travel 1 Hr</w:t>
            </w: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Based on 5 Yr. Avg of Total Registrations and Eligible/Ineligible Housing Assistance Applicants.</w:t>
            </w:r>
          </w:p>
        </w:tc>
        <w:tc>
          <w:tcPr>
            <w:tcW w:w="112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252,138</w:t>
            </w:r>
          </w:p>
        </w:tc>
        <w:tc>
          <w:tcPr>
            <w:tcW w:w="1187" w:type="dxa"/>
            <w:tcBorders>
              <w:top w:val="nil"/>
              <w:left w:val="nil"/>
              <w:bottom w:val="single" w:sz="4" w:space="0" w:color="auto"/>
              <w:right w:val="single" w:sz="4" w:space="0" w:color="auto"/>
            </w:tcBorders>
            <w:shd w:val="clear" w:color="auto" w:fill="D9D9D9" w:themeFill="background1" w:themeFillShade="D9"/>
            <w:vAlign w:val="center"/>
            <w:hideMark/>
          </w:tcPr>
          <w:p w:rsidR="00B3224E" w:rsidRPr="00875636" w:rsidRDefault="00B3224E">
            <w:pPr>
              <w:jc w:val="center"/>
              <w:rPr>
                <w:b/>
                <w:bCs/>
                <w:sz w:val="20"/>
                <w:szCs w:val="20"/>
              </w:rPr>
            </w:pPr>
            <w:r w:rsidRPr="00875636">
              <w:rPr>
                <w:b/>
                <w:bCs/>
                <w:sz w:val="20"/>
                <w:szCs w:val="20"/>
              </w:rPr>
              <w:t> </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960</w:t>
            </w:r>
          </w:p>
        </w:tc>
        <w:tc>
          <w:tcPr>
            <w:tcW w:w="1294" w:type="dxa"/>
            <w:tcBorders>
              <w:top w:val="nil"/>
              <w:left w:val="nil"/>
              <w:bottom w:val="single" w:sz="4" w:space="0" w:color="auto"/>
              <w:right w:val="single" w:sz="4" w:space="0" w:color="auto"/>
            </w:tcBorders>
            <w:shd w:val="clear" w:color="auto" w:fill="auto"/>
            <w:vAlign w:val="center"/>
            <w:hideMark/>
          </w:tcPr>
          <w:p w:rsidR="00B3224E" w:rsidRDefault="00B3224E">
            <w:pPr>
              <w:rPr>
                <w:b/>
                <w:bCs/>
                <w:sz w:val="20"/>
                <w:szCs w:val="20"/>
              </w:rPr>
            </w:pPr>
            <w:r>
              <w:rPr>
                <w:b/>
                <w:bCs/>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6%</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 </w:t>
            </w:r>
          </w:p>
        </w:tc>
      </w:tr>
      <w:tr w:rsidR="00B3224E" w:rsidTr="00152834">
        <w:trPr>
          <w:trHeight w:val="517"/>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One-on-One Interviews</w:t>
            </w:r>
          </w:p>
        </w:tc>
        <w:tc>
          <w:tcPr>
            <w:tcW w:w="1688"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12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252,138</w:t>
            </w:r>
          </w:p>
        </w:tc>
        <w:tc>
          <w:tcPr>
            <w:tcW w:w="1187" w:type="dxa"/>
            <w:tcBorders>
              <w:top w:val="nil"/>
              <w:left w:val="nil"/>
              <w:bottom w:val="single" w:sz="4" w:space="0" w:color="auto"/>
              <w:right w:val="single" w:sz="4" w:space="0" w:color="auto"/>
            </w:tcBorders>
            <w:shd w:val="clear" w:color="auto" w:fill="D9D9D9" w:themeFill="background1" w:themeFillShade="D9"/>
            <w:vAlign w:val="center"/>
            <w:hideMark/>
          </w:tcPr>
          <w:p w:rsidR="00B3224E" w:rsidRPr="00875636" w:rsidRDefault="00B3224E">
            <w:pPr>
              <w:jc w:val="center"/>
              <w:rPr>
                <w:sz w:val="20"/>
                <w:szCs w:val="20"/>
              </w:rPr>
            </w:pPr>
            <w:r w:rsidRPr="00875636">
              <w:rPr>
                <w:sz w:val="20"/>
                <w:szCs w:val="20"/>
              </w:rPr>
              <w:t> </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768</w:t>
            </w:r>
          </w:p>
        </w:tc>
        <w:tc>
          <w:tcPr>
            <w:tcW w:w="1294"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 </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 </w:t>
            </w:r>
          </w:p>
        </w:tc>
      </w:tr>
      <w:tr w:rsidR="00B3224E" w:rsidTr="00152834">
        <w:trPr>
          <w:trHeight w:val="517"/>
        </w:trPr>
        <w:tc>
          <w:tcPr>
            <w:tcW w:w="1494"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215" w:type="dxa"/>
            <w:tcBorders>
              <w:top w:val="nil"/>
              <w:left w:val="nil"/>
              <w:bottom w:val="single" w:sz="4" w:space="0" w:color="auto"/>
              <w:right w:val="single" w:sz="4" w:space="0" w:color="auto"/>
            </w:tcBorders>
            <w:shd w:val="clear" w:color="auto" w:fill="auto"/>
            <w:vAlign w:val="center"/>
            <w:hideMark/>
          </w:tcPr>
          <w:p w:rsidR="00B3224E" w:rsidRDefault="00B3224E">
            <w:pPr>
              <w:rPr>
                <w:sz w:val="20"/>
                <w:szCs w:val="20"/>
              </w:rPr>
            </w:pPr>
            <w:r>
              <w:rPr>
                <w:sz w:val="20"/>
                <w:szCs w:val="20"/>
              </w:rPr>
              <w:t>On-Line Interviews</w:t>
            </w:r>
          </w:p>
        </w:tc>
        <w:tc>
          <w:tcPr>
            <w:tcW w:w="1688" w:type="dxa"/>
            <w:vMerge/>
            <w:tcBorders>
              <w:top w:val="nil"/>
              <w:left w:val="single" w:sz="4" w:space="0" w:color="auto"/>
              <w:bottom w:val="single" w:sz="4" w:space="0" w:color="auto"/>
              <w:right w:val="single" w:sz="4" w:space="0" w:color="auto"/>
            </w:tcBorders>
            <w:vAlign w:val="center"/>
            <w:hideMark/>
          </w:tcPr>
          <w:p w:rsidR="00B3224E" w:rsidRDefault="00B3224E">
            <w:pPr>
              <w:rPr>
                <w:sz w:val="20"/>
                <w:szCs w:val="20"/>
              </w:rPr>
            </w:pPr>
          </w:p>
        </w:tc>
        <w:tc>
          <w:tcPr>
            <w:tcW w:w="112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252,138</w:t>
            </w:r>
          </w:p>
        </w:tc>
        <w:tc>
          <w:tcPr>
            <w:tcW w:w="1187" w:type="dxa"/>
            <w:tcBorders>
              <w:top w:val="nil"/>
              <w:left w:val="nil"/>
              <w:bottom w:val="single" w:sz="4" w:space="0" w:color="auto"/>
              <w:right w:val="single" w:sz="4" w:space="0" w:color="auto"/>
            </w:tcBorders>
            <w:shd w:val="clear" w:color="auto" w:fill="D9D9D9" w:themeFill="background1" w:themeFillShade="D9"/>
            <w:noWrap/>
            <w:vAlign w:val="bottom"/>
            <w:hideMark/>
          </w:tcPr>
          <w:p w:rsidR="00B3224E" w:rsidRPr="00875636" w:rsidRDefault="00B3224E">
            <w:pPr>
              <w:rPr>
                <w:sz w:val="20"/>
                <w:szCs w:val="20"/>
              </w:rPr>
            </w:pPr>
            <w:r w:rsidRPr="00875636">
              <w:rPr>
                <w:sz w:val="20"/>
                <w:szCs w:val="20"/>
              </w:rPr>
              <w:t> </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768</w:t>
            </w:r>
          </w:p>
        </w:tc>
        <w:tc>
          <w:tcPr>
            <w:tcW w:w="1294" w:type="dxa"/>
            <w:tcBorders>
              <w:top w:val="nil"/>
              <w:left w:val="nil"/>
              <w:bottom w:val="single" w:sz="4" w:space="0" w:color="auto"/>
              <w:right w:val="single" w:sz="4" w:space="0" w:color="auto"/>
            </w:tcBorders>
            <w:shd w:val="clear" w:color="auto" w:fill="auto"/>
            <w:noWrap/>
            <w:vAlign w:val="center"/>
            <w:hideMark/>
          </w:tcPr>
          <w:p w:rsidR="00B3224E" w:rsidRDefault="00B3224E">
            <w:pPr>
              <w:rPr>
                <w:sz w:val="20"/>
                <w:szCs w:val="20"/>
              </w:rPr>
            </w:pPr>
            <w:r>
              <w:rPr>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 </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 </w:t>
            </w:r>
          </w:p>
        </w:tc>
      </w:tr>
      <w:tr w:rsidR="00B3224E" w:rsidTr="00152834">
        <w:trPr>
          <w:trHeight w:val="517"/>
        </w:trPr>
        <w:tc>
          <w:tcPr>
            <w:tcW w:w="1494" w:type="dxa"/>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rPr>
                <w:b/>
                <w:bCs/>
                <w:sz w:val="20"/>
                <w:szCs w:val="20"/>
              </w:rPr>
            </w:pPr>
            <w:r>
              <w:rPr>
                <w:b/>
                <w:bCs/>
                <w:sz w:val="20"/>
                <w:szCs w:val="20"/>
              </w:rPr>
              <w:t>Qualitative Studies Total</w:t>
            </w:r>
          </w:p>
        </w:tc>
        <w:tc>
          <w:tcPr>
            <w:tcW w:w="1215" w:type="dxa"/>
            <w:tcBorders>
              <w:top w:val="nil"/>
              <w:left w:val="nil"/>
              <w:bottom w:val="single" w:sz="4" w:space="0" w:color="auto"/>
              <w:right w:val="single" w:sz="4" w:space="0" w:color="auto"/>
            </w:tcBorders>
            <w:shd w:val="clear" w:color="000000" w:fill="D9D9D9"/>
            <w:vAlign w:val="center"/>
            <w:hideMark/>
          </w:tcPr>
          <w:p w:rsidR="00B3224E" w:rsidRDefault="00B3224E">
            <w:pPr>
              <w:rPr>
                <w:color w:val="FF0000"/>
                <w:sz w:val="20"/>
                <w:szCs w:val="20"/>
              </w:rPr>
            </w:pPr>
            <w:r>
              <w:rPr>
                <w:color w:val="FF0000"/>
                <w:sz w:val="20"/>
                <w:szCs w:val="20"/>
              </w:rPr>
              <w:t> </w:t>
            </w:r>
          </w:p>
        </w:tc>
        <w:tc>
          <w:tcPr>
            <w:tcW w:w="1688" w:type="dxa"/>
            <w:tcBorders>
              <w:top w:val="nil"/>
              <w:left w:val="nil"/>
              <w:bottom w:val="single" w:sz="4" w:space="0" w:color="auto"/>
              <w:right w:val="single" w:sz="4" w:space="0" w:color="auto"/>
            </w:tcBorders>
            <w:shd w:val="clear" w:color="000000" w:fill="D9D9D9"/>
            <w:vAlign w:val="center"/>
            <w:hideMark/>
          </w:tcPr>
          <w:p w:rsidR="00B3224E" w:rsidRDefault="00B3224E">
            <w:pPr>
              <w:rPr>
                <w:b/>
                <w:bCs/>
                <w:color w:val="FF0000"/>
                <w:sz w:val="20"/>
                <w:szCs w:val="20"/>
              </w:rPr>
            </w:pPr>
            <w:r>
              <w:rPr>
                <w:b/>
                <w:bCs/>
                <w:color w:val="FF0000"/>
                <w:sz w:val="20"/>
                <w:szCs w:val="20"/>
              </w:rPr>
              <w:t> </w:t>
            </w:r>
          </w:p>
        </w:tc>
        <w:tc>
          <w:tcPr>
            <w:tcW w:w="1127" w:type="dxa"/>
            <w:tcBorders>
              <w:top w:val="nil"/>
              <w:left w:val="nil"/>
              <w:bottom w:val="single" w:sz="4" w:space="0" w:color="auto"/>
              <w:right w:val="single" w:sz="4" w:space="0" w:color="auto"/>
            </w:tcBorders>
            <w:shd w:val="clear" w:color="000000" w:fill="D9D9D9"/>
            <w:noWrap/>
            <w:vAlign w:val="center"/>
            <w:hideMark/>
          </w:tcPr>
          <w:p w:rsidR="00B3224E" w:rsidRDefault="00B3224E">
            <w:pPr>
              <w:jc w:val="center"/>
              <w:rPr>
                <w:color w:val="FF0000"/>
                <w:sz w:val="20"/>
                <w:szCs w:val="20"/>
              </w:rPr>
            </w:pPr>
            <w:r>
              <w:rPr>
                <w:color w:val="FF0000"/>
                <w:sz w:val="20"/>
                <w:szCs w:val="20"/>
              </w:rPr>
              <w:t> </w:t>
            </w:r>
          </w:p>
        </w:tc>
        <w:tc>
          <w:tcPr>
            <w:tcW w:w="1187" w:type="dxa"/>
            <w:tcBorders>
              <w:top w:val="nil"/>
              <w:left w:val="nil"/>
              <w:bottom w:val="single" w:sz="4" w:space="0" w:color="auto"/>
              <w:right w:val="single" w:sz="4" w:space="0" w:color="auto"/>
            </w:tcBorders>
            <w:shd w:val="clear" w:color="auto" w:fill="D9D9D9" w:themeFill="background1" w:themeFillShade="D9"/>
            <w:noWrap/>
            <w:vAlign w:val="center"/>
            <w:hideMark/>
          </w:tcPr>
          <w:p w:rsidR="00B3224E" w:rsidRPr="00875636" w:rsidRDefault="00B3224E">
            <w:pPr>
              <w:jc w:val="center"/>
              <w:rPr>
                <w:sz w:val="20"/>
                <w:szCs w:val="20"/>
              </w:rPr>
            </w:pPr>
            <w:r w:rsidRPr="00875636">
              <w:rPr>
                <w:sz w:val="20"/>
                <w:szCs w:val="20"/>
              </w:rPr>
              <w:t> </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Pr="00B52EA7" w:rsidRDefault="00B3224E">
            <w:pPr>
              <w:jc w:val="center"/>
              <w:rPr>
                <w:b/>
                <w:sz w:val="20"/>
                <w:szCs w:val="20"/>
              </w:rPr>
            </w:pPr>
            <w:r w:rsidRPr="00B52EA7">
              <w:rPr>
                <w:b/>
                <w:sz w:val="20"/>
                <w:szCs w:val="20"/>
              </w:rPr>
              <w:t>2,496</w:t>
            </w:r>
          </w:p>
        </w:tc>
        <w:tc>
          <w:tcPr>
            <w:tcW w:w="1294" w:type="dxa"/>
            <w:tcBorders>
              <w:top w:val="nil"/>
              <w:left w:val="nil"/>
              <w:bottom w:val="single" w:sz="4" w:space="0" w:color="auto"/>
              <w:right w:val="single" w:sz="4" w:space="0" w:color="auto"/>
            </w:tcBorders>
            <w:shd w:val="clear" w:color="000000" w:fill="D9D9D9"/>
            <w:noWrap/>
            <w:vAlign w:val="center"/>
            <w:hideMark/>
          </w:tcPr>
          <w:p w:rsidR="00B3224E" w:rsidRDefault="00B3224E">
            <w:pPr>
              <w:rPr>
                <w:sz w:val="20"/>
                <w:szCs w:val="20"/>
              </w:rPr>
            </w:pPr>
            <w:r>
              <w:rPr>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sz w:val="20"/>
                <w:szCs w:val="20"/>
              </w:rPr>
            </w:pPr>
            <w:r>
              <w:rPr>
                <w:sz w:val="20"/>
                <w:szCs w:val="20"/>
              </w:rPr>
              <w:t> </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color w:val="FF0000"/>
                <w:sz w:val="20"/>
                <w:szCs w:val="20"/>
              </w:rPr>
            </w:pPr>
            <w:r>
              <w:rPr>
                <w:color w:val="FF0000"/>
                <w:sz w:val="20"/>
                <w:szCs w:val="20"/>
              </w:rPr>
              <w:t> </w:t>
            </w:r>
          </w:p>
        </w:tc>
      </w:tr>
      <w:tr w:rsidR="00B3224E" w:rsidTr="00152834">
        <w:trPr>
          <w:trHeight w:val="776"/>
        </w:trPr>
        <w:tc>
          <w:tcPr>
            <w:tcW w:w="1494" w:type="dxa"/>
            <w:tcBorders>
              <w:top w:val="nil"/>
              <w:left w:val="single" w:sz="4" w:space="0" w:color="auto"/>
              <w:bottom w:val="single" w:sz="4" w:space="0" w:color="auto"/>
              <w:right w:val="single" w:sz="4" w:space="0" w:color="auto"/>
            </w:tcBorders>
            <w:shd w:val="clear" w:color="000000" w:fill="D8E4BC"/>
            <w:vAlign w:val="center"/>
            <w:hideMark/>
          </w:tcPr>
          <w:p w:rsidR="00B3224E" w:rsidRDefault="00B3224E">
            <w:pPr>
              <w:rPr>
                <w:b/>
                <w:bCs/>
                <w:sz w:val="20"/>
                <w:szCs w:val="20"/>
              </w:rPr>
            </w:pPr>
            <w:r>
              <w:rPr>
                <w:b/>
                <w:bCs/>
                <w:sz w:val="20"/>
                <w:szCs w:val="20"/>
              </w:rPr>
              <w:t>Surveys and Qualitative Studies</w:t>
            </w:r>
          </w:p>
        </w:tc>
        <w:tc>
          <w:tcPr>
            <w:tcW w:w="1215" w:type="dxa"/>
            <w:tcBorders>
              <w:top w:val="nil"/>
              <w:left w:val="nil"/>
              <w:bottom w:val="single" w:sz="4" w:space="0" w:color="auto"/>
              <w:right w:val="single" w:sz="4" w:space="0" w:color="auto"/>
            </w:tcBorders>
            <w:shd w:val="clear" w:color="000000" w:fill="D9D9D9"/>
            <w:vAlign w:val="center"/>
            <w:hideMark/>
          </w:tcPr>
          <w:p w:rsidR="00B3224E" w:rsidRDefault="00B3224E">
            <w:pPr>
              <w:rPr>
                <w:b/>
                <w:bCs/>
                <w:color w:val="FF0000"/>
                <w:sz w:val="20"/>
                <w:szCs w:val="20"/>
              </w:rPr>
            </w:pPr>
            <w:r>
              <w:rPr>
                <w:b/>
                <w:bCs/>
                <w:color w:val="FF0000"/>
                <w:sz w:val="20"/>
                <w:szCs w:val="20"/>
              </w:rPr>
              <w:t> </w:t>
            </w:r>
          </w:p>
        </w:tc>
        <w:tc>
          <w:tcPr>
            <w:tcW w:w="1688" w:type="dxa"/>
            <w:tcBorders>
              <w:top w:val="nil"/>
              <w:left w:val="nil"/>
              <w:bottom w:val="single" w:sz="4" w:space="0" w:color="auto"/>
              <w:right w:val="single" w:sz="4" w:space="0" w:color="auto"/>
            </w:tcBorders>
            <w:shd w:val="clear" w:color="000000" w:fill="D9D9D9"/>
            <w:noWrap/>
            <w:vAlign w:val="bottom"/>
            <w:hideMark/>
          </w:tcPr>
          <w:p w:rsidR="00B3224E" w:rsidRDefault="00B3224E">
            <w:pPr>
              <w:rPr>
                <w:b/>
                <w:bCs/>
                <w:color w:val="FF0000"/>
                <w:sz w:val="20"/>
                <w:szCs w:val="20"/>
              </w:rPr>
            </w:pPr>
            <w:r>
              <w:rPr>
                <w:b/>
                <w:bCs/>
                <w:color w:val="FF0000"/>
                <w:sz w:val="20"/>
                <w:szCs w:val="20"/>
              </w:rPr>
              <w:t> </w:t>
            </w:r>
          </w:p>
        </w:tc>
        <w:tc>
          <w:tcPr>
            <w:tcW w:w="1127" w:type="dxa"/>
            <w:tcBorders>
              <w:top w:val="nil"/>
              <w:left w:val="nil"/>
              <w:bottom w:val="single" w:sz="4" w:space="0" w:color="auto"/>
              <w:right w:val="single" w:sz="4" w:space="0" w:color="auto"/>
            </w:tcBorders>
            <w:shd w:val="clear" w:color="000000" w:fill="D9D9D9"/>
            <w:noWrap/>
            <w:vAlign w:val="center"/>
            <w:hideMark/>
          </w:tcPr>
          <w:p w:rsidR="00B3224E" w:rsidRDefault="00B3224E">
            <w:pPr>
              <w:jc w:val="center"/>
              <w:rPr>
                <w:b/>
                <w:bCs/>
                <w:color w:val="FF0000"/>
                <w:sz w:val="20"/>
                <w:szCs w:val="20"/>
              </w:rPr>
            </w:pPr>
            <w:r>
              <w:rPr>
                <w:b/>
                <w:bCs/>
                <w:color w:val="FF0000"/>
                <w:sz w:val="20"/>
                <w:szCs w:val="20"/>
              </w:rPr>
              <w:t> </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b/>
                <w:bCs/>
                <w:sz w:val="20"/>
                <w:szCs w:val="20"/>
              </w:rPr>
            </w:pPr>
            <w:r>
              <w:rPr>
                <w:b/>
                <w:bCs/>
                <w:sz w:val="20"/>
                <w:szCs w:val="20"/>
              </w:rPr>
              <w:t xml:space="preserve">         1,800 </w:t>
            </w:r>
          </w:p>
        </w:tc>
        <w:tc>
          <w:tcPr>
            <w:tcW w:w="118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b/>
                <w:bCs/>
                <w:sz w:val="20"/>
                <w:szCs w:val="20"/>
              </w:rPr>
            </w:pPr>
            <w:r>
              <w:rPr>
                <w:b/>
                <w:bCs/>
                <w:sz w:val="20"/>
                <w:szCs w:val="20"/>
              </w:rPr>
              <w:t>24,096</w:t>
            </w:r>
          </w:p>
        </w:tc>
        <w:tc>
          <w:tcPr>
            <w:tcW w:w="1294" w:type="dxa"/>
            <w:tcBorders>
              <w:top w:val="nil"/>
              <w:left w:val="nil"/>
              <w:bottom w:val="single" w:sz="4" w:space="0" w:color="auto"/>
              <w:right w:val="single" w:sz="4" w:space="0" w:color="auto"/>
            </w:tcBorders>
            <w:shd w:val="clear" w:color="000000" w:fill="D9D9D9"/>
            <w:noWrap/>
            <w:vAlign w:val="center"/>
            <w:hideMark/>
          </w:tcPr>
          <w:p w:rsidR="00B3224E" w:rsidRDefault="00B3224E">
            <w:pPr>
              <w:jc w:val="center"/>
              <w:rPr>
                <w:b/>
                <w:bCs/>
                <w:sz w:val="20"/>
                <w:szCs w:val="20"/>
              </w:rPr>
            </w:pPr>
            <w:r>
              <w:rPr>
                <w:b/>
                <w:bCs/>
                <w:sz w:val="20"/>
                <w:szCs w:val="20"/>
              </w:rPr>
              <w:t> </w:t>
            </w:r>
          </w:p>
        </w:tc>
        <w:tc>
          <w:tcPr>
            <w:tcW w:w="937"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b/>
                <w:bCs/>
                <w:sz w:val="20"/>
                <w:szCs w:val="20"/>
              </w:rPr>
            </w:pPr>
            <w:r>
              <w:rPr>
                <w:b/>
                <w:bCs/>
                <w:sz w:val="20"/>
                <w:szCs w:val="20"/>
              </w:rPr>
              <w:t> </w:t>
            </w:r>
          </w:p>
        </w:tc>
        <w:tc>
          <w:tcPr>
            <w:tcW w:w="1003" w:type="dxa"/>
            <w:tcBorders>
              <w:top w:val="nil"/>
              <w:left w:val="nil"/>
              <w:bottom w:val="single" w:sz="4" w:space="0" w:color="auto"/>
              <w:right w:val="single" w:sz="4" w:space="0" w:color="auto"/>
            </w:tcBorders>
            <w:shd w:val="clear" w:color="auto" w:fill="auto"/>
            <w:noWrap/>
            <w:vAlign w:val="center"/>
            <w:hideMark/>
          </w:tcPr>
          <w:p w:rsidR="00B3224E" w:rsidRDefault="00B3224E">
            <w:pPr>
              <w:jc w:val="center"/>
              <w:rPr>
                <w:b/>
                <w:bCs/>
                <w:color w:val="FF0000"/>
                <w:sz w:val="20"/>
                <w:szCs w:val="20"/>
              </w:rPr>
            </w:pPr>
            <w:r>
              <w:rPr>
                <w:b/>
                <w:bCs/>
                <w:color w:val="FF0000"/>
                <w:sz w:val="20"/>
                <w:szCs w:val="20"/>
              </w:rPr>
              <w:t> </w:t>
            </w:r>
          </w:p>
        </w:tc>
      </w:tr>
    </w:tbl>
    <w:p w:rsidR="002C759F" w:rsidRDefault="002C759F" w:rsidP="008A5A18">
      <w:pPr>
        <w:tabs>
          <w:tab w:val="left" w:pos="-720"/>
          <w:tab w:val="num" w:pos="1080"/>
        </w:tabs>
        <w:suppressAutoHyphens/>
        <w:spacing w:after="120"/>
        <w:rPr>
          <w:b/>
          <w:bCs/>
        </w:rPr>
      </w:pPr>
    </w:p>
    <w:p w:rsidR="00A20ACD" w:rsidRPr="00A304BA" w:rsidRDefault="00BE5A1F" w:rsidP="008A5A18">
      <w:pPr>
        <w:tabs>
          <w:tab w:val="left" w:pos="-720"/>
          <w:tab w:val="num" w:pos="1080"/>
        </w:tabs>
        <w:suppressAutoHyphens/>
        <w:spacing w:after="120"/>
        <w:rPr>
          <w:b/>
          <w:bCs/>
        </w:rPr>
      </w:pPr>
      <w:r w:rsidRPr="00A304BA">
        <w:rPr>
          <w:b/>
          <w:bCs/>
        </w:rPr>
        <w:t>2.  Describe the procedures for the collection of information including:</w:t>
      </w:r>
    </w:p>
    <w:p w:rsidR="00BE5A1F" w:rsidRPr="00A304BA" w:rsidRDefault="00BE5A1F" w:rsidP="008A5A18">
      <w:pPr>
        <w:tabs>
          <w:tab w:val="left" w:pos="-720"/>
        </w:tabs>
        <w:suppressAutoHyphens/>
        <w:spacing w:after="120"/>
        <w:rPr>
          <w:b/>
          <w:bCs/>
          <w:highlight w:val="yellow"/>
        </w:rPr>
      </w:pPr>
      <w:r w:rsidRPr="00A304BA">
        <w:rPr>
          <w:b/>
          <w:bCs/>
        </w:rPr>
        <w:t>-Statistical methodology for stratification and sample selection:</w:t>
      </w:r>
    </w:p>
    <w:p w:rsidR="00AA1FEF" w:rsidRDefault="00AA1FEF" w:rsidP="0040255F">
      <w:pPr>
        <w:pStyle w:val="BodyTextIndent3"/>
        <w:spacing w:after="100" w:afterAutospacing="1"/>
        <w:ind w:left="0"/>
        <w:rPr>
          <w:sz w:val="24"/>
          <w:szCs w:val="24"/>
        </w:rPr>
      </w:pPr>
      <w:r>
        <w:rPr>
          <w:sz w:val="24"/>
          <w:szCs w:val="24"/>
        </w:rPr>
        <w:t>A probability based sampling method of stratification will be used to make sure each h</w:t>
      </w:r>
      <w:r w:rsidR="000B7565">
        <w:rPr>
          <w:sz w:val="24"/>
          <w:szCs w:val="24"/>
        </w:rPr>
        <w:t>omogeneous sub</w:t>
      </w:r>
      <w:r>
        <w:rPr>
          <w:sz w:val="24"/>
          <w:szCs w:val="24"/>
        </w:rPr>
        <w:t xml:space="preserve">group within the population are represented with proportionate estimates.  </w:t>
      </w:r>
      <w:r w:rsidR="000B7565">
        <w:rPr>
          <w:sz w:val="24"/>
          <w:szCs w:val="24"/>
        </w:rPr>
        <w:t xml:space="preserve">To ensure each subgroup in our overall sample </w:t>
      </w:r>
      <w:r w:rsidR="005E1A27">
        <w:rPr>
          <w:sz w:val="24"/>
          <w:szCs w:val="24"/>
        </w:rPr>
        <w:t>is</w:t>
      </w:r>
      <w:r w:rsidR="000B7565">
        <w:rPr>
          <w:sz w:val="24"/>
          <w:szCs w:val="24"/>
        </w:rPr>
        <w:t xml:space="preserve"> represented at similar leve</w:t>
      </w:r>
      <w:r w:rsidR="006A0347">
        <w:rPr>
          <w:sz w:val="24"/>
          <w:szCs w:val="24"/>
        </w:rPr>
        <w:t>ls of precision, the sample is adjusted using historical response rates</w:t>
      </w:r>
      <w:r w:rsidR="000B7565">
        <w:rPr>
          <w:sz w:val="24"/>
          <w:szCs w:val="24"/>
        </w:rPr>
        <w:t xml:space="preserve"> </w:t>
      </w:r>
      <w:r w:rsidR="006A0347">
        <w:rPr>
          <w:sz w:val="24"/>
          <w:szCs w:val="24"/>
        </w:rPr>
        <w:t>to</w:t>
      </w:r>
      <w:r w:rsidR="000B7565">
        <w:rPr>
          <w:sz w:val="24"/>
          <w:szCs w:val="24"/>
        </w:rPr>
        <w:t xml:space="preserve"> accommodate each </w:t>
      </w:r>
      <w:r w:rsidR="00EB426B">
        <w:rPr>
          <w:sz w:val="24"/>
          <w:szCs w:val="24"/>
        </w:rPr>
        <w:t>population</w:t>
      </w:r>
      <w:r w:rsidR="000B7565">
        <w:rPr>
          <w:sz w:val="24"/>
          <w:szCs w:val="24"/>
        </w:rPr>
        <w:t xml:space="preserve">.  This ensures we have enough </w:t>
      </w:r>
      <w:r w:rsidR="006223E0">
        <w:rPr>
          <w:sz w:val="24"/>
          <w:szCs w:val="24"/>
        </w:rPr>
        <w:t xml:space="preserve">data elements within each </w:t>
      </w:r>
      <w:r w:rsidR="000B7565">
        <w:rPr>
          <w:sz w:val="24"/>
          <w:szCs w:val="24"/>
        </w:rPr>
        <w:t>sample to make statistical inference on the disas</w:t>
      </w:r>
      <w:r w:rsidR="004823BD">
        <w:rPr>
          <w:sz w:val="24"/>
          <w:szCs w:val="24"/>
        </w:rPr>
        <w:t>ter survivor population and sub</w:t>
      </w:r>
      <w:r w:rsidR="000B7565">
        <w:rPr>
          <w:sz w:val="24"/>
          <w:szCs w:val="24"/>
        </w:rPr>
        <w:t>populations of interest</w:t>
      </w:r>
      <w:r w:rsidR="00EB426B">
        <w:rPr>
          <w:sz w:val="24"/>
          <w:szCs w:val="24"/>
        </w:rPr>
        <w:t>.</w:t>
      </w:r>
    </w:p>
    <w:p w:rsidR="00AA1FEF" w:rsidRDefault="000B7565" w:rsidP="0040255F">
      <w:pPr>
        <w:pStyle w:val="BodyTextIndent3"/>
        <w:spacing w:after="100" w:afterAutospacing="1"/>
        <w:ind w:left="0"/>
        <w:rPr>
          <w:i/>
          <w:sz w:val="23"/>
          <w:szCs w:val="23"/>
        </w:rPr>
      </w:pPr>
      <w:r>
        <w:rPr>
          <w:i/>
          <w:sz w:val="23"/>
          <w:szCs w:val="23"/>
        </w:rPr>
        <w:t>“</w:t>
      </w:r>
      <w:r w:rsidR="00AA1FEF" w:rsidRPr="000B7565">
        <w:rPr>
          <w:i/>
          <w:sz w:val="23"/>
          <w:szCs w:val="23"/>
        </w:rPr>
        <w:t xml:space="preserve">Simple random samples (where all units and all equal-numbered combinations of units have the same probabilities of selection) are rare in practice for a number of reasons. </w:t>
      </w:r>
      <w:r>
        <w:rPr>
          <w:i/>
          <w:sz w:val="23"/>
          <w:szCs w:val="23"/>
        </w:rPr>
        <w:t xml:space="preserve">… </w:t>
      </w:r>
      <w:r w:rsidR="00AA1FEF" w:rsidRPr="000B7565">
        <w:rPr>
          <w:i/>
          <w:sz w:val="23"/>
          <w:szCs w:val="23"/>
        </w:rPr>
        <w:t>Thus, other probability-based methods that employ multiple stages of selection, and/or stratification, and/or clustering are used to draw more practical samples that can be generalized with k</w:t>
      </w:r>
      <w:r>
        <w:rPr>
          <w:i/>
          <w:sz w:val="23"/>
          <w:szCs w:val="23"/>
        </w:rPr>
        <w:t>nown d</w:t>
      </w:r>
      <w:r w:rsidR="00E409E6">
        <w:rPr>
          <w:i/>
          <w:sz w:val="23"/>
          <w:szCs w:val="23"/>
        </w:rPr>
        <w:t>egrees of sampling error.” [</w:t>
      </w:r>
      <w:hyperlink r:id="rId10" w:history="1">
        <w:r w:rsidRPr="00F07CC8">
          <w:rPr>
            <w:rStyle w:val="Hyperlink"/>
            <w:i/>
            <w:sz w:val="23"/>
            <w:szCs w:val="23"/>
          </w:rPr>
          <w:t>https://www.whitehouse.gov/sites/default/files/omb/inforeg/pmc_survey_guidance_2006.pdf</w:t>
        </w:r>
      </w:hyperlink>
      <w:r>
        <w:rPr>
          <w:i/>
          <w:sz w:val="23"/>
          <w:szCs w:val="23"/>
        </w:rPr>
        <w:t>]</w:t>
      </w:r>
    </w:p>
    <w:p w:rsidR="00D27A8C" w:rsidRDefault="00546398" w:rsidP="00DB53DE">
      <w:pPr>
        <w:autoSpaceDE w:val="0"/>
        <w:autoSpaceDN w:val="0"/>
        <w:adjustRightInd w:val="0"/>
      </w:pPr>
      <w:r>
        <w:t>S</w:t>
      </w:r>
      <w:r w:rsidR="00DB53DE">
        <w:t>tratification provides gains in precision, or reliability, of the survey estimates and the gains are greatest when the strata are maximally heterogeneous.</w:t>
      </w:r>
      <w:r w:rsidR="00D27A8C">
        <w:t xml:space="preserve"> </w:t>
      </w:r>
    </w:p>
    <w:p w:rsidR="00F24520" w:rsidRPr="00EF348F" w:rsidRDefault="00F24520" w:rsidP="00F24520">
      <w:pPr>
        <w:autoSpaceDE w:val="0"/>
        <w:autoSpaceDN w:val="0"/>
        <w:adjustRightInd w:val="0"/>
      </w:pPr>
    </w:p>
    <w:p w:rsidR="008B3619" w:rsidRPr="00EF348F" w:rsidRDefault="008B3619" w:rsidP="008A5A18">
      <w:pPr>
        <w:tabs>
          <w:tab w:val="left" w:pos="-720"/>
        </w:tabs>
        <w:suppressAutoHyphens/>
        <w:spacing w:after="120"/>
        <w:rPr>
          <w:b/>
          <w:bCs/>
        </w:rPr>
      </w:pPr>
      <w:r w:rsidRPr="00EF348F">
        <w:rPr>
          <w:b/>
          <w:bCs/>
        </w:rPr>
        <w:t>-Estimation procedure:</w:t>
      </w:r>
    </w:p>
    <w:p w:rsidR="00EB426B" w:rsidRDefault="00AB7D08" w:rsidP="005A5B7D">
      <w:r w:rsidRPr="004C3442">
        <w:t xml:space="preserve">For the </w:t>
      </w:r>
      <w:r w:rsidR="009D077D">
        <w:t xml:space="preserve">Initial, </w:t>
      </w:r>
      <w:r w:rsidRPr="004C3442">
        <w:t xml:space="preserve">Contact, </w:t>
      </w:r>
      <w:r w:rsidR="009D077D">
        <w:t xml:space="preserve">and Assessment </w:t>
      </w:r>
      <w:r w:rsidR="006F650C">
        <w:t>S</w:t>
      </w:r>
      <w:r w:rsidR="009D077D">
        <w:t>urveys</w:t>
      </w:r>
      <w:r w:rsidRPr="004C3442">
        <w:t>, t</w:t>
      </w:r>
      <w:r w:rsidR="009D077D">
        <w:t xml:space="preserve">he </w:t>
      </w:r>
      <w:r w:rsidR="00CD562C" w:rsidRPr="004C3442">
        <w:t>sample is based on the FY201</w:t>
      </w:r>
      <w:r w:rsidR="009D077D">
        <w:t>6</w:t>
      </w:r>
      <w:r w:rsidR="00CD562C" w:rsidRPr="004C3442">
        <w:t xml:space="preserve"> </w:t>
      </w:r>
      <w:r w:rsidR="00EB426B" w:rsidRPr="00546398">
        <w:t xml:space="preserve">response rates of previous similar surveys with </w:t>
      </w:r>
      <w:r w:rsidR="00FC30C4" w:rsidRPr="00546398">
        <w:t xml:space="preserve">similar </w:t>
      </w:r>
      <w:r w:rsidR="00546398" w:rsidRPr="00546398">
        <w:t>sub</w:t>
      </w:r>
      <w:r w:rsidR="00FC30C4" w:rsidRPr="00546398">
        <w:t>populations.</w:t>
      </w:r>
      <w:r w:rsidR="005A5B7D">
        <w:t xml:space="preserve"> </w:t>
      </w:r>
      <w:r w:rsidR="005A5B7D" w:rsidRPr="00C456A3">
        <w:t>Sample is adjusted to accommodate historical response rates to improve reliability.</w:t>
      </w:r>
    </w:p>
    <w:p w:rsidR="006F650C" w:rsidRPr="005A5B7D" w:rsidRDefault="006F650C" w:rsidP="005A5B7D"/>
    <w:p w:rsidR="008B3619" w:rsidRPr="00EF348F" w:rsidRDefault="008B3619" w:rsidP="008A5A18">
      <w:pPr>
        <w:tabs>
          <w:tab w:val="left" w:pos="-720"/>
        </w:tabs>
        <w:suppressAutoHyphens/>
        <w:spacing w:after="120"/>
        <w:rPr>
          <w:b/>
          <w:bCs/>
        </w:rPr>
      </w:pPr>
      <w:r w:rsidRPr="00EF348F">
        <w:rPr>
          <w:b/>
          <w:bCs/>
        </w:rPr>
        <w:t>-Degree of accuracy needed for the purpose described in the justification:</w:t>
      </w:r>
    </w:p>
    <w:p w:rsidR="00A20ACD" w:rsidRPr="00E409E6" w:rsidRDefault="00E409E6" w:rsidP="00E409E6">
      <w:pPr>
        <w:pStyle w:val="BodyTextIndent3"/>
        <w:spacing w:after="100" w:afterAutospacing="1"/>
        <w:ind w:left="0"/>
        <w:rPr>
          <w:sz w:val="24"/>
          <w:szCs w:val="24"/>
        </w:rPr>
      </w:pPr>
      <w:r>
        <w:rPr>
          <w:sz w:val="24"/>
          <w:szCs w:val="24"/>
        </w:rPr>
        <w:t>The degree of accuracy is obtained by using</w:t>
      </w:r>
      <w:r w:rsidRPr="00E409E6">
        <w:rPr>
          <w:sz w:val="24"/>
          <w:szCs w:val="24"/>
        </w:rPr>
        <w:t xml:space="preserve"> a 0.5 variability assumption on the population (response distribution), 5% precisions (Margin of error) and 95% confidence level.</w:t>
      </w:r>
      <w:r>
        <w:rPr>
          <w:sz w:val="24"/>
          <w:szCs w:val="24"/>
        </w:rPr>
        <w:t xml:space="preserve"> </w:t>
      </w:r>
      <w:r w:rsidRPr="00E409E6">
        <w:rPr>
          <w:sz w:val="24"/>
          <w:szCs w:val="24"/>
        </w:rPr>
        <w:t xml:space="preserve">This sample size allows us to make statistical inference of the population.  </w:t>
      </w:r>
    </w:p>
    <w:p w:rsidR="008B3619" w:rsidRPr="00EF348F" w:rsidRDefault="008B3619" w:rsidP="009069DB">
      <w:pPr>
        <w:pStyle w:val="ResponseLvl2"/>
        <w:spacing w:before="0" w:after="120"/>
        <w:ind w:left="0"/>
        <w:rPr>
          <w:b/>
        </w:rPr>
      </w:pPr>
      <w:r w:rsidRPr="00EF348F">
        <w:rPr>
          <w:b/>
          <w:bCs/>
        </w:rPr>
        <w:t xml:space="preserve">-Unusual problems requiring specialized sampling procedures: </w:t>
      </w:r>
    </w:p>
    <w:p w:rsidR="00A20ACD" w:rsidRPr="00A94704" w:rsidRDefault="00A20ACD" w:rsidP="00A20ACD">
      <w:pPr>
        <w:tabs>
          <w:tab w:val="left" w:pos="-720"/>
        </w:tabs>
        <w:suppressAutoHyphens/>
        <w:rPr>
          <w:bCs/>
        </w:rPr>
      </w:pPr>
      <w:r w:rsidRPr="009E3867">
        <w:rPr>
          <w:bCs/>
        </w:rPr>
        <w:t>There are no unusual problems requiring specialized sampling procedures.</w:t>
      </w:r>
    </w:p>
    <w:p w:rsidR="00A20ACD" w:rsidRPr="00A20ACD" w:rsidRDefault="00A20ACD" w:rsidP="00A20ACD">
      <w:pPr>
        <w:tabs>
          <w:tab w:val="left" w:pos="-720"/>
        </w:tabs>
        <w:suppressAutoHyphens/>
        <w:rPr>
          <w:b/>
          <w:bCs/>
          <w:highlight w:val="yellow"/>
        </w:rPr>
      </w:pPr>
    </w:p>
    <w:p w:rsidR="008B3619" w:rsidRDefault="008B3619" w:rsidP="008B3619">
      <w:pPr>
        <w:tabs>
          <w:tab w:val="left" w:pos="-720"/>
        </w:tabs>
        <w:suppressAutoHyphens/>
        <w:rPr>
          <w:b/>
          <w:bCs/>
        </w:rPr>
      </w:pPr>
      <w:r w:rsidRPr="00EF348F">
        <w:rPr>
          <w:b/>
          <w:bCs/>
        </w:rPr>
        <w:t>-Any use of periodic (less frequent than annual) data collection cycles to reduce burden:</w:t>
      </w:r>
    </w:p>
    <w:p w:rsidR="0012600E" w:rsidRPr="00EF348F" w:rsidRDefault="0012600E" w:rsidP="008B3619">
      <w:pPr>
        <w:tabs>
          <w:tab w:val="left" w:pos="-720"/>
        </w:tabs>
        <w:suppressAutoHyphens/>
        <w:rPr>
          <w:b/>
          <w:bCs/>
        </w:rPr>
      </w:pPr>
    </w:p>
    <w:p w:rsidR="00CB490A" w:rsidRDefault="00546398" w:rsidP="00CB490A">
      <w:r>
        <w:rPr>
          <w:bCs/>
        </w:rPr>
        <w:t xml:space="preserve">Data will be collected on a weekly basis for Initial and Contact </w:t>
      </w:r>
      <w:r w:rsidR="009B2AAD">
        <w:rPr>
          <w:bCs/>
        </w:rPr>
        <w:t xml:space="preserve">Surveys </w:t>
      </w:r>
      <w:r>
        <w:rPr>
          <w:bCs/>
        </w:rPr>
        <w:t xml:space="preserve">and monthly for Assessments.  </w:t>
      </w:r>
      <w:r w:rsidR="00CB490A" w:rsidRPr="00C456A3">
        <w:t xml:space="preserve">Due to the nature of the </w:t>
      </w:r>
      <w:r w:rsidR="009B2AAD">
        <w:t xml:space="preserve">Initial and Contact </w:t>
      </w:r>
      <w:r w:rsidR="00CB490A" w:rsidRPr="00C456A3">
        <w:t xml:space="preserve">questions and for best response recall, surveys are conducted within a week after </w:t>
      </w:r>
      <w:r w:rsidR="009B2AAD">
        <w:t xml:space="preserve">the interaction with </w:t>
      </w:r>
      <w:r w:rsidR="00CB490A" w:rsidRPr="00C456A3">
        <w:t>FEMA.</w:t>
      </w:r>
      <w:r w:rsidR="00CB490A">
        <w:t xml:space="preserve"> </w:t>
      </w:r>
      <w:r w:rsidR="009B2AAD">
        <w:t xml:space="preserve"> </w:t>
      </w:r>
      <w:r w:rsidR="00CB490A">
        <w:t xml:space="preserve">Assessment </w:t>
      </w:r>
      <w:r w:rsidR="009B2AAD">
        <w:t xml:space="preserve">Surveys </w:t>
      </w:r>
      <w:r w:rsidR="00CB490A">
        <w:t xml:space="preserve">ask </w:t>
      </w:r>
      <w:r w:rsidR="00E1726A">
        <w:t xml:space="preserve">overall </w:t>
      </w:r>
      <w:r w:rsidR="00CB490A">
        <w:t xml:space="preserve">questions </w:t>
      </w:r>
      <w:r w:rsidR="009B2AAD">
        <w:t xml:space="preserve">related to </w:t>
      </w:r>
      <w:r w:rsidR="00E1726A">
        <w:t>service</w:t>
      </w:r>
      <w:r w:rsidR="00383F2A">
        <w:t>, assistance</w:t>
      </w:r>
      <w:r w:rsidR="00E1726A">
        <w:t xml:space="preserve"> and </w:t>
      </w:r>
      <w:r w:rsidR="009B2AAD">
        <w:t xml:space="preserve">recovery </w:t>
      </w:r>
      <w:r w:rsidR="00CB490A">
        <w:t>which need more time</w:t>
      </w:r>
      <w:r w:rsidR="00383F2A">
        <w:t xml:space="preserve"> to experience</w:t>
      </w:r>
      <w:r w:rsidR="00CB490A">
        <w:t xml:space="preserve"> after the disaster </w:t>
      </w:r>
      <w:r w:rsidR="00E1726A">
        <w:t>occurred</w:t>
      </w:r>
      <w:r w:rsidR="00CB490A">
        <w:t>; therefore, the survey is conducted</w:t>
      </w:r>
      <w:r w:rsidR="00383F2A">
        <w:t xml:space="preserve"> 30 days or more after the eligibility is determined</w:t>
      </w:r>
      <w:r w:rsidR="004A40E9">
        <w:t>.</w:t>
      </w:r>
      <w:r w:rsidR="00383F2A">
        <w:t xml:space="preserve"> </w:t>
      </w:r>
      <w:r w:rsidR="00CB490A">
        <w:t xml:space="preserve">  </w:t>
      </w:r>
    </w:p>
    <w:p w:rsidR="005A5B7D" w:rsidRDefault="005A5B7D" w:rsidP="009A6E02">
      <w:pPr>
        <w:autoSpaceDE w:val="0"/>
        <w:autoSpaceDN w:val="0"/>
        <w:adjustRightInd w:val="0"/>
        <w:ind w:firstLine="720"/>
      </w:pPr>
    </w:p>
    <w:p w:rsidR="00A20ACD" w:rsidRPr="00EF348F" w:rsidRDefault="00A20ACD" w:rsidP="00A20ACD">
      <w:pPr>
        <w:tabs>
          <w:tab w:val="left" w:pos="-720"/>
        </w:tabs>
        <w:suppressAutoHyphens/>
        <w:rPr>
          <w:bCs/>
        </w:rPr>
      </w:pPr>
    </w:p>
    <w:p w:rsidR="00A20ACD" w:rsidRPr="00EF348F" w:rsidRDefault="00A20ACD" w:rsidP="00B870AD">
      <w:pPr>
        <w:tabs>
          <w:tab w:val="left" w:pos="-720"/>
        </w:tabs>
        <w:suppressAutoHyphens/>
        <w:ind w:left="720"/>
        <w:rPr>
          <w:b/>
          <w:bCs/>
        </w:rPr>
      </w:pPr>
    </w:p>
    <w:p w:rsidR="003B5FB5" w:rsidRDefault="006B296C" w:rsidP="003B5FB5">
      <w:pPr>
        <w:tabs>
          <w:tab w:val="left" w:pos="-720"/>
        </w:tabs>
        <w:suppressAutoHyphens/>
        <w:spacing w:after="120"/>
        <w:rPr>
          <w:b/>
          <w:bCs/>
        </w:rPr>
      </w:pPr>
      <w:r w:rsidRPr="00EF348F">
        <w:rPr>
          <w:b/>
          <w:bCs/>
        </w:rPr>
        <w:t xml:space="preserve">3.  </w:t>
      </w:r>
      <w:r w:rsidR="00842E74" w:rsidRPr="00EF348F">
        <w:rPr>
          <w:b/>
          <w:bCs/>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456A3" w:rsidRPr="009A0F26" w:rsidRDefault="00C456A3" w:rsidP="003B5FB5">
      <w:pPr>
        <w:tabs>
          <w:tab w:val="left" w:pos="-720"/>
        </w:tabs>
        <w:suppressAutoHyphens/>
        <w:spacing w:after="120"/>
        <w:rPr>
          <w:b/>
          <w:bCs/>
          <w:color w:val="FF0000"/>
        </w:rPr>
      </w:pPr>
      <w:r>
        <w:rPr>
          <w:b/>
          <w:bCs/>
        </w:rPr>
        <w:t>Maximizing Response Rates</w:t>
      </w:r>
    </w:p>
    <w:p w:rsidR="009A0F26" w:rsidRPr="00FC30C4" w:rsidRDefault="00302492" w:rsidP="003B5FB5">
      <w:pPr>
        <w:tabs>
          <w:tab w:val="left" w:pos="-720"/>
        </w:tabs>
        <w:suppressAutoHyphens/>
        <w:spacing w:after="120"/>
        <w:rPr>
          <w:bCs/>
        </w:rPr>
      </w:pPr>
      <w:r>
        <w:rPr>
          <w:bCs/>
        </w:rPr>
        <w:t>M</w:t>
      </w:r>
      <w:r w:rsidR="00DD7A80">
        <w:rPr>
          <w:bCs/>
        </w:rPr>
        <w:t xml:space="preserve">aintaining </w:t>
      </w:r>
      <w:r w:rsidR="00DD7A80" w:rsidRPr="0044504B">
        <w:rPr>
          <w:bCs/>
        </w:rPr>
        <w:t xml:space="preserve">adequate response rates </w:t>
      </w:r>
      <w:r w:rsidR="009A0F26" w:rsidRPr="0044504B">
        <w:rPr>
          <w:bCs/>
        </w:rPr>
        <w:t>of survey</w:t>
      </w:r>
      <w:r w:rsidR="00DD7A80" w:rsidRPr="0044504B">
        <w:rPr>
          <w:bCs/>
        </w:rPr>
        <w:t>s</w:t>
      </w:r>
      <w:r w:rsidR="009A0F26" w:rsidRPr="0044504B">
        <w:rPr>
          <w:bCs/>
        </w:rPr>
        <w:t xml:space="preserve"> continues to be a problem as more people </w:t>
      </w:r>
      <w:r w:rsidR="00720A12" w:rsidRPr="0044504B">
        <w:rPr>
          <w:bCs/>
        </w:rPr>
        <w:t>are</w:t>
      </w:r>
      <w:r w:rsidR="009A0F26" w:rsidRPr="0044504B">
        <w:rPr>
          <w:bCs/>
        </w:rPr>
        <w:t xml:space="preserve"> fatigue</w:t>
      </w:r>
      <w:r w:rsidR="00720A12" w:rsidRPr="0044504B">
        <w:rPr>
          <w:bCs/>
        </w:rPr>
        <w:t xml:space="preserve">d from </w:t>
      </w:r>
      <w:r w:rsidR="009A0F26" w:rsidRPr="0044504B">
        <w:rPr>
          <w:bCs/>
        </w:rPr>
        <w:t>survey inundation, and highly publicized confidentiality breaches from various organizations</w:t>
      </w:r>
      <w:r w:rsidR="00720A12" w:rsidRPr="0044504B">
        <w:rPr>
          <w:bCs/>
        </w:rPr>
        <w:t xml:space="preserve"> have people uneasy about providing information</w:t>
      </w:r>
      <w:r w:rsidR="009A0F26" w:rsidRPr="0044504B">
        <w:rPr>
          <w:bCs/>
        </w:rPr>
        <w:t>.</w:t>
      </w:r>
      <w:r w:rsidR="009A0F26" w:rsidRPr="00FC30C4">
        <w:rPr>
          <w:bCs/>
        </w:rPr>
        <w:t xml:space="preserve">  Because of this, several methods are used to maximize response rates</w:t>
      </w:r>
      <w:r w:rsidR="00383F2A">
        <w:rPr>
          <w:bCs/>
        </w:rPr>
        <w:t>:</w:t>
      </w:r>
      <w:r w:rsidR="004E701A" w:rsidRPr="00FC30C4">
        <w:rPr>
          <w:bCs/>
        </w:rPr>
        <w:t xml:space="preserve"> Survey</w:t>
      </w:r>
      <w:r w:rsidR="00383F2A">
        <w:rPr>
          <w:bCs/>
        </w:rPr>
        <w:t xml:space="preserve"> burden</w:t>
      </w:r>
      <w:r w:rsidR="004E701A" w:rsidRPr="00FC30C4">
        <w:rPr>
          <w:bCs/>
        </w:rPr>
        <w:t xml:space="preserve"> </w:t>
      </w:r>
      <w:r w:rsidR="00383F2A" w:rsidRPr="00FC30C4">
        <w:rPr>
          <w:bCs/>
        </w:rPr>
        <w:t>tim</w:t>
      </w:r>
      <w:r w:rsidR="00383F2A">
        <w:rPr>
          <w:bCs/>
        </w:rPr>
        <w:t>e</w:t>
      </w:r>
      <w:r w:rsidR="00383F2A" w:rsidRPr="00FC30C4">
        <w:rPr>
          <w:bCs/>
        </w:rPr>
        <w:t xml:space="preserve"> </w:t>
      </w:r>
      <w:r w:rsidR="00383F2A">
        <w:rPr>
          <w:bCs/>
        </w:rPr>
        <w:t xml:space="preserve">has </w:t>
      </w:r>
      <w:r w:rsidR="006F1427" w:rsidRPr="00FC30C4">
        <w:rPr>
          <w:bCs/>
        </w:rPr>
        <w:t>decrease</w:t>
      </w:r>
      <w:r w:rsidR="00383F2A">
        <w:rPr>
          <w:bCs/>
        </w:rPr>
        <w:t>d</w:t>
      </w:r>
      <w:r w:rsidR="004E701A" w:rsidRPr="00FC30C4">
        <w:rPr>
          <w:bCs/>
        </w:rPr>
        <w:t xml:space="preserve">, </w:t>
      </w:r>
      <w:r w:rsidR="006F1427" w:rsidRPr="00FC30C4">
        <w:rPr>
          <w:bCs/>
        </w:rPr>
        <w:t xml:space="preserve">voluntary and confidentiality </w:t>
      </w:r>
      <w:r w:rsidR="00DB53DE" w:rsidRPr="00FC30C4">
        <w:rPr>
          <w:bCs/>
        </w:rPr>
        <w:t>disclosures</w:t>
      </w:r>
      <w:r w:rsidR="00383F2A">
        <w:rPr>
          <w:bCs/>
        </w:rPr>
        <w:t xml:space="preserve"> are given</w:t>
      </w:r>
      <w:r w:rsidR="006F1427" w:rsidRPr="00FC30C4">
        <w:rPr>
          <w:bCs/>
        </w:rPr>
        <w:t xml:space="preserve">, </w:t>
      </w:r>
      <w:r w:rsidR="004E701A" w:rsidRPr="00FC30C4">
        <w:rPr>
          <w:bCs/>
        </w:rPr>
        <w:t>mixed mode administration</w:t>
      </w:r>
      <w:r w:rsidR="00383F2A">
        <w:rPr>
          <w:bCs/>
        </w:rPr>
        <w:t xml:space="preserve"> is offered</w:t>
      </w:r>
      <w:r w:rsidR="004E701A" w:rsidRPr="00FC30C4">
        <w:rPr>
          <w:bCs/>
        </w:rPr>
        <w:t xml:space="preserve"> (phone &amp; electronic) with follow-up or reminders</w:t>
      </w:r>
      <w:r w:rsidR="006F1427" w:rsidRPr="00FC30C4">
        <w:rPr>
          <w:bCs/>
        </w:rPr>
        <w:t xml:space="preserve"> for respondent</w:t>
      </w:r>
      <w:r w:rsidR="00383F2A">
        <w:rPr>
          <w:bCs/>
        </w:rPr>
        <w:t>’</w:t>
      </w:r>
      <w:r w:rsidR="006F1427" w:rsidRPr="00FC30C4">
        <w:rPr>
          <w:bCs/>
        </w:rPr>
        <w:t xml:space="preserve">s </w:t>
      </w:r>
      <w:r w:rsidR="00DB53DE" w:rsidRPr="00FC30C4">
        <w:rPr>
          <w:bCs/>
        </w:rPr>
        <w:t>convenience</w:t>
      </w:r>
      <w:r w:rsidR="004E701A" w:rsidRPr="00FC30C4">
        <w:rPr>
          <w:bCs/>
        </w:rPr>
        <w:t>.</w:t>
      </w:r>
      <w:r w:rsidR="000163B7" w:rsidRPr="00FC30C4">
        <w:rPr>
          <w:bCs/>
        </w:rPr>
        <w:t xml:space="preserve"> </w:t>
      </w:r>
    </w:p>
    <w:p w:rsidR="00097B59" w:rsidRDefault="00097B59" w:rsidP="000163B7">
      <w:pPr>
        <w:rPr>
          <w:b/>
        </w:rPr>
      </w:pPr>
    </w:p>
    <w:p w:rsidR="000163B7" w:rsidRPr="00C456A3" w:rsidRDefault="00C456A3" w:rsidP="000163B7">
      <w:pPr>
        <w:rPr>
          <w:b/>
        </w:rPr>
      </w:pPr>
      <w:r w:rsidRPr="00C456A3">
        <w:rPr>
          <w:b/>
        </w:rPr>
        <w:t>Reliability and Validity (A</w:t>
      </w:r>
      <w:r w:rsidR="000163B7" w:rsidRPr="00C456A3">
        <w:rPr>
          <w:b/>
        </w:rPr>
        <w:t>ccuracy)</w:t>
      </w:r>
    </w:p>
    <w:p w:rsidR="00B844A6" w:rsidRDefault="00B844A6" w:rsidP="00C456A3"/>
    <w:p w:rsidR="00DD7A80" w:rsidRDefault="00AE1BAC" w:rsidP="00C456A3">
      <w:r w:rsidRPr="00C456A3">
        <w:t>Sample is adjusted to accommodate historical response rates to improve reliability.</w:t>
      </w:r>
      <w:r w:rsidR="00383F2A">
        <w:t xml:space="preserve"> </w:t>
      </w:r>
      <w:r w:rsidR="00DD7A80">
        <w:t>This is done by taking previous year</w:t>
      </w:r>
      <w:r w:rsidR="00F87E22">
        <w:t>’</w:t>
      </w:r>
      <w:r w:rsidR="00DD7A80">
        <w:t xml:space="preserve">s response rates and increase the targeted completions.  If we would like 400 completions but we know we only receive 50% </w:t>
      </w:r>
      <w:r w:rsidR="00302492">
        <w:t xml:space="preserve">a </w:t>
      </w:r>
      <w:r w:rsidR="00DD7A80">
        <w:t>response</w:t>
      </w:r>
      <w:r w:rsidR="00302492">
        <w:t xml:space="preserve"> rate</w:t>
      </w:r>
      <w:r w:rsidR="00DD7A80">
        <w:t xml:space="preserve">, we would then survey </w:t>
      </w:r>
      <w:r w:rsidR="00302492">
        <w:t>800</w:t>
      </w:r>
      <w:r w:rsidR="00DD7A80">
        <w:t xml:space="preserve"> to ensure we receive the 400.</w:t>
      </w:r>
    </w:p>
    <w:p w:rsidR="00F87E22" w:rsidRDefault="00F87E22" w:rsidP="00C456A3"/>
    <w:p w:rsidR="002843EE" w:rsidRPr="00C456A3" w:rsidRDefault="002843EE" w:rsidP="00C456A3">
      <w:r w:rsidRPr="00C456A3">
        <w:rPr>
          <w:bCs/>
        </w:rPr>
        <w:t xml:space="preserve">Questions are screened to </w:t>
      </w:r>
      <w:r w:rsidR="00383F2A">
        <w:rPr>
          <w:bCs/>
        </w:rPr>
        <w:t>e</w:t>
      </w:r>
      <w:r w:rsidR="00383F2A" w:rsidRPr="00C456A3">
        <w:rPr>
          <w:bCs/>
        </w:rPr>
        <w:t xml:space="preserve">nsure </w:t>
      </w:r>
      <w:r w:rsidRPr="00C456A3">
        <w:rPr>
          <w:bCs/>
        </w:rPr>
        <w:t>readability through research</w:t>
      </w:r>
      <w:r w:rsidR="00383F2A">
        <w:rPr>
          <w:bCs/>
        </w:rPr>
        <w:t xml:space="preserve"> of</w:t>
      </w:r>
      <w:r w:rsidRPr="00C456A3">
        <w:rPr>
          <w:bCs/>
        </w:rPr>
        <w:t xml:space="preserve"> best practices and read aloud testing.   Response options are also</w:t>
      </w:r>
      <w:r w:rsidR="00020020">
        <w:rPr>
          <w:bCs/>
        </w:rPr>
        <w:t xml:space="preserve"> screened to create independent/ non overlapping </w:t>
      </w:r>
      <w:r w:rsidRPr="00C456A3">
        <w:rPr>
          <w:bCs/>
        </w:rPr>
        <w:t xml:space="preserve">options and dubious </w:t>
      </w:r>
      <w:r w:rsidR="00A51E11" w:rsidRPr="00C456A3">
        <w:rPr>
          <w:bCs/>
        </w:rPr>
        <w:t>re</w:t>
      </w:r>
      <w:r w:rsidR="00020020">
        <w:rPr>
          <w:bCs/>
        </w:rPr>
        <w:t>p</w:t>
      </w:r>
      <w:r w:rsidR="009E1EB0">
        <w:rPr>
          <w:bCs/>
        </w:rPr>
        <w:t>lie</w:t>
      </w:r>
      <w:r w:rsidR="00020020">
        <w:rPr>
          <w:bCs/>
        </w:rPr>
        <w:t>s</w:t>
      </w:r>
      <w:r w:rsidR="00A51E11" w:rsidRPr="00C456A3">
        <w:rPr>
          <w:bCs/>
        </w:rPr>
        <w:t xml:space="preserve"> due to unclear or overlapping response scales</w:t>
      </w:r>
      <w:r w:rsidRPr="00C456A3">
        <w:rPr>
          <w:bCs/>
        </w:rPr>
        <w:t>.</w:t>
      </w:r>
      <w:r w:rsidR="00BD31CA" w:rsidRPr="00C456A3">
        <w:rPr>
          <w:bCs/>
        </w:rPr>
        <w:t xml:space="preserve"> Complex wording, technical terms, jargon, and difficult phrases are closely monitored. </w:t>
      </w:r>
    </w:p>
    <w:p w:rsidR="00933236" w:rsidRPr="00C456A3" w:rsidRDefault="00933236" w:rsidP="00712A72">
      <w:pPr>
        <w:tabs>
          <w:tab w:val="left" w:pos="-720"/>
          <w:tab w:val="left" w:pos="900"/>
          <w:tab w:val="num" w:pos="1080"/>
        </w:tabs>
        <w:suppressAutoHyphens/>
      </w:pPr>
    </w:p>
    <w:p w:rsidR="00712A72" w:rsidRPr="00821DA4" w:rsidRDefault="00821DA4" w:rsidP="00712A72">
      <w:pPr>
        <w:tabs>
          <w:tab w:val="left" w:pos="-720"/>
          <w:tab w:val="left" w:pos="900"/>
          <w:tab w:val="num" w:pos="1080"/>
        </w:tabs>
        <w:suppressAutoHyphens/>
        <w:rPr>
          <w:b/>
        </w:rPr>
      </w:pPr>
      <w:r w:rsidRPr="00821DA4">
        <w:rPr>
          <w:b/>
        </w:rPr>
        <w:t>Unreliable Data</w:t>
      </w:r>
    </w:p>
    <w:p w:rsidR="005E79C1" w:rsidRDefault="005A5B7D" w:rsidP="005E79C1">
      <w:pPr>
        <w:tabs>
          <w:tab w:val="left" w:pos="-720"/>
          <w:tab w:val="left" w:pos="900"/>
          <w:tab w:val="num" w:pos="1080"/>
        </w:tabs>
        <w:suppressAutoHyphens/>
      </w:pPr>
      <w:r>
        <w:t>F</w:t>
      </w:r>
      <w:r w:rsidR="00B4701C">
        <w:t xml:space="preserve">actors that contribute to the non-response portion may be due to the </w:t>
      </w:r>
      <w:r w:rsidR="00383F2A">
        <w:t xml:space="preserve">nature </w:t>
      </w:r>
      <w:r w:rsidR="005E79C1">
        <w:t xml:space="preserve">of the </w:t>
      </w:r>
      <w:r w:rsidR="00B670A0">
        <w:t xml:space="preserve">disaster; such as, </w:t>
      </w:r>
      <w:r w:rsidR="00383F2A" w:rsidRPr="00A82B18">
        <w:t>due to the disaster</w:t>
      </w:r>
      <w:r w:rsidR="00383F2A">
        <w:t xml:space="preserve"> </w:t>
      </w:r>
      <w:r w:rsidR="00CC0EC5">
        <w:t>applicant</w:t>
      </w:r>
      <w:r w:rsidR="00B670A0">
        <w:t>s who are survivors</w:t>
      </w:r>
      <w:r w:rsidR="00B670A0" w:rsidRPr="00A82B18">
        <w:t xml:space="preserve"> </w:t>
      </w:r>
      <w:r w:rsidR="00B670A0">
        <w:t xml:space="preserve">often </w:t>
      </w:r>
      <w:r w:rsidR="00B670A0" w:rsidRPr="00A82B18">
        <w:t>do not have telephone service</w:t>
      </w:r>
      <w:r w:rsidR="00B670A0">
        <w:t>, cell phone service,</w:t>
      </w:r>
      <w:r w:rsidR="00B670A0" w:rsidRPr="00A82B18">
        <w:t xml:space="preserve"> </w:t>
      </w:r>
      <w:r w:rsidR="00B670A0">
        <w:t xml:space="preserve">nor electrical service </w:t>
      </w:r>
      <w:r w:rsidR="00B670A0" w:rsidRPr="00A82B18">
        <w:t xml:space="preserve">in their community. </w:t>
      </w:r>
      <w:r w:rsidR="00B670A0">
        <w:t>F</w:t>
      </w:r>
      <w:r w:rsidR="00B670A0" w:rsidRPr="00A82B18">
        <w:t>requent relocations</w:t>
      </w:r>
      <w:r w:rsidR="00B670A0">
        <w:t xml:space="preserve"> and displacements</w:t>
      </w:r>
      <w:r w:rsidR="00B670A0" w:rsidRPr="00A82B18">
        <w:t xml:space="preserve"> are anticipated</w:t>
      </w:r>
      <w:r w:rsidR="00B670A0">
        <w:t xml:space="preserve"> affecting the respondent’s </w:t>
      </w:r>
      <w:r w:rsidR="00B670A0" w:rsidRPr="0044504B">
        <w:t xml:space="preserve">availability to complete the survey. </w:t>
      </w:r>
      <w:r w:rsidR="00383F2A" w:rsidRPr="0044504B">
        <w:t xml:space="preserve"> </w:t>
      </w:r>
      <w:r w:rsidR="001D310A" w:rsidRPr="0044504B">
        <w:t>Survivor</w:t>
      </w:r>
      <w:r w:rsidR="00B670A0" w:rsidRPr="0044504B">
        <w:t>s may not want to use their cell phone minutes to respond to a survey.</w:t>
      </w:r>
      <w:r w:rsidR="00383F2A" w:rsidRPr="0044504B">
        <w:t xml:space="preserve"> </w:t>
      </w:r>
      <w:r w:rsidR="00B670A0" w:rsidRPr="0044504B">
        <w:t xml:space="preserve"> Disaster trauma may be a factor </w:t>
      </w:r>
      <w:r w:rsidR="00716D5A" w:rsidRPr="0044504B">
        <w:t>as</w:t>
      </w:r>
      <w:r w:rsidR="00B670A0" w:rsidRPr="0044504B">
        <w:t xml:space="preserve"> the </w:t>
      </w:r>
      <w:r w:rsidR="00CC0EC5" w:rsidRPr="0044504B">
        <w:t>survivor</w:t>
      </w:r>
      <w:r w:rsidR="00B670A0" w:rsidRPr="0044504B">
        <w:t xml:space="preserve"> may not remember </w:t>
      </w:r>
      <w:r w:rsidR="00716D5A" w:rsidRPr="0044504B">
        <w:t>all the different interactions with</w:t>
      </w:r>
      <w:r w:rsidR="00B670A0" w:rsidRPr="0044504B">
        <w:t xml:space="preserve"> FEMA or was not familiar with the case.</w:t>
      </w:r>
      <w:r w:rsidR="00B670A0" w:rsidRPr="00754407">
        <w:t xml:space="preserve">  </w:t>
      </w:r>
      <w:r w:rsidR="00C20B51">
        <w:t>Due to these factors, s</w:t>
      </w:r>
      <w:r w:rsidR="00B4701C">
        <w:t xml:space="preserve">ample size is adjusted to accommodate </w:t>
      </w:r>
      <w:r w:rsidR="00C20B51">
        <w:t xml:space="preserve">historical </w:t>
      </w:r>
      <w:r w:rsidR="00C17EB4">
        <w:t>nonresponse</w:t>
      </w:r>
      <w:r w:rsidR="00B4701C">
        <w:t xml:space="preserve"> rates</w:t>
      </w:r>
      <w:r w:rsidR="00C17EB4">
        <w:t xml:space="preserve"> to alleviate possible unreliable data</w:t>
      </w:r>
      <w:r w:rsidR="00C20B51">
        <w:t>.</w:t>
      </w:r>
    </w:p>
    <w:p w:rsidR="0075626F" w:rsidRPr="00EF348F" w:rsidRDefault="0075626F" w:rsidP="00FD4E2C">
      <w:pPr>
        <w:tabs>
          <w:tab w:val="left" w:pos="-720"/>
        </w:tabs>
        <w:suppressAutoHyphens/>
        <w:rPr>
          <w:highlight w:val="yellow"/>
        </w:rPr>
      </w:pPr>
    </w:p>
    <w:p w:rsidR="00F445A3" w:rsidRPr="00EF348F" w:rsidRDefault="006B296C" w:rsidP="006B296C">
      <w:pPr>
        <w:tabs>
          <w:tab w:val="left" w:pos="-720"/>
          <w:tab w:val="left" w:pos="900"/>
          <w:tab w:val="num" w:pos="1080"/>
        </w:tabs>
        <w:suppressAutoHyphens/>
        <w:rPr>
          <w:b/>
          <w:bCs/>
        </w:rPr>
      </w:pPr>
      <w:r w:rsidRPr="00EF348F">
        <w:rPr>
          <w:b/>
        </w:rPr>
        <w:t>4.</w:t>
      </w:r>
      <w:r w:rsidRPr="00EF348F">
        <w:t xml:space="preserve">  </w:t>
      </w:r>
      <w:r w:rsidR="00842E74" w:rsidRPr="00EF348F">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F445A3" w:rsidRPr="00EF348F" w:rsidRDefault="00F445A3" w:rsidP="00F445A3">
      <w:pPr>
        <w:tabs>
          <w:tab w:val="left" w:pos="-720"/>
        </w:tabs>
        <w:suppressAutoHyphens/>
        <w:ind w:left="864"/>
        <w:rPr>
          <w:b/>
          <w:bCs/>
        </w:rPr>
      </w:pPr>
    </w:p>
    <w:p w:rsidR="007D0F2F" w:rsidRDefault="00D438DE" w:rsidP="00D438DE">
      <w:pPr>
        <w:pStyle w:val="BodyTextIndent"/>
        <w:shd w:val="clear" w:color="auto" w:fill="FFFFFF"/>
        <w:tabs>
          <w:tab w:val="left" w:pos="720"/>
        </w:tabs>
        <w:ind w:left="0"/>
        <w:rPr>
          <w:sz w:val="24"/>
        </w:rPr>
      </w:pPr>
      <w:r w:rsidRPr="008166B2">
        <w:rPr>
          <w:sz w:val="24"/>
        </w:rPr>
        <w:t>M</w:t>
      </w:r>
      <w:r w:rsidR="00F44CE7">
        <w:rPr>
          <w:sz w:val="24"/>
        </w:rPr>
        <w:t>ost</w:t>
      </w:r>
      <w:r w:rsidRPr="008166B2">
        <w:rPr>
          <w:sz w:val="24"/>
        </w:rPr>
        <w:t xml:space="preserve"> of the questions in the surveys</w:t>
      </w:r>
      <w:r>
        <w:rPr>
          <w:sz w:val="24"/>
        </w:rPr>
        <w:t xml:space="preserve"> have been performed for</w:t>
      </w:r>
      <w:r w:rsidR="00921785">
        <w:rPr>
          <w:sz w:val="24"/>
        </w:rPr>
        <w:t xml:space="preserve"> ten</w:t>
      </w:r>
      <w:r w:rsidR="007D0F2F">
        <w:rPr>
          <w:sz w:val="24"/>
        </w:rPr>
        <w:t>-to fifteen</w:t>
      </w:r>
      <w:r>
        <w:rPr>
          <w:sz w:val="24"/>
        </w:rPr>
        <w:t xml:space="preserve"> years and were initially</w:t>
      </w:r>
      <w:r w:rsidRPr="008166B2">
        <w:rPr>
          <w:sz w:val="24"/>
        </w:rPr>
        <w:t xml:space="preserve"> based on comments from past focus groups </w:t>
      </w:r>
      <w:r w:rsidR="009F2909">
        <w:rPr>
          <w:sz w:val="24"/>
        </w:rPr>
        <w:t>and</w:t>
      </w:r>
      <w:r w:rsidRPr="008166B2">
        <w:rPr>
          <w:sz w:val="24"/>
        </w:rPr>
        <w:t xml:space="preserve"> contractor </w:t>
      </w:r>
      <w:r w:rsidR="00511247">
        <w:rPr>
          <w:sz w:val="24"/>
        </w:rPr>
        <w:t>recommendations</w:t>
      </w:r>
      <w:r w:rsidRPr="008166B2">
        <w:rPr>
          <w:sz w:val="24"/>
        </w:rPr>
        <w:t>. FEMA personnel also review</w:t>
      </w:r>
      <w:r>
        <w:rPr>
          <w:sz w:val="24"/>
        </w:rPr>
        <w:t>ed</w:t>
      </w:r>
      <w:r w:rsidRPr="008166B2">
        <w:rPr>
          <w:sz w:val="24"/>
        </w:rPr>
        <w:t xml:space="preserve"> </w:t>
      </w:r>
      <w:r w:rsidR="008F3515">
        <w:rPr>
          <w:sz w:val="24"/>
        </w:rPr>
        <w:t xml:space="preserve">the </w:t>
      </w:r>
      <w:r w:rsidRPr="008166B2">
        <w:rPr>
          <w:sz w:val="24"/>
        </w:rPr>
        <w:t xml:space="preserve">questionnaire content and wording to improve readability and clarity.  </w:t>
      </w:r>
    </w:p>
    <w:p w:rsidR="00F87E22" w:rsidRDefault="00F87E22" w:rsidP="00D438DE">
      <w:pPr>
        <w:pStyle w:val="BodyTextIndent"/>
        <w:shd w:val="clear" w:color="auto" w:fill="FFFFFF"/>
        <w:tabs>
          <w:tab w:val="left" w:pos="720"/>
        </w:tabs>
        <w:ind w:left="0"/>
        <w:rPr>
          <w:sz w:val="24"/>
        </w:rPr>
      </w:pPr>
    </w:p>
    <w:p w:rsidR="00302492" w:rsidRDefault="00D01162" w:rsidP="00D438DE">
      <w:pPr>
        <w:pStyle w:val="BodyTextIndent"/>
        <w:shd w:val="clear" w:color="auto" w:fill="FFFFFF"/>
        <w:tabs>
          <w:tab w:val="left" w:pos="720"/>
        </w:tabs>
        <w:ind w:left="0"/>
        <w:rPr>
          <w:sz w:val="24"/>
        </w:rPr>
      </w:pPr>
      <w:r>
        <w:rPr>
          <w:sz w:val="24"/>
        </w:rPr>
        <w:t>Test</w:t>
      </w:r>
      <w:r w:rsidR="007D0F2F">
        <w:rPr>
          <w:sz w:val="24"/>
        </w:rPr>
        <w:t>s</w:t>
      </w:r>
      <w:r>
        <w:rPr>
          <w:sz w:val="24"/>
        </w:rPr>
        <w:t xml:space="preserve"> for readability are conducted by staff</w:t>
      </w:r>
      <w:r w:rsidR="009F2909">
        <w:rPr>
          <w:sz w:val="24"/>
        </w:rPr>
        <w:t xml:space="preserve"> to help with reliability and accuracy</w:t>
      </w:r>
      <w:r>
        <w:rPr>
          <w:sz w:val="24"/>
        </w:rPr>
        <w:t xml:space="preserve">.  This includes question layout, wording, definitions, and timing.  Questions are also analyzed for </w:t>
      </w:r>
      <w:r w:rsidR="00302492">
        <w:rPr>
          <w:sz w:val="24"/>
        </w:rPr>
        <w:t>plain language</w:t>
      </w:r>
      <w:r>
        <w:rPr>
          <w:sz w:val="24"/>
        </w:rPr>
        <w:t xml:space="preserve">.  </w:t>
      </w:r>
    </w:p>
    <w:p w:rsidR="00F87E22" w:rsidRPr="0044504B" w:rsidRDefault="00F87E22" w:rsidP="00D438DE">
      <w:pPr>
        <w:pStyle w:val="BodyTextIndent"/>
        <w:shd w:val="clear" w:color="auto" w:fill="FFFFFF"/>
        <w:tabs>
          <w:tab w:val="left" w:pos="720"/>
        </w:tabs>
        <w:ind w:left="0"/>
        <w:rPr>
          <w:sz w:val="24"/>
        </w:rPr>
      </w:pPr>
    </w:p>
    <w:p w:rsidR="005E79C1" w:rsidRPr="0044504B" w:rsidRDefault="0044504B" w:rsidP="00D438DE">
      <w:pPr>
        <w:pStyle w:val="BodyTextIndent"/>
        <w:shd w:val="clear" w:color="auto" w:fill="FFFFFF"/>
        <w:tabs>
          <w:tab w:val="left" w:pos="720"/>
        </w:tabs>
        <w:ind w:left="0"/>
        <w:rPr>
          <w:sz w:val="24"/>
        </w:rPr>
      </w:pPr>
      <w:r w:rsidRPr="0044504B">
        <w:rPr>
          <w:sz w:val="24"/>
        </w:rPr>
        <w:t>Tests with fewer than 10 survivors will be performed by FEMA’s Customer Survey and Analysis staff for updates or revisions as needed.</w:t>
      </w:r>
    </w:p>
    <w:p w:rsidR="0044504B" w:rsidRDefault="0044504B" w:rsidP="00D438DE">
      <w:pPr>
        <w:pStyle w:val="BodyTextIndent"/>
        <w:shd w:val="clear" w:color="auto" w:fill="FFFFFF"/>
        <w:tabs>
          <w:tab w:val="left" w:pos="720"/>
        </w:tabs>
        <w:ind w:left="0"/>
        <w:rPr>
          <w:sz w:val="24"/>
        </w:rPr>
      </w:pPr>
    </w:p>
    <w:p w:rsidR="00842E74" w:rsidRDefault="006B296C" w:rsidP="000412C5">
      <w:pPr>
        <w:pStyle w:val="BodyTextIndent"/>
        <w:shd w:val="clear" w:color="auto" w:fill="auto"/>
        <w:ind w:left="0"/>
        <w:rPr>
          <w:b/>
          <w:sz w:val="24"/>
          <w:szCs w:val="24"/>
        </w:rPr>
      </w:pPr>
      <w:r w:rsidRPr="00EF348F">
        <w:rPr>
          <w:b/>
          <w:sz w:val="24"/>
          <w:szCs w:val="24"/>
        </w:rPr>
        <w:t xml:space="preserve">5.  </w:t>
      </w:r>
      <w:r w:rsidR="00842E74" w:rsidRPr="00EF348F">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r w:rsidR="00842E74" w:rsidRPr="00EF348F">
        <w:rPr>
          <w:b/>
          <w:sz w:val="24"/>
          <w:szCs w:val="24"/>
        </w:rPr>
        <w:fldChar w:fldCharType="begin"/>
      </w:r>
      <w:r w:rsidR="00842E74" w:rsidRPr="00EF348F">
        <w:rPr>
          <w:b/>
          <w:sz w:val="24"/>
          <w:szCs w:val="24"/>
        </w:rPr>
        <w:instrText>ADVANCE \R 0.95</w:instrText>
      </w:r>
      <w:r w:rsidR="00842E74" w:rsidRPr="00EF348F">
        <w:rPr>
          <w:b/>
          <w:sz w:val="24"/>
          <w:szCs w:val="24"/>
        </w:rPr>
        <w:fldChar w:fldCharType="end"/>
      </w:r>
    </w:p>
    <w:p w:rsidR="000032EC" w:rsidRPr="00EF348F" w:rsidRDefault="000032EC" w:rsidP="000412C5">
      <w:pPr>
        <w:pStyle w:val="BodyTextIndent"/>
        <w:shd w:val="clear" w:color="auto" w:fill="auto"/>
        <w:ind w:left="0"/>
        <w:rPr>
          <w:b/>
          <w:sz w:val="24"/>
          <w:szCs w:val="24"/>
        </w:rPr>
      </w:pPr>
    </w:p>
    <w:p w:rsidR="000032EC" w:rsidRDefault="000032EC" w:rsidP="000032EC">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Pr="00CB6FC7">
        <w:t xml:space="preserve">Customer </w:t>
      </w:r>
      <w:r>
        <w:t>Survey &amp;</w:t>
      </w:r>
      <w:r w:rsidRPr="00CB6FC7">
        <w:t xml:space="preserve"> Analysis </w:t>
      </w:r>
      <w:r w:rsidR="004E4B70">
        <w:t xml:space="preserve">(CSA) </w:t>
      </w:r>
      <w:r w:rsidR="007D0F2F">
        <w:t>S</w:t>
      </w:r>
      <w:r w:rsidR="004E4B70">
        <w:t xml:space="preserve">ection plans, </w:t>
      </w:r>
      <w:r w:rsidR="007D0F2F">
        <w:t xml:space="preserve">designs, </w:t>
      </w:r>
      <w:r w:rsidR="004E4B70">
        <w:t>administers, and analyzes results of</w:t>
      </w:r>
      <w:r>
        <w:t xml:space="preserve"> the survey.  This includes the survey methodology and sample selection, collecting, tabulation and </w:t>
      </w:r>
      <w:r w:rsidR="00D01162">
        <w:t>reporting</w:t>
      </w:r>
      <w:r>
        <w:t xml:space="preserve"> of the data.  </w:t>
      </w:r>
    </w:p>
    <w:p w:rsidR="00795574" w:rsidRPr="00DA74B9" w:rsidRDefault="00795574" w:rsidP="000032EC">
      <w:pPr>
        <w:pStyle w:val="BodyTextIndent"/>
        <w:shd w:val="clear" w:color="auto" w:fill="auto"/>
        <w:ind w:left="0"/>
        <w:rPr>
          <w:b/>
          <w:color w:val="FF0000"/>
          <w:sz w:val="24"/>
          <w:szCs w:val="24"/>
        </w:rPr>
      </w:pPr>
    </w:p>
    <w:p w:rsidR="00795574" w:rsidRPr="00CB6FC7" w:rsidRDefault="00795574" w:rsidP="00795574">
      <w:pPr>
        <w:pStyle w:val="BodyTextIndent"/>
        <w:shd w:val="clear" w:color="auto" w:fill="auto"/>
        <w:ind w:left="0"/>
        <w:rPr>
          <w:sz w:val="24"/>
          <w:szCs w:val="24"/>
        </w:rPr>
      </w:pPr>
      <w:r>
        <w:rPr>
          <w:sz w:val="24"/>
          <w:szCs w:val="24"/>
        </w:rPr>
        <w:t>Jessica Guillory</w:t>
      </w:r>
      <w:r w:rsidR="00C46859">
        <w:rPr>
          <w:sz w:val="24"/>
          <w:szCs w:val="24"/>
        </w:rPr>
        <w:t xml:space="preserve">, </w:t>
      </w:r>
      <w:r>
        <w:rPr>
          <w:sz w:val="24"/>
          <w:szCs w:val="24"/>
        </w:rPr>
        <w:t>Statistician</w:t>
      </w:r>
    </w:p>
    <w:p w:rsidR="00795574" w:rsidRPr="00CB6FC7" w:rsidRDefault="00795574" w:rsidP="00795574">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rsidR="00795574" w:rsidRPr="00CB6FC7" w:rsidRDefault="00795574" w:rsidP="00795574">
      <w:pPr>
        <w:pStyle w:val="BodyTextIndent"/>
        <w:shd w:val="clear" w:color="auto" w:fill="auto"/>
        <w:ind w:left="0"/>
        <w:rPr>
          <w:sz w:val="24"/>
          <w:szCs w:val="24"/>
        </w:rPr>
      </w:pPr>
      <w:r>
        <w:rPr>
          <w:sz w:val="24"/>
          <w:szCs w:val="24"/>
        </w:rPr>
        <w:t>Federal Emergency Management Agency</w:t>
      </w:r>
    </w:p>
    <w:p w:rsidR="00795574" w:rsidRDefault="00795574" w:rsidP="00795574">
      <w:pPr>
        <w:pStyle w:val="BodyTextIndent"/>
        <w:shd w:val="clear" w:color="auto" w:fill="auto"/>
        <w:ind w:left="0"/>
        <w:rPr>
          <w:sz w:val="24"/>
          <w:szCs w:val="24"/>
        </w:rPr>
      </w:pPr>
      <w:r>
        <w:rPr>
          <w:sz w:val="24"/>
          <w:szCs w:val="24"/>
        </w:rPr>
        <w:t>940 891 8528</w:t>
      </w:r>
    </w:p>
    <w:p w:rsidR="00795574" w:rsidRDefault="00795574" w:rsidP="00795574">
      <w:pPr>
        <w:pStyle w:val="BodyTextIndent"/>
        <w:shd w:val="clear" w:color="auto" w:fill="auto"/>
        <w:ind w:left="0"/>
        <w:rPr>
          <w:sz w:val="24"/>
          <w:szCs w:val="24"/>
        </w:rPr>
      </w:pPr>
    </w:p>
    <w:p w:rsidR="00795574" w:rsidRPr="00CB6FC7" w:rsidRDefault="00795574" w:rsidP="00795574">
      <w:pPr>
        <w:pStyle w:val="BodyTextIndent"/>
        <w:shd w:val="clear" w:color="auto" w:fill="auto"/>
        <w:ind w:left="0"/>
        <w:rPr>
          <w:sz w:val="24"/>
          <w:szCs w:val="24"/>
        </w:rPr>
      </w:pPr>
      <w:r>
        <w:rPr>
          <w:sz w:val="24"/>
          <w:szCs w:val="24"/>
        </w:rPr>
        <w:t>Dr. Kristin Brooks</w:t>
      </w:r>
      <w:r w:rsidR="00C46859">
        <w:rPr>
          <w:sz w:val="24"/>
          <w:szCs w:val="24"/>
        </w:rPr>
        <w:t xml:space="preserve">, </w:t>
      </w:r>
      <w:r>
        <w:rPr>
          <w:sz w:val="24"/>
          <w:szCs w:val="24"/>
        </w:rPr>
        <w:t>Statistician</w:t>
      </w:r>
    </w:p>
    <w:p w:rsidR="00795574" w:rsidRPr="00CB6FC7" w:rsidRDefault="00795574" w:rsidP="00795574">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rsidR="00795574" w:rsidRPr="00CB6FC7" w:rsidRDefault="00795574" w:rsidP="00795574">
      <w:pPr>
        <w:pStyle w:val="BodyTextIndent"/>
        <w:shd w:val="clear" w:color="auto" w:fill="auto"/>
        <w:ind w:left="0"/>
        <w:rPr>
          <w:sz w:val="24"/>
          <w:szCs w:val="24"/>
        </w:rPr>
      </w:pPr>
      <w:r>
        <w:rPr>
          <w:sz w:val="24"/>
          <w:szCs w:val="24"/>
        </w:rPr>
        <w:t>Federal Emergency Management Agency</w:t>
      </w:r>
    </w:p>
    <w:p w:rsidR="00795574" w:rsidRDefault="00795574" w:rsidP="00795574">
      <w:pPr>
        <w:pStyle w:val="BodyTextIndent"/>
        <w:shd w:val="clear" w:color="auto" w:fill="auto"/>
        <w:ind w:left="0"/>
        <w:rPr>
          <w:sz w:val="24"/>
          <w:szCs w:val="24"/>
        </w:rPr>
      </w:pPr>
      <w:r>
        <w:rPr>
          <w:sz w:val="24"/>
          <w:szCs w:val="24"/>
        </w:rPr>
        <w:t>940 891 8579</w:t>
      </w:r>
    </w:p>
    <w:p w:rsidR="00643079" w:rsidRDefault="00643079" w:rsidP="00795574">
      <w:pPr>
        <w:pStyle w:val="BodyTextIndent"/>
        <w:shd w:val="clear" w:color="auto" w:fill="auto"/>
        <w:ind w:left="0"/>
        <w:rPr>
          <w:sz w:val="24"/>
          <w:szCs w:val="24"/>
        </w:rPr>
      </w:pPr>
    </w:p>
    <w:p w:rsidR="00643079" w:rsidRPr="00CB6FC7" w:rsidRDefault="00643079" w:rsidP="00643079">
      <w:pPr>
        <w:pStyle w:val="BodyTextIndent"/>
        <w:shd w:val="clear" w:color="auto" w:fill="auto"/>
        <w:ind w:left="0"/>
        <w:rPr>
          <w:sz w:val="24"/>
          <w:szCs w:val="24"/>
        </w:rPr>
      </w:pPr>
      <w:r>
        <w:rPr>
          <w:sz w:val="24"/>
          <w:szCs w:val="24"/>
        </w:rPr>
        <w:t xml:space="preserve">Gena Fry, </w:t>
      </w:r>
      <w:r w:rsidRPr="00CB6FC7">
        <w:rPr>
          <w:sz w:val="24"/>
          <w:szCs w:val="24"/>
        </w:rPr>
        <w:t>Program Analyst</w:t>
      </w:r>
    </w:p>
    <w:p w:rsidR="00643079" w:rsidRPr="00CB6FC7" w:rsidRDefault="00643079" w:rsidP="00643079">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rsidR="00643079" w:rsidRPr="00CB6FC7" w:rsidRDefault="00643079" w:rsidP="00643079">
      <w:pPr>
        <w:pStyle w:val="BodyTextIndent"/>
        <w:shd w:val="clear" w:color="auto" w:fill="auto"/>
        <w:ind w:left="0"/>
        <w:rPr>
          <w:sz w:val="24"/>
          <w:szCs w:val="24"/>
        </w:rPr>
      </w:pPr>
      <w:r>
        <w:rPr>
          <w:sz w:val="24"/>
          <w:szCs w:val="24"/>
        </w:rPr>
        <w:t>Federal Emergency Management Agency</w:t>
      </w:r>
    </w:p>
    <w:p w:rsidR="00643079" w:rsidRDefault="00643079" w:rsidP="00643079">
      <w:pPr>
        <w:pStyle w:val="BodyTextIndent"/>
        <w:shd w:val="clear" w:color="auto" w:fill="auto"/>
        <w:ind w:left="0"/>
        <w:rPr>
          <w:sz w:val="24"/>
          <w:szCs w:val="24"/>
        </w:rPr>
      </w:pPr>
      <w:r w:rsidRPr="00CB6FC7">
        <w:rPr>
          <w:sz w:val="24"/>
          <w:szCs w:val="24"/>
        </w:rPr>
        <w:t>940 891-8</w:t>
      </w:r>
      <w:r>
        <w:rPr>
          <w:sz w:val="24"/>
          <w:szCs w:val="24"/>
        </w:rPr>
        <w:t>543</w:t>
      </w:r>
    </w:p>
    <w:p w:rsidR="00251C9E" w:rsidRPr="00DA74B9" w:rsidRDefault="00251C9E" w:rsidP="000412C5">
      <w:pPr>
        <w:pStyle w:val="BodyTextIndent"/>
        <w:shd w:val="clear" w:color="auto" w:fill="auto"/>
        <w:ind w:left="0"/>
        <w:rPr>
          <w:b/>
          <w:color w:val="FF0000"/>
          <w:sz w:val="24"/>
          <w:szCs w:val="24"/>
        </w:rPr>
      </w:pPr>
    </w:p>
    <w:p w:rsidR="00F44CE7" w:rsidRPr="00CB6FC7" w:rsidRDefault="00F44CE7" w:rsidP="00F44CE7">
      <w:pPr>
        <w:pStyle w:val="BodyTextIndent"/>
        <w:shd w:val="clear" w:color="auto" w:fill="auto"/>
        <w:ind w:left="0"/>
        <w:rPr>
          <w:sz w:val="24"/>
          <w:szCs w:val="24"/>
        </w:rPr>
      </w:pPr>
      <w:r w:rsidRPr="00CB6FC7">
        <w:rPr>
          <w:sz w:val="24"/>
          <w:szCs w:val="24"/>
        </w:rPr>
        <w:t>Maggie Billing</w:t>
      </w:r>
      <w:r w:rsidR="00C46859">
        <w:rPr>
          <w:sz w:val="24"/>
          <w:szCs w:val="24"/>
        </w:rPr>
        <w:t xml:space="preserve">, </w:t>
      </w:r>
      <w:r w:rsidRPr="00CB6FC7">
        <w:rPr>
          <w:sz w:val="24"/>
          <w:szCs w:val="24"/>
        </w:rPr>
        <w:t>Program Analyst</w:t>
      </w:r>
    </w:p>
    <w:p w:rsidR="00795574" w:rsidRPr="00CB6FC7" w:rsidRDefault="00795574" w:rsidP="00795574">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rsidR="00795574" w:rsidRPr="00CB6FC7" w:rsidRDefault="00795574" w:rsidP="00795574">
      <w:pPr>
        <w:pStyle w:val="BodyTextIndent"/>
        <w:shd w:val="clear" w:color="auto" w:fill="auto"/>
        <w:ind w:left="0"/>
        <w:rPr>
          <w:sz w:val="24"/>
          <w:szCs w:val="24"/>
        </w:rPr>
      </w:pPr>
      <w:r>
        <w:rPr>
          <w:sz w:val="24"/>
          <w:szCs w:val="24"/>
        </w:rPr>
        <w:t>Federal Emergency Management Agency</w:t>
      </w:r>
    </w:p>
    <w:p w:rsidR="00EF348F" w:rsidRDefault="00F44CE7" w:rsidP="00EF348F">
      <w:pPr>
        <w:pStyle w:val="BodyTextIndent"/>
        <w:shd w:val="clear" w:color="auto" w:fill="auto"/>
        <w:ind w:left="0"/>
        <w:rPr>
          <w:sz w:val="24"/>
          <w:szCs w:val="24"/>
        </w:rPr>
      </w:pPr>
      <w:r w:rsidRPr="00CB6FC7">
        <w:rPr>
          <w:sz w:val="24"/>
          <w:szCs w:val="24"/>
        </w:rPr>
        <w:t>940 891-8709</w:t>
      </w:r>
    </w:p>
    <w:p w:rsidR="00EF348F" w:rsidRDefault="00EF348F" w:rsidP="00EF348F">
      <w:pPr>
        <w:pStyle w:val="BodyTextIndent"/>
        <w:shd w:val="clear" w:color="auto" w:fill="auto"/>
        <w:ind w:left="0"/>
        <w:rPr>
          <w:sz w:val="24"/>
          <w:szCs w:val="24"/>
        </w:rPr>
      </w:pPr>
    </w:p>
    <w:p w:rsidR="00EF348F" w:rsidRDefault="00EF348F" w:rsidP="00EF348F">
      <w:pPr>
        <w:pStyle w:val="BodyTextIndent"/>
        <w:shd w:val="clear" w:color="auto" w:fill="auto"/>
        <w:ind w:left="0"/>
        <w:rPr>
          <w:sz w:val="24"/>
          <w:szCs w:val="24"/>
        </w:rPr>
      </w:pPr>
      <w:r>
        <w:rPr>
          <w:sz w:val="24"/>
          <w:szCs w:val="24"/>
        </w:rPr>
        <w:t>Kyle M. Mills, P.E.</w:t>
      </w:r>
      <w:r w:rsidR="00C46859">
        <w:rPr>
          <w:sz w:val="24"/>
          <w:szCs w:val="24"/>
        </w:rPr>
        <w:t xml:space="preserve">, </w:t>
      </w:r>
      <w:r>
        <w:rPr>
          <w:sz w:val="24"/>
          <w:szCs w:val="24"/>
        </w:rPr>
        <w:t>Section Manager</w:t>
      </w:r>
    </w:p>
    <w:p w:rsidR="00795574" w:rsidRPr="00CB6FC7" w:rsidRDefault="00795574" w:rsidP="00795574">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rsidR="00795574" w:rsidRPr="00CB6FC7" w:rsidRDefault="00795574" w:rsidP="00795574">
      <w:pPr>
        <w:pStyle w:val="BodyTextIndent"/>
        <w:shd w:val="clear" w:color="auto" w:fill="auto"/>
        <w:ind w:left="0"/>
        <w:rPr>
          <w:sz w:val="24"/>
          <w:szCs w:val="24"/>
        </w:rPr>
      </w:pPr>
      <w:r>
        <w:rPr>
          <w:sz w:val="24"/>
          <w:szCs w:val="24"/>
        </w:rPr>
        <w:t>Federal Emergency Management Agency</w:t>
      </w:r>
    </w:p>
    <w:p w:rsidR="00EF348F" w:rsidRDefault="00EF348F" w:rsidP="00EF348F">
      <w:pPr>
        <w:pStyle w:val="BodyTextIndent"/>
        <w:shd w:val="clear" w:color="auto" w:fill="auto"/>
        <w:ind w:left="0"/>
        <w:rPr>
          <w:sz w:val="24"/>
          <w:szCs w:val="24"/>
        </w:rPr>
      </w:pPr>
      <w:r>
        <w:rPr>
          <w:sz w:val="24"/>
          <w:szCs w:val="24"/>
        </w:rPr>
        <w:t>940 891-8881</w:t>
      </w:r>
    </w:p>
    <w:p w:rsidR="00EF348F" w:rsidRDefault="00EF348F" w:rsidP="00EF348F">
      <w:pPr>
        <w:pStyle w:val="BodyTextIndent"/>
        <w:shd w:val="clear" w:color="auto" w:fill="auto"/>
        <w:ind w:left="0"/>
        <w:rPr>
          <w:sz w:val="24"/>
          <w:szCs w:val="24"/>
        </w:rPr>
      </w:pPr>
    </w:p>
    <w:p w:rsidR="004823BD" w:rsidRDefault="004823BD" w:rsidP="00EF348F">
      <w:pPr>
        <w:pStyle w:val="BodyTextIndent"/>
        <w:shd w:val="clear" w:color="auto" w:fill="auto"/>
        <w:ind w:left="0"/>
        <w:rPr>
          <w:sz w:val="24"/>
          <w:szCs w:val="24"/>
        </w:rPr>
      </w:pPr>
    </w:p>
    <w:p w:rsidR="004823BD" w:rsidRDefault="004823BD" w:rsidP="00EF348F">
      <w:pPr>
        <w:pStyle w:val="BodyTextIndent"/>
        <w:shd w:val="clear" w:color="auto" w:fill="auto"/>
        <w:ind w:left="0"/>
        <w:rPr>
          <w:sz w:val="24"/>
          <w:szCs w:val="24"/>
        </w:rPr>
      </w:pPr>
    </w:p>
    <w:sectPr w:rsidR="004823BD" w:rsidSect="00D47D07">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17" w:rsidRDefault="008D7717">
      <w:r>
        <w:separator/>
      </w:r>
    </w:p>
  </w:endnote>
  <w:endnote w:type="continuationSeparator" w:id="0">
    <w:p w:rsidR="008D7717" w:rsidRDefault="008D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81" w:rsidRDefault="00DB3681"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681" w:rsidRDefault="00DB36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81" w:rsidRDefault="00DB3681"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2EA7">
      <w:rPr>
        <w:rStyle w:val="PageNumber"/>
        <w:noProof/>
      </w:rPr>
      <w:t>5</w:t>
    </w:r>
    <w:r>
      <w:rPr>
        <w:rStyle w:val="PageNumber"/>
      </w:rPr>
      <w:fldChar w:fldCharType="end"/>
    </w:r>
  </w:p>
  <w:p w:rsidR="00DB3681" w:rsidRDefault="00DB36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17" w:rsidRDefault="008D7717">
      <w:r>
        <w:separator/>
      </w:r>
    </w:p>
  </w:footnote>
  <w:footnote w:type="continuationSeparator" w:id="0">
    <w:p w:rsidR="008D7717" w:rsidRDefault="008D7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716E"/>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12D069D5"/>
    <w:multiLevelType w:val="hybridMultilevel"/>
    <w:tmpl w:val="CCDC9502"/>
    <w:lvl w:ilvl="0" w:tplc="217C02C2">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15:restartNumberingAfterBreak="0">
    <w:nsid w:val="1EB12828"/>
    <w:multiLevelType w:val="hybridMultilevel"/>
    <w:tmpl w:val="9142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52E8F"/>
    <w:multiLevelType w:val="hybridMultilevel"/>
    <w:tmpl w:val="23F83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E16FDC"/>
    <w:multiLevelType w:val="hybridMultilevel"/>
    <w:tmpl w:val="59AA5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F02936"/>
    <w:multiLevelType w:val="hybridMultilevel"/>
    <w:tmpl w:val="61F2DC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2"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15:restartNumberingAfterBreak="0">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15"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6" w15:restartNumberingAfterBreak="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280DC9"/>
    <w:multiLevelType w:val="hybridMultilevel"/>
    <w:tmpl w:val="1F0E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E2654"/>
    <w:multiLevelType w:val="hybridMultilevel"/>
    <w:tmpl w:val="920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1" w15:restartNumberingAfterBreak="0">
    <w:nsid w:val="7CAB7A22"/>
    <w:multiLevelType w:val="singleLevel"/>
    <w:tmpl w:val="F476E666"/>
    <w:lvl w:ilvl="0">
      <w:start w:val="1"/>
      <w:numFmt w:val="bullet"/>
      <w:lvlText w:val=""/>
      <w:lvlJc w:val="left"/>
      <w:pPr>
        <w:tabs>
          <w:tab w:val="num" w:pos="360"/>
        </w:tabs>
        <w:ind w:left="360" w:hanging="360"/>
      </w:pPr>
      <w:rPr>
        <w:rFonts w:ascii="Wingdings" w:hAnsi="Wingdings" w:hint="default"/>
        <w:sz w:val="24"/>
      </w:rPr>
    </w:lvl>
  </w:abstractNum>
  <w:num w:numId="1">
    <w:abstractNumId w:val="15"/>
  </w:num>
  <w:num w:numId="2">
    <w:abstractNumId w:val="12"/>
  </w:num>
  <w:num w:numId="3">
    <w:abstractNumId w:val="8"/>
  </w:num>
  <w:num w:numId="4">
    <w:abstractNumId w:val="20"/>
  </w:num>
  <w:num w:numId="5">
    <w:abstractNumId w:val="3"/>
  </w:num>
  <w:num w:numId="6">
    <w:abstractNumId w:val="14"/>
  </w:num>
  <w:num w:numId="7">
    <w:abstractNumId w:val="10"/>
  </w:num>
  <w:num w:numId="8">
    <w:abstractNumId w:val="16"/>
  </w:num>
  <w:num w:numId="9">
    <w:abstractNumId w:val="1"/>
  </w:num>
  <w:num w:numId="10">
    <w:abstractNumId w:val="19"/>
  </w:num>
  <w:num w:numId="11">
    <w:abstractNumId w:val="17"/>
  </w:num>
  <w:num w:numId="12">
    <w:abstractNumId w:val="9"/>
  </w:num>
  <w:num w:numId="13">
    <w:abstractNumId w:val="4"/>
  </w:num>
  <w:num w:numId="14">
    <w:abstractNumId w:val="11"/>
  </w:num>
  <w:num w:numId="15">
    <w:abstractNumId w:val="13"/>
  </w:num>
  <w:num w:numId="16">
    <w:abstractNumId w:val="21"/>
  </w:num>
  <w:num w:numId="17">
    <w:abstractNumId w:val="6"/>
  </w:num>
  <w:num w:numId="18">
    <w:abstractNumId w:val="7"/>
  </w:num>
  <w:num w:numId="19">
    <w:abstractNumId w:val="2"/>
  </w:num>
  <w:num w:numId="20">
    <w:abstractNumId w:val="0"/>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39"/>
    <w:rsid w:val="00002CB0"/>
    <w:rsid w:val="000032EC"/>
    <w:rsid w:val="0000704E"/>
    <w:rsid w:val="00012E76"/>
    <w:rsid w:val="000144C1"/>
    <w:rsid w:val="00015803"/>
    <w:rsid w:val="000163B7"/>
    <w:rsid w:val="00020020"/>
    <w:rsid w:val="00020610"/>
    <w:rsid w:val="0002071B"/>
    <w:rsid w:val="000211A8"/>
    <w:rsid w:val="0002140F"/>
    <w:rsid w:val="00026B9F"/>
    <w:rsid w:val="00027724"/>
    <w:rsid w:val="00030F34"/>
    <w:rsid w:val="000320D1"/>
    <w:rsid w:val="000321A5"/>
    <w:rsid w:val="00033DA1"/>
    <w:rsid w:val="000372F6"/>
    <w:rsid w:val="000375D9"/>
    <w:rsid w:val="00040A45"/>
    <w:rsid w:val="000412C5"/>
    <w:rsid w:val="00044629"/>
    <w:rsid w:val="000534CA"/>
    <w:rsid w:val="00053D98"/>
    <w:rsid w:val="00072253"/>
    <w:rsid w:val="00073D0F"/>
    <w:rsid w:val="00073EC9"/>
    <w:rsid w:val="00075EB8"/>
    <w:rsid w:val="00080E22"/>
    <w:rsid w:val="00081C3A"/>
    <w:rsid w:val="00083DBA"/>
    <w:rsid w:val="0009032C"/>
    <w:rsid w:val="00093AD1"/>
    <w:rsid w:val="0009409E"/>
    <w:rsid w:val="00097B59"/>
    <w:rsid w:val="000A17F2"/>
    <w:rsid w:val="000A5304"/>
    <w:rsid w:val="000A6018"/>
    <w:rsid w:val="000B08E2"/>
    <w:rsid w:val="000B0C3D"/>
    <w:rsid w:val="000B2EB7"/>
    <w:rsid w:val="000B432D"/>
    <w:rsid w:val="000B6230"/>
    <w:rsid w:val="000B7565"/>
    <w:rsid w:val="000C473C"/>
    <w:rsid w:val="000C724F"/>
    <w:rsid w:val="000D10F7"/>
    <w:rsid w:val="000E0572"/>
    <w:rsid w:val="000E0FCF"/>
    <w:rsid w:val="000E104A"/>
    <w:rsid w:val="000E2447"/>
    <w:rsid w:val="000E4C67"/>
    <w:rsid w:val="000E5A3B"/>
    <w:rsid w:val="000F0E33"/>
    <w:rsid w:val="000F1EBE"/>
    <w:rsid w:val="000F4423"/>
    <w:rsid w:val="000F550F"/>
    <w:rsid w:val="000F55B2"/>
    <w:rsid w:val="000F6E42"/>
    <w:rsid w:val="0010150D"/>
    <w:rsid w:val="00101568"/>
    <w:rsid w:val="00103274"/>
    <w:rsid w:val="00103CFE"/>
    <w:rsid w:val="00106F37"/>
    <w:rsid w:val="0010717C"/>
    <w:rsid w:val="001073B1"/>
    <w:rsid w:val="00110A0C"/>
    <w:rsid w:val="00113C60"/>
    <w:rsid w:val="00116BB8"/>
    <w:rsid w:val="00117EEC"/>
    <w:rsid w:val="0012049E"/>
    <w:rsid w:val="0012366D"/>
    <w:rsid w:val="0012600E"/>
    <w:rsid w:val="00134D64"/>
    <w:rsid w:val="00136848"/>
    <w:rsid w:val="00144502"/>
    <w:rsid w:val="0015054F"/>
    <w:rsid w:val="00152605"/>
    <w:rsid w:val="00152834"/>
    <w:rsid w:val="00155AE9"/>
    <w:rsid w:val="00156752"/>
    <w:rsid w:val="001575E1"/>
    <w:rsid w:val="00160EC2"/>
    <w:rsid w:val="00161F10"/>
    <w:rsid w:val="00162577"/>
    <w:rsid w:val="00164DB6"/>
    <w:rsid w:val="0016607C"/>
    <w:rsid w:val="001709A0"/>
    <w:rsid w:val="00172476"/>
    <w:rsid w:val="00176076"/>
    <w:rsid w:val="00176C6C"/>
    <w:rsid w:val="00180092"/>
    <w:rsid w:val="0018177D"/>
    <w:rsid w:val="001820ED"/>
    <w:rsid w:val="00183D39"/>
    <w:rsid w:val="00190255"/>
    <w:rsid w:val="00190D73"/>
    <w:rsid w:val="0019730C"/>
    <w:rsid w:val="001A2DBE"/>
    <w:rsid w:val="001A3043"/>
    <w:rsid w:val="001A69A7"/>
    <w:rsid w:val="001A6E0C"/>
    <w:rsid w:val="001A793A"/>
    <w:rsid w:val="001B277F"/>
    <w:rsid w:val="001B3420"/>
    <w:rsid w:val="001B3466"/>
    <w:rsid w:val="001B3FB1"/>
    <w:rsid w:val="001B57CA"/>
    <w:rsid w:val="001C0C34"/>
    <w:rsid w:val="001C1F24"/>
    <w:rsid w:val="001C2815"/>
    <w:rsid w:val="001C514C"/>
    <w:rsid w:val="001C75D7"/>
    <w:rsid w:val="001C7D6D"/>
    <w:rsid w:val="001D310A"/>
    <w:rsid w:val="001D5F32"/>
    <w:rsid w:val="001D7AD5"/>
    <w:rsid w:val="001E185A"/>
    <w:rsid w:val="001E1EA5"/>
    <w:rsid w:val="001E3F00"/>
    <w:rsid w:val="001E51C8"/>
    <w:rsid w:val="001E5DA3"/>
    <w:rsid w:val="001E6E74"/>
    <w:rsid w:val="001F0867"/>
    <w:rsid w:val="001F5182"/>
    <w:rsid w:val="00201115"/>
    <w:rsid w:val="00201810"/>
    <w:rsid w:val="00203276"/>
    <w:rsid w:val="00203AA5"/>
    <w:rsid w:val="00210F72"/>
    <w:rsid w:val="00213790"/>
    <w:rsid w:val="00216FDA"/>
    <w:rsid w:val="0022270D"/>
    <w:rsid w:val="00232C69"/>
    <w:rsid w:val="00233BA9"/>
    <w:rsid w:val="00233D68"/>
    <w:rsid w:val="0024169D"/>
    <w:rsid w:val="00241920"/>
    <w:rsid w:val="002423DB"/>
    <w:rsid w:val="00244357"/>
    <w:rsid w:val="00245FB5"/>
    <w:rsid w:val="00251061"/>
    <w:rsid w:val="00251C9E"/>
    <w:rsid w:val="00253BC5"/>
    <w:rsid w:val="00256EAE"/>
    <w:rsid w:val="00257EA0"/>
    <w:rsid w:val="00262962"/>
    <w:rsid w:val="002637E5"/>
    <w:rsid w:val="0026549A"/>
    <w:rsid w:val="002742AF"/>
    <w:rsid w:val="002765BB"/>
    <w:rsid w:val="0027662B"/>
    <w:rsid w:val="00281EB8"/>
    <w:rsid w:val="002843EE"/>
    <w:rsid w:val="00284795"/>
    <w:rsid w:val="00290000"/>
    <w:rsid w:val="00295EC6"/>
    <w:rsid w:val="0029645F"/>
    <w:rsid w:val="002A4B95"/>
    <w:rsid w:val="002B186C"/>
    <w:rsid w:val="002B353C"/>
    <w:rsid w:val="002B3C61"/>
    <w:rsid w:val="002B43BA"/>
    <w:rsid w:val="002B5778"/>
    <w:rsid w:val="002C56D4"/>
    <w:rsid w:val="002C7586"/>
    <w:rsid w:val="002C759F"/>
    <w:rsid w:val="002D02B7"/>
    <w:rsid w:val="002D3A8E"/>
    <w:rsid w:val="002D54A0"/>
    <w:rsid w:val="002E10E5"/>
    <w:rsid w:val="002E3726"/>
    <w:rsid w:val="002E48AC"/>
    <w:rsid w:val="002E4F4A"/>
    <w:rsid w:val="002E5D97"/>
    <w:rsid w:val="002E6083"/>
    <w:rsid w:val="00301DC3"/>
    <w:rsid w:val="00302492"/>
    <w:rsid w:val="0030374B"/>
    <w:rsid w:val="00303E9D"/>
    <w:rsid w:val="00304D52"/>
    <w:rsid w:val="0030521A"/>
    <w:rsid w:val="00305418"/>
    <w:rsid w:val="00305630"/>
    <w:rsid w:val="003076D8"/>
    <w:rsid w:val="003120ED"/>
    <w:rsid w:val="003130BE"/>
    <w:rsid w:val="00316505"/>
    <w:rsid w:val="003179E3"/>
    <w:rsid w:val="00317B32"/>
    <w:rsid w:val="00326497"/>
    <w:rsid w:val="00327145"/>
    <w:rsid w:val="00327A4A"/>
    <w:rsid w:val="00327ED7"/>
    <w:rsid w:val="0033171B"/>
    <w:rsid w:val="00337137"/>
    <w:rsid w:val="00337435"/>
    <w:rsid w:val="0034006B"/>
    <w:rsid w:val="00347D7F"/>
    <w:rsid w:val="00352B15"/>
    <w:rsid w:val="00355234"/>
    <w:rsid w:val="00355E2F"/>
    <w:rsid w:val="003563A3"/>
    <w:rsid w:val="0035723E"/>
    <w:rsid w:val="00357FE9"/>
    <w:rsid w:val="00360543"/>
    <w:rsid w:val="00361118"/>
    <w:rsid w:val="00361EE7"/>
    <w:rsid w:val="003624BD"/>
    <w:rsid w:val="003662F6"/>
    <w:rsid w:val="00366B0C"/>
    <w:rsid w:val="003670E5"/>
    <w:rsid w:val="00372ED0"/>
    <w:rsid w:val="00376600"/>
    <w:rsid w:val="003827FA"/>
    <w:rsid w:val="00383F2A"/>
    <w:rsid w:val="003850B4"/>
    <w:rsid w:val="00385F80"/>
    <w:rsid w:val="003861B1"/>
    <w:rsid w:val="00386554"/>
    <w:rsid w:val="00386F5C"/>
    <w:rsid w:val="003A091C"/>
    <w:rsid w:val="003A6739"/>
    <w:rsid w:val="003A6FD8"/>
    <w:rsid w:val="003A6FFF"/>
    <w:rsid w:val="003B0912"/>
    <w:rsid w:val="003B5D84"/>
    <w:rsid w:val="003B5FB5"/>
    <w:rsid w:val="003C4FBC"/>
    <w:rsid w:val="003C6924"/>
    <w:rsid w:val="003D05F2"/>
    <w:rsid w:val="003D0757"/>
    <w:rsid w:val="003D2378"/>
    <w:rsid w:val="003D25F6"/>
    <w:rsid w:val="003D3E8D"/>
    <w:rsid w:val="003D5BBA"/>
    <w:rsid w:val="003D5EF6"/>
    <w:rsid w:val="003E15A8"/>
    <w:rsid w:val="003E279C"/>
    <w:rsid w:val="003E312F"/>
    <w:rsid w:val="003E461F"/>
    <w:rsid w:val="003E593C"/>
    <w:rsid w:val="003E7F40"/>
    <w:rsid w:val="003F0A2B"/>
    <w:rsid w:val="003F5D8F"/>
    <w:rsid w:val="0040255F"/>
    <w:rsid w:val="00402D69"/>
    <w:rsid w:val="00404FFF"/>
    <w:rsid w:val="0041001E"/>
    <w:rsid w:val="004129CD"/>
    <w:rsid w:val="00413856"/>
    <w:rsid w:val="004148BB"/>
    <w:rsid w:val="00416525"/>
    <w:rsid w:val="00416638"/>
    <w:rsid w:val="004166CE"/>
    <w:rsid w:val="004268CA"/>
    <w:rsid w:val="00426C60"/>
    <w:rsid w:val="004320A8"/>
    <w:rsid w:val="00434984"/>
    <w:rsid w:val="00440AAA"/>
    <w:rsid w:val="004432E4"/>
    <w:rsid w:val="00444368"/>
    <w:rsid w:val="0044504B"/>
    <w:rsid w:val="0044646D"/>
    <w:rsid w:val="00446A0E"/>
    <w:rsid w:val="00457DA6"/>
    <w:rsid w:val="00463852"/>
    <w:rsid w:val="0046431C"/>
    <w:rsid w:val="00465E3A"/>
    <w:rsid w:val="0046759A"/>
    <w:rsid w:val="00471E23"/>
    <w:rsid w:val="00472C58"/>
    <w:rsid w:val="004747AA"/>
    <w:rsid w:val="00476728"/>
    <w:rsid w:val="00476FB3"/>
    <w:rsid w:val="0047766D"/>
    <w:rsid w:val="004823BD"/>
    <w:rsid w:val="004842F4"/>
    <w:rsid w:val="00493840"/>
    <w:rsid w:val="00493C00"/>
    <w:rsid w:val="004956B2"/>
    <w:rsid w:val="00495920"/>
    <w:rsid w:val="004A01AD"/>
    <w:rsid w:val="004A2574"/>
    <w:rsid w:val="004A34B0"/>
    <w:rsid w:val="004A40E9"/>
    <w:rsid w:val="004A4379"/>
    <w:rsid w:val="004A43FB"/>
    <w:rsid w:val="004A7D5A"/>
    <w:rsid w:val="004B4AB5"/>
    <w:rsid w:val="004C0704"/>
    <w:rsid w:val="004C3442"/>
    <w:rsid w:val="004C4655"/>
    <w:rsid w:val="004C4948"/>
    <w:rsid w:val="004C5A83"/>
    <w:rsid w:val="004D07C9"/>
    <w:rsid w:val="004D50DA"/>
    <w:rsid w:val="004D61D8"/>
    <w:rsid w:val="004D7C5F"/>
    <w:rsid w:val="004E1D16"/>
    <w:rsid w:val="004E1F69"/>
    <w:rsid w:val="004E4B70"/>
    <w:rsid w:val="004E5AE1"/>
    <w:rsid w:val="004E6038"/>
    <w:rsid w:val="004E6947"/>
    <w:rsid w:val="004E701A"/>
    <w:rsid w:val="004F0126"/>
    <w:rsid w:val="004F1E7B"/>
    <w:rsid w:val="004F2661"/>
    <w:rsid w:val="004F2D03"/>
    <w:rsid w:val="004F4F3B"/>
    <w:rsid w:val="004F648B"/>
    <w:rsid w:val="0050131D"/>
    <w:rsid w:val="005025EC"/>
    <w:rsid w:val="0050373D"/>
    <w:rsid w:val="005054B2"/>
    <w:rsid w:val="0050743B"/>
    <w:rsid w:val="00511247"/>
    <w:rsid w:val="0051143D"/>
    <w:rsid w:val="00513A7D"/>
    <w:rsid w:val="0051593B"/>
    <w:rsid w:val="005255CE"/>
    <w:rsid w:val="0052585D"/>
    <w:rsid w:val="0052599D"/>
    <w:rsid w:val="005271D8"/>
    <w:rsid w:val="00532A04"/>
    <w:rsid w:val="0053399C"/>
    <w:rsid w:val="0053564F"/>
    <w:rsid w:val="0054182C"/>
    <w:rsid w:val="005460D0"/>
    <w:rsid w:val="00546398"/>
    <w:rsid w:val="00555146"/>
    <w:rsid w:val="00563A18"/>
    <w:rsid w:val="005649E9"/>
    <w:rsid w:val="00567880"/>
    <w:rsid w:val="00570601"/>
    <w:rsid w:val="00577A9E"/>
    <w:rsid w:val="005839AB"/>
    <w:rsid w:val="00584B76"/>
    <w:rsid w:val="00584EE4"/>
    <w:rsid w:val="00585B40"/>
    <w:rsid w:val="0058744F"/>
    <w:rsid w:val="005918AE"/>
    <w:rsid w:val="005926EA"/>
    <w:rsid w:val="00592840"/>
    <w:rsid w:val="0059593B"/>
    <w:rsid w:val="00596A67"/>
    <w:rsid w:val="005A220B"/>
    <w:rsid w:val="005A3789"/>
    <w:rsid w:val="005A5B7D"/>
    <w:rsid w:val="005C0255"/>
    <w:rsid w:val="005C338E"/>
    <w:rsid w:val="005C41F4"/>
    <w:rsid w:val="005C4E84"/>
    <w:rsid w:val="005E1A27"/>
    <w:rsid w:val="005E21C2"/>
    <w:rsid w:val="005E2716"/>
    <w:rsid w:val="005E2FA1"/>
    <w:rsid w:val="005E6E7C"/>
    <w:rsid w:val="005E79C1"/>
    <w:rsid w:val="005F0197"/>
    <w:rsid w:val="005F34A1"/>
    <w:rsid w:val="005F79C4"/>
    <w:rsid w:val="00600089"/>
    <w:rsid w:val="00601777"/>
    <w:rsid w:val="00602C56"/>
    <w:rsid w:val="00604119"/>
    <w:rsid w:val="006079B2"/>
    <w:rsid w:val="00620808"/>
    <w:rsid w:val="00621CAE"/>
    <w:rsid w:val="006223E0"/>
    <w:rsid w:val="00623B04"/>
    <w:rsid w:val="00631420"/>
    <w:rsid w:val="00633DA0"/>
    <w:rsid w:val="00641A27"/>
    <w:rsid w:val="00642C55"/>
    <w:rsid w:val="00643079"/>
    <w:rsid w:val="00645CEB"/>
    <w:rsid w:val="006540F6"/>
    <w:rsid w:val="00656BB2"/>
    <w:rsid w:val="00661114"/>
    <w:rsid w:val="0067267E"/>
    <w:rsid w:val="00673158"/>
    <w:rsid w:val="00673820"/>
    <w:rsid w:val="006767B1"/>
    <w:rsid w:val="00676AEF"/>
    <w:rsid w:val="00677CAD"/>
    <w:rsid w:val="0068270A"/>
    <w:rsid w:val="00697456"/>
    <w:rsid w:val="00697557"/>
    <w:rsid w:val="006A0347"/>
    <w:rsid w:val="006A12F8"/>
    <w:rsid w:val="006A19CF"/>
    <w:rsid w:val="006A375E"/>
    <w:rsid w:val="006A4787"/>
    <w:rsid w:val="006A6154"/>
    <w:rsid w:val="006B072F"/>
    <w:rsid w:val="006B1269"/>
    <w:rsid w:val="006B296C"/>
    <w:rsid w:val="006B7DE7"/>
    <w:rsid w:val="006C04FF"/>
    <w:rsid w:val="006C5E4A"/>
    <w:rsid w:val="006C63E4"/>
    <w:rsid w:val="006C6989"/>
    <w:rsid w:val="006D0E60"/>
    <w:rsid w:val="006D266B"/>
    <w:rsid w:val="006D385B"/>
    <w:rsid w:val="006D4D28"/>
    <w:rsid w:val="006D6200"/>
    <w:rsid w:val="006E24AC"/>
    <w:rsid w:val="006E4F0E"/>
    <w:rsid w:val="006F1427"/>
    <w:rsid w:val="006F20D6"/>
    <w:rsid w:val="006F410C"/>
    <w:rsid w:val="006F49E8"/>
    <w:rsid w:val="006F650C"/>
    <w:rsid w:val="00701B68"/>
    <w:rsid w:val="00702098"/>
    <w:rsid w:val="00703100"/>
    <w:rsid w:val="007031C2"/>
    <w:rsid w:val="00705135"/>
    <w:rsid w:val="00706863"/>
    <w:rsid w:val="00706AC7"/>
    <w:rsid w:val="007078B5"/>
    <w:rsid w:val="007105CE"/>
    <w:rsid w:val="0071273C"/>
    <w:rsid w:val="00712A72"/>
    <w:rsid w:val="007148B0"/>
    <w:rsid w:val="00715423"/>
    <w:rsid w:val="0071578C"/>
    <w:rsid w:val="00715D0B"/>
    <w:rsid w:val="00716D5A"/>
    <w:rsid w:val="00720A12"/>
    <w:rsid w:val="00722D71"/>
    <w:rsid w:val="007263B4"/>
    <w:rsid w:val="00727A8E"/>
    <w:rsid w:val="00732B6C"/>
    <w:rsid w:val="007404A1"/>
    <w:rsid w:val="00740F51"/>
    <w:rsid w:val="00742428"/>
    <w:rsid w:val="0074350C"/>
    <w:rsid w:val="007450F6"/>
    <w:rsid w:val="007502DB"/>
    <w:rsid w:val="00751F45"/>
    <w:rsid w:val="00753680"/>
    <w:rsid w:val="00754407"/>
    <w:rsid w:val="00754556"/>
    <w:rsid w:val="0075626F"/>
    <w:rsid w:val="00756A89"/>
    <w:rsid w:val="007609F1"/>
    <w:rsid w:val="00761BFF"/>
    <w:rsid w:val="007621D2"/>
    <w:rsid w:val="007637E5"/>
    <w:rsid w:val="00763992"/>
    <w:rsid w:val="007672DB"/>
    <w:rsid w:val="00767C68"/>
    <w:rsid w:val="00771A7E"/>
    <w:rsid w:val="00771B94"/>
    <w:rsid w:val="00772A0C"/>
    <w:rsid w:val="00775972"/>
    <w:rsid w:val="00776A14"/>
    <w:rsid w:val="00776D19"/>
    <w:rsid w:val="00783968"/>
    <w:rsid w:val="00787287"/>
    <w:rsid w:val="00792228"/>
    <w:rsid w:val="007934B9"/>
    <w:rsid w:val="00795574"/>
    <w:rsid w:val="007A229C"/>
    <w:rsid w:val="007A4E37"/>
    <w:rsid w:val="007B03E2"/>
    <w:rsid w:val="007B5BBF"/>
    <w:rsid w:val="007C2707"/>
    <w:rsid w:val="007C2C26"/>
    <w:rsid w:val="007C5B1C"/>
    <w:rsid w:val="007D0F2F"/>
    <w:rsid w:val="007D3FE2"/>
    <w:rsid w:val="007E5360"/>
    <w:rsid w:val="007E5640"/>
    <w:rsid w:val="007E6CC4"/>
    <w:rsid w:val="007E6D24"/>
    <w:rsid w:val="007F778A"/>
    <w:rsid w:val="008032EF"/>
    <w:rsid w:val="00805896"/>
    <w:rsid w:val="00805C10"/>
    <w:rsid w:val="00807C71"/>
    <w:rsid w:val="008119FD"/>
    <w:rsid w:val="0081216A"/>
    <w:rsid w:val="008148C3"/>
    <w:rsid w:val="00817EE0"/>
    <w:rsid w:val="00821DA4"/>
    <w:rsid w:val="00822112"/>
    <w:rsid w:val="00822811"/>
    <w:rsid w:val="00831850"/>
    <w:rsid w:val="0083396A"/>
    <w:rsid w:val="0083693F"/>
    <w:rsid w:val="00837369"/>
    <w:rsid w:val="00837873"/>
    <w:rsid w:val="00840783"/>
    <w:rsid w:val="00842E74"/>
    <w:rsid w:val="00844D35"/>
    <w:rsid w:val="00846B0F"/>
    <w:rsid w:val="00851FBE"/>
    <w:rsid w:val="00853D17"/>
    <w:rsid w:val="00862CA5"/>
    <w:rsid w:val="0086400A"/>
    <w:rsid w:val="008653FE"/>
    <w:rsid w:val="00871F3E"/>
    <w:rsid w:val="00872E10"/>
    <w:rsid w:val="00875636"/>
    <w:rsid w:val="00877531"/>
    <w:rsid w:val="00880B0E"/>
    <w:rsid w:val="00881DEF"/>
    <w:rsid w:val="00882C72"/>
    <w:rsid w:val="00882FF9"/>
    <w:rsid w:val="00883BF5"/>
    <w:rsid w:val="00884358"/>
    <w:rsid w:val="00890881"/>
    <w:rsid w:val="00890A27"/>
    <w:rsid w:val="00892752"/>
    <w:rsid w:val="0089781F"/>
    <w:rsid w:val="008A5A18"/>
    <w:rsid w:val="008B10FE"/>
    <w:rsid w:val="008B3619"/>
    <w:rsid w:val="008B7821"/>
    <w:rsid w:val="008C4D9E"/>
    <w:rsid w:val="008C5A57"/>
    <w:rsid w:val="008C6A5C"/>
    <w:rsid w:val="008D08F6"/>
    <w:rsid w:val="008D1F29"/>
    <w:rsid w:val="008D27C0"/>
    <w:rsid w:val="008D47DB"/>
    <w:rsid w:val="008D7717"/>
    <w:rsid w:val="008E7B7C"/>
    <w:rsid w:val="008F3515"/>
    <w:rsid w:val="008F5344"/>
    <w:rsid w:val="008F6872"/>
    <w:rsid w:val="0090080C"/>
    <w:rsid w:val="00901644"/>
    <w:rsid w:val="009037B0"/>
    <w:rsid w:val="0090478D"/>
    <w:rsid w:val="009069DB"/>
    <w:rsid w:val="00913303"/>
    <w:rsid w:val="009139B5"/>
    <w:rsid w:val="00913E19"/>
    <w:rsid w:val="0091474B"/>
    <w:rsid w:val="00914BDD"/>
    <w:rsid w:val="0091735C"/>
    <w:rsid w:val="00920A21"/>
    <w:rsid w:val="00921785"/>
    <w:rsid w:val="00921D6F"/>
    <w:rsid w:val="00923EF3"/>
    <w:rsid w:val="00925DA9"/>
    <w:rsid w:val="00926475"/>
    <w:rsid w:val="00930CD1"/>
    <w:rsid w:val="0093212D"/>
    <w:rsid w:val="00933236"/>
    <w:rsid w:val="00934767"/>
    <w:rsid w:val="0093589A"/>
    <w:rsid w:val="00935F25"/>
    <w:rsid w:val="00936956"/>
    <w:rsid w:val="00940EAA"/>
    <w:rsid w:val="0094233D"/>
    <w:rsid w:val="0095081D"/>
    <w:rsid w:val="00952052"/>
    <w:rsid w:val="00955227"/>
    <w:rsid w:val="009577EB"/>
    <w:rsid w:val="009672A8"/>
    <w:rsid w:val="00971107"/>
    <w:rsid w:val="009736B8"/>
    <w:rsid w:val="00973F3A"/>
    <w:rsid w:val="00974630"/>
    <w:rsid w:val="00974EA8"/>
    <w:rsid w:val="0097545A"/>
    <w:rsid w:val="009762BB"/>
    <w:rsid w:val="0097717C"/>
    <w:rsid w:val="009817AA"/>
    <w:rsid w:val="00983277"/>
    <w:rsid w:val="009925CC"/>
    <w:rsid w:val="00996C42"/>
    <w:rsid w:val="00997257"/>
    <w:rsid w:val="009976C9"/>
    <w:rsid w:val="009A0F26"/>
    <w:rsid w:val="009A6E02"/>
    <w:rsid w:val="009B26A8"/>
    <w:rsid w:val="009B2AAD"/>
    <w:rsid w:val="009B2B2F"/>
    <w:rsid w:val="009B4E88"/>
    <w:rsid w:val="009B63AB"/>
    <w:rsid w:val="009B69D3"/>
    <w:rsid w:val="009C0317"/>
    <w:rsid w:val="009C0918"/>
    <w:rsid w:val="009C187D"/>
    <w:rsid w:val="009C5565"/>
    <w:rsid w:val="009D077D"/>
    <w:rsid w:val="009D3030"/>
    <w:rsid w:val="009D59D6"/>
    <w:rsid w:val="009D74CD"/>
    <w:rsid w:val="009E1EB0"/>
    <w:rsid w:val="009E3867"/>
    <w:rsid w:val="009E477C"/>
    <w:rsid w:val="009F2909"/>
    <w:rsid w:val="009F3030"/>
    <w:rsid w:val="009F37C2"/>
    <w:rsid w:val="009F46CE"/>
    <w:rsid w:val="00A01C95"/>
    <w:rsid w:val="00A02349"/>
    <w:rsid w:val="00A04797"/>
    <w:rsid w:val="00A112B4"/>
    <w:rsid w:val="00A15581"/>
    <w:rsid w:val="00A16FD9"/>
    <w:rsid w:val="00A20ACD"/>
    <w:rsid w:val="00A215BF"/>
    <w:rsid w:val="00A21D22"/>
    <w:rsid w:val="00A236D1"/>
    <w:rsid w:val="00A2523E"/>
    <w:rsid w:val="00A304BA"/>
    <w:rsid w:val="00A31397"/>
    <w:rsid w:val="00A319AE"/>
    <w:rsid w:val="00A32603"/>
    <w:rsid w:val="00A32763"/>
    <w:rsid w:val="00A37286"/>
    <w:rsid w:val="00A40282"/>
    <w:rsid w:val="00A41026"/>
    <w:rsid w:val="00A41375"/>
    <w:rsid w:val="00A420B8"/>
    <w:rsid w:val="00A51E11"/>
    <w:rsid w:val="00A54427"/>
    <w:rsid w:val="00A5710E"/>
    <w:rsid w:val="00A6018D"/>
    <w:rsid w:val="00A643EA"/>
    <w:rsid w:val="00A744D2"/>
    <w:rsid w:val="00A80EEB"/>
    <w:rsid w:val="00A81984"/>
    <w:rsid w:val="00A821CD"/>
    <w:rsid w:val="00A82B18"/>
    <w:rsid w:val="00A830F7"/>
    <w:rsid w:val="00A83EA9"/>
    <w:rsid w:val="00A9345A"/>
    <w:rsid w:val="00A94704"/>
    <w:rsid w:val="00A95261"/>
    <w:rsid w:val="00AA148D"/>
    <w:rsid w:val="00AA1FEF"/>
    <w:rsid w:val="00AA272A"/>
    <w:rsid w:val="00AA5603"/>
    <w:rsid w:val="00AA5605"/>
    <w:rsid w:val="00AB0D3D"/>
    <w:rsid w:val="00AB20D8"/>
    <w:rsid w:val="00AB2E7B"/>
    <w:rsid w:val="00AB7D08"/>
    <w:rsid w:val="00AC2CC0"/>
    <w:rsid w:val="00AC2F4D"/>
    <w:rsid w:val="00AC5611"/>
    <w:rsid w:val="00AC69DE"/>
    <w:rsid w:val="00AD0415"/>
    <w:rsid w:val="00AD0F27"/>
    <w:rsid w:val="00AD4698"/>
    <w:rsid w:val="00AD6B24"/>
    <w:rsid w:val="00AD71DC"/>
    <w:rsid w:val="00AE007C"/>
    <w:rsid w:val="00AE00E8"/>
    <w:rsid w:val="00AE1BAC"/>
    <w:rsid w:val="00AE4449"/>
    <w:rsid w:val="00AE5834"/>
    <w:rsid w:val="00AF042A"/>
    <w:rsid w:val="00AF1078"/>
    <w:rsid w:val="00AF19DD"/>
    <w:rsid w:val="00AF1BC7"/>
    <w:rsid w:val="00AF2339"/>
    <w:rsid w:val="00AF70A0"/>
    <w:rsid w:val="00B05348"/>
    <w:rsid w:val="00B05B04"/>
    <w:rsid w:val="00B06B48"/>
    <w:rsid w:val="00B07748"/>
    <w:rsid w:val="00B10BF7"/>
    <w:rsid w:val="00B10D5D"/>
    <w:rsid w:val="00B16681"/>
    <w:rsid w:val="00B20D9C"/>
    <w:rsid w:val="00B23FE6"/>
    <w:rsid w:val="00B25896"/>
    <w:rsid w:val="00B31E2B"/>
    <w:rsid w:val="00B3224E"/>
    <w:rsid w:val="00B32EEE"/>
    <w:rsid w:val="00B37E84"/>
    <w:rsid w:val="00B40AA9"/>
    <w:rsid w:val="00B46321"/>
    <w:rsid w:val="00B4701C"/>
    <w:rsid w:val="00B51272"/>
    <w:rsid w:val="00B513BE"/>
    <w:rsid w:val="00B51870"/>
    <w:rsid w:val="00B52360"/>
    <w:rsid w:val="00B52EA7"/>
    <w:rsid w:val="00B54EBB"/>
    <w:rsid w:val="00B56058"/>
    <w:rsid w:val="00B570BA"/>
    <w:rsid w:val="00B60674"/>
    <w:rsid w:val="00B65D12"/>
    <w:rsid w:val="00B666DB"/>
    <w:rsid w:val="00B66DAF"/>
    <w:rsid w:val="00B670A0"/>
    <w:rsid w:val="00B6790E"/>
    <w:rsid w:val="00B70AC2"/>
    <w:rsid w:val="00B71962"/>
    <w:rsid w:val="00B73A6F"/>
    <w:rsid w:val="00B75858"/>
    <w:rsid w:val="00B75900"/>
    <w:rsid w:val="00B77E9C"/>
    <w:rsid w:val="00B81D20"/>
    <w:rsid w:val="00B82F1A"/>
    <w:rsid w:val="00B844A6"/>
    <w:rsid w:val="00B870AD"/>
    <w:rsid w:val="00B90D15"/>
    <w:rsid w:val="00B956BE"/>
    <w:rsid w:val="00B96EA2"/>
    <w:rsid w:val="00BA0845"/>
    <w:rsid w:val="00BA4DA7"/>
    <w:rsid w:val="00BA6D67"/>
    <w:rsid w:val="00BB1AAF"/>
    <w:rsid w:val="00BB2CA1"/>
    <w:rsid w:val="00BB2E0B"/>
    <w:rsid w:val="00BB547A"/>
    <w:rsid w:val="00BC2899"/>
    <w:rsid w:val="00BC555D"/>
    <w:rsid w:val="00BC69B9"/>
    <w:rsid w:val="00BC71C7"/>
    <w:rsid w:val="00BD31CA"/>
    <w:rsid w:val="00BD5E58"/>
    <w:rsid w:val="00BD6DE9"/>
    <w:rsid w:val="00BD71D0"/>
    <w:rsid w:val="00BD7D79"/>
    <w:rsid w:val="00BE1160"/>
    <w:rsid w:val="00BE57DA"/>
    <w:rsid w:val="00BE5A1F"/>
    <w:rsid w:val="00BF19EE"/>
    <w:rsid w:val="00BF4DF2"/>
    <w:rsid w:val="00C00049"/>
    <w:rsid w:val="00C004E9"/>
    <w:rsid w:val="00C03138"/>
    <w:rsid w:val="00C03D39"/>
    <w:rsid w:val="00C064ED"/>
    <w:rsid w:val="00C0692F"/>
    <w:rsid w:val="00C06CFB"/>
    <w:rsid w:val="00C071C3"/>
    <w:rsid w:val="00C1072D"/>
    <w:rsid w:val="00C11F9E"/>
    <w:rsid w:val="00C13FD5"/>
    <w:rsid w:val="00C17EB4"/>
    <w:rsid w:val="00C20B51"/>
    <w:rsid w:val="00C21034"/>
    <w:rsid w:val="00C21160"/>
    <w:rsid w:val="00C22BD6"/>
    <w:rsid w:val="00C313FA"/>
    <w:rsid w:val="00C3147A"/>
    <w:rsid w:val="00C32E45"/>
    <w:rsid w:val="00C35167"/>
    <w:rsid w:val="00C4410B"/>
    <w:rsid w:val="00C456A3"/>
    <w:rsid w:val="00C46859"/>
    <w:rsid w:val="00C469AA"/>
    <w:rsid w:val="00C47B87"/>
    <w:rsid w:val="00C50440"/>
    <w:rsid w:val="00C5229C"/>
    <w:rsid w:val="00C52587"/>
    <w:rsid w:val="00C52B3D"/>
    <w:rsid w:val="00C552CE"/>
    <w:rsid w:val="00C552CF"/>
    <w:rsid w:val="00C61F1C"/>
    <w:rsid w:val="00C62B5C"/>
    <w:rsid w:val="00C633DB"/>
    <w:rsid w:val="00C652DE"/>
    <w:rsid w:val="00C67345"/>
    <w:rsid w:val="00C709E4"/>
    <w:rsid w:val="00C739C2"/>
    <w:rsid w:val="00C91393"/>
    <w:rsid w:val="00C94212"/>
    <w:rsid w:val="00C95DDA"/>
    <w:rsid w:val="00CA3686"/>
    <w:rsid w:val="00CA3FAF"/>
    <w:rsid w:val="00CA55CD"/>
    <w:rsid w:val="00CB06DC"/>
    <w:rsid w:val="00CB1650"/>
    <w:rsid w:val="00CB490A"/>
    <w:rsid w:val="00CB49A4"/>
    <w:rsid w:val="00CB5989"/>
    <w:rsid w:val="00CB7504"/>
    <w:rsid w:val="00CC0E96"/>
    <w:rsid w:val="00CC0EC5"/>
    <w:rsid w:val="00CC7CA6"/>
    <w:rsid w:val="00CD033C"/>
    <w:rsid w:val="00CD0CD6"/>
    <w:rsid w:val="00CD5555"/>
    <w:rsid w:val="00CD562C"/>
    <w:rsid w:val="00CE1FCE"/>
    <w:rsid w:val="00CE3C53"/>
    <w:rsid w:val="00CE456C"/>
    <w:rsid w:val="00CF6AC2"/>
    <w:rsid w:val="00CF7551"/>
    <w:rsid w:val="00D003AA"/>
    <w:rsid w:val="00D01162"/>
    <w:rsid w:val="00D03CC6"/>
    <w:rsid w:val="00D12BB0"/>
    <w:rsid w:val="00D158A9"/>
    <w:rsid w:val="00D17CBF"/>
    <w:rsid w:val="00D202A2"/>
    <w:rsid w:val="00D2171E"/>
    <w:rsid w:val="00D22042"/>
    <w:rsid w:val="00D237BD"/>
    <w:rsid w:val="00D27A8C"/>
    <w:rsid w:val="00D30D9A"/>
    <w:rsid w:val="00D319F4"/>
    <w:rsid w:val="00D3255F"/>
    <w:rsid w:val="00D342FD"/>
    <w:rsid w:val="00D37DC8"/>
    <w:rsid w:val="00D41671"/>
    <w:rsid w:val="00D438DE"/>
    <w:rsid w:val="00D47D07"/>
    <w:rsid w:val="00D55D80"/>
    <w:rsid w:val="00D61F7A"/>
    <w:rsid w:val="00D640EF"/>
    <w:rsid w:val="00D651AF"/>
    <w:rsid w:val="00D671F2"/>
    <w:rsid w:val="00D672B7"/>
    <w:rsid w:val="00D70A12"/>
    <w:rsid w:val="00D724EF"/>
    <w:rsid w:val="00D74D27"/>
    <w:rsid w:val="00D77F92"/>
    <w:rsid w:val="00D813A0"/>
    <w:rsid w:val="00D82E21"/>
    <w:rsid w:val="00D854DC"/>
    <w:rsid w:val="00D86B67"/>
    <w:rsid w:val="00D87952"/>
    <w:rsid w:val="00D9109F"/>
    <w:rsid w:val="00D951D4"/>
    <w:rsid w:val="00DA1987"/>
    <w:rsid w:val="00DA1BD8"/>
    <w:rsid w:val="00DA3709"/>
    <w:rsid w:val="00DA5308"/>
    <w:rsid w:val="00DA5514"/>
    <w:rsid w:val="00DA72BA"/>
    <w:rsid w:val="00DA74B9"/>
    <w:rsid w:val="00DB084D"/>
    <w:rsid w:val="00DB3233"/>
    <w:rsid w:val="00DB3681"/>
    <w:rsid w:val="00DB53DE"/>
    <w:rsid w:val="00DB5B61"/>
    <w:rsid w:val="00DB6AE1"/>
    <w:rsid w:val="00DC1FD2"/>
    <w:rsid w:val="00DC51A8"/>
    <w:rsid w:val="00DD0BCE"/>
    <w:rsid w:val="00DD1EB7"/>
    <w:rsid w:val="00DD7A80"/>
    <w:rsid w:val="00DE0C43"/>
    <w:rsid w:val="00DE1906"/>
    <w:rsid w:val="00DF0BE4"/>
    <w:rsid w:val="00DF0CD0"/>
    <w:rsid w:val="00DF176E"/>
    <w:rsid w:val="00DF384B"/>
    <w:rsid w:val="00E014CA"/>
    <w:rsid w:val="00E016F5"/>
    <w:rsid w:val="00E0354C"/>
    <w:rsid w:val="00E045BF"/>
    <w:rsid w:val="00E04E39"/>
    <w:rsid w:val="00E071E6"/>
    <w:rsid w:val="00E120BE"/>
    <w:rsid w:val="00E13E97"/>
    <w:rsid w:val="00E15663"/>
    <w:rsid w:val="00E1726A"/>
    <w:rsid w:val="00E202DC"/>
    <w:rsid w:val="00E21F1B"/>
    <w:rsid w:val="00E22752"/>
    <w:rsid w:val="00E23A02"/>
    <w:rsid w:val="00E2590E"/>
    <w:rsid w:val="00E30CA2"/>
    <w:rsid w:val="00E35FFB"/>
    <w:rsid w:val="00E409E6"/>
    <w:rsid w:val="00E4551F"/>
    <w:rsid w:val="00E459C2"/>
    <w:rsid w:val="00E5384A"/>
    <w:rsid w:val="00E55679"/>
    <w:rsid w:val="00E567C5"/>
    <w:rsid w:val="00E6143F"/>
    <w:rsid w:val="00E61C7D"/>
    <w:rsid w:val="00E65974"/>
    <w:rsid w:val="00E66E69"/>
    <w:rsid w:val="00E66F50"/>
    <w:rsid w:val="00E71469"/>
    <w:rsid w:val="00E71BDA"/>
    <w:rsid w:val="00E73F9A"/>
    <w:rsid w:val="00E7402E"/>
    <w:rsid w:val="00E75150"/>
    <w:rsid w:val="00E753E8"/>
    <w:rsid w:val="00E766E9"/>
    <w:rsid w:val="00E7796D"/>
    <w:rsid w:val="00E85166"/>
    <w:rsid w:val="00E863D5"/>
    <w:rsid w:val="00E916EC"/>
    <w:rsid w:val="00E91E0B"/>
    <w:rsid w:val="00E92943"/>
    <w:rsid w:val="00E95464"/>
    <w:rsid w:val="00E9722E"/>
    <w:rsid w:val="00E978AD"/>
    <w:rsid w:val="00EA0C74"/>
    <w:rsid w:val="00EA1A7C"/>
    <w:rsid w:val="00EA6735"/>
    <w:rsid w:val="00EB426B"/>
    <w:rsid w:val="00EB737E"/>
    <w:rsid w:val="00EC7543"/>
    <w:rsid w:val="00ED0A68"/>
    <w:rsid w:val="00ED16E1"/>
    <w:rsid w:val="00ED24C1"/>
    <w:rsid w:val="00ED2B9E"/>
    <w:rsid w:val="00ED4814"/>
    <w:rsid w:val="00ED49AD"/>
    <w:rsid w:val="00ED588B"/>
    <w:rsid w:val="00ED6466"/>
    <w:rsid w:val="00EE0A65"/>
    <w:rsid w:val="00EE4354"/>
    <w:rsid w:val="00EF348F"/>
    <w:rsid w:val="00EF50C5"/>
    <w:rsid w:val="00EF543D"/>
    <w:rsid w:val="00EF77B8"/>
    <w:rsid w:val="00F005AC"/>
    <w:rsid w:val="00F24520"/>
    <w:rsid w:val="00F26621"/>
    <w:rsid w:val="00F41517"/>
    <w:rsid w:val="00F42D8D"/>
    <w:rsid w:val="00F437DD"/>
    <w:rsid w:val="00F445A3"/>
    <w:rsid w:val="00F44CE7"/>
    <w:rsid w:val="00F461C9"/>
    <w:rsid w:val="00F4691A"/>
    <w:rsid w:val="00F50FFF"/>
    <w:rsid w:val="00F6398D"/>
    <w:rsid w:val="00F63A5E"/>
    <w:rsid w:val="00F642D5"/>
    <w:rsid w:val="00F65ACD"/>
    <w:rsid w:val="00F765FA"/>
    <w:rsid w:val="00F87E22"/>
    <w:rsid w:val="00F92018"/>
    <w:rsid w:val="00F926C4"/>
    <w:rsid w:val="00F94076"/>
    <w:rsid w:val="00F96253"/>
    <w:rsid w:val="00FA70D0"/>
    <w:rsid w:val="00FB2514"/>
    <w:rsid w:val="00FB36DE"/>
    <w:rsid w:val="00FB3AF7"/>
    <w:rsid w:val="00FB459F"/>
    <w:rsid w:val="00FB6AE7"/>
    <w:rsid w:val="00FC2BA5"/>
    <w:rsid w:val="00FC30C4"/>
    <w:rsid w:val="00FC32F3"/>
    <w:rsid w:val="00FC38E5"/>
    <w:rsid w:val="00FC3E54"/>
    <w:rsid w:val="00FC40D3"/>
    <w:rsid w:val="00FC427A"/>
    <w:rsid w:val="00FC4456"/>
    <w:rsid w:val="00FC7791"/>
    <w:rsid w:val="00FD4E2C"/>
    <w:rsid w:val="00FD6271"/>
    <w:rsid w:val="00FD6C8B"/>
    <w:rsid w:val="00FE0C17"/>
    <w:rsid w:val="00FE1C6F"/>
    <w:rsid w:val="00FE2630"/>
    <w:rsid w:val="00FE5864"/>
    <w:rsid w:val="00FF322E"/>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EC46F-B1C5-4D63-BF5B-7AAC54A6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paragraph" w:styleId="BodyTextIndent3">
    <w:name w:val="Body Text Indent 3"/>
    <w:basedOn w:val="Normal"/>
    <w:link w:val="BodyTextIndent3Char"/>
    <w:rsid w:val="00A20ACD"/>
    <w:pPr>
      <w:spacing w:after="120"/>
      <w:ind w:left="360"/>
    </w:pPr>
    <w:rPr>
      <w:sz w:val="16"/>
      <w:szCs w:val="16"/>
    </w:rPr>
  </w:style>
  <w:style w:type="character" w:customStyle="1" w:styleId="BodyTextIndent3Char">
    <w:name w:val="Body Text Indent 3 Char"/>
    <w:link w:val="BodyTextIndent3"/>
    <w:rsid w:val="00A20ACD"/>
    <w:rPr>
      <w:sz w:val="16"/>
      <w:szCs w:val="16"/>
    </w:rPr>
  </w:style>
  <w:style w:type="paragraph" w:styleId="BodyTextIndent2">
    <w:name w:val="Body Text Indent 2"/>
    <w:basedOn w:val="Normal"/>
    <w:link w:val="BodyTextIndent2Char"/>
    <w:rsid w:val="00A20ACD"/>
    <w:pPr>
      <w:spacing w:after="120" w:line="480" w:lineRule="auto"/>
      <w:ind w:left="360"/>
    </w:pPr>
  </w:style>
  <w:style w:type="character" w:customStyle="1" w:styleId="BodyTextIndent2Char">
    <w:name w:val="Body Text Indent 2 Char"/>
    <w:link w:val="BodyTextIndent2"/>
    <w:rsid w:val="00A20ACD"/>
    <w:rPr>
      <w:sz w:val="24"/>
      <w:szCs w:val="24"/>
    </w:rPr>
  </w:style>
  <w:style w:type="paragraph" w:styleId="NoSpacing">
    <w:name w:val="No Spacing"/>
    <w:uiPriority w:val="1"/>
    <w:qFormat/>
    <w:rsid w:val="00476728"/>
    <w:pPr>
      <w:numPr>
        <w:numId w:val="19"/>
      </w:numPr>
    </w:pPr>
    <w:rPr>
      <w:sz w:val="24"/>
      <w:szCs w:val="24"/>
    </w:rPr>
  </w:style>
  <w:style w:type="character" w:styleId="CommentReference">
    <w:name w:val="annotation reference"/>
    <w:rsid w:val="00244357"/>
    <w:rPr>
      <w:sz w:val="16"/>
      <w:szCs w:val="16"/>
    </w:rPr>
  </w:style>
  <w:style w:type="paragraph" w:styleId="CommentText">
    <w:name w:val="annotation text"/>
    <w:basedOn w:val="Normal"/>
    <w:link w:val="CommentTextChar"/>
    <w:rsid w:val="00244357"/>
    <w:rPr>
      <w:sz w:val="20"/>
      <w:szCs w:val="20"/>
    </w:rPr>
  </w:style>
  <w:style w:type="character" w:customStyle="1" w:styleId="CommentTextChar">
    <w:name w:val="Comment Text Char"/>
    <w:basedOn w:val="DefaultParagraphFont"/>
    <w:link w:val="CommentText"/>
    <w:rsid w:val="00244357"/>
  </w:style>
  <w:style w:type="paragraph" w:styleId="CommentSubject">
    <w:name w:val="annotation subject"/>
    <w:basedOn w:val="CommentText"/>
    <w:next w:val="CommentText"/>
    <w:link w:val="CommentSubjectChar"/>
    <w:rsid w:val="00244357"/>
    <w:rPr>
      <w:b/>
      <w:bCs/>
    </w:rPr>
  </w:style>
  <w:style w:type="character" w:customStyle="1" w:styleId="CommentSubjectChar">
    <w:name w:val="Comment Subject Char"/>
    <w:link w:val="CommentSubject"/>
    <w:rsid w:val="00244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78597775">
      <w:bodyDiv w:val="1"/>
      <w:marLeft w:val="0"/>
      <w:marRight w:val="0"/>
      <w:marTop w:val="0"/>
      <w:marBottom w:val="0"/>
      <w:divBdr>
        <w:top w:val="none" w:sz="0" w:space="0" w:color="auto"/>
        <w:left w:val="none" w:sz="0" w:space="0" w:color="auto"/>
        <w:bottom w:val="none" w:sz="0" w:space="0" w:color="auto"/>
        <w:right w:val="none" w:sz="0" w:space="0" w:color="auto"/>
      </w:divBdr>
    </w:div>
    <w:div w:id="109202549">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31532233">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41181934">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23121708">
      <w:bodyDiv w:val="1"/>
      <w:marLeft w:val="0"/>
      <w:marRight w:val="0"/>
      <w:marTop w:val="0"/>
      <w:marBottom w:val="0"/>
      <w:divBdr>
        <w:top w:val="none" w:sz="0" w:space="0" w:color="auto"/>
        <w:left w:val="none" w:sz="0" w:space="0" w:color="auto"/>
        <w:bottom w:val="none" w:sz="0" w:space="0" w:color="auto"/>
        <w:right w:val="none" w:sz="0" w:space="0" w:color="auto"/>
      </w:divBdr>
    </w:div>
    <w:div w:id="338892467">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7989627">
      <w:bodyDiv w:val="1"/>
      <w:marLeft w:val="0"/>
      <w:marRight w:val="0"/>
      <w:marTop w:val="0"/>
      <w:marBottom w:val="0"/>
      <w:divBdr>
        <w:top w:val="none" w:sz="0" w:space="0" w:color="auto"/>
        <w:left w:val="none" w:sz="0" w:space="0" w:color="auto"/>
        <w:bottom w:val="none" w:sz="0" w:space="0" w:color="auto"/>
        <w:right w:val="none" w:sz="0" w:space="0" w:color="auto"/>
      </w:divBdr>
    </w:div>
    <w:div w:id="506988172">
      <w:bodyDiv w:val="1"/>
      <w:marLeft w:val="0"/>
      <w:marRight w:val="0"/>
      <w:marTop w:val="0"/>
      <w:marBottom w:val="0"/>
      <w:divBdr>
        <w:top w:val="none" w:sz="0" w:space="0" w:color="auto"/>
        <w:left w:val="none" w:sz="0" w:space="0" w:color="auto"/>
        <w:bottom w:val="none" w:sz="0" w:space="0" w:color="auto"/>
        <w:right w:val="none" w:sz="0" w:space="0" w:color="auto"/>
      </w:divBdr>
    </w:div>
    <w:div w:id="512955259">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66960590">
      <w:bodyDiv w:val="1"/>
      <w:marLeft w:val="0"/>
      <w:marRight w:val="0"/>
      <w:marTop w:val="0"/>
      <w:marBottom w:val="0"/>
      <w:divBdr>
        <w:top w:val="none" w:sz="0" w:space="0" w:color="auto"/>
        <w:left w:val="none" w:sz="0" w:space="0" w:color="auto"/>
        <w:bottom w:val="none" w:sz="0" w:space="0" w:color="auto"/>
        <w:right w:val="none" w:sz="0" w:space="0" w:color="auto"/>
      </w:divBdr>
    </w:div>
    <w:div w:id="589658806">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42739071">
      <w:bodyDiv w:val="1"/>
      <w:marLeft w:val="0"/>
      <w:marRight w:val="0"/>
      <w:marTop w:val="0"/>
      <w:marBottom w:val="0"/>
      <w:divBdr>
        <w:top w:val="none" w:sz="0" w:space="0" w:color="auto"/>
        <w:left w:val="none" w:sz="0" w:space="0" w:color="auto"/>
        <w:bottom w:val="none" w:sz="0" w:space="0" w:color="auto"/>
        <w:right w:val="none" w:sz="0" w:space="0" w:color="auto"/>
      </w:divBdr>
    </w:div>
    <w:div w:id="646282288">
      <w:bodyDiv w:val="1"/>
      <w:marLeft w:val="0"/>
      <w:marRight w:val="0"/>
      <w:marTop w:val="0"/>
      <w:marBottom w:val="0"/>
      <w:divBdr>
        <w:top w:val="none" w:sz="0" w:space="0" w:color="auto"/>
        <w:left w:val="none" w:sz="0" w:space="0" w:color="auto"/>
        <w:bottom w:val="none" w:sz="0" w:space="0" w:color="auto"/>
        <w:right w:val="none" w:sz="0" w:space="0" w:color="auto"/>
      </w:divBdr>
    </w:div>
    <w:div w:id="679700686">
      <w:bodyDiv w:val="1"/>
      <w:marLeft w:val="0"/>
      <w:marRight w:val="0"/>
      <w:marTop w:val="0"/>
      <w:marBottom w:val="0"/>
      <w:divBdr>
        <w:top w:val="none" w:sz="0" w:space="0" w:color="auto"/>
        <w:left w:val="none" w:sz="0" w:space="0" w:color="auto"/>
        <w:bottom w:val="none" w:sz="0" w:space="0" w:color="auto"/>
        <w:right w:val="none" w:sz="0" w:space="0" w:color="auto"/>
      </w:divBdr>
    </w:div>
    <w:div w:id="731856404">
      <w:bodyDiv w:val="1"/>
      <w:marLeft w:val="0"/>
      <w:marRight w:val="0"/>
      <w:marTop w:val="0"/>
      <w:marBottom w:val="0"/>
      <w:divBdr>
        <w:top w:val="none" w:sz="0" w:space="0" w:color="auto"/>
        <w:left w:val="none" w:sz="0" w:space="0" w:color="auto"/>
        <w:bottom w:val="none" w:sz="0" w:space="0" w:color="auto"/>
        <w:right w:val="none" w:sz="0" w:space="0" w:color="auto"/>
      </w:divBdr>
    </w:div>
    <w:div w:id="761414647">
      <w:bodyDiv w:val="1"/>
      <w:marLeft w:val="0"/>
      <w:marRight w:val="0"/>
      <w:marTop w:val="0"/>
      <w:marBottom w:val="0"/>
      <w:divBdr>
        <w:top w:val="none" w:sz="0" w:space="0" w:color="auto"/>
        <w:left w:val="none" w:sz="0" w:space="0" w:color="auto"/>
        <w:bottom w:val="none" w:sz="0" w:space="0" w:color="auto"/>
        <w:right w:val="none" w:sz="0" w:space="0" w:color="auto"/>
      </w:divBdr>
    </w:div>
    <w:div w:id="780297303">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56119497">
      <w:bodyDiv w:val="1"/>
      <w:marLeft w:val="0"/>
      <w:marRight w:val="0"/>
      <w:marTop w:val="0"/>
      <w:marBottom w:val="0"/>
      <w:divBdr>
        <w:top w:val="none" w:sz="0" w:space="0" w:color="auto"/>
        <w:left w:val="none" w:sz="0" w:space="0" w:color="auto"/>
        <w:bottom w:val="none" w:sz="0" w:space="0" w:color="auto"/>
        <w:right w:val="none" w:sz="0" w:space="0" w:color="auto"/>
      </w:divBdr>
    </w:div>
    <w:div w:id="870150011">
      <w:bodyDiv w:val="1"/>
      <w:marLeft w:val="0"/>
      <w:marRight w:val="0"/>
      <w:marTop w:val="0"/>
      <w:marBottom w:val="0"/>
      <w:divBdr>
        <w:top w:val="none" w:sz="0" w:space="0" w:color="auto"/>
        <w:left w:val="none" w:sz="0" w:space="0" w:color="auto"/>
        <w:bottom w:val="none" w:sz="0" w:space="0" w:color="auto"/>
        <w:right w:val="none" w:sz="0" w:space="0" w:color="auto"/>
      </w:divBdr>
    </w:div>
    <w:div w:id="878316935">
      <w:bodyDiv w:val="1"/>
      <w:marLeft w:val="0"/>
      <w:marRight w:val="0"/>
      <w:marTop w:val="0"/>
      <w:marBottom w:val="0"/>
      <w:divBdr>
        <w:top w:val="none" w:sz="0" w:space="0" w:color="auto"/>
        <w:left w:val="none" w:sz="0" w:space="0" w:color="auto"/>
        <w:bottom w:val="none" w:sz="0" w:space="0" w:color="auto"/>
        <w:right w:val="none" w:sz="0" w:space="0" w:color="auto"/>
      </w:divBdr>
    </w:div>
    <w:div w:id="903298785">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42304126">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965886841">
      <w:bodyDiv w:val="1"/>
      <w:marLeft w:val="0"/>
      <w:marRight w:val="0"/>
      <w:marTop w:val="0"/>
      <w:marBottom w:val="0"/>
      <w:divBdr>
        <w:top w:val="none" w:sz="0" w:space="0" w:color="auto"/>
        <w:left w:val="none" w:sz="0" w:space="0" w:color="auto"/>
        <w:bottom w:val="none" w:sz="0" w:space="0" w:color="auto"/>
        <w:right w:val="none" w:sz="0" w:space="0" w:color="auto"/>
      </w:divBdr>
    </w:div>
    <w:div w:id="1012024299">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66221235">
      <w:bodyDiv w:val="1"/>
      <w:marLeft w:val="0"/>
      <w:marRight w:val="0"/>
      <w:marTop w:val="0"/>
      <w:marBottom w:val="0"/>
      <w:divBdr>
        <w:top w:val="none" w:sz="0" w:space="0" w:color="auto"/>
        <w:left w:val="none" w:sz="0" w:space="0" w:color="auto"/>
        <w:bottom w:val="none" w:sz="0" w:space="0" w:color="auto"/>
        <w:right w:val="none" w:sz="0" w:space="0" w:color="auto"/>
      </w:divBdr>
    </w:div>
    <w:div w:id="1092357553">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29009371">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80385722">
      <w:bodyDiv w:val="1"/>
      <w:marLeft w:val="0"/>
      <w:marRight w:val="0"/>
      <w:marTop w:val="0"/>
      <w:marBottom w:val="0"/>
      <w:divBdr>
        <w:top w:val="none" w:sz="0" w:space="0" w:color="auto"/>
        <w:left w:val="none" w:sz="0" w:space="0" w:color="auto"/>
        <w:bottom w:val="none" w:sz="0" w:space="0" w:color="auto"/>
        <w:right w:val="none" w:sz="0" w:space="0" w:color="auto"/>
      </w:divBdr>
    </w:div>
    <w:div w:id="1187140221">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29922750">
      <w:bodyDiv w:val="1"/>
      <w:marLeft w:val="0"/>
      <w:marRight w:val="0"/>
      <w:marTop w:val="0"/>
      <w:marBottom w:val="0"/>
      <w:divBdr>
        <w:top w:val="none" w:sz="0" w:space="0" w:color="auto"/>
        <w:left w:val="none" w:sz="0" w:space="0" w:color="auto"/>
        <w:bottom w:val="none" w:sz="0" w:space="0" w:color="auto"/>
        <w:right w:val="none" w:sz="0" w:space="0" w:color="auto"/>
      </w:divBdr>
    </w:div>
    <w:div w:id="1248685874">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299143367">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06688344">
      <w:bodyDiv w:val="1"/>
      <w:marLeft w:val="0"/>
      <w:marRight w:val="0"/>
      <w:marTop w:val="0"/>
      <w:marBottom w:val="0"/>
      <w:divBdr>
        <w:top w:val="none" w:sz="0" w:space="0" w:color="auto"/>
        <w:left w:val="none" w:sz="0" w:space="0" w:color="auto"/>
        <w:bottom w:val="none" w:sz="0" w:space="0" w:color="auto"/>
        <w:right w:val="none" w:sz="0" w:space="0" w:color="auto"/>
      </w:divBdr>
    </w:div>
    <w:div w:id="1418482816">
      <w:bodyDiv w:val="1"/>
      <w:marLeft w:val="0"/>
      <w:marRight w:val="0"/>
      <w:marTop w:val="0"/>
      <w:marBottom w:val="0"/>
      <w:divBdr>
        <w:top w:val="none" w:sz="0" w:space="0" w:color="auto"/>
        <w:left w:val="none" w:sz="0" w:space="0" w:color="auto"/>
        <w:bottom w:val="none" w:sz="0" w:space="0" w:color="auto"/>
        <w:right w:val="none" w:sz="0" w:space="0" w:color="auto"/>
      </w:divBdr>
    </w:div>
    <w:div w:id="1427267251">
      <w:bodyDiv w:val="1"/>
      <w:marLeft w:val="0"/>
      <w:marRight w:val="0"/>
      <w:marTop w:val="0"/>
      <w:marBottom w:val="0"/>
      <w:divBdr>
        <w:top w:val="none" w:sz="0" w:space="0" w:color="auto"/>
        <w:left w:val="none" w:sz="0" w:space="0" w:color="auto"/>
        <w:bottom w:val="none" w:sz="0" w:space="0" w:color="auto"/>
        <w:right w:val="none" w:sz="0" w:space="0" w:color="auto"/>
      </w:divBdr>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59488393">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90192847">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10894846">
      <w:bodyDiv w:val="1"/>
      <w:marLeft w:val="0"/>
      <w:marRight w:val="0"/>
      <w:marTop w:val="0"/>
      <w:marBottom w:val="0"/>
      <w:divBdr>
        <w:top w:val="none" w:sz="0" w:space="0" w:color="auto"/>
        <w:left w:val="none" w:sz="0" w:space="0" w:color="auto"/>
        <w:bottom w:val="none" w:sz="0" w:space="0" w:color="auto"/>
        <w:right w:val="none" w:sz="0" w:space="0" w:color="auto"/>
      </w:divBdr>
    </w:div>
    <w:div w:id="1618216032">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55376968">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667778794">
      <w:bodyDiv w:val="1"/>
      <w:marLeft w:val="0"/>
      <w:marRight w:val="0"/>
      <w:marTop w:val="0"/>
      <w:marBottom w:val="0"/>
      <w:divBdr>
        <w:top w:val="none" w:sz="0" w:space="0" w:color="auto"/>
        <w:left w:val="none" w:sz="0" w:space="0" w:color="auto"/>
        <w:bottom w:val="none" w:sz="0" w:space="0" w:color="auto"/>
        <w:right w:val="none" w:sz="0" w:space="0" w:color="auto"/>
      </w:divBdr>
    </w:div>
    <w:div w:id="1754549411">
      <w:bodyDiv w:val="1"/>
      <w:marLeft w:val="0"/>
      <w:marRight w:val="0"/>
      <w:marTop w:val="0"/>
      <w:marBottom w:val="0"/>
      <w:divBdr>
        <w:top w:val="none" w:sz="0" w:space="0" w:color="auto"/>
        <w:left w:val="none" w:sz="0" w:space="0" w:color="auto"/>
        <w:bottom w:val="none" w:sz="0" w:space="0" w:color="auto"/>
        <w:right w:val="none" w:sz="0" w:space="0" w:color="auto"/>
      </w:divBdr>
    </w:div>
    <w:div w:id="1771049858">
      <w:bodyDiv w:val="1"/>
      <w:marLeft w:val="0"/>
      <w:marRight w:val="0"/>
      <w:marTop w:val="0"/>
      <w:marBottom w:val="0"/>
      <w:divBdr>
        <w:top w:val="none" w:sz="0" w:space="0" w:color="auto"/>
        <w:left w:val="none" w:sz="0" w:space="0" w:color="auto"/>
        <w:bottom w:val="none" w:sz="0" w:space="0" w:color="auto"/>
        <w:right w:val="none" w:sz="0" w:space="0" w:color="auto"/>
      </w:divBdr>
    </w:div>
    <w:div w:id="1780876725">
      <w:bodyDiv w:val="1"/>
      <w:marLeft w:val="0"/>
      <w:marRight w:val="0"/>
      <w:marTop w:val="0"/>
      <w:marBottom w:val="0"/>
      <w:divBdr>
        <w:top w:val="none" w:sz="0" w:space="0" w:color="auto"/>
        <w:left w:val="none" w:sz="0" w:space="0" w:color="auto"/>
        <w:bottom w:val="none" w:sz="0" w:space="0" w:color="auto"/>
        <w:right w:val="none" w:sz="0" w:space="0" w:color="auto"/>
      </w:divBdr>
    </w:div>
    <w:div w:id="1833719534">
      <w:bodyDiv w:val="1"/>
      <w:marLeft w:val="0"/>
      <w:marRight w:val="0"/>
      <w:marTop w:val="0"/>
      <w:marBottom w:val="0"/>
      <w:divBdr>
        <w:top w:val="none" w:sz="0" w:space="0" w:color="auto"/>
        <w:left w:val="none" w:sz="0" w:space="0" w:color="auto"/>
        <w:bottom w:val="none" w:sz="0" w:space="0" w:color="auto"/>
        <w:right w:val="none" w:sz="0" w:space="0" w:color="auto"/>
      </w:divBdr>
    </w:div>
    <w:div w:id="1835028255">
      <w:bodyDiv w:val="1"/>
      <w:marLeft w:val="0"/>
      <w:marRight w:val="0"/>
      <w:marTop w:val="0"/>
      <w:marBottom w:val="0"/>
      <w:divBdr>
        <w:top w:val="none" w:sz="0" w:space="0" w:color="auto"/>
        <w:left w:val="none" w:sz="0" w:space="0" w:color="auto"/>
        <w:bottom w:val="none" w:sz="0" w:space="0" w:color="auto"/>
        <w:right w:val="none" w:sz="0" w:space="0" w:color="auto"/>
      </w:divBdr>
    </w:div>
    <w:div w:id="1850173498">
      <w:bodyDiv w:val="1"/>
      <w:marLeft w:val="0"/>
      <w:marRight w:val="0"/>
      <w:marTop w:val="0"/>
      <w:marBottom w:val="0"/>
      <w:divBdr>
        <w:top w:val="none" w:sz="0" w:space="0" w:color="auto"/>
        <w:left w:val="none" w:sz="0" w:space="0" w:color="auto"/>
        <w:bottom w:val="none" w:sz="0" w:space="0" w:color="auto"/>
        <w:right w:val="none" w:sz="0" w:space="0" w:color="auto"/>
      </w:divBdr>
    </w:div>
    <w:div w:id="1866746216">
      <w:bodyDiv w:val="1"/>
      <w:marLeft w:val="0"/>
      <w:marRight w:val="0"/>
      <w:marTop w:val="0"/>
      <w:marBottom w:val="0"/>
      <w:divBdr>
        <w:top w:val="none" w:sz="0" w:space="0" w:color="auto"/>
        <w:left w:val="none" w:sz="0" w:space="0" w:color="auto"/>
        <w:bottom w:val="none" w:sz="0" w:space="0" w:color="auto"/>
        <w:right w:val="none" w:sz="0" w:space="0" w:color="auto"/>
      </w:divBdr>
    </w:div>
    <w:div w:id="1882012169">
      <w:bodyDiv w:val="1"/>
      <w:marLeft w:val="0"/>
      <w:marRight w:val="0"/>
      <w:marTop w:val="0"/>
      <w:marBottom w:val="0"/>
      <w:divBdr>
        <w:top w:val="none" w:sz="0" w:space="0" w:color="auto"/>
        <w:left w:val="none" w:sz="0" w:space="0" w:color="auto"/>
        <w:bottom w:val="none" w:sz="0" w:space="0" w:color="auto"/>
        <w:right w:val="none" w:sz="0" w:space="0" w:color="auto"/>
      </w:divBdr>
    </w:div>
    <w:div w:id="1885823482">
      <w:bodyDiv w:val="1"/>
      <w:marLeft w:val="0"/>
      <w:marRight w:val="0"/>
      <w:marTop w:val="0"/>
      <w:marBottom w:val="0"/>
      <w:divBdr>
        <w:top w:val="none" w:sz="0" w:space="0" w:color="auto"/>
        <w:left w:val="none" w:sz="0" w:space="0" w:color="auto"/>
        <w:bottom w:val="none" w:sz="0" w:space="0" w:color="auto"/>
        <w:right w:val="none" w:sz="0" w:space="0" w:color="auto"/>
      </w:divBdr>
    </w:div>
    <w:div w:id="1910118458">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1995141349">
      <w:bodyDiv w:val="1"/>
      <w:marLeft w:val="0"/>
      <w:marRight w:val="0"/>
      <w:marTop w:val="0"/>
      <w:marBottom w:val="0"/>
      <w:divBdr>
        <w:top w:val="none" w:sz="0" w:space="0" w:color="auto"/>
        <w:left w:val="none" w:sz="0" w:space="0" w:color="auto"/>
        <w:bottom w:val="none" w:sz="0" w:space="0" w:color="auto"/>
        <w:right w:val="none" w:sz="0" w:space="0" w:color="auto"/>
      </w:divBdr>
    </w:div>
    <w:div w:id="21041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hitehouse.gov/sites/default/files/omb/inforeg/pmc_survey_guidance_200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BD37-908C-4DB1-94BB-7521A1C9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14748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17103</CharactersWithSpaces>
  <SharedDoc>false</SharedDoc>
  <HLinks>
    <vt:vector size="6" baseType="variant">
      <vt:variant>
        <vt:i4>6160490</vt:i4>
      </vt:variant>
      <vt:variant>
        <vt:i4>10</vt:i4>
      </vt:variant>
      <vt:variant>
        <vt:i4>0</vt:i4>
      </vt:variant>
      <vt:variant>
        <vt:i4>5</vt:i4>
      </vt:variant>
      <vt:variant>
        <vt:lpwstr>https://www.whitehouse.gov/sites/default/files/omb/inforeg/pmc_survey_guidance_2006.pdf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subject/>
  <dc:creator>FEMA Employee</dc:creator>
  <cp:keywords/>
  <cp:lastModifiedBy>Brown, Millicent</cp:lastModifiedBy>
  <cp:revision>2</cp:revision>
  <cp:lastPrinted>2016-07-15T14:39:00Z</cp:lastPrinted>
  <dcterms:created xsi:type="dcterms:W3CDTF">2016-12-12T16:53:00Z</dcterms:created>
  <dcterms:modified xsi:type="dcterms:W3CDTF">2016-12-12T16:53:00Z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