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E2F" w:rsidRDefault="00D11E2F" w:rsidP="00D11E2F">
      <w:pPr>
        <w:keepNext/>
        <w:tabs>
          <w:tab w:val="num" w:pos="1440"/>
        </w:tabs>
        <w:spacing w:before="100" w:after="160" w:line="259" w:lineRule="auto"/>
        <w:ind w:left="1440" w:hanging="1440"/>
        <w:jc w:val="right"/>
        <w:outlineLvl w:val="7"/>
        <w:rPr>
          <w:rFonts w:ascii="Arial" w:hAnsi="Arial"/>
          <w:b/>
          <w:color w:val="auto"/>
          <w:sz w:val="36"/>
        </w:rPr>
      </w:pPr>
      <w:bookmarkStart w:id="0" w:name="_Toc62613679"/>
      <w:bookmarkStart w:id="1" w:name="_Toc62614425"/>
      <w:bookmarkStart w:id="2" w:name="_Toc62630085"/>
      <w:bookmarkStart w:id="3" w:name="_Toc94419923"/>
      <w:bookmarkStart w:id="4" w:name="_Toc380596641"/>
      <w:bookmarkStart w:id="5" w:name="_Toc415652464"/>
      <w:bookmarkStart w:id="6" w:name="_Toc415665801"/>
      <w:bookmarkStart w:id="7" w:name="_Toc415758575"/>
      <w:bookmarkStart w:id="8" w:name="_Toc417915034"/>
    </w:p>
    <w:p w:rsidR="00D11E2F" w:rsidRPr="00D11E2F" w:rsidRDefault="00D11E2F" w:rsidP="00D11E2F">
      <w:pPr>
        <w:keepNext/>
        <w:tabs>
          <w:tab w:val="num" w:pos="1440"/>
        </w:tabs>
        <w:spacing w:before="100" w:after="160" w:line="259" w:lineRule="auto"/>
        <w:ind w:left="1440" w:hanging="1440"/>
        <w:jc w:val="right"/>
        <w:outlineLvl w:val="7"/>
        <w:rPr>
          <w:rFonts w:ascii="Arial" w:hAnsi="Arial"/>
          <w:b/>
          <w:color w:val="auto"/>
          <w:sz w:val="36"/>
        </w:rPr>
      </w:pPr>
      <w:r w:rsidRPr="00D11E2F">
        <w:rPr>
          <w:rFonts w:ascii="Arial" w:hAnsi="Arial"/>
          <w:b/>
          <w:color w:val="auto"/>
          <w:sz w:val="36"/>
        </w:rPr>
        <w:t>NCER-NPSAS Grant Study</w:t>
      </w:r>
    </w:p>
    <w:p w:rsidR="00D11E2F" w:rsidRPr="00D11E2F" w:rsidRDefault="00D11E2F" w:rsidP="00D11E2F">
      <w:pPr>
        <w:keepNext/>
        <w:tabs>
          <w:tab w:val="num" w:pos="0"/>
        </w:tabs>
        <w:spacing w:before="100" w:after="160" w:line="259" w:lineRule="auto"/>
        <w:jc w:val="right"/>
        <w:outlineLvl w:val="7"/>
        <w:rPr>
          <w:rFonts w:ascii="Arial" w:hAnsi="Arial"/>
          <w:b/>
          <w:bCs w:val="0"/>
          <w:color w:val="auto"/>
          <w:sz w:val="36"/>
        </w:rPr>
      </w:pPr>
      <w:r w:rsidRPr="00D11E2F">
        <w:rPr>
          <w:rFonts w:ascii="Arial" w:hAnsi="Arial"/>
          <w:b/>
          <w:color w:val="auto"/>
          <w:sz w:val="36"/>
        </w:rPr>
        <w:t>Connecting Students with Financial Aid (CSFA) 2017: Testing the Effectiveness of FAFSA Interventions on College Outcomes</w:t>
      </w:r>
    </w:p>
    <w:p w:rsidR="00D11E2F" w:rsidRPr="00D11E2F" w:rsidRDefault="00D11E2F" w:rsidP="00D11E2F">
      <w:pPr>
        <w:keepNext/>
        <w:tabs>
          <w:tab w:val="num" w:pos="1440"/>
        </w:tabs>
        <w:spacing w:before="100" w:after="160" w:line="259" w:lineRule="auto"/>
        <w:ind w:left="1440" w:hanging="1440"/>
        <w:outlineLvl w:val="7"/>
        <w:rPr>
          <w:rFonts w:ascii="Arial" w:hAnsi="Arial"/>
          <w:b/>
          <w:color w:val="auto"/>
        </w:rPr>
      </w:pPr>
    </w:p>
    <w:p w:rsidR="00D11E2F" w:rsidRPr="00D11E2F" w:rsidRDefault="00D11E2F" w:rsidP="00D11E2F">
      <w:pPr>
        <w:spacing w:after="160" w:line="259" w:lineRule="auto"/>
        <w:jc w:val="right"/>
        <w:rPr>
          <w:color w:val="auto"/>
        </w:rPr>
      </w:pPr>
    </w:p>
    <w:p w:rsidR="00D11E2F" w:rsidRPr="00D11E2F" w:rsidRDefault="00D11E2F" w:rsidP="00D11E2F">
      <w:pPr>
        <w:spacing w:after="160" w:line="259" w:lineRule="auto"/>
        <w:jc w:val="right"/>
        <w:rPr>
          <w:color w:val="auto"/>
        </w:rPr>
      </w:pPr>
    </w:p>
    <w:p w:rsidR="00D11E2F" w:rsidRPr="00D11E2F" w:rsidRDefault="00D11E2F" w:rsidP="00D11E2F">
      <w:pPr>
        <w:spacing w:line="259" w:lineRule="auto"/>
        <w:jc w:val="right"/>
        <w:rPr>
          <w:rFonts w:ascii="Arial" w:hAnsi="Arial"/>
          <w:b/>
          <w:color w:val="auto"/>
          <w:sz w:val="32"/>
          <w:szCs w:val="32"/>
        </w:rPr>
      </w:pPr>
      <w:r w:rsidRPr="00D11E2F">
        <w:rPr>
          <w:rFonts w:ascii="Arial" w:hAnsi="Arial"/>
          <w:b/>
          <w:color w:val="auto"/>
          <w:sz w:val="32"/>
          <w:szCs w:val="32"/>
        </w:rPr>
        <w:t xml:space="preserve">Appendix </w:t>
      </w:r>
      <w:r>
        <w:rPr>
          <w:rFonts w:ascii="Arial" w:hAnsi="Arial"/>
          <w:b/>
          <w:color w:val="auto"/>
          <w:sz w:val="32"/>
          <w:szCs w:val="32"/>
        </w:rPr>
        <w:t>E</w:t>
      </w:r>
    </w:p>
    <w:p w:rsidR="00D11E2F" w:rsidRDefault="00D11E2F" w:rsidP="00D11E2F">
      <w:pPr>
        <w:spacing w:line="259" w:lineRule="auto"/>
        <w:jc w:val="right"/>
        <w:rPr>
          <w:rFonts w:ascii="Arial" w:hAnsi="Arial"/>
          <w:b/>
          <w:color w:val="auto"/>
          <w:sz w:val="32"/>
          <w:szCs w:val="32"/>
        </w:rPr>
      </w:pPr>
      <w:r w:rsidRPr="00D11E2F">
        <w:rPr>
          <w:rFonts w:ascii="Arial" w:hAnsi="Arial"/>
          <w:b/>
          <w:color w:val="auto"/>
          <w:sz w:val="32"/>
          <w:szCs w:val="32"/>
        </w:rPr>
        <w:t>Focus Group Final Report</w:t>
      </w:r>
    </w:p>
    <w:p w:rsidR="00D11E2F" w:rsidRPr="00D11E2F" w:rsidRDefault="00D11E2F" w:rsidP="00D11E2F">
      <w:pPr>
        <w:spacing w:line="259" w:lineRule="auto"/>
        <w:jc w:val="right"/>
        <w:rPr>
          <w:rFonts w:ascii="Arial" w:hAnsi="Arial"/>
          <w:b/>
          <w:bCs w:val="0"/>
          <w:color w:val="auto"/>
          <w:sz w:val="48"/>
          <w:szCs w:val="48"/>
        </w:rPr>
      </w:pPr>
      <w:r w:rsidRPr="00D11E2F">
        <w:rPr>
          <w:rFonts w:ascii="Arial" w:hAnsi="Arial"/>
          <w:b/>
          <w:color w:val="auto"/>
          <w:sz w:val="32"/>
          <w:szCs w:val="48"/>
        </w:rPr>
        <w:t xml:space="preserve"> </w:t>
      </w:r>
      <w:r w:rsidRPr="00D11E2F">
        <w:rPr>
          <w:rFonts w:ascii="Arial" w:hAnsi="Arial"/>
          <w:b/>
          <w:color w:val="auto"/>
          <w:sz w:val="32"/>
          <w:szCs w:val="48"/>
        </w:rPr>
        <w:br/>
        <w:t>OMB # 1850-</w:t>
      </w:r>
      <w:r w:rsidR="00466A88">
        <w:rPr>
          <w:rFonts w:ascii="Arial" w:hAnsi="Arial"/>
          <w:b/>
          <w:color w:val="000000" w:themeColor="text1"/>
          <w:sz w:val="32"/>
          <w:szCs w:val="48"/>
        </w:rPr>
        <w:t>0931</w:t>
      </w:r>
      <w:r w:rsidR="00466A88" w:rsidRPr="005230BB">
        <w:rPr>
          <w:rFonts w:ascii="Arial" w:hAnsi="Arial"/>
          <w:b/>
          <w:color w:val="000000" w:themeColor="text1"/>
          <w:sz w:val="32"/>
          <w:szCs w:val="48"/>
        </w:rPr>
        <w:t xml:space="preserve"> v.</w:t>
      </w:r>
      <w:r w:rsidR="00466A88">
        <w:rPr>
          <w:rFonts w:ascii="Arial" w:hAnsi="Arial"/>
          <w:b/>
          <w:color w:val="000000" w:themeColor="text1"/>
          <w:sz w:val="32"/>
          <w:szCs w:val="48"/>
        </w:rPr>
        <w:t>2</w:t>
      </w:r>
      <w:bookmarkStart w:id="9" w:name="_GoBack"/>
      <w:bookmarkEnd w:id="9"/>
    </w:p>
    <w:p w:rsidR="00D11E2F" w:rsidRPr="00D11E2F" w:rsidRDefault="00D11E2F" w:rsidP="00D11E2F">
      <w:pPr>
        <w:spacing w:after="160" w:line="259" w:lineRule="auto"/>
        <w:rPr>
          <w:b/>
          <w:bCs w:val="0"/>
          <w:color w:val="auto"/>
        </w:rPr>
      </w:pPr>
    </w:p>
    <w:p w:rsidR="00D11E2F" w:rsidRPr="00D11E2F" w:rsidRDefault="00D11E2F" w:rsidP="00D11E2F">
      <w:pPr>
        <w:spacing w:after="160" w:line="259" w:lineRule="auto"/>
        <w:rPr>
          <w:b/>
          <w:bCs w:val="0"/>
          <w:color w:val="auto"/>
          <w:sz w:val="32"/>
          <w:szCs w:val="32"/>
        </w:rPr>
      </w:pPr>
    </w:p>
    <w:p w:rsidR="00D11E2F" w:rsidRPr="00D11E2F" w:rsidRDefault="00D11E2F" w:rsidP="00D11E2F">
      <w:pPr>
        <w:spacing w:after="160" w:line="259" w:lineRule="auto"/>
        <w:rPr>
          <w:b/>
          <w:bCs w:val="0"/>
          <w:color w:val="auto"/>
          <w:sz w:val="32"/>
          <w:szCs w:val="32"/>
        </w:rPr>
      </w:pPr>
    </w:p>
    <w:p w:rsidR="00D11E2F" w:rsidRPr="00D11E2F" w:rsidRDefault="00D11E2F" w:rsidP="00D11E2F">
      <w:pPr>
        <w:spacing w:after="160" w:line="259" w:lineRule="auto"/>
        <w:jc w:val="right"/>
        <w:rPr>
          <w:rFonts w:ascii="Arial" w:hAnsi="Arial"/>
          <w:color w:val="auto"/>
        </w:rPr>
      </w:pPr>
    </w:p>
    <w:p w:rsidR="00D11E2F" w:rsidRPr="00D11E2F" w:rsidRDefault="00D11E2F" w:rsidP="00D11E2F">
      <w:pPr>
        <w:spacing w:after="160" w:line="259" w:lineRule="auto"/>
        <w:jc w:val="right"/>
        <w:rPr>
          <w:rFonts w:ascii="Arial" w:hAnsi="Arial"/>
          <w:bCs w:val="0"/>
          <w:color w:val="auto"/>
        </w:rPr>
      </w:pPr>
      <w:r w:rsidRPr="00D11E2F">
        <w:rPr>
          <w:rFonts w:ascii="Arial" w:hAnsi="Arial"/>
          <w:color w:val="auto"/>
        </w:rPr>
        <w:t>Submitted by</w:t>
      </w:r>
      <w:r w:rsidRPr="00D11E2F">
        <w:rPr>
          <w:rFonts w:ascii="Arial" w:hAnsi="Arial"/>
          <w:color w:val="auto"/>
        </w:rPr>
        <w:br/>
        <w:t>National Center for Education Statistics</w:t>
      </w:r>
      <w:r w:rsidRPr="00D11E2F">
        <w:rPr>
          <w:rFonts w:ascii="Arial" w:hAnsi="Arial"/>
          <w:color w:val="auto"/>
        </w:rPr>
        <w:br/>
        <w:t>U.S. Department of Education</w:t>
      </w:r>
    </w:p>
    <w:p w:rsidR="00D11E2F" w:rsidRPr="00D11E2F" w:rsidRDefault="00D11E2F" w:rsidP="00D11E2F">
      <w:pPr>
        <w:spacing w:after="160" w:line="259" w:lineRule="auto"/>
        <w:rPr>
          <w:rFonts w:ascii="Arial" w:hAnsi="Arial"/>
          <w:b/>
          <w:bCs w:val="0"/>
          <w:color w:val="auto"/>
        </w:rPr>
      </w:pPr>
    </w:p>
    <w:p w:rsidR="00D11E2F" w:rsidRPr="00D11E2F" w:rsidRDefault="00D11E2F" w:rsidP="00D11E2F">
      <w:pPr>
        <w:spacing w:after="160" w:line="259" w:lineRule="auto"/>
        <w:rPr>
          <w:rFonts w:ascii="Arial" w:hAnsi="Arial"/>
          <w:b/>
          <w:bCs w:val="0"/>
          <w:color w:val="auto"/>
        </w:rPr>
      </w:pPr>
    </w:p>
    <w:p w:rsidR="00D11E2F" w:rsidRPr="00D11E2F" w:rsidRDefault="00D11E2F" w:rsidP="00D11E2F">
      <w:pPr>
        <w:spacing w:after="160" w:line="259" w:lineRule="auto"/>
        <w:rPr>
          <w:rFonts w:ascii="Arial" w:hAnsi="Arial"/>
          <w:b/>
          <w:bCs w:val="0"/>
          <w:color w:val="auto"/>
        </w:rPr>
      </w:pPr>
    </w:p>
    <w:p w:rsidR="00D11E2F" w:rsidRPr="00D11E2F" w:rsidRDefault="00D11E2F" w:rsidP="00D11E2F">
      <w:pPr>
        <w:spacing w:after="160" w:line="259" w:lineRule="auto"/>
        <w:jc w:val="right"/>
        <w:rPr>
          <w:rFonts w:ascii="Arial" w:hAnsi="Arial"/>
          <w:b/>
          <w:bCs w:val="0"/>
          <w:color w:val="auto"/>
        </w:rPr>
      </w:pPr>
      <w:r>
        <w:rPr>
          <w:rFonts w:ascii="Arial" w:hAnsi="Arial"/>
          <w:b/>
          <w:color w:val="auto"/>
        </w:rPr>
        <w:t>December</w:t>
      </w:r>
      <w:r w:rsidRPr="00D11E2F">
        <w:rPr>
          <w:rFonts w:ascii="Arial" w:hAnsi="Arial"/>
          <w:b/>
          <w:color w:val="auto"/>
        </w:rPr>
        <w:t xml:space="preserve"> 2016</w:t>
      </w:r>
      <w:bookmarkEnd w:id="0"/>
      <w:bookmarkEnd w:id="1"/>
      <w:bookmarkEnd w:id="2"/>
      <w:bookmarkEnd w:id="3"/>
    </w:p>
    <w:p w:rsidR="00D11E2F" w:rsidRDefault="00D11E2F" w:rsidP="00D11E2F">
      <w:pPr>
        <w:spacing w:after="160" w:line="259" w:lineRule="auto"/>
        <w:rPr>
          <w:rFonts w:ascii="Arial" w:hAnsi="Arial"/>
          <w:b/>
          <w:bCs w:val="0"/>
          <w:iCs/>
          <w:szCs w:val="28"/>
        </w:rPr>
      </w:pPr>
      <w:r>
        <w:br w:type="page"/>
      </w:r>
    </w:p>
    <w:p w:rsidR="003A6D93" w:rsidRPr="0020283D" w:rsidRDefault="003A6D93" w:rsidP="003A6D93">
      <w:pPr>
        <w:pStyle w:val="Heading8"/>
        <w:spacing w:before="0" w:line="240" w:lineRule="auto"/>
        <w:jc w:val="right"/>
        <w:rPr>
          <w:rFonts w:asciiTheme="minorHAnsi" w:hAnsiTheme="minorHAnsi"/>
          <w:color w:val="auto"/>
          <w:sz w:val="36"/>
          <w:szCs w:val="36"/>
        </w:rPr>
      </w:pPr>
    </w:p>
    <w:p w:rsidR="002F2E7C" w:rsidRDefault="002F2E7C" w:rsidP="003A6D93">
      <w:pPr>
        <w:pStyle w:val="Heading8"/>
        <w:spacing w:before="0" w:line="240" w:lineRule="auto"/>
        <w:jc w:val="center"/>
        <w:rPr>
          <w:rFonts w:asciiTheme="minorHAnsi" w:hAnsiTheme="minorHAnsi"/>
          <w:color w:val="auto"/>
          <w:sz w:val="36"/>
          <w:szCs w:val="36"/>
        </w:rPr>
      </w:pPr>
    </w:p>
    <w:p w:rsidR="00241ED5" w:rsidRPr="0020283D" w:rsidRDefault="00241ED5" w:rsidP="003A6D93">
      <w:pPr>
        <w:pStyle w:val="Heading8"/>
        <w:spacing w:before="0" w:line="240" w:lineRule="auto"/>
        <w:jc w:val="center"/>
        <w:rPr>
          <w:rFonts w:asciiTheme="minorHAnsi" w:hAnsiTheme="minorHAnsi"/>
          <w:color w:val="auto"/>
          <w:sz w:val="36"/>
          <w:szCs w:val="36"/>
        </w:rPr>
      </w:pPr>
      <w:r w:rsidRPr="0020283D">
        <w:rPr>
          <w:rFonts w:asciiTheme="minorHAnsi" w:hAnsiTheme="minorHAnsi"/>
          <w:color w:val="auto"/>
          <w:sz w:val="36"/>
          <w:szCs w:val="36"/>
        </w:rPr>
        <w:t>NCER-NPSAS Grant Study</w:t>
      </w:r>
    </w:p>
    <w:p w:rsidR="003A6D93" w:rsidRPr="0020283D" w:rsidRDefault="00241ED5" w:rsidP="003A6D93">
      <w:pPr>
        <w:pStyle w:val="Heading8"/>
        <w:tabs>
          <w:tab w:val="num" w:pos="0"/>
        </w:tabs>
        <w:spacing w:before="0" w:line="240" w:lineRule="auto"/>
        <w:jc w:val="center"/>
        <w:rPr>
          <w:rFonts w:asciiTheme="minorHAnsi" w:hAnsiTheme="minorHAnsi"/>
          <w:color w:val="auto"/>
          <w:sz w:val="36"/>
          <w:szCs w:val="36"/>
        </w:rPr>
      </w:pPr>
      <w:r w:rsidRPr="0020283D">
        <w:rPr>
          <w:rFonts w:asciiTheme="minorHAnsi" w:hAnsiTheme="minorHAnsi"/>
          <w:color w:val="auto"/>
          <w:sz w:val="36"/>
          <w:szCs w:val="36"/>
        </w:rPr>
        <w:t>Connecting Students with Financial Aid (CSFA) 2017: Testing the Effectiveness of FAFSA Interventions on College Outcomes</w:t>
      </w:r>
    </w:p>
    <w:p w:rsidR="003A6D93" w:rsidRPr="0020283D" w:rsidRDefault="003A6D93" w:rsidP="003A6D93">
      <w:pPr>
        <w:spacing w:after="0" w:line="240" w:lineRule="auto"/>
        <w:jc w:val="center"/>
        <w:rPr>
          <w:rFonts w:asciiTheme="minorHAnsi" w:hAnsiTheme="minorHAnsi" w:cstheme="minorBidi"/>
          <w:i/>
          <w:color w:val="auto"/>
          <w:sz w:val="36"/>
          <w:szCs w:val="36"/>
        </w:rPr>
      </w:pPr>
    </w:p>
    <w:bookmarkEnd w:id="4"/>
    <w:bookmarkEnd w:id="5"/>
    <w:bookmarkEnd w:id="6"/>
    <w:bookmarkEnd w:id="7"/>
    <w:bookmarkEnd w:id="8"/>
    <w:p w:rsidR="00383F89" w:rsidRDefault="00383F89" w:rsidP="003A6D93">
      <w:pPr>
        <w:pStyle w:val="Heading8"/>
        <w:tabs>
          <w:tab w:val="num" w:pos="0"/>
        </w:tabs>
        <w:spacing w:before="0" w:line="240" w:lineRule="auto"/>
        <w:jc w:val="center"/>
        <w:rPr>
          <w:rFonts w:asciiTheme="minorHAnsi" w:hAnsiTheme="minorHAnsi"/>
          <w:color w:val="auto"/>
          <w:sz w:val="36"/>
          <w:szCs w:val="36"/>
        </w:rPr>
      </w:pPr>
      <w:r w:rsidRPr="0020283D">
        <w:rPr>
          <w:rFonts w:asciiTheme="minorHAnsi" w:hAnsiTheme="minorHAnsi"/>
          <w:color w:val="auto"/>
          <w:sz w:val="36"/>
          <w:szCs w:val="36"/>
        </w:rPr>
        <w:t>Focus Group Final Report</w:t>
      </w:r>
    </w:p>
    <w:p w:rsidR="00351363" w:rsidRPr="00351363" w:rsidRDefault="00351363" w:rsidP="00351363"/>
    <w:p w:rsidR="00351363" w:rsidRDefault="00351363" w:rsidP="00351363">
      <w:pPr>
        <w:pStyle w:val="Heading8"/>
        <w:tabs>
          <w:tab w:val="num" w:pos="0"/>
        </w:tabs>
        <w:spacing w:before="0" w:line="240" w:lineRule="auto"/>
        <w:jc w:val="center"/>
        <w:rPr>
          <w:rFonts w:asciiTheme="minorHAnsi" w:hAnsiTheme="minorHAnsi"/>
          <w:color w:val="auto"/>
          <w:sz w:val="36"/>
          <w:szCs w:val="36"/>
        </w:rPr>
      </w:pPr>
      <w:r>
        <w:rPr>
          <w:rFonts w:asciiTheme="minorHAnsi" w:hAnsiTheme="minorHAnsi"/>
          <w:color w:val="auto"/>
          <w:sz w:val="36"/>
          <w:szCs w:val="36"/>
        </w:rPr>
        <w:t>December 2016</w:t>
      </w:r>
    </w:p>
    <w:p w:rsidR="00351363" w:rsidRPr="00351363" w:rsidRDefault="00351363" w:rsidP="00351363"/>
    <w:p w:rsidR="00383F89" w:rsidRPr="0020283D" w:rsidRDefault="00383F89" w:rsidP="003A6D93">
      <w:pPr>
        <w:spacing w:after="0" w:line="240" w:lineRule="auto"/>
        <w:rPr>
          <w:rFonts w:asciiTheme="minorHAnsi" w:hAnsiTheme="minorHAnsi"/>
          <w:color w:val="auto"/>
          <w:sz w:val="36"/>
          <w:szCs w:val="36"/>
        </w:rPr>
      </w:pPr>
    </w:p>
    <w:p w:rsidR="00351363" w:rsidRDefault="00351363" w:rsidP="003A6D93">
      <w:pPr>
        <w:spacing w:after="0" w:line="240" w:lineRule="auto"/>
        <w:jc w:val="center"/>
        <w:rPr>
          <w:rFonts w:asciiTheme="minorHAnsi" w:hAnsiTheme="minorHAnsi"/>
          <w:b/>
          <w:color w:val="auto"/>
          <w:sz w:val="40"/>
          <w:szCs w:val="40"/>
        </w:rPr>
      </w:pPr>
    </w:p>
    <w:p w:rsidR="002F2E7C" w:rsidRDefault="002F2E7C" w:rsidP="003A6D93">
      <w:pPr>
        <w:spacing w:after="0" w:line="240" w:lineRule="auto"/>
        <w:jc w:val="center"/>
        <w:rPr>
          <w:rFonts w:asciiTheme="minorHAnsi" w:hAnsiTheme="minorHAnsi"/>
          <w:b/>
          <w:color w:val="auto"/>
          <w:sz w:val="40"/>
          <w:szCs w:val="40"/>
        </w:rPr>
      </w:pPr>
    </w:p>
    <w:p w:rsidR="002F2E7C" w:rsidRDefault="002F2E7C" w:rsidP="003A6D93">
      <w:pPr>
        <w:spacing w:after="0" w:line="240" w:lineRule="auto"/>
        <w:jc w:val="center"/>
        <w:rPr>
          <w:rFonts w:asciiTheme="minorHAnsi" w:hAnsiTheme="minorHAnsi"/>
          <w:b/>
          <w:color w:val="auto"/>
          <w:sz w:val="40"/>
          <w:szCs w:val="40"/>
        </w:rPr>
      </w:pPr>
    </w:p>
    <w:p w:rsidR="002F2E7C" w:rsidRDefault="002F2E7C" w:rsidP="003A6D93">
      <w:pPr>
        <w:spacing w:after="0" w:line="240" w:lineRule="auto"/>
        <w:jc w:val="center"/>
        <w:rPr>
          <w:rFonts w:asciiTheme="minorHAnsi" w:hAnsiTheme="minorHAnsi"/>
          <w:b/>
          <w:color w:val="auto"/>
          <w:sz w:val="40"/>
          <w:szCs w:val="40"/>
        </w:rPr>
      </w:pPr>
    </w:p>
    <w:p w:rsidR="002F2E7C" w:rsidRDefault="002F2E7C" w:rsidP="003A6D93">
      <w:pPr>
        <w:spacing w:after="0" w:line="240" w:lineRule="auto"/>
        <w:jc w:val="center"/>
        <w:rPr>
          <w:rFonts w:asciiTheme="minorHAnsi" w:hAnsiTheme="minorHAnsi"/>
          <w:b/>
          <w:color w:val="auto"/>
          <w:sz w:val="40"/>
          <w:szCs w:val="40"/>
        </w:rPr>
      </w:pPr>
    </w:p>
    <w:p w:rsidR="002F2E7C" w:rsidRDefault="002F2E7C" w:rsidP="003A6D93">
      <w:pPr>
        <w:spacing w:after="0" w:line="240" w:lineRule="auto"/>
        <w:jc w:val="center"/>
        <w:rPr>
          <w:rFonts w:asciiTheme="minorHAnsi" w:hAnsiTheme="minorHAnsi"/>
          <w:b/>
          <w:color w:val="auto"/>
          <w:sz w:val="40"/>
          <w:szCs w:val="40"/>
        </w:rPr>
      </w:pPr>
    </w:p>
    <w:p w:rsidR="002F2E7C" w:rsidRDefault="002F2E7C" w:rsidP="003A6D93">
      <w:pPr>
        <w:spacing w:after="0" w:line="240" w:lineRule="auto"/>
        <w:jc w:val="center"/>
        <w:rPr>
          <w:rFonts w:asciiTheme="minorHAnsi" w:hAnsiTheme="minorHAnsi"/>
          <w:b/>
          <w:color w:val="auto"/>
          <w:sz w:val="40"/>
          <w:szCs w:val="40"/>
        </w:rPr>
      </w:pPr>
    </w:p>
    <w:p w:rsidR="002F2E7C" w:rsidRDefault="002F2E7C" w:rsidP="003A6D93">
      <w:pPr>
        <w:spacing w:after="0" w:line="240" w:lineRule="auto"/>
        <w:jc w:val="center"/>
        <w:rPr>
          <w:rFonts w:asciiTheme="minorHAnsi" w:hAnsiTheme="minorHAnsi"/>
          <w:b/>
          <w:color w:val="auto"/>
          <w:sz w:val="40"/>
          <w:szCs w:val="40"/>
        </w:rPr>
      </w:pPr>
    </w:p>
    <w:p w:rsidR="009B72E9" w:rsidRPr="0020283D" w:rsidRDefault="009B72E9" w:rsidP="003A6D93">
      <w:pPr>
        <w:pBdr>
          <w:bottom w:val="single" w:sz="18" w:space="1" w:color="003399"/>
        </w:pBdr>
        <w:spacing w:after="0" w:line="240" w:lineRule="auto"/>
        <w:rPr>
          <w:rFonts w:asciiTheme="minorHAnsi" w:hAnsiTheme="minorHAnsi"/>
          <w:b/>
          <w:i/>
          <w:color w:val="auto"/>
          <w:sz w:val="40"/>
          <w:szCs w:val="40"/>
        </w:rPr>
      </w:pPr>
      <w:r w:rsidRPr="0020283D">
        <w:rPr>
          <w:rFonts w:asciiTheme="minorHAnsi" w:hAnsiTheme="minorHAnsi"/>
          <w:b/>
          <w:i/>
          <w:color w:val="auto"/>
          <w:sz w:val="40"/>
          <w:szCs w:val="40"/>
        </w:rPr>
        <w:t>TABLE OF CONTENTS</w:t>
      </w:r>
    </w:p>
    <w:tbl>
      <w:tblPr>
        <w:tblW w:w="9702" w:type="dxa"/>
        <w:jc w:val="center"/>
        <w:tblLook w:val="00A0" w:firstRow="1" w:lastRow="0" w:firstColumn="1" w:lastColumn="0" w:noHBand="0" w:noVBand="0"/>
      </w:tblPr>
      <w:tblGrid>
        <w:gridCol w:w="1170"/>
        <w:gridCol w:w="6390"/>
        <w:gridCol w:w="2142"/>
      </w:tblGrid>
      <w:tr w:rsidR="0020283D" w:rsidRPr="0020283D" w:rsidTr="002F2E7C">
        <w:trPr>
          <w:trHeight w:val="144"/>
          <w:jc w:val="center"/>
        </w:trPr>
        <w:tc>
          <w:tcPr>
            <w:tcW w:w="1170" w:type="dxa"/>
            <w:shd w:val="clear" w:color="auto" w:fill="auto"/>
          </w:tcPr>
          <w:p w:rsidR="00351363" w:rsidRDefault="00351363" w:rsidP="002F2E7C">
            <w:pPr>
              <w:spacing w:before="60" w:after="60" w:line="240" w:lineRule="auto"/>
              <w:rPr>
                <w:rFonts w:asciiTheme="minorHAnsi" w:hAnsiTheme="minorHAnsi"/>
                <w:b/>
                <w:bCs w:val="0"/>
                <w:color w:val="auto"/>
              </w:rPr>
            </w:pPr>
          </w:p>
          <w:p w:rsidR="003D50BD" w:rsidRPr="0020283D" w:rsidRDefault="003D50BD" w:rsidP="002F2E7C">
            <w:pPr>
              <w:spacing w:before="60" w:after="60" w:line="240" w:lineRule="auto"/>
              <w:rPr>
                <w:rFonts w:asciiTheme="minorHAnsi" w:hAnsiTheme="minorHAnsi"/>
                <w:b/>
                <w:bCs w:val="0"/>
                <w:color w:val="auto"/>
              </w:rPr>
            </w:pPr>
            <w:r w:rsidRPr="0020283D">
              <w:rPr>
                <w:rFonts w:asciiTheme="minorHAnsi" w:hAnsiTheme="minorHAnsi"/>
                <w:b/>
                <w:bCs w:val="0"/>
                <w:color w:val="auto"/>
              </w:rPr>
              <w:t>Section</w:t>
            </w:r>
          </w:p>
        </w:tc>
        <w:tc>
          <w:tcPr>
            <w:tcW w:w="6390" w:type="dxa"/>
            <w:shd w:val="clear" w:color="auto" w:fill="auto"/>
          </w:tcPr>
          <w:p w:rsidR="003D50BD" w:rsidRPr="0020283D" w:rsidRDefault="003D50BD" w:rsidP="002F2E7C">
            <w:pPr>
              <w:spacing w:before="60" w:after="60" w:line="240" w:lineRule="auto"/>
              <w:rPr>
                <w:rFonts w:asciiTheme="minorHAnsi" w:hAnsiTheme="minorHAnsi"/>
                <w:b/>
                <w:bCs w:val="0"/>
                <w:color w:val="auto"/>
              </w:rPr>
            </w:pPr>
          </w:p>
        </w:tc>
        <w:tc>
          <w:tcPr>
            <w:tcW w:w="2142" w:type="dxa"/>
            <w:shd w:val="clear" w:color="auto" w:fill="auto"/>
          </w:tcPr>
          <w:p w:rsidR="00351363" w:rsidRDefault="00351363" w:rsidP="002F2E7C">
            <w:pPr>
              <w:spacing w:before="60" w:after="60" w:line="240" w:lineRule="auto"/>
              <w:jc w:val="center"/>
              <w:rPr>
                <w:rFonts w:asciiTheme="minorHAnsi" w:hAnsiTheme="minorHAnsi"/>
                <w:b/>
                <w:bCs w:val="0"/>
                <w:color w:val="auto"/>
              </w:rPr>
            </w:pPr>
          </w:p>
          <w:p w:rsidR="003D50BD" w:rsidRPr="0020283D" w:rsidRDefault="003D50BD" w:rsidP="002F2E7C">
            <w:pPr>
              <w:spacing w:before="60" w:after="60" w:line="240" w:lineRule="auto"/>
              <w:jc w:val="center"/>
              <w:rPr>
                <w:rFonts w:asciiTheme="minorHAnsi" w:hAnsiTheme="minorHAnsi"/>
                <w:b/>
                <w:bCs w:val="0"/>
                <w:color w:val="auto"/>
              </w:rPr>
            </w:pPr>
            <w:r w:rsidRPr="0020283D">
              <w:rPr>
                <w:rFonts w:asciiTheme="minorHAnsi" w:hAnsiTheme="minorHAnsi"/>
                <w:b/>
                <w:bCs w:val="0"/>
                <w:color w:val="auto"/>
              </w:rPr>
              <w:t>Page</w:t>
            </w:r>
          </w:p>
        </w:tc>
      </w:tr>
      <w:tr w:rsidR="0020283D" w:rsidRPr="0020283D" w:rsidTr="002F2E7C">
        <w:trPr>
          <w:trHeight w:val="144"/>
          <w:jc w:val="center"/>
        </w:trPr>
        <w:tc>
          <w:tcPr>
            <w:tcW w:w="1170" w:type="dxa"/>
            <w:shd w:val="clear" w:color="auto" w:fill="auto"/>
            <w:vAlign w:val="center"/>
          </w:tcPr>
          <w:p w:rsidR="003D50BD" w:rsidRPr="0020283D" w:rsidRDefault="003D50BD" w:rsidP="002F2E7C">
            <w:pPr>
              <w:spacing w:before="60" w:after="60" w:line="240" w:lineRule="auto"/>
              <w:jc w:val="center"/>
              <w:rPr>
                <w:rFonts w:asciiTheme="minorHAnsi" w:hAnsiTheme="minorHAnsi"/>
                <w:b/>
                <w:bCs w:val="0"/>
                <w:color w:val="auto"/>
              </w:rPr>
            </w:pPr>
            <w:r w:rsidRPr="0020283D">
              <w:rPr>
                <w:rFonts w:asciiTheme="minorHAnsi" w:hAnsiTheme="minorHAnsi"/>
                <w:b/>
                <w:bCs w:val="0"/>
                <w:color w:val="auto"/>
              </w:rPr>
              <w:t>1.0</w:t>
            </w:r>
          </w:p>
        </w:tc>
        <w:tc>
          <w:tcPr>
            <w:tcW w:w="6390" w:type="dxa"/>
            <w:shd w:val="clear" w:color="auto" w:fill="auto"/>
            <w:vAlign w:val="center"/>
          </w:tcPr>
          <w:p w:rsidR="003D50BD" w:rsidRPr="0020283D" w:rsidRDefault="003D50BD" w:rsidP="002F2E7C">
            <w:pPr>
              <w:spacing w:before="60" w:after="60" w:line="240" w:lineRule="auto"/>
              <w:rPr>
                <w:rFonts w:asciiTheme="minorHAnsi" w:hAnsiTheme="minorHAnsi"/>
                <w:b/>
                <w:color w:val="auto"/>
              </w:rPr>
            </w:pPr>
            <w:r w:rsidRPr="0020283D">
              <w:rPr>
                <w:rFonts w:asciiTheme="minorHAnsi" w:hAnsiTheme="minorHAnsi"/>
                <w:b/>
                <w:color w:val="auto"/>
              </w:rPr>
              <w:t>Background and Research Methodology</w:t>
            </w:r>
          </w:p>
        </w:tc>
        <w:tc>
          <w:tcPr>
            <w:tcW w:w="2142" w:type="dxa"/>
            <w:shd w:val="clear" w:color="auto" w:fill="auto"/>
            <w:vAlign w:val="center"/>
          </w:tcPr>
          <w:p w:rsidR="003D50BD" w:rsidRPr="0020283D" w:rsidRDefault="002F2E7C" w:rsidP="002F2E7C">
            <w:pPr>
              <w:spacing w:before="60" w:after="60" w:line="240" w:lineRule="auto"/>
              <w:jc w:val="center"/>
              <w:rPr>
                <w:rFonts w:asciiTheme="minorHAnsi" w:hAnsiTheme="minorHAnsi"/>
                <w:b/>
                <w:color w:val="auto"/>
              </w:rPr>
            </w:pPr>
            <w:r>
              <w:rPr>
                <w:rFonts w:asciiTheme="minorHAnsi" w:hAnsiTheme="minorHAnsi"/>
                <w:b/>
                <w:color w:val="auto"/>
              </w:rPr>
              <w:t>2</w:t>
            </w:r>
          </w:p>
        </w:tc>
      </w:tr>
      <w:tr w:rsidR="0020283D" w:rsidRPr="0020283D" w:rsidTr="002F2E7C">
        <w:trPr>
          <w:trHeight w:val="144"/>
          <w:jc w:val="center"/>
        </w:trPr>
        <w:tc>
          <w:tcPr>
            <w:tcW w:w="1170" w:type="dxa"/>
            <w:shd w:val="clear" w:color="auto" w:fill="auto"/>
            <w:vAlign w:val="center"/>
          </w:tcPr>
          <w:p w:rsidR="003D50BD" w:rsidRPr="0020283D" w:rsidRDefault="003D50BD" w:rsidP="002F2E7C">
            <w:pPr>
              <w:spacing w:before="60" w:after="60" w:line="240" w:lineRule="auto"/>
              <w:jc w:val="center"/>
              <w:rPr>
                <w:rFonts w:asciiTheme="minorHAnsi" w:hAnsiTheme="minorHAnsi"/>
                <w:b/>
                <w:bCs w:val="0"/>
                <w:color w:val="auto"/>
              </w:rPr>
            </w:pPr>
            <w:r w:rsidRPr="0020283D">
              <w:rPr>
                <w:rFonts w:asciiTheme="minorHAnsi" w:hAnsiTheme="minorHAnsi"/>
                <w:b/>
                <w:bCs w:val="0"/>
                <w:color w:val="auto"/>
              </w:rPr>
              <w:t>2.0</w:t>
            </w:r>
          </w:p>
        </w:tc>
        <w:tc>
          <w:tcPr>
            <w:tcW w:w="6390" w:type="dxa"/>
            <w:shd w:val="clear" w:color="auto" w:fill="auto"/>
            <w:vAlign w:val="center"/>
          </w:tcPr>
          <w:p w:rsidR="003D50BD" w:rsidRPr="0020283D" w:rsidRDefault="003D50BD" w:rsidP="002F2E7C">
            <w:pPr>
              <w:spacing w:before="60" w:after="60" w:line="240" w:lineRule="auto"/>
              <w:rPr>
                <w:rFonts w:asciiTheme="minorHAnsi" w:hAnsiTheme="minorHAnsi"/>
                <w:b/>
                <w:color w:val="auto"/>
              </w:rPr>
            </w:pPr>
            <w:r w:rsidRPr="0020283D">
              <w:rPr>
                <w:rFonts w:asciiTheme="minorHAnsi" w:hAnsiTheme="minorHAnsi"/>
                <w:b/>
                <w:color w:val="auto"/>
              </w:rPr>
              <w:t>Research Objectives</w:t>
            </w:r>
          </w:p>
        </w:tc>
        <w:tc>
          <w:tcPr>
            <w:tcW w:w="2142" w:type="dxa"/>
            <w:shd w:val="clear" w:color="auto" w:fill="auto"/>
            <w:vAlign w:val="center"/>
          </w:tcPr>
          <w:p w:rsidR="003D50BD" w:rsidRPr="0020283D" w:rsidRDefault="005B6EC3" w:rsidP="002F2E7C">
            <w:pPr>
              <w:spacing w:before="60" w:after="60" w:line="240" w:lineRule="auto"/>
              <w:jc w:val="center"/>
              <w:rPr>
                <w:rFonts w:asciiTheme="minorHAnsi" w:hAnsiTheme="minorHAnsi"/>
                <w:b/>
                <w:color w:val="auto"/>
              </w:rPr>
            </w:pPr>
            <w:r w:rsidRPr="0020283D">
              <w:rPr>
                <w:rFonts w:asciiTheme="minorHAnsi" w:hAnsiTheme="minorHAnsi"/>
                <w:b/>
                <w:color w:val="auto"/>
              </w:rPr>
              <w:t>5</w:t>
            </w:r>
          </w:p>
        </w:tc>
      </w:tr>
      <w:tr w:rsidR="0020283D" w:rsidRPr="0020283D" w:rsidTr="002F2E7C">
        <w:trPr>
          <w:trHeight w:val="144"/>
          <w:jc w:val="center"/>
        </w:trPr>
        <w:tc>
          <w:tcPr>
            <w:tcW w:w="1170" w:type="dxa"/>
            <w:shd w:val="clear" w:color="auto" w:fill="auto"/>
            <w:vAlign w:val="center"/>
          </w:tcPr>
          <w:p w:rsidR="003D50BD" w:rsidRPr="0020283D" w:rsidRDefault="003D50BD" w:rsidP="002F2E7C">
            <w:pPr>
              <w:spacing w:before="60" w:after="60" w:line="240" w:lineRule="auto"/>
              <w:jc w:val="center"/>
              <w:rPr>
                <w:rFonts w:asciiTheme="minorHAnsi" w:hAnsiTheme="minorHAnsi"/>
                <w:b/>
                <w:bCs w:val="0"/>
                <w:color w:val="auto"/>
              </w:rPr>
            </w:pPr>
            <w:r w:rsidRPr="0020283D">
              <w:rPr>
                <w:rFonts w:asciiTheme="minorHAnsi" w:hAnsiTheme="minorHAnsi"/>
                <w:b/>
                <w:bCs w:val="0"/>
                <w:color w:val="auto"/>
              </w:rPr>
              <w:t>3.0</w:t>
            </w:r>
          </w:p>
        </w:tc>
        <w:tc>
          <w:tcPr>
            <w:tcW w:w="6390" w:type="dxa"/>
            <w:shd w:val="clear" w:color="auto" w:fill="auto"/>
            <w:vAlign w:val="center"/>
          </w:tcPr>
          <w:p w:rsidR="003D50BD" w:rsidRPr="0020283D" w:rsidRDefault="006E0529" w:rsidP="002F2E7C">
            <w:pPr>
              <w:spacing w:before="60" w:after="60" w:line="240" w:lineRule="auto"/>
              <w:rPr>
                <w:rFonts w:asciiTheme="minorHAnsi" w:hAnsiTheme="minorHAnsi"/>
                <w:b/>
                <w:color w:val="auto"/>
              </w:rPr>
            </w:pPr>
            <w:r w:rsidRPr="0020283D">
              <w:rPr>
                <w:rFonts w:asciiTheme="minorHAnsi" w:hAnsiTheme="minorHAnsi"/>
                <w:b/>
                <w:color w:val="auto"/>
              </w:rPr>
              <w:t xml:space="preserve">Conclusions and </w:t>
            </w:r>
            <w:r w:rsidR="001D6A9C" w:rsidRPr="0020283D">
              <w:rPr>
                <w:rFonts w:asciiTheme="minorHAnsi" w:hAnsiTheme="minorHAnsi"/>
                <w:b/>
                <w:color w:val="auto"/>
              </w:rPr>
              <w:t>Implications</w:t>
            </w:r>
          </w:p>
        </w:tc>
        <w:tc>
          <w:tcPr>
            <w:tcW w:w="2142" w:type="dxa"/>
            <w:shd w:val="clear" w:color="auto" w:fill="auto"/>
            <w:vAlign w:val="center"/>
          </w:tcPr>
          <w:p w:rsidR="003D50BD" w:rsidRPr="0020283D" w:rsidRDefault="002F2E7C" w:rsidP="002F2E7C">
            <w:pPr>
              <w:spacing w:before="60" w:after="60" w:line="240" w:lineRule="auto"/>
              <w:jc w:val="center"/>
              <w:rPr>
                <w:rFonts w:asciiTheme="minorHAnsi" w:hAnsiTheme="minorHAnsi"/>
                <w:b/>
                <w:color w:val="auto"/>
              </w:rPr>
            </w:pPr>
            <w:r>
              <w:rPr>
                <w:rFonts w:asciiTheme="minorHAnsi" w:hAnsiTheme="minorHAnsi"/>
                <w:b/>
                <w:color w:val="auto"/>
              </w:rPr>
              <w:t>5</w:t>
            </w:r>
          </w:p>
        </w:tc>
      </w:tr>
    </w:tbl>
    <w:p w:rsidR="004144B6" w:rsidRPr="0020283D" w:rsidRDefault="004144B6" w:rsidP="002F2E7C">
      <w:pPr>
        <w:spacing w:before="60" w:after="60" w:line="240" w:lineRule="auto"/>
        <w:rPr>
          <w:rFonts w:asciiTheme="minorHAnsi" w:hAnsiTheme="minorHAnsi"/>
          <w:color w:val="auto"/>
        </w:rPr>
        <w:sectPr w:rsidR="004144B6" w:rsidRPr="0020283D" w:rsidSect="00FE2E42">
          <w:footerReference w:type="default" r:id="rId9"/>
          <w:type w:val="continuous"/>
          <w:pgSz w:w="12240" w:h="15840"/>
          <w:pgMar w:top="1440" w:right="1440" w:bottom="1440" w:left="1440" w:header="720" w:footer="720" w:gutter="0"/>
          <w:cols w:space="720"/>
          <w:docGrid w:linePitch="360"/>
        </w:sectPr>
      </w:pPr>
    </w:p>
    <w:p w:rsidR="006E0529" w:rsidRPr="0020283D" w:rsidRDefault="006E0529" w:rsidP="003A6D93">
      <w:pPr>
        <w:spacing w:after="0" w:line="240" w:lineRule="auto"/>
        <w:rPr>
          <w:rFonts w:asciiTheme="minorHAnsi" w:hAnsiTheme="minorHAnsi"/>
          <w:b/>
          <w:bCs w:val="0"/>
          <w:i/>
          <w:iCs/>
          <w:color w:val="auto"/>
          <w:sz w:val="40"/>
        </w:rPr>
      </w:pPr>
      <w:r w:rsidRPr="0020283D">
        <w:rPr>
          <w:rFonts w:asciiTheme="minorHAnsi" w:hAnsiTheme="minorHAnsi"/>
          <w:color w:val="auto"/>
        </w:rPr>
        <w:lastRenderedPageBreak/>
        <w:br w:type="page"/>
      </w:r>
    </w:p>
    <w:p w:rsidR="004144B6" w:rsidRPr="0020283D" w:rsidRDefault="009B72E9" w:rsidP="003A6D93">
      <w:pPr>
        <w:pStyle w:val="IntenseQuote"/>
        <w:spacing w:before="0" w:after="0" w:line="240" w:lineRule="auto"/>
        <w:rPr>
          <w:rFonts w:asciiTheme="minorHAnsi" w:hAnsiTheme="minorHAnsi"/>
          <w:color w:val="auto"/>
        </w:rPr>
      </w:pPr>
      <w:r w:rsidRPr="0020283D">
        <w:rPr>
          <w:rFonts w:asciiTheme="minorHAnsi" w:hAnsiTheme="minorHAnsi"/>
          <w:color w:val="auto"/>
        </w:rPr>
        <w:lastRenderedPageBreak/>
        <w:t>1.0 BACKGROUND AND RESEARCH METHODOLOGY</w:t>
      </w:r>
    </w:p>
    <w:p w:rsidR="003A6D93" w:rsidRPr="0020283D" w:rsidRDefault="003A6D93" w:rsidP="003A6D93">
      <w:pPr>
        <w:spacing w:after="0" w:line="240" w:lineRule="auto"/>
        <w:rPr>
          <w:rFonts w:asciiTheme="minorHAnsi" w:hAnsiTheme="minorHAnsi"/>
          <w:b/>
          <w:color w:val="auto"/>
        </w:rPr>
      </w:pPr>
    </w:p>
    <w:p w:rsidR="004144B6" w:rsidRPr="0020283D" w:rsidRDefault="003A6D93" w:rsidP="003A6D93">
      <w:pPr>
        <w:spacing w:after="0" w:line="240" w:lineRule="auto"/>
        <w:rPr>
          <w:rFonts w:asciiTheme="minorHAnsi" w:hAnsiTheme="minorHAnsi"/>
          <w:b/>
          <w:color w:val="auto"/>
        </w:rPr>
      </w:pPr>
      <w:r w:rsidRPr="0020283D">
        <w:rPr>
          <w:rFonts w:asciiTheme="minorHAnsi" w:hAnsiTheme="minorHAnsi"/>
          <w:b/>
          <w:color w:val="auto"/>
        </w:rPr>
        <w:t>Background a</w:t>
      </w:r>
      <w:r w:rsidR="004144B6" w:rsidRPr="0020283D">
        <w:rPr>
          <w:rFonts w:asciiTheme="minorHAnsi" w:hAnsiTheme="minorHAnsi"/>
          <w:b/>
          <w:color w:val="auto"/>
        </w:rPr>
        <w:t>nd Purpose</w:t>
      </w:r>
    </w:p>
    <w:p w:rsidR="003A6D93" w:rsidRPr="0020283D" w:rsidRDefault="003A6D93" w:rsidP="003A6D93">
      <w:pPr>
        <w:spacing w:after="0" w:line="240" w:lineRule="auto"/>
        <w:outlineLvl w:val="1"/>
        <w:rPr>
          <w:rFonts w:asciiTheme="minorHAnsi" w:hAnsiTheme="minorHAnsi"/>
          <w:color w:val="auto"/>
        </w:rPr>
      </w:pPr>
    </w:p>
    <w:p w:rsidR="001A7C78" w:rsidRPr="0020283D" w:rsidRDefault="003A6D93" w:rsidP="001A7C78">
      <w:pPr>
        <w:pStyle w:val="ListParagraph"/>
        <w:numPr>
          <w:ilvl w:val="0"/>
          <w:numId w:val="21"/>
        </w:numPr>
        <w:spacing w:after="0" w:line="240" w:lineRule="auto"/>
        <w:outlineLvl w:val="1"/>
        <w:rPr>
          <w:sz w:val="24"/>
          <w:szCs w:val="24"/>
        </w:rPr>
      </w:pPr>
      <w:r w:rsidRPr="0020283D">
        <w:rPr>
          <w:sz w:val="24"/>
          <w:szCs w:val="24"/>
        </w:rPr>
        <w:t>In 2010, the National Center for Education Research (NCER) and the National Center for Education Statistics (NCES), both within the U.S. Department of Education’s Institute of Education Sciences (IES), began collaborating on an education grant opportunity related to the cross-sectional National Postsecondary Student Aid Study (NPSAS). Under the NCER-NPSAS grant opportunity, researchers could submit applications to the Postsecondary and Adult Education topic within the Education Research Grants program (CFDA 84.305A) to: 1) explore relationships between malleable factors (e.g. information on benefits of financial aid and FAFSA renewal) and postsecondary persistence and completion, as well as the mediators and moderators of those relationships; and 2) evaluate the efficacy of interventions aimed at improving persistence and completion of postsecondary education. Researchers approved for funding through this program can obtain indirect access to a subsample of the national NPSAS sample (after the study’s student interviews are completed) in order to conduct unique research projects that adhere to the guidelines set forth in the Request for Applications for the Education Research Grants Program, as well as guidelines set forth by NCES and the NPSAS program.</w:t>
      </w:r>
    </w:p>
    <w:p w:rsidR="001A7C78" w:rsidRPr="0020283D" w:rsidRDefault="001A7C78" w:rsidP="001A7C78">
      <w:pPr>
        <w:spacing w:after="0" w:line="240" w:lineRule="auto"/>
        <w:ind w:left="360"/>
        <w:outlineLvl w:val="1"/>
        <w:rPr>
          <w:rFonts w:asciiTheme="minorHAnsi" w:hAnsiTheme="minorHAnsi"/>
          <w:color w:val="auto"/>
        </w:rPr>
      </w:pPr>
    </w:p>
    <w:p w:rsidR="001A7C78" w:rsidRPr="0020283D" w:rsidRDefault="001A7C78" w:rsidP="001A7C78">
      <w:pPr>
        <w:pStyle w:val="ListParagraph"/>
        <w:numPr>
          <w:ilvl w:val="0"/>
          <w:numId w:val="21"/>
        </w:numPr>
        <w:spacing w:after="0" w:line="240" w:lineRule="auto"/>
        <w:outlineLvl w:val="1"/>
        <w:rPr>
          <w:sz w:val="24"/>
          <w:szCs w:val="24"/>
        </w:rPr>
      </w:pPr>
      <w:r w:rsidRPr="0020283D">
        <w:rPr>
          <w:sz w:val="24"/>
          <w:szCs w:val="24"/>
        </w:rPr>
        <w:t xml:space="preserve">On July 1, 2016, a grant was awarded to this project: </w:t>
      </w:r>
      <w:r w:rsidRPr="0020283D">
        <w:rPr>
          <w:i/>
          <w:sz w:val="24"/>
          <w:szCs w:val="24"/>
        </w:rPr>
        <w:t>Could Connecting Students with Financial Aid Lead to Better College Outcomes? A Proposal to Test the Effectiveness of FAFSA Interventions Using the NPSAS Sample</w:t>
      </w:r>
      <w:r w:rsidRPr="0020283D">
        <w:rPr>
          <w:sz w:val="24"/>
          <w:szCs w:val="24"/>
        </w:rPr>
        <w:t xml:space="preserve"> (referred to as “Connecting Students with Financial Aid (CSFA) 2017”; </w:t>
      </w:r>
      <w:hyperlink r:id="rId10" w:history="1">
        <w:r w:rsidRPr="0020283D">
          <w:rPr>
            <w:rStyle w:val="Hyperlink"/>
            <w:color w:val="auto"/>
            <w:sz w:val="24"/>
            <w:szCs w:val="24"/>
          </w:rPr>
          <w:t>http://ies.ed.gov/funding/grantsearch/details.asp?ID=1853</w:t>
        </w:r>
      </w:hyperlink>
      <w:r w:rsidRPr="0020283D">
        <w:rPr>
          <w:sz w:val="24"/>
          <w:szCs w:val="24"/>
        </w:rPr>
        <w:t xml:space="preserve">). The CSFA 2017 study investigates whether </w:t>
      </w:r>
      <w:r w:rsidRPr="0020283D">
        <w:rPr>
          <w:rFonts w:cs="Arial"/>
          <w:sz w:val="24"/>
          <w:szCs w:val="24"/>
        </w:rPr>
        <w:t>an intervention that provides financial aid information increases completion of the Free Application for Federal Student Aid (FAFSA)</w:t>
      </w:r>
      <w:r w:rsidRPr="0020283D">
        <w:rPr>
          <w:sz w:val="24"/>
          <w:szCs w:val="24"/>
        </w:rPr>
        <w:t xml:space="preserve">. </w:t>
      </w:r>
      <w:r w:rsidRPr="0020283D">
        <w:rPr>
          <w:rFonts w:cs="Arial"/>
          <w:sz w:val="24"/>
          <w:szCs w:val="24"/>
        </w:rPr>
        <w:t xml:space="preserve">In addition, information will be provided on how the number of college credits taken can increase the amount of financial aid received to see if this information influences enrollment intensity (full- versus part-time status). </w:t>
      </w:r>
      <w:r w:rsidRPr="0020283D">
        <w:rPr>
          <w:sz w:val="24"/>
          <w:szCs w:val="24"/>
        </w:rPr>
        <w:t>The primary grantee is Bridget Long, Harvard University (Grant Award #R305A160388), and the co-principal investigator is Eric Bettinger, Stanford University. Data collection for the study will be led by the contractor, Research Triangle Institute (RTI)</w:t>
      </w:r>
      <w:r w:rsidRPr="0020283D">
        <w:rPr>
          <w:rFonts w:cs="Arial"/>
          <w:sz w:val="24"/>
          <w:szCs w:val="24"/>
        </w:rPr>
        <w:t>.</w:t>
      </w:r>
    </w:p>
    <w:p w:rsidR="001A7C78" w:rsidRPr="0020283D" w:rsidRDefault="001A7C78" w:rsidP="001A7C78">
      <w:pPr>
        <w:spacing w:after="0" w:line="240" w:lineRule="auto"/>
        <w:outlineLvl w:val="1"/>
        <w:rPr>
          <w:rFonts w:asciiTheme="minorHAnsi" w:hAnsiTheme="minorHAnsi"/>
          <w:color w:val="auto"/>
        </w:rPr>
      </w:pPr>
    </w:p>
    <w:p w:rsidR="001A7C78" w:rsidRPr="0020283D" w:rsidRDefault="001A7C78" w:rsidP="00AB3358">
      <w:pPr>
        <w:pStyle w:val="ListParagraph"/>
        <w:numPr>
          <w:ilvl w:val="0"/>
          <w:numId w:val="21"/>
        </w:numPr>
        <w:spacing w:after="0" w:line="240" w:lineRule="auto"/>
        <w:outlineLvl w:val="1"/>
        <w:rPr>
          <w:sz w:val="24"/>
          <w:szCs w:val="24"/>
        </w:rPr>
      </w:pPr>
      <w:r w:rsidRPr="0020283D">
        <w:rPr>
          <w:sz w:val="24"/>
          <w:szCs w:val="24"/>
        </w:rPr>
        <w:t>The research team proposed to recruit for and conduct with postsecondary students two to four focus groups for the CSFA 2017 study to obtain information on how students understand the communications, whether the letters prioritize the most important information to provide, how the framing and formatting of the message influences how the messages are received, and to refine the informational letters/emails to be used in the study’s interventions accordingly.</w:t>
      </w:r>
      <w:r w:rsidR="00AB3358">
        <w:rPr>
          <w:sz w:val="24"/>
          <w:szCs w:val="24"/>
        </w:rPr>
        <w:t xml:space="preserve"> The focus groups were cleared under </w:t>
      </w:r>
      <w:r w:rsidR="00AB3358" w:rsidRPr="00AB3358">
        <w:t>OMB</w:t>
      </w:r>
      <w:r w:rsidR="00AB3358">
        <w:t xml:space="preserve"> </w:t>
      </w:r>
      <w:r w:rsidR="00AB3358" w:rsidRPr="00AB3358">
        <w:t># 1850-0803 v.184</w:t>
      </w:r>
      <w:r w:rsidR="00AB3358">
        <w:t>.</w:t>
      </w:r>
    </w:p>
    <w:p w:rsidR="001A7C78" w:rsidRPr="0020283D" w:rsidRDefault="001A7C78" w:rsidP="001A7C78">
      <w:pPr>
        <w:spacing w:after="0" w:line="240" w:lineRule="auto"/>
        <w:ind w:left="360"/>
        <w:outlineLvl w:val="1"/>
        <w:rPr>
          <w:rFonts w:asciiTheme="minorHAnsi" w:hAnsiTheme="minorHAnsi"/>
          <w:color w:val="auto"/>
        </w:rPr>
      </w:pPr>
    </w:p>
    <w:p w:rsidR="001A7C78" w:rsidRPr="0020283D" w:rsidRDefault="004144B6" w:rsidP="001A7C78">
      <w:pPr>
        <w:pStyle w:val="ListParagraph"/>
        <w:numPr>
          <w:ilvl w:val="0"/>
          <w:numId w:val="21"/>
        </w:numPr>
        <w:spacing w:after="0" w:line="240" w:lineRule="auto"/>
        <w:outlineLvl w:val="1"/>
        <w:rPr>
          <w:sz w:val="24"/>
          <w:szCs w:val="24"/>
        </w:rPr>
      </w:pPr>
      <w:r w:rsidRPr="0020283D">
        <w:rPr>
          <w:sz w:val="24"/>
          <w:szCs w:val="24"/>
        </w:rPr>
        <w:t xml:space="preserve">Feedback from this research </w:t>
      </w:r>
      <w:r w:rsidR="006B512A">
        <w:rPr>
          <w:sz w:val="24"/>
          <w:szCs w:val="24"/>
        </w:rPr>
        <w:t>guided</w:t>
      </w:r>
      <w:r w:rsidRPr="0020283D">
        <w:rPr>
          <w:sz w:val="24"/>
          <w:szCs w:val="24"/>
        </w:rPr>
        <w:t xml:space="preserve"> development of the revised </w:t>
      </w:r>
      <w:r w:rsidR="001A7C78" w:rsidRPr="0020283D">
        <w:rPr>
          <w:sz w:val="24"/>
          <w:szCs w:val="24"/>
        </w:rPr>
        <w:t>intervention materials to be used in the CSFA study.</w:t>
      </w:r>
    </w:p>
    <w:p w:rsidR="001A7C78" w:rsidRPr="0020283D" w:rsidRDefault="001A7C78" w:rsidP="003A6D93">
      <w:pPr>
        <w:spacing w:after="0" w:line="240" w:lineRule="auto"/>
        <w:rPr>
          <w:rFonts w:asciiTheme="minorHAnsi" w:hAnsiTheme="minorHAnsi"/>
          <w:b/>
          <w:color w:val="auto"/>
        </w:rPr>
      </w:pPr>
    </w:p>
    <w:p w:rsidR="001A7C78" w:rsidRPr="0020283D" w:rsidRDefault="001A7C78" w:rsidP="003A6D93">
      <w:pPr>
        <w:spacing w:after="0" w:line="240" w:lineRule="auto"/>
        <w:rPr>
          <w:rFonts w:asciiTheme="minorHAnsi" w:hAnsiTheme="minorHAnsi"/>
          <w:b/>
          <w:color w:val="auto"/>
        </w:rPr>
      </w:pPr>
    </w:p>
    <w:p w:rsidR="001A7C78" w:rsidRPr="0020283D" w:rsidRDefault="004144B6" w:rsidP="003A6D93">
      <w:pPr>
        <w:spacing w:after="0" w:line="240" w:lineRule="auto"/>
        <w:rPr>
          <w:rFonts w:asciiTheme="minorHAnsi" w:hAnsiTheme="minorHAnsi"/>
          <w:b/>
          <w:color w:val="auto"/>
        </w:rPr>
      </w:pPr>
      <w:r w:rsidRPr="0020283D">
        <w:rPr>
          <w:rFonts w:asciiTheme="minorHAnsi" w:hAnsiTheme="minorHAnsi"/>
          <w:b/>
          <w:color w:val="auto"/>
        </w:rPr>
        <w:t>Research Methodology</w:t>
      </w:r>
    </w:p>
    <w:p w:rsidR="001A7C78" w:rsidRPr="0020283D" w:rsidRDefault="001A7C78" w:rsidP="003A6D93">
      <w:pPr>
        <w:spacing w:after="0" w:line="240" w:lineRule="auto"/>
        <w:rPr>
          <w:rFonts w:asciiTheme="minorHAnsi" w:hAnsiTheme="minorHAnsi"/>
          <w:b/>
          <w:color w:val="auto"/>
        </w:rPr>
      </w:pPr>
    </w:p>
    <w:p w:rsidR="001A7C78" w:rsidRPr="0020283D" w:rsidRDefault="004144B6" w:rsidP="003A6D93">
      <w:pPr>
        <w:pStyle w:val="Bullet1"/>
        <w:numPr>
          <w:ilvl w:val="0"/>
          <w:numId w:val="10"/>
        </w:numPr>
        <w:tabs>
          <w:tab w:val="num" w:pos="540"/>
        </w:tabs>
        <w:spacing w:after="0" w:line="240" w:lineRule="auto"/>
        <w:ind w:left="540" w:hanging="270"/>
        <w:rPr>
          <w:rFonts w:asciiTheme="minorHAnsi" w:hAnsiTheme="minorHAnsi"/>
          <w:color w:val="auto"/>
        </w:rPr>
      </w:pPr>
      <w:r w:rsidRPr="0020283D">
        <w:rPr>
          <w:rFonts w:asciiTheme="minorHAnsi" w:hAnsiTheme="minorHAnsi"/>
          <w:color w:val="auto"/>
        </w:rPr>
        <w:t xml:space="preserve">A total of </w:t>
      </w:r>
      <w:r w:rsidR="003A6D93" w:rsidRPr="0020283D">
        <w:rPr>
          <w:rFonts w:asciiTheme="minorHAnsi" w:hAnsiTheme="minorHAnsi"/>
          <w:color w:val="auto"/>
        </w:rPr>
        <w:t>two</w:t>
      </w:r>
      <w:r w:rsidRPr="0020283D">
        <w:rPr>
          <w:rFonts w:asciiTheme="minorHAnsi" w:hAnsiTheme="minorHAnsi"/>
          <w:color w:val="auto"/>
        </w:rPr>
        <w:t xml:space="preserve">, </w:t>
      </w:r>
      <w:r w:rsidR="003A6D93" w:rsidRPr="0020283D">
        <w:rPr>
          <w:rFonts w:asciiTheme="minorHAnsi" w:hAnsiTheme="minorHAnsi"/>
          <w:color w:val="auto"/>
        </w:rPr>
        <w:t>6</w:t>
      </w:r>
      <w:r w:rsidRPr="0020283D">
        <w:rPr>
          <w:rFonts w:asciiTheme="minorHAnsi" w:hAnsiTheme="minorHAnsi"/>
          <w:color w:val="auto"/>
        </w:rPr>
        <w:t xml:space="preserve">0-minute focus </w:t>
      </w:r>
      <w:r w:rsidR="004759BC" w:rsidRPr="0020283D">
        <w:rPr>
          <w:rFonts w:asciiTheme="minorHAnsi" w:hAnsiTheme="minorHAnsi"/>
          <w:color w:val="auto"/>
        </w:rPr>
        <w:t xml:space="preserve">groups were conducted </w:t>
      </w:r>
      <w:r w:rsidR="001A7C78" w:rsidRPr="0020283D">
        <w:rPr>
          <w:rFonts w:asciiTheme="minorHAnsi" w:hAnsiTheme="minorHAnsi"/>
          <w:color w:val="auto"/>
        </w:rPr>
        <w:t xml:space="preserve">in small conference rooms </w:t>
      </w:r>
      <w:r w:rsidR="003A6D93" w:rsidRPr="0020283D">
        <w:rPr>
          <w:rFonts w:asciiTheme="minorHAnsi" w:hAnsiTheme="minorHAnsi"/>
          <w:color w:val="auto"/>
        </w:rPr>
        <w:t>at the Harvard Graduate School of Education</w:t>
      </w:r>
      <w:r w:rsidRPr="0020283D">
        <w:rPr>
          <w:rFonts w:asciiTheme="minorHAnsi" w:hAnsiTheme="minorHAnsi"/>
          <w:color w:val="auto"/>
        </w:rPr>
        <w:t>:</w:t>
      </w:r>
    </w:p>
    <w:p w:rsidR="004144B6" w:rsidRPr="0020283D" w:rsidRDefault="004144B6" w:rsidP="001A7C78">
      <w:pPr>
        <w:pStyle w:val="Bullet1"/>
        <w:spacing w:after="0" w:line="240" w:lineRule="auto"/>
        <w:ind w:left="270"/>
        <w:rPr>
          <w:rFonts w:asciiTheme="minorHAnsi" w:hAnsiTheme="minorHAnsi"/>
          <w:color w:val="auto"/>
        </w:rPr>
      </w:pPr>
      <w:r w:rsidRPr="0020283D">
        <w:rPr>
          <w:rFonts w:asciiTheme="minorHAnsi" w:hAnsiTheme="minorHAnsi"/>
          <w:color w:val="auto"/>
        </w:rPr>
        <w:t xml:space="preserve"> </w:t>
      </w:r>
    </w:p>
    <w:tbl>
      <w:tblPr>
        <w:tblStyle w:val="TableGrid"/>
        <w:tblW w:w="0" w:type="auto"/>
        <w:jc w:val="center"/>
        <w:tblLook w:val="04A0" w:firstRow="1" w:lastRow="0" w:firstColumn="1" w:lastColumn="0" w:noHBand="0" w:noVBand="1"/>
      </w:tblPr>
      <w:tblGrid>
        <w:gridCol w:w="1375"/>
        <w:gridCol w:w="3420"/>
        <w:gridCol w:w="2430"/>
      </w:tblGrid>
      <w:tr w:rsidR="0020283D" w:rsidRPr="0020283D" w:rsidTr="003A6D93">
        <w:trPr>
          <w:jc w:val="center"/>
        </w:trPr>
        <w:tc>
          <w:tcPr>
            <w:tcW w:w="1375" w:type="dxa"/>
          </w:tcPr>
          <w:p w:rsidR="003A6D93" w:rsidRPr="0020283D" w:rsidRDefault="003A6D93" w:rsidP="003A6D93">
            <w:pPr>
              <w:pStyle w:val="Bullet1"/>
              <w:spacing w:after="0" w:line="240" w:lineRule="auto"/>
              <w:rPr>
                <w:rFonts w:asciiTheme="minorHAnsi" w:hAnsiTheme="minorHAnsi"/>
                <w:color w:val="auto"/>
              </w:rPr>
            </w:pPr>
            <w:r w:rsidRPr="0020283D">
              <w:rPr>
                <w:rFonts w:asciiTheme="minorHAnsi" w:hAnsiTheme="minorHAnsi"/>
                <w:color w:val="auto"/>
              </w:rPr>
              <w:lastRenderedPageBreak/>
              <w:t>Group #</w:t>
            </w:r>
          </w:p>
        </w:tc>
        <w:tc>
          <w:tcPr>
            <w:tcW w:w="3420" w:type="dxa"/>
          </w:tcPr>
          <w:p w:rsidR="003A6D93" w:rsidRPr="0020283D" w:rsidRDefault="003A6D93" w:rsidP="003A6D93">
            <w:pPr>
              <w:pStyle w:val="Bullet1"/>
              <w:spacing w:after="0" w:line="240" w:lineRule="auto"/>
              <w:rPr>
                <w:rFonts w:asciiTheme="minorHAnsi" w:hAnsiTheme="minorHAnsi"/>
                <w:color w:val="auto"/>
              </w:rPr>
            </w:pPr>
            <w:r w:rsidRPr="0020283D">
              <w:rPr>
                <w:rFonts w:asciiTheme="minorHAnsi" w:hAnsiTheme="minorHAnsi"/>
                <w:color w:val="auto"/>
              </w:rPr>
              <w:t>Date</w:t>
            </w:r>
          </w:p>
        </w:tc>
        <w:tc>
          <w:tcPr>
            <w:tcW w:w="2430" w:type="dxa"/>
          </w:tcPr>
          <w:p w:rsidR="003A6D93" w:rsidRPr="0020283D" w:rsidRDefault="003A6D93" w:rsidP="003A6D93">
            <w:pPr>
              <w:pStyle w:val="Bullet1"/>
              <w:spacing w:after="0" w:line="240" w:lineRule="auto"/>
              <w:rPr>
                <w:rFonts w:asciiTheme="minorHAnsi" w:hAnsiTheme="minorHAnsi"/>
                <w:color w:val="auto"/>
              </w:rPr>
            </w:pPr>
            <w:r w:rsidRPr="0020283D">
              <w:rPr>
                <w:rFonts w:asciiTheme="minorHAnsi" w:hAnsiTheme="minorHAnsi"/>
                <w:color w:val="auto"/>
              </w:rPr>
              <w:t>Time</w:t>
            </w:r>
          </w:p>
        </w:tc>
      </w:tr>
      <w:tr w:rsidR="0020283D" w:rsidRPr="0020283D" w:rsidTr="003A6D93">
        <w:trPr>
          <w:jc w:val="center"/>
        </w:trPr>
        <w:tc>
          <w:tcPr>
            <w:tcW w:w="1375" w:type="dxa"/>
          </w:tcPr>
          <w:p w:rsidR="003A6D93" w:rsidRPr="0020283D" w:rsidRDefault="003A6D93" w:rsidP="003A6D93">
            <w:pPr>
              <w:pStyle w:val="Bullet1"/>
              <w:spacing w:after="0" w:line="240" w:lineRule="auto"/>
              <w:rPr>
                <w:rFonts w:asciiTheme="minorHAnsi" w:hAnsiTheme="minorHAnsi"/>
                <w:color w:val="auto"/>
              </w:rPr>
            </w:pPr>
            <w:r w:rsidRPr="0020283D">
              <w:rPr>
                <w:rFonts w:asciiTheme="minorHAnsi" w:hAnsiTheme="minorHAnsi"/>
                <w:color w:val="auto"/>
              </w:rPr>
              <w:t>1</w:t>
            </w:r>
          </w:p>
        </w:tc>
        <w:tc>
          <w:tcPr>
            <w:tcW w:w="3420" w:type="dxa"/>
          </w:tcPr>
          <w:p w:rsidR="003A6D93" w:rsidRPr="0020283D" w:rsidRDefault="003A6D93" w:rsidP="003A6D93">
            <w:pPr>
              <w:pStyle w:val="Bullet1"/>
              <w:spacing w:after="0" w:line="240" w:lineRule="auto"/>
              <w:rPr>
                <w:rFonts w:asciiTheme="minorHAnsi" w:hAnsiTheme="minorHAnsi"/>
                <w:color w:val="auto"/>
              </w:rPr>
            </w:pPr>
            <w:r w:rsidRPr="0020283D">
              <w:rPr>
                <w:rFonts w:asciiTheme="minorHAnsi" w:hAnsiTheme="minorHAnsi"/>
                <w:color w:val="auto"/>
              </w:rPr>
              <w:t>Thursday, December 15</w:t>
            </w:r>
            <w:r w:rsidRPr="0020283D">
              <w:rPr>
                <w:rFonts w:asciiTheme="minorHAnsi" w:hAnsiTheme="minorHAnsi"/>
                <w:color w:val="auto"/>
                <w:vertAlign w:val="superscript"/>
              </w:rPr>
              <w:t>th</w:t>
            </w:r>
            <w:r w:rsidRPr="0020283D">
              <w:rPr>
                <w:rFonts w:asciiTheme="minorHAnsi" w:hAnsiTheme="minorHAnsi"/>
                <w:color w:val="auto"/>
              </w:rPr>
              <w:t xml:space="preserve"> </w:t>
            </w:r>
          </w:p>
        </w:tc>
        <w:tc>
          <w:tcPr>
            <w:tcW w:w="2430" w:type="dxa"/>
          </w:tcPr>
          <w:p w:rsidR="003A6D93" w:rsidRPr="0020283D" w:rsidRDefault="003A6D93" w:rsidP="003A6D93">
            <w:pPr>
              <w:pStyle w:val="Bullet1"/>
              <w:spacing w:after="0" w:line="240" w:lineRule="auto"/>
              <w:rPr>
                <w:rFonts w:asciiTheme="minorHAnsi" w:hAnsiTheme="minorHAnsi"/>
                <w:color w:val="auto"/>
              </w:rPr>
            </w:pPr>
            <w:r w:rsidRPr="0020283D">
              <w:rPr>
                <w:rFonts w:asciiTheme="minorHAnsi" w:hAnsiTheme="minorHAnsi"/>
                <w:color w:val="auto"/>
              </w:rPr>
              <w:t>10am-11-am</w:t>
            </w:r>
          </w:p>
        </w:tc>
      </w:tr>
      <w:tr w:rsidR="0020283D" w:rsidRPr="0020283D" w:rsidTr="003A6D93">
        <w:trPr>
          <w:jc w:val="center"/>
        </w:trPr>
        <w:tc>
          <w:tcPr>
            <w:tcW w:w="1375" w:type="dxa"/>
          </w:tcPr>
          <w:p w:rsidR="003A6D93" w:rsidRPr="0020283D" w:rsidRDefault="003A6D93" w:rsidP="003A6D93">
            <w:pPr>
              <w:pStyle w:val="Bullet1"/>
              <w:spacing w:after="0" w:line="240" w:lineRule="auto"/>
              <w:rPr>
                <w:rFonts w:asciiTheme="minorHAnsi" w:hAnsiTheme="minorHAnsi"/>
                <w:color w:val="auto"/>
              </w:rPr>
            </w:pPr>
            <w:r w:rsidRPr="0020283D">
              <w:rPr>
                <w:rFonts w:asciiTheme="minorHAnsi" w:hAnsiTheme="minorHAnsi"/>
                <w:color w:val="auto"/>
              </w:rPr>
              <w:t>2</w:t>
            </w:r>
          </w:p>
        </w:tc>
        <w:tc>
          <w:tcPr>
            <w:tcW w:w="3420" w:type="dxa"/>
          </w:tcPr>
          <w:p w:rsidR="003A6D93" w:rsidRPr="0020283D" w:rsidRDefault="003A6D93" w:rsidP="003A6D93">
            <w:pPr>
              <w:pStyle w:val="Bullet1"/>
              <w:spacing w:after="0" w:line="240" w:lineRule="auto"/>
              <w:rPr>
                <w:rFonts w:asciiTheme="minorHAnsi" w:hAnsiTheme="minorHAnsi"/>
                <w:color w:val="auto"/>
              </w:rPr>
            </w:pPr>
            <w:r w:rsidRPr="0020283D">
              <w:rPr>
                <w:rFonts w:asciiTheme="minorHAnsi" w:hAnsiTheme="minorHAnsi"/>
                <w:color w:val="auto"/>
              </w:rPr>
              <w:t>Thursday, December 15</w:t>
            </w:r>
            <w:r w:rsidRPr="0020283D">
              <w:rPr>
                <w:rFonts w:asciiTheme="minorHAnsi" w:hAnsiTheme="minorHAnsi"/>
                <w:color w:val="auto"/>
                <w:vertAlign w:val="superscript"/>
              </w:rPr>
              <w:t>th</w:t>
            </w:r>
          </w:p>
        </w:tc>
        <w:tc>
          <w:tcPr>
            <w:tcW w:w="2430" w:type="dxa"/>
          </w:tcPr>
          <w:p w:rsidR="003A6D93" w:rsidRPr="0020283D" w:rsidRDefault="003A6D93" w:rsidP="003A6D93">
            <w:pPr>
              <w:pStyle w:val="Bullet1"/>
              <w:spacing w:after="0" w:line="240" w:lineRule="auto"/>
              <w:rPr>
                <w:rFonts w:asciiTheme="minorHAnsi" w:hAnsiTheme="minorHAnsi"/>
                <w:color w:val="auto"/>
              </w:rPr>
            </w:pPr>
            <w:r w:rsidRPr="0020283D">
              <w:rPr>
                <w:rFonts w:asciiTheme="minorHAnsi" w:hAnsiTheme="minorHAnsi"/>
                <w:color w:val="auto"/>
              </w:rPr>
              <w:t>1:30pm-2:30pm</w:t>
            </w:r>
          </w:p>
        </w:tc>
      </w:tr>
    </w:tbl>
    <w:p w:rsidR="001A7C78" w:rsidRPr="0020283D" w:rsidRDefault="001A7C78" w:rsidP="001A7C78">
      <w:pPr>
        <w:pStyle w:val="Bullet1"/>
        <w:spacing w:after="0" w:line="240" w:lineRule="auto"/>
        <w:ind w:left="540"/>
        <w:rPr>
          <w:rFonts w:asciiTheme="minorHAnsi" w:hAnsiTheme="minorHAnsi"/>
          <w:color w:val="auto"/>
        </w:rPr>
      </w:pPr>
    </w:p>
    <w:p w:rsidR="001A7C78" w:rsidRPr="0020283D" w:rsidRDefault="004144B6" w:rsidP="003A6D93">
      <w:pPr>
        <w:pStyle w:val="Bullet1"/>
        <w:numPr>
          <w:ilvl w:val="0"/>
          <w:numId w:val="6"/>
        </w:numPr>
        <w:tabs>
          <w:tab w:val="clear" w:pos="1080"/>
          <w:tab w:val="num" w:pos="540"/>
        </w:tabs>
        <w:spacing w:after="0" w:line="240" w:lineRule="auto"/>
        <w:ind w:left="540" w:hanging="270"/>
        <w:rPr>
          <w:rFonts w:asciiTheme="minorHAnsi" w:hAnsiTheme="minorHAnsi"/>
          <w:color w:val="auto"/>
        </w:rPr>
      </w:pPr>
      <w:r w:rsidRPr="0020283D">
        <w:rPr>
          <w:rFonts w:asciiTheme="minorHAnsi" w:hAnsiTheme="minorHAnsi"/>
          <w:color w:val="auto"/>
        </w:rPr>
        <w:t xml:space="preserve">Respondents were recruited by </w:t>
      </w:r>
      <w:r w:rsidR="001A7C78" w:rsidRPr="0020283D">
        <w:rPr>
          <w:rFonts w:asciiTheme="minorHAnsi" w:hAnsiTheme="minorHAnsi"/>
          <w:color w:val="auto"/>
        </w:rPr>
        <w:t xml:space="preserve">Dr. Long from among former students in her course “The Economics of Higher Education.” The course attracts a number of students who have professional experience working with the target population of low-income and first generation undergraduate students and nearly all the students are interested in the issues of college access and success (the main topic of the course). Many are also first-generation students themselves and so can share that perspective from personal experience. </w:t>
      </w:r>
    </w:p>
    <w:p w:rsidR="001A7C78" w:rsidRPr="0020283D" w:rsidRDefault="001A7C78" w:rsidP="001A7C78">
      <w:pPr>
        <w:pStyle w:val="Bullet1"/>
        <w:spacing w:after="0" w:line="240" w:lineRule="auto"/>
        <w:ind w:left="270"/>
        <w:rPr>
          <w:rFonts w:asciiTheme="minorHAnsi" w:hAnsiTheme="minorHAnsi"/>
          <w:color w:val="auto"/>
        </w:rPr>
      </w:pPr>
    </w:p>
    <w:p w:rsidR="008474A8" w:rsidRPr="0020283D" w:rsidRDefault="008474A8" w:rsidP="001A7C78">
      <w:pPr>
        <w:pStyle w:val="Bullet1"/>
        <w:numPr>
          <w:ilvl w:val="0"/>
          <w:numId w:val="6"/>
        </w:numPr>
        <w:tabs>
          <w:tab w:val="clear" w:pos="1080"/>
          <w:tab w:val="num" w:pos="540"/>
        </w:tabs>
        <w:spacing w:after="0" w:line="240" w:lineRule="auto"/>
        <w:ind w:left="540" w:hanging="270"/>
        <w:rPr>
          <w:rFonts w:asciiTheme="minorHAnsi" w:hAnsiTheme="minorHAnsi"/>
          <w:color w:val="auto"/>
        </w:rPr>
      </w:pPr>
      <w:r w:rsidRPr="0020283D">
        <w:rPr>
          <w:rFonts w:asciiTheme="minorHAnsi" w:hAnsiTheme="minorHAnsi"/>
          <w:color w:val="auto"/>
        </w:rPr>
        <w:t xml:space="preserve">On December 13, 2016, </w:t>
      </w:r>
      <w:r w:rsidR="001A7C78" w:rsidRPr="0020283D">
        <w:rPr>
          <w:rFonts w:asciiTheme="minorHAnsi" w:hAnsiTheme="minorHAnsi"/>
          <w:color w:val="auto"/>
        </w:rPr>
        <w:t>Dr. Long announced the focus group opportunities using the email listserv of her former class, which ended in October 2016</w:t>
      </w:r>
      <w:r w:rsidR="007148BB" w:rsidRPr="0020283D">
        <w:rPr>
          <w:rFonts w:asciiTheme="minorHAnsi" w:hAnsiTheme="minorHAnsi"/>
          <w:color w:val="auto"/>
        </w:rPr>
        <w:t>.  Interested students responded to an online poll with their a</w:t>
      </w:r>
      <w:r w:rsidRPr="0020283D">
        <w:rPr>
          <w:rFonts w:asciiTheme="minorHAnsi" w:hAnsiTheme="minorHAnsi"/>
          <w:color w:val="auto"/>
        </w:rPr>
        <w:t>vailability to participate (three possible times were given).  B</w:t>
      </w:r>
      <w:r w:rsidR="001A7C78" w:rsidRPr="0020283D">
        <w:rPr>
          <w:rFonts w:asciiTheme="minorHAnsi" w:hAnsiTheme="minorHAnsi"/>
          <w:color w:val="auto"/>
        </w:rPr>
        <w:t xml:space="preserve">ased on student availability, </w:t>
      </w:r>
      <w:r w:rsidRPr="0020283D">
        <w:rPr>
          <w:rFonts w:asciiTheme="minorHAnsi" w:hAnsiTheme="minorHAnsi"/>
          <w:color w:val="auto"/>
        </w:rPr>
        <w:t xml:space="preserve">Dr. Long </w:t>
      </w:r>
      <w:r w:rsidR="001A7C78" w:rsidRPr="0020283D">
        <w:rPr>
          <w:rFonts w:asciiTheme="minorHAnsi" w:hAnsiTheme="minorHAnsi"/>
          <w:color w:val="auto"/>
        </w:rPr>
        <w:t>selected two times that would include a diverse set of focus group participants from among those that responded.</w:t>
      </w:r>
      <w:r w:rsidRPr="0020283D">
        <w:rPr>
          <w:rFonts w:asciiTheme="minorHAnsi" w:hAnsiTheme="minorHAnsi"/>
          <w:color w:val="auto"/>
        </w:rPr>
        <w:t xml:space="preserve">  One respondent was not included in the focus groups because she was unavailable during the two selected times.</w:t>
      </w:r>
    </w:p>
    <w:p w:rsidR="001A7C78" w:rsidRPr="0020283D" w:rsidRDefault="001A7C78" w:rsidP="001A7C78">
      <w:pPr>
        <w:pStyle w:val="Bullet1"/>
        <w:spacing w:after="0" w:line="240" w:lineRule="auto"/>
        <w:rPr>
          <w:rFonts w:asciiTheme="minorHAnsi" w:hAnsiTheme="minorHAnsi"/>
          <w:color w:val="auto"/>
        </w:rPr>
      </w:pPr>
    </w:p>
    <w:p w:rsidR="001A7C78" w:rsidRPr="0020283D" w:rsidRDefault="004144B6" w:rsidP="001A7C78">
      <w:pPr>
        <w:pStyle w:val="Bullet1"/>
        <w:numPr>
          <w:ilvl w:val="0"/>
          <w:numId w:val="6"/>
        </w:numPr>
        <w:tabs>
          <w:tab w:val="clear" w:pos="1080"/>
          <w:tab w:val="num" w:pos="540"/>
        </w:tabs>
        <w:spacing w:after="0" w:line="240" w:lineRule="auto"/>
        <w:ind w:left="540" w:hanging="270"/>
        <w:rPr>
          <w:rFonts w:asciiTheme="minorHAnsi" w:hAnsiTheme="minorHAnsi"/>
          <w:color w:val="auto"/>
        </w:rPr>
      </w:pPr>
      <w:r w:rsidRPr="0020283D">
        <w:rPr>
          <w:rFonts w:asciiTheme="minorHAnsi" w:hAnsiTheme="minorHAnsi"/>
          <w:color w:val="auto"/>
        </w:rPr>
        <w:t xml:space="preserve">For documentation purposes, the recruiting disposition is included below: </w:t>
      </w:r>
    </w:p>
    <w:p w:rsidR="001A7C78" w:rsidRPr="0020283D" w:rsidRDefault="001A7C78" w:rsidP="001A7C78">
      <w:pPr>
        <w:pStyle w:val="Bullet1"/>
        <w:spacing w:after="0" w:line="240" w:lineRule="auto"/>
        <w:rPr>
          <w:rFonts w:asciiTheme="minorHAnsi" w:eastAsiaTheme="minorHAnsi" w:hAnsiTheme="minorHAnsi" w:cstheme="minorBidi"/>
          <w:bCs w:val="0"/>
          <w:color w:val="auto"/>
        </w:rPr>
      </w:pPr>
    </w:p>
    <w:tbl>
      <w:tblPr>
        <w:tblStyle w:val="TableGrid"/>
        <w:tblW w:w="0" w:type="auto"/>
        <w:jc w:val="center"/>
        <w:tblLook w:val="04A0" w:firstRow="1" w:lastRow="0" w:firstColumn="1" w:lastColumn="0" w:noHBand="0" w:noVBand="1"/>
      </w:tblPr>
      <w:tblGrid>
        <w:gridCol w:w="4788"/>
        <w:gridCol w:w="2790"/>
      </w:tblGrid>
      <w:tr w:rsidR="0020283D" w:rsidRPr="0020283D" w:rsidTr="006641ED">
        <w:trPr>
          <w:jc w:val="center"/>
        </w:trPr>
        <w:tc>
          <w:tcPr>
            <w:tcW w:w="7578" w:type="dxa"/>
            <w:gridSpan w:val="2"/>
          </w:tcPr>
          <w:p w:rsidR="006641ED" w:rsidRPr="0020283D" w:rsidRDefault="006641ED" w:rsidP="006641ED">
            <w:pPr>
              <w:pStyle w:val="Bullet1"/>
              <w:spacing w:after="0" w:line="240" w:lineRule="auto"/>
              <w:jc w:val="center"/>
              <w:rPr>
                <w:rFonts w:asciiTheme="minorHAnsi" w:hAnsiTheme="minorHAnsi"/>
                <w:color w:val="auto"/>
              </w:rPr>
            </w:pPr>
            <w:r w:rsidRPr="0020283D">
              <w:rPr>
                <w:rFonts w:asciiTheme="minorHAnsi" w:hAnsiTheme="minorHAnsi"/>
                <w:color w:val="auto"/>
              </w:rPr>
              <w:t>Focus Groups</w:t>
            </w:r>
          </w:p>
        </w:tc>
      </w:tr>
      <w:tr w:rsidR="0020283D" w:rsidRPr="0020283D" w:rsidTr="006641ED">
        <w:trPr>
          <w:jc w:val="center"/>
        </w:trPr>
        <w:tc>
          <w:tcPr>
            <w:tcW w:w="4788" w:type="dxa"/>
          </w:tcPr>
          <w:p w:rsidR="001A7C78" w:rsidRPr="0020283D" w:rsidRDefault="001A7C78" w:rsidP="006B512A">
            <w:pPr>
              <w:pStyle w:val="Bullet1"/>
              <w:spacing w:after="0" w:line="240" w:lineRule="auto"/>
              <w:rPr>
                <w:rFonts w:asciiTheme="minorHAnsi" w:hAnsiTheme="minorHAnsi"/>
                <w:color w:val="auto"/>
              </w:rPr>
            </w:pPr>
            <w:r w:rsidRPr="0020283D">
              <w:rPr>
                <w:rFonts w:asciiTheme="minorHAnsi" w:hAnsiTheme="minorHAnsi"/>
                <w:color w:val="auto"/>
              </w:rPr>
              <w:t xml:space="preserve">Number of </w:t>
            </w:r>
            <w:r w:rsidR="006B512A">
              <w:rPr>
                <w:rFonts w:asciiTheme="minorHAnsi" w:hAnsiTheme="minorHAnsi"/>
                <w:color w:val="auto"/>
              </w:rPr>
              <w:t>r</w:t>
            </w:r>
            <w:r w:rsidRPr="0020283D">
              <w:rPr>
                <w:rFonts w:asciiTheme="minorHAnsi" w:hAnsiTheme="minorHAnsi"/>
                <w:color w:val="auto"/>
              </w:rPr>
              <w:t xml:space="preserve">esponses to the </w:t>
            </w:r>
            <w:r w:rsidR="006B512A">
              <w:rPr>
                <w:rFonts w:asciiTheme="minorHAnsi" w:hAnsiTheme="minorHAnsi"/>
                <w:color w:val="auto"/>
              </w:rPr>
              <w:t>c</w:t>
            </w:r>
            <w:r w:rsidRPr="0020283D">
              <w:rPr>
                <w:rFonts w:asciiTheme="minorHAnsi" w:hAnsiTheme="minorHAnsi"/>
                <w:color w:val="auto"/>
              </w:rPr>
              <w:t>all</w:t>
            </w:r>
          </w:p>
        </w:tc>
        <w:tc>
          <w:tcPr>
            <w:tcW w:w="2790" w:type="dxa"/>
          </w:tcPr>
          <w:p w:rsidR="001A7C78" w:rsidRPr="0020283D" w:rsidRDefault="001A7C78" w:rsidP="00CC53C7">
            <w:pPr>
              <w:pStyle w:val="Bullet1"/>
              <w:spacing w:after="0" w:line="240" w:lineRule="auto"/>
              <w:rPr>
                <w:rFonts w:asciiTheme="minorHAnsi" w:hAnsiTheme="minorHAnsi"/>
                <w:color w:val="auto"/>
              </w:rPr>
            </w:pPr>
            <w:r w:rsidRPr="0020283D">
              <w:rPr>
                <w:rFonts w:asciiTheme="minorHAnsi" w:hAnsiTheme="minorHAnsi"/>
                <w:color w:val="auto"/>
              </w:rPr>
              <w:t>10</w:t>
            </w:r>
          </w:p>
        </w:tc>
      </w:tr>
      <w:tr w:rsidR="004456D1" w:rsidRPr="0020283D" w:rsidTr="006641ED">
        <w:trPr>
          <w:jc w:val="center"/>
        </w:trPr>
        <w:tc>
          <w:tcPr>
            <w:tcW w:w="4788" w:type="dxa"/>
          </w:tcPr>
          <w:p w:rsidR="004456D1" w:rsidRPr="0020283D" w:rsidRDefault="004456D1" w:rsidP="001A7C78">
            <w:pPr>
              <w:pStyle w:val="Bullet1"/>
              <w:spacing w:after="0" w:line="240" w:lineRule="auto"/>
              <w:rPr>
                <w:rFonts w:asciiTheme="minorHAnsi" w:hAnsiTheme="minorHAnsi"/>
                <w:color w:val="auto"/>
              </w:rPr>
            </w:pPr>
            <w:r>
              <w:rPr>
                <w:rFonts w:asciiTheme="minorHAnsi" w:hAnsiTheme="minorHAnsi"/>
                <w:color w:val="auto"/>
              </w:rPr>
              <w:t>Number of recruits not available</w:t>
            </w:r>
          </w:p>
        </w:tc>
        <w:tc>
          <w:tcPr>
            <w:tcW w:w="2790" w:type="dxa"/>
          </w:tcPr>
          <w:p w:rsidR="004456D1" w:rsidRPr="0020283D" w:rsidRDefault="004456D1" w:rsidP="001A7C78">
            <w:pPr>
              <w:pStyle w:val="Bullet1"/>
              <w:spacing w:after="0" w:line="240" w:lineRule="auto"/>
              <w:rPr>
                <w:rFonts w:asciiTheme="minorHAnsi" w:hAnsiTheme="minorHAnsi"/>
                <w:color w:val="auto"/>
              </w:rPr>
            </w:pPr>
            <w:r>
              <w:rPr>
                <w:rFonts w:asciiTheme="minorHAnsi" w:hAnsiTheme="minorHAnsi"/>
                <w:color w:val="auto"/>
              </w:rPr>
              <w:t>1</w:t>
            </w:r>
          </w:p>
        </w:tc>
      </w:tr>
      <w:tr w:rsidR="0020283D" w:rsidRPr="0020283D" w:rsidTr="006641ED">
        <w:trPr>
          <w:jc w:val="center"/>
        </w:trPr>
        <w:tc>
          <w:tcPr>
            <w:tcW w:w="4788" w:type="dxa"/>
          </w:tcPr>
          <w:p w:rsidR="001A7C78" w:rsidRPr="0020283D" w:rsidRDefault="001A7C78" w:rsidP="001A7C78">
            <w:pPr>
              <w:pStyle w:val="Bullet1"/>
              <w:spacing w:after="0" w:line="240" w:lineRule="auto"/>
              <w:rPr>
                <w:rFonts w:asciiTheme="minorHAnsi" w:hAnsiTheme="minorHAnsi"/>
                <w:color w:val="auto"/>
              </w:rPr>
            </w:pPr>
            <w:r w:rsidRPr="0020283D">
              <w:rPr>
                <w:rFonts w:asciiTheme="minorHAnsi" w:hAnsiTheme="minorHAnsi"/>
                <w:color w:val="auto"/>
              </w:rPr>
              <w:t>Number assigned to Focus Group 1</w:t>
            </w:r>
          </w:p>
        </w:tc>
        <w:tc>
          <w:tcPr>
            <w:tcW w:w="2790" w:type="dxa"/>
          </w:tcPr>
          <w:p w:rsidR="001A7C78" w:rsidRPr="0020283D" w:rsidRDefault="001A7C78" w:rsidP="001A7C78">
            <w:pPr>
              <w:pStyle w:val="Bullet1"/>
              <w:spacing w:after="0" w:line="240" w:lineRule="auto"/>
              <w:rPr>
                <w:rFonts w:asciiTheme="minorHAnsi" w:hAnsiTheme="minorHAnsi"/>
                <w:color w:val="auto"/>
              </w:rPr>
            </w:pPr>
            <w:r w:rsidRPr="0020283D">
              <w:rPr>
                <w:rFonts w:asciiTheme="minorHAnsi" w:hAnsiTheme="minorHAnsi"/>
                <w:color w:val="auto"/>
              </w:rPr>
              <w:t>5</w:t>
            </w:r>
          </w:p>
        </w:tc>
      </w:tr>
      <w:tr w:rsidR="0020283D" w:rsidRPr="0020283D" w:rsidTr="006641ED">
        <w:trPr>
          <w:jc w:val="center"/>
        </w:trPr>
        <w:tc>
          <w:tcPr>
            <w:tcW w:w="4788" w:type="dxa"/>
          </w:tcPr>
          <w:p w:rsidR="001A7C78" w:rsidRPr="004456D1" w:rsidRDefault="001A7C78" w:rsidP="001A7C78">
            <w:pPr>
              <w:pStyle w:val="Bullet1"/>
              <w:spacing w:after="0" w:line="240" w:lineRule="auto"/>
              <w:rPr>
                <w:rFonts w:asciiTheme="minorHAnsi" w:hAnsiTheme="minorHAnsi"/>
                <w:color w:val="auto"/>
              </w:rPr>
            </w:pPr>
            <w:r w:rsidRPr="004456D1">
              <w:rPr>
                <w:rFonts w:asciiTheme="minorHAnsi" w:hAnsiTheme="minorHAnsi"/>
                <w:color w:val="auto"/>
              </w:rPr>
              <w:t>Number of no shows to Focus Group 1</w:t>
            </w:r>
          </w:p>
        </w:tc>
        <w:tc>
          <w:tcPr>
            <w:tcW w:w="2790" w:type="dxa"/>
          </w:tcPr>
          <w:p w:rsidR="001A7C78" w:rsidRPr="0020283D" w:rsidRDefault="004456D1" w:rsidP="001A7C78">
            <w:pPr>
              <w:pStyle w:val="Bullet1"/>
              <w:spacing w:after="0" w:line="240" w:lineRule="auto"/>
              <w:rPr>
                <w:rFonts w:asciiTheme="minorHAnsi" w:hAnsiTheme="minorHAnsi"/>
                <w:color w:val="auto"/>
              </w:rPr>
            </w:pPr>
            <w:r w:rsidRPr="004456D1">
              <w:rPr>
                <w:rFonts w:asciiTheme="minorHAnsi" w:hAnsiTheme="minorHAnsi"/>
                <w:color w:val="auto"/>
              </w:rPr>
              <w:t>0</w:t>
            </w:r>
          </w:p>
        </w:tc>
      </w:tr>
      <w:tr w:rsidR="0020283D" w:rsidRPr="0020283D" w:rsidTr="006641ED">
        <w:trPr>
          <w:jc w:val="center"/>
        </w:trPr>
        <w:tc>
          <w:tcPr>
            <w:tcW w:w="4788" w:type="dxa"/>
          </w:tcPr>
          <w:p w:rsidR="001A7C78" w:rsidRPr="0020283D" w:rsidRDefault="001A7C78" w:rsidP="00CC53C7">
            <w:pPr>
              <w:pStyle w:val="Bullet1"/>
              <w:spacing w:after="0" w:line="240" w:lineRule="auto"/>
              <w:rPr>
                <w:rFonts w:asciiTheme="minorHAnsi" w:hAnsiTheme="minorHAnsi"/>
                <w:color w:val="auto"/>
              </w:rPr>
            </w:pPr>
            <w:r w:rsidRPr="0020283D">
              <w:rPr>
                <w:rFonts w:asciiTheme="minorHAnsi" w:hAnsiTheme="minorHAnsi"/>
                <w:color w:val="auto"/>
              </w:rPr>
              <w:t>Number assigned to Focus Group 2</w:t>
            </w:r>
          </w:p>
        </w:tc>
        <w:tc>
          <w:tcPr>
            <w:tcW w:w="2790" w:type="dxa"/>
          </w:tcPr>
          <w:p w:rsidR="001A7C78" w:rsidRPr="0020283D" w:rsidRDefault="001A7C78" w:rsidP="00CC53C7">
            <w:pPr>
              <w:pStyle w:val="Bullet1"/>
              <w:spacing w:after="0" w:line="240" w:lineRule="auto"/>
              <w:rPr>
                <w:rFonts w:asciiTheme="minorHAnsi" w:hAnsiTheme="minorHAnsi"/>
                <w:color w:val="auto"/>
              </w:rPr>
            </w:pPr>
            <w:r w:rsidRPr="0020283D">
              <w:rPr>
                <w:rFonts w:asciiTheme="minorHAnsi" w:hAnsiTheme="minorHAnsi"/>
                <w:color w:val="auto"/>
              </w:rPr>
              <w:t>4</w:t>
            </w:r>
          </w:p>
        </w:tc>
      </w:tr>
      <w:tr w:rsidR="0020283D" w:rsidRPr="0020283D" w:rsidTr="006641ED">
        <w:trPr>
          <w:jc w:val="center"/>
        </w:trPr>
        <w:tc>
          <w:tcPr>
            <w:tcW w:w="4788" w:type="dxa"/>
          </w:tcPr>
          <w:p w:rsidR="001A7C78" w:rsidRPr="004456D1" w:rsidRDefault="001A7C78" w:rsidP="00CC53C7">
            <w:pPr>
              <w:pStyle w:val="Bullet1"/>
              <w:spacing w:after="0" w:line="240" w:lineRule="auto"/>
              <w:rPr>
                <w:rFonts w:asciiTheme="minorHAnsi" w:hAnsiTheme="minorHAnsi"/>
                <w:color w:val="auto"/>
              </w:rPr>
            </w:pPr>
            <w:r w:rsidRPr="004456D1">
              <w:rPr>
                <w:rFonts w:asciiTheme="minorHAnsi" w:hAnsiTheme="minorHAnsi"/>
                <w:color w:val="auto"/>
              </w:rPr>
              <w:t>Number of no shows to Focus Group 2</w:t>
            </w:r>
          </w:p>
        </w:tc>
        <w:tc>
          <w:tcPr>
            <w:tcW w:w="2790" w:type="dxa"/>
          </w:tcPr>
          <w:p w:rsidR="001A7C78" w:rsidRPr="0020283D" w:rsidRDefault="004456D1" w:rsidP="00CC53C7">
            <w:pPr>
              <w:pStyle w:val="Bullet1"/>
              <w:spacing w:after="0" w:line="240" w:lineRule="auto"/>
              <w:rPr>
                <w:rFonts w:asciiTheme="minorHAnsi" w:hAnsiTheme="minorHAnsi"/>
                <w:color w:val="auto"/>
              </w:rPr>
            </w:pPr>
            <w:r w:rsidRPr="004456D1">
              <w:rPr>
                <w:rFonts w:asciiTheme="minorHAnsi" w:hAnsiTheme="minorHAnsi"/>
                <w:color w:val="auto"/>
              </w:rPr>
              <w:t>0</w:t>
            </w:r>
          </w:p>
        </w:tc>
      </w:tr>
      <w:tr w:rsidR="0020283D" w:rsidRPr="0020283D" w:rsidTr="006641ED">
        <w:trPr>
          <w:jc w:val="center"/>
        </w:trPr>
        <w:tc>
          <w:tcPr>
            <w:tcW w:w="4788" w:type="dxa"/>
          </w:tcPr>
          <w:p w:rsidR="008474A8" w:rsidRPr="0020283D" w:rsidRDefault="008474A8" w:rsidP="00CC53C7">
            <w:pPr>
              <w:pStyle w:val="Bullet1"/>
              <w:spacing w:after="0" w:line="240" w:lineRule="auto"/>
              <w:rPr>
                <w:rFonts w:asciiTheme="minorHAnsi" w:hAnsiTheme="minorHAnsi"/>
                <w:color w:val="auto"/>
              </w:rPr>
            </w:pPr>
            <w:r w:rsidRPr="0020283D">
              <w:rPr>
                <w:rFonts w:asciiTheme="minorHAnsi" w:hAnsiTheme="minorHAnsi"/>
                <w:color w:val="auto"/>
              </w:rPr>
              <w:t>Final number of interviews conductions</w:t>
            </w:r>
          </w:p>
        </w:tc>
        <w:tc>
          <w:tcPr>
            <w:tcW w:w="2790" w:type="dxa"/>
          </w:tcPr>
          <w:p w:rsidR="008474A8" w:rsidRPr="0020283D" w:rsidRDefault="008474A8" w:rsidP="00CC53C7">
            <w:pPr>
              <w:pStyle w:val="Bullet1"/>
              <w:spacing w:after="0" w:line="240" w:lineRule="auto"/>
              <w:rPr>
                <w:rFonts w:asciiTheme="minorHAnsi" w:hAnsiTheme="minorHAnsi"/>
                <w:color w:val="auto"/>
              </w:rPr>
            </w:pPr>
            <w:r w:rsidRPr="0020283D">
              <w:rPr>
                <w:rFonts w:asciiTheme="minorHAnsi" w:hAnsiTheme="minorHAnsi"/>
                <w:color w:val="auto"/>
              </w:rPr>
              <w:t>2 Focus Groups</w:t>
            </w:r>
          </w:p>
          <w:p w:rsidR="008474A8" w:rsidRPr="0020283D" w:rsidRDefault="008474A8" w:rsidP="00CC53C7">
            <w:pPr>
              <w:pStyle w:val="Bullet1"/>
              <w:spacing w:after="0" w:line="240" w:lineRule="auto"/>
              <w:rPr>
                <w:rFonts w:asciiTheme="minorHAnsi" w:hAnsiTheme="minorHAnsi"/>
                <w:color w:val="auto"/>
              </w:rPr>
            </w:pPr>
            <w:r w:rsidRPr="0020283D">
              <w:rPr>
                <w:rFonts w:asciiTheme="minorHAnsi" w:hAnsiTheme="minorHAnsi"/>
                <w:color w:val="auto"/>
              </w:rPr>
              <w:t>9 Participants</w:t>
            </w:r>
          </w:p>
        </w:tc>
      </w:tr>
    </w:tbl>
    <w:p w:rsidR="00C52D4E" w:rsidRDefault="00C52D4E" w:rsidP="003A6D93">
      <w:pPr>
        <w:spacing w:after="0" w:line="240" w:lineRule="auto"/>
        <w:rPr>
          <w:rFonts w:asciiTheme="minorHAnsi" w:hAnsiTheme="minorHAnsi"/>
          <w:b/>
          <w:color w:val="auto"/>
        </w:rPr>
      </w:pPr>
    </w:p>
    <w:p w:rsidR="00295CE7" w:rsidRPr="0020283D" w:rsidRDefault="00295CE7" w:rsidP="003A6D93">
      <w:pPr>
        <w:spacing w:after="0" w:line="240" w:lineRule="auto"/>
        <w:rPr>
          <w:rFonts w:asciiTheme="minorHAnsi" w:hAnsiTheme="minorHAnsi"/>
          <w:b/>
          <w:color w:val="auto"/>
        </w:rPr>
      </w:pPr>
    </w:p>
    <w:p w:rsidR="004144B6" w:rsidRPr="0020283D" w:rsidRDefault="004144B6" w:rsidP="003A6D93">
      <w:pPr>
        <w:spacing w:after="0" w:line="240" w:lineRule="auto"/>
        <w:rPr>
          <w:rFonts w:asciiTheme="minorHAnsi" w:hAnsiTheme="minorHAnsi"/>
          <w:b/>
          <w:color w:val="auto"/>
        </w:rPr>
      </w:pPr>
      <w:r w:rsidRPr="0020283D">
        <w:rPr>
          <w:rFonts w:asciiTheme="minorHAnsi" w:hAnsiTheme="minorHAnsi"/>
          <w:b/>
          <w:color w:val="auto"/>
        </w:rPr>
        <w:t>Limitations</w:t>
      </w:r>
    </w:p>
    <w:p w:rsidR="006641ED" w:rsidRPr="0020283D" w:rsidRDefault="006641ED" w:rsidP="003A6D93">
      <w:pPr>
        <w:spacing w:after="0" w:line="240" w:lineRule="auto"/>
        <w:rPr>
          <w:rFonts w:asciiTheme="minorHAnsi" w:hAnsiTheme="minorHAnsi"/>
          <w:b/>
          <w:color w:val="auto"/>
        </w:rPr>
      </w:pPr>
    </w:p>
    <w:p w:rsidR="004144B6" w:rsidRPr="0020283D" w:rsidRDefault="004144B6" w:rsidP="003A6D93">
      <w:pPr>
        <w:pStyle w:val="Bullet1"/>
        <w:numPr>
          <w:ilvl w:val="0"/>
          <w:numId w:val="6"/>
        </w:numPr>
        <w:tabs>
          <w:tab w:val="clear" w:pos="1080"/>
          <w:tab w:val="num" w:pos="540"/>
        </w:tabs>
        <w:spacing w:after="0" w:line="240" w:lineRule="auto"/>
        <w:ind w:left="540" w:hanging="270"/>
        <w:rPr>
          <w:rFonts w:asciiTheme="minorHAnsi" w:hAnsiTheme="minorHAnsi"/>
          <w:color w:val="auto"/>
        </w:rPr>
      </w:pPr>
      <w:r w:rsidRPr="0020283D">
        <w:rPr>
          <w:rFonts w:asciiTheme="minorHAnsi" w:hAnsiTheme="minorHAnsi"/>
          <w:color w:val="auto"/>
        </w:rPr>
        <w:t>A qualitative research methodology seeks to develop direct</w:t>
      </w:r>
      <w:r w:rsidR="00216C54" w:rsidRPr="0020283D">
        <w:rPr>
          <w:rFonts w:asciiTheme="minorHAnsi" w:hAnsiTheme="minorHAnsi"/>
          <w:color w:val="auto"/>
        </w:rPr>
        <w:t>ion</w:t>
      </w:r>
      <w:r w:rsidRPr="0020283D">
        <w:rPr>
          <w:rFonts w:asciiTheme="minorHAnsi" w:hAnsiTheme="minorHAnsi"/>
          <w:color w:val="auto"/>
        </w:rPr>
        <w:t xml:space="preserve"> rather than quantitatively precise or absolute measures.  The limited number of respondents involved in this type of research means the results should be re</w:t>
      </w:r>
      <w:r w:rsidR="00272BE5" w:rsidRPr="0020283D">
        <w:rPr>
          <w:rFonts w:asciiTheme="minorHAnsi" w:hAnsiTheme="minorHAnsi"/>
          <w:color w:val="auto"/>
        </w:rPr>
        <w:t>garded as directional in nature</w:t>
      </w:r>
      <w:r w:rsidRPr="0020283D">
        <w:rPr>
          <w:rFonts w:asciiTheme="minorHAnsi" w:hAnsiTheme="minorHAnsi"/>
          <w:color w:val="auto"/>
        </w:rPr>
        <w:t xml:space="preserve"> and be used to g</w:t>
      </w:r>
      <w:r w:rsidR="00216C54" w:rsidRPr="0020283D">
        <w:rPr>
          <w:rFonts w:asciiTheme="minorHAnsi" w:hAnsiTheme="minorHAnsi"/>
          <w:color w:val="auto"/>
        </w:rPr>
        <w:t>enerate hypotheses for</w:t>
      </w:r>
      <w:r w:rsidRPr="0020283D">
        <w:rPr>
          <w:rFonts w:asciiTheme="minorHAnsi" w:hAnsiTheme="minorHAnsi"/>
          <w:color w:val="auto"/>
        </w:rPr>
        <w:t xml:space="preserve"> </w:t>
      </w:r>
      <w:r w:rsidR="00272BE5" w:rsidRPr="0020283D">
        <w:rPr>
          <w:rFonts w:asciiTheme="minorHAnsi" w:hAnsiTheme="minorHAnsi"/>
          <w:color w:val="auto"/>
        </w:rPr>
        <w:t xml:space="preserve">future </w:t>
      </w:r>
      <w:r w:rsidRPr="0020283D">
        <w:rPr>
          <w:rFonts w:asciiTheme="minorHAnsi" w:hAnsiTheme="minorHAnsi"/>
          <w:color w:val="auto"/>
        </w:rPr>
        <w:t>decision making.</w:t>
      </w:r>
    </w:p>
    <w:p w:rsidR="006641ED" w:rsidRPr="0020283D" w:rsidRDefault="006641ED" w:rsidP="006641ED">
      <w:pPr>
        <w:pStyle w:val="Bullet1"/>
        <w:spacing w:after="0" w:line="240" w:lineRule="auto"/>
        <w:rPr>
          <w:rFonts w:asciiTheme="minorHAnsi" w:hAnsiTheme="minorHAnsi"/>
          <w:color w:val="auto"/>
        </w:rPr>
      </w:pPr>
    </w:p>
    <w:p w:rsidR="006641ED" w:rsidRPr="0020283D" w:rsidRDefault="004144B6" w:rsidP="006641ED">
      <w:pPr>
        <w:pStyle w:val="Bullet1"/>
        <w:numPr>
          <w:ilvl w:val="0"/>
          <w:numId w:val="6"/>
        </w:numPr>
        <w:tabs>
          <w:tab w:val="clear" w:pos="1080"/>
          <w:tab w:val="num" w:pos="540"/>
        </w:tabs>
        <w:spacing w:after="0" w:line="240" w:lineRule="auto"/>
        <w:ind w:left="540" w:hanging="270"/>
        <w:rPr>
          <w:rFonts w:asciiTheme="minorHAnsi" w:hAnsiTheme="minorHAnsi"/>
          <w:color w:val="auto"/>
        </w:rPr>
      </w:pPr>
      <w:r w:rsidRPr="0020283D">
        <w:rPr>
          <w:rFonts w:asciiTheme="minorHAnsi" w:hAnsiTheme="minorHAnsi"/>
          <w:color w:val="auto"/>
        </w:rPr>
        <w:t>The non-statistical nature of qualitative research means the results cannot be generalized to the population under study with a known level of statistical precision.</w:t>
      </w:r>
    </w:p>
    <w:p w:rsidR="00705B4E" w:rsidRPr="0020283D" w:rsidRDefault="00705B4E" w:rsidP="00705B4E">
      <w:pPr>
        <w:pStyle w:val="Bullet1"/>
        <w:spacing w:after="0" w:line="240" w:lineRule="auto"/>
        <w:ind w:left="270"/>
        <w:rPr>
          <w:rFonts w:asciiTheme="minorHAnsi" w:hAnsiTheme="minorHAnsi"/>
          <w:color w:val="auto"/>
        </w:rPr>
      </w:pPr>
    </w:p>
    <w:p w:rsidR="004144B6" w:rsidRPr="0020283D" w:rsidRDefault="006641ED" w:rsidP="003A6D93">
      <w:pPr>
        <w:pStyle w:val="Bullet1"/>
        <w:numPr>
          <w:ilvl w:val="0"/>
          <w:numId w:val="6"/>
        </w:numPr>
        <w:tabs>
          <w:tab w:val="clear" w:pos="1080"/>
          <w:tab w:val="num" w:pos="540"/>
        </w:tabs>
        <w:spacing w:after="0" w:line="240" w:lineRule="auto"/>
        <w:ind w:left="540" w:hanging="270"/>
        <w:rPr>
          <w:rFonts w:asciiTheme="minorHAnsi" w:hAnsiTheme="minorHAnsi"/>
          <w:color w:val="auto"/>
        </w:rPr>
      </w:pPr>
      <w:r w:rsidRPr="0020283D">
        <w:rPr>
          <w:rFonts w:asciiTheme="minorHAnsi" w:hAnsiTheme="minorHAnsi"/>
          <w:color w:val="auto"/>
        </w:rPr>
        <w:t>The recruited participants differ from the NPSAS sample that will eventually receive the informational interventions.  The focus group participants are students in a master’s program in education, and though they recalled their professional experience with the target population and their own personal experiences, t</w:t>
      </w:r>
      <w:r w:rsidR="00705B4E" w:rsidRPr="0020283D">
        <w:rPr>
          <w:rFonts w:asciiTheme="minorHAnsi" w:hAnsiTheme="minorHAnsi"/>
          <w:color w:val="auto"/>
        </w:rPr>
        <w:t>hey may not accurately reflect the feedback we would have received from a nationally-represented group of current undergraduates.</w:t>
      </w:r>
    </w:p>
    <w:p w:rsidR="00705B4E" w:rsidRPr="0020283D" w:rsidRDefault="00705B4E" w:rsidP="00705B4E">
      <w:pPr>
        <w:pStyle w:val="Bullet1"/>
        <w:spacing w:after="0" w:line="240" w:lineRule="auto"/>
        <w:rPr>
          <w:rFonts w:asciiTheme="minorHAnsi" w:hAnsiTheme="minorHAnsi"/>
          <w:color w:val="auto"/>
        </w:rPr>
      </w:pPr>
    </w:p>
    <w:p w:rsidR="004144B6" w:rsidRPr="0020283D" w:rsidRDefault="00705B4E" w:rsidP="003A6D93">
      <w:pPr>
        <w:pStyle w:val="Bullet1"/>
        <w:numPr>
          <w:ilvl w:val="0"/>
          <w:numId w:val="6"/>
        </w:numPr>
        <w:tabs>
          <w:tab w:val="clear" w:pos="1080"/>
          <w:tab w:val="num" w:pos="540"/>
        </w:tabs>
        <w:spacing w:after="0" w:line="240" w:lineRule="auto"/>
        <w:ind w:left="540" w:hanging="270"/>
        <w:rPr>
          <w:rFonts w:asciiTheme="minorHAnsi" w:hAnsiTheme="minorHAnsi"/>
          <w:color w:val="auto"/>
        </w:rPr>
      </w:pPr>
      <w:r w:rsidRPr="0020283D">
        <w:rPr>
          <w:rFonts w:asciiTheme="minorHAnsi" w:hAnsiTheme="minorHAnsi"/>
          <w:color w:val="auto"/>
        </w:rPr>
        <w:lastRenderedPageBreak/>
        <w:t>Due to the timing of the focus groups, which coincided with Harvard’s final exams, many students were unavailable to participate due to competing demands or because they were no longer on campus (i.e., they had finished their exams and gone home for the winter break).  This affected recruitment slightly, though we were still able to secure a sufficient number of focus group participants to get meaningful feedback on the intervention letters.</w:t>
      </w:r>
    </w:p>
    <w:p w:rsidR="00705B4E" w:rsidRPr="0020283D" w:rsidRDefault="00705B4E" w:rsidP="003A6D93">
      <w:pPr>
        <w:spacing w:after="0" w:line="240" w:lineRule="auto"/>
        <w:rPr>
          <w:rFonts w:asciiTheme="minorHAnsi" w:hAnsiTheme="minorHAnsi"/>
          <w:color w:val="auto"/>
        </w:rPr>
      </w:pPr>
    </w:p>
    <w:p w:rsidR="004144B6" w:rsidRPr="0020283D" w:rsidRDefault="004144B6" w:rsidP="003A6D93">
      <w:pPr>
        <w:spacing w:after="0" w:line="240" w:lineRule="auto"/>
        <w:rPr>
          <w:rFonts w:asciiTheme="minorHAnsi" w:hAnsiTheme="minorHAnsi"/>
          <w:color w:val="auto"/>
        </w:rPr>
      </w:pPr>
    </w:p>
    <w:p w:rsidR="00B61F88" w:rsidRPr="0020283D" w:rsidRDefault="00B61F88" w:rsidP="003A6D93">
      <w:pPr>
        <w:pStyle w:val="IntenseQuote"/>
        <w:numPr>
          <w:ilvl w:val="0"/>
          <w:numId w:val="2"/>
        </w:numPr>
        <w:spacing w:before="0" w:after="0" w:line="240" w:lineRule="auto"/>
        <w:rPr>
          <w:rFonts w:asciiTheme="minorHAnsi" w:hAnsiTheme="minorHAnsi"/>
          <w:color w:val="auto"/>
        </w:rPr>
      </w:pPr>
      <w:r w:rsidRPr="0020283D">
        <w:rPr>
          <w:rFonts w:asciiTheme="minorHAnsi" w:hAnsiTheme="minorHAnsi"/>
          <w:color w:val="auto"/>
        </w:rPr>
        <w:t>RESEARCH OBJECTIVES</w:t>
      </w:r>
    </w:p>
    <w:p w:rsidR="002D1FF0" w:rsidRPr="0020283D" w:rsidRDefault="002D1FF0" w:rsidP="003A6D93">
      <w:pPr>
        <w:spacing w:after="0" w:line="240" w:lineRule="auto"/>
        <w:rPr>
          <w:rFonts w:asciiTheme="minorHAnsi" w:hAnsiTheme="minorHAnsi"/>
          <w:color w:val="auto"/>
        </w:rPr>
      </w:pPr>
    </w:p>
    <w:p w:rsidR="007322C6" w:rsidRPr="0020283D" w:rsidRDefault="007322C6" w:rsidP="003A6D93">
      <w:pPr>
        <w:spacing w:after="0" w:line="240" w:lineRule="auto"/>
        <w:rPr>
          <w:rFonts w:asciiTheme="minorHAnsi" w:hAnsiTheme="minorHAnsi"/>
          <w:color w:val="auto"/>
        </w:rPr>
      </w:pPr>
      <w:r w:rsidRPr="0020283D">
        <w:rPr>
          <w:rFonts w:asciiTheme="minorHAnsi" w:hAnsiTheme="minorHAnsi"/>
          <w:color w:val="auto"/>
        </w:rPr>
        <w:t>The specific study objectives are to:</w:t>
      </w:r>
    </w:p>
    <w:p w:rsidR="002D1FF0" w:rsidRPr="0020283D" w:rsidRDefault="002D1FF0" w:rsidP="003A6D93">
      <w:pPr>
        <w:spacing w:after="0" w:line="240" w:lineRule="auto"/>
        <w:rPr>
          <w:rFonts w:asciiTheme="minorHAnsi" w:hAnsiTheme="minorHAnsi"/>
          <w:color w:val="auto"/>
        </w:rPr>
      </w:pPr>
    </w:p>
    <w:p w:rsidR="002D1FF0" w:rsidRPr="0020283D" w:rsidRDefault="002D1FF0" w:rsidP="003A6D93">
      <w:pPr>
        <w:pStyle w:val="Bullet1"/>
        <w:numPr>
          <w:ilvl w:val="0"/>
          <w:numId w:val="11"/>
        </w:numPr>
        <w:spacing w:after="0" w:line="240" w:lineRule="auto"/>
        <w:rPr>
          <w:rFonts w:asciiTheme="minorHAnsi" w:hAnsiTheme="minorHAnsi"/>
          <w:color w:val="auto"/>
        </w:rPr>
      </w:pPr>
      <w:r w:rsidRPr="0020283D">
        <w:rPr>
          <w:rFonts w:asciiTheme="minorHAnsi" w:hAnsiTheme="minorHAnsi"/>
          <w:color w:val="auto"/>
        </w:rPr>
        <w:t>Share a sample intervention letter, a shorter version of the letter, possible alternative language, and the supplemental handout</w:t>
      </w:r>
      <w:r w:rsidR="006B512A">
        <w:rPr>
          <w:rFonts w:asciiTheme="minorHAnsi" w:hAnsiTheme="minorHAnsi"/>
          <w:color w:val="auto"/>
        </w:rPr>
        <w:t>.</w:t>
      </w:r>
    </w:p>
    <w:p w:rsidR="002D1FF0" w:rsidRPr="0020283D" w:rsidRDefault="002D1FF0" w:rsidP="002D1FF0">
      <w:pPr>
        <w:pStyle w:val="Bullet1"/>
        <w:spacing w:after="0" w:line="240" w:lineRule="auto"/>
        <w:ind w:left="360"/>
        <w:rPr>
          <w:rFonts w:asciiTheme="minorHAnsi" w:hAnsiTheme="minorHAnsi"/>
          <w:color w:val="auto"/>
        </w:rPr>
      </w:pPr>
    </w:p>
    <w:p w:rsidR="002D1FF0" w:rsidRPr="0020283D" w:rsidRDefault="004144B6" w:rsidP="003A6D93">
      <w:pPr>
        <w:pStyle w:val="Bullet1"/>
        <w:numPr>
          <w:ilvl w:val="0"/>
          <w:numId w:val="11"/>
        </w:numPr>
        <w:spacing w:after="0" w:line="240" w:lineRule="auto"/>
        <w:rPr>
          <w:rFonts w:asciiTheme="minorHAnsi" w:hAnsiTheme="minorHAnsi"/>
          <w:color w:val="auto"/>
        </w:rPr>
      </w:pPr>
      <w:r w:rsidRPr="0020283D">
        <w:rPr>
          <w:rFonts w:asciiTheme="minorHAnsi" w:hAnsiTheme="minorHAnsi"/>
          <w:color w:val="auto"/>
        </w:rPr>
        <w:t>Discuss</w:t>
      </w:r>
      <w:r w:rsidR="002D1FF0" w:rsidRPr="0020283D">
        <w:rPr>
          <w:rFonts w:asciiTheme="minorHAnsi" w:hAnsiTheme="minorHAnsi"/>
          <w:color w:val="auto"/>
        </w:rPr>
        <w:t xml:space="preserve"> whether participants understand the communications</w:t>
      </w:r>
      <w:r w:rsidR="006B512A">
        <w:rPr>
          <w:rFonts w:asciiTheme="minorHAnsi" w:hAnsiTheme="minorHAnsi"/>
          <w:color w:val="auto"/>
        </w:rPr>
        <w:t>.</w:t>
      </w:r>
    </w:p>
    <w:p w:rsidR="002D1FF0" w:rsidRPr="0020283D" w:rsidRDefault="002D1FF0" w:rsidP="002D1FF0">
      <w:pPr>
        <w:pStyle w:val="Bullet1"/>
        <w:spacing w:after="0" w:line="240" w:lineRule="auto"/>
        <w:ind w:left="360"/>
        <w:rPr>
          <w:rFonts w:asciiTheme="minorHAnsi" w:hAnsiTheme="minorHAnsi"/>
          <w:color w:val="auto"/>
        </w:rPr>
      </w:pPr>
    </w:p>
    <w:p w:rsidR="002D1FF0" w:rsidRPr="0020283D" w:rsidRDefault="002D1FF0" w:rsidP="003A6D93">
      <w:pPr>
        <w:pStyle w:val="Bullet1"/>
        <w:numPr>
          <w:ilvl w:val="0"/>
          <w:numId w:val="11"/>
        </w:numPr>
        <w:spacing w:after="0" w:line="240" w:lineRule="auto"/>
        <w:rPr>
          <w:rFonts w:asciiTheme="minorHAnsi" w:hAnsiTheme="minorHAnsi"/>
          <w:color w:val="auto"/>
        </w:rPr>
      </w:pPr>
      <w:r w:rsidRPr="0020283D">
        <w:rPr>
          <w:rFonts w:asciiTheme="minorHAnsi" w:hAnsiTheme="minorHAnsi"/>
          <w:color w:val="auto"/>
        </w:rPr>
        <w:t>Check to see if the letters prioritize the most important information to provide</w:t>
      </w:r>
      <w:r w:rsidR="006B512A">
        <w:rPr>
          <w:rFonts w:asciiTheme="minorHAnsi" w:hAnsiTheme="minorHAnsi"/>
          <w:color w:val="auto"/>
        </w:rPr>
        <w:t>.</w:t>
      </w:r>
    </w:p>
    <w:p w:rsidR="002D1FF0" w:rsidRPr="0020283D" w:rsidRDefault="002D1FF0" w:rsidP="002D1FF0">
      <w:pPr>
        <w:pStyle w:val="Bullet1"/>
        <w:spacing w:after="0" w:line="240" w:lineRule="auto"/>
        <w:ind w:left="360"/>
        <w:rPr>
          <w:rFonts w:asciiTheme="minorHAnsi" w:hAnsiTheme="minorHAnsi"/>
          <w:color w:val="auto"/>
        </w:rPr>
      </w:pPr>
    </w:p>
    <w:p w:rsidR="002D1FF0" w:rsidRPr="0020283D" w:rsidRDefault="002D1FF0" w:rsidP="003A6D93">
      <w:pPr>
        <w:pStyle w:val="Bullet1"/>
        <w:numPr>
          <w:ilvl w:val="0"/>
          <w:numId w:val="11"/>
        </w:numPr>
        <w:spacing w:after="0" w:line="240" w:lineRule="auto"/>
        <w:rPr>
          <w:rFonts w:asciiTheme="minorHAnsi" w:hAnsiTheme="minorHAnsi"/>
          <w:color w:val="auto"/>
        </w:rPr>
      </w:pPr>
      <w:r w:rsidRPr="0020283D">
        <w:rPr>
          <w:rFonts w:asciiTheme="minorHAnsi" w:hAnsiTheme="minorHAnsi"/>
          <w:color w:val="auto"/>
        </w:rPr>
        <w:t>Explore how the different ways of framing the information (i.e., neutral, positive, or negative) influences how the messages are received</w:t>
      </w:r>
      <w:r w:rsidR="006B512A">
        <w:rPr>
          <w:rFonts w:asciiTheme="minorHAnsi" w:hAnsiTheme="minorHAnsi"/>
          <w:color w:val="auto"/>
        </w:rPr>
        <w:t>.</w:t>
      </w:r>
    </w:p>
    <w:p w:rsidR="002D1FF0" w:rsidRPr="0020283D" w:rsidRDefault="002D1FF0" w:rsidP="002D1FF0">
      <w:pPr>
        <w:pStyle w:val="Bullet1"/>
        <w:spacing w:after="0" w:line="240" w:lineRule="auto"/>
        <w:ind w:left="360"/>
        <w:rPr>
          <w:rFonts w:asciiTheme="minorHAnsi" w:hAnsiTheme="minorHAnsi"/>
          <w:color w:val="auto"/>
        </w:rPr>
      </w:pPr>
    </w:p>
    <w:p w:rsidR="002D1FF0" w:rsidRPr="0020283D" w:rsidRDefault="002D1FF0" w:rsidP="003A6D93">
      <w:pPr>
        <w:pStyle w:val="Bullet1"/>
        <w:numPr>
          <w:ilvl w:val="0"/>
          <w:numId w:val="11"/>
        </w:numPr>
        <w:spacing w:after="0" w:line="240" w:lineRule="auto"/>
        <w:rPr>
          <w:rFonts w:asciiTheme="minorHAnsi" w:hAnsiTheme="minorHAnsi"/>
          <w:color w:val="auto"/>
        </w:rPr>
      </w:pPr>
      <w:r w:rsidRPr="0020283D">
        <w:rPr>
          <w:rFonts w:asciiTheme="minorHAnsi" w:hAnsiTheme="minorHAnsi"/>
          <w:color w:val="auto"/>
        </w:rPr>
        <w:t>Discuss how the formatting of the letter influences how the messages are received</w:t>
      </w:r>
      <w:r w:rsidR="006B512A">
        <w:rPr>
          <w:rFonts w:asciiTheme="minorHAnsi" w:hAnsiTheme="minorHAnsi"/>
          <w:color w:val="auto"/>
        </w:rPr>
        <w:t>.</w:t>
      </w:r>
      <w:r w:rsidRPr="0020283D">
        <w:rPr>
          <w:rFonts w:asciiTheme="minorHAnsi" w:hAnsiTheme="minorHAnsi"/>
          <w:color w:val="auto"/>
        </w:rPr>
        <w:t xml:space="preserve"> </w:t>
      </w:r>
    </w:p>
    <w:p w:rsidR="002D1FF0" w:rsidRPr="0020283D" w:rsidRDefault="002D1FF0" w:rsidP="003A6D93">
      <w:pPr>
        <w:spacing w:after="0" w:line="240" w:lineRule="auto"/>
        <w:rPr>
          <w:rFonts w:asciiTheme="minorHAnsi" w:hAnsiTheme="minorHAnsi"/>
          <w:color w:val="auto"/>
        </w:rPr>
      </w:pPr>
    </w:p>
    <w:p w:rsidR="002D1FF0" w:rsidRPr="0020283D" w:rsidRDefault="002D1FF0" w:rsidP="003A6D93">
      <w:pPr>
        <w:spacing w:after="0" w:line="240" w:lineRule="auto"/>
        <w:rPr>
          <w:rFonts w:asciiTheme="minorHAnsi" w:hAnsiTheme="minorHAnsi"/>
          <w:color w:val="auto"/>
        </w:rPr>
      </w:pPr>
      <w:r w:rsidRPr="0020283D">
        <w:rPr>
          <w:rFonts w:asciiTheme="minorHAnsi" w:hAnsiTheme="minorHAnsi"/>
          <w:color w:val="auto"/>
        </w:rPr>
        <w:t>While the sample documents were shared via email when confirming the focus group time, we also provided hardcopies of all the materials during our discussion.</w:t>
      </w:r>
    </w:p>
    <w:p w:rsidR="002D1FF0" w:rsidRPr="0020283D" w:rsidRDefault="002D1FF0" w:rsidP="003A6D93">
      <w:pPr>
        <w:spacing w:after="0" w:line="240" w:lineRule="auto"/>
        <w:rPr>
          <w:rFonts w:asciiTheme="minorHAnsi" w:hAnsiTheme="minorHAnsi"/>
          <w:color w:val="auto"/>
        </w:rPr>
      </w:pPr>
    </w:p>
    <w:p w:rsidR="00B61F88" w:rsidRPr="0020283D" w:rsidRDefault="00B61F88" w:rsidP="003A6D93">
      <w:pPr>
        <w:spacing w:after="0" w:line="240" w:lineRule="auto"/>
        <w:rPr>
          <w:rFonts w:asciiTheme="minorHAnsi" w:hAnsiTheme="minorHAnsi"/>
          <w:color w:val="auto"/>
        </w:rPr>
      </w:pPr>
    </w:p>
    <w:p w:rsidR="009B72E9" w:rsidRPr="0020283D" w:rsidRDefault="009B72E9" w:rsidP="003A6D93">
      <w:pPr>
        <w:pStyle w:val="IntenseQuote"/>
        <w:numPr>
          <w:ilvl w:val="0"/>
          <w:numId w:val="2"/>
        </w:numPr>
        <w:spacing w:before="0" w:after="0" w:line="240" w:lineRule="auto"/>
        <w:rPr>
          <w:rFonts w:asciiTheme="minorHAnsi" w:hAnsiTheme="minorHAnsi"/>
          <w:color w:val="auto"/>
        </w:rPr>
      </w:pPr>
      <w:r w:rsidRPr="0020283D">
        <w:rPr>
          <w:rFonts w:asciiTheme="minorHAnsi" w:hAnsiTheme="minorHAnsi"/>
          <w:color w:val="auto"/>
        </w:rPr>
        <w:t xml:space="preserve">CONCLUSIONS AND </w:t>
      </w:r>
      <w:r w:rsidR="001D6A9C" w:rsidRPr="0020283D">
        <w:rPr>
          <w:rFonts w:asciiTheme="minorHAnsi" w:hAnsiTheme="minorHAnsi"/>
          <w:color w:val="auto"/>
        </w:rPr>
        <w:t>IMPLICATIONS</w:t>
      </w:r>
    </w:p>
    <w:p w:rsidR="00344361" w:rsidRPr="0020283D" w:rsidRDefault="00344361" w:rsidP="003A6D93">
      <w:pPr>
        <w:pStyle w:val="ListParagraph"/>
        <w:spacing w:after="0" w:line="240" w:lineRule="auto"/>
        <w:contextualSpacing w:val="0"/>
      </w:pPr>
    </w:p>
    <w:p w:rsidR="009912E3" w:rsidRPr="0020283D" w:rsidRDefault="009912E3" w:rsidP="009912E3">
      <w:pPr>
        <w:spacing w:after="0" w:line="240" w:lineRule="auto"/>
        <w:rPr>
          <w:rFonts w:asciiTheme="minorHAnsi" w:hAnsiTheme="minorHAnsi"/>
          <w:b/>
          <w:i/>
          <w:color w:val="auto"/>
        </w:rPr>
      </w:pPr>
      <w:r w:rsidRPr="0020283D">
        <w:rPr>
          <w:rFonts w:asciiTheme="minorHAnsi" w:hAnsiTheme="minorHAnsi"/>
          <w:b/>
          <w:i/>
          <w:color w:val="auto"/>
        </w:rPr>
        <w:t>Information Provided</w:t>
      </w:r>
    </w:p>
    <w:p w:rsidR="000F6439" w:rsidRPr="0020283D" w:rsidRDefault="009912E3" w:rsidP="0043010C">
      <w:pPr>
        <w:spacing w:after="0" w:line="240" w:lineRule="auto"/>
        <w:ind w:firstLine="630"/>
        <w:rPr>
          <w:rFonts w:asciiTheme="minorHAnsi" w:hAnsiTheme="minorHAnsi"/>
          <w:color w:val="auto"/>
        </w:rPr>
      </w:pPr>
      <w:r w:rsidRPr="0020283D">
        <w:rPr>
          <w:rFonts w:asciiTheme="minorHAnsi" w:hAnsiTheme="minorHAnsi"/>
          <w:color w:val="auto"/>
        </w:rPr>
        <w:t>The focus groups both confirmed that we have prioritized the right information to share about the importance of completing the FAFSA and how to get started.</w:t>
      </w:r>
      <w:r w:rsidR="0043010C" w:rsidRPr="0020283D">
        <w:rPr>
          <w:rFonts w:asciiTheme="minorHAnsi" w:hAnsiTheme="minorHAnsi"/>
          <w:color w:val="auto"/>
        </w:rPr>
        <w:t xml:space="preserve">  </w:t>
      </w:r>
      <w:r w:rsidRPr="0020283D">
        <w:rPr>
          <w:rFonts w:asciiTheme="minorHAnsi" w:hAnsiTheme="minorHAnsi"/>
          <w:color w:val="auto"/>
        </w:rPr>
        <w:t>Participants found the information provided to counteract myths about the financial aid process to be very strong.  The sample letter included quotes from fictitious students that the group found to accurately reflect the kinds of questions they have heard from students about the financial aid process.</w:t>
      </w:r>
      <w:r w:rsidR="0043010C" w:rsidRPr="0020283D">
        <w:rPr>
          <w:rFonts w:asciiTheme="minorHAnsi" w:hAnsiTheme="minorHAnsi"/>
          <w:color w:val="auto"/>
        </w:rPr>
        <w:t xml:space="preserve">  </w:t>
      </w:r>
    </w:p>
    <w:p w:rsidR="009912E3" w:rsidRPr="0020283D" w:rsidRDefault="009912E3" w:rsidP="0043010C">
      <w:pPr>
        <w:spacing w:after="0" w:line="240" w:lineRule="auto"/>
        <w:ind w:firstLine="630"/>
        <w:rPr>
          <w:rFonts w:asciiTheme="minorHAnsi" w:hAnsiTheme="minorHAnsi"/>
          <w:color w:val="auto"/>
        </w:rPr>
      </w:pPr>
      <w:r w:rsidRPr="0020283D">
        <w:rPr>
          <w:rFonts w:asciiTheme="minorHAnsi" w:hAnsiTheme="minorHAnsi"/>
          <w:color w:val="auto"/>
        </w:rPr>
        <w:t>The group cautioned us to be sure to define all terms, such as what a Pell Grant is and the fact that it does not need to be repaid (as opposed to a loan).</w:t>
      </w:r>
      <w:r w:rsidR="000F6439" w:rsidRPr="0020283D">
        <w:rPr>
          <w:rFonts w:asciiTheme="minorHAnsi" w:hAnsiTheme="minorHAnsi"/>
          <w:color w:val="auto"/>
        </w:rPr>
        <w:t xml:space="preserve">  They also affirmed the importance of emphasizing that the FAFSA is free to complete and free to submit.  They encouraged us to mention this at every opportunity.</w:t>
      </w:r>
    </w:p>
    <w:p w:rsidR="009912E3" w:rsidRPr="0020283D" w:rsidRDefault="009912E3" w:rsidP="009912E3">
      <w:pPr>
        <w:spacing w:after="0" w:line="240" w:lineRule="auto"/>
        <w:rPr>
          <w:rFonts w:asciiTheme="minorHAnsi" w:hAnsiTheme="minorHAnsi"/>
          <w:color w:val="auto"/>
        </w:rPr>
      </w:pPr>
    </w:p>
    <w:p w:rsidR="0043010C" w:rsidRPr="0020283D" w:rsidRDefault="0043010C" w:rsidP="0043010C">
      <w:pPr>
        <w:spacing w:after="0" w:line="240" w:lineRule="auto"/>
        <w:rPr>
          <w:rFonts w:asciiTheme="minorHAnsi" w:hAnsiTheme="minorHAnsi"/>
          <w:b/>
          <w:i/>
          <w:color w:val="auto"/>
        </w:rPr>
      </w:pPr>
      <w:r w:rsidRPr="0020283D">
        <w:rPr>
          <w:rFonts w:asciiTheme="minorHAnsi" w:hAnsiTheme="minorHAnsi"/>
          <w:b/>
          <w:i/>
          <w:color w:val="auto"/>
        </w:rPr>
        <w:t>Letter Organization</w:t>
      </w:r>
    </w:p>
    <w:p w:rsidR="009912E3" w:rsidRPr="0020283D" w:rsidRDefault="009912E3" w:rsidP="0043010C">
      <w:pPr>
        <w:pStyle w:val="ListParagraph"/>
        <w:spacing w:after="0" w:line="240" w:lineRule="auto"/>
        <w:ind w:left="0" w:firstLine="720"/>
        <w:rPr>
          <w:sz w:val="24"/>
          <w:szCs w:val="24"/>
        </w:rPr>
      </w:pPr>
      <w:r w:rsidRPr="0020283D">
        <w:rPr>
          <w:sz w:val="24"/>
          <w:szCs w:val="24"/>
        </w:rPr>
        <w:t>While the focus groups confirmed that we are emphasizing the right information, but they suggested that we move up the text about financial aid myths.  Their reasoning is that by first addressing students’ misperceptions, we might have a better chance of the student being willing to read the rest of the letter.</w:t>
      </w:r>
      <w:r w:rsidR="0043010C" w:rsidRPr="0020283D">
        <w:rPr>
          <w:sz w:val="24"/>
          <w:szCs w:val="24"/>
        </w:rPr>
        <w:t xml:space="preserve">  </w:t>
      </w:r>
    </w:p>
    <w:p w:rsidR="0043010C" w:rsidRPr="0020283D" w:rsidRDefault="0043010C" w:rsidP="0043010C">
      <w:pPr>
        <w:pStyle w:val="ListParagraph"/>
        <w:spacing w:after="0" w:line="240" w:lineRule="auto"/>
        <w:ind w:left="0" w:firstLine="720"/>
        <w:rPr>
          <w:sz w:val="24"/>
          <w:szCs w:val="24"/>
        </w:rPr>
      </w:pPr>
      <w:r w:rsidRPr="0020283D">
        <w:rPr>
          <w:sz w:val="24"/>
          <w:szCs w:val="24"/>
        </w:rPr>
        <w:lastRenderedPageBreak/>
        <w:t>When discussing how the number of college credits taken relates to the size of the financial aid award (i.e., students can get a larger Pell Grant award if they take up to 12 credits per term), participants suggested fore fronting the potential benefit of finishing their studies earlier under the assumption that many students want to finish college as fast as possible if they can afford it.</w:t>
      </w:r>
    </w:p>
    <w:p w:rsidR="0043010C" w:rsidRPr="0020283D" w:rsidRDefault="0043010C" w:rsidP="009912E3">
      <w:pPr>
        <w:spacing w:after="0" w:line="240" w:lineRule="auto"/>
        <w:rPr>
          <w:rFonts w:asciiTheme="minorHAnsi" w:hAnsiTheme="minorHAnsi"/>
          <w:b/>
          <w:i/>
          <w:color w:val="auto"/>
        </w:rPr>
      </w:pPr>
    </w:p>
    <w:p w:rsidR="009912E3" w:rsidRPr="0020283D" w:rsidRDefault="009912E3" w:rsidP="009912E3">
      <w:pPr>
        <w:spacing w:after="0" w:line="240" w:lineRule="auto"/>
        <w:rPr>
          <w:rFonts w:asciiTheme="minorHAnsi" w:hAnsiTheme="minorHAnsi"/>
          <w:b/>
          <w:i/>
          <w:color w:val="auto"/>
        </w:rPr>
      </w:pPr>
      <w:r w:rsidRPr="0020283D">
        <w:rPr>
          <w:rFonts w:asciiTheme="minorHAnsi" w:hAnsiTheme="minorHAnsi"/>
          <w:b/>
          <w:i/>
          <w:color w:val="auto"/>
        </w:rPr>
        <w:t>Letter Tone</w:t>
      </w:r>
    </w:p>
    <w:p w:rsidR="009912E3" w:rsidRPr="0020283D" w:rsidRDefault="0043010C" w:rsidP="009912E3">
      <w:pPr>
        <w:spacing w:after="0" w:line="240" w:lineRule="auto"/>
        <w:rPr>
          <w:rFonts w:asciiTheme="minorHAnsi" w:hAnsiTheme="minorHAnsi"/>
          <w:color w:val="auto"/>
        </w:rPr>
      </w:pPr>
      <w:r w:rsidRPr="0020283D">
        <w:rPr>
          <w:rFonts w:asciiTheme="minorHAnsi" w:hAnsiTheme="minorHAnsi"/>
          <w:color w:val="auto"/>
        </w:rPr>
        <w:tab/>
      </w:r>
      <w:r w:rsidR="009912E3" w:rsidRPr="0020283D">
        <w:rPr>
          <w:rFonts w:asciiTheme="minorHAnsi" w:hAnsiTheme="minorHAnsi"/>
          <w:color w:val="auto"/>
        </w:rPr>
        <w:t xml:space="preserve">Both focus groups suggested using more of a conversational tone.  For instance, rather than writing “According to our records…” the groups suggested we instead write: “We’ve noticed that…”  </w:t>
      </w:r>
    </w:p>
    <w:p w:rsidR="009912E3" w:rsidRPr="0020283D" w:rsidRDefault="009912E3" w:rsidP="009912E3">
      <w:pPr>
        <w:spacing w:after="0" w:line="240" w:lineRule="auto"/>
        <w:rPr>
          <w:rFonts w:asciiTheme="minorHAnsi" w:hAnsiTheme="minorHAnsi"/>
          <w:color w:val="auto"/>
        </w:rPr>
      </w:pPr>
    </w:p>
    <w:p w:rsidR="009912E3" w:rsidRPr="0020283D" w:rsidRDefault="009912E3" w:rsidP="009912E3">
      <w:pPr>
        <w:spacing w:after="0" w:line="240" w:lineRule="auto"/>
        <w:rPr>
          <w:rFonts w:asciiTheme="minorHAnsi" w:hAnsiTheme="minorHAnsi"/>
          <w:b/>
          <w:i/>
          <w:color w:val="auto"/>
        </w:rPr>
      </w:pPr>
      <w:r w:rsidRPr="0020283D">
        <w:rPr>
          <w:rFonts w:asciiTheme="minorHAnsi" w:hAnsiTheme="minorHAnsi"/>
          <w:b/>
          <w:i/>
          <w:color w:val="auto"/>
        </w:rPr>
        <w:t>Letter Formatting and Graphics</w:t>
      </w:r>
    </w:p>
    <w:p w:rsidR="009912E3" w:rsidRPr="0020283D" w:rsidRDefault="0043010C" w:rsidP="009912E3">
      <w:pPr>
        <w:spacing w:after="0" w:line="240" w:lineRule="auto"/>
        <w:rPr>
          <w:rFonts w:asciiTheme="minorHAnsi" w:hAnsiTheme="minorHAnsi"/>
          <w:color w:val="auto"/>
        </w:rPr>
      </w:pPr>
      <w:r w:rsidRPr="0020283D">
        <w:rPr>
          <w:rFonts w:asciiTheme="minorHAnsi" w:hAnsiTheme="minorHAnsi"/>
          <w:color w:val="auto"/>
        </w:rPr>
        <w:tab/>
        <w:t>The focus groups like the use of the NCES, U.S. Department of Education letterhead.  They also liked the use of a graphic in the middle of the page.  However, while a couple of participants liked the chalkboard graphic, most others suggested finding a different graphic to convey the information about aid myths.  Some like the idea of using thought bubbles and a few suggested creating a graphic that include pictures of students.</w:t>
      </w:r>
      <w:r w:rsidR="00B37F62" w:rsidRPr="0020283D">
        <w:rPr>
          <w:rFonts w:asciiTheme="minorHAnsi" w:hAnsiTheme="minorHAnsi"/>
          <w:color w:val="auto"/>
        </w:rPr>
        <w:t xml:space="preserve">  They also encouraged the used of different fonts and colors to attract the attention of students.  If possible, they affirmed our goal of trying to keep the letter to mostly one page.</w:t>
      </w:r>
    </w:p>
    <w:p w:rsidR="009912E3" w:rsidRPr="0020283D" w:rsidRDefault="009912E3" w:rsidP="009912E3">
      <w:pPr>
        <w:spacing w:after="0" w:line="240" w:lineRule="auto"/>
        <w:rPr>
          <w:rFonts w:asciiTheme="minorHAnsi" w:hAnsiTheme="minorHAnsi"/>
          <w:color w:val="auto"/>
        </w:rPr>
      </w:pPr>
    </w:p>
    <w:p w:rsidR="00B37F62" w:rsidRPr="0020283D" w:rsidRDefault="00B37F62" w:rsidP="009912E3">
      <w:pPr>
        <w:spacing w:after="0" w:line="240" w:lineRule="auto"/>
        <w:rPr>
          <w:rFonts w:asciiTheme="minorHAnsi" w:hAnsiTheme="minorHAnsi"/>
          <w:b/>
          <w:i/>
          <w:color w:val="auto"/>
        </w:rPr>
      </w:pPr>
      <w:r w:rsidRPr="0020283D">
        <w:rPr>
          <w:rFonts w:asciiTheme="minorHAnsi" w:hAnsiTheme="minorHAnsi"/>
          <w:b/>
          <w:i/>
          <w:color w:val="auto"/>
        </w:rPr>
        <w:t>Connection to Resources</w:t>
      </w:r>
    </w:p>
    <w:p w:rsidR="00B37F62" w:rsidRPr="0020283D" w:rsidRDefault="00B37F62" w:rsidP="009912E3">
      <w:pPr>
        <w:spacing w:after="0" w:line="240" w:lineRule="auto"/>
        <w:rPr>
          <w:rFonts w:asciiTheme="minorHAnsi" w:hAnsiTheme="minorHAnsi"/>
          <w:color w:val="auto"/>
        </w:rPr>
      </w:pPr>
      <w:r w:rsidRPr="0020283D">
        <w:rPr>
          <w:rFonts w:asciiTheme="minorHAnsi" w:hAnsiTheme="minorHAnsi"/>
          <w:color w:val="auto"/>
        </w:rPr>
        <w:tab/>
        <w:t>The participants were happy to see the letter attempt to connect students with resources.</w:t>
      </w:r>
      <w:r w:rsidR="0020283D" w:rsidRPr="0020283D">
        <w:rPr>
          <w:rFonts w:asciiTheme="minorHAnsi" w:hAnsiTheme="minorHAnsi"/>
          <w:color w:val="auto"/>
        </w:rPr>
        <w:t xml:space="preserve">  They liked having the web address, phone number, referrals to the school financial aid office, and the handout.  However, all participants mentioned that the web address should not be a random collection of letters—it should instead be something intuitive (e.g., “/FAFSA” or “/</w:t>
      </w:r>
      <w:proofErr w:type="spellStart"/>
      <w:r w:rsidR="0020283D" w:rsidRPr="0020283D">
        <w:rPr>
          <w:rFonts w:asciiTheme="minorHAnsi" w:hAnsiTheme="minorHAnsi"/>
          <w:color w:val="auto"/>
        </w:rPr>
        <w:t>financialaid</w:t>
      </w:r>
      <w:proofErr w:type="spellEnd"/>
      <w:r w:rsidR="0020283D" w:rsidRPr="0020283D">
        <w:rPr>
          <w:rFonts w:asciiTheme="minorHAnsi" w:hAnsiTheme="minorHAnsi"/>
          <w:color w:val="auto"/>
        </w:rPr>
        <w:t>”).  They did like the use of the “.</w:t>
      </w:r>
      <w:proofErr w:type="spellStart"/>
      <w:r w:rsidR="0020283D" w:rsidRPr="0020283D">
        <w:rPr>
          <w:rFonts w:asciiTheme="minorHAnsi" w:hAnsiTheme="minorHAnsi"/>
          <w:color w:val="auto"/>
        </w:rPr>
        <w:t>gov</w:t>
      </w:r>
      <w:proofErr w:type="spellEnd"/>
      <w:r w:rsidR="0020283D" w:rsidRPr="0020283D">
        <w:rPr>
          <w:rFonts w:asciiTheme="minorHAnsi" w:hAnsiTheme="minorHAnsi"/>
          <w:color w:val="auto"/>
        </w:rPr>
        <w:t>” as part of the address to lend credibility to the site being a good source.  Several participants also liked the idea of including the QR code on the hard copy letters, though it is unlikely that it will be used by all students.</w:t>
      </w:r>
    </w:p>
    <w:p w:rsidR="00B37F62" w:rsidRPr="0020283D" w:rsidRDefault="00B37F62" w:rsidP="009912E3">
      <w:pPr>
        <w:spacing w:after="0" w:line="240" w:lineRule="auto"/>
        <w:rPr>
          <w:rFonts w:asciiTheme="minorHAnsi" w:hAnsiTheme="minorHAnsi"/>
          <w:b/>
          <w:i/>
          <w:color w:val="auto"/>
        </w:rPr>
      </w:pPr>
    </w:p>
    <w:p w:rsidR="009912E3" w:rsidRPr="0020283D" w:rsidRDefault="009912E3" w:rsidP="009912E3">
      <w:pPr>
        <w:spacing w:after="0" w:line="240" w:lineRule="auto"/>
        <w:rPr>
          <w:rFonts w:asciiTheme="minorHAnsi" w:hAnsiTheme="minorHAnsi"/>
          <w:b/>
          <w:i/>
          <w:color w:val="auto"/>
        </w:rPr>
      </w:pPr>
      <w:r w:rsidRPr="0020283D">
        <w:rPr>
          <w:rFonts w:asciiTheme="minorHAnsi" w:hAnsiTheme="minorHAnsi"/>
          <w:b/>
          <w:i/>
          <w:color w:val="auto"/>
        </w:rPr>
        <w:t>Information on the Handout</w:t>
      </w:r>
    </w:p>
    <w:p w:rsidR="0020283D" w:rsidRPr="002F2E7C" w:rsidRDefault="00B37F62" w:rsidP="0020283D">
      <w:pPr>
        <w:spacing w:after="0" w:line="240" w:lineRule="auto"/>
        <w:rPr>
          <w:rFonts w:asciiTheme="minorHAnsi" w:hAnsiTheme="minorHAnsi"/>
          <w:color w:val="auto"/>
        </w:rPr>
      </w:pPr>
      <w:r w:rsidRPr="0020283D">
        <w:rPr>
          <w:rFonts w:asciiTheme="minorHAnsi" w:hAnsiTheme="minorHAnsi"/>
          <w:color w:val="auto"/>
        </w:rPr>
        <w:tab/>
        <w:t>Participants affirmed our goal of having the handout provide additional details that would not fit in a one-page letter.</w:t>
      </w:r>
      <w:r w:rsidR="0020283D" w:rsidRPr="0020283D">
        <w:rPr>
          <w:rFonts w:asciiTheme="minorHAnsi" w:hAnsiTheme="minorHAnsi"/>
          <w:color w:val="auto"/>
        </w:rPr>
        <w:t xml:space="preserve">  For example, they think it is appropriate for the handout to have such details as what is needed to complete the FAFSA.  Several participants also said that it would be a good place to define important terms.</w:t>
      </w:r>
    </w:p>
    <w:sectPr w:rsidR="0020283D" w:rsidRPr="002F2E7C" w:rsidSect="002F2E7C">
      <w:type w:val="continuous"/>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6D8" w:rsidRDefault="006726D8" w:rsidP="009B72E9">
      <w:pPr>
        <w:spacing w:after="0" w:line="240" w:lineRule="auto"/>
      </w:pPr>
      <w:r>
        <w:separator/>
      </w:r>
    </w:p>
  </w:endnote>
  <w:endnote w:type="continuationSeparator" w:id="0">
    <w:p w:rsidR="006726D8" w:rsidRDefault="006726D8" w:rsidP="009B7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4AB" w:rsidRPr="00351363" w:rsidRDefault="00351363" w:rsidP="00351363">
    <w:pPr>
      <w:pStyle w:val="NCESoddfooter"/>
      <w:jc w:val="center"/>
    </w:pPr>
    <w:r>
      <w:t>E-</w:t>
    </w:r>
    <w:r>
      <w:rPr>
        <w:rStyle w:val="PageNumber"/>
        <w:szCs w:val="20"/>
      </w:rPr>
      <w:fldChar w:fldCharType="begin"/>
    </w:r>
    <w:r>
      <w:rPr>
        <w:rStyle w:val="PageNumber"/>
        <w:szCs w:val="20"/>
      </w:rPr>
      <w:instrText xml:space="preserve"> PAGE </w:instrText>
    </w:r>
    <w:r>
      <w:rPr>
        <w:rStyle w:val="PageNumber"/>
        <w:szCs w:val="20"/>
      </w:rPr>
      <w:fldChar w:fldCharType="separate"/>
    </w:r>
    <w:r w:rsidR="00466A88">
      <w:rPr>
        <w:rStyle w:val="PageNumber"/>
        <w:noProof/>
        <w:szCs w:val="20"/>
      </w:rPr>
      <w:t>1</w:t>
    </w:r>
    <w:r>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6D8" w:rsidRDefault="006726D8" w:rsidP="009B72E9">
      <w:pPr>
        <w:spacing w:after="0" w:line="240" w:lineRule="auto"/>
      </w:pPr>
      <w:r>
        <w:separator/>
      </w:r>
    </w:p>
  </w:footnote>
  <w:footnote w:type="continuationSeparator" w:id="0">
    <w:p w:rsidR="006726D8" w:rsidRDefault="006726D8" w:rsidP="009B72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1EDC"/>
    <w:multiLevelType w:val="hybridMultilevel"/>
    <w:tmpl w:val="6A8CE59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E679E3"/>
    <w:multiLevelType w:val="hybridMultilevel"/>
    <w:tmpl w:val="98349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676E4C"/>
    <w:multiLevelType w:val="hybridMultilevel"/>
    <w:tmpl w:val="87D694F8"/>
    <w:lvl w:ilvl="0" w:tplc="5F56008E">
      <w:start w:val="1"/>
      <w:numFmt w:val="bullet"/>
      <w:lvlText w:val=""/>
      <w:lvlJc w:val="left"/>
      <w:pPr>
        <w:tabs>
          <w:tab w:val="num" w:pos="1080"/>
        </w:tabs>
        <w:ind w:left="1080" w:hanging="360"/>
      </w:pPr>
      <w:rPr>
        <w:rFonts w:ascii="Symbol" w:hAnsi="Symbol" w:hint="default"/>
      </w:rPr>
    </w:lvl>
    <w:lvl w:ilvl="1" w:tplc="83B41DF2">
      <w:start w:val="1"/>
      <w:numFmt w:val="bullet"/>
      <w:lvlText w:val=""/>
      <w:lvlJc w:val="left"/>
      <w:pPr>
        <w:tabs>
          <w:tab w:val="num" w:pos="3240"/>
        </w:tabs>
        <w:ind w:left="3240" w:hanging="360"/>
      </w:pPr>
      <w:rPr>
        <w:rFonts w:ascii="Wingdings" w:hAnsi="Wingdings" w:hint="default"/>
      </w:rPr>
    </w:lvl>
    <w:lvl w:ilvl="2" w:tplc="A5B0CBC0">
      <w:start w:val="1"/>
      <w:numFmt w:val="bullet"/>
      <w:lvlText w:val=""/>
      <w:lvlJc w:val="left"/>
      <w:pPr>
        <w:tabs>
          <w:tab w:val="num" w:pos="2160"/>
        </w:tabs>
        <w:ind w:left="2160" w:hanging="360"/>
      </w:pPr>
      <w:rPr>
        <w:rFonts w:ascii="Wingdings" w:hAnsi="Wingdings" w:hint="default"/>
      </w:rPr>
    </w:lvl>
    <w:lvl w:ilvl="3" w:tplc="169E280E">
      <w:start w:val="1"/>
      <w:numFmt w:val="bullet"/>
      <w:lvlText w:val=""/>
      <w:lvlJc w:val="left"/>
      <w:pPr>
        <w:tabs>
          <w:tab w:val="num" w:pos="2880"/>
        </w:tabs>
        <w:ind w:left="2880" w:hanging="360"/>
      </w:pPr>
      <w:rPr>
        <w:rFonts w:ascii="Symbol" w:hAnsi="Symbol" w:hint="default"/>
      </w:rPr>
    </w:lvl>
    <w:lvl w:ilvl="4" w:tplc="05F6FF14">
      <w:start w:val="1"/>
      <w:numFmt w:val="bullet"/>
      <w:lvlText w:val="o"/>
      <w:lvlJc w:val="left"/>
      <w:pPr>
        <w:tabs>
          <w:tab w:val="num" w:pos="3600"/>
        </w:tabs>
        <w:ind w:left="3600" w:hanging="360"/>
      </w:pPr>
      <w:rPr>
        <w:rFonts w:ascii="Courier New" w:hAnsi="Courier New" w:hint="default"/>
      </w:rPr>
    </w:lvl>
    <w:lvl w:ilvl="5" w:tplc="4056824E" w:tentative="1">
      <w:start w:val="1"/>
      <w:numFmt w:val="bullet"/>
      <w:lvlText w:val=""/>
      <w:lvlJc w:val="left"/>
      <w:pPr>
        <w:tabs>
          <w:tab w:val="num" w:pos="4320"/>
        </w:tabs>
        <w:ind w:left="4320" w:hanging="360"/>
      </w:pPr>
      <w:rPr>
        <w:rFonts w:ascii="Wingdings" w:hAnsi="Wingdings" w:hint="default"/>
      </w:rPr>
    </w:lvl>
    <w:lvl w:ilvl="6" w:tplc="627A63E4" w:tentative="1">
      <w:start w:val="1"/>
      <w:numFmt w:val="bullet"/>
      <w:lvlText w:val=""/>
      <w:lvlJc w:val="left"/>
      <w:pPr>
        <w:tabs>
          <w:tab w:val="num" w:pos="5040"/>
        </w:tabs>
        <w:ind w:left="5040" w:hanging="360"/>
      </w:pPr>
      <w:rPr>
        <w:rFonts w:ascii="Symbol" w:hAnsi="Symbol" w:hint="default"/>
      </w:rPr>
    </w:lvl>
    <w:lvl w:ilvl="7" w:tplc="A0F08EEE" w:tentative="1">
      <w:start w:val="1"/>
      <w:numFmt w:val="bullet"/>
      <w:lvlText w:val="o"/>
      <w:lvlJc w:val="left"/>
      <w:pPr>
        <w:tabs>
          <w:tab w:val="num" w:pos="5760"/>
        </w:tabs>
        <w:ind w:left="5760" w:hanging="360"/>
      </w:pPr>
      <w:rPr>
        <w:rFonts w:ascii="Courier New" w:hAnsi="Courier New" w:hint="default"/>
      </w:rPr>
    </w:lvl>
    <w:lvl w:ilvl="8" w:tplc="DCF8ABD0" w:tentative="1">
      <w:start w:val="1"/>
      <w:numFmt w:val="bullet"/>
      <w:lvlText w:val=""/>
      <w:lvlJc w:val="left"/>
      <w:pPr>
        <w:tabs>
          <w:tab w:val="num" w:pos="6480"/>
        </w:tabs>
        <w:ind w:left="6480" w:hanging="360"/>
      </w:pPr>
      <w:rPr>
        <w:rFonts w:ascii="Wingdings" w:hAnsi="Wingdings" w:hint="default"/>
      </w:rPr>
    </w:lvl>
  </w:abstractNum>
  <w:abstractNum w:abstractNumId="3">
    <w:nsid w:val="119C3EAA"/>
    <w:multiLevelType w:val="hybridMultilevel"/>
    <w:tmpl w:val="230E4550"/>
    <w:lvl w:ilvl="0" w:tplc="96ACF01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9394C65"/>
    <w:multiLevelType w:val="hybridMultilevel"/>
    <w:tmpl w:val="0F940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8400D9"/>
    <w:multiLevelType w:val="hybridMultilevel"/>
    <w:tmpl w:val="4B6CE9B2"/>
    <w:lvl w:ilvl="0" w:tplc="0409000F">
      <w:start w:val="1"/>
      <w:numFmt w:val="decimal"/>
      <w:lvlText w:val="%1."/>
      <w:lvlJc w:val="left"/>
      <w:pPr>
        <w:tabs>
          <w:tab w:val="num" w:pos="360"/>
        </w:tabs>
        <w:ind w:left="360" w:hanging="360"/>
      </w:pPr>
      <w:rPr>
        <w:rFonts w:hint="default"/>
      </w:rPr>
    </w:lvl>
    <w:lvl w:ilvl="1" w:tplc="7520B5E6">
      <w:start w:val="1"/>
      <w:numFmt w:val="bullet"/>
      <w:lvlText w:val="-"/>
      <w:lvlJc w:val="left"/>
      <w:pPr>
        <w:tabs>
          <w:tab w:val="num" w:pos="720"/>
        </w:tabs>
        <w:ind w:left="720" w:hanging="360"/>
      </w:pPr>
      <w:rPr>
        <w:rFonts w:ascii="Courier New" w:hAnsi="Courier New" w:hint="default"/>
      </w:rPr>
    </w:lvl>
    <w:lvl w:ilvl="2" w:tplc="B2ECB556">
      <w:start w:val="1"/>
      <w:numFmt w:val="bullet"/>
      <w:lvlText w:val=""/>
      <w:lvlJc w:val="left"/>
      <w:pPr>
        <w:tabs>
          <w:tab w:val="num" w:pos="1440"/>
        </w:tabs>
        <w:ind w:left="1440" w:hanging="360"/>
      </w:pPr>
      <w:rPr>
        <w:rFonts w:ascii="Wingdings" w:hAnsi="Wingdings" w:hint="default"/>
      </w:rPr>
    </w:lvl>
    <w:lvl w:ilvl="3" w:tplc="5172E73E">
      <w:start w:val="1"/>
      <w:numFmt w:val="bullet"/>
      <w:lvlText w:val=""/>
      <w:lvlJc w:val="left"/>
      <w:pPr>
        <w:tabs>
          <w:tab w:val="num" w:pos="2160"/>
        </w:tabs>
        <w:ind w:left="2160" w:hanging="360"/>
      </w:pPr>
      <w:rPr>
        <w:rFonts w:ascii="Symbol" w:hAnsi="Symbol" w:hint="default"/>
      </w:rPr>
    </w:lvl>
    <w:lvl w:ilvl="4" w:tplc="FC76DE68">
      <w:start w:val="1"/>
      <w:numFmt w:val="bullet"/>
      <w:lvlText w:val="o"/>
      <w:lvlJc w:val="left"/>
      <w:pPr>
        <w:tabs>
          <w:tab w:val="num" w:pos="2880"/>
        </w:tabs>
        <w:ind w:left="2880" w:hanging="360"/>
      </w:pPr>
      <w:rPr>
        <w:rFonts w:ascii="Courier New" w:hAnsi="Courier New" w:cs="Courier New" w:hint="default"/>
      </w:rPr>
    </w:lvl>
    <w:lvl w:ilvl="5" w:tplc="FBDE3148" w:tentative="1">
      <w:start w:val="1"/>
      <w:numFmt w:val="bullet"/>
      <w:lvlText w:val=""/>
      <w:lvlJc w:val="left"/>
      <w:pPr>
        <w:tabs>
          <w:tab w:val="num" w:pos="3600"/>
        </w:tabs>
        <w:ind w:left="3600" w:hanging="360"/>
      </w:pPr>
      <w:rPr>
        <w:rFonts w:ascii="Wingdings" w:hAnsi="Wingdings" w:hint="default"/>
      </w:rPr>
    </w:lvl>
    <w:lvl w:ilvl="6" w:tplc="F64C4DE0" w:tentative="1">
      <w:start w:val="1"/>
      <w:numFmt w:val="bullet"/>
      <w:lvlText w:val=""/>
      <w:lvlJc w:val="left"/>
      <w:pPr>
        <w:tabs>
          <w:tab w:val="num" w:pos="4320"/>
        </w:tabs>
        <w:ind w:left="4320" w:hanging="360"/>
      </w:pPr>
      <w:rPr>
        <w:rFonts w:ascii="Symbol" w:hAnsi="Symbol" w:hint="default"/>
      </w:rPr>
    </w:lvl>
    <w:lvl w:ilvl="7" w:tplc="E8722070" w:tentative="1">
      <w:start w:val="1"/>
      <w:numFmt w:val="bullet"/>
      <w:lvlText w:val="o"/>
      <w:lvlJc w:val="left"/>
      <w:pPr>
        <w:tabs>
          <w:tab w:val="num" w:pos="5040"/>
        </w:tabs>
        <w:ind w:left="5040" w:hanging="360"/>
      </w:pPr>
      <w:rPr>
        <w:rFonts w:ascii="Courier New" w:hAnsi="Courier New" w:cs="Courier New" w:hint="default"/>
      </w:rPr>
    </w:lvl>
    <w:lvl w:ilvl="8" w:tplc="B204DD76" w:tentative="1">
      <w:start w:val="1"/>
      <w:numFmt w:val="bullet"/>
      <w:lvlText w:val=""/>
      <w:lvlJc w:val="left"/>
      <w:pPr>
        <w:tabs>
          <w:tab w:val="num" w:pos="5760"/>
        </w:tabs>
        <w:ind w:left="5760" w:hanging="360"/>
      </w:pPr>
      <w:rPr>
        <w:rFonts w:ascii="Wingdings" w:hAnsi="Wingdings" w:hint="default"/>
      </w:rPr>
    </w:lvl>
  </w:abstractNum>
  <w:abstractNum w:abstractNumId="6">
    <w:nsid w:val="230A63BC"/>
    <w:multiLevelType w:val="hybridMultilevel"/>
    <w:tmpl w:val="D56079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8660C5"/>
    <w:multiLevelType w:val="hybridMultilevel"/>
    <w:tmpl w:val="9440CF42"/>
    <w:lvl w:ilvl="0" w:tplc="04090001">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294FC2"/>
    <w:multiLevelType w:val="hybridMultilevel"/>
    <w:tmpl w:val="465457F0"/>
    <w:lvl w:ilvl="0" w:tplc="0409000B">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nsid w:val="37753586"/>
    <w:multiLevelType w:val="hybridMultilevel"/>
    <w:tmpl w:val="CFE62E3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AA476A0"/>
    <w:multiLevelType w:val="hybridMultilevel"/>
    <w:tmpl w:val="8080350E"/>
    <w:lvl w:ilvl="0" w:tplc="311096BE">
      <w:start w:val="1"/>
      <w:numFmt w:val="decimal"/>
      <w:lvlText w:val="%1.0"/>
      <w:lvlJc w:val="left"/>
      <w:pPr>
        <w:ind w:left="360" w:hanging="360"/>
      </w:pPr>
      <w:rPr>
        <w:rFonts w:cs="Times New Roman" w:hint="default"/>
      </w:rPr>
    </w:lvl>
    <w:lvl w:ilvl="1" w:tplc="04090019" w:tentative="1">
      <w:start w:val="1"/>
      <w:numFmt w:val="lowerLetter"/>
      <w:lvlText w:val="%2."/>
      <w:lvlJc w:val="left"/>
      <w:pPr>
        <w:ind w:left="2376" w:hanging="360"/>
      </w:pPr>
      <w:rPr>
        <w:rFonts w:cs="Times New Roman"/>
      </w:rPr>
    </w:lvl>
    <w:lvl w:ilvl="2" w:tplc="0409001B" w:tentative="1">
      <w:start w:val="1"/>
      <w:numFmt w:val="lowerRoman"/>
      <w:lvlText w:val="%3."/>
      <w:lvlJc w:val="right"/>
      <w:pPr>
        <w:ind w:left="3096" w:hanging="180"/>
      </w:pPr>
      <w:rPr>
        <w:rFonts w:cs="Times New Roman"/>
      </w:rPr>
    </w:lvl>
    <w:lvl w:ilvl="3" w:tplc="0409000F" w:tentative="1">
      <w:start w:val="1"/>
      <w:numFmt w:val="decimal"/>
      <w:lvlText w:val="%4."/>
      <w:lvlJc w:val="left"/>
      <w:pPr>
        <w:ind w:left="3816" w:hanging="360"/>
      </w:pPr>
      <w:rPr>
        <w:rFonts w:cs="Times New Roman"/>
      </w:rPr>
    </w:lvl>
    <w:lvl w:ilvl="4" w:tplc="04090019" w:tentative="1">
      <w:start w:val="1"/>
      <w:numFmt w:val="lowerLetter"/>
      <w:lvlText w:val="%5."/>
      <w:lvlJc w:val="left"/>
      <w:pPr>
        <w:ind w:left="4536" w:hanging="360"/>
      </w:pPr>
      <w:rPr>
        <w:rFonts w:cs="Times New Roman"/>
      </w:rPr>
    </w:lvl>
    <w:lvl w:ilvl="5" w:tplc="0409001B" w:tentative="1">
      <w:start w:val="1"/>
      <w:numFmt w:val="lowerRoman"/>
      <w:lvlText w:val="%6."/>
      <w:lvlJc w:val="right"/>
      <w:pPr>
        <w:ind w:left="5256" w:hanging="180"/>
      </w:pPr>
      <w:rPr>
        <w:rFonts w:cs="Times New Roman"/>
      </w:rPr>
    </w:lvl>
    <w:lvl w:ilvl="6" w:tplc="0409000F" w:tentative="1">
      <w:start w:val="1"/>
      <w:numFmt w:val="decimal"/>
      <w:lvlText w:val="%7."/>
      <w:lvlJc w:val="left"/>
      <w:pPr>
        <w:ind w:left="5976" w:hanging="360"/>
      </w:pPr>
      <w:rPr>
        <w:rFonts w:cs="Times New Roman"/>
      </w:rPr>
    </w:lvl>
    <w:lvl w:ilvl="7" w:tplc="04090019" w:tentative="1">
      <w:start w:val="1"/>
      <w:numFmt w:val="lowerLetter"/>
      <w:lvlText w:val="%8."/>
      <w:lvlJc w:val="left"/>
      <w:pPr>
        <w:ind w:left="6696" w:hanging="360"/>
      </w:pPr>
      <w:rPr>
        <w:rFonts w:cs="Times New Roman"/>
      </w:rPr>
    </w:lvl>
    <w:lvl w:ilvl="8" w:tplc="0409001B" w:tentative="1">
      <w:start w:val="1"/>
      <w:numFmt w:val="lowerRoman"/>
      <w:lvlText w:val="%9."/>
      <w:lvlJc w:val="right"/>
      <w:pPr>
        <w:ind w:left="7416" w:hanging="180"/>
      </w:pPr>
      <w:rPr>
        <w:rFonts w:cs="Times New Roman"/>
      </w:rPr>
    </w:lvl>
  </w:abstractNum>
  <w:abstractNum w:abstractNumId="11">
    <w:nsid w:val="42591EE8"/>
    <w:multiLevelType w:val="hybridMultilevel"/>
    <w:tmpl w:val="D924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DC1852"/>
    <w:multiLevelType w:val="multilevel"/>
    <w:tmpl w:val="68A2948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3">
    <w:nsid w:val="5FDD7C14"/>
    <w:multiLevelType w:val="hybridMultilevel"/>
    <w:tmpl w:val="BC9EB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0EF097A"/>
    <w:multiLevelType w:val="hybridMultilevel"/>
    <w:tmpl w:val="4D308784"/>
    <w:lvl w:ilvl="0" w:tplc="0504A4C8">
      <w:start w:val="1"/>
      <w:numFmt w:val="bullet"/>
      <w:lvlText w:val=""/>
      <w:lvlJc w:val="left"/>
      <w:pPr>
        <w:tabs>
          <w:tab w:val="num" w:pos="1080"/>
        </w:tabs>
        <w:ind w:left="1080" w:hanging="360"/>
      </w:pPr>
      <w:rPr>
        <w:rFonts w:ascii="Symbol" w:hAnsi="Symbol" w:hint="default"/>
      </w:rPr>
    </w:lvl>
    <w:lvl w:ilvl="1" w:tplc="3EAA8754">
      <w:start w:val="1"/>
      <w:numFmt w:val="bullet"/>
      <w:lvlText w:val="-"/>
      <w:lvlJc w:val="left"/>
      <w:pPr>
        <w:tabs>
          <w:tab w:val="num" w:pos="1440"/>
        </w:tabs>
        <w:ind w:left="1440" w:hanging="360"/>
      </w:pPr>
      <w:rPr>
        <w:rFonts w:ascii="Courier New" w:hAnsi="Courier New" w:hint="default"/>
      </w:rPr>
    </w:lvl>
    <w:lvl w:ilvl="2" w:tplc="34642770">
      <w:start w:val="1"/>
      <w:numFmt w:val="bullet"/>
      <w:lvlText w:val=""/>
      <w:lvlJc w:val="left"/>
      <w:pPr>
        <w:tabs>
          <w:tab w:val="num" w:pos="2160"/>
        </w:tabs>
        <w:ind w:left="2160" w:hanging="360"/>
      </w:pPr>
      <w:rPr>
        <w:rFonts w:ascii="Wingdings" w:hAnsi="Wingdings" w:hint="default"/>
      </w:rPr>
    </w:lvl>
    <w:lvl w:ilvl="3" w:tplc="52E4904C">
      <w:start w:val="1"/>
      <w:numFmt w:val="bullet"/>
      <w:lvlText w:val=""/>
      <w:lvlJc w:val="left"/>
      <w:pPr>
        <w:tabs>
          <w:tab w:val="num" w:pos="2880"/>
        </w:tabs>
        <w:ind w:left="2880" w:hanging="360"/>
      </w:pPr>
      <w:rPr>
        <w:rFonts w:ascii="Symbol" w:hAnsi="Symbol" w:hint="default"/>
      </w:rPr>
    </w:lvl>
    <w:lvl w:ilvl="4" w:tplc="3FB8E688">
      <w:start w:val="1"/>
      <w:numFmt w:val="bullet"/>
      <w:lvlText w:val="o"/>
      <w:lvlJc w:val="left"/>
      <w:pPr>
        <w:tabs>
          <w:tab w:val="num" w:pos="3600"/>
        </w:tabs>
        <w:ind w:left="3600" w:hanging="360"/>
      </w:pPr>
      <w:rPr>
        <w:rFonts w:ascii="Courier New" w:hAnsi="Courier New" w:hint="default"/>
      </w:rPr>
    </w:lvl>
    <w:lvl w:ilvl="5" w:tplc="B08C63CA" w:tentative="1">
      <w:start w:val="1"/>
      <w:numFmt w:val="bullet"/>
      <w:lvlText w:val=""/>
      <w:lvlJc w:val="left"/>
      <w:pPr>
        <w:tabs>
          <w:tab w:val="num" w:pos="4320"/>
        </w:tabs>
        <w:ind w:left="4320" w:hanging="360"/>
      </w:pPr>
      <w:rPr>
        <w:rFonts w:ascii="Wingdings" w:hAnsi="Wingdings" w:hint="default"/>
      </w:rPr>
    </w:lvl>
    <w:lvl w:ilvl="6" w:tplc="D7D482FA" w:tentative="1">
      <w:start w:val="1"/>
      <w:numFmt w:val="bullet"/>
      <w:lvlText w:val=""/>
      <w:lvlJc w:val="left"/>
      <w:pPr>
        <w:tabs>
          <w:tab w:val="num" w:pos="5040"/>
        </w:tabs>
        <w:ind w:left="5040" w:hanging="360"/>
      </w:pPr>
      <w:rPr>
        <w:rFonts w:ascii="Symbol" w:hAnsi="Symbol" w:hint="default"/>
      </w:rPr>
    </w:lvl>
    <w:lvl w:ilvl="7" w:tplc="54722640" w:tentative="1">
      <w:start w:val="1"/>
      <w:numFmt w:val="bullet"/>
      <w:lvlText w:val="o"/>
      <w:lvlJc w:val="left"/>
      <w:pPr>
        <w:tabs>
          <w:tab w:val="num" w:pos="5760"/>
        </w:tabs>
        <w:ind w:left="5760" w:hanging="360"/>
      </w:pPr>
      <w:rPr>
        <w:rFonts w:ascii="Courier New" w:hAnsi="Courier New" w:hint="default"/>
      </w:rPr>
    </w:lvl>
    <w:lvl w:ilvl="8" w:tplc="BC989544" w:tentative="1">
      <w:start w:val="1"/>
      <w:numFmt w:val="bullet"/>
      <w:lvlText w:val=""/>
      <w:lvlJc w:val="left"/>
      <w:pPr>
        <w:tabs>
          <w:tab w:val="num" w:pos="6480"/>
        </w:tabs>
        <w:ind w:left="6480" w:hanging="360"/>
      </w:pPr>
      <w:rPr>
        <w:rFonts w:ascii="Wingdings" w:hAnsi="Wingdings" w:hint="default"/>
      </w:rPr>
    </w:lvl>
  </w:abstractNum>
  <w:abstractNum w:abstractNumId="15">
    <w:nsid w:val="686F3B6F"/>
    <w:multiLevelType w:val="hybridMultilevel"/>
    <w:tmpl w:val="9AC63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71161D80"/>
    <w:multiLevelType w:val="hybridMultilevel"/>
    <w:tmpl w:val="F1BE9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230681E"/>
    <w:multiLevelType w:val="hybridMultilevel"/>
    <w:tmpl w:val="23D4E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BE5527"/>
    <w:multiLevelType w:val="hybridMultilevel"/>
    <w:tmpl w:val="10701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8FF3153"/>
    <w:multiLevelType w:val="hybridMultilevel"/>
    <w:tmpl w:val="964EA81A"/>
    <w:lvl w:ilvl="0" w:tplc="04090001">
      <w:start w:val="1"/>
      <w:numFmt w:val="bullet"/>
      <w:lvlText w:val=""/>
      <w:lvlJc w:val="left"/>
      <w:pPr>
        <w:ind w:left="630" w:hanging="360"/>
      </w:pPr>
      <w:rPr>
        <w:rFonts w:ascii="Symbol" w:hAnsi="Symbol" w:hint="default"/>
      </w:rPr>
    </w:lvl>
    <w:lvl w:ilvl="1" w:tplc="0409000B">
      <w:start w:val="1"/>
      <w:numFmt w:val="bullet"/>
      <w:lvlText w:val=""/>
      <w:lvlJc w:val="left"/>
      <w:pPr>
        <w:ind w:left="900" w:hanging="360"/>
      </w:pPr>
      <w:rPr>
        <w:rFonts w:ascii="Wingdings" w:hAnsi="Wingdings" w:hint="default"/>
      </w:rPr>
    </w:lvl>
    <w:lvl w:ilvl="2" w:tplc="04090005">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0">
    <w:nsid w:val="7FBB7C93"/>
    <w:multiLevelType w:val="hybridMultilevel"/>
    <w:tmpl w:val="B1E8A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0"/>
  </w:num>
  <w:num w:numId="4">
    <w:abstractNumId w:val="4"/>
  </w:num>
  <w:num w:numId="5">
    <w:abstractNumId w:val="6"/>
  </w:num>
  <w:num w:numId="6">
    <w:abstractNumId w:val="14"/>
  </w:num>
  <w:num w:numId="7">
    <w:abstractNumId w:val="2"/>
  </w:num>
  <w:num w:numId="8">
    <w:abstractNumId w:val="8"/>
  </w:num>
  <w:num w:numId="9">
    <w:abstractNumId w:val="16"/>
  </w:num>
  <w:num w:numId="10">
    <w:abstractNumId w:val="19"/>
  </w:num>
  <w:num w:numId="11">
    <w:abstractNumId w:val="5"/>
  </w:num>
  <w:num w:numId="12">
    <w:abstractNumId w:val="17"/>
  </w:num>
  <w:num w:numId="13">
    <w:abstractNumId w:val="1"/>
  </w:num>
  <w:num w:numId="14">
    <w:abstractNumId w:val="20"/>
  </w:num>
  <w:num w:numId="15">
    <w:abstractNumId w:val="18"/>
  </w:num>
  <w:num w:numId="16">
    <w:abstractNumId w:val="15"/>
  </w:num>
  <w:num w:numId="17">
    <w:abstractNumId w:val="13"/>
  </w:num>
  <w:num w:numId="18">
    <w:abstractNumId w:val="9"/>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2E9"/>
    <w:rsid w:val="0000123C"/>
    <w:rsid w:val="00010EEE"/>
    <w:rsid w:val="00041DD1"/>
    <w:rsid w:val="000446D4"/>
    <w:rsid w:val="00047121"/>
    <w:rsid w:val="00054C28"/>
    <w:rsid w:val="0006088D"/>
    <w:rsid w:val="00073633"/>
    <w:rsid w:val="000816A4"/>
    <w:rsid w:val="0008220B"/>
    <w:rsid w:val="00096ACA"/>
    <w:rsid w:val="000A0907"/>
    <w:rsid w:val="000A32E0"/>
    <w:rsid w:val="000A43B7"/>
    <w:rsid w:val="000A51B1"/>
    <w:rsid w:val="000D7322"/>
    <w:rsid w:val="000E5594"/>
    <w:rsid w:val="000E5D7C"/>
    <w:rsid w:val="000F1505"/>
    <w:rsid w:val="000F277A"/>
    <w:rsid w:val="000F6439"/>
    <w:rsid w:val="00110822"/>
    <w:rsid w:val="00124BE7"/>
    <w:rsid w:val="0013250E"/>
    <w:rsid w:val="00136321"/>
    <w:rsid w:val="00141644"/>
    <w:rsid w:val="00146F9A"/>
    <w:rsid w:val="0014763E"/>
    <w:rsid w:val="00154BA9"/>
    <w:rsid w:val="0019314C"/>
    <w:rsid w:val="00197C24"/>
    <w:rsid w:val="001A7C78"/>
    <w:rsid w:val="001B0D44"/>
    <w:rsid w:val="001C4821"/>
    <w:rsid w:val="001D2E86"/>
    <w:rsid w:val="001D5455"/>
    <w:rsid w:val="001D6A9C"/>
    <w:rsid w:val="001D7CFA"/>
    <w:rsid w:val="001F05CB"/>
    <w:rsid w:val="001F5F1B"/>
    <w:rsid w:val="0020283D"/>
    <w:rsid w:val="00216C54"/>
    <w:rsid w:val="00233A47"/>
    <w:rsid w:val="00233E63"/>
    <w:rsid w:val="0024187B"/>
    <w:rsid w:val="00241ED5"/>
    <w:rsid w:val="00263D40"/>
    <w:rsid w:val="00272BE5"/>
    <w:rsid w:val="002821AE"/>
    <w:rsid w:val="00286F4D"/>
    <w:rsid w:val="00294E3B"/>
    <w:rsid w:val="00295CE7"/>
    <w:rsid w:val="00295EED"/>
    <w:rsid w:val="002B21C8"/>
    <w:rsid w:val="002B6E7D"/>
    <w:rsid w:val="002B7491"/>
    <w:rsid w:val="002B79BE"/>
    <w:rsid w:val="002D1B11"/>
    <w:rsid w:val="002D1FF0"/>
    <w:rsid w:val="002D36CB"/>
    <w:rsid w:val="002D4871"/>
    <w:rsid w:val="002D4C9B"/>
    <w:rsid w:val="002D75C5"/>
    <w:rsid w:val="002F27F0"/>
    <w:rsid w:val="002F2E7C"/>
    <w:rsid w:val="002F4F7E"/>
    <w:rsid w:val="00301F54"/>
    <w:rsid w:val="003306DA"/>
    <w:rsid w:val="003311B2"/>
    <w:rsid w:val="00332270"/>
    <w:rsid w:val="00344361"/>
    <w:rsid w:val="00351363"/>
    <w:rsid w:val="003521C9"/>
    <w:rsid w:val="0035777C"/>
    <w:rsid w:val="00363AA2"/>
    <w:rsid w:val="00371D69"/>
    <w:rsid w:val="00375C5C"/>
    <w:rsid w:val="00380713"/>
    <w:rsid w:val="003834C2"/>
    <w:rsid w:val="00383F89"/>
    <w:rsid w:val="00394CE7"/>
    <w:rsid w:val="003958AC"/>
    <w:rsid w:val="003A6740"/>
    <w:rsid w:val="003A6D93"/>
    <w:rsid w:val="003A6F1A"/>
    <w:rsid w:val="003A7D1D"/>
    <w:rsid w:val="003B1046"/>
    <w:rsid w:val="003B6409"/>
    <w:rsid w:val="003C26EA"/>
    <w:rsid w:val="003C3676"/>
    <w:rsid w:val="003C4716"/>
    <w:rsid w:val="003C5232"/>
    <w:rsid w:val="003C7B45"/>
    <w:rsid w:val="003D50BD"/>
    <w:rsid w:val="003D7226"/>
    <w:rsid w:val="003D7FC9"/>
    <w:rsid w:val="003E772B"/>
    <w:rsid w:val="00403754"/>
    <w:rsid w:val="004121E5"/>
    <w:rsid w:val="004144B6"/>
    <w:rsid w:val="00416DF9"/>
    <w:rsid w:val="00427ACF"/>
    <w:rsid w:val="0043010C"/>
    <w:rsid w:val="00442486"/>
    <w:rsid w:val="004456D1"/>
    <w:rsid w:val="0045203D"/>
    <w:rsid w:val="00453FF9"/>
    <w:rsid w:val="00454BEE"/>
    <w:rsid w:val="00464F84"/>
    <w:rsid w:val="00466A88"/>
    <w:rsid w:val="0047043D"/>
    <w:rsid w:val="004759BC"/>
    <w:rsid w:val="004C1ACD"/>
    <w:rsid w:val="004D22E7"/>
    <w:rsid w:val="004D5771"/>
    <w:rsid w:val="004E19DC"/>
    <w:rsid w:val="004E3B7E"/>
    <w:rsid w:val="00504C73"/>
    <w:rsid w:val="0051235D"/>
    <w:rsid w:val="00513647"/>
    <w:rsid w:val="00530396"/>
    <w:rsid w:val="00536ECE"/>
    <w:rsid w:val="00541C60"/>
    <w:rsid w:val="00552713"/>
    <w:rsid w:val="005539C4"/>
    <w:rsid w:val="00566EC7"/>
    <w:rsid w:val="0057217E"/>
    <w:rsid w:val="00584FC3"/>
    <w:rsid w:val="0058584D"/>
    <w:rsid w:val="005A5D79"/>
    <w:rsid w:val="005B0D80"/>
    <w:rsid w:val="005B1B3E"/>
    <w:rsid w:val="005B6EC3"/>
    <w:rsid w:val="005C5536"/>
    <w:rsid w:val="005E3A52"/>
    <w:rsid w:val="006034AC"/>
    <w:rsid w:val="00611F78"/>
    <w:rsid w:val="00622A08"/>
    <w:rsid w:val="00640E8A"/>
    <w:rsid w:val="0064545B"/>
    <w:rsid w:val="0065270A"/>
    <w:rsid w:val="00657B93"/>
    <w:rsid w:val="0066083D"/>
    <w:rsid w:val="006641ED"/>
    <w:rsid w:val="006644EF"/>
    <w:rsid w:val="006726D8"/>
    <w:rsid w:val="00675A39"/>
    <w:rsid w:val="00685AF5"/>
    <w:rsid w:val="006A4C29"/>
    <w:rsid w:val="006B4CF8"/>
    <w:rsid w:val="006B512A"/>
    <w:rsid w:val="006B5756"/>
    <w:rsid w:val="006B757E"/>
    <w:rsid w:val="006C2FF7"/>
    <w:rsid w:val="006C63AE"/>
    <w:rsid w:val="006D233D"/>
    <w:rsid w:val="006E0529"/>
    <w:rsid w:val="006E2CE5"/>
    <w:rsid w:val="006E5565"/>
    <w:rsid w:val="006E6BE6"/>
    <w:rsid w:val="006F2FC3"/>
    <w:rsid w:val="00705B4E"/>
    <w:rsid w:val="007148BB"/>
    <w:rsid w:val="007322C6"/>
    <w:rsid w:val="00751187"/>
    <w:rsid w:val="00781494"/>
    <w:rsid w:val="0079609C"/>
    <w:rsid w:val="007A2FAD"/>
    <w:rsid w:val="007B52F2"/>
    <w:rsid w:val="007C0154"/>
    <w:rsid w:val="007C747E"/>
    <w:rsid w:val="007D100D"/>
    <w:rsid w:val="007D7CE8"/>
    <w:rsid w:val="007E197F"/>
    <w:rsid w:val="007E227A"/>
    <w:rsid w:val="007F1739"/>
    <w:rsid w:val="008004F8"/>
    <w:rsid w:val="00800DD2"/>
    <w:rsid w:val="00810AC5"/>
    <w:rsid w:val="00811042"/>
    <w:rsid w:val="00824B83"/>
    <w:rsid w:val="0083507F"/>
    <w:rsid w:val="008474A8"/>
    <w:rsid w:val="00850252"/>
    <w:rsid w:val="0089494D"/>
    <w:rsid w:val="008959E3"/>
    <w:rsid w:val="008A48D8"/>
    <w:rsid w:val="008A5B58"/>
    <w:rsid w:val="008A644F"/>
    <w:rsid w:val="008C68AF"/>
    <w:rsid w:val="008D63B0"/>
    <w:rsid w:val="008F3390"/>
    <w:rsid w:val="00903EA7"/>
    <w:rsid w:val="0090497D"/>
    <w:rsid w:val="009133E9"/>
    <w:rsid w:val="00930A44"/>
    <w:rsid w:val="009407FD"/>
    <w:rsid w:val="00944457"/>
    <w:rsid w:val="00953D3D"/>
    <w:rsid w:val="00954459"/>
    <w:rsid w:val="009556DA"/>
    <w:rsid w:val="009711F7"/>
    <w:rsid w:val="00971680"/>
    <w:rsid w:val="009879B4"/>
    <w:rsid w:val="009912E3"/>
    <w:rsid w:val="009B72E9"/>
    <w:rsid w:val="009D325B"/>
    <w:rsid w:val="009F0CCE"/>
    <w:rsid w:val="009F6472"/>
    <w:rsid w:val="00A06FB4"/>
    <w:rsid w:val="00A10639"/>
    <w:rsid w:val="00A244AB"/>
    <w:rsid w:val="00A269D9"/>
    <w:rsid w:val="00A32EB7"/>
    <w:rsid w:val="00A42D90"/>
    <w:rsid w:val="00A450FF"/>
    <w:rsid w:val="00A46B26"/>
    <w:rsid w:val="00A632A4"/>
    <w:rsid w:val="00A658E3"/>
    <w:rsid w:val="00A739DD"/>
    <w:rsid w:val="00A8646C"/>
    <w:rsid w:val="00A943B3"/>
    <w:rsid w:val="00AB3358"/>
    <w:rsid w:val="00AB464B"/>
    <w:rsid w:val="00AB758D"/>
    <w:rsid w:val="00AC2237"/>
    <w:rsid w:val="00AD2C5F"/>
    <w:rsid w:val="00AD47B3"/>
    <w:rsid w:val="00AD5ED9"/>
    <w:rsid w:val="00AE1CCC"/>
    <w:rsid w:val="00AE3048"/>
    <w:rsid w:val="00AF63DF"/>
    <w:rsid w:val="00B05C13"/>
    <w:rsid w:val="00B13743"/>
    <w:rsid w:val="00B16BBD"/>
    <w:rsid w:val="00B24433"/>
    <w:rsid w:val="00B36FB3"/>
    <w:rsid w:val="00B37F62"/>
    <w:rsid w:val="00B46ACB"/>
    <w:rsid w:val="00B61F88"/>
    <w:rsid w:val="00B63795"/>
    <w:rsid w:val="00B64446"/>
    <w:rsid w:val="00B73691"/>
    <w:rsid w:val="00B73705"/>
    <w:rsid w:val="00B753B4"/>
    <w:rsid w:val="00B84EEC"/>
    <w:rsid w:val="00B863F4"/>
    <w:rsid w:val="00B877D6"/>
    <w:rsid w:val="00B95BB9"/>
    <w:rsid w:val="00BA0E61"/>
    <w:rsid w:val="00BA6A26"/>
    <w:rsid w:val="00BB0AED"/>
    <w:rsid w:val="00BC3911"/>
    <w:rsid w:val="00BC5818"/>
    <w:rsid w:val="00BD5A6D"/>
    <w:rsid w:val="00BD756C"/>
    <w:rsid w:val="00BE6419"/>
    <w:rsid w:val="00C01949"/>
    <w:rsid w:val="00C03FD0"/>
    <w:rsid w:val="00C12FD0"/>
    <w:rsid w:val="00C300C8"/>
    <w:rsid w:val="00C50B05"/>
    <w:rsid w:val="00C50D10"/>
    <w:rsid w:val="00C526AB"/>
    <w:rsid w:val="00C52D4E"/>
    <w:rsid w:val="00C57214"/>
    <w:rsid w:val="00C60892"/>
    <w:rsid w:val="00C65A4B"/>
    <w:rsid w:val="00C70446"/>
    <w:rsid w:val="00C71E55"/>
    <w:rsid w:val="00C7651D"/>
    <w:rsid w:val="00C81CD1"/>
    <w:rsid w:val="00C82B00"/>
    <w:rsid w:val="00C82C30"/>
    <w:rsid w:val="00CA5DD1"/>
    <w:rsid w:val="00CB2FA3"/>
    <w:rsid w:val="00CC1019"/>
    <w:rsid w:val="00CC37C4"/>
    <w:rsid w:val="00CC52AB"/>
    <w:rsid w:val="00CD289B"/>
    <w:rsid w:val="00CD7540"/>
    <w:rsid w:val="00CF13BE"/>
    <w:rsid w:val="00CF2F60"/>
    <w:rsid w:val="00D11E2F"/>
    <w:rsid w:val="00D154E0"/>
    <w:rsid w:val="00D27325"/>
    <w:rsid w:val="00D3328B"/>
    <w:rsid w:val="00D35E1D"/>
    <w:rsid w:val="00D432E9"/>
    <w:rsid w:val="00D442F0"/>
    <w:rsid w:val="00D50B49"/>
    <w:rsid w:val="00D577A6"/>
    <w:rsid w:val="00D666AE"/>
    <w:rsid w:val="00D71282"/>
    <w:rsid w:val="00D71DAF"/>
    <w:rsid w:val="00D74939"/>
    <w:rsid w:val="00D82B45"/>
    <w:rsid w:val="00D84332"/>
    <w:rsid w:val="00D90552"/>
    <w:rsid w:val="00D91B20"/>
    <w:rsid w:val="00DA1728"/>
    <w:rsid w:val="00DA227C"/>
    <w:rsid w:val="00DB26CC"/>
    <w:rsid w:val="00DB427D"/>
    <w:rsid w:val="00DC0472"/>
    <w:rsid w:val="00DD0F3E"/>
    <w:rsid w:val="00DD42F5"/>
    <w:rsid w:val="00DD55D0"/>
    <w:rsid w:val="00DE266E"/>
    <w:rsid w:val="00DE566F"/>
    <w:rsid w:val="00DF34B7"/>
    <w:rsid w:val="00E026FF"/>
    <w:rsid w:val="00E0409A"/>
    <w:rsid w:val="00E0606B"/>
    <w:rsid w:val="00E10302"/>
    <w:rsid w:val="00E14018"/>
    <w:rsid w:val="00E25447"/>
    <w:rsid w:val="00E3215E"/>
    <w:rsid w:val="00E32F09"/>
    <w:rsid w:val="00E34A9C"/>
    <w:rsid w:val="00E65335"/>
    <w:rsid w:val="00E65E5D"/>
    <w:rsid w:val="00E66051"/>
    <w:rsid w:val="00E71FD7"/>
    <w:rsid w:val="00E83DC6"/>
    <w:rsid w:val="00E85B16"/>
    <w:rsid w:val="00E91965"/>
    <w:rsid w:val="00E93A0F"/>
    <w:rsid w:val="00EA3E19"/>
    <w:rsid w:val="00EA7F06"/>
    <w:rsid w:val="00EB20D8"/>
    <w:rsid w:val="00EB341A"/>
    <w:rsid w:val="00EB3B10"/>
    <w:rsid w:val="00EB55E9"/>
    <w:rsid w:val="00EB7486"/>
    <w:rsid w:val="00EB7A87"/>
    <w:rsid w:val="00EC737B"/>
    <w:rsid w:val="00F178AA"/>
    <w:rsid w:val="00F22819"/>
    <w:rsid w:val="00F24E19"/>
    <w:rsid w:val="00F2642C"/>
    <w:rsid w:val="00F40699"/>
    <w:rsid w:val="00F47E6A"/>
    <w:rsid w:val="00F551BB"/>
    <w:rsid w:val="00F57EB9"/>
    <w:rsid w:val="00F8141D"/>
    <w:rsid w:val="00F81701"/>
    <w:rsid w:val="00F853FA"/>
    <w:rsid w:val="00FA01BD"/>
    <w:rsid w:val="00FC39D5"/>
    <w:rsid w:val="00FD0E2E"/>
    <w:rsid w:val="00FE2E42"/>
    <w:rsid w:val="00FE3B64"/>
    <w:rsid w:val="00FF26E1"/>
    <w:rsid w:val="00FF710E"/>
    <w:rsid w:val="00FF78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2E9"/>
    <w:pPr>
      <w:spacing w:after="360" w:line="360" w:lineRule="atLeast"/>
    </w:pPr>
    <w:rPr>
      <w:rFonts w:ascii="Franklin Gothic Book" w:eastAsia="Times New Roman" w:hAnsi="Franklin Gothic Book" w:cs="Arial"/>
      <w:bCs/>
      <w:color w:val="003399"/>
      <w:sz w:val="24"/>
      <w:szCs w:val="24"/>
    </w:rPr>
  </w:style>
  <w:style w:type="paragraph" w:styleId="Heading1">
    <w:name w:val="heading 1"/>
    <w:aliases w:val="H1-Sec.Head"/>
    <w:basedOn w:val="Normal"/>
    <w:next w:val="L1-FlLSp12"/>
    <w:link w:val="Heading1Char"/>
    <w:qFormat/>
    <w:rsid w:val="003D50BD"/>
    <w:pPr>
      <w:keepNext/>
      <w:tabs>
        <w:tab w:val="left" w:pos="1152"/>
      </w:tabs>
      <w:ind w:left="1152" w:hanging="1152"/>
      <w:outlineLvl w:val="0"/>
    </w:pPr>
    <w:rPr>
      <w:rFonts w:ascii="Arial" w:hAnsi="Arial" w:cs="Times New Roman"/>
      <w:b/>
      <w:bCs w:val="0"/>
      <w:color w:val="324162"/>
      <w:sz w:val="32"/>
      <w:szCs w:val="20"/>
    </w:rPr>
  </w:style>
  <w:style w:type="paragraph" w:styleId="Heading3">
    <w:name w:val="heading 3"/>
    <w:basedOn w:val="Normal"/>
    <w:next w:val="Normal"/>
    <w:link w:val="Heading3Char"/>
    <w:uiPriority w:val="9"/>
    <w:semiHidden/>
    <w:unhideWhenUsed/>
    <w:qFormat/>
    <w:rsid w:val="00CF2F60"/>
    <w:pPr>
      <w:keepNext/>
      <w:keepLines/>
      <w:spacing w:before="200" w:after="0" w:line="240" w:lineRule="auto"/>
      <w:outlineLvl w:val="2"/>
    </w:pPr>
    <w:rPr>
      <w:rFonts w:asciiTheme="majorHAnsi" w:eastAsiaTheme="majorEastAsia" w:hAnsiTheme="majorHAnsi" w:cstheme="majorBidi"/>
      <w:b/>
      <w:color w:val="4F81BD" w:themeColor="accent1"/>
      <w:sz w:val="22"/>
    </w:rPr>
  </w:style>
  <w:style w:type="paragraph" w:styleId="Heading4">
    <w:name w:val="heading 4"/>
    <w:basedOn w:val="Normal"/>
    <w:next w:val="Normal"/>
    <w:link w:val="Heading4Char"/>
    <w:semiHidden/>
    <w:unhideWhenUsed/>
    <w:qFormat/>
    <w:rsid w:val="00F22819"/>
    <w:pPr>
      <w:keepNext/>
      <w:keepLines/>
      <w:spacing w:before="200" w:after="0"/>
      <w:outlineLvl w:val="3"/>
    </w:pPr>
    <w:rPr>
      <w:rFonts w:asciiTheme="majorHAnsi" w:eastAsiaTheme="majorEastAsia" w:hAnsiTheme="majorHAnsi" w:cstheme="majorBidi"/>
      <w:b/>
      <w:i/>
      <w:iCs/>
      <w:color w:val="4F81BD" w:themeColor="accent1"/>
      <w:sz w:val="22"/>
      <w:szCs w:val="20"/>
    </w:rPr>
  </w:style>
  <w:style w:type="paragraph" w:styleId="Heading8">
    <w:name w:val="heading 8"/>
    <w:basedOn w:val="Normal"/>
    <w:next w:val="Normal"/>
    <w:link w:val="Heading8Char"/>
    <w:uiPriority w:val="9"/>
    <w:unhideWhenUsed/>
    <w:qFormat/>
    <w:rsid w:val="00241ED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2E9"/>
  </w:style>
  <w:style w:type="paragraph" w:styleId="Footer">
    <w:name w:val="footer"/>
    <w:basedOn w:val="Normal"/>
    <w:link w:val="FooterChar"/>
    <w:uiPriority w:val="99"/>
    <w:unhideWhenUsed/>
    <w:rsid w:val="009B7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2E9"/>
  </w:style>
  <w:style w:type="paragraph" w:styleId="IntenseQuote">
    <w:name w:val="Intense Quote"/>
    <w:basedOn w:val="Normal"/>
    <w:next w:val="Normal"/>
    <w:link w:val="IntenseQuoteChar"/>
    <w:uiPriority w:val="99"/>
    <w:qFormat/>
    <w:rsid w:val="009B72E9"/>
    <w:pPr>
      <w:pBdr>
        <w:bottom w:val="single" w:sz="18" w:space="4" w:color="003399"/>
      </w:pBdr>
      <w:spacing w:before="200" w:after="280"/>
    </w:pPr>
    <w:rPr>
      <w:b/>
      <w:bCs w:val="0"/>
      <w:i/>
      <w:iCs/>
      <w:sz w:val="40"/>
    </w:rPr>
  </w:style>
  <w:style w:type="character" w:customStyle="1" w:styleId="IntenseQuoteChar">
    <w:name w:val="Intense Quote Char"/>
    <w:basedOn w:val="DefaultParagraphFont"/>
    <w:link w:val="IntenseQuote"/>
    <w:uiPriority w:val="99"/>
    <w:rsid w:val="009B72E9"/>
    <w:rPr>
      <w:rFonts w:ascii="Franklin Gothic Book" w:eastAsia="Times New Roman" w:hAnsi="Franklin Gothic Book" w:cs="Arial"/>
      <w:b/>
      <w:i/>
      <w:iCs/>
      <w:color w:val="003399"/>
      <w:sz w:val="40"/>
      <w:szCs w:val="24"/>
    </w:rPr>
  </w:style>
  <w:style w:type="paragraph" w:styleId="ListParagraph">
    <w:name w:val="List Paragraph"/>
    <w:basedOn w:val="Normal"/>
    <w:uiPriority w:val="34"/>
    <w:qFormat/>
    <w:rsid w:val="00B61F88"/>
    <w:pPr>
      <w:spacing w:after="200" w:line="276" w:lineRule="auto"/>
      <w:ind w:left="720"/>
      <w:contextualSpacing/>
    </w:pPr>
    <w:rPr>
      <w:rFonts w:asciiTheme="minorHAnsi" w:eastAsiaTheme="minorHAnsi" w:hAnsiTheme="minorHAnsi" w:cstheme="minorBidi"/>
      <w:bCs w:val="0"/>
      <w:color w:val="auto"/>
      <w:sz w:val="22"/>
      <w:szCs w:val="22"/>
    </w:rPr>
  </w:style>
  <w:style w:type="paragraph" w:customStyle="1" w:styleId="Bullet1">
    <w:name w:val="Bullet 1"/>
    <w:basedOn w:val="Normal"/>
    <w:link w:val="Bullet1Char"/>
    <w:qFormat/>
    <w:rsid w:val="00B61F88"/>
  </w:style>
  <w:style w:type="character" w:customStyle="1" w:styleId="Bullet1Char">
    <w:name w:val="Bullet 1 Char"/>
    <w:basedOn w:val="DefaultParagraphFont"/>
    <w:link w:val="Bullet1"/>
    <w:locked/>
    <w:rsid w:val="00B61F88"/>
    <w:rPr>
      <w:rFonts w:ascii="Franklin Gothic Book" w:eastAsia="Times New Roman" w:hAnsi="Franklin Gothic Book" w:cs="Arial"/>
      <w:bCs/>
      <w:color w:val="003399"/>
      <w:sz w:val="24"/>
      <w:szCs w:val="24"/>
    </w:rPr>
  </w:style>
  <w:style w:type="paragraph" w:customStyle="1" w:styleId="Bullet2">
    <w:name w:val="Bullet 2"/>
    <w:basedOn w:val="Normal"/>
    <w:link w:val="Bullet2Char"/>
    <w:qFormat/>
    <w:rsid w:val="007D7CE8"/>
    <w:rPr>
      <w:rFonts w:cs="Microsoft Sans Serif"/>
      <w:bCs w:val="0"/>
      <w:szCs w:val="22"/>
    </w:rPr>
  </w:style>
  <w:style w:type="character" w:customStyle="1" w:styleId="Bullet2Char">
    <w:name w:val="Bullet 2 Char"/>
    <w:basedOn w:val="DefaultParagraphFont"/>
    <w:link w:val="Bullet2"/>
    <w:locked/>
    <w:rsid w:val="007D7CE8"/>
    <w:rPr>
      <w:rFonts w:ascii="Franklin Gothic Book" w:eastAsia="Times New Roman" w:hAnsi="Franklin Gothic Book" w:cs="Microsoft Sans Serif"/>
      <w:color w:val="003399"/>
      <w:sz w:val="24"/>
    </w:rPr>
  </w:style>
  <w:style w:type="character" w:styleId="CommentReference">
    <w:name w:val="annotation reference"/>
    <w:basedOn w:val="DefaultParagraphFont"/>
    <w:uiPriority w:val="99"/>
    <w:semiHidden/>
    <w:unhideWhenUsed/>
    <w:rsid w:val="002B7491"/>
    <w:rPr>
      <w:sz w:val="16"/>
      <w:szCs w:val="16"/>
    </w:rPr>
  </w:style>
  <w:style w:type="paragraph" w:styleId="CommentText">
    <w:name w:val="annotation text"/>
    <w:basedOn w:val="Normal"/>
    <w:link w:val="CommentTextChar"/>
    <w:uiPriority w:val="99"/>
    <w:semiHidden/>
    <w:unhideWhenUsed/>
    <w:rsid w:val="002B7491"/>
    <w:pPr>
      <w:spacing w:line="240" w:lineRule="auto"/>
    </w:pPr>
    <w:rPr>
      <w:sz w:val="20"/>
      <w:szCs w:val="20"/>
    </w:rPr>
  </w:style>
  <w:style w:type="character" w:customStyle="1" w:styleId="CommentTextChar">
    <w:name w:val="Comment Text Char"/>
    <w:basedOn w:val="DefaultParagraphFont"/>
    <w:link w:val="CommentText"/>
    <w:uiPriority w:val="99"/>
    <w:semiHidden/>
    <w:rsid w:val="002B7491"/>
    <w:rPr>
      <w:rFonts w:ascii="Franklin Gothic Book" w:eastAsia="Times New Roman" w:hAnsi="Franklin Gothic Book" w:cs="Arial"/>
      <w:bCs/>
      <w:color w:val="003399"/>
      <w:sz w:val="20"/>
      <w:szCs w:val="20"/>
    </w:rPr>
  </w:style>
  <w:style w:type="paragraph" w:styleId="CommentSubject">
    <w:name w:val="annotation subject"/>
    <w:basedOn w:val="CommentText"/>
    <w:next w:val="CommentText"/>
    <w:link w:val="CommentSubjectChar"/>
    <w:uiPriority w:val="99"/>
    <w:semiHidden/>
    <w:unhideWhenUsed/>
    <w:rsid w:val="002B7491"/>
    <w:rPr>
      <w:b/>
    </w:rPr>
  </w:style>
  <w:style w:type="character" w:customStyle="1" w:styleId="CommentSubjectChar">
    <w:name w:val="Comment Subject Char"/>
    <w:basedOn w:val="CommentTextChar"/>
    <w:link w:val="CommentSubject"/>
    <w:uiPriority w:val="99"/>
    <w:semiHidden/>
    <w:rsid w:val="002B7491"/>
    <w:rPr>
      <w:rFonts w:ascii="Franklin Gothic Book" w:eastAsia="Times New Roman" w:hAnsi="Franklin Gothic Book" w:cs="Arial"/>
      <w:b/>
      <w:bCs/>
      <w:color w:val="003399"/>
      <w:sz w:val="20"/>
      <w:szCs w:val="20"/>
    </w:rPr>
  </w:style>
  <w:style w:type="paragraph" w:styleId="BalloonText">
    <w:name w:val="Balloon Text"/>
    <w:basedOn w:val="Normal"/>
    <w:link w:val="BalloonTextChar"/>
    <w:uiPriority w:val="99"/>
    <w:semiHidden/>
    <w:unhideWhenUsed/>
    <w:rsid w:val="002B7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491"/>
    <w:rPr>
      <w:rFonts w:ascii="Tahoma" w:eastAsia="Times New Roman" w:hAnsi="Tahoma" w:cs="Tahoma"/>
      <w:bCs/>
      <w:color w:val="003399"/>
      <w:sz w:val="16"/>
      <w:szCs w:val="16"/>
    </w:rPr>
  </w:style>
  <w:style w:type="character" w:customStyle="1" w:styleId="Heading1Char">
    <w:name w:val="Heading 1 Char"/>
    <w:aliases w:val="H1-Sec.Head Char"/>
    <w:basedOn w:val="DefaultParagraphFont"/>
    <w:link w:val="Heading1"/>
    <w:rsid w:val="003D50BD"/>
    <w:rPr>
      <w:rFonts w:ascii="Arial" w:eastAsia="Times New Roman" w:hAnsi="Arial" w:cs="Times New Roman"/>
      <w:b/>
      <w:color w:val="324162"/>
      <w:sz w:val="32"/>
      <w:szCs w:val="20"/>
    </w:rPr>
  </w:style>
  <w:style w:type="paragraph" w:customStyle="1" w:styleId="L1-FlLSp12">
    <w:name w:val="L1-FlL Sp&amp;1/2"/>
    <w:basedOn w:val="Normal"/>
    <w:link w:val="L1-FlLSp12Char"/>
    <w:rsid w:val="003D50BD"/>
    <w:pPr>
      <w:tabs>
        <w:tab w:val="left" w:pos="1152"/>
      </w:tabs>
      <w:spacing w:after="0"/>
    </w:pPr>
    <w:rPr>
      <w:rFonts w:ascii="Times New Roman" w:hAnsi="Times New Roman" w:cs="Times New Roman"/>
      <w:bCs w:val="0"/>
      <w:color w:val="auto"/>
      <w:sz w:val="22"/>
      <w:szCs w:val="20"/>
      <w:lang w:val="x-none" w:eastAsia="x-none"/>
    </w:rPr>
  </w:style>
  <w:style w:type="paragraph" w:customStyle="1" w:styleId="TT-TableTitle">
    <w:name w:val="TT-Table Title"/>
    <w:basedOn w:val="Heading1"/>
    <w:rsid w:val="003D50BD"/>
    <w:pPr>
      <w:tabs>
        <w:tab w:val="clear" w:pos="1152"/>
        <w:tab w:val="left" w:pos="1440"/>
      </w:tabs>
      <w:spacing w:after="0" w:line="240" w:lineRule="atLeast"/>
      <w:ind w:left="1440" w:hanging="1440"/>
    </w:pPr>
    <w:rPr>
      <w:color w:val="auto"/>
      <w:sz w:val="22"/>
    </w:rPr>
  </w:style>
  <w:style w:type="character" w:customStyle="1" w:styleId="L1-FlLSp12Char">
    <w:name w:val="L1-FlL Sp&amp;1/2 Char"/>
    <w:link w:val="L1-FlLSp12"/>
    <w:locked/>
    <w:rsid w:val="003D50BD"/>
    <w:rPr>
      <w:rFonts w:ascii="Times New Roman" w:eastAsia="Times New Roman" w:hAnsi="Times New Roman" w:cs="Times New Roman"/>
      <w:szCs w:val="20"/>
      <w:lang w:val="x-none" w:eastAsia="x-none"/>
    </w:rPr>
  </w:style>
  <w:style w:type="paragraph" w:styleId="NormalWeb">
    <w:name w:val="Normal (Web)"/>
    <w:basedOn w:val="Normal"/>
    <w:semiHidden/>
    <w:unhideWhenUsed/>
    <w:rsid w:val="003D50BD"/>
    <w:pPr>
      <w:spacing w:before="100" w:beforeAutospacing="1" w:after="100" w:afterAutospacing="1" w:line="240" w:lineRule="auto"/>
    </w:pPr>
    <w:rPr>
      <w:rFonts w:ascii="Times New Roman" w:hAnsi="Times New Roman" w:cs="Times New Roman"/>
      <w:bCs w:val="0"/>
      <w:color w:val="auto"/>
    </w:rPr>
  </w:style>
  <w:style w:type="character" w:customStyle="1" w:styleId="Heading4Char">
    <w:name w:val="Heading 4 Char"/>
    <w:basedOn w:val="DefaultParagraphFont"/>
    <w:link w:val="Heading4"/>
    <w:semiHidden/>
    <w:rsid w:val="00F22819"/>
    <w:rPr>
      <w:rFonts w:asciiTheme="majorHAnsi" w:eastAsiaTheme="majorEastAsia" w:hAnsiTheme="majorHAnsi" w:cstheme="majorBidi"/>
      <w:b/>
      <w:bCs/>
      <w:i/>
      <w:iCs/>
      <w:color w:val="4F81BD" w:themeColor="accent1"/>
      <w:szCs w:val="20"/>
    </w:rPr>
  </w:style>
  <w:style w:type="paragraph" w:customStyle="1" w:styleId="Question-indent">
    <w:name w:val="Question - indent"/>
    <w:basedOn w:val="Normal"/>
    <w:rsid w:val="00F22819"/>
    <w:pPr>
      <w:spacing w:after="0"/>
      <w:ind w:left="547" w:hanging="547"/>
    </w:pPr>
    <w:rPr>
      <w:rFonts w:ascii="Lucida Fax" w:hAnsi="Lucida Fax" w:cs="Times New Roman"/>
      <w:bCs w:val="0"/>
      <w:color w:val="auto"/>
      <w:sz w:val="22"/>
      <w:szCs w:val="20"/>
    </w:rPr>
  </w:style>
  <w:style w:type="paragraph" w:customStyle="1" w:styleId="Question">
    <w:name w:val="Question"/>
    <w:basedOn w:val="Footer"/>
    <w:rsid w:val="00F22819"/>
    <w:pPr>
      <w:tabs>
        <w:tab w:val="clear" w:pos="4680"/>
        <w:tab w:val="clear" w:pos="9360"/>
        <w:tab w:val="left" w:pos="4320"/>
      </w:tabs>
      <w:spacing w:before="240" w:after="120" w:line="320" w:lineRule="atLeast"/>
      <w:ind w:left="720" w:hanging="720"/>
    </w:pPr>
    <w:rPr>
      <w:rFonts w:cs="Times New Roman"/>
      <w:bCs w:val="0"/>
      <w:color w:val="auto"/>
      <w:sz w:val="22"/>
      <w:szCs w:val="20"/>
    </w:rPr>
  </w:style>
  <w:style w:type="paragraph" w:customStyle="1" w:styleId="table">
    <w:name w:val="table"/>
    <w:basedOn w:val="Footer"/>
    <w:rsid w:val="00F22819"/>
    <w:pPr>
      <w:widowControl w:val="0"/>
      <w:tabs>
        <w:tab w:val="clear" w:pos="4680"/>
        <w:tab w:val="clear" w:pos="9360"/>
        <w:tab w:val="left" w:pos="540"/>
      </w:tabs>
      <w:spacing w:before="120"/>
    </w:pPr>
    <w:rPr>
      <w:rFonts w:cs="Times New Roman"/>
      <w:bCs w:val="0"/>
      <w:vanish/>
      <w:color w:val="auto"/>
      <w:sz w:val="22"/>
      <w:szCs w:val="20"/>
    </w:rPr>
  </w:style>
  <w:style w:type="character" w:customStyle="1" w:styleId="Heading3Char">
    <w:name w:val="Heading 3 Char"/>
    <w:basedOn w:val="DefaultParagraphFont"/>
    <w:link w:val="Heading3"/>
    <w:uiPriority w:val="9"/>
    <w:semiHidden/>
    <w:rsid w:val="00CF2F60"/>
    <w:rPr>
      <w:rFonts w:asciiTheme="majorHAnsi" w:eastAsiaTheme="majorEastAsia" w:hAnsiTheme="majorHAnsi" w:cstheme="majorBidi"/>
      <w:b/>
      <w:bCs/>
      <w:color w:val="4F81BD" w:themeColor="accent1"/>
      <w:szCs w:val="24"/>
    </w:rPr>
  </w:style>
  <w:style w:type="character" w:styleId="PageNumber">
    <w:name w:val="page number"/>
    <w:aliases w:val="pn"/>
    <w:basedOn w:val="DefaultParagraphFont"/>
    <w:rsid w:val="00383F89"/>
    <w:rPr>
      <w:rFonts w:ascii="Arial" w:hAnsi="Arial" w:cs="Times New Roman"/>
      <w:sz w:val="18"/>
    </w:rPr>
  </w:style>
  <w:style w:type="paragraph" w:customStyle="1" w:styleId="NCESheadereven">
    <w:name w:val="NCES  header even"/>
    <w:basedOn w:val="Normal"/>
    <w:rsid w:val="00383F89"/>
    <w:pPr>
      <w:pBdr>
        <w:bottom w:val="single" w:sz="8" w:space="1" w:color="000000"/>
      </w:pBdr>
      <w:suppressAutoHyphens/>
      <w:spacing w:after="0" w:line="240" w:lineRule="auto"/>
    </w:pPr>
    <w:rPr>
      <w:rFonts w:ascii="Arial" w:hAnsi="Arial"/>
      <w:bCs w:val="0"/>
      <w:smallCaps/>
      <w:color w:val="auto"/>
      <w:sz w:val="18"/>
      <w:szCs w:val="20"/>
      <w:lang w:eastAsia="ar-SA"/>
    </w:rPr>
  </w:style>
  <w:style w:type="paragraph" w:customStyle="1" w:styleId="AppendixTitle">
    <w:name w:val="Appendix Title"/>
    <w:basedOn w:val="Heading1"/>
    <w:rsid w:val="00383F89"/>
    <w:pPr>
      <w:pBdr>
        <w:bottom w:val="double" w:sz="28" w:space="1" w:color="000000"/>
      </w:pBdr>
      <w:tabs>
        <w:tab w:val="clear" w:pos="1152"/>
      </w:tabs>
      <w:suppressAutoHyphens/>
      <w:spacing w:before="5000" w:after="120" w:line="240" w:lineRule="auto"/>
      <w:ind w:left="0" w:firstLine="0"/>
      <w:jc w:val="right"/>
    </w:pPr>
    <w:rPr>
      <w:rFonts w:cs="Arial"/>
      <w:color w:val="auto"/>
      <w:sz w:val="40"/>
      <w:szCs w:val="28"/>
      <w:lang w:eastAsia="ar-SA"/>
    </w:rPr>
  </w:style>
  <w:style w:type="paragraph" w:customStyle="1" w:styleId="NCESoddfooter">
    <w:name w:val="NCES odd footer"/>
    <w:basedOn w:val="Normal"/>
    <w:rsid w:val="00383F89"/>
    <w:pPr>
      <w:tabs>
        <w:tab w:val="center" w:pos="4320"/>
        <w:tab w:val="right" w:pos="9360"/>
      </w:tabs>
      <w:suppressAutoHyphens/>
      <w:spacing w:after="0" w:line="240" w:lineRule="auto"/>
      <w:jc w:val="right"/>
    </w:pPr>
    <w:rPr>
      <w:rFonts w:ascii="Arial" w:hAnsi="Arial"/>
      <w:bCs w:val="0"/>
      <w:smallCaps/>
      <w:color w:val="auto"/>
      <w:sz w:val="18"/>
      <w:szCs w:val="22"/>
      <w:lang w:eastAsia="ar-SA"/>
    </w:rPr>
  </w:style>
  <w:style w:type="character" w:customStyle="1" w:styleId="Heading8Char">
    <w:name w:val="Heading 8 Char"/>
    <w:basedOn w:val="DefaultParagraphFont"/>
    <w:link w:val="Heading8"/>
    <w:uiPriority w:val="9"/>
    <w:rsid w:val="00241ED5"/>
    <w:rPr>
      <w:rFonts w:asciiTheme="majorHAnsi" w:eastAsiaTheme="majorEastAsia" w:hAnsiTheme="majorHAnsi" w:cstheme="majorBidi"/>
      <w:bCs/>
      <w:color w:val="404040" w:themeColor="text1" w:themeTint="BF"/>
      <w:sz w:val="20"/>
      <w:szCs w:val="20"/>
    </w:rPr>
  </w:style>
  <w:style w:type="table" w:styleId="TableGrid">
    <w:name w:val="Table Grid"/>
    <w:basedOn w:val="TableNormal"/>
    <w:uiPriority w:val="59"/>
    <w:rsid w:val="003A6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A7C78"/>
    <w:rPr>
      <w:rFonts w:cs="Times New Roman"/>
      <w:color w:val="0000FF"/>
      <w:u w:val="single"/>
    </w:rPr>
  </w:style>
  <w:style w:type="paragraph" w:customStyle="1" w:styleId="bulletround">
    <w:name w:val="bullet round"/>
    <w:basedOn w:val="Normal"/>
    <w:link w:val="bulletroundChar"/>
    <w:uiPriority w:val="99"/>
    <w:rsid w:val="001A7C78"/>
    <w:pPr>
      <w:spacing w:after="60" w:line="259" w:lineRule="auto"/>
    </w:pPr>
    <w:rPr>
      <w:rFonts w:ascii="Garamond" w:hAnsi="Garamond"/>
      <w:bCs w:val="0"/>
      <w:color w:val="auto"/>
      <w:spacing w:val="-2"/>
      <w:szCs w:val="20"/>
    </w:rPr>
  </w:style>
  <w:style w:type="character" w:customStyle="1" w:styleId="bulletroundChar">
    <w:name w:val="bullet round Char"/>
    <w:link w:val="bulletround"/>
    <w:uiPriority w:val="99"/>
    <w:rsid w:val="001A7C78"/>
    <w:rPr>
      <w:rFonts w:ascii="Garamond" w:eastAsia="Times New Roman" w:hAnsi="Garamond" w:cs="Arial"/>
      <w:spacing w:val="-2"/>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2E9"/>
    <w:pPr>
      <w:spacing w:after="360" w:line="360" w:lineRule="atLeast"/>
    </w:pPr>
    <w:rPr>
      <w:rFonts w:ascii="Franklin Gothic Book" w:eastAsia="Times New Roman" w:hAnsi="Franklin Gothic Book" w:cs="Arial"/>
      <w:bCs/>
      <w:color w:val="003399"/>
      <w:sz w:val="24"/>
      <w:szCs w:val="24"/>
    </w:rPr>
  </w:style>
  <w:style w:type="paragraph" w:styleId="Heading1">
    <w:name w:val="heading 1"/>
    <w:aliases w:val="H1-Sec.Head"/>
    <w:basedOn w:val="Normal"/>
    <w:next w:val="L1-FlLSp12"/>
    <w:link w:val="Heading1Char"/>
    <w:qFormat/>
    <w:rsid w:val="003D50BD"/>
    <w:pPr>
      <w:keepNext/>
      <w:tabs>
        <w:tab w:val="left" w:pos="1152"/>
      </w:tabs>
      <w:ind w:left="1152" w:hanging="1152"/>
      <w:outlineLvl w:val="0"/>
    </w:pPr>
    <w:rPr>
      <w:rFonts w:ascii="Arial" w:hAnsi="Arial" w:cs="Times New Roman"/>
      <w:b/>
      <w:bCs w:val="0"/>
      <w:color w:val="324162"/>
      <w:sz w:val="32"/>
      <w:szCs w:val="20"/>
    </w:rPr>
  </w:style>
  <w:style w:type="paragraph" w:styleId="Heading3">
    <w:name w:val="heading 3"/>
    <w:basedOn w:val="Normal"/>
    <w:next w:val="Normal"/>
    <w:link w:val="Heading3Char"/>
    <w:uiPriority w:val="9"/>
    <w:semiHidden/>
    <w:unhideWhenUsed/>
    <w:qFormat/>
    <w:rsid w:val="00CF2F60"/>
    <w:pPr>
      <w:keepNext/>
      <w:keepLines/>
      <w:spacing w:before="200" w:after="0" w:line="240" w:lineRule="auto"/>
      <w:outlineLvl w:val="2"/>
    </w:pPr>
    <w:rPr>
      <w:rFonts w:asciiTheme="majorHAnsi" w:eastAsiaTheme="majorEastAsia" w:hAnsiTheme="majorHAnsi" w:cstheme="majorBidi"/>
      <w:b/>
      <w:color w:val="4F81BD" w:themeColor="accent1"/>
      <w:sz w:val="22"/>
    </w:rPr>
  </w:style>
  <w:style w:type="paragraph" w:styleId="Heading4">
    <w:name w:val="heading 4"/>
    <w:basedOn w:val="Normal"/>
    <w:next w:val="Normal"/>
    <w:link w:val="Heading4Char"/>
    <w:semiHidden/>
    <w:unhideWhenUsed/>
    <w:qFormat/>
    <w:rsid w:val="00F22819"/>
    <w:pPr>
      <w:keepNext/>
      <w:keepLines/>
      <w:spacing w:before="200" w:after="0"/>
      <w:outlineLvl w:val="3"/>
    </w:pPr>
    <w:rPr>
      <w:rFonts w:asciiTheme="majorHAnsi" w:eastAsiaTheme="majorEastAsia" w:hAnsiTheme="majorHAnsi" w:cstheme="majorBidi"/>
      <w:b/>
      <w:i/>
      <w:iCs/>
      <w:color w:val="4F81BD" w:themeColor="accent1"/>
      <w:sz w:val="22"/>
      <w:szCs w:val="20"/>
    </w:rPr>
  </w:style>
  <w:style w:type="paragraph" w:styleId="Heading8">
    <w:name w:val="heading 8"/>
    <w:basedOn w:val="Normal"/>
    <w:next w:val="Normal"/>
    <w:link w:val="Heading8Char"/>
    <w:uiPriority w:val="9"/>
    <w:unhideWhenUsed/>
    <w:qFormat/>
    <w:rsid w:val="00241ED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2E9"/>
  </w:style>
  <w:style w:type="paragraph" w:styleId="Footer">
    <w:name w:val="footer"/>
    <w:basedOn w:val="Normal"/>
    <w:link w:val="FooterChar"/>
    <w:uiPriority w:val="99"/>
    <w:unhideWhenUsed/>
    <w:rsid w:val="009B7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2E9"/>
  </w:style>
  <w:style w:type="paragraph" w:styleId="IntenseQuote">
    <w:name w:val="Intense Quote"/>
    <w:basedOn w:val="Normal"/>
    <w:next w:val="Normal"/>
    <w:link w:val="IntenseQuoteChar"/>
    <w:uiPriority w:val="99"/>
    <w:qFormat/>
    <w:rsid w:val="009B72E9"/>
    <w:pPr>
      <w:pBdr>
        <w:bottom w:val="single" w:sz="18" w:space="4" w:color="003399"/>
      </w:pBdr>
      <w:spacing w:before="200" w:after="280"/>
    </w:pPr>
    <w:rPr>
      <w:b/>
      <w:bCs w:val="0"/>
      <w:i/>
      <w:iCs/>
      <w:sz w:val="40"/>
    </w:rPr>
  </w:style>
  <w:style w:type="character" w:customStyle="1" w:styleId="IntenseQuoteChar">
    <w:name w:val="Intense Quote Char"/>
    <w:basedOn w:val="DefaultParagraphFont"/>
    <w:link w:val="IntenseQuote"/>
    <w:uiPriority w:val="99"/>
    <w:rsid w:val="009B72E9"/>
    <w:rPr>
      <w:rFonts w:ascii="Franklin Gothic Book" w:eastAsia="Times New Roman" w:hAnsi="Franklin Gothic Book" w:cs="Arial"/>
      <w:b/>
      <w:i/>
      <w:iCs/>
      <w:color w:val="003399"/>
      <w:sz w:val="40"/>
      <w:szCs w:val="24"/>
    </w:rPr>
  </w:style>
  <w:style w:type="paragraph" w:styleId="ListParagraph">
    <w:name w:val="List Paragraph"/>
    <w:basedOn w:val="Normal"/>
    <w:uiPriority w:val="34"/>
    <w:qFormat/>
    <w:rsid w:val="00B61F88"/>
    <w:pPr>
      <w:spacing w:after="200" w:line="276" w:lineRule="auto"/>
      <w:ind w:left="720"/>
      <w:contextualSpacing/>
    </w:pPr>
    <w:rPr>
      <w:rFonts w:asciiTheme="minorHAnsi" w:eastAsiaTheme="minorHAnsi" w:hAnsiTheme="minorHAnsi" w:cstheme="minorBidi"/>
      <w:bCs w:val="0"/>
      <w:color w:val="auto"/>
      <w:sz w:val="22"/>
      <w:szCs w:val="22"/>
    </w:rPr>
  </w:style>
  <w:style w:type="paragraph" w:customStyle="1" w:styleId="Bullet1">
    <w:name w:val="Bullet 1"/>
    <w:basedOn w:val="Normal"/>
    <w:link w:val="Bullet1Char"/>
    <w:qFormat/>
    <w:rsid w:val="00B61F88"/>
  </w:style>
  <w:style w:type="character" w:customStyle="1" w:styleId="Bullet1Char">
    <w:name w:val="Bullet 1 Char"/>
    <w:basedOn w:val="DefaultParagraphFont"/>
    <w:link w:val="Bullet1"/>
    <w:locked/>
    <w:rsid w:val="00B61F88"/>
    <w:rPr>
      <w:rFonts w:ascii="Franklin Gothic Book" w:eastAsia="Times New Roman" w:hAnsi="Franklin Gothic Book" w:cs="Arial"/>
      <w:bCs/>
      <w:color w:val="003399"/>
      <w:sz w:val="24"/>
      <w:szCs w:val="24"/>
    </w:rPr>
  </w:style>
  <w:style w:type="paragraph" w:customStyle="1" w:styleId="Bullet2">
    <w:name w:val="Bullet 2"/>
    <w:basedOn w:val="Normal"/>
    <w:link w:val="Bullet2Char"/>
    <w:qFormat/>
    <w:rsid w:val="007D7CE8"/>
    <w:rPr>
      <w:rFonts w:cs="Microsoft Sans Serif"/>
      <w:bCs w:val="0"/>
      <w:szCs w:val="22"/>
    </w:rPr>
  </w:style>
  <w:style w:type="character" w:customStyle="1" w:styleId="Bullet2Char">
    <w:name w:val="Bullet 2 Char"/>
    <w:basedOn w:val="DefaultParagraphFont"/>
    <w:link w:val="Bullet2"/>
    <w:locked/>
    <w:rsid w:val="007D7CE8"/>
    <w:rPr>
      <w:rFonts w:ascii="Franklin Gothic Book" w:eastAsia="Times New Roman" w:hAnsi="Franklin Gothic Book" w:cs="Microsoft Sans Serif"/>
      <w:color w:val="003399"/>
      <w:sz w:val="24"/>
    </w:rPr>
  </w:style>
  <w:style w:type="character" w:styleId="CommentReference">
    <w:name w:val="annotation reference"/>
    <w:basedOn w:val="DefaultParagraphFont"/>
    <w:uiPriority w:val="99"/>
    <w:semiHidden/>
    <w:unhideWhenUsed/>
    <w:rsid w:val="002B7491"/>
    <w:rPr>
      <w:sz w:val="16"/>
      <w:szCs w:val="16"/>
    </w:rPr>
  </w:style>
  <w:style w:type="paragraph" w:styleId="CommentText">
    <w:name w:val="annotation text"/>
    <w:basedOn w:val="Normal"/>
    <w:link w:val="CommentTextChar"/>
    <w:uiPriority w:val="99"/>
    <w:semiHidden/>
    <w:unhideWhenUsed/>
    <w:rsid w:val="002B7491"/>
    <w:pPr>
      <w:spacing w:line="240" w:lineRule="auto"/>
    </w:pPr>
    <w:rPr>
      <w:sz w:val="20"/>
      <w:szCs w:val="20"/>
    </w:rPr>
  </w:style>
  <w:style w:type="character" w:customStyle="1" w:styleId="CommentTextChar">
    <w:name w:val="Comment Text Char"/>
    <w:basedOn w:val="DefaultParagraphFont"/>
    <w:link w:val="CommentText"/>
    <w:uiPriority w:val="99"/>
    <w:semiHidden/>
    <w:rsid w:val="002B7491"/>
    <w:rPr>
      <w:rFonts w:ascii="Franklin Gothic Book" w:eastAsia="Times New Roman" w:hAnsi="Franklin Gothic Book" w:cs="Arial"/>
      <w:bCs/>
      <w:color w:val="003399"/>
      <w:sz w:val="20"/>
      <w:szCs w:val="20"/>
    </w:rPr>
  </w:style>
  <w:style w:type="paragraph" w:styleId="CommentSubject">
    <w:name w:val="annotation subject"/>
    <w:basedOn w:val="CommentText"/>
    <w:next w:val="CommentText"/>
    <w:link w:val="CommentSubjectChar"/>
    <w:uiPriority w:val="99"/>
    <w:semiHidden/>
    <w:unhideWhenUsed/>
    <w:rsid w:val="002B7491"/>
    <w:rPr>
      <w:b/>
    </w:rPr>
  </w:style>
  <w:style w:type="character" w:customStyle="1" w:styleId="CommentSubjectChar">
    <w:name w:val="Comment Subject Char"/>
    <w:basedOn w:val="CommentTextChar"/>
    <w:link w:val="CommentSubject"/>
    <w:uiPriority w:val="99"/>
    <w:semiHidden/>
    <w:rsid w:val="002B7491"/>
    <w:rPr>
      <w:rFonts w:ascii="Franklin Gothic Book" w:eastAsia="Times New Roman" w:hAnsi="Franklin Gothic Book" w:cs="Arial"/>
      <w:b/>
      <w:bCs/>
      <w:color w:val="003399"/>
      <w:sz w:val="20"/>
      <w:szCs w:val="20"/>
    </w:rPr>
  </w:style>
  <w:style w:type="paragraph" w:styleId="BalloonText">
    <w:name w:val="Balloon Text"/>
    <w:basedOn w:val="Normal"/>
    <w:link w:val="BalloonTextChar"/>
    <w:uiPriority w:val="99"/>
    <w:semiHidden/>
    <w:unhideWhenUsed/>
    <w:rsid w:val="002B7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491"/>
    <w:rPr>
      <w:rFonts w:ascii="Tahoma" w:eastAsia="Times New Roman" w:hAnsi="Tahoma" w:cs="Tahoma"/>
      <w:bCs/>
      <w:color w:val="003399"/>
      <w:sz w:val="16"/>
      <w:szCs w:val="16"/>
    </w:rPr>
  </w:style>
  <w:style w:type="character" w:customStyle="1" w:styleId="Heading1Char">
    <w:name w:val="Heading 1 Char"/>
    <w:aliases w:val="H1-Sec.Head Char"/>
    <w:basedOn w:val="DefaultParagraphFont"/>
    <w:link w:val="Heading1"/>
    <w:rsid w:val="003D50BD"/>
    <w:rPr>
      <w:rFonts w:ascii="Arial" w:eastAsia="Times New Roman" w:hAnsi="Arial" w:cs="Times New Roman"/>
      <w:b/>
      <w:color w:val="324162"/>
      <w:sz w:val="32"/>
      <w:szCs w:val="20"/>
    </w:rPr>
  </w:style>
  <w:style w:type="paragraph" w:customStyle="1" w:styleId="L1-FlLSp12">
    <w:name w:val="L1-FlL Sp&amp;1/2"/>
    <w:basedOn w:val="Normal"/>
    <w:link w:val="L1-FlLSp12Char"/>
    <w:rsid w:val="003D50BD"/>
    <w:pPr>
      <w:tabs>
        <w:tab w:val="left" w:pos="1152"/>
      </w:tabs>
      <w:spacing w:after="0"/>
    </w:pPr>
    <w:rPr>
      <w:rFonts w:ascii="Times New Roman" w:hAnsi="Times New Roman" w:cs="Times New Roman"/>
      <w:bCs w:val="0"/>
      <w:color w:val="auto"/>
      <w:sz w:val="22"/>
      <w:szCs w:val="20"/>
      <w:lang w:val="x-none" w:eastAsia="x-none"/>
    </w:rPr>
  </w:style>
  <w:style w:type="paragraph" w:customStyle="1" w:styleId="TT-TableTitle">
    <w:name w:val="TT-Table Title"/>
    <w:basedOn w:val="Heading1"/>
    <w:rsid w:val="003D50BD"/>
    <w:pPr>
      <w:tabs>
        <w:tab w:val="clear" w:pos="1152"/>
        <w:tab w:val="left" w:pos="1440"/>
      </w:tabs>
      <w:spacing w:after="0" w:line="240" w:lineRule="atLeast"/>
      <w:ind w:left="1440" w:hanging="1440"/>
    </w:pPr>
    <w:rPr>
      <w:color w:val="auto"/>
      <w:sz w:val="22"/>
    </w:rPr>
  </w:style>
  <w:style w:type="character" w:customStyle="1" w:styleId="L1-FlLSp12Char">
    <w:name w:val="L1-FlL Sp&amp;1/2 Char"/>
    <w:link w:val="L1-FlLSp12"/>
    <w:locked/>
    <w:rsid w:val="003D50BD"/>
    <w:rPr>
      <w:rFonts w:ascii="Times New Roman" w:eastAsia="Times New Roman" w:hAnsi="Times New Roman" w:cs="Times New Roman"/>
      <w:szCs w:val="20"/>
      <w:lang w:val="x-none" w:eastAsia="x-none"/>
    </w:rPr>
  </w:style>
  <w:style w:type="paragraph" w:styleId="NormalWeb">
    <w:name w:val="Normal (Web)"/>
    <w:basedOn w:val="Normal"/>
    <w:semiHidden/>
    <w:unhideWhenUsed/>
    <w:rsid w:val="003D50BD"/>
    <w:pPr>
      <w:spacing w:before="100" w:beforeAutospacing="1" w:after="100" w:afterAutospacing="1" w:line="240" w:lineRule="auto"/>
    </w:pPr>
    <w:rPr>
      <w:rFonts w:ascii="Times New Roman" w:hAnsi="Times New Roman" w:cs="Times New Roman"/>
      <w:bCs w:val="0"/>
      <w:color w:val="auto"/>
    </w:rPr>
  </w:style>
  <w:style w:type="character" w:customStyle="1" w:styleId="Heading4Char">
    <w:name w:val="Heading 4 Char"/>
    <w:basedOn w:val="DefaultParagraphFont"/>
    <w:link w:val="Heading4"/>
    <w:semiHidden/>
    <w:rsid w:val="00F22819"/>
    <w:rPr>
      <w:rFonts w:asciiTheme="majorHAnsi" w:eastAsiaTheme="majorEastAsia" w:hAnsiTheme="majorHAnsi" w:cstheme="majorBidi"/>
      <w:b/>
      <w:bCs/>
      <w:i/>
      <w:iCs/>
      <w:color w:val="4F81BD" w:themeColor="accent1"/>
      <w:szCs w:val="20"/>
    </w:rPr>
  </w:style>
  <w:style w:type="paragraph" w:customStyle="1" w:styleId="Question-indent">
    <w:name w:val="Question - indent"/>
    <w:basedOn w:val="Normal"/>
    <w:rsid w:val="00F22819"/>
    <w:pPr>
      <w:spacing w:after="0"/>
      <w:ind w:left="547" w:hanging="547"/>
    </w:pPr>
    <w:rPr>
      <w:rFonts w:ascii="Lucida Fax" w:hAnsi="Lucida Fax" w:cs="Times New Roman"/>
      <w:bCs w:val="0"/>
      <w:color w:val="auto"/>
      <w:sz w:val="22"/>
      <w:szCs w:val="20"/>
    </w:rPr>
  </w:style>
  <w:style w:type="paragraph" w:customStyle="1" w:styleId="Question">
    <w:name w:val="Question"/>
    <w:basedOn w:val="Footer"/>
    <w:rsid w:val="00F22819"/>
    <w:pPr>
      <w:tabs>
        <w:tab w:val="clear" w:pos="4680"/>
        <w:tab w:val="clear" w:pos="9360"/>
        <w:tab w:val="left" w:pos="4320"/>
      </w:tabs>
      <w:spacing w:before="240" w:after="120" w:line="320" w:lineRule="atLeast"/>
      <w:ind w:left="720" w:hanging="720"/>
    </w:pPr>
    <w:rPr>
      <w:rFonts w:cs="Times New Roman"/>
      <w:bCs w:val="0"/>
      <w:color w:val="auto"/>
      <w:sz w:val="22"/>
      <w:szCs w:val="20"/>
    </w:rPr>
  </w:style>
  <w:style w:type="paragraph" w:customStyle="1" w:styleId="table">
    <w:name w:val="table"/>
    <w:basedOn w:val="Footer"/>
    <w:rsid w:val="00F22819"/>
    <w:pPr>
      <w:widowControl w:val="0"/>
      <w:tabs>
        <w:tab w:val="clear" w:pos="4680"/>
        <w:tab w:val="clear" w:pos="9360"/>
        <w:tab w:val="left" w:pos="540"/>
      </w:tabs>
      <w:spacing w:before="120"/>
    </w:pPr>
    <w:rPr>
      <w:rFonts w:cs="Times New Roman"/>
      <w:bCs w:val="0"/>
      <w:vanish/>
      <w:color w:val="auto"/>
      <w:sz w:val="22"/>
      <w:szCs w:val="20"/>
    </w:rPr>
  </w:style>
  <w:style w:type="character" w:customStyle="1" w:styleId="Heading3Char">
    <w:name w:val="Heading 3 Char"/>
    <w:basedOn w:val="DefaultParagraphFont"/>
    <w:link w:val="Heading3"/>
    <w:uiPriority w:val="9"/>
    <w:semiHidden/>
    <w:rsid w:val="00CF2F60"/>
    <w:rPr>
      <w:rFonts w:asciiTheme="majorHAnsi" w:eastAsiaTheme="majorEastAsia" w:hAnsiTheme="majorHAnsi" w:cstheme="majorBidi"/>
      <w:b/>
      <w:bCs/>
      <w:color w:val="4F81BD" w:themeColor="accent1"/>
      <w:szCs w:val="24"/>
    </w:rPr>
  </w:style>
  <w:style w:type="character" w:styleId="PageNumber">
    <w:name w:val="page number"/>
    <w:aliases w:val="pn"/>
    <w:basedOn w:val="DefaultParagraphFont"/>
    <w:rsid w:val="00383F89"/>
    <w:rPr>
      <w:rFonts w:ascii="Arial" w:hAnsi="Arial" w:cs="Times New Roman"/>
      <w:sz w:val="18"/>
    </w:rPr>
  </w:style>
  <w:style w:type="paragraph" w:customStyle="1" w:styleId="NCESheadereven">
    <w:name w:val="NCES  header even"/>
    <w:basedOn w:val="Normal"/>
    <w:rsid w:val="00383F89"/>
    <w:pPr>
      <w:pBdr>
        <w:bottom w:val="single" w:sz="8" w:space="1" w:color="000000"/>
      </w:pBdr>
      <w:suppressAutoHyphens/>
      <w:spacing w:after="0" w:line="240" w:lineRule="auto"/>
    </w:pPr>
    <w:rPr>
      <w:rFonts w:ascii="Arial" w:hAnsi="Arial"/>
      <w:bCs w:val="0"/>
      <w:smallCaps/>
      <w:color w:val="auto"/>
      <w:sz w:val="18"/>
      <w:szCs w:val="20"/>
      <w:lang w:eastAsia="ar-SA"/>
    </w:rPr>
  </w:style>
  <w:style w:type="paragraph" w:customStyle="1" w:styleId="AppendixTitle">
    <w:name w:val="Appendix Title"/>
    <w:basedOn w:val="Heading1"/>
    <w:rsid w:val="00383F89"/>
    <w:pPr>
      <w:pBdr>
        <w:bottom w:val="double" w:sz="28" w:space="1" w:color="000000"/>
      </w:pBdr>
      <w:tabs>
        <w:tab w:val="clear" w:pos="1152"/>
      </w:tabs>
      <w:suppressAutoHyphens/>
      <w:spacing w:before="5000" w:after="120" w:line="240" w:lineRule="auto"/>
      <w:ind w:left="0" w:firstLine="0"/>
      <w:jc w:val="right"/>
    </w:pPr>
    <w:rPr>
      <w:rFonts w:cs="Arial"/>
      <w:color w:val="auto"/>
      <w:sz w:val="40"/>
      <w:szCs w:val="28"/>
      <w:lang w:eastAsia="ar-SA"/>
    </w:rPr>
  </w:style>
  <w:style w:type="paragraph" w:customStyle="1" w:styleId="NCESoddfooter">
    <w:name w:val="NCES odd footer"/>
    <w:basedOn w:val="Normal"/>
    <w:rsid w:val="00383F89"/>
    <w:pPr>
      <w:tabs>
        <w:tab w:val="center" w:pos="4320"/>
        <w:tab w:val="right" w:pos="9360"/>
      </w:tabs>
      <w:suppressAutoHyphens/>
      <w:spacing w:after="0" w:line="240" w:lineRule="auto"/>
      <w:jc w:val="right"/>
    </w:pPr>
    <w:rPr>
      <w:rFonts w:ascii="Arial" w:hAnsi="Arial"/>
      <w:bCs w:val="0"/>
      <w:smallCaps/>
      <w:color w:val="auto"/>
      <w:sz w:val="18"/>
      <w:szCs w:val="22"/>
      <w:lang w:eastAsia="ar-SA"/>
    </w:rPr>
  </w:style>
  <w:style w:type="character" w:customStyle="1" w:styleId="Heading8Char">
    <w:name w:val="Heading 8 Char"/>
    <w:basedOn w:val="DefaultParagraphFont"/>
    <w:link w:val="Heading8"/>
    <w:uiPriority w:val="9"/>
    <w:rsid w:val="00241ED5"/>
    <w:rPr>
      <w:rFonts w:asciiTheme="majorHAnsi" w:eastAsiaTheme="majorEastAsia" w:hAnsiTheme="majorHAnsi" w:cstheme="majorBidi"/>
      <w:bCs/>
      <w:color w:val="404040" w:themeColor="text1" w:themeTint="BF"/>
      <w:sz w:val="20"/>
      <w:szCs w:val="20"/>
    </w:rPr>
  </w:style>
  <w:style w:type="table" w:styleId="TableGrid">
    <w:name w:val="Table Grid"/>
    <w:basedOn w:val="TableNormal"/>
    <w:uiPriority w:val="59"/>
    <w:rsid w:val="003A6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A7C78"/>
    <w:rPr>
      <w:rFonts w:cs="Times New Roman"/>
      <w:color w:val="0000FF"/>
      <w:u w:val="single"/>
    </w:rPr>
  </w:style>
  <w:style w:type="paragraph" w:customStyle="1" w:styleId="bulletround">
    <w:name w:val="bullet round"/>
    <w:basedOn w:val="Normal"/>
    <w:link w:val="bulletroundChar"/>
    <w:uiPriority w:val="99"/>
    <w:rsid w:val="001A7C78"/>
    <w:pPr>
      <w:spacing w:after="60" w:line="259" w:lineRule="auto"/>
    </w:pPr>
    <w:rPr>
      <w:rFonts w:ascii="Garamond" w:hAnsi="Garamond"/>
      <w:bCs w:val="0"/>
      <w:color w:val="auto"/>
      <w:spacing w:val="-2"/>
      <w:szCs w:val="20"/>
    </w:rPr>
  </w:style>
  <w:style w:type="character" w:customStyle="1" w:styleId="bulletroundChar">
    <w:name w:val="bullet round Char"/>
    <w:link w:val="bulletround"/>
    <w:uiPriority w:val="99"/>
    <w:rsid w:val="001A7C78"/>
    <w:rPr>
      <w:rFonts w:ascii="Garamond" w:eastAsia="Times New Roman" w:hAnsi="Garamond" w:cs="Arial"/>
      <w:spacing w:val="-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8659">
      <w:bodyDiv w:val="1"/>
      <w:marLeft w:val="0"/>
      <w:marRight w:val="0"/>
      <w:marTop w:val="0"/>
      <w:marBottom w:val="0"/>
      <w:divBdr>
        <w:top w:val="none" w:sz="0" w:space="0" w:color="auto"/>
        <w:left w:val="none" w:sz="0" w:space="0" w:color="auto"/>
        <w:bottom w:val="none" w:sz="0" w:space="0" w:color="auto"/>
        <w:right w:val="none" w:sz="0" w:space="0" w:color="auto"/>
      </w:divBdr>
    </w:div>
    <w:div w:id="506673806">
      <w:bodyDiv w:val="1"/>
      <w:marLeft w:val="0"/>
      <w:marRight w:val="0"/>
      <w:marTop w:val="0"/>
      <w:marBottom w:val="0"/>
      <w:divBdr>
        <w:top w:val="none" w:sz="0" w:space="0" w:color="auto"/>
        <w:left w:val="none" w:sz="0" w:space="0" w:color="auto"/>
        <w:bottom w:val="none" w:sz="0" w:space="0" w:color="auto"/>
        <w:right w:val="none" w:sz="0" w:space="0" w:color="auto"/>
      </w:divBdr>
    </w:div>
    <w:div w:id="597376308">
      <w:bodyDiv w:val="1"/>
      <w:marLeft w:val="0"/>
      <w:marRight w:val="0"/>
      <w:marTop w:val="0"/>
      <w:marBottom w:val="0"/>
      <w:divBdr>
        <w:top w:val="none" w:sz="0" w:space="0" w:color="auto"/>
        <w:left w:val="none" w:sz="0" w:space="0" w:color="auto"/>
        <w:bottom w:val="none" w:sz="0" w:space="0" w:color="auto"/>
        <w:right w:val="none" w:sz="0" w:space="0" w:color="auto"/>
      </w:divBdr>
    </w:div>
    <w:div w:id="1350062762">
      <w:bodyDiv w:val="1"/>
      <w:marLeft w:val="0"/>
      <w:marRight w:val="0"/>
      <w:marTop w:val="0"/>
      <w:marBottom w:val="0"/>
      <w:divBdr>
        <w:top w:val="none" w:sz="0" w:space="0" w:color="auto"/>
        <w:left w:val="none" w:sz="0" w:space="0" w:color="auto"/>
        <w:bottom w:val="none" w:sz="0" w:space="0" w:color="auto"/>
        <w:right w:val="none" w:sz="0" w:space="0" w:color="auto"/>
      </w:divBdr>
    </w:div>
    <w:div w:id="1631087776">
      <w:bodyDiv w:val="1"/>
      <w:marLeft w:val="0"/>
      <w:marRight w:val="0"/>
      <w:marTop w:val="0"/>
      <w:marBottom w:val="0"/>
      <w:divBdr>
        <w:top w:val="none" w:sz="0" w:space="0" w:color="auto"/>
        <w:left w:val="none" w:sz="0" w:space="0" w:color="auto"/>
        <w:bottom w:val="none" w:sz="0" w:space="0" w:color="auto"/>
        <w:right w:val="none" w:sz="0" w:space="0" w:color="auto"/>
      </w:divBdr>
    </w:div>
    <w:div w:id="1827550755">
      <w:bodyDiv w:val="1"/>
      <w:marLeft w:val="0"/>
      <w:marRight w:val="0"/>
      <w:marTop w:val="0"/>
      <w:marBottom w:val="0"/>
      <w:divBdr>
        <w:top w:val="none" w:sz="0" w:space="0" w:color="auto"/>
        <w:left w:val="none" w:sz="0" w:space="0" w:color="auto"/>
        <w:bottom w:val="none" w:sz="0" w:space="0" w:color="auto"/>
        <w:right w:val="none" w:sz="0" w:space="0" w:color="auto"/>
      </w:divBdr>
    </w:div>
    <w:div w:id="207015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ies.ed.gov/funding/grantsearch/details.asp?ID=1853"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8A03B-B547-4860-B92A-AE4C0E6B1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1635</Words>
  <Characters>9323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Shugoll</dc:creator>
  <cp:lastModifiedBy>Kubzdela, Kashka</cp:lastModifiedBy>
  <cp:revision>4</cp:revision>
  <cp:lastPrinted>2015-08-19T19:18:00Z</cp:lastPrinted>
  <dcterms:created xsi:type="dcterms:W3CDTF">2016-12-20T22:26:00Z</dcterms:created>
  <dcterms:modified xsi:type="dcterms:W3CDTF">2017-05-10T18:36:00Z</dcterms:modified>
</cp:coreProperties>
</file>