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BB0" w:rsidRPr="00D379D9" w:rsidRDefault="00AA1BB0" w:rsidP="00AA1BB0">
      <w:pPr>
        <w:jc w:val="center"/>
        <w:rPr>
          <w:sz w:val="26"/>
          <w:szCs w:val="26"/>
        </w:rPr>
      </w:pPr>
      <w:bookmarkStart w:id="0" w:name="_GoBack"/>
      <w:bookmarkEnd w:id="0"/>
      <w:r w:rsidRPr="00D379D9">
        <w:rPr>
          <w:sz w:val="26"/>
          <w:szCs w:val="26"/>
        </w:rPr>
        <w:t>FEDERAL ENERGY REGULATORY COMMISSION</w:t>
      </w:r>
    </w:p>
    <w:p w:rsidR="00AA1BB0" w:rsidRPr="00D379D9" w:rsidRDefault="00AA1BB0" w:rsidP="00AA1BB0">
      <w:pPr>
        <w:jc w:val="center"/>
        <w:rPr>
          <w:sz w:val="26"/>
          <w:szCs w:val="26"/>
        </w:rPr>
      </w:pPr>
      <w:r w:rsidRPr="00D379D9">
        <w:rPr>
          <w:sz w:val="26"/>
          <w:szCs w:val="26"/>
        </w:rPr>
        <w:t>WASHINGTON, D.C. 20426</w:t>
      </w:r>
    </w:p>
    <w:p w:rsidR="00AA1BB0" w:rsidRPr="00D379D9" w:rsidRDefault="00AA1BB0" w:rsidP="00AA1BB0">
      <w:pPr>
        <w:jc w:val="center"/>
        <w:rPr>
          <w:sz w:val="26"/>
          <w:szCs w:val="26"/>
        </w:rPr>
      </w:pPr>
    </w:p>
    <w:p w:rsidR="00AA1BB0" w:rsidRPr="00D379D9" w:rsidRDefault="00AA1BB0" w:rsidP="00AA1BB0">
      <w:pPr>
        <w:widowControl/>
        <w:outlineLvl w:val="0"/>
        <w:rPr>
          <w:sz w:val="26"/>
          <w:szCs w:val="26"/>
        </w:rPr>
      </w:pPr>
    </w:p>
    <w:p w:rsidR="00AA1BB0" w:rsidRPr="00D379D9" w:rsidRDefault="00AA1BB0" w:rsidP="00AA1BB0">
      <w:pPr>
        <w:widowControl/>
        <w:outlineLvl w:val="0"/>
        <w:rPr>
          <w:sz w:val="26"/>
          <w:szCs w:val="26"/>
        </w:rPr>
      </w:pPr>
      <w:r w:rsidRPr="00D379D9">
        <w:rPr>
          <w:sz w:val="26"/>
          <w:szCs w:val="26"/>
        </w:rPr>
        <w:t>OFFICE OF ELECTRIC RELIABILITY</w:t>
      </w:r>
    </w:p>
    <w:p w:rsidR="00AA1BB0" w:rsidRPr="00D379D9" w:rsidRDefault="00AA1BB0" w:rsidP="00AA1BB0">
      <w:pPr>
        <w:widowControl/>
        <w:ind w:firstLine="2880"/>
        <w:rPr>
          <w:sz w:val="26"/>
          <w:szCs w:val="26"/>
        </w:rPr>
      </w:pPr>
    </w:p>
    <w:p w:rsidR="00AA1BB0" w:rsidRPr="00D379D9" w:rsidRDefault="00AA1BB0" w:rsidP="00AA1BB0">
      <w:pPr>
        <w:widowControl/>
        <w:ind w:left="3600"/>
        <w:rPr>
          <w:sz w:val="26"/>
          <w:szCs w:val="26"/>
        </w:rPr>
      </w:pPr>
      <w:r w:rsidRPr="00D379D9">
        <w:rPr>
          <w:sz w:val="26"/>
          <w:szCs w:val="26"/>
        </w:rPr>
        <w:t>North American Electric Reliability Corporation</w:t>
      </w:r>
    </w:p>
    <w:p w:rsidR="00AA1BB0" w:rsidRPr="00D379D9" w:rsidRDefault="00AA1BB0" w:rsidP="00AA1BB0">
      <w:pPr>
        <w:widowControl/>
        <w:ind w:left="2880" w:firstLine="720"/>
        <w:rPr>
          <w:sz w:val="26"/>
          <w:szCs w:val="26"/>
          <w:lang w:val="de-DE"/>
        </w:rPr>
      </w:pPr>
      <w:r w:rsidRPr="00D379D9">
        <w:rPr>
          <w:sz w:val="26"/>
          <w:szCs w:val="26"/>
          <w:lang w:val="de-DE"/>
        </w:rPr>
        <w:t xml:space="preserve">Docket No. </w:t>
      </w:r>
      <w:r w:rsidR="009C315C" w:rsidRPr="00D379D9">
        <w:rPr>
          <w:caps/>
          <w:sz w:val="26"/>
          <w:szCs w:val="26"/>
        </w:rPr>
        <w:t>RD1</w:t>
      </w:r>
      <w:r w:rsidR="00DA6E67">
        <w:rPr>
          <w:caps/>
          <w:sz w:val="26"/>
          <w:szCs w:val="26"/>
        </w:rPr>
        <w:t>7</w:t>
      </w:r>
      <w:r w:rsidR="009C315C">
        <w:rPr>
          <w:caps/>
          <w:sz w:val="26"/>
          <w:szCs w:val="26"/>
        </w:rPr>
        <w:t>-</w:t>
      </w:r>
      <w:r w:rsidR="00DA6E67">
        <w:rPr>
          <w:caps/>
          <w:sz w:val="26"/>
          <w:szCs w:val="26"/>
        </w:rPr>
        <w:t>1</w:t>
      </w:r>
      <w:r w:rsidR="00EB1DBB">
        <w:rPr>
          <w:caps/>
          <w:sz w:val="26"/>
          <w:szCs w:val="26"/>
        </w:rPr>
        <w:t>-</w:t>
      </w:r>
      <w:r w:rsidR="009C315C">
        <w:rPr>
          <w:caps/>
          <w:sz w:val="26"/>
          <w:szCs w:val="26"/>
        </w:rPr>
        <w:t>0</w:t>
      </w:r>
      <w:r w:rsidR="009C315C" w:rsidRPr="00D379D9">
        <w:rPr>
          <w:sz w:val="26"/>
          <w:szCs w:val="26"/>
        </w:rPr>
        <w:t>00</w:t>
      </w:r>
    </w:p>
    <w:p w:rsidR="00AA1BB0" w:rsidRPr="00D379D9" w:rsidRDefault="00AA1BB0" w:rsidP="00AA1BB0">
      <w:pPr>
        <w:widowControl/>
        <w:ind w:left="2880" w:firstLine="720"/>
        <w:rPr>
          <w:sz w:val="26"/>
          <w:szCs w:val="26"/>
          <w:lang w:val="de-DE"/>
        </w:rPr>
      </w:pPr>
    </w:p>
    <w:p w:rsidR="00AA1BB0" w:rsidRPr="00D379D9" w:rsidRDefault="00AA1BB0" w:rsidP="00AA1BB0">
      <w:pPr>
        <w:widowControl/>
        <w:ind w:left="2880" w:firstLine="720"/>
        <w:rPr>
          <w:sz w:val="26"/>
          <w:szCs w:val="26"/>
        </w:rPr>
      </w:pPr>
    </w:p>
    <w:p w:rsidR="00AA1BB0" w:rsidRPr="00D379D9" w:rsidRDefault="00CA3B47" w:rsidP="00AA1BB0">
      <w:pPr>
        <w:widowControl/>
        <w:ind w:left="2880" w:firstLine="720"/>
        <w:rPr>
          <w:sz w:val="26"/>
          <w:szCs w:val="26"/>
          <w:lang w:val="de-DE"/>
        </w:rPr>
      </w:pPr>
      <w:r>
        <w:rPr>
          <w:sz w:val="26"/>
          <w:szCs w:val="26"/>
        </w:rPr>
        <w:t xml:space="preserve">January </w:t>
      </w:r>
      <w:r w:rsidR="00D21C64">
        <w:rPr>
          <w:sz w:val="26"/>
          <w:szCs w:val="26"/>
        </w:rPr>
        <w:t>18</w:t>
      </w:r>
      <w:r w:rsidR="00AA1BB0" w:rsidRPr="0030709C">
        <w:rPr>
          <w:sz w:val="26"/>
          <w:szCs w:val="26"/>
        </w:rPr>
        <w:t>,</w:t>
      </w:r>
      <w:r w:rsidR="0035348B">
        <w:rPr>
          <w:sz w:val="26"/>
          <w:szCs w:val="26"/>
        </w:rPr>
        <w:t xml:space="preserve"> 201</w:t>
      </w:r>
      <w:r>
        <w:rPr>
          <w:sz w:val="26"/>
          <w:szCs w:val="26"/>
        </w:rPr>
        <w:t>7</w:t>
      </w:r>
    </w:p>
    <w:p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rsidR="00AA1BB0" w:rsidRPr="00D379D9" w:rsidRDefault="00AA1BB0" w:rsidP="00AA1BB0">
      <w:pPr>
        <w:widowControl/>
        <w:rPr>
          <w:sz w:val="26"/>
          <w:szCs w:val="26"/>
        </w:rPr>
      </w:pPr>
    </w:p>
    <w:p w:rsidR="00AA1BB0" w:rsidRPr="00D379D9" w:rsidRDefault="00AA1BB0" w:rsidP="00AA1BB0">
      <w:pPr>
        <w:ind w:left="720" w:hanging="720"/>
        <w:rPr>
          <w:sz w:val="26"/>
          <w:szCs w:val="26"/>
        </w:rPr>
      </w:pPr>
      <w:r w:rsidRPr="00D379D9">
        <w:rPr>
          <w:sz w:val="26"/>
          <w:szCs w:val="26"/>
        </w:rPr>
        <w:t>North American Electric Reliability Corporation</w:t>
      </w:r>
    </w:p>
    <w:p w:rsidR="00AA1BB0" w:rsidRPr="00D379D9" w:rsidRDefault="00AA1BB0" w:rsidP="00AA1BB0">
      <w:pPr>
        <w:ind w:left="720" w:hanging="720"/>
        <w:rPr>
          <w:sz w:val="26"/>
          <w:szCs w:val="26"/>
        </w:rPr>
      </w:pPr>
      <w:r w:rsidRPr="00D379D9">
        <w:rPr>
          <w:sz w:val="26"/>
          <w:szCs w:val="26"/>
        </w:rPr>
        <w:t>1325 G Street N.W., Suite 600</w:t>
      </w:r>
    </w:p>
    <w:p w:rsidR="00AA1BB0" w:rsidRPr="00D379D9" w:rsidRDefault="00AA1BB0" w:rsidP="00AA1BB0">
      <w:pPr>
        <w:widowControl/>
        <w:rPr>
          <w:sz w:val="26"/>
          <w:szCs w:val="26"/>
        </w:rPr>
      </w:pPr>
      <w:r w:rsidRPr="00D379D9">
        <w:rPr>
          <w:sz w:val="26"/>
          <w:szCs w:val="26"/>
        </w:rPr>
        <w:t>Washington, D.C. 20005</w:t>
      </w:r>
    </w:p>
    <w:p w:rsidR="00AA1BB0" w:rsidRPr="00D379D9" w:rsidRDefault="00AA1BB0" w:rsidP="00AA1BB0">
      <w:pPr>
        <w:widowControl/>
        <w:rPr>
          <w:sz w:val="26"/>
          <w:szCs w:val="26"/>
        </w:rPr>
      </w:pPr>
    </w:p>
    <w:p w:rsidR="00593DD0" w:rsidRPr="00DB097E" w:rsidRDefault="00AA1BB0" w:rsidP="00593DD0">
      <w:pPr>
        <w:pStyle w:val="Default"/>
        <w:tabs>
          <w:tab w:val="left" w:pos="720"/>
          <w:tab w:val="left" w:pos="1440"/>
          <w:tab w:val="left" w:pos="2160"/>
          <w:tab w:val="left" w:pos="2880"/>
          <w:tab w:val="left" w:pos="3705"/>
        </w:tabs>
        <w:rPr>
          <w:sz w:val="26"/>
          <w:szCs w:val="26"/>
        </w:rPr>
      </w:pPr>
      <w:r w:rsidRPr="00D379D9">
        <w:rPr>
          <w:sz w:val="26"/>
          <w:szCs w:val="26"/>
        </w:rPr>
        <w:t>Attention:</w:t>
      </w:r>
      <w:r w:rsidRPr="00D379D9">
        <w:rPr>
          <w:sz w:val="26"/>
          <w:szCs w:val="26"/>
        </w:rPr>
        <w:tab/>
      </w:r>
      <w:r w:rsidR="0087758F" w:rsidRPr="00706DC4">
        <w:rPr>
          <w:color w:val="auto"/>
          <w:sz w:val="26"/>
          <w:szCs w:val="26"/>
        </w:rPr>
        <w:t>Candice Castaneda</w:t>
      </w:r>
      <w:r w:rsidR="00593DD0">
        <w:rPr>
          <w:sz w:val="26"/>
          <w:szCs w:val="26"/>
        </w:rPr>
        <w:tab/>
      </w:r>
    </w:p>
    <w:p w:rsidR="00593DD0" w:rsidRPr="00DB097E" w:rsidRDefault="00593DD0" w:rsidP="00593DD0">
      <w:pPr>
        <w:ind w:left="720" w:firstLine="720"/>
        <w:rPr>
          <w:sz w:val="26"/>
          <w:szCs w:val="26"/>
        </w:rPr>
      </w:pPr>
      <w:r w:rsidRPr="00DB097E">
        <w:rPr>
          <w:sz w:val="26"/>
          <w:szCs w:val="26"/>
        </w:rPr>
        <w:t xml:space="preserve">Counsel for North American Electric Reliability Corporation </w:t>
      </w:r>
    </w:p>
    <w:p w:rsidR="00AA1BB0" w:rsidRPr="00D379D9" w:rsidRDefault="00AA1BB0" w:rsidP="00593DD0">
      <w:pPr>
        <w:pStyle w:val="Default"/>
        <w:rPr>
          <w:sz w:val="26"/>
          <w:szCs w:val="26"/>
        </w:rPr>
      </w:pPr>
      <w:r w:rsidRPr="00D379D9">
        <w:rPr>
          <w:sz w:val="26"/>
          <w:szCs w:val="26"/>
        </w:rPr>
        <w:tab/>
      </w:r>
    </w:p>
    <w:p w:rsidR="00AA1BB0" w:rsidRPr="00D379D9" w:rsidRDefault="00AA1BB0" w:rsidP="00AA1BB0">
      <w:pPr>
        <w:ind w:left="1440" w:hanging="1440"/>
        <w:rPr>
          <w:sz w:val="26"/>
          <w:szCs w:val="26"/>
        </w:rPr>
      </w:pPr>
      <w:r w:rsidRPr="00D379D9">
        <w:rPr>
          <w:sz w:val="26"/>
          <w:szCs w:val="26"/>
        </w:rPr>
        <w:t>Reference:</w:t>
      </w:r>
      <w:r w:rsidRPr="00D379D9">
        <w:rPr>
          <w:sz w:val="26"/>
          <w:szCs w:val="26"/>
        </w:rPr>
        <w:tab/>
      </w:r>
      <w:r w:rsidR="00AA5425" w:rsidRPr="00AA5425">
        <w:rPr>
          <w:sz w:val="26"/>
          <w:szCs w:val="26"/>
        </w:rPr>
        <w:t>P</w:t>
      </w:r>
      <w:r w:rsidR="00AA5425">
        <w:rPr>
          <w:sz w:val="26"/>
          <w:szCs w:val="26"/>
        </w:rPr>
        <w:t>etition</w:t>
      </w:r>
      <w:r w:rsidR="00AA5425" w:rsidRPr="00AA5425">
        <w:rPr>
          <w:sz w:val="26"/>
          <w:szCs w:val="26"/>
        </w:rPr>
        <w:t xml:space="preserve"> </w:t>
      </w:r>
      <w:r w:rsidR="00AA5425">
        <w:rPr>
          <w:sz w:val="26"/>
          <w:szCs w:val="26"/>
        </w:rPr>
        <w:t>of</w:t>
      </w:r>
      <w:r w:rsidR="00AA5425" w:rsidRPr="00AA5425">
        <w:rPr>
          <w:sz w:val="26"/>
          <w:szCs w:val="26"/>
        </w:rPr>
        <w:t xml:space="preserve"> </w:t>
      </w:r>
      <w:r w:rsidR="00AA5425">
        <w:rPr>
          <w:sz w:val="26"/>
          <w:szCs w:val="26"/>
        </w:rPr>
        <w:t>the</w:t>
      </w:r>
      <w:r w:rsidR="00AA5425" w:rsidRPr="00AA5425">
        <w:rPr>
          <w:sz w:val="26"/>
          <w:szCs w:val="26"/>
        </w:rPr>
        <w:t xml:space="preserve"> N</w:t>
      </w:r>
      <w:r w:rsidR="00AA5425">
        <w:rPr>
          <w:sz w:val="26"/>
          <w:szCs w:val="26"/>
        </w:rPr>
        <w:t>orth</w:t>
      </w:r>
      <w:r w:rsidR="00AA5425" w:rsidRPr="00AA5425">
        <w:rPr>
          <w:sz w:val="26"/>
          <w:szCs w:val="26"/>
        </w:rPr>
        <w:t xml:space="preserve"> A</w:t>
      </w:r>
      <w:r w:rsidR="00AA5425">
        <w:rPr>
          <w:sz w:val="26"/>
          <w:szCs w:val="26"/>
        </w:rPr>
        <w:t>merican</w:t>
      </w:r>
      <w:r w:rsidR="00AA5425" w:rsidRPr="00AA5425">
        <w:rPr>
          <w:sz w:val="26"/>
          <w:szCs w:val="26"/>
        </w:rPr>
        <w:t xml:space="preserve"> E</w:t>
      </w:r>
      <w:r w:rsidR="00AA5425">
        <w:rPr>
          <w:sz w:val="26"/>
          <w:szCs w:val="26"/>
        </w:rPr>
        <w:t>lectric</w:t>
      </w:r>
      <w:r w:rsidR="00AA5425" w:rsidRPr="00AA5425">
        <w:rPr>
          <w:sz w:val="26"/>
          <w:szCs w:val="26"/>
        </w:rPr>
        <w:t xml:space="preserve"> R</w:t>
      </w:r>
      <w:r w:rsidR="00AA5425">
        <w:rPr>
          <w:sz w:val="26"/>
          <w:szCs w:val="26"/>
        </w:rPr>
        <w:t>eliability</w:t>
      </w:r>
      <w:r w:rsidR="00AA5425" w:rsidRPr="00AA5425">
        <w:rPr>
          <w:sz w:val="26"/>
          <w:szCs w:val="26"/>
        </w:rPr>
        <w:t xml:space="preserve"> C</w:t>
      </w:r>
      <w:r w:rsidR="00AA5425">
        <w:rPr>
          <w:sz w:val="26"/>
          <w:szCs w:val="26"/>
        </w:rPr>
        <w:t>orporation</w:t>
      </w:r>
      <w:r w:rsidR="00AA5425" w:rsidRPr="00AA5425">
        <w:rPr>
          <w:sz w:val="26"/>
          <w:szCs w:val="26"/>
        </w:rPr>
        <w:t xml:space="preserve"> </w:t>
      </w:r>
      <w:r w:rsidR="00AA5425">
        <w:rPr>
          <w:sz w:val="26"/>
          <w:szCs w:val="26"/>
        </w:rPr>
        <w:t>for</w:t>
      </w:r>
      <w:r w:rsidR="00AA5425" w:rsidRPr="00AA5425">
        <w:rPr>
          <w:sz w:val="26"/>
          <w:szCs w:val="26"/>
        </w:rPr>
        <w:t xml:space="preserve"> A</w:t>
      </w:r>
      <w:r w:rsidR="00AA5425">
        <w:rPr>
          <w:sz w:val="26"/>
          <w:szCs w:val="26"/>
        </w:rPr>
        <w:t>pproval</w:t>
      </w:r>
      <w:r w:rsidR="00AA5425" w:rsidRPr="00AA5425">
        <w:rPr>
          <w:sz w:val="26"/>
          <w:szCs w:val="26"/>
        </w:rPr>
        <w:t xml:space="preserve"> </w:t>
      </w:r>
      <w:r w:rsidR="00AA5425">
        <w:rPr>
          <w:sz w:val="26"/>
          <w:szCs w:val="26"/>
        </w:rPr>
        <w:t>of</w:t>
      </w:r>
      <w:r w:rsidR="00AA5425" w:rsidRPr="00AA5425">
        <w:rPr>
          <w:sz w:val="26"/>
          <w:szCs w:val="26"/>
        </w:rPr>
        <w:t xml:space="preserve"> </w:t>
      </w:r>
      <w:r w:rsidR="00DA6E67" w:rsidRPr="00706DC4">
        <w:rPr>
          <w:sz w:val="26"/>
          <w:szCs w:val="26"/>
        </w:rPr>
        <w:t>retirement of currently-effective Reliability Standard BAL-004-0</w:t>
      </w:r>
    </w:p>
    <w:p w:rsidR="00AA1BB0" w:rsidRPr="00D379D9" w:rsidRDefault="00AA1BB0" w:rsidP="00AA1BB0">
      <w:pPr>
        <w:widowControl/>
        <w:rPr>
          <w:sz w:val="26"/>
          <w:szCs w:val="26"/>
        </w:rPr>
      </w:pPr>
    </w:p>
    <w:p w:rsidR="00AA1BB0" w:rsidRPr="00D379D9" w:rsidRDefault="00AA1BB0" w:rsidP="00AA1BB0">
      <w:pPr>
        <w:widowControl/>
        <w:rPr>
          <w:sz w:val="26"/>
          <w:szCs w:val="26"/>
        </w:rPr>
      </w:pPr>
      <w:r w:rsidRPr="00D379D9">
        <w:rPr>
          <w:sz w:val="26"/>
          <w:szCs w:val="26"/>
        </w:rPr>
        <w:t>Dear M</w:t>
      </w:r>
      <w:r w:rsidR="00706DC4">
        <w:rPr>
          <w:sz w:val="26"/>
          <w:szCs w:val="26"/>
        </w:rPr>
        <w:t>s. Castaneda</w:t>
      </w:r>
      <w:r w:rsidRPr="00D379D9">
        <w:rPr>
          <w:sz w:val="26"/>
          <w:szCs w:val="26"/>
        </w:rPr>
        <w:t>:</w:t>
      </w:r>
    </w:p>
    <w:p w:rsidR="00AA1BB0" w:rsidRPr="00D379D9" w:rsidRDefault="00AA1BB0" w:rsidP="00AA1BB0">
      <w:pPr>
        <w:widowControl/>
        <w:rPr>
          <w:sz w:val="26"/>
          <w:szCs w:val="26"/>
        </w:rPr>
      </w:pPr>
    </w:p>
    <w:p w:rsidR="00A70A51" w:rsidRDefault="009C315C" w:rsidP="00A70A51">
      <w:pPr>
        <w:widowControl/>
        <w:ind w:firstLine="720"/>
        <w:rPr>
          <w:sz w:val="26"/>
          <w:szCs w:val="26"/>
        </w:rPr>
      </w:pPr>
      <w:r w:rsidRPr="009C315C">
        <w:rPr>
          <w:sz w:val="26"/>
          <w:szCs w:val="26"/>
        </w:rPr>
        <w:t xml:space="preserve">On </w:t>
      </w:r>
      <w:r w:rsidR="006E4D07">
        <w:rPr>
          <w:sz w:val="26"/>
          <w:szCs w:val="26"/>
        </w:rPr>
        <w:t>November</w:t>
      </w:r>
      <w:r w:rsidRPr="009C315C">
        <w:rPr>
          <w:sz w:val="26"/>
          <w:szCs w:val="26"/>
        </w:rPr>
        <w:t xml:space="preserve"> </w:t>
      </w:r>
      <w:r w:rsidR="00D3661C">
        <w:rPr>
          <w:sz w:val="26"/>
          <w:szCs w:val="26"/>
        </w:rPr>
        <w:t>1</w:t>
      </w:r>
      <w:r w:rsidR="006E4D07">
        <w:rPr>
          <w:sz w:val="26"/>
          <w:szCs w:val="26"/>
        </w:rPr>
        <w:t>0</w:t>
      </w:r>
      <w:r w:rsidRPr="009C315C">
        <w:rPr>
          <w:sz w:val="26"/>
          <w:szCs w:val="26"/>
        </w:rPr>
        <w:t>, 201</w:t>
      </w:r>
      <w:r w:rsidR="00BE7E59">
        <w:rPr>
          <w:sz w:val="26"/>
          <w:szCs w:val="26"/>
        </w:rPr>
        <w:t>6</w:t>
      </w:r>
      <w:r w:rsidRPr="009C315C">
        <w:rPr>
          <w:sz w:val="26"/>
          <w:szCs w:val="26"/>
        </w:rPr>
        <w:t xml:space="preserve">, the North American Electric Reliability Corporation (NERC) filed a </w:t>
      </w:r>
      <w:r w:rsidR="00633BA8">
        <w:rPr>
          <w:sz w:val="26"/>
          <w:szCs w:val="26"/>
        </w:rPr>
        <w:t>petition</w:t>
      </w:r>
      <w:r w:rsidRPr="009C315C">
        <w:rPr>
          <w:sz w:val="26"/>
          <w:szCs w:val="26"/>
        </w:rPr>
        <w:t xml:space="preserve"> for Commission approval</w:t>
      </w:r>
      <w:r w:rsidR="006E4D07">
        <w:rPr>
          <w:sz w:val="26"/>
          <w:szCs w:val="26"/>
        </w:rPr>
        <w:t xml:space="preserve"> of retirement</w:t>
      </w:r>
      <w:r w:rsidR="000D2B3C">
        <w:rPr>
          <w:sz w:val="26"/>
          <w:szCs w:val="26"/>
        </w:rPr>
        <w:t xml:space="preserve">, </w:t>
      </w:r>
      <w:r w:rsidR="000D2B3C" w:rsidRPr="009C315C">
        <w:rPr>
          <w:sz w:val="26"/>
          <w:szCs w:val="26"/>
        </w:rPr>
        <w:t>pursuant to section 215(d</w:t>
      </w:r>
      <w:proofErr w:type="gramStart"/>
      <w:r w:rsidR="000D2B3C" w:rsidRPr="009C315C">
        <w:rPr>
          <w:sz w:val="26"/>
          <w:szCs w:val="26"/>
        </w:rPr>
        <w:t>)(</w:t>
      </w:r>
      <w:proofErr w:type="gramEnd"/>
      <w:r w:rsidR="000D2B3C" w:rsidRPr="009C315C">
        <w:rPr>
          <w:sz w:val="26"/>
          <w:szCs w:val="26"/>
        </w:rPr>
        <w:t>1) of the Federal Power Act (FPA)</w:t>
      </w:r>
      <w:r w:rsidR="000D2B3C" w:rsidRPr="0087758F">
        <w:rPr>
          <w:rStyle w:val="FootnoteReference"/>
        </w:rPr>
        <w:footnoteReference w:id="1"/>
      </w:r>
      <w:r w:rsidR="000D2B3C" w:rsidRPr="00706DC4">
        <w:rPr>
          <w:rStyle w:val="FootnoteReference"/>
        </w:rPr>
        <w:t xml:space="preserve"> </w:t>
      </w:r>
      <w:r w:rsidR="000D2B3C" w:rsidRPr="009C315C">
        <w:rPr>
          <w:sz w:val="26"/>
          <w:szCs w:val="26"/>
        </w:rPr>
        <w:t>and Section 39.5 of the Commission’s regulations</w:t>
      </w:r>
      <w:r w:rsidR="00972003">
        <w:rPr>
          <w:sz w:val="26"/>
          <w:szCs w:val="26"/>
        </w:rPr>
        <w:t>,</w:t>
      </w:r>
      <w:r w:rsidR="000D2B3C" w:rsidRPr="00A70A51">
        <w:rPr>
          <w:rStyle w:val="FootnoteReference"/>
        </w:rPr>
        <w:footnoteReference w:id="2"/>
      </w:r>
      <w:r w:rsidR="000D2B3C">
        <w:rPr>
          <w:sz w:val="26"/>
          <w:szCs w:val="26"/>
        </w:rPr>
        <w:t xml:space="preserve"> </w:t>
      </w:r>
      <w:r w:rsidRPr="009C315C">
        <w:rPr>
          <w:sz w:val="26"/>
          <w:szCs w:val="26"/>
        </w:rPr>
        <w:t xml:space="preserve">of </w:t>
      </w:r>
      <w:r w:rsidR="006E4D07" w:rsidRPr="00706DC4">
        <w:rPr>
          <w:sz w:val="26"/>
          <w:szCs w:val="26"/>
        </w:rPr>
        <w:t>currently-effective Reliability Standard BAL-004-0 (Time Error Correction)</w:t>
      </w:r>
      <w:r w:rsidR="0083429C">
        <w:rPr>
          <w:sz w:val="26"/>
          <w:szCs w:val="26"/>
        </w:rPr>
        <w:t xml:space="preserve">.  </w:t>
      </w:r>
      <w:r w:rsidR="0083429C" w:rsidRPr="0083429C">
        <w:rPr>
          <w:sz w:val="26"/>
          <w:szCs w:val="26"/>
        </w:rPr>
        <w:t xml:space="preserve">NERC also seeks approval </w:t>
      </w:r>
      <w:r w:rsidR="00A70A51" w:rsidRPr="00706DC4">
        <w:rPr>
          <w:sz w:val="26"/>
          <w:szCs w:val="26"/>
        </w:rPr>
        <w:t>to retire Reliability Standard BAL-004-0 effective on the later of</w:t>
      </w:r>
      <w:r w:rsidR="00972003">
        <w:rPr>
          <w:sz w:val="26"/>
          <w:szCs w:val="26"/>
        </w:rPr>
        <w:t xml:space="preserve">: </w:t>
      </w:r>
      <w:r w:rsidR="00A70A51" w:rsidRPr="00706DC4">
        <w:rPr>
          <w:sz w:val="26"/>
          <w:szCs w:val="26"/>
        </w:rPr>
        <w:t xml:space="preserve"> (</w:t>
      </w:r>
      <w:proofErr w:type="spellStart"/>
      <w:r w:rsidR="00A70A51" w:rsidRPr="00706DC4">
        <w:rPr>
          <w:sz w:val="26"/>
          <w:szCs w:val="26"/>
        </w:rPr>
        <w:t>i</w:t>
      </w:r>
      <w:proofErr w:type="spellEnd"/>
      <w:r w:rsidR="00A70A51" w:rsidRPr="00706DC4">
        <w:rPr>
          <w:sz w:val="26"/>
          <w:szCs w:val="26"/>
        </w:rPr>
        <w:t>) the first day of the first calendar quarter after the effective date of the Commission’s order approving retirement</w:t>
      </w:r>
      <w:r w:rsidR="00972003">
        <w:rPr>
          <w:sz w:val="26"/>
          <w:szCs w:val="26"/>
        </w:rPr>
        <w:t>;</w:t>
      </w:r>
      <w:r w:rsidR="00A70A51" w:rsidRPr="00706DC4">
        <w:rPr>
          <w:sz w:val="26"/>
          <w:szCs w:val="26"/>
        </w:rPr>
        <w:t xml:space="preserve"> or (ii) the effective date of retirement/reservation</w:t>
      </w:r>
      <w:r w:rsidR="00A70A51">
        <w:rPr>
          <w:rStyle w:val="FootnoteReference"/>
        </w:rPr>
        <w:footnoteReference w:id="3"/>
      </w:r>
      <w:r w:rsidR="00A70A51" w:rsidRPr="00706DC4">
        <w:rPr>
          <w:sz w:val="26"/>
          <w:szCs w:val="26"/>
        </w:rPr>
        <w:t xml:space="preserve"> of North American Energy Standard Board (“NAESB”) WEQ-006 Manual Time Error Correction Business Practi</w:t>
      </w:r>
      <w:r w:rsidR="00A70A51" w:rsidRPr="00A70A51">
        <w:rPr>
          <w:sz w:val="26"/>
          <w:szCs w:val="26"/>
        </w:rPr>
        <w:t>ce Standard (“NAESB WEQ-006”)</w:t>
      </w:r>
      <w:r w:rsidR="00972003">
        <w:rPr>
          <w:sz w:val="26"/>
          <w:szCs w:val="26"/>
        </w:rPr>
        <w:t>.</w:t>
      </w:r>
      <w:r w:rsidR="00A70A51" w:rsidRPr="00706DC4">
        <w:rPr>
          <w:sz w:val="26"/>
          <w:szCs w:val="26"/>
        </w:rPr>
        <w:t xml:space="preserve"> NERC’s proposal is conditioned upon retirement of NAESB WEQ-006 to avoid uncoordinated manual </w:t>
      </w:r>
      <w:r w:rsidR="00972003">
        <w:rPr>
          <w:sz w:val="26"/>
          <w:szCs w:val="26"/>
        </w:rPr>
        <w:t>Time Error Correction</w:t>
      </w:r>
      <w:r w:rsidR="00A70A51" w:rsidRPr="00706DC4">
        <w:rPr>
          <w:sz w:val="26"/>
          <w:szCs w:val="26"/>
        </w:rPr>
        <w:t xml:space="preserve">. </w:t>
      </w:r>
      <w:r w:rsidR="00706DC4">
        <w:rPr>
          <w:sz w:val="26"/>
          <w:szCs w:val="26"/>
        </w:rPr>
        <w:t xml:space="preserve"> </w:t>
      </w:r>
      <w:r w:rsidR="00A70A51" w:rsidRPr="00706DC4">
        <w:rPr>
          <w:sz w:val="26"/>
          <w:szCs w:val="26"/>
        </w:rPr>
        <w:t xml:space="preserve">NERC understands that NAESB’s effort </w:t>
      </w:r>
      <w:r w:rsidR="00A70A51" w:rsidRPr="00706DC4">
        <w:rPr>
          <w:sz w:val="26"/>
          <w:szCs w:val="26"/>
        </w:rPr>
        <w:lastRenderedPageBreak/>
        <w:t>regarding proposed retirement of NAESB WEQ-006 is underway and NAESB will make an informational filing following the completion of its standards development process</w:t>
      </w:r>
      <w:r w:rsidR="00A70A51">
        <w:rPr>
          <w:sz w:val="26"/>
          <w:szCs w:val="26"/>
        </w:rPr>
        <w:t>.</w:t>
      </w:r>
    </w:p>
    <w:p w:rsidR="0083429C" w:rsidRDefault="0083429C" w:rsidP="00A16538">
      <w:pPr>
        <w:widowControl/>
        <w:rPr>
          <w:sz w:val="26"/>
          <w:szCs w:val="26"/>
        </w:rPr>
      </w:pPr>
    </w:p>
    <w:p w:rsidR="004A564E" w:rsidRDefault="004E1E30" w:rsidP="00334B2B">
      <w:pPr>
        <w:widowControl/>
        <w:ind w:firstLine="720"/>
        <w:rPr>
          <w:sz w:val="26"/>
          <w:szCs w:val="26"/>
          <w:highlight w:val="yellow"/>
        </w:rPr>
      </w:pPr>
      <w:r w:rsidRPr="003B53C5">
        <w:rPr>
          <w:sz w:val="26"/>
          <w:szCs w:val="26"/>
        </w:rPr>
        <w:t xml:space="preserve">The purpose of Reliability Standard BAL-004-0 is to ensure that Time Error Correction is conducted in a manner that does not adversely affect the reliability of the Interconnection.  Reliability Standard BAL-004-0 establishes a process to invoke a </w:t>
      </w:r>
      <w:r w:rsidR="00972003">
        <w:rPr>
          <w:sz w:val="26"/>
          <w:szCs w:val="26"/>
        </w:rPr>
        <w:t>Time Error Correction</w:t>
      </w:r>
      <w:r w:rsidR="00CA3B47" w:rsidRPr="003B53C5">
        <w:rPr>
          <w:sz w:val="26"/>
          <w:szCs w:val="26"/>
        </w:rPr>
        <w:t>, if necessary,</w:t>
      </w:r>
      <w:r w:rsidRPr="003B53C5">
        <w:rPr>
          <w:sz w:val="26"/>
          <w:szCs w:val="26"/>
        </w:rPr>
        <w:t xml:space="preserve"> </w:t>
      </w:r>
      <w:r w:rsidR="00CA3B47" w:rsidRPr="003B53C5">
        <w:rPr>
          <w:sz w:val="26"/>
          <w:szCs w:val="26"/>
        </w:rPr>
        <w:t xml:space="preserve">that would be overseen </w:t>
      </w:r>
      <w:r w:rsidRPr="003B53C5">
        <w:rPr>
          <w:sz w:val="26"/>
          <w:szCs w:val="26"/>
        </w:rPr>
        <w:t xml:space="preserve">by </w:t>
      </w:r>
      <w:r w:rsidR="00972003">
        <w:rPr>
          <w:sz w:val="26"/>
          <w:szCs w:val="26"/>
        </w:rPr>
        <w:t>r</w:t>
      </w:r>
      <w:r w:rsidRPr="003B53C5">
        <w:rPr>
          <w:sz w:val="26"/>
          <w:szCs w:val="26"/>
        </w:rPr>
        <w:t xml:space="preserve">eliability </w:t>
      </w:r>
      <w:r w:rsidR="00972003">
        <w:rPr>
          <w:sz w:val="26"/>
          <w:szCs w:val="26"/>
        </w:rPr>
        <w:t>c</w:t>
      </w:r>
      <w:r w:rsidRPr="003B53C5">
        <w:rPr>
          <w:sz w:val="26"/>
          <w:szCs w:val="26"/>
        </w:rPr>
        <w:t xml:space="preserve">oordinators and implemented by </w:t>
      </w:r>
      <w:r w:rsidR="00972003">
        <w:rPr>
          <w:sz w:val="26"/>
          <w:szCs w:val="26"/>
        </w:rPr>
        <w:t>b</w:t>
      </w:r>
      <w:r w:rsidRPr="003B53C5">
        <w:rPr>
          <w:sz w:val="26"/>
          <w:szCs w:val="26"/>
        </w:rPr>
        <w:t xml:space="preserve">alancing </w:t>
      </w:r>
      <w:r w:rsidR="00972003">
        <w:rPr>
          <w:sz w:val="26"/>
          <w:szCs w:val="26"/>
        </w:rPr>
        <w:t>a</w:t>
      </w:r>
      <w:r w:rsidRPr="003B53C5">
        <w:rPr>
          <w:sz w:val="26"/>
          <w:szCs w:val="26"/>
        </w:rPr>
        <w:t>uthorities.</w:t>
      </w:r>
      <w:r w:rsidRPr="003B53C5">
        <w:rPr>
          <w:rStyle w:val="FootnoteReference"/>
        </w:rPr>
        <w:footnoteReference w:id="4"/>
      </w:r>
      <w:r w:rsidRPr="003B53C5">
        <w:rPr>
          <w:sz w:val="26"/>
          <w:szCs w:val="26"/>
        </w:rPr>
        <w:t xml:space="preserve">  NERC states that manual </w:t>
      </w:r>
      <w:r w:rsidR="00972003">
        <w:rPr>
          <w:sz w:val="26"/>
          <w:szCs w:val="26"/>
        </w:rPr>
        <w:t>Time Error Correction</w:t>
      </w:r>
      <w:r w:rsidRPr="003B53C5">
        <w:rPr>
          <w:sz w:val="26"/>
          <w:szCs w:val="26"/>
        </w:rPr>
        <w:t xml:space="preserve"> places the Interconnection closer to the appropriate frequency through an offset to the frequency schedule as requested by an Interconnection Time Monitor (one of many roles of the </w:t>
      </w:r>
      <w:r w:rsidR="00972003">
        <w:rPr>
          <w:sz w:val="26"/>
          <w:szCs w:val="26"/>
        </w:rPr>
        <w:t>r</w:t>
      </w:r>
      <w:r w:rsidRPr="003B53C5">
        <w:rPr>
          <w:sz w:val="26"/>
          <w:szCs w:val="26"/>
        </w:rPr>
        <w:t xml:space="preserve">eliability </w:t>
      </w:r>
      <w:r w:rsidR="00972003">
        <w:rPr>
          <w:sz w:val="26"/>
          <w:szCs w:val="26"/>
        </w:rPr>
        <w:t>c</w:t>
      </w:r>
      <w:r w:rsidRPr="003B53C5">
        <w:rPr>
          <w:sz w:val="26"/>
          <w:szCs w:val="26"/>
        </w:rPr>
        <w:t>oordinator).</w:t>
      </w:r>
      <w:r w:rsidRPr="003B53C5">
        <w:rPr>
          <w:rStyle w:val="FootnoteReference"/>
        </w:rPr>
        <w:t xml:space="preserve"> </w:t>
      </w:r>
      <w:r w:rsidRPr="003B53C5">
        <w:rPr>
          <w:rStyle w:val="FootnoteReference"/>
        </w:rPr>
        <w:footnoteReference w:id="5"/>
      </w:r>
      <w:r w:rsidRPr="004E1E30">
        <w:rPr>
          <w:sz w:val="26"/>
          <w:szCs w:val="26"/>
        </w:rPr>
        <w:t xml:space="preserve"> </w:t>
      </w:r>
      <w:r>
        <w:rPr>
          <w:sz w:val="26"/>
          <w:szCs w:val="26"/>
        </w:rPr>
        <w:t xml:space="preserve"> </w:t>
      </w:r>
      <w:r w:rsidRPr="003B53C5">
        <w:rPr>
          <w:sz w:val="26"/>
          <w:szCs w:val="26"/>
        </w:rPr>
        <w:t xml:space="preserve">NERC explains that since Reliability Standard BAL-004-0 became effective, improvements have been made to mandatory Reliability Standards (such as the development of Reliability Standards BAL-003-1.1 and BAL-001-2 and the Interconnection Reliability Operations and Coordination (IRO) Standards) that help ensure continued adherence to frequency approximating 60 Hertz over long-term averages and make </w:t>
      </w:r>
      <w:r w:rsidR="00972003">
        <w:rPr>
          <w:sz w:val="26"/>
          <w:szCs w:val="26"/>
        </w:rPr>
        <w:t xml:space="preserve">Reliability Standard </w:t>
      </w:r>
      <w:r w:rsidRPr="003B53C5">
        <w:rPr>
          <w:sz w:val="26"/>
          <w:szCs w:val="26"/>
        </w:rPr>
        <w:t>BAL-004-0 redundant.</w:t>
      </w:r>
      <w:r w:rsidR="004A564E" w:rsidRPr="003B53C5">
        <w:rPr>
          <w:sz w:val="26"/>
          <w:szCs w:val="26"/>
        </w:rPr>
        <w:t xml:space="preserve">  </w:t>
      </w:r>
    </w:p>
    <w:p w:rsidR="00334B2B" w:rsidRDefault="00334B2B" w:rsidP="00334B2B">
      <w:pPr>
        <w:widowControl/>
        <w:ind w:firstLine="720"/>
        <w:rPr>
          <w:sz w:val="26"/>
          <w:szCs w:val="26"/>
        </w:rPr>
      </w:pPr>
    </w:p>
    <w:p w:rsidR="00F66CD8" w:rsidRDefault="00F66CD8" w:rsidP="00E27ABB">
      <w:pPr>
        <w:widowControl/>
        <w:autoSpaceDE/>
        <w:autoSpaceDN/>
        <w:adjustRightInd/>
        <w:spacing w:after="240"/>
        <w:ind w:firstLine="720"/>
        <w:rPr>
          <w:sz w:val="26"/>
          <w:szCs w:val="26"/>
        </w:rPr>
      </w:pPr>
      <w:r>
        <w:rPr>
          <w:sz w:val="26"/>
          <w:szCs w:val="26"/>
        </w:rPr>
        <w:t xml:space="preserve">As part of the support for the retirement of </w:t>
      </w:r>
      <w:r w:rsidR="00972003">
        <w:rPr>
          <w:sz w:val="26"/>
          <w:szCs w:val="26"/>
        </w:rPr>
        <w:t xml:space="preserve">Reliability Standard </w:t>
      </w:r>
      <w:r>
        <w:rPr>
          <w:sz w:val="26"/>
          <w:szCs w:val="26"/>
        </w:rPr>
        <w:t xml:space="preserve">BAL-004-0, the NERC Operating Committee approved </w:t>
      </w:r>
      <w:r w:rsidRPr="00F66CD8">
        <w:rPr>
          <w:i/>
          <w:sz w:val="26"/>
          <w:szCs w:val="26"/>
        </w:rPr>
        <w:t>Manual Time Error Correc</w:t>
      </w:r>
      <w:r>
        <w:rPr>
          <w:i/>
          <w:sz w:val="26"/>
          <w:szCs w:val="26"/>
        </w:rPr>
        <w:t>tion Reference Document</w:t>
      </w:r>
      <w:r>
        <w:rPr>
          <w:rStyle w:val="FootnoteReference"/>
          <w:i/>
        </w:rPr>
        <w:footnoteReference w:id="6"/>
      </w:r>
      <w:r>
        <w:rPr>
          <w:sz w:val="26"/>
          <w:szCs w:val="26"/>
        </w:rPr>
        <w:t xml:space="preserve"> which is “intended to help ease the trans</w:t>
      </w:r>
      <w:r w:rsidR="000F672E">
        <w:rPr>
          <w:sz w:val="26"/>
          <w:szCs w:val="26"/>
        </w:rPr>
        <w:t xml:space="preserve">ition upon retirement of BAL-004-0 and assure the Commission and potential non-utility industry that if </w:t>
      </w:r>
      <w:r w:rsidR="009E318B">
        <w:rPr>
          <w:sz w:val="26"/>
          <w:szCs w:val="26"/>
        </w:rPr>
        <w:t>[Time Error Correction]</w:t>
      </w:r>
      <w:r w:rsidR="000F672E">
        <w:rPr>
          <w:sz w:val="26"/>
          <w:szCs w:val="26"/>
        </w:rPr>
        <w:t xml:space="preserve"> is determined necessary, it will be performed in a coordinated and reliable manner.”</w:t>
      </w:r>
      <w:r w:rsidR="000F672E">
        <w:rPr>
          <w:rStyle w:val="FootnoteReference"/>
        </w:rPr>
        <w:footnoteReference w:id="7"/>
      </w:r>
      <w:r w:rsidR="006A2AEE">
        <w:rPr>
          <w:sz w:val="26"/>
          <w:szCs w:val="26"/>
        </w:rPr>
        <w:t xml:space="preserve">    </w:t>
      </w:r>
      <w:r>
        <w:rPr>
          <w:sz w:val="26"/>
          <w:szCs w:val="26"/>
        </w:rPr>
        <w:t xml:space="preserve"> </w:t>
      </w:r>
    </w:p>
    <w:p w:rsidR="00547321" w:rsidRDefault="00882605" w:rsidP="00547321">
      <w:pPr>
        <w:spacing w:after="240"/>
        <w:ind w:firstLine="720"/>
        <w:rPr>
          <w:sz w:val="26"/>
          <w:szCs w:val="26"/>
        </w:rPr>
      </w:pPr>
      <w:r w:rsidRPr="0030709C">
        <w:rPr>
          <w:sz w:val="26"/>
          <w:szCs w:val="26"/>
        </w:rPr>
        <w:t>NERC’s f</w:t>
      </w:r>
      <w:r w:rsidR="00547321" w:rsidRPr="0030709C">
        <w:rPr>
          <w:sz w:val="26"/>
          <w:szCs w:val="26"/>
        </w:rPr>
        <w:t xml:space="preserve">iling was noticed on </w:t>
      </w:r>
      <w:r w:rsidR="00B73983">
        <w:rPr>
          <w:sz w:val="26"/>
          <w:szCs w:val="26"/>
        </w:rPr>
        <w:t>November</w:t>
      </w:r>
      <w:r w:rsidR="009C315C">
        <w:rPr>
          <w:sz w:val="26"/>
          <w:szCs w:val="26"/>
        </w:rPr>
        <w:t xml:space="preserve"> </w:t>
      </w:r>
      <w:r w:rsidR="00761312">
        <w:rPr>
          <w:sz w:val="26"/>
          <w:szCs w:val="26"/>
        </w:rPr>
        <w:t>1</w:t>
      </w:r>
      <w:r w:rsidR="00B73983">
        <w:rPr>
          <w:sz w:val="26"/>
          <w:szCs w:val="26"/>
        </w:rPr>
        <w:t>8</w:t>
      </w:r>
      <w:r w:rsidR="009C315C">
        <w:rPr>
          <w:sz w:val="26"/>
          <w:szCs w:val="26"/>
        </w:rPr>
        <w:t>, 201</w:t>
      </w:r>
      <w:r w:rsidR="003626BB">
        <w:rPr>
          <w:sz w:val="26"/>
          <w:szCs w:val="26"/>
        </w:rPr>
        <w:t>6</w:t>
      </w:r>
      <w:r w:rsidR="00547321" w:rsidRPr="0030709C">
        <w:rPr>
          <w:sz w:val="26"/>
          <w:szCs w:val="26"/>
        </w:rPr>
        <w:t>, with interventions, comments and protests due on o</w:t>
      </w:r>
      <w:r w:rsidR="00E02C9F" w:rsidRPr="0030709C">
        <w:rPr>
          <w:sz w:val="26"/>
          <w:szCs w:val="26"/>
        </w:rPr>
        <w:t xml:space="preserve">r before </w:t>
      </w:r>
      <w:r w:rsidR="00B73983">
        <w:rPr>
          <w:sz w:val="26"/>
          <w:szCs w:val="26"/>
        </w:rPr>
        <w:t>December</w:t>
      </w:r>
      <w:r w:rsidR="009C315C">
        <w:rPr>
          <w:sz w:val="26"/>
          <w:szCs w:val="26"/>
        </w:rPr>
        <w:t xml:space="preserve"> </w:t>
      </w:r>
      <w:r w:rsidR="00761312">
        <w:rPr>
          <w:sz w:val="26"/>
          <w:szCs w:val="26"/>
        </w:rPr>
        <w:t>1</w:t>
      </w:r>
      <w:r w:rsidR="00B73983">
        <w:rPr>
          <w:sz w:val="26"/>
          <w:szCs w:val="26"/>
        </w:rPr>
        <w:t>9</w:t>
      </w:r>
      <w:r w:rsidR="009C315C">
        <w:rPr>
          <w:sz w:val="26"/>
          <w:szCs w:val="26"/>
        </w:rPr>
        <w:t>, 201</w:t>
      </w:r>
      <w:r w:rsidR="003626BB">
        <w:rPr>
          <w:sz w:val="26"/>
          <w:szCs w:val="26"/>
        </w:rPr>
        <w:t>6</w:t>
      </w:r>
      <w:r w:rsidR="00E02C9F" w:rsidRPr="0030709C">
        <w:rPr>
          <w:sz w:val="26"/>
          <w:szCs w:val="26"/>
        </w:rPr>
        <w:t xml:space="preserve">. </w:t>
      </w:r>
      <w:r w:rsidR="000F227C">
        <w:rPr>
          <w:sz w:val="26"/>
          <w:szCs w:val="26"/>
        </w:rPr>
        <w:t xml:space="preserve"> </w:t>
      </w:r>
      <w:r w:rsidR="0035348B" w:rsidRPr="0030709C">
        <w:rPr>
          <w:sz w:val="26"/>
          <w:szCs w:val="26"/>
        </w:rPr>
        <w:t>No</w:t>
      </w:r>
      <w:r w:rsidR="00547321" w:rsidRPr="0030709C">
        <w:rPr>
          <w:sz w:val="26"/>
          <w:szCs w:val="26"/>
        </w:rPr>
        <w:t xml:space="preserve"> </w:t>
      </w:r>
      <w:r w:rsidR="005E2337">
        <w:rPr>
          <w:sz w:val="26"/>
          <w:szCs w:val="26"/>
        </w:rPr>
        <w:t xml:space="preserve">interventions, </w:t>
      </w:r>
      <w:r w:rsidR="00547321" w:rsidRPr="0030709C">
        <w:rPr>
          <w:sz w:val="26"/>
          <w:szCs w:val="26"/>
        </w:rPr>
        <w:t xml:space="preserve">comments </w:t>
      </w:r>
      <w:r w:rsidR="005E2337">
        <w:rPr>
          <w:sz w:val="26"/>
          <w:szCs w:val="26"/>
        </w:rPr>
        <w:t xml:space="preserve">or protests </w:t>
      </w:r>
      <w:r w:rsidR="00547321" w:rsidRPr="0030709C">
        <w:rPr>
          <w:sz w:val="26"/>
          <w:szCs w:val="26"/>
        </w:rPr>
        <w:t>were received.</w:t>
      </w:r>
      <w:r w:rsidR="00547321">
        <w:rPr>
          <w:sz w:val="26"/>
          <w:szCs w:val="26"/>
        </w:rPr>
        <w:t xml:space="preserve"> </w:t>
      </w:r>
    </w:p>
    <w:p w:rsidR="00882605" w:rsidRPr="00D379D9" w:rsidRDefault="00882605" w:rsidP="00882605">
      <w:pPr>
        <w:spacing w:after="240"/>
        <w:ind w:firstLine="720"/>
        <w:rPr>
          <w:sz w:val="26"/>
          <w:szCs w:val="26"/>
        </w:rPr>
      </w:pPr>
      <w:r w:rsidRPr="00D379D9">
        <w:rPr>
          <w:sz w:val="26"/>
          <w:szCs w:val="26"/>
        </w:rPr>
        <w:t xml:space="preserve">NERC’s uncontested </w:t>
      </w:r>
      <w:r w:rsidR="000D2B3C">
        <w:rPr>
          <w:sz w:val="26"/>
          <w:szCs w:val="26"/>
        </w:rPr>
        <w:t>petition</w:t>
      </w:r>
      <w:r w:rsidR="000D2B3C" w:rsidRPr="00D379D9">
        <w:rPr>
          <w:sz w:val="26"/>
          <w:szCs w:val="26"/>
        </w:rPr>
        <w:t xml:space="preserve"> </w:t>
      </w:r>
      <w:r w:rsidRPr="00D379D9">
        <w:rPr>
          <w:sz w:val="26"/>
          <w:szCs w:val="26"/>
        </w:rPr>
        <w:t>is hereby approved pursuant to the relevant authority delegated to the Director, Office of Electric Reliability under 18 C.F.R. § 375.303 (201</w:t>
      </w:r>
      <w:r w:rsidR="0017540D">
        <w:rPr>
          <w:sz w:val="26"/>
          <w:szCs w:val="26"/>
        </w:rPr>
        <w:t>6</w:t>
      </w:r>
      <w:r w:rsidRPr="00D379D9">
        <w:rPr>
          <w:sz w:val="26"/>
          <w:szCs w:val="26"/>
        </w:rPr>
        <w:t xml:space="preserve">), effective as </w:t>
      </w:r>
      <w:r w:rsidR="00972003">
        <w:rPr>
          <w:sz w:val="26"/>
          <w:szCs w:val="26"/>
        </w:rPr>
        <w:t>set forth in</w:t>
      </w:r>
      <w:r w:rsidR="00FD15B0">
        <w:rPr>
          <w:sz w:val="26"/>
          <w:szCs w:val="26"/>
        </w:rPr>
        <w:t xml:space="preserve"> </w:t>
      </w:r>
      <w:r w:rsidR="00E27ABB">
        <w:rPr>
          <w:sz w:val="26"/>
          <w:szCs w:val="26"/>
        </w:rPr>
        <w:t>NERC’s implementation plan</w:t>
      </w:r>
      <w:r w:rsidR="00047E9E">
        <w:rPr>
          <w:sz w:val="26"/>
          <w:szCs w:val="26"/>
        </w:rPr>
        <w:t>.</w:t>
      </w:r>
    </w:p>
    <w:p w:rsidR="00882605" w:rsidRPr="00D379D9" w:rsidRDefault="00882605" w:rsidP="00882605">
      <w:pPr>
        <w:spacing w:after="240"/>
        <w:ind w:firstLine="720"/>
        <w:rPr>
          <w:sz w:val="26"/>
          <w:szCs w:val="26"/>
        </w:rPr>
      </w:pPr>
      <w:r w:rsidRPr="00D379D9">
        <w:rPr>
          <w:sz w:val="26"/>
          <w:szCs w:val="26"/>
        </w:rPr>
        <w:lastRenderedPageBreak/>
        <w:t>This action shall not be construed as approving any other application, including proposed revisions of Electric Reliability Organization or Regional Entity rules or procedures pursuant to 18 C.F.R. § 375.303(a)(2)(</w:t>
      </w:r>
      <w:proofErr w:type="spellStart"/>
      <w:r w:rsidRPr="00D379D9">
        <w:rPr>
          <w:sz w:val="26"/>
          <w:szCs w:val="26"/>
        </w:rPr>
        <w:t>i</w:t>
      </w:r>
      <w:proofErr w:type="spellEnd"/>
      <w:r w:rsidRPr="00D379D9">
        <w:rPr>
          <w:sz w:val="26"/>
          <w:szCs w:val="26"/>
        </w:rPr>
        <w:t>).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r w:rsidR="006B3F79">
        <w:rPr>
          <w:sz w:val="26"/>
          <w:szCs w:val="26"/>
        </w:rPr>
        <w:t xml:space="preserve">  </w:t>
      </w:r>
    </w:p>
    <w:p w:rsidR="00882605" w:rsidRPr="00D379D9" w:rsidRDefault="00882605" w:rsidP="00882605">
      <w:pPr>
        <w:spacing w:after="240"/>
        <w:rPr>
          <w:sz w:val="26"/>
          <w:szCs w:val="26"/>
        </w:rPr>
      </w:pPr>
      <w:r w:rsidRPr="00D379D9">
        <w:rPr>
          <w:sz w:val="26"/>
          <w:szCs w:val="26"/>
        </w:rPr>
        <w:tab/>
        <w:t>This order constitutes final agency action.  Requests for rehearing by the Commission may be filed within 30 days of the date of issuance of this order, pursuant to 18 C.F.R. § 385.713 (201</w:t>
      </w:r>
      <w:r w:rsidR="0017540D">
        <w:rPr>
          <w:sz w:val="26"/>
          <w:szCs w:val="26"/>
        </w:rPr>
        <w:t>6</w:t>
      </w:r>
      <w:r w:rsidRPr="00D379D9">
        <w:rPr>
          <w:sz w:val="26"/>
          <w:szCs w:val="26"/>
        </w:rPr>
        <w:t>).</w:t>
      </w:r>
    </w:p>
    <w:p w:rsidR="00882605" w:rsidRPr="00D379D9" w:rsidRDefault="00882605" w:rsidP="00882605">
      <w:pPr>
        <w:spacing w:after="240"/>
        <w:rPr>
          <w:sz w:val="26"/>
          <w:szCs w:val="26"/>
        </w:rPr>
      </w:pP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Sincerely,</w:t>
      </w:r>
    </w:p>
    <w:p w:rsidR="00AA1BB0" w:rsidRPr="00D379D9" w:rsidRDefault="00AA1BB0" w:rsidP="00AA1BB0">
      <w:pPr>
        <w:rPr>
          <w:sz w:val="26"/>
          <w:szCs w:val="26"/>
        </w:rPr>
      </w:pPr>
    </w:p>
    <w:p w:rsidR="00AA1BB0" w:rsidRPr="00D379D9" w:rsidRDefault="00AA1BB0" w:rsidP="00AA1BB0">
      <w:pPr>
        <w:rPr>
          <w:sz w:val="26"/>
          <w:szCs w:val="26"/>
        </w:rPr>
      </w:pPr>
    </w:p>
    <w:p w:rsidR="00AA1BB0" w:rsidRPr="00D379D9" w:rsidRDefault="00AA1BB0" w:rsidP="00AA1BB0">
      <w:pPr>
        <w:outlineLvl w:val="0"/>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Michael Bardee, Director</w:t>
      </w: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Office of Electric Reliability</w:t>
      </w:r>
    </w:p>
    <w:p w:rsidR="00C0730B" w:rsidRPr="00447931" w:rsidRDefault="00401CD6">
      <w:pPr>
        <w:rPr>
          <w:sz w:val="26"/>
          <w:szCs w:val="26"/>
        </w:rPr>
      </w:pPr>
    </w:p>
    <w:sectPr w:rsidR="00C0730B" w:rsidRPr="00447931" w:rsidSect="0030709C">
      <w:headerReference w:type="default" r:id="rId11"/>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CD6" w:rsidRDefault="00401CD6" w:rsidP="00AA1BB0">
      <w:r>
        <w:separator/>
      </w:r>
    </w:p>
  </w:endnote>
  <w:endnote w:type="continuationSeparator" w:id="0">
    <w:p w:rsidR="00401CD6" w:rsidRDefault="00401CD6"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CD6" w:rsidRDefault="00401CD6" w:rsidP="00AA1BB0">
      <w:r>
        <w:separator/>
      </w:r>
    </w:p>
  </w:footnote>
  <w:footnote w:type="continuationSeparator" w:id="0">
    <w:p w:rsidR="00401CD6" w:rsidRDefault="00401CD6" w:rsidP="00AA1BB0">
      <w:r>
        <w:continuationSeparator/>
      </w:r>
    </w:p>
  </w:footnote>
  <w:footnote w:id="1">
    <w:p w:rsidR="000D2B3C" w:rsidRDefault="000D2B3C" w:rsidP="000D2B3C">
      <w:pPr>
        <w:pStyle w:val="FootnoteText"/>
        <w:rPr>
          <w:sz w:val="26"/>
          <w:szCs w:val="26"/>
        </w:rPr>
      </w:pPr>
      <w:r>
        <w:tab/>
      </w:r>
      <w:r>
        <w:rPr>
          <w:rStyle w:val="FootnoteReference"/>
        </w:rPr>
        <w:footnoteRef/>
      </w:r>
      <w:r>
        <w:t xml:space="preserve"> </w:t>
      </w:r>
      <w:r w:rsidRPr="00E25B15">
        <w:rPr>
          <w:sz w:val="26"/>
          <w:szCs w:val="26"/>
        </w:rPr>
        <w:t>16 U.S.C. § 824o (20</w:t>
      </w:r>
      <w:r>
        <w:rPr>
          <w:sz w:val="26"/>
          <w:szCs w:val="26"/>
        </w:rPr>
        <w:t>12</w:t>
      </w:r>
      <w:r w:rsidRPr="00E25B15">
        <w:rPr>
          <w:sz w:val="26"/>
          <w:szCs w:val="26"/>
        </w:rPr>
        <w:t>).</w:t>
      </w:r>
    </w:p>
    <w:p w:rsidR="000D2B3C" w:rsidRPr="00E25B15" w:rsidRDefault="000D2B3C" w:rsidP="000D2B3C">
      <w:pPr>
        <w:pStyle w:val="FootnoteText"/>
        <w:rPr>
          <w:sz w:val="26"/>
          <w:szCs w:val="26"/>
        </w:rPr>
      </w:pPr>
    </w:p>
  </w:footnote>
  <w:footnote w:id="2">
    <w:p w:rsidR="000D2B3C" w:rsidRDefault="000D2B3C" w:rsidP="000D2B3C">
      <w:pPr>
        <w:pStyle w:val="FootnoteText"/>
        <w:rPr>
          <w:sz w:val="26"/>
          <w:szCs w:val="26"/>
        </w:rPr>
      </w:pPr>
      <w:r>
        <w:tab/>
      </w:r>
      <w:r>
        <w:rPr>
          <w:rStyle w:val="FootnoteReference"/>
        </w:rPr>
        <w:footnoteRef/>
      </w:r>
      <w:r>
        <w:t xml:space="preserve"> </w:t>
      </w:r>
      <w:r w:rsidRPr="00E25B15">
        <w:rPr>
          <w:sz w:val="26"/>
          <w:szCs w:val="26"/>
        </w:rPr>
        <w:t>18 C.F.R. § 39.5 (20</w:t>
      </w:r>
      <w:r w:rsidR="0017540D">
        <w:rPr>
          <w:sz w:val="26"/>
          <w:szCs w:val="26"/>
        </w:rPr>
        <w:t>16</w:t>
      </w:r>
      <w:r w:rsidRPr="00E25B15">
        <w:rPr>
          <w:sz w:val="26"/>
          <w:szCs w:val="26"/>
        </w:rPr>
        <w:t>).</w:t>
      </w:r>
    </w:p>
    <w:p w:rsidR="000D2B3C" w:rsidRPr="00E25B15" w:rsidRDefault="000D2B3C" w:rsidP="000D2B3C">
      <w:pPr>
        <w:pStyle w:val="FootnoteText"/>
        <w:rPr>
          <w:sz w:val="26"/>
          <w:szCs w:val="26"/>
        </w:rPr>
      </w:pPr>
    </w:p>
  </w:footnote>
  <w:footnote w:id="3">
    <w:p w:rsidR="00A70A51" w:rsidRDefault="00A70A51" w:rsidP="00706DC4">
      <w:pPr>
        <w:pStyle w:val="FootnoteText"/>
        <w:ind w:firstLine="720"/>
        <w:rPr>
          <w:sz w:val="26"/>
          <w:szCs w:val="26"/>
        </w:rPr>
      </w:pPr>
      <w:r>
        <w:rPr>
          <w:rStyle w:val="FootnoteReference"/>
        </w:rPr>
        <w:footnoteRef/>
      </w:r>
      <w:r>
        <w:t xml:space="preserve"> </w:t>
      </w:r>
      <w:r w:rsidRPr="00706DC4">
        <w:rPr>
          <w:sz w:val="26"/>
          <w:szCs w:val="26"/>
        </w:rPr>
        <w:t>The NAESB process uses the term reservation, in lieu of retirement.</w:t>
      </w:r>
    </w:p>
    <w:p w:rsidR="00A70A51" w:rsidRDefault="00A70A51" w:rsidP="00706DC4">
      <w:pPr>
        <w:pStyle w:val="FootnoteText"/>
        <w:ind w:firstLine="720"/>
      </w:pPr>
    </w:p>
  </w:footnote>
  <w:footnote w:id="4">
    <w:p w:rsidR="004E1E30" w:rsidRPr="006A2AEE" w:rsidRDefault="004E1E30" w:rsidP="004E1E30">
      <w:pPr>
        <w:pStyle w:val="FootnoteText"/>
        <w:ind w:firstLine="720"/>
        <w:rPr>
          <w:sz w:val="26"/>
          <w:szCs w:val="26"/>
        </w:rPr>
      </w:pPr>
      <w:r w:rsidRPr="003B53C5">
        <w:rPr>
          <w:rStyle w:val="FootnoteReference"/>
        </w:rPr>
        <w:footnoteRef/>
      </w:r>
      <w:r w:rsidRPr="003B53C5">
        <w:rPr>
          <w:sz w:val="26"/>
          <w:szCs w:val="26"/>
        </w:rPr>
        <w:t xml:space="preserve"> The NERC Glossary of Terms defines Time Error Correction as</w:t>
      </w:r>
      <w:r w:rsidR="00972003">
        <w:rPr>
          <w:sz w:val="26"/>
          <w:szCs w:val="26"/>
        </w:rPr>
        <w:t>,</w:t>
      </w:r>
      <w:r w:rsidRPr="003B53C5">
        <w:rPr>
          <w:sz w:val="26"/>
          <w:szCs w:val="26"/>
        </w:rPr>
        <w:t xml:space="preserve"> “An offset to the Interconnection’s scheduled frequency to return the Interconnection’s Time Error to a predetermined value.”</w:t>
      </w:r>
    </w:p>
    <w:p w:rsidR="004E1E30" w:rsidRPr="006A2AEE" w:rsidRDefault="004E1E30" w:rsidP="004E1E30">
      <w:pPr>
        <w:pStyle w:val="FootnoteText"/>
        <w:ind w:firstLine="720"/>
        <w:rPr>
          <w:sz w:val="26"/>
          <w:szCs w:val="26"/>
        </w:rPr>
      </w:pPr>
    </w:p>
  </w:footnote>
  <w:footnote w:id="5">
    <w:p w:rsidR="004E1E30" w:rsidRPr="003B53C5" w:rsidRDefault="004E1E30" w:rsidP="004E1E30">
      <w:pPr>
        <w:pStyle w:val="FootnoteText"/>
        <w:ind w:left="720"/>
        <w:rPr>
          <w:sz w:val="26"/>
          <w:szCs w:val="26"/>
        </w:rPr>
      </w:pPr>
      <w:r w:rsidRPr="003B53C5">
        <w:rPr>
          <w:rStyle w:val="FootnoteReference"/>
        </w:rPr>
        <w:footnoteRef/>
      </w:r>
      <w:r w:rsidRPr="003B53C5">
        <w:t xml:space="preserve"> </w:t>
      </w:r>
      <w:r w:rsidRPr="003B53C5">
        <w:rPr>
          <w:sz w:val="26"/>
          <w:szCs w:val="26"/>
        </w:rPr>
        <w:t xml:space="preserve">NERC </w:t>
      </w:r>
      <w:r w:rsidR="00972003">
        <w:rPr>
          <w:sz w:val="26"/>
          <w:szCs w:val="26"/>
        </w:rPr>
        <w:t>P</w:t>
      </w:r>
      <w:r w:rsidRPr="003B53C5">
        <w:rPr>
          <w:sz w:val="26"/>
          <w:szCs w:val="26"/>
        </w:rPr>
        <w:t>etition at 3.</w:t>
      </w:r>
    </w:p>
    <w:p w:rsidR="004E1E30" w:rsidRPr="003B53C5" w:rsidRDefault="004E1E30" w:rsidP="004E1E30">
      <w:pPr>
        <w:pStyle w:val="FootnoteText"/>
        <w:ind w:left="720"/>
        <w:rPr>
          <w:sz w:val="26"/>
          <w:szCs w:val="26"/>
        </w:rPr>
      </w:pPr>
    </w:p>
  </w:footnote>
  <w:footnote w:id="6">
    <w:p w:rsidR="00F66CD8" w:rsidRDefault="00F66CD8" w:rsidP="000F672E">
      <w:pPr>
        <w:pStyle w:val="FootnoteText"/>
        <w:ind w:firstLine="720"/>
        <w:rPr>
          <w:sz w:val="26"/>
          <w:szCs w:val="26"/>
        </w:rPr>
      </w:pPr>
      <w:r w:rsidRPr="000F672E">
        <w:rPr>
          <w:rStyle w:val="FootnoteReference"/>
        </w:rPr>
        <w:footnoteRef/>
      </w:r>
      <w:r w:rsidRPr="000F672E">
        <w:rPr>
          <w:sz w:val="26"/>
          <w:szCs w:val="26"/>
        </w:rPr>
        <w:t xml:space="preserve"> NERC </w:t>
      </w:r>
      <w:r w:rsidR="00972003">
        <w:rPr>
          <w:sz w:val="26"/>
          <w:szCs w:val="26"/>
        </w:rPr>
        <w:t>P</w:t>
      </w:r>
      <w:r w:rsidRPr="000F672E">
        <w:rPr>
          <w:sz w:val="26"/>
          <w:szCs w:val="26"/>
        </w:rPr>
        <w:t xml:space="preserve">etition, </w:t>
      </w:r>
      <w:r w:rsidRPr="003B53C5">
        <w:rPr>
          <w:bCs/>
          <w:sz w:val="26"/>
          <w:szCs w:val="26"/>
        </w:rPr>
        <w:t>Exhibit C-3</w:t>
      </w:r>
      <w:r w:rsidRPr="000F672E">
        <w:rPr>
          <w:b/>
          <w:bCs/>
          <w:sz w:val="26"/>
          <w:szCs w:val="26"/>
        </w:rPr>
        <w:t xml:space="preserve"> </w:t>
      </w:r>
      <w:r w:rsidR="00972003">
        <w:rPr>
          <w:b/>
          <w:bCs/>
          <w:sz w:val="26"/>
          <w:szCs w:val="26"/>
        </w:rPr>
        <w:t>(</w:t>
      </w:r>
      <w:r w:rsidRPr="000F672E">
        <w:rPr>
          <w:sz w:val="26"/>
          <w:szCs w:val="26"/>
        </w:rPr>
        <w:t>Manual Time Error Correction Reference Document</w:t>
      </w:r>
      <w:r w:rsidR="00972003">
        <w:rPr>
          <w:sz w:val="26"/>
          <w:szCs w:val="26"/>
        </w:rPr>
        <w:t>)</w:t>
      </w:r>
      <w:r w:rsidR="000F672E" w:rsidRPr="000F672E">
        <w:rPr>
          <w:sz w:val="26"/>
          <w:szCs w:val="26"/>
        </w:rPr>
        <w:t>.</w:t>
      </w:r>
    </w:p>
    <w:p w:rsidR="006C589F" w:rsidRPr="000F672E" w:rsidRDefault="006C589F" w:rsidP="000F672E">
      <w:pPr>
        <w:pStyle w:val="FootnoteText"/>
        <w:ind w:firstLine="720"/>
        <w:rPr>
          <w:sz w:val="26"/>
          <w:szCs w:val="26"/>
        </w:rPr>
      </w:pPr>
    </w:p>
  </w:footnote>
  <w:footnote w:id="7">
    <w:p w:rsidR="000F672E" w:rsidRDefault="000F672E" w:rsidP="000F672E">
      <w:pPr>
        <w:pStyle w:val="FootnoteText"/>
        <w:ind w:firstLine="720"/>
        <w:rPr>
          <w:sz w:val="26"/>
          <w:szCs w:val="26"/>
        </w:rPr>
      </w:pPr>
      <w:r w:rsidRPr="000F672E">
        <w:rPr>
          <w:rStyle w:val="FootnoteReference"/>
        </w:rPr>
        <w:footnoteRef/>
      </w:r>
      <w:r w:rsidRPr="000F672E">
        <w:rPr>
          <w:sz w:val="26"/>
          <w:szCs w:val="26"/>
        </w:rPr>
        <w:t xml:space="preserve"> NERC </w:t>
      </w:r>
      <w:r w:rsidR="00972003">
        <w:rPr>
          <w:sz w:val="26"/>
          <w:szCs w:val="26"/>
        </w:rPr>
        <w:t>P</w:t>
      </w:r>
      <w:r w:rsidRPr="000F672E">
        <w:rPr>
          <w:sz w:val="26"/>
          <w:szCs w:val="26"/>
        </w:rPr>
        <w:t>etition at 18.</w:t>
      </w:r>
    </w:p>
    <w:p w:rsidR="006C589F" w:rsidRDefault="006C589F" w:rsidP="000F672E">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8A" w:rsidRPr="003D34AC" w:rsidRDefault="00684584" w:rsidP="00290663">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w:t>
    </w:r>
    <w:r w:rsidR="0053030E">
      <w:rPr>
        <w:sz w:val="26"/>
        <w:szCs w:val="26"/>
        <w:lang w:val="de-DE"/>
      </w:rPr>
      <w:t>17-1</w:t>
    </w:r>
    <w:r w:rsidR="008047D3">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6560A5">
      <w:rPr>
        <w:noProof/>
        <w:sz w:val="26"/>
        <w:szCs w:val="26"/>
        <w:lang w:val="de-DE"/>
      </w:rPr>
      <w:t>3</w:t>
    </w:r>
    <w:r>
      <w:rPr>
        <w:sz w:val="26"/>
        <w:szCs w:val="26"/>
      </w:rPr>
      <w:fldChar w:fldCharType="end"/>
    </w:r>
  </w:p>
  <w:p w:rsidR="004D138A" w:rsidRPr="0071572B" w:rsidRDefault="00401CD6"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83D4A"/>
    <w:multiLevelType w:val="hybridMultilevel"/>
    <w:tmpl w:val="84F4135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3C3F7E6D"/>
    <w:multiLevelType w:val="hybridMultilevel"/>
    <w:tmpl w:val="F9609B50"/>
    <w:lvl w:ilvl="0" w:tplc="CBBEC29C">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B0"/>
    <w:rsid w:val="0001366D"/>
    <w:rsid w:val="00021C7B"/>
    <w:rsid w:val="00047E9E"/>
    <w:rsid w:val="00060983"/>
    <w:rsid w:val="0007279F"/>
    <w:rsid w:val="0007350E"/>
    <w:rsid w:val="00076BCB"/>
    <w:rsid w:val="00077866"/>
    <w:rsid w:val="0009571A"/>
    <w:rsid w:val="00095D18"/>
    <w:rsid w:val="00097D75"/>
    <w:rsid w:val="000A3A34"/>
    <w:rsid w:val="000B2A85"/>
    <w:rsid w:val="000C3491"/>
    <w:rsid w:val="000C6EA8"/>
    <w:rsid w:val="000D2B3C"/>
    <w:rsid w:val="000D37C0"/>
    <w:rsid w:val="000D5DED"/>
    <w:rsid w:val="000D79E3"/>
    <w:rsid w:val="000E55EA"/>
    <w:rsid w:val="000F227C"/>
    <w:rsid w:val="000F672E"/>
    <w:rsid w:val="00152DAC"/>
    <w:rsid w:val="00163D77"/>
    <w:rsid w:val="0017540D"/>
    <w:rsid w:val="00181C62"/>
    <w:rsid w:val="001A76BB"/>
    <w:rsid w:val="001B6A24"/>
    <w:rsid w:val="001E0E12"/>
    <w:rsid w:val="001F0056"/>
    <w:rsid w:val="00227D04"/>
    <w:rsid w:val="00243BF0"/>
    <w:rsid w:val="00276576"/>
    <w:rsid w:val="00282158"/>
    <w:rsid w:val="002B26B4"/>
    <w:rsid w:val="002C59D7"/>
    <w:rsid w:val="002D3289"/>
    <w:rsid w:val="002E1D76"/>
    <w:rsid w:val="0030709C"/>
    <w:rsid w:val="003133CB"/>
    <w:rsid w:val="00334B2B"/>
    <w:rsid w:val="00352F5F"/>
    <w:rsid w:val="0035348B"/>
    <w:rsid w:val="003560B7"/>
    <w:rsid w:val="003626BB"/>
    <w:rsid w:val="0037419F"/>
    <w:rsid w:val="003A0A25"/>
    <w:rsid w:val="003B53C5"/>
    <w:rsid w:val="003D3172"/>
    <w:rsid w:val="003F2F3B"/>
    <w:rsid w:val="00401CD6"/>
    <w:rsid w:val="00414C50"/>
    <w:rsid w:val="00447931"/>
    <w:rsid w:val="00475032"/>
    <w:rsid w:val="00495359"/>
    <w:rsid w:val="004A2D92"/>
    <w:rsid w:val="004A564E"/>
    <w:rsid w:val="004B2EDC"/>
    <w:rsid w:val="004C427D"/>
    <w:rsid w:val="004C48EA"/>
    <w:rsid w:val="004E1E30"/>
    <w:rsid w:val="00500C49"/>
    <w:rsid w:val="00503793"/>
    <w:rsid w:val="005219C6"/>
    <w:rsid w:val="0053030E"/>
    <w:rsid w:val="0053141D"/>
    <w:rsid w:val="00533906"/>
    <w:rsid w:val="00541F38"/>
    <w:rsid w:val="00547321"/>
    <w:rsid w:val="00556545"/>
    <w:rsid w:val="00565969"/>
    <w:rsid w:val="00566E53"/>
    <w:rsid w:val="00577562"/>
    <w:rsid w:val="0058272E"/>
    <w:rsid w:val="00591805"/>
    <w:rsid w:val="00593DD0"/>
    <w:rsid w:val="005C13FB"/>
    <w:rsid w:val="005C5300"/>
    <w:rsid w:val="005C746F"/>
    <w:rsid w:val="005D35B8"/>
    <w:rsid w:val="005E2337"/>
    <w:rsid w:val="005F3B5D"/>
    <w:rsid w:val="00613399"/>
    <w:rsid w:val="00631745"/>
    <w:rsid w:val="00633BA8"/>
    <w:rsid w:val="00636034"/>
    <w:rsid w:val="00643BB8"/>
    <w:rsid w:val="006553BD"/>
    <w:rsid w:val="006560A5"/>
    <w:rsid w:val="006750DB"/>
    <w:rsid w:val="00675D0F"/>
    <w:rsid w:val="006763F6"/>
    <w:rsid w:val="00676EB0"/>
    <w:rsid w:val="00684584"/>
    <w:rsid w:val="006944D9"/>
    <w:rsid w:val="00695B6F"/>
    <w:rsid w:val="006A2AEE"/>
    <w:rsid w:val="006B3F79"/>
    <w:rsid w:val="006C589F"/>
    <w:rsid w:val="006D0295"/>
    <w:rsid w:val="006D1B92"/>
    <w:rsid w:val="006E4D07"/>
    <w:rsid w:val="006F3C76"/>
    <w:rsid w:val="00702FDA"/>
    <w:rsid w:val="00706DC4"/>
    <w:rsid w:val="0071427E"/>
    <w:rsid w:val="00714508"/>
    <w:rsid w:val="00717471"/>
    <w:rsid w:val="00732344"/>
    <w:rsid w:val="00747468"/>
    <w:rsid w:val="00761312"/>
    <w:rsid w:val="007902E7"/>
    <w:rsid w:val="00794F19"/>
    <w:rsid w:val="007C6150"/>
    <w:rsid w:val="007E518A"/>
    <w:rsid w:val="007F3633"/>
    <w:rsid w:val="008047D3"/>
    <w:rsid w:val="00812068"/>
    <w:rsid w:val="0082226D"/>
    <w:rsid w:val="008310EA"/>
    <w:rsid w:val="00831E27"/>
    <w:rsid w:val="00833FC3"/>
    <w:rsid w:val="0083429C"/>
    <w:rsid w:val="0086404D"/>
    <w:rsid w:val="0087758F"/>
    <w:rsid w:val="00881890"/>
    <w:rsid w:val="00882605"/>
    <w:rsid w:val="008C0989"/>
    <w:rsid w:val="0091465F"/>
    <w:rsid w:val="00917A22"/>
    <w:rsid w:val="009212FB"/>
    <w:rsid w:val="00935F9D"/>
    <w:rsid w:val="009552E7"/>
    <w:rsid w:val="00970850"/>
    <w:rsid w:val="00972003"/>
    <w:rsid w:val="00973D89"/>
    <w:rsid w:val="00981CE9"/>
    <w:rsid w:val="0099328C"/>
    <w:rsid w:val="009936F5"/>
    <w:rsid w:val="0099409C"/>
    <w:rsid w:val="00996E49"/>
    <w:rsid w:val="009A4DEF"/>
    <w:rsid w:val="009A545B"/>
    <w:rsid w:val="009B3363"/>
    <w:rsid w:val="009B359F"/>
    <w:rsid w:val="009C315C"/>
    <w:rsid w:val="009E318B"/>
    <w:rsid w:val="00A16538"/>
    <w:rsid w:val="00A21DF7"/>
    <w:rsid w:val="00A21E0B"/>
    <w:rsid w:val="00A5694C"/>
    <w:rsid w:val="00A65D88"/>
    <w:rsid w:val="00A6724B"/>
    <w:rsid w:val="00A70A51"/>
    <w:rsid w:val="00A71718"/>
    <w:rsid w:val="00A80C1D"/>
    <w:rsid w:val="00AA1BB0"/>
    <w:rsid w:val="00AA5425"/>
    <w:rsid w:val="00AB54F4"/>
    <w:rsid w:val="00AB673E"/>
    <w:rsid w:val="00AD472B"/>
    <w:rsid w:val="00AF2A8C"/>
    <w:rsid w:val="00AF459F"/>
    <w:rsid w:val="00AF6983"/>
    <w:rsid w:val="00B05DC7"/>
    <w:rsid w:val="00B401F0"/>
    <w:rsid w:val="00B43FC3"/>
    <w:rsid w:val="00B63491"/>
    <w:rsid w:val="00B73983"/>
    <w:rsid w:val="00B873CB"/>
    <w:rsid w:val="00B87670"/>
    <w:rsid w:val="00BA27F2"/>
    <w:rsid w:val="00BA7792"/>
    <w:rsid w:val="00BC6BF8"/>
    <w:rsid w:val="00BE6818"/>
    <w:rsid w:val="00BE7E59"/>
    <w:rsid w:val="00C05A0B"/>
    <w:rsid w:val="00C13907"/>
    <w:rsid w:val="00C14713"/>
    <w:rsid w:val="00C3561D"/>
    <w:rsid w:val="00C37C9F"/>
    <w:rsid w:val="00C44D57"/>
    <w:rsid w:val="00C55310"/>
    <w:rsid w:val="00C61FC7"/>
    <w:rsid w:val="00C651BB"/>
    <w:rsid w:val="00CA1A6F"/>
    <w:rsid w:val="00CA3B47"/>
    <w:rsid w:val="00CA7563"/>
    <w:rsid w:val="00CB37DF"/>
    <w:rsid w:val="00CE53FE"/>
    <w:rsid w:val="00CF0EB5"/>
    <w:rsid w:val="00D21C64"/>
    <w:rsid w:val="00D3661C"/>
    <w:rsid w:val="00D4219A"/>
    <w:rsid w:val="00D6249D"/>
    <w:rsid w:val="00D87A85"/>
    <w:rsid w:val="00DA6E67"/>
    <w:rsid w:val="00DB1266"/>
    <w:rsid w:val="00DC559A"/>
    <w:rsid w:val="00DC64C1"/>
    <w:rsid w:val="00DF6C76"/>
    <w:rsid w:val="00E02C9F"/>
    <w:rsid w:val="00E21E97"/>
    <w:rsid w:val="00E22C20"/>
    <w:rsid w:val="00E25B15"/>
    <w:rsid w:val="00E27ABB"/>
    <w:rsid w:val="00E44F8D"/>
    <w:rsid w:val="00E536FD"/>
    <w:rsid w:val="00E62BD3"/>
    <w:rsid w:val="00E71ABE"/>
    <w:rsid w:val="00E77CCE"/>
    <w:rsid w:val="00E83105"/>
    <w:rsid w:val="00EB1DBB"/>
    <w:rsid w:val="00EF5E65"/>
    <w:rsid w:val="00EF7842"/>
    <w:rsid w:val="00F20F4B"/>
    <w:rsid w:val="00F229E1"/>
    <w:rsid w:val="00F26D84"/>
    <w:rsid w:val="00F374EC"/>
    <w:rsid w:val="00F619A1"/>
    <w:rsid w:val="00F66CD8"/>
    <w:rsid w:val="00F7087D"/>
    <w:rsid w:val="00F74DB8"/>
    <w:rsid w:val="00F842DD"/>
    <w:rsid w:val="00F8568B"/>
    <w:rsid w:val="00F90AEE"/>
    <w:rsid w:val="00FB4C09"/>
    <w:rsid w:val="00FC4A32"/>
    <w:rsid w:val="00FD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D4D4E-8C85-460F-9775-89640A4B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51C5F-8B61-462F-8A97-023B25B10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784CE0-FB52-462B-93B2-DE47A637AB33}">
  <ds:schemaRefs>
    <ds:schemaRef ds:uri="http://schemas.microsoft.com/office/2006/metadata/properties"/>
  </ds:schemaRefs>
</ds:datastoreItem>
</file>

<file path=customXml/itemProps3.xml><?xml version="1.0" encoding="utf-8"?>
<ds:datastoreItem xmlns:ds="http://schemas.openxmlformats.org/officeDocument/2006/customXml" ds:itemID="{2A6641A7-AF71-4120-8B9C-ADFC8EDFF4B9}">
  <ds:schemaRefs>
    <ds:schemaRef ds:uri="http://schemas.microsoft.com/sharepoint/v3/contenttype/forms"/>
  </ds:schemaRefs>
</ds:datastoreItem>
</file>

<file path=customXml/itemProps4.xml><?xml version="1.0" encoding="utf-8"?>
<ds:datastoreItem xmlns:ds="http://schemas.openxmlformats.org/officeDocument/2006/customXml" ds:itemID="{F11B7584-8025-4BF6-8F03-2BFB7FB3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cp:lastPrinted>2017-01-13T19:29:00Z</cp:lastPrinted>
  <dcterms:created xsi:type="dcterms:W3CDTF">2017-06-07T16:16:00Z</dcterms:created>
  <dcterms:modified xsi:type="dcterms:W3CDTF">2017-06-07T16:16:00Z</dcterms:modified>
  <cp:category/>
  <dc:identifier/>
  <cp:contentStatus/>
  <cp:version/>
</cp:coreProperties>
</file>