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2621B" w14:textId="77777777"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14:paraId="7102621C" w14:textId="77777777" w:rsidR="00AA1BB0" w:rsidRPr="00D379D9" w:rsidRDefault="00AA1BB0" w:rsidP="00AA1BB0">
      <w:pPr>
        <w:jc w:val="center"/>
        <w:rPr>
          <w:sz w:val="26"/>
          <w:szCs w:val="26"/>
        </w:rPr>
      </w:pPr>
      <w:r w:rsidRPr="00D379D9">
        <w:rPr>
          <w:sz w:val="26"/>
          <w:szCs w:val="26"/>
        </w:rPr>
        <w:t>WASHINGTON, D.C. 20426</w:t>
      </w:r>
    </w:p>
    <w:p w14:paraId="7102621D" w14:textId="77777777" w:rsidR="00AA1BB0" w:rsidRPr="00D379D9" w:rsidRDefault="00AA1BB0" w:rsidP="00AA1BB0">
      <w:pPr>
        <w:jc w:val="center"/>
        <w:rPr>
          <w:sz w:val="26"/>
          <w:szCs w:val="26"/>
        </w:rPr>
      </w:pPr>
    </w:p>
    <w:p w14:paraId="7102621E" w14:textId="77777777" w:rsidR="00AA1BB0" w:rsidRPr="00D379D9" w:rsidRDefault="00AA1BB0" w:rsidP="00AA1BB0">
      <w:pPr>
        <w:widowControl/>
        <w:outlineLvl w:val="0"/>
        <w:rPr>
          <w:sz w:val="26"/>
          <w:szCs w:val="26"/>
        </w:rPr>
      </w:pPr>
    </w:p>
    <w:p w14:paraId="7102621F" w14:textId="77777777" w:rsidR="00AA1BB0" w:rsidRPr="00D379D9" w:rsidRDefault="00AA1BB0" w:rsidP="00AA1BB0">
      <w:pPr>
        <w:widowControl/>
        <w:outlineLvl w:val="0"/>
        <w:rPr>
          <w:sz w:val="26"/>
          <w:szCs w:val="26"/>
        </w:rPr>
      </w:pPr>
      <w:r w:rsidRPr="00D379D9">
        <w:rPr>
          <w:sz w:val="26"/>
          <w:szCs w:val="26"/>
        </w:rPr>
        <w:t>OFFICE OF ELECTRIC RELIABILITY</w:t>
      </w:r>
    </w:p>
    <w:p w14:paraId="71026220" w14:textId="77777777" w:rsidR="00AA1BB0" w:rsidRPr="00D379D9" w:rsidRDefault="00AA1BB0" w:rsidP="00AA1BB0">
      <w:pPr>
        <w:widowControl/>
        <w:ind w:firstLine="2880"/>
        <w:rPr>
          <w:sz w:val="26"/>
          <w:szCs w:val="26"/>
        </w:rPr>
      </w:pPr>
    </w:p>
    <w:p w14:paraId="71026221" w14:textId="77777777" w:rsidR="00AA1BB0" w:rsidRPr="00D379D9" w:rsidRDefault="00AA1BB0" w:rsidP="00AA1BB0">
      <w:pPr>
        <w:widowControl/>
        <w:ind w:left="3600"/>
        <w:rPr>
          <w:sz w:val="26"/>
          <w:szCs w:val="26"/>
        </w:rPr>
      </w:pPr>
      <w:r w:rsidRPr="00D379D9">
        <w:rPr>
          <w:sz w:val="26"/>
          <w:szCs w:val="26"/>
        </w:rPr>
        <w:t>North American Electric Reliability Corporation</w:t>
      </w:r>
    </w:p>
    <w:p w14:paraId="71026222" w14:textId="77777777"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009C315C" w:rsidRPr="00D379D9">
        <w:rPr>
          <w:caps/>
          <w:sz w:val="26"/>
          <w:szCs w:val="26"/>
        </w:rPr>
        <w:t>RD1</w:t>
      </w:r>
      <w:r w:rsidR="009C315C">
        <w:rPr>
          <w:caps/>
          <w:sz w:val="26"/>
          <w:szCs w:val="26"/>
        </w:rPr>
        <w:t>6-</w:t>
      </w:r>
      <w:r w:rsidR="00243BF0">
        <w:rPr>
          <w:caps/>
          <w:sz w:val="26"/>
          <w:szCs w:val="26"/>
        </w:rPr>
        <w:t>9</w:t>
      </w:r>
      <w:r w:rsidR="009C315C">
        <w:rPr>
          <w:caps/>
          <w:sz w:val="26"/>
          <w:szCs w:val="26"/>
        </w:rPr>
        <w:t>-0</w:t>
      </w:r>
      <w:r w:rsidR="009C315C" w:rsidRPr="00D379D9">
        <w:rPr>
          <w:sz w:val="26"/>
          <w:szCs w:val="26"/>
        </w:rPr>
        <w:t>00</w:t>
      </w:r>
    </w:p>
    <w:p w14:paraId="71026223" w14:textId="77777777" w:rsidR="00AA1BB0" w:rsidRPr="00D379D9" w:rsidRDefault="00AA1BB0" w:rsidP="00AA1BB0">
      <w:pPr>
        <w:widowControl/>
        <w:ind w:left="2880" w:firstLine="720"/>
        <w:rPr>
          <w:sz w:val="26"/>
          <w:szCs w:val="26"/>
          <w:lang w:val="de-DE"/>
        </w:rPr>
      </w:pPr>
    </w:p>
    <w:p w14:paraId="71026224" w14:textId="77777777" w:rsidR="00AA1BB0" w:rsidRPr="00D379D9" w:rsidRDefault="00AA1BB0" w:rsidP="00AA1BB0">
      <w:pPr>
        <w:widowControl/>
        <w:ind w:left="2880" w:firstLine="720"/>
        <w:rPr>
          <w:sz w:val="26"/>
          <w:szCs w:val="26"/>
        </w:rPr>
      </w:pPr>
    </w:p>
    <w:p w14:paraId="71026225" w14:textId="77777777" w:rsidR="00AA1BB0" w:rsidRPr="00D379D9" w:rsidRDefault="00243BF0" w:rsidP="00AA1BB0">
      <w:pPr>
        <w:widowControl/>
        <w:ind w:left="2880" w:firstLine="720"/>
        <w:rPr>
          <w:sz w:val="26"/>
          <w:szCs w:val="26"/>
          <w:lang w:val="de-DE"/>
        </w:rPr>
      </w:pPr>
      <w:r>
        <w:rPr>
          <w:sz w:val="26"/>
          <w:szCs w:val="26"/>
        </w:rPr>
        <w:t>October</w:t>
      </w:r>
      <w:r w:rsidR="00695B6F">
        <w:rPr>
          <w:sz w:val="26"/>
          <w:szCs w:val="26"/>
        </w:rPr>
        <w:t xml:space="preserve"> </w:t>
      </w:r>
      <w:r w:rsidR="001B6A24">
        <w:rPr>
          <w:sz w:val="26"/>
          <w:szCs w:val="26"/>
        </w:rPr>
        <w:t>28</w:t>
      </w:r>
      <w:r w:rsidR="00AA1BB0" w:rsidRPr="0030709C">
        <w:rPr>
          <w:sz w:val="26"/>
          <w:szCs w:val="26"/>
        </w:rPr>
        <w:t>,</w:t>
      </w:r>
      <w:r w:rsidR="0035348B">
        <w:rPr>
          <w:sz w:val="26"/>
          <w:szCs w:val="26"/>
        </w:rPr>
        <w:t xml:space="preserve"> 201</w:t>
      </w:r>
      <w:r w:rsidR="00A16538">
        <w:rPr>
          <w:sz w:val="26"/>
          <w:szCs w:val="26"/>
        </w:rPr>
        <w:t>6</w:t>
      </w:r>
    </w:p>
    <w:p w14:paraId="71026226" w14:textId="77777777"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14:paraId="71026227" w14:textId="77777777" w:rsidR="00AA1BB0" w:rsidRPr="00D379D9" w:rsidRDefault="00AA1BB0" w:rsidP="00AA1BB0">
      <w:pPr>
        <w:widowControl/>
        <w:rPr>
          <w:sz w:val="26"/>
          <w:szCs w:val="26"/>
        </w:rPr>
      </w:pPr>
    </w:p>
    <w:p w14:paraId="71026228" w14:textId="77777777" w:rsidR="00AA1BB0" w:rsidRPr="00D379D9" w:rsidRDefault="00AA1BB0" w:rsidP="00AA1BB0">
      <w:pPr>
        <w:ind w:left="720" w:hanging="720"/>
        <w:rPr>
          <w:sz w:val="26"/>
          <w:szCs w:val="26"/>
        </w:rPr>
      </w:pPr>
      <w:r w:rsidRPr="00D379D9">
        <w:rPr>
          <w:sz w:val="26"/>
          <w:szCs w:val="26"/>
        </w:rPr>
        <w:t>North American Electric Reliability Corporation</w:t>
      </w:r>
    </w:p>
    <w:p w14:paraId="71026229" w14:textId="77777777" w:rsidR="00AA1BB0" w:rsidRPr="00D379D9" w:rsidRDefault="00AA1BB0" w:rsidP="00AA1BB0">
      <w:pPr>
        <w:ind w:left="720" w:hanging="720"/>
        <w:rPr>
          <w:sz w:val="26"/>
          <w:szCs w:val="26"/>
        </w:rPr>
      </w:pPr>
      <w:r w:rsidRPr="00D379D9">
        <w:rPr>
          <w:sz w:val="26"/>
          <w:szCs w:val="26"/>
        </w:rPr>
        <w:t>1325 G Street N.W., Suite 600</w:t>
      </w:r>
    </w:p>
    <w:p w14:paraId="7102622A" w14:textId="77777777" w:rsidR="00AA1BB0" w:rsidRPr="00D379D9" w:rsidRDefault="00AA1BB0" w:rsidP="00AA1BB0">
      <w:pPr>
        <w:widowControl/>
        <w:rPr>
          <w:sz w:val="26"/>
          <w:szCs w:val="26"/>
        </w:rPr>
      </w:pPr>
      <w:r w:rsidRPr="00D379D9">
        <w:rPr>
          <w:sz w:val="26"/>
          <w:szCs w:val="26"/>
        </w:rPr>
        <w:t>Washington, D.C. 20005</w:t>
      </w:r>
    </w:p>
    <w:p w14:paraId="7102622B" w14:textId="77777777" w:rsidR="00AA1BB0" w:rsidRPr="00D379D9" w:rsidRDefault="00AA1BB0" w:rsidP="00AA1BB0">
      <w:pPr>
        <w:widowControl/>
        <w:rPr>
          <w:sz w:val="26"/>
          <w:szCs w:val="26"/>
        </w:rPr>
      </w:pPr>
    </w:p>
    <w:p w14:paraId="7102622C" w14:textId="77777777" w:rsidR="00593DD0" w:rsidRPr="00DB097E" w:rsidRDefault="00AA1BB0" w:rsidP="00593DD0">
      <w:pPr>
        <w:pStyle w:val="Default"/>
        <w:tabs>
          <w:tab w:val="left" w:pos="720"/>
          <w:tab w:val="left" w:pos="1440"/>
          <w:tab w:val="left" w:pos="2160"/>
          <w:tab w:val="left" w:pos="2880"/>
          <w:tab w:val="left" w:pos="3705"/>
        </w:tabs>
        <w:rPr>
          <w:sz w:val="26"/>
          <w:szCs w:val="26"/>
        </w:rPr>
      </w:pPr>
      <w:r w:rsidRPr="00D379D9">
        <w:rPr>
          <w:sz w:val="26"/>
          <w:szCs w:val="26"/>
        </w:rPr>
        <w:t>Attention:</w:t>
      </w:r>
      <w:r w:rsidRPr="00D379D9">
        <w:rPr>
          <w:sz w:val="26"/>
          <w:szCs w:val="26"/>
        </w:rPr>
        <w:tab/>
      </w:r>
      <w:r w:rsidR="00A6724B">
        <w:rPr>
          <w:sz w:val="26"/>
          <w:szCs w:val="26"/>
        </w:rPr>
        <w:t>Candice Castaneda</w:t>
      </w:r>
      <w:r w:rsidR="00593DD0">
        <w:rPr>
          <w:sz w:val="26"/>
          <w:szCs w:val="26"/>
        </w:rPr>
        <w:tab/>
      </w:r>
    </w:p>
    <w:p w14:paraId="7102622D" w14:textId="77777777" w:rsidR="00593DD0" w:rsidRPr="00DB097E" w:rsidRDefault="00593DD0" w:rsidP="00593DD0">
      <w:pPr>
        <w:ind w:left="720" w:firstLine="720"/>
        <w:rPr>
          <w:sz w:val="26"/>
          <w:szCs w:val="26"/>
        </w:rPr>
      </w:pPr>
      <w:r w:rsidRPr="00DB097E">
        <w:rPr>
          <w:sz w:val="26"/>
          <w:szCs w:val="26"/>
        </w:rPr>
        <w:t xml:space="preserve">Counsel for North American Electric Reliability Corporation </w:t>
      </w:r>
    </w:p>
    <w:p w14:paraId="7102622E" w14:textId="77777777" w:rsidR="00AA1BB0" w:rsidRPr="00D379D9" w:rsidRDefault="00AA1BB0" w:rsidP="00593DD0">
      <w:pPr>
        <w:pStyle w:val="Default"/>
        <w:rPr>
          <w:sz w:val="26"/>
          <w:szCs w:val="26"/>
        </w:rPr>
      </w:pPr>
      <w:r w:rsidRPr="00D379D9">
        <w:rPr>
          <w:sz w:val="26"/>
          <w:szCs w:val="26"/>
        </w:rPr>
        <w:tab/>
      </w:r>
    </w:p>
    <w:p w14:paraId="7102622F" w14:textId="77777777"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A5425" w:rsidRPr="00AA5425">
        <w:rPr>
          <w:sz w:val="26"/>
          <w:szCs w:val="26"/>
        </w:rPr>
        <w:t>P</w:t>
      </w:r>
      <w:r w:rsidR="00AA5425">
        <w:rPr>
          <w:sz w:val="26"/>
          <w:szCs w:val="26"/>
        </w:rPr>
        <w:t>etition</w:t>
      </w:r>
      <w:r w:rsidR="00AA5425" w:rsidRPr="00AA5425">
        <w:rPr>
          <w:sz w:val="26"/>
          <w:szCs w:val="26"/>
        </w:rPr>
        <w:t xml:space="preserve"> </w:t>
      </w:r>
      <w:r w:rsidR="00AA5425">
        <w:rPr>
          <w:sz w:val="26"/>
          <w:szCs w:val="26"/>
        </w:rPr>
        <w:t>of</w:t>
      </w:r>
      <w:r w:rsidR="00AA5425" w:rsidRPr="00AA5425">
        <w:rPr>
          <w:sz w:val="26"/>
          <w:szCs w:val="26"/>
        </w:rPr>
        <w:t xml:space="preserve"> </w:t>
      </w:r>
      <w:r w:rsidR="00AA5425">
        <w:rPr>
          <w:sz w:val="26"/>
          <w:szCs w:val="26"/>
        </w:rPr>
        <w:t>the</w:t>
      </w:r>
      <w:r w:rsidR="00AA5425" w:rsidRPr="00AA5425">
        <w:rPr>
          <w:sz w:val="26"/>
          <w:szCs w:val="26"/>
        </w:rPr>
        <w:t xml:space="preserve"> N</w:t>
      </w:r>
      <w:r w:rsidR="00AA5425">
        <w:rPr>
          <w:sz w:val="26"/>
          <w:szCs w:val="26"/>
        </w:rPr>
        <w:t>orth</w:t>
      </w:r>
      <w:r w:rsidR="00AA5425" w:rsidRPr="00AA5425">
        <w:rPr>
          <w:sz w:val="26"/>
          <w:szCs w:val="26"/>
        </w:rPr>
        <w:t xml:space="preserve"> A</w:t>
      </w:r>
      <w:r w:rsidR="00AA5425">
        <w:rPr>
          <w:sz w:val="26"/>
          <w:szCs w:val="26"/>
        </w:rPr>
        <w:t>merican</w:t>
      </w:r>
      <w:r w:rsidR="00AA5425" w:rsidRPr="00AA5425">
        <w:rPr>
          <w:sz w:val="26"/>
          <w:szCs w:val="26"/>
        </w:rPr>
        <w:t xml:space="preserve"> E</w:t>
      </w:r>
      <w:r w:rsidR="00AA5425">
        <w:rPr>
          <w:sz w:val="26"/>
          <w:szCs w:val="26"/>
        </w:rPr>
        <w:t>lectric</w:t>
      </w:r>
      <w:r w:rsidR="00AA5425" w:rsidRPr="00AA5425">
        <w:rPr>
          <w:sz w:val="26"/>
          <w:szCs w:val="26"/>
        </w:rPr>
        <w:t xml:space="preserve"> R</w:t>
      </w:r>
      <w:r w:rsidR="00AA5425">
        <w:rPr>
          <w:sz w:val="26"/>
          <w:szCs w:val="26"/>
        </w:rPr>
        <w:t>eliability</w:t>
      </w:r>
      <w:r w:rsidR="00AA5425" w:rsidRPr="00AA5425">
        <w:rPr>
          <w:sz w:val="26"/>
          <w:szCs w:val="26"/>
        </w:rPr>
        <w:t xml:space="preserve"> C</w:t>
      </w:r>
      <w:r w:rsidR="00AA5425">
        <w:rPr>
          <w:sz w:val="26"/>
          <w:szCs w:val="26"/>
        </w:rPr>
        <w:t>orporation</w:t>
      </w:r>
      <w:r w:rsidR="00AA5425" w:rsidRPr="00AA5425">
        <w:rPr>
          <w:sz w:val="26"/>
          <w:szCs w:val="26"/>
        </w:rPr>
        <w:t xml:space="preserve"> </w:t>
      </w:r>
      <w:r w:rsidR="00AA5425">
        <w:rPr>
          <w:sz w:val="26"/>
          <w:szCs w:val="26"/>
        </w:rPr>
        <w:t>for</w:t>
      </w:r>
      <w:r w:rsidR="00AA5425" w:rsidRPr="00AA5425">
        <w:rPr>
          <w:sz w:val="26"/>
          <w:szCs w:val="26"/>
        </w:rPr>
        <w:t xml:space="preserve"> A</w:t>
      </w:r>
      <w:r w:rsidR="00AA5425">
        <w:rPr>
          <w:sz w:val="26"/>
          <w:szCs w:val="26"/>
        </w:rPr>
        <w:t>pproval</w:t>
      </w:r>
      <w:r w:rsidR="00AA5425" w:rsidRPr="00AA5425">
        <w:rPr>
          <w:sz w:val="26"/>
          <w:szCs w:val="26"/>
        </w:rPr>
        <w:t xml:space="preserve"> </w:t>
      </w:r>
      <w:r w:rsidR="00AA5425">
        <w:rPr>
          <w:sz w:val="26"/>
          <w:szCs w:val="26"/>
        </w:rPr>
        <w:t>of</w:t>
      </w:r>
      <w:r w:rsidR="00AA5425" w:rsidRPr="00AA5425">
        <w:rPr>
          <w:sz w:val="26"/>
          <w:szCs w:val="26"/>
        </w:rPr>
        <w:t xml:space="preserve"> </w:t>
      </w:r>
      <w:r w:rsidR="00D3661C">
        <w:rPr>
          <w:sz w:val="28"/>
          <w:szCs w:val="26"/>
        </w:rPr>
        <w:t>Proposed Reliability Standard COM-001-3</w:t>
      </w:r>
      <w:r>
        <w:rPr>
          <w:sz w:val="26"/>
          <w:szCs w:val="26"/>
        </w:rPr>
        <w:t xml:space="preserve"> </w:t>
      </w:r>
    </w:p>
    <w:p w14:paraId="71026230" w14:textId="77777777" w:rsidR="00AA1BB0" w:rsidRPr="00D379D9" w:rsidRDefault="00AA1BB0" w:rsidP="00AA1BB0">
      <w:pPr>
        <w:widowControl/>
        <w:rPr>
          <w:sz w:val="26"/>
          <w:szCs w:val="26"/>
        </w:rPr>
      </w:pPr>
    </w:p>
    <w:p w14:paraId="71026231" w14:textId="77777777" w:rsidR="00AA1BB0" w:rsidRPr="00D379D9" w:rsidRDefault="00AA1BB0" w:rsidP="00AA1BB0">
      <w:pPr>
        <w:widowControl/>
        <w:rPr>
          <w:sz w:val="26"/>
          <w:szCs w:val="26"/>
        </w:rPr>
      </w:pPr>
      <w:r w:rsidRPr="00D379D9">
        <w:rPr>
          <w:sz w:val="26"/>
          <w:szCs w:val="26"/>
        </w:rPr>
        <w:t>Dear M</w:t>
      </w:r>
      <w:r w:rsidR="00E62BD3">
        <w:rPr>
          <w:sz w:val="26"/>
          <w:szCs w:val="26"/>
        </w:rPr>
        <w:t>r</w:t>
      </w:r>
      <w:r w:rsidRPr="00D379D9">
        <w:rPr>
          <w:sz w:val="26"/>
          <w:szCs w:val="26"/>
        </w:rPr>
        <w:t xml:space="preserve">. </w:t>
      </w:r>
      <w:r w:rsidR="00917A22">
        <w:rPr>
          <w:sz w:val="26"/>
          <w:szCs w:val="26"/>
        </w:rPr>
        <w:t>Elstein</w:t>
      </w:r>
      <w:r w:rsidRPr="00D379D9">
        <w:rPr>
          <w:sz w:val="26"/>
          <w:szCs w:val="26"/>
        </w:rPr>
        <w:t>:</w:t>
      </w:r>
    </w:p>
    <w:p w14:paraId="71026232" w14:textId="77777777" w:rsidR="00AA1BB0" w:rsidRPr="00D379D9" w:rsidRDefault="00AA1BB0" w:rsidP="00AA1BB0">
      <w:pPr>
        <w:widowControl/>
        <w:rPr>
          <w:sz w:val="26"/>
          <w:szCs w:val="26"/>
        </w:rPr>
      </w:pPr>
    </w:p>
    <w:p w14:paraId="71026233" w14:textId="77777777" w:rsidR="00C05A0B" w:rsidRDefault="00AA1BB0" w:rsidP="00334B2B">
      <w:pPr>
        <w:widowControl/>
        <w:ind w:firstLine="720"/>
        <w:rPr>
          <w:sz w:val="26"/>
          <w:szCs w:val="26"/>
        </w:rPr>
      </w:pPr>
      <w:r w:rsidRPr="009C315C">
        <w:rPr>
          <w:sz w:val="26"/>
          <w:szCs w:val="26"/>
        </w:rPr>
        <w:tab/>
      </w:r>
      <w:r w:rsidR="009C315C" w:rsidRPr="009C315C">
        <w:rPr>
          <w:sz w:val="26"/>
          <w:szCs w:val="26"/>
        </w:rPr>
        <w:t xml:space="preserve">On </w:t>
      </w:r>
      <w:r w:rsidR="00D3661C">
        <w:rPr>
          <w:sz w:val="26"/>
          <w:szCs w:val="26"/>
        </w:rPr>
        <w:t>August</w:t>
      </w:r>
      <w:r w:rsidR="009C315C" w:rsidRPr="009C315C">
        <w:rPr>
          <w:sz w:val="26"/>
          <w:szCs w:val="26"/>
        </w:rPr>
        <w:t xml:space="preserve"> </w:t>
      </w:r>
      <w:r w:rsidR="00D3661C">
        <w:rPr>
          <w:sz w:val="26"/>
          <w:szCs w:val="26"/>
        </w:rPr>
        <w:t>15</w:t>
      </w:r>
      <w:r w:rsidR="009C315C" w:rsidRPr="009C315C">
        <w:rPr>
          <w:sz w:val="26"/>
          <w:szCs w:val="26"/>
        </w:rPr>
        <w:t>, 201</w:t>
      </w:r>
      <w:r w:rsidR="00BE7E59">
        <w:rPr>
          <w:sz w:val="26"/>
          <w:szCs w:val="26"/>
        </w:rPr>
        <w:t>6</w:t>
      </w:r>
      <w:r w:rsidR="009C315C" w:rsidRPr="009C315C">
        <w:rPr>
          <w:sz w:val="26"/>
          <w:szCs w:val="26"/>
        </w:rPr>
        <w:t xml:space="preserve">, the North American Electric Reliability Corporation (NERC) filed a </w:t>
      </w:r>
      <w:r w:rsidR="00633BA8">
        <w:rPr>
          <w:sz w:val="26"/>
          <w:szCs w:val="26"/>
        </w:rPr>
        <w:t>petition</w:t>
      </w:r>
      <w:r w:rsidR="009C315C" w:rsidRPr="009C315C">
        <w:rPr>
          <w:sz w:val="26"/>
          <w:szCs w:val="26"/>
        </w:rPr>
        <w:t xml:space="preserve"> for Commission approval</w:t>
      </w:r>
      <w:r w:rsidR="000D2B3C">
        <w:rPr>
          <w:sz w:val="26"/>
          <w:szCs w:val="26"/>
        </w:rPr>
        <w:t xml:space="preserve">, </w:t>
      </w:r>
      <w:r w:rsidR="000D2B3C" w:rsidRPr="009C315C">
        <w:rPr>
          <w:sz w:val="26"/>
          <w:szCs w:val="26"/>
        </w:rPr>
        <w:t>pursuant to section 215(d)(1) of the Federal Power Act (FPA)</w:t>
      </w:r>
      <w:r w:rsidR="000D2B3C" w:rsidRPr="009C315C">
        <w:rPr>
          <w:rStyle w:val="FootnoteReference"/>
        </w:rPr>
        <w:footnoteReference w:id="1"/>
      </w:r>
      <w:r w:rsidR="000D2B3C" w:rsidRPr="009C315C">
        <w:rPr>
          <w:sz w:val="26"/>
          <w:szCs w:val="26"/>
        </w:rPr>
        <w:t xml:space="preserve"> and Section 39.5 of the Commission’s regulations</w:t>
      </w:r>
      <w:r w:rsidR="000D2B3C" w:rsidRPr="009C315C">
        <w:rPr>
          <w:rStyle w:val="FootnoteReference"/>
        </w:rPr>
        <w:footnoteReference w:id="2"/>
      </w:r>
      <w:r w:rsidR="000D2B3C">
        <w:rPr>
          <w:sz w:val="26"/>
          <w:szCs w:val="26"/>
        </w:rPr>
        <w:t xml:space="preserve">, </w:t>
      </w:r>
      <w:r w:rsidR="009C315C" w:rsidRPr="009C315C">
        <w:rPr>
          <w:sz w:val="26"/>
          <w:szCs w:val="26"/>
        </w:rPr>
        <w:t xml:space="preserve">of proposed </w:t>
      </w:r>
      <w:r w:rsidR="00591805">
        <w:rPr>
          <w:sz w:val="26"/>
          <w:szCs w:val="26"/>
        </w:rPr>
        <w:t xml:space="preserve">revised </w:t>
      </w:r>
      <w:r w:rsidR="0083429C">
        <w:rPr>
          <w:sz w:val="26"/>
          <w:szCs w:val="26"/>
        </w:rPr>
        <w:t xml:space="preserve">Reliability Standard COM-001-3 (Communications).  </w:t>
      </w:r>
      <w:r w:rsidR="0083429C" w:rsidRPr="0083429C">
        <w:rPr>
          <w:sz w:val="26"/>
          <w:szCs w:val="26"/>
        </w:rPr>
        <w:t xml:space="preserve">NERC also seeks approval of the </w:t>
      </w:r>
      <w:r w:rsidR="00334B2B">
        <w:rPr>
          <w:sz w:val="26"/>
          <w:szCs w:val="26"/>
        </w:rPr>
        <w:t xml:space="preserve">associated </w:t>
      </w:r>
      <w:r w:rsidR="0083429C" w:rsidRPr="0083429C">
        <w:rPr>
          <w:sz w:val="26"/>
          <w:szCs w:val="26"/>
        </w:rPr>
        <w:t>implementation plan</w:t>
      </w:r>
      <w:r w:rsidR="00495359">
        <w:rPr>
          <w:sz w:val="26"/>
          <w:szCs w:val="26"/>
        </w:rPr>
        <w:t>,</w:t>
      </w:r>
      <w:r w:rsidR="0083429C" w:rsidRPr="0083429C">
        <w:rPr>
          <w:sz w:val="26"/>
          <w:szCs w:val="26"/>
        </w:rPr>
        <w:t xml:space="preserve"> the retirement of the currently-effective </w:t>
      </w:r>
      <w:r w:rsidR="0083429C">
        <w:rPr>
          <w:sz w:val="26"/>
          <w:szCs w:val="26"/>
        </w:rPr>
        <w:t>Reliability Standard COM-001-2.1</w:t>
      </w:r>
      <w:r w:rsidR="00A21DF7">
        <w:rPr>
          <w:sz w:val="26"/>
          <w:szCs w:val="26"/>
        </w:rPr>
        <w:t xml:space="preserve">, </w:t>
      </w:r>
      <w:r w:rsidR="00A21DF7" w:rsidRPr="00566E53">
        <w:rPr>
          <w:sz w:val="26"/>
          <w:szCs w:val="26"/>
        </w:rPr>
        <w:t>and the Violation Risk Factors and Vi</w:t>
      </w:r>
      <w:r w:rsidR="0017540D">
        <w:rPr>
          <w:sz w:val="26"/>
          <w:szCs w:val="26"/>
        </w:rPr>
        <w:t>olation Severity Levels</w:t>
      </w:r>
      <w:r w:rsidR="00A21DF7" w:rsidRPr="00566E53">
        <w:rPr>
          <w:sz w:val="26"/>
          <w:szCs w:val="26"/>
        </w:rPr>
        <w:t xml:space="preserve"> associated with new Requirements R12 and R13 proposed in Reliability Standard COM-001-3</w:t>
      </w:r>
      <w:r w:rsidR="0083429C">
        <w:rPr>
          <w:sz w:val="26"/>
          <w:szCs w:val="26"/>
        </w:rPr>
        <w:t xml:space="preserve">.  </w:t>
      </w:r>
    </w:p>
    <w:p w14:paraId="71026234" w14:textId="77777777" w:rsidR="0083429C" w:rsidRDefault="0083429C" w:rsidP="00A16538">
      <w:pPr>
        <w:widowControl/>
        <w:rPr>
          <w:sz w:val="26"/>
          <w:szCs w:val="26"/>
        </w:rPr>
      </w:pPr>
    </w:p>
    <w:p w14:paraId="71026235" w14:textId="77777777" w:rsidR="00334B2B" w:rsidRDefault="00591805" w:rsidP="00334B2B">
      <w:pPr>
        <w:widowControl/>
        <w:ind w:firstLine="720"/>
        <w:rPr>
          <w:sz w:val="26"/>
          <w:szCs w:val="26"/>
        </w:rPr>
      </w:pPr>
      <w:r w:rsidRPr="00591805">
        <w:rPr>
          <w:sz w:val="26"/>
          <w:szCs w:val="26"/>
        </w:rPr>
        <w:t xml:space="preserve">NERC states in its petition that </w:t>
      </w:r>
      <w:r w:rsidR="007F3633">
        <w:rPr>
          <w:sz w:val="26"/>
          <w:szCs w:val="26"/>
        </w:rPr>
        <w:t xml:space="preserve">the </w:t>
      </w:r>
      <w:r w:rsidRPr="00591805">
        <w:rPr>
          <w:sz w:val="26"/>
          <w:szCs w:val="26"/>
        </w:rPr>
        <w:t xml:space="preserve">proposed </w:t>
      </w:r>
      <w:r>
        <w:rPr>
          <w:sz w:val="26"/>
          <w:szCs w:val="26"/>
        </w:rPr>
        <w:t xml:space="preserve">revised </w:t>
      </w:r>
      <w:r w:rsidR="00352F5F">
        <w:rPr>
          <w:sz w:val="26"/>
          <w:szCs w:val="26"/>
        </w:rPr>
        <w:t>Reliability Standard</w:t>
      </w:r>
      <w:r>
        <w:rPr>
          <w:sz w:val="26"/>
          <w:szCs w:val="26"/>
        </w:rPr>
        <w:t xml:space="preserve"> </w:t>
      </w:r>
      <w:r w:rsidR="00334B2B">
        <w:rPr>
          <w:sz w:val="26"/>
          <w:szCs w:val="26"/>
        </w:rPr>
        <w:t>COM</w:t>
      </w:r>
      <w:r w:rsidR="00334B2B">
        <w:rPr>
          <w:sz w:val="26"/>
          <w:szCs w:val="26"/>
        </w:rPr>
        <w:noBreakHyphen/>
      </w:r>
      <w:r w:rsidR="00541F38">
        <w:rPr>
          <w:sz w:val="26"/>
          <w:szCs w:val="26"/>
        </w:rPr>
        <w:t xml:space="preserve">001-3 </w:t>
      </w:r>
      <w:r>
        <w:rPr>
          <w:sz w:val="26"/>
          <w:szCs w:val="26"/>
        </w:rPr>
        <w:t>“</w:t>
      </w:r>
      <w:r w:rsidR="00334B2B" w:rsidRPr="00334B2B">
        <w:rPr>
          <w:sz w:val="26"/>
          <w:szCs w:val="26"/>
        </w:rPr>
        <w:t xml:space="preserve">revises Reliability Standard COM-001-2.1 pursuant to the Commission’s directive in Order No. 808, by adding new Requirements R12 and R13 to expressly require applicable entities to have internal Interpersonal Communication capabilities for </w:t>
      </w:r>
      <w:r w:rsidR="00334B2B" w:rsidRPr="00334B2B">
        <w:rPr>
          <w:sz w:val="26"/>
          <w:szCs w:val="26"/>
        </w:rPr>
        <w:lastRenderedPageBreak/>
        <w:t>the exchange of information necessary for the Reliable Operation of the BES.</w:t>
      </w:r>
      <w:r w:rsidR="006763F6">
        <w:rPr>
          <w:rStyle w:val="FootnoteReference"/>
        </w:rPr>
        <w:footnoteReference w:id="3"/>
      </w:r>
      <w:r w:rsidR="00AB673E">
        <w:rPr>
          <w:sz w:val="26"/>
          <w:szCs w:val="26"/>
        </w:rPr>
        <w:t>”</w:t>
      </w:r>
      <w:r w:rsidR="00334B2B" w:rsidRPr="00334B2B">
        <w:rPr>
          <w:sz w:val="26"/>
          <w:szCs w:val="26"/>
        </w:rPr>
        <w:t xml:space="preserve"> </w:t>
      </w:r>
      <w:r w:rsidR="00AB673E">
        <w:rPr>
          <w:sz w:val="26"/>
          <w:szCs w:val="26"/>
        </w:rPr>
        <w:t xml:space="preserve"> NERC states that “[t]he proposed Requirements would ensure that</w:t>
      </w:r>
      <w:r w:rsidR="00AB673E" w:rsidRPr="00AB673E">
        <w:rPr>
          <w:sz w:val="26"/>
          <w:szCs w:val="26"/>
        </w:rPr>
        <w:t xml:space="preserve"> </w:t>
      </w:r>
      <w:r w:rsidR="00AB673E">
        <w:rPr>
          <w:sz w:val="26"/>
          <w:szCs w:val="26"/>
        </w:rPr>
        <w:t>Reliability Standard COM</w:t>
      </w:r>
      <w:r w:rsidR="00AB673E">
        <w:rPr>
          <w:sz w:val="26"/>
          <w:szCs w:val="26"/>
        </w:rPr>
        <w:noBreakHyphen/>
        <w:t>001-3 clearly address internal Interpersonal Communications capabilities that could involve the issuance or receipt of Operating Instruction or other communication that could impact reliability.  This would include, for example, internal Interpersonal Communications capabilities for control centers within the same functional entity (including geographically separate control centers) and/or between a control center and field personnel</w:t>
      </w:r>
      <w:r w:rsidRPr="00591805">
        <w:rPr>
          <w:sz w:val="26"/>
          <w:szCs w:val="26"/>
        </w:rPr>
        <w:t>.</w:t>
      </w:r>
      <w:r w:rsidR="00AB673E">
        <w:rPr>
          <w:sz w:val="26"/>
          <w:szCs w:val="26"/>
        </w:rPr>
        <w:t>”</w:t>
      </w:r>
      <w:r w:rsidR="00B43FC3" w:rsidRPr="00334B2B">
        <w:rPr>
          <w:rStyle w:val="FootnoteReference"/>
          <w:b w:val="0"/>
        </w:rPr>
        <w:footnoteReference w:id="4"/>
      </w:r>
      <w:r w:rsidR="00B43FC3">
        <w:rPr>
          <w:sz w:val="26"/>
          <w:szCs w:val="26"/>
        </w:rPr>
        <w:t xml:space="preserve"> </w:t>
      </w:r>
    </w:p>
    <w:p w14:paraId="71026236" w14:textId="77777777" w:rsidR="00334B2B" w:rsidRDefault="00334B2B" w:rsidP="00334B2B">
      <w:pPr>
        <w:widowControl/>
        <w:ind w:firstLine="720"/>
        <w:rPr>
          <w:sz w:val="26"/>
          <w:szCs w:val="26"/>
        </w:rPr>
      </w:pPr>
    </w:p>
    <w:p w14:paraId="71026237" w14:textId="77777777" w:rsidR="00547321" w:rsidRDefault="00882605" w:rsidP="00547321">
      <w:pPr>
        <w:spacing w:after="240"/>
        <w:ind w:firstLine="720"/>
        <w:rPr>
          <w:sz w:val="26"/>
          <w:szCs w:val="26"/>
        </w:rPr>
      </w:pPr>
      <w:r w:rsidRPr="0030709C">
        <w:rPr>
          <w:sz w:val="26"/>
          <w:szCs w:val="26"/>
        </w:rPr>
        <w:t>NERC’s f</w:t>
      </w:r>
      <w:r w:rsidR="00547321" w:rsidRPr="0030709C">
        <w:rPr>
          <w:sz w:val="26"/>
          <w:szCs w:val="26"/>
        </w:rPr>
        <w:t xml:space="preserve">iling was noticed on </w:t>
      </w:r>
      <w:r w:rsidR="00761312">
        <w:rPr>
          <w:sz w:val="26"/>
          <w:szCs w:val="26"/>
        </w:rPr>
        <w:t>August</w:t>
      </w:r>
      <w:r w:rsidR="009C315C">
        <w:rPr>
          <w:sz w:val="26"/>
          <w:szCs w:val="26"/>
        </w:rPr>
        <w:t xml:space="preserve"> </w:t>
      </w:r>
      <w:r w:rsidR="00761312">
        <w:rPr>
          <w:sz w:val="26"/>
          <w:szCs w:val="26"/>
        </w:rPr>
        <w:t>15</w:t>
      </w:r>
      <w:r w:rsidR="009C315C">
        <w:rPr>
          <w:sz w:val="26"/>
          <w:szCs w:val="26"/>
        </w:rPr>
        <w:t>, 201</w:t>
      </w:r>
      <w:r w:rsidR="003626BB">
        <w:rPr>
          <w:sz w:val="26"/>
          <w:szCs w:val="26"/>
        </w:rPr>
        <w:t>6</w:t>
      </w:r>
      <w:r w:rsidR="00547321" w:rsidRPr="0030709C">
        <w:rPr>
          <w:sz w:val="26"/>
          <w:szCs w:val="26"/>
        </w:rPr>
        <w:t>, with interventions, comments and protests due on o</w:t>
      </w:r>
      <w:r w:rsidR="00E02C9F" w:rsidRPr="0030709C">
        <w:rPr>
          <w:sz w:val="26"/>
          <w:szCs w:val="26"/>
        </w:rPr>
        <w:t xml:space="preserve">r before </w:t>
      </w:r>
      <w:r w:rsidR="00761312">
        <w:rPr>
          <w:sz w:val="26"/>
          <w:szCs w:val="26"/>
        </w:rPr>
        <w:t>September</w:t>
      </w:r>
      <w:r w:rsidR="009C315C">
        <w:rPr>
          <w:sz w:val="26"/>
          <w:szCs w:val="26"/>
        </w:rPr>
        <w:t xml:space="preserve"> </w:t>
      </w:r>
      <w:r w:rsidR="00761312">
        <w:rPr>
          <w:sz w:val="26"/>
          <w:szCs w:val="26"/>
        </w:rPr>
        <w:t>14</w:t>
      </w:r>
      <w:r w:rsidR="009C315C">
        <w:rPr>
          <w:sz w:val="26"/>
          <w:szCs w:val="26"/>
        </w:rPr>
        <w:t>, 201</w:t>
      </w:r>
      <w:r w:rsidR="003626BB">
        <w:rPr>
          <w:sz w:val="26"/>
          <w:szCs w:val="26"/>
        </w:rPr>
        <w:t>6</w:t>
      </w:r>
      <w:r w:rsidR="00E02C9F" w:rsidRPr="0030709C">
        <w:rPr>
          <w:sz w:val="26"/>
          <w:szCs w:val="26"/>
        </w:rPr>
        <w:t xml:space="preserve">. </w:t>
      </w:r>
      <w:r w:rsidR="000F227C">
        <w:rPr>
          <w:sz w:val="26"/>
          <w:szCs w:val="26"/>
        </w:rPr>
        <w:t xml:space="preserve"> </w:t>
      </w:r>
      <w:r w:rsidR="0035348B" w:rsidRPr="0030709C">
        <w:rPr>
          <w:sz w:val="26"/>
          <w:szCs w:val="26"/>
        </w:rPr>
        <w:t>No</w:t>
      </w:r>
      <w:r w:rsidR="00547321" w:rsidRPr="0030709C">
        <w:rPr>
          <w:sz w:val="26"/>
          <w:szCs w:val="26"/>
        </w:rPr>
        <w:t xml:space="preserve"> </w:t>
      </w:r>
      <w:r w:rsidR="005E2337">
        <w:rPr>
          <w:sz w:val="26"/>
          <w:szCs w:val="26"/>
        </w:rPr>
        <w:t xml:space="preserve">interventions, </w:t>
      </w:r>
      <w:r w:rsidR="00547321" w:rsidRPr="0030709C">
        <w:rPr>
          <w:sz w:val="26"/>
          <w:szCs w:val="26"/>
        </w:rPr>
        <w:t xml:space="preserve">comments </w:t>
      </w:r>
      <w:r w:rsidR="005E2337">
        <w:rPr>
          <w:sz w:val="26"/>
          <w:szCs w:val="26"/>
        </w:rPr>
        <w:t xml:space="preserve">or protests </w:t>
      </w:r>
      <w:r w:rsidR="00547321" w:rsidRPr="0030709C">
        <w:rPr>
          <w:sz w:val="26"/>
          <w:szCs w:val="26"/>
        </w:rPr>
        <w:t>were received.</w:t>
      </w:r>
      <w:r w:rsidR="00547321">
        <w:rPr>
          <w:sz w:val="26"/>
          <w:szCs w:val="26"/>
        </w:rPr>
        <w:t xml:space="preserve"> </w:t>
      </w:r>
    </w:p>
    <w:p w14:paraId="71026238" w14:textId="77777777" w:rsidR="00882605" w:rsidRPr="00D379D9" w:rsidRDefault="00882605" w:rsidP="00882605">
      <w:pPr>
        <w:spacing w:after="240"/>
        <w:ind w:firstLine="720"/>
        <w:rPr>
          <w:sz w:val="26"/>
          <w:szCs w:val="26"/>
        </w:rPr>
      </w:pPr>
      <w:r w:rsidRPr="00D379D9">
        <w:rPr>
          <w:sz w:val="26"/>
          <w:szCs w:val="26"/>
        </w:rPr>
        <w:t xml:space="preserve">NERC’s uncontested </w:t>
      </w:r>
      <w:r w:rsidR="000D2B3C">
        <w:rPr>
          <w:sz w:val="26"/>
          <w:szCs w:val="26"/>
        </w:rPr>
        <w:t>petition</w:t>
      </w:r>
      <w:r w:rsidR="000D2B3C" w:rsidRPr="00D379D9">
        <w:rPr>
          <w:sz w:val="26"/>
          <w:szCs w:val="26"/>
        </w:rPr>
        <w:t xml:space="preserve"> </w:t>
      </w:r>
      <w:r w:rsidRPr="00D379D9">
        <w:rPr>
          <w:sz w:val="26"/>
          <w:szCs w:val="26"/>
        </w:rPr>
        <w:t>is hereby approved pursuant to the relevant authority delegated to the Director, Office of Electric Reliability under 18 C.F.R. § 375.303 (201</w:t>
      </w:r>
      <w:r w:rsidR="0017540D">
        <w:rPr>
          <w:sz w:val="26"/>
          <w:szCs w:val="26"/>
        </w:rPr>
        <w:t>6</w:t>
      </w:r>
      <w:r w:rsidRPr="00D379D9">
        <w:rPr>
          <w:sz w:val="26"/>
          <w:szCs w:val="26"/>
        </w:rPr>
        <w:t xml:space="preserve">), effective as of </w:t>
      </w:r>
      <w:r w:rsidR="003626BB">
        <w:rPr>
          <w:sz w:val="26"/>
          <w:szCs w:val="26"/>
        </w:rPr>
        <w:t>July</w:t>
      </w:r>
      <w:r w:rsidR="003D3172">
        <w:rPr>
          <w:sz w:val="26"/>
          <w:szCs w:val="26"/>
        </w:rPr>
        <w:t xml:space="preserve"> 1, 2016</w:t>
      </w:r>
      <w:r w:rsidR="00047E9E">
        <w:rPr>
          <w:sz w:val="26"/>
          <w:szCs w:val="26"/>
        </w:rPr>
        <w:t>.</w:t>
      </w:r>
    </w:p>
    <w:p w14:paraId="71026239" w14:textId="77777777" w:rsidR="00882605" w:rsidRPr="00D379D9" w:rsidRDefault="00882605" w:rsidP="00882605">
      <w:pPr>
        <w:spacing w:after="240"/>
        <w:ind w:firstLine="720"/>
        <w:rPr>
          <w:sz w:val="26"/>
          <w:szCs w:val="26"/>
        </w:rPr>
      </w:pPr>
      <w:r w:rsidRPr="00D379D9">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r w:rsidR="006B3F79">
        <w:rPr>
          <w:sz w:val="26"/>
          <w:szCs w:val="26"/>
        </w:rPr>
        <w:t xml:space="preserve">  </w:t>
      </w:r>
    </w:p>
    <w:p w14:paraId="7102623A" w14:textId="77777777" w:rsidR="00882605" w:rsidRPr="00D379D9" w:rsidRDefault="00882605" w:rsidP="00882605">
      <w:pPr>
        <w:spacing w:after="240"/>
        <w:rPr>
          <w:sz w:val="26"/>
          <w:szCs w:val="26"/>
        </w:rPr>
      </w:pPr>
      <w:r w:rsidRPr="00D379D9">
        <w:rPr>
          <w:sz w:val="26"/>
          <w:szCs w:val="26"/>
        </w:rPr>
        <w:tab/>
        <w:t>This order constitutes final agency action.  Requests for rehearing by the Commission may be filed within 30 days of the date of issuance of this order, pursuant to 18 C.F.R. § 385.713 (201</w:t>
      </w:r>
      <w:r w:rsidR="0017540D">
        <w:rPr>
          <w:sz w:val="26"/>
          <w:szCs w:val="26"/>
        </w:rPr>
        <w:t>6</w:t>
      </w:r>
      <w:r w:rsidRPr="00D379D9">
        <w:rPr>
          <w:sz w:val="26"/>
          <w:szCs w:val="26"/>
        </w:rPr>
        <w:t>).</w:t>
      </w:r>
    </w:p>
    <w:p w14:paraId="7102623B" w14:textId="77777777" w:rsidR="00882605" w:rsidRPr="00D379D9" w:rsidRDefault="00882605" w:rsidP="00882605">
      <w:pPr>
        <w:spacing w:after="240"/>
        <w:rPr>
          <w:sz w:val="26"/>
          <w:szCs w:val="26"/>
        </w:rPr>
      </w:pPr>
    </w:p>
    <w:p w14:paraId="7102623C" w14:textId="77777777"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14:paraId="7102623D" w14:textId="77777777" w:rsidR="00AA1BB0" w:rsidRPr="00D379D9" w:rsidRDefault="00AA1BB0" w:rsidP="00AA1BB0">
      <w:pPr>
        <w:rPr>
          <w:sz w:val="26"/>
          <w:szCs w:val="26"/>
        </w:rPr>
      </w:pPr>
    </w:p>
    <w:p w14:paraId="7102623E" w14:textId="77777777" w:rsidR="00AA1BB0" w:rsidRPr="00D379D9" w:rsidRDefault="00AA1BB0" w:rsidP="00AA1BB0">
      <w:pPr>
        <w:rPr>
          <w:sz w:val="26"/>
          <w:szCs w:val="26"/>
        </w:rPr>
      </w:pPr>
    </w:p>
    <w:p w14:paraId="7102623F" w14:textId="77777777"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Michael Bardee, Director</w:t>
      </w:r>
    </w:p>
    <w:p w14:paraId="71026240" w14:textId="77777777"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p w14:paraId="71026241" w14:textId="77777777" w:rsidR="00C0730B" w:rsidRPr="00447931" w:rsidRDefault="004A103E">
      <w:pPr>
        <w:rPr>
          <w:sz w:val="26"/>
          <w:szCs w:val="26"/>
        </w:rPr>
      </w:pPr>
    </w:p>
    <w:sectPr w:rsidR="00C0730B" w:rsidRPr="00447931" w:rsidSect="0030709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4F951" w14:textId="77777777" w:rsidR="004A103E" w:rsidRDefault="004A103E" w:rsidP="00AA1BB0">
      <w:r>
        <w:separator/>
      </w:r>
    </w:p>
  </w:endnote>
  <w:endnote w:type="continuationSeparator" w:id="0">
    <w:p w14:paraId="0138314B" w14:textId="77777777" w:rsidR="004A103E" w:rsidRDefault="004A103E"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6E1B6" w14:textId="77777777" w:rsidR="002B26B4" w:rsidRDefault="002B2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B3D9" w14:textId="77777777" w:rsidR="002B26B4" w:rsidRDefault="002B2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2C3A5" w14:textId="77777777" w:rsidR="002B26B4" w:rsidRDefault="002B2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506A9" w14:textId="77777777" w:rsidR="004A103E" w:rsidRDefault="004A103E" w:rsidP="00AA1BB0">
      <w:r>
        <w:separator/>
      </w:r>
    </w:p>
  </w:footnote>
  <w:footnote w:type="continuationSeparator" w:id="0">
    <w:p w14:paraId="10051473" w14:textId="77777777" w:rsidR="004A103E" w:rsidRDefault="004A103E" w:rsidP="00AA1BB0">
      <w:r>
        <w:continuationSeparator/>
      </w:r>
    </w:p>
  </w:footnote>
  <w:footnote w:id="1">
    <w:p w14:paraId="71026248" w14:textId="77777777" w:rsidR="000D2B3C" w:rsidRDefault="000D2B3C" w:rsidP="000D2B3C">
      <w:pPr>
        <w:pStyle w:val="FootnoteText"/>
        <w:rPr>
          <w:sz w:val="26"/>
          <w:szCs w:val="26"/>
        </w:rPr>
      </w:pPr>
      <w:r>
        <w:tab/>
      </w:r>
      <w:r>
        <w:rPr>
          <w:rStyle w:val="FootnoteReference"/>
        </w:rPr>
        <w:footnoteRef/>
      </w:r>
      <w:r>
        <w:t xml:space="preserve"> </w:t>
      </w:r>
      <w:r w:rsidRPr="00E25B15">
        <w:rPr>
          <w:sz w:val="26"/>
          <w:szCs w:val="26"/>
        </w:rPr>
        <w:t>16 U.S.C. § 824o (20</w:t>
      </w:r>
      <w:r>
        <w:rPr>
          <w:sz w:val="26"/>
          <w:szCs w:val="26"/>
        </w:rPr>
        <w:t>12</w:t>
      </w:r>
      <w:r w:rsidRPr="00E25B15">
        <w:rPr>
          <w:sz w:val="26"/>
          <w:szCs w:val="26"/>
        </w:rPr>
        <w:t>).</w:t>
      </w:r>
    </w:p>
    <w:p w14:paraId="71026249" w14:textId="77777777" w:rsidR="000D2B3C" w:rsidRPr="00E25B15" w:rsidRDefault="000D2B3C" w:rsidP="000D2B3C">
      <w:pPr>
        <w:pStyle w:val="FootnoteText"/>
        <w:rPr>
          <w:sz w:val="26"/>
          <w:szCs w:val="26"/>
        </w:rPr>
      </w:pPr>
    </w:p>
  </w:footnote>
  <w:footnote w:id="2">
    <w:p w14:paraId="7102624A" w14:textId="77777777" w:rsidR="000D2B3C" w:rsidRDefault="000D2B3C" w:rsidP="000D2B3C">
      <w:pPr>
        <w:pStyle w:val="FootnoteText"/>
        <w:rPr>
          <w:sz w:val="26"/>
          <w:szCs w:val="26"/>
        </w:rPr>
      </w:pPr>
      <w:r>
        <w:tab/>
      </w:r>
      <w:r>
        <w:rPr>
          <w:rStyle w:val="FootnoteReference"/>
        </w:rPr>
        <w:footnoteRef/>
      </w:r>
      <w:r>
        <w:t xml:space="preserve"> </w:t>
      </w:r>
      <w:r w:rsidRPr="00E25B15">
        <w:rPr>
          <w:sz w:val="26"/>
          <w:szCs w:val="26"/>
        </w:rPr>
        <w:t>18 C.F.R. § 39.5 (20</w:t>
      </w:r>
      <w:r w:rsidR="0017540D">
        <w:rPr>
          <w:sz w:val="26"/>
          <w:szCs w:val="26"/>
        </w:rPr>
        <w:t>16</w:t>
      </w:r>
      <w:r w:rsidRPr="00E25B15">
        <w:rPr>
          <w:sz w:val="26"/>
          <w:szCs w:val="26"/>
        </w:rPr>
        <w:t>).</w:t>
      </w:r>
    </w:p>
    <w:p w14:paraId="7102624B" w14:textId="77777777" w:rsidR="000D2B3C" w:rsidRPr="00E25B15" w:rsidRDefault="000D2B3C" w:rsidP="000D2B3C">
      <w:pPr>
        <w:pStyle w:val="FootnoteText"/>
        <w:rPr>
          <w:sz w:val="26"/>
          <w:szCs w:val="26"/>
        </w:rPr>
      </w:pPr>
    </w:p>
  </w:footnote>
  <w:footnote w:id="3">
    <w:p w14:paraId="7102624C" w14:textId="77777777" w:rsidR="006763F6" w:rsidRDefault="006763F6" w:rsidP="006763F6">
      <w:pPr>
        <w:pStyle w:val="FootnoteText"/>
        <w:ind w:left="720"/>
        <w:rPr>
          <w:sz w:val="26"/>
          <w:szCs w:val="26"/>
        </w:rPr>
      </w:pPr>
      <w:r>
        <w:rPr>
          <w:rStyle w:val="FootnoteReference"/>
        </w:rPr>
        <w:footnoteRef/>
      </w:r>
      <w:r>
        <w:t xml:space="preserve"> </w:t>
      </w:r>
      <w:r w:rsidR="00566E53" w:rsidRPr="00566E53">
        <w:rPr>
          <w:sz w:val="26"/>
          <w:szCs w:val="26"/>
        </w:rPr>
        <w:t>NERC petition</w:t>
      </w:r>
      <w:r>
        <w:rPr>
          <w:sz w:val="26"/>
          <w:szCs w:val="26"/>
        </w:rPr>
        <w:t xml:space="preserve"> at 10.</w:t>
      </w:r>
    </w:p>
    <w:p w14:paraId="7102624D" w14:textId="77777777" w:rsidR="006763F6" w:rsidRPr="006763F6" w:rsidRDefault="006763F6" w:rsidP="006763F6">
      <w:pPr>
        <w:pStyle w:val="FootnoteText"/>
        <w:ind w:left="720"/>
        <w:rPr>
          <w:sz w:val="26"/>
          <w:szCs w:val="26"/>
        </w:rPr>
      </w:pPr>
    </w:p>
  </w:footnote>
  <w:footnote w:id="4">
    <w:p w14:paraId="7102624E" w14:textId="77777777" w:rsidR="00B43FC3" w:rsidRDefault="00B43FC3" w:rsidP="00047E9E">
      <w:pPr>
        <w:pStyle w:val="FootnoteText"/>
        <w:ind w:firstLine="720"/>
        <w:rPr>
          <w:sz w:val="26"/>
          <w:szCs w:val="26"/>
        </w:rPr>
      </w:pPr>
      <w:r w:rsidRPr="00B43FC3">
        <w:rPr>
          <w:rStyle w:val="FootnoteReference"/>
        </w:rPr>
        <w:footnoteRef/>
      </w:r>
      <w:r w:rsidRPr="00B43FC3">
        <w:rPr>
          <w:sz w:val="26"/>
          <w:szCs w:val="26"/>
        </w:rPr>
        <w:t xml:space="preserve"> </w:t>
      </w:r>
      <w:r w:rsidR="00AB673E" w:rsidRPr="00B43FC3">
        <w:rPr>
          <w:i/>
          <w:sz w:val="26"/>
          <w:szCs w:val="26"/>
        </w:rPr>
        <w:t>Id</w:t>
      </w:r>
      <w:r w:rsidR="00AB673E">
        <w:rPr>
          <w:sz w:val="26"/>
          <w:szCs w:val="26"/>
        </w:rPr>
        <w:t xml:space="preserve"> at 12</w:t>
      </w:r>
      <w:r w:rsidR="00047E9E" w:rsidRPr="00B43FC3">
        <w:rPr>
          <w:sz w:val="26"/>
          <w:szCs w:val="26"/>
        </w:rPr>
        <w:t>.</w:t>
      </w:r>
    </w:p>
    <w:p w14:paraId="7102624F" w14:textId="77777777" w:rsidR="00B43FC3" w:rsidRPr="00B43FC3" w:rsidRDefault="00B43FC3" w:rsidP="00881890">
      <w:pPr>
        <w:pStyle w:val="FootnoteText"/>
        <w:ind w:firstLine="720"/>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4FC4" w14:textId="77777777" w:rsidR="002B26B4" w:rsidRDefault="002B2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6246" w14:textId="1DD395E5" w:rsidR="004D138A" w:rsidRPr="003D34AC" w:rsidRDefault="00684584"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w:t>
    </w:r>
    <w:r w:rsidR="008047D3">
      <w:rPr>
        <w:sz w:val="26"/>
        <w:szCs w:val="26"/>
        <w:lang w:val="de-DE"/>
      </w:rPr>
      <w:t>16-</w:t>
    </w:r>
    <w:r w:rsidR="002B26B4">
      <w:rPr>
        <w:sz w:val="26"/>
        <w:szCs w:val="26"/>
        <w:lang w:val="de-DE"/>
      </w:rPr>
      <w:t>9</w:t>
    </w:r>
    <w:r w:rsidR="008047D3">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2813EB">
      <w:rPr>
        <w:noProof/>
        <w:sz w:val="26"/>
        <w:szCs w:val="26"/>
        <w:lang w:val="de-DE"/>
      </w:rPr>
      <w:t>2</w:t>
    </w:r>
    <w:r>
      <w:rPr>
        <w:sz w:val="26"/>
        <w:szCs w:val="26"/>
      </w:rPr>
      <w:fldChar w:fldCharType="end"/>
    </w:r>
  </w:p>
  <w:p w14:paraId="71026247" w14:textId="77777777" w:rsidR="004D138A" w:rsidRPr="0071572B" w:rsidRDefault="004A103E" w:rsidP="00290663">
    <w:pPr>
      <w:pStyle w:val="Header"/>
      <w:tabs>
        <w:tab w:val="clear" w:pos="8640"/>
        <w:tab w:val="right" w:pos="9360"/>
      </w:tabs>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C5363" w14:textId="77777777" w:rsidR="002B26B4" w:rsidRDefault="002B2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B0"/>
    <w:rsid w:val="0001366D"/>
    <w:rsid w:val="00021C7B"/>
    <w:rsid w:val="00047E9E"/>
    <w:rsid w:val="00060983"/>
    <w:rsid w:val="0007279F"/>
    <w:rsid w:val="0007350E"/>
    <w:rsid w:val="00076BCB"/>
    <w:rsid w:val="00077866"/>
    <w:rsid w:val="0009571A"/>
    <w:rsid w:val="00095D18"/>
    <w:rsid w:val="00097D75"/>
    <w:rsid w:val="000A3A34"/>
    <w:rsid w:val="000B2A85"/>
    <w:rsid w:val="000C3491"/>
    <w:rsid w:val="000C6EA8"/>
    <w:rsid w:val="000D2B3C"/>
    <w:rsid w:val="000D37C0"/>
    <w:rsid w:val="000D79E3"/>
    <w:rsid w:val="000E55EA"/>
    <w:rsid w:val="000F227C"/>
    <w:rsid w:val="00152DAC"/>
    <w:rsid w:val="00163D77"/>
    <w:rsid w:val="0017540D"/>
    <w:rsid w:val="00181C62"/>
    <w:rsid w:val="001A76BB"/>
    <w:rsid w:val="001B6A24"/>
    <w:rsid w:val="001E0E12"/>
    <w:rsid w:val="001F0056"/>
    <w:rsid w:val="00227D04"/>
    <w:rsid w:val="00243BF0"/>
    <w:rsid w:val="002813EB"/>
    <w:rsid w:val="00282158"/>
    <w:rsid w:val="002B26B4"/>
    <w:rsid w:val="002C59D7"/>
    <w:rsid w:val="002D3289"/>
    <w:rsid w:val="002E1D76"/>
    <w:rsid w:val="0030709C"/>
    <w:rsid w:val="003133CB"/>
    <w:rsid w:val="00334B2B"/>
    <w:rsid w:val="00352F5F"/>
    <w:rsid w:val="0035348B"/>
    <w:rsid w:val="003560B7"/>
    <w:rsid w:val="003626BB"/>
    <w:rsid w:val="0037419F"/>
    <w:rsid w:val="003A0A25"/>
    <w:rsid w:val="003D3172"/>
    <w:rsid w:val="003F2F3B"/>
    <w:rsid w:val="00414C50"/>
    <w:rsid w:val="00447931"/>
    <w:rsid w:val="00475032"/>
    <w:rsid w:val="00495359"/>
    <w:rsid w:val="004A103E"/>
    <w:rsid w:val="004A2D92"/>
    <w:rsid w:val="004B2EDC"/>
    <w:rsid w:val="004C427D"/>
    <w:rsid w:val="004C48EA"/>
    <w:rsid w:val="00500C49"/>
    <w:rsid w:val="00503793"/>
    <w:rsid w:val="005219C6"/>
    <w:rsid w:val="0053141D"/>
    <w:rsid w:val="00533906"/>
    <w:rsid w:val="00541F38"/>
    <w:rsid w:val="00547321"/>
    <w:rsid w:val="00565969"/>
    <w:rsid w:val="00566E53"/>
    <w:rsid w:val="00577562"/>
    <w:rsid w:val="0058272E"/>
    <w:rsid w:val="00591805"/>
    <w:rsid w:val="00593DD0"/>
    <w:rsid w:val="005C13FB"/>
    <w:rsid w:val="005C5300"/>
    <w:rsid w:val="005C746F"/>
    <w:rsid w:val="005D35B8"/>
    <w:rsid w:val="005E2337"/>
    <w:rsid w:val="005F3B5D"/>
    <w:rsid w:val="00613399"/>
    <w:rsid w:val="00631745"/>
    <w:rsid w:val="00633BA8"/>
    <w:rsid w:val="00636034"/>
    <w:rsid w:val="00643BB8"/>
    <w:rsid w:val="006750DB"/>
    <w:rsid w:val="00675D0F"/>
    <w:rsid w:val="006763F6"/>
    <w:rsid w:val="00676EB0"/>
    <w:rsid w:val="00684584"/>
    <w:rsid w:val="006944D9"/>
    <w:rsid w:val="00695B6F"/>
    <w:rsid w:val="006B3F79"/>
    <w:rsid w:val="006D0295"/>
    <w:rsid w:val="006D1B92"/>
    <w:rsid w:val="0071427E"/>
    <w:rsid w:val="00732344"/>
    <w:rsid w:val="00747468"/>
    <w:rsid w:val="00761312"/>
    <w:rsid w:val="00794F19"/>
    <w:rsid w:val="007C6150"/>
    <w:rsid w:val="007E518A"/>
    <w:rsid w:val="007F3633"/>
    <w:rsid w:val="008047D3"/>
    <w:rsid w:val="00812068"/>
    <w:rsid w:val="0082226D"/>
    <w:rsid w:val="008310EA"/>
    <w:rsid w:val="00831E27"/>
    <w:rsid w:val="00833FC3"/>
    <w:rsid w:val="0083429C"/>
    <w:rsid w:val="0086404D"/>
    <w:rsid w:val="00881890"/>
    <w:rsid w:val="00882605"/>
    <w:rsid w:val="008C0989"/>
    <w:rsid w:val="0091465F"/>
    <w:rsid w:val="00917A22"/>
    <w:rsid w:val="009212FB"/>
    <w:rsid w:val="009552E7"/>
    <w:rsid w:val="00981CE9"/>
    <w:rsid w:val="0099328C"/>
    <w:rsid w:val="009936F5"/>
    <w:rsid w:val="0099409C"/>
    <w:rsid w:val="00996E49"/>
    <w:rsid w:val="009A4DEF"/>
    <w:rsid w:val="009A545B"/>
    <w:rsid w:val="009B3363"/>
    <w:rsid w:val="009B359F"/>
    <w:rsid w:val="009C315C"/>
    <w:rsid w:val="00A16538"/>
    <w:rsid w:val="00A21DF7"/>
    <w:rsid w:val="00A21E0B"/>
    <w:rsid w:val="00A5694C"/>
    <w:rsid w:val="00A65D88"/>
    <w:rsid w:val="00A6724B"/>
    <w:rsid w:val="00A71718"/>
    <w:rsid w:val="00A80C1D"/>
    <w:rsid w:val="00AA1BB0"/>
    <w:rsid w:val="00AA5425"/>
    <w:rsid w:val="00AB54F4"/>
    <w:rsid w:val="00AB673E"/>
    <w:rsid w:val="00AD472B"/>
    <w:rsid w:val="00AF2A8C"/>
    <w:rsid w:val="00AF459F"/>
    <w:rsid w:val="00AF6983"/>
    <w:rsid w:val="00B05DC7"/>
    <w:rsid w:val="00B401F0"/>
    <w:rsid w:val="00B43FC3"/>
    <w:rsid w:val="00B63491"/>
    <w:rsid w:val="00B873CB"/>
    <w:rsid w:val="00B87670"/>
    <w:rsid w:val="00BA27F2"/>
    <w:rsid w:val="00BA7792"/>
    <w:rsid w:val="00BC6BF8"/>
    <w:rsid w:val="00BE6818"/>
    <w:rsid w:val="00BE7E59"/>
    <w:rsid w:val="00C05A0B"/>
    <w:rsid w:val="00C13907"/>
    <w:rsid w:val="00C14713"/>
    <w:rsid w:val="00C3561D"/>
    <w:rsid w:val="00C37C9F"/>
    <w:rsid w:val="00C44D57"/>
    <w:rsid w:val="00C55310"/>
    <w:rsid w:val="00C61FC7"/>
    <w:rsid w:val="00C651BB"/>
    <w:rsid w:val="00CA1A6F"/>
    <w:rsid w:val="00CA7563"/>
    <w:rsid w:val="00CB37DF"/>
    <w:rsid w:val="00CC21F0"/>
    <w:rsid w:val="00CE53FE"/>
    <w:rsid w:val="00CF0EB5"/>
    <w:rsid w:val="00D10F34"/>
    <w:rsid w:val="00D3661C"/>
    <w:rsid w:val="00D4219A"/>
    <w:rsid w:val="00D6249D"/>
    <w:rsid w:val="00D87A85"/>
    <w:rsid w:val="00DC559A"/>
    <w:rsid w:val="00DF6C76"/>
    <w:rsid w:val="00E02C9F"/>
    <w:rsid w:val="00E21E97"/>
    <w:rsid w:val="00E22C20"/>
    <w:rsid w:val="00E25B15"/>
    <w:rsid w:val="00E44F8D"/>
    <w:rsid w:val="00E536FD"/>
    <w:rsid w:val="00E62BD3"/>
    <w:rsid w:val="00E71ABE"/>
    <w:rsid w:val="00E83105"/>
    <w:rsid w:val="00EF5E65"/>
    <w:rsid w:val="00EF7842"/>
    <w:rsid w:val="00F20F4B"/>
    <w:rsid w:val="00F229E1"/>
    <w:rsid w:val="00F26D84"/>
    <w:rsid w:val="00F374EC"/>
    <w:rsid w:val="00F619A1"/>
    <w:rsid w:val="00F7087D"/>
    <w:rsid w:val="00F74DB8"/>
    <w:rsid w:val="00F842DD"/>
    <w:rsid w:val="00F8568B"/>
    <w:rsid w:val="00F90AEE"/>
    <w:rsid w:val="00FB4C09"/>
    <w:rsid w:val="00FC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621B"/>
  <w15:docId w15:val="{B4A0322C-A278-4BF6-B921-32F65F0F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51C5F-8B61-462F-8A97-023B25B10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784CE0-FB52-462B-93B2-DE47A637AB33}">
  <ds:schemaRefs>
    <ds:schemaRef ds:uri="http://schemas.microsoft.com/office/2006/metadata/properties"/>
  </ds:schemaRefs>
</ds:datastoreItem>
</file>

<file path=customXml/itemProps3.xml><?xml version="1.0" encoding="utf-8"?>
<ds:datastoreItem xmlns:ds="http://schemas.openxmlformats.org/officeDocument/2006/customXml" ds:itemID="{2A6641A7-AF71-4120-8B9C-ADFC8EDFF4B9}">
  <ds:schemaRefs>
    <ds:schemaRef ds:uri="http://schemas.microsoft.com/sharepoint/v3/contenttype/forms"/>
  </ds:schemaRefs>
</ds:datastoreItem>
</file>

<file path=customXml/itemProps4.xml><?xml version="1.0" encoding="utf-8"?>
<ds:datastoreItem xmlns:ds="http://schemas.openxmlformats.org/officeDocument/2006/customXml" ds:itemID="{BC612B5B-CE87-473D-B9A9-647C9400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cp:lastPrinted>2016-10-28T12:06:00Z</cp:lastPrinted>
  <dcterms:created xsi:type="dcterms:W3CDTF">2017-06-01T18:35:00Z</dcterms:created>
  <dcterms:modified xsi:type="dcterms:W3CDTF">2017-06-01T18:35:00Z</dcterms:modified>
  <cp:category/>
  <dc:identifier/>
  <cp:contentStatus/>
  <cp:version/>
</cp:coreProperties>
</file>