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D001E4" w:rsidRDefault="00711414">
          <w:pPr>
            <w:rPr>
              <w:noProof/>
            </w:rPr>
          </w:pPr>
          <w:r>
            <w:rPr>
              <w:noProof/>
            </w:rPr>
            <mc:AlternateContent>
              <mc:Choice Requires="wps">
                <w:drawing>
                  <wp:anchor distT="0" distB="0" distL="114300" distR="114300" simplePos="0" relativeHeight="251676672" behindDoc="1" locked="0" layoutInCell="1" allowOverlap="1" wp14:anchorId="099B0FAD" wp14:editId="1CB5102E">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8100">
                                  <a:solidFill>
                                    <a:schemeClr val="lt1">
                                      <a:lumMod val="9500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02A96"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" fillcolor="#0c95d3" stroked="f">
                    <w10:wrap type="through"/>
                  </v:rect>
                </w:pict>
              </mc:Fallback>
            </mc:AlternateContent>
          </w:r>
          <w:r w:rsidR="00C00590">
            <w:rPr>
              <w:noProof/>
            </w:rPr>
            <w:drawing>
              <wp:anchor distT="0" distB="0" distL="114300" distR="114300" simplePos="0" relativeHeight="251675647" behindDoc="0" locked="0" layoutInCell="1" allowOverlap="1" wp14:anchorId="693A6E41" wp14:editId="01A4A0A3">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9"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anchorId="23B34BB5" wp14:editId="306C24F7">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2B28B2"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" strokecolor="#7e8e9a">
                    <w10:wrap type="square" anchorx="margin" anchory="margin"/>
                  </v:shape>
                </w:pict>
              </mc:Fallback>
            </mc:AlternateContent>
          </w:r>
        </w:p>
        <w:p w:rsidR="00041909" w:rsidRDefault="001F3A8F" w:rsidP="00D928FD">
          <w:pPr>
            <w:ind w:left="1080"/>
          </w:pPr>
          <w:r>
            <w:rPr>
              <w:noProof/>
            </w:rPr>
            <w:softHyphen/>
          </w:r>
          <w:r>
            <w:rPr>
              <w:noProof/>
            </w:rPr>
            <w:softHyphen/>
          </w:r>
          <w:r>
            <w:rPr>
              <w:noProof/>
            </w:rPr>
            <w:softHyphen/>
          </w:r>
        </w:p>
      </w:sdtContent>
    </w:sdt>
    <w:p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RDefault="0059212D"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00DE0681">
            <w:rPr>
              <w:rFonts w:ascii="Times New Roman" w:hAnsi="Times New Roman" w:cs="Times New Roman"/>
              <w:color w:val="139CD8"/>
              <w:sz w:val="56"/>
              <w:szCs w:val="52"/>
            </w:rPr>
            <w:t>Coal Markets Reporting System</w:t>
          </w:r>
        </w:p>
      </w:sdtContent>
    </w:sdt>
    <w:p w:rsidR="0059212D" w:rsidRPr="007E53C4" w:rsidRDefault="007E53C4" w:rsidP="007E53C4">
      <w:pPr>
        <w:pStyle w:val="Heading1"/>
      </w:pPr>
      <w:bookmarkStart w:id="0" w:name="_Toc475452183"/>
      <w:bookmarkStart w:id="1" w:name="_Toc475459537"/>
      <w:r w:rsidRPr="007E53C4">
        <w:t>Part B</w:t>
      </w:r>
      <w:r w:rsidR="00EE2CAF" w:rsidRPr="007E53C4">
        <w:t xml:space="preserve">: </w:t>
      </w:r>
      <w:r w:rsidRPr="007E53C4">
        <w:t>Collections of Information Employing Statistical Methods</w:t>
      </w:r>
      <w:bookmarkEnd w:id="0"/>
      <w:bookmarkEnd w:id="1"/>
    </w:p>
    <w:p w:rsidR="00711414" w:rsidRPr="00711414" w:rsidRDefault="007E53C4" w:rsidP="00D928FD">
      <w:pPr>
        <w:rPr>
          <w:b/>
          <w:sz w:val="36"/>
          <w:szCs w:val="36"/>
        </w:rPr>
      </w:pPr>
      <w:r>
        <w:rPr>
          <w:noProof/>
        </w:rPr>
        <mc:AlternateContent>
          <mc:Choice Requires="wps">
            <w:drawing>
              <wp:anchor distT="0" distB="0" distL="114300" distR="114300" simplePos="0" relativeHeight="251693056" behindDoc="0" locked="0" layoutInCell="1" allowOverlap="1" wp14:anchorId="3FD2DE47" wp14:editId="5862495A">
                <wp:simplePos x="0" y="0"/>
                <wp:positionH relativeFrom="margin">
                  <wp:posOffset>0</wp:posOffset>
                </wp:positionH>
                <wp:positionV relativeFrom="margin">
                  <wp:posOffset>3248025</wp:posOffset>
                </wp:positionV>
                <wp:extent cx="6019800" cy="2409825"/>
                <wp:effectExtent l="0" t="0" r="0"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4098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316D25" w:rsidRPr="007A6BB3" w:rsidRDefault="00316D25" w:rsidP="00DE0681">
                            <w:pPr>
                              <w:rPr>
                                <w:i/>
                                <w:sz w:val="28"/>
                                <w:szCs w:val="28"/>
                              </w:rPr>
                            </w:pPr>
                            <w:r w:rsidRPr="007A6BB3">
                              <w:rPr>
                                <w:i/>
                                <w:sz w:val="28"/>
                                <w:szCs w:val="28"/>
                              </w:rPr>
                              <w:t xml:space="preserve">Form EIA-3, “Quarterly Survey of </w:t>
                            </w:r>
                            <w:r w:rsidRPr="00DF39B8">
                              <w:rPr>
                                <w:i/>
                                <w:sz w:val="28"/>
                                <w:szCs w:val="28"/>
                              </w:rPr>
                              <w:t>Industrial, Commercial, &amp; Institutional Coal Users</w:t>
                            </w:r>
                            <w:r w:rsidRPr="007A6BB3">
                              <w:rPr>
                                <w:i/>
                                <w:sz w:val="28"/>
                                <w:szCs w:val="28"/>
                              </w:rPr>
                              <w:t>”</w:t>
                            </w:r>
                          </w:p>
                          <w:p w:rsidR="00316D25" w:rsidRPr="007A6BB3" w:rsidRDefault="00316D25" w:rsidP="00DE0681">
                            <w:pPr>
                              <w:rPr>
                                <w:i/>
                                <w:sz w:val="28"/>
                                <w:szCs w:val="28"/>
                              </w:rPr>
                            </w:pPr>
                            <w:r w:rsidRPr="007A6BB3">
                              <w:rPr>
                                <w:i/>
                                <w:sz w:val="28"/>
                                <w:szCs w:val="28"/>
                              </w:rPr>
                              <w:t>Form EIA-7A, “Annual Survey of Coal Production and Preparation”</w:t>
                            </w:r>
                          </w:p>
                          <w:p w:rsidR="00316D25" w:rsidRPr="007A6BB3" w:rsidRDefault="00316D25" w:rsidP="00DE0681">
                            <w:pPr>
                              <w:rPr>
                                <w:i/>
                                <w:sz w:val="28"/>
                                <w:szCs w:val="28"/>
                              </w:rPr>
                            </w:pPr>
                            <w:r w:rsidRPr="007A6BB3">
                              <w:rPr>
                                <w:i/>
                                <w:sz w:val="28"/>
                                <w:szCs w:val="28"/>
                              </w:rPr>
                              <w:t>Form EIA-8A, “Annual Survey of Coal Stocks and Coal Exports”</w:t>
                            </w:r>
                          </w:p>
                          <w:p w:rsidR="00316D25" w:rsidRPr="007A6BB3" w:rsidRDefault="00316D25" w:rsidP="00DE0681">
                            <w:pPr>
                              <w:rPr>
                                <w:i/>
                                <w:sz w:val="28"/>
                                <w:szCs w:val="28"/>
                              </w:rPr>
                            </w:pPr>
                            <w:r w:rsidRPr="007A6BB3">
                              <w:rPr>
                                <w:i/>
                                <w:sz w:val="28"/>
                                <w:szCs w:val="28"/>
                              </w:rPr>
                              <w:t>Form EIA-6, “Emergency Coal Supply Survey (Standby)”</w:t>
                            </w:r>
                          </w:p>
                          <w:p w:rsidR="00316D25" w:rsidRPr="007A6BB3" w:rsidRDefault="00316D25" w:rsidP="00DE0681">
                            <w:pPr>
                              <w:rPr>
                                <w:i/>
                                <w:sz w:val="28"/>
                                <w:szCs w:val="28"/>
                              </w:rPr>
                            </w:pPr>
                            <w:r w:rsidRPr="007A6BB3">
                              <w:rPr>
                                <w:i/>
                                <w:sz w:val="28"/>
                                <w:szCs w:val="28"/>
                              </w:rPr>
                              <w:t>Form EIA-20, “Emergency Weekly Coal Monitoring Survey for Coal Burning Power Producers (Standby)”</w:t>
                            </w:r>
                          </w:p>
                          <w:p w:rsidR="00316D25" w:rsidRPr="0059212D" w:rsidRDefault="00316D25" w:rsidP="00FB6BF3">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D2DE47" id="_x0000_t202" coordsize="21600,21600" o:spt="202" path="m,l,21600r21600,l21600,xe">
                <v:stroke joinstyle="miter"/>
                <v:path gradientshapeok="t" o:connecttype="rect"/>
              </v:shapetype>
              <v:shape id="Text Box 10" o:spid="_x0000_s1026" type="#_x0000_t202" style="position:absolute;margin-left:0;margin-top:255.75pt;width:474pt;height:189.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" filled="f" stroked="f">
                <v:textbox inset="0">
                  <w:txbxContent>
                    <w:p w:rsidR="00316D25" w:rsidRPr="007A6BB3" w:rsidRDefault="00316D25" w:rsidP="00DE0681">
                      <w:pPr>
                        <w:rPr>
                          <w:i/>
                          <w:sz w:val="28"/>
                          <w:szCs w:val="28"/>
                        </w:rPr>
                      </w:pPr>
                      <w:r w:rsidRPr="007A6BB3">
                        <w:rPr>
                          <w:i/>
                          <w:sz w:val="28"/>
                          <w:szCs w:val="28"/>
                        </w:rPr>
                        <w:t xml:space="preserve">Form EIA-3, “Quarterly Survey of </w:t>
                      </w:r>
                      <w:r w:rsidRPr="00DF39B8">
                        <w:rPr>
                          <w:i/>
                          <w:sz w:val="28"/>
                          <w:szCs w:val="28"/>
                        </w:rPr>
                        <w:t>Industrial, Commercial, &amp; Institutional Coal Users</w:t>
                      </w:r>
                      <w:r w:rsidRPr="007A6BB3">
                        <w:rPr>
                          <w:i/>
                          <w:sz w:val="28"/>
                          <w:szCs w:val="28"/>
                        </w:rPr>
                        <w:t>”</w:t>
                      </w:r>
                    </w:p>
                    <w:p w:rsidR="00316D25" w:rsidRPr="007A6BB3" w:rsidRDefault="00316D25" w:rsidP="00DE0681">
                      <w:pPr>
                        <w:rPr>
                          <w:i/>
                          <w:sz w:val="28"/>
                          <w:szCs w:val="28"/>
                        </w:rPr>
                      </w:pPr>
                      <w:r w:rsidRPr="007A6BB3">
                        <w:rPr>
                          <w:i/>
                          <w:sz w:val="28"/>
                          <w:szCs w:val="28"/>
                        </w:rPr>
                        <w:t>Form EIA-7A, “Annual Survey of Coal Production and Preparation”</w:t>
                      </w:r>
                    </w:p>
                    <w:p w:rsidR="00316D25" w:rsidRPr="007A6BB3" w:rsidRDefault="00316D25" w:rsidP="00DE0681">
                      <w:pPr>
                        <w:rPr>
                          <w:i/>
                          <w:sz w:val="28"/>
                          <w:szCs w:val="28"/>
                        </w:rPr>
                      </w:pPr>
                      <w:r w:rsidRPr="007A6BB3">
                        <w:rPr>
                          <w:i/>
                          <w:sz w:val="28"/>
                          <w:szCs w:val="28"/>
                        </w:rPr>
                        <w:t>Form EIA-8A, “Annual Survey of Coal Stocks and Coal Exports”</w:t>
                      </w:r>
                    </w:p>
                    <w:p w:rsidR="00316D25" w:rsidRPr="007A6BB3" w:rsidRDefault="00316D25" w:rsidP="00DE0681">
                      <w:pPr>
                        <w:rPr>
                          <w:i/>
                          <w:sz w:val="28"/>
                          <w:szCs w:val="28"/>
                        </w:rPr>
                      </w:pPr>
                      <w:r w:rsidRPr="007A6BB3">
                        <w:rPr>
                          <w:i/>
                          <w:sz w:val="28"/>
                          <w:szCs w:val="28"/>
                        </w:rPr>
                        <w:t>Form EIA-6, “Emergency Coal Supply Survey (Standby)”</w:t>
                      </w:r>
                    </w:p>
                    <w:p w:rsidR="00316D25" w:rsidRPr="007A6BB3" w:rsidRDefault="00316D25" w:rsidP="00DE0681">
                      <w:pPr>
                        <w:rPr>
                          <w:i/>
                          <w:sz w:val="28"/>
                          <w:szCs w:val="28"/>
                        </w:rPr>
                      </w:pPr>
                      <w:r w:rsidRPr="007A6BB3">
                        <w:rPr>
                          <w:i/>
                          <w:sz w:val="28"/>
                          <w:szCs w:val="28"/>
                        </w:rPr>
                        <w:t>Form EIA-20, “Emergency Weekly Coal Monitoring Survey for Coal Burning Power Producers (Standby)”</w:t>
                      </w:r>
                    </w:p>
                    <w:p w:rsidR="00316D25" w:rsidRPr="0059212D" w:rsidRDefault="00316D25" w:rsidP="00FB6BF3">
                      <w:pPr>
                        <w:rPr>
                          <w:i/>
                          <w:sz w:val="28"/>
                          <w:szCs w:val="28"/>
                        </w:rPr>
                      </w:pPr>
                    </w:p>
                  </w:txbxContent>
                </v:textbox>
                <w10:wrap type="square" anchorx="margin" anchory="margin"/>
              </v:shape>
            </w:pict>
          </mc:Fallback>
        </mc:AlternateContent>
      </w:r>
      <w:r w:rsidR="00711414" w:rsidRPr="00711414">
        <w:rPr>
          <w:rFonts w:ascii="Times New Roman" w:hAnsi="Times New Roman" w:cs="Times New Roman"/>
          <w:b/>
          <w:sz w:val="36"/>
          <w:szCs w:val="36"/>
        </w:rPr>
        <w:t>OMB No. 1905-0</w:t>
      </w:r>
      <w:r w:rsidR="00DE0681">
        <w:rPr>
          <w:rFonts w:ascii="Times New Roman" w:hAnsi="Times New Roman" w:cs="Times New Roman"/>
          <w:b/>
          <w:sz w:val="36"/>
          <w:szCs w:val="36"/>
        </w:rPr>
        <w:t>167</w:t>
      </w:r>
    </w:p>
    <w:p w:rsidR="001F3A8F" w:rsidRPr="00711414" w:rsidRDefault="007E53C4" w:rsidP="00711414">
      <w:pPr>
        <w:rPr>
          <w:i/>
          <w:sz w:val="28"/>
          <w:szCs w:val="28"/>
        </w:rPr>
      </w:pPr>
      <w:r>
        <w:rPr>
          <w:noProof/>
        </w:rPr>
        <mc:AlternateContent>
          <mc:Choice Requires="wps">
            <w:drawing>
              <wp:anchor distT="0" distB="0" distL="114300" distR="114300" simplePos="0" relativeHeight="251689984" behindDoc="1" locked="0" layoutInCell="1" allowOverlap="1" wp14:anchorId="58E77FB2" wp14:editId="441AC72D">
                <wp:simplePos x="0" y="0"/>
                <wp:positionH relativeFrom="column">
                  <wp:posOffset>-450850</wp:posOffset>
                </wp:positionH>
                <wp:positionV relativeFrom="paragraph">
                  <wp:posOffset>4558030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8100">
                              <a:solidFill>
                                <a:schemeClr val="lt1">
                                  <a:lumMod val="9500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9CBBA" id="Rectangle 34" o:spid="_x0000_s1026" style="position:absolute;margin-left:-35.5pt;margin-top:358.9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" fillcolor="#0c95d3" stroked="f">
                <w10:wrap type="through"/>
              </v:rect>
            </w:pict>
          </mc:Fallback>
        </mc:AlternateContent>
      </w:r>
      <w:r w:rsidR="00EE2CAF">
        <w:rPr>
          <w:noProof/>
        </w:rPr>
        <mc:AlternateContent>
          <mc:Choice Requires="wps">
            <w:drawing>
              <wp:anchor distT="0" distB="0" distL="114300" distR="114300" simplePos="0" relativeHeight="251681792" behindDoc="0" locked="0" layoutInCell="1" allowOverlap="1" wp14:anchorId="5257D852" wp14:editId="0F12ACDD">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316D25" w:rsidRPr="009818F9" w:rsidRDefault="00612CBA">
                            <w:pPr>
                              <w:rPr>
                                <w:color w:val="A6A6A6" w:themeColor="background1" w:themeShade="A6"/>
                                <w:sz w:val="36"/>
                              </w:rPr>
                            </w:pPr>
                            <w:r>
                              <w:rPr>
                                <w:color w:val="A6A6A6" w:themeColor="background1" w:themeShade="A6"/>
                                <w:sz w:val="36"/>
                              </w:rPr>
                              <w:t>April</w:t>
                            </w:r>
                            <w:r w:rsidR="00316D25">
                              <w:rPr>
                                <w:color w:val="A6A6A6" w:themeColor="background1" w:themeShade="A6"/>
                                <w:sz w:val="36"/>
                              </w:rPr>
                              <w:t xml:space="preserve"> 2017</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257D852" id="_x0000_t202" coordsize="21600,21600" o:spt="202" path="m,l,21600r21600,l21600,xe">
                <v:stroke joinstyle="miter"/>
                <v:path gradientshapeok="t" o:connecttype="rect"/>
              </v:shapetype>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" filled="f" stroked="f">
                <v:textbox style="mso-fit-shape-to-text:t" inset="0">
                  <w:txbxContent>
                    <w:p w:rsidR="00316D25" w:rsidRPr="009818F9" w:rsidRDefault="00612CBA">
                      <w:pPr>
                        <w:rPr>
                          <w:color w:val="A6A6A6" w:themeColor="background1" w:themeShade="A6"/>
                          <w:sz w:val="36"/>
                        </w:rPr>
                      </w:pPr>
                      <w:r>
                        <w:rPr>
                          <w:color w:val="A6A6A6" w:themeColor="background1" w:themeShade="A6"/>
                          <w:sz w:val="36"/>
                        </w:rPr>
                        <w:t>April</w:t>
                      </w:r>
                      <w:r w:rsidR="00316D25">
                        <w:rPr>
                          <w:color w:val="A6A6A6" w:themeColor="background1" w:themeShade="A6"/>
                          <w:sz w:val="36"/>
                        </w:rPr>
                        <w:t xml:space="preserve"> 2017</w:t>
                      </w:r>
                    </w:p>
                  </w:txbxContent>
                </v:textbox>
                <w10:wrap type="square" anchorx="margin" anchory="margin"/>
              </v:shape>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anchorId="5A7E636A" wp14:editId="3DB8BE23">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316D25" w:rsidRPr="00AA3D91" w:rsidRDefault="00316D25"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A7E636A" id="Text Box 29" o:spid="_x0000_s1028"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" filled="f" stroked="f">
                <v:textbox inset="0">
                  <w:txbxContent>
                    <w:p w:rsidR="00316D25" w:rsidRPr="00AA3D91" w:rsidRDefault="00316D25"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752" behindDoc="0" locked="0" layoutInCell="1" allowOverlap="1" wp14:anchorId="73631C61" wp14:editId="3C44A302">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0"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91008" behindDoc="0" locked="0" layoutInCell="1" allowOverlap="1" wp14:anchorId="302E619D" wp14:editId="7E638E5C">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316D25" w:rsidRPr="008F4CBD" w:rsidRDefault="00316D25"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316D25" w:rsidRPr="008F4CBD" w:rsidRDefault="00316D25"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2E619D" id="Text Box 35" o:spid="_x0000_s1029"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Ax0iZRQwIAAEUE&#10;AAAOAAAAAAAAAAAAAAAAAC4CAABkcnMvZTJvRG9jLnhtbFBLAQItABQABgAIAAAAIQAIB2oW3gAA&#10;AAoBAAAPAAAAAAAAAAAAAAAAAJ0EAABkcnMvZG93bnJldi54bWxQSwUGAAAAAAQABADzAAAAqAUA&#10;AAAA&#10;" filled="f" stroked="f">
                <v:textbox inset="0,,0">
                  <w:txbxContent>
                    <w:p w:rsidR="00316D25" w:rsidRPr="008F4CBD" w:rsidRDefault="00316D25"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316D25" w:rsidRPr="008F4CBD" w:rsidRDefault="00316D25"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anchorId="4C5966D1" wp14:editId="1CCA4275">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316D25" w:rsidRPr="008F4CBD" w:rsidRDefault="00316D25"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316D25" w:rsidRPr="008F4CBD" w:rsidRDefault="00316D25"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5966D1" id="Text Box 36" o:spid="_x0000_s1030"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" filled="f" stroked="f">
                <v:textbox inset="0">
                  <w:txbxContent>
                    <w:p w:rsidR="00316D25" w:rsidRPr="008F4CBD" w:rsidRDefault="00316D25"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316D25" w:rsidRPr="008F4CBD" w:rsidRDefault="00316D25"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RDefault="00755C3D" w:rsidP="00D928FD">
      <w:pPr>
        <w:sectPr w:rsidR="00755C3D" w:rsidSect="001F3A8F">
          <w:headerReference w:type="default" r:id="rId11"/>
          <w:footerReference w:type="default" r:id="rId12"/>
          <w:footnotePr>
            <w:pos w:val="beneathText"/>
          </w:footnotePr>
          <w:type w:val="continuous"/>
          <w:pgSz w:w="12240" w:h="15840"/>
          <w:pgMar w:top="1440" w:right="1440" w:bottom="1440" w:left="1440" w:header="720" w:footer="720" w:gutter="0"/>
          <w:pgNumType w:fmt="lowerRoman" w:start="1"/>
          <w:cols w:space="720"/>
          <w:titlePg/>
          <w:docGrid w:linePitch="360"/>
        </w:sectPr>
      </w:pPr>
      <w:bookmarkStart w:id="2" w:name="_GoBack"/>
      <w:bookmarkEnd w:id="2"/>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RDefault="0059212D" w:rsidP="007E53C4">
          <w:pPr>
            <w:pStyle w:val="TOCHeading"/>
          </w:pPr>
          <w:r>
            <w:t>Table of Contents</w:t>
          </w:r>
        </w:p>
        <w:p w:rsidR="007E53C4" w:rsidRDefault="0059212D">
          <w:pPr>
            <w:pStyle w:val="TOC1"/>
            <w:rPr>
              <w:rFonts w:eastAsiaTheme="minorEastAsia"/>
              <w:noProof/>
              <w:color w:val="auto"/>
            </w:rPr>
          </w:pPr>
          <w:r>
            <w:fldChar w:fldCharType="begin"/>
          </w:r>
          <w:r>
            <w:instrText xml:space="preserve"> TOC \o "1-3" \h \z \u </w:instrText>
          </w:r>
          <w:r>
            <w:fldChar w:fldCharType="separate"/>
          </w:r>
          <w:r w:rsidR="007E53C4" w:rsidRPr="00316D25">
            <w:rPr>
              <w:rStyle w:val="Hyperlink"/>
              <w:noProof/>
            </w:rPr>
            <w:t>Part B: Collections of Information Employing Statistical Methods</w:t>
          </w:r>
          <w:r w:rsidR="007E53C4">
            <w:rPr>
              <w:noProof/>
              <w:webHidden/>
            </w:rPr>
            <w:tab/>
          </w:r>
          <w:r w:rsidR="00526D68">
            <w:rPr>
              <w:noProof/>
              <w:webHidden/>
            </w:rPr>
            <w:t>i</w:t>
          </w:r>
        </w:p>
        <w:p w:rsidR="007E53C4" w:rsidRDefault="007E53C4">
          <w:pPr>
            <w:pStyle w:val="TOC2"/>
            <w:rPr>
              <w:rFonts w:eastAsiaTheme="minorEastAsia"/>
              <w:noProof/>
              <w:color w:val="auto"/>
            </w:rPr>
          </w:pPr>
          <w:r w:rsidRPr="00316D25">
            <w:rPr>
              <w:rStyle w:val="Hyperlink"/>
              <w:noProof/>
            </w:rPr>
            <w:t>B.1. Respondent Universe</w:t>
          </w:r>
          <w:r>
            <w:rPr>
              <w:noProof/>
              <w:webHidden/>
            </w:rPr>
            <w:tab/>
          </w:r>
          <w:r w:rsidR="00526D68">
            <w:rPr>
              <w:noProof/>
              <w:webHidden/>
            </w:rPr>
            <w:t>1</w:t>
          </w:r>
        </w:p>
        <w:p w:rsidR="007E53C4" w:rsidRDefault="007E53C4">
          <w:pPr>
            <w:pStyle w:val="TOC2"/>
            <w:rPr>
              <w:rFonts w:eastAsiaTheme="minorEastAsia"/>
              <w:noProof/>
              <w:color w:val="auto"/>
            </w:rPr>
          </w:pPr>
          <w:r w:rsidRPr="00316D25">
            <w:rPr>
              <w:rStyle w:val="Hyperlink"/>
              <w:noProof/>
            </w:rPr>
            <w:t>B.2. Statistical Methods</w:t>
          </w:r>
          <w:r>
            <w:rPr>
              <w:noProof/>
              <w:webHidden/>
            </w:rPr>
            <w:tab/>
          </w:r>
          <w:r w:rsidR="00526D68">
            <w:rPr>
              <w:noProof/>
              <w:webHidden/>
            </w:rPr>
            <w:t>2</w:t>
          </w:r>
        </w:p>
        <w:p w:rsidR="007E53C4" w:rsidRDefault="007E53C4">
          <w:pPr>
            <w:pStyle w:val="TOC2"/>
            <w:rPr>
              <w:rFonts w:eastAsiaTheme="minorEastAsia"/>
              <w:noProof/>
              <w:color w:val="auto"/>
            </w:rPr>
          </w:pPr>
          <w:r w:rsidRPr="00316D25">
            <w:rPr>
              <w:rStyle w:val="Hyperlink"/>
              <w:noProof/>
            </w:rPr>
            <w:t>B.3. Maximizing Response Rates</w:t>
          </w:r>
          <w:r>
            <w:rPr>
              <w:noProof/>
              <w:webHidden/>
            </w:rPr>
            <w:tab/>
          </w:r>
          <w:r w:rsidR="00526D68">
            <w:rPr>
              <w:noProof/>
              <w:webHidden/>
            </w:rPr>
            <w:t>3</w:t>
          </w:r>
        </w:p>
        <w:p w:rsidR="007E53C4" w:rsidRDefault="007E53C4">
          <w:pPr>
            <w:pStyle w:val="TOC2"/>
            <w:rPr>
              <w:rFonts w:eastAsiaTheme="minorEastAsia"/>
              <w:noProof/>
              <w:color w:val="auto"/>
            </w:rPr>
          </w:pPr>
          <w:r w:rsidRPr="00316D25">
            <w:rPr>
              <w:rStyle w:val="Hyperlink"/>
              <w:noProof/>
            </w:rPr>
            <w:t>B.4. Test Procedures and Form Consultations</w:t>
          </w:r>
          <w:r>
            <w:rPr>
              <w:noProof/>
              <w:webHidden/>
            </w:rPr>
            <w:tab/>
          </w:r>
          <w:r w:rsidR="00526D68">
            <w:rPr>
              <w:noProof/>
              <w:webHidden/>
            </w:rPr>
            <w:t>4</w:t>
          </w:r>
        </w:p>
        <w:p w:rsidR="007E53C4" w:rsidRDefault="007E53C4">
          <w:pPr>
            <w:pStyle w:val="TOC2"/>
            <w:rPr>
              <w:rFonts w:eastAsiaTheme="minorEastAsia"/>
              <w:noProof/>
              <w:color w:val="auto"/>
            </w:rPr>
          </w:pPr>
          <w:r w:rsidRPr="00316D25">
            <w:rPr>
              <w:rStyle w:val="Hyperlink"/>
              <w:noProof/>
            </w:rPr>
            <w:t>B.5. Statistical Consultations</w:t>
          </w:r>
          <w:r>
            <w:rPr>
              <w:noProof/>
              <w:webHidden/>
            </w:rPr>
            <w:tab/>
          </w:r>
          <w:r w:rsidR="00526D68">
            <w:rPr>
              <w:noProof/>
              <w:webHidden/>
            </w:rPr>
            <w:t>5</w:t>
          </w:r>
        </w:p>
        <w:p w:rsidR="0059212D" w:rsidRDefault="0059212D">
          <w:r>
            <w:rPr>
              <w:b/>
              <w:bCs/>
              <w:noProof/>
            </w:rPr>
            <w:fldChar w:fldCharType="end"/>
          </w:r>
        </w:p>
      </w:sdtContent>
    </w:sdt>
    <w:p w:rsidR="001F3A8F" w:rsidRDefault="001F3A8F" w:rsidP="00D928FD"/>
    <w:p w:rsidR="00D928FD" w:rsidRDefault="00D928FD" w:rsidP="00D928FD">
      <w:pPr>
        <w:sectPr w:rsidR="00D928FD" w:rsidSect="00725453">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RDefault="00041909" w:rsidP="00836D62">
      <w:pPr>
        <w:spacing w:line="240" w:lineRule="auto"/>
        <w:sectPr w:rsidR="00041909" w:rsidSect="00725453">
          <w:footerReference w:type="first" r:id="rId14"/>
          <w:footnotePr>
            <w:pos w:val="beneathText"/>
          </w:footnotePr>
          <w:type w:val="continuous"/>
          <w:pgSz w:w="12240" w:h="15840"/>
          <w:pgMar w:top="1440" w:right="1440" w:bottom="1440" w:left="1440" w:header="720" w:footer="720" w:gutter="0"/>
          <w:pgNumType w:fmt="lowerRoman"/>
          <w:cols w:space="720"/>
          <w:docGrid w:linePitch="360"/>
        </w:sectPr>
      </w:pPr>
    </w:p>
    <w:p w:rsidR="00E6220E" w:rsidRPr="00AE24A6" w:rsidRDefault="00E6220E" w:rsidP="00AE24A6">
      <w:pPr>
        <w:pStyle w:val="Heading2"/>
      </w:pPr>
      <w:bookmarkStart w:id="3" w:name="_Toc475459538"/>
      <w:r w:rsidRPr="00AE24A6">
        <w:lastRenderedPageBreak/>
        <w:t>Introduction</w:t>
      </w:r>
      <w:bookmarkEnd w:id="3"/>
    </w:p>
    <w:p w:rsidR="00E6220E" w:rsidRDefault="00E6220E" w:rsidP="00AE24A6">
      <w:r w:rsidRPr="001E09A3">
        <w:t xml:space="preserve">To help accomplish EIA’s overall mission to provide high quality, informative energy data and analyses, the Office of </w:t>
      </w:r>
      <w:r w:rsidR="001E09A3" w:rsidRPr="001E09A3">
        <w:t>Energy Statistics employs five</w:t>
      </w:r>
      <w:r w:rsidRPr="001E09A3">
        <w:t xml:space="preserve"> statistical surveys to gather relevant, accurate, and timely information from a variety of </w:t>
      </w:r>
      <w:r w:rsidR="00A84D6B">
        <w:t>business establishments</w:t>
      </w:r>
      <w:r w:rsidRPr="001E09A3">
        <w:t xml:space="preserve"> that participate in the production</w:t>
      </w:r>
      <w:r w:rsidR="001E09A3" w:rsidRPr="001E09A3">
        <w:t>, d</w:t>
      </w:r>
      <w:r w:rsidRPr="001E09A3">
        <w:t>istribution</w:t>
      </w:r>
      <w:r w:rsidR="001E09A3" w:rsidRPr="001E09A3">
        <w:t xml:space="preserve">, and utilization of coal </w:t>
      </w:r>
      <w:r w:rsidRPr="001E09A3">
        <w:t>in the United States.  Within this context, the standard practices applicable and relevant to the design and operation of these statistical surveys are identified below</w:t>
      </w:r>
      <w:r w:rsidR="00555F3E">
        <w:t>.</w:t>
      </w:r>
      <w:r w:rsidRPr="001E09A3">
        <w:t xml:space="preserve"> </w:t>
      </w:r>
    </w:p>
    <w:p w:rsidR="00F6032A" w:rsidRPr="001E09A3" w:rsidRDefault="00F6032A" w:rsidP="00AE24A6"/>
    <w:p w:rsidR="007E53C4" w:rsidRDefault="00844524" w:rsidP="00A84D6B">
      <w:pPr>
        <w:pStyle w:val="Heading2"/>
      </w:pPr>
      <w:bookmarkStart w:id="4" w:name="_Toc475459539"/>
      <w:r>
        <w:t>B.</w:t>
      </w:r>
      <w:r w:rsidR="00A41763" w:rsidRPr="00A41763">
        <w:t xml:space="preserve">1. </w:t>
      </w:r>
      <w:r w:rsidR="007E53C4">
        <w:t xml:space="preserve">Respondent </w:t>
      </w:r>
      <w:bookmarkEnd w:id="4"/>
      <w:r w:rsidR="007E53C4">
        <w:t>Universe</w:t>
      </w:r>
    </w:p>
    <w:p w:rsidR="00DE0681" w:rsidRPr="00DE0681" w:rsidRDefault="00AF0CD0" w:rsidP="00A41763">
      <w:pPr>
        <w:rPr>
          <w:bCs/>
        </w:rPr>
      </w:pPr>
      <w:r w:rsidRPr="00D03036">
        <w:t xml:space="preserve">EIA coal surveys are conducted at the </w:t>
      </w:r>
      <w:r w:rsidR="004F528F">
        <w:t xml:space="preserve">site, company, and mine level. </w:t>
      </w:r>
      <w:r w:rsidR="00DE0681" w:rsidRPr="00DE0681">
        <w:rPr>
          <w:bCs/>
        </w:rPr>
        <w:t xml:space="preserve">The coal surveys (EIA-3, EIA-7A, and the EIA-8A) do not </w:t>
      </w:r>
      <w:r w:rsidR="002E3A98">
        <w:rPr>
          <w:bCs/>
        </w:rPr>
        <w:t>employ</w:t>
      </w:r>
      <w:r w:rsidR="002E3A98" w:rsidRPr="00DE0681">
        <w:rPr>
          <w:bCs/>
        </w:rPr>
        <w:t xml:space="preserve"> </w:t>
      </w:r>
      <w:r w:rsidR="00DE0681" w:rsidRPr="00DE0681">
        <w:rPr>
          <w:bCs/>
        </w:rPr>
        <w:t>sampling</w:t>
      </w:r>
      <w:r w:rsidR="002E3A98">
        <w:rPr>
          <w:bCs/>
        </w:rPr>
        <w:t xml:space="preserve"> </w:t>
      </w:r>
      <w:r w:rsidR="00DE0681" w:rsidRPr="00DE0681">
        <w:rPr>
          <w:bCs/>
        </w:rPr>
        <w:t>except</w:t>
      </w:r>
      <w:r w:rsidR="002E3A98">
        <w:rPr>
          <w:bCs/>
        </w:rPr>
        <w:t xml:space="preserve"> </w:t>
      </w:r>
      <w:r w:rsidR="00DE0681">
        <w:rPr>
          <w:bCs/>
        </w:rPr>
        <w:t xml:space="preserve">that the smallest entities </w:t>
      </w:r>
      <w:r w:rsidR="00DE0681" w:rsidRPr="00DE0681">
        <w:rPr>
          <w:bCs/>
        </w:rPr>
        <w:t>in the respondent universe are not required to respond.  The following criteria are applied:</w:t>
      </w:r>
    </w:p>
    <w:p w:rsidR="00DE0681" w:rsidRDefault="00DE0681" w:rsidP="00A41763">
      <w:pPr>
        <w:rPr>
          <w:bCs/>
        </w:rPr>
      </w:pPr>
      <w:r w:rsidRPr="00DE0681">
        <w:rPr>
          <w:b/>
          <w:bCs/>
        </w:rPr>
        <w:t xml:space="preserve">EIA-3 “Quarterly Survey of </w:t>
      </w:r>
      <w:r w:rsidR="00DF39B8" w:rsidRPr="00DF39B8">
        <w:rPr>
          <w:b/>
          <w:bCs/>
        </w:rPr>
        <w:t>Industrial, Commercial, &amp; Institutional Coal Users</w:t>
      </w:r>
      <w:r w:rsidRPr="00DE0681">
        <w:rPr>
          <w:b/>
          <w:bCs/>
        </w:rPr>
        <w:t>”</w:t>
      </w:r>
      <w:r w:rsidRPr="00DE0681">
        <w:rPr>
          <w:bCs/>
        </w:rPr>
        <w:t>:</w:t>
      </w:r>
      <w:r>
        <w:rPr>
          <w:bCs/>
        </w:rPr>
        <w:t xml:space="preserve"> </w:t>
      </w:r>
      <w:r w:rsidR="002E3A98">
        <w:rPr>
          <w:bCs/>
        </w:rPr>
        <w:t>Responses are</w:t>
      </w:r>
      <w:r w:rsidR="002E3A98" w:rsidRPr="00DE0681">
        <w:rPr>
          <w:bCs/>
        </w:rPr>
        <w:t xml:space="preserve"> limited to non-electric sector sites (e.g., manufacturers, hospitals, universities, and correctional facilities) that consume more than 1,000 sh</w:t>
      </w:r>
      <w:r w:rsidR="002E3A98">
        <w:rPr>
          <w:bCs/>
        </w:rPr>
        <w:t>ort tons of coal annually, w</w:t>
      </w:r>
      <w:r>
        <w:rPr>
          <w:bCs/>
        </w:rPr>
        <w:t>ith the exception of coke plants</w:t>
      </w:r>
      <w:r w:rsidR="002E3A98">
        <w:rPr>
          <w:bCs/>
        </w:rPr>
        <w:t xml:space="preserve">. </w:t>
      </w:r>
      <w:r>
        <w:rPr>
          <w:bCs/>
        </w:rPr>
        <w:t xml:space="preserve"> All coke plants are required to report because </w:t>
      </w:r>
      <w:r w:rsidRPr="002438D2">
        <w:rPr>
          <w:bCs/>
        </w:rPr>
        <w:t xml:space="preserve">there are only </w:t>
      </w:r>
      <w:r w:rsidR="00DD56B1" w:rsidRPr="002438D2">
        <w:rPr>
          <w:bCs/>
        </w:rPr>
        <w:t>18</w:t>
      </w:r>
      <w:r w:rsidRPr="002438D2">
        <w:rPr>
          <w:bCs/>
        </w:rPr>
        <w:t xml:space="preserve"> facilities</w:t>
      </w:r>
      <w:r>
        <w:rPr>
          <w:bCs/>
        </w:rPr>
        <w:t xml:space="preserve"> in the United States</w:t>
      </w:r>
      <w:r w:rsidR="00526D68">
        <w:rPr>
          <w:bCs/>
        </w:rPr>
        <w:t>.</w:t>
      </w:r>
    </w:p>
    <w:p w:rsidR="00DE0681" w:rsidRDefault="00DE0681" w:rsidP="00A41763">
      <w:pPr>
        <w:rPr>
          <w:bCs/>
        </w:rPr>
      </w:pPr>
      <w:r w:rsidRPr="00DE0681">
        <w:rPr>
          <w:b/>
          <w:bCs/>
        </w:rPr>
        <w:t>EIA-7A “Annual Survey of Coal Production and Preparation”</w:t>
      </w:r>
      <w:r>
        <w:rPr>
          <w:bCs/>
        </w:rPr>
        <w:t xml:space="preserve">: Responses are </w:t>
      </w:r>
      <w:r w:rsidRPr="00DE0681">
        <w:rPr>
          <w:bCs/>
        </w:rPr>
        <w:t xml:space="preserve">limited to U.S. coal mining companies that produce 25,000 or more short tons of coal during the reporting year, except for anthracite mines.  All anthracite mines that produced 10,000 or more short tons during the reporting year must submit </w:t>
      </w:r>
      <w:r w:rsidR="004F528F">
        <w:rPr>
          <w:bCs/>
        </w:rPr>
        <w:t>F</w:t>
      </w:r>
      <w:r w:rsidRPr="00DE0681">
        <w:rPr>
          <w:bCs/>
        </w:rPr>
        <w:t>orm EIA-</w:t>
      </w:r>
      <w:r w:rsidR="00526D68" w:rsidRPr="00DE0681">
        <w:rPr>
          <w:bCs/>
        </w:rPr>
        <w:t>7A</w:t>
      </w:r>
      <w:r w:rsidR="00526D68">
        <w:rPr>
          <w:bCs/>
        </w:rPr>
        <w:t xml:space="preserve">. </w:t>
      </w:r>
      <w:r>
        <w:rPr>
          <w:bCs/>
        </w:rPr>
        <w:t>(The distinction is due to the fact that anthracite mines tend to be small so a higher threshold would exclude much of the sector)</w:t>
      </w:r>
      <w:r w:rsidRPr="00DE0681">
        <w:rPr>
          <w:bCs/>
        </w:rPr>
        <w:t xml:space="preserve">.  Standalone facilities (e.g., </w:t>
      </w:r>
      <w:r>
        <w:rPr>
          <w:bCs/>
        </w:rPr>
        <w:t xml:space="preserve">coal </w:t>
      </w:r>
      <w:r w:rsidRPr="00DE0681">
        <w:rPr>
          <w:bCs/>
        </w:rPr>
        <w:t>preparation plant</w:t>
      </w:r>
      <w:r>
        <w:rPr>
          <w:bCs/>
        </w:rPr>
        <w:t>s, coal loading facilities (“</w:t>
      </w:r>
      <w:r w:rsidRPr="00DE0681">
        <w:rPr>
          <w:bCs/>
        </w:rPr>
        <w:t>tipple</w:t>
      </w:r>
      <w:r>
        <w:rPr>
          <w:bCs/>
        </w:rPr>
        <w:t xml:space="preserve">s”), and </w:t>
      </w:r>
      <w:r w:rsidRPr="00DE0681">
        <w:rPr>
          <w:bCs/>
        </w:rPr>
        <w:t>loading dock</w:t>
      </w:r>
      <w:r>
        <w:rPr>
          <w:bCs/>
        </w:rPr>
        <w:t>s</w:t>
      </w:r>
      <w:r w:rsidR="00526D68">
        <w:rPr>
          <w:bCs/>
        </w:rPr>
        <w:t xml:space="preserve">) </w:t>
      </w:r>
      <w:r w:rsidR="00526D68" w:rsidRPr="00DE0681">
        <w:rPr>
          <w:bCs/>
        </w:rPr>
        <w:t>that</w:t>
      </w:r>
      <w:r w:rsidRPr="00DE0681">
        <w:rPr>
          <w:bCs/>
        </w:rPr>
        <w:t xml:space="preserve"> </w:t>
      </w:r>
      <w:r w:rsidR="004B2747">
        <w:rPr>
          <w:bCs/>
        </w:rPr>
        <w:t>operated</w:t>
      </w:r>
      <w:r w:rsidR="004B2747" w:rsidRPr="00DE0681">
        <w:rPr>
          <w:bCs/>
        </w:rPr>
        <w:t xml:space="preserve"> </w:t>
      </w:r>
      <w:r w:rsidRPr="00DE0681">
        <w:rPr>
          <w:bCs/>
        </w:rPr>
        <w:t xml:space="preserve">5,000 or more hours must submit </w:t>
      </w:r>
      <w:r w:rsidR="004B2747">
        <w:rPr>
          <w:bCs/>
        </w:rPr>
        <w:t xml:space="preserve">Form </w:t>
      </w:r>
      <w:r w:rsidR="00526D68" w:rsidRPr="00DE0681">
        <w:rPr>
          <w:bCs/>
        </w:rPr>
        <w:t>EIA</w:t>
      </w:r>
      <w:r w:rsidRPr="00DE0681">
        <w:rPr>
          <w:bCs/>
        </w:rPr>
        <w:t>-7A.</w:t>
      </w:r>
    </w:p>
    <w:p w:rsidR="00DE0681" w:rsidRPr="00DE0681" w:rsidRDefault="00DE0681" w:rsidP="00A41763">
      <w:pPr>
        <w:rPr>
          <w:bCs/>
        </w:rPr>
      </w:pPr>
      <w:r w:rsidRPr="00DE0681">
        <w:rPr>
          <w:b/>
          <w:bCs/>
        </w:rPr>
        <w:t>EIA-8A, “Annual Survey of Coal Stocks and Coal Exports</w:t>
      </w:r>
      <w:r w:rsidRPr="00DE0681">
        <w:rPr>
          <w:bCs/>
        </w:rPr>
        <w:t>”</w:t>
      </w:r>
      <w:r>
        <w:rPr>
          <w:bCs/>
        </w:rPr>
        <w:t xml:space="preserve">: Responses are </w:t>
      </w:r>
      <w:r w:rsidRPr="00DE0681">
        <w:rPr>
          <w:bCs/>
        </w:rPr>
        <w:t>limited to coal brokers, coal traders, and coal terminals that own stocks of 10,000 or more short tons of coal originating in the United States on December 31st of the reporting year</w:t>
      </w:r>
      <w:r>
        <w:rPr>
          <w:bCs/>
        </w:rPr>
        <w:t>,</w:t>
      </w:r>
      <w:r w:rsidRPr="00DE0681">
        <w:rPr>
          <w:bCs/>
        </w:rPr>
        <w:t xml:space="preserve"> or exported coal originating in the United States during the reporting year. Companies that take custody (physical possession) of the coal and transport, but never own the coal </w:t>
      </w:r>
      <w:r>
        <w:rPr>
          <w:bCs/>
        </w:rPr>
        <w:t>do</w:t>
      </w:r>
      <w:r w:rsidRPr="00DE0681">
        <w:rPr>
          <w:bCs/>
        </w:rPr>
        <w:t xml:space="preserve"> not report. Companies that report coal stocks on </w:t>
      </w:r>
      <w:r w:rsidR="002E3A98">
        <w:rPr>
          <w:bCs/>
        </w:rPr>
        <w:t>Form</w:t>
      </w:r>
      <w:r w:rsidR="002E3A98" w:rsidRPr="00DE0681">
        <w:rPr>
          <w:bCs/>
        </w:rPr>
        <w:t xml:space="preserve"> </w:t>
      </w:r>
      <w:r w:rsidRPr="00DE0681">
        <w:rPr>
          <w:bCs/>
        </w:rPr>
        <w:t xml:space="preserve">EIA-923, </w:t>
      </w:r>
      <w:r>
        <w:rPr>
          <w:bCs/>
        </w:rPr>
        <w:t>“</w:t>
      </w:r>
      <w:r w:rsidRPr="00DE0681">
        <w:rPr>
          <w:bCs/>
        </w:rPr>
        <w:t>Power Plant Operations Report,</w:t>
      </w:r>
      <w:r>
        <w:rPr>
          <w:bCs/>
        </w:rPr>
        <w:t>”</w:t>
      </w:r>
      <w:r w:rsidRPr="00DE0681">
        <w:rPr>
          <w:bCs/>
        </w:rPr>
        <w:t xml:space="preserve"> </w:t>
      </w:r>
      <w:r w:rsidR="002E3A98">
        <w:rPr>
          <w:bCs/>
        </w:rPr>
        <w:t xml:space="preserve">are not required to </w:t>
      </w:r>
      <w:r w:rsidRPr="00DE0681">
        <w:rPr>
          <w:bCs/>
        </w:rPr>
        <w:t>report.</w:t>
      </w:r>
    </w:p>
    <w:p w:rsidR="00DE0681" w:rsidRDefault="00DE0681" w:rsidP="00A41763">
      <w:pPr>
        <w:rPr>
          <w:bCs/>
        </w:rPr>
      </w:pPr>
      <w:r>
        <w:rPr>
          <w:bCs/>
        </w:rPr>
        <w:t xml:space="preserve">Table </w:t>
      </w:r>
      <w:r w:rsidR="001E09A3">
        <w:rPr>
          <w:bCs/>
        </w:rPr>
        <w:t>B</w:t>
      </w:r>
      <w:r>
        <w:rPr>
          <w:bCs/>
        </w:rPr>
        <w:t>1 shows the estimated frame size for the routine surveys.</w:t>
      </w:r>
    </w:p>
    <w:p w:rsidR="00555F3E" w:rsidRDefault="00555F3E" w:rsidP="00A41763">
      <w:pPr>
        <w:rPr>
          <w:bCs/>
        </w:rPr>
      </w:pPr>
    </w:p>
    <w:p w:rsidR="00555F3E" w:rsidRDefault="00555F3E" w:rsidP="00A41763">
      <w:pPr>
        <w:rPr>
          <w:bCs/>
        </w:rPr>
      </w:pPr>
    </w:p>
    <w:p w:rsidR="00555F3E" w:rsidRDefault="00555F3E" w:rsidP="00A41763">
      <w:pPr>
        <w:rPr>
          <w:bCs/>
        </w:rPr>
      </w:pPr>
    </w:p>
    <w:p w:rsidR="00555F3E" w:rsidRDefault="00555F3E" w:rsidP="00A41763">
      <w:pPr>
        <w:rPr>
          <w:bCs/>
        </w:rPr>
      </w:pPr>
    </w:p>
    <w:p w:rsidR="00555F3E" w:rsidRDefault="00555F3E" w:rsidP="00A41763">
      <w:pPr>
        <w:rPr>
          <w:bCs/>
        </w:rPr>
      </w:pPr>
    </w:p>
    <w:tbl>
      <w:tblPr>
        <w:tblW w:w="9360" w:type="dxa"/>
        <w:jc w:val="center"/>
        <w:tblLayout w:type="fixed"/>
        <w:tblLook w:val="04A0" w:firstRow="1" w:lastRow="0" w:firstColumn="1" w:lastColumn="0" w:noHBand="0" w:noVBand="1"/>
      </w:tblPr>
      <w:tblGrid>
        <w:gridCol w:w="4860"/>
        <w:gridCol w:w="1260"/>
        <w:gridCol w:w="1530"/>
        <w:gridCol w:w="1710"/>
      </w:tblGrid>
      <w:tr w:rsidR="00DE0681" w:rsidRPr="000257EB" w:rsidTr="00DE0681">
        <w:trPr>
          <w:trHeight w:val="360"/>
          <w:jc w:val="center"/>
        </w:trPr>
        <w:tc>
          <w:tcPr>
            <w:tcW w:w="9360" w:type="dxa"/>
            <w:gridSpan w:val="4"/>
            <w:tcBorders>
              <w:top w:val="nil"/>
              <w:left w:val="nil"/>
              <w:bottom w:val="single" w:sz="4" w:space="0" w:color="auto"/>
              <w:right w:val="nil"/>
            </w:tcBorders>
            <w:shd w:val="clear" w:color="auto" w:fill="auto"/>
            <w:hideMark/>
          </w:tcPr>
          <w:p w:rsidR="00DE0681" w:rsidRPr="000257EB" w:rsidRDefault="00DE0681" w:rsidP="00612593">
            <w:pPr>
              <w:spacing w:before="120" w:after="120" w:line="240" w:lineRule="auto"/>
              <w:jc w:val="center"/>
              <w:rPr>
                <w:rFonts w:cs="Arial"/>
                <w:b/>
                <w:bCs/>
                <w:color w:val="0080BD"/>
                <w:sz w:val="28"/>
                <w:szCs w:val="28"/>
              </w:rPr>
            </w:pPr>
            <w:r>
              <w:rPr>
                <w:rFonts w:cs="Arial"/>
                <w:b/>
                <w:bCs/>
                <w:color w:val="0080BD"/>
                <w:sz w:val="28"/>
                <w:szCs w:val="28"/>
              </w:rPr>
              <w:t xml:space="preserve">Table </w:t>
            </w:r>
            <w:r w:rsidR="00612593">
              <w:rPr>
                <w:rFonts w:cs="Arial"/>
                <w:b/>
                <w:bCs/>
                <w:color w:val="0080BD"/>
                <w:sz w:val="28"/>
                <w:szCs w:val="28"/>
              </w:rPr>
              <w:t>B</w:t>
            </w:r>
            <w:r w:rsidRPr="000257EB">
              <w:rPr>
                <w:rFonts w:cs="Arial"/>
                <w:b/>
                <w:bCs/>
                <w:color w:val="0080BD"/>
                <w:sz w:val="28"/>
                <w:szCs w:val="28"/>
              </w:rPr>
              <w:t xml:space="preserve">1 </w:t>
            </w:r>
            <w:r>
              <w:rPr>
                <w:rFonts w:cs="Arial"/>
                <w:b/>
                <w:bCs/>
                <w:color w:val="0080BD"/>
                <w:sz w:val="28"/>
                <w:szCs w:val="28"/>
              </w:rPr>
              <w:t>Frame Size for Routine Coal Surveys</w:t>
            </w:r>
          </w:p>
        </w:tc>
      </w:tr>
      <w:tr w:rsidR="00DE0681" w:rsidRPr="000257EB" w:rsidTr="00DE0681">
        <w:trPr>
          <w:trHeight w:val="765"/>
          <w:jc w:val="center"/>
        </w:trPr>
        <w:tc>
          <w:tcPr>
            <w:tcW w:w="4860" w:type="dxa"/>
            <w:tcBorders>
              <w:top w:val="nil"/>
              <w:left w:val="single" w:sz="4" w:space="0" w:color="auto"/>
              <w:bottom w:val="nil"/>
              <w:right w:val="single" w:sz="4" w:space="0" w:color="auto"/>
            </w:tcBorders>
            <w:shd w:val="clear" w:color="auto" w:fill="C4ECFF" w:themeFill="accent1" w:themeFillTint="33"/>
            <w:vAlign w:val="center"/>
            <w:hideMark/>
          </w:tcPr>
          <w:p w:rsidR="00DE0681" w:rsidRPr="000257EB" w:rsidRDefault="00DE0681" w:rsidP="00316D25">
            <w:pPr>
              <w:spacing w:after="0" w:line="240" w:lineRule="auto"/>
              <w:jc w:val="center"/>
              <w:rPr>
                <w:rFonts w:cs="Arial"/>
                <w:b/>
                <w:bCs/>
              </w:rPr>
            </w:pPr>
            <w:r w:rsidRPr="00DE0681">
              <w:rPr>
                <w:rFonts w:cs="Arial"/>
                <w:b/>
                <w:bCs/>
              </w:rPr>
              <w:t>Survey</w:t>
            </w:r>
          </w:p>
        </w:tc>
        <w:tc>
          <w:tcPr>
            <w:tcW w:w="1260" w:type="dxa"/>
            <w:tcBorders>
              <w:top w:val="nil"/>
              <w:left w:val="nil"/>
              <w:bottom w:val="nil"/>
              <w:right w:val="single" w:sz="4" w:space="0" w:color="auto"/>
            </w:tcBorders>
            <w:shd w:val="clear" w:color="auto" w:fill="C4ECFF" w:themeFill="accent1" w:themeFillTint="33"/>
            <w:vAlign w:val="center"/>
            <w:hideMark/>
          </w:tcPr>
          <w:p w:rsidR="00DE0681" w:rsidRPr="000257EB" w:rsidRDefault="00DE0681" w:rsidP="00316D25">
            <w:pPr>
              <w:spacing w:after="0" w:line="240" w:lineRule="auto"/>
              <w:jc w:val="center"/>
              <w:rPr>
                <w:rFonts w:cs="Arial"/>
                <w:b/>
                <w:bCs/>
              </w:rPr>
            </w:pPr>
            <w:r w:rsidRPr="000257EB">
              <w:rPr>
                <w:rFonts w:cs="Arial"/>
                <w:b/>
                <w:bCs/>
              </w:rPr>
              <w:t>Annual Reporting Frequency</w:t>
            </w:r>
          </w:p>
        </w:tc>
        <w:tc>
          <w:tcPr>
            <w:tcW w:w="1530" w:type="dxa"/>
            <w:tcBorders>
              <w:top w:val="nil"/>
              <w:left w:val="nil"/>
              <w:bottom w:val="nil"/>
              <w:right w:val="single" w:sz="4" w:space="0" w:color="auto"/>
            </w:tcBorders>
            <w:shd w:val="clear" w:color="auto" w:fill="C4ECFF" w:themeFill="accent1" w:themeFillTint="33"/>
            <w:vAlign w:val="center"/>
            <w:hideMark/>
          </w:tcPr>
          <w:p w:rsidR="00DE0681" w:rsidRPr="000257EB" w:rsidRDefault="00DE0681" w:rsidP="00316D25">
            <w:pPr>
              <w:spacing w:after="0" w:line="240" w:lineRule="auto"/>
              <w:jc w:val="center"/>
              <w:rPr>
                <w:rFonts w:cs="Arial"/>
                <w:b/>
                <w:bCs/>
              </w:rPr>
            </w:pPr>
            <w:r w:rsidRPr="000257EB">
              <w:rPr>
                <w:rFonts w:cs="Arial"/>
                <w:b/>
                <w:bCs/>
              </w:rPr>
              <w:t>Number of Respondents</w:t>
            </w:r>
          </w:p>
        </w:tc>
        <w:tc>
          <w:tcPr>
            <w:tcW w:w="1710" w:type="dxa"/>
            <w:tcBorders>
              <w:top w:val="nil"/>
              <w:left w:val="nil"/>
              <w:bottom w:val="nil"/>
              <w:right w:val="single" w:sz="4" w:space="0" w:color="auto"/>
            </w:tcBorders>
            <w:shd w:val="clear" w:color="auto" w:fill="C4ECFF" w:themeFill="accent1" w:themeFillTint="33"/>
            <w:vAlign w:val="center"/>
            <w:hideMark/>
          </w:tcPr>
          <w:p w:rsidR="00DE0681" w:rsidRPr="000257EB" w:rsidRDefault="00DE0681" w:rsidP="00316D25">
            <w:pPr>
              <w:spacing w:after="0" w:line="240" w:lineRule="auto"/>
              <w:jc w:val="center"/>
              <w:rPr>
                <w:rFonts w:cs="Arial"/>
                <w:b/>
                <w:bCs/>
              </w:rPr>
            </w:pPr>
            <w:r w:rsidRPr="000257EB">
              <w:rPr>
                <w:rFonts w:cs="Arial"/>
                <w:b/>
                <w:bCs/>
              </w:rPr>
              <w:t>Annual Number of Responses</w:t>
            </w:r>
          </w:p>
        </w:tc>
      </w:tr>
      <w:tr w:rsidR="00DE0681" w:rsidRPr="000257EB" w:rsidTr="00526D68">
        <w:trPr>
          <w:trHeight w:val="510"/>
          <w:jc w:val="center"/>
        </w:trPr>
        <w:tc>
          <w:tcPr>
            <w:tcW w:w="4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681" w:rsidRPr="000257EB" w:rsidRDefault="00DE0681" w:rsidP="00612593">
            <w:pPr>
              <w:spacing w:before="60" w:after="60" w:line="240" w:lineRule="auto"/>
              <w:rPr>
                <w:rFonts w:cs="Arial"/>
                <w:color w:val="000000"/>
              </w:rPr>
            </w:pPr>
            <w:r w:rsidRPr="000257EB">
              <w:rPr>
                <w:rFonts w:cs="Arial"/>
                <w:color w:val="000000"/>
              </w:rPr>
              <w:t xml:space="preserve">EIA-3, Quarterly Survey of </w:t>
            </w:r>
            <w:r w:rsidR="00DF39B8" w:rsidRPr="00DF39B8">
              <w:rPr>
                <w:rFonts w:cs="Arial"/>
                <w:color w:val="000000"/>
              </w:rPr>
              <w:t>Industrial, Commercial, &amp; Institutional Coal Users</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E0681" w:rsidRPr="000257EB" w:rsidRDefault="00DE0681" w:rsidP="00526D68">
            <w:pPr>
              <w:spacing w:after="0" w:line="240" w:lineRule="auto"/>
              <w:jc w:val="center"/>
              <w:rPr>
                <w:rFonts w:cs="Arial"/>
                <w:color w:val="000000"/>
              </w:rPr>
            </w:pPr>
            <w:r w:rsidRPr="000257EB">
              <w:rPr>
                <w:rFonts w:cs="Arial"/>
                <w:color w:val="000000"/>
              </w:rPr>
              <w:t>4</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DE0681" w:rsidRPr="000257EB" w:rsidRDefault="00DE0681" w:rsidP="00526D68">
            <w:pPr>
              <w:spacing w:after="0" w:line="240" w:lineRule="auto"/>
              <w:jc w:val="center"/>
              <w:rPr>
                <w:rFonts w:cs="Arial"/>
                <w:color w:val="000000"/>
              </w:rPr>
            </w:pPr>
            <w:r w:rsidRPr="000257EB">
              <w:rPr>
                <w:rFonts w:cs="Arial"/>
                <w:color w:val="000000"/>
              </w:rPr>
              <w:t>432</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DE0681" w:rsidRPr="000257EB" w:rsidRDefault="00DE0681" w:rsidP="00526D68">
            <w:pPr>
              <w:spacing w:after="0" w:line="240" w:lineRule="auto"/>
              <w:jc w:val="center"/>
              <w:rPr>
                <w:rFonts w:cs="Arial"/>
                <w:color w:val="000000"/>
              </w:rPr>
            </w:pPr>
            <w:r w:rsidRPr="000257EB">
              <w:rPr>
                <w:rFonts w:cs="Arial"/>
                <w:color w:val="000000"/>
              </w:rPr>
              <w:t>1,728</w:t>
            </w:r>
          </w:p>
        </w:tc>
      </w:tr>
      <w:tr w:rsidR="00DE0681" w:rsidRPr="000257EB" w:rsidTr="00526D68">
        <w:trPr>
          <w:trHeight w:val="510"/>
          <w:jc w:val="center"/>
        </w:trPr>
        <w:tc>
          <w:tcPr>
            <w:tcW w:w="4860" w:type="dxa"/>
            <w:tcBorders>
              <w:top w:val="nil"/>
              <w:left w:val="single" w:sz="4" w:space="0" w:color="auto"/>
              <w:bottom w:val="single" w:sz="4" w:space="0" w:color="auto"/>
              <w:right w:val="single" w:sz="4" w:space="0" w:color="auto"/>
            </w:tcBorders>
            <w:shd w:val="clear" w:color="auto" w:fill="auto"/>
            <w:vAlign w:val="center"/>
            <w:hideMark/>
          </w:tcPr>
          <w:p w:rsidR="00DE0681" w:rsidRPr="000257EB" w:rsidRDefault="00DE0681" w:rsidP="00DE0681">
            <w:pPr>
              <w:spacing w:before="60" w:after="60" w:line="240" w:lineRule="auto"/>
              <w:rPr>
                <w:rFonts w:cs="Arial"/>
                <w:color w:val="000000"/>
              </w:rPr>
            </w:pPr>
            <w:r w:rsidRPr="000257EB">
              <w:rPr>
                <w:rFonts w:cs="Arial"/>
                <w:color w:val="000000"/>
              </w:rPr>
              <w:t>EIA-7A, Annual Survey of Coal Production and Preparation</w:t>
            </w:r>
          </w:p>
        </w:tc>
        <w:tc>
          <w:tcPr>
            <w:tcW w:w="1260" w:type="dxa"/>
            <w:tcBorders>
              <w:top w:val="nil"/>
              <w:left w:val="nil"/>
              <w:bottom w:val="single" w:sz="4" w:space="0" w:color="auto"/>
              <w:right w:val="single" w:sz="4" w:space="0" w:color="auto"/>
            </w:tcBorders>
            <w:shd w:val="clear" w:color="auto" w:fill="auto"/>
            <w:noWrap/>
            <w:vAlign w:val="center"/>
            <w:hideMark/>
          </w:tcPr>
          <w:p w:rsidR="00DE0681" w:rsidRPr="000257EB" w:rsidRDefault="00DE0681" w:rsidP="00526D68">
            <w:pPr>
              <w:spacing w:after="0" w:line="240" w:lineRule="auto"/>
              <w:jc w:val="center"/>
              <w:rPr>
                <w:rFonts w:cs="Arial"/>
                <w:color w:val="000000"/>
              </w:rPr>
            </w:pPr>
            <w:r w:rsidRPr="000257EB">
              <w:rPr>
                <w:rFonts w:cs="Arial"/>
                <w:color w:val="000000"/>
              </w:rPr>
              <w:t>1</w:t>
            </w:r>
          </w:p>
        </w:tc>
        <w:tc>
          <w:tcPr>
            <w:tcW w:w="1530" w:type="dxa"/>
            <w:tcBorders>
              <w:top w:val="nil"/>
              <w:left w:val="nil"/>
              <w:bottom w:val="single" w:sz="4" w:space="0" w:color="auto"/>
              <w:right w:val="single" w:sz="4" w:space="0" w:color="auto"/>
            </w:tcBorders>
            <w:shd w:val="clear" w:color="auto" w:fill="auto"/>
            <w:noWrap/>
            <w:vAlign w:val="center"/>
            <w:hideMark/>
          </w:tcPr>
          <w:p w:rsidR="00DE0681" w:rsidRPr="000257EB" w:rsidRDefault="00DE0681" w:rsidP="00526D68">
            <w:pPr>
              <w:spacing w:after="0" w:line="240" w:lineRule="auto"/>
              <w:jc w:val="center"/>
              <w:rPr>
                <w:rFonts w:cs="Arial"/>
                <w:color w:val="000000"/>
              </w:rPr>
            </w:pPr>
            <w:r w:rsidRPr="000257EB">
              <w:rPr>
                <w:rFonts w:cs="Arial"/>
                <w:color w:val="000000"/>
              </w:rPr>
              <w:t>848</w:t>
            </w:r>
          </w:p>
        </w:tc>
        <w:tc>
          <w:tcPr>
            <w:tcW w:w="1710" w:type="dxa"/>
            <w:tcBorders>
              <w:top w:val="nil"/>
              <w:left w:val="nil"/>
              <w:bottom w:val="single" w:sz="4" w:space="0" w:color="auto"/>
              <w:right w:val="single" w:sz="4" w:space="0" w:color="auto"/>
            </w:tcBorders>
            <w:shd w:val="clear" w:color="auto" w:fill="auto"/>
            <w:noWrap/>
            <w:vAlign w:val="center"/>
            <w:hideMark/>
          </w:tcPr>
          <w:p w:rsidR="00DE0681" w:rsidRPr="000257EB" w:rsidRDefault="00DE0681" w:rsidP="00526D68">
            <w:pPr>
              <w:spacing w:after="0" w:line="240" w:lineRule="auto"/>
              <w:jc w:val="center"/>
              <w:rPr>
                <w:rFonts w:cs="Arial"/>
                <w:color w:val="000000"/>
              </w:rPr>
            </w:pPr>
            <w:r w:rsidRPr="000257EB">
              <w:rPr>
                <w:rFonts w:cs="Arial"/>
                <w:color w:val="000000"/>
              </w:rPr>
              <w:t>848</w:t>
            </w:r>
          </w:p>
        </w:tc>
      </w:tr>
      <w:tr w:rsidR="00DE0681" w:rsidRPr="000257EB" w:rsidTr="00526D68">
        <w:trPr>
          <w:trHeight w:val="510"/>
          <w:jc w:val="center"/>
        </w:trPr>
        <w:tc>
          <w:tcPr>
            <w:tcW w:w="4860" w:type="dxa"/>
            <w:tcBorders>
              <w:top w:val="nil"/>
              <w:left w:val="single" w:sz="4" w:space="0" w:color="auto"/>
              <w:bottom w:val="single" w:sz="4" w:space="0" w:color="auto"/>
              <w:right w:val="single" w:sz="4" w:space="0" w:color="auto"/>
            </w:tcBorders>
            <w:shd w:val="clear" w:color="auto" w:fill="auto"/>
            <w:vAlign w:val="center"/>
            <w:hideMark/>
          </w:tcPr>
          <w:p w:rsidR="00DE0681" w:rsidRPr="000257EB" w:rsidRDefault="00DE0681" w:rsidP="00DE0681">
            <w:pPr>
              <w:spacing w:before="60" w:after="60" w:line="240" w:lineRule="auto"/>
              <w:rPr>
                <w:rFonts w:cs="Arial"/>
                <w:color w:val="000000"/>
              </w:rPr>
            </w:pPr>
            <w:r w:rsidRPr="000257EB">
              <w:rPr>
                <w:rFonts w:cs="Arial"/>
                <w:color w:val="000000"/>
              </w:rPr>
              <w:t>EIA-8A, Annual Survey of Coal Stocks and Coal Exports</w:t>
            </w:r>
          </w:p>
        </w:tc>
        <w:tc>
          <w:tcPr>
            <w:tcW w:w="1260" w:type="dxa"/>
            <w:tcBorders>
              <w:top w:val="nil"/>
              <w:left w:val="nil"/>
              <w:bottom w:val="single" w:sz="4" w:space="0" w:color="auto"/>
              <w:right w:val="single" w:sz="4" w:space="0" w:color="auto"/>
            </w:tcBorders>
            <w:shd w:val="clear" w:color="auto" w:fill="auto"/>
            <w:noWrap/>
            <w:vAlign w:val="center"/>
            <w:hideMark/>
          </w:tcPr>
          <w:p w:rsidR="00DE0681" w:rsidRPr="000257EB" w:rsidRDefault="00DE0681" w:rsidP="00526D68">
            <w:pPr>
              <w:spacing w:after="0" w:line="240" w:lineRule="auto"/>
              <w:jc w:val="center"/>
              <w:rPr>
                <w:rFonts w:cs="Arial"/>
                <w:color w:val="000000"/>
              </w:rPr>
            </w:pPr>
            <w:r w:rsidRPr="000257EB">
              <w:rPr>
                <w:rFonts w:cs="Arial"/>
                <w:color w:val="000000"/>
              </w:rPr>
              <w:t>1</w:t>
            </w:r>
          </w:p>
        </w:tc>
        <w:tc>
          <w:tcPr>
            <w:tcW w:w="1530" w:type="dxa"/>
            <w:tcBorders>
              <w:top w:val="nil"/>
              <w:left w:val="nil"/>
              <w:bottom w:val="single" w:sz="4" w:space="0" w:color="auto"/>
              <w:right w:val="single" w:sz="4" w:space="0" w:color="auto"/>
            </w:tcBorders>
            <w:shd w:val="clear" w:color="auto" w:fill="auto"/>
            <w:noWrap/>
            <w:vAlign w:val="center"/>
            <w:hideMark/>
          </w:tcPr>
          <w:p w:rsidR="00DE0681" w:rsidRPr="000257EB" w:rsidRDefault="00DE0681" w:rsidP="00526D68">
            <w:pPr>
              <w:spacing w:after="0" w:line="240" w:lineRule="auto"/>
              <w:jc w:val="center"/>
              <w:rPr>
                <w:rFonts w:cs="Arial"/>
                <w:color w:val="000000"/>
              </w:rPr>
            </w:pPr>
            <w:r w:rsidRPr="000257EB">
              <w:rPr>
                <w:rFonts w:cs="Arial"/>
                <w:color w:val="000000"/>
              </w:rPr>
              <w:t>48</w:t>
            </w:r>
          </w:p>
        </w:tc>
        <w:tc>
          <w:tcPr>
            <w:tcW w:w="1710" w:type="dxa"/>
            <w:tcBorders>
              <w:top w:val="nil"/>
              <w:left w:val="nil"/>
              <w:bottom w:val="single" w:sz="4" w:space="0" w:color="auto"/>
              <w:right w:val="single" w:sz="4" w:space="0" w:color="auto"/>
            </w:tcBorders>
            <w:shd w:val="clear" w:color="auto" w:fill="auto"/>
            <w:noWrap/>
            <w:vAlign w:val="center"/>
            <w:hideMark/>
          </w:tcPr>
          <w:p w:rsidR="00DE0681" w:rsidRPr="000257EB" w:rsidRDefault="00DE0681" w:rsidP="00526D68">
            <w:pPr>
              <w:spacing w:after="0" w:line="240" w:lineRule="auto"/>
              <w:jc w:val="center"/>
              <w:rPr>
                <w:rFonts w:cs="Arial"/>
                <w:color w:val="000000"/>
              </w:rPr>
            </w:pPr>
            <w:r w:rsidRPr="000257EB">
              <w:rPr>
                <w:rFonts w:cs="Arial"/>
                <w:color w:val="000000"/>
              </w:rPr>
              <w:t>48</w:t>
            </w:r>
          </w:p>
        </w:tc>
      </w:tr>
      <w:tr w:rsidR="00DE0681" w:rsidRPr="000257EB" w:rsidTr="00DE0681">
        <w:trPr>
          <w:trHeight w:val="255"/>
          <w:jc w:val="center"/>
        </w:trPr>
        <w:tc>
          <w:tcPr>
            <w:tcW w:w="4860" w:type="dxa"/>
            <w:tcBorders>
              <w:top w:val="nil"/>
              <w:left w:val="single" w:sz="4" w:space="0" w:color="auto"/>
              <w:bottom w:val="single" w:sz="4" w:space="0" w:color="auto"/>
              <w:right w:val="single" w:sz="4" w:space="0" w:color="auto"/>
            </w:tcBorders>
            <w:shd w:val="clear" w:color="auto" w:fill="auto"/>
            <w:vAlign w:val="bottom"/>
            <w:hideMark/>
          </w:tcPr>
          <w:p w:rsidR="00DE0681" w:rsidRPr="000257EB" w:rsidRDefault="00DE0681" w:rsidP="00316D25">
            <w:pPr>
              <w:spacing w:after="0" w:line="240" w:lineRule="auto"/>
              <w:rPr>
                <w:rFonts w:cs="Arial"/>
                <w:bCs/>
                <w:color w:val="000000"/>
              </w:rPr>
            </w:pPr>
            <w:r w:rsidRPr="000257EB">
              <w:rPr>
                <w:rFonts w:cs="Arial"/>
                <w:bCs/>
                <w:color w:val="000000"/>
              </w:rPr>
              <w:t>TOTAL</w:t>
            </w:r>
          </w:p>
        </w:tc>
        <w:tc>
          <w:tcPr>
            <w:tcW w:w="1260" w:type="dxa"/>
            <w:tcBorders>
              <w:top w:val="nil"/>
              <w:left w:val="nil"/>
              <w:bottom w:val="single" w:sz="4" w:space="0" w:color="auto"/>
              <w:right w:val="single" w:sz="4" w:space="0" w:color="auto"/>
            </w:tcBorders>
            <w:shd w:val="clear" w:color="000000" w:fill="333333"/>
            <w:noWrap/>
            <w:vAlign w:val="bottom"/>
            <w:hideMark/>
          </w:tcPr>
          <w:p w:rsidR="00DE0681" w:rsidRPr="000257EB" w:rsidRDefault="00DE0681" w:rsidP="00316D25">
            <w:pPr>
              <w:spacing w:after="0" w:line="240" w:lineRule="auto"/>
              <w:rPr>
                <w:rFonts w:cs="Arial"/>
                <w:bCs/>
                <w:color w:val="000000"/>
              </w:rPr>
            </w:pPr>
            <w:r w:rsidRPr="000257EB">
              <w:rPr>
                <w:rFonts w:cs="Arial"/>
                <w:bCs/>
                <w:color w:val="000000"/>
              </w:rPr>
              <w:t> </w:t>
            </w:r>
          </w:p>
        </w:tc>
        <w:tc>
          <w:tcPr>
            <w:tcW w:w="1530" w:type="dxa"/>
            <w:tcBorders>
              <w:top w:val="nil"/>
              <w:left w:val="nil"/>
              <w:bottom w:val="single" w:sz="4" w:space="0" w:color="auto"/>
              <w:right w:val="single" w:sz="4" w:space="0" w:color="auto"/>
            </w:tcBorders>
            <w:shd w:val="clear" w:color="auto" w:fill="auto"/>
            <w:noWrap/>
            <w:vAlign w:val="center"/>
            <w:hideMark/>
          </w:tcPr>
          <w:p w:rsidR="00DE0681" w:rsidRPr="000257EB" w:rsidRDefault="00DE0681" w:rsidP="00316D25">
            <w:pPr>
              <w:spacing w:after="0" w:line="240" w:lineRule="auto"/>
              <w:jc w:val="center"/>
              <w:rPr>
                <w:rFonts w:cs="Arial"/>
                <w:bCs/>
                <w:color w:val="000000"/>
              </w:rPr>
            </w:pPr>
            <w:r w:rsidRPr="00DE0681">
              <w:rPr>
                <w:rFonts w:cs="Arial"/>
                <w:bCs/>
                <w:color w:val="000000"/>
              </w:rPr>
              <w:t>1,328</w:t>
            </w:r>
          </w:p>
        </w:tc>
        <w:tc>
          <w:tcPr>
            <w:tcW w:w="1710" w:type="dxa"/>
            <w:tcBorders>
              <w:top w:val="nil"/>
              <w:left w:val="nil"/>
              <w:bottom w:val="single" w:sz="4" w:space="0" w:color="auto"/>
              <w:right w:val="single" w:sz="4" w:space="0" w:color="auto"/>
            </w:tcBorders>
            <w:shd w:val="clear" w:color="auto" w:fill="auto"/>
            <w:noWrap/>
            <w:vAlign w:val="center"/>
            <w:hideMark/>
          </w:tcPr>
          <w:p w:rsidR="00DE0681" w:rsidRPr="000257EB" w:rsidRDefault="00DE0681" w:rsidP="00316D25">
            <w:pPr>
              <w:spacing w:after="0" w:line="240" w:lineRule="auto"/>
              <w:jc w:val="center"/>
              <w:rPr>
                <w:rFonts w:cs="Arial"/>
                <w:bCs/>
                <w:color w:val="000000"/>
              </w:rPr>
            </w:pPr>
            <w:r w:rsidRPr="00DE0681">
              <w:rPr>
                <w:rFonts w:cs="Arial"/>
                <w:bCs/>
                <w:color w:val="000000"/>
              </w:rPr>
              <w:t>2,624</w:t>
            </w:r>
          </w:p>
        </w:tc>
      </w:tr>
    </w:tbl>
    <w:p w:rsidR="00DE0681" w:rsidRDefault="00DE0681" w:rsidP="00A41763">
      <w:pPr>
        <w:rPr>
          <w:bCs/>
        </w:rPr>
      </w:pPr>
    </w:p>
    <w:p w:rsidR="00DE0681" w:rsidRDefault="00DE0681" w:rsidP="00DE0681">
      <w:r>
        <w:rPr>
          <w:bCs/>
        </w:rPr>
        <w:t xml:space="preserve">In addition to the routine surveys, </w:t>
      </w:r>
      <w:r>
        <w:t>s</w:t>
      </w:r>
      <w:r w:rsidRPr="00D03036">
        <w:t xml:space="preserve">tandby Forms EIA-6, </w:t>
      </w:r>
      <w:r w:rsidR="006C4CB2">
        <w:t>“</w:t>
      </w:r>
      <w:r w:rsidRPr="00E0245B">
        <w:rPr>
          <w:i/>
        </w:rPr>
        <w:t>Emergency Coal Supply Survey</w:t>
      </w:r>
      <w:r w:rsidR="006C4CB2">
        <w:rPr>
          <w:i/>
        </w:rPr>
        <w:t>,”</w:t>
      </w:r>
      <w:r w:rsidRPr="00E0245B">
        <w:rPr>
          <w:i/>
        </w:rPr>
        <w:t xml:space="preserve"> </w:t>
      </w:r>
      <w:r w:rsidRPr="00D03036">
        <w:t xml:space="preserve">and EIA-20, </w:t>
      </w:r>
      <w:r w:rsidR="006C4CB2">
        <w:t>“</w:t>
      </w:r>
      <w:r w:rsidRPr="00E0245B">
        <w:rPr>
          <w:i/>
        </w:rPr>
        <w:t>Emergency Weekly Coal Monitoring Survey for Coal Burning Power Producers</w:t>
      </w:r>
      <w:r w:rsidRPr="00D03036">
        <w:t>,</w:t>
      </w:r>
      <w:r w:rsidR="006C4CB2">
        <w:t>”</w:t>
      </w:r>
      <w:r w:rsidRPr="00D03036">
        <w:t xml:space="preserve"> </w:t>
      </w:r>
      <w:r>
        <w:t>may</w:t>
      </w:r>
      <w:r w:rsidRPr="00D03036">
        <w:t xml:space="preserve"> be activated during coal </w:t>
      </w:r>
      <w:r>
        <w:t>availability emergencies</w:t>
      </w:r>
      <w:r w:rsidRPr="00D03036">
        <w:t>.  Form EIA-6</w:t>
      </w:r>
      <w:r>
        <w:t xml:space="preserve"> collects data from coal mining companies on production and stocks </w:t>
      </w:r>
      <w:r w:rsidR="00EC48E0">
        <w:t xml:space="preserve">on a </w:t>
      </w:r>
      <w:r>
        <w:t>state</w:t>
      </w:r>
      <w:r w:rsidR="00EC48E0">
        <w:t xml:space="preserve"> basis</w:t>
      </w:r>
      <w:r>
        <w:t xml:space="preserve">. </w:t>
      </w:r>
      <w:r w:rsidRPr="00D03036">
        <w:t>Companies that produced 25,000 or more short tons of coal during the previous calendar year</w:t>
      </w:r>
      <w:r>
        <w:t xml:space="preserve"> can be directed to respond.  There are currently about 453 mining companies that meet the reporting criteria for this survey.</w:t>
      </w:r>
    </w:p>
    <w:p w:rsidR="00DE0681" w:rsidRDefault="00DE0681" w:rsidP="00DE0681">
      <w:r w:rsidRPr="00D03036">
        <w:t xml:space="preserve">Form EIA-20 survey </w:t>
      </w:r>
      <w:r>
        <w:t xml:space="preserve">collects data on coal consumption, stocks, generation, capacity and deliveries from individual </w:t>
      </w:r>
      <w:r w:rsidRPr="00D03036">
        <w:t>coal-</w:t>
      </w:r>
      <w:r>
        <w:t>fired power plants.  Plants that meet the following criteria can be directed to report:</w:t>
      </w:r>
      <w:r w:rsidRPr="00D03036">
        <w:t xml:space="preserve"> 1) have a total generator nameplate</w:t>
      </w:r>
      <w:r>
        <w:t xml:space="preserve"> </w:t>
      </w:r>
      <w:r w:rsidRPr="00D03036">
        <w:t>capacity (sum for generators at a single site) of 1 megawatt (MW) or greater; and 2) the generator(s), or the facility in which the generator(s) resides, is connected to the local or regional electric power grid and has the ability to draw power from or deliver power to the grid.</w:t>
      </w:r>
      <w:r>
        <w:t xml:space="preserve">  There are currently about 337 coal-fired power plants that meet the reporting criteria for this survey.</w:t>
      </w:r>
    </w:p>
    <w:p w:rsidR="00DE0681" w:rsidRDefault="00DE0681" w:rsidP="00DE0681">
      <w:pPr>
        <w:rPr>
          <w:bCs/>
        </w:rPr>
      </w:pPr>
      <w:r w:rsidRPr="00D03036">
        <w:t xml:space="preserve">Depending on the circumstances of the coal disruption, EIA may require only a subset of the </w:t>
      </w:r>
      <w:r>
        <w:t xml:space="preserve">potential </w:t>
      </w:r>
      <w:r w:rsidRPr="00D03036">
        <w:t xml:space="preserve">respondents </w:t>
      </w:r>
      <w:r w:rsidR="00EC48E0">
        <w:t xml:space="preserve">of </w:t>
      </w:r>
      <w:r>
        <w:t>the standby surveys to report</w:t>
      </w:r>
      <w:r w:rsidR="00EC48E0">
        <w:t>. I</w:t>
      </w:r>
      <w:r>
        <w:t xml:space="preserve">t is unlikely that </w:t>
      </w:r>
      <w:r w:rsidR="00E00A12">
        <w:t xml:space="preserve">a </w:t>
      </w:r>
      <w:r>
        <w:t>coal availability emergency would be so widespread to require all 453 mining companies or all 337 coal-fired plants</w:t>
      </w:r>
      <w:r w:rsidR="00EC48E0">
        <w:t xml:space="preserve"> to report</w:t>
      </w:r>
      <w:r>
        <w:t>.  For the purposes of estimating burden</w:t>
      </w:r>
      <w:r w:rsidR="00E00A12">
        <w:t xml:space="preserve">, </w:t>
      </w:r>
      <w:r>
        <w:t>a method that assumes that 25 percent of respondents would actually be required to report data</w:t>
      </w:r>
      <w:r w:rsidR="00E00A12">
        <w:t xml:space="preserve"> is used</w:t>
      </w:r>
      <w:r>
        <w:t xml:space="preserve">.  For additional information see Section A.12. </w:t>
      </w:r>
      <w:r w:rsidRPr="00DE0681">
        <w:rPr>
          <w:i/>
        </w:rPr>
        <w:t>Estimate of Respondent Burden Hours and Cost</w:t>
      </w:r>
      <w:r>
        <w:t xml:space="preserve">. </w:t>
      </w:r>
    </w:p>
    <w:p w:rsidR="007E53C4" w:rsidRPr="00A41763" w:rsidRDefault="007E53C4" w:rsidP="00A41763"/>
    <w:p w:rsidR="007E53C4" w:rsidRDefault="00612593" w:rsidP="00A84D6B">
      <w:pPr>
        <w:pStyle w:val="Heading2"/>
      </w:pPr>
      <w:bookmarkStart w:id="5" w:name="_Toc475459540"/>
      <w:r>
        <w:lastRenderedPageBreak/>
        <w:t>B</w:t>
      </w:r>
      <w:r w:rsidR="00566CA5">
        <w:t>.</w:t>
      </w:r>
      <w:r w:rsidR="00A41763" w:rsidRPr="00A41763">
        <w:t xml:space="preserve">2. </w:t>
      </w:r>
      <w:r w:rsidR="007E53C4">
        <w:t>Statistical Method</w:t>
      </w:r>
      <w:bookmarkEnd w:id="5"/>
      <w:r w:rsidR="007E53C4">
        <w:t>s</w:t>
      </w:r>
    </w:p>
    <w:p w:rsidR="002438D2" w:rsidRDefault="004C3C97" w:rsidP="00A41763">
      <w:pPr>
        <w:rPr>
          <w:iCs/>
        </w:rPr>
      </w:pPr>
      <w:r>
        <w:t xml:space="preserve">The </w:t>
      </w:r>
      <w:r w:rsidR="00AF0CD0">
        <w:t>EIA coal survey</w:t>
      </w:r>
      <w:r>
        <w:t>s</w:t>
      </w:r>
      <w:r w:rsidR="00AF0CD0">
        <w:t xml:space="preserve"> employ several methods to impute for item and unit nonresponse. These include mean substitution and </w:t>
      </w:r>
      <w:r w:rsidR="004B2747">
        <w:t xml:space="preserve">regression </w:t>
      </w:r>
      <w:r w:rsidR="00AF0CD0">
        <w:t xml:space="preserve">techniques. </w:t>
      </w:r>
    </w:p>
    <w:p w:rsidR="00DE0681" w:rsidRDefault="00DE0681" w:rsidP="00A41763">
      <w:pPr>
        <w:rPr>
          <w:iCs/>
        </w:rPr>
      </w:pPr>
      <w:r>
        <w:rPr>
          <w:iCs/>
        </w:rPr>
        <w:t xml:space="preserve">Response rates on the coal surveys are high (see Section B.3., below).  For those instances in which </w:t>
      </w:r>
      <w:r w:rsidR="005D6672">
        <w:rPr>
          <w:iCs/>
        </w:rPr>
        <w:t>a</w:t>
      </w:r>
      <w:r>
        <w:rPr>
          <w:iCs/>
        </w:rPr>
        <w:t xml:space="preserve"> </w:t>
      </w:r>
      <w:r w:rsidR="005D6672">
        <w:rPr>
          <w:iCs/>
        </w:rPr>
        <w:t xml:space="preserve">respondent </w:t>
      </w:r>
      <w:r>
        <w:rPr>
          <w:iCs/>
        </w:rPr>
        <w:t>has failed to repo</w:t>
      </w:r>
      <w:r w:rsidR="005D6672">
        <w:rPr>
          <w:iCs/>
        </w:rPr>
        <w:t>rt</w:t>
      </w:r>
      <w:r>
        <w:rPr>
          <w:iCs/>
        </w:rPr>
        <w:t xml:space="preserve"> or a questionable data value cannot be verified</w:t>
      </w:r>
      <w:r w:rsidR="005D6672">
        <w:rPr>
          <w:iCs/>
        </w:rPr>
        <w:t>,</w:t>
      </w:r>
      <w:r>
        <w:rPr>
          <w:iCs/>
        </w:rPr>
        <w:t xml:space="preserve"> the following imputation methods are applied</w:t>
      </w:r>
      <w:r w:rsidR="005D6672">
        <w:rPr>
          <w:iCs/>
        </w:rPr>
        <w:t>:</w:t>
      </w:r>
    </w:p>
    <w:p w:rsidR="00494F83" w:rsidRPr="003E39E5" w:rsidRDefault="00DE0681" w:rsidP="00494F83">
      <w:r w:rsidRPr="00DE0681">
        <w:rPr>
          <w:b/>
        </w:rPr>
        <w:t>Forms EIA-3 and EIA-8A</w:t>
      </w:r>
      <w:r>
        <w:rPr>
          <w:b/>
        </w:rPr>
        <w:t>:</w:t>
      </w:r>
      <w:r w:rsidR="00494F83" w:rsidRPr="00494F83">
        <w:rPr>
          <w:rFonts w:ascii="Calibri" w:eastAsia="Calibri" w:hAnsi="Calibri" w:cs="Times New Roman"/>
        </w:rPr>
        <w:t xml:space="preserve"> </w:t>
      </w:r>
      <w:r w:rsidR="00494F83" w:rsidRPr="003E39E5">
        <w:t>EIA uses ratio imputation models to handle unit and item nonresponse for each of these surveys.  To impute data for a given missing item for the current period, a non</w:t>
      </w:r>
      <w:r w:rsidR="002438D2" w:rsidRPr="003E39E5">
        <w:t>-</w:t>
      </w:r>
      <w:r w:rsidR="00494F83" w:rsidRPr="003E39E5">
        <w:t>respondent’s reported or imputed value for the prior period is multiplied by a ratio using data provided by survey respondents that reported the item for both the current and prior periods and are as similar as possible to the non</w:t>
      </w:r>
      <w:r w:rsidR="002438D2" w:rsidRPr="003E39E5">
        <w:t>-</w:t>
      </w:r>
      <w:r w:rsidR="00494F83" w:rsidRPr="003E39E5">
        <w:t>respondent.  The numerator of the ratio is the total of the item for the current period from the respondents, and the denominator of the ratio is the total of the item for the prior period from the respondents.  By using this ratio imputation model, we assume that the non</w:t>
      </w:r>
      <w:r w:rsidR="002438D2" w:rsidRPr="003E39E5">
        <w:t>-</w:t>
      </w:r>
      <w:r w:rsidR="00494F83" w:rsidRPr="003E39E5">
        <w:t xml:space="preserve">respondent is similar to the respondents that contribute to the ratio in terms of the period-to-period change in the item.  For EIA-3, the imputation is generally done at the end-use sector level, but the imputation is done using respondents across all the sectors if there are not enough respondents by sector.  When computing a given ratio, respondents that have the largest individual effect on improving the correlation between the two periods of data are removed from the ratio until this correlation is greater than 80%.  However, reported zeroes are not automatically excluded from the numerator or denominator of the ratio. </w:t>
      </w:r>
    </w:p>
    <w:p w:rsidR="00494F83" w:rsidRPr="003E39E5" w:rsidRDefault="00494F83" w:rsidP="003E39E5"/>
    <w:p w:rsidR="00494F83" w:rsidRPr="003E39E5" w:rsidRDefault="00494F83" w:rsidP="003E39E5">
      <w:r w:rsidRPr="003E39E5">
        <w:t>For EIA-3, EIA imputes missing quarterly data for coal receipts, consumption and stocks; coking receipts, stocks and production; and breeze production using a ratio imputation model applied to a non</w:t>
      </w:r>
      <w:r w:rsidR="002438D2" w:rsidRPr="003E39E5">
        <w:t>-</w:t>
      </w:r>
      <w:r w:rsidRPr="003E39E5">
        <w:t xml:space="preserve">respondent’s reported or imputed value from the same quarter a year ago.  For the EIA-8A, EIA similarly imputes missing data for end-of-year coal stocks by </w:t>
      </w:r>
      <w:r w:rsidR="00566CA5">
        <w:t>s</w:t>
      </w:r>
      <w:r w:rsidRPr="003E39E5">
        <w:t>tate of location using a ratio imputation model applied to a non</w:t>
      </w:r>
      <w:r w:rsidR="002438D2" w:rsidRPr="003E39E5">
        <w:t>-</w:t>
      </w:r>
      <w:r w:rsidRPr="003E39E5">
        <w:t>respondent’s reported or imputed annual stock value from the prior year.</w:t>
      </w:r>
    </w:p>
    <w:p w:rsidR="00DE0681" w:rsidRDefault="00DE0681" w:rsidP="00A41763">
      <w:pPr>
        <w:rPr>
          <w:iCs/>
        </w:rPr>
      </w:pPr>
    </w:p>
    <w:p w:rsidR="002438D2" w:rsidRDefault="00494F83" w:rsidP="002438D2">
      <w:pPr>
        <w:rPr>
          <w:rFonts w:ascii="Calibri" w:eastAsia="Times New Roman" w:hAnsi="Calibri" w:cs="Times New Roman"/>
          <w:szCs w:val="20"/>
        </w:rPr>
      </w:pPr>
      <w:r w:rsidRPr="002438D2">
        <w:rPr>
          <w:b/>
          <w:iCs/>
        </w:rPr>
        <w:t xml:space="preserve">Form </w:t>
      </w:r>
      <w:r w:rsidR="002438D2">
        <w:rPr>
          <w:b/>
          <w:iCs/>
        </w:rPr>
        <w:t>EIA-</w:t>
      </w:r>
      <w:r w:rsidRPr="002438D2">
        <w:rPr>
          <w:b/>
          <w:iCs/>
        </w:rPr>
        <w:t>7A:</w:t>
      </w:r>
      <w:r w:rsidR="007B4B28" w:rsidRPr="002438D2">
        <w:rPr>
          <w:b/>
          <w:iCs/>
        </w:rPr>
        <w:t xml:space="preserve"> </w:t>
      </w:r>
      <w:r w:rsidR="002438D2" w:rsidRPr="003E39E5">
        <w:t xml:space="preserve">In the case of the EIA-7A, Table </w:t>
      </w:r>
      <w:r w:rsidR="00612593" w:rsidRPr="003E39E5">
        <w:t>B</w:t>
      </w:r>
      <w:r w:rsidR="002438D2" w:rsidRPr="003E39E5">
        <w:t>2 lists the variables subject to imputation if a value is either missing or a value appears to be unreasonable and cannot be validated.  Table B3 lists the imputation method applied to each variable.</w:t>
      </w:r>
    </w:p>
    <w:p w:rsidR="00555F3E" w:rsidRDefault="00555F3E" w:rsidP="002438D2">
      <w:pPr>
        <w:rPr>
          <w:rFonts w:ascii="Calibri" w:eastAsia="Times New Roman" w:hAnsi="Calibri" w:cs="Times New Roman"/>
          <w:szCs w:val="20"/>
        </w:rPr>
      </w:pPr>
    </w:p>
    <w:p w:rsidR="00555F3E" w:rsidRDefault="00555F3E" w:rsidP="002438D2">
      <w:pPr>
        <w:rPr>
          <w:rFonts w:ascii="Calibri" w:eastAsia="Times New Roman" w:hAnsi="Calibri" w:cs="Times New Roman"/>
          <w:szCs w:val="20"/>
        </w:rPr>
      </w:pPr>
    </w:p>
    <w:p w:rsidR="00555F3E" w:rsidRDefault="00555F3E" w:rsidP="002438D2">
      <w:pPr>
        <w:rPr>
          <w:rFonts w:ascii="Calibri" w:eastAsia="Times New Roman" w:hAnsi="Calibri" w:cs="Times New Roman"/>
          <w:szCs w:val="20"/>
        </w:rPr>
      </w:pPr>
    </w:p>
    <w:p w:rsidR="00555F3E" w:rsidRDefault="00555F3E" w:rsidP="002438D2">
      <w:pPr>
        <w:rPr>
          <w:rFonts w:ascii="Calibri" w:eastAsia="Times New Roman" w:hAnsi="Calibri" w:cs="Times New Roman"/>
          <w:szCs w:val="20"/>
        </w:rPr>
      </w:pPr>
    </w:p>
    <w:p w:rsidR="00555F3E" w:rsidRDefault="00555F3E" w:rsidP="002438D2">
      <w:pPr>
        <w:rPr>
          <w:rFonts w:ascii="Calibri" w:eastAsia="Times New Roman" w:hAnsi="Calibri" w:cs="Times New Roman"/>
          <w:szCs w:val="20"/>
        </w:rPr>
      </w:pPr>
    </w:p>
    <w:p w:rsidR="00555F3E" w:rsidRDefault="00555F3E" w:rsidP="002438D2">
      <w:pPr>
        <w:rPr>
          <w:rFonts w:ascii="Calibri" w:eastAsia="Times New Roman" w:hAnsi="Calibri" w:cs="Times New Roman"/>
          <w:szCs w:val="20"/>
        </w:rPr>
      </w:pPr>
    </w:p>
    <w:p w:rsidR="00555F3E" w:rsidRDefault="00555F3E" w:rsidP="002438D2">
      <w:pPr>
        <w:rPr>
          <w:rFonts w:ascii="Calibri" w:eastAsia="Times New Roman" w:hAnsi="Calibri" w:cs="Times New Roman"/>
          <w:szCs w:val="20"/>
        </w:rPr>
      </w:pPr>
    </w:p>
    <w:p w:rsidR="00555F3E" w:rsidRDefault="00555F3E" w:rsidP="002438D2">
      <w:pPr>
        <w:rPr>
          <w:rFonts w:ascii="Calibri" w:eastAsia="Times New Roman" w:hAnsi="Calibri" w:cs="Times New Roman"/>
          <w:szCs w:val="20"/>
        </w:rPr>
      </w:pPr>
    </w:p>
    <w:p w:rsidR="00555F3E" w:rsidRDefault="00555F3E" w:rsidP="002438D2">
      <w:pPr>
        <w:rPr>
          <w:rFonts w:ascii="Calibri" w:eastAsia="Times New Roman" w:hAnsi="Calibri" w:cs="Times New Roman"/>
          <w:szCs w:val="20"/>
        </w:rPr>
      </w:pPr>
    </w:p>
    <w:p w:rsidR="00555F3E" w:rsidRDefault="00555F3E" w:rsidP="002438D2">
      <w:pPr>
        <w:rPr>
          <w:rFonts w:ascii="Calibri" w:eastAsia="Times New Roman" w:hAnsi="Calibri" w:cs="Times New Roman"/>
          <w:szCs w:val="20"/>
        </w:rPr>
      </w:pPr>
    </w:p>
    <w:p w:rsidR="002438D2" w:rsidRPr="002438D2" w:rsidRDefault="002438D2" w:rsidP="002438D2">
      <w:pPr>
        <w:autoSpaceDE w:val="0"/>
        <w:autoSpaceDN w:val="0"/>
        <w:adjustRightInd w:val="0"/>
        <w:spacing w:after="0" w:line="240" w:lineRule="auto"/>
        <w:rPr>
          <w:rFonts w:ascii="Times New Roman" w:eastAsia="Times New Roman" w:hAnsi="Times New Roman" w:cs="Times New Roman"/>
          <w:color w:val="000000"/>
          <w:sz w:val="24"/>
          <w:szCs w:val="24"/>
        </w:rPr>
      </w:pPr>
    </w:p>
    <w:tbl>
      <w:tblPr>
        <w:tblStyle w:val="TableGrid1"/>
        <w:tblW w:w="10255" w:type="dxa"/>
        <w:tblLook w:val="04A0" w:firstRow="1" w:lastRow="0" w:firstColumn="1" w:lastColumn="0" w:noHBand="0" w:noVBand="1"/>
      </w:tblPr>
      <w:tblGrid>
        <w:gridCol w:w="3505"/>
        <w:gridCol w:w="3420"/>
        <w:gridCol w:w="3330"/>
      </w:tblGrid>
      <w:tr w:rsidR="002438D2" w:rsidRPr="002438D2" w:rsidTr="00F6032A">
        <w:tc>
          <w:tcPr>
            <w:tcW w:w="10255" w:type="dxa"/>
            <w:gridSpan w:val="3"/>
          </w:tcPr>
          <w:p w:rsidR="002438D2" w:rsidRPr="002438D2" w:rsidRDefault="002438D2" w:rsidP="00612593">
            <w:pPr>
              <w:spacing w:before="120" w:after="120" w:line="240" w:lineRule="auto"/>
              <w:jc w:val="center"/>
              <w:rPr>
                <w:rFonts w:ascii="Calibri" w:hAnsi="Calibri" w:cs="Times New Roman"/>
                <w:szCs w:val="20"/>
              </w:rPr>
            </w:pPr>
            <w:r w:rsidRPr="002438D2">
              <w:rPr>
                <w:rFonts w:eastAsiaTheme="minorHAnsi" w:cs="Arial"/>
                <w:b/>
                <w:bCs/>
                <w:color w:val="0080BD"/>
                <w:sz w:val="28"/>
                <w:szCs w:val="28"/>
              </w:rPr>
              <w:t xml:space="preserve">Table </w:t>
            </w:r>
            <w:r w:rsidR="00612593">
              <w:rPr>
                <w:rFonts w:eastAsiaTheme="minorHAnsi" w:cs="Arial"/>
                <w:b/>
                <w:bCs/>
                <w:color w:val="0080BD"/>
                <w:sz w:val="28"/>
                <w:szCs w:val="28"/>
              </w:rPr>
              <w:t>B</w:t>
            </w:r>
            <w:r>
              <w:rPr>
                <w:rFonts w:eastAsiaTheme="minorHAnsi" w:cs="Arial"/>
                <w:b/>
                <w:bCs/>
                <w:color w:val="0080BD"/>
                <w:sz w:val="28"/>
                <w:szCs w:val="28"/>
              </w:rPr>
              <w:t>2</w:t>
            </w:r>
            <w:r w:rsidRPr="002438D2">
              <w:rPr>
                <w:rFonts w:eastAsiaTheme="minorHAnsi" w:cs="Arial"/>
                <w:b/>
                <w:bCs/>
                <w:color w:val="0080BD"/>
                <w:sz w:val="28"/>
                <w:szCs w:val="28"/>
              </w:rPr>
              <w:t>. List of Variables Subject to Imputation as Necessary, EIA-7A Survey</w:t>
            </w:r>
          </w:p>
        </w:tc>
      </w:tr>
      <w:tr w:rsidR="002438D2" w:rsidRPr="002438D2" w:rsidTr="00F6032A">
        <w:tc>
          <w:tcPr>
            <w:tcW w:w="3505" w:type="dxa"/>
            <w:shd w:val="clear" w:color="auto" w:fill="C4ECFF" w:themeFill="accent1" w:themeFillTint="33"/>
          </w:tcPr>
          <w:p w:rsidR="002438D2" w:rsidRPr="002438D2" w:rsidRDefault="002438D2" w:rsidP="002438D2">
            <w:pPr>
              <w:spacing w:before="120" w:after="120" w:line="276" w:lineRule="auto"/>
              <w:rPr>
                <w:rFonts w:ascii="Calibri" w:hAnsi="Calibri" w:cs="Times New Roman"/>
                <w:b/>
                <w:szCs w:val="20"/>
              </w:rPr>
            </w:pPr>
            <w:r w:rsidRPr="002438D2">
              <w:rPr>
                <w:rFonts w:ascii="Calibri" w:hAnsi="Calibri" w:cs="Times New Roman"/>
                <w:b/>
                <w:szCs w:val="20"/>
              </w:rPr>
              <w:t>Facilities that Include Mines and Preparation Plants</w:t>
            </w:r>
          </w:p>
        </w:tc>
        <w:tc>
          <w:tcPr>
            <w:tcW w:w="3420" w:type="dxa"/>
            <w:shd w:val="clear" w:color="auto" w:fill="C4ECFF" w:themeFill="accent1" w:themeFillTint="33"/>
          </w:tcPr>
          <w:p w:rsidR="002438D2" w:rsidRPr="002438D2" w:rsidRDefault="002438D2" w:rsidP="002438D2">
            <w:pPr>
              <w:spacing w:before="120" w:after="120" w:line="276" w:lineRule="auto"/>
              <w:rPr>
                <w:rFonts w:ascii="Calibri" w:hAnsi="Calibri" w:cs="Times New Roman"/>
                <w:b/>
                <w:szCs w:val="20"/>
              </w:rPr>
            </w:pPr>
            <w:r w:rsidRPr="002438D2">
              <w:rPr>
                <w:rFonts w:ascii="Calibri" w:hAnsi="Calibri" w:cs="Times New Roman"/>
                <w:b/>
                <w:szCs w:val="20"/>
              </w:rPr>
              <w:t>Mine-Only Facilities</w:t>
            </w:r>
          </w:p>
        </w:tc>
        <w:tc>
          <w:tcPr>
            <w:tcW w:w="3330" w:type="dxa"/>
            <w:shd w:val="clear" w:color="auto" w:fill="C4ECFF" w:themeFill="accent1" w:themeFillTint="33"/>
          </w:tcPr>
          <w:p w:rsidR="002438D2" w:rsidRPr="002438D2" w:rsidRDefault="002438D2" w:rsidP="002438D2">
            <w:pPr>
              <w:spacing w:before="120" w:after="120" w:line="276" w:lineRule="auto"/>
              <w:rPr>
                <w:rFonts w:ascii="Calibri" w:hAnsi="Calibri" w:cs="Times New Roman"/>
                <w:b/>
                <w:szCs w:val="20"/>
              </w:rPr>
            </w:pPr>
            <w:r w:rsidRPr="002438D2">
              <w:rPr>
                <w:rFonts w:ascii="Calibri" w:hAnsi="Calibri" w:cs="Times New Roman"/>
                <w:b/>
                <w:szCs w:val="20"/>
              </w:rPr>
              <w:t>Preparation Plant-Only Facilities</w:t>
            </w:r>
          </w:p>
        </w:tc>
      </w:tr>
      <w:tr w:rsidR="002438D2" w:rsidRPr="002438D2" w:rsidTr="00F6032A">
        <w:tc>
          <w:tcPr>
            <w:tcW w:w="3505" w:type="dxa"/>
          </w:tcPr>
          <w:p w:rsidR="00F01FD2" w:rsidRDefault="00F01FD2" w:rsidP="002438D2">
            <w:pPr>
              <w:spacing w:before="60" w:after="60" w:line="240" w:lineRule="auto"/>
              <w:rPr>
                <w:rFonts w:ascii="Calibri" w:hAnsi="Calibri" w:cs="Times New Roman"/>
                <w:sz w:val="20"/>
                <w:szCs w:val="20"/>
              </w:rPr>
            </w:pPr>
            <w:r>
              <w:rPr>
                <w:rFonts w:ascii="Calibri" w:hAnsi="Calibri" w:cs="Times New Roman"/>
                <w:sz w:val="20"/>
                <w:szCs w:val="20"/>
              </w:rPr>
              <w:t>Latitude and longitude coordinates</w:t>
            </w:r>
          </w:p>
          <w:p w:rsid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Percentage of production by mine type</w:t>
            </w:r>
          </w:p>
          <w:p w:rsidR="00F01FD2" w:rsidRPr="002438D2" w:rsidRDefault="00F01FD2" w:rsidP="002438D2">
            <w:pPr>
              <w:spacing w:before="60" w:after="60" w:line="240" w:lineRule="auto"/>
              <w:rPr>
                <w:rFonts w:ascii="Calibri" w:hAnsi="Calibri" w:cs="Times New Roman"/>
                <w:sz w:val="20"/>
                <w:szCs w:val="20"/>
              </w:rPr>
            </w:pPr>
            <w:r>
              <w:rPr>
                <w:rFonts w:ascii="Calibri" w:hAnsi="Calibri" w:cs="Times New Roman"/>
                <w:sz w:val="20"/>
                <w:szCs w:val="20"/>
              </w:rPr>
              <w:t>Heat (BTU) content of coal produced</w:t>
            </w:r>
          </w:p>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Recoverable reserves  (tons)</w:t>
            </w:r>
          </w:p>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Recovery %*</w:t>
            </w:r>
          </w:p>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Coal Bed Mined</w:t>
            </w:r>
          </w:p>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Coal Bed Thickness</w:t>
            </w:r>
          </w:p>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Type of Mining Operation</w:t>
            </w:r>
          </w:p>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Open Market Sales (tons)</w:t>
            </w:r>
          </w:p>
          <w:p w:rsid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Open Market Sales (revenue)</w:t>
            </w:r>
          </w:p>
          <w:p w:rsidR="00F01FD2" w:rsidRDefault="00F01FD2" w:rsidP="002438D2">
            <w:pPr>
              <w:spacing w:before="60" w:after="60" w:line="240" w:lineRule="auto"/>
              <w:rPr>
                <w:rFonts w:ascii="Calibri" w:hAnsi="Calibri" w:cs="Times New Roman"/>
                <w:sz w:val="20"/>
                <w:szCs w:val="20"/>
              </w:rPr>
            </w:pPr>
            <w:r>
              <w:rPr>
                <w:rFonts w:ascii="Calibri" w:hAnsi="Calibri" w:cs="Times New Roman"/>
                <w:sz w:val="20"/>
                <w:szCs w:val="20"/>
              </w:rPr>
              <w:t>Portion of coal sales  that is exported</w:t>
            </w:r>
          </w:p>
          <w:p w:rsidR="00F01FD2" w:rsidRPr="002438D2" w:rsidRDefault="00F01FD2" w:rsidP="002438D2">
            <w:pPr>
              <w:spacing w:before="60" w:after="60" w:line="240" w:lineRule="auto"/>
              <w:rPr>
                <w:rFonts w:ascii="Calibri" w:hAnsi="Calibri" w:cs="Times New Roman"/>
                <w:sz w:val="20"/>
                <w:szCs w:val="20"/>
              </w:rPr>
            </w:pPr>
            <w:r>
              <w:rPr>
                <w:rFonts w:ascii="Calibri" w:hAnsi="Calibri" w:cs="Times New Roman"/>
                <w:sz w:val="20"/>
                <w:szCs w:val="20"/>
              </w:rPr>
              <w:t xml:space="preserve">Split of exported </w:t>
            </w:r>
            <w:r w:rsidR="003F2A87">
              <w:rPr>
                <w:rFonts w:ascii="Calibri" w:hAnsi="Calibri" w:cs="Times New Roman"/>
                <w:sz w:val="20"/>
                <w:szCs w:val="20"/>
              </w:rPr>
              <w:t xml:space="preserve">coal </w:t>
            </w:r>
            <w:r>
              <w:rPr>
                <w:rFonts w:ascii="Calibri" w:hAnsi="Calibri" w:cs="Times New Roman"/>
                <w:sz w:val="20"/>
                <w:szCs w:val="20"/>
              </w:rPr>
              <w:t>between metallurgical and steam coal.</w:t>
            </w:r>
          </w:p>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 xml:space="preserve">Total disposition </w:t>
            </w:r>
          </w:p>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Sales to Parent (revenue)</w:t>
            </w:r>
          </w:p>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Sales to Other Mines (revenue)</w:t>
            </w:r>
          </w:p>
          <w:p w:rsidR="004F391C" w:rsidRDefault="004F391C" w:rsidP="002438D2">
            <w:pPr>
              <w:spacing w:before="60" w:after="60" w:line="240" w:lineRule="auto"/>
              <w:rPr>
                <w:rFonts w:ascii="Calibri" w:hAnsi="Calibri" w:cs="Times New Roman"/>
                <w:sz w:val="20"/>
                <w:szCs w:val="20"/>
              </w:rPr>
            </w:pPr>
            <w:r>
              <w:rPr>
                <w:rFonts w:ascii="Calibri" w:hAnsi="Calibri" w:cs="Times New Roman"/>
                <w:sz w:val="20"/>
                <w:szCs w:val="20"/>
              </w:rPr>
              <w:t>Coal stocks at remote locations</w:t>
            </w:r>
          </w:p>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 xml:space="preserve">Prepared coal: surface mined % </w:t>
            </w:r>
          </w:p>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 xml:space="preserve">Prepared coal: underground  mined % </w:t>
            </w:r>
          </w:p>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Productive Capacity (tons)</w:t>
            </w:r>
          </w:p>
        </w:tc>
        <w:tc>
          <w:tcPr>
            <w:tcW w:w="3420" w:type="dxa"/>
          </w:tcPr>
          <w:p w:rsidR="00F01FD2" w:rsidRDefault="00F01FD2" w:rsidP="00F01FD2">
            <w:pPr>
              <w:spacing w:before="60" w:after="60" w:line="240" w:lineRule="auto"/>
              <w:rPr>
                <w:rFonts w:ascii="Calibri" w:hAnsi="Calibri" w:cs="Times New Roman"/>
                <w:sz w:val="20"/>
                <w:szCs w:val="20"/>
              </w:rPr>
            </w:pPr>
            <w:r>
              <w:rPr>
                <w:rFonts w:ascii="Calibri" w:hAnsi="Calibri" w:cs="Times New Roman"/>
                <w:sz w:val="20"/>
                <w:szCs w:val="20"/>
              </w:rPr>
              <w:t>Latitude and longitude coordinates</w:t>
            </w:r>
          </w:p>
          <w:p w:rsid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Percentage of production by mine type</w:t>
            </w:r>
          </w:p>
          <w:p w:rsidR="00F01FD2" w:rsidRPr="002438D2" w:rsidRDefault="00F01FD2" w:rsidP="00F01FD2">
            <w:pPr>
              <w:spacing w:before="60" w:after="60" w:line="240" w:lineRule="auto"/>
              <w:rPr>
                <w:rFonts w:ascii="Calibri" w:hAnsi="Calibri" w:cs="Times New Roman"/>
                <w:sz w:val="20"/>
                <w:szCs w:val="20"/>
              </w:rPr>
            </w:pPr>
            <w:r>
              <w:rPr>
                <w:rFonts w:ascii="Calibri" w:hAnsi="Calibri" w:cs="Times New Roman"/>
                <w:sz w:val="20"/>
                <w:szCs w:val="20"/>
              </w:rPr>
              <w:t>Heat (BTU) content of coal produced</w:t>
            </w:r>
          </w:p>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 xml:space="preserve">Recoverable reserves </w:t>
            </w:r>
          </w:p>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Recovery %</w:t>
            </w:r>
          </w:p>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Coal  Bed Mined</w:t>
            </w:r>
          </w:p>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Coal Bed Thickness</w:t>
            </w:r>
          </w:p>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Type of Mining Operation</w:t>
            </w:r>
          </w:p>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Open Market Sales (tons)</w:t>
            </w:r>
          </w:p>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Open Market Sales (revenue)</w:t>
            </w:r>
          </w:p>
          <w:p w:rsidR="00F01FD2" w:rsidRDefault="00F01FD2" w:rsidP="00F01FD2">
            <w:pPr>
              <w:spacing w:before="60" w:after="60" w:line="240" w:lineRule="auto"/>
              <w:rPr>
                <w:rFonts w:ascii="Calibri" w:hAnsi="Calibri" w:cs="Times New Roman"/>
                <w:sz w:val="20"/>
                <w:szCs w:val="20"/>
              </w:rPr>
            </w:pPr>
            <w:r>
              <w:rPr>
                <w:rFonts w:ascii="Calibri" w:hAnsi="Calibri" w:cs="Times New Roman"/>
                <w:sz w:val="20"/>
                <w:szCs w:val="20"/>
              </w:rPr>
              <w:t>Portion of coal sales  that is exported</w:t>
            </w:r>
          </w:p>
          <w:p w:rsidR="00F01FD2" w:rsidRDefault="00F01FD2" w:rsidP="00F01FD2">
            <w:pPr>
              <w:spacing w:before="60" w:after="60" w:line="240" w:lineRule="auto"/>
              <w:rPr>
                <w:rFonts w:ascii="Calibri" w:hAnsi="Calibri" w:cs="Times New Roman"/>
                <w:sz w:val="20"/>
                <w:szCs w:val="20"/>
              </w:rPr>
            </w:pPr>
            <w:r>
              <w:rPr>
                <w:rFonts w:ascii="Calibri" w:hAnsi="Calibri" w:cs="Times New Roman"/>
                <w:sz w:val="20"/>
                <w:szCs w:val="20"/>
              </w:rPr>
              <w:t>Split of exported</w:t>
            </w:r>
            <w:r w:rsidR="003F2A87">
              <w:rPr>
                <w:rFonts w:ascii="Calibri" w:hAnsi="Calibri" w:cs="Times New Roman"/>
                <w:sz w:val="20"/>
                <w:szCs w:val="20"/>
              </w:rPr>
              <w:t xml:space="preserve"> coal</w:t>
            </w:r>
            <w:r>
              <w:rPr>
                <w:rFonts w:ascii="Calibri" w:hAnsi="Calibri" w:cs="Times New Roman"/>
                <w:sz w:val="20"/>
                <w:szCs w:val="20"/>
              </w:rPr>
              <w:t xml:space="preserve"> between metallurgical and steam coal.</w:t>
            </w:r>
          </w:p>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 xml:space="preserve">Total disposition </w:t>
            </w:r>
          </w:p>
          <w:p w:rsidR="003F2A87" w:rsidRPr="002438D2" w:rsidRDefault="003F2A87" w:rsidP="003F2A87">
            <w:pPr>
              <w:spacing w:before="60" w:after="60" w:line="240" w:lineRule="auto"/>
              <w:rPr>
                <w:rFonts w:ascii="Calibri" w:hAnsi="Calibri" w:cs="Times New Roman"/>
                <w:sz w:val="20"/>
                <w:szCs w:val="20"/>
              </w:rPr>
            </w:pPr>
            <w:r w:rsidRPr="002438D2">
              <w:rPr>
                <w:rFonts w:ascii="Calibri" w:hAnsi="Calibri" w:cs="Times New Roman"/>
                <w:sz w:val="20"/>
                <w:szCs w:val="20"/>
              </w:rPr>
              <w:t>Sales to Parent (revenue)</w:t>
            </w:r>
          </w:p>
          <w:p w:rsidR="003F2A87" w:rsidRPr="002438D2" w:rsidRDefault="003F2A87" w:rsidP="003F2A87">
            <w:pPr>
              <w:spacing w:before="60" w:after="60" w:line="240" w:lineRule="auto"/>
              <w:rPr>
                <w:rFonts w:ascii="Calibri" w:hAnsi="Calibri" w:cs="Times New Roman"/>
                <w:sz w:val="20"/>
                <w:szCs w:val="20"/>
              </w:rPr>
            </w:pPr>
            <w:r w:rsidRPr="002438D2">
              <w:rPr>
                <w:rFonts w:ascii="Calibri" w:hAnsi="Calibri" w:cs="Times New Roman"/>
                <w:sz w:val="20"/>
                <w:szCs w:val="20"/>
              </w:rPr>
              <w:t>Sales to Other Mines (revenue)</w:t>
            </w:r>
          </w:p>
          <w:p w:rsidR="004F391C" w:rsidRDefault="004F391C" w:rsidP="004F391C">
            <w:pPr>
              <w:spacing w:before="60" w:after="60" w:line="240" w:lineRule="auto"/>
              <w:rPr>
                <w:rFonts w:ascii="Calibri" w:hAnsi="Calibri" w:cs="Times New Roman"/>
                <w:sz w:val="20"/>
                <w:szCs w:val="20"/>
              </w:rPr>
            </w:pPr>
            <w:r>
              <w:rPr>
                <w:rFonts w:ascii="Calibri" w:hAnsi="Calibri" w:cs="Times New Roman"/>
                <w:sz w:val="20"/>
                <w:szCs w:val="20"/>
              </w:rPr>
              <w:t>Coal stocks at remote locations</w:t>
            </w:r>
          </w:p>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Productive capacity (tons)</w:t>
            </w:r>
          </w:p>
        </w:tc>
        <w:tc>
          <w:tcPr>
            <w:tcW w:w="3330" w:type="dxa"/>
          </w:tcPr>
          <w:p w:rsidR="001E09A3" w:rsidRPr="002438D2" w:rsidRDefault="001E09A3" w:rsidP="001E09A3">
            <w:pPr>
              <w:spacing w:before="60" w:after="60" w:line="240" w:lineRule="auto"/>
              <w:rPr>
                <w:rFonts w:ascii="Calibri" w:hAnsi="Calibri" w:cs="Times New Roman"/>
                <w:sz w:val="20"/>
                <w:szCs w:val="20"/>
              </w:rPr>
            </w:pPr>
            <w:r w:rsidRPr="002438D2">
              <w:rPr>
                <w:rFonts w:ascii="Calibri" w:hAnsi="Calibri" w:cs="Times New Roman"/>
                <w:sz w:val="20"/>
                <w:szCs w:val="20"/>
              </w:rPr>
              <w:t xml:space="preserve">Prepared coal: surface mined % </w:t>
            </w:r>
          </w:p>
          <w:p w:rsidR="001E09A3" w:rsidRPr="002438D2" w:rsidRDefault="001E09A3" w:rsidP="001E09A3">
            <w:pPr>
              <w:spacing w:before="60" w:after="60" w:line="240" w:lineRule="auto"/>
              <w:rPr>
                <w:rFonts w:ascii="Calibri" w:hAnsi="Calibri" w:cs="Times New Roman"/>
                <w:sz w:val="20"/>
                <w:szCs w:val="20"/>
              </w:rPr>
            </w:pPr>
            <w:r w:rsidRPr="002438D2">
              <w:rPr>
                <w:rFonts w:ascii="Calibri" w:hAnsi="Calibri" w:cs="Times New Roman"/>
                <w:sz w:val="20"/>
                <w:szCs w:val="20"/>
              </w:rPr>
              <w:t xml:space="preserve">Prepared coal: underground  mined % </w:t>
            </w:r>
          </w:p>
          <w:p w:rsidR="003F2A87" w:rsidRDefault="001E09A3" w:rsidP="001E09A3">
            <w:pPr>
              <w:spacing w:before="60" w:after="60" w:line="240" w:lineRule="auto"/>
              <w:rPr>
                <w:rFonts w:ascii="Calibri" w:hAnsi="Calibri" w:cs="Times New Roman"/>
                <w:sz w:val="20"/>
                <w:szCs w:val="20"/>
              </w:rPr>
            </w:pPr>
            <w:r w:rsidRPr="002438D2">
              <w:rPr>
                <w:rFonts w:ascii="Calibri" w:hAnsi="Calibri" w:cs="Times New Roman"/>
                <w:sz w:val="20"/>
                <w:szCs w:val="20"/>
              </w:rPr>
              <w:t>Productive capacity (tons)</w:t>
            </w:r>
          </w:p>
          <w:p w:rsidR="003F2A87" w:rsidRDefault="003F2A87" w:rsidP="002438D2">
            <w:pPr>
              <w:spacing w:before="60" w:after="60" w:line="240" w:lineRule="auto"/>
              <w:rPr>
                <w:rFonts w:ascii="Calibri" w:hAnsi="Calibri" w:cs="Times New Roman"/>
                <w:sz w:val="20"/>
                <w:szCs w:val="20"/>
              </w:rPr>
            </w:pPr>
          </w:p>
          <w:p w:rsidR="003F2A87" w:rsidRDefault="003F2A87" w:rsidP="002438D2">
            <w:pPr>
              <w:spacing w:before="60" w:after="60" w:line="240" w:lineRule="auto"/>
              <w:rPr>
                <w:rFonts w:ascii="Calibri" w:hAnsi="Calibri" w:cs="Times New Roman"/>
                <w:sz w:val="20"/>
                <w:szCs w:val="20"/>
              </w:rPr>
            </w:pPr>
          </w:p>
          <w:p w:rsidR="003F2A87" w:rsidRDefault="003F2A87" w:rsidP="002438D2">
            <w:pPr>
              <w:spacing w:before="60" w:after="60" w:line="240" w:lineRule="auto"/>
              <w:rPr>
                <w:rFonts w:ascii="Calibri" w:hAnsi="Calibri" w:cs="Times New Roman"/>
                <w:sz w:val="20"/>
                <w:szCs w:val="20"/>
              </w:rPr>
            </w:pPr>
          </w:p>
          <w:p w:rsidR="003F2A87" w:rsidRDefault="003F2A87" w:rsidP="002438D2">
            <w:pPr>
              <w:spacing w:before="60" w:after="60" w:line="240" w:lineRule="auto"/>
              <w:rPr>
                <w:rFonts w:ascii="Calibri" w:hAnsi="Calibri" w:cs="Times New Roman"/>
                <w:sz w:val="20"/>
                <w:szCs w:val="20"/>
              </w:rPr>
            </w:pPr>
          </w:p>
          <w:p w:rsidR="003F2A87" w:rsidRDefault="003F2A87" w:rsidP="002438D2">
            <w:pPr>
              <w:spacing w:before="60" w:after="60" w:line="240" w:lineRule="auto"/>
              <w:rPr>
                <w:rFonts w:ascii="Calibri" w:hAnsi="Calibri" w:cs="Times New Roman"/>
                <w:sz w:val="20"/>
                <w:szCs w:val="20"/>
              </w:rPr>
            </w:pPr>
          </w:p>
          <w:p w:rsidR="003F2A87" w:rsidRDefault="003F2A87" w:rsidP="002438D2">
            <w:pPr>
              <w:spacing w:before="60" w:after="60" w:line="240" w:lineRule="auto"/>
              <w:rPr>
                <w:rFonts w:ascii="Calibri" w:hAnsi="Calibri" w:cs="Times New Roman"/>
                <w:sz w:val="20"/>
                <w:szCs w:val="20"/>
              </w:rPr>
            </w:pPr>
          </w:p>
          <w:p w:rsidR="003F2A87" w:rsidRDefault="003F2A87" w:rsidP="002438D2">
            <w:pPr>
              <w:spacing w:before="60" w:after="60" w:line="240" w:lineRule="auto"/>
              <w:rPr>
                <w:rFonts w:ascii="Calibri" w:hAnsi="Calibri" w:cs="Times New Roman"/>
                <w:sz w:val="20"/>
                <w:szCs w:val="20"/>
              </w:rPr>
            </w:pPr>
          </w:p>
          <w:p w:rsidR="003F2A87" w:rsidRDefault="003F2A87" w:rsidP="002438D2">
            <w:pPr>
              <w:spacing w:before="60" w:after="60" w:line="240" w:lineRule="auto"/>
              <w:rPr>
                <w:rFonts w:ascii="Calibri" w:hAnsi="Calibri" w:cs="Times New Roman"/>
                <w:sz w:val="20"/>
                <w:szCs w:val="20"/>
              </w:rPr>
            </w:pPr>
          </w:p>
          <w:p w:rsidR="003F2A87" w:rsidRDefault="003F2A87" w:rsidP="002438D2">
            <w:pPr>
              <w:spacing w:before="60" w:after="60" w:line="240" w:lineRule="auto"/>
              <w:rPr>
                <w:rFonts w:ascii="Calibri" w:hAnsi="Calibri" w:cs="Times New Roman"/>
                <w:sz w:val="20"/>
                <w:szCs w:val="20"/>
              </w:rPr>
            </w:pPr>
          </w:p>
          <w:p w:rsidR="003F2A87" w:rsidRDefault="003F2A87" w:rsidP="002438D2">
            <w:pPr>
              <w:spacing w:before="60" w:after="60" w:line="240" w:lineRule="auto"/>
              <w:rPr>
                <w:rFonts w:ascii="Calibri" w:hAnsi="Calibri" w:cs="Times New Roman"/>
                <w:sz w:val="20"/>
                <w:szCs w:val="20"/>
              </w:rPr>
            </w:pPr>
          </w:p>
          <w:p w:rsidR="003F2A87" w:rsidRDefault="003F2A87" w:rsidP="002438D2">
            <w:pPr>
              <w:spacing w:before="60" w:after="60" w:line="240" w:lineRule="auto"/>
              <w:rPr>
                <w:rFonts w:ascii="Calibri" w:hAnsi="Calibri" w:cs="Times New Roman"/>
                <w:sz w:val="20"/>
                <w:szCs w:val="20"/>
              </w:rPr>
            </w:pPr>
          </w:p>
          <w:p w:rsidR="003F2A87" w:rsidRDefault="003F2A87" w:rsidP="002438D2">
            <w:pPr>
              <w:spacing w:before="60" w:after="60" w:line="240" w:lineRule="auto"/>
              <w:rPr>
                <w:rFonts w:ascii="Calibri" w:hAnsi="Calibri" w:cs="Times New Roman"/>
                <w:sz w:val="20"/>
                <w:szCs w:val="20"/>
              </w:rPr>
            </w:pPr>
          </w:p>
          <w:p w:rsidR="003F2A87" w:rsidRDefault="003F2A87" w:rsidP="002438D2">
            <w:pPr>
              <w:spacing w:before="60" w:after="60" w:line="240" w:lineRule="auto"/>
              <w:rPr>
                <w:rFonts w:ascii="Calibri" w:hAnsi="Calibri" w:cs="Times New Roman"/>
                <w:sz w:val="20"/>
                <w:szCs w:val="20"/>
              </w:rPr>
            </w:pPr>
          </w:p>
          <w:p w:rsidR="003F2A87" w:rsidRDefault="003F2A87" w:rsidP="002438D2">
            <w:pPr>
              <w:spacing w:before="60" w:after="60" w:line="240" w:lineRule="auto"/>
              <w:rPr>
                <w:rFonts w:ascii="Calibri" w:hAnsi="Calibri" w:cs="Times New Roman"/>
                <w:sz w:val="20"/>
                <w:szCs w:val="20"/>
              </w:rPr>
            </w:pPr>
          </w:p>
          <w:p w:rsidR="003F2A87" w:rsidRDefault="003F2A87" w:rsidP="002438D2">
            <w:pPr>
              <w:spacing w:before="60" w:after="60" w:line="240" w:lineRule="auto"/>
              <w:rPr>
                <w:rFonts w:ascii="Calibri" w:hAnsi="Calibri" w:cs="Times New Roman"/>
                <w:sz w:val="20"/>
                <w:szCs w:val="20"/>
              </w:rPr>
            </w:pPr>
          </w:p>
          <w:p w:rsidR="004F391C" w:rsidRDefault="004F391C" w:rsidP="002438D2">
            <w:pPr>
              <w:spacing w:before="60" w:after="60" w:line="240" w:lineRule="auto"/>
              <w:rPr>
                <w:rFonts w:ascii="Calibri" w:hAnsi="Calibri" w:cs="Times New Roman"/>
                <w:sz w:val="20"/>
                <w:szCs w:val="20"/>
              </w:rPr>
            </w:pPr>
          </w:p>
          <w:p w:rsidR="002438D2" w:rsidRPr="002438D2" w:rsidRDefault="002438D2" w:rsidP="002438D2">
            <w:pPr>
              <w:spacing w:before="60" w:after="60" w:line="240" w:lineRule="auto"/>
              <w:rPr>
                <w:rFonts w:ascii="Calibri" w:hAnsi="Calibri" w:cs="Times New Roman"/>
                <w:sz w:val="20"/>
                <w:szCs w:val="20"/>
              </w:rPr>
            </w:pPr>
          </w:p>
        </w:tc>
      </w:tr>
      <w:tr w:rsidR="002438D2" w:rsidRPr="002438D2" w:rsidTr="00F6032A">
        <w:tc>
          <w:tcPr>
            <w:tcW w:w="10255" w:type="dxa"/>
            <w:gridSpan w:val="3"/>
          </w:tcPr>
          <w:p w:rsidR="002438D2" w:rsidRPr="002438D2" w:rsidRDefault="002438D2" w:rsidP="002438D2">
            <w:pPr>
              <w:spacing w:before="60" w:after="60" w:line="240" w:lineRule="auto"/>
              <w:rPr>
                <w:rFonts w:ascii="Calibri" w:hAnsi="Calibri" w:cs="Times New Roman"/>
                <w:sz w:val="20"/>
                <w:szCs w:val="20"/>
              </w:rPr>
            </w:pPr>
            <w:r w:rsidRPr="002438D2">
              <w:rPr>
                <w:rFonts w:ascii="Calibri" w:hAnsi="Calibri" w:cs="Times New Roman"/>
                <w:sz w:val="20"/>
                <w:szCs w:val="20"/>
              </w:rPr>
              <w:t>* EIA is proposing to remove this variable from the survey form due to the results of cognitive testing</w:t>
            </w:r>
          </w:p>
        </w:tc>
      </w:tr>
    </w:tbl>
    <w:p w:rsidR="00555F3E" w:rsidRDefault="00555F3E"/>
    <w:p w:rsidR="00555F3E" w:rsidRDefault="00555F3E"/>
    <w:p w:rsidR="00555F3E" w:rsidRDefault="00555F3E"/>
    <w:p w:rsidR="00555F3E" w:rsidRDefault="00555F3E"/>
    <w:p w:rsidR="00555F3E" w:rsidRDefault="00555F3E"/>
    <w:p w:rsidR="00555F3E" w:rsidRDefault="00555F3E"/>
    <w:p w:rsidR="00555F3E" w:rsidRDefault="00555F3E"/>
    <w:p w:rsidR="00555F3E" w:rsidRDefault="00555F3E"/>
    <w:p w:rsidR="00555F3E" w:rsidRDefault="00555F3E"/>
    <w:tbl>
      <w:tblPr>
        <w:tblStyle w:val="TableGrid1"/>
        <w:tblW w:w="10255" w:type="dxa"/>
        <w:tblLook w:val="04A0" w:firstRow="1" w:lastRow="0" w:firstColumn="1" w:lastColumn="0" w:noHBand="0" w:noVBand="1"/>
      </w:tblPr>
      <w:tblGrid>
        <w:gridCol w:w="3590"/>
        <w:gridCol w:w="4111"/>
        <w:gridCol w:w="2554"/>
      </w:tblGrid>
      <w:tr w:rsidR="002438D2" w:rsidRPr="002438D2" w:rsidTr="00555F3E">
        <w:tc>
          <w:tcPr>
            <w:tcW w:w="10255" w:type="dxa"/>
            <w:gridSpan w:val="3"/>
          </w:tcPr>
          <w:p w:rsidR="002438D2" w:rsidRPr="002438D2" w:rsidRDefault="002438D2" w:rsidP="00612593">
            <w:pPr>
              <w:spacing w:before="120" w:after="120" w:line="240" w:lineRule="auto"/>
              <w:jc w:val="center"/>
              <w:rPr>
                <w:rFonts w:ascii="Calibri" w:hAnsi="Calibri" w:cs="Times New Roman"/>
                <w:sz w:val="20"/>
                <w:szCs w:val="20"/>
              </w:rPr>
            </w:pPr>
            <w:r w:rsidRPr="002438D2">
              <w:rPr>
                <w:rFonts w:eastAsiaTheme="minorHAnsi" w:cs="Arial"/>
                <w:b/>
                <w:bCs/>
                <w:color w:val="0080BD"/>
                <w:sz w:val="28"/>
                <w:szCs w:val="28"/>
              </w:rPr>
              <w:t xml:space="preserve">Table </w:t>
            </w:r>
            <w:r w:rsidR="00612593">
              <w:rPr>
                <w:rFonts w:eastAsiaTheme="minorHAnsi" w:cs="Arial"/>
                <w:b/>
                <w:bCs/>
                <w:color w:val="0080BD"/>
                <w:sz w:val="28"/>
                <w:szCs w:val="28"/>
              </w:rPr>
              <w:t>B</w:t>
            </w:r>
            <w:r w:rsidRPr="002438D2">
              <w:rPr>
                <w:rFonts w:eastAsiaTheme="minorHAnsi" w:cs="Arial"/>
                <w:b/>
                <w:bCs/>
                <w:color w:val="0080BD"/>
                <w:sz w:val="28"/>
                <w:szCs w:val="28"/>
              </w:rPr>
              <w:t>3.  EIA-7A Imputation Methods</w:t>
            </w:r>
          </w:p>
        </w:tc>
      </w:tr>
      <w:tr w:rsidR="002438D2" w:rsidRPr="002438D2" w:rsidTr="00555F3E">
        <w:tc>
          <w:tcPr>
            <w:tcW w:w="3590" w:type="dxa"/>
          </w:tcPr>
          <w:p w:rsidR="002438D2" w:rsidRPr="002438D2" w:rsidRDefault="002438D2" w:rsidP="002438D2">
            <w:pPr>
              <w:spacing w:line="276" w:lineRule="auto"/>
              <w:rPr>
                <w:rFonts w:ascii="Calibri" w:hAnsi="Calibri" w:cs="Times New Roman"/>
                <w:sz w:val="20"/>
                <w:szCs w:val="20"/>
              </w:rPr>
            </w:pPr>
          </w:p>
        </w:tc>
        <w:tc>
          <w:tcPr>
            <w:tcW w:w="4111" w:type="dxa"/>
          </w:tcPr>
          <w:p w:rsidR="002438D2" w:rsidRPr="002438D2" w:rsidRDefault="002438D2" w:rsidP="002438D2">
            <w:pPr>
              <w:spacing w:line="276" w:lineRule="auto"/>
              <w:rPr>
                <w:rFonts w:ascii="Calibri" w:hAnsi="Calibri" w:cs="Times New Roman"/>
                <w:sz w:val="20"/>
                <w:szCs w:val="20"/>
              </w:rPr>
            </w:pPr>
          </w:p>
        </w:tc>
        <w:tc>
          <w:tcPr>
            <w:tcW w:w="2554" w:type="dxa"/>
          </w:tcPr>
          <w:p w:rsidR="002438D2" w:rsidRPr="002438D2" w:rsidRDefault="002438D2" w:rsidP="002438D2">
            <w:pPr>
              <w:spacing w:line="276" w:lineRule="auto"/>
              <w:rPr>
                <w:rFonts w:ascii="Calibri" w:hAnsi="Calibri" w:cs="Times New Roman"/>
                <w:sz w:val="20"/>
                <w:szCs w:val="20"/>
              </w:rPr>
            </w:pPr>
          </w:p>
        </w:tc>
      </w:tr>
      <w:tr w:rsidR="002438D2" w:rsidRPr="002438D2" w:rsidTr="00555F3E">
        <w:tc>
          <w:tcPr>
            <w:tcW w:w="3590" w:type="dxa"/>
            <w:shd w:val="clear" w:color="auto" w:fill="C4ECFF" w:themeFill="accent1" w:themeFillTint="33"/>
            <w:vAlign w:val="center"/>
          </w:tcPr>
          <w:p w:rsidR="002438D2" w:rsidRPr="002438D2" w:rsidRDefault="002438D2" w:rsidP="002438D2">
            <w:pPr>
              <w:spacing w:line="276" w:lineRule="auto"/>
              <w:jc w:val="center"/>
              <w:rPr>
                <w:rFonts w:ascii="Calibri" w:hAnsi="Calibri" w:cs="Times New Roman"/>
                <w:b/>
                <w:sz w:val="20"/>
                <w:szCs w:val="20"/>
              </w:rPr>
            </w:pPr>
            <w:r w:rsidRPr="002438D2">
              <w:rPr>
                <w:rFonts w:ascii="Calibri" w:hAnsi="Calibri" w:cs="Times New Roman"/>
                <w:b/>
                <w:sz w:val="20"/>
                <w:szCs w:val="20"/>
              </w:rPr>
              <w:t>Variable</w:t>
            </w:r>
          </w:p>
        </w:tc>
        <w:tc>
          <w:tcPr>
            <w:tcW w:w="4111" w:type="dxa"/>
            <w:shd w:val="clear" w:color="auto" w:fill="C4ECFF" w:themeFill="accent1" w:themeFillTint="33"/>
            <w:vAlign w:val="center"/>
          </w:tcPr>
          <w:p w:rsidR="002438D2" w:rsidRPr="002438D2" w:rsidRDefault="002438D2" w:rsidP="003F2A87">
            <w:pPr>
              <w:spacing w:line="276" w:lineRule="auto"/>
              <w:jc w:val="center"/>
              <w:rPr>
                <w:rFonts w:ascii="Calibri" w:hAnsi="Calibri" w:cs="Times New Roman"/>
                <w:b/>
                <w:sz w:val="20"/>
                <w:szCs w:val="20"/>
              </w:rPr>
            </w:pPr>
            <w:r w:rsidRPr="002438D2">
              <w:rPr>
                <w:rFonts w:ascii="Calibri" w:hAnsi="Calibri" w:cs="Times New Roman"/>
                <w:b/>
                <w:sz w:val="20"/>
                <w:szCs w:val="20"/>
              </w:rPr>
              <w:t xml:space="preserve">Method When </w:t>
            </w:r>
            <w:r w:rsidR="00F01FD2">
              <w:rPr>
                <w:rFonts w:ascii="Calibri" w:hAnsi="Calibri" w:cs="Times New Roman"/>
                <w:b/>
                <w:sz w:val="20"/>
                <w:szCs w:val="20"/>
              </w:rPr>
              <w:t xml:space="preserve">Data for </w:t>
            </w:r>
            <w:r w:rsidRPr="002438D2">
              <w:rPr>
                <w:rFonts w:ascii="Calibri" w:hAnsi="Calibri" w:cs="Times New Roman"/>
                <w:b/>
                <w:sz w:val="20"/>
                <w:szCs w:val="20"/>
              </w:rPr>
              <w:t>Prior Year</w:t>
            </w:r>
            <w:r w:rsidR="00F01FD2">
              <w:rPr>
                <w:rFonts w:ascii="Calibri" w:hAnsi="Calibri" w:cs="Times New Roman"/>
                <w:b/>
                <w:sz w:val="20"/>
                <w:szCs w:val="20"/>
              </w:rPr>
              <w:t xml:space="preserve"> Has Been </w:t>
            </w:r>
            <w:r w:rsidRPr="002438D2">
              <w:rPr>
                <w:rFonts w:ascii="Calibri" w:hAnsi="Calibri" w:cs="Times New Roman"/>
                <w:b/>
                <w:sz w:val="20"/>
                <w:szCs w:val="20"/>
              </w:rPr>
              <w:t>Submitted</w:t>
            </w:r>
          </w:p>
        </w:tc>
        <w:tc>
          <w:tcPr>
            <w:tcW w:w="2554" w:type="dxa"/>
            <w:shd w:val="clear" w:color="auto" w:fill="C4ECFF" w:themeFill="accent1" w:themeFillTint="33"/>
            <w:vAlign w:val="center"/>
          </w:tcPr>
          <w:p w:rsidR="002438D2" w:rsidRPr="002438D2" w:rsidRDefault="002438D2" w:rsidP="002438D2">
            <w:pPr>
              <w:spacing w:line="276" w:lineRule="auto"/>
              <w:jc w:val="center"/>
              <w:rPr>
                <w:rFonts w:ascii="Calibri" w:hAnsi="Calibri" w:cs="Times New Roman"/>
                <w:b/>
                <w:sz w:val="20"/>
                <w:szCs w:val="20"/>
              </w:rPr>
            </w:pPr>
            <w:r w:rsidRPr="002438D2">
              <w:rPr>
                <w:rFonts w:ascii="Calibri" w:hAnsi="Calibri" w:cs="Times New Roman"/>
                <w:b/>
                <w:sz w:val="20"/>
                <w:szCs w:val="20"/>
              </w:rPr>
              <w:t>Method When Prior Year Data is Unavailable</w:t>
            </w:r>
          </w:p>
        </w:tc>
      </w:tr>
      <w:tr w:rsidR="003F2A87" w:rsidRPr="002438D2" w:rsidTr="00555F3E">
        <w:tc>
          <w:tcPr>
            <w:tcW w:w="3590" w:type="dxa"/>
            <w:vAlign w:val="center"/>
          </w:tcPr>
          <w:p w:rsidR="003F2A87" w:rsidRPr="002438D2" w:rsidRDefault="003F2A87" w:rsidP="004F391C">
            <w:pPr>
              <w:spacing w:line="276" w:lineRule="auto"/>
              <w:rPr>
                <w:rFonts w:ascii="Calibri" w:hAnsi="Calibri" w:cs="Times New Roman"/>
                <w:sz w:val="20"/>
                <w:szCs w:val="20"/>
              </w:rPr>
            </w:pPr>
            <w:r>
              <w:rPr>
                <w:rFonts w:ascii="Calibri" w:hAnsi="Calibri" w:cs="Times New Roman"/>
                <w:sz w:val="20"/>
                <w:szCs w:val="20"/>
              </w:rPr>
              <w:t>Latitude and longitude coordinates</w:t>
            </w:r>
          </w:p>
        </w:tc>
        <w:tc>
          <w:tcPr>
            <w:tcW w:w="4111" w:type="dxa"/>
            <w:vAlign w:val="center"/>
          </w:tcPr>
          <w:p w:rsidR="003F2A87" w:rsidRPr="002438D2" w:rsidRDefault="003F2A87" w:rsidP="004F391C">
            <w:pPr>
              <w:spacing w:line="276" w:lineRule="auto"/>
              <w:rPr>
                <w:rFonts w:ascii="Calibri" w:hAnsi="Calibri" w:cs="Times New Roman"/>
                <w:sz w:val="20"/>
                <w:szCs w:val="20"/>
              </w:rPr>
            </w:pPr>
            <w:r>
              <w:rPr>
                <w:rFonts w:ascii="Calibri" w:hAnsi="Calibri" w:cs="Times New Roman"/>
                <w:sz w:val="20"/>
                <w:szCs w:val="20"/>
              </w:rPr>
              <w:t>Last reported values</w:t>
            </w:r>
          </w:p>
        </w:tc>
        <w:tc>
          <w:tcPr>
            <w:tcW w:w="2554" w:type="dxa"/>
            <w:vAlign w:val="center"/>
          </w:tcPr>
          <w:p w:rsidR="003F2A87" w:rsidRPr="002438D2" w:rsidRDefault="003F2A87" w:rsidP="004F391C">
            <w:pPr>
              <w:spacing w:line="276" w:lineRule="auto"/>
              <w:rPr>
                <w:rFonts w:ascii="Calibri" w:hAnsi="Calibri" w:cs="Times New Roman"/>
                <w:sz w:val="20"/>
                <w:szCs w:val="20"/>
              </w:rPr>
            </w:pPr>
            <w:r w:rsidRPr="002438D2">
              <w:rPr>
                <w:rFonts w:ascii="Calibri" w:hAnsi="Calibri" w:cs="Times New Roman"/>
                <w:sz w:val="20"/>
                <w:szCs w:val="20"/>
              </w:rPr>
              <w:t>Variable value set to null</w:t>
            </w:r>
          </w:p>
        </w:tc>
      </w:tr>
      <w:tr w:rsidR="002438D2" w:rsidRPr="002438D2" w:rsidTr="00555F3E">
        <w:tc>
          <w:tcPr>
            <w:tcW w:w="3590" w:type="dxa"/>
            <w:vAlign w:val="center"/>
          </w:tcPr>
          <w:p w:rsidR="002438D2" w:rsidRPr="002438D2" w:rsidRDefault="002438D2" w:rsidP="004F391C">
            <w:pPr>
              <w:spacing w:line="276" w:lineRule="auto"/>
              <w:rPr>
                <w:rFonts w:ascii="Calibri" w:hAnsi="Calibri" w:cs="Times New Roman"/>
                <w:sz w:val="20"/>
                <w:szCs w:val="20"/>
              </w:rPr>
            </w:pPr>
            <w:r w:rsidRPr="002438D2">
              <w:rPr>
                <w:rFonts w:ascii="Calibri" w:hAnsi="Calibri" w:cs="Times New Roman"/>
                <w:sz w:val="20"/>
                <w:szCs w:val="20"/>
              </w:rPr>
              <w:t>Percentage of production by mine type</w:t>
            </w:r>
          </w:p>
        </w:tc>
        <w:tc>
          <w:tcPr>
            <w:tcW w:w="4111" w:type="dxa"/>
            <w:vAlign w:val="center"/>
          </w:tcPr>
          <w:p w:rsidR="002438D2" w:rsidRPr="002438D2" w:rsidRDefault="002438D2" w:rsidP="004F391C">
            <w:pPr>
              <w:spacing w:line="276" w:lineRule="auto"/>
              <w:rPr>
                <w:rFonts w:ascii="Calibri" w:hAnsi="Calibri" w:cs="Times New Roman"/>
                <w:sz w:val="20"/>
                <w:szCs w:val="20"/>
              </w:rPr>
            </w:pPr>
            <w:r w:rsidRPr="002438D2">
              <w:rPr>
                <w:rFonts w:ascii="Calibri" w:hAnsi="Calibri" w:cs="Times New Roman"/>
                <w:sz w:val="20"/>
                <w:szCs w:val="20"/>
              </w:rPr>
              <w:t>Prior year value</w:t>
            </w:r>
          </w:p>
        </w:tc>
        <w:tc>
          <w:tcPr>
            <w:tcW w:w="2554" w:type="dxa"/>
            <w:vAlign w:val="center"/>
          </w:tcPr>
          <w:p w:rsidR="002438D2" w:rsidRPr="002438D2" w:rsidRDefault="002438D2" w:rsidP="004F391C">
            <w:pPr>
              <w:spacing w:line="276" w:lineRule="auto"/>
              <w:rPr>
                <w:rFonts w:ascii="Calibri" w:hAnsi="Calibri" w:cs="Times New Roman"/>
                <w:sz w:val="20"/>
                <w:szCs w:val="20"/>
              </w:rPr>
            </w:pPr>
            <w:r w:rsidRPr="002438D2">
              <w:rPr>
                <w:rFonts w:ascii="Calibri" w:hAnsi="Calibri" w:cs="Times New Roman"/>
                <w:sz w:val="20"/>
                <w:szCs w:val="20"/>
              </w:rPr>
              <w:t>As reported by MSHA [2]</w:t>
            </w:r>
          </w:p>
        </w:tc>
      </w:tr>
      <w:tr w:rsidR="003F2A87" w:rsidRPr="002438D2" w:rsidTr="00555F3E">
        <w:tc>
          <w:tcPr>
            <w:tcW w:w="3590" w:type="dxa"/>
            <w:vAlign w:val="center"/>
          </w:tcPr>
          <w:p w:rsidR="003F2A87" w:rsidRPr="002438D2" w:rsidRDefault="003F2A87" w:rsidP="004F391C">
            <w:pPr>
              <w:spacing w:line="276" w:lineRule="auto"/>
              <w:rPr>
                <w:rFonts w:ascii="Calibri" w:hAnsi="Calibri" w:cs="Times New Roman"/>
                <w:sz w:val="20"/>
                <w:szCs w:val="20"/>
              </w:rPr>
            </w:pPr>
            <w:r>
              <w:rPr>
                <w:rFonts w:ascii="Calibri" w:hAnsi="Calibri" w:cs="Times New Roman"/>
                <w:sz w:val="20"/>
                <w:szCs w:val="20"/>
              </w:rPr>
              <w:t>Heat (BTU) content of coal produced</w:t>
            </w:r>
          </w:p>
        </w:tc>
        <w:tc>
          <w:tcPr>
            <w:tcW w:w="4111" w:type="dxa"/>
            <w:vAlign w:val="center"/>
          </w:tcPr>
          <w:p w:rsidR="003F2A87" w:rsidRPr="002438D2" w:rsidRDefault="003F2A87" w:rsidP="004F391C">
            <w:pPr>
              <w:spacing w:line="276" w:lineRule="auto"/>
              <w:rPr>
                <w:rFonts w:ascii="Calibri" w:hAnsi="Calibri" w:cs="Times New Roman"/>
                <w:sz w:val="20"/>
                <w:szCs w:val="20"/>
              </w:rPr>
            </w:pPr>
            <w:r w:rsidRPr="002438D2">
              <w:rPr>
                <w:rFonts w:ascii="Calibri" w:hAnsi="Calibri" w:cs="Times New Roman"/>
                <w:sz w:val="20"/>
                <w:szCs w:val="20"/>
              </w:rPr>
              <w:t>Prior year value</w:t>
            </w:r>
          </w:p>
        </w:tc>
        <w:tc>
          <w:tcPr>
            <w:tcW w:w="2554" w:type="dxa"/>
            <w:vAlign w:val="center"/>
          </w:tcPr>
          <w:p w:rsidR="003F2A87" w:rsidRPr="002438D2" w:rsidRDefault="003F2A87" w:rsidP="004F391C">
            <w:pPr>
              <w:spacing w:line="276" w:lineRule="auto"/>
              <w:rPr>
                <w:rFonts w:ascii="Calibri" w:hAnsi="Calibri" w:cs="Times New Roman"/>
                <w:sz w:val="20"/>
                <w:szCs w:val="20"/>
              </w:rPr>
            </w:pPr>
            <w:r w:rsidRPr="002438D2">
              <w:rPr>
                <w:rFonts w:ascii="Calibri" w:hAnsi="Calibri" w:cs="Times New Roman"/>
                <w:sz w:val="20"/>
                <w:szCs w:val="20"/>
              </w:rPr>
              <w:t>Variable value set to null</w:t>
            </w:r>
          </w:p>
        </w:tc>
      </w:tr>
      <w:tr w:rsidR="002438D2" w:rsidRPr="002438D2" w:rsidTr="00555F3E">
        <w:tc>
          <w:tcPr>
            <w:tcW w:w="3590" w:type="dxa"/>
            <w:vAlign w:val="center"/>
          </w:tcPr>
          <w:p w:rsidR="002438D2" w:rsidRPr="002438D2" w:rsidRDefault="002438D2" w:rsidP="004F391C">
            <w:pPr>
              <w:spacing w:line="276" w:lineRule="auto"/>
              <w:rPr>
                <w:rFonts w:ascii="Calibri" w:hAnsi="Calibri" w:cs="Times New Roman"/>
                <w:sz w:val="20"/>
                <w:szCs w:val="20"/>
              </w:rPr>
            </w:pPr>
            <w:r w:rsidRPr="002438D2">
              <w:rPr>
                <w:rFonts w:ascii="Calibri" w:hAnsi="Calibri" w:cs="Times New Roman"/>
                <w:sz w:val="20"/>
                <w:szCs w:val="20"/>
              </w:rPr>
              <w:t>Recoverable reserves  (tons)</w:t>
            </w:r>
          </w:p>
        </w:tc>
        <w:tc>
          <w:tcPr>
            <w:tcW w:w="4111" w:type="dxa"/>
            <w:vAlign w:val="center"/>
          </w:tcPr>
          <w:p w:rsidR="002438D2" w:rsidRPr="002438D2" w:rsidRDefault="002438D2" w:rsidP="004F391C">
            <w:pPr>
              <w:spacing w:line="276" w:lineRule="auto"/>
              <w:rPr>
                <w:rFonts w:ascii="Calibri" w:hAnsi="Calibri" w:cs="Times New Roman"/>
                <w:sz w:val="20"/>
                <w:szCs w:val="20"/>
              </w:rPr>
            </w:pPr>
            <w:r w:rsidRPr="002438D2">
              <w:rPr>
                <w:rFonts w:ascii="Calibri" w:hAnsi="Calibri" w:cs="Times New Roman"/>
                <w:sz w:val="20"/>
                <w:szCs w:val="20"/>
              </w:rPr>
              <w:t xml:space="preserve">Prior year value </w:t>
            </w:r>
            <w:r w:rsidR="003F2A87">
              <w:rPr>
                <w:rFonts w:ascii="Calibri" w:hAnsi="Calibri" w:cs="Times New Roman"/>
                <w:sz w:val="20"/>
                <w:szCs w:val="20"/>
              </w:rPr>
              <w:t>minus</w:t>
            </w:r>
            <w:r w:rsidRPr="002438D2">
              <w:rPr>
                <w:rFonts w:ascii="Calibri" w:hAnsi="Calibri" w:cs="Times New Roman"/>
                <w:sz w:val="20"/>
                <w:szCs w:val="20"/>
              </w:rPr>
              <w:t xml:space="preserve"> current year production</w:t>
            </w:r>
          </w:p>
        </w:tc>
        <w:tc>
          <w:tcPr>
            <w:tcW w:w="2554" w:type="dxa"/>
            <w:vAlign w:val="center"/>
          </w:tcPr>
          <w:p w:rsidR="002438D2" w:rsidRPr="002438D2" w:rsidRDefault="002438D2" w:rsidP="004F391C">
            <w:pPr>
              <w:spacing w:line="276" w:lineRule="auto"/>
              <w:rPr>
                <w:rFonts w:ascii="Calibri" w:hAnsi="Calibri" w:cs="Times New Roman"/>
                <w:sz w:val="20"/>
                <w:szCs w:val="20"/>
              </w:rPr>
            </w:pPr>
            <w:r w:rsidRPr="002438D2">
              <w:rPr>
                <w:rFonts w:ascii="Calibri" w:hAnsi="Calibri" w:cs="Times New Roman"/>
                <w:sz w:val="20"/>
                <w:szCs w:val="20"/>
              </w:rPr>
              <w:t>Variable value set to null</w:t>
            </w:r>
          </w:p>
        </w:tc>
      </w:tr>
      <w:tr w:rsidR="002438D2" w:rsidRPr="002438D2" w:rsidTr="00555F3E">
        <w:tc>
          <w:tcPr>
            <w:tcW w:w="3590" w:type="dxa"/>
            <w:vAlign w:val="center"/>
          </w:tcPr>
          <w:p w:rsidR="002438D2" w:rsidRPr="002438D2" w:rsidRDefault="002438D2" w:rsidP="004F391C">
            <w:pPr>
              <w:spacing w:line="276" w:lineRule="auto"/>
              <w:rPr>
                <w:rFonts w:ascii="Calibri" w:hAnsi="Calibri" w:cs="Times New Roman"/>
                <w:sz w:val="20"/>
                <w:szCs w:val="20"/>
              </w:rPr>
            </w:pPr>
            <w:r w:rsidRPr="002438D2">
              <w:rPr>
                <w:rFonts w:ascii="Calibri" w:hAnsi="Calibri" w:cs="Times New Roman"/>
                <w:sz w:val="20"/>
                <w:szCs w:val="20"/>
              </w:rPr>
              <w:t>Recovery %</w:t>
            </w:r>
          </w:p>
        </w:tc>
        <w:tc>
          <w:tcPr>
            <w:tcW w:w="4111" w:type="dxa"/>
            <w:vAlign w:val="center"/>
          </w:tcPr>
          <w:p w:rsidR="002438D2" w:rsidRPr="002438D2" w:rsidRDefault="002438D2" w:rsidP="004F391C">
            <w:pPr>
              <w:spacing w:line="276" w:lineRule="auto"/>
              <w:rPr>
                <w:rFonts w:ascii="Calibri" w:hAnsi="Calibri" w:cs="Times New Roman"/>
                <w:sz w:val="20"/>
                <w:szCs w:val="20"/>
              </w:rPr>
            </w:pPr>
            <w:r w:rsidRPr="002438D2">
              <w:rPr>
                <w:rFonts w:ascii="Calibri" w:hAnsi="Calibri" w:cs="Times New Roman"/>
                <w:sz w:val="20"/>
                <w:szCs w:val="20"/>
              </w:rPr>
              <w:t>Prior year value [1]</w:t>
            </w:r>
          </w:p>
        </w:tc>
        <w:tc>
          <w:tcPr>
            <w:tcW w:w="2554" w:type="dxa"/>
            <w:vAlign w:val="center"/>
          </w:tcPr>
          <w:p w:rsidR="002438D2" w:rsidRPr="002438D2" w:rsidRDefault="002438D2" w:rsidP="004F391C">
            <w:pPr>
              <w:spacing w:line="276" w:lineRule="auto"/>
              <w:rPr>
                <w:rFonts w:ascii="Calibri" w:hAnsi="Calibri" w:cs="Times New Roman"/>
                <w:sz w:val="20"/>
                <w:szCs w:val="20"/>
              </w:rPr>
            </w:pPr>
            <w:r w:rsidRPr="002438D2">
              <w:rPr>
                <w:rFonts w:ascii="Calibri" w:hAnsi="Calibri" w:cs="Times New Roman"/>
                <w:sz w:val="20"/>
                <w:szCs w:val="20"/>
              </w:rPr>
              <w:t>Variable value set to null</w:t>
            </w:r>
          </w:p>
        </w:tc>
      </w:tr>
      <w:tr w:rsidR="002438D2" w:rsidRPr="002438D2" w:rsidTr="00555F3E">
        <w:tc>
          <w:tcPr>
            <w:tcW w:w="3590" w:type="dxa"/>
            <w:vAlign w:val="center"/>
          </w:tcPr>
          <w:p w:rsidR="002438D2" w:rsidRPr="002438D2" w:rsidRDefault="002438D2" w:rsidP="004F391C">
            <w:pPr>
              <w:spacing w:line="276" w:lineRule="auto"/>
              <w:rPr>
                <w:rFonts w:ascii="Calibri" w:hAnsi="Calibri" w:cs="Times New Roman"/>
                <w:sz w:val="20"/>
                <w:szCs w:val="20"/>
              </w:rPr>
            </w:pPr>
            <w:r w:rsidRPr="002438D2">
              <w:rPr>
                <w:rFonts w:ascii="Calibri" w:hAnsi="Calibri" w:cs="Times New Roman"/>
                <w:sz w:val="20"/>
                <w:szCs w:val="20"/>
              </w:rPr>
              <w:t>Coal Beds Mined</w:t>
            </w:r>
          </w:p>
        </w:tc>
        <w:tc>
          <w:tcPr>
            <w:tcW w:w="4111" w:type="dxa"/>
            <w:vAlign w:val="center"/>
          </w:tcPr>
          <w:p w:rsidR="002438D2" w:rsidRPr="002438D2" w:rsidRDefault="002438D2" w:rsidP="004F391C">
            <w:pPr>
              <w:spacing w:line="276" w:lineRule="auto"/>
              <w:rPr>
                <w:rFonts w:ascii="Calibri" w:hAnsi="Calibri" w:cs="Times New Roman"/>
                <w:sz w:val="20"/>
                <w:szCs w:val="20"/>
              </w:rPr>
            </w:pPr>
            <w:r w:rsidRPr="002438D2">
              <w:rPr>
                <w:rFonts w:ascii="Calibri" w:hAnsi="Calibri" w:cs="Times New Roman"/>
                <w:sz w:val="20"/>
                <w:szCs w:val="20"/>
              </w:rPr>
              <w:t>Prior year value</w:t>
            </w:r>
          </w:p>
        </w:tc>
        <w:tc>
          <w:tcPr>
            <w:tcW w:w="2554" w:type="dxa"/>
            <w:vAlign w:val="center"/>
          </w:tcPr>
          <w:p w:rsidR="002438D2" w:rsidRPr="002438D2" w:rsidRDefault="002438D2" w:rsidP="004F391C">
            <w:pPr>
              <w:spacing w:line="276" w:lineRule="auto"/>
              <w:rPr>
                <w:rFonts w:ascii="Calibri" w:hAnsi="Calibri" w:cs="Times New Roman"/>
                <w:sz w:val="20"/>
                <w:szCs w:val="20"/>
              </w:rPr>
            </w:pPr>
            <w:r w:rsidRPr="002438D2">
              <w:rPr>
                <w:rFonts w:ascii="Calibri" w:hAnsi="Calibri" w:cs="Times New Roman"/>
                <w:sz w:val="20"/>
                <w:szCs w:val="20"/>
              </w:rPr>
              <w:t>Variable value = unknown</w:t>
            </w:r>
          </w:p>
        </w:tc>
      </w:tr>
      <w:tr w:rsidR="002438D2" w:rsidRPr="002438D2" w:rsidTr="00555F3E">
        <w:tc>
          <w:tcPr>
            <w:tcW w:w="3590" w:type="dxa"/>
            <w:vAlign w:val="center"/>
          </w:tcPr>
          <w:p w:rsidR="002438D2" w:rsidRPr="002438D2" w:rsidRDefault="002438D2" w:rsidP="004F391C">
            <w:pPr>
              <w:spacing w:line="276" w:lineRule="auto"/>
              <w:rPr>
                <w:rFonts w:ascii="Calibri" w:hAnsi="Calibri" w:cs="Times New Roman"/>
                <w:sz w:val="20"/>
                <w:szCs w:val="20"/>
              </w:rPr>
            </w:pPr>
            <w:r w:rsidRPr="002438D2">
              <w:rPr>
                <w:rFonts w:ascii="Calibri" w:hAnsi="Calibri" w:cs="Times New Roman"/>
                <w:sz w:val="20"/>
                <w:szCs w:val="20"/>
              </w:rPr>
              <w:t>Coal Bed Thickness</w:t>
            </w:r>
          </w:p>
        </w:tc>
        <w:tc>
          <w:tcPr>
            <w:tcW w:w="4111" w:type="dxa"/>
            <w:vAlign w:val="center"/>
          </w:tcPr>
          <w:p w:rsidR="002438D2" w:rsidRPr="002438D2" w:rsidRDefault="002438D2" w:rsidP="004F391C">
            <w:pPr>
              <w:spacing w:line="276" w:lineRule="auto"/>
              <w:rPr>
                <w:rFonts w:ascii="Calibri" w:hAnsi="Calibri" w:cs="Times New Roman"/>
                <w:sz w:val="20"/>
                <w:szCs w:val="20"/>
              </w:rPr>
            </w:pPr>
            <w:r w:rsidRPr="002438D2">
              <w:rPr>
                <w:rFonts w:ascii="Calibri" w:hAnsi="Calibri" w:cs="Times New Roman"/>
                <w:sz w:val="20"/>
                <w:szCs w:val="20"/>
              </w:rPr>
              <w:t>Prior year value</w:t>
            </w:r>
          </w:p>
        </w:tc>
        <w:tc>
          <w:tcPr>
            <w:tcW w:w="2554" w:type="dxa"/>
            <w:vAlign w:val="center"/>
          </w:tcPr>
          <w:p w:rsidR="002438D2" w:rsidRPr="002438D2" w:rsidRDefault="002438D2" w:rsidP="004F391C">
            <w:pPr>
              <w:spacing w:line="276" w:lineRule="auto"/>
              <w:rPr>
                <w:rFonts w:ascii="Calibri" w:hAnsi="Calibri" w:cs="Times New Roman"/>
                <w:sz w:val="20"/>
                <w:szCs w:val="20"/>
              </w:rPr>
            </w:pPr>
            <w:r w:rsidRPr="002438D2">
              <w:rPr>
                <w:rFonts w:ascii="Calibri" w:hAnsi="Calibri" w:cs="Times New Roman"/>
                <w:sz w:val="20"/>
                <w:szCs w:val="20"/>
              </w:rPr>
              <w:t>Default value = 36 inches</w:t>
            </w:r>
          </w:p>
        </w:tc>
      </w:tr>
      <w:tr w:rsidR="002438D2" w:rsidRPr="002438D2" w:rsidTr="00555F3E">
        <w:tc>
          <w:tcPr>
            <w:tcW w:w="3590" w:type="dxa"/>
            <w:vAlign w:val="center"/>
          </w:tcPr>
          <w:p w:rsidR="002438D2" w:rsidRPr="002438D2" w:rsidRDefault="002438D2" w:rsidP="004F391C">
            <w:pPr>
              <w:spacing w:line="276" w:lineRule="auto"/>
              <w:rPr>
                <w:rFonts w:ascii="Calibri" w:hAnsi="Calibri" w:cs="Times New Roman"/>
                <w:sz w:val="20"/>
                <w:szCs w:val="20"/>
              </w:rPr>
            </w:pPr>
            <w:r w:rsidRPr="002438D2">
              <w:rPr>
                <w:rFonts w:ascii="Calibri" w:hAnsi="Calibri" w:cs="Times New Roman"/>
                <w:sz w:val="20"/>
                <w:szCs w:val="20"/>
              </w:rPr>
              <w:t>Prepared coal: % from surface mines</w:t>
            </w:r>
          </w:p>
        </w:tc>
        <w:tc>
          <w:tcPr>
            <w:tcW w:w="4111" w:type="dxa"/>
            <w:vAlign w:val="center"/>
          </w:tcPr>
          <w:p w:rsidR="002438D2" w:rsidRPr="002438D2" w:rsidRDefault="002438D2" w:rsidP="004F391C">
            <w:pPr>
              <w:spacing w:line="276" w:lineRule="auto"/>
              <w:rPr>
                <w:rFonts w:ascii="Calibri" w:hAnsi="Calibri" w:cs="Times New Roman"/>
                <w:sz w:val="20"/>
                <w:szCs w:val="20"/>
              </w:rPr>
            </w:pPr>
            <w:r w:rsidRPr="002438D2">
              <w:rPr>
                <w:rFonts w:ascii="Calibri" w:hAnsi="Calibri" w:cs="Times New Roman"/>
                <w:sz w:val="20"/>
                <w:szCs w:val="20"/>
              </w:rPr>
              <w:t>Prior year value</w:t>
            </w:r>
          </w:p>
        </w:tc>
        <w:tc>
          <w:tcPr>
            <w:tcW w:w="2554" w:type="dxa"/>
            <w:vAlign w:val="center"/>
          </w:tcPr>
          <w:p w:rsidR="002438D2" w:rsidRPr="002438D2" w:rsidRDefault="002438D2" w:rsidP="004F391C">
            <w:pPr>
              <w:spacing w:line="276" w:lineRule="auto"/>
              <w:rPr>
                <w:rFonts w:ascii="Calibri" w:hAnsi="Calibri" w:cs="Times New Roman"/>
                <w:sz w:val="20"/>
                <w:szCs w:val="20"/>
              </w:rPr>
            </w:pPr>
            <w:r w:rsidRPr="002438D2">
              <w:rPr>
                <w:rFonts w:ascii="Calibri" w:hAnsi="Calibri" w:cs="Times New Roman"/>
                <w:sz w:val="20"/>
                <w:szCs w:val="20"/>
              </w:rPr>
              <w:t>Variable value set to null</w:t>
            </w:r>
          </w:p>
        </w:tc>
      </w:tr>
      <w:tr w:rsidR="003F2A87" w:rsidRPr="002438D2" w:rsidTr="00555F3E">
        <w:tc>
          <w:tcPr>
            <w:tcW w:w="3590" w:type="dxa"/>
            <w:vAlign w:val="center"/>
          </w:tcPr>
          <w:p w:rsidR="003F2A87" w:rsidRPr="002438D2" w:rsidRDefault="003F2A87" w:rsidP="004F391C">
            <w:pPr>
              <w:spacing w:line="276" w:lineRule="auto"/>
              <w:rPr>
                <w:rFonts w:ascii="Calibri" w:hAnsi="Calibri" w:cs="Times New Roman"/>
                <w:sz w:val="20"/>
                <w:szCs w:val="20"/>
              </w:rPr>
            </w:pPr>
            <w:r w:rsidRPr="002438D2">
              <w:rPr>
                <w:rFonts w:ascii="Calibri" w:hAnsi="Calibri" w:cs="Times New Roman"/>
                <w:sz w:val="20"/>
                <w:szCs w:val="20"/>
              </w:rPr>
              <w:t xml:space="preserve">Prepared coal: % from underground mines </w:t>
            </w:r>
          </w:p>
        </w:tc>
        <w:tc>
          <w:tcPr>
            <w:tcW w:w="4111" w:type="dxa"/>
            <w:vAlign w:val="center"/>
          </w:tcPr>
          <w:p w:rsidR="003F2A87" w:rsidRPr="002438D2" w:rsidRDefault="003F2A87" w:rsidP="004F391C">
            <w:pPr>
              <w:spacing w:line="276" w:lineRule="auto"/>
              <w:rPr>
                <w:rFonts w:ascii="Calibri" w:hAnsi="Calibri" w:cs="Times New Roman"/>
                <w:sz w:val="20"/>
                <w:szCs w:val="20"/>
              </w:rPr>
            </w:pPr>
            <w:r w:rsidRPr="002438D2">
              <w:rPr>
                <w:rFonts w:ascii="Calibri" w:hAnsi="Calibri" w:cs="Times New Roman"/>
                <w:sz w:val="20"/>
                <w:szCs w:val="20"/>
              </w:rPr>
              <w:t>Prior year value</w:t>
            </w:r>
          </w:p>
        </w:tc>
        <w:tc>
          <w:tcPr>
            <w:tcW w:w="2554" w:type="dxa"/>
            <w:vAlign w:val="center"/>
          </w:tcPr>
          <w:p w:rsidR="003F2A87" w:rsidRPr="002438D2" w:rsidRDefault="003F2A87" w:rsidP="004F391C">
            <w:pPr>
              <w:spacing w:line="276" w:lineRule="auto"/>
              <w:rPr>
                <w:rFonts w:ascii="Calibri" w:hAnsi="Calibri" w:cs="Times New Roman"/>
                <w:sz w:val="20"/>
                <w:szCs w:val="20"/>
              </w:rPr>
            </w:pPr>
            <w:r w:rsidRPr="002438D2">
              <w:rPr>
                <w:rFonts w:ascii="Calibri" w:hAnsi="Calibri" w:cs="Times New Roman"/>
                <w:sz w:val="20"/>
                <w:szCs w:val="20"/>
              </w:rPr>
              <w:t>Variable value set to null</w:t>
            </w:r>
          </w:p>
        </w:tc>
      </w:tr>
      <w:tr w:rsidR="003F2A87" w:rsidRPr="002438D2" w:rsidTr="00555F3E">
        <w:tc>
          <w:tcPr>
            <w:tcW w:w="3590" w:type="dxa"/>
            <w:vAlign w:val="center"/>
          </w:tcPr>
          <w:p w:rsidR="003F2A87" w:rsidRPr="00FD2D94" w:rsidRDefault="003F2A87" w:rsidP="004F391C">
            <w:pPr>
              <w:spacing w:line="276" w:lineRule="auto"/>
              <w:rPr>
                <w:rFonts w:ascii="Calibri" w:hAnsi="Calibri" w:cs="Times New Roman"/>
                <w:sz w:val="20"/>
                <w:szCs w:val="20"/>
              </w:rPr>
            </w:pPr>
            <w:r w:rsidRPr="00FD2D94">
              <w:rPr>
                <w:rFonts w:ascii="Calibri" w:hAnsi="Calibri" w:cs="Times New Roman"/>
                <w:sz w:val="20"/>
                <w:szCs w:val="20"/>
              </w:rPr>
              <w:t>Portion of coal sales  that is exported</w:t>
            </w:r>
          </w:p>
        </w:tc>
        <w:tc>
          <w:tcPr>
            <w:tcW w:w="4111" w:type="dxa"/>
            <w:vAlign w:val="center"/>
          </w:tcPr>
          <w:p w:rsidR="003F2A87" w:rsidRPr="002438D2" w:rsidRDefault="003F2A87" w:rsidP="004F391C">
            <w:pPr>
              <w:spacing w:line="276" w:lineRule="auto"/>
              <w:rPr>
                <w:rFonts w:ascii="Calibri" w:hAnsi="Calibri" w:cs="Times New Roman"/>
                <w:sz w:val="20"/>
                <w:szCs w:val="20"/>
              </w:rPr>
            </w:pPr>
            <w:r w:rsidRPr="002438D2">
              <w:rPr>
                <w:rFonts w:ascii="Calibri" w:hAnsi="Calibri" w:cs="Times New Roman"/>
                <w:sz w:val="20"/>
                <w:szCs w:val="20"/>
              </w:rPr>
              <w:t>Prior year value</w:t>
            </w:r>
          </w:p>
        </w:tc>
        <w:tc>
          <w:tcPr>
            <w:tcW w:w="2554" w:type="dxa"/>
            <w:vAlign w:val="center"/>
          </w:tcPr>
          <w:p w:rsidR="003F2A87" w:rsidRPr="002438D2" w:rsidRDefault="003F2A87" w:rsidP="004F391C">
            <w:pPr>
              <w:spacing w:line="276" w:lineRule="auto"/>
              <w:rPr>
                <w:rFonts w:ascii="Calibri" w:hAnsi="Calibri" w:cs="Times New Roman"/>
                <w:sz w:val="20"/>
                <w:szCs w:val="20"/>
              </w:rPr>
            </w:pPr>
            <w:r w:rsidRPr="002438D2">
              <w:rPr>
                <w:rFonts w:ascii="Calibri" w:hAnsi="Calibri" w:cs="Times New Roman"/>
                <w:sz w:val="20"/>
                <w:szCs w:val="20"/>
              </w:rPr>
              <w:t>Variable value set to null</w:t>
            </w:r>
          </w:p>
        </w:tc>
      </w:tr>
      <w:tr w:rsidR="003F2A87" w:rsidRPr="002438D2" w:rsidTr="00555F3E">
        <w:tc>
          <w:tcPr>
            <w:tcW w:w="3590" w:type="dxa"/>
            <w:vAlign w:val="center"/>
          </w:tcPr>
          <w:p w:rsidR="003F2A87" w:rsidRPr="003F2A87" w:rsidRDefault="003F2A87" w:rsidP="004F391C">
            <w:pPr>
              <w:spacing w:line="276" w:lineRule="auto"/>
              <w:rPr>
                <w:rFonts w:ascii="Calibri" w:hAnsi="Calibri" w:cs="Times New Roman"/>
                <w:sz w:val="20"/>
                <w:szCs w:val="20"/>
              </w:rPr>
            </w:pPr>
            <w:r w:rsidRPr="00FD2D94">
              <w:rPr>
                <w:rFonts w:ascii="Calibri" w:hAnsi="Calibri" w:cs="Times New Roman"/>
                <w:sz w:val="20"/>
                <w:szCs w:val="20"/>
              </w:rPr>
              <w:t>Split of exported</w:t>
            </w:r>
            <w:r>
              <w:rPr>
                <w:rFonts w:ascii="Calibri" w:hAnsi="Calibri" w:cs="Times New Roman"/>
                <w:sz w:val="20"/>
                <w:szCs w:val="20"/>
              </w:rPr>
              <w:t xml:space="preserve"> coal</w:t>
            </w:r>
            <w:r w:rsidRPr="00FD2D94">
              <w:rPr>
                <w:rFonts w:ascii="Calibri" w:hAnsi="Calibri" w:cs="Times New Roman"/>
                <w:sz w:val="20"/>
                <w:szCs w:val="20"/>
              </w:rPr>
              <w:t xml:space="preserve"> between metallurgical and steam coal</w:t>
            </w:r>
          </w:p>
        </w:tc>
        <w:tc>
          <w:tcPr>
            <w:tcW w:w="4111" w:type="dxa"/>
            <w:vAlign w:val="center"/>
          </w:tcPr>
          <w:p w:rsidR="003F2A87" w:rsidRPr="002438D2" w:rsidRDefault="003F2A87" w:rsidP="004F391C">
            <w:pPr>
              <w:spacing w:line="276" w:lineRule="auto"/>
              <w:rPr>
                <w:rFonts w:ascii="Calibri" w:hAnsi="Calibri" w:cs="Times New Roman"/>
                <w:sz w:val="20"/>
                <w:szCs w:val="20"/>
              </w:rPr>
            </w:pPr>
            <w:r w:rsidRPr="002438D2">
              <w:rPr>
                <w:rFonts w:ascii="Calibri" w:hAnsi="Calibri" w:cs="Times New Roman"/>
                <w:sz w:val="20"/>
                <w:szCs w:val="20"/>
              </w:rPr>
              <w:t>Prior year value</w:t>
            </w:r>
          </w:p>
        </w:tc>
        <w:tc>
          <w:tcPr>
            <w:tcW w:w="2554" w:type="dxa"/>
            <w:vAlign w:val="center"/>
          </w:tcPr>
          <w:p w:rsidR="003F2A87" w:rsidRPr="002438D2" w:rsidRDefault="003F2A87" w:rsidP="004F391C">
            <w:pPr>
              <w:spacing w:line="276" w:lineRule="auto"/>
              <w:rPr>
                <w:rFonts w:ascii="Calibri" w:hAnsi="Calibri" w:cs="Times New Roman"/>
                <w:sz w:val="20"/>
                <w:szCs w:val="20"/>
              </w:rPr>
            </w:pPr>
            <w:r w:rsidRPr="002438D2">
              <w:rPr>
                <w:rFonts w:ascii="Calibri" w:hAnsi="Calibri" w:cs="Times New Roman"/>
                <w:sz w:val="20"/>
                <w:szCs w:val="20"/>
              </w:rPr>
              <w:t>Variable value set to null</w:t>
            </w:r>
          </w:p>
        </w:tc>
      </w:tr>
      <w:tr w:rsidR="004F391C" w:rsidRPr="002438D2" w:rsidTr="00555F3E">
        <w:tc>
          <w:tcPr>
            <w:tcW w:w="3590" w:type="dxa"/>
            <w:vAlign w:val="center"/>
          </w:tcPr>
          <w:p w:rsidR="004F391C" w:rsidRPr="00FD2D94" w:rsidRDefault="004F391C" w:rsidP="004F391C">
            <w:pPr>
              <w:spacing w:before="60" w:after="60" w:line="240" w:lineRule="auto"/>
              <w:rPr>
                <w:rFonts w:ascii="Calibri" w:hAnsi="Calibri" w:cs="Times New Roman"/>
                <w:sz w:val="20"/>
                <w:szCs w:val="20"/>
              </w:rPr>
            </w:pPr>
            <w:r>
              <w:rPr>
                <w:rFonts w:ascii="Calibri" w:hAnsi="Calibri" w:cs="Times New Roman"/>
                <w:sz w:val="20"/>
                <w:szCs w:val="20"/>
              </w:rPr>
              <w:t>Coal stocks at remote locations</w:t>
            </w:r>
          </w:p>
        </w:tc>
        <w:tc>
          <w:tcPr>
            <w:tcW w:w="4111" w:type="dxa"/>
            <w:vAlign w:val="center"/>
          </w:tcPr>
          <w:p w:rsidR="004F391C" w:rsidRPr="002438D2" w:rsidRDefault="004F391C" w:rsidP="004F391C">
            <w:pPr>
              <w:spacing w:line="276" w:lineRule="auto"/>
              <w:rPr>
                <w:rFonts w:ascii="Calibri" w:hAnsi="Calibri" w:cs="Times New Roman"/>
                <w:sz w:val="20"/>
                <w:szCs w:val="20"/>
              </w:rPr>
            </w:pPr>
            <w:r w:rsidRPr="002438D2">
              <w:rPr>
                <w:rFonts w:ascii="Calibri" w:hAnsi="Calibri" w:cs="Times New Roman"/>
                <w:sz w:val="20"/>
                <w:szCs w:val="20"/>
              </w:rPr>
              <w:t>Prior year value</w:t>
            </w:r>
          </w:p>
        </w:tc>
        <w:tc>
          <w:tcPr>
            <w:tcW w:w="2554" w:type="dxa"/>
            <w:vAlign w:val="center"/>
          </w:tcPr>
          <w:p w:rsidR="004F391C" w:rsidRPr="002438D2" w:rsidRDefault="004F391C" w:rsidP="004F391C">
            <w:pPr>
              <w:spacing w:line="276" w:lineRule="auto"/>
              <w:rPr>
                <w:rFonts w:ascii="Calibri" w:hAnsi="Calibri" w:cs="Times New Roman"/>
                <w:sz w:val="20"/>
                <w:szCs w:val="20"/>
              </w:rPr>
            </w:pPr>
            <w:r w:rsidRPr="002438D2">
              <w:rPr>
                <w:rFonts w:ascii="Calibri" w:hAnsi="Calibri" w:cs="Times New Roman"/>
                <w:sz w:val="20"/>
                <w:szCs w:val="20"/>
              </w:rPr>
              <w:t>Variable value set to null</w:t>
            </w:r>
          </w:p>
        </w:tc>
      </w:tr>
      <w:tr w:rsidR="004F391C" w:rsidRPr="002438D2" w:rsidTr="00555F3E">
        <w:tc>
          <w:tcPr>
            <w:tcW w:w="3590" w:type="dxa"/>
            <w:vAlign w:val="center"/>
          </w:tcPr>
          <w:p w:rsidR="004F391C" w:rsidRPr="002438D2" w:rsidRDefault="004F391C" w:rsidP="004F391C">
            <w:pPr>
              <w:spacing w:line="276" w:lineRule="auto"/>
              <w:rPr>
                <w:rFonts w:ascii="Calibri" w:hAnsi="Calibri" w:cs="Times New Roman"/>
                <w:sz w:val="20"/>
                <w:szCs w:val="20"/>
              </w:rPr>
            </w:pPr>
            <w:r w:rsidRPr="002438D2">
              <w:rPr>
                <w:rFonts w:ascii="Calibri" w:hAnsi="Calibri" w:cs="Times New Roman"/>
                <w:sz w:val="20"/>
                <w:szCs w:val="20"/>
              </w:rPr>
              <w:t>Type of Mining Operation</w:t>
            </w:r>
          </w:p>
        </w:tc>
        <w:tc>
          <w:tcPr>
            <w:tcW w:w="6665" w:type="dxa"/>
            <w:gridSpan w:val="2"/>
            <w:vAlign w:val="center"/>
          </w:tcPr>
          <w:p w:rsidR="004F391C" w:rsidRPr="002438D2" w:rsidRDefault="004F391C" w:rsidP="004F391C">
            <w:pPr>
              <w:spacing w:line="276" w:lineRule="auto"/>
              <w:rPr>
                <w:rFonts w:ascii="Calibri" w:hAnsi="Calibri" w:cs="Times New Roman"/>
                <w:sz w:val="20"/>
                <w:szCs w:val="20"/>
              </w:rPr>
            </w:pPr>
            <w:r w:rsidRPr="002438D2">
              <w:rPr>
                <w:rFonts w:ascii="Calibri" w:hAnsi="Calibri" w:cs="Times New Roman"/>
                <w:sz w:val="20"/>
                <w:szCs w:val="20"/>
              </w:rPr>
              <w:t>Mine type recorded by MSHA [2]</w:t>
            </w:r>
          </w:p>
        </w:tc>
      </w:tr>
      <w:tr w:rsidR="004F391C" w:rsidRPr="002438D2" w:rsidTr="00555F3E">
        <w:tc>
          <w:tcPr>
            <w:tcW w:w="3590" w:type="dxa"/>
            <w:vAlign w:val="center"/>
          </w:tcPr>
          <w:p w:rsidR="004F391C" w:rsidRPr="002438D2" w:rsidRDefault="004F391C" w:rsidP="004F391C">
            <w:pPr>
              <w:spacing w:line="276" w:lineRule="auto"/>
              <w:rPr>
                <w:rFonts w:ascii="Calibri" w:hAnsi="Calibri" w:cs="Times New Roman"/>
                <w:sz w:val="20"/>
                <w:szCs w:val="20"/>
              </w:rPr>
            </w:pPr>
            <w:r w:rsidRPr="002438D2">
              <w:rPr>
                <w:rFonts w:ascii="Calibri" w:hAnsi="Calibri" w:cs="Times New Roman"/>
                <w:sz w:val="20"/>
                <w:szCs w:val="20"/>
              </w:rPr>
              <w:t>Open Market Sales (tons)</w:t>
            </w:r>
          </w:p>
        </w:tc>
        <w:tc>
          <w:tcPr>
            <w:tcW w:w="6665" w:type="dxa"/>
            <w:gridSpan w:val="2"/>
            <w:vAlign w:val="center"/>
          </w:tcPr>
          <w:p w:rsidR="004F391C" w:rsidRPr="002438D2" w:rsidRDefault="004F391C" w:rsidP="004F391C">
            <w:pPr>
              <w:spacing w:line="276" w:lineRule="auto"/>
              <w:rPr>
                <w:rFonts w:ascii="Calibri" w:hAnsi="Calibri" w:cs="Times New Roman"/>
                <w:sz w:val="20"/>
                <w:szCs w:val="20"/>
              </w:rPr>
            </w:pPr>
            <w:r w:rsidRPr="002438D2">
              <w:rPr>
                <w:rFonts w:ascii="Calibri" w:hAnsi="Calibri" w:cs="Times New Roman"/>
                <w:sz w:val="20"/>
                <w:szCs w:val="20"/>
              </w:rPr>
              <w:t>Set equal to actual production recorded by MSHA [2]</w:t>
            </w:r>
          </w:p>
        </w:tc>
      </w:tr>
      <w:tr w:rsidR="004F391C" w:rsidRPr="002438D2" w:rsidTr="00555F3E">
        <w:tc>
          <w:tcPr>
            <w:tcW w:w="3590" w:type="dxa"/>
            <w:vAlign w:val="center"/>
          </w:tcPr>
          <w:p w:rsidR="004F391C" w:rsidRPr="002438D2" w:rsidRDefault="004F391C" w:rsidP="004F391C">
            <w:pPr>
              <w:spacing w:line="276" w:lineRule="auto"/>
              <w:rPr>
                <w:rFonts w:ascii="Calibri" w:hAnsi="Calibri" w:cs="Times New Roman"/>
                <w:sz w:val="20"/>
                <w:szCs w:val="20"/>
              </w:rPr>
            </w:pPr>
            <w:r w:rsidRPr="002438D2">
              <w:rPr>
                <w:rFonts w:ascii="Calibri" w:hAnsi="Calibri" w:cs="Times New Roman"/>
                <w:sz w:val="20"/>
                <w:szCs w:val="20"/>
              </w:rPr>
              <w:t>Open Market Sales (revenue)</w:t>
            </w:r>
          </w:p>
        </w:tc>
        <w:tc>
          <w:tcPr>
            <w:tcW w:w="6665" w:type="dxa"/>
            <w:gridSpan w:val="2"/>
            <w:vAlign w:val="center"/>
          </w:tcPr>
          <w:p w:rsidR="004F391C" w:rsidRPr="002438D2" w:rsidRDefault="004F391C" w:rsidP="004F391C">
            <w:pPr>
              <w:spacing w:line="276" w:lineRule="auto"/>
              <w:rPr>
                <w:rFonts w:ascii="Calibri" w:hAnsi="Calibri" w:cs="Times New Roman"/>
                <w:sz w:val="20"/>
                <w:szCs w:val="20"/>
              </w:rPr>
            </w:pPr>
            <w:r w:rsidRPr="002438D2">
              <w:rPr>
                <w:rFonts w:ascii="Calibri" w:hAnsi="Calibri" w:cs="Times New Roman"/>
                <w:sz w:val="20"/>
                <w:szCs w:val="20"/>
              </w:rPr>
              <w:t>(Avg. Price) x (Open Market Sales) where Avg. Price = sum(Sales to all rev) / sum(sales to all) by State, County and Mine type</w:t>
            </w:r>
          </w:p>
        </w:tc>
      </w:tr>
      <w:tr w:rsidR="004F391C" w:rsidRPr="002438D2" w:rsidTr="00555F3E">
        <w:tc>
          <w:tcPr>
            <w:tcW w:w="3590" w:type="dxa"/>
            <w:vAlign w:val="center"/>
          </w:tcPr>
          <w:p w:rsidR="004F391C" w:rsidRPr="002438D2" w:rsidRDefault="004F391C" w:rsidP="004F391C">
            <w:pPr>
              <w:spacing w:line="276" w:lineRule="auto"/>
              <w:rPr>
                <w:rFonts w:ascii="Calibri" w:hAnsi="Calibri" w:cs="Times New Roman"/>
                <w:sz w:val="20"/>
                <w:szCs w:val="20"/>
              </w:rPr>
            </w:pPr>
            <w:r w:rsidRPr="002438D2">
              <w:rPr>
                <w:rFonts w:ascii="Calibri" w:hAnsi="Calibri" w:cs="Times New Roman"/>
                <w:sz w:val="20"/>
                <w:szCs w:val="20"/>
              </w:rPr>
              <w:t>Total disposition of coal produced (tons)</w:t>
            </w:r>
          </w:p>
        </w:tc>
        <w:tc>
          <w:tcPr>
            <w:tcW w:w="6665" w:type="dxa"/>
            <w:gridSpan w:val="2"/>
            <w:vAlign w:val="center"/>
          </w:tcPr>
          <w:p w:rsidR="004F391C" w:rsidRPr="002438D2" w:rsidRDefault="004F391C" w:rsidP="004F391C">
            <w:pPr>
              <w:spacing w:line="276" w:lineRule="auto"/>
              <w:rPr>
                <w:rFonts w:ascii="Calibri" w:hAnsi="Calibri" w:cs="Times New Roman"/>
                <w:sz w:val="20"/>
                <w:szCs w:val="20"/>
              </w:rPr>
            </w:pPr>
            <w:r w:rsidRPr="002438D2">
              <w:rPr>
                <w:rFonts w:ascii="Calibri" w:hAnsi="Calibri" w:cs="Times New Roman"/>
                <w:sz w:val="20"/>
                <w:szCs w:val="20"/>
              </w:rPr>
              <w:t>Set equal to actual production recorded by MSHA [2]</w:t>
            </w:r>
          </w:p>
        </w:tc>
      </w:tr>
      <w:tr w:rsidR="004F391C" w:rsidRPr="002438D2" w:rsidTr="00555F3E">
        <w:tc>
          <w:tcPr>
            <w:tcW w:w="3590" w:type="dxa"/>
            <w:vAlign w:val="center"/>
          </w:tcPr>
          <w:p w:rsidR="004F391C" w:rsidRPr="002438D2" w:rsidRDefault="004F391C" w:rsidP="004F391C">
            <w:pPr>
              <w:spacing w:before="60" w:after="60" w:line="240" w:lineRule="auto"/>
              <w:rPr>
                <w:rFonts w:ascii="Calibri" w:hAnsi="Calibri" w:cs="Times New Roman"/>
                <w:sz w:val="20"/>
                <w:szCs w:val="20"/>
              </w:rPr>
            </w:pPr>
            <w:r w:rsidRPr="002438D2">
              <w:rPr>
                <w:rFonts w:ascii="Calibri" w:hAnsi="Calibri" w:cs="Times New Roman"/>
                <w:sz w:val="20"/>
                <w:szCs w:val="20"/>
              </w:rPr>
              <w:t>Sales to Parent (revenue)</w:t>
            </w:r>
          </w:p>
        </w:tc>
        <w:tc>
          <w:tcPr>
            <w:tcW w:w="6665" w:type="dxa"/>
            <w:gridSpan w:val="2"/>
            <w:vAlign w:val="center"/>
          </w:tcPr>
          <w:p w:rsidR="004F391C" w:rsidRPr="002438D2" w:rsidRDefault="004F391C" w:rsidP="004F391C">
            <w:pPr>
              <w:spacing w:line="276" w:lineRule="auto"/>
              <w:rPr>
                <w:rFonts w:ascii="Calibri" w:hAnsi="Calibri" w:cs="Times New Roman"/>
                <w:sz w:val="20"/>
                <w:szCs w:val="20"/>
              </w:rPr>
            </w:pPr>
            <w:r w:rsidRPr="002438D2">
              <w:rPr>
                <w:rFonts w:ascii="Calibri" w:hAnsi="Calibri" w:cs="Times New Roman"/>
                <w:sz w:val="20"/>
                <w:szCs w:val="20"/>
              </w:rPr>
              <w:t>(Avg. Price) x (Sales to parent)</w:t>
            </w:r>
          </w:p>
          <w:p w:rsidR="004F391C" w:rsidRPr="002438D2" w:rsidRDefault="004F391C" w:rsidP="004F391C">
            <w:pPr>
              <w:spacing w:line="276" w:lineRule="auto"/>
              <w:rPr>
                <w:rFonts w:ascii="Calibri" w:hAnsi="Calibri" w:cs="Times New Roman"/>
                <w:sz w:val="20"/>
                <w:szCs w:val="20"/>
              </w:rPr>
            </w:pPr>
            <w:r w:rsidRPr="002438D2">
              <w:rPr>
                <w:rFonts w:ascii="Calibri" w:hAnsi="Calibri" w:cs="Times New Roman"/>
                <w:sz w:val="20"/>
                <w:szCs w:val="20"/>
              </w:rPr>
              <w:t xml:space="preserve">where Avg. Price = sum(Sales to parent rev) / sum(sales to parent) by State, County and </w:t>
            </w:r>
            <w:r w:rsidR="00566CA5">
              <w:rPr>
                <w:rFonts w:ascii="Calibri" w:hAnsi="Calibri" w:cs="Times New Roman"/>
                <w:sz w:val="20"/>
                <w:szCs w:val="20"/>
              </w:rPr>
              <w:t xml:space="preserve">Mine </w:t>
            </w:r>
            <w:r w:rsidRPr="002438D2">
              <w:rPr>
                <w:rFonts w:ascii="Calibri" w:hAnsi="Calibri" w:cs="Times New Roman"/>
                <w:sz w:val="20"/>
                <w:szCs w:val="20"/>
              </w:rPr>
              <w:t>type [3]</w:t>
            </w:r>
          </w:p>
        </w:tc>
      </w:tr>
      <w:tr w:rsidR="004F391C" w:rsidRPr="002438D2" w:rsidTr="00555F3E">
        <w:tc>
          <w:tcPr>
            <w:tcW w:w="3590" w:type="dxa"/>
            <w:vAlign w:val="center"/>
          </w:tcPr>
          <w:p w:rsidR="004F391C" w:rsidRPr="002438D2" w:rsidRDefault="004F391C" w:rsidP="004F391C">
            <w:pPr>
              <w:spacing w:before="60" w:after="60" w:line="240" w:lineRule="auto"/>
              <w:rPr>
                <w:rFonts w:ascii="Calibri" w:hAnsi="Calibri" w:cs="Times New Roman"/>
                <w:sz w:val="20"/>
                <w:szCs w:val="20"/>
              </w:rPr>
            </w:pPr>
            <w:r w:rsidRPr="002438D2">
              <w:rPr>
                <w:rFonts w:ascii="Calibri" w:hAnsi="Calibri" w:cs="Times New Roman"/>
                <w:sz w:val="20"/>
                <w:szCs w:val="20"/>
              </w:rPr>
              <w:t>Sales to Other Mines (revenue)</w:t>
            </w:r>
          </w:p>
        </w:tc>
        <w:tc>
          <w:tcPr>
            <w:tcW w:w="6665" w:type="dxa"/>
            <w:gridSpan w:val="2"/>
            <w:vAlign w:val="center"/>
          </w:tcPr>
          <w:p w:rsidR="004F391C" w:rsidRPr="002438D2" w:rsidRDefault="004F391C" w:rsidP="004F391C">
            <w:pPr>
              <w:spacing w:line="276" w:lineRule="auto"/>
              <w:rPr>
                <w:rFonts w:ascii="Calibri" w:hAnsi="Calibri" w:cs="Times New Roman"/>
                <w:sz w:val="20"/>
                <w:szCs w:val="20"/>
              </w:rPr>
            </w:pPr>
            <w:r w:rsidRPr="002438D2">
              <w:rPr>
                <w:rFonts w:ascii="Calibri" w:hAnsi="Calibri" w:cs="Times New Roman"/>
                <w:sz w:val="20"/>
                <w:szCs w:val="20"/>
              </w:rPr>
              <w:t>(Avg. Price) x (Sales to mines)</w:t>
            </w:r>
          </w:p>
          <w:p w:rsidR="004F391C" w:rsidRPr="002438D2" w:rsidRDefault="004F391C" w:rsidP="004F391C">
            <w:pPr>
              <w:spacing w:line="276" w:lineRule="auto"/>
              <w:rPr>
                <w:rFonts w:ascii="Calibri" w:hAnsi="Calibri" w:cs="Times New Roman"/>
                <w:sz w:val="20"/>
                <w:szCs w:val="20"/>
              </w:rPr>
            </w:pPr>
            <w:r w:rsidRPr="002438D2">
              <w:rPr>
                <w:rFonts w:ascii="Calibri" w:hAnsi="Calibri" w:cs="Times New Roman"/>
                <w:sz w:val="20"/>
                <w:szCs w:val="20"/>
              </w:rPr>
              <w:t xml:space="preserve">where Avg. Price = sum(Sales to mines rev) / sum(sales to mines) by State, County and </w:t>
            </w:r>
            <w:r w:rsidR="00566CA5">
              <w:rPr>
                <w:rFonts w:ascii="Calibri" w:hAnsi="Calibri" w:cs="Times New Roman"/>
                <w:sz w:val="20"/>
                <w:szCs w:val="20"/>
              </w:rPr>
              <w:t xml:space="preserve">Mine </w:t>
            </w:r>
            <w:r w:rsidRPr="002438D2">
              <w:rPr>
                <w:rFonts w:ascii="Calibri" w:hAnsi="Calibri" w:cs="Times New Roman"/>
                <w:sz w:val="20"/>
                <w:szCs w:val="20"/>
              </w:rPr>
              <w:t>type [4]</w:t>
            </w:r>
          </w:p>
        </w:tc>
      </w:tr>
      <w:tr w:rsidR="004F391C" w:rsidRPr="002438D2" w:rsidTr="00555F3E">
        <w:tc>
          <w:tcPr>
            <w:tcW w:w="3590" w:type="dxa"/>
            <w:vAlign w:val="center"/>
          </w:tcPr>
          <w:p w:rsidR="004F391C" w:rsidRPr="002438D2" w:rsidRDefault="004F391C" w:rsidP="004F391C">
            <w:pPr>
              <w:spacing w:line="276" w:lineRule="auto"/>
              <w:rPr>
                <w:rFonts w:ascii="Calibri" w:hAnsi="Calibri" w:cs="Times New Roman"/>
                <w:sz w:val="20"/>
                <w:szCs w:val="20"/>
              </w:rPr>
            </w:pPr>
            <w:r w:rsidRPr="002438D2">
              <w:rPr>
                <w:rFonts w:ascii="Calibri" w:hAnsi="Calibri" w:cs="Times New Roman"/>
                <w:sz w:val="20"/>
                <w:szCs w:val="20"/>
              </w:rPr>
              <w:t>Productive Capacity (tons)</w:t>
            </w:r>
          </w:p>
        </w:tc>
        <w:tc>
          <w:tcPr>
            <w:tcW w:w="6665" w:type="dxa"/>
            <w:gridSpan w:val="2"/>
            <w:vAlign w:val="center"/>
          </w:tcPr>
          <w:p w:rsidR="004F391C" w:rsidRPr="002438D2" w:rsidRDefault="004F391C" w:rsidP="004F391C">
            <w:pPr>
              <w:spacing w:line="276" w:lineRule="auto"/>
              <w:rPr>
                <w:rFonts w:ascii="Calibri" w:hAnsi="Calibri" w:cs="Times New Roman"/>
                <w:sz w:val="20"/>
                <w:szCs w:val="20"/>
              </w:rPr>
            </w:pPr>
            <w:r w:rsidRPr="002438D2">
              <w:rPr>
                <w:rFonts w:ascii="Calibri" w:hAnsi="Calibri" w:cs="Times New Roman"/>
                <w:sz w:val="20"/>
                <w:szCs w:val="20"/>
              </w:rPr>
              <w:t>Set equal to actual production recorded by MSHA [2]</w:t>
            </w:r>
          </w:p>
        </w:tc>
      </w:tr>
      <w:tr w:rsidR="004F391C" w:rsidRPr="002438D2" w:rsidTr="00555F3E">
        <w:tc>
          <w:tcPr>
            <w:tcW w:w="10255" w:type="dxa"/>
            <w:gridSpan w:val="3"/>
          </w:tcPr>
          <w:p w:rsidR="004F391C" w:rsidRPr="002438D2" w:rsidRDefault="004F391C" w:rsidP="004F391C">
            <w:pPr>
              <w:spacing w:line="276" w:lineRule="auto"/>
              <w:rPr>
                <w:rFonts w:ascii="Calibri" w:hAnsi="Calibri" w:cs="Times New Roman"/>
                <w:sz w:val="20"/>
                <w:szCs w:val="20"/>
              </w:rPr>
            </w:pPr>
          </w:p>
        </w:tc>
      </w:tr>
      <w:tr w:rsidR="004F391C" w:rsidRPr="002438D2" w:rsidTr="00555F3E">
        <w:tc>
          <w:tcPr>
            <w:tcW w:w="10255" w:type="dxa"/>
            <w:gridSpan w:val="3"/>
          </w:tcPr>
          <w:p w:rsidR="004F391C" w:rsidRPr="002438D2" w:rsidRDefault="004F391C" w:rsidP="004F391C">
            <w:pPr>
              <w:spacing w:line="276" w:lineRule="auto"/>
              <w:rPr>
                <w:rFonts w:ascii="Calibri" w:hAnsi="Calibri" w:cs="Times New Roman"/>
                <w:sz w:val="20"/>
                <w:szCs w:val="20"/>
              </w:rPr>
            </w:pPr>
            <w:r w:rsidRPr="002438D2">
              <w:rPr>
                <w:rFonts w:ascii="Calibri" w:hAnsi="Calibri" w:cs="Times New Roman"/>
                <w:sz w:val="20"/>
                <w:szCs w:val="20"/>
              </w:rPr>
              <w:t>Notes:</w:t>
            </w:r>
          </w:p>
          <w:p w:rsidR="004F391C" w:rsidRPr="002438D2" w:rsidRDefault="004F391C" w:rsidP="004F391C">
            <w:pPr>
              <w:spacing w:before="60" w:after="60" w:line="240" w:lineRule="auto"/>
              <w:rPr>
                <w:rFonts w:ascii="Calibri" w:hAnsi="Calibri" w:cs="Times New Roman"/>
                <w:sz w:val="20"/>
                <w:szCs w:val="20"/>
              </w:rPr>
            </w:pPr>
            <w:r w:rsidRPr="002438D2">
              <w:rPr>
                <w:rFonts w:ascii="Calibri" w:hAnsi="Calibri" w:cs="Times New Roman"/>
                <w:sz w:val="20"/>
                <w:szCs w:val="20"/>
              </w:rPr>
              <w:t>[1] EIA is proposing to remove this variable from the survey form due to the results of cognitive testing.</w:t>
            </w:r>
          </w:p>
          <w:p w:rsidR="004F391C" w:rsidRPr="002438D2" w:rsidRDefault="004F391C" w:rsidP="004F391C">
            <w:pPr>
              <w:spacing w:before="60" w:after="60" w:line="240" w:lineRule="auto"/>
              <w:rPr>
                <w:rFonts w:ascii="Calibri" w:hAnsi="Calibri" w:cs="Times New Roman"/>
                <w:sz w:val="20"/>
                <w:szCs w:val="20"/>
              </w:rPr>
            </w:pPr>
            <w:r w:rsidRPr="002438D2">
              <w:rPr>
                <w:rFonts w:ascii="Calibri" w:hAnsi="Calibri" w:cs="Times New Roman"/>
                <w:sz w:val="20"/>
                <w:szCs w:val="20"/>
              </w:rPr>
              <w:lastRenderedPageBreak/>
              <w:t>[2] The Mining Health and Safety Administration (MSHA) provides EIA with preliminary data on production by mine and mining method (e.g., surface, underground).</w:t>
            </w:r>
          </w:p>
          <w:p w:rsidR="004F391C" w:rsidRPr="002438D2" w:rsidRDefault="004F391C" w:rsidP="004F391C">
            <w:pPr>
              <w:spacing w:before="60" w:after="60" w:line="240" w:lineRule="auto"/>
              <w:rPr>
                <w:rFonts w:ascii="Calibri" w:hAnsi="Calibri" w:cs="Times New Roman"/>
                <w:sz w:val="20"/>
                <w:szCs w:val="20"/>
              </w:rPr>
            </w:pPr>
            <w:r w:rsidRPr="002438D2">
              <w:rPr>
                <w:rFonts w:ascii="Calibri" w:hAnsi="Calibri" w:cs="Times New Roman"/>
                <w:sz w:val="20"/>
                <w:szCs w:val="20"/>
              </w:rPr>
              <w:t>[3] This estimate of sales revenue is applied if Sales to Parent (tons) has been reported by the respondent.  If this value has not been reported the revenue value is set to null.</w:t>
            </w:r>
          </w:p>
          <w:p w:rsidR="004F391C" w:rsidRPr="002438D2" w:rsidRDefault="004F391C" w:rsidP="004F391C">
            <w:pPr>
              <w:spacing w:before="60" w:after="60" w:line="240" w:lineRule="auto"/>
              <w:rPr>
                <w:rFonts w:ascii="Calibri" w:hAnsi="Calibri" w:cs="Times New Roman"/>
                <w:sz w:val="20"/>
                <w:szCs w:val="20"/>
              </w:rPr>
            </w:pPr>
            <w:r w:rsidRPr="002438D2">
              <w:rPr>
                <w:rFonts w:ascii="Calibri" w:hAnsi="Calibri" w:cs="Times New Roman"/>
                <w:sz w:val="20"/>
                <w:szCs w:val="20"/>
              </w:rPr>
              <w:t>[4] This estimate of sales revenue is applied if Sales to Other Mines (tons) has been reported by the respondent.  If this value has not been reported the revenue value is set to null.</w:t>
            </w:r>
          </w:p>
        </w:tc>
      </w:tr>
    </w:tbl>
    <w:p w:rsidR="002438D2" w:rsidRPr="002438D2" w:rsidRDefault="002438D2" w:rsidP="002438D2">
      <w:pPr>
        <w:spacing w:before="120" w:after="120" w:line="276" w:lineRule="auto"/>
        <w:rPr>
          <w:rFonts w:ascii="Calibri" w:eastAsia="Times New Roman" w:hAnsi="Calibri" w:cs="Times New Roman"/>
          <w:szCs w:val="20"/>
        </w:rPr>
      </w:pPr>
    </w:p>
    <w:p w:rsidR="00232667" w:rsidRDefault="00232667" w:rsidP="00232667">
      <w:pPr>
        <w:tabs>
          <w:tab w:val="left" w:pos="720"/>
        </w:tabs>
        <w:autoSpaceDE w:val="0"/>
        <w:autoSpaceDN w:val="0"/>
        <w:adjustRightInd w:val="0"/>
        <w:spacing w:after="0"/>
      </w:pPr>
      <w:r>
        <w:t xml:space="preserve">Imputation methods on the 7A include substituting or adjusting prior year data for many of variables.  For other variables, MSHA data are used as the imputed values.  Finally, an average price of coal is estimated and is multiplied by sales to impute for missing revenue. </w:t>
      </w:r>
    </w:p>
    <w:p w:rsidR="006C4CB2" w:rsidRDefault="006C4CB2" w:rsidP="00232667">
      <w:pPr>
        <w:tabs>
          <w:tab w:val="left" w:pos="720"/>
        </w:tabs>
        <w:autoSpaceDE w:val="0"/>
        <w:autoSpaceDN w:val="0"/>
        <w:adjustRightInd w:val="0"/>
        <w:spacing w:after="0"/>
      </w:pPr>
    </w:p>
    <w:p w:rsidR="002438D2" w:rsidRPr="003E39E5" w:rsidRDefault="002438D2" w:rsidP="003E39E5">
      <w:pPr>
        <w:tabs>
          <w:tab w:val="left" w:pos="720"/>
        </w:tabs>
        <w:autoSpaceDE w:val="0"/>
        <w:autoSpaceDN w:val="0"/>
        <w:adjustRightInd w:val="0"/>
        <w:spacing w:after="0"/>
      </w:pPr>
      <w:r w:rsidRPr="003E39E5">
        <w:t>Out of 1</w:t>
      </w:r>
      <w:r w:rsidR="00566CA5">
        <w:t>,</w:t>
      </w:r>
      <w:r w:rsidRPr="003E39E5">
        <w:t xml:space="preserve">160 records for 7A in 2015, 91 have imputed sales, 287 have imputed capacity, and 72 have imputed reserves. All three fields are imputed for 72 respondents.  </w:t>
      </w:r>
    </w:p>
    <w:p w:rsidR="007E53C4" w:rsidRDefault="00612593" w:rsidP="00A84D6B">
      <w:pPr>
        <w:pStyle w:val="Heading2"/>
      </w:pPr>
      <w:bookmarkStart w:id="6" w:name="_Toc475459541"/>
      <w:r>
        <w:t>B</w:t>
      </w:r>
      <w:r w:rsidR="00566CA5">
        <w:t>.</w:t>
      </w:r>
      <w:r w:rsidR="00E6220E">
        <w:t>3</w:t>
      </w:r>
      <w:r w:rsidR="00A41763" w:rsidRPr="00A41763">
        <w:t xml:space="preserve">. </w:t>
      </w:r>
      <w:r w:rsidR="007E53C4">
        <w:t>Maximizing Response Rates</w:t>
      </w:r>
      <w:bookmarkEnd w:id="6"/>
    </w:p>
    <w:p w:rsidR="00DE0681" w:rsidRDefault="00DE0681" w:rsidP="00DE0681">
      <w:r w:rsidRPr="008A30CF">
        <w:t xml:space="preserve">To help ensure maximum response, EIA uses a </w:t>
      </w:r>
      <w:r>
        <w:t xml:space="preserve">multiple stage </w:t>
      </w:r>
      <w:r w:rsidRPr="008A30CF">
        <w:t>approach</w:t>
      </w:r>
      <w:r>
        <w:t>.</w:t>
      </w:r>
      <w:r w:rsidRPr="004B6A74">
        <w:t xml:space="preserve"> </w:t>
      </w:r>
      <w:r>
        <w:t xml:space="preserve">Before the due date, </w:t>
      </w:r>
      <w:r w:rsidR="00E00A12">
        <w:t xml:space="preserve">an </w:t>
      </w:r>
      <w:r>
        <w:t xml:space="preserve">email and phone message are sent to remind respondents of </w:t>
      </w:r>
      <w:r w:rsidR="00B10B00">
        <w:t xml:space="preserve">the </w:t>
      </w:r>
      <w:r>
        <w:t xml:space="preserve">upcoming submission and </w:t>
      </w:r>
      <w:r w:rsidR="00B10B00">
        <w:t xml:space="preserve">to </w:t>
      </w:r>
      <w:r>
        <w:t>provide assistance if needed. Once the due date is passed</w:t>
      </w:r>
      <w:r w:rsidR="004B2747">
        <w:t>,</w:t>
      </w:r>
      <w:r>
        <w:t xml:space="preserve"> EIA continues to contact respondents via email and phone to indicate the overdue survey form and encourage response. If a respondent still does not submit the form, the survey manage</w:t>
      </w:r>
      <w:r w:rsidR="00E00A12">
        <w:t>r</w:t>
      </w:r>
      <w:r>
        <w:t xml:space="preserve"> will contact respondents and their supervisor</w:t>
      </w:r>
      <w:r w:rsidR="00B10B00">
        <w:t>s</w:t>
      </w:r>
      <w:r>
        <w:t xml:space="preserve"> </w:t>
      </w:r>
      <w:r w:rsidR="00E00A12">
        <w:t>t</w:t>
      </w:r>
      <w:r>
        <w:t>o encourage response. Finally, EIA send</w:t>
      </w:r>
      <w:r w:rsidR="00E00A12">
        <w:t>s</w:t>
      </w:r>
      <w:r>
        <w:t xml:space="preserve"> a noncompliance letter requesting submission by a specific date. </w:t>
      </w:r>
      <w:r w:rsidRPr="008A30CF">
        <w:t xml:space="preserve">Approximately 7 to 10 business days before the end of the reporting period, respondents on the latest respondent list are sent an email inquiring whether they will submit, or if not, to reply with the name, telephone number and e-mail address of the new </w:t>
      </w:r>
      <w:r w:rsidR="00B10B00">
        <w:t>submitter</w:t>
      </w:r>
      <w:r w:rsidRPr="008A30CF">
        <w:t xml:space="preserve">.  This advance query helps EIA keep its list of e-mail addresses and names current.  It is important to keep email addresses </w:t>
      </w:r>
      <w:r w:rsidR="00A84D6B">
        <w:t>current</w:t>
      </w:r>
      <w:r w:rsidRPr="008A30CF">
        <w:t xml:space="preserve"> because most communication</w:t>
      </w:r>
      <w:r w:rsidR="00A84D6B">
        <w:t xml:space="preserve"> with survey respondents</w:t>
      </w:r>
      <w:r w:rsidRPr="008A30CF">
        <w:t xml:space="preserve"> is done via email messages.  </w:t>
      </w:r>
    </w:p>
    <w:p w:rsidR="00DE0681" w:rsidRPr="008A30CF" w:rsidRDefault="00DE0681" w:rsidP="00DE0681">
      <w:r>
        <w:t>Procedures specific to each survey are presented below:</w:t>
      </w:r>
    </w:p>
    <w:p w:rsidR="00DE0681" w:rsidRPr="00FA29DA" w:rsidRDefault="00DE0681" w:rsidP="00A33699">
      <w:pPr>
        <w:ind w:left="720"/>
      </w:pPr>
      <w:r w:rsidRPr="00A33699">
        <w:rPr>
          <w:b/>
        </w:rPr>
        <w:t>Form EIA-3 quarterly survey</w:t>
      </w:r>
      <w:r>
        <w:t>:</w:t>
      </w:r>
      <w:r w:rsidRPr="004B6A74">
        <w:t xml:space="preserve">  </w:t>
      </w:r>
      <w:r w:rsidRPr="00FA29DA">
        <w:t xml:space="preserve">Respondents are expected to submit Form EIA-3 no later than </w:t>
      </w:r>
      <w:r w:rsidRPr="00A33699">
        <w:rPr>
          <w:bCs/>
        </w:rPr>
        <w:t xml:space="preserve">30 days </w:t>
      </w:r>
      <w:r w:rsidRPr="00FA29DA">
        <w:t>after the end of a calendar quarter.  If respondents are delayed in submitting their survey(s), emails are used to notify non-respondents on a weekly basis for the first three weeks following the survey due date.  For those surveys that are still outstanding after this three-week</w:t>
      </w:r>
      <w:r w:rsidR="004558F4">
        <w:t xml:space="preserve"> period</w:t>
      </w:r>
      <w:r w:rsidRPr="00FA29DA">
        <w:t xml:space="preserve">, </w:t>
      </w:r>
      <w:r w:rsidR="004B2747">
        <w:t>a</w:t>
      </w:r>
      <w:r w:rsidRPr="00FA29DA">
        <w:t xml:space="preserve"> survey staff </w:t>
      </w:r>
      <w:r w:rsidR="004B2747">
        <w:t xml:space="preserve">member </w:t>
      </w:r>
      <w:r w:rsidRPr="00FA29DA">
        <w:t xml:space="preserve">will begin making calls and </w:t>
      </w:r>
      <w:r w:rsidR="00B10B00">
        <w:t xml:space="preserve">sending </w:t>
      </w:r>
      <w:r w:rsidRPr="00FA29DA">
        <w:t xml:space="preserve">emails to the survey </w:t>
      </w:r>
      <w:r w:rsidR="00B10B00">
        <w:t>submitters</w:t>
      </w:r>
      <w:r w:rsidR="004B2747">
        <w:t xml:space="preserve"> and </w:t>
      </w:r>
      <w:r w:rsidRPr="00FA29DA">
        <w:t>their super</w:t>
      </w:r>
      <w:r w:rsidR="00B10B00">
        <w:t>visors</w:t>
      </w:r>
      <w:r w:rsidRPr="00FA29DA">
        <w:t>, to increase awareness about the delinquent survey.  Finally, noncompliance letters will be sent requiring respondents to submit by a specified date.</w:t>
      </w:r>
    </w:p>
    <w:p w:rsidR="00DE0681" w:rsidRDefault="00DE0681" w:rsidP="00DE0681">
      <w:pPr>
        <w:pStyle w:val="Default"/>
        <w:ind w:left="720"/>
        <w:rPr>
          <w:rFonts w:asciiTheme="minorHAnsi" w:hAnsiTheme="minorHAnsi" w:cs="Times New Roman"/>
          <w:color w:val="auto"/>
          <w:sz w:val="22"/>
          <w:szCs w:val="22"/>
        </w:rPr>
      </w:pPr>
      <w:r w:rsidRPr="004B6A74">
        <w:rPr>
          <w:rFonts w:asciiTheme="minorHAnsi" w:hAnsiTheme="minorHAnsi" w:cs="Times New Roman"/>
          <w:b/>
          <w:color w:val="auto"/>
          <w:sz w:val="22"/>
          <w:szCs w:val="22"/>
        </w:rPr>
        <w:t>Forms EIA-7A and EIA-8A annual surveys</w:t>
      </w:r>
      <w:r>
        <w:rPr>
          <w:rFonts w:asciiTheme="minorHAnsi" w:hAnsiTheme="minorHAnsi" w:cs="Times New Roman"/>
          <w:color w:val="auto"/>
          <w:sz w:val="22"/>
          <w:szCs w:val="22"/>
        </w:rPr>
        <w:t xml:space="preserve">:  </w:t>
      </w:r>
      <w:r w:rsidRPr="00FA29DA">
        <w:rPr>
          <w:rFonts w:asciiTheme="minorHAnsi" w:hAnsiTheme="minorHAnsi" w:cs="Times New Roman"/>
          <w:color w:val="auto"/>
          <w:sz w:val="22"/>
          <w:szCs w:val="22"/>
        </w:rPr>
        <w:t xml:space="preserve">Respondents of Forms EIA-7A and EIA-8A must submit completed forms no later than </w:t>
      </w:r>
      <w:r w:rsidRPr="00FA29DA">
        <w:rPr>
          <w:rFonts w:asciiTheme="minorHAnsi" w:hAnsiTheme="minorHAnsi" w:cs="Times New Roman"/>
          <w:bCs/>
          <w:color w:val="auto"/>
          <w:sz w:val="22"/>
          <w:szCs w:val="22"/>
        </w:rPr>
        <w:t>April 1</w:t>
      </w:r>
      <w:r w:rsidRPr="00FA29DA">
        <w:rPr>
          <w:rFonts w:asciiTheme="minorHAnsi" w:hAnsiTheme="minorHAnsi" w:cs="Times New Roman"/>
          <w:b/>
          <w:bCs/>
          <w:color w:val="auto"/>
          <w:sz w:val="22"/>
          <w:szCs w:val="22"/>
        </w:rPr>
        <w:t xml:space="preserve"> </w:t>
      </w:r>
      <w:r w:rsidRPr="00FA29DA">
        <w:rPr>
          <w:rFonts w:asciiTheme="minorHAnsi" w:hAnsiTheme="minorHAnsi" w:cs="Times New Roman"/>
          <w:color w:val="auto"/>
          <w:sz w:val="22"/>
          <w:szCs w:val="22"/>
        </w:rPr>
        <w:t xml:space="preserve">of the year following the reporting year.  If respondents are delayed in submitting their survey(s), emails are used to notify non-respondents.  For </w:t>
      </w:r>
      <w:r w:rsidRPr="00FA29DA">
        <w:rPr>
          <w:rFonts w:asciiTheme="minorHAnsi" w:hAnsiTheme="minorHAnsi" w:cs="Times New Roman"/>
          <w:color w:val="auto"/>
          <w:sz w:val="22"/>
          <w:szCs w:val="22"/>
        </w:rPr>
        <w:lastRenderedPageBreak/>
        <w:t xml:space="preserve">those surveys that are still outstanding after the email notification period, </w:t>
      </w:r>
      <w:r w:rsidR="004B2747">
        <w:rPr>
          <w:rFonts w:asciiTheme="minorHAnsi" w:hAnsiTheme="minorHAnsi" w:cs="Times New Roman"/>
          <w:color w:val="auto"/>
          <w:sz w:val="22"/>
          <w:szCs w:val="22"/>
        </w:rPr>
        <w:t xml:space="preserve">a </w:t>
      </w:r>
      <w:r w:rsidR="004B2747" w:rsidRPr="00FA29DA">
        <w:rPr>
          <w:rFonts w:asciiTheme="minorHAnsi" w:hAnsiTheme="minorHAnsi" w:cs="Times New Roman"/>
          <w:color w:val="auto"/>
          <w:sz w:val="22"/>
          <w:szCs w:val="22"/>
        </w:rPr>
        <w:t>survey</w:t>
      </w:r>
      <w:r w:rsidRPr="00FA29DA">
        <w:rPr>
          <w:rFonts w:asciiTheme="minorHAnsi" w:hAnsiTheme="minorHAnsi" w:cs="Times New Roman"/>
          <w:color w:val="auto"/>
          <w:sz w:val="22"/>
          <w:szCs w:val="22"/>
        </w:rPr>
        <w:t xml:space="preserve"> staff </w:t>
      </w:r>
      <w:r w:rsidR="004B2747">
        <w:rPr>
          <w:rFonts w:asciiTheme="minorHAnsi" w:hAnsiTheme="minorHAnsi" w:cs="Times New Roman"/>
          <w:color w:val="auto"/>
          <w:sz w:val="22"/>
          <w:szCs w:val="22"/>
        </w:rPr>
        <w:t xml:space="preserve">member </w:t>
      </w:r>
      <w:r w:rsidRPr="00FA29DA">
        <w:rPr>
          <w:rFonts w:asciiTheme="minorHAnsi" w:hAnsiTheme="minorHAnsi" w:cs="Times New Roman"/>
          <w:color w:val="auto"/>
          <w:sz w:val="22"/>
          <w:szCs w:val="22"/>
        </w:rPr>
        <w:t xml:space="preserve">will begin making calls and </w:t>
      </w:r>
      <w:r w:rsidR="00B10B00">
        <w:rPr>
          <w:rFonts w:asciiTheme="minorHAnsi" w:hAnsiTheme="minorHAnsi" w:cs="Times New Roman"/>
          <w:color w:val="auto"/>
          <w:sz w:val="22"/>
          <w:szCs w:val="22"/>
        </w:rPr>
        <w:t xml:space="preserve">sending </w:t>
      </w:r>
      <w:r w:rsidRPr="00FA29DA">
        <w:rPr>
          <w:rFonts w:asciiTheme="minorHAnsi" w:hAnsiTheme="minorHAnsi" w:cs="Times New Roman"/>
          <w:color w:val="auto"/>
          <w:sz w:val="22"/>
          <w:szCs w:val="22"/>
        </w:rPr>
        <w:t xml:space="preserve">emails to the survey </w:t>
      </w:r>
      <w:r w:rsidR="00B10B00">
        <w:rPr>
          <w:rFonts w:asciiTheme="minorHAnsi" w:hAnsiTheme="minorHAnsi" w:cs="Times New Roman"/>
          <w:color w:val="auto"/>
          <w:sz w:val="22"/>
          <w:szCs w:val="22"/>
        </w:rPr>
        <w:t>submitters</w:t>
      </w:r>
      <w:r w:rsidR="004B2747">
        <w:rPr>
          <w:rFonts w:asciiTheme="minorHAnsi" w:hAnsiTheme="minorHAnsi" w:cs="Times New Roman"/>
          <w:color w:val="auto"/>
          <w:sz w:val="22"/>
          <w:szCs w:val="22"/>
        </w:rPr>
        <w:t xml:space="preserve"> and </w:t>
      </w:r>
      <w:r w:rsidRPr="00FA29DA">
        <w:rPr>
          <w:rFonts w:asciiTheme="minorHAnsi" w:hAnsiTheme="minorHAnsi" w:cs="Times New Roman"/>
          <w:color w:val="auto"/>
          <w:sz w:val="22"/>
          <w:szCs w:val="22"/>
        </w:rPr>
        <w:t>their super</w:t>
      </w:r>
      <w:r w:rsidR="00B10B00">
        <w:rPr>
          <w:rFonts w:asciiTheme="minorHAnsi" w:hAnsiTheme="minorHAnsi" w:cs="Times New Roman"/>
          <w:color w:val="auto"/>
          <w:sz w:val="22"/>
          <w:szCs w:val="22"/>
        </w:rPr>
        <w:t>visors</w:t>
      </w:r>
      <w:r w:rsidRPr="00FA29DA">
        <w:rPr>
          <w:rFonts w:asciiTheme="minorHAnsi" w:hAnsiTheme="minorHAnsi" w:cs="Times New Roman"/>
          <w:color w:val="auto"/>
          <w:sz w:val="22"/>
          <w:szCs w:val="22"/>
        </w:rPr>
        <w:t xml:space="preserve">, to increase awareness about the delinquent survey.  Finally, noncompliance letters will be sent requiring respondents to submit by a specified date. More </w:t>
      </w:r>
      <w:r>
        <w:rPr>
          <w:rFonts w:asciiTheme="minorHAnsi" w:hAnsiTheme="minorHAnsi" w:cs="Times New Roman"/>
          <w:color w:val="auto"/>
          <w:sz w:val="22"/>
          <w:szCs w:val="22"/>
        </w:rPr>
        <w:t xml:space="preserve">attention </w:t>
      </w:r>
      <w:r w:rsidRPr="00FA29DA">
        <w:rPr>
          <w:rFonts w:asciiTheme="minorHAnsi" w:hAnsiTheme="minorHAnsi" w:cs="Times New Roman"/>
          <w:color w:val="auto"/>
          <w:sz w:val="22"/>
          <w:szCs w:val="22"/>
        </w:rPr>
        <w:t xml:space="preserve">is given to large coal mines </w:t>
      </w:r>
      <w:r w:rsidR="004B2747">
        <w:rPr>
          <w:rFonts w:asciiTheme="minorHAnsi" w:hAnsiTheme="minorHAnsi" w:cs="Times New Roman"/>
          <w:color w:val="auto"/>
          <w:sz w:val="22"/>
          <w:szCs w:val="22"/>
        </w:rPr>
        <w:t>that</w:t>
      </w:r>
      <w:r w:rsidR="004B2747" w:rsidRPr="00FA29DA">
        <w:rPr>
          <w:rFonts w:asciiTheme="minorHAnsi" w:hAnsiTheme="minorHAnsi" w:cs="Times New Roman"/>
          <w:color w:val="auto"/>
          <w:sz w:val="22"/>
          <w:szCs w:val="22"/>
        </w:rPr>
        <w:t xml:space="preserve"> </w:t>
      </w:r>
      <w:r w:rsidRPr="00FA29DA">
        <w:rPr>
          <w:rFonts w:asciiTheme="minorHAnsi" w:hAnsiTheme="minorHAnsi" w:cs="Times New Roman"/>
          <w:color w:val="auto"/>
          <w:sz w:val="22"/>
          <w:szCs w:val="22"/>
        </w:rPr>
        <w:t xml:space="preserve">report on the EIA-7A so as to increase production coverage.   </w:t>
      </w:r>
    </w:p>
    <w:p w:rsidR="001E09A3" w:rsidRPr="00FA29DA" w:rsidRDefault="001E09A3" w:rsidP="00DE0681">
      <w:pPr>
        <w:pStyle w:val="Default"/>
        <w:ind w:left="720"/>
        <w:rPr>
          <w:rFonts w:asciiTheme="minorHAnsi" w:hAnsiTheme="minorHAnsi" w:cs="Times New Roman"/>
          <w:sz w:val="22"/>
          <w:szCs w:val="22"/>
        </w:rPr>
      </w:pPr>
    </w:p>
    <w:p w:rsidR="00DE0681" w:rsidRDefault="00DE0681" w:rsidP="00DE0681">
      <w:pPr>
        <w:autoSpaceDE w:val="0"/>
        <w:autoSpaceDN w:val="0"/>
        <w:adjustRightInd w:val="0"/>
        <w:spacing w:after="0" w:line="240" w:lineRule="auto"/>
      </w:pPr>
      <w:r>
        <w:t>Recent response rate statistics for the surveys are shown below in Table B</w:t>
      </w:r>
      <w:r w:rsidR="002438D2">
        <w:t>4</w:t>
      </w:r>
      <w:r>
        <w:t>:</w:t>
      </w:r>
    </w:p>
    <w:p w:rsidR="00DE0681" w:rsidRDefault="00DE0681" w:rsidP="00DE0681">
      <w:pPr>
        <w:autoSpaceDE w:val="0"/>
        <w:autoSpaceDN w:val="0"/>
        <w:adjustRightInd w:val="0"/>
        <w:spacing w:after="0" w:line="240" w:lineRule="auto"/>
      </w:pPr>
    </w:p>
    <w:p w:rsidR="00DE0681" w:rsidRDefault="00DE0681" w:rsidP="00DE0681">
      <w:pPr>
        <w:autoSpaceDE w:val="0"/>
        <w:autoSpaceDN w:val="0"/>
        <w:adjustRightInd w:val="0"/>
        <w:spacing w:after="0" w:line="240" w:lineRule="auto"/>
      </w:pPr>
    </w:p>
    <w:p w:rsidR="002438D2" w:rsidRDefault="002438D2" w:rsidP="00DE0681">
      <w:pPr>
        <w:autoSpaceDE w:val="0"/>
        <w:autoSpaceDN w:val="0"/>
        <w:adjustRightInd w:val="0"/>
        <w:spacing w:after="0" w:line="240" w:lineRule="auto"/>
      </w:pPr>
    </w:p>
    <w:p w:rsidR="002438D2" w:rsidRDefault="002438D2" w:rsidP="00DE0681">
      <w:pPr>
        <w:autoSpaceDE w:val="0"/>
        <w:autoSpaceDN w:val="0"/>
        <w:adjustRightInd w:val="0"/>
        <w:spacing w:after="0" w:line="240" w:lineRule="auto"/>
      </w:pPr>
    </w:p>
    <w:p w:rsidR="002438D2" w:rsidRDefault="002438D2" w:rsidP="00DE0681">
      <w:pPr>
        <w:autoSpaceDE w:val="0"/>
        <w:autoSpaceDN w:val="0"/>
        <w:adjustRightInd w:val="0"/>
        <w:spacing w:after="0" w:line="240" w:lineRule="auto"/>
      </w:pPr>
    </w:p>
    <w:p w:rsidR="002438D2" w:rsidRDefault="002438D2" w:rsidP="00DE0681">
      <w:pPr>
        <w:autoSpaceDE w:val="0"/>
        <w:autoSpaceDN w:val="0"/>
        <w:adjustRightInd w:val="0"/>
        <w:spacing w:after="0" w:line="240" w:lineRule="auto"/>
      </w:pPr>
    </w:p>
    <w:tbl>
      <w:tblPr>
        <w:tblW w:w="9360" w:type="dxa"/>
        <w:jc w:val="center"/>
        <w:tblLayout w:type="fixed"/>
        <w:tblLook w:val="04A0" w:firstRow="1" w:lastRow="0" w:firstColumn="1" w:lastColumn="0" w:noHBand="0" w:noVBand="1"/>
      </w:tblPr>
      <w:tblGrid>
        <w:gridCol w:w="5400"/>
        <w:gridCol w:w="1890"/>
        <w:gridCol w:w="2070"/>
      </w:tblGrid>
      <w:tr w:rsidR="00DE0681" w:rsidRPr="000257EB" w:rsidTr="00DE0681">
        <w:trPr>
          <w:trHeight w:val="360"/>
          <w:jc w:val="center"/>
        </w:trPr>
        <w:tc>
          <w:tcPr>
            <w:tcW w:w="9360" w:type="dxa"/>
            <w:gridSpan w:val="3"/>
            <w:tcBorders>
              <w:top w:val="nil"/>
              <w:left w:val="nil"/>
              <w:bottom w:val="single" w:sz="4" w:space="0" w:color="auto"/>
              <w:right w:val="nil"/>
            </w:tcBorders>
            <w:shd w:val="clear" w:color="auto" w:fill="auto"/>
            <w:hideMark/>
          </w:tcPr>
          <w:p w:rsidR="00DE0681" w:rsidRPr="000257EB" w:rsidRDefault="00DE0681" w:rsidP="00612593">
            <w:pPr>
              <w:spacing w:before="120" w:after="120" w:line="240" w:lineRule="auto"/>
              <w:jc w:val="center"/>
              <w:rPr>
                <w:rFonts w:cs="Arial"/>
                <w:b/>
                <w:bCs/>
                <w:color w:val="0080BD"/>
                <w:sz w:val="28"/>
                <w:szCs w:val="28"/>
              </w:rPr>
            </w:pPr>
            <w:r>
              <w:rPr>
                <w:rFonts w:cs="Arial"/>
                <w:b/>
                <w:bCs/>
                <w:color w:val="0080BD"/>
                <w:sz w:val="28"/>
                <w:szCs w:val="28"/>
              </w:rPr>
              <w:t xml:space="preserve">Table </w:t>
            </w:r>
            <w:r w:rsidR="00612593">
              <w:rPr>
                <w:rFonts w:cs="Arial"/>
                <w:b/>
                <w:bCs/>
                <w:color w:val="0080BD"/>
                <w:sz w:val="28"/>
                <w:szCs w:val="28"/>
              </w:rPr>
              <w:t>B</w:t>
            </w:r>
            <w:r w:rsidR="002438D2">
              <w:rPr>
                <w:rFonts w:cs="Arial"/>
                <w:b/>
                <w:bCs/>
                <w:color w:val="0080BD"/>
                <w:sz w:val="28"/>
                <w:szCs w:val="28"/>
              </w:rPr>
              <w:t>4</w:t>
            </w:r>
            <w:r w:rsidRPr="000257EB">
              <w:rPr>
                <w:rFonts w:cs="Arial"/>
                <w:b/>
                <w:bCs/>
                <w:color w:val="0080BD"/>
                <w:sz w:val="28"/>
                <w:szCs w:val="28"/>
              </w:rPr>
              <w:t xml:space="preserve">  </w:t>
            </w:r>
            <w:r>
              <w:rPr>
                <w:rFonts w:cs="Arial"/>
                <w:b/>
                <w:bCs/>
                <w:color w:val="0080BD"/>
                <w:sz w:val="28"/>
                <w:szCs w:val="28"/>
              </w:rPr>
              <w:t>Recent Coal Survey Response Rates</w:t>
            </w:r>
          </w:p>
        </w:tc>
      </w:tr>
      <w:tr w:rsidR="00DE0681" w:rsidRPr="000257EB" w:rsidTr="00DE0681">
        <w:trPr>
          <w:trHeight w:val="765"/>
          <w:jc w:val="center"/>
        </w:trPr>
        <w:tc>
          <w:tcPr>
            <w:tcW w:w="5400" w:type="dxa"/>
            <w:tcBorders>
              <w:top w:val="nil"/>
              <w:left w:val="single" w:sz="4" w:space="0" w:color="auto"/>
              <w:bottom w:val="nil"/>
              <w:right w:val="single" w:sz="4" w:space="0" w:color="auto"/>
            </w:tcBorders>
            <w:shd w:val="clear" w:color="auto" w:fill="C4ECFF" w:themeFill="accent1" w:themeFillTint="33"/>
            <w:vAlign w:val="center"/>
            <w:hideMark/>
          </w:tcPr>
          <w:p w:rsidR="00DE0681" w:rsidRPr="000257EB" w:rsidRDefault="00DE0681" w:rsidP="00DE0681">
            <w:pPr>
              <w:spacing w:after="0" w:line="240" w:lineRule="auto"/>
              <w:jc w:val="center"/>
              <w:rPr>
                <w:rFonts w:cs="Arial"/>
                <w:b/>
                <w:bCs/>
              </w:rPr>
            </w:pPr>
            <w:r w:rsidRPr="00DE0681">
              <w:rPr>
                <w:rFonts w:cs="Arial"/>
                <w:b/>
                <w:bCs/>
              </w:rPr>
              <w:t>Survey</w:t>
            </w:r>
          </w:p>
        </w:tc>
        <w:tc>
          <w:tcPr>
            <w:tcW w:w="1890" w:type="dxa"/>
            <w:tcBorders>
              <w:top w:val="nil"/>
              <w:left w:val="nil"/>
              <w:bottom w:val="nil"/>
              <w:right w:val="single" w:sz="4" w:space="0" w:color="auto"/>
            </w:tcBorders>
            <w:shd w:val="clear" w:color="auto" w:fill="C4ECFF" w:themeFill="accent1" w:themeFillTint="33"/>
            <w:vAlign w:val="center"/>
            <w:hideMark/>
          </w:tcPr>
          <w:p w:rsidR="00DE0681" w:rsidRPr="000257EB" w:rsidRDefault="00DE0681" w:rsidP="00DE0681">
            <w:pPr>
              <w:spacing w:after="0" w:line="240" w:lineRule="auto"/>
              <w:jc w:val="center"/>
              <w:rPr>
                <w:rFonts w:cs="Arial"/>
                <w:b/>
                <w:bCs/>
              </w:rPr>
            </w:pPr>
            <w:r w:rsidRPr="00DE0681">
              <w:rPr>
                <w:rFonts w:cs="Arial"/>
                <w:b/>
                <w:bCs/>
              </w:rPr>
              <w:t>Time Period</w:t>
            </w:r>
          </w:p>
        </w:tc>
        <w:tc>
          <w:tcPr>
            <w:tcW w:w="2070" w:type="dxa"/>
            <w:tcBorders>
              <w:top w:val="nil"/>
              <w:left w:val="nil"/>
              <w:bottom w:val="nil"/>
              <w:right w:val="single" w:sz="4" w:space="0" w:color="auto"/>
            </w:tcBorders>
            <w:shd w:val="clear" w:color="auto" w:fill="C4ECFF" w:themeFill="accent1" w:themeFillTint="33"/>
            <w:vAlign w:val="center"/>
            <w:hideMark/>
          </w:tcPr>
          <w:p w:rsidR="00DE0681" w:rsidRPr="00DE0681" w:rsidRDefault="00DE0681" w:rsidP="00DE0681">
            <w:pPr>
              <w:spacing w:after="0" w:line="240" w:lineRule="auto"/>
              <w:jc w:val="center"/>
              <w:rPr>
                <w:rFonts w:cs="Arial"/>
                <w:b/>
                <w:bCs/>
              </w:rPr>
            </w:pPr>
            <w:r w:rsidRPr="00DE0681">
              <w:rPr>
                <w:rFonts w:cs="Arial"/>
                <w:b/>
                <w:bCs/>
              </w:rPr>
              <w:t>Response Rate</w:t>
            </w:r>
          </w:p>
          <w:p w:rsidR="00DE0681" w:rsidRPr="000257EB" w:rsidRDefault="00DE0681" w:rsidP="00DE0681">
            <w:pPr>
              <w:spacing w:after="0" w:line="240" w:lineRule="auto"/>
              <w:jc w:val="center"/>
              <w:rPr>
                <w:rFonts w:cs="Arial"/>
                <w:b/>
                <w:bCs/>
              </w:rPr>
            </w:pPr>
            <w:r w:rsidRPr="00DE0681">
              <w:rPr>
                <w:rFonts w:cs="Arial"/>
                <w:b/>
                <w:bCs/>
              </w:rPr>
              <w:t>(% of Respondents</w:t>
            </w:r>
            <w:r>
              <w:rPr>
                <w:rFonts w:cs="Arial"/>
                <w:b/>
                <w:bCs/>
              </w:rPr>
              <w:t>)</w:t>
            </w:r>
          </w:p>
        </w:tc>
      </w:tr>
      <w:tr w:rsidR="00DE0681" w:rsidRPr="000257EB" w:rsidTr="00DE0681">
        <w:trPr>
          <w:trHeight w:val="510"/>
          <w:jc w:val="center"/>
        </w:trPr>
        <w:tc>
          <w:tcPr>
            <w:tcW w:w="5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681" w:rsidRPr="000257EB" w:rsidRDefault="00DE0681" w:rsidP="00612593">
            <w:pPr>
              <w:spacing w:before="60" w:after="60" w:line="240" w:lineRule="auto"/>
              <w:rPr>
                <w:rFonts w:cs="Arial"/>
                <w:color w:val="000000"/>
              </w:rPr>
            </w:pPr>
            <w:r w:rsidRPr="000257EB">
              <w:rPr>
                <w:rFonts w:cs="Arial"/>
                <w:color w:val="000000"/>
              </w:rPr>
              <w:t xml:space="preserve">EIA-3, Quarterly Survey of </w:t>
            </w:r>
            <w:r w:rsidR="00DF39B8" w:rsidRPr="00DF39B8">
              <w:rPr>
                <w:rFonts w:cs="Arial"/>
                <w:color w:val="000000"/>
              </w:rPr>
              <w:t>Industrial, Commercial, &amp; Institutional Coal Users</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DE0681" w:rsidRPr="000257EB" w:rsidRDefault="00DE0681" w:rsidP="00DE0681">
            <w:pPr>
              <w:spacing w:before="60" w:after="60" w:line="240" w:lineRule="auto"/>
              <w:jc w:val="center"/>
              <w:rPr>
                <w:rFonts w:cs="Arial"/>
                <w:color w:val="000000"/>
              </w:rPr>
            </w:pPr>
            <w:r w:rsidRPr="00DE0681">
              <w:rPr>
                <w:rFonts w:cs="Arial"/>
                <w:color w:val="000000"/>
              </w:rPr>
              <w:t>Third Quarter 2016</w:t>
            </w: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DE0681" w:rsidRPr="000257EB" w:rsidRDefault="009A2388" w:rsidP="00DE0681">
            <w:pPr>
              <w:spacing w:before="60" w:after="60" w:line="240" w:lineRule="auto"/>
              <w:jc w:val="center"/>
              <w:rPr>
                <w:rFonts w:cs="Arial"/>
                <w:color w:val="000000"/>
              </w:rPr>
            </w:pPr>
            <w:r>
              <w:rPr>
                <w:rFonts w:cs="Arial"/>
                <w:color w:val="000000"/>
              </w:rPr>
              <w:t>100%</w:t>
            </w:r>
          </w:p>
        </w:tc>
      </w:tr>
      <w:tr w:rsidR="00DE0681" w:rsidRPr="000257EB" w:rsidTr="00DE0681">
        <w:trPr>
          <w:trHeight w:val="510"/>
          <w:jc w:val="center"/>
        </w:trPr>
        <w:tc>
          <w:tcPr>
            <w:tcW w:w="5400" w:type="dxa"/>
            <w:tcBorders>
              <w:top w:val="nil"/>
              <w:left w:val="single" w:sz="4" w:space="0" w:color="auto"/>
              <w:bottom w:val="single" w:sz="4" w:space="0" w:color="auto"/>
              <w:right w:val="single" w:sz="4" w:space="0" w:color="auto"/>
            </w:tcBorders>
            <w:shd w:val="clear" w:color="auto" w:fill="auto"/>
            <w:vAlign w:val="center"/>
            <w:hideMark/>
          </w:tcPr>
          <w:p w:rsidR="00DE0681" w:rsidRPr="000257EB" w:rsidRDefault="00DE0681" w:rsidP="00DE0681">
            <w:pPr>
              <w:spacing w:before="60" w:after="60" w:line="240" w:lineRule="auto"/>
              <w:rPr>
                <w:rFonts w:cs="Arial"/>
                <w:color w:val="000000"/>
              </w:rPr>
            </w:pPr>
            <w:r w:rsidRPr="000257EB">
              <w:rPr>
                <w:rFonts w:cs="Arial"/>
                <w:color w:val="000000"/>
              </w:rPr>
              <w:t>EIA-7A, Annual Survey of Coal Production and Preparation</w:t>
            </w:r>
          </w:p>
        </w:tc>
        <w:tc>
          <w:tcPr>
            <w:tcW w:w="1890" w:type="dxa"/>
            <w:tcBorders>
              <w:top w:val="nil"/>
              <w:left w:val="nil"/>
              <w:bottom w:val="single" w:sz="4" w:space="0" w:color="auto"/>
              <w:right w:val="single" w:sz="4" w:space="0" w:color="auto"/>
            </w:tcBorders>
            <w:shd w:val="clear" w:color="auto" w:fill="auto"/>
            <w:noWrap/>
            <w:vAlign w:val="center"/>
          </w:tcPr>
          <w:p w:rsidR="00DE0681" w:rsidRPr="000257EB" w:rsidRDefault="00DE0681" w:rsidP="00DE0681">
            <w:pPr>
              <w:spacing w:before="60" w:after="60" w:line="240" w:lineRule="auto"/>
              <w:jc w:val="center"/>
              <w:rPr>
                <w:rFonts w:cs="Arial"/>
                <w:color w:val="000000"/>
              </w:rPr>
            </w:pPr>
            <w:r w:rsidRPr="00DE0681">
              <w:rPr>
                <w:rFonts w:cs="Arial"/>
                <w:color w:val="000000"/>
              </w:rPr>
              <w:t>2015</w:t>
            </w:r>
          </w:p>
        </w:tc>
        <w:tc>
          <w:tcPr>
            <w:tcW w:w="2070" w:type="dxa"/>
            <w:tcBorders>
              <w:top w:val="nil"/>
              <w:left w:val="nil"/>
              <w:bottom w:val="single" w:sz="4" w:space="0" w:color="auto"/>
              <w:right w:val="single" w:sz="4" w:space="0" w:color="auto"/>
            </w:tcBorders>
            <w:shd w:val="clear" w:color="auto" w:fill="auto"/>
            <w:noWrap/>
            <w:vAlign w:val="center"/>
          </w:tcPr>
          <w:p w:rsidR="00DE0681" w:rsidRPr="000257EB" w:rsidRDefault="009A2388" w:rsidP="00DE0681">
            <w:pPr>
              <w:spacing w:before="60" w:after="60" w:line="240" w:lineRule="auto"/>
              <w:jc w:val="center"/>
              <w:rPr>
                <w:rFonts w:cs="Arial"/>
                <w:color w:val="000000"/>
              </w:rPr>
            </w:pPr>
            <w:r>
              <w:rPr>
                <w:rFonts w:cs="Arial"/>
                <w:color w:val="000000"/>
              </w:rPr>
              <w:t>89%</w:t>
            </w:r>
          </w:p>
        </w:tc>
      </w:tr>
      <w:tr w:rsidR="00DE0681" w:rsidRPr="000257EB" w:rsidTr="00DE0681">
        <w:trPr>
          <w:trHeight w:val="510"/>
          <w:jc w:val="center"/>
        </w:trPr>
        <w:tc>
          <w:tcPr>
            <w:tcW w:w="5400" w:type="dxa"/>
            <w:tcBorders>
              <w:top w:val="nil"/>
              <w:left w:val="single" w:sz="4" w:space="0" w:color="auto"/>
              <w:bottom w:val="single" w:sz="4" w:space="0" w:color="auto"/>
              <w:right w:val="single" w:sz="4" w:space="0" w:color="auto"/>
            </w:tcBorders>
            <w:shd w:val="clear" w:color="auto" w:fill="auto"/>
            <w:vAlign w:val="center"/>
            <w:hideMark/>
          </w:tcPr>
          <w:p w:rsidR="00DE0681" w:rsidRPr="000257EB" w:rsidRDefault="00DE0681" w:rsidP="00DE0681">
            <w:pPr>
              <w:spacing w:before="60" w:after="60" w:line="240" w:lineRule="auto"/>
              <w:rPr>
                <w:rFonts w:cs="Arial"/>
                <w:color w:val="000000"/>
              </w:rPr>
            </w:pPr>
            <w:r w:rsidRPr="000257EB">
              <w:rPr>
                <w:rFonts w:cs="Arial"/>
                <w:color w:val="000000"/>
              </w:rPr>
              <w:t>EIA-8A, Annual Survey of Coal Stocks and Coal Exports</w:t>
            </w:r>
          </w:p>
        </w:tc>
        <w:tc>
          <w:tcPr>
            <w:tcW w:w="1890" w:type="dxa"/>
            <w:tcBorders>
              <w:top w:val="nil"/>
              <w:left w:val="nil"/>
              <w:bottom w:val="single" w:sz="4" w:space="0" w:color="auto"/>
              <w:right w:val="single" w:sz="4" w:space="0" w:color="auto"/>
            </w:tcBorders>
            <w:shd w:val="clear" w:color="auto" w:fill="auto"/>
            <w:noWrap/>
            <w:vAlign w:val="center"/>
          </w:tcPr>
          <w:p w:rsidR="00DE0681" w:rsidRPr="000257EB" w:rsidRDefault="00DE0681" w:rsidP="00DE0681">
            <w:pPr>
              <w:spacing w:before="60" w:after="60" w:line="240" w:lineRule="auto"/>
              <w:jc w:val="center"/>
              <w:rPr>
                <w:rFonts w:cs="Arial"/>
                <w:color w:val="000000"/>
              </w:rPr>
            </w:pPr>
            <w:r w:rsidRPr="00DE0681">
              <w:rPr>
                <w:rFonts w:cs="Arial"/>
                <w:color w:val="000000"/>
              </w:rPr>
              <w:t>2015</w:t>
            </w:r>
          </w:p>
        </w:tc>
        <w:tc>
          <w:tcPr>
            <w:tcW w:w="2070" w:type="dxa"/>
            <w:tcBorders>
              <w:top w:val="nil"/>
              <w:left w:val="nil"/>
              <w:bottom w:val="single" w:sz="4" w:space="0" w:color="auto"/>
              <w:right w:val="single" w:sz="4" w:space="0" w:color="auto"/>
            </w:tcBorders>
            <w:shd w:val="clear" w:color="auto" w:fill="auto"/>
            <w:noWrap/>
            <w:vAlign w:val="center"/>
          </w:tcPr>
          <w:p w:rsidR="00DE0681" w:rsidRPr="000257EB" w:rsidRDefault="009A2388" w:rsidP="00DE0681">
            <w:pPr>
              <w:spacing w:before="60" w:after="60" w:line="240" w:lineRule="auto"/>
              <w:jc w:val="center"/>
              <w:rPr>
                <w:rFonts w:cs="Arial"/>
                <w:color w:val="000000"/>
              </w:rPr>
            </w:pPr>
            <w:r>
              <w:rPr>
                <w:rFonts w:cs="Arial"/>
                <w:color w:val="000000"/>
              </w:rPr>
              <w:t>100%</w:t>
            </w:r>
          </w:p>
        </w:tc>
      </w:tr>
    </w:tbl>
    <w:p w:rsidR="00DE0681" w:rsidRDefault="00DE0681" w:rsidP="00A41763">
      <w:pPr>
        <w:rPr>
          <w:b/>
          <w:bCs/>
        </w:rPr>
      </w:pPr>
    </w:p>
    <w:p w:rsidR="00DE0681" w:rsidRPr="00DE0681" w:rsidRDefault="00DE0681" w:rsidP="00A41763">
      <w:pPr>
        <w:rPr>
          <w:bCs/>
        </w:rPr>
      </w:pPr>
      <w:r w:rsidRPr="00DE0681">
        <w:rPr>
          <w:bCs/>
        </w:rPr>
        <w:t xml:space="preserve">The methods employed to impute for non-response are described above in Section </w:t>
      </w:r>
      <w:r w:rsidR="001E09A3">
        <w:rPr>
          <w:bCs/>
        </w:rPr>
        <w:t>B</w:t>
      </w:r>
      <w:r w:rsidRPr="00DE0681">
        <w:rPr>
          <w:bCs/>
        </w:rPr>
        <w:t>2.</w:t>
      </w:r>
    </w:p>
    <w:p w:rsidR="007E53C4" w:rsidRDefault="007E53C4" w:rsidP="00A41763">
      <w:pPr>
        <w:rPr>
          <w:i/>
          <w:iCs/>
        </w:rPr>
      </w:pPr>
    </w:p>
    <w:p w:rsidR="007E53C4" w:rsidRDefault="00612593" w:rsidP="00A84D6B">
      <w:pPr>
        <w:pStyle w:val="Heading2"/>
      </w:pPr>
      <w:bookmarkStart w:id="7" w:name="_Toc475459542"/>
      <w:r>
        <w:t>B</w:t>
      </w:r>
      <w:r w:rsidR="00566CA5">
        <w:t>.</w:t>
      </w:r>
      <w:r w:rsidR="00A41763" w:rsidRPr="00A41763">
        <w:t xml:space="preserve">4. </w:t>
      </w:r>
      <w:r w:rsidR="007E53C4">
        <w:t>Test Procedures and Form Consultations</w:t>
      </w:r>
      <w:bookmarkEnd w:id="7"/>
    </w:p>
    <w:p w:rsidR="00A33699" w:rsidRDefault="00A33699" w:rsidP="00A33699">
      <w:pPr>
        <w:rPr>
          <w:bCs/>
        </w:rPr>
      </w:pPr>
      <w:r w:rsidRPr="00075105">
        <w:rPr>
          <w:bCs/>
        </w:rPr>
        <w:t xml:space="preserve">EIA conducted 19 cognitive interviews made up of four EIA-3 respondents, </w:t>
      </w:r>
      <w:r w:rsidR="004B2747">
        <w:rPr>
          <w:bCs/>
        </w:rPr>
        <w:t>11</w:t>
      </w:r>
      <w:r w:rsidR="004B2747" w:rsidRPr="00075105">
        <w:rPr>
          <w:bCs/>
        </w:rPr>
        <w:t xml:space="preserve"> </w:t>
      </w:r>
      <w:r w:rsidRPr="00075105">
        <w:rPr>
          <w:bCs/>
        </w:rPr>
        <w:t>EIA-7A respondents, and four EIA-8A respondents. Explanatory cognitive interviews were conducted for six EIA-7A respondents during September 28-29, 2015 in the St. Louis, MO area and September 30 – October 1, 2015 in Montana and Wyoming. Cognitive interviews for four EIA-3 respondents and five EIA-7A respondents were conducted during March 21-25, 2016 in the Birmingham area of Alabama and during April 11-14, 2016 outside of Pittsburgh, Pennsylvania. Four EIA-8A respondents were cognitively interviewed via telephone at the EIA headquarters beginning on March 3</w:t>
      </w:r>
      <w:r w:rsidRPr="00075105">
        <w:rPr>
          <w:bCs/>
          <w:vertAlign w:val="superscript"/>
        </w:rPr>
        <w:t>rd</w:t>
      </w:r>
      <w:r w:rsidRPr="00075105">
        <w:rPr>
          <w:bCs/>
        </w:rPr>
        <w:t xml:space="preserve"> and ending on March 31</w:t>
      </w:r>
      <w:r w:rsidRPr="00075105">
        <w:rPr>
          <w:bCs/>
          <w:vertAlign w:val="superscript"/>
        </w:rPr>
        <w:t>st</w:t>
      </w:r>
      <w:r w:rsidRPr="00075105">
        <w:rPr>
          <w:bCs/>
        </w:rPr>
        <w:t xml:space="preserve">. </w:t>
      </w:r>
      <w:r>
        <w:rPr>
          <w:bCs/>
        </w:rPr>
        <w:t>EIA selected a sample of companies to include companies of varying size</w:t>
      </w:r>
      <w:r w:rsidRPr="00075105">
        <w:rPr>
          <w:bCs/>
        </w:rPr>
        <w:t xml:space="preserve">. </w:t>
      </w:r>
    </w:p>
    <w:p w:rsidR="00A33699" w:rsidRDefault="00A33699" w:rsidP="00A33699">
      <w:pPr>
        <w:spacing w:after="0"/>
      </w:pPr>
      <w:r w:rsidRPr="0021391A">
        <w:rPr>
          <w:rFonts w:cstheme="minorHAnsi"/>
        </w:rPr>
        <w:lastRenderedPageBreak/>
        <w:t>The objectives of the cognitive research were to: i</w:t>
      </w:r>
      <w:r w:rsidRPr="0021391A">
        <w:t>dentify areas of survey specification errors that respondents are reporting inconsistently and/or applying different assumptions in their reported values; explore proposed changes to questions and survey design to reduce specification and measurement errors; collect information on the respondents’ understanding of the current questions and data elements; and assess respondents’ ability to report on additional data elements and design changes that supplement existing parts of the survey forms.</w:t>
      </w:r>
    </w:p>
    <w:p w:rsidR="00A33699" w:rsidRDefault="00A33699" w:rsidP="00A33699">
      <w:pPr>
        <w:spacing w:after="0"/>
      </w:pPr>
    </w:p>
    <w:p w:rsidR="00A33699" w:rsidRPr="00A33699" w:rsidRDefault="00A33699" w:rsidP="00A41763">
      <w:pPr>
        <w:rPr>
          <w:bCs/>
        </w:rPr>
      </w:pPr>
      <w:r w:rsidRPr="00A33699">
        <w:rPr>
          <w:bCs/>
        </w:rPr>
        <w:t xml:space="preserve">One significant consequence of the cognitive testing was </w:t>
      </w:r>
      <w:r w:rsidR="00612593">
        <w:rPr>
          <w:bCs/>
        </w:rPr>
        <w:t xml:space="preserve">an </w:t>
      </w:r>
      <w:r w:rsidRPr="00A33699">
        <w:rPr>
          <w:bCs/>
        </w:rPr>
        <w:t xml:space="preserve">increase </w:t>
      </w:r>
      <w:r w:rsidR="00612593">
        <w:rPr>
          <w:bCs/>
        </w:rPr>
        <w:t xml:space="preserve">to </w:t>
      </w:r>
      <w:r w:rsidRPr="00A33699">
        <w:rPr>
          <w:bCs/>
        </w:rPr>
        <w:t>the estimated burden hours for the EIA-7A coal production survey from one hour to 3.25 hours.</w:t>
      </w:r>
    </w:p>
    <w:p w:rsidR="00A33699" w:rsidRPr="00A33699" w:rsidRDefault="00A33699" w:rsidP="00A41763">
      <w:pPr>
        <w:rPr>
          <w:bCs/>
        </w:rPr>
      </w:pPr>
      <w:r w:rsidRPr="00A33699">
        <w:rPr>
          <w:bCs/>
        </w:rPr>
        <w:t xml:space="preserve">In addition to the cognitive </w:t>
      </w:r>
      <w:r w:rsidR="00526D68" w:rsidRPr="00A33699">
        <w:rPr>
          <w:bCs/>
        </w:rPr>
        <w:t>testing,</w:t>
      </w:r>
      <w:r>
        <w:rPr>
          <w:bCs/>
        </w:rPr>
        <w:t xml:space="preserve"> </w:t>
      </w:r>
      <w:r w:rsidRPr="00A33699">
        <w:rPr>
          <w:bCs/>
        </w:rPr>
        <w:t xml:space="preserve">other routine form consultations were </w:t>
      </w:r>
      <w:r w:rsidR="00526D68" w:rsidRPr="00A33699">
        <w:rPr>
          <w:bCs/>
        </w:rPr>
        <w:t>performed</w:t>
      </w:r>
      <w:r w:rsidRPr="00A33699">
        <w:rPr>
          <w:bCs/>
        </w:rPr>
        <w:t>.  These consultations included review and response to comments received in response to the September 16, 2016, Federal Register Notice</w:t>
      </w:r>
      <w:r w:rsidR="00526D68" w:rsidRPr="00A33699">
        <w:rPr>
          <w:bCs/>
        </w:rPr>
        <w:t>, and</w:t>
      </w:r>
      <w:r w:rsidRPr="00A33699">
        <w:rPr>
          <w:bCs/>
        </w:rPr>
        <w:t xml:space="preserve"> a November 9, 2016 webinar on proposed changes to the surveys with 35 remote participants.  For additional information see Section A.8., </w:t>
      </w:r>
      <w:r w:rsidRPr="00A33699">
        <w:rPr>
          <w:bCs/>
          <w:i/>
        </w:rPr>
        <w:t>Summary of Consultations Outside the Agency.</w:t>
      </w:r>
    </w:p>
    <w:p w:rsidR="007E53C4" w:rsidRPr="00A41763" w:rsidRDefault="007E53C4" w:rsidP="00A41763"/>
    <w:p w:rsidR="007E53C4" w:rsidRDefault="00612593" w:rsidP="00A84D6B">
      <w:pPr>
        <w:pStyle w:val="Heading2"/>
      </w:pPr>
      <w:bookmarkStart w:id="8" w:name="_Toc475459543"/>
      <w:r>
        <w:t>B</w:t>
      </w:r>
      <w:r w:rsidR="00566CA5">
        <w:t>.</w:t>
      </w:r>
      <w:r w:rsidR="00A41763" w:rsidRPr="00A41763">
        <w:t xml:space="preserve">5. </w:t>
      </w:r>
      <w:r w:rsidR="007E53C4">
        <w:t>Statistical Consultations</w:t>
      </w:r>
      <w:bookmarkEnd w:id="8"/>
    </w:p>
    <w:p w:rsidR="00036317" w:rsidRDefault="00036317" w:rsidP="00232667">
      <w:r>
        <w:t>N</w:t>
      </w:r>
      <w:r w:rsidRPr="00FC204C">
        <w:t>o statistical consultations were p</w:t>
      </w:r>
      <w:r>
        <w:t>er</w:t>
      </w:r>
      <w:r w:rsidRPr="00FC204C">
        <w:t>formed</w:t>
      </w:r>
      <w:r>
        <w:t>.</w:t>
      </w:r>
    </w:p>
    <w:p w:rsidR="00334B50" w:rsidRDefault="00334B50" w:rsidP="00334B50">
      <w:r w:rsidRPr="008A30CF">
        <w:t>The data collections for the Forms</w:t>
      </w:r>
      <w:r>
        <w:t xml:space="preserve"> EIA-3, </w:t>
      </w:r>
      <w:r w:rsidRPr="008A30CF">
        <w:t>EIA-7A</w:t>
      </w:r>
      <w:r>
        <w:t>,</w:t>
      </w:r>
      <w:r w:rsidRPr="008A30CF">
        <w:t xml:space="preserve"> </w:t>
      </w:r>
      <w:r>
        <w:t xml:space="preserve">and </w:t>
      </w:r>
      <w:r w:rsidRPr="008A30CF">
        <w:t xml:space="preserve">EIA-8A and EIA-3 are </w:t>
      </w:r>
      <w:r>
        <w:t>performed</w:t>
      </w:r>
      <w:r w:rsidRPr="008A30CF">
        <w:t xml:space="preserve"> by the Office of </w:t>
      </w:r>
      <w:r>
        <w:t>Electricity, Renewables, and Uranium Statistics (ERUS)</w:t>
      </w:r>
      <w:r w:rsidRPr="008A30CF">
        <w:t xml:space="preserve">, Office of Energy Statistics, with contractor assistance. </w:t>
      </w:r>
    </w:p>
    <w:p w:rsidR="00334B50" w:rsidRDefault="00334B50" w:rsidP="00823E07">
      <w:r w:rsidRPr="008A30CF">
        <w:t xml:space="preserve">The data collections for the </w:t>
      </w:r>
      <w:r>
        <w:t xml:space="preserve">standby </w:t>
      </w:r>
      <w:r w:rsidRPr="008A30CF">
        <w:t>Forms</w:t>
      </w:r>
      <w:r>
        <w:t xml:space="preserve"> EIA-6 and EIA-20</w:t>
      </w:r>
      <w:r w:rsidR="00BF48EA">
        <w:t xml:space="preserve"> would be performed by </w:t>
      </w:r>
      <w:r>
        <w:t>ERUS</w:t>
      </w:r>
      <w:r w:rsidR="00BF48EA">
        <w:t xml:space="preserve"> if the surveys are activated</w:t>
      </w:r>
      <w:r w:rsidRPr="008A30CF">
        <w:t>.</w:t>
      </w:r>
      <w:r w:rsidR="00BF48EA">
        <w:t xml:space="preserve">  </w:t>
      </w:r>
      <w:r>
        <w:t>Contractor assistance may be employed, depending on specific circumstances</w:t>
      </w:r>
      <w:r w:rsidRPr="008A30CF">
        <w:t xml:space="preserve">.  </w:t>
      </w:r>
    </w:p>
    <w:p w:rsidR="00334B50" w:rsidRDefault="00334B50" w:rsidP="00334B50">
      <w:r>
        <w:t xml:space="preserve">For more information concerning this request for OMB approval, please contact the agency Forms Clearance Officer, </w:t>
      </w:r>
      <w:r w:rsidRPr="00B70CA7">
        <w:t>Brian.Hewitt@eia.gov</w:t>
      </w:r>
      <w:r>
        <w:t xml:space="preserve"> or </w:t>
      </w:r>
      <w:r w:rsidRPr="00B70CA7">
        <w:t>(202) 586-5045</w:t>
      </w:r>
      <w:r>
        <w:t>.</w:t>
      </w:r>
    </w:p>
    <w:p w:rsidR="00506B63" w:rsidRDefault="00506B63" w:rsidP="00506B63"/>
    <w:p w:rsidR="00506B63" w:rsidRDefault="00506B63" w:rsidP="00334B50"/>
    <w:p w:rsidR="004558F4" w:rsidRDefault="004558F4" w:rsidP="00232667"/>
    <w:p w:rsidR="00232667" w:rsidRDefault="00232667" w:rsidP="00232667"/>
    <w:p w:rsidR="00A33699" w:rsidRPr="00A33699" w:rsidRDefault="00A33699" w:rsidP="00232667">
      <w:pPr>
        <w:rPr>
          <w:bCs/>
        </w:rPr>
      </w:pPr>
    </w:p>
    <w:sectPr w:rsidR="00A33699" w:rsidRPr="00A33699" w:rsidSect="008F4CBD">
      <w:headerReference w:type="even" r:id="rId15"/>
      <w:headerReference w:type="default" r:id="rId16"/>
      <w:footerReference w:type="even" r:id="rId17"/>
      <w:headerReference w:type="first" r:id="rId18"/>
      <w:foot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137" w:rsidRDefault="00832137" w:rsidP="00536CE1">
      <w:pPr>
        <w:spacing w:after="0" w:line="240" w:lineRule="auto"/>
      </w:pPr>
      <w:r>
        <w:separator/>
      </w:r>
    </w:p>
  </w:endnote>
  <w:endnote w:type="continuationSeparator" w:id="0">
    <w:p w:rsidR="00832137" w:rsidRDefault="00832137"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D25" w:rsidRPr="001F3A8F" w:rsidRDefault="00316D25" w:rsidP="00616E46">
    <w:pPr>
      <w:pStyle w:val="Footer"/>
      <w:tabs>
        <w:tab w:val="clear" w:pos="9720"/>
        <w:tab w:val="left" w:pos="8655"/>
      </w:tabs>
    </w:pPr>
    <w:r w:rsidRPr="00CB180D">
      <w:t>U.S. Energy Information Administration   |</w:t>
    </w:r>
    <w:r>
      <w:t xml:space="preserve">   </w:t>
    </w:r>
    <w:sdt>
      <w:sdtPr>
        <w:alias w:val="Title"/>
        <w:tag w:val=""/>
        <w:id w:val="1609008429"/>
        <w:dataBinding w:prefixMappings="xmlns:ns0='http://purl.org/dc/elements/1.1/' xmlns:ns1='http://schemas.openxmlformats.org/package/2006/metadata/core-properties' " w:xpath="/ns1:coreProperties[1]/ns0:title[1]" w:storeItemID="{6C3C8BC8-F283-45AE-878A-BAB7291924A1}"/>
        <w:text/>
      </w:sdtPr>
      <w:sdtEndPr/>
      <w:sdtContent>
        <w:r>
          <w:t>Supporting Statement for Coal Markets Reporting System</w:t>
        </w:r>
      </w:sdtContent>
    </w:sdt>
    <w:r>
      <w:t xml:space="preserve"> </w:t>
    </w:r>
    <w:r>
      <w:tab/>
      <w:t xml:space="preserve"> </w:t>
    </w:r>
    <w:r>
      <w:fldChar w:fldCharType="begin"/>
    </w:r>
    <w:r>
      <w:instrText xml:space="preserve"> PAGE   \* MERGEFORMAT </w:instrText>
    </w:r>
    <w:r>
      <w:fldChar w:fldCharType="separate"/>
    </w:r>
    <w:r w:rsidR="00612CBA">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D25" w:rsidRDefault="00612CBA" w:rsidP="00760677">
    <w:pPr>
      <w:pStyle w:val="Footer"/>
    </w:pPr>
    <w:sdt>
      <w:sdtPr>
        <w:id w:val="2018423126"/>
        <w:docPartObj>
          <w:docPartGallery w:val="Page Numbers (Bottom of Page)"/>
          <w:docPartUnique/>
        </w:docPartObj>
      </w:sdtPr>
      <w:sdtEndPr/>
      <w:sdtContent>
        <w:r w:rsidR="00316D25" w:rsidRPr="00CB180D">
          <w:t xml:space="preserve">U.S. Energy Information Administration   |   </w:t>
        </w:r>
        <w:sdt>
          <w:sdtPr>
            <w:alias w:val="Subject"/>
            <w:id w:val="-1803920243"/>
            <w:dataBinding w:prefixMappings="xmlns:ns0='http://purl.org/dc/elements/1.1/' xmlns:ns1='http://schemas.openxmlformats.org/package/2006/metadata/core-properties' " w:xpath="/ns1:coreProperties[1]/ns0:subject[1]" w:storeItemID="{6C3C8BC8-F283-45AE-878A-BAB7291924A1}"/>
            <w:text/>
          </w:sdtPr>
          <w:sdtEndPr/>
          <w:sdtContent>
            <w:r w:rsidR="00316D25">
              <w:t>Improving the Quality and Scope of EIA Data</w:t>
            </w:r>
          </w:sdtContent>
        </w:sdt>
        <w:r w:rsidR="00316D25" w:rsidRPr="00CB180D">
          <w:tab/>
        </w:r>
      </w:sdtContent>
    </w:sdt>
    <w:r w:rsidR="00316D25" w:rsidRPr="00760677">
      <w:t xml:space="preserve"> </w:t>
    </w:r>
    <w:r w:rsidR="00316D25">
      <w:fldChar w:fldCharType="begin"/>
    </w:r>
    <w:r w:rsidR="00316D25">
      <w:instrText xml:space="preserve"> PAGE   \* MERGEFORMAT </w:instrText>
    </w:r>
    <w:r w:rsidR="00316D25">
      <w:fldChar w:fldCharType="separate"/>
    </w:r>
    <w:r w:rsidR="00316D25">
      <w:rPr>
        <w:noProof/>
      </w:rPr>
      <w:t>i</w:t>
    </w:r>
    <w:r w:rsidR="00316D25">
      <w:rPr>
        <w:noProof/>
      </w:rPr>
      <w:fldChar w:fldCharType="end"/>
    </w:r>
  </w:p>
  <w:p w:rsidR="00316D25" w:rsidRDefault="00316D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D25" w:rsidRDefault="00612CBA" w:rsidP="00760677">
    <w:pPr>
      <w:pStyle w:val="Footer"/>
    </w:pPr>
    <w:sdt>
      <w:sdtPr>
        <w:id w:val="-666943575"/>
        <w:docPartObj>
          <w:docPartGallery w:val="Page Numbers (Bottom of Page)"/>
          <w:docPartUnique/>
        </w:docPartObj>
      </w:sdtPr>
      <w:sdtEndPr/>
      <w:sdtContent>
        <w:r w:rsidR="00316D25" w:rsidRPr="00CB180D">
          <w:t xml:space="preserve">U.S. Energy Information Administration   |   </w:t>
        </w:r>
        <w:sdt>
          <w:sdtPr>
            <w:alias w:val="Subject"/>
            <w:id w:val="2029363104"/>
            <w:dataBinding w:prefixMappings="xmlns:ns0='http://purl.org/dc/elements/1.1/' xmlns:ns1='http://schemas.openxmlformats.org/package/2006/metadata/core-properties' " w:xpath="/ns1:coreProperties[1]/ns0:subject[1]" w:storeItemID="{6C3C8BC8-F283-45AE-878A-BAB7291924A1}"/>
            <w:text/>
          </w:sdtPr>
          <w:sdtEndPr/>
          <w:sdtContent>
            <w:r w:rsidR="00316D25">
              <w:t>Improving the Quality and Scope of EIA Data</w:t>
            </w:r>
          </w:sdtContent>
        </w:sdt>
        <w:r w:rsidR="00316D25" w:rsidRPr="00CB180D">
          <w:tab/>
        </w:r>
      </w:sdtContent>
    </w:sdt>
    <w:r w:rsidR="00316D25" w:rsidRPr="00760677">
      <w:t xml:space="preserve"> </w:t>
    </w:r>
    <w:r w:rsidR="00316D25">
      <w:fldChar w:fldCharType="begin"/>
    </w:r>
    <w:r w:rsidR="00316D25">
      <w:instrText xml:space="preserve"> PAGE   \* MERGEFORMAT </w:instrText>
    </w:r>
    <w:r w:rsidR="00316D25">
      <w:fldChar w:fldCharType="separate"/>
    </w:r>
    <w:r w:rsidR="00316D25">
      <w:rPr>
        <w:noProof/>
      </w:rPr>
      <w:t>ii</w:t>
    </w:r>
    <w:r w:rsidR="00316D25">
      <w:rPr>
        <w:noProof/>
      </w:rPr>
      <w:fldChar w:fldCharType="end"/>
    </w:r>
  </w:p>
  <w:p w:rsidR="00316D25" w:rsidRDefault="00316D25"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557895"/>
      <w:docPartObj>
        <w:docPartGallery w:val="Page Numbers (Bottom of Page)"/>
        <w:docPartUnique/>
      </w:docPartObj>
    </w:sdtPr>
    <w:sdtEndPr/>
    <w:sdtContent>
      <w:p w:rsidR="00316D25" w:rsidRDefault="00316D25"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D25" w:rsidRDefault="00612CBA" w:rsidP="00760677">
    <w:pPr>
      <w:pStyle w:val="Footer"/>
    </w:pPr>
    <w:sdt>
      <w:sdtPr>
        <w:id w:val="1705557553"/>
        <w:docPartObj>
          <w:docPartGallery w:val="Page Numbers (Bottom of Page)"/>
          <w:docPartUnique/>
        </w:docPartObj>
      </w:sdtPr>
      <w:sdtEndPr/>
      <w:sdtContent>
        <w:r w:rsidR="00316D25"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316D25">
              <w:t>Improving the Quality and Scope of EIA Data</w:t>
            </w:r>
          </w:sdtContent>
        </w:sdt>
        <w:r w:rsidR="00316D25" w:rsidRPr="00CB180D">
          <w:tab/>
        </w:r>
      </w:sdtContent>
    </w:sdt>
    <w:r w:rsidR="00316D25" w:rsidRPr="00760677">
      <w:t xml:space="preserve"> </w:t>
    </w:r>
    <w:r w:rsidR="00316D25">
      <w:fldChar w:fldCharType="begin"/>
    </w:r>
    <w:r w:rsidR="00316D25">
      <w:instrText xml:space="preserve"> PAGE   \* MERGEFORMAT </w:instrText>
    </w:r>
    <w:r w:rsidR="00316D25">
      <w:fldChar w:fldCharType="separate"/>
    </w:r>
    <w:r w:rsidR="00316D25">
      <w:rPr>
        <w:noProof/>
      </w:rPr>
      <w:t>1</w:t>
    </w:r>
    <w:r w:rsidR="00316D25">
      <w:rPr>
        <w:noProof/>
      </w:rPr>
      <w:fldChar w:fldCharType="end"/>
    </w:r>
  </w:p>
  <w:p w:rsidR="00316D25" w:rsidRDefault="00316D25"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137" w:rsidRDefault="00832137" w:rsidP="00536CE1">
      <w:pPr>
        <w:spacing w:after="0" w:line="240" w:lineRule="auto"/>
      </w:pPr>
      <w:r>
        <w:separator/>
      </w:r>
    </w:p>
  </w:footnote>
  <w:footnote w:type="continuationSeparator" w:id="0">
    <w:p w:rsidR="00832137" w:rsidRDefault="00832137" w:rsidP="0053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D25" w:rsidRDefault="00316D25"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D25" w:rsidRPr="00373208" w:rsidRDefault="00316D25"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D25" w:rsidRPr="00F8298C" w:rsidRDefault="004B2747" w:rsidP="00041909">
    <w:pPr>
      <w:pStyle w:val="Header"/>
    </w:pPr>
    <w:r>
      <w:t xml:space="preserve">March </w:t>
    </w:r>
    <w:r w:rsidR="00316D25">
      <w:t>2017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D25" w:rsidRDefault="00316D25"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B92D7F"/>
    <w:multiLevelType w:val="hybridMultilevel"/>
    <w:tmpl w:val="4DFC1B3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674DEB"/>
    <w:multiLevelType w:val="hybridMultilevel"/>
    <w:tmpl w:val="72BAE054"/>
    <w:lvl w:ilvl="0" w:tplc="8EE8EE8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20"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9"/>
  </w:num>
  <w:num w:numId="27">
    <w:abstractNumId w:val="10"/>
  </w:num>
  <w:num w:numId="28">
    <w:abstractNumId w:val="19"/>
  </w:num>
  <w:num w:numId="29">
    <w:abstractNumId w:val="19"/>
  </w:num>
  <w:num w:numId="30">
    <w:abstractNumId w:val="19"/>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9"/>
  </w:num>
  <w:num w:numId="40">
    <w:abstractNumId w:val="19"/>
  </w:num>
  <w:num w:numId="41">
    <w:abstractNumId w:val="19"/>
  </w:num>
  <w:num w:numId="42">
    <w:abstractNumId w:val="12"/>
  </w:num>
  <w:num w:numId="43">
    <w:abstractNumId w:val="12"/>
  </w:num>
  <w:num w:numId="44">
    <w:abstractNumId w:val="12"/>
  </w:num>
  <w:num w:numId="45">
    <w:abstractNumId w:val="12"/>
  </w:num>
  <w:num w:numId="46">
    <w:abstractNumId w:val="11"/>
  </w:num>
  <w:num w:numId="47">
    <w:abstractNumId w:val="20"/>
  </w:num>
  <w:num w:numId="48">
    <w:abstractNumId w:val="20"/>
  </w:num>
  <w:num w:numId="49">
    <w:abstractNumId w:val="18"/>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2529"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36317"/>
    <w:rsid w:val="00041909"/>
    <w:rsid w:val="00046593"/>
    <w:rsid w:val="00047C08"/>
    <w:rsid w:val="0005401F"/>
    <w:rsid w:val="00055769"/>
    <w:rsid w:val="00056EC3"/>
    <w:rsid w:val="00062CFE"/>
    <w:rsid w:val="0007129A"/>
    <w:rsid w:val="000831C4"/>
    <w:rsid w:val="000844CA"/>
    <w:rsid w:val="000B3FBE"/>
    <w:rsid w:val="000C28E1"/>
    <w:rsid w:val="000C5311"/>
    <w:rsid w:val="000E3476"/>
    <w:rsid w:val="000F040A"/>
    <w:rsid w:val="001034E8"/>
    <w:rsid w:val="00112A69"/>
    <w:rsid w:val="0011541D"/>
    <w:rsid w:val="00132F4A"/>
    <w:rsid w:val="00154192"/>
    <w:rsid w:val="00160BC8"/>
    <w:rsid w:val="00167425"/>
    <w:rsid w:val="001807A3"/>
    <w:rsid w:val="001947D5"/>
    <w:rsid w:val="001A6E1E"/>
    <w:rsid w:val="001B0E69"/>
    <w:rsid w:val="001B6585"/>
    <w:rsid w:val="001D03A8"/>
    <w:rsid w:val="001E09A3"/>
    <w:rsid w:val="001F3A8F"/>
    <w:rsid w:val="002008B4"/>
    <w:rsid w:val="00201F24"/>
    <w:rsid w:val="002127CE"/>
    <w:rsid w:val="00215842"/>
    <w:rsid w:val="002207DF"/>
    <w:rsid w:val="00221AC2"/>
    <w:rsid w:val="00227E4B"/>
    <w:rsid w:val="0023015A"/>
    <w:rsid w:val="00232667"/>
    <w:rsid w:val="0023708A"/>
    <w:rsid w:val="002438D2"/>
    <w:rsid w:val="0025022D"/>
    <w:rsid w:val="002530BB"/>
    <w:rsid w:val="002556F3"/>
    <w:rsid w:val="00260EDF"/>
    <w:rsid w:val="00264148"/>
    <w:rsid w:val="00274179"/>
    <w:rsid w:val="002B0FD2"/>
    <w:rsid w:val="002C378C"/>
    <w:rsid w:val="002E3A98"/>
    <w:rsid w:val="002E3FD5"/>
    <w:rsid w:val="002E7A38"/>
    <w:rsid w:val="00306516"/>
    <w:rsid w:val="00316D25"/>
    <w:rsid w:val="00334B50"/>
    <w:rsid w:val="003469CB"/>
    <w:rsid w:val="00350C8B"/>
    <w:rsid w:val="00362096"/>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B16E1"/>
    <w:rsid w:val="003C03EA"/>
    <w:rsid w:val="003C690C"/>
    <w:rsid w:val="003E39E5"/>
    <w:rsid w:val="003E40FA"/>
    <w:rsid w:val="003F24ED"/>
    <w:rsid w:val="003F2A87"/>
    <w:rsid w:val="003F529E"/>
    <w:rsid w:val="00426481"/>
    <w:rsid w:val="00432966"/>
    <w:rsid w:val="004558F4"/>
    <w:rsid w:val="0045608E"/>
    <w:rsid w:val="0045662F"/>
    <w:rsid w:val="00466959"/>
    <w:rsid w:val="0047784B"/>
    <w:rsid w:val="004946F0"/>
    <w:rsid w:val="00494F83"/>
    <w:rsid w:val="00497C2A"/>
    <w:rsid w:val="004B1075"/>
    <w:rsid w:val="004B2747"/>
    <w:rsid w:val="004C277B"/>
    <w:rsid w:val="004C3C97"/>
    <w:rsid w:val="004D05FB"/>
    <w:rsid w:val="004D29C7"/>
    <w:rsid w:val="004F391C"/>
    <w:rsid w:val="004F528F"/>
    <w:rsid w:val="00502A2B"/>
    <w:rsid w:val="00504119"/>
    <w:rsid w:val="005065CF"/>
    <w:rsid w:val="00506B63"/>
    <w:rsid w:val="00506BB4"/>
    <w:rsid w:val="0050705F"/>
    <w:rsid w:val="005170D3"/>
    <w:rsid w:val="0052493A"/>
    <w:rsid w:val="00526D68"/>
    <w:rsid w:val="00535CAF"/>
    <w:rsid w:val="00536054"/>
    <w:rsid w:val="0053654B"/>
    <w:rsid w:val="00536CE1"/>
    <w:rsid w:val="0054180D"/>
    <w:rsid w:val="00545A5A"/>
    <w:rsid w:val="00547B53"/>
    <w:rsid w:val="00555F3E"/>
    <w:rsid w:val="00564030"/>
    <w:rsid w:val="00566CA5"/>
    <w:rsid w:val="00571D8F"/>
    <w:rsid w:val="0057367D"/>
    <w:rsid w:val="00585BE3"/>
    <w:rsid w:val="0059212D"/>
    <w:rsid w:val="005B065A"/>
    <w:rsid w:val="005B2B58"/>
    <w:rsid w:val="005C00FA"/>
    <w:rsid w:val="005C2D89"/>
    <w:rsid w:val="005C485B"/>
    <w:rsid w:val="005D39D7"/>
    <w:rsid w:val="005D5956"/>
    <w:rsid w:val="005D6672"/>
    <w:rsid w:val="005D6F63"/>
    <w:rsid w:val="005F4848"/>
    <w:rsid w:val="00612593"/>
    <w:rsid w:val="00612CBA"/>
    <w:rsid w:val="00616E46"/>
    <w:rsid w:val="0062008C"/>
    <w:rsid w:val="00620797"/>
    <w:rsid w:val="00626494"/>
    <w:rsid w:val="00641DE2"/>
    <w:rsid w:val="00643384"/>
    <w:rsid w:val="0065406F"/>
    <w:rsid w:val="00663EC4"/>
    <w:rsid w:val="00677C5F"/>
    <w:rsid w:val="006A0BC7"/>
    <w:rsid w:val="006C0062"/>
    <w:rsid w:val="006C097E"/>
    <w:rsid w:val="006C2DC3"/>
    <w:rsid w:val="006C4CB2"/>
    <w:rsid w:val="006D0439"/>
    <w:rsid w:val="006D42EC"/>
    <w:rsid w:val="00711414"/>
    <w:rsid w:val="00725453"/>
    <w:rsid w:val="00730DA0"/>
    <w:rsid w:val="00737591"/>
    <w:rsid w:val="007438F2"/>
    <w:rsid w:val="00755C3D"/>
    <w:rsid w:val="007576EF"/>
    <w:rsid w:val="00760677"/>
    <w:rsid w:val="00761C12"/>
    <w:rsid w:val="007658BA"/>
    <w:rsid w:val="00776CF4"/>
    <w:rsid w:val="00784F89"/>
    <w:rsid w:val="00786336"/>
    <w:rsid w:val="007A0E7F"/>
    <w:rsid w:val="007A4378"/>
    <w:rsid w:val="007B3781"/>
    <w:rsid w:val="007B4B28"/>
    <w:rsid w:val="007C5CE9"/>
    <w:rsid w:val="007D39CC"/>
    <w:rsid w:val="007D6AAF"/>
    <w:rsid w:val="007E53C4"/>
    <w:rsid w:val="007E5A11"/>
    <w:rsid w:val="007E73E6"/>
    <w:rsid w:val="007F1954"/>
    <w:rsid w:val="007F21D7"/>
    <w:rsid w:val="008057F8"/>
    <w:rsid w:val="008213F9"/>
    <w:rsid w:val="00823E07"/>
    <w:rsid w:val="008307E1"/>
    <w:rsid w:val="00832137"/>
    <w:rsid w:val="00836D62"/>
    <w:rsid w:val="00844524"/>
    <w:rsid w:val="00867042"/>
    <w:rsid w:val="00867160"/>
    <w:rsid w:val="0087205B"/>
    <w:rsid w:val="00874FB8"/>
    <w:rsid w:val="00895669"/>
    <w:rsid w:val="00897946"/>
    <w:rsid w:val="008A3276"/>
    <w:rsid w:val="008A3447"/>
    <w:rsid w:val="008C734C"/>
    <w:rsid w:val="008E4BF2"/>
    <w:rsid w:val="008F4CBD"/>
    <w:rsid w:val="009017AD"/>
    <w:rsid w:val="00901BED"/>
    <w:rsid w:val="00905735"/>
    <w:rsid w:val="009131B9"/>
    <w:rsid w:val="00924CFC"/>
    <w:rsid w:val="00932822"/>
    <w:rsid w:val="00935805"/>
    <w:rsid w:val="009368F3"/>
    <w:rsid w:val="00947C42"/>
    <w:rsid w:val="00950489"/>
    <w:rsid w:val="00957DE9"/>
    <w:rsid w:val="00965A44"/>
    <w:rsid w:val="00967D7C"/>
    <w:rsid w:val="009757AD"/>
    <w:rsid w:val="00980B6A"/>
    <w:rsid w:val="009818F9"/>
    <w:rsid w:val="0098618F"/>
    <w:rsid w:val="00987C32"/>
    <w:rsid w:val="00991646"/>
    <w:rsid w:val="0099448B"/>
    <w:rsid w:val="00997347"/>
    <w:rsid w:val="009A2388"/>
    <w:rsid w:val="009B19CE"/>
    <w:rsid w:val="009C202F"/>
    <w:rsid w:val="009C77F7"/>
    <w:rsid w:val="009E5ABC"/>
    <w:rsid w:val="009E5B9C"/>
    <w:rsid w:val="009F4ED1"/>
    <w:rsid w:val="00A00D71"/>
    <w:rsid w:val="00A00EDF"/>
    <w:rsid w:val="00A26A17"/>
    <w:rsid w:val="00A30169"/>
    <w:rsid w:val="00A312A3"/>
    <w:rsid w:val="00A33699"/>
    <w:rsid w:val="00A33D9F"/>
    <w:rsid w:val="00A37229"/>
    <w:rsid w:val="00A41763"/>
    <w:rsid w:val="00A418C9"/>
    <w:rsid w:val="00A718B2"/>
    <w:rsid w:val="00A74C9B"/>
    <w:rsid w:val="00A84D6B"/>
    <w:rsid w:val="00A93478"/>
    <w:rsid w:val="00A97FE7"/>
    <w:rsid w:val="00AA46CA"/>
    <w:rsid w:val="00AA7EFA"/>
    <w:rsid w:val="00AB1623"/>
    <w:rsid w:val="00AB61B3"/>
    <w:rsid w:val="00AC323A"/>
    <w:rsid w:val="00AD6357"/>
    <w:rsid w:val="00AD7F81"/>
    <w:rsid w:val="00AE24A6"/>
    <w:rsid w:val="00AE4CA9"/>
    <w:rsid w:val="00AF0CD0"/>
    <w:rsid w:val="00AF367D"/>
    <w:rsid w:val="00AF45FD"/>
    <w:rsid w:val="00B10B00"/>
    <w:rsid w:val="00B25227"/>
    <w:rsid w:val="00B35E2A"/>
    <w:rsid w:val="00B4263D"/>
    <w:rsid w:val="00B56F49"/>
    <w:rsid w:val="00B7442A"/>
    <w:rsid w:val="00B74772"/>
    <w:rsid w:val="00B97002"/>
    <w:rsid w:val="00BB2F70"/>
    <w:rsid w:val="00BB6CF4"/>
    <w:rsid w:val="00BC14C3"/>
    <w:rsid w:val="00BC1ABE"/>
    <w:rsid w:val="00BC3C1F"/>
    <w:rsid w:val="00BD2F20"/>
    <w:rsid w:val="00BD4F62"/>
    <w:rsid w:val="00BE4AFD"/>
    <w:rsid w:val="00BF48EA"/>
    <w:rsid w:val="00C00590"/>
    <w:rsid w:val="00C04647"/>
    <w:rsid w:val="00C058CF"/>
    <w:rsid w:val="00C12551"/>
    <w:rsid w:val="00C211CD"/>
    <w:rsid w:val="00C25328"/>
    <w:rsid w:val="00C3744D"/>
    <w:rsid w:val="00C43A84"/>
    <w:rsid w:val="00C64137"/>
    <w:rsid w:val="00C644B0"/>
    <w:rsid w:val="00C658E4"/>
    <w:rsid w:val="00C7266E"/>
    <w:rsid w:val="00C76C66"/>
    <w:rsid w:val="00C82DF9"/>
    <w:rsid w:val="00C87190"/>
    <w:rsid w:val="00C93BFE"/>
    <w:rsid w:val="00CA1564"/>
    <w:rsid w:val="00CA7C8A"/>
    <w:rsid w:val="00CB44E8"/>
    <w:rsid w:val="00CB7978"/>
    <w:rsid w:val="00CC1D12"/>
    <w:rsid w:val="00CE42E9"/>
    <w:rsid w:val="00D001E4"/>
    <w:rsid w:val="00D00AA8"/>
    <w:rsid w:val="00D02778"/>
    <w:rsid w:val="00D13E84"/>
    <w:rsid w:val="00D300F4"/>
    <w:rsid w:val="00D3344B"/>
    <w:rsid w:val="00D40175"/>
    <w:rsid w:val="00D55243"/>
    <w:rsid w:val="00D62F90"/>
    <w:rsid w:val="00D63E74"/>
    <w:rsid w:val="00D715C4"/>
    <w:rsid w:val="00D928FD"/>
    <w:rsid w:val="00DC79E3"/>
    <w:rsid w:val="00DD455A"/>
    <w:rsid w:val="00DD51E1"/>
    <w:rsid w:val="00DD56B1"/>
    <w:rsid w:val="00DE0681"/>
    <w:rsid w:val="00DE2D54"/>
    <w:rsid w:val="00DF39B8"/>
    <w:rsid w:val="00E00A12"/>
    <w:rsid w:val="00E02BB0"/>
    <w:rsid w:val="00E03CE6"/>
    <w:rsid w:val="00E07DD5"/>
    <w:rsid w:val="00E13716"/>
    <w:rsid w:val="00E266FF"/>
    <w:rsid w:val="00E27661"/>
    <w:rsid w:val="00E47DB3"/>
    <w:rsid w:val="00E509A9"/>
    <w:rsid w:val="00E51F8B"/>
    <w:rsid w:val="00E5242A"/>
    <w:rsid w:val="00E53398"/>
    <w:rsid w:val="00E6220E"/>
    <w:rsid w:val="00E66AE2"/>
    <w:rsid w:val="00E74DA4"/>
    <w:rsid w:val="00E81B89"/>
    <w:rsid w:val="00E91432"/>
    <w:rsid w:val="00E91B5A"/>
    <w:rsid w:val="00EC48E0"/>
    <w:rsid w:val="00ED6E45"/>
    <w:rsid w:val="00EE2CAF"/>
    <w:rsid w:val="00EE43E4"/>
    <w:rsid w:val="00F001EA"/>
    <w:rsid w:val="00F01FD2"/>
    <w:rsid w:val="00F056C3"/>
    <w:rsid w:val="00F05CBB"/>
    <w:rsid w:val="00F16B90"/>
    <w:rsid w:val="00F31A06"/>
    <w:rsid w:val="00F34F19"/>
    <w:rsid w:val="00F44A21"/>
    <w:rsid w:val="00F47429"/>
    <w:rsid w:val="00F575F0"/>
    <w:rsid w:val="00F6032A"/>
    <w:rsid w:val="00F6664C"/>
    <w:rsid w:val="00F80AF1"/>
    <w:rsid w:val="00F8298C"/>
    <w:rsid w:val="00F90245"/>
    <w:rsid w:val="00F920D9"/>
    <w:rsid w:val="00F94781"/>
    <w:rsid w:val="00FA5388"/>
    <w:rsid w:val="00FB08E3"/>
    <w:rsid w:val="00FB6BF3"/>
    <w:rsid w:val="00FC204C"/>
    <w:rsid w:val="00FD397B"/>
    <w:rsid w:val="00FD4B01"/>
    <w:rsid w:val="00FD52F2"/>
    <w:rsid w:val="00FD7CDC"/>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fill="f" fillcolor="white" stroke="f">
      <v:fill color="white" on="f"/>
      <v:stroke on="f"/>
    </o:shapedefaults>
    <o:shapelayout v:ext="edit">
      <o:idmap v:ext="edit" data="1"/>
    </o:shapelayout>
  </w:shapeDefaults>
  <w:decimalSymbol w:val="."/>
  <w:listSeparator w:val=","/>
  <w15:docId w15:val="{F1EE8C64-1ED6-486D-A79E-101F19D3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A84D6B"/>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A84D6B"/>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A33699"/>
    <w:pPr>
      <w:numPr>
        <w:numId w:val="49"/>
      </w:numPr>
      <w:spacing w:after="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1E09A3"/>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DE0681"/>
    <w:pPr>
      <w:autoSpaceDE w:val="0"/>
      <w:autoSpaceDN w:val="0"/>
      <w:adjustRightInd w:val="0"/>
      <w:spacing w:after="0"/>
    </w:pPr>
    <w:rPr>
      <w:rFonts w:ascii="Arial" w:eastAsia="Times New Roman" w:hAnsi="Arial" w:cs="Arial"/>
      <w:color w:val="000000"/>
      <w:sz w:val="24"/>
      <w:szCs w:val="24"/>
    </w:rPr>
  </w:style>
  <w:style w:type="table" w:customStyle="1" w:styleId="TableGrid1">
    <w:name w:val="Table Grid1"/>
    <w:basedOn w:val="TableNormal"/>
    <w:next w:val="TableGrid"/>
    <w:uiPriority w:val="39"/>
    <w:rsid w:val="002438D2"/>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612593"/>
    <w:rPr>
      <w:sz w:val="16"/>
      <w:szCs w:val="16"/>
    </w:rPr>
  </w:style>
  <w:style w:type="paragraph" w:styleId="CommentText">
    <w:name w:val="annotation text"/>
    <w:basedOn w:val="Normal"/>
    <w:link w:val="CommentTextChar"/>
    <w:uiPriority w:val="99"/>
    <w:semiHidden/>
    <w:unhideWhenUsed/>
    <w:locked/>
    <w:rsid w:val="00612593"/>
    <w:pPr>
      <w:spacing w:line="240" w:lineRule="auto"/>
    </w:pPr>
    <w:rPr>
      <w:sz w:val="20"/>
      <w:szCs w:val="20"/>
    </w:rPr>
  </w:style>
  <w:style w:type="character" w:customStyle="1" w:styleId="CommentTextChar">
    <w:name w:val="Comment Text Char"/>
    <w:basedOn w:val="DefaultParagraphFont"/>
    <w:link w:val="CommentText"/>
    <w:uiPriority w:val="99"/>
    <w:semiHidden/>
    <w:rsid w:val="00612593"/>
    <w:rPr>
      <w:sz w:val="20"/>
      <w:szCs w:val="20"/>
    </w:rPr>
  </w:style>
  <w:style w:type="paragraph" w:styleId="CommentSubject">
    <w:name w:val="annotation subject"/>
    <w:basedOn w:val="CommentText"/>
    <w:next w:val="CommentText"/>
    <w:link w:val="CommentSubjectChar"/>
    <w:uiPriority w:val="99"/>
    <w:semiHidden/>
    <w:unhideWhenUsed/>
    <w:locked/>
    <w:rsid w:val="00612593"/>
    <w:rPr>
      <w:b/>
      <w:bCs/>
    </w:rPr>
  </w:style>
  <w:style w:type="character" w:customStyle="1" w:styleId="CommentSubjectChar">
    <w:name w:val="Comment Subject Char"/>
    <w:basedOn w:val="CommentTextChar"/>
    <w:link w:val="CommentSubject"/>
    <w:uiPriority w:val="99"/>
    <w:semiHidden/>
    <w:rsid w:val="00612593"/>
    <w:rPr>
      <w:b/>
      <w:bCs/>
      <w:sz w:val="20"/>
      <w:szCs w:val="20"/>
    </w:rPr>
  </w:style>
  <w:style w:type="paragraph" w:styleId="Revision">
    <w:name w:val="Revision"/>
    <w:hidden/>
    <w:uiPriority w:val="99"/>
    <w:semiHidden/>
    <w:rsid w:val="0061259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7117">
      <w:bodyDiv w:val="1"/>
      <w:marLeft w:val="0"/>
      <w:marRight w:val="0"/>
      <w:marTop w:val="0"/>
      <w:marBottom w:val="0"/>
      <w:divBdr>
        <w:top w:val="none" w:sz="0" w:space="0" w:color="auto"/>
        <w:left w:val="none" w:sz="0" w:space="0" w:color="auto"/>
        <w:bottom w:val="none" w:sz="0" w:space="0" w:color="auto"/>
        <w:right w:val="none" w:sz="0" w:space="0" w:color="auto"/>
      </w:divBdr>
    </w:div>
    <w:div w:id="401178478">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73338898">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qlf1\Software\Office2013Templates\eia_report_template.dotx" TargetMode="Externa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E1D27F-BE9A-43DF-966D-2FBE6D9C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eia_report_template.dotx</Template>
  <TotalTime>0</TotalTime>
  <Pages>10</Pages>
  <Words>2616</Words>
  <Characters>14916</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Supporting Statement for Coal Markets Reporting System</vt:lpstr>
    </vt:vector>
  </TitlesOfParts>
  <Company/>
  <LinksUpToDate>false</LinksUpToDate>
  <CharactersWithSpaces>17498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Coal Markets Reporting System</dc:title>
  <dc:subject>Improving the Quality and Scope of EIA Data</dc:subject>
  <dc:creator>Stroud, Lawrence</dc:creator>
  <cp:keywords/>
  <dc:description/>
  <cp:lastModifiedBy>Hewitt, Brian</cp:lastModifiedBy>
  <cp:revision>2</cp:revision>
  <cp:lastPrinted>2011-12-12T20:42:00Z</cp:lastPrinted>
  <dcterms:created xsi:type="dcterms:W3CDTF">2017-04-26T19:28:00Z</dcterms:created>
  <dcterms:modified xsi:type="dcterms:W3CDTF">2017-04-26T19:28:00Z</dcterms:modified>
</cp:coreProperties>
</file>