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8C" w:rsidRDefault="009E118C" w:rsidP="009E1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CC5CFF" w:rsidRPr="00CC5CFF" w:rsidRDefault="00CC5CFF" w:rsidP="00CC5CFF">
      <w:pPr>
        <w:spacing w:after="0" w:line="240" w:lineRule="auto"/>
        <w:jc w:val="center"/>
        <w:rPr>
          <w:sz w:val="24"/>
          <w:szCs w:val="24"/>
        </w:rPr>
      </w:pPr>
      <w:r w:rsidRPr="00CC5CFF">
        <w:rPr>
          <w:sz w:val="24"/>
          <w:szCs w:val="24"/>
        </w:rPr>
        <w:t>Housing Counseling Federal Advisory Committee (HCFAC)</w:t>
      </w:r>
    </w:p>
    <w:p w:rsidR="00CC5CFF" w:rsidRPr="00CC5CFF" w:rsidRDefault="00CC5CFF" w:rsidP="00CC5CFF">
      <w:pPr>
        <w:spacing w:after="0" w:line="240" w:lineRule="auto"/>
        <w:jc w:val="center"/>
        <w:rPr>
          <w:sz w:val="24"/>
          <w:szCs w:val="24"/>
        </w:rPr>
      </w:pPr>
      <w:r w:rsidRPr="00CC5CFF">
        <w:rPr>
          <w:sz w:val="24"/>
          <w:szCs w:val="24"/>
        </w:rPr>
        <w:t>Office of Housing Counseling</w:t>
      </w:r>
    </w:p>
    <w:p w:rsidR="00CC5CFF" w:rsidRPr="00CC5CFF" w:rsidRDefault="00CC5CFF" w:rsidP="00CC5CFF">
      <w:pPr>
        <w:spacing w:after="0" w:line="240" w:lineRule="auto"/>
        <w:jc w:val="center"/>
        <w:rPr>
          <w:sz w:val="24"/>
          <w:szCs w:val="24"/>
        </w:rPr>
      </w:pPr>
      <w:r w:rsidRPr="00CC5CFF">
        <w:rPr>
          <w:sz w:val="24"/>
          <w:szCs w:val="24"/>
        </w:rPr>
        <w:t>U.S. Department of Housing and Urban Development</w:t>
      </w:r>
    </w:p>
    <w:p w:rsidR="009E118C" w:rsidRPr="001A7858" w:rsidRDefault="0050120C" w:rsidP="00CC5CF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sz w:val="24"/>
          <w:szCs w:val="24"/>
        </w:rPr>
      </w:pPr>
      <w:r w:rsidRPr="001A7858">
        <w:rPr>
          <w:rFonts w:ascii="Helvetica" w:hAnsi="Helvetica"/>
          <w:sz w:val="24"/>
          <w:szCs w:val="24"/>
        </w:rPr>
        <w:t>OMB Control Number 2502-</w:t>
      </w:r>
      <w:r w:rsidR="00CC5CFF" w:rsidRPr="001A7858">
        <w:rPr>
          <w:rFonts w:ascii="Helvetica" w:hAnsi="Helvetica"/>
          <w:sz w:val="24"/>
          <w:szCs w:val="24"/>
        </w:rPr>
        <w:t>0606</w:t>
      </w:r>
    </w:p>
    <w:p w:rsidR="00CC5CFF" w:rsidRPr="00CC5CFF" w:rsidRDefault="00CC5CFF" w:rsidP="00CC5CFF">
      <w:pPr>
        <w:spacing w:after="0" w:line="240" w:lineRule="auto"/>
        <w:ind w:left="120" w:right="-120"/>
        <w:jc w:val="center"/>
        <w:rPr>
          <w:rFonts w:ascii="Helvetica" w:hAnsi="Helvetica"/>
          <w:sz w:val="24"/>
          <w:szCs w:val="24"/>
        </w:rPr>
      </w:pPr>
      <w:r w:rsidRPr="00CC5CFF">
        <w:rPr>
          <w:rFonts w:ascii="Helvetica" w:hAnsi="Helvetica"/>
          <w:sz w:val="24"/>
          <w:szCs w:val="24"/>
        </w:rPr>
        <w:t>90005-HCFAC</w:t>
      </w:r>
    </w:p>
    <w:p w:rsidR="009E118C" w:rsidRPr="00CC5CFF"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szCs w:val="24"/>
        </w:rPr>
      </w:pPr>
    </w:p>
    <w:p w:rsidR="009E118C" w:rsidRPr="00CC70C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CC70CC">
        <w:rPr>
          <w:rFonts w:ascii="Times New Roman" w:hAnsi="Times New Roman" w:cs="Times New Roman"/>
          <w:b/>
          <w:sz w:val="24"/>
          <w:szCs w:val="24"/>
        </w:rPr>
        <w:t xml:space="preserve">A. </w:t>
      </w:r>
      <w:r w:rsidRPr="00CC70CC">
        <w:rPr>
          <w:rFonts w:ascii="Times New Roman" w:hAnsi="Times New Roman" w:cs="Times New Roman"/>
          <w:b/>
          <w:sz w:val="24"/>
          <w:szCs w:val="24"/>
        </w:rPr>
        <w:tab/>
        <w:t>Justification</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C5CFF" w:rsidRPr="00CC70CC" w:rsidRDefault="00CC5CFF" w:rsidP="00CC5CFF">
      <w:pPr>
        <w:rPr>
          <w:rFonts w:ascii="Times New Roman" w:hAnsi="Times New Roman" w:cs="Times New Roman"/>
          <w:sz w:val="24"/>
          <w:szCs w:val="24"/>
        </w:rPr>
      </w:pPr>
      <w:r w:rsidRPr="00CC70CC">
        <w:rPr>
          <w:rFonts w:ascii="Times New Roman" w:hAnsi="Times New Roman" w:cs="Times New Roman"/>
          <w:sz w:val="24"/>
          <w:szCs w:val="24"/>
        </w:rPr>
        <w:t xml:space="preserve">HUD established the Housing Counseling Federal Advisory Committee, as mandated by the Expand and Preserve Homeownership through Counseling Act, Public Law 111–203, title XIV, § 1441, July 21, 2010, 124 Stat. 2163 </w:t>
      </w:r>
      <w:r w:rsidRPr="00CC70CC">
        <w:rPr>
          <w:rFonts w:ascii="Times New Roman" w:hAnsi="Times New Roman" w:cs="Times New Roman"/>
          <w:bCs/>
          <w:sz w:val="24"/>
          <w:szCs w:val="24"/>
        </w:rPr>
        <w:t xml:space="preserve">(Act), </w:t>
      </w:r>
      <w:r w:rsidRPr="00CC70CC">
        <w:rPr>
          <w:rFonts w:ascii="Times New Roman" w:hAnsi="Times New Roman" w:cs="Times New Roman"/>
          <w:sz w:val="24"/>
          <w:szCs w:val="24"/>
        </w:rPr>
        <w:t>42 USC 3533(g)</w:t>
      </w:r>
      <w:r w:rsidRPr="00CC70CC">
        <w:rPr>
          <w:rFonts w:ascii="Times New Roman" w:hAnsi="Times New Roman" w:cs="Times New Roman"/>
          <w:bCs/>
          <w:sz w:val="24"/>
          <w:szCs w:val="24"/>
        </w:rPr>
        <w:t>. The appropriate sections of the Act are attached.</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2. Indicate how, by whom, and for what purpose the information is to be used. Except for a new collection, indicate the actual use the agency has made of the information received from the current collection. </w:t>
      </w:r>
    </w:p>
    <w:p w:rsidR="00CC5CFF" w:rsidRPr="00CC70CC" w:rsidRDefault="00CC5CFF" w:rsidP="00CC5CFF">
      <w:pPr>
        <w:spacing w:after="0" w:line="240" w:lineRule="auto"/>
        <w:ind w:left="120" w:right="-120"/>
        <w:rPr>
          <w:rFonts w:ascii="Times New Roman" w:hAnsi="Times New Roman" w:cs="Times New Roman"/>
          <w:sz w:val="24"/>
          <w:szCs w:val="24"/>
        </w:rPr>
      </w:pPr>
      <w:r w:rsidRPr="00CC70CC">
        <w:rPr>
          <w:rFonts w:ascii="Times New Roman" w:hAnsi="Times New Roman" w:cs="Times New Roman"/>
          <w:bCs/>
          <w:sz w:val="24"/>
          <w:szCs w:val="24"/>
        </w:rPr>
        <w:t xml:space="preserve">The information to be collected uses The Housing Counseling Federal Advisory Committee (HCFAC) Membership Application Form </w:t>
      </w:r>
      <w:r w:rsidRPr="00CC70CC">
        <w:rPr>
          <w:rFonts w:ascii="Times New Roman" w:hAnsi="Times New Roman" w:cs="Times New Roman"/>
          <w:sz w:val="24"/>
          <w:szCs w:val="24"/>
        </w:rPr>
        <w:t>90005-HCFA</w:t>
      </w:r>
      <w:r w:rsidRPr="00CC70CC">
        <w:rPr>
          <w:rFonts w:ascii="Times New Roman" w:hAnsi="Times New Roman" w:cs="Times New Roman"/>
          <w:bCs/>
          <w:sz w:val="24"/>
          <w:szCs w:val="24"/>
        </w:rPr>
        <w:t xml:space="preserve">. The information will be used by HUD’s Office of Housing Counseling to select and recommend to the Secretary for appointment the members of the Housing Counseling Federal Advisory Committee to ensure the members meet the requirements of the </w:t>
      </w:r>
      <w:r w:rsidRPr="00CC70CC">
        <w:rPr>
          <w:rFonts w:ascii="Times New Roman" w:hAnsi="Times New Roman" w:cs="Times New Roman"/>
          <w:sz w:val="24"/>
          <w:szCs w:val="24"/>
        </w:rPr>
        <w:t>Expand and Preserve Homeownership through Counseling Act</w:t>
      </w:r>
      <w:r w:rsidRPr="00CC70CC">
        <w:rPr>
          <w:rFonts w:ascii="Times New Roman" w:hAnsi="Times New Roman" w:cs="Times New Roman"/>
          <w:bCs/>
          <w:sz w:val="24"/>
          <w:szCs w:val="24"/>
        </w:rPr>
        <w:t xml:space="preserve"> and of the Federal Advisory Committee Act. Nominations may be made by agency officials, members of Congress, the general public, professional organizations, and the nominee. Nominations can be made anywhere in the country</w:t>
      </w:r>
    </w:p>
    <w:p w:rsidR="00A72C66" w:rsidRPr="00CC70CC" w:rsidRDefault="00A72C66" w:rsidP="00075224">
      <w:pPr>
        <w:rPr>
          <w:rFonts w:ascii="Times New Roman" w:hAnsi="Times New Roman" w:cs="Times New Roman"/>
          <w:sz w:val="24"/>
          <w:szCs w:val="24"/>
        </w:rPr>
      </w:pP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72C66" w:rsidRPr="00CC70CC" w:rsidRDefault="00A72C66" w:rsidP="00A72C66">
      <w:pPr>
        <w:rPr>
          <w:rFonts w:ascii="Times New Roman" w:hAnsi="Times New Roman" w:cs="Times New Roman"/>
          <w:sz w:val="24"/>
          <w:szCs w:val="24"/>
        </w:rPr>
      </w:pPr>
      <w:r w:rsidRPr="00CC70CC">
        <w:rPr>
          <w:rFonts w:ascii="Times New Roman" w:hAnsi="Times New Roman" w:cs="Times New Roman"/>
          <w:sz w:val="24"/>
          <w:szCs w:val="24"/>
        </w:rPr>
        <w:t xml:space="preserve">Interested parties will be able to submit the </w:t>
      </w:r>
      <w:r w:rsidRPr="00CC70CC">
        <w:rPr>
          <w:rFonts w:ascii="Times New Roman" w:hAnsi="Times New Roman" w:cs="Times New Roman"/>
          <w:bCs/>
          <w:sz w:val="24"/>
          <w:szCs w:val="24"/>
        </w:rPr>
        <w:t>HCFAC Membership Application Form electronically through email as well as through regular mail. No other automated or electronic methods will be used. The Office of Housing Counseling determined the email submissions make the submission on the HCFAC Membership Application Form easier and therefore reduces burden. A secure SharePoint site will be established for the storage of these data.</w:t>
      </w:r>
    </w:p>
    <w:p w:rsidR="00A72C66" w:rsidRPr="00CC70CC" w:rsidRDefault="00A72C66" w:rsidP="00075224">
      <w:pPr>
        <w:rPr>
          <w:rFonts w:ascii="Times New Roman" w:hAnsi="Times New Roman" w:cs="Times New Roman"/>
          <w:sz w:val="24"/>
          <w:szCs w:val="24"/>
        </w:rPr>
      </w:pPr>
    </w:p>
    <w:p w:rsidR="005F439A"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lastRenderedPageBreak/>
        <w:t>4. Describe efforts to identify duplication. Show specifically why any similar information already available cannot be used or modified for use for the purposes described in Item 2 above</w:t>
      </w:r>
    </w:p>
    <w:p w:rsidR="005F439A" w:rsidRPr="00CC70CC" w:rsidRDefault="005F439A" w:rsidP="005F439A">
      <w:pPr>
        <w:rPr>
          <w:rFonts w:ascii="Times New Roman" w:hAnsi="Times New Roman" w:cs="Times New Roman"/>
          <w:sz w:val="24"/>
          <w:szCs w:val="24"/>
        </w:rPr>
      </w:pPr>
      <w:r w:rsidRPr="00CC70CC">
        <w:rPr>
          <w:rFonts w:ascii="Times New Roman" w:hAnsi="Times New Roman" w:cs="Times New Roman"/>
          <w:bCs/>
          <w:sz w:val="24"/>
          <w:szCs w:val="24"/>
        </w:rPr>
        <w:t>There is no duplication. As this is a new Federal Advisory Committee, there is no similar information available.</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.5. If the collection of information impacts small businesses or other small entities (Item 5 of OMB Form 83-I), describe any methods used to minimize burden. </w:t>
      </w:r>
    </w:p>
    <w:p w:rsidR="005F439A" w:rsidRPr="00CC70CC" w:rsidRDefault="005F439A" w:rsidP="005F439A">
      <w:pPr>
        <w:pStyle w:val="ListParagraph"/>
        <w:ind w:left="0"/>
      </w:pPr>
      <w:r w:rsidRPr="00CC70CC">
        <w:rPr>
          <w:bCs/>
        </w:rPr>
        <w:t>There is no impact on small business or other small entities as the potential respondents are individuals.</w:t>
      </w:r>
    </w:p>
    <w:p w:rsidR="005F439A" w:rsidRPr="00CC70CC" w:rsidRDefault="005F439A" w:rsidP="00075224">
      <w:pPr>
        <w:rPr>
          <w:rFonts w:ascii="Times New Roman" w:hAnsi="Times New Roman" w:cs="Times New Roman"/>
          <w:sz w:val="24"/>
          <w:szCs w:val="24"/>
        </w:rPr>
      </w:pP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6. Describe the consequence to Federal program or policy activities if the collection is not conducted or is conducted less frequently, as well as any technical or legal obstacles to reducing burden. </w:t>
      </w:r>
    </w:p>
    <w:p w:rsidR="005F439A" w:rsidRPr="00CC70CC" w:rsidRDefault="005F439A" w:rsidP="005F439A">
      <w:pPr>
        <w:rPr>
          <w:rFonts w:ascii="Times New Roman" w:hAnsi="Times New Roman" w:cs="Times New Roman"/>
          <w:sz w:val="24"/>
          <w:szCs w:val="24"/>
        </w:rPr>
      </w:pPr>
      <w:r w:rsidRPr="00CC70CC">
        <w:rPr>
          <w:rFonts w:ascii="Times New Roman" w:hAnsi="Times New Roman" w:cs="Times New Roman"/>
          <w:bCs/>
          <w:sz w:val="24"/>
          <w:szCs w:val="24"/>
        </w:rPr>
        <w:t xml:space="preserve">If this information on the HCFAC Membership Application Form is not collected, HUD’s Office of Housing Counseling will not be able to select and recommend to the Secretary for appointment the members of the Housing Counseling Federal Advisory Committee to ensure the members meet the requirements of the </w:t>
      </w:r>
      <w:r w:rsidRPr="00CC70CC">
        <w:rPr>
          <w:rFonts w:ascii="Times New Roman" w:hAnsi="Times New Roman" w:cs="Times New Roman"/>
          <w:sz w:val="24"/>
          <w:szCs w:val="24"/>
        </w:rPr>
        <w:t>Expand and Preserve Homeownership through Counseling Act</w:t>
      </w:r>
      <w:r w:rsidRPr="00CC70CC">
        <w:rPr>
          <w:rFonts w:ascii="Times New Roman" w:hAnsi="Times New Roman" w:cs="Times New Roman"/>
          <w:bCs/>
          <w:sz w:val="24"/>
          <w:szCs w:val="24"/>
        </w:rPr>
        <w:t xml:space="preserve"> and of the Federal Advisory Committee Act.</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7. Explain any special circumstances that would cause an information collection to be conducted in a manner: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requiring respondents to report information to the agency more often than quarterly;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requiring respondents to prepare a written response to a collection of information in fewer than 30 days after receipt of it;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requiring the use of a statistical data classification that has not been reviewed and approved by OMB;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lastRenderedPageBreak/>
        <w:t xml:space="preserve">* requiring respondents to submit proprietary trade secrets, or other confidential information unless the agency can demonstrate that it has instituted procedures to protect the information's confidentiality to the extent permitted by law. </w:t>
      </w:r>
    </w:p>
    <w:p w:rsidR="005F439A" w:rsidRPr="00CC70CC" w:rsidRDefault="005F439A" w:rsidP="00075224">
      <w:pPr>
        <w:rPr>
          <w:rFonts w:ascii="Times New Roman" w:hAnsi="Times New Roman" w:cs="Times New Roman"/>
          <w:sz w:val="24"/>
          <w:szCs w:val="24"/>
        </w:rPr>
      </w:pPr>
      <w:r w:rsidRPr="00CC70CC">
        <w:rPr>
          <w:rFonts w:ascii="Times New Roman" w:hAnsi="Times New Roman" w:cs="Times New Roman"/>
          <w:sz w:val="24"/>
          <w:szCs w:val="24"/>
        </w:rPr>
        <w:t>The information will not be collected more than quarterly and will not require written response, retention of records, submission of confidential information, etc. It is not a statistical survey. There is no pledge of confidentiality. Respondents will not be asked to submit proprietary trade secrets or confid</w:t>
      </w:r>
      <w:r w:rsidR="004037E5" w:rsidRPr="00CC70CC">
        <w:rPr>
          <w:rFonts w:ascii="Times New Roman" w:hAnsi="Times New Roman" w:cs="Times New Roman"/>
          <w:sz w:val="24"/>
          <w:szCs w:val="24"/>
        </w:rPr>
        <w:t>ential information.</w:t>
      </w:r>
    </w:p>
    <w:p w:rsidR="00075224" w:rsidRPr="00CC70CC" w:rsidRDefault="005F439A" w:rsidP="00075224">
      <w:pPr>
        <w:rPr>
          <w:rFonts w:ascii="Times New Roman" w:hAnsi="Times New Roman" w:cs="Times New Roman"/>
          <w:sz w:val="24"/>
          <w:szCs w:val="24"/>
        </w:rPr>
      </w:pPr>
      <w:r w:rsidRPr="00CC70CC">
        <w:rPr>
          <w:rFonts w:ascii="Times New Roman" w:hAnsi="Times New Roman" w:cs="Times New Roman"/>
          <w:sz w:val="24"/>
          <w:szCs w:val="24"/>
        </w:rPr>
        <w:t xml:space="preserve"> </w:t>
      </w:r>
      <w:r w:rsidR="00075224" w:rsidRPr="00CC70CC">
        <w:rPr>
          <w:rFonts w:ascii="Times New Roman" w:hAnsi="Times New Roman" w:cs="Times New Roman"/>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26560D" w:rsidRPr="00CC70CC" w:rsidRDefault="0026560D" w:rsidP="00075224">
      <w:pPr>
        <w:rPr>
          <w:rFonts w:ascii="Times New Roman" w:hAnsi="Times New Roman" w:cs="Times New Roman"/>
          <w:sz w:val="24"/>
          <w:szCs w:val="24"/>
        </w:rPr>
      </w:pPr>
      <w:r w:rsidRPr="00CC70CC">
        <w:rPr>
          <w:rFonts w:ascii="Times New Roman" w:hAnsi="Times New Roman" w:cs="Times New Roman"/>
          <w:sz w:val="24"/>
          <w:szCs w:val="24"/>
        </w:rPr>
        <w:t>Both 60-day and 30-day notices were published. No comments were received.</w:t>
      </w:r>
    </w:p>
    <w:p w:rsidR="0026560D" w:rsidRPr="00CC70CC" w:rsidRDefault="0026560D" w:rsidP="00075224">
      <w:pPr>
        <w:rPr>
          <w:rFonts w:ascii="Times New Roman" w:eastAsia="Arial Unicode MS" w:hAnsi="Times New Roman" w:cs="Times New Roman"/>
          <w:sz w:val="24"/>
          <w:szCs w:val="24"/>
        </w:rPr>
      </w:pPr>
      <w:r w:rsidRPr="00CC70CC">
        <w:rPr>
          <w:rFonts w:ascii="Times New Roman" w:hAnsi="Times New Roman" w:cs="Times New Roman"/>
          <w:sz w:val="24"/>
          <w:szCs w:val="24"/>
        </w:rPr>
        <w:tab/>
      </w:r>
      <w:r w:rsidRPr="00CC70CC">
        <w:rPr>
          <w:rFonts w:ascii="Times New Roman" w:eastAsia="Arial Unicode MS" w:hAnsi="Times New Roman" w:cs="Times New Roman"/>
          <w:sz w:val="24"/>
          <w:szCs w:val="24"/>
        </w:rPr>
        <w:t>FR–5687–N–08 Notice of Proposed Information Collection; Comment Request: The Housing Counseling Federal Advisory Committee Membership Application (3-5-2013)</w:t>
      </w:r>
    </w:p>
    <w:p w:rsidR="0026560D" w:rsidRPr="00CC70CC" w:rsidRDefault="0026560D" w:rsidP="00D6600B">
      <w:pPr>
        <w:ind w:firstLine="720"/>
        <w:rPr>
          <w:rFonts w:ascii="Times New Roman" w:eastAsia="Arial Unicode MS" w:hAnsi="Times New Roman" w:cs="Times New Roman"/>
          <w:sz w:val="24"/>
          <w:szCs w:val="24"/>
        </w:rPr>
      </w:pPr>
      <w:r w:rsidRPr="00CC70CC">
        <w:rPr>
          <w:rFonts w:ascii="Times New Roman" w:eastAsia="Arial Unicode MS" w:hAnsi="Times New Roman" w:cs="Times New Roman"/>
          <w:sz w:val="24"/>
          <w:szCs w:val="24"/>
        </w:rPr>
        <w:t>FR–5683–N–46 30-Day Notice of Proposed Information Collection: The Housing Counseling Federal Advisory Committee Membership Application</w:t>
      </w:r>
      <w:r w:rsidR="00D6600B" w:rsidRPr="00CC70CC">
        <w:rPr>
          <w:rFonts w:ascii="Times New Roman" w:eastAsia="Arial Unicode MS" w:hAnsi="Times New Roman" w:cs="Times New Roman"/>
          <w:sz w:val="24"/>
          <w:szCs w:val="24"/>
        </w:rPr>
        <w:t xml:space="preserve"> (6-18-2013)</w:t>
      </w:r>
    </w:p>
    <w:p w:rsidR="00D6600B" w:rsidRPr="00CC70CC" w:rsidRDefault="00D6600B" w:rsidP="00D6600B">
      <w:pPr>
        <w:rPr>
          <w:rFonts w:ascii="Times New Roman" w:eastAsia="Arial Unicode MS" w:hAnsi="Times New Roman" w:cs="Times New Roman"/>
          <w:sz w:val="24"/>
          <w:szCs w:val="24"/>
        </w:rPr>
      </w:pPr>
      <w:r w:rsidRPr="00CC70CC">
        <w:rPr>
          <w:rFonts w:ascii="Times New Roman" w:eastAsia="Arial Unicode MS" w:hAnsi="Times New Roman" w:cs="Times New Roman"/>
          <w:sz w:val="24"/>
          <w:szCs w:val="24"/>
        </w:rPr>
        <w:t>Persons outside the agency were consulted as to their actual experiences completing the Membership form.</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9. Explain any decision to provide any payment or gift to respondents, other than </w:t>
      </w:r>
      <w:r w:rsidR="00CC70CC" w:rsidRPr="00CC70CC">
        <w:rPr>
          <w:rFonts w:ascii="Times New Roman" w:hAnsi="Times New Roman" w:cs="Times New Roman"/>
          <w:sz w:val="24"/>
          <w:szCs w:val="24"/>
        </w:rPr>
        <w:t>remuneration</w:t>
      </w:r>
      <w:r w:rsidRPr="00CC70CC">
        <w:rPr>
          <w:rFonts w:ascii="Times New Roman" w:hAnsi="Times New Roman" w:cs="Times New Roman"/>
          <w:sz w:val="24"/>
          <w:szCs w:val="24"/>
        </w:rPr>
        <w:t xml:space="preserve"> of contractors or grantees. </w:t>
      </w:r>
    </w:p>
    <w:p w:rsidR="004037E5" w:rsidRPr="00CC70CC" w:rsidRDefault="004037E5" w:rsidP="004037E5">
      <w:pPr>
        <w:rPr>
          <w:rFonts w:ascii="Times New Roman" w:hAnsi="Times New Roman" w:cs="Times New Roman"/>
          <w:sz w:val="24"/>
          <w:szCs w:val="24"/>
        </w:rPr>
      </w:pPr>
      <w:r w:rsidRPr="00CC70CC">
        <w:rPr>
          <w:rFonts w:ascii="Times New Roman" w:hAnsi="Times New Roman" w:cs="Times New Roman"/>
          <w:sz w:val="24"/>
          <w:szCs w:val="24"/>
        </w:rPr>
        <w:t>No payment or gifts will be provided to the respondents. Members of the Committee shall serve without pay but shall receive travel expenses including per diem in lieu of subsistence as authorized by 5 U.S.C 5703.</w:t>
      </w:r>
    </w:p>
    <w:p w:rsidR="004037E5"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10. Describe any assurance of confidentiality provided to respondents and the basis for the assurance in statute, regulation, or agency policy. </w:t>
      </w:r>
    </w:p>
    <w:p w:rsidR="004037E5" w:rsidRPr="00CC70CC" w:rsidRDefault="004037E5" w:rsidP="004037E5">
      <w:pPr>
        <w:rPr>
          <w:rFonts w:ascii="Times New Roman" w:hAnsi="Times New Roman" w:cs="Times New Roman"/>
          <w:sz w:val="24"/>
          <w:szCs w:val="24"/>
        </w:rPr>
      </w:pPr>
      <w:r w:rsidRPr="00CC70CC">
        <w:rPr>
          <w:rFonts w:ascii="Times New Roman" w:hAnsi="Times New Roman" w:cs="Times New Roman"/>
          <w:sz w:val="24"/>
          <w:szCs w:val="24"/>
        </w:rPr>
        <w:t xml:space="preserve">The </w:t>
      </w:r>
      <w:r w:rsidRPr="00CC70CC">
        <w:rPr>
          <w:rFonts w:ascii="Times New Roman" w:hAnsi="Times New Roman" w:cs="Times New Roman"/>
          <w:bCs/>
          <w:sz w:val="24"/>
          <w:szCs w:val="24"/>
        </w:rPr>
        <w:t>HCFAC Membership Application Form and instructions assures the respondents that all information will be kept confidential. The HCFAC Membership Application Form does not ask for social security numbers nor will the social security numbers be requested at any time in the process.</w:t>
      </w:r>
    </w:p>
    <w:p w:rsidR="004037E5" w:rsidRPr="00CC70CC" w:rsidRDefault="004037E5" w:rsidP="004037E5">
      <w:pPr>
        <w:rPr>
          <w:rFonts w:ascii="Times New Roman" w:hAnsi="Times New Roman" w:cs="Times New Roman"/>
          <w:sz w:val="24"/>
          <w:szCs w:val="24"/>
        </w:rPr>
      </w:pPr>
      <w:r w:rsidRPr="00CC70CC">
        <w:rPr>
          <w:rFonts w:ascii="Times New Roman" w:hAnsi="Times New Roman" w:cs="Times New Roman"/>
          <w:sz w:val="24"/>
          <w:szCs w:val="24"/>
        </w:rPr>
        <w:lastRenderedPageBreak/>
        <w:t>Members will be designated as Special Government Employees (SGE). Individuals who serve on advisory committees as SGEs are appointed to a committee to exercise their own individual best judgment on behalf of the Government. It is expected that SGEs will discuss and deliberate in a manner that is free from conflicts of interest.</w:t>
      </w:r>
    </w:p>
    <w:p w:rsidR="004037E5" w:rsidRPr="00CC70CC" w:rsidRDefault="004037E5" w:rsidP="004037E5">
      <w:pPr>
        <w:rPr>
          <w:rFonts w:ascii="Times New Roman" w:hAnsi="Times New Roman" w:cs="Times New Roman"/>
          <w:sz w:val="24"/>
          <w:szCs w:val="24"/>
        </w:rPr>
      </w:pPr>
      <w:r w:rsidRPr="00CC70CC">
        <w:rPr>
          <w:rFonts w:ascii="Times New Roman" w:hAnsi="Times New Roman" w:cs="Times New Roman"/>
          <w:sz w:val="24"/>
          <w:szCs w:val="24"/>
        </w:rPr>
        <w:t>Members of the Committee shall be screened by HUD prior to appointment. The screening will include conflict of interest issues, financial issues and other ethics issues. Members will be required to adhere to the conflict of interest rules applicable to Special Government Employees as such employees are defined in 18 U.S.C. Section 202(a). The rules include relevant provisions in 18 U.S.C. related to criminal activity, Standards of Ethical Conduct for Employees of the Executive Branch (5 CFR part 2635), and Executive Order 12674 (as modified by Executive Order 12731).</w:t>
      </w:r>
    </w:p>
    <w:p w:rsidR="004037E5" w:rsidRPr="00CC70CC" w:rsidRDefault="004037E5" w:rsidP="004037E5">
      <w:pPr>
        <w:pStyle w:val="ListParagraph"/>
        <w:ind w:left="0"/>
      </w:pPr>
      <w:r w:rsidRPr="00CC70CC">
        <w:t xml:space="preserve">Applicants must state in their application that they agree to submit to these pre-appointment screenings which include the submission of form OGE-450 (Confidential Financial Disclosure Report). The Office of General Counsel will receive and review the submitted forms. Any information related to the screening will be kept confidential. A secure SharePoint site </w:t>
      </w:r>
      <w:r w:rsidR="00CC70CC" w:rsidRPr="00CC70CC">
        <w:t>has</w:t>
      </w:r>
      <w:r w:rsidR="00404016" w:rsidRPr="00CC70CC">
        <w:t xml:space="preserve"> been</w:t>
      </w:r>
      <w:r w:rsidRPr="00CC70CC">
        <w:t xml:space="preserve"> set-up to store the applications and other member information, not including the OGE-450 which will be maintained by the Office of General Counsel.</w:t>
      </w:r>
    </w:p>
    <w:p w:rsidR="004037E5" w:rsidRPr="00CC70CC" w:rsidRDefault="004037E5" w:rsidP="004037E5">
      <w:pPr>
        <w:pStyle w:val="Default"/>
        <w:rPr>
          <w:rFonts w:ascii="Times New Roman" w:hAnsi="Times New Roman" w:cs="Times New Roman"/>
          <w:color w:val="auto"/>
        </w:rPr>
      </w:pP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w:t>
      </w:r>
      <w:r w:rsidR="004037E5" w:rsidRPr="00CC70CC">
        <w:rPr>
          <w:rFonts w:ascii="Times New Roman" w:hAnsi="Times New Roman" w:cs="Times New Roman"/>
          <w:sz w:val="24"/>
          <w:szCs w:val="24"/>
        </w:rPr>
        <w:t>to be given to persons from who</w:t>
      </w:r>
      <w:r w:rsidRPr="00CC70CC">
        <w:rPr>
          <w:rFonts w:ascii="Times New Roman" w:hAnsi="Times New Roman" w:cs="Times New Roman"/>
          <w:sz w:val="24"/>
          <w:szCs w:val="24"/>
        </w:rPr>
        <w:t xml:space="preserve"> the information is requested, and any steps to be taken to obtain their consent. </w:t>
      </w:r>
    </w:p>
    <w:p w:rsidR="004037E5" w:rsidRPr="00CC70CC" w:rsidRDefault="004037E5" w:rsidP="004037E5">
      <w:pPr>
        <w:rPr>
          <w:rFonts w:ascii="Times New Roman" w:hAnsi="Times New Roman" w:cs="Times New Roman"/>
          <w:bCs/>
          <w:sz w:val="24"/>
          <w:szCs w:val="24"/>
        </w:rPr>
      </w:pPr>
      <w:r w:rsidRPr="00CC70CC">
        <w:rPr>
          <w:rFonts w:ascii="Times New Roman" w:hAnsi="Times New Roman" w:cs="Times New Roman"/>
          <w:bCs/>
          <w:sz w:val="24"/>
          <w:szCs w:val="24"/>
        </w:rPr>
        <w:t xml:space="preserve">There are no questions of a sensitive nature. The respondents are told that any demographic information is optional. </w:t>
      </w:r>
    </w:p>
    <w:p w:rsidR="004037E5" w:rsidRPr="00CC70CC" w:rsidRDefault="004037E5" w:rsidP="004037E5">
      <w:pPr>
        <w:rPr>
          <w:rFonts w:ascii="Times New Roman" w:hAnsi="Times New Roman" w:cs="Times New Roman"/>
          <w:bCs/>
          <w:sz w:val="24"/>
          <w:szCs w:val="24"/>
        </w:rPr>
      </w:pPr>
      <w:r w:rsidRPr="00CC70CC">
        <w:rPr>
          <w:rFonts w:ascii="Times New Roman" w:hAnsi="Times New Roman" w:cs="Times New Roman"/>
          <w:bCs/>
          <w:sz w:val="24"/>
          <w:szCs w:val="24"/>
        </w:rPr>
        <w:t xml:space="preserve"> Selection of members is based on candidates’ qualifications to contribute to the accomplishment of HCFAC’s as reflected in the Mission Statement   In accordance with the </w:t>
      </w:r>
      <w:r w:rsidR="00771F9E" w:rsidRPr="00CC70CC">
        <w:rPr>
          <w:rFonts w:ascii="Times New Roman" w:hAnsi="Times New Roman" w:cs="Times New Roman"/>
          <w:bCs/>
          <w:sz w:val="24"/>
          <w:szCs w:val="24"/>
        </w:rPr>
        <w:t>Federal Advisory Committee Act,</w:t>
      </w:r>
      <w:r w:rsidRPr="00CC70CC">
        <w:rPr>
          <w:rFonts w:ascii="Times New Roman" w:hAnsi="Times New Roman" w:cs="Times New Roman"/>
          <w:bCs/>
          <w:sz w:val="24"/>
          <w:szCs w:val="24"/>
        </w:rPr>
        <w:t xml:space="preserve"> HCFAC membership will be balanced to include a broad representation of geographic areas within the U.S., with equitable representation of the sexes, ethnic and racial minorities, and the handicapped. Nominees must be U.S. citizens, and cannot be full-time employees of the U.S. Government.</w:t>
      </w:r>
    </w:p>
    <w:p w:rsidR="004037E5" w:rsidRPr="00CC70CC" w:rsidRDefault="00771F9E" w:rsidP="004037E5">
      <w:pPr>
        <w:rPr>
          <w:rFonts w:ascii="Times New Roman" w:hAnsi="Times New Roman" w:cs="Times New Roman"/>
          <w:sz w:val="24"/>
          <w:szCs w:val="24"/>
        </w:rPr>
      </w:pPr>
      <w:r w:rsidRPr="00CC70CC">
        <w:rPr>
          <w:rFonts w:ascii="Times New Roman" w:hAnsi="Times New Roman" w:cs="Times New Roman"/>
          <w:bCs/>
          <w:sz w:val="24"/>
          <w:szCs w:val="24"/>
        </w:rPr>
        <w:t>According to the</w:t>
      </w:r>
      <w:r w:rsidRPr="00CC70CC">
        <w:rPr>
          <w:rFonts w:ascii="Times New Roman" w:hAnsi="Times New Roman" w:cs="Times New Roman"/>
          <w:sz w:val="24"/>
          <w:szCs w:val="24"/>
        </w:rPr>
        <w:t xml:space="preserve"> Expand and Preserve Homeownership through Counseling Act</w:t>
      </w:r>
      <w:r w:rsidRPr="00CC70CC">
        <w:rPr>
          <w:rFonts w:ascii="Times New Roman" w:hAnsi="Times New Roman" w:cs="Times New Roman"/>
          <w:bCs/>
          <w:sz w:val="24"/>
          <w:szCs w:val="24"/>
        </w:rPr>
        <w:t xml:space="preserve"> </w:t>
      </w:r>
      <w:r w:rsidR="004037E5" w:rsidRPr="00CC70CC">
        <w:rPr>
          <w:rFonts w:ascii="Times New Roman" w:hAnsi="Times New Roman" w:cs="Times New Roman"/>
          <w:bCs/>
          <w:sz w:val="24"/>
          <w:szCs w:val="24"/>
        </w:rPr>
        <w:t xml:space="preserve">The </w:t>
      </w:r>
      <w:r w:rsidRPr="00CC70CC">
        <w:rPr>
          <w:rFonts w:ascii="Times New Roman" w:hAnsi="Times New Roman" w:cs="Times New Roman"/>
          <w:bCs/>
          <w:sz w:val="24"/>
          <w:szCs w:val="24"/>
        </w:rPr>
        <w:t xml:space="preserve">HCFAC </w:t>
      </w:r>
      <w:r w:rsidR="004037E5" w:rsidRPr="00CC70CC">
        <w:rPr>
          <w:rFonts w:ascii="Times New Roman" w:hAnsi="Times New Roman" w:cs="Times New Roman"/>
          <w:bCs/>
          <w:sz w:val="24"/>
          <w:szCs w:val="24"/>
        </w:rPr>
        <w:t>shall consist of no more than 12 individuals. The membership will equally represent the mortgage and real estate industry including consumers, and housing counseling agencies certified by the Secretary</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12. Provide estimates of the hour burden of the collection of information. The statement should: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CC70CC">
        <w:rPr>
          <w:rFonts w:ascii="Times New Roman" w:hAnsi="Times New Roman" w:cs="Times New Roman"/>
          <w:sz w:val="24"/>
          <w:szCs w:val="24"/>
        </w:rPr>
        <w:lastRenderedPageBreak/>
        <w:t xml:space="preserve">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If this request for approval covers more than one form, provide separate hour burden estimates for each form and aggregate the hour burdens in Item 13 of OMB Form 83-I.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bl>
      <w:tblPr>
        <w:tblStyle w:val="TableGrid"/>
        <w:tblW w:w="0" w:type="auto"/>
        <w:tblInd w:w="-342" w:type="dxa"/>
        <w:tblLook w:val="04A0" w:firstRow="1" w:lastRow="0" w:firstColumn="1" w:lastColumn="0" w:noHBand="0" w:noVBand="1"/>
      </w:tblPr>
      <w:tblGrid>
        <w:gridCol w:w="1866"/>
        <w:gridCol w:w="1523"/>
        <w:gridCol w:w="1263"/>
        <w:gridCol w:w="1430"/>
        <w:gridCol w:w="990"/>
        <w:gridCol w:w="950"/>
        <w:gridCol w:w="1176"/>
      </w:tblGrid>
      <w:tr w:rsidR="00CC70CC" w:rsidRPr="00CC70CC" w:rsidTr="00F138A6">
        <w:tc>
          <w:tcPr>
            <w:tcW w:w="1866" w:type="dxa"/>
          </w:tcPr>
          <w:p w:rsidR="004C7599" w:rsidRPr="00CC70CC" w:rsidRDefault="004C7599" w:rsidP="00F138A6">
            <w:pPr>
              <w:rPr>
                <w:b/>
                <w:sz w:val="24"/>
                <w:szCs w:val="24"/>
              </w:rPr>
            </w:pPr>
            <w:r w:rsidRPr="00CC70CC">
              <w:rPr>
                <w:b/>
                <w:sz w:val="24"/>
                <w:szCs w:val="24"/>
              </w:rPr>
              <w:t>Information Collection</w:t>
            </w:r>
          </w:p>
        </w:tc>
        <w:tc>
          <w:tcPr>
            <w:tcW w:w="1523" w:type="dxa"/>
          </w:tcPr>
          <w:p w:rsidR="004C7599" w:rsidRPr="00CC70CC" w:rsidRDefault="004C7599" w:rsidP="00F138A6">
            <w:pPr>
              <w:rPr>
                <w:b/>
                <w:sz w:val="24"/>
                <w:szCs w:val="24"/>
              </w:rPr>
            </w:pPr>
            <w:r w:rsidRPr="00CC70CC">
              <w:rPr>
                <w:b/>
                <w:sz w:val="24"/>
                <w:szCs w:val="24"/>
              </w:rPr>
              <w:t># of Respondents</w:t>
            </w:r>
          </w:p>
        </w:tc>
        <w:tc>
          <w:tcPr>
            <w:tcW w:w="1263" w:type="dxa"/>
          </w:tcPr>
          <w:p w:rsidR="004C7599" w:rsidRPr="00CC70CC" w:rsidRDefault="004C7599" w:rsidP="00F138A6">
            <w:pPr>
              <w:rPr>
                <w:b/>
                <w:sz w:val="24"/>
                <w:szCs w:val="24"/>
              </w:rPr>
            </w:pPr>
            <w:r w:rsidRPr="00CC70CC">
              <w:rPr>
                <w:b/>
                <w:sz w:val="24"/>
                <w:szCs w:val="24"/>
              </w:rPr>
              <w:t>Annual Responds</w:t>
            </w:r>
          </w:p>
        </w:tc>
        <w:tc>
          <w:tcPr>
            <w:tcW w:w="1430" w:type="dxa"/>
          </w:tcPr>
          <w:p w:rsidR="004C7599" w:rsidRPr="00CC70CC" w:rsidRDefault="004C7599" w:rsidP="00F138A6">
            <w:pPr>
              <w:rPr>
                <w:b/>
                <w:sz w:val="24"/>
                <w:szCs w:val="24"/>
              </w:rPr>
            </w:pPr>
            <w:r w:rsidRPr="00CC70CC">
              <w:rPr>
                <w:b/>
                <w:sz w:val="24"/>
                <w:szCs w:val="24"/>
              </w:rPr>
              <w:t>Burden Hour per Respondent</w:t>
            </w:r>
          </w:p>
        </w:tc>
        <w:tc>
          <w:tcPr>
            <w:tcW w:w="990" w:type="dxa"/>
          </w:tcPr>
          <w:p w:rsidR="004C7599" w:rsidRPr="00CC70CC" w:rsidRDefault="004C7599" w:rsidP="00F138A6">
            <w:pPr>
              <w:rPr>
                <w:b/>
                <w:sz w:val="24"/>
                <w:szCs w:val="24"/>
              </w:rPr>
            </w:pPr>
            <w:r w:rsidRPr="00CC70CC">
              <w:rPr>
                <w:b/>
                <w:sz w:val="24"/>
                <w:szCs w:val="24"/>
              </w:rPr>
              <w:t>Total Burden Hours</w:t>
            </w:r>
          </w:p>
        </w:tc>
        <w:tc>
          <w:tcPr>
            <w:tcW w:w="950" w:type="dxa"/>
          </w:tcPr>
          <w:p w:rsidR="004C7599" w:rsidRPr="00CC70CC" w:rsidRDefault="004C7599" w:rsidP="00F138A6">
            <w:pPr>
              <w:rPr>
                <w:b/>
                <w:sz w:val="24"/>
                <w:szCs w:val="24"/>
              </w:rPr>
            </w:pPr>
            <w:r w:rsidRPr="00CC70CC">
              <w:rPr>
                <w:b/>
                <w:sz w:val="24"/>
                <w:szCs w:val="24"/>
              </w:rPr>
              <w:t>Hourly Cost**</w:t>
            </w:r>
          </w:p>
        </w:tc>
        <w:tc>
          <w:tcPr>
            <w:tcW w:w="1176" w:type="dxa"/>
          </w:tcPr>
          <w:p w:rsidR="004C7599" w:rsidRPr="00CC70CC" w:rsidRDefault="004C7599" w:rsidP="00F138A6">
            <w:pPr>
              <w:rPr>
                <w:b/>
                <w:sz w:val="24"/>
                <w:szCs w:val="24"/>
              </w:rPr>
            </w:pPr>
            <w:r w:rsidRPr="00CC70CC">
              <w:rPr>
                <w:b/>
                <w:sz w:val="24"/>
                <w:szCs w:val="24"/>
              </w:rPr>
              <w:t>Total Annual</w:t>
            </w:r>
          </w:p>
          <w:p w:rsidR="004C7599" w:rsidRPr="00CC70CC" w:rsidRDefault="004C7599" w:rsidP="00F138A6">
            <w:pPr>
              <w:rPr>
                <w:b/>
                <w:sz w:val="24"/>
                <w:szCs w:val="24"/>
              </w:rPr>
            </w:pPr>
            <w:r w:rsidRPr="00CC70CC">
              <w:rPr>
                <w:b/>
                <w:sz w:val="24"/>
                <w:szCs w:val="24"/>
              </w:rPr>
              <w:t>Cost</w:t>
            </w:r>
          </w:p>
        </w:tc>
      </w:tr>
      <w:tr w:rsidR="00CC70CC" w:rsidRPr="00CC70CC" w:rsidTr="00F138A6">
        <w:tc>
          <w:tcPr>
            <w:tcW w:w="1866" w:type="dxa"/>
          </w:tcPr>
          <w:p w:rsidR="004C7599" w:rsidRPr="00CC70CC" w:rsidRDefault="004C7599" w:rsidP="00F138A6">
            <w:pPr>
              <w:rPr>
                <w:b/>
                <w:sz w:val="24"/>
                <w:szCs w:val="24"/>
              </w:rPr>
            </w:pPr>
            <w:r w:rsidRPr="00CC70CC">
              <w:rPr>
                <w:b/>
                <w:sz w:val="24"/>
                <w:szCs w:val="24"/>
              </w:rPr>
              <w:t>HCFAC Membership Application</w:t>
            </w:r>
          </w:p>
        </w:tc>
        <w:tc>
          <w:tcPr>
            <w:tcW w:w="1523" w:type="dxa"/>
          </w:tcPr>
          <w:p w:rsidR="004C7599" w:rsidRPr="00CC70CC" w:rsidRDefault="004C7599" w:rsidP="00F138A6">
            <w:pPr>
              <w:rPr>
                <w:b/>
                <w:sz w:val="24"/>
                <w:szCs w:val="24"/>
              </w:rPr>
            </w:pPr>
            <w:r w:rsidRPr="00CC70CC">
              <w:rPr>
                <w:b/>
                <w:sz w:val="24"/>
                <w:szCs w:val="24"/>
              </w:rPr>
              <w:t>150</w:t>
            </w:r>
          </w:p>
        </w:tc>
        <w:tc>
          <w:tcPr>
            <w:tcW w:w="1263" w:type="dxa"/>
          </w:tcPr>
          <w:p w:rsidR="004C7599" w:rsidRPr="00CC70CC" w:rsidRDefault="004C7599" w:rsidP="00F138A6">
            <w:pPr>
              <w:rPr>
                <w:b/>
                <w:sz w:val="24"/>
                <w:szCs w:val="24"/>
              </w:rPr>
            </w:pPr>
            <w:r w:rsidRPr="00CC70CC">
              <w:rPr>
                <w:b/>
                <w:sz w:val="24"/>
                <w:szCs w:val="24"/>
              </w:rPr>
              <w:t>150</w:t>
            </w:r>
          </w:p>
        </w:tc>
        <w:tc>
          <w:tcPr>
            <w:tcW w:w="1430" w:type="dxa"/>
          </w:tcPr>
          <w:p w:rsidR="004C7599" w:rsidRPr="00CC70CC" w:rsidRDefault="0082193C" w:rsidP="00F138A6">
            <w:pPr>
              <w:rPr>
                <w:b/>
                <w:sz w:val="24"/>
                <w:szCs w:val="24"/>
              </w:rPr>
            </w:pPr>
            <w:r>
              <w:rPr>
                <w:b/>
                <w:sz w:val="24"/>
                <w:szCs w:val="24"/>
              </w:rPr>
              <w:t>50</w:t>
            </w:r>
          </w:p>
        </w:tc>
        <w:tc>
          <w:tcPr>
            <w:tcW w:w="990" w:type="dxa"/>
          </w:tcPr>
          <w:p w:rsidR="004C7599" w:rsidRPr="00CC70CC" w:rsidRDefault="004C7599" w:rsidP="00F138A6">
            <w:pPr>
              <w:rPr>
                <w:b/>
                <w:sz w:val="24"/>
                <w:szCs w:val="24"/>
              </w:rPr>
            </w:pPr>
            <w:r w:rsidRPr="00CC70CC">
              <w:rPr>
                <w:b/>
                <w:sz w:val="24"/>
                <w:szCs w:val="24"/>
              </w:rPr>
              <w:t>150</w:t>
            </w:r>
          </w:p>
        </w:tc>
        <w:tc>
          <w:tcPr>
            <w:tcW w:w="950" w:type="dxa"/>
          </w:tcPr>
          <w:p w:rsidR="004C7599" w:rsidRPr="00CC70CC" w:rsidRDefault="004C7599" w:rsidP="00F138A6">
            <w:pPr>
              <w:rPr>
                <w:b/>
                <w:sz w:val="24"/>
                <w:szCs w:val="24"/>
              </w:rPr>
            </w:pPr>
            <w:r w:rsidRPr="00CC70CC">
              <w:rPr>
                <w:b/>
                <w:sz w:val="24"/>
                <w:szCs w:val="24"/>
              </w:rPr>
              <w:t>$35.38</w:t>
            </w:r>
          </w:p>
        </w:tc>
        <w:tc>
          <w:tcPr>
            <w:tcW w:w="1176" w:type="dxa"/>
          </w:tcPr>
          <w:p w:rsidR="004C7599" w:rsidRPr="00CC70CC" w:rsidRDefault="004C7599" w:rsidP="00F138A6">
            <w:pPr>
              <w:rPr>
                <w:b/>
                <w:sz w:val="24"/>
                <w:szCs w:val="24"/>
              </w:rPr>
            </w:pPr>
            <w:r w:rsidRPr="00CC70CC">
              <w:rPr>
                <w:b/>
                <w:sz w:val="24"/>
                <w:szCs w:val="24"/>
              </w:rPr>
              <w:t>$5,307</w:t>
            </w:r>
          </w:p>
        </w:tc>
      </w:tr>
      <w:tr w:rsidR="00CC70CC" w:rsidRPr="00CC70CC" w:rsidTr="00F138A6">
        <w:trPr>
          <w:trHeight w:val="89"/>
        </w:trPr>
        <w:tc>
          <w:tcPr>
            <w:tcW w:w="1866" w:type="dxa"/>
          </w:tcPr>
          <w:p w:rsidR="004C7599" w:rsidRPr="00CC70CC" w:rsidRDefault="004C7599" w:rsidP="00F138A6">
            <w:pPr>
              <w:rPr>
                <w:b/>
                <w:sz w:val="24"/>
                <w:szCs w:val="24"/>
              </w:rPr>
            </w:pPr>
            <w:r w:rsidRPr="00CC70CC">
              <w:rPr>
                <w:b/>
                <w:sz w:val="24"/>
                <w:szCs w:val="24"/>
              </w:rPr>
              <w:t>OGE-450</w:t>
            </w:r>
          </w:p>
        </w:tc>
        <w:tc>
          <w:tcPr>
            <w:tcW w:w="1523" w:type="dxa"/>
          </w:tcPr>
          <w:p w:rsidR="004C7599" w:rsidRPr="00CC70CC" w:rsidRDefault="004C7599" w:rsidP="00F138A6">
            <w:pPr>
              <w:rPr>
                <w:b/>
                <w:sz w:val="24"/>
                <w:szCs w:val="24"/>
              </w:rPr>
            </w:pPr>
            <w:r w:rsidRPr="00CC70CC">
              <w:rPr>
                <w:b/>
                <w:sz w:val="24"/>
                <w:szCs w:val="24"/>
              </w:rPr>
              <w:t>12</w:t>
            </w:r>
          </w:p>
        </w:tc>
        <w:tc>
          <w:tcPr>
            <w:tcW w:w="1263" w:type="dxa"/>
          </w:tcPr>
          <w:p w:rsidR="004C7599" w:rsidRPr="00CC70CC" w:rsidRDefault="004C7599" w:rsidP="00F138A6">
            <w:pPr>
              <w:rPr>
                <w:b/>
                <w:sz w:val="24"/>
                <w:szCs w:val="24"/>
              </w:rPr>
            </w:pPr>
            <w:r w:rsidRPr="00CC70CC">
              <w:rPr>
                <w:b/>
                <w:sz w:val="24"/>
                <w:szCs w:val="24"/>
              </w:rPr>
              <w:t>12</w:t>
            </w:r>
          </w:p>
        </w:tc>
        <w:tc>
          <w:tcPr>
            <w:tcW w:w="1430" w:type="dxa"/>
          </w:tcPr>
          <w:p w:rsidR="004C7599" w:rsidRPr="00CC70CC" w:rsidRDefault="004C7599" w:rsidP="00F138A6">
            <w:pPr>
              <w:rPr>
                <w:b/>
                <w:sz w:val="24"/>
                <w:szCs w:val="24"/>
              </w:rPr>
            </w:pPr>
            <w:r w:rsidRPr="00CC70CC">
              <w:rPr>
                <w:b/>
                <w:sz w:val="24"/>
                <w:szCs w:val="24"/>
              </w:rPr>
              <w:t>50</w:t>
            </w:r>
          </w:p>
        </w:tc>
        <w:tc>
          <w:tcPr>
            <w:tcW w:w="990" w:type="dxa"/>
          </w:tcPr>
          <w:p w:rsidR="004C7599" w:rsidRPr="00CC70CC" w:rsidRDefault="004C7599" w:rsidP="00F138A6">
            <w:pPr>
              <w:rPr>
                <w:b/>
                <w:sz w:val="24"/>
                <w:szCs w:val="24"/>
              </w:rPr>
            </w:pPr>
            <w:r w:rsidRPr="00CC70CC">
              <w:rPr>
                <w:b/>
                <w:sz w:val="24"/>
                <w:szCs w:val="24"/>
              </w:rPr>
              <w:t>24</w:t>
            </w:r>
          </w:p>
        </w:tc>
        <w:tc>
          <w:tcPr>
            <w:tcW w:w="950" w:type="dxa"/>
          </w:tcPr>
          <w:p w:rsidR="004C7599" w:rsidRPr="00CC70CC" w:rsidRDefault="004C7599" w:rsidP="00F138A6">
            <w:pPr>
              <w:rPr>
                <w:b/>
                <w:sz w:val="24"/>
                <w:szCs w:val="24"/>
              </w:rPr>
            </w:pPr>
            <w:r w:rsidRPr="00CC70CC">
              <w:rPr>
                <w:b/>
                <w:sz w:val="24"/>
                <w:szCs w:val="24"/>
              </w:rPr>
              <w:t>$35.38</w:t>
            </w:r>
          </w:p>
        </w:tc>
        <w:tc>
          <w:tcPr>
            <w:tcW w:w="1176" w:type="dxa"/>
          </w:tcPr>
          <w:p w:rsidR="004C7599" w:rsidRPr="00CC70CC" w:rsidRDefault="004C7599" w:rsidP="00F138A6">
            <w:pPr>
              <w:rPr>
                <w:b/>
                <w:sz w:val="24"/>
                <w:szCs w:val="24"/>
              </w:rPr>
            </w:pPr>
            <w:r w:rsidRPr="00CC70CC">
              <w:rPr>
                <w:b/>
                <w:sz w:val="24"/>
                <w:szCs w:val="24"/>
              </w:rPr>
              <w:t>$849</w:t>
            </w:r>
          </w:p>
        </w:tc>
      </w:tr>
      <w:tr w:rsidR="0082193C" w:rsidRPr="00CC70CC" w:rsidTr="00F138A6">
        <w:trPr>
          <w:trHeight w:val="89"/>
        </w:trPr>
        <w:tc>
          <w:tcPr>
            <w:tcW w:w="1866" w:type="dxa"/>
          </w:tcPr>
          <w:p w:rsidR="0082193C" w:rsidRPr="00CC70CC" w:rsidRDefault="0082193C" w:rsidP="00F138A6">
            <w:pPr>
              <w:rPr>
                <w:b/>
                <w:sz w:val="24"/>
                <w:szCs w:val="24"/>
              </w:rPr>
            </w:pPr>
            <w:r>
              <w:rPr>
                <w:b/>
                <w:sz w:val="24"/>
                <w:szCs w:val="24"/>
              </w:rPr>
              <w:t>Total</w:t>
            </w:r>
          </w:p>
        </w:tc>
        <w:tc>
          <w:tcPr>
            <w:tcW w:w="1523" w:type="dxa"/>
          </w:tcPr>
          <w:p w:rsidR="0082193C" w:rsidRPr="00CC70CC" w:rsidRDefault="0082193C" w:rsidP="00F138A6">
            <w:pPr>
              <w:rPr>
                <w:b/>
                <w:sz w:val="24"/>
                <w:szCs w:val="24"/>
              </w:rPr>
            </w:pPr>
            <w:r>
              <w:rPr>
                <w:b/>
                <w:sz w:val="24"/>
                <w:szCs w:val="24"/>
              </w:rPr>
              <w:t>162</w:t>
            </w:r>
          </w:p>
        </w:tc>
        <w:tc>
          <w:tcPr>
            <w:tcW w:w="1263" w:type="dxa"/>
          </w:tcPr>
          <w:p w:rsidR="0082193C" w:rsidRPr="00CC70CC" w:rsidRDefault="0082193C" w:rsidP="00F138A6">
            <w:pPr>
              <w:rPr>
                <w:b/>
                <w:sz w:val="24"/>
                <w:szCs w:val="24"/>
              </w:rPr>
            </w:pPr>
            <w:r>
              <w:rPr>
                <w:b/>
                <w:sz w:val="24"/>
                <w:szCs w:val="24"/>
              </w:rPr>
              <w:t>162</w:t>
            </w:r>
          </w:p>
        </w:tc>
        <w:tc>
          <w:tcPr>
            <w:tcW w:w="1430" w:type="dxa"/>
          </w:tcPr>
          <w:p w:rsidR="0082193C" w:rsidRPr="00CC70CC" w:rsidRDefault="0082193C" w:rsidP="00F138A6">
            <w:pPr>
              <w:rPr>
                <w:b/>
                <w:sz w:val="24"/>
                <w:szCs w:val="24"/>
              </w:rPr>
            </w:pPr>
            <w:r>
              <w:rPr>
                <w:b/>
                <w:sz w:val="24"/>
                <w:szCs w:val="24"/>
              </w:rPr>
              <w:t>1</w:t>
            </w:r>
          </w:p>
        </w:tc>
        <w:tc>
          <w:tcPr>
            <w:tcW w:w="990" w:type="dxa"/>
          </w:tcPr>
          <w:p w:rsidR="0082193C" w:rsidRPr="00CC70CC" w:rsidRDefault="0082193C" w:rsidP="00F138A6">
            <w:pPr>
              <w:rPr>
                <w:b/>
                <w:sz w:val="24"/>
                <w:szCs w:val="24"/>
              </w:rPr>
            </w:pPr>
            <w:r>
              <w:rPr>
                <w:b/>
                <w:sz w:val="24"/>
                <w:szCs w:val="24"/>
              </w:rPr>
              <w:t>174</w:t>
            </w:r>
          </w:p>
        </w:tc>
        <w:tc>
          <w:tcPr>
            <w:tcW w:w="950" w:type="dxa"/>
          </w:tcPr>
          <w:p w:rsidR="0082193C" w:rsidRPr="00CC70CC" w:rsidRDefault="0082193C" w:rsidP="00F138A6">
            <w:pPr>
              <w:rPr>
                <w:b/>
                <w:sz w:val="24"/>
                <w:szCs w:val="24"/>
              </w:rPr>
            </w:pPr>
            <w:r>
              <w:rPr>
                <w:b/>
                <w:sz w:val="24"/>
                <w:szCs w:val="24"/>
              </w:rPr>
              <w:t>70.76</w:t>
            </w:r>
          </w:p>
        </w:tc>
        <w:tc>
          <w:tcPr>
            <w:tcW w:w="1176" w:type="dxa"/>
          </w:tcPr>
          <w:p w:rsidR="0082193C" w:rsidRPr="00CC70CC" w:rsidRDefault="0082193C" w:rsidP="00F138A6">
            <w:pPr>
              <w:rPr>
                <w:b/>
                <w:sz w:val="24"/>
                <w:szCs w:val="24"/>
              </w:rPr>
            </w:pPr>
            <w:r>
              <w:rPr>
                <w:b/>
                <w:sz w:val="24"/>
                <w:szCs w:val="24"/>
              </w:rPr>
              <w:t>6,156</w:t>
            </w:r>
          </w:p>
        </w:tc>
      </w:tr>
    </w:tbl>
    <w:p w:rsidR="004C7599" w:rsidRPr="00CC70CC" w:rsidRDefault="004C7599" w:rsidP="00075224">
      <w:pPr>
        <w:rPr>
          <w:rFonts w:ascii="Times New Roman" w:hAnsi="Times New Roman" w:cs="Times New Roman"/>
          <w:sz w:val="24"/>
          <w:szCs w:val="24"/>
        </w:rPr>
      </w:pP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13. Provide an estimate for the total annual cost burden to respondents or recordkeepers resulting from the collection of information. (Do not include the cost of any hour burden shown in Items 12 and 14).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CC70CC">
        <w:rPr>
          <w:rFonts w:ascii="Times New Roman" w:hAnsi="Times New Roman" w:cs="Times New Roman"/>
          <w:sz w:val="24"/>
          <w:szCs w:val="24"/>
        </w:rPr>
        <w:lastRenderedPageBreak/>
        <w:t xml:space="preserve">information or keep records for the government, or (4) as part of customary and usual business or private practices. </w:t>
      </w:r>
    </w:p>
    <w:p w:rsidR="00771F9E" w:rsidRPr="00CC70CC" w:rsidRDefault="00771F9E" w:rsidP="00771F9E">
      <w:pPr>
        <w:rPr>
          <w:rFonts w:ascii="Times New Roman" w:hAnsi="Times New Roman" w:cs="Times New Roman"/>
          <w:sz w:val="24"/>
          <w:szCs w:val="24"/>
        </w:rPr>
      </w:pPr>
      <w:r w:rsidRPr="00CC70CC">
        <w:rPr>
          <w:rFonts w:ascii="Times New Roman" w:hAnsi="Times New Roman" w:cs="Times New Roman"/>
          <w:bCs/>
          <w:sz w:val="24"/>
          <w:szCs w:val="24"/>
        </w:rPr>
        <w:t>There is no cost to the respondents.</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71F9E" w:rsidRPr="00CC70CC" w:rsidRDefault="00771F9E" w:rsidP="00771F9E">
      <w:pPr>
        <w:rPr>
          <w:rFonts w:ascii="Times New Roman" w:hAnsi="Times New Roman" w:cs="Times New Roman"/>
          <w:sz w:val="24"/>
          <w:szCs w:val="24"/>
        </w:rPr>
      </w:pPr>
      <w:r w:rsidRPr="00CC70CC">
        <w:rPr>
          <w:rFonts w:ascii="Times New Roman" w:hAnsi="Times New Roman" w:cs="Times New Roman"/>
          <w:bCs/>
          <w:sz w:val="24"/>
          <w:szCs w:val="24"/>
        </w:rPr>
        <w:t>The annual cost to the Federal Government is .5 FTE for $</w:t>
      </w:r>
      <w:r w:rsidR="00404016" w:rsidRPr="00CC70CC">
        <w:rPr>
          <w:rFonts w:ascii="Times New Roman" w:hAnsi="Times New Roman" w:cs="Times New Roman"/>
          <w:bCs/>
          <w:sz w:val="24"/>
          <w:szCs w:val="24"/>
        </w:rPr>
        <w:t>36,923</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15. Explain the reasons for any program changes or adjustments reported in Items 13 or 14 of the OMB Form 83-I. </w:t>
      </w:r>
    </w:p>
    <w:p w:rsidR="00771F9E" w:rsidRPr="00CC70CC" w:rsidRDefault="00771F9E" w:rsidP="00075224">
      <w:pPr>
        <w:rPr>
          <w:rFonts w:ascii="Times New Roman" w:hAnsi="Times New Roman" w:cs="Times New Roman"/>
          <w:sz w:val="24"/>
          <w:szCs w:val="24"/>
        </w:rPr>
      </w:pPr>
      <w:r w:rsidRPr="00CC70CC">
        <w:rPr>
          <w:rFonts w:ascii="Times New Roman" w:hAnsi="Times New Roman" w:cs="Times New Roman"/>
          <w:sz w:val="24"/>
          <w:szCs w:val="24"/>
        </w:rPr>
        <w:t xml:space="preserve">The only adjustments were due to changes in </w:t>
      </w:r>
      <w:r w:rsidR="00133F7F" w:rsidRPr="00CC70CC">
        <w:rPr>
          <w:rFonts w:ascii="Times New Roman" w:hAnsi="Times New Roman" w:cs="Times New Roman"/>
          <w:sz w:val="24"/>
          <w:szCs w:val="24"/>
        </w:rPr>
        <w:t xml:space="preserve">annual and </w:t>
      </w:r>
      <w:r w:rsidRPr="00CC70CC">
        <w:rPr>
          <w:rFonts w:ascii="Times New Roman" w:hAnsi="Times New Roman" w:cs="Times New Roman"/>
          <w:sz w:val="24"/>
          <w:szCs w:val="24"/>
        </w:rPr>
        <w:t>hourly GS 13-1 rates.</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276BF" w:rsidRPr="00CC70CC" w:rsidRDefault="008276BF" w:rsidP="008276BF">
      <w:pPr>
        <w:rPr>
          <w:rFonts w:ascii="Times New Roman" w:hAnsi="Times New Roman" w:cs="Times New Roman"/>
          <w:sz w:val="24"/>
          <w:szCs w:val="24"/>
        </w:rPr>
      </w:pPr>
      <w:r w:rsidRPr="00CC70CC">
        <w:rPr>
          <w:rFonts w:ascii="Times New Roman" w:hAnsi="Times New Roman" w:cs="Times New Roman"/>
          <w:sz w:val="24"/>
          <w:szCs w:val="24"/>
        </w:rPr>
        <w:t>No results will be published.</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17. If seeking approval to not display the expiration date for OMB appr</w:t>
      </w:r>
      <w:r w:rsidR="008276BF" w:rsidRPr="00CC70CC">
        <w:rPr>
          <w:rFonts w:ascii="Times New Roman" w:hAnsi="Times New Roman" w:cs="Times New Roman"/>
          <w:sz w:val="24"/>
          <w:szCs w:val="24"/>
        </w:rPr>
        <w:t>oval of the information collecti</w:t>
      </w:r>
      <w:r w:rsidRPr="00CC70CC">
        <w:rPr>
          <w:rFonts w:ascii="Times New Roman" w:hAnsi="Times New Roman" w:cs="Times New Roman"/>
          <w:sz w:val="24"/>
          <w:szCs w:val="24"/>
        </w:rPr>
        <w:t xml:space="preserve">on, explain the reasons that display would be inappropriate. </w:t>
      </w:r>
    </w:p>
    <w:p w:rsidR="008276BF" w:rsidRPr="00CC70CC" w:rsidRDefault="00E262F3" w:rsidP="008276BF">
      <w:pPr>
        <w:rPr>
          <w:rFonts w:ascii="Times New Roman" w:hAnsi="Times New Roman" w:cs="Times New Roman"/>
          <w:sz w:val="24"/>
          <w:szCs w:val="24"/>
        </w:rPr>
      </w:pPr>
      <w:r w:rsidRPr="00CC70CC">
        <w:rPr>
          <w:rFonts w:ascii="Times New Roman" w:hAnsi="Times New Roman" w:cs="Times New Roman"/>
          <w:sz w:val="24"/>
          <w:szCs w:val="24"/>
        </w:rPr>
        <w:t xml:space="preserve">A </w:t>
      </w:r>
      <w:r w:rsidR="008276BF" w:rsidRPr="00CC70CC">
        <w:rPr>
          <w:rFonts w:ascii="Times New Roman" w:hAnsi="Times New Roman" w:cs="Times New Roman"/>
          <w:sz w:val="24"/>
          <w:szCs w:val="24"/>
        </w:rPr>
        <w:t xml:space="preserve">request </w:t>
      </w:r>
      <w:r w:rsidR="004C7599" w:rsidRPr="00CC70CC">
        <w:rPr>
          <w:rFonts w:ascii="Times New Roman" w:hAnsi="Times New Roman" w:cs="Times New Roman"/>
          <w:sz w:val="24"/>
          <w:szCs w:val="24"/>
        </w:rPr>
        <w:t>“</w:t>
      </w:r>
      <w:r w:rsidR="008276BF" w:rsidRPr="00CC70CC">
        <w:rPr>
          <w:rFonts w:ascii="Times New Roman" w:hAnsi="Times New Roman" w:cs="Times New Roman"/>
          <w:sz w:val="24"/>
          <w:szCs w:val="24"/>
        </w:rPr>
        <w:t>not</w:t>
      </w:r>
      <w:r w:rsidRPr="00CC70CC">
        <w:rPr>
          <w:rFonts w:ascii="Times New Roman" w:hAnsi="Times New Roman" w:cs="Times New Roman"/>
          <w:sz w:val="24"/>
          <w:szCs w:val="24"/>
        </w:rPr>
        <w:t xml:space="preserve"> to display the expiration date</w:t>
      </w:r>
      <w:r w:rsidR="00CC70CC">
        <w:rPr>
          <w:rFonts w:ascii="Times New Roman" w:hAnsi="Times New Roman" w:cs="Times New Roman"/>
          <w:sz w:val="24"/>
          <w:szCs w:val="24"/>
        </w:rPr>
        <w:t>”</w:t>
      </w:r>
      <w:r w:rsidRPr="00CC70CC">
        <w:rPr>
          <w:rFonts w:ascii="Times New Roman" w:hAnsi="Times New Roman" w:cs="Times New Roman"/>
          <w:sz w:val="24"/>
          <w:szCs w:val="24"/>
        </w:rPr>
        <w:t xml:space="preserve"> has not been made,</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18. Explain each exception to the certification statement identified in Item 19, "Certification for Paperwork Reduction Act Submissions," of OMB Form 83-I. </w:t>
      </w:r>
    </w:p>
    <w:p w:rsidR="00075224" w:rsidRPr="00CC70CC" w:rsidRDefault="008276BF" w:rsidP="00075224">
      <w:pPr>
        <w:rPr>
          <w:rFonts w:ascii="Times New Roman" w:hAnsi="Times New Roman" w:cs="Times New Roman"/>
          <w:sz w:val="24"/>
          <w:szCs w:val="24"/>
        </w:rPr>
      </w:pPr>
      <w:r w:rsidRPr="00CC70CC">
        <w:rPr>
          <w:rFonts w:ascii="Times New Roman" w:hAnsi="Times New Roman" w:cs="Times New Roman"/>
          <w:sz w:val="24"/>
          <w:szCs w:val="24"/>
        </w:rPr>
        <w:t>There are no exceptions to the certificate statement identified in Item 19 of the OMB Form 83-1.</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b/>
          <w:bCs/>
          <w:sz w:val="24"/>
          <w:szCs w:val="24"/>
        </w:rPr>
        <w:t xml:space="preserve">B. Collections of Information Employing Statistical Methods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w:t>
      </w:r>
      <w:r w:rsidR="00CC70CC">
        <w:rPr>
          <w:rFonts w:ascii="Times New Roman" w:hAnsi="Times New Roman" w:cs="Times New Roman"/>
          <w:sz w:val="24"/>
          <w:szCs w:val="24"/>
        </w:rPr>
        <w:t>upporting Statement to the exten</w:t>
      </w:r>
      <w:r w:rsidR="00CC70CC" w:rsidRPr="00CC70CC">
        <w:rPr>
          <w:rFonts w:ascii="Times New Roman" w:hAnsi="Times New Roman" w:cs="Times New Roman"/>
          <w:sz w:val="24"/>
          <w:szCs w:val="24"/>
        </w:rPr>
        <w:t>t</w:t>
      </w:r>
      <w:r w:rsidRPr="00CC70CC">
        <w:rPr>
          <w:rFonts w:ascii="Times New Roman" w:hAnsi="Times New Roman" w:cs="Times New Roman"/>
          <w:sz w:val="24"/>
          <w:szCs w:val="24"/>
        </w:rPr>
        <w:t xml:space="preserve"> that it applies to the methods proposed: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w:t>
      </w:r>
      <w:r w:rsidRPr="00CC70CC">
        <w:rPr>
          <w:rFonts w:ascii="Times New Roman" w:hAnsi="Times New Roman" w:cs="Times New Roman"/>
          <w:sz w:val="24"/>
          <w:szCs w:val="24"/>
        </w:rPr>
        <w:lastRenderedPageBreak/>
        <w:t xml:space="preserve">response rates for the collection as a whole. If the collection had been conducted previously, include the actual response rate achieved during the last collection.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2. Describe the procedures for the collection of information including: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Statistical methodology for stratification and sample selection,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Estimation procedure,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Degree of accuracy needed for the purpose described in the justification,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Unusual problems requiring specialized sampling procedures, and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 Any use of periodic (less frequent than annual) data collection cycles to reduce burden.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075224" w:rsidRPr="00CC70CC" w:rsidRDefault="00075224" w:rsidP="00075224">
      <w:pPr>
        <w:rPr>
          <w:rFonts w:ascii="Times New Roman" w:hAnsi="Times New Roman" w:cs="Times New Roman"/>
          <w:sz w:val="24"/>
          <w:szCs w:val="24"/>
        </w:rPr>
      </w:pPr>
      <w:r w:rsidRPr="00CC70CC">
        <w:rPr>
          <w:rFonts w:ascii="Times New Roman" w:hAnsi="Times New Roman" w:cs="Times New Roman"/>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C16768" w:rsidRPr="00CC70CC" w:rsidRDefault="007C1C53" w:rsidP="00075224">
      <w:pPr>
        <w:rPr>
          <w:rFonts w:ascii="Times New Roman" w:hAnsi="Times New Roman" w:cs="Times New Roman"/>
          <w:sz w:val="24"/>
          <w:szCs w:val="24"/>
        </w:rPr>
      </w:pPr>
    </w:p>
    <w:sectPr w:rsidR="00C16768" w:rsidRPr="00CC70CC" w:rsidSect="00075224">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224" w:rsidRDefault="00075224" w:rsidP="00075224">
      <w:pPr>
        <w:spacing w:after="0" w:line="240" w:lineRule="auto"/>
      </w:pPr>
      <w:r>
        <w:separator/>
      </w:r>
    </w:p>
  </w:endnote>
  <w:endnote w:type="continuationSeparator" w:id="0">
    <w:p w:rsidR="00075224" w:rsidRDefault="00075224"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EF"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rsidR="000442EF" w:rsidRDefault="007C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EF" w:rsidRPr="007C1C53" w:rsidRDefault="007C1C53" w:rsidP="007C1C53">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3" w:rsidRDefault="007C1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224" w:rsidRDefault="00075224" w:rsidP="00075224">
      <w:pPr>
        <w:spacing w:after="0" w:line="240" w:lineRule="auto"/>
      </w:pPr>
      <w:r>
        <w:separator/>
      </w:r>
    </w:p>
  </w:footnote>
  <w:footnote w:type="continuationSeparator" w:id="0">
    <w:p w:rsidR="00075224" w:rsidRDefault="00075224" w:rsidP="0007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3" w:rsidRDefault="007C1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3" w:rsidRDefault="007C1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3" w:rsidRDefault="007C1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4C337FC1"/>
    <w:multiLevelType w:val="hybridMultilevel"/>
    <w:tmpl w:val="6EB8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24"/>
    <w:rsid w:val="00075224"/>
    <w:rsid w:val="00094BA3"/>
    <w:rsid w:val="000B4874"/>
    <w:rsid w:val="000C5B84"/>
    <w:rsid w:val="000E0C7A"/>
    <w:rsid w:val="00133F7F"/>
    <w:rsid w:val="00164BAE"/>
    <w:rsid w:val="00167FD2"/>
    <w:rsid w:val="00174045"/>
    <w:rsid w:val="001A7858"/>
    <w:rsid w:val="001C6560"/>
    <w:rsid w:val="0026560D"/>
    <w:rsid w:val="0029110D"/>
    <w:rsid w:val="002E694E"/>
    <w:rsid w:val="002F7F33"/>
    <w:rsid w:val="003C400F"/>
    <w:rsid w:val="003F4D24"/>
    <w:rsid w:val="004037E5"/>
    <w:rsid w:val="00404016"/>
    <w:rsid w:val="004939BF"/>
    <w:rsid w:val="004C7599"/>
    <w:rsid w:val="0050120C"/>
    <w:rsid w:val="00565A1E"/>
    <w:rsid w:val="00594FC5"/>
    <w:rsid w:val="005A6EB8"/>
    <w:rsid w:val="005D21A4"/>
    <w:rsid w:val="005F439A"/>
    <w:rsid w:val="00625C9F"/>
    <w:rsid w:val="0063319E"/>
    <w:rsid w:val="00666CF0"/>
    <w:rsid w:val="006717F4"/>
    <w:rsid w:val="00694100"/>
    <w:rsid w:val="00711F61"/>
    <w:rsid w:val="007354E6"/>
    <w:rsid w:val="00741B05"/>
    <w:rsid w:val="00771F9E"/>
    <w:rsid w:val="00797FB9"/>
    <w:rsid w:val="007C1C53"/>
    <w:rsid w:val="00804A59"/>
    <w:rsid w:val="0082193C"/>
    <w:rsid w:val="008276BF"/>
    <w:rsid w:val="008A73D9"/>
    <w:rsid w:val="00934001"/>
    <w:rsid w:val="009379A4"/>
    <w:rsid w:val="009814CB"/>
    <w:rsid w:val="00982371"/>
    <w:rsid w:val="009A3A5E"/>
    <w:rsid w:val="009E118C"/>
    <w:rsid w:val="00A72C66"/>
    <w:rsid w:val="00AA04EA"/>
    <w:rsid w:val="00BB3356"/>
    <w:rsid w:val="00CC5CFF"/>
    <w:rsid w:val="00CC70CC"/>
    <w:rsid w:val="00CD7F9C"/>
    <w:rsid w:val="00D127E8"/>
    <w:rsid w:val="00D4630D"/>
    <w:rsid w:val="00D6600B"/>
    <w:rsid w:val="00D720B2"/>
    <w:rsid w:val="00DC1E6C"/>
    <w:rsid w:val="00E105A1"/>
    <w:rsid w:val="00E262F3"/>
    <w:rsid w:val="00E53DE7"/>
    <w:rsid w:val="00E87078"/>
    <w:rsid w:val="00EB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DE27922-02C6-4FD7-9BF5-32F6B40E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5CF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4037E5"/>
    <w:pPr>
      <w:autoSpaceDE w:val="0"/>
      <w:autoSpaceDN w:val="0"/>
      <w:adjustRightInd w:val="0"/>
      <w:spacing w:after="0" w:line="240" w:lineRule="auto"/>
    </w:pPr>
    <w:rPr>
      <w:rFonts w:ascii="Verdana" w:eastAsiaTheme="minorHAnsi" w:hAnsi="Verdana" w:cs="Verdana"/>
      <w:color w:val="000000"/>
      <w:sz w:val="24"/>
      <w:szCs w:val="24"/>
    </w:rPr>
  </w:style>
  <w:style w:type="table" w:styleId="TableGrid">
    <w:name w:val="Table Grid"/>
    <w:basedOn w:val="TableNormal"/>
    <w:rsid w:val="004C75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6560D"/>
    <w:rPr>
      <w:color w:val="0000AA"/>
      <w:u w:val="single"/>
    </w:rPr>
  </w:style>
  <w:style w:type="paragraph" w:styleId="BalloonText">
    <w:name w:val="Balloon Text"/>
    <w:basedOn w:val="Normal"/>
    <w:link w:val="BalloonTextChar"/>
    <w:uiPriority w:val="99"/>
    <w:semiHidden/>
    <w:unhideWhenUsed/>
    <w:rsid w:val="00594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5469">
      <w:bodyDiv w:val="1"/>
      <w:marLeft w:val="0"/>
      <w:marRight w:val="0"/>
      <w:marTop w:val="0"/>
      <w:marBottom w:val="0"/>
      <w:divBdr>
        <w:top w:val="none" w:sz="0" w:space="0" w:color="auto"/>
        <w:left w:val="none" w:sz="0" w:space="0" w:color="auto"/>
        <w:bottom w:val="none" w:sz="0" w:space="0" w:color="auto"/>
        <w:right w:val="none" w:sz="0" w:space="0" w:color="auto"/>
      </w:divBdr>
      <w:divsChild>
        <w:div w:id="1951625768">
          <w:marLeft w:val="0"/>
          <w:marRight w:val="0"/>
          <w:marTop w:val="0"/>
          <w:marBottom w:val="0"/>
          <w:divBdr>
            <w:top w:val="none" w:sz="0" w:space="0" w:color="auto"/>
            <w:left w:val="none" w:sz="0" w:space="0" w:color="auto"/>
            <w:bottom w:val="none" w:sz="0" w:space="0" w:color="auto"/>
            <w:right w:val="none" w:sz="0" w:space="0" w:color="auto"/>
          </w:divBdr>
          <w:divsChild>
            <w:div w:id="1440753483">
              <w:marLeft w:val="0"/>
              <w:marRight w:val="0"/>
              <w:marTop w:val="0"/>
              <w:marBottom w:val="0"/>
              <w:divBdr>
                <w:top w:val="none" w:sz="0" w:space="0" w:color="auto"/>
                <w:left w:val="none" w:sz="0" w:space="0" w:color="auto"/>
                <w:bottom w:val="none" w:sz="0" w:space="0" w:color="auto"/>
                <w:right w:val="none" w:sz="0" w:space="0" w:color="auto"/>
              </w:divBdr>
              <w:divsChild>
                <w:div w:id="1266116354">
                  <w:marLeft w:val="0"/>
                  <w:marRight w:val="0"/>
                  <w:marTop w:val="0"/>
                  <w:marBottom w:val="0"/>
                  <w:divBdr>
                    <w:top w:val="none" w:sz="0" w:space="0" w:color="auto"/>
                    <w:left w:val="none" w:sz="0" w:space="0" w:color="auto"/>
                    <w:bottom w:val="none" w:sz="0" w:space="0" w:color="auto"/>
                    <w:right w:val="none" w:sz="0" w:space="0" w:color="auto"/>
                  </w:divBdr>
                  <w:divsChild>
                    <w:div w:id="1685742124">
                      <w:marLeft w:val="0"/>
                      <w:marRight w:val="0"/>
                      <w:marTop w:val="0"/>
                      <w:marBottom w:val="0"/>
                      <w:divBdr>
                        <w:top w:val="none" w:sz="0" w:space="0" w:color="auto"/>
                        <w:left w:val="none" w:sz="0" w:space="0" w:color="auto"/>
                        <w:bottom w:val="none" w:sz="0" w:space="0" w:color="auto"/>
                        <w:right w:val="none" w:sz="0" w:space="0" w:color="auto"/>
                      </w:divBdr>
                      <w:divsChild>
                        <w:div w:id="552041807">
                          <w:marLeft w:val="0"/>
                          <w:marRight w:val="0"/>
                          <w:marTop w:val="0"/>
                          <w:marBottom w:val="0"/>
                          <w:divBdr>
                            <w:top w:val="none" w:sz="0" w:space="0" w:color="auto"/>
                            <w:left w:val="none" w:sz="0" w:space="0" w:color="auto"/>
                            <w:bottom w:val="none" w:sz="0" w:space="0" w:color="auto"/>
                            <w:right w:val="none" w:sz="0" w:space="0" w:color="auto"/>
                          </w:divBdr>
                          <w:divsChild>
                            <w:div w:id="1146046009">
                              <w:marLeft w:val="0"/>
                              <w:marRight w:val="0"/>
                              <w:marTop w:val="0"/>
                              <w:marBottom w:val="0"/>
                              <w:divBdr>
                                <w:top w:val="none" w:sz="0" w:space="0" w:color="auto"/>
                                <w:left w:val="none" w:sz="0" w:space="0" w:color="auto"/>
                                <w:bottom w:val="none" w:sz="0" w:space="0" w:color="auto"/>
                                <w:right w:val="none" w:sz="0" w:space="0" w:color="auto"/>
                              </w:divBdr>
                              <w:divsChild>
                                <w:div w:id="1807967127">
                                  <w:marLeft w:val="0"/>
                                  <w:marRight w:val="0"/>
                                  <w:marTop w:val="0"/>
                                  <w:marBottom w:val="0"/>
                                  <w:divBdr>
                                    <w:top w:val="none" w:sz="0" w:space="0" w:color="auto"/>
                                    <w:left w:val="none" w:sz="0" w:space="0" w:color="auto"/>
                                    <w:bottom w:val="none" w:sz="0" w:space="0" w:color="auto"/>
                                    <w:right w:val="none" w:sz="0" w:space="0" w:color="auto"/>
                                  </w:divBdr>
                                  <w:divsChild>
                                    <w:div w:id="541750893">
                                      <w:marLeft w:val="0"/>
                                      <w:marRight w:val="0"/>
                                      <w:marTop w:val="0"/>
                                      <w:marBottom w:val="0"/>
                                      <w:divBdr>
                                        <w:top w:val="none" w:sz="0" w:space="0" w:color="auto"/>
                                        <w:left w:val="none" w:sz="0" w:space="0" w:color="auto"/>
                                        <w:bottom w:val="none" w:sz="0" w:space="0" w:color="auto"/>
                                        <w:right w:val="none" w:sz="0" w:space="0" w:color="auto"/>
                                      </w:divBdr>
                                      <w:divsChild>
                                        <w:div w:id="376242717">
                                          <w:marLeft w:val="0"/>
                                          <w:marRight w:val="0"/>
                                          <w:marTop w:val="0"/>
                                          <w:marBottom w:val="0"/>
                                          <w:divBdr>
                                            <w:top w:val="none" w:sz="0" w:space="0" w:color="auto"/>
                                            <w:left w:val="none" w:sz="0" w:space="0" w:color="auto"/>
                                            <w:bottom w:val="none" w:sz="0" w:space="0" w:color="auto"/>
                                            <w:right w:val="none" w:sz="0" w:space="0" w:color="auto"/>
                                          </w:divBdr>
                                          <w:divsChild>
                                            <w:div w:id="367683388">
                                              <w:marLeft w:val="0"/>
                                              <w:marRight w:val="0"/>
                                              <w:marTop w:val="0"/>
                                              <w:marBottom w:val="0"/>
                                              <w:divBdr>
                                                <w:top w:val="none" w:sz="0" w:space="0" w:color="auto"/>
                                                <w:left w:val="none" w:sz="0" w:space="0" w:color="auto"/>
                                                <w:bottom w:val="none" w:sz="0" w:space="0" w:color="auto"/>
                                                <w:right w:val="none" w:sz="0" w:space="0" w:color="auto"/>
                                              </w:divBdr>
                                              <w:divsChild>
                                                <w:div w:id="2034262357">
                                                  <w:marLeft w:val="0"/>
                                                  <w:marRight w:val="0"/>
                                                  <w:marTop w:val="0"/>
                                                  <w:marBottom w:val="0"/>
                                                  <w:divBdr>
                                                    <w:top w:val="none" w:sz="0" w:space="0" w:color="auto"/>
                                                    <w:left w:val="none" w:sz="0" w:space="0" w:color="auto"/>
                                                    <w:bottom w:val="none" w:sz="0" w:space="0" w:color="auto"/>
                                                    <w:right w:val="none" w:sz="0" w:space="0" w:color="auto"/>
                                                  </w:divBdr>
                                                  <w:divsChild>
                                                    <w:div w:id="18950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h18889</dc:creator>
  <cp:lastModifiedBy>Sanders, Kim N</cp:lastModifiedBy>
  <cp:revision>3</cp:revision>
  <cp:lastPrinted>2016-08-17T18:58:00Z</cp:lastPrinted>
  <dcterms:created xsi:type="dcterms:W3CDTF">2016-11-21T17:47:00Z</dcterms:created>
  <dcterms:modified xsi:type="dcterms:W3CDTF">2016-11-21T17:48:00Z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