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802" w:rsidRDefault="000F5DE1" w:rsidP="00936802">
      <w:pPr>
        <w:keepLines/>
        <w:jc w:val="center"/>
        <w:rPr>
          <w:b/>
          <w:sz w:val="24"/>
          <w:szCs w:val="24"/>
          <w:lang w:val="en-CA"/>
        </w:rPr>
      </w:pPr>
      <w:r>
        <w:rPr>
          <w:b/>
          <w:sz w:val="24"/>
          <w:szCs w:val="24"/>
          <w:lang w:val="en-CA"/>
        </w:rPr>
        <w:t>National Institute of Food and Agriculture</w:t>
      </w:r>
    </w:p>
    <w:p w:rsidR="00936802" w:rsidRDefault="00936802" w:rsidP="00936802">
      <w:pPr>
        <w:keepLines/>
        <w:jc w:val="center"/>
        <w:rPr>
          <w:b/>
          <w:sz w:val="24"/>
          <w:szCs w:val="24"/>
          <w:lang w:val="en-CA"/>
        </w:rPr>
      </w:pPr>
      <w:r>
        <w:rPr>
          <w:b/>
          <w:sz w:val="24"/>
          <w:szCs w:val="24"/>
          <w:lang w:val="en-CA"/>
        </w:rPr>
        <w:t>Department of Agriculture</w:t>
      </w:r>
    </w:p>
    <w:p w:rsidR="00936802" w:rsidRDefault="00936802" w:rsidP="00936802">
      <w:pPr>
        <w:keepLines/>
        <w:jc w:val="center"/>
        <w:rPr>
          <w:b/>
          <w:sz w:val="24"/>
          <w:szCs w:val="24"/>
          <w:lang w:val="en-CA"/>
        </w:rPr>
      </w:pPr>
      <w:r>
        <w:rPr>
          <w:b/>
          <w:sz w:val="24"/>
          <w:szCs w:val="24"/>
          <w:lang w:val="en-CA"/>
        </w:rPr>
        <w:t>Informat</w:t>
      </w:r>
      <w:r w:rsidR="00040B8D">
        <w:rPr>
          <w:b/>
          <w:sz w:val="24"/>
          <w:szCs w:val="24"/>
          <w:lang w:val="en-CA"/>
        </w:rPr>
        <w:t>ion Collection OMB No. 0524-0048</w:t>
      </w:r>
    </w:p>
    <w:p w:rsidR="00936802" w:rsidRDefault="00936802" w:rsidP="00936802">
      <w:pPr>
        <w:keepLines/>
        <w:jc w:val="center"/>
        <w:rPr>
          <w:b/>
          <w:sz w:val="24"/>
          <w:szCs w:val="24"/>
          <w:lang w:val="en-CA"/>
        </w:rPr>
      </w:pPr>
    </w:p>
    <w:p w:rsidR="00936802" w:rsidRPr="00936802" w:rsidRDefault="00936802" w:rsidP="005E27CC">
      <w:pPr>
        <w:keepLines/>
        <w:ind w:left="1440" w:hanging="1440"/>
        <w:rPr>
          <w:b/>
          <w:sz w:val="24"/>
          <w:szCs w:val="24"/>
          <w:lang w:val="en-CA"/>
        </w:rPr>
      </w:pPr>
      <w:r>
        <w:rPr>
          <w:b/>
          <w:sz w:val="24"/>
          <w:szCs w:val="24"/>
          <w:lang w:val="en-CA"/>
        </w:rPr>
        <w:t xml:space="preserve">SUBJECT: </w:t>
      </w:r>
      <w:r>
        <w:rPr>
          <w:b/>
          <w:sz w:val="24"/>
          <w:szCs w:val="24"/>
          <w:lang w:val="en-CA"/>
        </w:rPr>
        <w:tab/>
      </w:r>
      <w:r w:rsidR="00555205">
        <w:rPr>
          <w:b/>
          <w:sz w:val="24"/>
          <w:szCs w:val="24"/>
          <w:lang w:val="en-CA"/>
        </w:rPr>
        <w:t>S</w:t>
      </w:r>
      <w:r>
        <w:rPr>
          <w:b/>
          <w:sz w:val="24"/>
          <w:szCs w:val="24"/>
          <w:lang w:val="en-CA"/>
        </w:rPr>
        <w:t>upporting Statement for Paperwork Reducti</w:t>
      </w:r>
      <w:r w:rsidR="00A60F4C">
        <w:rPr>
          <w:b/>
          <w:sz w:val="24"/>
          <w:szCs w:val="24"/>
          <w:lang w:val="en-CA"/>
        </w:rPr>
        <w:t xml:space="preserve">on Act Submission </w:t>
      </w:r>
      <w:r w:rsidR="00040B8D">
        <w:rPr>
          <w:b/>
          <w:sz w:val="24"/>
          <w:szCs w:val="24"/>
          <w:lang w:val="en-CA"/>
        </w:rPr>
        <w:t xml:space="preserve">for Revision to currently approved Information Collection </w:t>
      </w:r>
      <w:r w:rsidR="00A60F4C">
        <w:rPr>
          <w:b/>
          <w:sz w:val="24"/>
          <w:szCs w:val="24"/>
          <w:lang w:val="en-CA"/>
        </w:rPr>
        <w:t xml:space="preserve">OMB </w:t>
      </w:r>
      <w:r w:rsidR="00040B8D">
        <w:rPr>
          <w:b/>
          <w:sz w:val="24"/>
          <w:szCs w:val="24"/>
          <w:lang w:val="en-CA"/>
        </w:rPr>
        <w:t>0524-0048</w:t>
      </w:r>
      <w:r w:rsidR="00501216">
        <w:rPr>
          <w:b/>
          <w:sz w:val="24"/>
          <w:szCs w:val="24"/>
          <w:lang w:val="en-CA"/>
        </w:rPr>
        <w:t>, Research</w:t>
      </w:r>
      <w:r w:rsidR="00167F05">
        <w:rPr>
          <w:b/>
          <w:sz w:val="24"/>
          <w:szCs w:val="24"/>
          <w:lang w:val="en-CA"/>
        </w:rPr>
        <w:t>, Education, and Extension projec</w:t>
      </w:r>
      <w:r w:rsidR="003A02D1">
        <w:rPr>
          <w:b/>
          <w:sz w:val="24"/>
          <w:szCs w:val="24"/>
          <w:lang w:val="en-CA"/>
        </w:rPr>
        <w:t>t online reporting tool (</w:t>
      </w:r>
      <w:r w:rsidR="00177C7F">
        <w:rPr>
          <w:b/>
          <w:sz w:val="24"/>
          <w:szCs w:val="24"/>
          <w:lang w:val="en-CA"/>
        </w:rPr>
        <w:t>REEPORT</w:t>
      </w:r>
      <w:r w:rsidR="00167F05">
        <w:rPr>
          <w:b/>
          <w:sz w:val="24"/>
          <w:szCs w:val="24"/>
          <w:lang w:val="en-CA"/>
        </w:rPr>
        <w:t>)</w:t>
      </w:r>
      <w:r>
        <w:rPr>
          <w:b/>
          <w:sz w:val="24"/>
          <w:szCs w:val="24"/>
          <w:lang w:val="en-CA"/>
        </w:rPr>
        <w:t>.</w:t>
      </w:r>
    </w:p>
    <w:p w:rsidR="00936802" w:rsidRDefault="00936802" w:rsidP="000200BD">
      <w:pPr>
        <w:keepLines/>
        <w:rPr>
          <w:sz w:val="24"/>
          <w:szCs w:val="24"/>
          <w:lang w:val="en-CA"/>
        </w:rPr>
      </w:pPr>
    </w:p>
    <w:p w:rsidR="000200BD" w:rsidRDefault="000200BD" w:rsidP="000200BD">
      <w:pPr>
        <w:keepLines/>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A. Justification</w:t>
      </w:r>
    </w:p>
    <w:p w:rsidR="005C6B37" w:rsidRDefault="005C6B37" w:rsidP="000200BD">
      <w:pPr>
        <w:keepLines/>
        <w:rPr>
          <w:b/>
          <w:bCs/>
          <w:sz w:val="24"/>
          <w:szCs w:val="24"/>
        </w:rPr>
      </w:pPr>
    </w:p>
    <w:p w:rsidR="007545C7" w:rsidRDefault="007545C7" w:rsidP="00FF1D74">
      <w:pPr>
        <w:rPr>
          <w:bCs/>
          <w:sz w:val="24"/>
          <w:szCs w:val="24"/>
        </w:rPr>
      </w:pPr>
      <w:r>
        <w:rPr>
          <w:bCs/>
          <w:sz w:val="24"/>
          <w:szCs w:val="24"/>
        </w:rPr>
        <w:t>1. CIRCUMSTANCES MAKING COLLECTION OF INFORMATION NECESSARY</w:t>
      </w:r>
    </w:p>
    <w:p w:rsidR="007545C7" w:rsidRDefault="007545C7" w:rsidP="00FF1D74">
      <w:pPr>
        <w:rPr>
          <w:bCs/>
          <w:sz w:val="24"/>
          <w:szCs w:val="24"/>
        </w:rPr>
      </w:pPr>
    </w:p>
    <w:p w:rsidR="00F822C6" w:rsidRDefault="000200BD" w:rsidP="00F822C6">
      <w:pPr>
        <w:rPr>
          <w:sz w:val="24"/>
          <w:szCs w:val="24"/>
        </w:rPr>
      </w:pPr>
      <w:r>
        <w:rPr>
          <w:sz w:val="24"/>
          <w:szCs w:val="24"/>
        </w:rPr>
        <w:t xml:space="preserve">The United States Department of Agriculture (USDA), </w:t>
      </w:r>
      <w:r w:rsidR="000F5DE1">
        <w:rPr>
          <w:sz w:val="24"/>
          <w:szCs w:val="24"/>
        </w:rPr>
        <w:t>National Institute of Food and Agriculture</w:t>
      </w:r>
      <w:r>
        <w:rPr>
          <w:sz w:val="24"/>
          <w:szCs w:val="24"/>
        </w:rPr>
        <w:t xml:space="preserve"> (</w:t>
      </w:r>
      <w:r w:rsidR="000F5DE1">
        <w:rPr>
          <w:sz w:val="24"/>
          <w:szCs w:val="24"/>
        </w:rPr>
        <w:t>NIFA</w:t>
      </w:r>
      <w:r>
        <w:rPr>
          <w:sz w:val="24"/>
          <w:szCs w:val="24"/>
        </w:rPr>
        <w:t>) administers several competitive, peer-reviewed research, education and extension programs, under which awards of a high-priority are made. These programs are authorized pursuant to the authorities contained in the National Agricultural Research, Extension, and Teaching Policy Act of 1977, as amended (7 U.S.C. 3101); the Smith-Lever Act</w:t>
      </w:r>
      <w:r w:rsidR="00487714">
        <w:rPr>
          <w:sz w:val="24"/>
          <w:szCs w:val="24"/>
        </w:rPr>
        <w:t xml:space="preserve"> </w:t>
      </w:r>
      <w:r w:rsidR="00487714" w:rsidRPr="00487714">
        <w:rPr>
          <w:sz w:val="24"/>
          <w:szCs w:val="24"/>
        </w:rPr>
        <w:t>of 1914, as amended (P</w:t>
      </w:r>
      <w:r w:rsidR="00487714">
        <w:rPr>
          <w:sz w:val="24"/>
          <w:szCs w:val="24"/>
        </w:rPr>
        <w:t>.</w:t>
      </w:r>
      <w:r w:rsidR="00487714" w:rsidRPr="00487714">
        <w:rPr>
          <w:sz w:val="24"/>
          <w:szCs w:val="24"/>
        </w:rPr>
        <w:t>L</w:t>
      </w:r>
      <w:r w:rsidR="00487714">
        <w:rPr>
          <w:sz w:val="24"/>
          <w:szCs w:val="24"/>
        </w:rPr>
        <w:t>.</w:t>
      </w:r>
      <w:r w:rsidR="00487714" w:rsidRPr="00487714">
        <w:rPr>
          <w:sz w:val="24"/>
          <w:szCs w:val="24"/>
        </w:rPr>
        <w:t xml:space="preserve"> 107–293, 2002</w:t>
      </w:r>
      <w:r w:rsidR="00487714">
        <w:rPr>
          <w:sz w:val="24"/>
          <w:szCs w:val="24"/>
        </w:rPr>
        <w:t>)</w:t>
      </w:r>
      <w:r w:rsidRPr="00487714">
        <w:rPr>
          <w:sz w:val="24"/>
          <w:szCs w:val="24"/>
        </w:rPr>
        <w:t>;</w:t>
      </w:r>
      <w:r>
        <w:rPr>
          <w:sz w:val="24"/>
          <w:szCs w:val="24"/>
        </w:rPr>
        <w:t xml:space="preserve"> and other legislative authorities.</w:t>
      </w:r>
    </w:p>
    <w:p w:rsidR="00F822C6" w:rsidRDefault="00F822C6" w:rsidP="00F822C6">
      <w:pPr>
        <w:rPr>
          <w:sz w:val="24"/>
          <w:szCs w:val="24"/>
        </w:rPr>
      </w:pPr>
    </w:p>
    <w:p w:rsidR="000200BD" w:rsidRPr="00F822C6" w:rsidRDefault="000F5DE1" w:rsidP="00F822C6">
      <w:pPr>
        <w:rPr>
          <w:sz w:val="24"/>
          <w:szCs w:val="24"/>
        </w:rPr>
      </w:pPr>
      <w:r>
        <w:rPr>
          <w:sz w:val="24"/>
          <w:szCs w:val="24"/>
        </w:rPr>
        <w:t>NIFA</w:t>
      </w:r>
      <w:r w:rsidR="000200BD">
        <w:rPr>
          <w:sz w:val="24"/>
          <w:szCs w:val="24"/>
        </w:rPr>
        <w:t xml:space="preserve"> also administers several formula funded research programs. The programs are authorized pursuant to the authorities contained in the McIntire-Stennis Cooperative Forestry Research Act of October 10, 1962 (16 U.S.C. 582a-582a-7) (McIntire-Stennis Act); the Hatch Act of 1887, as amended (7 U.S.C. 361a-i) (Hatch Act); Section 1445 of Public Law 95-113, the Food and Agriculture Act of 1977, as amended (7 U.S.C. 3222) (Pub. L. No. 95-113); Section 1433 of </w:t>
      </w:r>
      <w:r w:rsidR="00885EBD">
        <w:rPr>
          <w:sz w:val="24"/>
          <w:szCs w:val="24"/>
        </w:rPr>
        <w:t>Subtitle E (Sections 1429-1439);</w:t>
      </w:r>
      <w:r w:rsidR="000200BD">
        <w:rPr>
          <w:sz w:val="24"/>
          <w:szCs w:val="24"/>
        </w:rPr>
        <w:t xml:space="preserve"> Title XIV of Public Law 95-113, as amended (7 U.S.C. 3191-3201) (Pub. L. No. 95-113)</w:t>
      </w:r>
      <w:r w:rsidR="00B62D2C">
        <w:rPr>
          <w:sz w:val="24"/>
          <w:szCs w:val="24"/>
        </w:rPr>
        <w:t>; the Smith-Lever Act; and the Renewable Resources Extension Act</w:t>
      </w:r>
      <w:r w:rsidR="000200BD">
        <w:rPr>
          <w:sz w:val="24"/>
          <w:szCs w:val="24"/>
        </w:rPr>
        <w:t xml:space="preserve">.  Each formula funded program is also subject to requirements, which were revised in March 2000, and set forth in the </w:t>
      </w:r>
      <w:r w:rsidR="000200BD">
        <w:rPr>
          <w:i/>
          <w:iCs/>
          <w:sz w:val="24"/>
          <w:szCs w:val="24"/>
        </w:rPr>
        <w:t>Administrative Manual for the McIntire-Stennis Cooperative Forestry Research Program</w:t>
      </w:r>
      <w:r w:rsidR="000200BD">
        <w:rPr>
          <w:sz w:val="24"/>
          <w:szCs w:val="24"/>
        </w:rPr>
        <w:t xml:space="preserve">, the </w:t>
      </w:r>
      <w:r w:rsidR="000200BD">
        <w:rPr>
          <w:i/>
          <w:iCs/>
          <w:sz w:val="24"/>
          <w:szCs w:val="24"/>
        </w:rPr>
        <w:t>Administrative Manual for the Hatch Research Program</w:t>
      </w:r>
      <w:r w:rsidR="000200BD">
        <w:rPr>
          <w:sz w:val="24"/>
          <w:szCs w:val="24"/>
        </w:rPr>
        <w:t xml:space="preserve">, the </w:t>
      </w:r>
      <w:r w:rsidR="000200BD">
        <w:rPr>
          <w:i/>
          <w:iCs/>
          <w:sz w:val="24"/>
          <w:szCs w:val="24"/>
        </w:rPr>
        <w:t>Administrative Manual for the Evans-Allen Cooperative Agricultural Research Program</w:t>
      </w:r>
      <w:r w:rsidR="000200BD">
        <w:rPr>
          <w:sz w:val="24"/>
          <w:szCs w:val="24"/>
        </w:rPr>
        <w:t xml:space="preserve">, and the </w:t>
      </w:r>
      <w:r w:rsidR="000200BD">
        <w:rPr>
          <w:i/>
          <w:iCs/>
          <w:sz w:val="24"/>
          <w:szCs w:val="24"/>
        </w:rPr>
        <w:t>Administrative Manual for the Continuing Animal Health and Disease Research Program</w:t>
      </w:r>
      <w:r w:rsidR="000200BD">
        <w:rPr>
          <w:sz w:val="24"/>
          <w:szCs w:val="24"/>
        </w:rPr>
        <w:t xml:space="preserve">. </w:t>
      </w:r>
      <w:r>
        <w:rPr>
          <w:sz w:val="24"/>
          <w:szCs w:val="24"/>
        </w:rPr>
        <w:t>NIFA</w:t>
      </w:r>
      <w:r w:rsidR="000200BD">
        <w:rPr>
          <w:sz w:val="24"/>
          <w:szCs w:val="24"/>
        </w:rPr>
        <w:t xml:space="preserve"> is developing administrative regulations for the formula funded programs it administers.</w:t>
      </w:r>
    </w:p>
    <w:p w:rsidR="000200BD" w:rsidRDefault="000200BD" w:rsidP="000200BD">
      <w:pPr>
        <w:rPr>
          <w:sz w:val="24"/>
          <w:szCs w:val="24"/>
        </w:rPr>
      </w:pPr>
    </w:p>
    <w:p w:rsidR="0031529A" w:rsidRDefault="0085033F" w:rsidP="000200BD">
      <w:pPr>
        <w:rPr>
          <w:sz w:val="24"/>
          <w:szCs w:val="24"/>
        </w:rPr>
      </w:pPr>
      <w:r>
        <w:rPr>
          <w:sz w:val="24"/>
          <w:szCs w:val="24"/>
        </w:rPr>
        <w:t>In 2013, NIFA began using the Research, Education, and Extension project on</w:t>
      </w:r>
      <w:r w:rsidR="0009278C">
        <w:rPr>
          <w:sz w:val="24"/>
          <w:szCs w:val="24"/>
        </w:rPr>
        <w:t>line reporting tool (</w:t>
      </w:r>
      <w:r w:rsidR="00177C7F">
        <w:rPr>
          <w:sz w:val="24"/>
          <w:szCs w:val="24"/>
        </w:rPr>
        <w:t>REEPORT</w:t>
      </w:r>
      <w:r w:rsidR="0009278C">
        <w:rPr>
          <w:sz w:val="24"/>
          <w:szCs w:val="24"/>
        </w:rPr>
        <w:t>) to document programmatic, technical, and financial content for ongoing research, education, and extension activities in a</w:t>
      </w:r>
      <w:r w:rsidR="000200BD">
        <w:rPr>
          <w:sz w:val="24"/>
          <w:szCs w:val="24"/>
        </w:rPr>
        <w:t>gricultur</w:t>
      </w:r>
      <w:r w:rsidR="00B62D2C">
        <w:rPr>
          <w:sz w:val="24"/>
          <w:szCs w:val="24"/>
        </w:rPr>
        <w:t>e</w:t>
      </w:r>
      <w:r w:rsidR="000200BD">
        <w:rPr>
          <w:sz w:val="24"/>
          <w:szCs w:val="24"/>
        </w:rPr>
        <w:t xml:space="preserve">, food science, </w:t>
      </w:r>
      <w:r w:rsidR="0009278C">
        <w:rPr>
          <w:sz w:val="24"/>
          <w:szCs w:val="24"/>
        </w:rPr>
        <w:t xml:space="preserve">human nutrition, and forestry.  The </w:t>
      </w:r>
      <w:r w:rsidR="00177C7F">
        <w:rPr>
          <w:sz w:val="24"/>
          <w:szCs w:val="24"/>
        </w:rPr>
        <w:t>REEPORT</w:t>
      </w:r>
      <w:r w:rsidR="0009278C">
        <w:rPr>
          <w:sz w:val="24"/>
          <w:szCs w:val="24"/>
        </w:rPr>
        <w:t xml:space="preserve"> system replaced the previously used Current Research Information System (CRIS) and facilitated the electronic submission and tracking of data collected on four form types: Project Initiation, Progress Report, Final Report and Financial Report (these forms replaced the </w:t>
      </w:r>
      <w:r w:rsidR="000200BD">
        <w:rPr>
          <w:sz w:val="24"/>
          <w:szCs w:val="24"/>
        </w:rPr>
        <w:t>AD-416, AD-417, AD-419 and AD-421</w:t>
      </w:r>
      <w:r w:rsidR="0009278C">
        <w:rPr>
          <w:sz w:val="24"/>
          <w:szCs w:val="24"/>
        </w:rPr>
        <w:t xml:space="preserve">previously used in the </w:t>
      </w:r>
      <w:r w:rsidR="0031529A">
        <w:rPr>
          <w:sz w:val="24"/>
          <w:szCs w:val="24"/>
        </w:rPr>
        <w:t xml:space="preserve">CRIS system).  </w:t>
      </w:r>
      <w:bookmarkStart w:id="0" w:name="_GoBack"/>
      <w:bookmarkEnd w:id="0"/>
    </w:p>
    <w:p w:rsidR="0031529A" w:rsidRDefault="0031529A" w:rsidP="000200BD">
      <w:pPr>
        <w:rPr>
          <w:sz w:val="24"/>
          <w:szCs w:val="24"/>
        </w:rPr>
      </w:pPr>
    </w:p>
    <w:p w:rsidR="0031529A" w:rsidRPr="00833C34" w:rsidRDefault="0031529A" w:rsidP="0031529A">
      <w:pPr>
        <w:pStyle w:val="HTMLPreformatted"/>
        <w:rPr>
          <w:rFonts w:ascii="Times New Roman" w:hAnsi="Times New Roman" w:cs="Times New Roman"/>
          <w:sz w:val="24"/>
          <w:szCs w:val="24"/>
        </w:rPr>
      </w:pPr>
      <w:r w:rsidRPr="00833C34">
        <w:rPr>
          <w:rFonts w:ascii="Times New Roman" w:hAnsi="Times New Roman" w:cs="Times New Roman"/>
          <w:sz w:val="24"/>
          <w:szCs w:val="24"/>
        </w:rPr>
        <w:t xml:space="preserve">Moreover, </w:t>
      </w:r>
      <w:r w:rsidR="00177C7F">
        <w:rPr>
          <w:rFonts w:ascii="Times New Roman" w:hAnsi="Times New Roman" w:cs="Times New Roman"/>
          <w:sz w:val="24"/>
          <w:szCs w:val="24"/>
        </w:rPr>
        <w:t>REEPORT</w:t>
      </w:r>
      <w:r>
        <w:rPr>
          <w:rFonts w:ascii="Times New Roman" w:hAnsi="Times New Roman" w:cs="Times New Roman"/>
          <w:sz w:val="24"/>
          <w:szCs w:val="24"/>
        </w:rPr>
        <w:t xml:space="preserve">’s use of the Progress/Final Report forms </w:t>
      </w:r>
      <w:r w:rsidRPr="00833C34">
        <w:rPr>
          <w:rFonts w:ascii="Times New Roman" w:hAnsi="Times New Roman" w:cs="Times New Roman"/>
          <w:sz w:val="24"/>
          <w:szCs w:val="24"/>
        </w:rPr>
        <w:t>fully implement</w:t>
      </w:r>
      <w:r>
        <w:rPr>
          <w:rFonts w:ascii="Times New Roman" w:hAnsi="Times New Roman" w:cs="Times New Roman"/>
          <w:sz w:val="24"/>
          <w:szCs w:val="24"/>
        </w:rPr>
        <w:t>ed</w:t>
      </w:r>
      <w:r w:rsidRPr="00833C34">
        <w:rPr>
          <w:rFonts w:ascii="Times New Roman" w:hAnsi="Times New Roman" w:cs="Times New Roman"/>
          <w:sz w:val="24"/>
          <w:szCs w:val="24"/>
        </w:rPr>
        <w:t xml:space="preserve"> the Research Performance Progress Report (RPPR).  Out of an initiative of the Research Business Models (RBM) Subcommittee of the Committee on Science (</w:t>
      </w:r>
      <w:proofErr w:type="spellStart"/>
      <w:r w:rsidRPr="00833C34">
        <w:rPr>
          <w:rFonts w:ascii="Times New Roman" w:hAnsi="Times New Roman" w:cs="Times New Roman"/>
          <w:sz w:val="24"/>
          <w:szCs w:val="24"/>
        </w:rPr>
        <w:t>CoS</w:t>
      </w:r>
      <w:proofErr w:type="spellEnd"/>
      <w:r w:rsidRPr="00833C34">
        <w:rPr>
          <w:rFonts w:ascii="Times New Roman" w:hAnsi="Times New Roman" w:cs="Times New Roman"/>
          <w:sz w:val="24"/>
          <w:szCs w:val="24"/>
        </w:rPr>
        <w:t>), a committee of the National Science and Technology Council (NSTC), c</w:t>
      </w:r>
      <w:r>
        <w:rPr>
          <w:rFonts w:ascii="Times New Roman" w:hAnsi="Times New Roman" w:cs="Times New Roman"/>
          <w:sz w:val="24"/>
          <w:szCs w:val="24"/>
        </w:rPr>
        <w:t xml:space="preserve">ame the RPPR. The RPPR is a </w:t>
      </w:r>
      <w:r w:rsidRPr="00833C34">
        <w:rPr>
          <w:rFonts w:ascii="Times New Roman" w:hAnsi="Times New Roman" w:cs="Times New Roman"/>
          <w:sz w:val="24"/>
          <w:szCs w:val="24"/>
        </w:rPr>
        <w:t>uniform format for reporting performance progress on Federally-funded research pro</w:t>
      </w:r>
      <w:r>
        <w:rPr>
          <w:rFonts w:ascii="Times New Roman" w:hAnsi="Times New Roman" w:cs="Times New Roman"/>
          <w:sz w:val="24"/>
          <w:szCs w:val="24"/>
        </w:rPr>
        <w:t xml:space="preserve">jects. RPPR is </w:t>
      </w:r>
      <w:r w:rsidRPr="00833C34">
        <w:rPr>
          <w:rFonts w:ascii="Times New Roman" w:hAnsi="Times New Roman" w:cs="Times New Roman"/>
          <w:sz w:val="24"/>
          <w:szCs w:val="24"/>
        </w:rPr>
        <w:t>used by agencies that support research and research</w:t>
      </w:r>
      <w:r>
        <w:rPr>
          <w:rFonts w:ascii="Times New Roman" w:hAnsi="Times New Roman" w:cs="Times New Roman"/>
          <w:sz w:val="24"/>
          <w:szCs w:val="24"/>
        </w:rPr>
        <w:t xml:space="preserve">-related activities. </w:t>
      </w:r>
    </w:p>
    <w:p w:rsidR="0031529A" w:rsidRDefault="0031529A" w:rsidP="000200BD">
      <w:pPr>
        <w:rPr>
          <w:sz w:val="24"/>
          <w:szCs w:val="24"/>
        </w:rPr>
      </w:pPr>
    </w:p>
    <w:p w:rsidR="0031529A" w:rsidRDefault="0031529A" w:rsidP="000200BD">
      <w:pPr>
        <w:rPr>
          <w:sz w:val="24"/>
          <w:szCs w:val="24"/>
        </w:rPr>
      </w:pPr>
    </w:p>
    <w:p w:rsidR="000200BD" w:rsidRPr="0031529A" w:rsidRDefault="0031529A" w:rsidP="000200BD">
      <w:pPr>
        <w:rPr>
          <w:sz w:val="24"/>
          <w:szCs w:val="24"/>
        </w:rPr>
      </w:pPr>
      <w:r>
        <w:rPr>
          <w:sz w:val="24"/>
          <w:szCs w:val="24"/>
        </w:rPr>
        <w:t xml:space="preserve">The Project Initiation, Progress Report, Final Report, and Financial Report forms in </w:t>
      </w:r>
      <w:r w:rsidR="00177C7F">
        <w:rPr>
          <w:sz w:val="24"/>
          <w:szCs w:val="24"/>
        </w:rPr>
        <w:t>REEPORT</w:t>
      </w:r>
      <w:r>
        <w:rPr>
          <w:sz w:val="24"/>
          <w:szCs w:val="24"/>
        </w:rPr>
        <w:t xml:space="preserve"> constitute a </w:t>
      </w:r>
      <w:r w:rsidR="000200BD">
        <w:rPr>
          <w:sz w:val="24"/>
          <w:szCs w:val="24"/>
        </w:rPr>
        <w:t>necessary information collection for publicly-supported research</w:t>
      </w:r>
      <w:r>
        <w:rPr>
          <w:sz w:val="24"/>
          <w:szCs w:val="24"/>
        </w:rPr>
        <w:t xml:space="preserve">, education, and extension </w:t>
      </w:r>
      <w:r w:rsidR="000200BD">
        <w:rPr>
          <w:sz w:val="24"/>
          <w:szCs w:val="24"/>
        </w:rPr>
        <w:t xml:space="preserve">projects as set forth in requirements established in 7 CFR Parts 3400-3419 pertaining to the aforementioned authorities.  </w:t>
      </w:r>
      <w:bookmarkStart w:id="1" w:name="OLE_LINK1"/>
      <w:bookmarkStart w:id="2" w:name="OLE_LINK2"/>
      <w:r>
        <w:rPr>
          <w:sz w:val="24"/>
          <w:szCs w:val="24"/>
        </w:rPr>
        <w:t xml:space="preserve">NIFA is modifying some current data fields and adding in additional data fields on the Progress Report, Final Report, and Financial Report forms in </w:t>
      </w:r>
      <w:r w:rsidR="00177C7F">
        <w:rPr>
          <w:sz w:val="24"/>
          <w:szCs w:val="24"/>
        </w:rPr>
        <w:t>REEPORT</w:t>
      </w:r>
      <w:r>
        <w:rPr>
          <w:sz w:val="24"/>
          <w:szCs w:val="24"/>
        </w:rPr>
        <w:t xml:space="preserve"> (as documented in FR</w:t>
      </w:r>
      <w:r w:rsidR="00DB4EF5">
        <w:rPr>
          <w:sz w:val="24"/>
          <w:szCs w:val="24"/>
        </w:rPr>
        <w:t xml:space="preserve"> Doc. 2015-14416 and FR Doc.</w:t>
      </w:r>
      <w:r>
        <w:rPr>
          <w:sz w:val="24"/>
          <w:szCs w:val="24"/>
        </w:rPr>
        <w:t xml:space="preserve"> 2016-04188</w:t>
      </w:r>
      <w:r w:rsidR="00DB4EF5">
        <w:rPr>
          <w:sz w:val="24"/>
          <w:szCs w:val="24"/>
        </w:rPr>
        <w:t>)</w:t>
      </w:r>
      <w:r>
        <w:rPr>
          <w:sz w:val="24"/>
          <w:szCs w:val="24"/>
        </w:rPr>
        <w:t>. This supporting statement describes the necessary revisions to the current approved information collection. These revisions to the information collection are</w:t>
      </w:r>
      <w:r w:rsidR="000200BD">
        <w:rPr>
          <w:sz w:val="24"/>
          <w:szCs w:val="24"/>
        </w:rPr>
        <w:t xml:space="preserve"> necessary in order to provide descriptive information regarding individual research</w:t>
      </w:r>
      <w:r w:rsidR="00B62D2C">
        <w:rPr>
          <w:sz w:val="24"/>
          <w:szCs w:val="24"/>
        </w:rPr>
        <w:t xml:space="preserve">, education, </w:t>
      </w:r>
      <w:r w:rsidR="000200BD">
        <w:rPr>
          <w:sz w:val="24"/>
          <w:szCs w:val="24"/>
        </w:rPr>
        <w:t>and integrated activities, to document expenditures and staff support for the activities, and to monitor the progress and impact of such activities.</w:t>
      </w:r>
      <w:r w:rsidR="00833C34">
        <w:rPr>
          <w:sz w:val="24"/>
          <w:szCs w:val="24"/>
        </w:rPr>
        <w:t xml:space="preserve">  </w:t>
      </w:r>
      <w:bookmarkEnd w:id="1"/>
      <w:bookmarkEnd w:id="2"/>
    </w:p>
    <w:p w:rsidR="00A60F4C" w:rsidRPr="00A60F4C" w:rsidRDefault="00A60F4C" w:rsidP="000200BD">
      <w:pPr>
        <w:rPr>
          <w:bCs/>
          <w:sz w:val="24"/>
          <w:szCs w:val="24"/>
        </w:rPr>
      </w:pPr>
    </w:p>
    <w:p w:rsidR="007545C7" w:rsidRDefault="000200BD" w:rsidP="000200BD">
      <w:pPr>
        <w:rPr>
          <w:bCs/>
          <w:sz w:val="24"/>
          <w:szCs w:val="24"/>
        </w:rPr>
      </w:pPr>
      <w:r w:rsidRPr="007545C7">
        <w:rPr>
          <w:bCs/>
          <w:sz w:val="24"/>
          <w:szCs w:val="24"/>
        </w:rPr>
        <w:t xml:space="preserve">2. </w:t>
      </w:r>
      <w:r w:rsidR="007545C7">
        <w:rPr>
          <w:bCs/>
          <w:sz w:val="24"/>
          <w:szCs w:val="24"/>
        </w:rPr>
        <w:t xml:space="preserve">HOW, BY WHOM, AND PURPOSE FOR WHICH INFORMATION IS TO BE USED </w:t>
      </w:r>
    </w:p>
    <w:p w:rsidR="007545C7" w:rsidRDefault="007545C7" w:rsidP="000200BD">
      <w:pPr>
        <w:rPr>
          <w:bCs/>
          <w:sz w:val="24"/>
          <w:szCs w:val="24"/>
        </w:rPr>
      </w:pPr>
    </w:p>
    <w:p w:rsidR="000200BD" w:rsidRDefault="00177C7F" w:rsidP="000200BD">
      <w:pPr>
        <w:rPr>
          <w:sz w:val="24"/>
          <w:szCs w:val="24"/>
        </w:rPr>
      </w:pPr>
      <w:r>
        <w:rPr>
          <w:sz w:val="24"/>
          <w:szCs w:val="24"/>
        </w:rPr>
        <w:t>REEPORT</w:t>
      </w:r>
      <w:r w:rsidR="000200BD">
        <w:rPr>
          <w:sz w:val="24"/>
          <w:szCs w:val="24"/>
        </w:rPr>
        <w:t xml:space="preserve"> operates administratively under the </w:t>
      </w:r>
      <w:r w:rsidR="000F5DE1">
        <w:rPr>
          <w:sz w:val="24"/>
          <w:szCs w:val="24"/>
        </w:rPr>
        <w:t>NIFA</w:t>
      </w:r>
      <w:r w:rsidR="000200BD">
        <w:rPr>
          <w:sz w:val="24"/>
          <w:szCs w:val="24"/>
        </w:rPr>
        <w:t xml:space="preserve">, but is a cooperative endeavor whereby information is collected on a project by project basis from many participant organizations, both federal and non-federal.  Information is received from USDA agencies, State Agricultural Experiment Stations, the state land-grant colleges and universities, the institutions of 1890, state schools of forestry, cooperating schools of veterinary medicine, USDA grant recipients, and other cooperating institutions.   </w:t>
      </w:r>
    </w:p>
    <w:p w:rsidR="000200BD" w:rsidRDefault="000200BD" w:rsidP="000200BD">
      <w:pPr>
        <w:rPr>
          <w:sz w:val="24"/>
          <w:szCs w:val="24"/>
        </w:rPr>
      </w:pPr>
    </w:p>
    <w:p w:rsidR="000200BD" w:rsidRDefault="000200BD" w:rsidP="000200BD">
      <w:pPr>
        <w:rPr>
          <w:sz w:val="24"/>
          <w:szCs w:val="24"/>
        </w:rPr>
      </w:pPr>
      <w:r>
        <w:rPr>
          <w:sz w:val="24"/>
          <w:szCs w:val="24"/>
        </w:rPr>
        <w:t>The inf</w:t>
      </w:r>
      <w:r w:rsidR="00DC3531">
        <w:rPr>
          <w:sz w:val="24"/>
          <w:szCs w:val="24"/>
        </w:rPr>
        <w:t xml:space="preserve">ormation is collected </w:t>
      </w:r>
      <w:r>
        <w:rPr>
          <w:sz w:val="24"/>
          <w:szCs w:val="24"/>
        </w:rPr>
        <w:t xml:space="preserve">via the Internet through a web site that may be accessed </w:t>
      </w:r>
      <w:r w:rsidR="00167F05">
        <w:rPr>
          <w:sz w:val="24"/>
          <w:szCs w:val="24"/>
        </w:rPr>
        <w:t>via the NIFA Reporting Portal (</w:t>
      </w:r>
      <w:hyperlink r:id="rId7" w:history="1">
        <w:r w:rsidR="00167F05" w:rsidRPr="003062F3">
          <w:rPr>
            <w:rStyle w:val="Hyperlink"/>
            <w:sz w:val="24"/>
            <w:szCs w:val="24"/>
          </w:rPr>
          <w:t>http://portal.nifa.usda.gov/</w:t>
        </w:r>
      </w:hyperlink>
      <w:r w:rsidR="00167F05">
        <w:rPr>
          <w:sz w:val="24"/>
          <w:szCs w:val="24"/>
        </w:rPr>
        <w:t xml:space="preserve">). </w:t>
      </w:r>
      <w:r>
        <w:rPr>
          <w:sz w:val="24"/>
          <w:szCs w:val="24"/>
        </w:rPr>
        <w:t xml:space="preserve"> This site provides access to </w:t>
      </w:r>
      <w:r w:rsidR="00177C7F">
        <w:rPr>
          <w:sz w:val="24"/>
          <w:szCs w:val="24"/>
        </w:rPr>
        <w:t>REEPORT</w:t>
      </w:r>
      <w:r>
        <w:rPr>
          <w:sz w:val="24"/>
          <w:szCs w:val="24"/>
        </w:rPr>
        <w:t xml:space="preserve">.  Electronic submission </w:t>
      </w:r>
      <w:r w:rsidR="00167F05">
        <w:rPr>
          <w:sz w:val="24"/>
          <w:szCs w:val="24"/>
        </w:rPr>
        <w:t xml:space="preserve">is required.  </w:t>
      </w:r>
      <w:r>
        <w:rPr>
          <w:sz w:val="24"/>
          <w:szCs w:val="24"/>
        </w:rPr>
        <w:t xml:space="preserve">      </w:t>
      </w:r>
    </w:p>
    <w:p w:rsidR="000200BD" w:rsidRDefault="000200BD" w:rsidP="000200BD">
      <w:pPr>
        <w:rPr>
          <w:sz w:val="24"/>
          <w:szCs w:val="24"/>
        </w:rPr>
      </w:pPr>
    </w:p>
    <w:p w:rsidR="000200BD" w:rsidRDefault="000200BD" w:rsidP="000200BD">
      <w:pPr>
        <w:rPr>
          <w:sz w:val="24"/>
          <w:szCs w:val="24"/>
        </w:rPr>
      </w:pPr>
      <w:r>
        <w:rPr>
          <w:sz w:val="24"/>
          <w:szCs w:val="24"/>
        </w:rPr>
        <w:t xml:space="preserve">The </w:t>
      </w:r>
      <w:r w:rsidR="00177C7F">
        <w:rPr>
          <w:sz w:val="24"/>
          <w:szCs w:val="24"/>
        </w:rPr>
        <w:t>REEPORT</w:t>
      </w:r>
      <w:r>
        <w:rPr>
          <w:sz w:val="24"/>
          <w:szCs w:val="24"/>
        </w:rPr>
        <w:t xml:space="preserve"> interface provides an intuitive, electronic means to submit required information to the </w:t>
      </w:r>
      <w:r w:rsidR="00167F05">
        <w:rPr>
          <w:sz w:val="24"/>
          <w:szCs w:val="24"/>
        </w:rPr>
        <w:t>project information</w:t>
      </w:r>
      <w:r>
        <w:rPr>
          <w:sz w:val="24"/>
          <w:szCs w:val="24"/>
        </w:rPr>
        <w:t xml:space="preserve"> collection.  Screen shots of this interface may be fou</w:t>
      </w:r>
      <w:r w:rsidR="00912C25">
        <w:rPr>
          <w:sz w:val="24"/>
          <w:szCs w:val="24"/>
        </w:rPr>
        <w:t xml:space="preserve">nd in the information collection list. </w:t>
      </w:r>
      <w:r>
        <w:rPr>
          <w:sz w:val="24"/>
          <w:szCs w:val="24"/>
        </w:rPr>
        <w:t xml:space="preserve">Grant recipients who are required to submit </w:t>
      </w:r>
      <w:r w:rsidR="00724781">
        <w:rPr>
          <w:sz w:val="24"/>
          <w:szCs w:val="24"/>
        </w:rPr>
        <w:t xml:space="preserve">to </w:t>
      </w:r>
      <w:r w:rsidR="00177C7F">
        <w:rPr>
          <w:sz w:val="24"/>
          <w:szCs w:val="24"/>
        </w:rPr>
        <w:t>REEPORT</w:t>
      </w:r>
      <w:r>
        <w:rPr>
          <w:sz w:val="24"/>
          <w:szCs w:val="24"/>
        </w:rPr>
        <w:t xml:space="preserve"> receive preliminary information via a letter sent by the awarding </w:t>
      </w:r>
      <w:r w:rsidR="000F5DE1">
        <w:rPr>
          <w:sz w:val="24"/>
          <w:szCs w:val="24"/>
        </w:rPr>
        <w:t>NIFA</w:t>
      </w:r>
      <w:r>
        <w:rPr>
          <w:sz w:val="24"/>
          <w:szCs w:val="24"/>
        </w:rPr>
        <w:t xml:space="preserve"> program office.  Online manuals </w:t>
      </w:r>
      <w:r w:rsidR="0081130F">
        <w:rPr>
          <w:sz w:val="24"/>
          <w:szCs w:val="24"/>
        </w:rPr>
        <w:t xml:space="preserve">for preparing </w:t>
      </w:r>
      <w:r w:rsidR="00177C7F">
        <w:rPr>
          <w:sz w:val="24"/>
          <w:szCs w:val="24"/>
        </w:rPr>
        <w:t>REEPORT</w:t>
      </w:r>
      <w:r w:rsidR="0081130F">
        <w:rPr>
          <w:sz w:val="24"/>
          <w:szCs w:val="24"/>
        </w:rPr>
        <w:t xml:space="preserve"> forms </w:t>
      </w:r>
      <w:r>
        <w:rPr>
          <w:sz w:val="24"/>
          <w:szCs w:val="24"/>
        </w:rPr>
        <w:t xml:space="preserve">are available through the </w:t>
      </w:r>
      <w:r w:rsidR="00177C7F">
        <w:rPr>
          <w:sz w:val="24"/>
          <w:szCs w:val="24"/>
        </w:rPr>
        <w:t>REEPORT</w:t>
      </w:r>
      <w:r>
        <w:rPr>
          <w:sz w:val="24"/>
          <w:szCs w:val="24"/>
        </w:rPr>
        <w:t xml:space="preserve"> web page at </w:t>
      </w:r>
      <w:hyperlink r:id="rId8" w:history="1">
        <w:r w:rsidR="00DC3531" w:rsidRPr="00130D2E">
          <w:rPr>
            <w:rStyle w:val="Hyperlink"/>
            <w:sz w:val="24"/>
            <w:szCs w:val="24"/>
          </w:rPr>
          <w:t>http://www.nifa.usda.gov/tool/</w:t>
        </w:r>
        <w:r w:rsidR="00177C7F">
          <w:rPr>
            <w:rStyle w:val="Hyperlink"/>
            <w:sz w:val="24"/>
            <w:szCs w:val="24"/>
          </w:rPr>
          <w:t>REEPORT</w:t>
        </w:r>
      </w:hyperlink>
      <w:r w:rsidR="00DC3531">
        <w:rPr>
          <w:sz w:val="24"/>
          <w:szCs w:val="24"/>
        </w:rPr>
        <w:t xml:space="preserve">.  </w:t>
      </w:r>
      <w:r w:rsidR="008628ED">
        <w:rPr>
          <w:sz w:val="24"/>
          <w:szCs w:val="24"/>
        </w:rPr>
        <w:t>Guidanc</w:t>
      </w:r>
      <w:r>
        <w:rPr>
          <w:sz w:val="24"/>
          <w:szCs w:val="24"/>
        </w:rPr>
        <w:t>e and supplemental information are further provided through hyperlinks embedded in the data entry screens.  Further assistance</w:t>
      </w:r>
      <w:r w:rsidR="00DC3531">
        <w:rPr>
          <w:sz w:val="24"/>
          <w:szCs w:val="24"/>
        </w:rPr>
        <w:t xml:space="preserve"> on program reporting and resolving technical issues</w:t>
      </w:r>
      <w:r w:rsidR="001A5012">
        <w:rPr>
          <w:sz w:val="24"/>
          <w:szCs w:val="24"/>
        </w:rPr>
        <w:t xml:space="preserve"> can be obtained by </w:t>
      </w:r>
      <w:r>
        <w:rPr>
          <w:sz w:val="24"/>
          <w:szCs w:val="24"/>
        </w:rPr>
        <w:t xml:space="preserve">contacting the </w:t>
      </w:r>
      <w:r w:rsidR="00177C7F">
        <w:rPr>
          <w:sz w:val="24"/>
          <w:szCs w:val="24"/>
        </w:rPr>
        <w:t>REEPORT</w:t>
      </w:r>
      <w:r>
        <w:rPr>
          <w:sz w:val="24"/>
          <w:szCs w:val="24"/>
        </w:rPr>
        <w:t xml:space="preserve"> staff</w:t>
      </w:r>
      <w:r w:rsidR="00DC3531">
        <w:rPr>
          <w:sz w:val="24"/>
          <w:szCs w:val="24"/>
        </w:rPr>
        <w:t xml:space="preserve"> </w:t>
      </w:r>
      <w:r w:rsidR="001A5012">
        <w:rPr>
          <w:sz w:val="24"/>
          <w:szCs w:val="24"/>
        </w:rPr>
        <w:t xml:space="preserve">directly </w:t>
      </w:r>
      <w:r w:rsidR="00DC3531">
        <w:rPr>
          <w:sz w:val="24"/>
          <w:szCs w:val="24"/>
        </w:rPr>
        <w:t xml:space="preserve">at </w:t>
      </w:r>
      <w:hyperlink r:id="rId9" w:history="1">
        <w:r w:rsidR="00DC3531" w:rsidRPr="00130D2E">
          <w:rPr>
            <w:rStyle w:val="Hyperlink"/>
            <w:sz w:val="24"/>
            <w:szCs w:val="24"/>
          </w:rPr>
          <w:t>electronic@nifa.usda.gov</w:t>
        </w:r>
      </w:hyperlink>
      <w:r w:rsidR="001A5012">
        <w:rPr>
          <w:sz w:val="24"/>
          <w:szCs w:val="24"/>
        </w:rPr>
        <w:t xml:space="preserve">. </w:t>
      </w:r>
    </w:p>
    <w:p w:rsidR="000200BD" w:rsidRDefault="000200BD" w:rsidP="000200BD">
      <w:pPr>
        <w:rPr>
          <w:sz w:val="24"/>
          <w:szCs w:val="24"/>
        </w:rPr>
      </w:pPr>
    </w:p>
    <w:p w:rsidR="000200BD" w:rsidRDefault="000200BD" w:rsidP="001A5012">
      <w:pPr>
        <w:rPr>
          <w:sz w:val="24"/>
          <w:szCs w:val="24"/>
        </w:rPr>
      </w:pPr>
      <w:r>
        <w:rPr>
          <w:sz w:val="24"/>
          <w:szCs w:val="24"/>
        </w:rPr>
        <w:t>The</w:t>
      </w:r>
      <w:r w:rsidR="001A5012">
        <w:rPr>
          <w:sz w:val="24"/>
          <w:szCs w:val="24"/>
        </w:rPr>
        <w:t xml:space="preserve"> </w:t>
      </w:r>
      <w:r w:rsidR="00177C7F">
        <w:rPr>
          <w:sz w:val="24"/>
          <w:szCs w:val="24"/>
        </w:rPr>
        <w:t>REEPORT</w:t>
      </w:r>
      <w:r>
        <w:rPr>
          <w:sz w:val="24"/>
          <w:szCs w:val="24"/>
        </w:rPr>
        <w:t xml:space="preserve"> information collection proc</w:t>
      </w:r>
      <w:r w:rsidR="001A5012">
        <w:rPr>
          <w:sz w:val="24"/>
          <w:szCs w:val="24"/>
        </w:rPr>
        <w:t>ess is driven by the data elements</w:t>
      </w:r>
      <w:r>
        <w:rPr>
          <w:sz w:val="24"/>
          <w:szCs w:val="24"/>
        </w:rPr>
        <w:t xml:space="preserve"> associated with four for</w:t>
      </w:r>
      <w:r w:rsidR="001A5012">
        <w:rPr>
          <w:sz w:val="24"/>
          <w:szCs w:val="24"/>
        </w:rPr>
        <w:t>ms originally developed</w:t>
      </w:r>
      <w:r>
        <w:rPr>
          <w:sz w:val="24"/>
          <w:szCs w:val="24"/>
        </w:rPr>
        <w:t xml:space="preserve"> in the late 1960s</w:t>
      </w:r>
      <w:r w:rsidR="001A5012">
        <w:rPr>
          <w:sz w:val="24"/>
          <w:szCs w:val="24"/>
        </w:rPr>
        <w:t xml:space="preserve"> to track federally-funded research activities and which were modernized and modified to create the current Project Initiation, Progress/Final Report, and Financial Report.  Together with the data elements prescribed and defined in the RPPR (</w:t>
      </w:r>
      <w:r w:rsidR="008628ED">
        <w:rPr>
          <w:sz w:val="24"/>
          <w:szCs w:val="24"/>
        </w:rPr>
        <w:t xml:space="preserve">can be found on the National Science Foundation website at </w:t>
      </w:r>
      <w:hyperlink r:id="rId10" w:history="1">
        <w:r w:rsidR="008628ED" w:rsidRPr="003062F3">
          <w:rPr>
            <w:rStyle w:val="Hyperlink"/>
            <w:sz w:val="24"/>
            <w:szCs w:val="24"/>
          </w:rPr>
          <w:t>http://www.nsf.gov/bfa/dias/policy/rppr/</w:t>
        </w:r>
      </w:hyperlink>
      <w:r w:rsidR="001A5012">
        <w:rPr>
          <w:sz w:val="24"/>
          <w:szCs w:val="24"/>
        </w:rPr>
        <w:t xml:space="preserve">), the information collected on these forms is critical in enabling NIFA to assess the effectiveness and impact of its research, education, and extension programs. </w:t>
      </w:r>
    </w:p>
    <w:p w:rsidR="001B1CAE" w:rsidRDefault="001B1CAE" w:rsidP="000200BD">
      <w:pPr>
        <w:rPr>
          <w:sz w:val="24"/>
          <w:szCs w:val="24"/>
        </w:rPr>
      </w:pPr>
    </w:p>
    <w:p w:rsidR="000200BD" w:rsidRDefault="000200BD" w:rsidP="000200BD">
      <w:pPr>
        <w:rPr>
          <w:sz w:val="24"/>
          <w:szCs w:val="24"/>
        </w:rPr>
      </w:pPr>
      <w:r>
        <w:rPr>
          <w:sz w:val="24"/>
          <w:szCs w:val="24"/>
        </w:rPr>
        <w:t>This information</w:t>
      </w:r>
      <w:r w:rsidR="00D37BB6">
        <w:rPr>
          <w:sz w:val="24"/>
          <w:szCs w:val="24"/>
        </w:rPr>
        <w:t xml:space="preserve"> on the Project Initiation</w:t>
      </w:r>
      <w:r>
        <w:rPr>
          <w:sz w:val="24"/>
          <w:szCs w:val="24"/>
        </w:rPr>
        <w:t xml:space="preserve"> includes data items such as title, investigator, project number, performing organization, project type, objectives, approach, non-technical summary, </w:t>
      </w:r>
      <w:r>
        <w:rPr>
          <w:sz w:val="24"/>
          <w:szCs w:val="24"/>
        </w:rPr>
        <w:lastRenderedPageBreak/>
        <w:t xml:space="preserve">keywords, </w:t>
      </w:r>
      <w:r w:rsidR="00EF57D8">
        <w:rPr>
          <w:sz w:val="24"/>
          <w:szCs w:val="24"/>
        </w:rPr>
        <w:t xml:space="preserve">need area, discipline, </w:t>
      </w:r>
      <w:r>
        <w:rPr>
          <w:sz w:val="24"/>
          <w:szCs w:val="24"/>
        </w:rPr>
        <w:t>start date and termination date</w:t>
      </w:r>
      <w:r w:rsidR="008628ED">
        <w:rPr>
          <w:sz w:val="24"/>
          <w:szCs w:val="24"/>
        </w:rPr>
        <w:t>, and a predefined classification system to categorize the project with assignments of knowledge area, subject of investigation and field of science categories providing descriptive classification for each project.  In addition to the three primary elements, a percentage of effort value associated with each set of assigned classification codes is also specified.  Additionally, separate designations are made regarding the percent of the project pertaining to basic versus applied versus developmental research.  Projects are also assigned percentage values for animal health or forestry related researc</w:t>
      </w:r>
      <w:r w:rsidR="000F07C0">
        <w:rPr>
          <w:sz w:val="24"/>
          <w:szCs w:val="24"/>
        </w:rPr>
        <w:t>h activities when appropriate.</w:t>
      </w:r>
      <w:r w:rsidR="008628ED">
        <w:rPr>
          <w:sz w:val="24"/>
          <w:szCs w:val="24"/>
        </w:rPr>
        <w:t xml:space="preserve">  </w:t>
      </w:r>
      <w:r w:rsidR="00C1388B">
        <w:rPr>
          <w:sz w:val="24"/>
          <w:szCs w:val="24"/>
        </w:rPr>
        <w:t xml:space="preserve">The </w:t>
      </w:r>
      <w:r w:rsidR="00C1388B">
        <w:rPr>
          <w:iCs/>
          <w:sz w:val="24"/>
          <w:szCs w:val="24"/>
        </w:rPr>
        <w:t xml:space="preserve">Form NIFA–2008, </w:t>
      </w:r>
      <w:r w:rsidR="00C1388B">
        <w:rPr>
          <w:i/>
          <w:iCs/>
          <w:sz w:val="24"/>
          <w:szCs w:val="24"/>
        </w:rPr>
        <w:t>Assurance Statement(s)</w:t>
      </w:r>
      <w:r w:rsidR="00C1388B">
        <w:rPr>
          <w:iCs/>
          <w:sz w:val="24"/>
          <w:szCs w:val="24"/>
        </w:rPr>
        <w:t xml:space="preserve"> also approved for collection under </w:t>
      </w:r>
      <w:r w:rsidR="0088723E">
        <w:rPr>
          <w:sz w:val="24"/>
          <w:szCs w:val="24"/>
        </w:rPr>
        <w:t>OMB approval number 0524</w:t>
      </w:r>
      <w:r w:rsidR="00745FF0">
        <w:rPr>
          <w:sz w:val="24"/>
          <w:szCs w:val="24"/>
        </w:rPr>
        <w:t>-0042</w:t>
      </w:r>
      <w:r w:rsidR="001A5012">
        <w:rPr>
          <w:sz w:val="24"/>
          <w:szCs w:val="24"/>
        </w:rPr>
        <w:t xml:space="preserve"> and is </w:t>
      </w:r>
      <w:r w:rsidR="00C1388B">
        <w:rPr>
          <w:sz w:val="24"/>
          <w:szCs w:val="24"/>
        </w:rPr>
        <w:t xml:space="preserve">part </w:t>
      </w:r>
      <w:r w:rsidR="001A5012">
        <w:rPr>
          <w:sz w:val="24"/>
          <w:szCs w:val="24"/>
        </w:rPr>
        <w:t>of the Project Initiation module</w:t>
      </w:r>
      <w:r w:rsidR="00C1388B">
        <w:rPr>
          <w:sz w:val="24"/>
          <w:szCs w:val="24"/>
        </w:rPr>
        <w:t xml:space="preserve"> in </w:t>
      </w:r>
      <w:r w:rsidR="00177C7F">
        <w:rPr>
          <w:sz w:val="24"/>
          <w:szCs w:val="24"/>
        </w:rPr>
        <w:t>REEPORT</w:t>
      </w:r>
      <w:r w:rsidR="00C1388B">
        <w:rPr>
          <w:sz w:val="24"/>
          <w:szCs w:val="24"/>
        </w:rPr>
        <w:t xml:space="preserve">. </w:t>
      </w:r>
      <w:r w:rsidR="008628ED" w:rsidRPr="00A86E71">
        <w:rPr>
          <w:sz w:val="24"/>
          <w:szCs w:val="24"/>
        </w:rPr>
        <w:t>This form is used in</w:t>
      </w:r>
      <w:r w:rsidR="008628ED">
        <w:rPr>
          <w:sz w:val="24"/>
          <w:szCs w:val="24"/>
        </w:rPr>
        <w:t xml:space="preserve"> formula grant </w:t>
      </w:r>
      <w:r w:rsidR="008628ED" w:rsidRPr="00A86E71">
        <w:rPr>
          <w:sz w:val="24"/>
          <w:szCs w:val="24"/>
        </w:rPr>
        <w:t>programs and provides</w:t>
      </w:r>
      <w:r w:rsidR="008628ED">
        <w:rPr>
          <w:sz w:val="24"/>
          <w:szCs w:val="24"/>
        </w:rPr>
        <w:t xml:space="preserve"> </w:t>
      </w:r>
      <w:r w:rsidR="008628ED" w:rsidRPr="00A86E71">
        <w:rPr>
          <w:sz w:val="24"/>
          <w:szCs w:val="24"/>
        </w:rPr>
        <w:t>required assurances of compliance with</w:t>
      </w:r>
      <w:r w:rsidR="008628ED">
        <w:rPr>
          <w:sz w:val="24"/>
          <w:szCs w:val="24"/>
        </w:rPr>
        <w:t xml:space="preserve"> regulations involving the </w:t>
      </w:r>
      <w:r w:rsidR="008628ED" w:rsidRPr="00A86E71">
        <w:rPr>
          <w:sz w:val="24"/>
          <w:szCs w:val="24"/>
        </w:rPr>
        <w:t>protection of</w:t>
      </w:r>
      <w:r w:rsidR="008628ED">
        <w:rPr>
          <w:sz w:val="24"/>
          <w:szCs w:val="24"/>
        </w:rPr>
        <w:t xml:space="preserve"> </w:t>
      </w:r>
      <w:r w:rsidR="008628ED" w:rsidRPr="00A86E71">
        <w:rPr>
          <w:sz w:val="24"/>
          <w:szCs w:val="24"/>
        </w:rPr>
        <w:t>human subjects, animal welfare, and</w:t>
      </w:r>
      <w:r w:rsidR="008628ED">
        <w:rPr>
          <w:sz w:val="24"/>
          <w:szCs w:val="24"/>
        </w:rPr>
        <w:t xml:space="preserve"> recombinant DNA</w:t>
      </w:r>
      <w:r w:rsidR="00703FB4">
        <w:rPr>
          <w:sz w:val="24"/>
          <w:szCs w:val="24"/>
        </w:rPr>
        <w:t xml:space="preserve"> research. </w:t>
      </w:r>
      <w:r>
        <w:rPr>
          <w:sz w:val="24"/>
          <w:szCs w:val="24"/>
        </w:rPr>
        <w:t xml:space="preserve">This information is required at the onset of a project and need only be resubmitted upon revision of the project.  </w:t>
      </w:r>
      <w:r w:rsidR="00EB510E">
        <w:rPr>
          <w:sz w:val="24"/>
          <w:szCs w:val="24"/>
        </w:rPr>
        <w:t>No revisions are being requested to this portion of the information collection at this time.</w:t>
      </w:r>
    </w:p>
    <w:p w:rsidR="000200BD" w:rsidRDefault="000200BD" w:rsidP="000200BD">
      <w:pPr>
        <w:rPr>
          <w:sz w:val="24"/>
          <w:szCs w:val="24"/>
        </w:rPr>
      </w:pPr>
    </w:p>
    <w:p w:rsidR="00220145" w:rsidRDefault="00D37BB6" w:rsidP="000200BD">
      <w:pPr>
        <w:rPr>
          <w:sz w:val="24"/>
          <w:szCs w:val="24"/>
        </w:rPr>
      </w:pPr>
      <w:r>
        <w:rPr>
          <w:sz w:val="24"/>
          <w:szCs w:val="24"/>
        </w:rPr>
        <w:t xml:space="preserve">The Progress Report and </w:t>
      </w:r>
      <w:r w:rsidR="008628ED">
        <w:rPr>
          <w:sz w:val="24"/>
          <w:szCs w:val="24"/>
        </w:rPr>
        <w:t>Final Report</w:t>
      </w:r>
      <w:r>
        <w:rPr>
          <w:sz w:val="24"/>
          <w:szCs w:val="24"/>
        </w:rPr>
        <w:t xml:space="preserve"> forms both include data items approved for use in the R</w:t>
      </w:r>
      <w:r w:rsidR="00EB510E">
        <w:rPr>
          <w:sz w:val="24"/>
          <w:szCs w:val="24"/>
        </w:rPr>
        <w:t>PPR.  The items provide information about</w:t>
      </w:r>
      <w:r w:rsidR="000200BD">
        <w:rPr>
          <w:sz w:val="24"/>
          <w:szCs w:val="24"/>
        </w:rPr>
        <w:t xml:space="preserve"> </w:t>
      </w:r>
      <w:r w:rsidR="00EB510E">
        <w:rPr>
          <w:sz w:val="24"/>
          <w:szCs w:val="24"/>
        </w:rPr>
        <w:t xml:space="preserve">participants, </w:t>
      </w:r>
      <w:r w:rsidR="000200BD">
        <w:rPr>
          <w:sz w:val="24"/>
          <w:szCs w:val="24"/>
        </w:rPr>
        <w:t>progress</w:t>
      </w:r>
      <w:r w:rsidR="00EB510E">
        <w:rPr>
          <w:sz w:val="24"/>
          <w:szCs w:val="24"/>
        </w:rPr>
        <w:t>, accomplishments,</w:t>
      </w:r>
      <w:r w:rsidR="000200BD">
        <w:rPr>
          <w:sz w:val="24"/>
          <w:szCs w:val="24"/>
        </w:rPr>
        <w:t xml:space="preserve"> and impact</w:t>
      </w:r>
      <w:r w:rsidR="00EB510E">
        <w:rPr>
          <w:sz w:val="24"/>
          <w:szCs w:val="24"/>
        </w:rPr>
        <w:t xml:space="preserve">s of the project’s activities </w:t>
      </w:r>
      <w:r w:rsidR="000200BD">
        <w:rPr>
          <w:sz w:val="24"/>
          <w:szCs w:val="24"/>
        </w:rPr>
        <w:t>as well as publication</w:t>
      </w:r>
      <w:r w:rsidR="00EB510E">
        <w:rPr>
          <w:sz w:val="24"/>
          <w:szCs w:val="24"/>
        </w:rPr>
        <w:t>s, publication citations, and patent information relating</w:t>
      </w:r>
      <w:r w:rsidR="000200BD">
        <w:rPr>
          <w:sz w:val="24"/>
          <w:szCs w:val="24"/>
        </w:rPr>
        <w:t xml:space="preserve"> to the project.  </w:t>
      </w:r>
      <w:r w:rsidR="00EB510E">
        <w:rPr>
          <w:sz w:val="24"/>
          <w:szCs w:val="24"/>
        </w:rPr>
        <w:t>The Progress R</w:t>
      </w:r>
      <w:r w:rsidR="008628ED">
        <w:rPr>
          <w:sz w:val="24"/>
          <w:szCs w:val="24"/>
        </w:rPr>
        <w:t>eport</w:t>
      </w:r>
      <w:r w:rsidR="000200BD">
        <w:rPr>
          <w:sz w:val="24"/>
          <w:szCs w:val="24"/>
        </w:rPr>
        <w:t xml:space="preserve"> is required on an annual basis and reflects pr</w:t>
      </w:r>
      <w:r w:rsidR="00EB510E">
        <w:rPr>
          <w:sz w:val="24"/>
          <w:szCs w:val="24"/>
        </w:rPr>
        <w:t>ogress for a 12-month period.  The</w:t>
      </w:r>
      <w:r w:rsidR="000200BD">
        <w:rPr>
          <w:sz w:val="24"/>
          <w:szCs w:val="24"/>
        </w:rPr>
        <w:t xml:space="preserve"> </w:t>
      </w:r>
      <w:r w:rsidR="00EB510E">
        <w:rPr>
          <w:sz w:val="24"/>
          <w:szCs w:val="24"/>
        </w:rPr>
        <w:t>F</w:t>
      </w:r>
      <w:r w:rsidR="008628ED">
        <w:rPr>
          <w:sz w:val="24"/>
          <w:szCs w:val="24"/>
        </w:rPr>
        <w:t>inal</w:t>
      </w:r>
      <w:r w:rsidR="00EB510E">
        <w:rPr>
          <w:sz w:val="24"/>
          <w:szCs w:val="24"/>
        </w:rPr>
        <w:t xml:space="preserve"> R</w:t>
      </w:r>
      <w:r w:rsidR="000200BD">
        <w:rPr>
          <w:sz w:val="24"/>
          <w:szCs w:val="24"/>
        </w:rPr>
        <w:t xml:space="preserve">eport is required within 90 days following the termination of a project and reflects the progress over the entire life of the project. </w:t>
      </w:r>
      <w:r w:rsidR="00EB510E">
        <w:rPr>
          <w:sz w:val="24"/>
          <w:szCs w:val="24"/>
        </w:rPr>
        <w:t>For both of these forms, the revisions being submitted for approval</w:t>
      </w:r>
      <w:r w:rsidR="00220145">
        <w:rPr>
          <w:sz w:val="24"/>
          <w:szCs w:val="24"/>
        </w:rPr>
        <w:t xml:space="preserve"> in this supporting statement</w:t>
      </w:r>
      <w:r w:rsidR="00EB510E">
        <w:rPr>
          <w:sz w:val="24"/>
          <w:szCs w:val="24"/>
        </w:rPr>
        <w:t xml:space="preserve"> include adding in RPPR approved demographic data on participants (gender, race, ethnicity, disability stat</w:t>
      </w:r>
      <w:r w:rsidR="00220145">
        <w:rPr>
          <w:sz w:val="24"/>
          <w:szCs w:val="24"/>
        </w:rPr>
        <w:t xml:space="preserve">us).  Additionally, approval for data collected on demographics of target audiences; types of activities; identifying information on patents and Plant Variety Protection(s); and quantitative outcome measures on certain challenge areas  (Childhood Obesity; Climate Change; Food Safety; Food Security; Sustainable Bioenergy; Water; and Consumer and Industry Outreach, Policy, Markets, and Trade) are requested. </w:t>
      </w:r>
    </w:p>
    <w:p w:rsidR="000200BD" w:rsidRDefault="000200BD" w:rsidP="000200BD">
      <w:pPr>
        <w:rPr>
          <w:sz w:val="24"/>
          <w:szCs w:val="24"/>
        </w:rPr>
      </w:pPr>
    </w:p>
    <w:p w:rsidR="000200BD" w:rsidRDefault="001A5012" w:rsidP="000200BD">
      <w:pPr>
        <w:rPr>
          <w:sz w:val="24"/>
          <w:szCs w:val="24"/>
        </w:rPr>
      </w:pPr>
      <w:r>
        <w:rPr>
          <w:sz w:val="24"/>
          <w:szCs w:val="24"/>
        </w:rPr>
        <w:t xml:space="preserve">The </w:t>
      </w:r>
      <w:r w:rsidR="00744BAF">
        <w:rPr>
          <w:sz w:val="24"/>
          <w:szCs w:val="24"/>
        </w:rPr>
        <w:t>Financial Report</w:t>
      </w:r>
      <w:r>
        <w:rPr>
          <w:sz w:val="24"/>
          <w:szCs w:val="24"/>
        </w:rPr>
        <w:t xml:space="preserve"> collects</w:t>
      </w:r>
      <w:r w:rsidR="000200BD">
        <w:rPr>
          <w:sz w:val="24"/>
          <w:szCs w:val="24"/>
        </w:rPr>
        <w:t xml:space="preserve"> data on annual expenditures for support of the project, identified by funding source.  </w:t>
      </w:r>
      <w:r w:rsidR="000F5DE1">
        <w:rPr>
          <w:sz w:val="24"/>
          <w:szCs w:val="24"/>
        </w:rPr>
        <w:t>NIFA</w:t>
      </w:r>
      <w:r w:rsidR="000200BD">
        <w:rPr>
          <w:sz w:val="24"/>
          <w:szCs w:val="24"/>
        </w:rPr>
        <w:t xml:space="preserve"> administered funds, other federal funds, and non-federal funds are the </w:t>
      </w:r>
      <w:r>
        <w:rPr>
          <w:sz w:val="24"/>
          <w:szCs w:val="24"/>
        </w:rPr>
        <w:t xml:space="preserve">primary categories of funding. </w:t>
      </w:r>
      <w:r w:rsidR="000200BD">
        <w:rPr>
          <w:sz w:val="24"/>
          <w:szCs w:val="24"/>
        </w:rPr>
        <w:t>This information is requested annually and reported on a fiscal year basis.</w:t>
      </w:r>
      <w:r w:rsidR="00220145">
        <w:rPr>
          <w:sz w:val="24"/>
          <w:szCs w:val="24"/>
        </w:rPr>
        <w:t xml:space="preserve">  The revisions being submitted for approval in this supporting statement include adding in additional funding source categories under the “non-federal funds” section: “foundation funding” and “international funding.”</w:t>
      </w:r>
    </w:p>
    <w:p w:rsidR="00D466A6" w:rsidRDefault="00D466A6" w:rsidP="000200BD">
      <w:pPr>
        <w:rPr>
          <w:sz w:val="24"/>
          <w:szCs w:val="24"/>
        </w:rPr>
      </w:pPr>
    </w:p>
    <w:p w:rsidR="000200BD" w:rsidRDefault="00EC0C8C" w:rsidP="000200BD">
      <w:pPr>
        <w:rPr>
          <w:sz w:val="24"/>
          <w:szCs w:val="24"/>
        </w:rPr>
      </w:pPr>
      <w:r>
        <w:rPr>
          <w:sz w:val="24"/>
          <w:szCs w:val="24"/>
        </w:rPr>
        <w:t xml:space="preserve">The mission of </w:t>
      </w:r>
      <w:r w:rsidR="00177C7F">
        <w:rPr>
          <w:sz w:val="24"/>
          <w:szCs w:val="24"/>
        </w:rPr>
        <w:t>REEPORT</w:t>
      </w:r>
      <w:r w:rsidR="00744BAF">
        <w:rPr>
          <w:sz w:val="24"/>
          <w:szCs w:val="24"/>
        </w:rPr>
        <w:t xml:space="preserve">, </w:t>
      </w:r>
      <w:r w:rsidR="000200BD">
        <w:rPr>
          <w:sz w:val="24"/>
          <w:szCs w:val="24"/>
        </w:rPr>
        <w:t>broadly stated, is to document the research</w:t>
      </w:r>
      <w:r w:rsidR="00744BAF">
        <w:rPr>
          <w:sz w:val="24"/>
          <w:szCs w:val="24"/>
        </w:rPr>
        <w:t>, extension, and education project</w:t>
      </w:r>
      <w:r w:rsidR="000200BD">
        <w:rPr>
          <w:sz w:val="24"/>
          <w:szCs w:val="24"/>
        </w:rPr>
        <w:t xml:space="preserve"> activities of the USDA and the State agricultural research system partners, to satisfy a variety of reporting requirements, and to provide access to research information.  This mission supports one of the </w:t>
      </w:r>
      <w:r w:rsidR="000F5DE1">
        <w:rPr>
          <w:sz w:val="24"/>
          <w:szCs w:val="24"/>
        </w:rPr>
        <w:t>NIFA’s</w:t>
      </w:r>
      <w:r w:rsidR="000200BD">
        <w:rPr>
          <w:sz w:val="24"/>
          <w:szCs w:val="24"/>
        </w:rPr>
        <w:t xml:space="preserve"> primary functions, stated in the agency strategic plan, of providing program leadership to identify, develop, and manage programs to support university-based and other institutional research</w:t>
      </w:r>
      <w:r w:rsidR="00744BAF">
        <w:rPr>
          <w:sz w:val="24"/>
          <w:szCs w:val="24"/>
        </w:rPr>
        <w:t>, extension</w:t>
      </w:r>
      <w:r w:rsidR="000200BD">
        <w:rPr>
          <w:sz w:val="24"/>
          <w:szCs w:val="24"/>
        </w:rPr>
        <w:t xml:space="preserve">.  </w:t>
      </w:r>
      <w:r w:rsidR="00744BAF">
        <w:rPr>
          <w:sz w:val="24"/>
          <w:szCs w:val="24"/>
        </w:rPr>
        <w:t>T</w:t>
      </w:r>
      <w:r w:rsidR="000200BD">
        <w:rPr>
          <w:sz w:val="24"/>
          <w:szCs w:val="24"/>
        </w:rPr>
        <w:t xml:space="preserve">he information collected for </w:t>
      </w:r>
      <w:r w:rsidR="00177C7F">
        <w:rPr>
          <w:sz w:val="24"/>
          <w:szCs w:val="24"/>
        </w:rPr>
        <w:t>REEPORT</w:t>
      </w:r>
      <w:r w:rsidR="000200BD">
        <w:rPr>
          <w:sz w:val="24"/>
          <w:szCs w:val="24"/>
        </w:rPr>
        <w:t xml:space="preserve"> is utilized in an essentially unlimited number of ways for a wide array of purposes.  Generally, </w:t>
      </w:r>
      <w:r w:rsidR="00177C7F">
        <w:rPr>
          <w:sz w:val="24"/>
          <w:szCs w:val="24"/>
        </w:rPr>
        <w:t>REEPORT</w:t>
      </w:r>
      <w:r w:rsidR="000200BD">
        <w:rPr>
          <w:sz w:val="24"/>
          <w:szCs w:val="24"/>
        </w:rPr>
        <w:t xml:space="preserve"> provides ready access to information through public web accessible data as well as individually requested, customized reports and services for agency officials, program leaders, administrators and managers.  The information provided helps users to keep abreast of the latest developments in agricultural, food science, human nutrition and forestry research</w:t>
      </w:r>
      <w:r w:rsidR="00E8170E">
        <w:rPr>
          <w:sz w:val="24"/>
          <w:szCs w:val="24"/>
        </w:rPr>
        <w:t xml:space="preserve"> and education</w:t>
      </w:r>
      <w:r w:rsidR="000200BD">
        <w:rPr>
          <w:sz w:val="24"/>
          <w:szCs w:val="24"/>
        </w:rPr>
        <w:t xml:space="preserve">; track resource </w:t>
      </w:r>
      <w:r w:rsidR="000200BD">
        <w:rPr>
          <w:sz w:val="24"/>
          <w:szCs w:val="24"/>
        </w:rPr>
        <w:lastRenderedPageBreak/>
        <w:t xml:space="preserve">utilization in specific target areas, plan for future activities; plan for resource allocation to research </w:t>
      </w:r>
      <w:r w:rsidR="00E8170E">
        <w:rPr>
          <w:sz w:val="24"/>
          <w:szCs w:val="24"/>
        </w:rPr>
        <w:t xml:space="preserve">and education </w:t>
      </w:r>
      <w:r w:rsidR="000200BD">
        <w:rPr>
          <w:sz w:val="24"/>
          <w:szCs w:val="24"/>
        </w:rPr>
        <w:t xml:space="preserve">programs; avoid costly duplication of effort; aid in coordination of research </w:t>
      </w:r>
      <w:r w:rsidR="00E8170E">
        <w:rPr>
          <w:sz w:val="24"/>
          <w:szCs w:val="24"/>
        </w:rPr>
        <w:t xml:space="preserve">and education </w:t>
      </w:r>
      <w:r w:rsidR="000200BD">
        <w:rPr>
          <w:sz w:val="24"/>
          <w:szCs w:val="24"/>
        </w:rPr>
        <w:t xml:space="preserve">efforts addressing similar problems in different locations; and aid researchers </w:t>
      </w:r>
      <w:r w:rsidR="00E8170E">
        <w:rPr>
          <w:sz w:val="24"/>
          <w:szCs w:val="24"/>
        </w:rPr>
        <w:t xml:space="preserve">and project directors </w:t>
      </w:r>
      <w:r w:rsidR="000200BD">
        <w:rPr>
          <w:sz w:val="24"/>
          <w:szCs w:val="24"/>
        </w:rPr>
        <w:t>in establishing valuable contacts within the</w:t>
      </w:r>
      <w:r w:rsidR="00E8170E">
        <w:rPr>
          <w:sz w:val="24"/>
          <w:szCs w:val="24"/>
        </w:rPr>
        <w:t xml:space="preserve"> agricultural</w:t>
      </w:r>
      <w:r w:rsidR="000200BD">
        <w:rPr>
          <w:sz w:val="24"/>
          <w:szCs w:val="24"/>
        </w:rPr>
        <w:t xml:space="preserve"> community. </w:t>
      </w:r>
    </w:p>
    <w:p w:rsidR="000200BD" w:rsidRDefault="000200BD" w:rsidP="000200BD">
      <w:pPr>
        <w:rPr>
          <w:sz w:val="24"/>
          <w:szCs w:val="24"/>
        </w:rPr>
      </w:pPr>
    </w:p>
    <w:p w:rsidR="000200BD" w:rsidRDefault="000200BD" w:rsidP="000200BD">
      <w:pPr>
        <w:rPr>
          <w:color w:val="0000FF"/>
          <w:sz w:val="24"/>
          <w:szCs w:val="24"/>
        </w:rPr>
      </w:pPr>
      <w:r>
        <w:rPr>
          <w:sz w:val="24"/>
          <w:szCs w:val="24"/>
        </w:rPr>
        <w:t xml:space="preserve">Descriptive information pertaining to documented projects is available to the general public as well as the research </w:t>
      </w:r>
      <w:r w:rsidR="009D6A27">
        <w:rPr>
          <w:sz w:val="24"/>
          <w:szCs w:val="24"/>
        </w:rPr>
        <w:t xml:space="preserve">and education </w:t>
      </w:r>
      <w:r>
        <w:rPr>
          <w:sz w:val="24"/>
          <w:szCs w:val="24"/>
        </w:rPr>
        <w:t xml:space="preserve">community contributing to </w:t>
      </w:r>
      <w:r w:rsidR="00177C7F">
        <w:rPr>
          <w:sz w:val="24"/>
          <w:szCs w:val="24"/>
        </w:rPr>
        <w:t>REEPORT</w:t>
      </w:r>
      <w:r w:rsidR="00DF1A96">
        <w:rPr>
          <w:sz w:val="24"/>
          <w:szCs w:val="24"/>
        </w:rPr>
        <w:t>.  F</w:t>
      </w:r>
      <w:r>
        <w:rPr>
          <w:sz w:val="24"/>
          <w:szCs w:val="24"/>
        </w:rPr>
        <w:t xml:space="preserve">inancial information is </w:t>
      </w:r>
      <w:r w:rsidR="00DF1A96">
        <w:rPr>
          <w:sz w:val="24"/>
          <w:szCs w:val="24"/>
        </w:rPr>
        <w:t xml:space="preserve">also available on individual </w:t>
      </w:r>
      <w:r>
        <w:rPr>
          <w:sz w:val="24"/>
          <w:szCs w:val="24"/>
        </w:rPr>
        <w:t xml:space="preserve">projects and cooperative agreements as well as summary financial information through </w:t>
      </w:r>
      <w:r w:rsidR="00DF1A96">
        <w:rPr>
          <w:sz w:val="24"/>
          <w:szCs w:val="24"/>
        </w:rPr>
        <w:t xml:space="preserve">NIFA’s Data Gateway at </w:t>
      </w:r>
      <w:hyperlink r:id="rId11" w:history="1">
        <w:r w:rsidR="00DF1A96" w:rsidRPr="00130D2E">
          <w:rPr>
            <w:rStyle w:val="Hyperlink"/>
            <w:sz w:val="24"/>
            <w:szCs w:val="24"/>
          </w:rPr>
          <w:t>http://nifa.usda.gov/data</w:t>
        </w:r>
      </w:hyperlink>
      <w:r w:rsidR="00DF1A96">
        <w:rPr>
          <w:sz w:val="24"/>
          <w:szCs w:val="24"/>
        </w:rPr>
        <w:t xml:space="preserve">, </w:t>
      </w:r>
      <w:r>
        <w:rPr>
          <w:sz w:val="24"/>
          <w:szCs w:val="24"/>
        </w:rPr>
        <w:t xml:space="preserve">the </w:t>
      </w:r>
      <w:r w:rsidR="00744BAF">
        <w:rPr>
          <w:sz w:val="24"/>
          <w:szCs w:val="24"/>
        </w:rPr>
        <w:t>REEIS</w:t>
      </w:r>
      <w:r>
        <w:rPr>
          <w:sz w:val="24"/>
          <w:szCs w:val="24"/>
        </w:rPr>
        <w:t xml:space="preserve"> web site</w:t>
      </w:r>
      <w:r w:rsidR="00744BAF">
        <w:rPr>
          <w:sz w:val="24"/>
          <w:szCs w:val="24"/>
        </w:rPr>
        <w:t xml:space="preserve"> at </w:t>
      </w:r>
      <w:hyperlink r:id="rId12" w:history="1">
        <w:r w:rsidR="00744BAF" w:rsidRPr="003062F3">
          <w:rPr>
            <w:rStyle w:val="Hyperlink"/>
            <w:sz w:val="24"/>
            <w:szCs w:val="24"/>
          </w:rPr>
          <w:t>http://www.reeis.usda.gov</w:t>
        </w:r>
      </w:hyperlink>
      <w:r w:rsidR="00DF1A96">
        <w:rPr>
          <w:rStyle w:val="Hyperlink"/>
          <w:sz w:val="24"/>
          <w:szCs w:val="24"/>
        </w:rPr>
        <w:t>,</w:t>
      </w:r>
      <w:r w:rsidR="00744BAF">
        <w:rPr>
          <w:sz w:val="24"/>
          <w:szCs w:val="24"/>
        </w:rPr>
        <w:t xml:space="preserve"> and the CRIS database website at </w:t>
      </w:r>
      <w:hyperlink r:id="rId13" w:history="1">
        <w:r w:rsidR="00744BAF" w:rsidRPr="003062F3">
          <w:rPr>
            <w:rStyle w:val="Hyperlink"/>
            <w:sz w:val="24"/>
            <w:szCs w:val="24"/>
          </w:rPr>
          <w:t>http://cris.nifa.usda.gov/</w:t>
        </w:r>
      </w:hyperlink>
      <w:r w:rsidR="00744BAF">
        <w:rPr>
          <w:sz w:val="24"/>
          <w:szCs w:val="24"/>
        </w:rPr>
        <w:t xml:space="preserve">.  </w:t>
      </w:r>
      <w:r>
        <w:rPr>
          <w:sz w:val="24"/>
          <w:szCs w:val="24"/>
        </w:rPr>
        <w:t xml:space="preserve">Cooperating institutions, including the state agricultural experiment stations, state forestry schools, </w:t>
      </w:r>
      <w:r w:rsidR="009D6A27">
        <w:rPr>
          <w:sz w:val="24"/>
          <w:szCs w:val="24"/>
        </w:rPr>
        <w:t xml:space="preserve">and </w:t>
      </w:r>
      <w:r>
        <w:rPr>
          <w:sz w:val="24"/>
          <w:szCs w:val="24"/>
        </w:rPr>
        <w:t>land grant institutions</w:t>
      </w:r>
      <w:r w:rsidR="009D6A27">
        <w:rPr>
          <w:sz w:val="24"/>
          <w:szCs w:val="24"/>
        </w:rPr>
        <w:t xml:space="preserve"> (1862, 1890,</w:t>
      </w:r>
      <w:r>
        <w:rPr>
          <w:sz w:val="24"/>
          <w:szCs w:val="24"/>
        </w:rPr>
        <w:t xml:space="preserve"> and </w:t>
      </w:r>
      <w:r w:rsidR="009D6A27">
        <w:rPr>
          <w:sz w:val="24"/>
          <w:szCs w:val="24"/>
        </w:rPr>
        <w:t>1994)</w:t>
      </w:r>
      <w:r>
        <w:rPr>
          <w:sz w:val="24"/>
          <w:szCs w:val="24"/>
        </w:rPr>
        <w:t xml:space="preserve">, have access to all the data pertaining to their institution.  Many institutions take advantage of this access utilizing </w:t>
      </w:r>
      <w:r w:rsidR="00DF1A96">
        <w:rPr>
          <w:sz w:val="24"/>
          <w:szCs w:val="24"/>
        </w:rPr>
        <w:t xml:space="preserve">the Data Gateway, REEIs, and CRIS </w:t>
      </w:r>
      <w:r>
        <w:rPr>
          <w:sz w:val="24"/>
          <w:szCs w:val="24"/>
        </w:rPr>
        <w:t>to manage the research programs at their institution</w:t>
      </w:r>
      <w:r w:rsidR="00DF1A96">
        <w:rPr>
          <w:sz w:val="24"/>
          <w:szCs w:val="24"/>
        </w:rPr>
        <w:t>s</w:t>
      </w:r>
      <w:r>
        <w:rPr>
          <w:sz w:val="24"/>
          <w:szCs w:val="24"/>
        </w:rPr>
        <w:t xml:space="preserve">.  In addition, </w:t>
      </w:r>
      <w:r w:rsidR="000F5DE1">
        <w:rPr>
          <w:sz w:val="24"/>
          <w:szCs w:val="24"/>
        </w:rPr>
        <w:t>NIFA</w:t>
      </w:r>
      <w:r>
        <w:rPr>
          <w:sz w:val="24"/>
          <w:szCs w:val="24"/>
        </w:rPr>
        <w:t xml:space="preserve"> staff members can request specialized reports directly from the </w:t>
      </w:r>
      <w:r w:rsidR="00744BAF">
        <w:rPr>
          <w:sz w:val="24"/>
          <w:szCs w:val="24"/>
        </w:rPr>
        <w:t>Planning, Accountability, and Reporting Staff at NIFA</w:t>
      </w:r>
      <w:r>
        <w:rPr>
          <w:sz w:val="24"/>
          <w:szCs w:val="24"/>
        </w:rPr>
        <w:t xml:space="preserve">.  These requests can include financial disclosure pertaining to a particular subject area or targeted program.  The nature of this type of request characterizes one of the strengths of the </w:t>
      </w:r>
      <w:r w:rsidR="00177C7F">
        <w:rPr>
          <w:sz w:val="24"/>
          <w:szCs w:val="24"/>
        </w:rPr>
        <w:t>REEPORT</w:t>
      </w:r>
      <w:r>
        <w:rPr>
          <w:sz w:val="24"/>
          <w:szCs w:val="24"/>
        </w:rPr>
        <w:t xml:space="preserve"> information collection.  The system collects obligations and expenditures</w:t>
      </w:r>
      <w:r w:rsidR="00DF1A96">
        <w:rPr>
          <w:sz w:val="24"/>
          <w:szCs w:val="24"/>
        </w:rPr>
        <w:t xml:space="preserve"> on individual projects, but</w:t>
      </w:r>
      <w:r>
        <w:rPr>
          <w:sz w:val="24"/>
          <w:szCs w:val="24"/>
        </w:rPr>
        <w:t xml:space="preserve"> information can be retrieved and aggregated based on subject areas or targeted programs, and corresponding financial information can be tabulated accordingly.  The inclusion of subject-based class</w:t>
      </w:r>
      <w:r w:rsidR="009B537F">
        <w:rPr>
          <w:sz w:val="24"/>
          <w:szCs w:val="24"/>
        </w:rPr>
        <w:t xml:space="preserve">ifications and subject specific quantitative outcome measures and </w:t>
      </w:r>
      <w:r>
        <w:rPr>
          <w:sz w:val="24"/>
          <w:szCs w:val="24"/>
        </w:rPr>
        <w:t xml:space="preserve">descriptive fields supports a unique retrieval capability in this system.  The information can be utilized nationally, regionally, or at more detailed levels, by program leaders, budget officials, and administrators to identify resource utilization, monitor research </w:t>
      </w:r>
      <w:r w:rsidR="009D6A27">
        <w:rPr>
          <w:sz w:val="24"/>
          <w:szCs w:val="24"/>
        </w:rPr>
        <w:t xml:space="preserve">and education </w:t>
      </w:r>
      <w:r>
        <w:rPr>
          <w:sz w:val="24"/>
          <w:szCs w:val="24"/>
        </w:rPr>
        <w:t xml:space="preserve">activity in specific target areas, </w:t>
      </w:r>
      <w:r w:rsidR="00EF57D8">
        <w:rPr>
          <w:sz w:val="24"/>
          <w:szCs w:val="24"/>
        </w:rPr>
        <w:t xml:space="preserve">and </w:t>
      </w:r>
      <w:r>
        <w:rPr>
          <w:sz w:val="24"/>
          <w:szCs w:val="24"/>
        </w:rPr>
        <w:t>support decision making and resource allocation, not just on individual projects, but also for specific program areas.  Combining system capabilities facilitates the program evaluation, accountabilit</w:t>
      </w:r>
      <w:r w:rsidR="00DF1A96">
        <w:rPr>
          <w:sz w:val="24"/>
          <w:szCs w:val="24"/>
        </w:rPr>
        <w:t xml:space="preserve">y, and decision making processes for the agency. </w:t>
      </w:r>
    </w:p>
    <w:p w:rsidR="000200BD" w:rsidRDefault="000200BD" w:rsidP="000200BD">
      <w:pPr>
        <w:rPr>
          <w:sz w:val="24"/>
          <w:szCs w:val="24"/>
        </w:rPr>
      </w:pPr>
    </w:p>
    <w:p w:rsidR="000200BD" w:rsidRDefault="000200BD" w:rsidP="000200BD">
      <w:pPr>
        <w:rPr>
          <w:b/>
          <w:bCs/>
          <w:sz w:val="24"/>
          <w:szCs w:val="24"/>
        </w:rPr>
      </w:pPr>
    </w:p>
    <w:p w:rsidR="007545C7" w:rsidRDefault="007545C7" w:rsidP="000200BD">
      <w:pPr>
        <w:rPr>
          <w:bCs/>
          <w:sz w:val="24"/>
          <w:szCs w:val="24"/>
        </w:rPr>
      </w:pPr>
      <w:r>
        <w:rPr>
          <w:bCs/>
          <w:sz w:val="24"/>
          <w:szCs w:val="24"/>
        </w:rPr>
        <w:t xml:space="preserve">3. USE OF IMPROVED INFORMATION TECHNOLOGIES </w:t>
      </w:r>
    </w:p>
    <w:p w:rsidR="000200BD" w:rsidRDefault="000200BD" w:rsidP="000200BD">
      <w:pPr>
        <w:rPr>
          <w:sz w:val="24"/>
          <w:szCs w:val="24"/>
        </w:rPr>
      </w:pPr>
    </w:p>
    <w:p w:rsidR="000200BD" w:rsidRDefault="00097B30" w:rsidP="000200BD">
      <w:pPr>
        <w:rPr>
          <w:sz w:val="24"/>
          <w:szCs w:val="24"/>
        </w:rPr>
      </w:pPr>
      <w:r>
        <w:rPr>
          <w:sz w:val="24"/>
          <w:szCs w:val="24"/>
        </w:rPr>
        <w:t>T</w:t>
      </w:r>
      <w:r w:rsidR="000200BD">
        <w:rPr>
          <w:sz w:val="24"/>
          <w:szCs w:val="24"/>
        </w:rPr>
        <w:t xml:space="preserve">his information collection permits electronic submission of responses.  Through the use of a web-based interface known as </w:t>
      </w:r>
      <w:r w:rsidR="0058471A">
        <w:rPr>
          <w:sz w:val="24"/>
          <w:szCs w:val="24"/>
        </w:rPr>
        <w:t xml:space="preserve">the </w:t>
      </w:r>
      <w:r w:rsidR="00177C7F">
        <w:rPr>
          <w:sz w:val="24"/>
          <w:szCs w:val="24"/>
        </w:rPr>
        <w:t>REEPORT</w:t>
      </w:r>
      <w:r w:rsidR="0058471A">
        <w:rPr>
          <w:sz w:val="24"/>
          <w:szCs w:val="24"/>
        </w:rPr>
        <w:t xml:space="preserve"> software</w:t>
      </w:r>
      <w:r w:rsidR="000200BD">
        <w:rPr>
          <w:sz w:val="24"/>
          <w:szCs w:val="24"/>
        </w:rPr>
        <w:t xml:space="preserve">, respondents are able to enter information and submit that information to </w:t>
      </w:r>
      <w:r w:rsidR="000F5DE1">
        <w:rPr>
          <w:sz w:val="24"/>
          <w:szCs w:val="24"/>
        </w:rPr>
        <w:t>NIFA</w:t>
      </w:r>
      <w:r w:rsidR="000200BD">
        <w:rPr>
          <w:sz w:val="24"/>
          <w:szCs w:val="24"/>
        </w:rPr>
        <w:t xml:space="preserve"> electronically.  </w:t>
      </w:r>
      <w:r w:rsidR="0058471A">
        <w:rPr>
          <w:sz w:val="24"/>
          <w:szCs w:val="24"/>
        </w:rPr>
        <w:t xml:space="preserve">To reduce burden, the technology prepopulates data that is already available from the grant application and award process </w:t>
      </w:r>
      <w:r w:rsidR="009B537F">
        <w:rPr>
          <w:sz w:val="24"/>
          <w:szCs w:val="24"/>
        </w:rPr>
        <w:t xml:space="preserve">in </w:t>
      </w:r>
      <w:r w:rsidR="00177C7F">
        <w:rPr>
          <w:sz w:val="24"/>
          <w:szCs w:val="24"/>
        </w:rPr>
        <w:t>REEPORT</w:t>
      </w:r>
      <w:r w:rsidR="0058471A">
        <w:rPr>
          <w:sz w:val="24"/>
          <w:szCs w:val="24"/>
        </w:rPr>
        <w:t xml:space="preserve">.  Moreover, the technology prepopulates data from the project initiation process in the Progress/Final Report.  </w:t>
      </w:r>
    </w:p>
    <w:p w:rsidR="000200BD" w:rsidRDefault="000200BD" w:rsidP="000200BD">
      <w:pPr>
        <w:rPr>
          <w:b/>
          <w:bCs/>
          <w:sz w:val="24"/>
          <w:szCs w:val="24"/>
        </w:rPr>
      </w:pPr>
    </w:p>
    <w:p w:rsidR="000200BD" w:rsidRPr="007545C7" w:rsidRDefault="000200BD" w:rsidP="000200BD">
      <w:pPr>
        <w:rPr>
          <w:bCs/>
          <w:sz w:val="24"/>
          <w:szCs w:val="24"/>
        </w:rPr>
      </w:pPr>
      <w:r w:rsidRPr="007545C7">
        <w:rPr>
          <w:bCs/>
          <w:sz w:val="24"/>
          <w:szCs w:val="24"/>
        </w:rPr>
        <w:t xml:space="preserve">4. </w:t>
      </w:r>
      <w:r w:rsidR="007545C7">
        <w:rPr>
          <w:bCs/>
          <w:sz w:val="24"/>
          <w:szCs w:val="24"/>
        </w:rPr>
        <w:t>EFFORTS TO IDENTIFY DUPLICATION</w:t>
      </w:r>
    </w:p>
    <w:p w:rsidR="000200BD" w:rsidRDefault="000200BD" w:rsidP="000200BD">
      <w:pPr>
        <w:rPr>
          <w:sz w:val="24"/>
          <w:szCs w:val="24"/>
        </w:rPr>
      </w:pPr>
    </w:p>
    <w:p w:rsidR="000200BD" w:rsidRDefault="000200BD" w:rsidP="000200BD">
      <w:pPr>
        <w:rPr>
          <w:sz w:val="24"/>
          <w:szCs w:val="24"/>
        </w:rPr>
      </w:pPr>
      <w:r>
        <w:rPr>
          <w:sz w:val="24"/>
          <w:szCs w:val="24"/>
        </w:rPr>
        <w:t xml:space="preserve">The structure of the </w:t>
      </w:r>
      <w:r w:rsidR="00177C7F">
        <w:rPr>
          <w:sz w:val="24"/>
          <w:szCs w:val="24"/>
        </w:rPr>
        <w:t>REEPORT</w:t>
      </w:r>
      <w:r>
        <w:rPr>
          <w:sz w:val="24"/>
          <w:szCs w:val="24"/>
        </w:rPr>
        <w:t xml:space="preserve"> information collection, periodic reviews within </w:t>
      </w:r>
      <w:r w:rsidR="000F5DE1">
        <w:rPr>
          <w:sz w:val="24"/>
          <w:szCs w:val="24"/>
        </w:rPr>
        <w:t>NIFA</w:t>
      </w:r>
      <w:r>
        <w:rPr>
          <w:sz w:val="24"/>
          <w:szCs w:val="24"/>
        </w:rPr>
        <w:t xml:space="preserve"> of reporting requirements and the cooperative interactions with the contributing institutions</w:t>
      </w:r>
      <w:r w:rsidR="009B537F">
        <w:rPr>
          <w:sz w:val="24"/>
          <w:szCs w:val="24"/>
        </w:rPr>
        <w:t xml:space="preserve"> </w:t>
      </w:r>
      <w:r>
        <w:rPr>
          <w:sz w:val="24"/>
          <w:szCs w:val="24"/>
        </w:rPr>
        <w:t xml:space="preserve">help assure that duplication does not occur in this process.  Other units within </w:t>
      </w:r>
      <w:r w:rsidR="000F5DE1">
        <w:rPr>
          <w:sz w:val="24"/>
          <w:szCs w:val="24"/>
        </w:rPr>
        <w:t>NIFA</w:t>
      </w:r>
      <w:r>
        <w:rPr>
          <w:sz w:val="24"/>
          <w:szCs w:val="24"/>
        </w:rPr>
        <w:t xml:space="preserve"> have adopted the input derived from the </w:t>
      </w:r>
      <w:r w:rsidR="00177C7F">
        <w:rPr>
          <w:sz w:val="24"/>
          <w:szCs w:val="24"/>
        </w:rPr>
        <w:t>REEPORT</w:t>
      </w:r>
      <w:r>
        <w:rPr>
          <w:sz w:val="24"/>
          <w:szCs w:val="24"/>
        </w:rPr>
        <w:t xml:space="preserve"> information collection as the vehicle for satisfying reporting requirements under their program conditions, eliminating collection activities that were </w:t>
      </w:r>
      <w:r>
        <w:rPr>
          <w:sz w:val="24"/>
          <w:szCs w:val="24"/>
        </w:rPr>
        <w:lastRenderedPageBreak/>
        <w:t xml:space="preserve">overlapping.  This has increased the critical nature and importance of the </w:t>
      </w:r>
      <w:r w:rsidR="00177C7F">
        <w:rPr>
          <w:sz w:val="24"/>
          <w:szCs w:val="24"/>
        </w:rPr>
        <w:t>REEPORT</w:t>
      </w:r>
      <w:r>
        <w:rPr>
          <w:sz w:val="24"/>
          <w:szCs w:val="24"/>
        </w:rPr>
        <w:t xml:space="preserve"> information collection.  The elements associated with the </w:t>
      </w:r>
      <w:r w:rsidR="00177C7F">
        <w:rPr>
          <w:sz w:val="24"/>
          <w:szCs w:val="24"/>
        </w:rPr>
        <w:t>REEPORT</w:t>
      </w:r>
      <w:r>
        <w:rPr>
          <w:sz w:val="24"/>
          <w:szCs w:val="24"/>
        </w:rPr>
        <w:t xml:space="preserve"> information collection are essentially unique but are reviewed on a regular basis for consideration of the occurrence of overlap or duplication with other collection processes.  In general, the collection of project descriptions and associated information documented by the </w:t>
      </w:r>
      <w:r w:rsidR="0058471A">
        <w:rPr>
          <w:sz w:val="24"/>
          <w:szCs w:val="24"/>
        </w:rPr>
        <w:t>Project Initiation, Financial Report and Progress/Final Report</w:t>
      </w:r>
      <w:r>
        <w:rPr>
          <w:sz w:val="24"/>
          <w:szCs w:val="24"/>
        </w:rPr>
        <w:t xml:space="preserve"> have no parallel or corresponding items in other collection efforts.  As such, there is no recognized duplication of effort with respect to this collection of information.</w:t>
      </w:r>
    </w:p>
    <w:p w:rsidR="000200BD" w:rsidRDefault="000200BD" w:rsidP="000200BD">
      <w:pPr>
        <w:rPr>
          <w:b/>
          <w:bCs/>
          <w:sz w:val="24"/>
          <w:szCs w:val="24"/>
        </w:rPr>
      </w:pPr>
    </w:p>
    <w:p w:rsidR="000200BD" w:rsidRPr="007545C7" w:rsidRDefault="000200BD" w:rsidP="000200BD">
      <w:pPr>
        <w:rPr>
          <w:bCs/>
          <w:sz w:val="24"/>
          <w:szCs w:val="24"/>
        </w:rPr>
      </w:pPr>
      <w:r w:rsidRPr="007545C7">
        <w:rPr>
          <w:bCs/>
          <w:sz w:val="24"/>
          <w:szCs w:val="24"/>
        </w:rPr>
        <w:t xml:space="preserve">5. </w:t>
      </w:r>
      <w:r w:rsidR="007545C7">
        <w:rPr>
          <w:bCs/>
          <w:sz w:val="24"/>
          <w:szCs w:val="24"/>
        </w:rPr>
        <w:t>METHODS TO MINIMIZE BUDGET OF SMALL BUSINESS OR ENTITIES</w:t>
      </w:r>
    </w:p>
    <w:p w:rsidR="000200BD" w:rsidRDefault="000200BD" w:rsidP="000200BD">
      <w:pPr>
        <w:rPr>
          <w:sz w:val="24"/>
          <w:szCs w:val="24"/>
        </w:rPr>
      </w:pPr>
    </w:p>
    <w:p w:rsidR="000200BD" w:rsidRDefault="00CE32D3" w:rsidP="000200BD">
      <w:pPr>
        <w:rPr>
          <w:b/>
          <w:bCs/>
          <w:sz w:val="24"/>
          <w:szCs w:val="24"/>
        </w:rPr>
      </w:pPr>
      <w:r>
        <w:rPr>
          <w:sz w:val="24"/>
          <w:szCs w:val="24"/>
        </w:rPr>
        <w:t xml:space="preserve">NIFA </w:t>
      </w:r>
      <w:r w:rsidR="00056664">
        <w:rPr>
          <w:sz w:val="24"/>
          <w:szCs w:val="24"/>
        </w:rPr>
        <w:t>awards approximately 130 Small Business Innovation Research (SBIR) grants each year</w:t>
      </w:r>
      <w:r w:rsidR="00C9428F">
        <w:rPr>
          <w:sz w:val="24"/>
          <w:szCs w:val="24"/>
        </w:rPr>
        <w:t xml:space="preserve">. All of the awardees are required to submit </w:t>
      </w:r>
      <w:r w:rsidR="0058471A">
        <w:rPr>
          <w:sz w:val="24"/>
          <w:szCs w:val="24"/>
        </w:rPr>
        <w:t xml:space="preserve">Project Initiation and Progress Reports </w:t>
      </w:r>
      <w:r w:rsidR="00C9428F">
        <w:rPr>
          <w:sz w:val="24"/>
          <w:szCs w:val="24"/>
        </w:rPr>
        <w:t xml:space="preserve">to document their activities. </w:t>
      </w:r>
      <w:r w:rsidR="00386CDF">
        <w:rPr>
          <w:sz w:val="24"/>
          <w:szCs w:val="24"/>
        </w:rPr>
        <w:t xml:space="preserve">The awarding unit within </w:t>
      </w:r>
      <w:r w:rsidR="000F5DE1">
        <w:rPr>
          <w:sz w:val="24"/>
          <w:szCs w:val="24"/>
        </w:rPr>
        <w:t>NIFA</w:t>
      </w:r>
      <w:r w:rsidR="00386CDF">
        <w:rPr>
          <w:sz w:val="24"/>
          <w:szCs w:val="24"/>
        </w:rPr>
        <w:t xml:space="preserve"> provides additional guidance to awardees to reduce their burden to the extent possible.</w:t>
      </w:r>
      <w:r w:rsidR="00C9428F">
        <w:rPr>
          <w:sz w:val="24"/>
          <w:szCs w:val="24"/>
        </w:rPr>
        <w:t xml:space="preserve">  </w:t>
      </w:r>
    </w:p>
    <w:p w:rsidR="00AC706B" w:rsidRDefault="00AC706B" w:rsidP="000200BD">
      <w:pPr>
        <w:rPr>
          <w:b/>
          <w:bCs/>
          <w:sz w:val="24"/>
          <w:szCs w:val="24"/>
        </w:rPr>
      </w:pPr>
    </w:p>
    <w:p w:rsidR="000200BD" w:rsidRPr="007545C7" w:rsidRDefault="000200BD" w:rsidP="00020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7545C7">
        <w:rPr>
          <w:bCs/>
          <w:sz w:val="24"/>
          <w:szCs w:val="24"/>
        </w:rPr>
        <w:t xml:space="preserve">6. </w:t>
      </w:r>
      <w:r w:rsidR="007545C7">
        <w:rPr>
          <w:bCs/>
          <w:sz w:val="24"/>
          <w:szCs w:val="24"/>
        </w:rPr>
        <w:t>CONSEQUENCE IF INFORMATION COLLECTION WERE LESS FREQUENT</w:t>
      </w:r>
    </w:p>
    <w:p w:rsidR="000200BD" w:rsidRDefault="000200BD" w:rsidP="000200BD">
      <w:pPr>
        <w:rPr>
          <w:sz w:val="24"/>
          <w:szCs w:val="24"/>
        </w:rPr>
      </w:pPr>
    </w:p>
    <w:p w:rsidR="000200BD" w:rsidRDefault="000200BD" w:rsidP="000200BD">
      <w:pPr>
        <w:rPr>
          <w:b/>
          <w:bCs/>
          <w:sz w:val="24"/>
          <w:szCs w:val="24"/>
        </w:rPr>
      </w:pPr>
      <w:r>
        <w:rPr>
          <w:sz w:val="24"/>
          <w:szCs w:val="24"/>
        </w:rPr>
        <w:t xml:space="preserve">The information obtained through the collection process for </w:t>
      </w:r>
      <w:r w:rsidR="00177C7F">
        <w:rPr>
          <w:sz w:val="24"/>
          <w:szCs w:val="24"/>
        </w:rPr>
        <w:t>REEPORT</w:t>
      </w:r>
      <w:r w:rsidR="00703FB4">
        <w:rPr>
          <w:sz w:val="24"/>
          <w:szCs w:val="24"/>
        </w:rPr>
        <w:t xml:space="preserve"> furnishes unique data that are </w:t>
      </w:r>
      <w:r>
        <w:rPr>
          <w:sz w:val="24"/>
          <w:szCs w:val="24"/>
        </w:rPr>
        <w:t xml:space="preserve">not available from any other source.  Interruption in the collection process, or failure to collect this information, would severely compromise one of </w:t>
      </w:r>
      <w:r w:rsidR="000F5DE1">
        <w:rPr>
          <w:sz w:val="24"/>
          <w:szCs w:val="24"/>
        </w:rPr>
        <w:t>NIFA</w:t>
      </w:r>
      <w:r>
        <w:rPr>
          <w:sz w:val="24"/>
          <w:szCs w:val="24"/>
        </w:rPr>
        <w:t xml:space="preserve">’ primary functions stated in the agency’s strategic plan of “providing program leadership to identify, develop, and manage programs to support university-based and other institutional research.”  Information in the collection is critical to other </w:t>
      </w:r>
      <w:r w:rsidR="000F5DE1">
        <w:rPr>
          <w:sz w:val="24"/>
          <w:szCs w:val="24"/>
        </w:rPr>
        <w:t>NIFA</w:t>
      </w:r>
      <w:r>
        <w:rPr>
          <w:sz w:val="24"/>
          <w:szCs w:val="24"/>
        </w:rPr>
        <w:t xml:space="preserve"> programs in meeting their mandated obligations and responsibilities.  Additionally, the information </w:t>
      </w:r>
      <w:r w:rsidR="007C4449">
        <w:rPr>
          <w:sz w:val="24"/>
          <w:szCs w:val="24"/>
        </w:rPr>
        <w:t xml:space="preserve">collected by </w:t>
      </w:r>
      <w:r w:rsidR="00177C7F">
        <w:rPr>
          <w:sz w:val="24"/>
          <w:szCs w:val="24"/>
        </w:rPr>
        <w:t>REEPORT</w:t>
      </w:r>
      <w:r w:rsidR="007C4449">
        <w:rPr>
          <w:sz w:val="24"/>
          <w:szCs w:val="24"/>
        </w:rPr>
        <w:t xml:space="preserve"> and </w:t>
      </w:r>
      <w:r>
        <w:rPr>
          <w:sz w:val="24"/>
          <w:szCs w:val="24"/>
        </w:rPr>
        <w:t xml:space="preserve">stored </w:t>
      </w:r>
      <w:r w:rsidR="00EC0C8C">
        <w:rPr>
          <w:sz w:val="24"/>
          <w:szCs w:val="24"/>
        </w:rPr>
        <w:t xml:space="preserve">in </w:t>
      </w:r>
      <w:r w:rsidR="007C4449">
        <w:rPr>
          <w:sz w:val="24"/>
          <w:szCs w:val="24"/>
        </w:rPr>
        <w:t xml:space="preserve">REEIS databases </w:t>
      </w:r>
      <w:r>
        <w:rPr>
          <w:sz w:val="24"/>
          <w:szCs w:val="24"/>
        </w:rPr>
        <w:t xml:space="preserve">is utilized by state institutions in administering their individual research programs and in their planning processes for the allocation of resources in critical research areas.  The information gap created by a failure to collect </w:t>
      </w:r>
      <w:r w:rsidR="00177C7F">
        <w:rPr>
          <w:sz w:val="24"/>
          <w:szCs w:val="24"/>
        </w:rPr>
        <w:t>REEPORT</w:t>
      </w:r>
      <w:r>
        <w:rPr>
          <w:sz w:val="24"/>
          <w:szCs w:val="24"/>
        </w:rPr>
        <w:t xml:space="preserve"> information would have serious negative impacts on the administration and management of </w:t>
      </w:r>
      <w:r w:rsidR="00293C9F">
        <w:rPr>
          <w:sz w:val="24"/>
          <w:szCs w:val="24"/>
        </w:rPr>
        <w:t xml:space="preserve">agricultural </w:t>
      </w:r>
      <w:r>
        <w:rPr>
          <w:sz w:val="24"/>
          <w:szCs w:val="24"/>
        </w:rPr>
        <w:t>research</w:t>
      </w:r>
      <w:r w:rsidR="007C4449">
        <w:rPr>
          <w:sz w:val="24"/>
          <w:szCs w:val="24"/>
        </w:rPr>
        <w:t>, extension</w:t>
      </w:r>
      <w:r w:rsidR="00293C9F">
        <w:rPr>
          <w:sz w:val="24"/>
          <w:szCs w:val="24"/>
        </w:rPr>
        <w:t xml:space="preserve"> and education</w:t>
      </w:r>
      <w:r>
        <w:rPr>
          <w:sz w:val="24"/>
          <w:szCs w:val="24"/>
        </w:rPr>
        <w:t xml:space="preserve"> on a national level.  </w:t>
      </w:r>
      <w:r w:rsidR="00177C7F">
        <w:rPr>
          <w:sz w:val="24"/>
          <w:szCs w:val="24"/>
        </w:rPr>
        <w:t>REEPORT</w:t>
      </w:r>
      <w:r>
        <w:rPr>
          <w:sz w:val="24"/>
          <w:szCs w:val="24"/>
        </w:rPr>
        <w:t xml:space="preserve"> is an electronic system providing the capability of storing and retrieving program information</w:t>
      </w:r>
      <w:r w:rsidR="00293C9F">
        <w:rPr>
          <w:sz w:val="24"/>
          <w:szCs w:val="24"/>
        </w:rPr>
        <w:t xml:space="preserve"> on USDA-supported research, education, and extension activities</w:t>
      </w:r>
      <w:r>
        <w:rPr>
          <w:sz w:val="24"/>
          <w:szCs w:val="24"/>
        </w:rPr>
        <w:t xml:space="preserve">.  Failure to provide the system to the participating agencies and institutions would result in a significant increase in the burden on those organizations to meet their information requirements and accomplish </w:t>
      </w:r>
      <w:r w:rsidR="00293C9F">
        <w:rPr>
          <w:sz w:val="24"/>
          <w:szCs w:val="24"/>
        </w:rPr>
        <w:t>program</w:t>
      </w:r>
      <w:r>
        <w:rPr>
          <w:sz w:val="24"/>
          <w:szCs w:val="24"/>
        </w:rPr>
        <w:t xml:space="preserve"> management. </w:t>
      </w:r>
    </w:p>
    <w:p w:rsidR="000200BD" w:rsidRDefault="000200BD" w:rsidP="000200BD">
      <w:pPr>
        <w:rPr>
          <w:b/>
          <w:bCs/>
          <w:sz w:val="24"/>
          <w:szCs w:val="24"/>
        </w:rPr>
      </w:pPr>
      <w:r>
        <w:rPr>
          <w:b/>
          <w:bCs/>
          <w:sz w:val="24"/>
          <w:szCs w:val="24"/>
        </w:rPr>
        <w:t xml:space="preserve">  </w:t>
      </w:r>
    </w:p>
    <w:p w:rsidR="00E54E0B" w:rsidRDefault="000200BD" w:rsidP="000200BD">
      <w:pPr>
        <w:rPr>
          <w:b/>
          <w:bCs/>
          <w:sz w:val="24"/>
          <w:szCs w:val="24"/>
        </w:rPr>
      </w:pPr>
      <w:r w:rsidRPr="007545C7">
        <w:rPr>
          <w:bCs/>
          <w:sz w:val="24"/>
          <w:szCs w:val="24"/>
        </w:rPr>
        <w:t xml:space="preserve">7. </w:t>
      </w:r>
      <w:r w:rsidR="007545C7">
        <w:rPr>
          <w:bCs/>
          <w:sz w:val="24"/>
          <w:szCs w:val="24"/>
        </w:rPr>
        <w:t>SPECIAL CIRCUMSTANCES FOR INFORMATION COLLECTION</w:t>
      </w:r>
    </w:p>
    <w:p w:rsidR="00E54E0B" w:rsidRDefault="00E54E0B" w:rsidP="000200BD">
      <w:pPr>
        <w:rPr>
          <w:b/>
          <w:bCs/>
          <w:sz w:val="24"/>
          <w:szCs w:val="24"/>
        </w:rPr>
      </w:pPr>
    </w:p>
    <w:p w:rsidR="00AA2E46" w:rsidRPr="00F478F8" w:rsidRDefault="00AA2E46" w:rsidP="00AA2E46">
      <w:pPr>
        <w:pStyle w:val="Default"/>
        <w:numPr>
          <w:ilvl w:val="0"/>
          <w:numId w:val="2"/>
        </w:numPr>
        <w:rPr>
          <w:rFonts w:asciiTheme="minorHAnsi" w:hAnsiTheme="minorHAnsi" w:cs="Arial"/>
          <w:b/>
          <w:sz w:val="22"/>
          <w:szCs w:val="22"/>
        </w:rPr>
      </w:pPr>
      <w:r w:rsidRPr="00F478F8">
        <w:rPr>
          <w:rFonts w:asciiTheme="minorHAnsi" w:hAnsiTheme="minorHAnsi" w:cs="Arial"/>
          <w:b/>
          <w:sz w:val="22"/>
          <w:szCs w:val="22"/>
        </w:rPr>
        <w:t xml:space="preserve">* requiring respondents to report information to the agency more often than quarterly; </w:t>
      </w:r>
    </w:p>
    <w:p w:rsidR="000200BD" w:rsidRDefault="000200BD" w:rsidP="000200BD">
      <w:pPr>
        <w:rPr>
          <w:sz w:val="24"/>
          <w:szCs w:val="24"/>
        </w:rPr>
      </w:pPr>
    </w:p>
    <w:p w:rsidR="000200BD" w:rsidRDefault="000200BD" w:rsidP="000200BD">
      <w:pPr>
        <w:rPr>
          <w:sz w:val="24"/>
          <w:szCs w:val="24"/>
        </w:rPr>
      </w:pPr>
      <w:r>
        <w:rPr>
          <w:sz w:val="24"/>
          <w:szCs w:val="24"/>
        </w:rPr>
        <w:t>There are no special circumstances that would cause an information collection to be conducted in a manner that would require a respondent to report information more often than quarterly.</w:t>
      </w:r>
    </w:p>
    <w:p w:rsidR="00AA2E46" w:rsidRDefault="00AA2E46" w:rsidP="000200BD">
      <w:pPr>
        <w:rPr>
          <w:sz w:val="24"/>
          <w:szCs w:val="24"/>
        </w:rPr>
      </w:pPr>
    </w:p>
    <w:p w:rsidR="00AA2E46" w:rsidRPr="00F478F8" w:rsidRDefault="00AA2E46" w:rsidP="00AA2E46">
      <w:pPr>
        <w:pStyle w:val="Default"/>
        <w:numPr>
          <w:ilvl w:val="0"/>
          <w:numId w:val="2"/>
        </w:numPr>
        <w:rPr>
          <w:rFonts w:asciiTheme="minorHAnsi" w:hAnsiTheme="minorHAnsi" w:cs="Arial"/>
          <w:b/>
          <w:sz w:val="22"/>
          <w:szCs w:val="22"/>
        </w:rPr>
      </w:pPr>
      <w:r w:rsidRPr="00F478F8">
        <w:rPr>
          <w:rFonts w:asciiTheme="minorHAnsi" w:hAnsiTheme="minorHAnsi" w:cs="Arial"/>
          <w:b/>
          <w:sz w:val="22"/>
          <w:szCs w:val="22"/>
        </w:rPr>
        <w:t xml:space="preserve">* requiring respondents to prepare a written response to a collection of information in fewer than 30 days after receipt of it; </w:t>
      </w:r>
    </w:p>
    <w:p w:rsidR="000200BD" w:rsidRDefault="000200BD" w:rsidP="000200BD">
      <w:pPr>
        <w:rPr>
          <w:sz w:val="24"/>
          <w:szCs w:val="24"/>
        </w:rPr>
      </w:pPr>
    </w:p>
    <w:p w:rsidR="000200BD" w:rsidRDefault="000200BD" w:rsidP="000200BD">
      <w:pPr>
        <w:rPr>
          <w:sz w:val="24"/>
          <w:szCs w:val="24"/>
        </w:rPr>
      </w:pPr>
      <w:r>
        <w:rPr>
          <w:sz w:val="24"/>
          <w:szCs w:val="24"/>
        </w:rPr>
        <w:t>There are no special circumstances that would cause an information collection to be conducted in a manner that would require respondents to prepare a written response to a collection of information in fewer than 30 days after receipt of it.</w:t>
      </w:r>
    </w:p>
    <w:p w:rsidR="00AA2E46" w:rsidRPr="00F478F8" w:rsidRDefault="00AA2E46" w:rsidP="00AA2E46">
      <w:pPr>
        <w:pStyle w:val="Default"/>
        <w:rPr>
          <w:rFonts w:asciiTheme="minorHAnsi" w:hAnsiTheme="minorHAnsi" w:cs="Arial"/>
          <w:b/>
          <w:sz w:val="22"/>
          <w:szCs w:val="22"/>
        </w:rPr>
      </w:pPr>
    </w:p>
    <w:p w:rsidR="00AA2E46" w:rsidRPr="00F478F8" w:rsidRDefault="00AA2E46" w:rsidP="00AA2E46">
      <w:pPr>
        <w:pStyle w:val="Default"/>
        <w:numPr>
          <w:ilvl w:val="0"/>
          <w:numId w:val="2"/>
        </w:numPr>
        <w:rPr>
          <w:rFonts w:asciiTheme="minorHAnsi" w:hAnsiTheme="minorHAnsi" w:cs="Arial"/>
          <w:b/>
          <w:sz w:val="22"/>
          <w:szCs w:val="22"/>
        </w:rPr>
      </w:pPr>
      <w:r w:rsidRPr="00F478F8">
        <w:rPr>
          <w:rFonts w:asciiTheme="minorHAnsi" w:hAnsiTheme="minorHAnsi" w:cs="Arial"/>
          <w:b/>
          <w:sz w:val="22"/>
          <w:szCs w:val="22"/>
        </w:rPr>
        <w:t xml:space="preserve">* requiring respondents to submit more than an original and two copies of any document; </w:t>
      </w:r>
    </w:p>
    <w:p w:rsidR="00AA2E46" w:rsidRDefault="00AA2E46" w:rsidP="000200BD">
      <w:pPr>
        <w:rPr>
          <w:sz w:val="24"/>
          <w:szCs w:val="24"/>
        </w:rPr>
      </w:pPr>
    </w:p>
    <w:p w:rsidR="000200BD" w:rsidRDefault="000200BD" w:rsidP="000200BD">
      <w:pPr>
        <w:rPr>
          <w:sz w:val="24"/>
          <w:szCs w:val="24"/>
        </w:rPr>
      </w:pPr>
      <w:r>
        <w:rPr>
          <w:sz w:val="24"/>
          <w:szCs w:val="24"/>
        </w:rPr>
        <w:t>There are no special circumstances that would cause an information collection to be conducted in a manner that would require respondents to submit more than an original and two copies of any document.</w:t>
      </w:r>
    </w:p>
    <w:p w:rsidR="00FC3D49" w:rsidRDefault="00FC3D49" w:rsidP="000200BD">
      <w:pPr>
        <w:rPr>
          <w:sz w:val="24"/>
          <w:szCs w:val="24"/>
        </w:rPr>
      </w:pPr>
    </w:p>
    <w:p w:rsidR="00FC3D49" w:rsidRPr="00F478F8" w:rsidRDefault="00FC3D49" w:rsidP="00FC3D49">
      <w:pPr>
        <w:pStyle w:val="Default"/>
        <w:numPr>
          <w:ilvl w:val="0"/>
          <w:numId w:val="2"/>
        </w:numPr>
        <w:rPr>
          <w:rFonts w:asciiTheme="minorHAnsi" w:hAnsiTheme="minorHAnsi" w:cs="Arial"/>
          <w:b/>
          <w:sz w:val="22"/>
          <w:szCs w:val="22"/>
        </w:rPr>
      </w:pPr>
      <w:r w:rsidRPr="00F478F8">
        <w:rPr>
          <w:rFonts w:asciiTheme="minorHAnsi" w:hAnsiTheme="minorHAnsi" w:cs="Arial"/>
          <w:b/>
          <w:sz w:val="22"/>
          <w:szCs w:val="22"/>
        </w:rPr>
        <w:t xml:space="preserve">* requiring respondents to retain records, other than health, medical, government contract, grant-in-aid, or tax records, for more than three years; </w:t>
      </w:r>
    </w:p>
    <w:p w:rsidR="00FC3D49" w:rsidRDefault="00FC3D49" w:rsidP="000200BD">
      <w:pPr>
        <w:rPr>
          <w:sz w:val="24"/>
          <w:szCs w:val="24"/>
        </w:rPr>
      </w:pPr>
    </w:p>
    <w:p w:rsidR="000200BD" w:rsidRDefault="000200BD" w:rsidP="000200BD">
      <w:pPr>
        <w:rPr>
          <w:sz w:val="24"/>
          <w:szCs w:val="24"/>
        </w:rPr>
      </w:pPr>
      <w:r>
        <w:rPr>
          <w:sz w:val="24"/>
          <w:szCs w:val="24"/>
        </w:rPr>
        <w:t>In order for an institution to participate as a state cooperator in the electronic submission of project documents, the institution must agree to observe certain procedures.  One stipulation for audit purposes agreed to by the cooperator requires the institution to retain original signed documents in their files for at least three years after the conclusion or termination of the authorized effort.  This special requirement could result in the necessity to retain records for more than three years.</w:t>
      </w:r>
    </w:p>
    <w:p w:rsidR="00FC3D49" w:rsidRDefault="00FC3D49" w:rsidP="000200BD">
      <w:pPr>
        <w:rPr>
          <w:sz w:val="24"/>
          <w:szCs w:val="24"/>
        </w:rPr>
      </w:pPr>
    </w:p>
    <w:p w:rsidR="00FC3D49" w:rsidRPr="00F478F8" w:rsidRDefault="00FC3D49" w:rsidP="00FC3D49">
      <w:pPr>
        <w:pStyle w:val="Default"/>
        <w:numPr>
          <w:ilvl w:val="0"/>
          <w:numId w:val="2"/>
        </w:numPr>
        <w:rPr>
          <w:rFonts w:asciiTheme="minorHAnsi" w:hAnsiTheme="minorHAnsi" w:cs="Arial"/>
          <w:b/>
          <w:sz w:val="22"/>
          <w:szCs w:val="22"/>
        </w:rPr>
      </w:pPr>
      <w:r w:rsidRPr="00F478F8">
        <w:rPr>
          <w:rFonts w:asciiTheme="minorHAnsi" w:hAnsiTheme="minorHAnsi" w:cs="Arial"/>
          <w:b/>
          <w:sz w:val="22"/>
          <w:szCs w:val="22"/>
        </w:rPr>
        <w:t xml:space="preserve">* in connection with a statistical survey, that is not designed to produce valid and reliable results that can be generalized to the universe of study; </w:t>
      </w:r>
    </w:p>
    <w:p w:rsidR="00FC3D49" w:rsidRDefault="00FC3D49" w:rsidP="000200BD">
      <w:pPr>
        <w:rPr>
          <w:sz w:val="24"/>
          <w:szCs w:val="24"/>
        </w:rPr>
      </w:pPr>
    </w:p>
    <w:p w:rsidR="000200BD" w:rsidRDefault="000200BD" w:rsidP="000200BD">
      <w:pPr>
        <w:rPr>
          <w:sz w:val="24"/>
          <w:szCs w:val="24"/>
        </w:rPr>
      </w:pPr>
      <w:r>
        <w:rPr>
          <w:sz w:val="24"/>
          <w:szCs w:val="24"/>
        </w:rPr>
        <w:t>There are no special circumstances that would cause an information collection to be conducted in a manner in connection with a statistical survey that is not designed to produce valid and reliable results that can be generalized to the universe of study.</w:t>
      </w:r>
    </w:p>
    <w:p w:rsidR="00FC3D49" w:rsidRDefault="00FC3D49" w:rsidP="000200BD">
      <w:pPr>
        <w:rPr>
          <w:sz w:val="24"/>
          <w:szCs w:val="24"/>
        </w:rPr>
      </w:pPr>
    </w:p>
    <w:p w:rsidR="00FC3D49" w:rsidRPr="00F478F8" w:rsidRDefault="00FC3D49" w:rsidP="00FC3D49">
      <w:pPr>
        <w:pStyle w:val="Default"/>
        <w:numPr>
          <w:ilvl w:val="0"/>
          <w:numId w:val="2"/>
        </w:numPr>
        <w:rPr>
          <w:rFonts w:asciiTheme="minorHAnsi" w:hAnsiTheme="minorHAnsi" w:cs="Arial"/>
          <w:b/>
          <w:sz w:val="22"/>
          <w:szCs w:val="22"/>
        </w:rPr>
      </w:pPr>
      <w:r w:rsidRPr="00F478F8">
        <w:rPr>
          <w:rFonts w:asciiTheme="minorHAnsi" w:hAnsiTheme="minorHAnsi" w:cs="Arial"/>
          <w:b/>
          <w:sz w:val="22"/>
          <w:szCs w:val="22"/>
        </w:rPr>
        <w:t xml:space="preserve">* requiring the use of a statistical data classification that has not been reviewed and approved by OMB; </w:t>
      </w:r>
    </w:p>
    <w:p w:rsidR="000200BD" w:rsidRDefault="000200BD" w:rsidP="000200BD">
      <w:pPr>
        <w:rPr>
          <w:sz w:val="24"/>
          <w:szCs w:val="24"/>
        </w:rPr>
      </w:pPr>
    </w:p>
    <w:p w:rsidR="000200BD" w:rsidRDefault="000200BD" w:rsidP="000200BD">
      <w:pPr>
        <w:rPr>
          <w:sz w:val="24"/>
          <w:szCs w:val="24"/>
        </w:rPr>
      </w:pPr>
      <w:r>
        <w:rPr>
          <w:sz w:val="24"/>
          <w:szCs w:val="24"/>
        </w:rPr>
        <w:t>There are no special circumstances that would cause an information collection to be conducted in a manner requiring the use of a statistical data classification that has not been reviewed and approved by OMB.</w:t>
      </w:r>
    </w:p>
    <w:p w:rsidR="00FC3D49" w:rsidRDefault="00FC3D49" w:rsidP="000200BD">
      <w:pPr>
        <w:rPr>
          <w:sz w:val="24"/>
          <w:szCs w:val="24"/>
        </w:rPr>
      </w:pPr>
    </w:p>
    <w:p w:rsidR="003D5170" w:rsidRPr="00F478F8" w:rsidRDefault="003D5170" w:rsidP="003D5170">
      <w:pPr>
        <w:pStyle w:val="Default"/>
        <w:numPr>
          <w:ilvl w:val="0"/>
          <w:numId w:val="2"/>
        </w:numPr>
        <w:rPr>
          <w:rFonts w:asciiTheme="minorHAnsi" w:hAnsiTheme="minorHAnsi" w:cs="Arial"/>
          <w:b/>
          <w:sz w:val="22"/>
          <w:szCs w:val="22"/>
        </w:rPr>
      </w:pPr>
      <w:r w:rsidRPr="00F478F8">
        <w:rPr>
          <w:rFonts w:asciiTheme="minorHAnsi" w:hAnsiTheme="minorHAnsi" w:cs="Arial"/>
          <w:b/>
          <w:sz w:val="22"/>
          <w:szCs w:val="22"/>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C3D49" w:rsidRDefault="00FC3D49" w:rsidP="000200BD">
      <w:pPr>
        <w:rPr>
          <w:sz w:val="24"/>
          <w:szCs w:val="24"/>
        </w:rPr>
      </w:pPr>
    </w:p>
    <w:p w:rsidR="000200BD" w:rsidRDefault="000200BD" w:rsidP="000200BD">
      <w:pPr>
        <w:rPr>
          <w:sz w:val="24"/>
          <w:szCs w:val="24"/>
        </w:rPr>
      </w:pPr>
      <w:r>
        <w:rPr>
          <w:sz w:val="24"/>
          <w:szCs w:val="24"/>
        </w:rPr>
        <w:t>There are no special circumstances that would cause an information collection to be conducted in a manner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3D5170" w:rsidRDefault="003D5170" w:rsidP="000200BD">
      <w:pPr>
        <w:rPr>
          <w:sz w:val="24"/>
          <w:szCs w:val="24"/>
        </w:rPr>
      </w:pPr>
    </w:p>
    <w:p w:rsidR="003D5170" w:rsidRPr="00F478F8" w:rsidRDefault="003D5170" w:rsidP="003D5170">
      <w:pPr>
        <w:pStyle w:val="Default"/>
        <w:numPr>
          <w:ilvl w:val="0"/>
          <w:numId w:val="2"/>
        </w:numPr>
        <w:rPr>
          <w:rFonts w:asciiTheme="minorHAnsi" w:hAnsiTheme="minorHAnsi" w:cs="Arial"/>
          <w:b/>
          <w:sz w:val="22"/>
          <w:szCs w:val="22"/>
        </w:rPr>
      </w:pPr>
      <w:r w:rsidRPr="00F478F8">
        <w:rPr>
          <w:rFonts w:asciiTheme="minorHAnsi" w:hAnsiTheme="minorHAnsi" w:cs="Arial"/>
          <w:b/>
          <w:sz w:val="22"/>
          <w:szCs w:val="22"/>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3D5170" w:rsidRDefault="003D5170" w:rsidP="000200BD">
      <w:pPr>
        <w:rPr>
          <w:sz w:val="24"/>
          <w:szCs w:val="24"/>
        </w:rPr>
      </w:pPr>
    </w:p>
    <w:p w:rsidR="000200BD" w:rsidRDefault="000200BD" w:rsidP="000200BD">
      <w:pPr>
        <w:rPr>
          <w:sz w:val="24"/>
          <w:szCs w:val="24"/>
        </w:rPr>
      </w:pPr>
      <w:r>
        <w:rPr>
          <w:sz w:val="24"/>
          <w:szCs w:val="24"/>
        </w:rPr>
        <w:lastRenderedPageBreak/>
        <w:t>There are no special circumstances that would cause an information collection to be conducted in a manner requiring respondents to submit proprietary trade secret</w:t>
      </w:r>
      <w:r w:rsidR="0079374E">
        <w:rPr>
          <w:sz w:val="24"/>
          <w:szCs w:val="24"/>
        </w:rPr>
        <w:t>s</w:t>
      </w:r>
      <w:r>
        <w:rPr>
          <w:sz w:val="24"/>
          <w:szCs w:val="24"/>
        </w:rPr>
        <w:t xml:space="preserve"> or other confidential information unless the agency can demonstrate that it has instituted procedures to protect the information’s confidentiality to the extent permitted by law.</w:t>
      </w:r>
    </w:p>
    <w:p w:rsidR="000200BD" w:rsidRPr="007545C7" w:rsidRDefault="000200BD" w:rsidP="000200BD">
      <w:pPr>
        <w:rPr>
          <w:sz w:val="24"/>
          <w:szCs w:val="24"/>
        </w:rPr>
      </w:pPr>
    </w:p>
    <w:p w:rsidR="007545C7" w:rsidRDefault="007545C7" w:rsidP="000200BD">
      <w:pPr>
        <w:rPr>
          <w:bCs/>
          <w:sz w:val="24"/>
          <w:szCs w:val="24"/>
        </w:rPr>
      </w:pPr>
      <w:r>
        <w:rPr>
          <w:bCs/>
          <w:sz w:val="24"/>
          <w:szCs w:val="24"/>
        </w:rPr>
        <w:br/>
      </w:r>
    </w:p>
    <w:p w:rsidR="007545C7" w:rsidRDefault="007545C7" w:rsidP="000200BD">
      <w:pPr>
        <w:rPr>
          <w:bCs/>
          <w:sz w:val="24"/>
          <w:szCs w:val="24"/>
        </w:rPr>
      </w:pPr>
    </w:p>
    <w:p w:rsidR="007545C7" w:rsidRPr="007545C7" w:rsidRDefault="000200BD" w:rsidP="000200BD">
      <w:pPr>
        <w:rPr>
          <w:bCs/>
          <w:sz w:val="24"/>
          <w:szCs w:val="24"/>
        </w:rPr>
      </w:pPr>
      <w:r w:rsidRPr="007545C7">
        <w:rPr>
          <w:bCs/>
          <w:sz w:val="24"/>
          <w:szCs w:val="24"/>
        </w:rPr>
        <w:t xml:space="preserve">8. </w:t>
      </w:r>
      <w:r w:rsidR="007545C7" w:rsidRPr="007545C7">
        <w:rPr>
          <w:bCs/>
          <w:sz w:val="24"/>
          <w:szCs w:val="24"/>
        </w:rPr>
        <w:t xml:space="preserve">FEDERAL REGISTER NOTICE </w:t>
      </w:r>
    </w:p>
    <w:p w:rsidR="007545C7" w:rsidRDefault="007545C7" w:rsidP="000200BD">
      <w:pPr>
        <w:rPr>
          <w:b/>
          <w:bCs/>
          <w:sz w:val="24"/>
          <w:szCs w:val="24"/>
        </w:rPr>
      </w:pPr>
    </w:p>
    <w:p w:rsidR="00D37BB6" w:rsidRPr="0099476E" w:rsidRDefault="00D37BB6" w:rsidP="00623218">
      <w:pPr>
        <w:pStyle w:val="HTMLPreformatted"/>
        <w:rPr>
          <w:rFonts w:ascii="Times New Roman" w:hAnsi="Times New Roman"/>
          <w:sz w:val="24"/>
        </w:rPr>
      </w:pPr>
      <w:r w:rsidRPr="0099476E">
        <w:rPr>
          <w:rFonts w:ascii="Times New Roman" w:hAnsi="Times New Roman"/>
          <w:sz w:val="24"/>
        </w:rPr>
        <w:t xml:space="preserve">Two Federal Register Notices describing the intent to revise this information collection were published.  The first notice was published on </w:t>
      </w:r>
      <w:r w:rsidR="0099476E">
        <w:rPr>
          <w:rFonts w:ascii="Times New Roman" w:hAnsi="Times New Roman"/>
          <w:sz w:val="24"/>
        </w:rPr>
        <w:t xml:space="preserve">Friday, June 12, 2015, Vol. 80, No. 113, FR Doc. 2015-14416.  This notice </w:t>
      </w:r>
      <w:r w:rsidRPr="0099476E">
        <w:rPr>
          <w:rFonts w:ascii="Times New Roman" w:hAnsi="Times New Roman"/>
          <w:sz w:val="24"/>
        </w:rPr>
        <w:t>pertained to collecting demographic information in the Progress/Final Report about participants on research, education, and extension activities funded by th</w:t>
      </w:r>
      <w:r w:rsidR="0099476E">
        <w:rPr>
          <w:rFonts w:ascii="Times New Roman" w:hAnsi="Times New Roman"/>
          <w:sz w:val="24"/>
        </w:rPr>
        <w:t xml:space="preserve">e agency.  Such demographic information is already part of the OMB-approved RPPR, and the notice established the agency’s intent to make use of these fields. Additionally, the notice described the agency’s intent to collect two additional categories of non-federal funding sources on the Financial Report: foundation funding and international funding.  </w:t>
      </w:r>
    </w:p>
    <w:p w:rsidR="00D37BB6" w:rsidRPr="0099476E" w:rsidRDefault="00D37BB6" w:rsidP="00623218">
      <w:pPr>
        <w:pStyle w:val="HTMLPreformatted"/>
        <w:rPr>
          <w:rFonts w:ascii="Times New Roman" w:hAnsi="Times New Roman"/>
          <w:sz w:val="24"/>
        </w:rPr>
      </w:pPr>
    </w:p>
    <w:p w:rsidR="00D37BB6" w:rsidRPr="0099476E" w:rsidRDefault="00D37BB6" w:rsidP="00623218">
      <w:pPr>
        <w:pStyle w:val="HTMLPreformatted"/>
        <w:rPr>
          <w:rFonts w:ascii="Times New Roman" w:hAnsi="Times New Roman"/>
          <w:sz w:val="24"/>
        </w:rPr>
      </w:pPr>
      <w:r w:rsidRPr="0099476E">
        <w:rPr>
          <w:rFonts w:ascii="Times New Roman" w:hAnsi="Times New Roman"/>
          <w:sz w:val="24"/>
        </w:rPr>
        <w:t>The second notice was published</w:t>
      </w:r>
      <w:r w:rsidR="0099476E">
        <w:rPr>
          <w:rFonts w:ascii="Times New Roman" w:hAnsi="Times New Roman"/>
          <w:sz w:val="24"/>
        </w:rPr>
        <w:t xml:space="preserve"> on</w:t>
      </w:r>
      <w:r w:rsidRPr="0099476E">
        <w:rPr>
          <w:rFonts w:ascii="Times New Roman" w:hAnsi="Times New Roman"/>
          <w:sz w:val="24"/>
        </w:rPr>
        <w:t xml:space="preserve"> </w:t>
      </w:r>
      <w:r w:rsidR="0099476E">
        <w:rPr>
          <w:rFonts w:ascii="Times New Roman" w:hAnsi="Times New Roman"/>
          <w:sz w:val="24"/>
        </w:rPr>
        <w:t xml:space="preserve">Monday, February 29, 2016, Vol. 81, No. 39, FR Doc. 2016-04188.  This notice pertained to collecting demographic information on the Progress/Final Report about the audiences reached by the research, education, and extension activities funded by the agency as well as additional categories of participants on funded projects.  Additionally, the notice described the agency’s intent to collect identifying information on patents and Plant Variety Protections as well as quantitative outcome measures in seven challenge areas. </w:t>
      </w:r>
    </w:p>
    <w:p w:rsidR="00D37BB6" w:rsidRDefault="00D37BB6" w:rsidP="00623218">
      <w:pPr>
        <w:pStyle w:val="HTMLPreformatted"/>
        <w:rPr>
          <w:rFonts w:ascii="Times New Roman" w:hAnsi="Times New Roman"/>
          <w:sz w:val="24"/>
        </w:rPr>
      </w:pPr>
    </w:p>
    <w:p w:rsidR="00623218" w:rsidRDefault="00E54E0B" w:rsidP="00623218">
      <w:pPr>
        <w:pStyle w:val="HTMLPreformatted"/>
        <w:rPr>
          <w:rFonts w:ascii="Times New Roman" w:hAnsi="Times New Roman"/>
          <w:sz w:val="24"/>
        </w:rPr>
      </w:pPr>
      <w:r>
        <w:rPr>
          <w:rFonts w:ascii="Times New Roman" w:hAnsi="Times New Roman"/>
          <w:sz w:val="24"/>
        </w:rPr>
        <w:t>There was one comment</w:t>
      </w:r>
      <w:r w:rsidR="00D37BB6">
        <w:rPr>
          <w:rFonts w:ascii="Times New Roman" w:hAnsi="Times New Roman"/>
          <w:sz w:val="24"/>
        </w:rPr>
        <w:t xml:space="preserve"> from the same person in response to each of the notices.  The commenter stated that the entire information collection was not necessary but did not give rationale or specific information in response to the areas on which the agency had invited comments. NIFA responded to the commenter that the collection </w:t>
      </w:r>
      <w:r w:rsidR="00995799">
        <w:rPr>
          <w:rFonts w:ascii="Times New Roman" w:hAnsi="Times New Roman"/>
          <w:sz w:val="24"/>
        </w:rPr>
        <w:t xml:space="preserve">was </w:t>
      </w:r>
      <w:r w:rsidR="00D37BB6">
        <w:rPr>
          <w:rFonts w:ascii="Times New Roman" w:hAnsi="Times New Roman"/>
          <w:sz w:val="24"/>
        </w:rPr>
        <w:t xml:space="preserve">already an approved information collection; the agency also cited the activities as described in section number two above.  </w:t>
      </w:r>
    </w:p>
    <w:p w:rsidR="007545C7" w:rsidRDefault="007545C7" w:rsidP="00623218">
      <w:pPr>
        <w:pStyle w:val="HTMLPreformatted"/>
        <w:rPr>
          <w:rFonts w:ascii="Times New Roman" w:hAnsi="Times New Roman"/>
          <w:sz w:val="24"/>
        </w:rPr>
      </w:pPr>
    </w:p>
    <w:p w:rsidR="007545C7" w:rsidRDefault="007545C7" w:rsidP="00623218">
      <w:pPr>
        <w:pStyle w:val="HTMLPreformatted"/>
        <w:rPr>
          <w:rFonts w:ascii="Times New Roman" w:hAnsi="Times New Roman"/>
          <w:sz w:val="24"/>
        </w:rPr>
      </w:pPr>
      <w:r>
        <w:rPr>
          <w:rFonts w:ascii="Times New Roman" w:hAnsi="Times New Roman"/>
          <w:sz w:val="24"/>
        </w:rPr>
        <w:t>CONSULTATIONS WITH PERSONS OUTSIDE THE AGENCY</w:t>
      </w:r>
    </w:p>
    <w:p w:rsidR="007545C7" w:rsidRDefault="007545C7" w:rsidP="00623218">
      <w:pPr>
        <w:pStyle w:val="HTMLPreformatted"/>
        <w:rPr>
          <w:rFonts w:ascii="Times New Roman" w:hAnsi="Times New Roman"/>
          <w:sz w:val="24"/>
        </w:rPr>
      </w:pPr>
    </w:p>
    <w:p w:rsidR="002A612E" w:rsidRPr="002A612E" w:rsidRDefault="007545C7" w:rsidP="00623218">
      <w:pPr>
        <w:pStyle w:val="HTMLPreformatted"/>
        <w:rPr>
          <w:rFonts w:ascii="Times New Roman" w:hAnsi="Times New Roman"/>
          <w:sz w:val="24"/>
        </w:rPr>
      </w:pPr>
      <w:r w:rsidRPr="002A612E">
        <w:rPr>
          <w:rFonts w:ascii="Times New Roman" w:hAnsi="Times New Roman"/>
          <w:sz w:val="24"/>
        </w:rPr>
        <w:t xml:space="preserve">NIFA solicited stakeholder input </w:t>
      </w:r>
      <w:r w:rsidR="002A612E">
        <w:rPr>
          <w:rFonts w:ascii="Times New Roman" w:hAnsi="Times New Roman"/>
          <w:sz w:val="24"/>
        </w:rPr>
        <w:t xml:space="preserve">on the </w:t>
      </w:r>
      <w:r w:rsidR="00177C7F">
        <w:rPr>
          <w:rFonts w:ascii="Times New Roman" w:hAnsi="Times New Roman"/>
          <w:sz w:val="24"/>
        </w:rPr>
        <w:t>REEPORT</w:t>
      </w:r>
      <w:r w:rsidR="002A612E">
        <w:rPr>
          <w:rFonts w:ascii="Times New Roman" w:hAnsi="Times New Roman"/>
          <w:sz w:val="24"/>
        </w:rPr>
        <w:t xml:space="preserve"> information collection </w:t>
      </w:r>
      <w:r w:rsidRPr="002A612E">
        <w:rPr>
          <w:rFonts w:ascii="Times New Roman" w:hAnsi="Times New Roman"/>
          <w:sz w:val="24"/>
        </w:rPr>
        <w:t xml:space="preserve">at </w:t>
      </w:r>
      <w:r w:rsidR="002A612E">
        <w:rPr>
          <w:rFonts w:ascii="Times New Roman" w:hAnsi="Times New Roman"/>
          <w:sz w:val="24"/>
        </w:rPr>
        <w:t>a public meeting on</w:t>
      </w:r>
      <w:r w:rsidRPr="002A612E">
        <w:rPr>
          <w:rFonts w:ascii="Times New Roman" w:hAnsi="Times New Roman"/>
          <w:sz w:val="24"/>
        </w:rPr>
        <w:t xml:space="preserve"> September 15, 2008, and through written comments.  Results of an external review of the program, conducted December 12, 2015, support </w:t>
      </w:r>
      <w:r w:rsidR="00BA25EA" w:rsidRPr="002A612E">
        <w:rPr>
          <w:rFonts w:ascii="Times New Roman" w:hAnsi="Times New Roman"/>
          <w:sz w:val="24"/>
        </w:rPr>
        <w:t>the proposed requirement for records and reporting as well as the propo</w:t>
      </w:r>
      <w:r w:rsidR="002A612E">
        <w:rPr>
          <w:rFonts w:ascii="Times New Roman" w:hAnsi="Times New Roman"/>
          <w:sz w:val="24"/>
        </w:rPr>
        <w:t xml:space="preserve">sed use of demographic and outcomes data aggregated from federally-funded research, education, and extension projects.  The proposed revisions to this information collection have been discussed by the agency within various stakeholder input groups composed of over thirty people representing Land Grant Universities from July, 2016 through September, 2016. </w:t>
      </w:r>
    </w:p>
    <w:p w:rsidR="00BA25EA" w:rsidRPr="002A612E" w:rsidRDefault="00BA25EA" w:rsidP="00623218">
      <w:pPr>
        <w:pStyle w:val="HTMLPreformatted"/>
        <w:rPr>
          <w:rFonts w:ascii="Times New Roman" w:hAnsi="Times New Roman"/>
          <w:sz w:val="24"/>
        </w:rPr>
      </w:pPr>
    </w:p>
    <w:p w:rsidR="00A56E6E" w:rsidRPr="00A56E6E" w:rsidRDefault="00A56E6E" w:rsidP="000200BD">
      <w:pPr>
        <w:rPr>
          <w:sz w:val="24"/>
          <w:szCs w:val="24"/>
        </w:rPr>
      </w:pPr>
    </w:p>
    <w:p w:rsidR="000200BD" w:rsidRPr="00BA25EA" w:rsidRDefault="000200BD" w:rsidP="00CB6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BA25EA">
        <w:rPr>
          <w:bCs/>
          <w:sz w:val="24"/>
          <w:szCs w:val="24"/>
        </w:rPr>
        <w:t xml:space="preserve">9. </w:t>
      </w:r>
      <w:r w:rsidR="00BA25EA">
        <w:rPr>
          <w:bCs/>
          <w:sz w:val="24"/>
          <w:szCs w:val="24"/>
        </w:rPr>
        <w:t>DECISION TO PROVIDE ANY PAYMENT OF GIFT TO RESPONDENTS, OTHER THAN REMUNERATION OF CONTRACTORS OR GRANTEES</w:t>
      </w:r>
    </w:p>
    <w:p w:rsidR="000200BD"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200BD"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There are no plans to provide any payment or gift to respondents, other than </w:t>
      </w:r>
      <w:r w:rsidR="007545C7">
        <w:rPr>
          <w:sz w:val="24"/>
          <w:szCs w:val="24"/>
        </w:rPr>
        <w:t>remuneration</w:t>
      </w:r>
      <w:r>
        <w:rPr>
          <w:sz w:val="24"/>
          <w:szCs w:val="24"/>
        </w:rPr>
        <w:t xml:space="preserve"> of cooperators or grantees.</w:t>
      </w:r>
    </w:p>
    <w:p w:rsidR="000200BD"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200BD" w:rsidRPr="00BA25EA"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BA25EA">
        <w:rPr>
          <w:bCs/>
          <w:sz w:val="24"/>
          <w:szCs w:val="24"/>
        </w:rPr>
        <w:t xml:space="preserve">10. </w:t>
      </w:r>
      <w:r w:rsidR="00BA25EA">
        <w:rPr>
          <w:bCs/>
          <w:sz w:val="24"/>
          <w:szCs w:val="24"/>
        </w:rPr>
        <w:t>CONFIDENTIALITY PROVIDED TO RESONDENTS</w:t>
      </w:r>
    </w:p>
    <w:p w:rsidR="000200BD"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200BD"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There is no specific assurance of confidentiality provided to respondents.</w:t>
      </w:r>
    </w:p>
    <w:p w:rsidR="000200BD"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Pr>
          <w:b/>
          <w:bCs/>
          <w:sz w:val="24"/>
          <w:szCs w:val="24"/>
        </w:rPr>
        <w:t xml:space="preserve"> </w:t>
      </w:r>
    </w:p>
    <w:p w:rsidR="00BA25EA"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BA25EA">
        <w:rPr>
          <w:bCs/>
          <w:sz w:val="24"/>
          <w:szCs w:val="24"/>
        </w:rPr>
        <w:t xml:space="preserve">11. </w:t>
      </w:r>
      <w:r w:rsidR="00BA25EA">
        <w:rPr>
          <w:bCs/>
          <w:sz w:val="24"/>
          <w:szCs w:val="24"/>
        </w:rPr>
        <w:t>QUESTIONS OF A SENSITIVE NATURE</w:t>
      </w:r>
    </w:p>
    <w:p w:rsidR="00BA25EA" w:rsidRDefault="00BA25EA"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rsidR="000200BD" w:rsidRPr="00BA25EA"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BA25EA">
        <w:rPr>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00BD"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200BD" w:rsidRDefault="00481E99"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NIFA does not request</w:t>
      </w:r>
      <w:r w:rsidR="000200BD">
        <w:rPr>
          <w:sz w:val="24"/>
          <w:szCs w:val="24"/>
        </w:rPr>
        <w:t xml:space="preserve"> information </w:t>
      </w:r>
      <w:r>
        <w:rPr>
          <w:sz w:val="24"/>
          <w:szCs w:val="24"/>
        </w:rPr>
        <w:t xml:space="preserve">of a sensitive nature through </w:t>
      </w:r>
      <w:r w:rsidR="00177C7F">
        <w:rPr>
          <w:sz w:val="24"/>
          <w:szCs w:val="24"/>
        </w:rPr>
        <w:t>REEPORT</w:t>
      </w:r>
      <w:r>
        <w:rPr>
          <w:sz w:val="24"/>
          <w:szCs w:val="24"/>
        </w:rPr>
        <w:t>.</w:t>
      </w:r>
    </w:p>
    <w:p w:rsidR="000200BD"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Pr>
          <w:b/>
          <w:bCs/>
          <w:sz w:val="24"/>
          <w:szCs w:val="24"/>
        </w:rPr>
        <w:t xml:space="preserve"> </w:t>
      </w:r>
    </w:p>
    <w:p w:rsidR="00BA25EA" w:rsidRDefault="00CB682B"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BA25EA">
        <w:rPr>
          <w:bCs/>
          <w:sz w:val="24"/>
          <w:szCs w:val="24"/>
        </w:rPr>
        <w:t xml:space="preserve">12. </w:t>
      </w:r>
      <w:r w:rsidR="00BA25EA">
        <w:rPr>
          <w:bCs/>
          <w:sz w:val="24"/>
          <w:szCs w:val="24"/>
        </w:rPr>
        <w:t>ESTIMATE OF BURDEN</w:t>
      </w:r>
    </w:p>
    <w:p w:rsidR="00BA25EA" w:rsidRDefault="00BA25EA"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rsidR="000200BD" w:rsidRPr="00BA25EA" w:rsidRDefault="00CB682B"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BA25EA">
        <w:rPr>
          <w:bCs/>
          <w:sz w:val="24"/>
          <w:szCs w:val="24"/>
        </w:rPr>
        <w:t xml:space="preserve">Provide </w:t>
      </w:r>
      <w:r w:rsidR="000200BD" w:rsidRPr="00BA25EA">
        <w:rPr>
          <w:bCs/>
          <w:sz w:val="24"/>
          <w:szCs w:val="24"/>
        </w:rPr>
        <w:t>estimates of the hour burden of the collection of in</w:t>
      </w:r>
      <w:r w:rsidR="00734B1A">
        <w:rPr>
          <w:bCs/>
          <w:sz w:val="24"/>
          <w:szCs w:val="24"/>
        </w:rPr>
        <w:t>formation.</w:t>
      </w:r>
    </w:p>
    <w:p w:rsidR="000200BD" w:rsidRDefault="000200BD"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rsidR="000200BD" w:rsidRPr="001C30BF" w:rsidRDefault="001C30BF" w:rsidP="001C30BF">
      <w:pPr>
        <w:pStyle w:val="HTMLPreformatted"/>
        <w:rPr>
          <w:rFonts w:ascii="Times New Roman" w:hAnsi="Times New Roman" w:cs="Times New Roman"/>
          <w:sz w:val="24"/>
          <w:szCs w:val="24"/>
        </w:rPr>
      </w:pPr>
      <w:r w:rsidRPr="001C30BF">
        <w:rPr>
          <w:rFonts w:ascii="Times New Roman" w:hAnsi="Times New Roman" w:cs="Times New Roman"/>
          <w:sz w:val="24"/>
          <w:szCs w:val="24"/>
        </w:rPr>
        <w:t>NIFA used b</w:t>
      </w:r>
      <w:r w:rsidR="00995799">
        <w:rPr>
          <w:rFonts w:ascii="Times New Roman" w:hAnsi="Times New Roman" w:cs="Times New Roman"/>
          <w:sz w:val="24"/>
          <w:szCs w:val="24"/>
        </w:rPr>
        <w:t>urden estimates from the previous</w:t>
      </w:r>
      <w:r w:rsidRPr="001C30BF">
        <w:rPr>
          <w:rFonts w:ascii="Times New Roman" w:hAnsi="Times New Roman" w:cs="Times New Roman"/>
          <w:sz w:val="24"/>
          <w:szCs w:val="24"/>
        </w:rPr>
        <w:t xml:space="preserve"> CRIS </w:t>
      </w:r>
      <w:r w:rsidR="00995799">
        <w:rPr>
          <w:rFonts w:ascii="Times New Roman" w:hAnsi="Times New Roman" w:cs="Times New Roman"/>
          <w:sz w:val="24"/>
          <w:szCs w:val="24"/>
        </w:rPr>
        <w:t xml:space="preserve">information </w:t>
      </w:r>
      <w:r w:rsidRPr="001C30BF">
        <w:rPr>
          <w:rFonts w:ascii="Times New Roman" w:hAnsi="Times New Roman" w:cs="Times New Roman"/>
          <w:sz w:val="24"/>
          <w:szCs w:val="24"/>
        </w:rPr>
        <w:t>collection</w:t>
      </w:r>
      <w:r w:rsidR="00734B1A">
        <w:rPr>
          <w:rFonts w:ascii="Times New Roman" w:hAnsi="Times New Roman" w:cs="Times New Roman"/>
          <w:sz w:val="24"/>
          <w:szCs w:val="24"/>
        </w:rPr>
        <w:t xml:space="preserve"> (on which the current approved </w:t>
      </w:r>
      <w:r w:rsidR="00177C7F">
        <w:rPr>
          <w:rFonts w:ascii="Times New Roman" w:hAnsi="Times New Roman" w:cs="Times New Roman"/>
          <w:sz w:val="24"/>
          <w:szCs w:val="24"/>
        </w:rPr>
        <w:t>REEPORT</w:t>
      </w:r>
      <w:r w:rsidR="00734B1A" w:rsidRPr="00E20884">
        <w:rPr>
          <w:rFonts w:ascii="Times New Roman" w:hAnsi="Times New Roman" w:cs="Times New Roman"/>
          <w:sz w:val="24"/>
          <w:szCs w:val="24"/>
        </w:rPr>
        <w:t xml:space="preserve"> information collection was based)</w:t>
      </w:r>
      <w:r w:rsidRPr="00E20884">
        <w:rPr>
          <w:rFonts w:ascii="Times New Roman" w:hAnsi="Times New Roman" w:cs="Times New Roman"/>
          <w:sz w:val="24"/>
          <w:szCs w:val="24"/>
        </w:rPr>
        <w:t xml:space="preserve"> to e</w:t>
      </w:r>
      <w:r w:rsidR="00703FB4" w:rsidRPr="00E20884">
        <w:rPr>
          <w:rFonts w:ascii="Times New Roman" w:hAnsi="Times New Roman" w:cs="Times New Roman"/>
          <w:sz w:val="24"/>
          <w:szCs w:val="24"/>
        </w:rPr>
        <w:t xml:space="preserve">stimate the burden for </w:t>
      </w:r>
      <w:r w:rsidR="00177C7F">
        <w:rPr>
          <w:rFonts w:ascii="Times New Roman" w:hAnsi="Times New Roman" w:cs="Times New Roman"/>
          <w:sz w:val="24"/>
          <w:szCs w:val="24"/>
        </w:rPr>
        <w:t>REEPORT</w:t>
      </w:r>
      <w:r w:rsidR="00703FB4" w:rsidRPr="00E20884">
        <w:rPr>
          <w:rFonts w:ascii="Times New Roman" w:hAnsi="Times New Roman" w:cs="Times New Roman"/>
          <w:sz w:val="24"/>
          <w:szCs w:val="24"/>
        </w:rPr>
        <w:t xml:space="preserve"> </w:t>
      </w:r>
      <w:r w:rsidRPr="00E20884">
        <w:rPr>
          <w:rFonts w:ascii="Times New Roman" w:hAnsi="Times New Roman" w:cs="Times New Roman"/>
          <w:sz w:val="24"/>
          <w:szCs w:val="24"/>
        </w:rPr>
        <w:t>but anticipates the transactions for project initiation may be reduced because grant application information will be used to prepopulate many fields. The total annual burden for the non-RPPR portion of this collection</w:t>
      </w:r>
      <w:r w:rsidR="00E20884" w:rsidRPr="00E20884">
        <w:rPr>
          <w:rFonts w:ascii="Times New Roman" w:hAnsi="Times New Roman" w:cs="Times New Roman"/>
          <w:sz w:val="24"/>
          <w:szCs w:val="24"/>
        </w:rPr>
        <w:t xml:space="preserve"> (Project Initiation and Financial Report)</w:t>
      </w:r>
      <w:r w:rsidRPr="00E20884">
        <w:rPr>
          <w:rFonts w:ascii="Times New Roman" w:hAnsi="Times New Roman" w:cs="Times New Roman"/>
          <w:sz w:val="24"/>
          <w:szCs w:val="24"/>
        </w:rPr>
        <w:t xml:space="preserve"> is</w:t>
      </w:r>
      <w:r w:rsidR="00C7027B">
        <w:rPr>
          <w:rFonts w:ascii="Times New Roman" w:hAnsi="Times New Roman" w:cs="Times New Roman"/>
          <w:sz w:val="24"/>
          <w:szCs w:val="24"/>
        </w:rPr>
        <w:t xml:space="preserve"> 29,2</w:t>
      </w:r>
      <w:r w:rsidR="00B06ADB">
        <w:rPr>
          <w:rFonts w:ascii="Times New Roman" w:hAnsi="Times New Roman" w:cs="Times New Roman"/>
          <w:sz w:val="24"/>
          <w:szCs w:val="24"/>
        </w:rPr>
        <w:t>00</w:t>
      </w:r>
      <w:r w:rsidR="00D01B27" w:rsidRPr="00E20884">
        <w:rPr>
          <w:rFonts w:ascii="Times New Roman" w:hAnsi="Times New Roman" w:cs="Times New Roman"/>
          <w:sz w:val="24"/>
          <w:szCs w:val="24"/>
        </w:rPr>
        <w:t xml:space="preserve"> hours</w:t>
      </w:r>
      <w:r w:rsidR="00E20884" w:rsidRPr="00E20884">
        <w:rPr>
          <w:rFonts w:ascii="Times New Roman" w:hAnsi="Times New Roman" w:cs="Times New Roman"/>
          <w:sz w:val="24"/>
          <w:szCs w:val="24"/>
        </w:rPr>
        <w:t>. T</w:t>
      </w:r>
      <w:r w:rsidR="00D01B27" w:rsidRPr="00E20884">
        <w:rPr>
          <w:rFonts w:ascii="Times New Roman" w:hAnsi="Times New Roman" w:cs="Times New Roman"/>
          <w:sz w:val="24"/>
          <w:szCs w:val="24"/>
        </w:rPr>
        <w:t>he total annual burden for the RPPR</w:t>
      </w:r>
      <w:r w:rsidR="00E20884" w:rsidRPr="00E20884">
        <w:rPr>
          <w:rFonts w:ascii="Times New Roman" w:hAnsi="Times New Roman" w:cs="Times New Roman"/>
          <w:sz w:val="24"/>
          <w:szCs w:val="24"/>
        </w:rPr>
        <w:t xml:space="preserve"> portion of this collection (</w:t>
      </w:r>
      <w:r w:rsidR="00D01B27" w:rsidRPr="00E20884">
        <w:rPr>
          <w:rFonts w:ascii="Times New Roman" w:hAnsi="Times New Roman" w:cs="Times New Roman"/>
          <w:sz w:val="24"/>
          <w:szCs w:val="24"/>
        </w:rPr>
        <w:t>Progress and Final Report</w:t>
      </w:r>
      <w:r w:rsidR="00C7027B">
        <w:rPr>
          <w:rFonts w:ascii="Times New Roman" w:hAnsi="Times New Roman" w:cs="Times New Roman"/>
          <w:sz w:val="24"/>
          <w:szCs w:val="24"/>
        </w:rPr>
        <w:t>) is 43,700</w:t>
      </w:r>
      <w:r w:rsidR="00E20884" w:rsidRPr="00E20884">
        <w:rPr>
          <w:rFonts w:ascii="Times New Roman" w:hAnsi="Times New Roman" w:cs="Times New Roman"/>
          <w:sz w:val="24"/>
          <w:szCs w:val="24"/>
        </w:rPr>
        <w:t xml:space="preserve"> </w:t>
      </w:r>
      <w:r w:rsidR="00D01B27" w:rsidRPr="00E20884">
        <w:rPr>
          <w:rFonts w:ascii="Times New Roman" w:hAnsi="Times New Roman" w:cs="Times New Roman"/>
          <w:sz w:val="24"/>
          <w:szCs w:val="24"/>
        </w:rPr>
        <w:t>hours</w:t>
      </w:r>
      <w:r w:rsidR="00E20884" w:rsidRPr="00E20884">
        <w:rPr>
          <w:rFonts w:ascii="Times New Roman" w:hAnsi="Times New Roman" w:cs="Times New Roman"/>
          <w:sz w:val="24"/>
          <w:szCs w:val="24"/>
        </w:rPr>
        <w:t xml:space="preserve">; this number is increased slightly based on the additional 1.1 burden hours per response (for a total of 3.8 hours per response) estimated for the Progress and Final Report revisions described in this document. </w:t>
      </w:r>
      <w:r w:rsidR="000200BD" w:rsidRPr="00E20884">
        <w:rPr>
          <w:rFonts w:ascii="Times New Roman" w:hAnsi="Times New Roman" w:cs="Times New Roman"/>
          <w:sz w:val="24"/>
          <w:szCs w:val="24"/>
        </w:rPr>
        <w:t>The estimates are summarized in a table on the following page.</w:t>
      </w:r>
    </w:p>
    <w:p w:rsidR="000509EC" w:rsidRDefault="000509EC" w:rsidP="00CB68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200BD" w:rsidRDefault="000200BD" w:rsidP="000200B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sz w:val="24"/>
          <w:szCs w:val="24"/>
        </w:rPr>
      </w:pPr>
    </w:p>
    <w:p w:rsidR="000200BD" w:rsidRDefault="000200BD" w:rsidP="000200B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b/>
          <w:bCs/>
          <w:sz w:val="24"/>
          <w:szCs w:val="24"/>
        </w:rPr>
      </w:pPr>
    </w:p>
    <w:p w:rsidR="000200BD" w:rsidRDefault="000200BD" w:rsidP="000200B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b/>
          <w:bCs/>
          <w:sz w:val="24"/>
          <w:szCs w:val="24"/>
        </w:rPr>
      </w:pPr>
    </w:p>
    <w:p w:rsidR="000200BD" w:rsidRDefault="000200BD" w:rsidP="000200B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b/>
          <w:bCs/>
          <w:sz w:val="24"/>
          <w:szCs w:val="24"/>
        </w:rPr>
      </w:pPr>
      <w:r>
        <w:rPr>
          <w:b/>
          <w:bCs/>
          <w:sz w:val="24"/>
          <w:szCs w:val="24"/>
        </w:rPr>
        <w:t xml:space="preserve"> </w:t>
      </w:r>
    </w:p>
    <w:p w:rsidR="000200BD" w:rsidRDefault="000200BD" w:rsidP="000200B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sz w:val="24"/>
          <w:szCs w:val="24"/>
        </w:rPr>
        <w:sectPr w:rsidR="000200BD" w:rsidSect="000200BD">
          <w:headerReference w:type="default" r:id="rId14"/>
          <w:pgSz w:w="12240" w:h="15840"/>
          <w:pgMar w:top="1152" w:right="1440" w:bottom="1152" w:left="1440" w:header="1440" w:footer="1440" w:gutter="0"/>
          <w:cols w:space="720"/>
        </w:sectPr>
      </w:pPr>
    </w:p>
    <w:p w:rsidR="007F6964" w:rsidRDefault="000200BD" w:rsidP="007F6964">
      <w:pPr>
        <w:ind w:left="360"/>
        <w:rPr>
          <w:b/>
          <w:bCs/>
          <w:sz w:val="24"/>
          <w:szCs w:val="24"/>
        </w:rPr>
      </w:pPr>
      <w:r>
        <w:rPr>
          <w:b/>
          <w:bCs/>
          <w:sz w:val="24"/>
          <w:szCs w:val="24"/>
        </w:rPr>
        <w:lastRenderedPageBreak/>
        <w:t>Table Reference for Item</w:t>
      </w:r>
      <w:r w:rsidR="00861EF0">
        <w:rPr>
          <w:b/>
          <w:bCs/>
          <w:sz w:val="24"/>
          <w:szCs w:val="24"/>
        </w:rPr>
        <w:t xml:space="preserve"> 12</w:t>
      </w:r>
      <w:r>
        <w:rPr>
          <w:b/>
          <w:bCs/>
          <w:sz w:val="24"/>
          <w:szCs w:val="24"/>
        </w:rPr>
        <w:tab/>
      </w:r>
      <w:r>
        <w:rPr>
          <w:b/>
          <w:bCs/>
          <w:sz w:val="24"/>
          <w:szCs w:val="24"/>
        </w:rPr>
        <w:tab/>
      </w:r>
      <w:r w:rsidR="007F6964">
        <w:rPr>
          <w:b/>
          <w:bCs/>
          <w:sz w:val="24"/>
          <w:szCs w:val="24"/>
        </w:rPr>
        <w:tab/>
      </w:r>
    </w:p>
    <w:p w:rsidR="007F6964" w:rsidRDefault="00177C7F" w:rsidP="00177C7F">
      <w:pPr>
        <w:tabs>
          <w:tab w:val="left" w:pos="9900"/>
        </w:tabs>
        <w:ind w:left="360"/>
        <w:rPr>
          <w:b/>
          <w:bCs/>
          <w:sz w:val="24"/>
          <w:szCs w:val="24"/>
        </w:rPr>
      </w:pPr>
      <w:r>
        <w:rPr>
          <w:b/>
          <w:bCs/>
          <w:sz w:val="24"/>
          <w:szCs w:val="24"/>
        </w:rPr>
        <w:tab/>
      </w:r>
    </w:p>
    <w:p w:rsidR="007F6964" w:rsidRDefault="007F6964" w:rsidP="007F6964">
      <w:pPr>
        <w:ind w:left="360"/>
        <w:rPr>
          <w:b/>
          <w:bCs/>
          <w:sz w:val="24"/>
          <w:szCs w:val="24"/>
        </w:rPr>
      </w:pPr>
      <w:r>
        <w:rPr>
          <w:b/>
          <w:bCs/>
          <w:sz w:val="28"/>
          <w:szCs w:val="28"/>
        </w:rPr>
        <w:t>Research, Education, and Extension projec</w:t>
      </w:r>
      <w:r w:rsidR="00177C7F">
        <w:rPr>
          <w:b/>
          <w:bCs/>
          <w:sz w:val="28"/>
          <w:szCs w:val="28"/>
        </w:rPr>
        <w:t>t online reporting tool (REEPORT</w:t>
      </w:r>
      <w:r>
        <w:rPr>
          <w:b/>
          <w:bCs/>
          <w:sz w:val="28"/>
          <w:szCs w:val="28"/>
        </w:rPr>
        <w:t>) -- Data Collection</w:t>
      </w:r>
    </w:p>
    <w:p w:rsidR="007F6964" w:rsidRDefault="007F6964" w:rsidP="007F6964">
      <w:pPr>
        <w:ind w:left="360"/>
        <w:rPr>
          <w:b/>
          <w:bCs/>
          <w:sz w:val="24"/>
          <w:szCs w:val="24"/>
        </w:rPr>
      </w:pPr>
    </w:p>
    <w:tbl>
      <w:tblPr>
        <w:tblW w:w="13560" w:type="dxa"/>
        <w:tblInd w:w="368" w:type="dxa"/>
        <w:tblLayout w:type="fixed"/>
        <w:tblCellMar>
          <w:left w:w="0" w:type="dxa"/>
          <w:right w:w="0" w:type="dxa"/>
        </w:tblCellMar>
        <w:tblLook w:val="0000" w:firstRow="0" w:lastRow="0" w:firstColumn="0" w:lastColumn="0" w:noHBand="0" w:noVBand="0"/>
      </w:tblPr>
      <w:tblGrid>
        <w:gridCol w:w="1980"/>
        <w:gridCol w:w="1680"/>
        <w:gridCol w:w="1710"/>
        <w:gridCol w:w="1650"/>
        <w:gridCol w:w="1860"/>
        <w:gridCol w:w="1500"/>
        <w:gridCol w:w="1680"/>
        <w:gridCol w:w="1500"/>
      </w:tblGrid>
      <w:tr w:rsidR="007F6964" w:rsidTr="003C1EC4">
        <w:trPr>
          <w:cantSplit/>
        </w:trPr>
        <w:tc>
          <w:tcPr>
            <w:tcW w:w="1980" w:type="dxa"/>
            <w:tcBorders>
              <w:top w:val="single" w:sz="6" w:space="0" w:color="000000"/>
              <w:left w:val="single" w:sz="6" w:space="0" w:color="000000"/>
              <w:bottom w:val="nil"/>
              <w:right w:val="nil"/>
            </w:tcBorders>
          </w:tcPr>
          <w:p w:rsidR="007F6964" w:rsidRDefault="007F6964" w:rsidP="003C1EC4">
            <w:pPr>
              <w:spacing w:before="100"/>
              <w:rPr>
                <w:b/>
                <w:bCs/>
                <w:sz w:val="24"/>
                <w:szCs w:val="24"/>
              </w:rPr>
            </w:pPr>
          </w:p>
          <w:p w:rsidR="007F6964" w:rsidRDefault="007F6964" w:rsidP="003C1EC4">
            <w:pPr>
              <w:spacing w:after="54"/>
              <w:rPr>
                <w:sz w:val="24"/>
                <w:szCs w:val="24"/>
              </w:rPr>
            </w:pPr>
            <w:r>
              <w:rPr>
                <w:b/>
                <w:bCs/>
                <w:sz w:val="24"/>
                <w:szCs w:val="24"/>
              </w:rPr>
              <w:t>Description</w:t>
            </w:r>
          </w:p>
        </w:tc>
        <w:tc>
          <w:tcPr>
            <w:tcW w:w="1680" w:type="dxa"/>
            <w:tcBorders>
              <w:top w:val="single" w:sz="6" w:space="0" w:color="000000"/>
              <w:left w:val="single" w:sz="6" w:space="0" w:color="000000"/>
              <w:bottom w:val="nil"/>
              <w:right w:val="nil"/>
            </w:tcBorders>
          </w:tcPr>
          <w:p w:rsidR="007F6964" w:rsidRDefault="007F6964" w:rsidP="003C1EC4">
            <w:pPr>
              <w:spacing w:before="100" w:after="54"/>
              <w:rPr>
                <w:sz w:val="24"/>
                <w:szCs w:val="24"/>
              </w:rPr>
            </w:pPr>
            <w:r>
              <w:rPr>
                <w:b/>
                <w:bCs/>
                <w:sz w:val="24"/>
                <w:szCs w:val="24"/>
              </w:rPr>
              <w:t>Number of Respondents</w:t>
            </w:r>
          </w:p>
        </w:tc>
        <w:tc>
          <w:tcPr>
            <w:tcW w:w="1710" w:type="dxa"/>
            <w:tcBorders>
              <w:top w:val="single" w:sz="6" w:space="0" w:color="000000"/>
              <w:left w:val="single" w:sz="6" w:space="0" w:color="000000"/>
              <w:bottom w:val="nil"/>
              <w:right w:val="nil"/>
            </w:tcBorders>
          </w:tcPr>
          <w:p w:rsidR="007F6964" w:rsidRDefault="007F6964" w:rsidP="003C1EC4">
            <w:pPr>
              <w:spacing w:before="100" w:after="54"/>
              <w:rPr>
                <w:sz w:val="24"/>
                <w:szCs w:val="24"/>
              </w:rPr>
            </w:pPr>
            <w:r>
              <w:rPr>
                <w:b/>
                <w:bCs/>
                <w:sz w:val="24"/>
                <w:szCs w:val="24"/>
              </w:rPr>
              <w:t>Responses / Respondent</w:t>
            </w:r>
          </w:p>
        </w:tc>
        <w:tc>
          <w:tcPr>
            <w:tcW w:w="1650" w:type="dxa"/>
            <w:tcBorders>
              <w:top w:val="single" w:sz="6" w:space="0" w:color="000000"/>
              <w:left w:val="single" w:sz="6" w:space="0" w:color="000000"/>
              <w:bottom w:val="nil"/>
              <w:right w:val="nil"/>
            </w:tcBorders>
          </w:tcPr>
          <w:p w:rsidR="007F6964" w:rsidRDefault="007F6964" w:rsidP="003C1EC4">
            <w:pPr>
              <w:spacing w:before="100" w:after="54"/>
              <w:rPr>
                <w:sz w:val="24"/>
                <w:szCs w:val="24"/>
              </w:rPr>
            </w:pPr>
            <w:r>
              <w:rPr>
                <w:b/>
                <w:bCs/>
                <w:sz w:val="24"/>
                <w:szCs w:val="24"/>
              </w:rPr>
              <w:t>Total Annual Responses</w:t>
            </w:r>
          </w:p>
        </w:tc>
        <w:tc>
          <w:tcPr>
            <w:tcW w:w="1860" w:type="dxa"/>
            <w:tcBorders>
              <w:top w:val="single" w:sz="6" w:space="0" w:color="000000"/>
              <w:left w:val="single" w:sz="6" w:space="0" w:color="000000"/>
              <w:bottom w:val="nil"/>
              <w:right w:val="nil"/>
            </w:tcBorders>
          </w:tcPr>
          <w:p w:rsidR="007F6964" w:rsidRDefault="007F6964" w:rsidP="003C1EC4">
            <w:pPr>
              <w:spacing w:before="100" w:after="54"/>
              <w:rPr>
                <w:sz w:val="24"/>
                <w:szCs w:val="24"/>
              </w:rPr>
            </w:pPr>
            <w:r>
              <w:rPr>
                <w:b/>
                <w:bCs/>
                <w:sz w:val="24"/>
                <w:szCs w:val="24"/>
              </w:rPr>
              <w:t>Estimated Hours/Response</w:t>
            </w:r>
          </w:p>
        </w:tc>
        <w:tc>
          <w:tcPr>
            <w:tcW w:w="1500" w:type="dxa"/>
            <w:tcBorders>
              <w:top w:val="single" w:sz="6" w:space="0" w:color="000000"/>
              <w:left w:val="single" w:sz="6" w:space="0" w:color="000000"/>
              <w:bottom w:val="nil"/>
              <w:right w:val="nil"/>
            </w:tcBorders>
          </w:tcPr>
          <w:p w:rsidR="007F6964" w:rsidRDefault="007F6964" w:rsidP="003C1EC4">
            <w:pPr>
              <w:spacing w:before="100" w:after="54"/>
              <w:rPr>
                <w:sz w:val="24"/>
                <w:szCs w:val="24"/>
              </w:rPr>
            </w:pPr>
            <w:r>
              <w:rPr>
                <w:b/>
                <w:bCs/>
                <w:sz w:val="24"/>
                <w:szCs w:val="24"/>
              </w:rPr>
              <w:t>Annual Burden Hrs.</w:t>
            </w:r>
          </w:p>
        </w:tc>
        <w:tc>
          <w:tcPr>
            <w:tcW w:w="1680" w:type="dxa"/>
            <w:tcBorders>
              <w:top w:val="single" w:sz="6" w:space="0" w:color="000000"/>
              <w:left w:val="single" w:sz="6" w:space="0" w:color="000000"/>
              <w:bottom w:val="nil"/>
              <w:right w:val="nil"/>
            </w:tcBorders>
          </w:tcPr>
          <w:p w:rsidR="007F6964" w:rsidRDefault="007F6964" w:rsidP="003C1EC4">
            <w:pPr>
              <w:spacing w:before="100" w:after="54"/>
              <w:rPr>
                <w:sz w:val="24"/>
                <w:szCs w:val="24"/>
              </w:rPr>
            </w:pPr>
            <w:r>
              <w:rPr>
                <w:b/>
                <w:bCs/>
                <w:sz w:val="24"/>
                <w:szCs w:val="24"/>
              </w:rPr>
              <w:t>Estimated Cost/Response</w:t>
            </w:r>
          </w:p>
        </w:tc>
        <w:tc>
          <w:tcPr>
            <w:tcW w:w="1500" w:type="dxa"/>
            <w:tcBorders>
              <w:top w:val="single" w:sz="6" w:space="0" w:color="000000"/>
              <w:left w:val="single" w:sz="6" w:space="0" w:color="000000"/>
              <w:bottom w:val="nil"/>
              <w:right w:val="single" w:sz="6" w:space="0" w:color="000000"/>
            </w:tcBorders>
          </w:tcPr>
          <w:p w:rsidR="007F6964" w:rsidRDefault="007F6964" w:rsidP="003C1EC4">
            <w:pPr>
              <w:spacing w:before="100"/>
              <w:rPr>
                <w:b/>
                <w:bCs/>
                <w:sz w:val="24"/>
                <w:szCs w:val="24"/>
              </w:rPr>
            </w:pPr>
          </w:p>
          <w:p w:rsidR="007F6964" w:rsidRDefault="007F6964" w:rsidP="003C1EC4">
            <w:pPr>
              <w:spacing w:after="54"/>
              <w:rPr>
                <w:sz w:val="24"/>
                <w:szCs w:val="24"/>
              </w:rPr>
            </w:pPr>
            <w:r>
              <w:rPr>
                <w:b/>
                <w:bCs/>
                <w:sz w:val="24"/>
                <w:szCs w:val="24"/>
              </w:rPr>
              <w:t>Annual Cost</w:t>
            </w:r>
          </w:p>
        </w:tc>
      </w:tr>
      <w:tr w:rsidR="007F6964" w:rsidTr="003C1EC4">
        <w:trPr>
          <w:cantSplit/>
        </w:trPr>
        <w:tc>
          <w:tcPr>
            <w:tcW w:w="1980" w:type="dxa"/>
            <w:tcBorders>
              <w:top w:val="single" w:sz="6" w:space="0" w:color="000000"/>
              <w:left w:val="single" w:sz="6" w:space="0" w:color="000000"/>
              <w:bottom w:val="nil"/>
              <w:right w:val="nil"/>
            </w:tcBorders>
          </w:tcPr>
          <w:p w:rsidR="007F6964" w:rsidRDefault="007F6964" w:rsidP="003C1EC4">
            <w:pPr>
              <w:spacing w:before="100" w:after="54"/>
              <w:rPr>
                <w:sz w:val="24"/>
                <w:szCs w:val="24"/>
              </w:rPr>
            </w:pPr>
          </w:p>
        </w:tc>
        <w:tc>
          <w:tcPr>
            <w:tcW w:w="1680" w:type="dxa"/>
            <w:tcBorders>
              <w:top w:val="single" w:sz="6" w:space="0" w:color="000000"/>
              <w:left w:val="single" w:sz="6" w:space="0" w:color="000000"/>
              <w:bottom w:val="nil"/>
              <w:right w:val="nil"/>
            </w:tcBorders>
          </w:tcPr>
          <w:p w:rsidR="007F6964" w:rsidRDefault="007F6964" w:rsidP="003C1EC4">
            <w:pPr>
              <w:spacing w:before="100" w:after="54"/>
              <w:rPr>
                <w:sz w:val="24"/>
                <w:szCs w:val="24"/>
              </w:rPr>
            </w:pPr>
          </w:p>
        </w:tc>
        <w:tc>
          <w:tcPr>
            <w:tcW w:w="1710" w:type="dxa"/>
            <w:tcBorders>
              <w:top w:val="single" w:sz="6" w:space="0" w:color="000000"/>
              <w:left w:val="single" w:sz="6" w:space="0" w:color="000000"/>
              <w:bottom w:val="nil"/>
              <w:right w:val="nil"/>
            </w:tcBorders>
          </w:tcPr>
          <w:p w:rsidR="007F6964" w:rsidRDefault="007F6964" w:rsidP="003C1EC4">
            <w:pPr>
              <w:spacing w:before="100" w:after="54"/>
              <w:rPr>
                <w:sz w:val="24"/>
                <w:szCs w:val="24"/>
              </w:rPr>
            </w:pPr>
          </w:p>
        </w:tc>
        <w:tc>
          <w:tcPr>
            <w:tcW w:w="1650" w:type="dxa"/>
            <w:tcBorders>
              <w:top w:val="single" w:sz="6" w:space="0" w:color="000000"/>
              <w:left w:val="single" w:sz="6" w:space="0" w:color="000000"/>
              <w:bottom w:val="nil"/>
              <w:right w:val="nil"/>
            </w:tcBorders>
          </w:tcPr>
          <w:p w:rsidR="007F6964" w:rsidRDefault="007F6964" w:rsidP="003C1EC4">
            <w:pPr>
              <w:spacing w:before="100" w:after="54"/>
              <w:rPr>
                <w:sz w:val="24"/>
                <w:szCs w:val="24"/>
              </w:rPr>
            </w:pPr>
          </w:p>
        </w:tc>
        <w:tc>
          <w:tcPr>
            <w:tcW w:w="1860" w:type="dxa"/>
            <w:tcBorders>
              <w:top w:val="single" w:sz="6" w:space="0" w:color="000000"/>
              <w:left w:val="single" w:sz="6" w:space="0" w:color="000000"/>
              <w:bottom w:val="nil"/>
              <w:right w:val="nil"/>
            </w:tcBorders>
          </w:tcPr>
          <w:p w:rsidR="007F6964" w:rsidRDefault="007F6964" w:rsidP="003C1EC4">
            <w:pPr>
              <w:spacing w:before="100" w:after="54"/>
              <w:rPr>
                <w:sz w:val="24"/>
                <w:szCs w:val="24"/>
              </w:rPr>
            </w:pPr>
          </w:p>
        </w:tc>
        <w:tc>
          <w:tcPr>
            <w:tcW w:w="1500" w:type="dxa"/>
            <w:tcBorders>
              <w:top w:val="single" w:sz="6" w:space="0" w:color="000000"/>
              <w:left w:val="single" w:sz="6" w:space="0" w:color="000000"/>
              <w:bottom w:val="nil"/>
              <w:right w:val="nil"/>
            </w:tcBorders>
          </w:tcPr>
          <w:p w:rsidR="007F6964" w:rsidRDefault="007F6964" w:rsidP="003C1EC4">
            <w:pPr>
              <w:spacing w:before="100" w:after="54"/>
              <w:rPr>
                <w:sz w:val="24"/>
                <w:szCs w:val="24"/>
              </w:rPr>
            </w:pPr>
          </w:p>
        </w:tc>
        <w:tc>
          <w:tcPr>
            <w:tcW w:w="1680" w:type="dxa"/>
            <w:tcBorders>
              <w:top w:val="single" w:sz="6" w:space="0" w:color="000000"/>
              <w:left w:val="single" w:sz="6" w:space="0" w:color="000000"/>
              <w:bottom w:val="nil"/>
              <w:right w:val="nil"/>
            </w:tcBorders>
          </w:tcPr>
          <w:p w:rsidR="007F6964" w:rsidRDefault="007F6964" w:rsidP="003C1EC4">
            <w:pPr>
              <w:spacing w:before="100" w:after="54"/>
              <w:rPr>
                <w:sz w:val="24"/>
                <w:szCs w:val="24"/>
              </w:rPr>
            </w:pPr>
          </w:p>
        </w:tc>
        <w:tc>
          <w:tcPr>
            <w:tcW w:w="1500" w:type="dxa"/>
            <w:tcBorders>
              <w:top w:val="single" w:sz="6" w:space="0" w:color="000000"/>
              <w:left w:val="single" w:sz="6" w:space="0" w:color="000000"/>
              <w:bottom w:val="nil"/>
              <w:right w:val="single" w:sz="6" w:space="0" w:color="000000"/>
            </w:tcBorders>
          </w:tcPr>
          <w:p w:rsidR="007F6964" w:rsidRDefault="007F6964" w:rsidP="003C1EC4">
            <w:pPr>
              <w:spacing w:before="100" w:after="54"/>
              <w:rPr>
                <w:sz w:val="24"/>
                <w:szCs w:val="24"/>
              </w:rPr>
            </w:pPr>
          </w:p>
        </w:tc>
      </w:tr>
      <w:tr w:rsidR="007F6964" w:rsidTr="003C1EC4">
        <w:trPr>
          <w:cantSplit/>
        </w:trPr>
        <w:tc>
          <w:tcPr>
            <w:tcW w:w="1980" w:type="dxa"/>
            <w:tcBorders>
              <w:top w:val="single" w:sz="6" w:space="0" w:color="000000"/>
              <w:left w:val="single" w:sz="6" w:space="0" w:color="000000"/>
              <w:bottom w:val="nil"/>
              <w:right w:val="nil"/>
            </w:tcBorders>
          </w:tcPr>
          <w:p w:rsidR="007F6964" w:rsidRDefault="007F6964" w:rsidP="003C1EC4">
            <w:pPr>
              <w:spacing w:before="100" w:after="54"/>
              <w:rPr>
                <w:sz w:val="24"/>
                <w:szCs w:val="24"/>
              </w:rPr>
            </w:pPr>
            <w:r>
              <w:rPr>
                <w:rFonts w:ascii="Albertus" w:hAnsi="Albertus" w:cs="Albertus"/>
                <w:b/>
                <w:bCs/>
                <w:sz w:val="24"/>
                <w:szCs w:val="24"/>
              </w:rPr>
              <w:t>Project Initiation</w:t>
            </w:r>
          </w:p>
        </w:tc>
        <w:tc>
          <w:tcPr>
            <w:tcW w:w="1680" w:type="dxa"/>
            <w:tcBorders>
              <w:top w:val="single" w:sz="6" w:space="0" w:color="000000"/>
              <w:left w:val="single" w:sz="6" w:space="0" w:color="000000"/>
              <w:bottom w:val="nil"/>
              <w:right w:val="nil"/>
            </w:tcBorders>
            <w:vAlign w:val="center"/>
          </w:tcPr>
          <w:p w:rsidR="007F6964" w:rsidRDefault="007F6964" w:rsidP="003C1EC4">
            <w:pPr>
              <w:spacing w:before="100" w:after="54"/>
              <w:rPr>
                <w:sz w:val="24"/>
                <w:szCs w:val="24"/>
              </w:rPr>
            </w:pPr>
            <w:r>
              <w:rPr>
                <w:rFonts w:ascii="Albertus" w:hAnsi="Albertus" w:cs="Albertus"/>
                <w:b/>
                <w:bCs/>
                <w:sz w:val="24"/>
                <w:szCs w:val="24"/>
              </w:rPr>
              <w:t>3,700</w:t>
            </w:r>
          </w:p>
        </w:tc>
        <w:tc>
          <w:tcPr>
            <w:tcW w:w="1710" w:type="dxa"/>
            <w:tcBorders>
              <w:top w:val="single" w:sz="6" w:space="0" w:color="000000"/>
              <w:left w:val="single" w:sz="6" w:space="0" w:color="000000"/>
              <w:bottom w:val="nil"/>
              <w:right w:val="nil"/>
            </w:tcBorders>
            <w:vAlign w:val="center"/>
          </w:tcPr>
          <w:p w:rsidR="007F6964" w:rsidRDefault="007F6964" w:rsidP="003C1EC4">
            <w:pPr>
              <w:spacing w:before="100" w:after="54"/>
              <w:rPr>
                <w:sz w:val="24"/>
                <w:szCs w:val="24"/>
              </w:rPr>
            </w:pPr>
            <w:r>
              <w:rPr>
                <w:rFonts w:ascii="Albertus" w:hAnsi="Albertus" w:cs="Albertus"/>
                <w:b/>
                <w:bCs/>
                <w:sz w:val="24"/>
                <w:szCs w:val="24"/>
              </w:rPr>
              <w:t>1</w:t>
            </w:r>
          </w:p>
        </w:tc>
        <w:tc>
          <w:tcPr>
            <w:tcW w:w="1650" w:type="dxa"/>
            <w:tcBorders>
              <w:top w:val="single" w:sz="6" w:space="0" w:color="000000"/>
              <w:left w:val="single" w:sz="6" w:space="0" w:color="000000"/>
              <w:bottom w:val="nil"/>
              <w:right w:val="nil"/>
            </w:tcBorders>
            <w:vAlign w:val="center"/>
          </w:tcPr>
          <w:p w:rsidR="007F6964" w:rsidRDefault="007F6964" w:rsidP="003C1EC4">
            <w:pPr>
              <w:spacing w:before="100" w:after="54"/>
              <w:rPr>
                <w:sz w:val="24"/>
                <w:szCs w:val="24"/>
              </w:rPr>
            </w:pPr>
            <w:r>
              <w:rPr>
                <w:rFonts w:ascii="Albertus" w:hAnsi="Albertus" w:cs="Albertus"/>
                <w:b/>
                <w:bCs/>
                <w:sz w:val="24"/>
                <w:szCs w:val="24"/>
              </w:rPr>
              <w:t>3,700</w:t>
            </w:r>
          </w:p>
        </w:tc>
        <w:tc>
          <w:tcPr>
            <w:tcW w:w="1860" w:type="dxa"/>
            <w:tcBorders>
              <w:top w:val="single" w:sz="6" w:space="0" w:color="000000"/>
              <w:left w:val="single" w:sz="6" w:space="0" w:color="000000"/>
              <w:bottom w:val="nil"/>
              <w:right w:val="nil"/>
            </w:tcBorders>
            <w:vAlign w:val="center"/>
          </w:tcPr>
          <w:p w:rsidR="007F6964" w:rsidRDefault="007F6964" w:rsidP="003C1EC4">
            <w:pPr>
              <w:spacing w:before="100" w:after="54"/>
              <w:rPr>
                <w:sz w:val="24"/>
                <w:szCs w:val="24"/>
              </w:rPr>
            </w:pPr>
            <w:r>
              <w:rPr>
                <w:rFonts w:ascii="Albertus" w:hAnsi="Albertus" w:cs="Albertus"/>
                <w:b/>
                <w:bCs/>
                <w:sz w:val="24"/>
                <w:szCs w:val="24"/>
              </w:rPr>
              <w:t>4.6</w:t>
            </w:r>
          </w:p>
        </w:tc>
        <w:tc>
          <w:tcPr>
            <w:tcW w:w="1500" w:type="dxa"/>
            <w:tcBorders>
              <w:top w:val="single" w:sz="6" w:space="0" w:color="000000"/>
              <w:left w:val="single" w:sz="6" w:space="0" w:color="000000"/>
              <w:bottom w:val="nil"/>
              <w:right w:val="nil"/>
            </w:tcBorders>
            <w:vAlign w:val="center"/>
          </w:tcPr>
          <w:p w:rsidR="007F6964" w:rsidRDefault="007F6964" w:rsidP="003C1EC4">
            <w:pPr>
              <w:spacing w:before="100" w:after="54"/>
              <w:rPr>
                <w:sz w:val="24"/>
                <w:szCs w:val="24"/>
              </w:rPr>
            </w:pPr>
            <w:r>
              <w:rPr>
                <w:rFonts w:ascii="Albertus" w:hAnsi="Albertus" w:cs="Albertus"/>
                <w:b/>
                <w:bCs/>
                <w:sz w:val="24"/>
                <w:szCs w:val="24"/>
              </w:rPr>
              <w:t>17,020</w:t>
            </w:r>
          </w:p>
        </w:tc>
        <w:tc>
          <w:tcPr>
            <w:tcW w:w="1680" w:type="dxa"/>
            <w:tcBorders>
              <w:top w:val="single" w:sz="6" w:space="0" w:color="000000"/>
              <w:left w:val="single" w:sz="6" w:space="0" w:color="000000"/>
              <w:bottom w:val="nil"/>
              <w:right w:val="nil"/>
            </w:tcBorders>
            <w:vAlign w:val="center"/>
          </w:tcPr>
          <w:p w:rsidR="007F6964" w:rsidRDefault="007F6964" w:rsidP="003C1EC4">
            <w:pPr>
              <w:spacing w:before="100" w:after="54"/>
              <w:rPr>
                <w:sz w:val="24"/>
                <w:szCs w:val="24"/>
              </w:rPr>
            </w:pPr>
            <w:r>
              <w:rPr>
                <w:rFonts w:ascii="Albertus" w:hAnsi="Albertus" w:cs="Albertus"/>
                <w:b/>
                <w:bCs/>
                <w:sz w:val="24"/>
                <w:szCs w:val="24"/>
              </w:rPr>
              <w:t>$140.53</w:t>
            </w:r>
          </w:p>
        </w:tc>
        <w:tc>
          <w:tcPr>
            <w:tcW w:w="1500" w:type="dxa"/>
            <w:tcBorders>
              <w:top w:val="single" w:sz="6" w:space="0" w:color="000000"/>
              <w:left w:val="single" w:sz="6" w:space="0" w:color="000000"/>
              <w:bottom w:val="nil"/>
              <w:right w:val="single" w:sz="6" w:space="0" w:color="000000"/>
            </w:tcBorders>
            <w:vAlign w:val="center"/>
          </w:tcPr>
          <w:p w:rsidR="007F6964" w:rsidRDefault="007F6964" w:rsidP="003C1EC4">
            <w:pPr>
              <w:spacing w:before="100" w:after="54"/>
              <w:jc w:val="right"/>
              <w:rPr>
                <w:sz w:val="24"/>
                <w:szCs w:val="24"/>
              </w:rPr>
            </w:pPr>
            <w:r>
              <w:rPr>
                <w:rFonts w:ascii="Albertus" w:hAnsi="Albertus" w:cs="Albertus"/>
                <w:b/>
                <w:bCs/>
                <w:sz w:val="24"/>
                <w:szCs w:val="24"/>
              </w:rPr>
              <w:t>$519,961</w:t>
            </w:r>
          </w:p>
        </w:tc>
      </w:tr>
      <w:tr w:rsidR="007F6964" w:rsidTr="003C1EC4">
        <w:trPr>
          <w:cantSplit/>
        </w:trPr>
        <w:tc>
          <w:tcPr>
            <w:tcW w:w="1980" w:type="dxa"/>
            <w:tcBorders>
              <w:top w:val="single" w:sz="6" w:space="0" w:color="000000"/>
              <w:left w:val="single" w:sz="6" w:space="0" w:color="000000"/>
              <w:bottom w:val="nil"/>
              <w:right w:val="nil"/>
            </w:tcBorders>
          </w:tcPr>
          <w:p w:rsidR="007F6964" w:rsidRDefault="007F6964" w:rsidP="003C1EC4">
            <w:pPr>
              <w:spacing w:before="100" w:after="54"/>
              <w:rPr>
                <w:sz w:val="24"/>
                <w:szCs w:val="24"/>
              </w:rPr>
            </w:pPr>
            <w:r>
              <w:rPr>
                <w:rFonts w:ascii="Albertus" w:hAnsi="Albertus" w:cs="Albertus"/>
                <w:b/>
                <w:bCs/>
                <w:sz w:val="24"/>
                <w:szCs w:val="24"/>
              </w:rPr>
              <w:t>Financial Report</w:t>
            </w:r>
          </w:p>
        </w:tc>
        <w:tc>
          <w:tcPr>
            <w:tcW w:w="1680" w:type="dxa"/>
            <w:tcBorders>
              <w:top w:val="single" w:sz="6" w:space="0" w:color="000000"/>
              <w:left w:val="single" w:sz="6" w:space="0" w:color="000000"/>
              <w:bottom w:val="nil"/>
              <w:right w:val="nil"/>
            </w:tcBorders>
            <w:vAlign w:val="center"/>
          </w:tcPr>
          <w:p w:rsidR="007F6964" w:rsidRDefault="007F6964" w:rsidP="003C1EC4">
            <w:pPr>
              <w:spacing w:before="100" w:after="54"/>
              <w:rPr>
                <w:sz w:val="24"/>
                <w:szCs w:val="24"/>
              </w:rPr>
            </w:pPr>
            <w:r>
              <w:rPr>
                <w:rFonts w:ascii="Albertus" w:hAnsi="Albertus" w:cs="Albertus"/>
                <w:b/>
                <w:bCs/>
                <w:sz w:val="24"/>
                <w:szCs w:val="24"/>
              </w:rPr>
              <w:t>8,700</w:t>
            </w:r>
          </w:p>
        </w:tc>
        <w:tc>
          <w:tcPr>
            <w:tcW w:w="1710" w:type="dxa"/>
            <w:tcBorders>
              <w:top w:val="single" w:sz="6" w:space="0" w:color="000000"/>
              <w:left w:val="single" w:sz="6" w:space="0" w:color="000000"/>
              <w:bottom w:val="nil"/>
              <w:right w:val="nil"/>
            </w:tcBorders>
            <w:vAlign w:val="center"/>
          </w:tcPr>
          <w:p w:rsidR="007F6964" w:rsidRDefault="007F6964" w:rsidP="003C1EC4">
            <w:pPr>
              <w:spacing w:before="100" w:after="54"/>
              <w:rPr>
                <w:sz w:val="24"/>
                <w:szCs w:val="24"/>
              </w:rPr>
            </w:pPr>
            <w:r>
              <w:rPr>
                <w:rFonts w:ascii="Albertus" w:hAnsi="Albertus" w:cs="Albertus"/>
                <w:b/>
                <w:bCs/>
                <w:sz w:val="24"/>
                <w:szCs w:val="24"/>
              </w:rPr>
              <w:t>1</w:t>
            </w:r>
          </w:p>
        </w:tc>
        <w:tc>
          <w:tcPr>
            <w:tcW w:w="1650" w:type="dxa"/>
            <w:tcBorders>
              <w:top w:val="single" w:sz="6" w:space="0" w:color="000000"/>
              <w:left w:val="single" w:sz="6" w:space="0" w:color="000000"/>
              <w:bottom w:val="nil"/>
              <w:right w:val="nil"/>
            </w:tcBorders>
            <w:vAlign w:val="center"/>
          </w:tcPr>
          <w:p w:rsidR="007F6964" w:rsidRDefault="007F6964" w:rsidP="003C1EC4">
            <w:pPr>
              <w:spacing w:before="100" w:after="54"/>
              <w:rPr>
                <w:sz w:val="24"/>
                <w:szCs w:val="24"/>
              </w:rPr>
            </w:pPr>
            <w:r>
              <w:rPr>
                <w:rFonts w:ascii="Albertus" w:hAnsi="Albertus" w:cs="Albertus"/>
                <w:b/>
                <w:bCs/>
                <w:sz w:val="24"/>
                <w:szCs w:val="24"/>
              </w:rPr>
              <w:t>8,700</w:t>
            </w:r>
          </w:p>
        </w:tc>
        <w:tc>
          <w:tcPr>
            <w:tcW w:w="1860" w:type="dxa"/>
            <w:tcBorders>
              <w:top w:val="single" w:sz="6" w:space="0" w:color="000000"/>
              <w:left w:val="single" w:sz="6" w:space="0" w:color="000000"/>
              <w:bottom w:val="nil"/>
              <w:right w:val="nil"/>
            </w:tcBorders>
            <w:vAlign w:val="center"/>
          </w:tcPr>
          <w:p w:rsidR="007F6964" w:rsidRDefault="007F6964" w:rsidP="003C1EC4">
            <w:pPr>
              <w:spacing w:before="100" w:after="54"/>
              <w:rPr>
                <w:sz w:val="24"/>
                <w:szCs w:val="24"/>
              </w:rPr>
            </w:pPr>
            <w:r>
              <w:rPr>
                <w:rFonts w:ascii="Albertus" w:hAnsi="Albertus" w:cs="Albertus"/>
                <w:b/>
                <w:bCs/>
                <w:sz w:val="24"/>
                <w:szCs w:val="24"/>
              </w:rPr>
              <w:t>1.4</w:t>
            </w:r>
          </w:p>
        </w:tc>
        <w:tc>
          <w:tcPr>
            <w:tcW w:w="1500" w:type="dxa"/>
            <w:tcBorders>
              <w:top w:val="single" w:sz="6" w:space="0" w:color="000000"/>
              <w:left w:val="single" w:sz="6" w:space="0" w:color="000000"/>
              <w:bottom w:val="nil"/>
              <w:right w:val="nil"/>
            </w:tcBorders>
            <w:vAlign w:val="center"/>
          </w:tcPr>
          <w:p w:rsidR="007F6964" w:rsidRPr="00BD5ECD" w:rsidRDefault="007F6964" w:rsidP="003C1EC4">
            <w:pPr>
              <w:spacing w:before="100" w:after="54"/>
              <w:rPr>
                <w:b/>
                <w:sz w:val="24"/>
                <w:szCs w:val="24"/>
              </w:rPr>
            </w:pPr>
            <w:r>
              <w:rPr>
                <w:b/>
                <w:sz w:val="24"/>
                <w:szCs w:val="24"/>
              </w:rPr>
              <w:t>12,180</w:t>
            </w:r>
          </w:p>
        </w:tc>
        <w:tc>
          <w:tcPr>
            <w:tcW w:w="1680" w:type="dxa"/>
            <w:tcBorders>
              <w:top w:val="single" w:sz="6" w:space="0" w:color="000000"/>
              <w:left w:val="single" w:sz="6" w:space="0" w:color="000000"/>
              <w:bottom w:val="nil"/>
              <w:right w:val="nil"/>
            </w:tcBorders>
            <w:vAlign w:val="center"/>
          </w:tcPr>
          <w:p w:rsidR="007F6964" w:rsidRDefault="007F6964" w:rsidP="003C1EC4">
            <w:pPr>
              <w:spacing w:before="100" w:after="54"/>
              <w:rPr>
                <w:sz w:val="24"/>
                <w:szCs w:val="24"/>
              </w:rPr>
            </w:pPr>
            <w:r>
              <w:rPr>
                <w:rFonts w:ascii="Albertus" w:hAnsi="Albertus" w:cs="Albertus"/>
                <w:b/>
                <w:bCs/>
                <w:sz w:val="24"/>
                <w:szCs w:val="24"/>
              </w:rPr>
              <w:t>$22.97</w:t>
            </w:r>
          </w:p>
        </w:tc>
        <w:tc>
          <w:tcPr>
            <w:tcW w:w="1500" w:type="dxa"/>
            <w:tcBorders>
              <w:top w:val="single" w:sz="6" w:space="0" w:color="000000"/>
              <w:left w:val="single" w:sz="6" w:space="0" w:color="000000"/>
              <w:bottom w:val="nil"/>
              <w:right w:val="single" w:sz="6" w:space="0" w:color="000000"/>
            </w:tcBorders>
            <w:vAlign w:val="center"/>
          </w:tcPr>
          <w:p w:rsidR="007F6964" w:rsidRDefault="007F6964" w:rsidP="003C1EC4">
            <w:pPr>
              <w:spacing w:before="100" w:after="54"/>
              <w:jc w:val="right"/>
              <w:rPr>
                <w:sz w:val="24"/>
                <w:szCs w:val="24"/>
              </w:rPr>
            </w:pPr>
            <w:r>
              <w:rPr>
                <w:rFonts w:ascii="Albertus" w:hAnsi="Albertus" w:cs="Albertus"/>
                <w:b/>
                <w:bCs/>
                <w:sz w:val="24"/>
                <w:szCs w:val="24"/>
              </w:rPr>
              <w:t>$199,839</w:t>
            </w:r>
          </w:p>
        </w:tc>
      </w:tr>
      <w:tr w:rsidR="007F6964" w:rsidTr="003C1EC4">
        <w:trPr>
          <w:cantSplit/>
        </w:trPr>
        <w:tc>
          <w:tcPr>
            <w:tcW w:w="1980" w:type="dxa"/>
            <w:tcBorders>
              <w:top w:val="single" w:sz="6" w:space="0" w:color="000000"/>
              <w:left w:val="single" w:sz="6" w:space="0" w:color="000000"/>
              <w:bottom w:val="nil"/>
              <w:right w:val="nil"/>
            </w:tcBorders>
          </w:tcPr>
          <w:p w:rsidR="007F6964" w:rsidRDefault="007F6964" w:rsidP="003C1EC4">
            <w:pPr>
              <w:spacing w:before="100" w:after="54"/>
              <w:rPr>
                <w:sz w:val="24"/>
                <w:szCs w:val="24"/>
              </w:rPr>
            </w:pPr>
            <w:r>
              <w:rPr>
                <w:rFonts w:ascii="Albertus" w:hAnsi="Albertus" w:cs="Albertus"/>
                <w:b/>
                <w:bCs/>
                <w:sz w:val="24"/>
                <w:szCs w:val="24"/>
              </w:rPr>
              <w:t xml:space="preserve">Progress Report </w:t>
            </w:r>
          </w:p>
        </w:tc>
        <w:tc>
          <w:tcPr>
            <w:tcW w:w="1680" w:type="dxa"/>
            <w:tcBorders>
              <w:top w:val="single" w:sz="6" w:space="0" w:color="000000"/>
              <w:left w:val="single" w:sz="6" w:space="0" w:color="000000"/>
              <w:bottom w:val="nil"/>
              <w:right w:val="nil"/>
            </w:tcBorders>
            <w:vAlign w:val="center"/>
          </w:tcPr>
          <w:p w:rsidR="007F6964" w:rsidRDefault="007F6964" w:rsidP="003C1EC4">
            <w:pPr>
              <w:spacing w:before="100" w:after="54"/>
              <w:rPr>
                <w:sz w:val="24"/>
                <w:szCs w:val="24"/>
              </w:rPr>
            </w:pPr>
            <w:r>
              <w:rPr>
                <w:rFonts w:ascii="Albertus" w:hAnsi="Albertus" w:cs="Albertus"/>
                <w:b/>
                <w:bCs/>
                <w:sz w:val="24"/>
                <w:szCs w:val="24"/>
              </w:rPr>
              <w:t>8,700</w:t>
            </w:r>
          </w:p>
        </w:tc>
        <w:tc>
          <w:tcPr>
            <w:tcW w:w="1710" w:type="dxa"/>
            <w:tcBorders>
              <w:top w:val="single" w:sz="6" w:space="0" w:color="000000"/>
              <w:left w:val="single" w:sz="6" w:space="0" w:color="000000"/>
              <w:bottom w:val="nil"/>
              <w:right w:val="nil"/>
            </w:tcBorders>
            <w:vAlign w:val="center"/>
          </w:tcPr>
          <w:p w:rsidR="007F6964" w:rsidRDefault="007F6964" w:rsidP="003C1EC4">
            <w:pPr>
              <w:spacing w:before="100" w:after="54"/>
              <w:rPr>
                <w:sz w:val="24"/>
                <w:szCs w:val="24"/>
              </w:rPr>
            </w:pPr>
            <w:r>
              <w:rPr>
                <w:rFonts w:ascii="Albertus" w:hAnsi="Albertus" w:cs="Albertus"/>
                <w:b/>
                <w:bCs/>
                <w:sz w:val="24"/>
                <w:szCs w:val="24"/>
              </w:rPr>
              <w:t>1</w:t>
            </w:r>
          </w:p>
        </w:tc>
        <w:tc>
          <w:tcPr>
            <w:tcW w:w="1650" w:type="dxa"/>
            <w:tcBorders>
              <w:top w:val="single" w:sz="6" w:space="0" w:color="000000"/>
              <w:left w:val="single" w:sz="6" w:space="0" w:color="000000"/>
              <w:bottom w:val="nil"/>
              <w:right w:val="nil"/>
            </w:tcBorders>
            <w:vAlign w:val="center"/>
          </w:tcPr>
          <w:p w:rsidR="007F6964" w:rsidRDefault="007F6964" w:rsidP="003C1EC4">
            <w:pPr>
              <w:spacing w:before="100" w:after="54"/>
              <w:rPr>
                <w:sz w:val="24"/>
                <w:szCs w:val="24"/>
              </w:rPr>
            </w:pPr>
            <w:r>
              <w:rPr>
                <w:rFonts w:ascii="Albertus" w:hAnsi="Albertus" w:cs="Albertus"/>
                <w:b/>
                <w:bCs/>
                <w:sz w:val="24"/>
                <w:szCs w:val="24"/>
              </w:rPr>
              <w:t>8,700</w:t>
            </w:r>
          </w:p>
        </w:tc>
        <w:tc>
          <w:tcPr>
            <w:tcW w:w="1860" w:type="dxa"/>
            <w:tcBorders>
              <w:top w:val="single" w:sz="6" w:space="0" w:color="000000"/>
              <w:left w:val="single" w:sz="6" w:space="0" w:color="000000"/>
              <w:bottom w:val="nil"/>
              <w:right w:val="nil"/>
            </w:tcBorders>
            <w:vAlign w:val="center"/>
          </w:tcPr>
          <w:p w:rsidR="007F6964" w:rsidRDefault="007F6964" w:rsidP="003C1EC4">
            <w:pPr>
              <w:spacing w:before="100" w:after="54"/>
              <w:rPr>
                <w:sz w:val="24"/>
                <w:szCs w:val="24"/>
              </w:rPr>
            </w:pPr>
            <w:r>
              <w:rPr>
                <w:rFonts w:ascii="Albertus" w:hAnsi="Albertus" w:cs="Albertus"/>
                <w:b/>
                <w:bCs/>
                <w:sz w:val="24"/>
                <w:szCs w:val="24"/>
              </w:rPr>
              <w:t>3.8</w:t>
            </w:r>
          </w:p>
        </w:tc>
        <w:tc>
          <w:tcPr>
            <w:tcW w:w="1500" w:type="dxa"/>
            <w:tcBorders>
              <w:top w:val="single" w:sz="6" w:space="0" w:color="000000"/>
              <w:left w:val="single" w:sz="6" w:space="0" w:color="000000"/>
              <w:bottom w:val="nil"/>
              <w:right w:val="nil"/>
            </w:tcBorders>
            <w:vAlign w:val="center"/>
          </w:tcPr>
          <w:p w:rsidR="007F6964" w:rsidRDefault="007F6964" w:rsidP="003C1EC4">
            <w:pPr>
              <w:spacing w:before="100" w:after="54"/>
              <w:rPr>
                <w:sz w:val="24"/>
                <w:szCs w:val="24"/>
              </w:rPr>
            </w:pPr>
            <w:r>
              <w:rPr>
                <w:rFonts w:ascii="Albertus" w:hAnsi="Albertus" w:cs="Albertus"/>
                <w:b/>
                <w:bCs/>
                <w:sz w:val="24"/>
                <w:szCs w:val="24"/>
              </w:rPr>
              <w:t>33,060</w:t>
            </w:r>
          </w:p>
        </w:tc>
        <w:tc>
          <w:tcPr>
            <w:tcW w:w="1680" w:type="dxa"/>
            <w:tcBorders>
              <w:top w:val="single" w:sz="6" w:space="0" w:color="000000"/>
              <w:left w:val="single" w:sz="6" w:space="0" w:color="000000"/>
              <w:bottom w:val="nil"/>
              <w:right w:val="nil"/>
            </w:tcBorders>
            <w:vAlign w:val="center"/>
          </w:tcPr>
          <w:p w:rsidR="007F6964" w:rsidRDefault="007F6964" w:rsidP="003C1EC4">
            <w:pPr>
              <w:spacing w:before="100" w:after="54"/>
              <w:rPr>
                <w:sz w:val="24"/>
                <w:szCs w:val="24"/>
              </w:rPr>
            </w:pPr>
            <w:r>
              <w:rPr>
                <w:rFonts w:ascii="Albertus" w:hAnsi="Albertus" w:cs="Albertus"/>
                <w:b/>
                <w:bCs/>
                <w:sz w:val="24"/>
                <w:szCs w:val="24"/>
              </w:rPr>
              <w:t>$93.09</w:t>
            </w:r>
          </w:p>
        </w:tc>
        <w:tc>
          <w:tcPr>
            <w:tcW w:w="1500" w:type="dxa"/>
            <w:tcBorders>
              <w:top w:val="single" w:sz="6" w:space="0" w:color="000000"/>
              <w:left w:val="single" w:sz="6" w:space="0" w:color="000000"/>
              <w:bottom w:val="nil"/>
              <w:right w:val="single" w:sz="6" w:space="0" w:color="000000"/>
            </w:tcBorders>
            <w:vAlign w:val="center"/>
          </w:tcPr>
          <w:p w:rsidR="007F6964" w:rsidRDefault="007F6964" w:rsidP="003C1EC4">
            <w:pPr>
              <w:spacing w:before="100" w:after="54"/>
              <w:jc w:val="right"/>
              <w:rPr>
                <w:sz w:val="24"/>
                <w:szCs w:val="24"/>
              </w:rPr>
            </w:pPr>
            <w:r>
              <w:rPr>
                <w:rFonts w:ascii="Albertus" w:hAnsi="Albertus" w:cs="Albertus"/>
                <w:b/>
                <w:bCs/>
                <w:sz w:val="24"/>
                <w:szCs w:val="24"/>
              </w:rPr>
              <w:t>$809,883</w:t>
            </w:r>
          </w:p>
        </w:tc>
      </w:tr>
      <w:tr w:rsidR="007F6964" w:rsidTr="003C1EC4">
        <w:trPr>
          <w:cantSplit/>
        </w:trPr>
        <w:tc>
          <w:tcPr>
            <w:tcW w:w="1980" w:type="dxa"/>
            <w:tcBorders>
              <w:top w:val="single" w:sz="6" w:space="0" w:color="000000"/>
              <w:left w:val="single" w:sz="6" w:space="0" w:color="000000"/>
              <w:bottom w:val="nil"/>
              <w:right w:val="nil"/>
            </w:tcBorders>
          </w:tcPr>
          <w:p w:rsidR="007F6964" w:rsidRDefault="007F6964" w:rsidP="003C1EC4">
            <w:pPr>
              <w:spacing w:before="100" w:after="54"/>
              <w:rPr>
                <w:rFonts w:ascii="Albertus" w:hAnsi="Albertus" w:cs="Albertus"/>
                <w:b/>
                <w:bCs/>
                <w:sz w:val="24"/>
                <w:szCs w:val="24"/>
              </w:rPr>
            </w:pPr>
            <w:r>
              <w:rPr>
                <w:rFonts w:ascii="Albertus" w:hAnsi="Albertus" w:cs="Albertus"/>
                <w:b/>
                <w:bCs/>
                <w:sz w:val="24"/>
                <w:szCs w:val="24"/>
              </w:rPr>
              <w:t>Final Report</w:t>
            </w:r>
          </w:p>
        </w:tc>
        <w:tc>
          <w:tcPr>
            <w:tcW w:w="1680" w:type="dxa"/>
            <w:tcBorders>
              <w:top w:val="single" w:sz="6" w:space="0" w:color="000000"/>
              <w:left w:val="single" w:sz="6" w:space="0" w:color="000000"/>
              <w:bottom w:val="nil"/>
              <w:right w:val="nil"/>
            </w:tcBorders>
            <w:vAlign w:val="center"/>
          </w:tcPr>
          <w:p w:rsidR="007F6964" w:rsidRDefault="007F6964" w:rsidP="003C1EC4">
            <w:pPr>
              <w:spacing w:before="100" w:after="54"/>
              <w:rPr>
                <w:rFonts w:ascii="Albertus" w:hAnsi="Albertus" w:cs="Albertus"/>
                <w:b/>
                <w:bCs/>
                <w:sz w:val="24"/>
                <w:szCs w:val="24"/>
              </w:rPr>
            </w:pPr>
            <w:r>
              <w:rPr>
                <w:rFonts w:ascii="Albertus" w:hAnsi="Albertus" w:cs="Albertus"/>
                <w:b/>
                <w:bCs/>
                <w:sz w:val="24"/>
                <w:szCs w:val="24"/>
              </w:rPr>
              <w:t>2,800</w:t>
            </w:r>
          </w:p>
        </w:tc>
        <w:tc>
          <w:tcPr>
            <w:tcW w:w="1710" w:type="dxa"/>
            <w:tcBorders>
              <w:top w:val="single" w:sz="6" w:space="0" w:color="000000"/>
              <w:left w:val="single" w:sz="6" w:space="0" w:color="000000"/>
              <w:bottom w:val="nil"/>
              <w:right w:val="nil"/>
            </w:tcBorders>
            <w:vAlign w:val="center"/>
          </w:tcPr>
          <w:p w:rsidR="007F6964" w:rsidRDefault="007F6964" w:rsidP="003C1EC4">
            <w:pPr>
              <w:spacing w:before="100" w:after="54"/>
              <w:rPr>
                <w:rFonts w:ascii="Albertus" w:hAnsi="Albertus" w:cs="Albertus"/>
                <w:b/>
                <w:bCs/>
                <w:sz w:val="24"/>
                <w:szCs w:val="24"/>
              </w:rPr>
            </w:pPr>
            <w:r>
              <w:rPr>
                <w:rFonts w:ascii="Albertus" w:hAnsi="Albertus" w:cs="Albertus"/>
                <w:b/>
                <w:bCs/>
                <w:sz w:val="24"/>
                <w:szCs w:val="24"/>
              </w:rPr>
              <w:t>1</w:t>
            </w:r>
          </w:p>
        </w:tc>
        <w:tc>
          <w:tcPr>
            <w:tcW w:w="1650" w:type="dxa"/>
            <w:tcBorders>
              <w:top w:val="single" w:sz="6" w:space="0" w:color="000000"/>
              <w:left w:val="single" w:sz="6" w:space="0" w:color="000000"/>
              <w:bottom w:val="nil"/>
              <w:right w:val="nil"/>
            </w:tcBorders>
            <w:vAlign w:val="center"/>
          </w:tcPr>
          <w:p w:rsidR="007F6964" w:rsidRDefault="007F6964" w:rsidP="003C1EC4">
            <w:pPr>
              <w:spacing w:before="100" w:after="54"/>
              <w:rPr>
                <w:rFonts w:ascii="Albertus" w:hAnsi="Albertus" w:cs="Albertus"/>
                <w:b/>
                <w:bCs/>
                <w:sz w:val="24"/>
                <w:szCs w:val="24"/>
              </w:rPr>
            </w:pPr>
            <w:r>
              <w:rPr>
                <w:rFonts w:ascii="Albertus" w:hAnsi="Albertus" w:cs="Albertus"/>
                <w:b/>
                <w:bCs/>
                <w:sz w:val="24"/>
                <w:szCs w:val="24"/>
              </w:rPr>
              <w:t>2,800</w:t>
            </w:r>
          </w:p>
        </w:tc>
        <w:tc>
          <w:tcPr>
            <w:tcW w:w="1860" w:type="dxa"/>
            <w:tcBorders>
              <w:top w:val="single" w:sz="6" w:space="0" w:color="000000"/>
              <w:left w:val="single" w:sz="6" w:space="0" w:color="000000"/>
              <w:bottom w:val="nil"/>
              <w:right w:val="nil"/>
            </w:tcBorders>
            <w:vAlign w:val="center"/>
          </w:tcPr>
          <w:p w:rsidR="007F6964" w:rsidRDefault="007F6964" w:rsidP="003C1EC4">
            <w:pPr>
              <w:spacing w:before="100" w:after="54"/>
              <w:rPr>
                <w:rFonts w:ascii="Albertus" w:hAnsi="Albertus" w:cs="Albertus"/>
                <w:b/>
                <w:bCs/>
                <w:sz w:val="24"/>
                <w:szCs w:val="24"/>
              </w:rPr>
            </w:pPr>
            <w:r>
              <w:rPr>
                <w:rFonts w:ascii="Albertus" w:hAnsi="Albertus" w:cs="Albertus"/>
                <w:b/>
                <w:bCs/>
                <w:sz w:val="24"/>
                <w:szCs w:val="24"/>
              </w:rPr>
              <w:t>3.8</w:t>
            </w:r>
          </w:p>
        </w:tc>
        <w:tc>
          <w:tcPr>
            <w:tcW w:w="1500" w:type="dxa"/>
            <w:tcBorders>
              <w:top w:val="single" w:sz="6" w:space="0" w:color="000000"/>
              <w:left w:val="single" w:sz="6" w:space="0" w:color="000000"/>
              <w:bottom w:val="nil"/>
              <w:right w:val="nil"/>
            </w:tcBorders>
            <w:vAlign w:val="center"/>
          </w:tcPr>
          <w:p w:rsidR="007F6964" w:rsidRDefault="007F6964" w:rsidP="003C1EC4">
            <w:pPr>
              <w:spacing w:before="100" w:after="54"/>
              <w:rPr>
                <w:rFonts w:ascii="Albertus" w:hAnsi="Albertus" w:cs="Albertus"/>
                <w:b/>
                <w:bCs/>
                <w:sz w:val="24"/>
                <w:szCs w:val="24"/>
              </w:rPr>
            </w:pPr>
            <w:r>
              <w:rPr>
                <w:rFonts w:ascii="Albertus" w:hAnsi="Albertus" w:cs="Albertus"/>
                <w:b/>
                <w:bCs/>
                <w:sz w:val="24"/>
                <w:szCs w:val="24"/>
              </w:rPr>
              <w:t>10,640</w:t>
            </w:r>
          </w:p>
        </w:tc>
        <w:tc>
          <w:tcPr>
            <w:tcW w:w="1680" w:type="dxa"/>
            <w:tcBorders>
              <w:top w:val="single" w:sz="6" w:space="0" w:color="000000"/>
              <w:left w:val="single" w:sz="6" w:space="0" w:color="000000"/>
              <w:bottom w:val="nil"/>
              <w:right w:val="nil"/>
            </w:tcBorders>
            <w:vAlign w:val="center"/>
          </w:tcPr>
          <w:p w:rsidR="007F6964" w:rsidRDefault="007F6964" w:rsidP="003C1EC4">
            <w:pPr>
              <w:spacing w:before="100" w:after="54"/>
              <w:rPr>
                <w:rFonts w:ascii="Albertus" w:hAnsi="Albertus" w:cs="Albertus"/>
                <w:b/>
                <w:bCs/>
                <w:sz w:val="24"/>
                <w:szCs w:val="24"/>
              </w:rPr>
            </w:pPr>
            <w:r>
              <w:rPr>
                <w:rFonts w:ascii="Albertus" w:hAnsi="Albertus" w:cs="Albertus"/>
                <w:b/>
                <w:bCs/>
                <w:sz w:val="24"/>
                <w:szCs w:val="24"/>
              </w:rPr>
              <w:t>$93.09</w:t>
            </w:r>
          </w:p>
        </w:tc>
        <w:tc>
          <w:tcPr>
            <w:tcW w:w="1500" w:type="dxa"/>
            <w:tcBorders>
              <w:top w:val="single" w:sz="6" w:space="0" w:color="000000"/>
              <w:left w:val="single" w:sz="6" w:space="0" w:color="000000"/>
              <w:bottom w:val="nil"/>
              <w:right w:val="single" w:sz="6" w:space="0" w:color="000000"/>
            </w:tcBorders>
            <w:vAlign w:val="center"/>
          </w:tcPr>
          <w:p w:rsidR="007F6964" w:rsidRDefault="007F6964" w:rsidP="003C1EC4">
            <w:pPr>
              <w:spacing w:before="100" w:after="54"/>
              <w:jc w:val="right"/>
              <w:rPr>
                <w:rFonts w:ascii="Albertus" w:hAnsi="Albertus" w:cs="Albertus"/>
                <w:b/>
                <w:bCs/>
                <w:sz w:val="24"/>
                <w:szCs w:val="24"/>
              </w:rPr>
            </w:pPr>
            <w:r>
              <w:rPr>
                <w:rFonts w:ascii="Albertus" w:hAnsi="Albertus" w:cs="Albertus"/>
                <w:b/>
                <w:bCs/>
                <w:sz w:val="24"/>
                <w:szCs w:val="24"/>
              </w:rPr>
              <w:t>$260,652</w:t>
            </w:r>
          </w:p>
        </w:tc>
      </w:tr>
      <w:tr w:rsidR="007F6964" w:rsidTr="003C1EC4">
        <w:trPr>
          <w:cantSplit/>
        </w:trPr>
        <w:tc>
          <w:tcPr>
            <w:tcW w:w="1980" w:type="dxa"/>
            <w:tcBorders>
              <w:top w:val="single" w:sz="6" w:space="0" w:color="000000"/>
              <w:left w:val="single" w:sz="6" w:space="0" w:color="000000"/>
              <w:bottom w:val="single" w:sz="6" w:space="0" w:color="000000"/>
              <w:right w:val="nil"/>
            </w:tcBorders>
          </w:tcPr>
          <w:p w:rsidR="007F6964" w:rsidRDefault="007F6964" w:rsidP="003C1EC4">
            <w:pPr>
              <w:spacing w:before="100" w:after="54"/>
              <w:rPr>
                <w:sz w:val="24"/>
                <w:szCs w:val="24"/>
              </w:rPr>
            </w:pPr>
            <w:r>
              <w:rPr>
                <w:rFonts w:ascii="Albertus" w:hAnsi="Albertus" w:cs="Albertus"/>
                <w:b/>
                <w:bCs/>
                <w:sz w:val="24"/>
                <w:szCs w:val="24"/>
              </w:rPr>
              <w:t>Totals</w:t>
            </w:r>
          </w:p>
        </w:tc>
        <w:tc>
          <w:tcPr>
            <w:tcW w:w="1680" w:type="dxa"/>
            <w:tcBorders>
              <w:top w:val="single" w:sz="6" w:space="0" w:color="000000"/>
              <w:left w:val="single" w:sz="6" w:space="0" w:color="000000"/>
              <w:bottom w:val="single" w:sz="6" w:space="0" w:color="000000"/>
              <w:right w:val="nil"/>
            </w:tcBorders>
            <w:vAlign w:val="center"/>
          </w:tcPr>
          <w:p w:rsidR="007F6964" w:rsidRDefault="007F6964" w:rsidP="003C1EC4">
            <w:pPr>
              <w:spacing w:before="100" w:after="54"/>
              <w:rPr>
                <w:sz w:val="24"/>
                <w:szCs w:val="24"/>
              </w:rPr>
            </w:pPr>
          </w:p>
        </w:tc>
        <w:tc>
          <w:tcPr>
            <w:tcW w:w="1710" w:type="dxa"/>
            <w:tcBorders>
              <w:top w:val="single" w:sz="6" w:space="0" w:color="000000"/>
              <w:left w:val="single" w:sz="6" w:space="0" w:color="000000"/>
              <w:bottom w:val="single" w:sz="6" w:space="0" w:color="000000"/>
              <w:right w:val="nil"/>
            </w:tcBorders>
            <w:vAlign w:val="center"/>
          </w:tcPr>
          <w:p w:rsidR="007F6964" w:rsidRDefault="007F6964" w:rsidP="003C1EC4">
            <w:pPr>
              <w:spacing w:before="100" w:after="54"/>
              <w:rPr>
                <w:sz w:val="24"/>
                <w:szCs w:val="24"/>
              </w:rPr>
            </w:pPr>
          </w:p>
        </w:tc>
        <w:tc>
          <w:tcPr>
            <w:tcW w:w="1650" w:type="dxa"/>
            <w:tcBorders>
              <w:top w:val="single" w:sz="6" w:space="0" w:color="000000"/>
              <w:left w:val="single" w:sz="6" w:space="0" w:color="000000"/>
              <w:bottom w:val="single" w:sz="6" w:space="0" w:color="000000"/>
              <w:right w:val="nil"/>
            </w:tcBorders>
            <w:vAlign w:val="center"/>
          </w:tcPr>
          <w:p w:rsidR="007F6964" w:rsidRPr="007F6964" w:rsidRDefault="007F6964" w:rsidP="003C1EC4">
            <w:pPr>
              <w:spacing w:before="100" w:after="54"/>
              <w:rPr>
                <w:b/>
                <w:sz w:val="24"/>
                <w:szCs w:val="24"/>
              </w:rPr>
            </w:pPr>
          </w:p>
        </w:tc>
        <w:tc>
          <w:tcPr>
            <w:tcW w:w="1860" w:type="dxa"/>
            <w:tcBorders>
              <w:top w:val="single" w:sz="6" w:space="0" w:color="000000"/>
              <w:left w:val="single" w:sz="6" w:space="0" w:color="000000"/>
              <w:bottom w:val="single" w:sz="6" w:space="0" w:color="000000"/>
              <w:right w:val="nil"/>
            </w:tcBorders>
            <w:vAlign w:val="center"/>
          </w:tcPr>
          <w:p w:rsidR="007F6964" w:rsidRPr="007F6964" w:rsidRDefault="007F6964" w:rsidP="003C1EC4">
            <w:pPr>
              <w:spacing w:before="100" w:after="54"/>
              <w:rPr>
                <w:b/>
                <w:sz w:val="24"/>
                <w:szCs w:val="24"/>
              </w:rPr>
            </w:pPr>
            <w:r w:rsidRPr="007F6964">
              <w:rPr>
                <w:b/>
                <w:sz w:val="24"/>
                <w:szCs w:val="24"/>
              </w:rPr>
              <w:t>13.6</w:t>
            </w:r>
          </w:p>
        </w:tc>
        <w:tc>
          <w:tcPr>
            <w:tcW w:w="1500" w:type="dxa"/>
            <w:tcBorders>
              <w:top w:val="single" w:sz="6" w:space="0" w:color="000000"/>
              <w:left w:val="single" w:sz="6" w:space="0" w:color="000000"/>
              <w:bottom w:val="single" w:sz="6" w:space="0" w:color="000000"/>
              <w:right w:val="nil"/>
            </w:tcBorders>
            <w:vAlign w:val="center"/>
          </w:tcPr>
          <w:p w:rsidR="007F6964" w:rsidRDefault="007F6964" w:rsidP="003C1EC4">
            <w:pPr>
              <w:spacing w:before="100" w:after="54"/>
              <w:rPr>
                <w:sz w:val="24"/>
                <w:szCs w:val="24"/>
              </w:rPr>
            </w:pPr>
            <w:r>
              <w:rPr>
                <w:rFonts w:ascii="Albertus" w:hAnsi="Albertus" w:cs="Albertus"/>
                <w:b/>
                <w:bCs/>
                <w:sz w:val="24"/>
                <w:szCs w:val="24"/>
              </w:rPr>
              <w:t>72,900</w:t>
            </w:r>
          </w:p>
        </w:tc>
        <w:tc>
          <w:tcPr>
            <w:tcW w:w="1680" w:type="dxa"/>
            <w:tcBorders>
              <w:top w:val="single" w:sz="6" w:space="0" w:color="000000"/>
              <w:left w:val="single" w:sz="6" w:space="0" w:color="000000"/>
              <w:bottom w:val="single" w:sz="6" w:space="0" w:color="000000"/>
              <w:right w:val="nil"/>
            </w:tcBorders>
            <w:vAlign w:val="center"/>
          </w:tcPr>
          <w:p w:rsidR="007F6964" w:rsidRDefault="007F6964" w:rsidP="003C1EC4">
            <w:pPr>
              <w:spacing w:before="100" w:after="54"/>
              <w:rPr>
                <w:sz w:val="24"/>
                <w:szCs w:val="24"/>
              </w:rPr>
            </w:pPr>
          </w:p>
        </w:tc>
        <w:tc>
          <w:tcPr>
            <w:tcW w:w="1500" w:type="dxa"/>
            <w:tcBorders>
              <w:top w:val="single" w:sz="6" w:space="0" w:color="000000"/>
              <w:left w:val="single" w:sz="6" w:space="0" w:color="000000"/>
              <w:bottom w:val="single" w:sz="6" w:space="0" w:color="000000"/>
              <w:right w:val="single" w:sz="6" w:space="0" w:color="000000"/>
            </w:tcBorders>
            <w:vAlign w:val="center"/>
          </w:tcPr>
          <w:p w:rsidR="007F6964" w:rsidRDefault="007F6964" w:rsidP="003C1EC4">
            <w:pPr>
              <w:spacing w:before="100" w:after="54"/>
              <w:jc w:val="right"/>
              <w:rPr>
                <w:sz w:val="24"/>
                <w:szCs w:val="24"/>
              </w:rPr>
            </w:pPr>
            <w:r>
              <w:rPr>
                <w:rFonts w:ascii="Albertus" w:hAnsi="Albertus" w:cs="Albertus"/>
                <w:b/>
                <w:bCs/>
                <w:sz w:val="24"/>
                <w:szCs w:val="24"/>
              </w:rPr>
              <w:t>$1,790,335</w:t>
            </w:r>
          </w:p>
        </w:tc>
      </w:tr>
    </w:tbl>
    <w:p w:rsidR="007F6964" w:rsidRDefault="007F6964" w:rsidP="000200BD">
      <w:pPr>
        <w:ind w:left="360"/>
        <w:rPr>
          <w:b/>
          <w:bCs/>
          <w:sz w:val="24"/>
          <w:szCs w:val="24"/>
        </w:rPr>
      </w:pPr>
    </w:p>
    <w:p w:rsidR="000200BD" w:rsidRDefault="000200BD" w:rsidP="000200BD">
      <w:pPr>
        <w:rPr>
          <w:rFonts w:ascii="Arial" w:hAnsi="Arial" w:cs="Arial"/>
          <w:b/>
          <w:bCs/>
          <w:sz w:val="24"/>
          <w:szCs w:val="24"/>
        </w:rPr>
      </w:pPr>
    </w:p>
    <w:p w:rsidR="000200BD" w:rsidRDefault="000200BD" w:rsidP="000200BD">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p>
    <w:p w:rsidR="000200BD" w:rsidRDefault="000200BD" w:rsidP="000200BD">
      <w:pPr>
        <w:rPr>
          <w:rFonts w:ascii="Arial" w:hAnsi="Arial" w:cs="Arial"/>
          <w:b/>
          <w:bCs/>
          <w:sz w:val="24"/>
          <w:szCs w:val="24"/>
        </w:rPr>
      </w:pPr>
    </w:p>
    <w:p w:rsidR="000200BD" w:rsidRDefault="000200BD" w:rsidP="000200BD">
      <w:pPr>
        <w:rPr>
          <w:sz w:val="24"/>
          <w:szCs w:val="24"/>
        </w:rPr>
        <w:sectPr w:rsidR="000200BD">
          <w:headerReference w:type="default" r:id="rId15"/>
          <w:pgSz w:w="15840" w:h="12240" w:orient="landscape"/>
          <w:pgMar w:top="720" w:right="360" w:bottom="720" w:left="360" w:header="1440" w:footer="1440" w:gutter="0"/>
          <w:cols w:space="720"/>
        </w:sectPr>
      </w:pPr>
    </w:p>
    <w:p w:rsidR="00BA25EA" w:rsidRDefault="000200BD" w:rsidP="00223A05">
      <w:pPr>
        <w:rPr>
          <w:bCs/>
          <w:sz w:val="24"/>
          <w:szCs w:val="24"/>
        </w:rPr>
      </w:pPr>
      <w:r w:rsidRPr="00BA25EA">
        <w:rPr>
          <w:bCs/>
          <w:sz w:val="24"/>
          <w:szCs w:val="24"/>
        </w:rPr>
        <w:lastRenderedPageBreak/>
        <w:t xml:space="preserve">13. </w:t>
      </w:r>
      <w:r w:rsidR="00BA25EA">
        <w:rPr>
          <w:bCs/>
          <w:sz w:val="24"/>
          <w:szCs w:val="24"/>
        </w:rPr>
        <w:t>CAPITAL/STARTUP COST</w:t>
      </w:r>
    </w:p>
    <w:p w:rsidR="00BA25EA" w:rsidRDefault="00BA25EA" w:rsidP="00223A05">
      <w:pPr>
        <w:rPr>
          <w:bCs/>
          <w:sz w:val="24"/>
          <w:szCs w:val="24"/>
        </w:rPr>
      </w:pPr>
    </w:p>
    <w:p w:rsidR="000200BD" w:rsidRPr="00BA25EA" w:rsidRDefault="000200BD" w:rsidP="00223A05">
      <w:pPr>
        <w:rPr>
          <w:bCs/>
          <w:sz w:val="24"/>
          <w:szCs w:val="24"/>
        </w:rPr>
      </w:pPr>
      <w:r w:rsidRPr="00BA25EA">
        <w:rPr>
          <w:bCs/>
          <w:sz w:val="24"/>
          <w:szCs w:val="24"/>
        </w:rPr>
        <w:t>Provide an estimate for the total annual cost burden to respondents or record-keeper resulting from the collection of information</w:t>
      </w:r>
      <w:r w:rsidR="005C6B37" w:rsidRPr="00BA25EA">
        <w:rPr>
          <w:bCs/>
          <w:sz w:val="24"/>
          <w:szCs w:val="24"/>
        </w:rPr>
        <w:t>, (</w:t>
      </w:r>
      <w:r w:rsidRPr="00BA25EA">
        <w:rPr>
          <w:bCs/>
          <w:sz w:val="24"/>
          <w:szCs w:val="24"/>
        </w:rPr>
        <w:t xml:space="preserve">Do not include the cost of any hour burden shown in Items 12 and 14).   The cost estimate should be split into two components: (a) a total capital and start-up cost component (annualized over its expected useful life) and (b) a total operation and maintenance and purchase of services component. </w:t>
      </w:r>
    </w:p>
    <w:p w:rsidR="000200BD" w:rsidRDefault="000200BD" w:rsidP="00223A05">
      <w:pPr>
        <w:rPr>
          <w:b/>
          <w:bCs/>
          <w:sz w:val="24"/>
          <w:szCs w:val="24"/>
        </w:rPr>
      </w:pPr>
    </w:p>
    <w:p w:rsidR="000200BD" w:rsidRDefault="000200BD" w:rsidP="00223A05">
      <w:pPr>
        <w:rPr>
          <w:b/>
          <w:bCs/>
          <w:sz w:val="24"/>
          <w:szCs w:val="24"/>
        </w:rPr>
      </w:pPr>
      <w:r>
        <w:rPr>
          <w:sz w:val="24"/>
          <w:szCs w:val="24"/>
        </w:rPr>
        <w:t xml:space="preserve">There are no capital/start-up or ongoing operation/maintenance costs </w:t>
      </w:r>
      <w:r w:rsidR="00D01B27">
        <w:rPr>
          <w:sz w:val="24"/>
          <w:szCs w:val="24"/>
        </w:rPr>
        <w:t xml:space="preserve">to respondents </w:t>
      </w:r>
      <w:r>
        <w:rPr>
          <w:sz w:val="24"/>
          <w:szCs w:val="24"/>
        </w:rPr>
        <w:t xml:space="preserve">associated with the </w:t>
      </w:r>
      <w:r w:rsidR="00177C7F">
        <w:rPr>
          <w:sz w:val="24"/>
          <w:szCs w:val="24"/>
        </w:rPr>
        <w:t>REEPORT</w:t>
      </w:r>
      <w:r>
        <w:rPr>
          <w:sz w:val="24"/>
          <w:szCs w:val="24"/>
        </w:rPr>
        <w:t xml:space="preserve"> information collection.</w:t>
      </w:r>
    </w:p>
    <w:p w:rsidR="000200BD" w:rsidRDefault="000200BD" w:rsidP="00223A05">
      <w:pPr>
        <w:rPr>
          <w:b/>
          <w:bCs/>
          <w:sz w:val="24"/>
          <w:szCs w:val="24"/>
        </w:rPr>
      </w:pPr>
    </w:p>
    <w:p w:rsidR="00BA25EA" w:rsidRDefault="000200BD" w:rsidP="00223A05">
      <w:pPr>
        <w:rPr>
          <w:bCs/>
          <w:sz w:val="24"/>
          <w:szCs w:val="24"/>
        </w:rPr>
      </w:pPr>
      <w:r w:rsidRPr="00BA25EA">
        <w:rPr>
          <w:bCs/>
          <w:sz w:val="24"/>
          <w:szCs w:val="24"/>
        </w:rPr>
        <w:t xml:space="preserve">14. </w:t>
      </w:r>
      <w:r w:rsidR="00BA25EA">
        <w:rPr>
          <w:bCs/>
          <w:sz w:val="24"/>
          <w:szCs w:val="24"/>
        </w:rPr>
        <w:t>ANNUAL COST TO FEDERAL GOVERNMENT</w:t>
      </w:r>
    </w:p>
    <w:p w:rsidR="00BA25EA" w:rsidRDefault="00BA25EA" w:rsidP="00223A05">
      <w:pPr>
        <w:rPr>
          <w:bCs/>
          <w:sz w:val="24"/>
          <w:szCs w:val="24"/>
        </w:rPr>
      </w:pPr>
    </w:p>
    <w:p w:rsidR="000200BD" w:rsidRPr="00BA25EA" w:rsidRDefault="000200BD" w:rsidP="00223A05">
      <w:pPr>
        <w:rPr>
          <w:bCs/>
          <w:sz w:val="24"/>
          <w:szCs w:val="24"/>
        </w:rPr>
      </w:pPr>
      <w:r w:rsidRPr="00BA25EA">
        <w:rPr>
          <w:bCs/>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0200BD" w:rsidRDefault="000200BD" w:rsidP="00223A05">
      <w:pPr>
        <w:rPr>
          <w:b/>
          <w:bCs/>
          <w:sz w:val="24"/>
          <w:szCs w:val="24"/>
        </w:rPr>
      </w:pPr>
    </w:p>
    <w:p w:rsidR="00586DBE" w:rsidRPr="00586DBE" w:rsidRDefault="00586DBE" w:rsidP="00586DBE">
      <w:pPr>
        <w:rPr>
          <w:sz w:val="24"/>
          <w:szCs w:val="24"/>
        </w:rPr>
      </w:pPr>
      <w:r w:rsidRPr="00586DBE">
        <w:rPr>
          <w:sz w:val="24"/>
          <w:szCs w:val="24"/>
        </w:rPr>
        <w:t>For fiscal year 201</w:t>
      </w:r>
      <w:r w:rsidR="00D01B27">
        <w:rPr>
          <w:sz w:val="24"/>
          <w:szCs w:val="24"/>
        </w:rPr>
        <w:t>6</w:t>
      </w:r>
      <w:r w:rsidRPr="00586DBE">
        <w:rPr>
          <w:sz w:val="24"/>
          <w:szCs w:val="24"/>
        </w:rPr>
        <w:t xml:space="preserve">, </w:t>
      </w:r>
      <w:r w:rsidR="00177C7F">
        <w:rPr>
          <w:sz w:val="24"/>
          <w:szCs w:val="24"/>
        </w:rPr>
        <w:t>REEPORT</w:t>
      </w:r>
      <w:r w:rsidRPr="00586DBE">
        <w:rPr>
          <w:sz w:val="24"/>
          <w:szCs w:val="24"/>
        </w:rPr>
        <w:t xml:space="preserve"> is supported by </w:t>
      </w:r>
      <w:r w:rsidR="00D44865">
        <w:rPr>
          <w:sz w:val="24"/>
          <w:szCs w:val="24"/>
        </w:rPr>
        <w:t>5</w:t>
      </w:r>
      <w:r w:rsidR="00D01B27">
        <w:rPr>
          <w:sz w:val="24"/>
          <w:szCs w:val="24"/>
        </w:rPr>
        <w:t xml:space="preserve"> FTE positions</w:t>
      </w:r>
      <w:r w:rsidRPr="00586DBE">
        <w:rPr>
          <w:sz w:val="24"/>
          <w:szCs w:val="24"/>
        </w:rPr>
        <w:t xml:space="preserve"> devoted exclusively to system maintenance, data management, </w:t>
      </w:r>
      <w:r w:rsidR="00D01B27">
        <w:rPr>
          <w:sz w:val="24"/>
          <w:szCs w:val="24"/>
        </w:rPr>
        <w:t xml:space="preserve">and </w:t>
      </w:r>
      <w:r w:rsidRPr="00586DBE">
        <w:rPr>
          <w:sz w:val="24"/>
          <w:szCs w:val="24"/>
        </w:rPr>
        <w:t>retrieval and reporting services for this data collection.  This effort is supported by a budget of</w:t>
      </w:r>
      <w:r w:rsidR="00D01B27">
        <w:rPr>
          <w:sz w:val="24"/>
          <w:szCs w:val="24"/>
        </w:rPr>
        <w:t xml:space="preserve"> approximately</w:t>
      </w:r>
      <w:r w:rsidRPr="00586DBE">
        <w:rPr>
          <w:sz w:val="24"/>
          <w:szCs w:val="24"/>
        </w:rPr>
        <w:t xml:space="preserve"> $1,</w:t>
      </w:r>
      <w:r w:rsidR="00BC213A">
        <w:rPr>
          <w:sz w:val="24"/>
          <w:szCs w:val="24"/>
        </w:rPr>
        <w:t>200,000</w:t>
      </w:r>
      <w:r w:rsidRPr="00586DBE">
        <w:rPr>
          <w:sz w:val="24"/>
          <w:szCs w:val="24"/>
        </w:rPr>
        <w:t xml:space="preserve">. Approximately 65% of the budget is expended on direct personnel costs and other human resources in support of the collection.  The remaining 35% supports all other costs of program operation, including maintenance, operation, upgrading of equipment (hardware &amp; software), materials and supplies, travel, training, etc.  This is the only identifiable cost to the federal government for the </w:t>
      </w:r>
      <w:r w:rsidR="00177C7F">
        <w:rPr>
          <w:sz w:val="24"/>
          <w:szCs w:val="24"/>
        </w:rPr>
        <w:t>REEPORT</w:t>
      </w:r>
      <w:r w:rsidRPr="00586DBE">
        <w:rPr>
          <w:sz w:val="24"/>
          <w:szCs w:val="24"/>
        </w:rPr>
        <w:t xml:space="preserve"> data collection that would not be incurred without this collection effort.</w:t>
      </w:r>
    </w:p>
    <w:p w:rsidR="000200BD" w:rsidRPr="00BA25EA" w:rsidRDefault="000200BD" w:rsidP="00223A05">
      <w:pPr>
        <w:rPr>
          <w:bCs/>
          <w:sz w:val="24"/>
          <w:szCs w:val="24"/>
        </w:rPr>
      </w:pPr>
    </w:p>
    <w:p w:rsidR="00BA25EA" w:rsidRDefault="000200BD" w:rsidP="00223A05">
      <w:pPr>
        <w:rPr>
          <w:bCs/>
          <w:sz w:val="24"/>
          <w:szCs w:val="24"/>
        </w:rPr>
      </w:pPr>
      <w:r w:rsidRPr="00BA25EA">
        <w:rPr>
          <w:bCs/>
          <w:sz w:val="24"/>
          <w:szCs w:val="24"/>
        </w:rPr>
        <w:t xml:space="preserve">15. </w:t>
      </w:r>
      <w:r w:rsidR="00BA25EA">
        <w:rPr>
          <w:bCs/>
          <w:sz w:val="24"/>
          <w:szCs w:val="24"/>
        </w:rPr>
        <w:t>REASON FOR CHANGE IN BURDEN</w:t>
      </w:r>
    </w:p>
    <w:p w:rsidR="00BA25EA" w:rsidRDefault="00BA25EA" w:rsidP="00223A05">
      <w:pPr>
        <w:rPr>
          <w:bCs/>
          <w:sz w:val="24"/>
          <w:szCs w:val="24"/>
        </w:rPr>
      </w:pPr>
    </w:p>
    <w:p w:rsidR="000200BD" w:rsidRPr="00BA25EA" w:rsidRDefault="000200BD" w:rsidP="00223A05">
      <w:pPr>
        <w:rPr>
          <w:bCs/>
          <w:sz w:val="24"/>
          <w:szCs w:val="24"/>
        </w:rPr>
      </w:pPr>
      <w:r w:rsidRPr="00BA25EA">
        <w:rPr>
          <w:bCs/>
          <w:sz w:val="24"/>
          <w:szCs w:val="24"/>
        </w:rPr>
        <w:t xml:space="preserve">Explain the reasons for any program changes or adjustments reported in Items 13 or 14 of the OMB Form 83-I. </w:t>
      </w:r>
    </w:p>
    <w:p w:rsidR="000200BD" w:rsidRDefault="000200BD" w:rsidP="00223A05">
      <w:pPr>
        <w:rPr>
          <w:b/>
          <w:bCs/>
          <w:sz w:val="24"/>
          <w:szCs w:val="24"/>
        </w:rPr>
      </w:pPr>
    </w:p>
    <w:p w:rsidR="000200BD" w:rsidRDefault="00B32133" w:rsidP="00223A05">
      <w:pPr>
        <w:rPr>
          <w:bCs/>
          <w:sz w:val="24"/>
          <w:szCs w:val="24"/>
        </w:rPr>
      </w:pPr>
      <w:r w:rsidRPr="00B32133">
        <w:rPr>
          <w:bCs/>
          <w:sz w:val="24"/>
          <w:szCs w:val="24"/>
        </w:rPr>
        <w:t xml:space="preserve">There </w:t>
      </w:r>
      <w:r>
        <w:rPr>
          <w:bCs/>
          <w:sz w:val="24"/>
          <w:szCs w:val="24"/>
        </w:rPr>
        <w:t>is a minor overall increase in the tot</w:t>
      </w:r>
      <w:r w:rsidR="00D01B27">
        <w:rPr>
          <w:bCs/>
          <w:sz w:val="24"/>
          <w:szCs w:val="24"/>
        </w:rPr>
        <w:t xml:space="preserve">al annual burden as a result of: </w:t>
      </w:r>
      <w:r w:rsidR="00734B1A">
        <w:rPr>
          <w:bCs/>
          <w:sz w:val="24"/>
          <w:szCs w:val="24"/>
        </w:rPr>
        <w:t xml:space="preserve">1) </w:t>
      </w:r>
      <w:r>
        <w:rPr>
          <w:bCs/>
          <w:sz w:val="24"/>
          <w:szCs w:val="24"/>
        </w:rPr>
        <w:t>recalculatin</w:t>
      </w:r>
      <w:r w:rsidR="00D01B27">
        <w:rPr>
          <w:bCs/>
          <w:sz w:val="24"/>
          <w:szCs w:val="24"/>
        </w:rPr>
        <w:t xml:space="preserve">g the number of forms received and </w:t>
      </w:r>
      <w:r w:rsidR="00734B1A">
        <w:rPr>
          <w:bCs/>
          <w:sz w:val="24"/>
          <w:szCs w:val="24"/>
        </w:rPr>
        <w:t xml:space="preserve">2) </w:t>
      </w:r>
      <w:r w:rsidR="00D01B27">
        <w:rPr>
          <w:bCs/>
          <w:sz w:val="24"/>
          <w:szCs w:val="24"/>
        </w:rPr>
        <w:t>requiring a small additional percentage of time for respondents to collect and report on the additional data elements described in this request for revision.</w:t>
      </w:r>
      <w:r w:rsidR="00734B1A">
        <w:rPr>
          <w:bCs/>
          <w:sz w:val="24"/>
          <w:szCs w:val="24"/>
        </w:rPr>
        <w:t xml:space="preserve"> The</w:t>
      </w:r>
      <w:r>
        <w:rPr>
          <w:bCs/>
          <w:sz w:val="24"/>
          <w:szCs w:val="24"/>
        </w:rPr>
        <w:t xml:space="preserve"> adjustment</w:t>
      </w:r>
      <w:r w:rsidR="00D01B27">
        <w:rPr>
          <w:bCs/>
          <w:sz w:val="24"/>
          <w:szCs w:val="24"/>
        </w:rPr>
        <w:t xml:space="preserve"> on recalculating the number of forms</w:t>
      </w:r>
      <w:r>
        <w:rPr>
          <w:bCs/>
          <w:sz w:val="24"/>
          <w:szCs w:val="24"/>
        </w:rPr>
        <w:t xml:space="preserve"> does not correlate directly </w:t>
      </w:r>
      <w:r w:rsidR="00D01B27">
        <w:rPr>
          <w:bCs/>
          <w:sz w:val="24"/>
          <w:szCs w:val="24"/>
        </w:rPr>
        <w:t>to any specific program changes</w:t>
      </w:r>
      <w:r>
        <w:rPr>
          <w:bCs/>
          <w:sz w:val="24"/>
          <w:szCs w:val="24"/>
        </w:rPr>
        <w:t xml:space="preserve"> but simply represent</w:t>
      </w:r>
      <w:r w:rsidR="00D01B27">
        <w:rPr>
          <w:bCs/>
          <w:sz w:val="24"/>
          <w:szCs w:val="24"/>
        </w:rPr>
        <w:t>s</w:t>
      </w:r>
      <w:r>
        <w:rPr>
          <w:bCs/>
          <w:sz w:val="24"/>
          <w:szCs w:val="24"/>
        </w:rPr>
        <w:t xml:space="preserve"> an adjustment in the volume of the various transactions NIFA has received</w:t>
      </w:r>
      <w:r w:rsidR="00734B1A">
        <w:rPr>
          <w:bCs/>
          <w:sz w:val="24"/>
          <w:szCs w:val="24"/>
        </w:rPr>
        <w:t xml:space="preserve"> based on the most recent completed fiscal year</w:t>
      </w:r>
      <w:r>
        <w:rPr>
          <w:bCs/>
          <w:sz w:val="24"/>
          <w:szCs w:val="24"/>
        </w:rPr>
        <w:t xml:space="preserve">. </w:t>
      </w:r>
      <w:r w:rsidR="00D01B27">
        <w:rPr>
          <w:bCs/>
          <w:sz w:val="24"/>
          <w:szCs w:val="24"/>
        </w:rPr>
        <w:t>The estimate of burden on the additional percentage of time for the added data elements was extrapolated from the already approv</w:t>
      </w:r>
      <w:r w:rsidR="00734B1A">
        <w:rPr>
          <w:bCs/>
          <w:sz w:val="24"/>
          <w:szCs w:val="24"/>
        </w:rPr>
        <w:t xml:space="preserve">ed </w:t>
      </w:r>
      <w:r w:rsidR="00D01B27">
        <w:rPr>
          <w:bCs/>
          <w:sz w:val="24"/>
          <w:szCs w:val="24"/>
        </w:rPr>
        <w:t xml:space="preserve">burden </w:t>
      </w:r>
      <w:r w:rsidR="00734B1A">
        <w:rPr>
          <w:bCs/>
          <w:sz w:val="24"/>
          <w:szCs w:val="24"/>
        </w:rPr>
        <w:t xml:space="preserve">estimates </w:t>
      </w:r>
      <w:r w:rsidR="00D01B27">
        <w:rPr>
          <w:bCs/>
          <w:sz w:val="24"/>
          <w:szCs w:val="24"/>
        </w:rPr>
        <w:t>of other</w:t>
      </w:r>
      <w:r w:rsidR="00734B1A">
        <w:rPr>
          <w:bCs/>
          <w:sz w:val="24"/>
          <w:szCs w:val="24"/>
        </w:rPr>
        <w:t>,</w:t>
      </w:r>
      <w:r w:rsidR="00D01B27">
        <w:rPr>
          <w:bCs/>
          <w:sz w:val="24"/>
          <w:szCs w:val="24"/>
        </w:rPr>
        <w:t xml:space="preserve"> similar data fields that are already a part of the </w:t>
      </w:r>
      <w:r w:rsidR="00734B1A">
        <w:rPr>
          <w:bCs/>
          <w:sz w:val="24"/>
          <w:szCs w:val="24"/>
        </w:rPr>
        <w:t xml:space="preserve">approved </w:t>
      </w:r>
      <w:r w:rsidR="00177C7F">
        <w:rPr>
          <w:bCs/>
          <w:sz w:val="24"/>
          <w:szCs w:val="24"/>
        </w:rPr>
        <w:t>REEPORT</w:t>
      </w:r>
      <w:r w:rsidR="00D01B27">
        <w:rPr>
          <w:bCs/>
          <w:sz w:val="24"/>
          <w:szCs w:val="24"/>
        </w:rPr>
        <w:t xml:space="preserve"> information collection. </w:t>
      </w:r>
    </w:p>
    <w:p w:rsidR="00DB48AA" w:rsidRPr="00223A05" w:rsidRDefault="00DB48AA" w:rsidP="00223A05">
      <w:pPr>
        <w:rPr>
          <w:b/>
          <w:bCs/>
          <w:sz w:val="24"/>
          <w:szCs w:val="24"/>
        </w:rPr>
      </w:pPr>
    </w:p>
    <w:p w:rsidR="00BA25EA" w:rsidRDefault="000200BD" w:rsidP="00223A05">
      <w:pPr>
        <w:rPr>
          <w:bCs/>
          <w:sz w:val="24"/>
          <w:szCs w:val="24"/>
        </w:rPr>
      </w:pPr>
      <w:r w:rsidRPr="00BA25EA">
        <w:rPr>
          <w:bCs/>
          <w:sz w:val="24"/>
          <w:szCs w:val="24"/>
        </w:rPr>
        <w:t xml:space="preserve">16. </w:t>
      </w:r>
      <w:r w:rsidR="00BA25EA">
        <w:rPr>
          <w:bCs/>
          <w:sz w:val="24"/>
          <w:szCs w:val="24"/>
        </w:rPr>
        <w:t>TABULATION, ANALYSIS AND PUBLICATION PLANS</w:t>
      </w:r>
    </w:p>
    <w:p w:rsidR="00BA25EA" w:rsidRDefault="00BA25EA" w:rsidP="00223A05">
      <w:pPr>
        <w:rPr>
          <w:bCs/>
          <w:sz w:val="24"/>
          <w:szCs w:val="24"/>
        </w:rPr>
      </w:pPr>
    </w:p>
    <w:p w:rsidR="000200BD" w:rsidRPr="00BA25EA" w:rsidRDefault="000200BD" w:rsidP="00223A05">
      <w:pPr>
        <w:rPr>
          <w:bCs/>
          <w:sz w:val="24"/>
          <w:szCs w:val="24"/>
        </w:rPr>
      </w:pPr>
      <w:r w:rsidRPr="00BA25EA">
        <w:rPr>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200BD" w:rsidRDefault="000200BD" w:rsidP="00223A05">
      <w:pPr>
        <w:rPr>
          <w:b/>
          <w:bCs/>
          <w:sz w:val="24"/>
          <w:szCs w:val="24"/>
        </w:rPr>
      </w:pPr>
    </w:p>
    <w:p w:rsidR="000200BD" w:rsidRDefault="000200BD" w:rsidP="00223A05">
      <w:pPr>
        <w:rPr>
          <w:b/>
          <w:bCs/>
          <w:sz w:val="24"/>
          <w:szCs w:val="24"/>
        </w:rPr>
      </w:pPr>
      <w:r>
        <w:rPr>
          <w:sz w:val="24"/>
          <w:szCs w:val="24"/>
        </w:rPr>
        <w:t xml:space="preserve">There are no planned or scheduled publications generated from </w:t>
      </w:r>
      <w:r w:rsidR="00177C7F">
        <w:rPr>
          <w:sz w:val="24"/>
          <w:szCs w:val="24"/>
        </w:rPr>
        <w:t>REEPORT</w:t>
      </w:r>
      <w:r>
        <w:rPr>
          <w:sz w:val="24"/>
          <w:szCs w:val="24"/>
        </w:rPr>
        <w:t xml:space="preserve"> information in the traditional concept.  However, information in the </w:t>
      </w:r>
      <w:r w:rsidR="00177C7F">
        <w:rPr>
          <w:sz w:val="24"/>
          <w:szCs w:val="24"/>
        </w:rPr>
        <w:t>REEPORT</w:t>
      </w:r>
      <w:r>
        <w:rPr>
          <w:sz w:val="24"/>
          <w:szCs w:val="24"/>
        </w:rPr>
        <w:t xml:space="preserve"> data collection is organized in a searchable database of elements supported through the </w:t>
      </w:r>
      <w:r w:rsidR="00734B1A">
        <w:rPr>
          <w:sz w:val="24"/>
          <w:szCs w:val="24"/>
        </w:rPr>
        <w:t xml:space="preserve">Project Initiation, </w:t>
      </w:r>
      <w:r w:rsidR="003101B5">
        <w:rPr>
          <w:sz w:val="24"/>
          <w:szCs w:val="24"/>
        </w:rPr>
        <w:t>Progress/Final Report</w:t>
      </w:r>
      <w:r w:rsidR="00734B1A">
        <w:rPr>
          <w:sz w:val="24"/>
          <w:szCs w:val="24"/>
        </w:rPr>
        <w:t>, and Financial Report</w:t>
      </w:r>
      <w:r w:rsidR="003101B5">
        <w:rPr>
          <w:sz w:val="24"/>
          <w:szCs w:val="24"/>
        </w:rPr>
        <w:t xml:space="preserve"> </w:t>
      </w:r>
      <w:r>
        <w:rPr>
          <w:sz w:val="24"/>
          <w:szCs w:val="24"/>
        </w:rPr>
        <w:t xml:space="preserve">input processes.  The primary database is available on the Internet and can be accessed by the public.  Various options and formats are available for selection and </w:t>
      </w:r>
      <w:r w:rsidR="00734B1A">
        <w:rPr>
          <w:sz w:val="24"/>
          <w:szCs w:val="24"/>
        </w:rPr>
        <w:t xml:space="preserve">output from three public websites: Data Gateway, </w:t>
      </w:r>
      <w:r>
        <w:rPr>
          <w:sz w:val="24"/>
          <w:szCs w:val="24"/>
        </w:rPr>
        <w:t>CRIS</w:t>
      </w:r>
      <w:r w:rsidR="00734B1A">
        <w:rPr>
          <w:sz w:val="24"/>
          <w:szCs w:val="24"/>
        </w:rPr>
        <w:t xml:space="preserve"> and REEIS as </w:t>
      </w:r>
      <w:r w:rsidR="00734B1A" w:rsidRPr="00734B1A">
        <w:rPr>
          <w:sz w:val="24"/>
          <w:szCs w:val="24"/>
        </w:rPr>
        <w:t>described in section two above</w:t>
      </w:r>
      <w:r w:rsidR="00734B1A">
        <w:rPr>
          <w:sz w:val="24"/>
          <w:szCs w:val="24"/>
        </w:rPr>
        <w:t xml:space="preserve">.  </w:t>
      </w:r>
      <w:r>
        <w:rPr>
          <w:sz w:val="24"/>
          <w:szCs w:val="24"/>
        </w:rPr>
        <w:t xml:space="preserve">Tables summarizing </w:t>
      </w:r>
      <w:r w:rsidR="003101B5">
        <w:rPr>
          <w:sz w:val="24"/>
          <w:szCs w:val="24"/>
        </w:rPr>
        <w:t>Financial Report</w:t>
      </w:r>
      <w:r>
        <w:rPr>
          <w:sz w:val="24"/>
          <w:szCs w:val="24"/>
        </w:rPr>
        <w:t xml:space="preserve"> data are </w:t>
      </w:r>
      <w:r w:rsidR="00734B1A">
        <w:rPr>
          <w:sz w:val="24"/>
          <w:szCs w:val="24"/>
        </w:rPr>
        <w:t xml:space="preserve">also </w:t>
      </w:r>
      <w:r>
        <w:rPr>
          <w:sz w:val="24"/>
          <w:szCs w:val="24"/>
        </w:rPr>
        <w:t>generated</w:t>
      </w:r>
      <w:r w:rsidR="00734B1A">
        <w:rPr>
          <w:sz w:val="24"/>
          <w:szCs w:val="24"/>
        </w:rPr>
        <w:t xml:space="preserve"> and posted for public consumption</w:t>
      </w:r>
      <w:r>
        <w:rPr>
          <w:sz w:val="24"/>
          <w:szCs w:val="24"/>
        </w:rPr>
        <w:t xml:space="preserve"> for each new fiscal year collected.  The tables are overall summaries, approved by the contributors for general release. The summaries are available through the CRIS </w:t>
      </w:r>
      <w:r w:rsidR="003101B5">
        <w:rPr>
          <w:sz w:val="24"/>
          <w:szCs w:val="24"/>
        </w:rPr>
        <w:t xml:space="preserve">and REEIS </w:t>
      </w:r>
      <w:r>
        <w:rPr>
          <w:sz w:val="24"/>
          <w:szCs w:val="24"/>
        </w:rPr>
        <w:t>web site</w:t>
      </w:r>
      <w:r w:rsidR="003101B5">
        <w:rPr>
          <w:sz w:val="24"/>
          <w:szCs w:val="24"/>
        </w:rPr>
        <w:t>s</w:t>
      </w:r>
      <w:r>
        <w:rPr>
          <w:sz w:val="24"/>
          <w:szCs w:val="24"/>
        </w:rPr>
        <w:t xml:space="preserve"> for access by the public.  The </w:t>
      </w:r>
      <w:r w:rsidR="003101B5">
        <w:rPr>
          <w:sz w:val="24"/>
          <w:szCs w:val="24"/>
        </w:rPr>
        <w:t>Planning, Accountability, and Reporting Staff at NIFA</w:t>
      </w:r>
      <w:r>
        <w:rPr>
          <w:sz w:val="24"/>
          <w:szCs w:val="24"/>
        </w:rPr>
        <w:t xml:space="preserve"> can </w:t>
      </w:r>
      <w:r w:rsidR="00734B1A">
        <w:rPr>
          <w:sz w:val="24"/>
          <w:szCs w:val="24"/>
        </w:rPr>
        <w:t xml:space="preserve">also </w:t>
      </w:r>
      <w:r>
        <w:rPr>
          <w:sz w:val="24"/>
          <w:szCs w:val="24"/>
        </w:rPr>
        <w:t xml:space="preserve">provide other types of summaries, standard reports and custom reports of more detailed levels of </w:t>
      </w:r>
      <w:r w:rsidR="00177C7F">
        <w:rPr>
          <w:sz w:val="24"/>
          <w:szCs w:val="24"/>
        </w:rPr>
        <w:t>REEPORT</w:t>
      </w:r>
      <w:r>
        <w:rPr>
          <w:sz w:val="24"/>
          <w:szCs w:val="24"/>
        </w:rPr>
        <w:t xml:space="preserve"> information by special r</w:t>
      </w:r>
      <w:r w:rsidR="00734B1A">
        <w:rPr>
          <w:sz w:val="24"/>
          <w:szCs w:val="24"/>
        </w:rPr>
        <w:t>equest.</w:t>
      </w:r>
    </w:p>
    <w:p w:rsidR="000200BD" w:rsidRDefault="000200BD" w:rsidP="00223A05">
      <w:pPr>
        <w:rPr>
          <w:b/>
          <w:bCs/>
          <w:sz w:val="24"/>
          <w:szCs w:val="24"/>
        </w:rPr>
      </w:pPr>
    </w:p>
    <w:p w:rsidR="00BA25EA" w:rsidRDefault="000200BD" w:rsidP="00223A05">
      <w:pPr>
        <w:rPr>
          <w:bCs/>
          <w:sz w:val="24"/>
          <w:szCs w:val="24"/>
        </w:rPr>
      </w:pPr>
      <w:r w:rsidRPr="00BA25EA">
        <w:rPr>
          <w:bCs/>
          <w:sz w:val="24"/>
          <w:szCs w:val="24"/>
        </w:rPr>
        <w:t xml:space="preserve">17. </w:t>
      </w:r>
      <w:r w:rsidR="00BA25EA">
        <w:rPr>
          <w:bCs/>
          <w:sz w:val="24"/>
          <w:szCs w:val="24"/>
        </w:rPr>
        <w:t>SEEKING APPROVAL TO NOT DISPLAY OMB APPROVAL DATE ON FORMS</w:t>
      </w:r>
    </w:p>
    <w:p w:rsidR="00BA25EA" w:rsidRDefault="00BA25EA" w:rsidP="00223A05">
      <w:pPr>
        <w:rPr>
          <w:bCs/>
          <w:sz w:val="24"/>
          <w:szCs w:val="24"/>
        </w:rPr>
      </w:pPr>
    </w:p>
    <w:p w:rsidR="000200BD" w:rsidRDefault="000200BD" w:rsidP="00223A05">
      <w:pPr>
        <w:rPr>
          <w:b/>
          <w:bCs/>
          <w:sz w:val="24"/>
          <w:szCs w:val="24"/>
        </w:rPr>
      </w:pPr>
      <w:r w:rsidRPr="00BA25EA">
        <w:rPr>
          <w:bCs/>
          <w:sz w:val="24"/>
          <w:szCs w:val="24"/>
        </w:rPr>
        <w:t>If seeking approval to not display the expiration date for OMB approval of the information collection, explain the reas</w:t>
      </w:r>
      <w:r w:rsidRPr="00734B1A">
        <w:rPr>
          <w:bCs/>
          <w:sz w:val="24"/>
          <w:szCs w:val="24"/>
        </w:rPr>
        <w:t>ons</w:t>
      </w:r>
      <w:r>
        <w:rPr>
          <w:b/>
          <w:bCs/>
          <w:sz w:val="24"/>
          <w:szCs w:val="24"/>
        </w:rPr>
        <w:t xml:space="preserve"> that display would be inappropriate.</w:t>
      </w:r>
    </w:p>
    <w:p w:rsidR="000200BD" w:rsidRDefault="000200BD" w:rsidP="00223A05">
      <w:pPr>
        <w:rPr>
          <w:b/>
          <w:bCs/>
          <w:sz w:val="24"/>
          <w:szCs w:val="24"/>
        </w:rPr>
      </w:pPr>
    </w:p>
    <w:p w:rsidR="000200BD" w:rsidRDefault="000200BD" w:rsidP="00223A05">
      <w:pPr>
        <w:rPr>
          <w:sz w:val="24"/>
          <w:szCs w:val="24"/>
        </w:rPr>
      </w:pPr>
      <w:r>
        <w:rPr>
          <w:sz w:val="24"/>
          <w:szCs w:val="24"/>
        </w:rPr>
        <w:t xml:space="preserve">There is no effort underway to seek approval not to display the expiration date for OMB approval of the information collection. </w:t>
      </w:r>
    </w:p>
    <w:p w:rsidR="000200BD" w:rsidRDefault="000200BD" w:rsidP="00223A05">
      <w:pPr>
        <w:rPr>
          <w:b/>
          <w:bCs/>
          <w:sz w:val="24"/>
          <w:szCs w:val="24"/>
        </w:rPr>
      </w:pPr>
    </w:p>
    <w:p w:rsidR="00BA25EA" w:rsidRDefault="000200BD" w:rsidP="00223A05">
      <w:pPr>
        <w:rPr>
          <w:bCs/>
          <w:sz w:val="24"/>
          <w:szCs w:val="24"/>
        </w:rPr>
      </w:pPr>
      <w:r w:rsidRPr="00BA25EA">
        <w:rPr>
          <w:bCs/>
          <w:sz w:val="24"/>
          <w:szCs w:val="24"/>
        </w:rPr>
        <w:t xml:space="preserve">18. </w:t>
      </w:r>
      <w:r w:rsidR="00BA25EA">
        <w:rPr>
          <w:bCs/>
          <w:sz w:val="24"/>
          <w:szCs w:val="24"/>
        </w:rPr>
        <w:t>EXCEPTION(S) TO THE CERTIFICATION STATEMENT</w:t>
      </w:r>
    </w:p>
    <w:p w:rsidR="00BA25EA" w:rsidRDefault="00BA25EA" w:rsidP="00223A05">
      <w:pPr>
        <w:rPr>
          <w:bCs/>
          <w:sz w:val="24"/>
          <w:szCs w:val="24"/>
        </w:rPr>
      </w:pPr>
    </w:p>
    <w:p w:rsidR="000200BD" w:rsidRPr="00BA25EA" w:rsidRDefault="000200BD" w:rsidP="00223A05">
      <w:pPr>
        <w:rPr>
          <w:bCs/>
          <w:sz w:val="24"/>
          <w:szCs w:val="24"/>
        </w:rPr>
      </w:pPr>
      <w:r w:rsidRPr="00BA25EA">
        <w:rPr>
          <w:bCs/>
          <w:sz w:val="24"/>
          <w:szCs w:val="24"/>
        </w:rPr>
        <w:t>Explain each exception to the certification statement identified in Item 19, "Certification for Paperwork Reduction Act Submissions," of OMB Form 83- I.</w:t>
      </w:r>
    </w:p>
    <w:p w:rsidR="000200BD" w:rsidRDefault="000200BD" w:rsidP="00223A05">
      <w:pPr>
        <w:rPr>
          <w:b/>
          <w:bCs/>
          <w:sz w:val="24"/>
          <w:szCs w:val="24"/>
        </w:rPr>
      </w:pPr>
    </w:p>
    <w:p w:rsidR="00074CFA" w:rsidRDefault="000200BD" w:rsidP="00141FC7">
      <w:pPr>
        <w:rPr>
          <w:sz w:val="24"/>
          <w:szCs w:val="24"/>
        </w:rPr>
      </w:pPr>
      <w:r>
        <w:rPr>
          <w:sz w:val="24"/>
          <w:szCs w:val="24"/>
        </w:rPr>
        <w:t xml:space="preserve">There are no exceptions to </w:t>
      </w:r>
      <w:smartTag w:uri="urn:schemas-microsoft-com:office:smarttags" w:element="PersonName">
        <w:r>
          <w:rPr>
            <w:sz w:val="24"/>
            <w:szCs w:val="24"/>
          </w:rPr>
          <w:t>the</w:t>
        </w:r>
      </w:smartTag>
      <w:r>
        <w:rPr>
          <w:sz w:val="24"/>
          <w:szCs w:val="24"/>
        </w:rPr>
        <w:t xml:space="preserve"> certification statement and hence, no explanation is required.</w:t>
      </w:r>
    </w:p>
    <w:p w:rsidR="00074CFA" w:rsidRPr="00074CFA" w:rsidRDefault="00074CFA" w:rsidP="00074CFA">
      <w:pPr>
        <w:rPr>
          <w:sz w:val="24"/>
          <w:szCs w:val="24"/>
        </w:rPr>
      </w:pPr>
    </w:p>
    <w:p w:rsidR="00AA2E46" w:rsidRPr="00F478F8" w:rsidRDefault="00AA2E46" w:rsidP="00AA2E46">
      <w:pPr>
        <w:pStyle w:val="Default"/>
        <w:rPr>
          <w:rFonts w:asciiTheme="minorHAnsi" w:hAnsiTheme="minorHAnsi" w:cs="Arial"/>
          <w:b/>
          <w:sz w:val="22"/>
          <w:szCs w:val="22"/>
        </w:rPr>
      </w:pPr>
    </w:p>
    <w:p w:rsidR="00AA2E46" w:rsidRPr="00F478F8" w:rsidRDefault="00AA2E46" w:rsidP="00AA2E46">
      <w:pPr>
        <w:pStyle w:val="Default"/>
        <w:rPr>
          <w:rFonts w:asciiTheme="minorHAnsi" w:hAnsiTheme="minorHAnsi" w:cs="Arial"/>
          <w:b/>
          <w:sz w:val="22"/>
          <w:szCs w:val="22"/>
        </w:rPr>
      </w:pPr>
    </w:p>
    <w:p w:rsidR="00AA2E46" w:rsidRPr="00F478F8" w:rsidRDefault="00AA2E46" w:rsidP="00AA2E46">
      <w:pPr>
        <w:pStyle w:val="Default"/>
        <w:rPr>
          <w:rFonts w:asciiTheme="minorHAnsi" w:hAnsiTheme="minorHAnsi" w:cs="Arial"/>
          <w:b/>
          <w:sz w:val="22"/>
          <w:szCs w:val="22"/>
        </w:rPr>
      </w:pPr>
    </w:p>
    <w:p w:rsidR="00AA2E46" w:rsidRPr="00F478F8" w:rsidRDefault="00AA2E46" w:rsidP="00AA2E46">
      <w:pPr>
        <w:pStyle w:val="Default"/>
        <w:rPr>
          <w:rFonts w:asciiTheme="minorHAnsi" w:hAnsiTheme="minorHAnsi" w:cs="Arial"/>
          <w:b/>
          <w:sz w:val="22"/>
          <w:szCs w:val="22"/>
        </w:rPr>
      </w:pPr>
    </w:p>
    <w:p w:rsidR="00AA2E46" w:rsidRPr="00F478F8" w:rsidRDefault="00AA2E46" w:rsidP="00AA2E46">
      <w:pPr>
        <w:pStyle w:val="Default"/>
        <w:rPr>
          <w:rFonts w:asciiTheme="minorHAnsi" w:hAnsiTheme="minorHAnsi" w:cs="Arial"/>
          <w:b/>
          <w:sz w:val="22"/>
          <w:szCs w:val="22"/>
        </w:rPr>
      </w:pPr>
    </w:p>
    <w:p w:rsidR="00AA2E46" w:rsidRPr="00F478F8" w:rsidRDefault="00AA2E46" w:rsidP="00AA2E46">
      <w:pPr>
        <w:pStyle w:val="Default"/>
        <w:rPr>
          <w:rFonts w:asciiTheme="minorHAnsi" w:hAnsiTheme="minorHAnsi" w:cs="Arial"/>
          <w:b/>
          <w:sz w:val="22"/>
          <w:szCs w:val="22"/>
        </w:rPr>
      </w:pPr>
    </w:p>
    <w:p w:rsidR="00AA2E46" w:rsidRPr="00F478F8" w:rsidRDefault="00AA2E46" w:rsidP="00AA2E46">
      <w:pPr>
        <w:pStyle w:val="Default"/>
        <w:rPr>
          <w:rFonts w:asciiTheme="minorHAnsi" w:hAnsiTheme="minorHAnsi" w:cs="Arial"/>
          <w:b/>
          <w:sz w:val="22"/>
          <w:szCs w:val="22"/>
        </w:rPr>
      </w:pPr>
    </w:p>
    <w:p w:rsidR="00074CFA" w:rsidRDefault="00074CFA" w:rsidP="00074CFA">
      <w:pPr>
        <w:rPr>
          <w:sz w:val="24"/>
          <w:szCs w:val="24"/>
        </w:rPr>
      </w:pPr>
    </w:p>
    <w:p w:rsidR="00383523" w:rsidRDefault="00074CFA" w:rsidP="00074CFA">
      <w:pPr>
        <w:tabs>
          <w:tab w:val="left" w:pos="1125"/>
        </w:tabs>
        <w:rPr>
          <w:sz w:val="24"/>
          <w:szCs w:val="24"/>
        </w:rPr>
      </w:pPr>
      <w:r>
        <w:rPr>
          <w:sz w:val="24"/>
          <w:szCs w:val="24"/>
        </w:rPr>
        <w:lastRenderedPageBreak/>
        <w:tab/>
      </w:r>
    </w:p>
    <w:p w:rsidR="00074CFA" w:rsidRPr="00074CFA" w:rsidRDefault="00074CFA" w:rsidP="00074CFA">
      <w:pPr>
        <w:tabs>
          <w:tab w:val="left" w:pos="1125"/>
        </w:tabs>
        <w:rPr>
          <w:sz w:val="24"/>
          <w:szCs w:val="24"/>
        </w:rPr>
      </w:pPr>
    </w:p>
    <w:sectPr w:rsidR="00074CFA" w:rsidRPr="00074CF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9F3" w:rsidRDefault="004679F3">
      <w:r>
        <w:separator/>
      </w:r>
    </w:p>
  </w:endnote>
  <w:endnote w:type="continuationSeparator" w:id="0">
    <w:p w:rsidR="004679F3" w:rsidRDefault="0046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bertu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9F3" w:rsidRDefault="004679F3">
      <w:r>
        <w:separator/>
      </w:r>
    </w:p>
  </w:footnote>
  <w:footnote w:type="continuationSeparator" w:id="0">
    <w:p w:rsidR="004679F3" w:rsidRDefault="00467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A92" w:rsidRDefault="00416A92">
    <w:pPr>
      <w:framePr w:wrap="notBeside" w:hAnchor="text" w:xAlign="right"/>
      <w:rPr>
        <w:sz w:val="24"/>
        <w:szCs w:val="24"/>
      </w:rPr>
    </w:pPr>
    <w:r>
      <w:rPr>
        <w:sz w:val="24"/>
        <w:szCs w:val="24"/>
      </w:rPr>
      <w:t xml:space="preserve">Page </w:t>
    </w:r>
    <w:r>
      <w:rPr>
        <w:sz w:val="24"/>
        <w:szCs w:val="24"/>
      </w:rPr>
      <w:fldChar w:fldCharType="begin"/>
    </w:r>
    <w:r>
      <w:rPr>
        <w:sz w:val="24"/>
        <w:szCs w:val="24"/>
      </w:rPr>
      <w:instrText xml:space="preserve"> PAGE  </w:instrText>
    </w:r>
    <w:r>
      <w:rPr>
        <w:sz w:val="24"/>
        <w:szCs w:val="24"/>
      </w:rPr>
      <w:fldChar w:fldCharType="separate"/>
    </w:r>
    <w:r w:rsidR="00177C7F">
      <w:rPr>
        <w:noProof/>
        <w:sz w:val="24"/>
        <w:szCs w:val="24"/>
      </w:rPr>
      <w:t>8</w:t>
    </w:r>
    <w:r>
      <w:rPr>
        <w:sz w:val="24"/>
        <w:szCs w:val="24"/>
      </w:rPr>
      <w:fldChar w:fldCharType="end"/>
    </w:r>
    <w:r>
      <w:rPr>
        <w:sz w:val="24"/>
        <w:szCs w:val="24"/>
      </w:rPr>
      <w:t xml:space="preserve"> of </w:t>
    </w:r>
    <w:r>
      <w:rPr>
        <w:sz w:val="24"/>
        <w:szCs w:val="24"/>
      </w:rPr>
      <w:fldChar w:fldCharType="begin"/>
    </w:r>
    <w:r>
      <w:rPr>
        <w:sz w:val="24"/>
        <w:szCs w:val="24"/>
      </w:rPr>
      <w:instrText xml:space="preserve">NUMPAGES \* ARABIC </w:instrText>
    </w:r>
    <w:r>
      <w:rPr>
        <w:sz w:val="24"/>
        <w:szCs w:val="24"/>
      </w:rPr>
      <w:fldChar w:fldCharType="separate"/>
    </w:r>
    <w:r w:rsidR="00177C7F">
      <w:rPr>
        <w:noProof/>
        <w:sz w:val="24"/>
        <w:szCs w:val="24"/>
      </w:rPr>
      <w:t>12</w:t>
    </w:r>
    <w:r>
      <w:rPr>
        <w:sz w:val="24"/>
        <w:szCs w:val="24"/>
      </w:rPr>
      <w:fldChar w:fldCharType="end"/>
    </w:r>
  </w:p>
  <w:p w:rsidR="00416A92" w:rsidRDefault="00416A92">
    <w:pP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A92" w:rsidRDefault="00416A92">
    <w:pPr>
      <w:framePr w:wrap="notBeside" w:hAnchor="text" w:xAlign="right"/>
      <w:rPr>
        <w:sz w:val="24"/>
        <w:szCs w:val="24"/>
      </w:rPr>
    </w:pPr>
    <w:r>
      <w:rPr>
        <w:sz w:val="24"/>
        <w:szCs w:val="24"/>
      </w:rPr>
      <w:t xml:space="preserve">Page </w:t>
    </w:r>
    <w:r>
      <w:rPr>
        <w:sz w:val="24"/>
        <w:szCs w:val="24"/>
      </w:rPr>
      <w:fldChar w:fldCharType="begin"/>
    </w:r>
    <w:r>
      <w:rPr>
        <w:sz w:val="24"/>
        <w:szCs w:val="24"/>
      </w:rPr>
      <w:instrText xml:space="preserve"> PAGE  </w:instrText>
    </w:r>
    <w:r>
      <w:rPr>
        <w:sz w:val="24"/>
        <w:szCs w:val="24"/>
      </w:rPr>
      <w:fldChar w:fldCharType="separate"/>
    </w:r>
    <w:r w:rsidR="00177C7F">
      <w:rPr>
        <w:noProof/>
        <w:sz w:val="24"/>
        <w:szCs w:val="24"/>
      </w:rPr>
      <w:t>9</w:t>
    </w:r>
    <w:r>
      <w:rPr>
        <w:sz w:val="24"/>
        <w:szCs w:val="24"/>
      </w:rPr>
      <w:fldChar w:fldCharType="end"/>
    </w:r>
    <w:r>
      <w:rPr>
        <w:sz w:val="24"/>
        <w:szCs w:val="24"/>
      </w:rPr>
      <w:t xml:space="preserve"> of </w:t>
    </w:r>
    <w:r>
      <w:rPr>
        <w:sz w:val="24"/>
        <w:szCs w:val="24"/>
      </w:rPr>
      <w:fldChar w:fldCharType="begin"/>
    </w:r>
    <w:r>
      <w:rPr>
        <w:sz w:val="24"/>
        <w:szCs w:val="24"/>
      </w:rPr>
      <w:instrText xml:space="preserve">NUMPAGES \* ARABIC </w:instrText>
    </w:r>
    <w:r>
      <w:rPr>
        <w:sz w:val="24"/>
        <w:szCs w:val="24"/>
      </w:rPr>
      <w:fldChar w:fldCharType="separate"/>
    </w:r>
    <w:r w:rsidR="00177C7F">
      <w:rPr>
        <w:noProof/>
        <w:sz w:val="24"/>
        <w:szCs w:val="24"/>
      </w:rPr>
      <w:t>12</w:t>
    </w:r>
    <w:r>
      <w:rPr>
        <w:sz w:val="24"/>
        <w:szCs w:val="24"/>
      </w:rPr>
      <w:fldChar w:fldCharType="end"/>
    </w:r>
  </w:p>
  <w:p w:rsidR="00416A92" w:rsidRDefault="00416A92">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66A85C"/>
    <w:multiLevelType w:val="hybridMultilevel"/>
    <w:tmpl w:val="0D0A7B9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173EC"/>
    <w:multiLevelType w:val="hybridMultilevel"/>
    <w:tmpl w:val="41E451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BD"/>
    <w:rsid w:val="000200BD"/>
    <w:rsid w:val="00040B8D"/>
    <w:rsid w:val="00042474"/>
    <w:rsid w:val="00044742"/>
    <w:rsid w:val="000452E0"/>
    <w:rsid w:val="000509EC"/>
    <w:rsid w:val="00056664"/>
    <w:rsid w:val="000608D7"/>
    <w:rsid w:val="00074A64"/>
    <w:rsid w:val="00074CFA"/>
    <w:rsid w:val="00075857"/>
    <w:rsid w:val="000769F4"/>
    <w:rsid w:val="0009278C"/>
    <w:rsid w:val="00097B30"/>
    <w:rsid w:val="000A404D"/>
    <w:rsid w:val="000D345E"/>
    <w:rsid w:val="000E30D1"/>
    <w:rsid w:val="000F07C0"/>
    <w:rsid w:val="000F5DE1"/>
    <w:rsid w:val="000F669D"/>
    <w:rsid w:val="00141FC7"/>
    <w:rsid w:val="00141FEE"/>
    <w:rsid w:val="001542B1"/>
    <w:rsid w:val="001551EF"/>
    <w:rsid w:val="00167F05"/>
    <w:rsid w:val="00177C7F"/>
    <w:rsid w:val="001A5012"/>
    <w:rsid w:val="001B1CAE"/>
    <w:rsid w:val="001B2D1D"/>
    <w:rsid w:val="001B44CC"/>
    <w:rsid w:val="001B64D7"/>
    <w:rsid w:val="001C30BF"/>
    <w:rsid w:val="001D5E41"/>
    <w:rsid w:val="001D61FD"/>
    <w:rsid w:val="001F3746"/>
    <w:rsid w:val="00200EEB"/>
    <w:rsid w:val="00220145"/>
    <w:rsid w:val="00223A05"/>
    <w:rsid w:val="002449F3"/>
    <w:rsid w:val="00245344"/>
    <w:rsid w:val="002819E5"/>
    <w:rsid w:val="002832F0"/>
    <w:rsid w:val="00293C9F"/>
    <w:rsid w:val="002A47E4"/>
    <w:rsid w:val="002A612E"/>
    <w:rsid w:val="002A6A31"/>
    <w:rsid w:val="002B7388"/>
    <w:rsid w:val="003101B5"/>
    <w:rsid w:val="0031529A"/>
    <w:rsid w:val="0033133C"/>
    <w:rsid w:val="00337F98"/>
    <w:rsid w:val="00344EDA"/>
    <w:rsid w:val="003544C2"/>
    <w:rsid w:val="0036701F"/>
    <w:rsid w:val="003678A2"/>
    <w:rsid w:val="00383523"/>
    <w:rsid w:val="00386CDF"/>
    <w:rsid w:val="00397187"/>
    <w:rsid w:val="003A02D1"/>
    <w:rsid w:val="003C4091"/>
    <w:rsid w:val="003D1178"/>
    <w:rsid w:val="003D5170"/>
    <w:rsid w:val="003E0D73"/>
    <w:rsid w:val="003F1566"/>
    <w:rsid w:val="003F38FC"/>
    <w:rsid w:val="00416A92"/>
    <w:rsid w:val="004679F3"/>
    <w:rsid w:val="00481E99"/>
    <w:rsid w:val="00487714"/>
    <w:rsid w:val="004E2E32"/>
    <w:rsid w:val="00501216"/>
    <w:rsid w:val="00502CD8"/>
    <w:rsid w:val="00502FFE"/>
    <w:rsid w:val="00530688"/>
    <w:rsid w:val="00535FE9"/>
    <w:rsid w:val="00553B85"/>
    <w:rsid w:val="00555205"/>
    <w:rsid w:val="00560C10"/>
    <w:rsid w:val="005707C1"/>
    <w:rsid w:val="00580747"/>
    <w:rsid w:val="0058471A"/>
    <w:rsid w:val="0058491D"/>
    <w:rsid w:val="00586DBE"/>
    <w:rsid w:val="005B04F3"/>
    <w:rsid w:val="005C1677"/>
    <w:rsid w:val="005C6B37"/>
    <w:rsid w:val="005D38F7"/>
    <w:rsid w:val="005E27CC"/>
    <w:rsid w:val="005F478C"/>
    <w:rsid w:val="005F5756"/>
    <w:rsid w:val="006074C4"/>
    <w:rsid w:val="00623218"/>
    <w:rsid w:val="00627EDC"/>
    <w:rsid w:val="00634E81"/>
    <w:rsid w:val="00635C13"/>
    <w:rsid w:val="006526DB"/>
    <w:rsid w:val="00655535"/>
    <w:rsid w:val="00685660"/>
    <w:rsid w:val="006873E1"/>
    <w:rsid w:val="006C1D54"/>
    <w:rsid w:val="006C3225"/>
    <w:rsid w:val="006D7D41"/>
    <w:rsid w:val="006E0814"/>
    <w:rsid w:val="006F15CF"/>
    <w:rsid w:val="00703FB4"/>
    <w:rsid w:val="00714058"/>
    <w:rsid w:val="0072119F"/>
    <w:rsid w:val="00724781"/>
    <w:rsid w:val="00734B1A"/>
    <w:rsid w:val="00744BAF"/>
    <w:rsid w:val="00745FF0"/>
    <w:rsid w:val="007545C7"/>
    <w:rsid w:val="00756361"/>
    <w:rsid w:val="00771574"/>
    <w:rsid w:val="0079374E"/>
    <w:rsid w:val="007966DB"/>
    <w:rsid w:val="007A51D9"/>
    <w:rsid w:val="007C4449"/>
    <w:rsid w:val="007D24DE"/>
    <w:rsid w:val="007E0872"/>
    <w:rsid w:val="007F6964"/>
    <w:rsid w:val="00802343"/>
    <w:rsid w:val="0081130F"/>
    <w:rsid w:val="00812A0C"/>
    <w:rsid w:val="00830F8E"/>
    <w:rsid w:val="00833C34"/>
    <w:rsid w:val="0085033F"/>
    <w:rsid w:val="00861EF0"/>
    <w:rsid w:val="008628ED"/>
    <w:rsid w:val="008652F7"/>
    <w:rsid w:val="00884A6A"/>
    <w:rsid w:val="00885EBD"/>
    <w:rsid w:val="0088723E"/>
    <w:rsid w:val="00893EB0"/>
    <w:rsid w:val="008C1C49"/>
    <w:rsid w:val="008C5045"/>
    <w:rsid w:val="00912C25"/>
    <w:rsid w:val="00936802"/>
    <w:rsid w:val="00957F71"/>
    <w:rsid w:val="00982679"/>
    <w:rsid w:val="0099476E"/>
    <w:rsid w:val="00995799"/>
    <w:rsid w:val="009A0B3F"/>
    <w:rsid w:val="009B20DE"/>
    <w:rsid w:val="009B527D"/>
    <w:rsid w:val="009B537F"/>
    <w:rsid w:val="009C6890"/>
    <w:rsid w:val="009D6A27"/>
    <w:rsid w:val="00A1679C"/>
    <w:rsid w:val="00A34D1B"/>
    <w:rsid w:val="00A40FDB"/>
    <w:rsid w:val="00A56E6E"/>
    <w:rsid w:val="00A60F4C"/>
    <w:rsid w:val="00A84B47"/>
    <w:rsid w:val="00A904C9"/>
    <w:rsid w:val="00A94901"/>
    <w:rsid w:val="00A9513D"/>
    <w:rsid w:val="00A964CF"/>
    <w:rsid w:val="00AA2E46"/>
    <w:rsid w:val="00AB04FF"/>
    <w:rsid w:val="00AB2D6B"/>
    <w:rsid w:val="00AB3533"/>
    <w:rsid w:val="00AC1504"/>
    <w:rsid w:val="00AC706B"/>
    <w:rsid w:val="00AE3434"/>
    <w:rsid w:val="00B00340"/>
    <w:rsid w:val="00B06ADB"/>
    <w:rsid w:val="00B24650"/>
    <w:rsid w:val="00B32133"/>
    <w:rsid w:val="00B46583"/>
    <w:rsid w:val="00B5406C"/>
    <w:rsid w:val="00B57186"/>
    <w:rsid w:val="00B60C6B"/>
    <w:rsid w:val="00B62D2C"/>
    <w:rsid w:val="00B73680"/>
    <w:rsid w:val="00B76512"/>
    <w:rsid w:val="00B771E2"/>
    <w:rsid w:val="00B80DB6"/>
    <w:rsid w:val="00B853CE"/>
    <w:rsid w:val="00BA25EA"/>
    <w:rsid w:val="00BB20F2"/>
    <w:rsid w:val="00BB29BA"/>
    <w:rsid w:val="00BB53D8"/>
    <w:rsid w:val="00BC213A"/>
    <w:rsid w:val="00BC66CA"/>
    <w:rsid w:val="00BD5ECD"/>
    <w:rsid w:val="00BE6134"/>
    <w:rsid w:val="00C1388B"/>
    <w:rsid w:val="00C24A78"/>
    <w:rsid w:val="00C41212"/>
    <w:rsid w:val="00C618A0"/>
    <w:rsid w:val="00C7027B"/>
    <w:rsid w:val="00C9428F"/>
    <w:rsid w:val="00CB2981"/>
    <w:rsid w:val="00CB682B"/>
    <w:rsid w:val="00CE32D3"/>
    <w:rsid w:val="00CF7C36"/>
    <w:rsid w:val="00D01B27"/>
    <w:rsid w:val="00D2303A"/>
    <w:rsid w:val="00D246B4"/>
    <w:rsid w:val="00D37BB6"/>
    <w:rsid w:val="00D44865"/>
    <w:rsid w:val="00D466A6"/>
    <w:rsid w:val="00D764ED"/>
    <w:rsid w:val="00D831E8"/>
    <w:rsid w:val="00D8357C"/>
    <w:rsid w:val="00D96B27"/>
    <w:rsid w:val="00DB48AA"/>
    <w:rsid w:val="00DB4A7C"/>
    <w:rsid w:val="00DB4EF5"/>
    <w:rsid w:val="00DC0490"/>
    <w:rsid w:val="00DC3531"/>
    <w:rsid w:val="00DC3C0F"/>
    <w:rsid w:val="00DD4480"/>
    <w:rsid w:val="00DF1A96"/>
    <w:rsid w:val="00E1265F"/>
    <w:rsid w:val="00E16356"/>
    <w:rsid w:val="00E20884"/>
    <w:rsid w:val="00E34926"/>
    <w:rsid w:val="00E54E0B"/>
    <w:rsid w:val="00E62572"/>
    <w:rsid w:val="00E672FD"/>
    <w:rsid w:val="00E7555F"/>
    <w:rsid w:val="00E8170E"/>
    <w:rsid w:val="00EA0C51"/>
    <w:rsid w:val="00EA44B0"/>
    <w:rsid w:val="00EB2232"/>
    <w:rsid w:val="00EB510E"/>
    <w:rsid w:val="00EC0C8C"/>
    <w:rsid w:val="00ED0187"/>
    <w:rsid w:val="00ED0739"/>
    <w:rsid w:val="00ED1716"/>
    <w:rsid w:val="00ED67C8"/>
    <w:rsid w:val="00EE7FBF"/>
    <w:rsid w:val="00EF57D8"/>
    <w:rsid w:val="00F04E32"/>
    <w:rsid w:val="00F4148D"/>
    <w:rsid w:val="00F52787"/>
    <w:rsid w:val="00F66AEF"/>
    <w:rsid w:val="00F66BF7"/>
    <w:rsid w:val="00F73ECF"/>
    <w:rsid w:val="00F822C6"/>
    <w:rsid w:val="00F859B1"/>
    <w:rsid w:val="00F97E33"/>
    <w:rsid w:val="00FC3D49"/>
    <w:rsid w:val="00FD7628"/>
    <w:rsid w:val="00FF13FA"/>
    <w:rsid w:val="00FF1D74"/>
    <w:rsid w:val="00FF3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6149EB82-44B5-419F-A54E-5BEC47BC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0BD"/>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00BD"/>
    <w:rPr>
      <w:color w:val="0000FF"/>
      <w:u w:val="single"/>
    </w:rPr>
  </w:style>
  <w:style w:type="character" w:customStyle="1" w:styleId="SYSHYPERTEXT">
    <w:name w:val="SYS_HYPERTEXT"/>
    <w:rsid w:val="000200BD"/>
    <w:rPr>
      <w:color w:val="0000FF"/>
      <w:u w:val="single"/>
    </w:rPr>
  </w:style>
  <w:style w:type="paragraph" w:styleId="BalloonText">
    <w:name w:val="Balloon Text"/>
    <w:basedOn w:val="Normal"/>
    <w:semiHidden/>
    <w:rsid w:val="00B62D2C"/>
    <w:rPr>
      <w:rFonts w:ascii="Tahoma" w:hAnsi="Tahoma" w:cs="Tahoma"/>
      <w:sz w:val="16"/>
      <w:szCs w:val="16"/>
    </w:rPr>
  </w:style>
  <w:style w:type="paragraph" w:styleId="HTMLPreformatted">
    <w:name w:val="HTML Preformatted"/>
    <w:basedOn w:val="Normal"/>
    <w:link w:val="HTMLPreformattedChar"/>
    <w:uiPriority w:val="99"/>
    <w:rsid w:val="00623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FollowedHyperlink">
    <w:name w:val="FollowedHyperlink"/>
    <w:rsid w:val="00B46583"/>
    <w:rPr>
      <w:color w:val="800080"/>
      <w:u w:val="single"/>
    </w:rPr>
  </w:style>
  <w:style w:type="paragraph" w:styleId="Header">
    <w:name w:val="header"/>
    <w:basedOn w:val="Normal"/>
    <w:link w:val="HeaderChar"/>
    <w:rsid w:val="000F5DE1"/>
    <w:pPr>
      <w:tabs>
        <w:tab w:val="center" w:pos="4680"/>
        <w:tab w:val="right" w:pos="9360"/>
      </w:tabs>
    </w:pPr>
  </w:style>
  <w:style w:type="character" w:customStyle="1" w:styleId="HeaderChar">
    <w:name w:val="Header Char"/>
    <w:basedOn w:val="DefaultParagraphFont"/>
    <w:link w:val="Header"/>
    <w:rsid w:val="000F5DE1"/>
  </w:style>
  <w:style w:type="paragraph" w:styleId="Footer">
    <w:name w:val="footer"/>
    <w:basedOn w:val="Normal"/>
    <w:link w:val="FooterChar"/>
    <w:rsid w:val="000F5DE1"/>
    <w:pPr>
      <w:tabs>
        <w:tab w:val="center" w:pos="4680"/>
        <w:tab w:val="right" w:pos="9360"/>
      </w:tabs>
    </w:pPr>
  </w:style>
  <w:style w:type="character" w:customStyle="1" w:styleId="FooterChar">
    <w:name w:val="Footer Char"/>
    <w:basedOn w:val="DefaultParagraphFont"/>
    <w:link w:val="Footer"/>
    <w:rsid w:val="000F5DE1"/>
  </w:style>
  <w:style w:type="character" w:customStyle="1" w:styleId="HTMLPreformattedChar">
    <w:name w:val="HTML Preformatted Char"/>
    <w:link w:val="HTMLPreformatted"/>
    <w:uiPriority w:val="99"/>
    <w:rsid w:val="001C30BF"/>
    <w:rPr>
      <w:rFonts w:ascii="Courier New" w:hAnsi="Courier New" w:cs="Courier New"/>
    </w:rPr>
  </w:style>
  <w:style w:type="character" w:styleId="Emphasis">
    <w:name w:val="Emphasis"/>
    <w:basedOn w:val="DefaultParagraphFont"/>
    <w:qFormat/>
    <w:rsid w:val="00A40FDB"/>
    <w:rPr>
      <w:i/>
      <w:iCs/>
    </w:rPr>
  </w:style>
  <w:style w:type="paragraph" w:customStyle="1" w:styleId="Default">
    <w:name w:val="Default"/>
    <w:rsid w:val="00AA2E46"/>
    <w:pPr>
      <w:autoSpaceDE w:val="0"/>
      <w:autoSpaceDN w:val="0"/>
      <w:adjustRightInd w:val="0"/>
    </w:pPr>
    <w:rPr>
      <w:rFonts w:ascii="Arial Narrow" w:hAnsi="Arial Narrow" w:cs="Arial Narrow"/>
      <w:color w:val="000000"/>
      <w:sz w:val="24"/>
      <w:szCs w:val="24"/>
    </w:rPr>
  </w:style>
  <w:style w:type="character" w:styleId="CommentReference">
    <w:name w:val="annotation reference"/>
    <w:basedOn w:val="DefaultParagraphFont"/>
    <w:semiHidden/>
    <w:unhideWhenUsed/>
    <w:rsid w:val="002A612E"/>
    <w:rPr>
      <w:sz w:val="16"/>
      <w:szCs w:val="16"/>
    </w:rPr>
  </w:style>
  <w:style w:type="paragraph" w:styleId="CommentText">
    <w:name w:val="annotation text"/>
    <w:basedOn w:val="Normal"/>
    <w:link w:val="CommentTextChar"/>
    <w:semiHidden/>
    <w:unhideWhenUsed/>
    <w:rsid w:val="002A612E"/>
  </w:style>
  <w:style w:type="character" w:customStyle="1" w:styleId="CommentTextChar">
    <w:name w:val="Comment Text Char"/>
    <w:basedOn w:val="DefaultParagraphFont"/>
    <w:link w:val="CommentText"/>
    <w:semiHidden/>
    <w:rsid w:val="002A612E"/>
  </w:style>
  <w:style w:type="paragraph" w:styleId="CommentSubject">
    <w:name w:val="annotation subject"/>
    <w:basedOn w:val="CommentText"/>
    <w:next w:val="CommentText"/>
    <w:link w:val="CommentSubjectChar"/>
    <w:semiHidden/>
    <w:unhideWhenUsed/>
    <w:rsid w:val="002A612E"/>
    <w:rPr>
      <w:b/>
      <w:bCs/>
    </w:rPr>
  </w:style>
  <w:style w:type="character" w:customStyle="1" w:styleId="CommentSubjectChar">
    <w:name w:val="Comment Subject Char"/>
    <w:basedOn w:val="CommentTextChar"/>
    <w:link w:val="CommentSubject"/>
    <w:semiHidden/>
    <w:rsid w:val="002A61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7904">
      <w:bodyDiv w:val="1"/>
      <w:marLeft w:val="0"/>
      <w:marRight w:val="0"/>
      <w:marTop w:val="0"/>
      <w:marBottom w:val="0"/>
      <w:divBdr>
        <w:top w:val="none" w:sz="0" w:space="0" w:color="auto"/>
        <w:left w:val="none" w:sz="0" w:space="0" w:color="auto"/>
        <w:bottom w:val="none" w:sz="0" w:space="0" w:color="auto"/>
        <w:right w:val="none" w:sz="0" w:space="0" w:color="auto"/>
      </w:divBdr>
    </w:div>
    <w:div w:id="357241705">
      <w:bodyDiv w:val="1"/>
      <w:marLeft w:val="0"/>
      <w:marRight w:val="0"/>
      <w:marTop w:val="0"/>
      <w:marBottom w:val="0"/>
      <w:divBdr>
        <w:top w:val="none" w:sz="0" w:space="0" w:color="auto"/>
        <w:left w:val="none" w:sz="0" w:space="0" w:color="auto"/>
        <w:bottom w:val="none" w:sz="0" w:space="0" w:color="auto"/>
        <w:right w:val="none" w:sz="0" w:space="0" w:color="auto"/>
      </w:divBdr>
    </w:div>
    <w:div w:id="495807120">
      <w:bodyDiv w:val="1"/>
      <w:marLeft w:val="0"/>
      <w:marRight w:val="0"/>
      <w:marTop w:val="0"/>
      <w:marBottom w:val="0"/>
      <w:divBdr>
        <w:top w:val="none" w:sz="0" w:space="0" w:color="auto"/>
        <w:left w:val="none" w:sz="0" w:space="0" w:color="auto"/>
        <w:bottom w:val="none" w:sz="0" w:space="0" w:color="auto"/>
        <w:right w:val="none" w:sz="0" w:space="0" w:color="auto"/>
      </w:divBdr>
    </w:div>
    <w:div w:id="502473655">
      <w:bodyDiv w:val="1"/>
      <w:marLeft w:val="0"/>
      <w:marRight w:val="0"/>
      <w:marTop w:val="0"/>
      <w:marBottom w:val="0"/>
      <w:divBdr>
        <w:top w:val="none" w:sz="0" w:space="0" w:color="auto"/>
        <w:left w:val="none" w:sz="0" w:space="0" w:color="auto"/>
        <w:bottom w:val="none" w:sz="0" w:space="0" w:color="auto"/>
        <w:right w:val="none" w:sz="0" w:space="0" w:color="auto"/>
      </w:divBdr>
    </w:div>
    <w:div w:id="626621217">
      <w:bodyDiv w:val="1"/>
      <w:marLeft w:val="0"/>
      <w:marRight w:val="0"/>
      <w:marTop w:val="0"/>
      <w:marBottom w:val="0"/>
      <w:divBdr>
        <w:top w:val="none" w:sz="0" w:space="0" w:color="auto"/>
        <w:left w:val="none" w:sz="0" w:space="0" w:color="auto"/>
        <w:bottom w:val="none" w:sz="0" w:space="0" w:color="auto"/>
        <w:right w:val="none" w:sz="0" w:space="0" w:color="auto"/>
      </w:divBdr>
    </w:div>
    <w:div w:id="733309763">
      <w:bodyDiv w:val="1"/>
      <w:marLeft w:val="679"/>
      <w:marRight w:val="0"/>
      <w:marTop w:val="272"/>
      <w:marBottom w:val="0"/>
      <w:divBdr>
        <w:top w:val="none" w:sz="0" w:space="0" w:color="auto"/>
        <w:left w:val="none" w:sz="0" w:space="0" w:color="auto"/>
        <w:bottom w:val="none" w:sz="0" w:space="0" w:color="auto"/>
        <w:right w:val="none" w:sz="0" w:space="0" w:color="auto"/>
      </w:divBdr>
    </w:div>
    <w:div w:id="1095440216">
      <w:bodyDiv w:val="1"/>
      <w:marLeft w:val="0"/>
      <w:marRight w:val="0"/>
      <w:marTop w:val="0"/>
      <w:marBottom w:val="0"/>
      <w:divBdr>
        <w:top w:val="none" w:sz="0" w:space="0" w:color="auto"/>
        <w:left w:val="none" w:sz="0" w:space="0" w:color="auto"/>
        <w:bottom w:val="none" w:sz="0" w:space="0" w:color="auto"/>
        <w:right w:val="none" w:sz="0" w:space="0" w:color="auto"/>
      </w:divBdr>
    </w:div>
    <w:div w:id="1408380662">
      <w:bodyDiv w:val="1"/>
      <w:marLeft w:val="0"/>
      <w:marRight w:val="0"/>
      <w:marTop w:val="0"/>
      <w:marBottom w:val="0"/>
      <w:divBdr>
        <w:top w:val="none" w:sz="0" w:space="0" w:color="auto"/>
        <w:left w:val="none" w:sz="0" w:space="0" w:color="auto"/>
        <w:bottom w:val="none" w:sz="0" w:space="0" w:color="auto"/>
        <w:right w:val="none" w:sz="0" w:space="0" w:color="auto"/>
      </w:divBdr>
    </w:div>
    <w:div w:id="1699817411">
      <w:bodyDiv w:val="1"/>
      <w:marLeft w:val="0"/>
      <w:marRight w:val="0"/>
      <w:marTop w:val="0"/>
      <w:marBottom w:val="0"/>
      <w:divBdr>
        <w:top w:val="none" w:sz="0" w:space="0" w:color="auto"/>
        <w:left w:val="none" w:sz="0" w:space="0" w:color="auto"/>
        <w:bottom w:val="none" w:sz="0" w:space="0" w:color="auto"/>
        <w:right w:val="none" w:sz="0" w:space="0" w:color="auto"/>
      </w:divBdr>
    </w:div>
    <w:div w:id="1965964156">
      <w:bodyDiv w:val="1"/>
      <w:marLeft w:val="0"/>
      <w:marRight w:val="0"/>
      <w:marTop w:val="0"/>
      <w:marBottom w:val="0"/>
      <w:divBdr>
        <w:top w:val="none" w:sz="0" w:space="0" w:color="auto"/>
        <w:left w:val="none" w:sz="0" w:space="0" w:color="auto"/>
        <w:bottom w:val="none" w:sz="0" w:space="0" w:color="auto"/>
        <w:right w:val="none" w:sz="0" w:space="0" w:color="auto"/>
      </w:divBdr>
    </w:div>
    <w:div w:id="2065519248">
      <w:bodyDiv w:val="1"/>
      <w:marLeft w:val="0"/>
      <w:marRight w:val="0"/>
      <w:marTop w:val="0"/>
      <w:marBottom w:val="0"/>
      <w:divBdr>
        <w:top w:val="none" w:sz="0" w:space="0" w:color="auto"/>
        <w:left w:val="none" w:sz="0" w:space="0" w:color="auto"/>
        <w:bottom w:val="none" w:sz="0" w:space="0" w:color="auto"/>
        <w:right w:val="none" w:sz="0" w:space="0" w:color="auto"/>
      </w:divBdr>
    </w:div>
    <w:div w:id="209971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fa.usda.gov/tool/reeport" TargetMode="External"/><Relationship Id="rId13" Type="http://schemas.openxmlformats.org/officeDocument/2006/relationships/hyperlink" Target="http://cris.nifa.usda.gov/" TargetMode="External"/><Relationship Id="rId3" Type="http://schemas.openxmlformats.org/officeDocument/2006/relationships/settings" Target="settings.xml"/><Relationship Id="rId7" Type="http://schemas.openxmlformats.org/officeDocument/2006/relationships/hyperlink" Target="http://portal.nifa.usda.gov/" TargetMode="External"/><Relationship Id="rId12" Type="http://schemas.openxmlformats.org/officeDocument/2006/relationships/hyperlink" Target="http://www.reeis.usd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ifa.usda.gov/dat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nsf.gov/bfa/dias/policy/rppr/" TargetMode="External"/><Relationship Id="rId4" Type="http://schemas.openxmlformats.org/officeDocument/2006/relationships/webSettings" Target="webSettings.xml"/><Relationship Id="rId9" Type="http://schemas.openxmlformats.org/officeDocument/2006/relationships/hyperlink" Target="mailto:electronic@nifa.usd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4559</Words>
  <Characters>25987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30486</CharactersWithSpaces>
  <SharedDoc>false</SharedDoc>
  <HLinks>
    <vt:vector size="30" baseType="variant">
      <vt:variant>
        <vt:i4>7864365</vt:i4>
      </vt:variant>
      <vt:variant>
        <vt:i4>14</vt:i4>
      </vt:variant>
      <vt:variant>
        <vt:i4>0</vt:i4>
      </vt:variant>
      <vt:variant>
        <vt:i4>5</vt:i4>
      </vt:variant>
      <vt:variant>
        <vt:lpwstr>http://cris.nifa.usda.gov/</vt:lpwstr>
      </vt:variant>
      <vt:variant>
        <vt:lpwstr/>
      </vt:variant>
      <vt:variant>
        <vt:i4>3145841</vt:i4>
      </vt:variant>
      <vt:variant>
        <vt:i4>11</vt:i4>
      </vt:variant>
      <vt:variant>
        <vt:i4>0</vt:i4>
      </vt:variant>
      <vt:variant>
        <vt:i4>5</vt:i4>
      </vt:variant>
      <vt:variant>
        <vt:lpwstr>http://www.reeis.usda.gov/</vt:lpwstr>
      </vt:variant>
      <vt:variant>
        <vt:lpwstr/>
      </vt:variant>
      <vt:variant>
        <vt:i4>4784204</vt:i4>
      </vt:variant>
      <vt:variant>
        <vt:i4>8</vt:i4>
      </vt:variant>
      <vt:variant>
        <vt:i4>0</vt:i4>
      </vt:variant>
      <vt:variant>
        <vt:i4>5</vt:i4>
      </vt:variant>
      <vt:variant>
        <vt:lpwstr>http://www.nsf.gov/bfa/dias/policy/rppr/</vt:lpwstr>
      </vt:variant>
      <vt:variant>
        <vt:lpwstr/>
      </vt:variant>
      <vt:variant>
        <vt:i4>5111869</vt:i4>
      </vt:variant>
      <vt:variant>
        <vt:i4>5</vt:i4>
      </vt:variant>
      <vt:variant>
        <vt:i4>0</vt:i4>
      </vt:variant>
      <vt:variant>
        <vt:i4>5</vt:i4>
      </vt:variant>
      <vt:variant>
        <vt:lpwstr>http://www.nifa.usda.gov/business/reeport_imp.html</vt:lpwstr>
      </vt:variant>
      <vt:variant>
        <vt:lpwstr/>
      </vt:variant>
      <vt:variant>
        <vt:i4>1114203</vt:i4>
      </vt:variant>
      <vt:variant>
        <vt:i4>2</vt:i4>
      </vt:variant>
      <vt:variant>
        <vt:i4>0</vt:i4>
      </vt:variant>
      <vt:variant>
        <vt:i4>5</vt:i4>
      </vt:variant>
      <vt:variant>
        <vt:lpwstr>http://portal.nifa.usda.gov/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jhitchcock</dc:creator>
  <cp:lastModifiedBy>Martin, Robert - NIFA</cp:lastModifiedBy>
  <cp:revision>5</cp:revision>
  <cp:lastPrinted>2017-04-17T13:43:00Z</cp:lastPrinted>
  <dcterms:created xsi:type="dcterms:W3CDTF">2017-03-30T14:09:00Z</dcterms:created>
  <dcterms:modified xsi:type="dcterms:W3CDTF">2017-04-25T17:40:00Z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1052496954</vt:i4>
  </property>
  <property fmtid="{D5CDD505-2E9C-101B-9397-08002B2CF9AE}" pid="3" name="_NewReviewCycle">
    <vt:lpwstr/>
  </property>
  <property fmtid="{D5CDD505-2E9C-101B-9397-08002B2CF9AE}" pid="4" name="_EmailEntryID">
    <vt:lpwstr>000000009C884E8E28C7294C9EA6275A756A0452070083EED274D3127740995A6B621B88F2E10000003F014600003D271AFF69E68A479BC743F8240CDF4600000A3F58430000</vt:lpwstr>
  </property>
  <property fmtid="{D5CDD505-2E9C-101B-9397-08002B2CF9AE}" pid="5" name="_EmailStoreID0">
    <vt:lpwstr>0000000038A1BB1005E5101AA1BB08002B2A56C20000454D534D44422E444C4C00000000000000001B55FA20AA6611CD9BC800AA002FC45A0C0000006F75746C6F6F6B2E303031462E6D6764322E6D7366742E6E6574002F6F3D4D4D532F6F753D45786368616E67652041646D696E6973747261746976652047726F7570202</vt:lpwstr>
  </property>
  <property fmtid="{D5CDD505-2E9C-101B-9397-08002B2CF9AE}" pid="6" name="_EmailStoreID1">
    <vt:lpwstr>846594449424F484632335350444C54292F636E3D526563697069656E74732F636E3D4865776974742C20426172746F6E39303165343466642D343266342D343931392D613434392D61393938613737396239306400</vt:lpwstr>
  </property>
  <property fmtid="{D5CDD505-2E9C-101B-9397-08002B2CF9AE}" pid="7" name="_ReviewingToolsShownOnce">
    <vt:lpwstr/>
  </property>
</Properties>
</file>