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663B0" w14:textId="7B5608AA" w:rsidR="00604AFE" w:rsidRDefault="00604AFE" w:rsidP="00C07198">
      <w:pPr>
        <w:pStyle w:val="296"/>
        <w:jc w:val="center"/>
        <w:rPr>
          <w:b/>
        </w:rPr>
      </w:pPr>
      <w:r>
        <w:rPr>
          <w:b/>
        </w:rPr>
        <w:tab/>
        <w:t>`</w:t>
      </w:r>
      <w:r>
        <w:rPr>
          <w:b/>
        </w:rPr>
        <w:tab/>
      </w:r>
      <w:r>
        <w:rPr>
          <w:b/>
        </w:rPr>
        <w:tab/>
      </w:r>
      <w:r>
        <w:rPr>
          <w:b/>
        </w:rPr>
        <w:tab/>
      </w:r>
      <w:r>
        <w:rPr>
          <w:b/>
        </w:rPr>
        <w:tab/>
      </w:r>
      <w:r>
        <w:rPr>
          <w:b/>
        </w:rPr>
        <w:tab/>
      </w:r>
      <w:r>
        <w:rPr>
          <w:b/>
        </w:rPr>
        <w:tab/>
      </w:r>
      <w:r>
        <w:rPr>
          <w:b/>
        </w:rPr>
        <w:tab/>
      </w:r>
      <w:r>
        <w:rPr>
          <w:b/>
        </w:rPr>
        <w:tab/>
      </w:r>
      <w:r>
        <w:rPr>
          <w:b/>
        </w:rPr>
        <w:tab/>
      </w:r>
      <w:r>
        <w:rPr>
          <w:b/>
        </w:rPr>
        <w:tab/>
        <w:t>June 2017</w:t>
      </w:r>
    </w:p>
    <w:p w14:paraId="22939F0A" w14:textId="77777777" w:rsidR="003F7C7F" w:rsidRDefault="003F7C7F" w:rsidP="00C07198">
      <w:pPr>
        <w:pStyle w:val="296"/>
        <w:jc w:val="center"/>
        <w:rPr>
          <w:b/>
        </w:rPr>
      </w:pPr>
    </w:p>
    <w:p w14:paraId="0B2F9CA5" w14:textId="77777777" w:rsidR="00375C77" w:rsidRDefault="00375C77" w:rsidP="00C07198">
      <w:pPr>
        <w:pStyle w:val="296"/>
        <w:jc w:val="center"/>
        <w:rPr>
          <w:b/>
        </w:rPr>
      </w:pPr>
      <w:r>
        <w:rPr>
          <w:b/>
        </w:rPr>
        <w:t>SUPPORTING STATEMENT</w:t>
      </w:r>
    </w:p>
    <w:p w14:paraId="0B2F9CA6" w14:textId="77777777" w:rsidR="00F67E7D" w:rsidRPr="00604AFE" w:rsidRDefault="009F364F">
      <w:pPr>
        <w:pStyle w:val="296"/>
        <w:jc w:val="center"/>
        <w:rPr>
          <w:b/>
        </w:rPr>
      </w:pPr>
      <w:r w:rsidRPr="00604AFE">
        <w:rPr>
          <w:b/>
        </w:rPr>
        <w:t xml:space="preserve">Citrus Canker; Interstate Movement of </w:t>
      </w:r>
      <w:r w:rsidR="00F87CDF" w:rsidRPr="00604AFE">
        <w:rPr>
          <w:b/>
        </w:rPr>
        <w:t xml:space="preserve">Regulated Nursery Stock </w:t>
      </w:r>
    </w:p>
    <w:p w14:paraId="0B2F9CA7" w14:textId="77777777" w:rsidR="00F87CDF" w:rsidRPr="00604AFE" w:rsidRDefault="00F67E7D">
      <w:pPr>
        <w:pStyle w:val="296"/>
        <w:jc w:val="center"/>
        <w:rPr>
          <w:b/>
        </w:rPr>
      </w:pPr>
      <w:r w:rsidRPr="00604AFE">
        <w:rPr>
          <w:b/>
        </w:rPr>
        <w:t xml:space="preserve">And Fruit </w:t>
      </w:r>
      <w:r w:rsidR="00F87CDF" w:rsidRPr="00604AFE">
        <w:rPr>
          <w:b/>
        </w:rPr>
        <w:t>From</w:t>
      </w:r>
      <w:r w:rsidRPr="00604AFE">
        <w:rPr>
          <w:b/>
        </w:rPr>
        <w:t xml:space="preserve"> </w:t>
      </w:r>
      <w:r w:rsidR="00F87CDF" w:rsidRPr="00604AFE">
        <w:rPr>
          <w:b/>
        </w:rPr>
        <w:t>Quarantined Areas</w:t>
      </w:r>
    </w:p>
    <w:p w14:paraId="0B2F9CA8" w14:textId="77777777" w:rsidR="002514C5" w:rsidRPr="00604AFE" w:rsidRDefault="00F67E7D">
      <w:pPr>
        <w:pStyle w:val="296"/>
        <w:jc w:val="center"/>
        <w:rPr>
          <w:b/>
        </w:rPr>
      </w:pPr>
      <w:r w:rsidRPr="00604AFE">
        <w:rPr>
          <w:b/>
        </w:rPr>
        <w:t>OMB No</w:t>
      </w:r>
      <w:r w:rsidR="002514C5" w:rsidRPr="00604AFE">
        <w:rPr>
          <w:b/>
        </w:rPr>
        <w:t>. 0579-0317</w:t>
      </w:r>
    </w:p>
    <w:p w14:paraId="0B2F9CAB" w14:textId="77777777" w:rsidR="00C07198" w:rsidRPr="00412DF4" w:rsidRDefault="00C07198">
      <w:pPr>
        <w:pStyle w:val="296"/>
        <w:jc w:val="center"/>
      </w:pPr>
    </w:p>
    <w:p w14:paraId="1448FB0F" w14:textId="77777777" w:rsidR="003F7C7F" w:rsidRDefault="003F7C7F">
      <w:pPr>
        <w:pStyle w:val="296"/>
        <w:rPr>
          <w:b/>
        </w:rPr>
      </w:pPr>
    </w:p>
    <w:p w14:paraId="0B2F9CAC" w14:textId="77777777" w:rsidR="00375C77" w:rsidRPr="00F23A28" w:rsidRDefault="00375C77">
      <w:pPr>
        <w:pStyle w:val="296"/>
        <w:rPr>
          <w:b/>
        </w:rPr>
      </w:pPr>
      <w:r w:rsidRPr="00F23A28">
        <w:rPr>
          <w:b/>
        </w:rPr>
        <w:t>A.  Justification</w:t>
      </w:r>
    </w:p>
    <w:p w14:paraId="0B2F9CAD" w14:textId="77777777" w:rsidR="00375C77" w:rsidRDefault="00375C77">
      <w:pPr>
        <w:pStyle w:val="296"/>
      </w:pPr>
    </w:p>
    <w:p w14:paraId="0B2F9CAE" w14:textId="77777777" w:rsidR="00375C77" w:rsidRDefault="00375C77">
      <w:pPr>
        <w:pStyle w:val="296"/>
        <w:rPr>
          <w:b/>
        </w:rPr>
      </w:pPr>
      <w:r>
        <w:rPr>
          <w:b/>
        </w:rPr>
        <w:t>1.  Explain the circumstances that make the collection of information necessary.  Identify any legal or administrative requirements that necessitate the collection.</w:t>
      </w:r>
    </w:p>
    <w:p w14:paraId="0B2F9CAF" w14:textId="77777777" w:rsidR="00343A7A" w:rsidRDefault="00343A7A">
      <w:pPr>
        <w:pStyle w:val="296"/>
        <w:rPr>
          <w:b/>
        </w:rPr>
      </w:pPr>
    </w:p>
    <w:p w14:paraId="6234F840" w14:textId="77777777" w:rsidR="003F7C7F" w:rsidRDefault="00343A7A">
      <w:pPr>
        <w:pStyle w:val="296"/>
      </w:pPr>
      <w:r>
        <w:t>The United States</w:t>
      </w:r>
      <w:r w:rsidR="009D2374">
        <w:t xml:space="preserve"> Department of Agriculture</w:t>
      </w:r>
      <w:r w:rsidR="002516B1">
        <w:t>, Animal and Plant Health Inspection Service (APHIS),</w:t>
      </w:r>
      <w:r w:rsidR="009D2374">
        <w:t xml:space="preserve"> </w:t>
      </w:r>
      <w:r>
        <w:t>is responsible for preventing plant disease</w:t>
      </w:r>
      <w:r w:rsidR="002516B1">
        <w:t>s</w:t>
      </w:r>
      <w:r>
        <w:t xml:space="preserve"> or insect pests from entering the </w:t>
      </w:r>
    </w:p>
    <w:p w14:paraId="0B2F9CB0" w14:textId="252490E2" w:rsidR="00343A7A" w:rsidRDefault="00343A7A">
      <w:pPr>
        <w:pStyle w:val="296"/>
      </w:pPr>
      <w:r>
        <w:t>United States, preventing the spread of pests and noxious weeds not widely distributed in the United States, and eradicating those imported pests when eradication is feasible</w:t>
      </w:r>
      <w:r w:rsidR="002C2F1F">
        <w:t>.</w:t>
      </w:r>
    </w:p>
    <w:p w14:paraId="0B2F9CB1" w14:textId="77777777" w:rsidR="009F7082" w:rsidRDefault="009F7082">
      <w:pPr>
        <w:pStyle w:val="296"/>
      </w:pPr>
    </w:p>
    <w:p w14:paraId="0B2F9CB2" w14:textId="77777777" w:rsidR="00375C77" w:rsidRDefault="009F7082">
      <w:pPr>
        <w:pStyle w:val="296"/>
      </w:pPr>
      <w:r>
        <w:t>Under the Plant Prot</w:t>
      </w:r>
      <w:r w:rsidR="002C2F1F">
        <w:t>ection Act (7 U.S.C. 7701</w:t>
      </w:r>
      <w:r w:rsidR="007C3A01">
        <w:t xml:space="preserve"> </w:t>
      </w:r>
      <w:r w:rsidR="007C3A01" w:rsidRPr="007C3A01">
        <w:rPr>
          <w:u w:val="single"/>
        </w:rPr>
        <w:t>et</w:t>
      </w:r>
      <w:r w:rsidR="007C3A01">
        <w:t xml:space="preserve"> </w:t>
      </w:r>
      <w:r w:rsidR="007C3A01" w:rsidRPr="007C3A01">
        <w:rPr>
          <w:u w:val="single"/>
        </w:rPr>
        <w:t>seq</w:t>
      </w:r>
      <w:r w:rsidR="002C2F1F">
        <w:rPr>
          <w:u w:val="single"/>
        </w:rPr>
        <w:t>.</w:t>
      </w:r>
      <w:r>
        <w:t>), the Secretary of Agriculture, either independently or in cooperation with the States, is authorized to carry out operations or measures to detect, eradicate, suppress, control, prevent, or retard the spread of plant pests</w:t>
      </w:r>
      <w:r w:rsidR="00375C77">
        <w:t xml:space="preserve"> (such as citrus canker) new to or </w:t>
      </w:r>
      <w:r w:rsidR="008A679F">
        <w:t xml:space="preserve">not </w:t>
      </w:r>
      <w:r w:rsidR="00375C77">
        <w:t>widely distributed th</w:t>
      </w:r>
      <w:r w:rsidR="002516B1">
        <w:t>roughout the United States.  APHIS’</w:t>
      </w:r>
      <w:r w:rsidR="00375C77">
        <w:t xml:space="preserve"> Domestic Quarantines (7 CFR Part 301) are issued under this authority.</w:t>
      </w:r>
    </w:p>
    <w:p w14:paraId="0B2F9CB3" w14:textId="77777777" w:rsidR="00375C77" w:rsidRDefault="00375C77">
      <w:pPr>
        <w:pStyle w:val="296"/>
      </w:pPr>
    </w:p>
    <w:p w14:paraId="0B2F9CB8" w14:textId="7D6F52EB" w:rsidR="00387413" w:rsidRDefault="00D27B0C">
      <w:pPr>
        <w:pStyle w:val="296"/>
      </w:pPr>
      <w:r>
        <w:t xml:space="preserve">APHIS has regulations in place to prevent the interstate spread of citrus canker.  These </w:t>
      </w:r>
      <w:r w:rsidR="00CA10E6">
        <w:t>r</w:t>
      </w:r>
      <w:r>
        <w:t>egulations, contained i</w:t>
      </w:r>
      <w:r w:rsidR="007C3A01">
        <w:t xml:space="preserve">n </w:t>
      </w:r>
      <w:r w:rsidR="003F7C7F">
        <w:t>7 CFR 301.75</w:t>
      </w:r>
      <w:r>
        <w:t>, restrict the interstate movement of regulated articles from and through areas quarantined because of citrus canker.</w:t>
      </w:r>
      <w:r w:rsidR="003F7C7F">
        <w:t xml:space="preserve">  </w:t>
      </w:r>
      <w:r w:rsidR="007C3A01">
        <w:t>APHIS</w:t>
      </w:r>
      <w:r w:rsidR="00B75D28">
        <w:t xml:space="preserve">’ </w:t>
      </w:r>
      <w:r w:rsidR="005B4464">
        <w:t xml:space="preserve">citrus canker quarantine regulations </w:t>
      </w:r>
      <w:r w:rsidR="00B75D28">
        <w:t>also</w:t>
      </w:r>
      <w:r w:rsidR="005B4464">
        <w:t xml:space="preserve"> prohibit the interstate movement of regulated nursery stock from a quarantined area.  The interstate</w:t>
      </w:r>
      <w:r w:rsidR="002A17B7">
        <w:t xml:space="preserve"> movement</w:t>
      </w:r>
      <w:r w:rsidR="005B4464">
        <w:t xml:space="preserve"> of nursery stock from an area quarantined for citrus canker poses an extremely high risk of spreading citrus canker</w:t>
      </w:r>
      <w:r w:rsidR="007C3A01">
        <w:t xml:space="preserve"> outside the quarantined area. </w:t>
      </w:r>
      <w:r w:rsidR="00387413">
        <w:t>APHIS is also continuing to allow the interstate movement of regulated nursery stock for immediate export, under certain conditions.</w:t>
      </w:r>
      <w:r w:rsidR="003F7C7F">
        <w:t xml:space="preserve">  </w:t>
      </w:r>
      <w:r w:rsidR="00DA7D5F">
        <w:t>The</w:t>
      </w:r>
      <w:r w:rsidR="001E3DD9">
        <w:t>se</w:t>
      </w:r>
      <w:r w:rsidR="00DA7D5F">
        <w:t xml:space="preserve"> regulations </w:t>
      </w:r>
      <w:r w:rsidR="00D77C75">
        <w:t>are</w:t>
      </w:r>
      <w:r w:rsidR="00387413">
        <w:t xml:space="preserve"> necessary to</w:t>
      </w:r>
      <w:r w:rsidR="00DA7D5F">
        <w:t xml:space="preserve"> address</w:t>
      </w:r>
      <w:r w:rsidR="00387413">
        <w:t xml:space="preserve"> the risk associated with the interstate movement of citrus nursery stock and other regulated articles from areas quarantined</w:t>
      </w:r>
      <w:r w:rsidR="00A02FB7">
        <w:t xml:space="preserve"> for citrus canker.</w:t>
      </w:r>
    </w:p>
    <w:p w14:paraId="0B2F9CB9" w14:textId="77777777" w:rsidR="00117E8B" w:rsidRDefault="00117E8B">
      <w:pPr>
        <w:pStyle w:val="296"/>
      </w:pPr>
    </w:p>
    <w:p w14:paraId="0B2F9CBA" w14:textId="4ED4194F" w:rsidR="000D0E7D" w:rsidRDefault="00DA7D5F">
      <w:pPr>
        <w:pStyle w:val="296"/>
      </w:pPr>
      <w:r>
        <w:t>AP</w:t>
      </w:r>
      <w:r w:rsidR="003F7C7F">
        <w:t>HIS is asking OMB to approve</w:t>
      </w:r>
      <w:r w:rsidR="000768A8">
        <w:t xml:space="preserve"> this </w:t>
      </w:r>
      <w:r w:rsidR="001E3DD9">
        <w:t xml:space="preserve">information </w:t>
      </w:r>
      <w:r w:rsidR="003F7C7F">
        <w:t xml:space="preserve">collection </w:t>
      </w:r>
      <w:r w:rsidR="001E3DD9">
        <w:t>activity</w:t>
      </w:r>
      <w:r w:rsidR="003F7C7F">
        <w:t>,</w:t>
      </w:r>
      <w:r w:rsidR="001E3DD9">
        <w:t xml:space="preserve"> </w:t>
      </w:r>
      <w:r w:rsidR="00D77C75">
        <w:t xml:space="preserve">for </w:t>
      </w:r>
      <w:r w:rsidR="000768A8">
        <w:t xml:space="preserve">an additional </w:t>
      </w:r>
      <w:r w:rsidR="00B75D28">
        <w:t>3</w:t>
      </w:r>
      <w:r w:rsidR="00D77C75">
        <w:t xml:space="preserve"> years</w:t>
      </w:r>
      <w:r w:rsidR="003F7C7F">
        <w:t xml:space="preserve">, </w:t>
      </w:r>
      <w:r w:rsidR="00823600">
        <w:t>to prevent</w:t>
      </w:r>
      <w:r w:rsidR="00032001">
        <w:t xml:space="preserve"> the interstate movement of citrus canker into </w:t>
      </w:r>
      <w:proofErr w:type="spellStart"/>
      <w:r w:rsidR="00032001">
        <w:t>noninfested</w:t>
      </w:r>
      <w:proofErr w:type="spellEnd"/>
      <w:r w:rsidR="00032001">
        <w:t xml:space="preserve"> areas of the United States.</w:t>
      </w:r>
    </w:p>
    <w:p w14:paraId="0B2F9CBB" w14:textId="77777777" w:rsidR="000D0E7D" w:rsidRDefault="000D0E7D">
      <w:pPr>
        <w:pStyle w:val="296"/>
      </w:pPr>
    </w:p>
    <w:p w14:paraId="0B2F9CBC" w14:textId="77777777" w:rsidR="000768A8" w:rsidRDefault="000768A8">
      <w:pPr>
        <w:pStyle w:val="296"/>
      </w:pPr>
    </w:p>
    <w:p w14:paraId="0B2F9CBD" w14:textId="77777777" w:rsidR="00375C77" w:rsidRDefault="0043089F">
      <w:pPr>
        <w:pStyle w:val="296"/>
        <w:rPr>
          <w:b/>
        </w:rPr>
      </w:pPr>
      <w:r>
        <w:t xml:space="preserve"> </w:t>
      </w:r>
      <w:r w:rsidR="00375C77">
        <w:rPr>
          <w:b/>
        </w:rPr>
        <w:t>2.  Indicate how, by whom, and for what purpose the information is to be used.  Except for a new collection, indicate the actual use the agency has made of the information received from the current collection.</w:t>
      </w:r>
    </w:p>
    <w:p w14:paraId="0B2F9CBE" w14:textId="77777777" w:rsidR="00CA10E6" w:rsidRDefault="00CA10E6" w:rsidP="00CA10E6">
      <w:pPr>
        <w:pStyle w:val="296"/>
        <w:rPr>
          <w:b/>
        </w:rPr>
      </w:pPr>
    </w:p>
    <w:p w14:paraId="0B2F9CBF" w14:textId="77777777" w:rsidR="00CA10E6" w:rsidRDefault="00CA10E6" w:rsidP="00CA10E6">
      <w:pPr>
        <w:pStyle w:val="296"/>
      </w:pPr>
      <w:r w:rsidRPr="00CA10E6">
        <w:t>APHIS uses the following information activities</w:t>
      </w:r>
      <w:r w:rsidRPr="00CA10E6">
        <w:rPr>
          <w:rStyle w:val="InitialStyle"/>
          <w:rFonts w:ascii="Times New Roman" w:hAnsi="Times New Roman"/>
        </w:rPr>
        <w:t xml:space="preserve"> </w:t>
      </w:r>
      <w:r>
        <w:t>to address the risk associated with the interstate movement of citrus nursery stock and other regulated articles from areas quarantined for citrus canker.</w:t>
      </w:r>
    </w:p>
    <w:p w14:paraId="0B2F9CC0" w14:textId="77777777" w:rsidR="002F4BFB" w:rsidRDefault="002F4BFB" w:rsidP="00CA10E6">
      <w:pPr>
        <w:pStyle w:val="296"/>
      </w:pPr>
    </w:p>
    <w:p w14:paraId="11408E2D" w14:textId="77777777" w:rsidR="003F7C7F" w:rsidRDefault="003F7C7F" w:rsidP="00CA10E6">
      <w:pPr>
        <w:pStyle w:val="296"/>
      </w:pPr>
    </w:p>
    <w:p w14:paraId="0B2F9CC2" w14:textId="1934667C" w:rsidR="002F4BFB" w:rsidRDefault="002F4BFB">
      <w:pPr>
        <w:pStyle w:val="296"/>
        <w:rPr>
          <w:rFonts w:ascii="Arial" w:hAnsi="Arial" w:cs="Arial"/>
          <w:sz w:val="20"/>
          <w:szCs w:val="20"/>
        </w:rPr>
      </w:pPr>
      <w:r>
        <w:rPr>
          <w:b/>
          <w:u w:val="single"/>
        </w:rPr>
        <w:lastRenderedPageBreak/>
        <w:t>7CFR 301.75.13(a)</w:t>
      </w:r>
      <w:r w:rsidR="003F7C7F">
        <w:rPr>
          <w:b/>
          <w:u w:val="single"/>
        </w:rPr>
        <w:t xml:space="preserve"> and 301.75-7 (a)(4) - </w:t>
      </w:r>
      <w:r w:rsidR="008234E6" w:rsidRPr="008234E6">
        <w:rPr>
          <w:b/>
          <w:u w:val="single"/>
        </w:rPr>
        <w:t>Compliance Agreement</w:t>
      </w:r>
      <w:r w:rsidR="003F7C7F">
        <w:rPr>
          <w:b/>
          <w:u w:val="single"/>
        </w:rPr>
        <w:t>s</w:t>
      </w:r>
      <w:r w:rsidR="008234E6" w:rsidRPr="008234E6">
        <w:rPr>
          <w:b/>
          <w:u w:val="single"/>
        </w:rPr>
        <w:t xml:space="preserve"> (PPQ Form 519)</w:t>
      </w:r>
      <w:r>
        <w:rPr>
          <w:b/>
          <w:u w:val="single"/>
        </w:rPr>
        <w:t xml:space="preserve"> (business)</w:t>
      </w:r>
      <w:r w:rsidR="003F7C7F">
        <w:t xml:space="preserve"> - </w:t>
      </w:r>
      <w:r w:rsidRPr="002F4BFB">
        <w:t>Any person engaged in the business of growing or handling regulated articles for interstate movement may enter into a compliance agreement with the Animal and Plant Health Inspection Service to facilitate the interstate movement of regulated articles in accordance with this subpart.</w:t>
      </w:r>
      <w:r>
        <w:rPr>
          <w:rFonts w:ascii="Arial" w:hAnsi="Arial" w:cs="Arial"/>
          <w:sz w:val="20"/>
          <w:szCs w:val="20"/>
        </w:rPr>
        <w:t xml:space="preserve">  </w:t>
      </w:r>
    </w:p>
    <w:p w14:paraId="0B2F9CC3" w14:textId="77777777" w:rsidR="002F4BFB" w:rsidRDefault="002F4BFB">
      <w:pPr>
        <w:pStyle w:val="296"/>
        <w:rPr>
          <w:rFonts w:ascii="Arial" w:hAnsi="Arial" w:cs="Arial"/>
          <w:sz w:val="20"/>
          <w:szCs w:val="20"/>
        </w:rPr>
      </w:pPr>
    </w:p>
    <w:p w14:paraId="0B2F9CC4" w14:textId="77777777" w:rsidR="008C6381" w:rsidRPr="008C6381" w:rsidRDefault="008C6381">
      <w:pPr>
        <w:pStyle w:val="296"/>
        <w:rPr>
          <w:b/>
        </w:rPr>
      </w:pPr>
      <w:r w:rsidRPr="008C6381">
        <w:t>If the fruit is repackaged after being packed in a commercial packinghouse and before it is moved interstate from the quarantined area, the person that repackages the fruit must enter into a compliance agreement with APHIS in accordance with §301.75-13 and issue and attach a certificate for the interstate movement of the fruit in accordance with §301.75-12.</w:t>
      </w:r>
    </w:p>
    <w:p w14:paraId="0B2F9CC5" w14:textId="77777777" w:rsidR="008C6381" w:rsidRDefault="008C6381">
      <w:pPr>
        <w:pStyle w:val="296"/>
        <w:rPr>
          <w:b/>
        </w:rPr>
      </w:pPr>
    </w:p>
    <w:p w14:paraId="79CB01C5" w14:textId="392F224D" w:rsidR="003F7C7F" w:rsidRDefault="003F7C7F" w:rsidP="003F7C7F">
      <w:pPr>
        <w:rPr>
          <w:b/>
          <w:u w:val="single"/>
        </w:rPr>
      </w:pPr>
      <w:r>
        <w:rPr>
          <w:b/>
          <w:u w:val="single"/>
        </w:rPr>
        <w:t>7CFR301.75-6</w:t>
      </w:r>
      <w:r w:rsidR="00FB327A" w:rsidRPr="00FB327A">
        <w:rPr>
          <w:b/>
          <w:u w:val="single"/>
        </w:rPr>
        <w:t xml:space="preserve">(d), 301.75-7(b), </w:t>
      </w:r>
      <w:r>
        <w:rPr>
          <w:b/>
          <w:u w:val="single"/>
        </w:rPr>
        <w:t xml:space="preserve">and </w:t>
      </w:r>
      <w:r w:rsidR="00FB327A" w:rsidRPr="00FB327A">
        <w:rPr>
          <w:b/>
          <w:u w:val="single"/>
        </w:rPr>
        <w:t>301.75-1</w:t>
      </w:r>
      <w:r>
        <w:rPr>
          <w:b/>
          <w:u w:val="single"/>
        </w:rPr>
        <w:t xml:space="preserve">2 - </w:t>
      </w:r>
      <w:r w:rsidR="001C603C">
        <w:rPr>
          <w:b/>
          <w:u w:val="single"/>
        </w:rPr>
        <w:t>Limited Permit</w:t>
      </w:r>
      <w:r w:rsidR="00CF6A93">
        <w:rPr>
          <w:b/>
          <w:u w:val="single"/>
        </w:rPr>
        <w:t xml:space="preserve"> (PPQ </w:t>
      </w:r>
      <w:r w:rsidR="00947465">
        <w:rPr>
          <w:b/>
          <w:u w:val="single"/>
        </w:rPr>
        <w:t xml:space="preserve">Form </w:t>
      </w:r>
      <w:r w:rsidR="00CF6A93">
        <w:rPr>
          <w:b/>
          <w:u w:val="single"/>
        </w:rPr>
        <w:t>530)</w:t>
      </w:r>
      <w:r>
        <w:rPr>
          <w:b/>
          <w:u w:val="single"/>
        </w:rPr>
        <w:t xml:space="preserve"> </w:t>
      </w:r>
    </w:p>
    <w:p w14:paraId="0B2F9CC7" w14:textId="7C0FE995" w:rsidR="0012209E" w:rsidRPr="00947465" w:rsidRDefault="003F7C7F" w:rsidP="003F7C7F">
      <w:pPr>
        <w:rPr>
          <w:b/>
          <w:u w:val="single"/>
        </w:rPr>
      </w:pPr>
      <w:proofErr w:type="gramStart"/>
      <w:r w:rsidRPr="003F7C7F">
        <w:rPr>
          <w:b/>
          <w:u w:val="single"/>
        </w:rPr>
        <w:t>business</w:t>
      </w:r>
      <w:proofErr w:type="gramEnd"/>
      <w:r w:rsidRPr="003F7C7F">
        <w:rPr>
          <w:b/>
          <w:u w:val="single"/>
        </w:rPr>
        <w:t>)</w:t>
      </w:r>
      <w:r>
        <w:t xml:space="preserve"> - </w:t>
      </w:r>
      <w:r w:rsidR="008A4188">
        <w:t>L</w:t>
      </w:r>
      <w:r w:rsidR="000D5D7D" w:rsidRPr="000D5D7D">
        <w:t>imited permits may be issued for the interstate movement of regulated articles only by an inspector or by persons operating under a compliance agreement.</w:t>
      </w:r>
      <w:r w:rsidR="008A4188">
        <w:t xml:space="preserve">  </w:t>
      </w:r>
      <w:r w:rsidR="00881ABD">
        <w:t>Limited permits are used to authorize movement of regulated articles that are not certifiable to specified destinations for processing, treat</w:t>
      </w:r>
      <w:r w:rsidR="00684EE9">
        <w:t xml:space="preserve">ment, or utilization. </w:t>
      </w:r>
    </w:p>
    <w:p w14:paraId="0B2F9CC8" w14:textId="77777777" w:rsidR="00CF6A93" w:rsidRDefault="00CF6A93">
      <w:pPr>
        <w:pStyle w:val="296"/>
      </w:pPr>
    </w:p>
    <w:p w14:paraId="3D6E0F2F" w14:textId="3ABA5622" w:rsidR="003F7C7F" w:rsidRDefault="00FB327A" w:rsidP="00373C35">
      <w:pPr>
        <w:pStyle w:val="296"/>
        <w:rPr>
          <w:b/>
          <w:iCs/>
          <w:u w:val="single"/>
        </w:rPr>
      </w:pPr>
      <w:r w:rsidRPr="00373C35">
        <w:rPr>
          <w:rFonts w:ascii="Arial" w:hAnsi="Arial" w:cs="Arial"/>
          <w:sz w:val="20"/>
          <w:szCs w:val="20"/>
        </w:rPr>
        <w:t xml:space="preserve"> </w:t>
      </w:r>
      <w:r w:rsidR="003F7C7F">
        <w:rPr>
          <w:b/>
          <w:u w:val="single"/>
        </w:rPr>
        <w:t>7</w:t>
      </w:r>
      <w:r w:rsidR="007C3DDA">
        <w:rPr>
          <w:b/>
          <w:u w:val="single"/>
        </w:rPr>
        <w:t xml:space="preserve"> </w:t>
      </w:r>
      <w:r w:rsidR="003F7C7F">
        <w:rPr>
          <w:b/>
          <w:u w:val="single"/>
        </w:rPr>
        <w:t>CFR 301.75.13</w:t>
      </w:r>
      <w:r w:rsidR="00373C35" w:rsidRPr="00FB327A">
        <w:rPr>
          <w:b/>
          <w:u w:val="single"/>
        </w:rPr>
        <w:t xml:space="preserve">(b) </w:t>
      </w:r>
      <w:r w:rsidR="007C3DDA">
        <w:rPr>
          <w:b/>
          <w:u w:val="single"/>
        </w:rPr>
        <w:t>- Written Appeal for</w:t>
      </w:r>
      <w:r w:rsidR="003F7C7F">
        <w:rPr>
          <w:b/>
          <w:u w:val="single"/>
        </w:rPr>
        <w:t xml:space="preserve"> C</w:t>
      </w:r>
      <w:r w:rsidR="00EC31A9">
        <w:rPr>
          <w:b/>
          <w:u w:val="single"/>
        </w:rPr>
        <w:t xml:space="preserve">ancellation </w:t>
      </w:r>
      <w:r>
        <w:rPr>
          <w:b/>
          <w:iCs/>
          <w:u w:val="single"/>
        </w:rPr>
        <w:t xml:space="preserve">of Compliance Agreement </w:t>
      </w:r>
    </w:p>
    <w:p w14:paraId="0B2F9CC9" w14:textId="40960963" w:rsidR="00CF6A93" w:rsidRPr="00FB327A" w:rsidRDefault="00FB327A" w:rsidP="00373C35">
      <w:pPr>
        <w:pStyle w:val="296"/>
      </w:pPr>
      <w:r>
        <w:rPr>
          <w:b/>
          <w:iCs/>
          <w:u w:val="single"/>
        </w:rPr>
        <w:t>(</w:t>
      </w:r>
      <w:proofErr w:type="gramStart"/>
      <w:r>
        <w:rPr>
          <w:b/>
          <w:iCs/>
          <w:u w:val="single"/>
        </w:rPr>
        <w:t>business</w:t>
      </w:r>
      <w:proofErr w:type="gramEnd"/>
      <w:r>
        <w:rPr>
          <w:b/>
          <w:iCs/>
          <w:u w:val="single"/>
        </w:rPr>
        <w:t>)</w:t>
      </w:r>
      <w:r w:rsidR="003F7C7F">
        <w:rPr>
          <w:iCs/>
        </w:rPr>
        <w:t xml:space="preserve"> - </w:t>
      </w:r>
      <w:r w:rsidR="00373C35" w:rsidRPr="00FB327A">
        <w:t>Any compliance agreement may be cancelled orally or in writing by an inspector if the inspector finds that the person who entered into the compliance agreement has failed to comply with this subpart, or any term or condition of the compliance agreement itself. If the person is given notice of cancellation orally, written confirmation of the decision and the reasons for it must be provided as promptly as circumstances allow. Any person whose compliance agreement is cancelled may appeal the decision</w:t>
      </w:r>
      <w:r w:rsidR="003F7C7F">
        <w:t>,</w:t>
      </w:r>
      <w:r w:rsidR="00373C35" w:rsidRPr="00FB327A">
        <w:t xml:space="preserve"> in writing</w:t>
      </w:r>
      <w:r w:rsidR="003F7C7F">
        <w:t>,</w:t>
      </w:r>
      <w:r w:rsidR="00373C35" w:rsidRPr="00FB327A">
        <w:t xml:space="preserve"> to the Administrator within 10 days after receiving the written notification. The appeal must state all of the facts and reasons upon which the person relies to show that the compliance agreement was wrongfully cancelled. The Administrator must grant or deny the appeal, in writing, statin</w:t>
      </w:r>
      <w:r w:rsidR="003F7C7F">
        <w:t xml:space="preserve">g the reasons for the decision </w:t>
      </w:r>
      <w:r w:rsidR="00373C35" w:rsidRPr="00FB327A">
        <w:t>as promptly as circumstances allow. If there is a conflict as to any material fact, a hearing will be held to resolve the conflict. Rules of practice concerning the hearing will be adopted by the Administrator.</w:t>
      </w:r>
    </w:p>
    <w:p w14:paraId="0B2F9CCA" w14:textId="77777777" w:rsidR="00373C35" w:rsidRPr="00FB327A" w:rsidRDefault="00373C35">
      <w:pPr>
        <w:pStyle w:val="296"/>
      </w:pPr>
    </w:p>
    <w:p w14:paraId="0B2F9CCB" w14:textId="4FD95EB1" w:rsidR="00426C0C" w:rsidRDefault="00FB327A">
      <w:pPr>
        <w:pStyle w:val="296"/>
      </w:pPr>
      <w:r w:rsidRPr="00FB327A">
        <w:rPr>
          <w:b/>
          <w:u w:val="single"/>
        </w:rPr>
        <w:t>7</w:t>
      </w:r>
      <w:r w:rsidR="007C3DDA">
        <w:rPr>
          <w:b/>
          <w:u w:val="single"/>
        </w:rPr>
        <w:t xml:space="preserve"> </w:t>
      </w:r>
      <w:r w:rsidRPr="00FB327A">
        <w:rPr>
          <w:b/>
          <w:u w:val="single"/>
        </w:rPr>
        <w:t>CFR</w:t>
      </w:r>
      <w:r w:rsidR="007C3DDA">
        <w:rPr>
          <w:b/>
          <w:u w:val="single"/>
        </w:rPr>
        <w:t xml:space="preserve"> </w:t>
      </w:r>
      <w:r w:rsidRPr="00FB327A">
        <w:rPr>
          <w:b/>
          <w:u w:val="single"/>
        </w:rPr>
        <w:t>301.75-</w:t>
      </w:r>
      <w:r w:rsidR="003F7C7F">
        <w:rPr>
          <w:b/>
          <w:u w:val="single"/>
        </w:rPr>
        <w:t>12</w:t>
      </w:r>
      <w:r>
        <w:rPr>
          <w:b/>
          <w:u w:val="single"/>
        </w:rPr>
        <w:t>(a</w:t>
      </w:r>
      <w:proofErr w:type="gramStart"/>
      <w:r>
        <w:rPr>
          <w:b/>
          <w:u w:val="single"/>
        </w:rPr>
        <w:t>)(</w:t>
      </w:r>
      <w:proofErr w:type="gramEnd"/>
      <w:r>
        <w:rPr>
          <w:b/>
          <w:u w:val="single"/>
        </w:rPr>
        <w:t>2)</w:t>
      </w:r>
      <w:r w:rsidR="007C3DDA">
        <w:rPr>
          <w:b/>
          <w:u w:val="single"/>
        </w:rPr>
        <w:t xml:space="preserve"> - Written Appeal for Cancellation of Limited Permit (business)</w:t>
      </w:r>
      <w:r w:rsidR="007C3DDA">
        <w:t xml:space="preserve"> - </w:t>
      </w:r>
      <w:r w:rsidR="00426C0C" w:rsidRPr="003F7C7F">
        <w:t>A</w:t>
      </w:r>
      <w:r w:rsidR="00426C0C" w:rsidRPr="00FB327A">
        <w:t xml:space="preserve"> certificate or limited permit may be withdrawn by an inspector if the inspector determines that any of the applicable requirements of this subpart have not been met. The decision of the inspector and the reason for the withdrawal must be confirmed in writing as promptly as circumstances allow. Any person whose certificate or limited permit is withdrawn may appeal the decision</w:t>
      </w:r>
      <w:r w:rsidR="003F7C7F">
        <w:t>,</w:t>
      </w:r>
      <w:r w:rsidR="00426C0C" w:rsidRPr="00FB327A">
        <w:t xml:space="preserve"> in writing</w:t>
      </w:r>
      <w:r w:rsidR="003F7C7F">
        <w:t>,</w:t>
      </w:r>
      <w:r w:rsidR="00426C0C" w:rsidRPr="00FB327A">
        <w:t xml:space="preserve"> to the Administrator within 10 days after receiving the written notification. The appeal must state all of the facts and reasons upon which the person relies to show that the certificate or limited permit was wrongfully withdrawn. The Administrator must grant or deny the appeal</w:t>
      </w:r>
      <w:r w:rsidR="003F7C7F">
        <w:t>,</w:t>
      </w:r>
      <w:r w:rsidR="00426C0C" w:rsidRPr="00FB327A">
        <w:t xml:space="preserve"> in writing, stating the reasons for the decision, as promptly as circumstances allow. If there is a conflict as to any material fact, a hearing will be held to resolve the conflict. Rules of practice concerning the hearing will be adopted by the Administrator.</w:t>
      </w:r>
    </w:p>
    <w:p w14:paraId="7DA52B38" w14:textId="21185336" w:rsidR="00165718" w:rsidRDefault="00165718">
      <w:pPr>
        <w:pStyle w:val="296"/>
      </w:pPr>
    </w:p>
    <w:p w14:paraId="0619A695" w14:textId="00E78702" w:rsidR="00165718" w:rsidRPr="00165718" w:rsidRDefault="00165718">
      <w:pPr>
        <w:pStyle w:val="296"/>
      </w:pPr>
      <w:r w:rsidRPr="00165718">
        <w:rPr>
          <w:b/>
          <w:u w:val="single"/>
        </w:rPr>
        <w:t>7</w:t>
      </w:r>
      <w:r w:rsidR="007C3DDA">
        <w:rPr>
          <w:b/>
          <w:u w:val="single"/>
        </w:rPr>
        <w:t xml:space="preserve"> </w:t>
      </w:r>
      <w:r w:rsidRPr="00165718">
        <w:rPr>
          <w:b/>
          <w:u w:val="single"/>
        </w:rPr>
        <w:t>CFR 301.75.</w:t>
      </w:r>
      <w:r>
        <w:rPr>
          <w:b/>
          <w:u w:val="single"/>
        </w:rPr>
        <w:t>7</w:t>
      </w:r>
      <w:r w:rsidRPr="00165718">
        <w:rPr>
          <w:b/>
          <w:u w:val="single"/>
        </w:rPr>
        <w:t xml:space="preserve">(a) </w:t>
      </w:r>
      <w:r w:rsidR="001C603C">
        <w:rPr>
          <w:b/>
          <w:u w:val="single"/>
        </w:rPr>
        <w:t xml:space="preserve">- </w:t>
      </w:r>
      <w:r w:rsidR="00E85473">
        <w:rPr>
          <w:b/>
          <w:u w:val="single"/>
        </w:rPr>
        <w:t xml:space="preserve">Federal </w:t>
      </w:r>
      <w:r w:rsidR="001C603C">
        <w:rPr>
          <w:b/>
          <w:u w:val="single"/>
        </w:rPr>
        <w:t>Certificate (PPQ Form 540)</w:t>
      </w:r>
      <w:r w:rsidR="00E85473">
        <w:rPr>
          <w:b/>
          <w:u w:val="single"/>
        </w:rPr>
        <w:t xml:space="preserve"> (business)</w:t>
      </w:r>
      <w:r>
        <w:t xml:space="preserve"> </w:t>
      </w:r>
      <w:r w:rsidR="001C603C">
        <w:t xml:space="preserve">- </w:t>
      </w:r>
      <w:r w:rsidRPr="00165718">
        <w:t>Regulated fruit produced in a quarantined area or moved into a quarantined area for packing may be moved interstate with a certificate issued and attached in accordance with §301.75-12 if all conditions are met</w:t>
      </w:r>
      <w:r>
        <w:t>.</w:t>
      </w:r>
    </w:p>
    <w:p w14:paraId="0B2F9CCC" w14:textId="77777777" w:rsidR="00373C35" w:rsidRPr="00165718" w:rsidRDefault="00373C35">
      <w:pPr>
        <w:pStyle w:val="296"/>
      </w:pPr>
    </w:p>
    <w:p w14:paraId="0B2F9CCD" w14:textId="77777777" w:rsidR="00375C77" w:rsidRDefault="00375C77">
      <w:pPr>
        <w:pStyle w:val="296"/>
      </w:pPr>
      <w:r>
        <w:rPr>
          <w:b/>
        </w:rPr>
        <w:lastRenderedPageBreak/>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r>
        <w:t>.</w:t>
      </w:r>
    </w:p>
    <w:p w14:paraId="0B2F9CCE" w14:textId="77777777" w:rsidR="0012209E" w:rsidRDefault="0012209E">
      <w:pPr>
        <w:pStyle w:val="296"/>
      </w:pPr>
    </w:p>
    <w:p w14:paraId="0B2F9CCF" w14:textId="77777777" w:rsidR="006E5D02" w:rsidRDefault="0012209E">
      <w:pPr>
        <w:pStyle w:val="296"/>
      </w:pPr>
      <w:r>
        <w:t>Compliance Agreements (PPQ Form 519</w:t>
      </w:r>
      <w:r w:rsidR="00F93D5F">
        <w:t>)</w:t>
      </w:r>
      <w:r>
        <w:t xml:space="preserve"> are automated and posted at:</w:t>
      </w:r>
    </w:p>
    <w:p w14:paraId="0B2F9CD0" w14:textId="55BD0881" w:rsidR="00413C02" w:rsidRDefault="00066DBD">
      <w:pPr>
        <w:pStyle w:val="296"/>
      </w:pPr>
      <w:hyperlink r:id="rId11" w:history="1">
        <w:r w:rsidR="00947465" w:rsidRPr="00B708D7">
          <w:rPr>
            <w:rStyle w:val="Hyperlink"/>
          </w:rPr>
          <w:t>http://www.aphis.usda.gov/library/forms/pdf/ppq519.pdf</w:t>
        </w:r>
      </w:hyperlink>
      <w:r w:rsidR="00B87541">
        <w:t>.</w:t>
      </w:r>
    </w:p>
    <w:p w14:paraId="0B2F9CD1" w14:textId="77777777" w:rsidR="00375C50" w:rsidRDefault="00375C50">
      <w:pPr>
        <w:pStyle w:val="296"/>
      </w:pPr>
    </w:p>
    <w:p w14:paraId="0B2F9CD2" w14:textId="024317CB" w:rsidR="00CC5A36" w:rsidRDefault="00B87541" w:rsidP="00CC5A36">
      <w:r>
        <w:t xml:space="preserve">The </w:t>
      </w:r>
      <w:r w:rsidR="00CC5A36">
        <w:t xml:space="preserve">PPQ </w:t>
      </w:r>
      <w:r>
        <w:t xml:space="preserve">Form 530 and PPQ Form 540 are not automated for several reasons.  These forms have a unique identifier (serial number) and they are accountable forms that must be issued by a PPQ employee.  APHIS needs to have strict control over the issuance of these forms since they allow the movement of regulated products that are subject to restrictions.  In addition, the forms must accompany the shipment throughout transport and until </w:t>
      </w:r>
      <w:proofErr w:type="spellStart"/>
      <w:r>
        <w:t>destinastion</w:t>
      </w:r>
      <w:proofErr w:type="spellEnd"/>
      <w:r>
        <w:t>.</w:t>
      </w:r>
    </w:p>
    <w:p w14:paraId="0B2F9CD3" w14:textId="77777777" w:rsidR="00CC5A36" w:rsidRDefault="00CC5A36" w:rsidP="00CC5A36"/>
    <w:p w14:paraId="0B2F9CD4" w14:textId="77777777" w:rsidR="00CC5A36" w:rsidRDefault="00CC5A36">
      <w:pPr>
        <w:pStyle w:val="296"/>
      </w:pPr>
    </w:p>
    <w:p w14:paraId="0B2F9CD5" w14:textId="77777777" w:rsidR="00375C77" w:rsidRDefault="00375C77">
      <w:pPr>
        <w:pStyle w:val="296"/>
        <w:rPr>
          <w:b/>
        </w:rPr>
      </w:pPr>
      <w:r>
        <w:rPr>
          <w:b/>
        </w:rPr>
        <w:t>4.  Describe efforts to identify duplication.  Show specifically why any similar information already available cannot be used or modified for use for the purpose described in item 2 above.</w:t>
      </w:r>
    </w:p>
    <w:p w14:paraId="0B2F9CD6" w14:textId="77777777" w:rsidR="00375C77" w:rsidRDefault="00375C77">
      <w:pPr>
        <w:pStyle w:val="296"/>
        <w:rPr>
          <w:b/>
        </w:rPr>
      </w:pPr>
    </w:p>
    <w:p w14:paraId="0B2F9CD7" w14:textId="77777777" w:rsidR="00375C77" w:rsidRDefault="00BD3D82">
      <w:pPr>
        <w:pStyle w:val="296"/>
      </w:pPr>
      <w:r>
        <w:t>The information APHIS</w:t>
      </w:r>
      <w:r w:rsidR="00375C77">
        <w:t xml:space="preserve"> collect</w:t>
      </w:r>
      <w:r>
        <w:t>s is exclusive to its</w:t>
      </w:r>
      <w:r w:rsidR="00375C77">
        <w:t xml:space="preserve"> mission</w:t>
      </w:r>
      <w:r w:rsidR="009C4F1A">
        <w:t xml:space="preserve"> </w:t>
      </w:r>
      <w:r w:rsidR="00375C77">
        <w:t>of preventing the incursion or interstate spread of plant pests and noxious weeds and is not available from any other source.</w:t>
      </w:r>
    </w:p>
    <w:p w14:paraId="0B2F9CD8" w14:textId="77777777" w:rsidR="00375C77" w:rsidRDefault="00375C77">
      <w:pPr>
        <w:pStyle w:val="296"/>
      </w:pPr>
    </w:p>
    <w:p w14:paraId="0B2F9CD9" w14:textId="77777777" w:rsidR="001005FE" w:rsidRDefault="001005FE">
      <w:pPr>
        <w:pStyle w:val="296"/>
      </w:pPr>
    </w:p>
    <w:p w14:paraId="0B2F9CDA" w14:textId="77777777" w:rsidR="00375C77" w:rsidRDefault="00375C77">
      <w:pPr>
        <w:pStyle w:val="296"/>
        <w:rPr>
          <w:b/>
        </w:rPr>
      </w:pPr>
      <w:r>
        <w:rPr>
          <w:b/>
        </w:rPr>
        <w:t>5.  If the collection of information impacts small businesses or other small entities, describe any methods used to minimize burden.</w:t>
      </w:r>
    </w:p>
    <w:p w14:paraId="0B2F9CDB" w14:textId="77777777" w:rsidR="00375C77" w:rsidRDefault="00375C77">
      <w:pPr>
        <w:pStyle w:val="296"/>
        <w:rPr>
          <w:b/>
        </w:rPr>
      </w:pPr>
    </w:p>
    <w:p w14:paraId="0B2F9CDC" w14:textId="3ED63326" w:rsidR="00375C77" w:rsidRDefault="00375C77">
      <w:pPr>
        <w:pStyle w:val="296"/>
      </w:pPr>
      <w:r>
        <w:t>T</w:t>
      </w:r>
      <w:r w:rsidR="00BD3D82">
        <w:t>he information APHIS collects</w:t>
      </w:r>
      <w:r w:rsidR="0038136D">
        <w:t xml:space="preserve"> associated </w:t>
      </w:r>
      <w:r>
        <w:t xml:space="preserve">with this program is the minimum needed </w:t>
      </w:r>
      <w:r w:rsidR="00AB23B2">
        <w:t>to prevent</w:t>
      </w:r>
      <w:r w:rsidR="0038136D">
        <w:t xml:space="preserve"> the spread of citrus canker into </w:t>
      </w:r>
      <w:proofErr w:type="spellStart"/>
      <w:r w:rsidR="0038136D">
        <w:t>noninfested</w:t>
      </w:r>
      <w:proofErr w:type="spellEnd"/>
      <w:r w:rsidR="0038136D">
        <w:t xml:space="preserve"> areas of the </w:t>
      </w:r>
      <w:smartTag w:uri="urn:schemas-microsoft-com:office:smarttags" w:element="place">
        <w:smartTag w:uri="urn:schemas-microsoft-com:office:smarttags" w:element="country-region">
          <w:r w:rsidR="0038136D">
            <w:t>United States</w:t>
          </w:r>
        </w:smartTag>
      </w:smartTag>
      <w:r w:rsidR="0038136D">
        <w:t>.</w:t>
      </w:r>
      <w:r w:rsidR="008F440A">
        <w:t xml:space="preserve">  </w:t>
      </w:r>
      <w:r w:rsidR="004B1A59">
        <w:t xml:space="preserve"> APHIS has determined </w:t>
      </w:r>
      <w:r w:rsidR="00B87541">
        <w:t xml:space="preserve">that approximately all of the </w:t>
      </w:r>
      <w:r w:rsidR="004B1A59">
        <w:t>respondents are small entities.</w:t>
      </w:r>
    </w:p>
    <w:p w14:paraId="0B2F9CDD" w14:textId="77777777" w:rsidR="0038136D" w:rsidRDefault="0038136D">
      <w:pPr>
        <w:pStyle w:val="296"/>
      </w:pPr>
    </w:p>
    <w:p w14:paraId="0B2F9CDE" w14:textId="77777777" w:rsidR="001005FE" w:rsidRDefault="001005FE">
      <w:pPr>
        <w:pStyle w:val="296"/>
      </w:pPr>
    </w:p>
    <w:p w14:paraId="0B2F9CDF" w14:textId="77777777" w:rsidR="00375C77" w:rsidRDefault="00375C77">
      <w:pPr>
        <w:pStyle w:val="296"/>
        <w:rPr>
          <w:b/>
        </w:rPr>
      </w:pPr>
      <w:r>
        <w:rPr>
          <w:b/>
        </w:rPr>
        <w:t xml:space="preserve">6.  Describe the consequences </w:t>
      </w:r>
      <w:proofErr w:type="spellStart"/>
      <w:r>
        <w:rPr>
          <w:b/>
        </w:rPr>
        <w:t>o</w:t>
      </w:r>
      <w:proofErr w:type="spellEnd"/>
      <w:r>
        <w:rPr>
          <w:b/>
        </w:rPr>
        <w:t xml:space="preserve"> Federal program or policy activities if the collection is not conducted or is conducted less frequently, as well as any technical or legal obstacles to reducing burden.</w:t>
      </w:r>
    </w:p>
    <w:p w14:paraId="0B2F9CE0" w14:textId="77777777" w:rsidR="00375C77" w:rsidRDefault="00375C77">
      <w:pPr>
        <w:pStyle w:val="296"/>
        <w:rPr>
          <w:b/>
        </w:rPr>
      </w:pPr>
    </w:p>
    <w:p w14:paraId="0B2F9CE1" w14:textId="72182ED0" w:rsidR="00375C77" w:rsidRDefault="002B2915">
      <w:pPr>
        <w:pStyle w:val="296"/>
      </w:pPr>
      <w:r>
        <w:t xml:space="preserve">Failing to collect </w:t>
      </w:r>
      <w:r w:rsidR="00B87541">
        <w:t xml:space="preserve">this information, </w:t>
      </w:r>
      <w:r w:rsidR="0038136D">
        <w:t>or if this information was c</w:t>
      </w:r>
      <w:r w:rsidR="00CF0288">
        <w:t>ollected less frequently</w:t>
      </w:r>
      <w:r w:rsidR="00B87541">
        <w:t>,</w:t>
      </w:r>
      <w:r w:rsidR="00CF0288">
        <w:t xml:space="preserve"> </w:t>
      </w:r>
      <w:r>
        <w:t>could cause a severe economic loss to the citrus industry.</w:t>
      </w:r>
    </w:p>
    <w:p w14:paraId="0B2F9CE2" w14:textId="77777777" w:rsidR="002B2915" w:rsidRDefault="002B2915">
      <w:pPr>
        <w:pStyle w:val="296"/>
      </w:pPr>
    </w:p>
    <w:p w14:paraId="24C8CA8A" w14:textId="77777777" w:rsidR="00B87541" w:rsidRDefault="00B87541">
      <w:pPr>
        <w:pStyle w:val="296"/>
      </w:pPr>
    </w:p>
    <w:p w14:paraId="0B2F9CE3" w14:textId="77777777" w:rsidR="00375C77" w:rsidRDefault="00375C77">
      <w:pPr>
        <w:pStyle w:val="296"/>
        <w:rPr>
          <w:b/>
        </w:rPr>
      </w:pPr>
      <w:r>
        <w:rPr>
          <w:b/>
        </w:rPr>
        <w:t>7.  Explain any special circumstances that require the collection to be conducted in a manner inconsistent with the general information collec</w:t>
      </w:r>
      <w:r w:rsidR="005E5CD7">
        <w:rPr>
          <w:b/>
        </w:rPr>
        <w:t>tion guidelines in 5 CFR 1320.5:</w:t>
      </w:r>
    </w:p>
    <w:p w14:paraId="0B2F9CE4" w14:textId="77777777" w:rsidR="00375C77" w:rsidRDefault="00375C77">
      <w:pPr>
        <w:pStyle w:val="296"/>
      </w:pPr>
    </w:p>
    <w:p w14:paraId="0B2F9CE5" w14:textId="77777777" w:rsidR="005E5CD7" w:rsidRDefault="005E5CD7" w:rsidP="00375C50">
      <w:pPr>
        <w:numPr>
          <w:ilvl w:val="0"/>
          <w:numId w:val="1"/>
        </w:numPr>
        <w:tabs>
          <w:tab w:val="clear" w:pos="360"/>
        </w:tabs>
        <w:overflowPunct/>
        <w:autoSpaceDE/>
        <w:autoSpaceDN/>
        <w:adjustRightInd/>
        <w:ind w:left="1170" w:hanging="450"/>
        <w:textAlignment w:val="auto"/>
        <w:rPr>
          <w:b/>
        </w:rPr>
      </w:pPr>
      <w:r>
        <w:rPr>
          <w:b/>
        </w:rPr>
        <w:t>requiring respondents to report informa</w:t>
      </w:r>
      <w:r>
        <w:rPr>
          <w:b/>
        </w:rPr>
        <w:softHyphen/>
        <w:t>tion to the agency more often than quarterly;</w:t>
      </w:r>
    </w:p>
    <w:p w14:paraId="0B2F9CE6" w14:textId="77777777" w:rsidR="00375C50" w:rsidRDefault="00375C50" w:rsidP="00375C50">
      <w:pPr>
        <w:overflowPunct/>
        <w:autoSpaceDE/>
        <w:autoSpaceDN/>
        <w:adjustRightInd/>
        <w:ind w:left="1170"/>
        <w:textAlignment w:val="auto"/>
        <w:rPr>
          <w:b/>
        </w:rPr>
      </w:pPr>
    </w:p>
    <w:p w14:paraId="0B2F9CE7" w14:textId="77777777" w:rsidR="005E5CD7" w:rsidRDefault="005E5CD7" w:rsidP="00375C50">
      <w:pPr>
        <w:numPr>
          <w:ilvl w:val="0"/>
          <w:numId w:val="3"/>
        </w:numPr>
        <w:tabs>
          <w:tab w:val="clear" w:pos="360"/>
        </w:tabs>
        <w:overflowPunct/>
        <w:autoSpaceDE/>
        <w:autoSpaceDN/>
        <w:adjustRightInd/>
        <w:ind w:left="1170" w:hanging="450"/>
        <w:textAlignment w:val="auto"/>
        <w:rPr>
          <w:b/>
        </w:rPr>
      </w:pPr>
      <w:r>
        <w:rPr>
          <w:b/>
        </w:rPr>
        <w:lastRenderedPageBreak/>
        <w:t>requiring respondents to submit more than an original and two copies of any docu</w:t>
      </w:r>
      <w:r>
        <w:rPr>
          <w:b/>
        </w:rPr>
        <w:softHyphen/>
        <w:t>ment;</w:t>
      </w:r>
    </w:p>
    <w:p w14:paraId="0B2F9CE8" w14:textId="77777777" w:rsidR="00375C50" w:rsidRDefault="00375C50" w:rsidP="00375C50">
      <w:pPr>
        <w:overflowPunct/>
        <w:autoSpaceDE/>
        <w:autoSpaceDN/>
        <w:adjustRightInd/>
        <w:ind w:left="1170"/>
        <w:textAlignment w:val="auto"/>
        <w:rPr>
          <w:b/>
        </w:rPr>
      </w:pPr>
    </w:p>
    <w:p w14:paraId="0B2F9CE9" w14:textId="77777777" w:rsidR="005E5CD7" w:rsidRDefault="005E5CD7" w:rsidP="00375C50">
      <w:pPr>
        <w:numPr>
          <w:ilvl w:val="0"/>
          <w:numId w:val="4"/>
        </w:numPr>
        <w:tabs>
          <w:tab w:val="clear" w:pos="360"/>
        </w:tabs>
        <w:overflowPunct/>
        <w:autoSpaceDE/>
        <w:autoSpaceDN/>
        <w:adjustRightInd/>
        <w:ind w:left="1170" w:hanging="450"/>
        <w:textAlignment w:val="auto"/>
        <w:rPr>
          <w:b/>
        </w:rPr>
      </w:pPr>
      <w:r>
        <w:rPr>
          <w:b/>
        </w:rPr>
        <w:t>requiring respondents to retain re</w:t>
      </w:r>
      <w:r>
        <w:rPr>
          <w:b/>
        </w:rPr>
        <w:softHyphen/>
        <w:t>cords, other than health, medical, governm</w:t>
      </w:r>
      <w:r>
        <w:rPr>
          <w:b/>
        </w:rPr>
        <w:softHyphen/>
        <w:t>ent contract, grant-in-aid, or tax records for more than three years;</w:t>
      </w:r>
    </w:p>
    <w:p w14:paraId="0B2F9CEA" w14:textId="77777777" w:rsidR="00375C50" w:rsidRDefault="00375C50" w:rsidP="00375C50">
      <w:pPr>
        <w:overflowPunct/>
        <w:autoSpaceDE/>
        <w:autoSpaceDN/>
        <w:adjustRightInd/>
        <w:ind w:left="1170"/>
        <w:textAlignment w:val="auto"/>
        <w:rPr>
          <w:b/>
        </w:rPr>
      </w:pPr>
    </w:p>
    <w:p w14:paraId="0B2F9CEB" w14:textId="77777777" w:rsidR="005E5CD7" w:rsidRDefault="005E5CD7" w:rsidP="00375C50">
      <w:pPr>
        <w:numPr>
          <w:ilvl w:val="0"/>
          <w:numId w:val="5"/>
        </w:numPr>
        <w:tabs>
          <w:tab w:val="clear" w:pos="360"/>
        </w:tabs>
        <w:overflowPunct/>
        <w:autoSpaceDE/>
        <w:autoSpaceDN/>
        <w:adjustRightInd/>
        <w:ind w:left="1170" w:hanging="450"/>
        <w:textAlignment w:val="auto"/>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0B2F9CEC" w14:textId="77777777" w:rsidR="00375C50" w:rsidRDefault="00375C50" w:rsidP="00375C50">
      <w:pPr>
        <w:overflowPunct/>
        <w:autoSpaceDE/>
        <w:autoSpaceDN/>
        <w:adjustRightInd/>
        <w:ind w:left="1170"/>
        <w:textAlignment w:val="auto"/>
        <w:rPr>
          <w:b/>
        </w:rPr>
      </w:pPr>
    </w:p>
    <w:p w14:paraId="0B2F9CED" w14:textId="77777777" w:rsidR="005E5CD7" w:rsidRDefault="005E5CD7" w:rsidP="00375C50">
      <w:pPr>
        <w:numPr>
          <w:ilvl w:val="0"/>
          <w:numId w:val="6"/>
        </w:numPr>
        <w:tabs>
          <w:tab w:val="clear" w:pos="360"/>
        </w:tabs>
        <w:overflowPunct/>
        <w:autoSpaceDE/>
        <w:autoSpaceDN/>
        <w:adjustRightInd/>
        <w:ind w:left="1170" w:hanging="450"/>
        <w:textAlignment w:val="auto"/>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0B2F9CEE" w14:textId="77777777" w:rsidR="00375C50" w:rsidRDefault="00375C50" w:rsidP="00375C50">
      <w:pPr>
        <w:overflowPunct/>
        <w:autoSpaceDE/>
        <w:autoSpaceDN/>
        <w:adjustRightInd/>
        <w:ind w:left="1170"/>
        <w:textAlignment w:val="auto"/>
        <w:rPr>
          <w:b/>
        </w:rPr>
      </w:pPr>
    </w:p>
    <w:p w14:paraId="0B2F9CEF" w14:textId="77777777" w:rsidR="005E5CD7" w:rsidRDefault="005E5CD7" w:rsidP="00375C50">
      <w:pPr>
        <w:numPr>
          <w:ilvl w:val="0"/>
          <w:numId w:val="7"/>
        </w:numPr>
        <w:tabs>
          <w:tab w:val="clear" w:pos="360"/>
        </w:tabs>
        <w:overflowPunct/>
        <w:autoSpaceDE/>
        <w:autoSpaceDN/>
        <w:adjustRightInd/>
        <w:ind w:left="1170" w:hanging="450"/>
        <w:textAlignment w:val="auto"/>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0B2F9CF0" w14:textId="77777777" w:rsidR="00375C50" w:rsidRDefault="00375C50" w:rsidP="00375C50">
      <w:pPr>
        <w:overflowPunct/>
        <w:autoSpaceDE/>
        <w:autoSpaceDN/>
        <w:adjustRightInd/>
        <w:ind w:left="1170"/>
        <w:textAlignment w:val="auto"/>
        <w:rPr>
          <w:b/>
        </w:rPr>
      </w:pPr>
    </w:p>
    <w:p w14:paraId="0B2F9CF1" w14:textId="77777777" w:rsidR="005E5CD7" w:rsidRDefault="005E5CD7" w:rsidP="00375C50">
      <w:pPr>
        <w:numPr>
          <w:ilvl w:val="0"/>
          <w:numId w:val="8"/>
        </w:numPr>
        <w:tabs>
          <w:tab w:val="clear" w:pos="360"/>
          <w:tab w:val="num" w:pos="648"/>
        </w:tabs>
        <w:overflowPunct/>
        <w:autoSpaceDE/>
        <w:autoSpaceDN/>
        <w:adjustRightInd/>
        <w:ind w:left="1170" w:hanging="450"/>
        <w:textAlignment w:val="auto"/>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0B2F9CF2" w14:textId="77777777" w:rsidR="005E5CD7" w:rsidRDefault="005E5CD7" w:rsidP="00375C50">
      <w:pPr>
        <w:pStyle w:val="296"/>
      </w:pPr>
    </w:p>
    <w:p w14:paraId="0B2F9CF3" w14:textId="77777777" w:rsidR="005E5CD7" w:rsidRDefault="005E5CD7" w:rsidP="005E5CD7">
      <w:pPr>
        <w:pStyle w:val="296"/>
      </w:pPr>
      <w:r>
        <w:t>No special circumstances exist that would require this collection to be conducted in a manner inconsistent with the general information collection guidelines in 5 CFR 1320.5.</w:t>
      </w:r>
    </w:p>
    <w:p w14:paraId="0B2F9CF4" w14:textId="77777777" w:rsidR="005E5CD7" w:rsidRDefault="005E5CD7">
      <w:pPr>
        <w:pStyle w:val="296"/>
      </w:pPr>
    </w:p>
    <w:p w14:paraId="0B2F9CF5" w14:textId="77777777" w:rsidR="005E5CD7" w:rsidRDefault="005E5CD7">
      <w:pPr>
        <w:pStyle w:val="296"/>
      </w:pPr>
    </w:p>
    <w:p w14:paraId="0B2F9CF6" w14:textId="77777777" w:rsidR="00375C77" w:rsidRDefault="00375C77">
      <w:pPr>
        <w:pStyle w:val="296"/>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0B2F9CF7" w14:textId="77777777" w:rsidR="00375C77" w:rsidRDefault="00375C77">
      <w:pPr>
        <w:pStyle w:val="296"/>
        <w:rPr>
          <w:b/>
        </w:rPr>
      </w:pPr>
    </w:p>
    <w:p w14:paraId="0B2F9CF8" w14:textId="00DA092F" w:rsidR="0037537B" w:rsidRDefault="00416F80">
      <w:pPr>
        <w:pStyle w:val="296"/>
      </w:pPr>
      <w:r>
        <w:t>APHIS</w:t>
      </w:r>
      <w:r w:rsidR="00375C77">
        <w:t xml:space="preserve"> held productive consultations with the followi</w:t>
      </w:r>
      <w:r w:rsidR="00B87541">
        <w:t xml:space="preserve">ng </w:t>
      </w:r>
      <w:r w:rsidR="00375C77">
        <w:t>conc</w:t>
      </w:r>
      <w:r w:rsidR="00B87541">
        <w:t>erning this program</w:t>
      </w:r>
      <w:r w:rsidR="0037537B">
        <w:t>:</w:t>
      </w:r>
    </w:p>
    <w:p w14:paraId="479F044D" w14:textId="77777777" w:rsidR="00B87541" w:rsidRDefault="00B87541">
      <w:pPr>
        <w:pStyle w:val="296"/>
      </w:pPr>
    </w:p>
    <w:p w14:paraId="0B2F9CFB" w14:textId="5B4EB8E3" w:rsidR="00373C35" w:rsidRDefault="00373C35">
      <w:pPr>
        <w:pStyle w:val="296"/>
      </w:pPr>
      <w:r>
        <w:t>Drew Love</w:t>
      </w:r>
      <w:r w:rsidR="00B87541">
        <w:t xml:space="preserve">, </w:t>
      </w:r>
      <w:r>
        <w:t xml:space="preserve">Director </w:t>
      </w:r>
      <w:r w:rsidR="00B87541">
        <w:t xml:space="preserve">of </w:t>
      </w:r>
      <w:r>
        <w:t xml:space="preserve">State Legislative Affairs </w:t>
      </w:r>
    </w:p>
    <w:p w14:paraId="759E56A0" w14:textId="566E2A04" w:rsidR="00B87541" w:rsidRDefault="00B87541">
      <w:pPr>
        <w:pStyle w:val="296"/>
      </w:pPr>
      <w:r>
        <w:t>Florida Citrus Mutual</w:t>
      </w:r>
    </w:p>
    <w:p w14:paraId="0B2F9CFC" w14:textId="77777777" w:rsidR="00157CF0" w:rsidRDefault="00373C35">
      <w:pPr>
        <w:pStyle w:val="296"/>
      </w:pPr>
      <w:r>
        <w:t>411 E. Orange Street</w:t>
      </w:r>
    </w:p>
    <w:p w14:paraId="0B2F9CFD" w14:textId="77777777" w:rsidR="00157CF0" w:rsidRDefault="00157CF0">
      <w:pPr>
        <w:pStyle w:val="296"/>
      </w:pPr>
      <w:smartTag w:uri="urn:schemas-microsoft-com:office:smarttags" w:element="place">
        <w:smartTag w:uri="urn:schemas-microsoft-com:office:smarttags" w:element="City">
          <w:r>
            <w:t>Lakeland</w:t>
          </w:r>
        </w:smartTag>
        <w:r>
          <w:t xml:space="preserve">, </w:t>
        </w:r>
        <w:smartTag w:uri="urn:schemas-microsoft-com:office:smarttags" w:element="State">
          <w:r>
            <w:t>FL</w:t>
          </w:r>
        </w:smartTag>
        <w:r>
          <w:t xml:space="preserve">  </w:t>
        </w:r>
        <w:smartTag w:uri="urn:schemas-microsoft-com:office:smarttags" w:element="PostalCode">
          <w:r>
            <w:t>33802</w:t>
          </w:r>
        </w:smartTag>
      </w:smartTag>
    </w:p>
    <w:p w14:paraId="0B2F9CFE" w14:textId="2B7967E0" w:rsidR="00157CF0" w:rsidRDefault="00B87541">
      <w:pPr>
        <w:pStyle w:val="296"/>
      </w:pPr>
      <w:r>
        <w:t>863-</w:t>
      </w:r>
      <w:r w:rsidR="00157CF0">
        <w:t>682-1111</w:t>
      </w:r>
    </w:p>
    <w:p w14:paraId="0B2F9CFF" w14:textId="77777777" w:rsidR="00157CF0" w:rsidRDefault="00157CF0">
      <w:pPr>
        <w:pStyle w:val="296"/>
      </w:pPr>
    </w:p>
    <w:p w14:paraId="0B2F9D01" w14:textId="1A88335E" w:rsidR="00387413" w:rsidRDefault="00373C35">
      <w:pPr>
        <w:pStyle w:val="296"/>
      </w:pPr>
      <w:r>
        <w:t>Suzy</w:t>
      </w:r>
      <w:r w:rsidR="00B80BDC">
        <w:t xml:space="preserve"> </w:t>
      </w:r>
      <w:proofErr w:type="spellStart"/>
      <w:r w:rsidR="00387413">
        <w:t>Peckett</w:t>
      </w:r>
      <w:proofErr w:type="spellEnd"/>
      <w:r w:rsidR="00B87541">
        <w:t>, President</w:t>
      </w:r>
    </w:p>
    <w:p w14:paraId="27AFB38F" w14:textId="77777777" w:rsidR="00B87541" w:rsidRDefault="00B87541" w:rsidP="00B87541">
      <w:pPr>
        <w:pStyle w:val="296"/>
      </w:pPr>
      <w:proofErr w:type="spellStart"/>
      <w:r>
        <w:t>Peckett’s</w:t>
      </w:r>
      <w:proofErr w:type="spellEnd"/>
      <w:r>
        <w:t xml:space="preserve"> Inc.</w:t>
      </w:r>
    </w:p>
    <w:p w14:paraId="0B2F9D02" w14:textId="77777777" w:rsidR="00504AB1" w:rsidRDefault="00504AB1">
      <w:pPr>
        <w:pStyle w:val="296"/>
      </w:pPr>
      <w:r>
        <w:t>5643 Round Tree Lake Rd.</w:t>
      </w:r>
    </w:p>
    <w:p w14:paraId="0B2F9D03" w14:textId="77777777" w:rsidR="00504AB1" w:rsidRDefault="00504AB1">
      <w:pPr>
        <w:pStyle w:val="296"/>
      </w:pPr>
      <w:smartTag w:uri="urn:schemas-microsoft-com:office:smarttags" w:element="place">
        <w:smartTag w:uri="urn:schemas-microsoft-com:office:smarttags" w:element="City">
          <w:r>
            <w:t>Apopka</w:t>
          </w:r>
        </w:smartTag>
        <w:r>
          <w:t xml:space="preserve">, </w:t>
        </w:r>
        <w:smartTag w:uri="urn:schemas-microsoft-com:office:smarttags" w:element="State">
          <w:r>
            <w:t>FL</w:t>
          </w:r>
        </w:smartTag>
        <w:r>
          <w:t xml:space="preserve">  </w:t>
        </w:r>
        <w:smartTag w:uri="urn:schemas-microsoft-com:office:smarttags" w:element="PostalCode">
          <w:r>
            <w:t>32712</w:t>
          </w:r>
        </w:smartTag>
      </w:smartTag>
    </w:p>
    <w:p w14:paraId="0B2F9D04" w14:textId="09C7EB69" w:rsidR="00387413" w:rsidRDefault="00B87541">
      <w:pPr>
        <w:pStyle w:val="296"/>
      </w:pPr>
      <w:r>
        <w:t>407-</w:t>
      </w:r>
      <w:r w:rsidR="00387413">
        <w:t>886-5901</w:t>
      </w:r>
    </w:p>
    <w:p w14:paraId="0B2F9D05" w14:textId="77777777" w:rsidR="00886DD1" w:rsidRDefault="00886DD1">
      <w:pPr>
        <w:pStyle w:val="296"/>
      </w:pPr>
    </w:p>
    <w:p w14:paraId="559EDE6E" w14:textId="77777777" w:rsidR="00B87541" w:rsidRDefault="00B87541">
      <w:pPr>
        <w:pStyle w:val="296"/>
      </w:pPr>
    </w:p>
    <w:p w14:paraId="0B2F9D08" w14:textId="75BA71A4" w:rsidR="00373C35" w:rsidRDefault="00373C35">
      <w:pPr>
        <w:pStyle w:val="296"/>
      </w:pPr>
      <w:r>
        <w:lastRenderedPageBreak/>
        <w:t xml:space="preserve">Lisa </w:t>
      </w:r>
      <w:proofErr w:type="spellStart"/>
      <w:r>
        <w:t>Lockridge</w:t>
      </w:r>
      <w:proofErr w:type="spellEnd"/>
      <w:r w:rsidR="00B87541">
        <w:t xml:space="preserve">, </w:t>
      </w:r>
      <w:r>
        <w:t>Director of Public Relations</w:t>
      </w:r>
    </w:p>
    <w:p w14:paraId="3C7C0756" w14:textId="77777777" w:rsidR="00B87541" w:rsidRDefault="00B87541" w:rsidP="00B87541">
      <w:pPr>
        <w:pStyle w:val="296"/>
      </w:pPr>
      <w:r>
        <w:t>Florida Fruits and Vegetables Association</w:t>
      </w:r>
    </w:p>
    <w:p w14:paraId="0B2F9D09" w14:textId="77777777" w:rsidR="00157CF0" w:rsidRDefault="00157CF0">
      <w:pPr>
        <w:pStyle w:val="296"/>
      </w:pPr>
      <w:r>
        <w:t>P.O. Box 948153</w:t>
      </w:r>
    </w:p>
    <w:p w14:paraId="0B2F9D0A" w14:textId="44849605" w:rsidR="00157CF0" w:rsidRDefault="00157CF0">
      <w:pPr>
        <w:pStyle w:val="296"/>
      </w:pPr>
      <w:r>
        <w:t>Maitland, FL</w:t>
      </w:r>
      <w:r w:rsidR="00B87541">
        <w:t xml:space="preserve">  32794</w:t>
      </w:r>
    </w:p>
    <w:p w14:paraId="0B2F9D0B" w14:textId="5346F110" w:rsidR="00157CF0" w:rsidRDefault="00B87541">
      <w:pPr>
        <w:pStyle w:val="296"/>
      </w:pPr>
      <w:r>
        <w:t>321-</w:t>
      </w:r>
      <w:r w:rsidR="00157CF0">
        <w:t>214-52</w:t>
      </w:r>
      <w:r w:rsidR="00E97121">
        <w:t>06</w:t>
      </w:r>
    </w:p>
    <w:p w14:paraId="0B2F9D0C" w14:textId="77777777" w:rsidR="00157CF0" w:rsidRDefault="00157CF0">
      <w:pPr>
        <w:pStyle w:val="296"/>
        <w:rPr>
          <w:b/>
        </w:rPr>
      </w:pPr>
    </w:p>
    <w:p w14:paraId="2D7C266B" w14:textId="50C5D4F7" w:rsidR="00B87541" w:rsidRDefault="00CF6CD0">
      <w:pPr>
        <w:pStyle w:val="296"/>
      </w:pPr>
      <w:r>
        <w:t>On Friday, April 21</w:t>
      </w:r>
      <w:r w:rsidR="004652ED">
        <w:t>, 2017, APHIS published in the Federal Register, a 60-day notice seeking public comments on its plan to request a 3-year renewal of this information collection.  No comments from the public were received.</w:t>
      </w:r>
    </w:p>
    <w:p w14:paraId="149112A0" w14:textId="77777777" w:rsidR="004652ED" w:rsidRDefault="004652ED">
      <w:pPr>
        <w:pStyle w:val="296"/>
      </w:pPr>
    </w:p>
    <w:p w14:paraId="0B2F9D0D" w14:textId="77777777" w:rsidR="00947465" w:rsidRPr="00CF0288" w:rsidRDefault="00947465">
      <w:pPr>
        <w:pStyle w:val="296"/>
      </w:pPr>
    </w:p>
    <w:p w14:paraId="0B2F9D0E" w14:textId="77777777" w:rsidR="00375C77" w:rsidRDefault="00375C77">
      <w:pPr>
        <w:pStyle w:val="296"/>
        <w:rPr>
          <w:b/>
        </w:rPr>
      </w:pPr>
      <w:r>
        <w:rPr>
          <w:b/>
        </w:rPr>
        <w:t xml:space="preserve">9.  Explain any decision to provide any payment or gift to respondents, other than </w:t>
      </w:r>
      <w:proofErr w:type="spellStart"/>
      <w:r>
        <w:rPr>
          <w:b/>
        </w:rPr>
        <w:t>reenumeration</w:t>
      </w:r>
      <w:proofErr w:type="spellEnd"/>
      <w:r>
        <w:rPr>
          <w:b/>
        </w:rPr>
        <w:t xml:space="preserve"> of contractors or grantees.</w:t>
      </w:r>
    </w:p>
    <w:p w14:paraId="0B2F9D0F" w14:textId="77777777" w:rsidR="00375C77" w:rsidRDefault="00375C77">
      <w:pPr>
        <w:pStyle w:val="296"/>
        <w:rPr>
          <w:b/>
        </w:rPr>
      </w:pPr>
    </w:p>
    <w:p w14:paraId="0B2F9D10" w14:textId="77777777" w:rsidR="00375C77" w:rsidRDefault="00375C77">
      <w:pPr>
        <w:pStyle w:val="296"/>
      </w:pPr>
      <w:r>
        <w:t>This information collection activity involves no payments (other than appropriate, program-related payments) or gifts to respondents.</w:t>
      </w:r>
    </w:p>
    <w:p w14:paraId="0B2F9D11" w14:textId="77777777" w:rsidR="00375C77" w:rsidRDefault="00375C77">
      <w:pPr>
        <w:pStyle w:val="296"/>
      </w:pPr>
    </w:p>
    <w:p w14:paraId="0B2F9D12" w14:textId="77777777" w:rsidR="001422B7" w:rsidRDefault="001422B7">
      <w:pPr>
        <w:pStyle w:val="296"/>
      </w:pPr>
    </w:p>
    <w:p w14:paraId="0B2F9D13" w14:textId="77777777" w:rsidR="00375C77" w:rsidRDefault="00375C77">
      <w:pPr>
        <w:pStyle w:val="296"/>
        <w:rPr>
          <w:b/>
        </w:rPr>
      </w:pPr>
      <w:r>
        <w:rPr>
          <w:b/>
        </w:rPr>
        <w:t>10.  Describe any assurance of confidentiality provided to respondents and the basis for the assurance in status, regulation, or agency policy.</w:t>
      </w:r>
    </w:p>
    <w:p w14:paraId="0B2F9D14" w14:textId="77777777" w:rsidR="00375C77" w:rsidRDefault="00375C77">
      <w:pPr>
        <w:pStyle w:val="296"/>
        <w:rPr>
          <w:b/>
        </w:rPr>
      </w:pPr>
    </w:p>
    <w:p w14:paraId="0B2F9D15" w14:textId="77777777" w:rsidR="00375C50" w:rsidRPr="00675743" w:rsidRDefault="00375C50" w:rsidP="00375C50">
      <w:pPr>
        <w:rPr>
          <w:color w:val="000000"/>
        </w:rPr>
      </w:pPr>
      <w:r w:rsidRPr="00675743">
        <w:rPr>
          <w:color w:val="000000"/>
        </w:rPr>
        <w:t xml:space="preserve">No additional assurance of confidentiality is provided with this information collection. Any and all information obtained in this collection shall not be disclosed except in accordance with </w:t>
      </w:r>
    </w:p>
    <w:p w14:paraId="0B2F9D16" w14:textId="77777777" w:rsidR="00375C50" w:rsidRPr="00675743" w:rsidRDefault="00375C50" w:rsidP="00375C50">
      <w:pPr>
        <w:rPr>
          <w:rStyle w:val="InitialStyle"/>
          <w:color w:val="000000"/>
        </w:rPr>
      </w:pPr>
      <w:r w:rsidRPr="00675743">
        <w:rPr>
          <w:color w:val="000000"/>
        </w:rPr>
        <w:t>5 U.S.C. 552a.</w:t>
      </w:r>
    </w:p>
    <w:p w14:paraId="0B2F9D17" w14:textId="77777777" w:rsidR="00375C77" w:rsidRDefault="00375C77">
      <w:pPr>
        <w:pStyle w:val="296"/>
      </w:pPr>
    </w:p>
    <w:p w14:paraId="0B2F9D18" w14:textId="77777777" w:rsidR="001422B7" w:rsidRDefault="001422B7">
      <w:pPr>
        <w:pStyle w:val="296"/>
      </w:pPr>
    </w:p>
    <w:p w14:paraId="0B2F9D19" w14:textId="77777777" w:rsidR="00375C77" w:rsidRDefault="00375C77">
      <w:pPr>
        <w:pStyle w:val="296"/>
        <w:rPr>
          <w:b/>
        </w:rPr>
      </w:pPr>
      <w:r>
        <w:rPr>
          <w:b/>
        </w:rPr>
        <w:t xml:space="preserve">11.  Provide additional justification for any questions of a sensitive nature, such as sexual behavior and attitudes, religious beliefs, and others that are considered private.  This justification should include the reasons why the </w:t>
      </w:r>
      <w:r w:rsidR="001C6D34">
        <w:rPr>
          <w:b/>
        </w:rPr>
        <w:t>agency considers</w:t>
      </w:r>
      <w:r>
        <w:rPr>
          <w:b/>
        </w:rPr>
        <w:t xml:space="preserve"> the questions necessary, the specific uses to be made of the information, the explanation to be given to persons from whom the information is requested, and any steps to be taken to obtain their consent.</w:t>
      </w:r>
    </w:p>
    <w:p w14:paraId="0B2F9D1A" w14:textId="77777777" w:rsidR="00375C77" w:rsidRDefault="00375C77">
      <w:pPr>
        <w:pStyle w:val="296"/>
        <w:rPr>
          <w:b/>
        </w:rPr>
      </w:pPr>
    </w:p>
    <w:p w14:paraId="0B2F9D1B" w14:textId="77777777" w:rsidR="00375C77" w:rsidRDefault="00375C77">
      <w:pPr>
        <w:pStyle w:val="296"/>
      </w:pPr>
      <w:r>
        <w:t>This information collection activity asks no questions of a personal or sensitive nature.</w:t>
      </w:r>
    </w:p>
    <w:p w14:paraId="0B2F9D1C" w14:textId="77777777" w:rsidR="00375C77" w:rsidRDefault="00375C77">
      <w:pPr>
        <w:pStyle w:val="296"/>
      </w:pPr>
    </w:p>
    <w:p w14:paraId="0B2F9D1D" w14:textId="77777777" w:rsidR="001422B7" w:rsidRDefault="001422B7">
      <w:pPr>
        <w:pStyle w:val="296"/>
      </w:pPr>
    </w:p>
    <w:p w14:paraId="0B2F9D1E" w14:textId="77777777" w:rsidR="00375C77" w:rsidRDefault="00375C77">
      <w:pPr>
        <w:pStyle w:val="296"/>
        <w:rPr>
          <w:b/>
        </w:rPr>
      </w:pPr>
      <w:r>
        <w:rPr>
          <w:b/>
        </w:rPr>
        <w:t>12.  Provide estimates of the hour burden of the collection of information.  Indicate the number of respondents, frequency of response, annual hour burden, and an explanation of how the burden was estimated.</w:t>
      </w:r>
    </w:p>
    <w:p w14:paraId="0B2F9D1F" w14:textId="77777777" w:rsidR="00375C77" w:rsidRDefault="00375C77">
      <w:pPr>
        <w:pStyle w:val="296"/>
        <w:rPr>
          <w:b/>
        </w:rPr>
      </w:pPr>
    </w:p>
    <w:p w14:paraId="0B2F9D20" w14:textId="77777777" w:rsidR="00375C77" w:rsidRDefault="008B6F15">
      <w:pPr>
        <w:pStyle w:val="296"/>
        <w:rPr>
          <w:b/>
        </w:rPr>
      </w:pPr>
      <w:r>
        <w:rPr>
          <w:b/>
        </w:rPr>
        <w:t>•</w:t>
      </w:r>
      <w:r w:rsidR="001C6D34">
        <w:rPr>
          <w:b/>
        </w:rPr>
        <w:t xml:space="preserve"> Indicate</w:t>
      </w:r>
      <w:r w:rsidR="00375C77">
        <w:rPr>
          <w:b/>
        </w:rPr>
        <w:t xml:space="preserve"> the number of respondents, frequency of response, annual hour burden, and explanation of how the burden was estimated.  If this request for approval covers more than one form, provide separate hour burden estimates for each form and aggregate the hour burdens in Item 13 of OMB Form 83-I.</w:t>
      </w:r>
    </w:p>
    <w:p w14:paraId="0B2F9D21" w14:textId="77777777" w:rsidR="00375C77" w:rsidRDefault="00375C77">
      <w:pPr>
        <w:pStyle w:val="296"/>
        <w:rPr>
          <w:b/>
        </w:rPr>
      </w:pPr>
    </w:p>
    <w:p w14:paraId="0B2F9D22" w14:textId="77777777" w:rsidR="00F41B8B" w:rsidRDefault="00375C77" w:rsidP="00905F23">
      <w:pPr>
        <w:pStyle w:val="296"/>
      </w:pPr>
      <w:r>
        <w:t xml:space="preserve">See APHIS Form 71 for hour burden estimates.  </w:t>
      </w:r>
    </w:p>
    <w:p w14:paraId="0B2F9D23" w14:textId="77777777" w:rsidR="001422B7" w:rsidRDefault="001422B7">
      <w:pPr>
        <w:pStyle w:val="296"/>
      </w:pPr>
    </w:p>
    <w:p w14:paraId="0B2F9D24" w14:textId="77777777" w:rsidR="00375C77" w:rsidRDefault="008B6F15">
      <w:pPr>
        <w:pStyle w:val="296"/>
        <w:rPr>
          <w:b/>
        </w:rPr>
      </w:pPr>
      <w:r>
        <w:rPr>
          <w:b/>
        </w:rPr>
        <w:t>•</w:t>
      </w:r>
      <w:r w:rsidR="001C6D34">
        <w:rPr>
          <w:b/>
        </w:rPr>
        <w:t xml:space="preserve"> Provide</w:t>
      </w:r>
      <w:r w:rsidR="00375C77">
        <w:rPr>
          <w:b/>
        </w:rPr>
        <w:t xml:space="preserve"> estimates of annualized cost to respondents for the hour burdens for collections of information, identifying and using appropriate wage rate categories.</w:t>
      </w:r>
    </w:p>
    <w:p w14:paraId="0B2F9D25" w14:textId="77777777" w:rsidR="00072948" w:rsidRDefault="00072948">
      <w:pPr>
        <w:pStyle w:val="296"/>
        <w:rPr>
          <w:b/>
        </w:rPr>
      </w:pPr>
    </w:p>
    <w:p w14:paraId="79CA0200" w14:textId="77777777" w:rsidR="0058591B" w:rsidRDefault="008B6F15">
      <w:pPr>
        <w:pStyle w:val="296"/>
      </w:pPr>
      <w:r>
        <w:t>APHIS</w:t>
      </w:r>
      <w:r w:rsidR="00375C77">
        <w:t xml:space="preserve"> arrived at </w:t>
      </w:r>
      <w:r w:rsidR="00905F23">
        <w:t>the</w:t>
      </w:r>
      <w:r w:rsidR="0058591B">
        <w:t xml:space="preserve"> estimated annualize cost to respondents </w:t>
      </w:r>
      <w:r w:rsidR="001E6CD9">
        <w:t xml:space="preserve">by multiplying the total burden hours </w:t>
      </w:r>
      <w:r w:rsidR="00F431C8">
        <w:t>(</w:t>
      </w:r>
      <w:r w:rsidR="007D3411">
        <w:t>2,</w:t>
      </w:r>
      <w:r w:rsidR="00767579">
        <w:t>742</w:t>
      </w:r>
      <w:r w:rsidR="00375C77">
        <w:t>) by the estimated average hourly wage</w:t>
      </w:r>
      <w:r w:rsidR="001E6CD9">
        <w:t xml:space="preserve"> of</w:t>
      </w:r>
      <w:r w:rsidR="001E16C1">
        <w:t xml:space="preserve"> respondents (</w:t>
      </w:r>
      <w:r w:rsidR="00905F23">
        <w:t>$</w:t>
      </w:r>
      <w:r w:rsidR="007D3411">
        <w:t>32.12</w:t>
      </w:r>
      <w:r w:rsidR="00823600">
        <w:t>)</w:t>
      </w:r>
      <w:r w:rsidR="0058591B">
        <w:t xml:space="preserve">.  </w:t>
      </w:r>
    </w:p>
    <w:p w14:paraId="1A317943" w14:textId="77777777" w:rsidR="0058591B" w:rsidRDefault="0058591B">
      <w:pPr>
        <w:pStyle w:val="296"/>
      </w:pPr>
    </w:p>
    <w:p w14:paraId="0B2F9D28" w14:textId="34A63FB0" w:rsidR="00D2494D" w:rsidRPr="0058591B" w:rsidRDefault="0058591B">
      <w:pPr>
        <w:pStyle w:val="296"/>
      </w:pPr>
      <w:r>
        <w:t>2,742 X $32.12</w:t>
      </w:r>
      <w:r w:rsidR="001E6CD9">
        <w:t xml:space="preserve"> =</w:t>
      </w:r>
      <w:r w:rsidR="00F431C8">
        <w:t xml:space="preserve"> $</w:t>
      </w:r>
      <w:r w:rsidR="00767579">
        <w:t>88</w:t>
      </w:r>
      <w:r w:rsidR="003833AD">
        <w:t>,</w:t>
      </w:r>
      <w:r w:rsidR="00767579">
        <w:t>073.</w:t>
      </w:r>
      <w:r w:rsidR="003833AD">
        <w:t>04</w:t>
      </w:r>
      <w:r>
        <w:t xml:space="preserve">.  </w:t>
      </w:r>
      <w:r w:rsidR="00D2494D">
        <w:t xml:space="preserve">The hourly rate was </w:t>
      </w:r>
      <w:r w:rsidR="00D2494D" w:rsidRPr="00336E1A">
        <w:rPr>
          <w:w w:val="105"/>
        </w:rPr>
        <w:t>taken</w:t>
      </w:r>
      <w:r w:rsidR="00D2494D" w:rsidRPr="00336E1A">
        <w:rPr>
          <w:spacing w:val="19"/>
          <w:w w:val="105"/>
        </w:rPr>
        <w:t xml:space="preserve"> </w:t>
      </w:r>
      <w:r w:rsidR="00D2494D" w:rsidRPr="00336E1A">
        <w:rPr>
          <w:w w:val="105"/>
        </w:rPr>
        <w:t>from</w:t>
      </w:r>
      <w:r w:rsidR="00D2494D" w:rsidRPr="00336E1A">
        <w:rPr>
          <w:spacing w:val="9"/>
          <w:w w:val="105"/>
        </w:rPr>
        <w:t xml:space="preserve"> </w:t>
      </w:r>
      <w:hyperlink r:id="rId12" w:history="1">
        <w:r w:rsidR="00D2494D" w:rsidRPr="00B708D7">
          <w:rPr>
            <w:rStyle w:val="Hyperlink"/>
            <w:w w:val="105"/>
          </w:rPr>
          <w:t>http://ww</w:t>
        </w:r>
        <w:r w:rsidR="00D2494D" w:rsidRPr="00B708D7">
          <w:rPr>
            <w:rStyle w:val="Hyperlink"/>
            <w:spacing w:val="13"/>
            <w:w w:val="105"/>
          </w:rPr>
          <w:t>w</w:t>
        </w:r>
        <w:r w:rsidR="00D2494D" w:rsidRPr="00B708D7">
          <w:rPr>
            <w:rStyle w:val="Hyperlink"/>
            <w:spacing w:val="-20"/>
            <w:w w:val="105"/>
          </w:rPr>
          <w:t>.</w:t>
        </w:r>
        <w:r w:rsidR="00D2494D" w:rsidRPr="00B708D7">
          <w:rPr>
            <w:rStyle w:val="Hyperlink"/>
            <w:w w:val="105"/>
          </w:rPr>
          <w:t>salaryexpert.com</w:t>
        </w:r>
      </w:hyperlink>
      <w:r w:rsidR="00D2494D">
        <w:rPr>
          <w:w w:val="105"/>
        </w:rPr>
        <w:t>.</w:t>
      </w:r>
    </w:p>
    <w:p w14:paraId="0B2F9D29" w14:textId="77777777" w:rsidR="00375C50" w:rsidRDefault="00D2494D">
      <w:pPr>
        <w:pStyle w:val="296"/>
      </w:pPr>
      <w:r>
        <w:t xml:space="preserve"> </w:t>
      </w:r>
    </w:p>
    <w:p w14:paraId="0B2F9D2A" w14:textId="77777777" w:rsidR="00375C77" w:rsidRDefault="00375C77">
      <w:pPr>
        <w:pStyle w:val="296"/>
      </w:pPr>
    </w:p>
    <w:p w14:paraId="0B2F9D2B" w14:textId="77777777" w:rsidR="00375C77" w:rsidRDefault="00375C77">
      <w:pPr>
        <w:pStyle w:val="296"/>
        <w:rPr>
          <w:b/>
        </w:rPr>
      </w:pPr>
      <w:r>
        <w:rPr>
          <w:b/>
        </w:rPr>
        <w:t xml:space="preserve">13.  Provide estimates of the total annual cost burden to respondents or </w:t>
      </w:r>
      <w:proofErr w:type="spellStart"/>
      <w:r>
        <w:rPr>
          <w:b/>
        </w:rPr>
        <w:t>recordkeepers</w:t>
      </w:r>
      <w:proofErr w:type="spellEnd"/>
      <w:r>
        <w:rPr>
          <w:b/>
        </w:rPr>
        <w:t xml:space="preserve"> resulting from the collection of information, (do not include the cost of any hour burden shown in items 12 and 14).  The cost estimate should be split into two </w:t>
      </w:r>
      <w:r w:rsidR="00AB23B2">
        <w:rPr>
          <w:b/>
        </w:rPr>
        <w:t>components</w:t>
      </w:r>
      <w:r>
        <w:rPr>
          <w:b/>
        </w:rPr>
        <w:t>:  (a) a total capital and start-up cost component annualized over its expected useful life; and (b) a total operation and maintenance and purchase of services component.</w:t>
      </w:r>
    </w:p>
    <w:p w14:paraId="0B2F9D2C" w14:textId="77777777" w:rsidR="00375C77" w:rsidRDefault="00375C77">
      <w:pPr>
        <w:pStyle w:val="296"/>
        <w:rPr>
          <w:b/>
        </w:rPr>
      </w:pPr>
    </w:p>
    <w:p w14:paraId="0B2F9D2D" w14:textId="77777777" w:rsidR="00375C77" w:rsidRDefault="00B8143D">
      <w:pPr>
        <w:pStyle w:val="296"/>
      </w:pPr>
      <w:r>
        <w:t>There is zero annual</w:t>
      </w:r>
      <w:r w:rsidR="00375C77">
        <w:t xml:space="preserve"> burden associated with capital and start-up costs, maintenance costs, and purchase of services in connection with this program.</w:t>
      </w:r>
    </w:p>
    <w:p w14:paraId="0B2F9D2E" w14:textId="77777777" w:rsidR="00375C77" w:rsidRDefault="00375C77">
      <w:pPr>
        <w:pStyle w:val="296"/>
      </w:pPr>
    </w:p>
    <w:p w14:paraId="0B2F9D2F" w14:textId="77777777" w:rsidR="00B8143D" w:rsidRDefault="00B8143D">
      <w:pPr>
        <w:pStyle w:val="296"/>
      </w:pPr>
    </w:p>
    <w:p w14:paraId="0B2F9D30" w14:textId="77777777" w:rsidR="00375C77" w:rsidRDefault="00375C77">
      <w:pPr>
        <w:pStyle w:val="296"/>
        <w:rPr>
          <w:b/>
        </w:rPr>
      </w:pPr>
      <w:r>
        <w:rPr>
          <w:b/>
        </w:rPr>
        <w:t>14.  Provide estimates of annualized cost to the Federal government.  Provide a description of the method used to estimate cost and any other expense that would not have been incurred without this collection of information.</w:t>
      </w:r>
    </w:p>
    <w:p w14:paraId="0B2F9D31" w14:textId="77777777" w:rsidR="00375C77" w:rsidRDefault="00375C77">
      <w:pPr>
        <w:pStyle w:val="296"/>
        <w:rPr>
          <w:b/>
        </w:rPr>
      </w:pPr>
    </w:p>
    <w:p w14:paraId="0B2F9D32" w14:textId="5510FC40" w:rsidR="00D2494D" w:rsidRPr="00336E1A" w:rsidRDefault="00375C77" w:rsidP="00644885">
      <w:pPr>
        <w:pStyle w:val="296"/>
      </w:pPr>
      <w:r>
        <w:t xml:space="preserve">See APHIS Form 79 for </w:t>
      </w:r>
      <w:r w:rsidR="0058591B">
        <w:t xml:space="preserve">the </w:t>
      </w:r>
      <w:r>
        <w:t>annualized cost to the Federal Government</w:t>
      </w:r>
      <w:r w:rsidR="00D2494D">
        <w:t xml:space="preserve"> which </w:t>
      </w:r>
      <w:r w:rsidR="0065265A">
        <w:t>is</w:t>
      </w:r>
      <w:r w:rsidR="00D2494D">
        <w:t xml:space="preserve"> estimated to be </w:t>
      </w:r>
      <w:r w:rsidR="00644885">
        <w:t>$</w:t>
      </w:r>
      <w:r w:rsidR="00173E7C">
        <w:t>110,487</w:t>
      </w:r>
      <w:r w:rsidR="00644885">
        <w:t>.</w:t>
      </w:r>
      <w:r w:rsidR="0058591B">
        <w:t xml:space="preserve">  </w:t>
      </w:r>
    </w:p>
    <w:p w14:paraId="0B2F9D33" w14:textId="77777777" w:rsidR="001B2869" w:rsidRDefault="001B2869">
      <w:pPr>
        <w:pStyle w:val="296"/>
      </w:pPr>
    </w:p>
    <w:p w14:paraId="4AD46EAA" w14:textId="77777777" w:rsidR="0058591B" w:rsidRDefault="0058591B">
      <w:pPr>
        <w:pStyle w:val="296"/>
      </w:pPr>
    </w:p>
    <w:p w14:paraId="0B2F9D35" w14:textId="1E5F588A" w:rsidR="00375C77" w:rsidRDefault="00375C77">
      <w:pPr>
        <w:pStyle w:val="296"/>
        <w:rPr>
          <w:b/>
        </w:rPr>
      </w:pPr>
      <w:r>
        <w:rPr>
          <w:b/>
        </w:rPr>
        <w:t>15.  Explain the reasons for any program changes or adjustments reported in Items 13 or 14 of the OMB Form 83-1.</w:t>
      </w:r>
    </w:p>
    <w:p w14:paraId="0B2F9D36" w14:textId="77777777" w:rsidR="00375C77" w:rsidRDefault="00375C77">
      <w:pPr>
        <w:pStyle w:val="296"/>
        <w:rPr>
          <w:b/>
        </w:rPr>
      </w:pPr>
    </w:p>
    <w:p w14:paraId="2E8F0D75" w14:textId="77777777" w:rsidR="00066DBD" w:rsidRPr="00066DBD" w:rsidRDefault="00066DBD" w:rsidP="00066DBD">
      <w:pPr>
        <w:numPr>
          <w:ilvl w:val="0"/>
          <w:numId w:val="9"/>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66DBD" w:rsidRPr="00066DBD" w14:paraId="5623CA6F" w14:textId="77777777" w:rsidTr="00066DBD">
        <w:trPr>
          <w:tblCellSpacing w:w="15" w:type="dxa"/>
        </w:trPr>
        <w:tc>
          <w:tcPr>
            <w:tcW w:w="5000" w:type="pct"/>
            <w:hideMark/>
          </w:tcPr>
          <w:p w14:paraId="41041EF1" w14:textId="77777777"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ICR Summary of Burden:</w:t>
            </w:r>
          </w:p>
        </w:tc>
      </w:tr>
    </w:tbl>
    <w:p w14:paraId="3619D7B8" w14:textId="7C71ED99" w:rsidR="00066DBD" w:rsidRPr="00066DBD" w:rsidRDefault="00066DBD" w:rsidP="00066DBD">
      <w:pPr>
        <w:numPr>
          <w:ilvl w:val="0"/>
          <w:numId w:val="9"/>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r w:rsidRPr="00066DBD">
        <w:rPr>
          <w:rFonts w:ascii="Arial" w:hAnsi="Arial" w:cs="Arial"/>
          <w:color w:val="000000"/>
          <w:sz w:val="18"/>
          <w:szCs w:val="18"/>
        </w:rPr>
        <w:object w:dxaOrig="225" w:dyaOrig="225" w14:anchorId="7F20155B">
          <v:shape id="_x0000_i1084" type="#_x0000_t75" style="width:1in;height:21.6pt" o:ole="">
            <v:imagedata r:id="rId13" o:title=""/>
          </v:shape>
          <w:control r:id="rId14" w:name="DefaultOcxName" w:shapeid="_x0000_i1084"/>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88"/>
        <w:gridCol w:w="1301"/>
        <w:gridCol w:w="1301"/>
        <w:gridCol w:w="1301"/>
        <w:gridCol w:w="1350"/>
        <w:gridCol w:w="1301"/>
        <w:gridCol w:w="1302"/>
      </w:tblGrid>
      <w:tr w:rsidR="00066DBD" w:rsidRPr="00066DBD" w14:paraId="786968F6" w14:textId="77777777" w:rsidTr="00066DBD">
        <w:tc>
          <w:tcPr>
            <w:tcW w:w="800" w:type="pct"/>
            <w:tcBorders>
              <w:top w:val="outset" w:sz="6" w:space="0" w:color="auto"/>
              <w:left w:val="outset" w:sz="6" w:space="0" w:color="auto"/>
              <w:bottom w:val="outset" w:sz="6" w:space="0" w:color="auto"/>
              <w:right w:val="outset" w:sz="6" w:space="0" w:color="auto"/>
            </w:tcBorders>
            <w:vAlign w:val="center"/>
            <w:hideMark/>
          </w:tcPr>
          <w:p w14:paraId="18758E0E" w14:textId="77777777" w:rsidR="00066DBD" w:rsidRPr="00066DBD" w:rsidRDefault="00066DBD" w:rsidP="00066DBD">
            <w:pPr>
              <w:overflowPunct/>
              <w:autoSpaceDE/>
              <w:autoSpaceDN/>
              <w:adjustRightInd/>
              <w:jc w:val="center"/>
              <w:textAlignment w:val="auto"/>
              <w:rPr>
                <w:rFonts w:ascii="Arial" w:hAnsi="Arial" w:cs="Arial"/>
                <w:b/>
                <w:bCs/>
                <w:color w:val="000000"/>
              </w:rPr>
            </w:pPr>
            <w:r w:rsidRPr="00066DBD">
              <w:rPr>
                <w:rFonts w:ascii="Arial" w:hAnsi="Arial" w:cs="Arial"/>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0D76B40" w14:textId="77777777" w:rsidR="00066DBD" w:rsidRPr="00066DBD" w:rsidRDefault="00066DBD" w:rsidP="00066DBD">
            <w:pPr>
              <w:overflowPunct/>
              <w:autoSpaceDE/>
              <w:autoSpaceDN/>
              <w:adjustRightInd/>
              <w:jc w:val="center"/>
              <w:textAlignment w:val="auto"/>
              <w:rPr>
                <w:rFonts w:ascii="Arial" w:hAnsi="Arial" w:cs="Arial"/>
                <w:b/>
                <w:bCs/>
                <w:color w:val="000000"/>
              </w:rPr>
            </w:pPr>
            <w:r w:rsidRPr="00066DBD">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133A70FC" w14:textId="77777777" w:rsidR="00066DBD" w:rsidRPr="00066DBD" w:rsidRDefault="00066DBD" w:rsidP="00066DBD">
            <w:pPr>
              <w:overflowPunct/>
              <w:autoSpaceDE/>
              <w:autoSpaceDN/>
              <w:adjustRightInd/>
              <w:jc w:val="center"/>
              <w:textAlignment w:val="auto"/>
              <w:rPr>
                <w:rFonts w:ascii="Arial" w:hAnsi="Arial" w:cs="Arial"/>
                <w:b/>
                <w:bCs/>
                <w:color w:val="000000"/>
              </w:rPr>
            </w:pPr>
            <w:r w:rsidRPr="00066DBD">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0D3B67" w14:textId="77777777" w:rsidR="00066DBD" w:rsidRPr="00066DBD" w:rsidRDefault="00066DBD" w:rsidP="00066DBD">
            <w:pPr>
              <w:overflowPunct/>
              <w:autoSpaceDE/>
              <w:autoSpaceDN/>
              <w:adjustRightInd/>
              <w:jc w:val="center"/>
              <w:textAlignment w:val="auto"/>
              <w:rPr>
                <w:rFonts w:ascii="Arial" w:hAnsi="Arial" w:cs="Arial"/>
                <w:b/>
                <w:bCs/>
                <w:color w:val="000000"/>
              </w:rPr>
            </w:pPr>
            <w:r w:rsidRPr="00066DBD">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4AACBFAD" w14:textId="77777777" w:rsidR="00066DBD" w:rsidRPr="00066DBD" w:rsidRDefault="00066DBD" w:rsidP="00066DBD">
            <w:pPr>
              <w:overflowPunct/>
              <w:autoSpaceDE/>
              <w:autoSpaceDN/>
              <w:adjustRightInd/>
              <w:jc w:val="center"/>
              <w:textAlignment w:val="auto"/>
              <w:rPr>
                <w:rFonts w:ascii="Arial" w:hAnsi="Arial" w:cs="Arial"/>
                <w:b/>
                <w:bCs/>
                <w:color w:val="000000"/>
              </w:rPr>
            </w:pPr>
            <w:r w:rsidRPr="00066DBD">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604220D8" w14:textId="77777777" w:rsidR="00066DBD" w:rsidRPr="00066DBD" w:rsidRDefault="00066DBD" w:rsidP="00066DBD">
            <w:pPr>
              <w:overflowPunct/>
              <w:autoSpaceDE/>
              <w:autoSpaceDN/>
              <w:adjustRightInd/>
              <w:jc w:val="center"/>
              <w:textAlignment w:val="auto"/>
              <w:rPr>
                <w:rFonts w:ascii="Arial" w:hAnsi="Arial" w:cs="Arial"/>
                <w:b/>
                <w:bCs/>
                <w:color w:val="000000"/>
              </w:rPr>
            </w:pPr>
            <w:r w:rsidRPr="00066DBD">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63F2E5DE" w14:textId="77777777" w:rsidR="00066DBD" w:rsidRPr="00066DBD" w:rsidRDefault="00066DBD" w:rsidP="00066DBD">
            <w:pPr>
              <w:overflowPunct/>
              <w:autoSpaceDE/>
              <w:autoSpaceDN/>
              <w:adjustRightInd/>
              <w:jc w:val="center"/>
              <w:textAlignment w:val="auto"/>
              <w:rPr>
                <w:rFonts w:ascii="Arial" w:hAnsi="Arial" w:cs="Arial"/>
                <w:b/>
                <w:bCs/>
                <w:color w:val="000000"/>
              </w:rPr>
            </w:pPr>
            <w:r w:rsidRPr="00066DBD">
              <w:rPr>
                <w:rFonts w:ascii="Arial" w:hAnsi="Arial" w:cs="Arial"/>
                <w:b/>
                <w:bCs/>
                <w:color w:val="000000"/>
              </w:rPr>
              <w:t>Previously Approved</w:t>
            </w:r>
          </w:p>
        </w:tc>
      </w:tr>
      <w:tr w:rsidR="00066DBD" w:rsidRPr="00066DBD" w14:paraId="62BD3096" w14:textId="77777777" w:rsidTr="00066DBD">
        <w:tc>
          <w:tcPr>
            <w:tcW w:w="0" w:type="auto"/>
            <w:tcBorders>
              <w:top w:val="outset" w:sz="6" w:space="0" w:color="auto"/>
              <w:left w:val="outset" w:sz="6" w:space="0" w:color="auto"/>
              <w:bottom w:val="outset" w:sz="6" w:space="0" w:color="auto"/>
              <w:right w:val="outset" w:sz="6" w:space="0" w:color="auto"/>
            </w:tcBorders>
            <w:hideMark/>
          </w:tcPr>
          <w:p w14:paraId="7EEC941C" w14:textId="77777777"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54FAE1FE" w14:textId="1BB7EB2A"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14,402</w:t>
            </w:r>
            <w:r w:rsidRPr="00066DBD">
              <w:rPr>
                <w:rFonts w:ascii="Arial" w:hAnsi="Arial" w:cs="Arial"/>
                <w:color w:val="000000"/>
              </w:rPr>
              <w:object w:dxaOrig="225" w:dyaOrig="225" w14:anchorId="0CE04FF4">
                <v:shape id="_x0000_i1083" type="#_x0000_t75" style="width:1in;height:21.6pt" o:ole="">
                  <v:imagedata r:id="rId15" o:title=""/>
                </v:shape>
                <w:control r:id="rId16" w:name="DefaultOcxName1" w:shapeid="_x0000_i1083"/>
              </w:object>
            </w:r>
          </w:p>
        </w:tc>
        <w:tc>
          <w:tcPr>
            <w:tcW w:w="0" w:type="auto"/>
            <w:tcBorders>
              <w:top w:val="outset" w:sz="6" w:space="0" w:color="auto"/>
              <w:left w:val="outset" w:sz="6" w:space="0" w:color="auto"/>
              <w:bottom w:val="outset" w:sz="6" w:space="0" w:color="auto"/>
              <w:right w:val="outset" w:sz="6" w:space="0" w:color="auto"/>
            </w:tcBorders>
            <w:hideMark/>
          </w:tcPr>
          <w:p w14:paraId="37BCB5CD" w14:textId="040EC34D"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0</w:t>
            </w:r>
            <w:r w:rsidRPr="00066DBD">
              <w:rPr>
                <w:rFonts w:ascii="Arial" w:hAnsi="Arial" w:cs="Arial"/>
                <w:color w:val="000000"/>
              </w:rPr>
              <w:object w:dxaOrig="225" w:dyaOrig="225" w14:anchorId="1467FBEA">
                <v:shape id="_x0000_i1082" type="#_x0000_t75" style="width:1in;height:21.6pt" o:ole="">
                  <v:imagedata r:id="rId17" o:title=""/>
                </v:shape>
                <w:control r:id="rId18" w:name="DefaultOcxName2" w:shapeid="_x0000_i1082"/>
              </w:object>
            </w:r>
          </w:p>
        </w:tc>
        <w:tc>
          <w:tcPr>
            <w:tcW w:w="0" w:type="auto"/>
            <w:tcBorders>
              <w:top w:val="outset" w:sz="6" w:space="0" w:color="auto"/>
              <w:left w:val="outset" w:sz="6" w:space="0" w:color="auto"/>
              <w:bottom w:val="outset" w:sz="6" w:space="0" w:color="auto"/>
              <w:right w:val="outset" w:sz="6" w:space="0" w:color="auto"/>
            </w:tcBorders>
            <w:hideMark/>
          </w:tcPr>
          <w:p w14:paraId="5D973BDC" w14:textId="5BE33B0F"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4,002</w:t>
            </w:r>
            <w:r w:rsidRPr="00066DBD">
              <w:rPr>
                <w:rFonts w:ascii="Arial" w:hAnsi="Arial" w:cs="Arial"/>
                <w:color w:val="000000"/>
              </w:rPr>
              <w:object w:dxaOrig="225" w:dyaOrig="225" w14:anchorId="7438034A">
                <v:shape id="_x0000_i1081" type="#_x0000_t75" style="width:1in;height:21.6pt" o:ole="">
                  <v:imagedata r:id="rId19" o:title=""/>
                </v:shape>
                <w:control r:id="rId20" w:name="DefaultOcxName3" w:shapeid="_x0000_i1081"/>
              </w:object>
            </w:r>
          </w:p>
        </w:tc>
        <w:tc>
          <w:tcPr>
            <w:tcW w:w="0" w:type="auto"/>
            <w:tcBorders>
              <w:top w:val="outset" w:sz="6" w:space="0" w:color="auto"/>
              <w:left w:val="outset" w:sz="6" w:space="0" w:color="auto"/>
              <w:bottom w:val="outset" w:sz="6" w:space="0" w:color="auto"/>
              <w:right w:val="outset" w:sz="6" w:space="0" w:color="auto"/>
            </w:tcBorders>
            <w:hideMark/>
          </w:tcPr>
          <w:p w14:paraId="0DE03E37" w14:textId="754C681F"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758</w:t>
            </w:r>
            <w:r w:rsidRPr="00066DBD">
              <w:rPr>
                <w:rFonts w:ascii="Arial" w:hAnsi="Arial" w:cs="Arial"/>
                <w:color w:val="000000"/>
              </w:rPr>
              <w:object w:dxaOrig="225" w:dyaOrig="225" w14:anchorId="23E3326F">
                <v:shape id="_x0000_i1080" type="#_x0000_t75" style="width:1in;height:21.6pt" o:ole="">
                  <v:imagedata r:id="rId21" o:title=""/>
                </v:shape>
                <w:control r:id="rId22" w:name="DefaultOcxName4" w:shapeid="_x0000_i1080"/>
              </w:object>
            </w:r>
          </w:p>
        </w:tc>
        <w:tc>
          <w:tcPr>
            <w:tcW w:w="0" w:type="auto"/>
            <w:tcBorders>
              <w:top w:val="outset" w:sz="6" w:space="0" w:color="auto"/>
              <w:left w:val="outset" w:sz="6" w:space="0" w:color="auto"/>
              <w:bottom w:val="outset" w:sz="6" w:space="0" w:color="auto"/>
              <w:right w:val="outset" w:sz="6" w:space="0" w:color="auto"/>
            </w:tcBorders>
            <w:hideMark/>
          </w:tcPr>
          <w:p w14:paraId="6EBF8EE8" w14:textId="6ADB6974"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0</w:t>
            </w:r>
            <w:r w:rsidRPr="00066DBD">
              <w:rPr>
                <w:rFonts w:ascii="Arial" w:hAnsi="Arial" w:cs="Arial"/>
                <w:color w:val="000000"/>
              </w:rPr>
              <w:object w:dxaOrig="225" w:dyaOrig="225" w14:anchorId="5E128C3D">
                <v:shape id="_x0000_i1079" type="#_x0000_t75" style="width:1in;height:21.6pt" o:ole="">
                  <v:imagedata r:id="rId23" o:title=""/>
                </v:shape>
                <w:control r:id="rId24" w:name="DefaultOcxName5" w:shapeid="_x0000_i1079"/>
              </w:object>
            </w:r>
          </w:p>
        </w:tc>
        <w:tc>
          <w:tcPr>
            <w:tcW w:w="0" w:type="auto"/>
            <w:tcBorders>
              <w:top w:val="outset" w:sz="6" w:space="0" w:color="auto"/>
              <w:left w:val="outset" w:sz="6" w:space="0" w:color="auto"/>
              <w:bottom w:val="outset" w:sz="6" w:space="0" w:color="auto"/>
              <w:right w:val="outset" w:sz="6" w:space="0" w:color="auto"/>
            </w:tcBorders>
            <w:hideMark/>
          </w:tcPr>
          <w:p w14:paraId="45DA4CB2" w14:textId="2982F4E0"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9,642</w:t>
            </w:r>
            <w:r w:rsidRPr="00066DBD">
              <w:rPr>
                <w:rFonts w:ascii="Arial" w:hAnsi="Arial" w:cs="Arial"/>
                <w:color w:val="000000"/>
              </w:rPr>
              <w:object w:dxaOrig="225" w:dyaOrig="225" w14:anchorId="089AD7AE">
                <v:shape id="_x0000_i1078" type="#_x0000_t75" style="width:1in;height:21.6pt" o:ole="">
                  <v:imagedata r:id="rId25" o:title=""/>
                </v:shape>
                <w:control r:id="rId26" w:name="DefaultOcxName6" w:shapeid="_x0000_i1078"/>
              </w:object>
            </w:r>
          </w:p>
        </w:tc>
      </w:tr>
      <w:tr w:rsidR="00066DBD" w:rsidRPr="00066DBD" w14:paraId="217861C0" w14:textId="77777777" w:rsidTr="00066DBD">
        <w:tc>
          <w:tcPr>
            <w:tcW w:w="0" w:type="auto"/>
            <w:tcBorders>
              <w:top w:val="outset" w:sz="6" w:space="0" w:color="auto"/>
              <w:left w:val="outset" w:sz="6" w:space="0" w:color="auto"/>
              <w:bottom w:val="outset" w:sz="6" w:space="0" w:color="auto"/>
              <w:right w:val="outset" w:sz="6" w:space="0" w:color="auto"/>
            </w:tcBorders>
            <w:hideMark/>
          </w:tcPr>
          <w:p w14:paraId="0EFDE83A" w14:textId="77777777"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Annual Time Burden (</w:t>
            </w:r>
            <w:proofErr w:type="spellStart"/>
            <w:r w:rsidRPr="00066DBD">
              <w:rPr>
                <w:rFonts w:ascii="Arial" w:hAnsi="Arial" w:cs="Arial"/>
                <w:color w:val="000000"/>
              </w:rPr>
              <w:t>Hr</w:t>
            </w:r>
            <w:proofErr w:type="spellEnd"/>
            <w:r w:rsidRPr="00066DBD">
              <w:rPr>
                <w:rFonts w:ascii="Arial" w:hAnsi="Arial" w:cs="Arial"/>
                <w:color w:val="000000"/>
              </w:rPr>
              <w:t>)</w:t>
            </w:r>
          </w:p>
        </w:tc>
        <w:tc>
          <w:tcPr>
            <w:tcW w:w="0" w:type="auto"/>
            <w:tcBorders>
              <w:top w:val="outset" w:sz="6" w:space="0" w:color="auto"/>
              <w:left w:val="outset" w:sz="6" w:space="0" w:color="auto"/>
              <w:bottom w:val="outset" w:sz="6" w:space="0" w:color="auto"/>
              <w:right w:val="outset" w:sz="6" w:space="0" w:color="auto"/>
            </w:tcBorders>
            <w:hideMark/>
          </w:tcPr>
          <w:p w14:paraId="3DC2A49B" w14:textId="75A19975"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2,742</w:t>
            </w:r>
            <w:r w:rsidRPr="00066DBD">
              <w:rPr>
                <w:rFonts w:ascii="Arial" w:hAnsi="Arial" w:cs="Arial"/>
                <w:color w:val="000000"/>
              </w:rPr>
              <w:object w:dxaOrig="225" w:dyaOrig="225" w14:anchorId="3750E7AF">
                <v:shape id="_x0000_i1077" type="#_x0000_t75" style="width:1in;height:21.6pt" o:ole="">
                  <v:imagedata r:id="rId27" o:title=""/>
                </v:shape>
                <w:control r:id="rId28" w:name="DefaultOcxName7" w:shapeid="_x0000_i1077"/>
              </w:object>
            </w:r>
          </w:p>
        </w:tc>
        <w:tc>
          <w:tcPr>
            <w:tcW w:w="0" w:type="auto"/>
            <w:tcBorders>
              <w:top w:val="outset" w:sz="6" w:space="0" w:color="auto"/>
              <w:left w:val="outset" w:sz="6" w:space="0" w:color="auto"/>
              <w:bottom w:val="outset" w:sz="6" w:space="0" w:color="auto"/>
              <w:right w:val="outset" w:sz="6" w:space="0" w:color="auto"/>
            </w:tcBorders>
            <w:hideMark/>
          </w:tcPr>
          <w:p w14:paraId="6F31963D" w14:textId="50E01CF4"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0</w:t>
            </w:r>
            <w:r w:rsidRPr="00066DBD">
              <w:rPr>
                <w:rFonts w:ascii="Arial" w:hAnsi="Arial" w:cs="Arial"/>
                <w:color w:val="000000"/>
              </w:rPr>
              <w:object w:dxaOrig="225" w:dyaOrig="225" w14:anchorId="35D4E444">
                <v:shape id="_x0000_i1076" type="#_x0000_t75" style="width:1in;height:21.6pt" o:ole="">
                  <v:imagedata r:id="rId29" o:title=""/>
                </v:shape>
                <w:control r:id="rId30" w:name="DefaultOcxName8" w:shapeid="_x0000_i1076"/>
              </w:object>
            </w:r>
          </w:p>
        </w:tc>
        <w:tc>
          <w:tcPr>
            <w:tcW w:w="0" w:type="auto"/>
            <w:tcBorders>
              <w:top w:val="outset" w:sz="6" w:space="0" w:color="auto"/>
              <w:left w:val="outset" w:sz="6" w:space="0" w:color="auto"/>
              <w:bottom w:val="outset" w:sz="6" w:space="0" w:color="auto"/>
              <w:right w:val="outset" w:sz="6" w:space="0" w:color="auto"/>
            </w:tcBorders>
            <w:hideMark/>
          </w:tcPr>
          <w:p w14:paraId="5C5D8A62" w14:textId="5A545FEC"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642</w:t>
            </w:r>
            <w:r w:rsidRPr="00066DBD">
              <w:rPr>
                <w:rFonts w:ascii="Arial" w:hAnsi="Arial" w:cs="Arial"/>
                <w:color w:val="000000"/>
              </w:rPr>
              <w:object w:dxaOrig="225" w:dyaOrig="225" w14:anchorId="4345C751">
                <v:shape id="_x0000_i1075" type="#_x0000_t75" style="width:1in;height:21.6pt" o:ole="">
                  <v:imagedata r:id="rId31" o:title=""/>
                </v:shape>
                <w:control r:id="rId32" w:name="DefaultOcxName9" w:shapeid="_x0000_i1075"/>
              </w:object>
            </w:r>
          </w:p>
        </w:tc>
        <w:tc>
          <w:tcPr>
            <w:tcW w:w="0" w:type="auto"/>
            <w:tcBorders>
              <w:top w:val="outset" w:sz="6" w:space="0" w:color="auto"/>
              <w:left w:val="outset" w:sz="6" w:space="0" w:color="auto"/>
              <w:bottom w:val="outset" w:sz="6" w:space="0" w:color="auto"/>
              <w:right w:val="outset" w:sz="6" w:space="0" w:color="auto"/>
            </w:tcBorders>
            <w:hideMark/>
          </w:tcPr>
          <w:p w14:paraId="0B92C4EB" w14:textId="1C6C699F"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157</w:t>
            </w:r>
            <w:r w:rsidRPr="00066DBD">
              <w:rPr>
                <w:rFonts w:ascii="Arial" w:hAnsi="Arial" w:cs="Arial"/>
                <w:color w:val="000000"/>
              </w:rPr>
              <w:object w:dxaOrig="225" w:dyaOrig="225" w14:anchorId="66FC3442">
                <v:shape id="_x0000_i1074" type="#_x0000_t75" style="width:1in;height:21.6pt" o:ole="">
                  <v:imagedata r:id="rId33" o:title=""/>
                </v:shape>
                <w:control r:id="rId34" w:name="DefaultOcxName10" w:shapeid="_x0000_i1074"/>
              </w:object>
            </w:r>
          </w:p>
        </w:tc>
        <w:tc>
          <w:tcPr>
            <w:tcW w:w="0" w:type="auto"/>
            <w:tcBorders>
              <w:top w:val="outset" w:sz="6" w:space="0" w:color="auto"/>
              <w:left w:val="outset" w:sz="6" w:space="0" w:color="auto"/>
              <w:bottom w:val="outset" w:sz="6" w:space="0" w:color="auto"/>
              <w:right w:val="outset" w:sz="6" w:space="0" w:color="auto"/>
            </w:tcBorders>
            <w:hideMark/>
          </w:tcPr>
          <w:p w14:paraId="189933C1" w14:textId="662E9282"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0</w:t>
            </w:r>
            <w:r w:rsidRPr="00066DBD">
              <w:rPr>
                <w:rFonts w:ascii="Arial" w:hAnsi="Arial" w:cs="Arial"/>
                <w:color w:val="000000"/>
              </w:rPr>
              <w:object w:dxaOrig="225" w:dyaOrig="225" w14:anchorId="746DACE7">
                <v:shape id="_x0000_i1073" type="#_x0000_t75" style="width:1in;height:21.6pt" o:ole="">
                  <v:imagedata r:id="rId35" o:title=""/>
                </v:shape>
                <w:control r:id="rId36" w:name="DefaultOcxName11" w:shapeid="_x0000_i1073"/>
              </w:object>
            </w:r>
          </w:p>
        </w:tc>
        <w:tc>
          <w:tcPr>
            <w:tcW w:w="0" w:type="auto"/>
            <w:tcBorders>
              <w:top w:val="outset" w:sz="6" w:space="0" w:color="auto"/>
              <w:left w:val="outset" w:sz="6" w:space="0" w:color="auto"/>
              <w:bottom w:val="outset" w:sz="6" w:space="0" w:color="auto"/>
              <w:right w:val="outset" w:sz="6" w:space="0" w:color="auto"/>
            </w:tcBorders>
            <w:hideMark/>
          </w:tcPr>
          <w:p w14:paraId="4863386C" w14:textId="77777777" w:rsidR="00066DBD" w:rsidRPr="00066DBD" w:rsidRDefault="00066DBD" w:rsidP="00066DBD">
            <w:pPr>
              <w:overflowPunct/>
              <w:autoSpaceDE/>
              <w:autoSpaceDN/>
              <w:adjustRightInd/>
              <w:textAlignment w:val="auto"/>
              <w:rPr>
                <w:rFonts w:ascii="Arial" w:hAnsi="Arial" w:cs="Arial"/>
                <w:color w:val="000000"/>
              </w:rPr>
            </w:pPr>
            <w:r w:rsidRPr="00066DBD">
              <w:rPr>
                <w:rFonts w:ascii="Arial" w:hAnsi="Arial" w:cs="Arial"/>
                <w:color w:val="000000"/>
              </w:rPr>
              <w:t>  1,943</w:t>
            </w:r>
          </w:p>
        </w:tc>
      </w:tr>
    </w:tbl>
    <w:p w14:paraId="5A70E943" w14:textId="77777777" w:rsidR="00066DBD" w:rsidRDefault="00066DBD">
      <w:pPr>
        <w:pStyle w:val="296"/>
        <w:rPr>
          <w:b/>
        </w:rPr>
      </w:pPr>
    </w:p>
    <w:p w14:paraId="38B19B76" w14:textId="77777777" w:rsidR="00066DBD" w:rsidRDefault="00066DBD">
      <w:pPr>
        <w:pStyle w:val="296"/>
        <w:rPr>
          <w:b/>
        </w:rPr>
      </w:pPr>
    </w:p>
    <w:p w14:paraId="0A883385" w14:textId="793408E8" w:rsidR="001E7020" w:rsidRPr="00FD2521" w:rsidRDefault="00FD2521" w:rsidP="001E7020">
      <w:pPr>
        <w:pStyle w:val="296"/>
      </w:pPr>
      <w:r>
        <w:t xml:space="preserve">There are increases </w:t>
      </w:r>
      <w:r w:rsidR="001E7020">
        <w:t>in the burden for this</w:t>
      </w:r>
      <w:r w:rsidR="00373C35" w:rsidRPr="00EC31A9">
        <w:t xml:space="preserve"> information collection</w:t>
      </w:r>
      <w:r>
        <w:t xml:space="preserve"> because</w:t>
      </w:r>
      <w:r w:rsidR="001E7020">
        <w:t xml:space="preserve"> APHIS reported</w:t>
      </w:r>
      <w:r>
        <w:t xml:space="preserve"> more business</w:t>
      </w:r>
      <w:r w:rsidR="00AB0FCB">
        <w:t>es</w:t>
      </w:r>
      <w:r>
        <w:t xml:space="preserve"> are now participating in the program.  </w:t>
      </w:r>
      <w:r w:rsidRPr="007D3411">
        <w:t>The number of respondents increased from 371 to 400</w:t>
      </w:r>
      <w:r>
        <w:t>, b</w:t>
      </w:r>
      <w:r w:rsidRPr="007D3411">
        <w:t>urden hours increased from 1</w:t>
      </w:r>
      <w:r>
        <w:t>,</w:t>
      </w:r>
      <w:r w:rsidRPr="007D3411">
        <w:t xml:space="preserve">943 to </w:t>
      </w:r>
      <w:r>
        <w:t>2,742, and</w:t>
      </w:r>
      <w:r w:rsidRPr="007D3411">
        <w:t xml:space="preserve"> annual responses increased from 9</w:t>
      </w:r>
      <w:r>
        <w:t>,</w:t>
      </w:r>
      <w:r w:rsidRPr="007D3411">
        <w:t>642 to 1</w:t>
      </w:r>
      <w:r>
        <w:t>4</w:t>
      </w:r>
      <w:r w:rsidRPr="007D3411">
        <w:t>,402</w:t>
      </w:r>
      <w:r>
        <w:t xml:space="preserve">.  </w:t>
      </w:r>
      <w:r w:rsidR="001E7020">
        <w:t xml:space="preserve">Adjustments out of APHIS’ control totaled an increase of 157 burden hours and 758 </w:t>
      </w:r>
      <w:r w:rsidR="002D03CD">
        <w:t xml:space="preserve">annual </w:t>
      </w:r>
      <w:r w:rsidR="001E7020">
        <w:t>responses.</w:t>
      </w:r>
    </w:p>
    <w:p w14:paraId="262D33E2" w14:textId="77777777" w:rsidR="001E7020" w:rsidRDefault="001E7020" w:rsidP="001E7020">
      <w:pPr>
        <w:pStyle w:val="296"/>
        <w:rPr>
          <w:b/>
        </w:rPr>
      </w:pPr>
    </w:p>
    <w:p w14:paraId="0B2F9D38" w14:textId="774689DF" w:rsidR="00373C35" w:rsidRDefault="00FD2521">
      <w:pPr>
        <w:pStyle w:val="296"/>
        <w:rPr>
          <w:b/>
        </w:rPr>
      </w:pPr>
      <w:r>
        <w:t>In addition, APHIS added burden for: (1) w</w:t>
      </w:r>
      <w:r w:rsidR="00373C35" w:rsidRPr="00EC31A9">
        <w:t xml:space="preserve">ritten </w:t>
      </w:r>
      <w:r w:rsidR="00EC31A9">
        <w:t xml:space="preserve">appeals for the </w:t>
      </w:r>
      <w:r w:rsidR="00373C35" w:rsidRPr="00EC31A9">
        <w:t xml:space="preserve">cancellation of compliance </w:t>
      </w:r>
      <w:bookmarkStart w:id="0" w:name="_GoBack"/>
      <w:bookmarkEnd w:id="0"/>
      <w:r w:rsidR="00373C35" w:rsidRPr="00EC31A9">
        <w:t>agreements</w:t>
      </w:r>
      <w:r>
        <w:t>,</w:t>
      </w:r>
      <w:r w:rsidR="00FB327A" w:rsidRPr="00EC31A9">
        <w:t xml:space="preserve"> </w:t>
      </w:r>
      <w:r>
        <w:t xml:space="preserve">(2) </w:t>
      </w:r>
      <w:r w:rsidR="00FB327A" w:rsidRPr="00EC31A9">
        <w:t xml:space="preserve">written appeals for </w:t>
      </w:r>
      <w:r w:rsidR="00EC31A9" w:rsidRPr="00EC31A9">
        <w:t>withdrawn limited permits</w:t>
      </w:r>
      <w:r>
        <w:t xml:space="preserve">; </w:t>
      </w:r>
      <w:r w:rsidR="00E85473">
        <w:t xml:space="preserve">and </w:t>
      </w:r>
      <w:r>
        <w:t>(3) Federal C</w:t>
      </w:r>
      <w:r w:rsidR="00E85473">
        <w:t>ertificates</w:t>
      </w:r>
      <w:r w:rsidR="00EC31A9" w:rsidRPr="00EC31A9">
        <w:t xml:space="preserve"> </w:t>
      </w:r>
      <w:r>
        <w:t>because this burden was</w:t>
      </w:r>
      <w:r w:rsidR="00EC31A9" w:rsidRPr="00EC31A9">
        <w:t xml:space="preserve"> erroneously omitted from the previous collection.</w:t>
      </w:r>
      <w:r w:rsidR="00EC31A9">
        <w:t xml:space="preserve">  </w:t>
      </w:r>
      <w:r w:rsidR="00D97D3E">
        <w:t>T</w:t>
      </w:r>
      <w:r>
        <w:t xml:space="preserve">he three additional burden items that were added in this </w:t>
      </w:r>
      <w:r w:rsidR="001E7020">
        <w:t>information collection were</w:t>
      </w:r>
      <w:r w:rsidR="00AB0FCB">
        <w:t xml:space="preserve"> program change</w:t>
      </w:r>
      <w:r w:rsidR="001E7020">
        <w:t>s totaling</w:t>
      </w:r>
      <w:r>
        <w:t xml:space="preserve"> 642 </w:t>
      </w:r>
      <w:r w:rsidR="00D97D3E">
        <w:t>burden hours and 4,002 annual responses</w:t>
      </w:r>
    </w:p>
    <w:p w14:paraId="0B2F9D39" w14:textId="77777777" w:rsidR="000F35A5" w:rsidRDefault="000F35A5">
      <w:pPr>
        <w:pStyle w:val="296"/>
      </w:pPr>
    </w:p>
    <w:p w14:paraId="6824165D" w14:textId="77777777" w:rsidR="001E7020" w:rsidRDefault="001E7020">
      <w:pPr>
        <w:pStyle w:val="296"/>
      </w:pPr>
    </w:p>
    <w:p w14:paraId="0B2F9D3A" w14:textId="77777777" w:rsidR="00375C77" w:rsidRDefault="00375C77">
      <w:pPr>
        <w:pStyle w:val="296"/>
        <w:rPr>
          <w:b/>
        </w:rPr>
      </w:pPr>
      <w:r>
        <w:rPr>
          <w:b/>
        </w:rPr>
        <w:t>16.  For collections of information whose results are planned to be published, outline plans for tabulations and publication.</w:t>
      </w:r>
    </w:p>
    <w:p w14:paraId="0B2F9D3B" w14:textId="77777777" w:rsidR="00375C77" w:rsidRPr="006C59CE" w:rsidRDefault="00375C77">
      <w:pPr>
        <w:pStyle w:val="296"/>
        <w:rPr>
          <w:b/>
        </w:rPr>
      </w:pPr>
    </w:p>
    <w:p w14:paraId="0B2F9D3C" w14:textId="77777777" w:rsidR="00375C77" w:rsidRDefault="008B6F15">
      <w:pPr>
        <w:pStyle w:val="296"/>
      </w:pPr>
      <w:r>
        <w:t>APHIS has</w:t>
      </w:r>
      <w:r w:rsidR="00375C77">
        <w:t xml:space="preserve"> no plans to tabula</w:t>
      </w:r>
      <w:r>
        <w:t>te o</w:t>
      </w:r>
      <w:r w:rsidR="000F35A5">
        <w:t>r publish the information collected</w:t>
      </w:r>
      <w:r>
        <w:t>.</w:t>
      </w:r>
    </w:p>
    <w:p w14:paraId="0B2F9D3D" w14:textId="77777777" w:rsidR="00375C77" w:rsidRDefault="00375C77">
      <w:pPr>
        <w:pStyle w:val="296"/>
      </w:pPr>
    </w:p>
    <w:p w14:paraId="0B2F9D3E" w14:textId="77777777" w:rsidR="00192A39" w:rsidRDefault="00192A39">
      <w:pPr>
        <w:pStyle w:val="296"/>
      </w:pPr>
    </w:p>
    <w:p w14:paraId="0B2F9D3F" w14:textId="77777777" w:rsidR="00375C77" w:rsidRDefault="00375C77">
      <w:pPr>
        <w:pStyle w:val="296"/>
        <w:rPr>
          <w:b/>
        </w:rPr>
      </w:pPr>
      <w:r>
        <w:rPr>
          <w:b/>
        </w:rPr>
        <w:t>17.  If seeking approval to not display the expiration date for OMB approval of the information collection, explain the reasons that display would be inappropriate.</w:t>
      </w:r>
    </w:p>
    <w:p w14:paraId="0B2F9D40" w14:textId="77777777" w:rsidR="00545445" w:rsidRDefault="00545445">
      <w:pPr>
        <w:pStyle w:val="296"/>
        <w:rPr>
          <w:b/>
        </w:rPr>
      </w:pPr>
    </w:p>
    <w:p w14:paraId="0B2F9D41" w14:textId="285F8B54" w:rsidR="00375C77" w:rsidRDefault="00AB0FCB">
      <w:pPr>
        <w:pStyle w:val="296"/>
      </w:pPr>
      <w:r>
        <w:t>PPQ Form 519, PPQ Form 530, and PPQ Form 540 are all used in multiple APHIS information collections</w:t>
      </w:r>
      <w:r w:rsidR="00192A39">
        <w:t xml:space="preserve">; </w:t>
      </w:r>
      <w:r w:rsidR="00AB23B2">
        <w:t>therefore, it is not practical to include an OMB expiration date because of the various expiration dates for each</w:t>
      </w:r>
      <w:r>
        <w:t xml:space="preserve"> information</w:t>
      </w:r>
      <w:r w:rsidR="00AB23B2">
        <w:t xml:space="preserve"> collection.  APHIS is seeking approval to not display</w:t>
      </w:r>
      <w:r w:rsidR="00192A39">
        <w:t xml:space="preserve"> the OMB expiration date on these</w:t>
      </w:r>
      <w:r w:rsidR="00AB23B2">
        <w:t xml:space="preserve"> form</w:t>
      </w:r>
      <w:r w:rsidR="00192A39">
        <w:t>s</w:t>
      </w:r>
      <w:r w:rsidR="00AB23B2">
        <w:t>.</w:t>
      </w:r>
      <w:r w:rsidR="00736B19">
        <w:t xml:space="preserve">                                                                  </w:t>
      </w:r>
    </w:p>
    <w:p w14:paraId="0B2F9D42" w14:textId="77777777" w:rsidR="00375C77" w:rsidRDefault="00375C77">
      <w:pPr>
        <w:pStyle w:val="296"/>
      </w:pPr>
    </w:p>
    <w:p w14:paraId="0B2F9D43" w14:textId="77777777" w:rsidR="00192A39" w:rsidRDefault="00192A39">
      <w:pPr>
        <w:pStyle w:val="296"/>
      </w:pPr>
    </w:p>
    <w:p w14:paraId="0B2F9D44" w14:textId="77777777" w:rsidR="00375C77" w:rsidRDefault="00375C77">
      <w:pPr>
        <w:pStyle w:val="296"/>
        <w:rPr>
          <w:b/>
        </w:rPr>
      </w:pPr>
      <w:r>
        <w:rPr>
          <w:b/>
        </w:rPr>
        <w:t>18.  Explain each exception to the certification statement identified in the “Certification for Paperwork Reduction Act.”</w:t>
      </w:r>
    </w:p>
    <w:p w14:paraId="0B2F9D45" w14:textId="77777777" w:rsidR="00375C77" w:rsidRDefault="00375C77">
      <w:pPr>
        <w:pStyle w:val="296"/>
      </w:pPr>
    </w:p>
    <w:p w14:paraId="0B2F9D46" w14:textId="77777777" w:rsidR="00375C77" w:rsidRDefault="00823600">
      <w:pPr>
        <w:pStyle w:val="296"/>
      </w:pPr>
      <w:r>
        <w:t xml:space="preserve">APHIS is able to certify compliance </w:t>
      </w:r>
      <w:r w:rsidR="00375C77">
        <w:t>with all the provisions under the Act.</w:t>
      </w:r>
    </w:p>
    <w:p w14:paraId="0B2F9D47" w14:textId="77777777" w:rsidR="00375C77" w:rsidRPr="006C59CE" w:rsidRDefault="00375C77">
      <w:pPr>
        <w:pStyle w:val="296"/>
      </w:pPr>
    </w:p>
    <w:p w14:paraId="0B2F9D48" w14:textId="77777777" w:rsidR="00C1665D" w:rsidRDefault="00C1665D">
      <w:pPr>
        <w:pStyle w:val="296"/>
        <w:rPr>
          <w:b/>
        </w:rPr>
      </w:pPr>
    </w:p>
    <w:p w14:paraId="0B2F9D49" w14:textId="77777777" w:rsidR="00375C77" w:rsidRDefault="00375C77">
      <w:pPr>
        <w:pStyle w:val="296"/>
        <w:rPr>
          <w:b/>
        </w:rPr>
      </w:pPr>
      <w:r>
        <w:rPr>
          <w:b/>
        </w:rPr>
        <w:t>B.  Collections of Information Employing Statistical Methods</w:t>
      </w:r>
    </w:p>
    <w:p w14:paraId="0B2F9D4A" w14:textId="77777777" w:rsidR="00375C77" w:rsidRDefault="00375C77">
      <w:pPr>
        <w:pStyle w:val="296"/>
      </w:pPr>
    </w:p>
    <w:p w14:paraId="0B2F9D4B" w14:textId="77777777" w:rsidR="00375C77" w:rsidRDefault="00375C77">
      <w:pPr>
        <w:pStyle w:val="296"/>
      </w:pPr>
      <w:r>
        <w:t>Statistical methods are not used</w:t>
      </w:r>
      <w:r w:rsidR="00CA6A4C">
        <w:t xml:space="preserve"> in this information collection.</w:t>
      </w:r>
    </w:p>
    <w:sectPr w:rsidR="00375C77" w:rsidSect="00CA10E6">
      <w:pgSz w:w="12240" w:h="15840"/>
      <w:pgMar w:top="1296" w:right="1440" w:bottom="129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31314B"/>
    <w:multiLevelType w:val="multilevel"/>
    <w:tmpl w:val="9A70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8"/>
  </w:num>
  <w:num w:numId="4">
    <w:abstractNumId w:val="7"/>
  </w:num>
  <w:num w:numId="5">
    <w:abstractNumId w:val="5"/>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7A"/>
    <w:rsid w:val="00032001"/>
    <w:rsid w:val="00055C28"/>
    <w:rsid w:val="00066DBD"/>
    <w:rsid w:val="0007105A"/>
    <w:rsid w:val="00072948"/>
    <w:rsid w:val="000747E0"/>
    <w:rsid w:val="000768A8"/>
    <w:rsid w:val="000A3FDE"/>
    <w:rsid w:val="000D0E7D"/>
    <w:rsid w:val="000D2FD1"/>
    <w:rsid w:val="000D5D7D"/>
    <w:rsid w:val="000E29D8"/>
    <w:rsid w:val="000F35A5"/>
    <w:rsid w:val="001005FE"/>
    <w:rsid w:val="00114067"/>
    <w:rsid w:val="0011705B"/>
    <w:rsid w:val="00117E8B"/>
    <w:rsid w:val="0012209E"/>
    <w:rsid w:val="00131D15"/>
    <w:rsid w:val="00135BF0"/>
    <w:rsid w:val="0013705B"/>
    <w:rsid w:val="001422B7"/>
    <w:rsid w:val="001508F6"/>
    <w:rsid w:val="00157030"/>
    <w:rsid w:val="00157CF0"/>
    <w:rsid w:val="00161071"/>
    <w:rsid w:val="00161680"/>
    <w:rsid w:val="00165718"/>
    <w:rsid w:val="00165A2F"/>
    <w:rsid w:val="00173E7C"/>
    <w:rsid w:val="0017480B"/>
    <w:rsid w:val="00192A39"/>
    <w:rsid w:val="001B2869"/>
    <w:rsid w:val="001C603C"/>
    <w:rsid w:val="001C6D34"/>
    <w:rsid w:val="001E16C1"/>
    <w:rsid w:val="001E3DD9"/>
    <w:rsid w:val="001E6CD9"/>
    <w:rsid w:val="001E7020"/>
    <w:rsid w:val="001E756D"/>
    <w:rsid w:val="0021729E"/>
    <w:rsid w:val="0022568B"/>
    <w:rsid w:val="002275A6"/>
    <w:rsid w:val="00232928"/>
    <w:rsid w:val="002514C5"/>
    <w:rsid w:val="002516B1"/>
    <w:rsid w:val="00267EF4"/>
    <w:rsid w:val="002A17B7"/>
    <w:rsid w:val="002B2915"/>
    <w:rsid w:val="002C2F1F"/>
    <w:rsid w:val="002D03CD"/>
    <w:rsid w:val="002E0FE6"/>
    <w:rsid w:val="002F4BFB"/>
    <w:rsid w:val="00302C78"/>
    <w:rsid w:val="00321DA6"/>
    <w:rsid w:val="0032447B"/>
    <w:rsid w:val="00343A7A"/>
    <w:rsid w:val="00373C35"/>
    <w:rsid w:val="003746EB"/>
    <w:rsid w:val="0037537B"/>
    <w:rsid w:val="00375C50"/>
    <w:rsid w:val="00375C77"/>
    <w:rsid w:val="0038136D"/>
    <w:rsid w:val="003833AD"/>
    <w:rsid w:val="00387413"/>
    <w:rsid w:val="003B7DB7"/>
    <w:rsid w:val="003C5B5B"/>
    <w:rsid w:val="003C6806"/>
    <w:rsid w:val="003D45E2"/>
    <w:rsid w:val="003F7C7F"/>
    <w:rsid w:val="0040399E"/>
    <w:rsid w:val="00412DF4"/>
    <w:rsid w:val="00413C02"/>
    <w:rsid w:val="00416F80"/>
    <w:rsid w:val="00426C0C"/>
    <w:rsid w:val="0043089F"/>
    <w:rsid w:val="004360CE"/>
    <w:rsid w:val="0046029E"/>
    <w:rsid w:val="004652ED"/>
    <w:rsid w:val="00490972"/>
    <w:rsid w:val="004B1A59"/>
    <w:rsid w:val="004C7E07"/>
    <w:rsid w:val="004D45A1"/>
    <w:rsid w:val="005007C9"/>
    <w:rsid w:val="00501ABE"/>
    <w:rsid w:val="00504AB1"/>
    <w:rsid w:val="00521659"/>
    <w:rsid w:val="00524604"/>
    <w:rsid w:val="00524CA4"/>
    <w:rsid w:val="005436E7"/>
    <w:rsid w:val="00545445"/>
    <w:rsid w:val="00556BA7"/>
    <w:rsid w:val="0058591B"/>
    <w:rsid w:val="005A6E72"/>
    <w:rsid w:val="005B4464"/>
    <w:rsid w:val="005D649B"/>
    <w:rsid w:val="005E5CD7"/>
    <w:rsid w:val="005F6FEB"/>
    <w:rsid w:val="00604AFE"/>
    <w:rsid w:val="006112F0"/>
    <w:rsid w:val="00616E98"/>
    <w:rsid w:val="00644885"/>
    <w:rsid w:val="0064708D"/>
    <w:rsid w:val="0065265A"/>
    <w:rsid w:val="006620B1"/>
    <w:rsid w:val="006665B6"/>
    <w:rsid w:val="006776F3"/>
    <w:rsid w:val="0068216E"/>
    <w:rsid w:val="00684EE9"/>
    <w:rsid w:val="006A1359"/>
    <w:rsid w:val="006A71A3"/>
    <w:rsid w:val="006B5A6B"/>
    <w:rsid w:val="006C59CE"/>
    <w:rsid w:val="006D0CD3"/>
    <w:rsid w:val="006E5D02"/>
    <w:rsid w:val="00701A27"/>
    <w:rsid w:val="00733BD9"/>
    <w:rsid w:val="00736B19"/>
    <w:rsid w:val="00767579"/>
    <w:rsid w:val="007A07B0"/>
    <w:rsid w:val="007B3FEA"/>
    <w:rsid w:val="007C3A01"/>
    <w:rsid w:val="007C3DDA"/>
    <w:rsid w:val="007D0529"/>
    <w:rsid w:val="007D17EF"/>
    <w:rsid w:val="007D3411"/>
    <w:rsid w:val="007F16F9"/>
    <w:rsid w:val="008036D3"/>
    <w:rsid w:val="008234E6"/>
    <w:rsid w:val="00823600"/>
    <w:rsid w:val="00842428"/>
    <w:rsid w:val="00861F19"/>
    <w:rsid w:val="00881ABD"/>
    <w:rsid w:val="00886DD1"/>
    <w:rsid w:val="008A4188"/>
    <w:rsid w:val="008A679F"/>
    <w:rsid w:val="008B6F15"/>
    <w:rsid w:val="008C2995"/>
    <w:rsid w:val="008C6381"/>
    <w:rsid w:val="008D26A3"/>
    <w:rsid w:val="008D2848"/>
    <w:rsid w:val="008F440A"/>
    <w:rsid w:val="00905F23"/>
    <w:rsid w:val="00947465"/>
    <w:rsid w:val="00953F66"/>
    <w:rsid w:val="00957BC9"/>
    <w:rsid w:val="00966841"/>
    <w:rsid w:val="0097241B"/>
    <w:rsid w:val="00976D55"/>
    <w:rsid w:val="00991262"/>
    <w:rsid w:val="009C4F1A"/>
    <w:rsid w:val="009D2374"/>
    <w:rsid w:val="009F364F"/>
    <w:rsid w:val="009F7082"/>
    <w:rsid w:val="00A019F4"/>
    <w:rsid w:val="00A02FB7"/>
    <w:rsid w:val="00A10109"/>
    <w:rsid w:val="00A11E63"/>
    <w:rsid w:val="00A2345A"/>
    <w:rsid w:val="00A341B6"/>
    <w:rsid w:val="00A3612F"/>
    <w:rsid w:val="00A62667"/>
    <w:rsid w:val="00A7123E"/>
    <w:rsid w:val="00A85DC0"/>
    <w:rsid w:val="00AB0FCB"/>
    <w:rsid w:val="00AB23B2"/>
    <w:rsid w:val="00B00C68"/>
    <w:rsid w:val="00B43E34"/>
    <w:rsid w:val="00B47F3C"/>
    <w:rsid w:val="00B64D8D"/>
    <w:rsid w:val="00B75D28"/>
    <w:rsid w:val="00B80BDC"/>
    <w:rsid w:val="00B8143D"/>
    <w:rsid w:val="00B87541"/>
    <w:rsid w:val="00BC2017"/>
    <w:rsid w:val="00BD2BC2"/>
    <w:rsid w:val="00BD3D82"/>
    <w:rsid w:val="00BE5948"/>
    <w:rsid w:val="00BF63D3"/>
    <w:rsid w:val="00C07198"/>
    <w:rsid w:val="00C14382"/>
    <w:rsid w:val="00C1665D"/>
    <w:rsid w:val="00C27FF7"/>
    <w:rsid w:val="00C853CC"/>
    <w:rsid w:val="00CA10E6"/>
    <w:rsid w:val="00CA6A4C"/>
    <w:rsid w:val="00CA7537"/>
    <w:rsid w:val="00CC5A36"/>
    <w:rsid w:val="00CD3CA6"/>
    <w:rsid w:val="00CE2FE1"/>
    <w:rsid w:val="00CF0288"/>
    <w:rsid w:val="00CF304F"/>
    <w:rsid w:val="00CF6A93"/>
    <w:rsid w:val="00CF6CD0"/>
    <w:rsid w:val="00D2494D"/>
    <w:rsid w:val="00D27064"/>
    <w:rsid w:val="00D27B0C"/>
    <w:rsid w:val="00D57BE0"/>
    <w:rsid w:val="00D70FCE"/>
    <w:rsid w:val="00D77C75"/>
    <w:rsid w:val="00D97D3E"/>
    <w:rsid w:val="00DA7D5F"/>
    <w:rsid w:val="00DE441C"/>
    <w:rsid w:val="00DE4B11"/>
    <w:rsid w:val="00E85473"/>
    <w:rsid w:val="00E97121"/>
    <w:rsid w:val="00E97579"/>
    <w:rsid w:val="00EB6281"/>
    <w:rsid w:val="00EB6D71"/>
    <w:rsid w:val="00EC31A9"/>
    <w:rsid w:val="00EC7D0B"/>
    <w:rsid w:val="00ED2032"/>
    <w:rsid w:val="00ED430B"/>
    <w:rsid w:val="00ED63AA"/>
    <w:rsid w:val="00EF725C"/>
    <w:rsid w:val="00F07B8B"/>
    <w:rsid w:val="00F1621F"/>
    <w:rsid w:val="00F22E4D"/>
    <w:rsid w:val="00F23A28"/>
    <w:rsid w:val="00F357F3"/>
    <w:rsid w:val="00F41B8B"/>
    <w:rsid w:val="00F431C8"/>
    <w:rsid w:val="00F54E23"/>
    <w:rsid w:val="00F67E7D"/>
    <w:rsid w:val="00F70E0B"/>
    <w:rsid w:val="00F731EA"/>
    <w:rsid w:val="00F87CDF"/>
    <w:rsid w:val="00F91F31"/>
    <w:rsid w:val="00F93D5F"/>
    <w:rsid w:val="00FB327A"/>
    <w:rsid w:val="00FC2B0B"/>
    <w:rsid w:val="00FC6A40"/>
    <w:rsid w:val="00FD2521"/>
    <w:rsid w:val="00FD544B"/>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2F9CA5"/>
  <w15:docId w15:val="{0795FEAB-D026-434C-B28E-00F58A6F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
    <w:name w:val="299"/>
    <w:basedOn w:val="Normal"/>
  </w:style>
  <w:style w:type="paragraph" w:customStyle="1" w:styleId="298">
    <w:name w:val="298"/>
    <w:basedOn w:val="Normal"/>
  </w:style>
  <w:style w:type="paragraph" w:customStyle="1" w:styleId="296">
    <w:name w:val="296"/>
    <w:basedOn w:val="Normal"/>
  </w:style>
  <w:style w:type="paragraph" w:customStyle="1" w:styleId="DefaultText">
    <w:name w:val="Default Text"/>
    <w:basedOn w:val="Normal"/>
  </w:style>
  <w:style w:type="character" w:customStyle="1" w:styleId="297">
    <w:name w:val="297"/>
    <w:rPr>
      <w:color w:val="auto"/>
      <w:spacing w:val="0"/>
      <w:sz w:val="24"/>
    </w:rPr>
  </w:style>
  <w:style w:type="paragraph" w:styleId="NormalWeb">
    <w:name w:val="Normal (Web)"/>
    <w:basedOn w:val="Normal"/>
    <w:uiPriority w:val="99"/>
    <w:rsid w:val="001E756D"/>
    <w:pPr>
      <w:overflowPunct/>
      <w:autoSpaceDE/>
      <w:autoSpaceDN/>
      <w:adjustRightInd/>
      <w:spacing w:before="100" w:beforeAutospacing="1" w:after="100" w:afterAutospacing="1"/>
      <w:textAlignment w:val="auto"/>
    </w:pPr>
  </w:style>
  <w:style w:type="character" w:styleId="Hyperlink">
    <w:name w:val="Hyperlink"/>
    <w:rsid w:val="00413C02"/>
    <w:rPr>
      <w:color w:val="0000FF"/>
      <w:u w:val="single"/>
    </w:rPr>
  </w:style>
  <w:style w:type="paragraph" w:customStyle="1" w:styleId="300">
    <w:name w:val="300"/>
    <w:basedOn w:val="Normal"/>
    <w:rsid w:val="005E5CD7"/>
    <w:rPr>
      <w:sz w:val="20"/>
      <w:szCs w:val="20"/>
    </w:rPr>
  </w:style>
  <w:style w:type="paragraph" w:styleId="BalloonText">
    <w:name w:val="Balloon Text"/>
    <w:basedOn w:val="Normal"/>
    <w:link w:val="BalloonTextChar"/>
    <w:rsid w:val="006D0CD3"/>
    <w:rPr>
      <w:rFonts w:ascii="Tahoma" w:hAnsi="Tahoma" w:cs="Tahoma"/>
      <w:sz w:val="16"/>
      <w:szCs w:val="16"/>
    </w:rPr>
  </w:style>
  <w:style w:type="character" w:customStyle="1" w:styleId="BalloonTextChar">
    <w:name w:val="Balloon Text Char"/>
    <w:link w:val="BalloonText"/>
    <w:rsid w:val="006D0CD3"/>
    <w:rPr>
      <w:rFonts w:ascii="Tahoma" w:hAnsi="Tahoma" w:cs="Tahoma"/>
      <w:sz w:val="16"/>
      <w:szCs w:val="16"/>
    </w:rPr>
  </w:style>
  <w:style w:type="character" w:customStyle="1" w:styleId="InitialStyle">
    <w:name w:val="InitialStyle"/>
    <w:rsid w:val="00CA10E6"/>
    <w:rPr>
      <w:rFonts w:ascii="Courier New" w:hAnsi="Courier New"/>
      <w:color w:val="auto"/>
      <w:spacing w:val="0"/>
      <w:sz w:val="24"/>
    </w:rPr>
  </w:style>
  <w:style w:type="character" w:styleId="FollowedHyperlink">
    <w:name w:val="FollowedHyperlink"/>
    <w:basedOn w:val="DefaultParagraphFont"/>
    <w:rsid w:val="00375C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41527">
      <w:bodyDiv w:val="1"/>
      <w:marLeft w:val="0"/>
      <w:marRight w:val="0"/>
      <w:marTop w:val="0"/>
      <w:marBottom w:val="0"/>
      <w:divBdr>
        <w:top w:val="none" w:sz="0" w:space="0" w:color="auto"/>
        <w:left w:val="none" w:sz="0" w:space="0" w:color="auto"/>
        <w:bottom w:val="none" w:sz="0" w:space="0" w:color="auto"/>
        <w:right w:val="none" w:sz="0" w:space="0" w:color="auto"/>
      </w:divBdr>
      <w:divsChild>
        <w:div w:id="5835130">
          <w:marLeft w:val="0"/>
          <w:marRight w:val="0"/>
          <w:marTop w:val="270"/>
          <w:marBottom w:val="0"/>
          <w:divBdr>
            <w:top w:val="none" w:sz="0" w:space="0" w:color="auto"/>
            <w:left w:val="none" w:sz="0" w:space="0" w:color="auto"/>
            <w:bottom w:val="none" w:sz="0" w:space="0" w:color="auto"/>
            <w:right w:val="none" w:sz="0" w:space="0" w:color="auto"/>
          </w:divBdr>
          <w:divsChild>
            <w:div w:id="1549762072">
              <w:marLeft w:val="330"/>
              <w:marRight w:val="0"/>
              <w:marTop w:val="90"/>
              <w:marBottom w:val="0"/>
              <w:divBdr>
                <w:top w:val="none" w:sz="0" w:space="0" w:color="auto"/>
                <w:left w:val="none" w:sz="0" w:space="0" w:color="auto"/>
                <w:bottom w:val="none" w:sz="0" w:space="0" w:color="auto"/>
                <w:right w:val="none" w:sz="0" w:space="0" w:color="auto"/>
              </w:divBdr>
            </w:div>
          </w:divsChild>
        </w:div>
      </w:divsChild>
    </w:div>
    <w:div w:id="543055324">
      <w:bodyDiv w:val="1"/>
      <w:marLeft w:val="0"/>
      <w:marRight w:val="0"/>
      <w:marTop w:val="0"/>
      <w:marBottom w:val="0"/>
      <w:divBdr>
        <w:top w:val="none" w:sz="0" w:space="0" w:color="auto"/>
        <w:left w:val="none" w:sz="0" w:space="0" w:color="auto"/>
        <w:bottom w:val="none" w:sz="0" w:space="0" w:color="auto"/>
        <w:right w:val="none" w:sz="0" w:space="0" w:color="auto"/>
      </w:divBdr>
    </w:div>
    <w:div w:id="812478392">
      <w:bodyDiv w:val="1"/>
      <w:marLeft w:val="0"/>
      <w:marRight w:val="0"/>
      <w:marTop w:val="0"/>
      <w:marBottom w:val="0"/>
      <w:divBdr>
        <w:top w:val="none" w:sz="0" w:space="0" w:color="auto"/>
        <w:left w:val="none" w:sz="0" w:space="0" w:color="auto"/>
        <w:bottom w:val="none" w:sz="0" w:space="0" w:color="auto"/>
        <w:right w:val="none" w:sz="0" w:space="0" w:color="auto"/>
      </w:divBdr>
    </w:div>
    <w:div w:id="826826420">
      <w:bodyDiv w:val="1"/>
      <w:marLeft w:val="0"/>
      <w:marRight w:val="0"/>
      <w:marTop w:val="0"/>
      <w:marBottom w:val="0"/>
      <w:divBdr>
        <w:top w:val="none" w:sz="0" w:space="0" w:color="auto"/>
        <w:left w:val="none" w:sz="0" w:space="0" w:color="auto"/>
        <w:bottom w:val="none" w:sz="0" w:space="0" w:color="auto"/>
        <w:right w:val="none" w:sz="0" w:space="0" w:color="auto"/>
      </w:divBdr>
      <w:divsChild>
        <w:div w:id="346906168">
          <w:marLeft w:val="0"/>
          <w:marRight w:val="0"/>
          <w:marTop w:val="0"/>
          <w:marBottom w:val="0"/>
          <w:divBdr>
            <w:top w:val="none" w:sz="0" w:space="0" w:color="auto"/>
            <w:left w:val="none" w:sz="0" w:space="0" w:color="auto"/>
            <w:bottom w:val="none" w:sz="0" w:space="0" w:color="auto"/>
            <w:right w:val="none" w:sz="0" w:space="0" w:color="auto"/>
          </w:divBdr>
          <w:divsChild>
            <w:div w:id="123548683">
              <w:marLeft w:val="0"/>
              <w:marRight w:val="0"/>
              <w:marTop w:val="0"/>
              <w:marBottom w:val="0"/>
              <w:divBdr>
                <w:top w:val="single" w:sz="6" w:space="11" w:color="FCFCFC"/>
                <w:left w:val="single" w:sz="6" w:space="11" w:color="ECECEC"/>
                <w:bottom w:val="single" w:sz="6" w:space="4" w:color="ECECEC"/>
                <w:right w:val="single" w:sz="6" w:space="11" w:color="ECECEC"/>
              </w:divBdr>
              <w:divsChild>
                <w:div w:id="9057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62343">
      <w:bodyDiv w:val="1"/>
      <w:marLeft w:val="0"/>
      <w:marRight w:val="0"/>
      <w:marTop w:val="30"/>
      <w:marBottom w:val="750"/>
      <w:divBdr>
        <w:top w:val="none" w:sz="0" w:space="0" w:color="auto"/>
        <w:left w:val="none" w:sz="0" w:space="0" w:color="auto"/>
        <w:bottom w:val="none" w:sz="0" w:space="0" w:color="auto"/>
        <w:right w:val="none" w:sz="0" w:space="0" w:color="auto"/>
      </w:divBdr>
      <w:divsChild>
        <w:div w:id="1853108442">
          <w:marLeft w:val="0"/>
          <w:marRight w:val="0"/>
          <w:marTop w:val="0"/>
          <w:marBottom w:val="0"/>
          <w:divBdr>
            <w:top w:val="none" w:sz="0" w:space="0" w:color="auto"/>
            <w:left w:val="none" w:sz="0" w:space="0" w:color="auto"/>
            <w:bottom w:val="none" w:sz="0" w:space="0" w:color="auto"/>
            <w:right w:val="none" w:sz="0" w:space="0" w:color="auto"/>
          </w:divBdr>
        </w:div>
      </w:divsChild>
    </w:div>
    <w:div w:id="13739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control" Target="activeX/activeX11.xml"/><Relationship Id="rId7" Type="http://schemas.openxmlformats.org/officeDocument/2006/relationships/numbering" Target="numbering.xml"/><Relationship Id="rId12" Type="http://schemas.openxmlformats.org/officeDocument/2006/relationships/hyperlink" Target="http://www.salaryexpert.co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aphis.usda.gov/library/forms/pdf/ppq519.pdf" TargetMode="Externa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Citrus Canker; Interstate Movement of Regulated Nursery Stock from Quar </Project_x0020_Name>
    <OMB_x0020_control_x0020__x0023_ xmlns="64E31D74-685E-46CD-AE51-A264634057B8">0579-0317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_dlc_DocId xmlns="ed6d8045-9bce-45b8-96e9-ffa15b628daa">A7UXA6N55WET-2455-777</_dlc_DocId>
    <_dlc_DocIdUrl xmlns="ed6d8045-9bce-45b8-96e9-ffa15b628daa">
      <Url>http://sp.we.aphis.gov/PPQ/policy/php/PCC/Paperwork Burden/_layouts/DocIdRedir.aspx?ID=A7UXA6N55WET-2455-777</Url>
      <Description>A7UXA6N55WET-2455-777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4ED71-B707-4028-A351-898FE53508F2}">
  <ds:schemaRefs>
    <ds:schemaRef ds:uri="ed6d8045-9bce-45b8-96e9-ffa15b628daa"/>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64E31D74-685E-46CD-AE51-A264634057B8"/>
    <ds:schemaRef ds:uri="http://www.w3.org/XML/1998/namespace"/>
    <ds:schemaRef ds:uri="http://purl.org/dc/dcmitype/"/>
  </ds:schemaRefs>
</ds:datastoreItem>
</file>

<file path=customXml/itemProps2.xml><?xml version="1.0" encoding="utf-8"?>
<ds:datastoreItem xmlns:ds="http://schemas.openxmlformats.org/officeDocument/2006/customXml" ds:itemID="{12F06E6E-F15A-486D-B072-CFDDE3FA4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5C939-CFB5-41C0-A9A2-96C038F5682F}">
  <ds:schemaRefs>
    <ds:schemaRef ds:uri="http://schemas.microsoft.com/office/2006/metadata/longProperties"/>
  </ds:schemaRefs>
</ds:datastoreItem>
</file>

<file path=customXml/itemProps4.xml><?xml version="1.0" encoding="utf-8"?>
<ds:datastoreItem xmlns:ds="http://schemas.openxmlformats.org/officeDocument/2006/customXml" ds:itemID="{C7A1B14D-4779-4EFE-BE21-906AE392039B}">
  <ds:schemaRefs>
    <ds:schemaRef ds:uri="http://schemas.microsoft.com/sharepoint/events"/>
  </ds:schemaRefs>
</ds:datastoreItem>
</file>

<file path=customXml/itemProps5.xml><?xml version="1.0" encoding="utf-8"?>
<ds:datastoreItem xmlns:ds="http://schemas.openxmlformats.org/officeDocument/2006/customXml" ds:itemID="{7D964284-CB86-4F87-A81C-CBF9A08F94F2}">
  <ds:schemaRefs>
    <ds:schemaRef ds:uri="http://schemas.microsoft.com/sharepoint/v3/contenttype/forms"/>
  </ds:schemaRefs>
</ds:datastoreItem>
</file>

<file path=customXml/itemProps6.xml><?xml version="1.0" encoding="utf-8"?>
<ds:datastoreItem xmlns:ds="http://schemas.openxmlformats.org/officeDocument/2006/customXml" ds:itemID="{5FA250C1-D3ED-4676-B735-F9AFC686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2458</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16910</CharactersWithSpaces>
  <SharedDoc>false</SharedDoc>
  <HLinks>
    <vt:vector size="6" baseType="variant">
      <vt:variant>
        <vt:i4>1376279</vt:i4>
      </vt:variant>
      <vt:variant>
        <vt:i4>0</vt:i4>
      </vt:variant>
      <vt:variant>
        <vt:i4>0</vt:i4>
      </vt:variant>
      <vt:variant>
        <vt:i4>5</vt:i4>
      </vt:variant>
      <vt:variant>
        <vt:lpwstr>http://www.aphis.usda.gov/library/forms/index.shtml</vt:lpwstr>
      </vt:variant>
      <vt:variant>
        <vt:lpwstr>ppq</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Stratchko, Karen A - APHIS</cp:lastModifiedBy>
  <cp:revision>11</cp:revision>
  <cp:lastPrinted>2017-06-16T18:13:00Z</cp:lastPrinted>
  <dcterms:created xsi:type="dcterms:W3CDTF">2017-04-10T14:00:00Z</dcterms:created>
  <dcterms:modified xsi:type="dcterms:W3CDTF">2017-06-16T18:14:00Z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A7UXA6N55WET-2455-328</vt:lpwstr>
  </property>
  <property fmtid="{D5CDD505-2E9C-101B-9397-08002B2CF9AE}" pid="3" name="_dlc_DocIdItemGuid">
    <vt:lpwstr>3c78b862-160e-4524-80e3-ce3385ba8bc6</vt:lpwstr>
  </property>
  <property fmtid="{D5CDD505-2E9C-101B-9397-08002B2CF9AE}" pid="4" name="_dlc_DocIdUrl">
    <vt:lpwstr>http://sp.we.aphis.gov/PPQ/policy/php/rpm/Paperwork Burden/_layouts/DocIdRedir.aspx?ID=A7UXA6N55WET-2455-328, A7UXA6N55WET-2455-328</vt:lpwstr>
  </property>
  <property fmtid="{D5CDD505-2E9C-101B-9397-08002B2CF9AE}" pid="5" name="ContentTypeId">
    <vt:lpwstr>0x0101003D0CEB8B0CBC164FA190FEADAED5600F</vt:lpwstr>
  </property>
</Properties>
</file>