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44" w:rsidRDefault="0086029B" w:rsidP="00563E44">
      <w:pPr>
        <w:spacing w:line="240" w:lineRule="auto"/>
        <w:ind w:left="-450" w:right="-360"/>
        <w:rPr>
          <w:rFonts w:ascii="Times New Roman" w:hAnsi="Times New Roman" w:cs="Times New Roman"/>
        </w:rPr>
      </w:pPr>
      <w:bookmarkStart w:id="0" w:name="_GoBack"/>
      <w:bookmarkEnd w:id="0"/>
      <w:r w:rsidRPr="00563E44">
        <w:rPr>
          <w:rFonts w:ascii="Times New Roman" w:hAnsi="Times New Roman" w:cs="Times New Roman"/>
        </w:rPr>
        <w:t>REPORT IS DUE BY 5:00 P.M. EACH TUESDAY FROM THE TIME YOUR SHIPPING SEASON BEGINS UNTIL IT ENDS. IF NO SHIPMENTS WERE MADE DURING REPORTING PERIOD CHECK THE APPROPRIATE BOX ON THE FORM AND RETURN.</w:t>
      </w:r>
    </w:p>
    <w:p w:rsidR="00563E44" w:rsidRDefault="0086029B" w:rsidP="00563E44">
      <w:pPr>
        <w:spacing w:line="240" w:lineRule="auto"/>
        <w:ind w:left="-450" w:right="-360"/>
        <w:rPr>
          <w:rFonts w:ascii="Times New Roman" w:hAnsi="Times New Roman" w:cs="Times New Roman"/>
        </w:rPr>
      </w:pPr>
      <w:r w:rsidRPr="00563E44">
        <w:rPr>
          <w:rFonts w:ascii="Times New Roman" w:hAnsi="Times New Roman" w:cs="Times New Roman"/>
        </w:rPr>
        <w:t>Instructions for completing electronic KISS Price Report:</w:t>
      </w:r>
    </w:p>
    <w:p w:rsidR="00563E44" w:rsidRDefault="0086029B"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eastAsia="Times New Roman" w:hAnsi="Times New Roman" w:cs="Times New Roman"/>
        </w:rPr>
        <w:t>Enter appropriate Handler/Marketer information.</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86029B">
        <w:rPr>
          <w:rFonts w:ascii="Times New Roman" w:eastAsia="Times New Roman" w:hAnsi="Times New Roman" w:cs="Times New Roman"/>
        </w:rPr>
        <w:t>Enter beginning and ending dates for reporting week.  Reporting period runs from Sunday through Saturday.</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86029B">
        <w:rPr>
          <w:rFonts w:ascii="Times New Roman" w:eastAsia="Times New Roman" w:hAnsi="Times New Roman" w:cs="Times New Roman"/>
        </w:rPr>
        <w:t>If no shipments were made during the previous week, check the box and return report.  Reports must be filed each week</w:t>
      </w:r>
      <w:r w:rsidRPr="00563E44">
        <w:rPr>
          <w:rFonts w:ascii="Times New Roman" w:eastAsia="Times New Roman" w:hAnsi="Times New Roman" w:cs="Times New Roman"/>
        </w:rPr>
        <w:t xml:space="preserve"> </w:t>
      </w:r>
      <w:r w:rsidRPr="0086029B">
        <w:rPr>
          <w:rFonts w:ascii="Times New Roman" w:eastAsia="Times New Roman" w:hAnsi="Times New Roman" w:cs="Times New Roman"/>
        </w:rPr>
        <w:t>during the shipping season,</w:t>
      </w:r>
      <w:r w:rsidRPr="00563E44">
        <w:rPr>
          <w:rFonts w:ascii="Times New Roman" w:eastAsia="Times New Roman" w:hAnsi="Times New Roman" w:cs="Times New Roman"/>
        </w:rPr>
        <w:t xml:space="preserve"> </w:t>
      </w:r>
      <w:r w:rsidRPr="0086029B">
        <w:rPr>
          <w:rFonts w:ascii="Times New Roman" w:eastAsia="Times New Roman" w:hAnsi="Times New Roman" w:cs="Times New Roman"/>
        </w:rPr>
        <w:t>even when no shipments are made.</w:t>
      </w:r>
    </w:p>
    <w:p w:rsid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eastAsia="Times New Roman" w:hAnsi="Times New Roman" w:cs="Times New Roman"/>
        </w:rPr>
        <w:t>If final report of the season, check box.  After final report is filed, no further price reporting is required.</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Locate the section of the appropriate market:  Domestic (Page 1) or Export (Page 2); and grade (Fancy/#1 or KAC).  For each pack style, enter the total number of containers shipped and gross FOB sales by size for the reporting period.  For pack styles not shown on electronic form, enter the container net weight in the “other” pounds column.</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When shipments to an Export Market are reported, shipments must also be reported by Country (Page 3).</w:t>
      </w:r>
    </w:p>
    <w:p w:rsidR="00563E44" w:rsidRPr="00563E44" w:rsidRDefault="00563E44" w:rsidP="00563E44">
      <w:pPr>
        <w:pStyle w:val="ListParagraph"/>
        <w:numPr>
          <w:ilvl w:val="0"/>
          <w:numId w:val="2"/>
        </w:numPr>
        <w:spacing w:line="240" w:lineRule="auto"/>
        <w:ind w:right="-360"/>
        <w:rPr>
          <w:rFonts w:ascii="Times New Roman" w:eastAsia="Times New Roman" w:hAnsi="Times New Roman" w:cs="Times New Roman"/>
        </w:rPr>
      </w:pPr>
      <w:r w:rsidRPr="00563E44">
        <w:rPr>
          <w:rFonts w:ascii="Times New Roman" w:hAnsi="Times New Roman" w:cs="Times New Roman"/>
        </w:rPr>
        <w:t>Submit report electronically.</w:t>
      </w:r>
    </w:p>
    <w:tbl>
      <w:tblPr>
        <w:tblStyle w:val="TableGrid"/>
        <w:tblW w:w="0" w:type="auto"/>
        <w:tblLook w:val="04A0" w:firstRow="1" w:lastRow="0" w:firstColumn="1" w:lastColumn="0" w:noHBand="0" w:noVBand="1"/>
      </w:tblPr>
      <w:tblGrid>
        <w:gridCol w:w="6588"/>
        <w:gridCol w:w="6588"/>
      </w:tblGrid>
      <w:tr w:rsidR="0086029B" w:rsidRPr="00563E44" w:rsidTr="0086029B">
        <w:tc>
          <w:tcPr>
            <w:tcW w:w="6588" w:type="dxa"/>
          </w:tcPr>
          <w:p w:rsidR="0086029B" w:rsidRPr="00563E44" w:rsidRDefault="0086029B" w:rsidP="00563E44">
            <w:pPr>
              <w:jc w:val="center"/>
              <w:rPr>
                <w:rFonts w:ascii="Times New Roman" w:hAnsi="Times New Roman" w:cs="Times New Roman"/>
                <w:b/>
              </w:rPr>
            </w:pPr>
            <w:r w:rsidRPr="00563E44">
              <w:rPr>
                <w:rFonts w:ascii="Times New Roman" w:hAnsi="Times New Roman" w:cs="Times New Roman"/>
                <w:b/>
              </w:rPr>
              <w:t>Description</w:t>
            </w:r>
          </w:p>
        </w:tc>
        <w:tc>
          <w:tcPr>
            <w:tcW w:w="6588" w:type="dxa"/>
          </w:tcPr>
          <w:p w:rsidR="0086029B" w:rsidRPr="00563E44" w:rsidRDefault="0086029B" w:rsidP="00563E44">
            <w:pPr>
              <w:jc w:val="center"/>
              <w:rPr>
                <w:rFonts w:ascii="Times New Roman" w:hAnsi="Times New Roman" w:cs="Times New Roman"/>
                <w:b/>
              </w:rPr>
            </w:pPr>
            <w:r w:rsidRPr="00563E44">
              <w:rPr>
                <w:rFonts w:ascii="Times New Roman" w:hAnsi="Times New Roman" w:cs="Times New Roman"/>
                <w:b/>
              </w:rPr>
              <w:t>Enter this pack style on report</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9 kg (19.8 lb) Volume Fill</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Volume Fill</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Single layer tray</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Trays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Container with 3 layers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3-Layers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125 lb. Bins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Bins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20/1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20/1# Bags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10/1 kg.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10/1 kg Bags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4/4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4/4#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8/2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8/2#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27/8 lb.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27/.8# Clams</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8/8 ct. bags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18/8 ct. Clams and net wt. of master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Master container with 20/6 ct. Clams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20/6 ct. Clams and net wt. of master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Returnable plastic containers, 9 kg</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RPC</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Containers with 2 layers</w:t>
            </w:r>
          </w:p>
        </w:tc>
        <w:tc>
          <w:tcPr>
            <w:tcW w:w="6588" w:type="dxa"/>
          </w:tcPr>
          <w:p w:rsidR="0086029B" w:rsidRPr="00563E44" w:rsidRDefault="0086029B" w:rsidP="00563E44">
            <w:pPr>
              <w:jc w:val="right"/>
              <w:rPr>
                <w:rFonts w:ascii="Times New Roman" w:hAnsi="Times New Roman" w:cs="Times New Roman"/>
              </w:rPr>
            </w:pPr>
            <w:r w:rsidRPr="00563E44">
              <w:rPr>
                <w:rFonts w:ascii="Times New Roman" w:hAnsi="Times New Roman" w:cs="Times New Roman"/>
              </w:rPr>
              <w:t>2-Layers and net wt. of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Euro Containers must include description and net wt. (i.e. Euro 2-layers, 20#)</w:t>
            </w:r>
          </w:p>
        </w:tc>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Type and net wt. of container</w:t>
            </w:r>
          </w:p>
        </w:tc>
      </w:tr>
      <w:tr w:rsidR="0086029B" w:rsidRPr="00563E44" w:rsidTr="0086029B">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Any other container type/consumer pack must include the description and container net wt.</w:t>
            </w:r>
          </w:p>
        </w:tc>
        <w:tc>
          <w:tcPr>
            <w:tcW w:w="6588" w:type="dxa"/>
          </w:tcPr>
          <w:p w:rsidR="0086029B" w:rsidRPr="00563E44" w:rsidRDefault="00563E44" w:rsidP="00563E44">
            <w:pPr>
              <w:jc w:val="right"/>
              <w:rPr>
                <w:rFonts w:ascii="Times New Roman" w:hAnsi="Times New Roman" w:cs="Times New Roman"/>
              </w:rPr>
            </w:pPr>
            <w:r w:rsidRPr="00563E44">
              <w:rPr>
                <w:rFonts w:ascii="Times New Roman" w:hAnsi="Times New Roman" w:cs="Times New Roman"/>
              </w:rPr>
              <w:t>Type and net wt. of container</w:t>
            </w:r>
          </w:p>
        </w:tc>
      </w:tr>
    </w:tbl>
    <w:p w:rsidR="00D555D3" w:rsidRDefault="00F31A86" w:rsidP="00D555D3">
      <w:pPr>
        <w:spacing w:line="240" w:lineRule="auto"/>
        <w:ind w:left="-360"/>
        <w:rPr>
          <w:rFonts w:ascii="Times New Roman" w:hAnsi="Times New Roman" w:cs="Times New Roman"/>
          <w:sz w:val="16"/>
          <w:szCs w:val="16"/>
        </w:rPr>
      </w:pPr>
      <w:r>
        <w:rPr>
          <w:rFonts w:ascii="Times New Roman" w:hAnsi="Times New Roman"/>
          <w:iCs/>
          <w:sz w:val="14"/>
          <w:szCs w:val="14"/>
        </w:rPr>
        <w:br/>
      </w:r>
    </w:p>
    <w:p w:rsidR="00D555D3" w:rsidRDefault="00D555D3" w:rsidP="00D555D3">
      <w:pPr>
        <w:spacing w:line="240" w:lineRule="auto"/>
        <w:ind w:left="-360"/>
        <w:rPr>
          <w:rFonts w:ascii="Times New Roman" w:hAnsi="Times New Roman" w:cs="Times New Roman"/>
          <w:sz w:val="16"/>
          <w:szCs w:val="16"/>
        </w:rPr>
      </w:pPr>
    </w:p>
    <w:p w:rsidR="00D555D3" w:rsidRPr="00D555D3" w:rsidRDefault="00D555D3" w:rsidP="00D555D3">
      <w:pPr>
        <w:spacing w:line="240" w:lineRule="auto"/>
        <w:ind w:left="-360"/>
        <w:rPr>
          <w:rFonts w:ascii="Times New Roman" w:hAnsi="Times New Roman" w:cs="Times New Roman"/>
          <w:sz w:val="16"/>
          <w:szCs w:val="16"/>
        </w:rPr>
      </w:pPr>
      <w:r w:rsidRPr="00D555D3">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w:t>
      </w:r>
    </w:p>
    <w:p w:rsidR="00D555D3" w:rsidRDefault="00D555D3" w:rsidP="00D555D3">
      <w:pPr>
        <w:spacing w:line="240" w:lineRule="auto"/>
        <w:ind w:left="-360"/>
        <w:rPr>
          <w:rFonts w:ascii="Times New Roman" w:hAnsi="Times New Roman" w:cs="Times New Roman"/>
          <w:sz w:val="16"/>
          <w:szCs w:val="16"/>
        </w:rPr>
      </w:pPr>
      <w:r w:rsidRPr="00D555D3">
        <w:rPr>
          <w:rFonts w:ascii="Times New Roman" w:hAnsi="Times New Roman" w:cs="Times New Roman"/>
          <w:b/>
          <w:iCs/>
          <w:sz w:val="16"/>
          <w:szCs w:val="16"/>
        </w:rPr>
        <w:t xml:space="preserve">Electronic version of Form </w:t>
      </w:r>
      <w:r w:rsidR="000F1C36">
        <w:rPr>
          <w:rFonts w:ascii="Times New Roman" w:hAnsi="Times New Roman" w:cs="Times New Roman"/>
          <w:b/>
          <w:iCs/>
          <w:sz w:val="16"/>
          <w:szCs w:val="16"/>
        </w:rPr>
        <w:t>SC</w:t>
      </w:r>
      <w:r w:rsidRPr="00D555D3">
        <w:rPr>
          <w:rFonts w:ascii="Times New Roman" w:hAnsi="Times New Roman" w:cs="Times New Roman"/>
          <w:b/>
          <w:iCs/>
          <w:sz w:val="16"/>
          <w:szCs w:val="16"/>
        </w:rPr>
        <w:t>-266-6 (Rev. 9/2016.  Destroy previous editions.</w:t>
      </w: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Default="00D555D3" w:rsidP="00D555D3">
      <w:pPr>
        <w:spacing w:line="240" w:lineRule="auto"/>
        <w:ind w:left="-360"/>
        <w:rPr>
          <w:rFonts w:ascii="Times New Roman" w:hAnsi="Times New Roman" w:cs="Times New Roman"/>
          <w:sz w:val="16"/>
          <w:szCs w:val="16"/>
        </w:rPr>
      </w:pPr>
    </w:p>
    <w:p w:rsidR="00D555D3" w:rsidRPr="00D555D3" w:rsidRDefault="00D555D3" w:rsidP="00D555D3">
      <w:pPr>
        <w:spacing w:line="240" w:lineRule="auto"/>
        <w:ind w:left="-360"/>
        <w:rPr>
          <w:rFonts w:ascii="Times New Roman" w:hAnsi="Times New Roman" w:cs="Times New Roman"/>
          <w:sz w:val="16"/>
          <w:szCs w:val="16"/>
        </w:rPr>
      </w:pPr>
      <w:r w:rsidRPr="00D555D3">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555D3" w:rsidRPr="00D555D3" w:rsidRDefault="00D555D3" w:rsidP="00D555D3">
      <w:pPr>
        <w:spacing w:line="240" w:lineRule="auto"/>
        <w:ind w:left="-360"/>
        <w:rPr>
          <w:rFonts w:ascii="Times New Roman" w:hAnsi="Times New Roman" w:cs="Times New Roman"/>
          <w:sz w:val="16"/>
          <w:szCs w:val="16"/>
          <w:highlight w:val="yellow"/>
        </w:rPr>
      </w:pPr>
      <w:r w:rsidRPr="00D555D3">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cs="Times New Roman"/>
          <w:sz w:val="16"/>
          <w:szCs w:val="16"/>
        </w:rPr>
        <w:t xml:space="preserve"> </w:t>
      </w:r>
      <w:r w:rsidRPr="00D555D3">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D555D3">
          <w:rPr>
            <w:rStyle w:val="Hyperlink"/>
            <w:rFonts w:ascii="Times New Roman" w:hAnsi="Times New Roman" w:cs="Times New Roman"/>
            <w:sz w:val="16"/>
            <w:szCs w:val="16"/>
          </w:rPr>
          <w:t>program.intake@usda.gov</w:t>
        </w:r>
      </w:hyperlink>
      <w:r w:rsidRPr="00D555D3">
        <w:rPr>
          <w:rFonts w:ascii="Times New Roman" w:hAnsi="Times New Roman" w:cs="Times New Roman"/>
          <w:sz w:val="16"/>
          <w:szCs w:val="16"/>
        </w:rPr>
        <w:t>.  USDA is an equal opportunity provider, employer, and lender.</w:t>
      </w:r>
    </w:p>
    <w:p w:rsidR="00D555D3" w:rsidRPr="00D555D3" w:rsidRDefault="00D555D3" w:rsidP="00D555D3">
      <w:pPr>
        <w:spacing w:line="240" w:lineRule="auto"/>
        <w:ind w:left="-360"/>
        <w:rPr>
          <w:rFonts w:ascii="Times New Roman" w:hAnsi="Times New Roman" w:cs="Times New Roman"/>
          <w:iCs/>
          <w:sz w:val="16"/>
          <w:szCs w:val="16"/>
        </w:rPr>
      </w:pPr>
      <w:r w:rsidRPr="00D555D3">
        <w:rPr>
          <w:rFonts w:ascii="Times New Roman" w:hAnsi="Times New Roman" w:cs="Times New Roman"/>
          <w:b/>
          <w:iCs/>
          <w:sz w:val="16"/>
          <w:szCs w:val="16"/>
        </w:rPr>
        <w:t xml:space="preserve">Electronic version of Form </w:t>
      </w:r>
      <w:r w:rsidR="000F1C36">
        <w:rPr>
          <w:rFonts w:ascii="Times New Roman" w:hAnsi="Times New Roman" w:cs="Times New Roman"/>
          <w:b/>
          <w:iCs/>
          <w:sz w:val="16"/>
          <w:szCs w:val="16"/>
        </w:rPr>
        <w:t>SC</w:t>
      </w:r>
      <w:r w:rsidRPr="00D555D3">
        <w:rPr>
          <w:rFonts w:ascii="Times New Roman" w:hAnsi="Times New Roman" w:cs="Times New Roman"/>
          <w:b/>
          <w:iCs/>
          <w:sz w:val="16"/>
          <w:szCs w:val="16"/>
        </w:rPr>
        <w:t>-266-6 (Rev. 9/2016.  Destroy previous editions</w:t>
      </w:r>
      <w:r w:rsidR="00A53BC2">
        <w:rPr>
          <w:rFonts w:ascii="Times New Roman" w:hAnsi="Times New Roman" w:cs="Times New Roman"/>
          <w:b/>
          <w:iCs/>
          <w:sz w:val="16"/>
          <w:szCs w:val="16"/>
        </w:rPr>
        <w:t>)</w:t>
      </w:r>
      <w:r w:rsidRPr="00D555D3">
        <w:rPr>
          <w:rFonts w:ascii="Times New Roman" w:hAnsi="Times New Roman" w:cs="Times New Roman"/>
          <w:b/>
          <w:iCs/>
          <w:sz w:val="16"/>
          <w:szCs w:val="16"/>
        </w:rPr>
        <w:t>.</w:t>
      </w:r>
    </w:p>
    <w:p w:rsidR="00D945E5" w:rsidRPr="00D555D3" w:rsidRDefault="00D945E5" w:rsidP="00D555D3">
      <w:pPr>
        <w:spacing w:line="240" w:lineRule="auto"/>
        <w:ind w:left="-360"/>
        <w:rPr>
          <w:rFonts w:ascii="Times New Roman" w:hAnsi="Times New Roman" w:cs="Times New Roman"/>
          <w:b/>
          <w:sz w:val="16"/>
          <w:szCs w:val="16"/>
        </w:rPr>
      </w:pPr>
      <w:r w:rsidRPr="00D555D3">
        <w:rPr>
          <w:rFonts w:ascii="Times New Roman" w:hAnsi="Times New Roman" w:cs="Times New Roman"/>
          <w:iCs/>
          <w:sz w:val="16"/>
          <w:szCs w:val="16"/>
        </w:rPr>
        <w:br/>
      </w:r>
    </w:p>
    <w:sectPr w:rsidR="00D945E5" w:rsidRPr="00D555D3" w:rsidSect="00D945E5">
      <w:pgSz w:w="15840" w:h="12240" w:orient="landscape"/>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37662"/>
    <w:multiLevelType w:val="hybridMultilevel"/>
    <w:tmpl w:val="B1EAD824"/>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60F55D05"/>
    <w:multiLevelType w:val="hybridMultilevel"/>
    <w:tmpl w:val="96CEC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29B"/>
    <w:rsid w:val="000F1C36"/>
    <w:rsid w:val="00563E44"/>
    <w:rsid w:val="0081505A"/>
    <w:rsid w:val="0086029B"/>
    <w:rsid w:val="00A17DE8"/>
    <w:rsid w:val="00A53BC2"/>
    <w:rsid w:val="00D555D3"/>
    <w:rsid w:val="00D945E5"/>
    <w:rsid w:val="00F3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9B"/>
    <w:pPr>
      <w:ind w:left="720"/>
      <w:contextualSpacing/>
    </w:pPr>
  </w:style>
  <w:style w:type="table" w:styleId="TableGrid">
    <w:name w:val="Table Grid"/>
    <w:basedOn w:val="TableNormal"/>
    <w:uiPriority w:val="59"/>
    <w:rsid w:val="0086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5D3"/>
    <w:rPr>
      <w:color w:val="0000FF" w:themeColor="hyperlink"/>
      <w:u w:val="single"/>
    </w:rPr>
  </w:style>
  <w:style w:type="paragraph" w:styleId="BalloonText">
    <w:name w:val="Balloon Text"/>
    <w:basedOn w:val="Normal"/>
    <w:link w:val="BalloonTextChar"/>
    <w:uiPriority w:val="99"/>
    <w:semiHidden/>
    <w:unhideWhenUsed/>
    <w:rsid w:val="00A17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29B"/>
    <w:pPr>
      <w:ind w:left="720"/>
      <w:contextualSpacing/>
    </w:pPr>
  </w:style>
  <w:style w:type="table" w:styleId="TableGrid">
    <w:name w:val="Table Grid"/>
    <w:basedOn w:val="TableNormal"/>
    <w:uiPriority w:val="59"/>
    <w:rsid w:val="0086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55D3"/>
    <w:rPr>
      <w:color w:val="0000FF" w:themeColor="hyperlink"/>
      <w:u w:val="single"/>
    </w:rPr>
  </w:style>
  <w:style w:type="paragraph" w:styleId="BalloonText">
    <w:name w:val="Balloon Text"/>
    <w:basedOn w:val="Normal"/>
    <w:link w:val="BalloonTextChar"/>
    <w:uiPriority w:val="99"/>
    <w:semiHidden/>
    <w:unhideWhenUsed/>
    <w:rsid w:val="00A17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D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3027">
      <w:bodyDiv w:val="1"/>
      <w:marLeft w:val="0"/>
      <w:marRight w:val="0"/>
      <w:marTop w:val="0"/>
      <w:marBottom w:val="0"/>
      <w:divBdr>
        <w:top w:val="none" w:sz="0" w:space="0" w:color="auto"/>
        <w:left w:val="none" w:sz="0" w:space="0" w:color="auto"/>
        <w:bottom w:val="none" w:sz="0" w:space="0" w:color="auto"/>
        <w:right w:val="none" w:sz="0" w:space="0" w:color="auto"/>
      </w:divBdr>
    </w:div>
    <w:div w:id="17099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Pish, Marylin - AMS</cp:lastModifiedBy>
  <cp:revision>2</cp:revision>
  <cp:lastPrinted>2016-07-18T15:51:00Z</cp:lastPrinted>
  <dcterms:created xsi:type="dcterms:W3CDTF">2016-07-18T15:52:00Z</dcterms:created>
  <dcterms:modified xsi:type="dcterms:W3CDTF">2016-07-18T15:52:00Z</dcterms:modified>
</cp:coreProperties>
</file>