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C1AA0" w14:textId="77777777" w:rsidR="00623F98" w:rsidRPr="00B81DD3" w:rsidRDefault="00623F98" w:rsidP="0093445F">
      <w:pPr>
        <w:spacing w:line="480" w:lineRule="auto"/>
        <w:jc w:val="center"/>
        <w:rPr>
          <w:b/>
          <w:bCs/>
          <w:spacing w:val="-3"/>
        </w:rPr>
      </w:pPr>
      <w:bookmarkStart w:id="0" w:name="_GoBack"/>
      <w:bookmarkEnd w:id="0"/>
    </w:p>
    <w:p w14:paraId="18063FBF" w14:textId="77777777" w:rsidR="00623F98" w:rsidRPr="00B81DD3" w:rsidRDefault="00623F98" w:rsidP="0093445F">
      <w:pPr>
        <w:spacing w:line="480" w:lineRule="auto"/>
        <w:jc w:val="center"/>
        <w:rPr>
          <w:b/>
          <w:bCs/>
          <w:spacing w:val="-3"/>
        </w:rPr>
      </w:pPr>
    </w:p>
    <w:p w14:paraId="42C85123" w14:textId="77777777" w:rsidR="00623F98" w:rsidRPr="00B81DD3" w:rsidRDefault="00623F98" w:rsidP="0093445F">
      <w:pPr>
        <w:spacing w:line="480" w:lineRule="auto"/>
        <w:jc w:val="center"/>
        <w:rPr>
          <w:b/>
          <w:bCs/>
          <w:spacing w:val="-3"/>
        </w:rPr>
      </w:pPr>
    </w:p>
    <w:p w14:paraId="19DD81E3" w14:textId="77777777" w:rsidR="00623F98" w:rsidRPr="00B81DD3" w:rsidRDefault="00491E0B" w:rsidP="0093445F">
      <w:pPr>
        <w:spacing w:line="480" w:lineRule="auto"/>
        <w:jc w:val="center"/>
        <w:rPr>
          <w:b/>
          <w:bCs/>
          <w:spacing w:val="-3"/>
        </w:rPr>
      </w:pPr>
      <w:r w:rsidRPr="00B81DD3">
        <w:rPr>
          <w:b/>
          <w:bCs/>
          <w:spacing w:val="-3"/>
        </w:rPr>
        <w:t>SUPPLEMENTAL NUTRITION ASSISTANCE</w:t>
      </w:r>
      <w:r w:rsidR="001D30B4" w:rsidRPr="00B81DD3">
        <w:rPr>
          <w:b/>
          <w:bCs/>
          <w:spacing w:val="-3"/>
        </w:rPr>
        <w:t xml:space="preserve"> PROGRAM </w:t>
      </w:r>
    </w:p>
    <w:p w14:paraId="61CC9098" w14:textId="77777777" w:rsidR="001D30B4" w:rsidRPr="00B81DD3" w:rsidRDefault="001D30B4" w:rsidP="0093445F">
      <w:pPr>
        <w:spacing w:line="480" w:lineRule="auto"/>
        <w:jc w:val="center"/>
        <w:rPr>
          <w:b/>
          <w:bCs/>
          <w:spacing w:val="-3"/>
        </w:rPr>
      </w:pPr>
      <w:r w:rsidRPr="00B81DD3">
        <w:rPr>
          <w:b/>
          <w:bCs/>
          <w:spacing w:val="-3"/>
        </w:rPr>
        <w:t>REPAYMENT DEMAND AND PROGRAM DISQUALIFICATION</w:t>
      </w:r>
    </w:p>
    <w:p w14:paraId="7FD3FAB8" w14:textId="77777777" w:rsidR="001D30B4" w:rsidRPr="00B81DD3" w:rsidRDefault="001D30B4" w:rsidP="0093445F">
      <w:pPr>
        <w:spacing w:line="480" w:lineRule="auto"/>
        <w:jc w:val="center"/>
        <w:rPr>
          <w:b/>
          <w:bCs/>
          <w:spacing w:val="-3"/>
        </w:rPr>
      </w:pPr>
      <w:r w:rsidRPr="00B81DD3">
        <w:rPr>
          <w:b/>
          <w:bCs/>
          <w:spacing w:val="-3"/>
        </w:rPr>
        <w:t>OMB NUMBER:  0584-0492</w:t>
      </w:r>
    </w:p>
    <w:p w14:paraId="02466D71" w14:textId="77777777" w:rsidR="00623F98" w:rsidRPr="00B81DD3" w:rsidRDefault="00623F98" w:rsidP="0093445F">
      <w:pPr>
        <w:spacing w:line="480" w:lineRule="auto"/>
        <w:jc w:val="center"/>
        <w:rPr>
          <w:b/>
          <w:bCs/>
          <w:spacing w:val="-3"/>
        </w:rPr>
      </w:pPr>
    </w:p>
    <w:p w14:paraId="62E1409F" w14:textId="77777777" w:rsidR="00623F98" w:rsidRPr="00B81DD3" w:rsidRDefault="00623F98" w:rsidP="0093445F">
      <w:pPr>
        <w:spacing w:line="480" w:lineRule="auto"/>
        <w:jc w:val="center"/>
        <w:rPr>
          <w:b/>
          <w:bCs/>
          <w:spacing w:val="-3"/>
        </w:rPr>
      </w:pPr>
    </w:p>
    <w:p w14:paraId="7678F2EC" w14:textId="77777777" w:rsidR="00623F98" w:rsidRPr="00B81DD3" w:rsidRDefault="00623F98" w:rsidP="0093445F">
      <w:pPr>
        <w:spacing w:line="480" w:lineRule="auto"/>
        <w:jc w:val="center"/>
        <w:rPr>
          <w:b/>
          <w:bCs/>
          <w:caps/>
          <w:spacing w:val="-3"/>
        </w:rPr>
      </w:pPr>
    </w:p>
    <w:p w14:paraId="190C2C71" w14:textId="77777777" w:rsidR="001D30B4" w:rsidRPr="00B81DD3" w:rsidRDefault="001D30B4" w:rsidP="0093445F">
      <w:pPr>
        <w:spacing w:line="480" w:lineRule="auto"/>
        <w:jc w:val="center"/>
        <w:rPr>
          <w:b/>
          <w:bCs/>
          <w:spacing w:val="-3"/>
        </w:rPr>
      </w:pPr>
    </w:p>
    <w:p w14:paraId="0311A353" w14:textId="77777777" w:rsidR="001D30B4" w:rsidRPr="00B81DD3" w:rsidRDefault="00DA39AC" w:rsidP="0093445F">
      <w:pPr>
        <w:spacing w:line="480" w:lineRule="auto"/>
        <w:jc w:val="center"/>
        <w:rPr>
          <w:b/>
          <w:bCs/>
          <w:spacing w:val="-3"/>
        </w:rPr>
      </w:pPr>
      <w:r>
        <w:rPr>
          <w:b/>
          <w:bCs/>
          <w:spacing w:val="-3"/>
        </w:rPr>
        <w:t>Ralph Badette</w:t>
      </w:r>
      <w:r w:rsidR="001D30B4" w:rsidRPr="00B81DD3">
        <w:rPr>
          <w:b/>
          <w:bCs/>
          <w:spacing w:val="-3"/>
        </w:rPr>
        <w:t>, Project Officer</w:t>
      </w:r>
    </w:p>
    <w:p w14:paraId="56B36A70" w14:textId="77777777" w:rsidR="001D30B4" w:rsidRPr="00B81DD3" w:rsidRDefault="00491E0B" w:rsidP="0093445F">
      <w:pPr>
        <w:spacing w:line="480" w:lineRule="auto"/>
        <w:jc w:val="center"/>
        <w:rPr>
          <w:b/>
          <w:bCs/>
          <w:spacing w:val="-3"/>
        </w:rPr>
      </w:pPr>
      <w:r w:rsidRPr="00B81DD3">
        <w:rPr>
          <w:b/>
          <w:bCs/>
          <w:spacing w:val="-3"/>
        </w:rPr>
        <w:t>Supplemental Nutrition Assistance</w:t>
      </w:r>
      <w:r w:rsidR="001D30B4" w:rsidRPr="00B81DD3">
        <w:rPr>
          <w:b/>
          <w:bCs/>
          <w:spacing w:val="-3"/>
        </w:rPr>
        <w:t xml:space="preserve"> Program</w:t>
      </w:r>
    </w:p>
    <w:p w14:paraId="3C0728E0" w14:textId="77777777" w:rsidR="001D30B4" w:rsidRPr="00B81DD3" w:rsidRDefault="001D30B4" w:rsidP="0093445F">
      <w:pPr>
        <w:spacing w:line="480" w:lineRule="auto"/>
        <w:jc w:val="center"/>
        <w:rPr>
          <w:b/>
          <w:bCs/>
          <w:spacing w:val="-3"/>
        </w:rPr>
      </w:pPr>
      <w:r w:rsidRPr="00B81DD3">
        <w:rPr>
          <w:b/>
          <w:bCs/>
          <w:spacing w:val="-3"/>
        </w:rPr>
        <w:t>Food and Nutrition Service, USDA</w:t>
      </w:r>
    </w:p>
    <w:p w14:paraId="79B7F037" w14:textId="77777777" w:rsidR="001D30B4" w:rsidRPr="00B81DD3" w:rsidRDefault="001D30B4" w:rsidP="0093445F">
      <w:pPr>
        <w:spacing w:line="480" w:lineRule="auto"/>
        <w:jc w:val="center"/>
        <w:rPr>
          <w:b/>
          <w:bCs/>
          <w:spacing w:val="-3"/>
        </w:rPr>
      </w:pPr>
      <w:r w:rsidRPr="00B81DD3">
        <w:rPr>
          <w:b/>
          <w:bCs/>
          <w:spacing w:val="-3"/>
        </w:rPr>
        <w:t xml:space="preserve">3101 Park Center Drive, Room </w:t>
      </w:r>
      <w:r w:rsidR="005707E4">
        <w:rPr>
          <w:b/>
          <w:bCs/>
          <w:spacing w:val="-3"/>
        </w:rPr>
        <w:t>818</w:t>
      </w:r>
    </w:p>
    <w:p w14:paraId="20875BD4" w14:textId="77777777" w:rsidR="001D30B4" w:rsidRPr="00B81DD3" w:rsidRDefault="001D30B4" w:rsidP="0093445F">
      <w:pPr>
        <w:spacing w:line="480" w:lineRule="auto"/>
        <w:jc w:val="center"/>
        <w:rPr>
          <w:b/>
          <w:bCs/>
          <w:spacing w:val="-3"/>
        </w:rPr>
      </w:pPr>
      <w:r w:rsidRPr="00B81DD3">
        <w:rPr>
          <w:b/>
          <w:bCs/>
          <w:spacing w:val="-3"/>
        </w:rPr>
        <w:t>Alexandria, VA  22302</w:t>
      </w:r>
    </w:p>
    <w:p w14:paraId="03DA9296" w14:textId="77777777" w:rsidR="001D30B4" w:rsidRPr="00B81DD3" w:rsidRDefault="00491E0B" w:rsidP="0093445F">
      <w:pPr>
        <w:spacing w:line="480" w:lineRule="auto"/>
        <w:jc w:val="center"/>
        <w:rPr>
          <w:b/>
          <w:bCs/>
          <w:spacing w:val="-3"/>
        </w:rPr>
      </w:pPr>
      <w:r w:rsidRPr="00B81DD3">
        <w:rPr>
          <w:b/>
          <w:bCs/>
          <w:spacing w:val="-3"/>
        </w:rPr>
        <w:t>Phone: 703-</w:t>
      </w:r>
      <w:r w:rsidR="006E3A9A">
        <w:rPr>
          <w:b/>
          <w:bCs/>
          <w:spacing w:val="-3"/>
        </w:rPr>
        <w:t>457-7717</w:t>
      </w:r>
      <w:r w:rsidR="00771FF1" w:rsidRPr="00B81DD3">
        <w:rPr>
          <w:b/>
          <w:bCs/>
          <w:spacing w:val="-3"/>
        </w:rPr>
        <w:t xml:space="preserve"> </w:t>
      </w:r>
    </w:p>
    <w:p w14:paraId="73362B4D" w14:textId="77777777" w:rsidR="001D30B4" w:rsidRPr="00B81DD3" w:rsidRDefault="005707E4" w:rsidP="0093445F">
      <w:pPr>
        <w:spacing w:line="480" w:lineRule="auto"/>
        <w:jc w:val="center"/>
        <w:rPr>
          <w:b/>
          <w:bCs/>
          <w:spacing w:val="-3"/>
        </w:rPr>
      </w:pPr>
      <w:r>
        <w:rPr>
          <w:b/>
          <w:bCs/>
          <w:spacing w:val="-3"/>
        </w:rPr>
        <w:t>Ralph.badette</w:t>
      </w:r>
      <w:r w:rsidR="001D30B4" w:rsidRPr="00B81DD3">
        <w:rPr>
          <w:b/>
          <w:bCs/>
          <w:spacing w:val="-3"/>
        </w:rPr>
        <w:t>@fns.usda.gov</w:t>
      </w:r>
    </w:p>
    <w:p w14:paraId="00282CA0" w14:textId="77777777" w:rsidR="001D30B4" w:rsidRPr="00B81DD3" w:rsidRDefault="001D30B4" w:rsidP="0093445F">
      <w:pPr>
        <w:spacing w:line="480" w:lineRule="auto"/>
      </w:pPr>
    </w:p>
    <w:p w14:paraId="2044AF26" w14:textId="77777777" w:rsidR="001D30B4" w:rsidRPr="00B81DD3" w:rsidRDefault="001D30B4" w:rsidP="0093445F">
      <w:pPr>
        <w:spacing w:line="480" w:lineRule="auto"/>
      </w:pPr>
    </w:p>
    <w:p w14:paraId="0600010D" w14:textId="77777777" w:rsidR="001D30B4" w:rsidRPr="00B81DD3" w:rsidRDefault="001D30B4" w:rsidP="0093445F">
      <w:pPr>
        <w:spacing w:line="480" w:lineRule="auto"/>
      </w:pPr>
    </w:p>
    <w:p w14:paraId="49351315" w14:textId="77777777" w:rsidR="001D30B4" w:rsidRPr="00B81DD3" w:rsidRDefault="001D30B4" w:rsidP="0093445F">
      <w:pPr>
        <w:spacing w:line="480" w:lineRule="auto"/>
      </w:pPr>
    </w:p>
    <w:p w14:paraId="1429F1C9" w14:textId="77777777" w:rsidR="001D30B4" w:rsidRPr="00B81DD3" w:rsidRDefault="001D30B4" w:rsidP="0093445F">
      <w:pPr>
        <w:spacing w:line="480" w:lineRule="auto"/>
      </w:pPr>
    </w:p>
    <w:p w14:paraId="282D67BD" w14:textId="77777777" w:rsidR="0093445F" w:rsidRPr="00B81DD3" w:rsidRDefault="0093445F" w:rsidP="0093445F">
      <w:pPr>
        <w:spacing w:line="480" w:lineRule="auto"/>
      </w:pPr>
    </w:p>
    <w:p w14:paraId="70F18E94" w14:textId="77777777" w:rsidR="0093445F" w:rsidRPr="00B81DD3" w:rsidRDefault="0093445F" w:rsidP="00623F98">
      <w:pPr>
        <w:widowControl w:val="0"/>
        <w:overflowPunct w:val="0"/>
        <w:autoSpaceDE w:val="0"/>
        <w:autoSpaceDN w:val="0"/>
        <w:adjustRightInd w:val="0"/>
        <w:spacing w:line="480" w:lineRule="auto"/>
        <w:rPr>
          <w:b/>
        </w:rPr>
      </w:pPr>
      <w:r w:rsidRPr="00B81DD3">
        <w:rPr>
          <w:b/>
        </w:rPr>
        <w:lastRenderedPageBreak/>
        <w:t>Table of Contents</w:t>
      </w:r>
    </w:p>
    <w:p w14:paraId="7DF7CA8F" w14:textId="77777777" w:rsidR="0093445F" w:rsidRPr="00B81DD3" w:rsidRDefault="0093445F" w:rsidP="00623F98">
      <w:pPr>
        <w:widowControl w:val="0"/>
        <w:overflowPunct w:val="0"/>
        <w:autoSpaceDE w:val="0"/>
        <w:autoSpaceDN w:val="0"/>
        <w:adjustRightInd w:val="0"/>
        <w:spacing w:line="480" w:lineRule="auto"/>
        <w:rPr>
          <w:b/>
        </w:rPr>
      </w:pPr>
      <w:r w:rsidRPr="00B81DD3">
        <w:rPr>
          <w:b/>
        </w:rPr>
        <w:t>Part A Justification</w:t>
      </w:r>
    </w:p>
    <w:p w14:paraId="2622C776" w14:textId="77777777" w:rsidR="0093445F" w:rsidRPr="00B81DD3" w:rsidRDefault="0093445F" w:rsidP="004E4378">
      <w:pPr>
        <w:widowControl w:val="0"/>
        <w:overflowPunct w:val="0"/>
        <w:autoSpaceDE w:val="0"/>
        <w:autoSpaceDN w:val="0"/>
        <w:adjustRightInd w:val="0"/>
      </w:pPr>
      <w:r w:rsidRPr="00B81DD3">
        <w:t xml:space="preserve">A.1 </w:t>
      </w:r>
      <w:r w:rsidRPr="00B81DD3">
        <w:tab/>
        <w:t>Explanation of Circumstances That Make Collection of Information Necessary</w:t>
      </w:r>
    </w:p>
    <w:p w14:paraId="1F4AC8EB" w14:textId="77777777" w:rsidR="0093445F" w:rsidRPr="00B81DD3" w:rsidRDefault="0093445F" w:rsidP="004E4378">
      <w:pPr>
        <w:widowControl w:val="0"/>
        <w:overflowPunct w:val="0"/>
        <w:autoSpaceDE w:val="0"/>
        <w:autoSpaceDN w:val="0"/>
        <w:adjustRightInd w:val="0"/>
      </w:pPr>
      <w:r w:rsidRPr="00B81DD3">
        <w:t>A.2</w:t>
      </w:r>
      <w:r w:rsidRPr="00B81DD3">
        <w:tab/>
        <w:t>How the Information Will Be Used, By Whom, and for What Purpose</w:t>
      </w:r>
    </w:p>
    <w:p w14:paraId="130AAB0D" w14:textId="77777777" w:rsidR="0093445F" w:rsidRPr="00B81DD3" w:rsidRDefault="0093445F" w:rsidP="004E4378">
      <w:pPr>
        <w:widowControl w:val="0"/>
        <w:overflowPunct w:val="0"/>
        <w:autoSpaceDE w:val="0"/>
        <w:autoSpaceDN w:val="0"/>
        <w:adjustRightInd w:val="0"/>
      </w:pPr>
      <w:r w:rsidRPr="00B81DD3">
        <w:t>A.3</w:t>
      </w:r>
      <w:r w:rsidRPr="00B81DD3">
        <w:tab/>
        <w:t>Use of Improved Information Technology to Reduce Burden</w:t>
      </w:r>
    </w:p>
    <w:p w14:paraId="1B50D6BC" w14:textId="77777777" w:rsidR="0093445F" w:rsidRPr="00B81DD3" w:rsidRDefault="0093445F" w:rsidP="004E4378">
      <w:pPr>
        <w:widowControl w:val="0"/>
        <w:overflowPunct w:val="0"/>
        <w:autoSpaceDE w:val="0"/>
        <w:autoSpaceDN w:val="0"/>
        <w:adjustRightInd w:val="0"/>
      </w:pPr>
      <w:r w:rsidRPr="00B81DD3">
        <w:t xml:space="preserve">A.4 </w:t>
      </w:r>
      <w:r w:rsidRPr="00B81DD3">
        <w:tab/>
        <w:t>Efforts to Identify and Avoid Duplication</w:t>
      </w:r>
    </w:p>
    <w:p w14:paraId="074AA8F1" w14:textId="77777777" w:rsidR="0093445F" w:rsidRPr="00B81DD3" w:rsidRDefault="0093445F" w:rsidP="004E4378">
      <w:pPr>
        <w:widowControl w:val="0"/>
        <w:overflowPunct w:val="0"/>
        <w:autoSpaceDE w:val="0"/>
        <w:autoSpaceDN w:val="0"/>
        <w:adjustRightInd w:val="0"/>
      </w:pPr>
      <w:r w:rsidRPr="00B81DD3">
        <w:t>A.5</w:t>
      </w:r>
      <w:r w:rsidRPr="00B81DD3">
        <w:tab/>
        <w:t>Efforts to Minimize Burden on Small Businesses or Other Entities</w:t>
      </w:r>
    </w:p>
    <w:p w14:paraId="563FD355" w14:textId="77777777" w:rsidR="0093445F" w:rsidRPr="00B81DD3" w:rsidRDefault="0093445F" w:rsidP="004E4378">
      <w:pPr>
        <w:widowControl w:val="0"/>
        <w:overflowPunct w:val="0"/>
        <w:autoSpaceDE w:val="0"/>
        <w:autoSpaceDN w:val="0"/>
        <w:adjustRightInd w:val="0"/>
      </w:pPr>
      <w:r w:rsidRPr="00B81DD3">
        <w:t>A.6</w:t>
      </w:r>
      <w:r w:rsidRPr="00B81DD3">
        <w:tab/>
        <w:t>Consequences of Less Frequent Data Collection</w:t>
      </w:r>
    </w:p>
    <w:p w14:paraId="699B3D0B" w14:textId="77777777" w:rsidR="0093445F" w:rsidRPr="00B81DD3" w:rsidRDefault="0093445F" w:rsidP="004E4378">
      <w:pPr>
        <w:widowControl w:val="0"/>
        <w:overflowPunct w:val="0"/>
        <w:autoSpaceDE w:val="0"/>
        <w:autoSpaceDN w:val="0"/>
        <w:adjustRightInd w:val="0"/>
        <w:ind w:left="720" w:hanging="720"/>
      </w:pPr>
      <w:r w:rsidRPr="00B81DD3">
        <w:t>A.7</w:t>
      </w:r>
      <w:r w:rsidRPr="00B81DD3">
        <w:tab/>
        <w:t xml:space="preserve">Special Circumstances Requiring Collection of Information in a Manner Inconsistent </w:t>
      </w:r>
    </w:p>
    <w:p w14:paraId="0381AEAF" w14:textId="77777777" w:rsidR="0093445F" w:rsidRPr="00B81DD3" w:rsidRDefault="0093445F" w:rsidP="004E4378">
      <w:pPr>
        <w:widowControl w:val="0"/>
        <w:overflowPunct w:val="0"/>
        <w:autoSpaceDE w:val="0"/>
        <w:autoSpaceDN w:val="0"/>
        <w:adjustRightInd w:val="0"/>
        <w:ind w:left="720" w:hanging="720"/>
      </w:pPr>
      <w:r w:rsidRPr="00B81DD3">
        <w:t xml:space="preserve">            with Section 1320.5(d)(2) of the Code of Federal Regulations</w:t>
      </w:r>
    </w:p>
    <w:p w14:paraId="21172154" w14:textId="77777777" w:rsidR="0093445F" w:rsidRPr="00B81DD3" w:rsidRDefault="0093445F" w:rsidP="004E4378">
      <w:pPr>
        <w:widowControl w:val="0"/>
        <w:overflowPunct w:val="0"/>
        <w:autoSpaceDE w:val="0"/>
        <w:autoSpaceDN w:val="0"/>
        <w:adjustRightInd w:val="0"/>
        <w:ind w:left="720" w:hanging="720"/>
      </w:pPr>
      <w:r w:rsidRPr="00B81DD3">
        <w:t xml:space="preserve">A.8 </w:t>
      </w:r>
      <w:r w:rsidRPr="00B81DD3">
        <w:tab/>
        <w:t>Federal Register Comments and Efforts to Consult with Persons outside the Agency</w:t>
      </w:r>
    </w:p>
    <w:p w14:paraId="0F665E5F" w14:textId="77777777" w:rsidR="0093445F" w:rsidRPr="00B81DD3" w:rsidRDefault="0093445F" w:rsidP="004E4378">
      <w:pPr>
        <w:widowControl w:val="0"/>
        <w:overflowPunct w:val="0"/>
        <w:autoSpaceDE w:val="0"/>
        <w:autoSpaceDN w:val="0"/>
        <w:adjustRightInd w:val="0"/>
        <w:ind w:left="720" w:hanging="720"/>
      </w:pPr>
      <w:r w:rsidRPr="00B81DD3">
        <w:t>A.9</w:t>
      </w:r>
      <w:r w:rsidRPr="00B81DD3">
        <w:tab/>
        <w:t>Payments to Respondents</w:t>
      </w:r>
    </w:p>
    <w:p w14:paraId="653F2798" w14:textId="77777777" w:rsidR="0093445F" w:rsidRPr="00B81DD3" w:rsidRDefault="0093445F" w:rsidP="004E4378">
      <w:pPr>
        <w:widowControl w:val="0"/>
        <w:overflowPunct w:val="0"/>
        <w:autoSpaceDE w:val="0"/>
        <w:autoSpaceDN w:val="0"/>
        <w:adjustRightInd w:val="0"/>
        <w:ind w:left="720" w:hanging="720"/>
      </w:pPr>
      <w:r w:rsidRPr="00B81DD3">
        <w:t>A.10</w:t>
      </w:r>
      <w:r w:rsidRPr="00B81DD3">
        <w:tab/>
        <w:t>Assurance of Confidentiality</w:t>
      </w:r>
    </w:p>
    <w:p w14:paraId="42DEDE31" w14:textId="77777777" w:rsidR="0093445F" w:rsidRPr="00B81DD3" w:rsidRDefault="0093445F" w:rsidP="004E4378">
      <w:pPr>
        <w:widowControl w:val="0"/>
        <w:overflowPunct w:val="0"/>
        <w:autoSpaceDE w:val="0"/>
        <w:autoSpaceDN w:val="0"/>
        <w:adjustRightInd w:val="0"/>
        <w:ind w:left="720" w:hanging="720"/>
      </w:pPr>
      <w:r w:rsidRPr="00B81DD3">
        <w:t>A.11</w:t>
      </w:r>
      <w:r w:rsidRPr="00B81DD3">
        <w:tab/>
        <w:t>Questions of a Sensitive Nature</w:t>
      </w:r>
    </w:p>
    <w:p w14:paraId="7AFECDD2" w14:textId="77777777" w:rsidR="0093445F" w:rsidRPr="00B81DD3" w:rsidRDefault="0093445F" w:rsidP="004E4378">
      <w:pPr>
        <w:widowControl w:val="0"/>
        <w:overflowPunct w:val="0"/>
        <w:autoSpaceDE w:val="0"/>
        <w:autoSpaceDN w:val="0"/>
        <w:adjustRightInd w:val="0"/>
        <w:ind w:left="720" w:hanging="720"/>
      </w:pPr>
      <w:r w:rsidRPr="00B81DD3">
        <w:t>A.12</w:t>
      </w:r>
      <w:r w:rsidRPr="00B81DD3">
        <w:tab/>
        <w:t>Estimates of Respondent Burden</w:t>
      </w:r>
    </w:p>
    <w:p w14:paraId="1C2AF132" w14:textId="77777777" w:rsidR="0093445F" w:rsidRPr="00B81DD3" w:rsidRDefault="0093445F" w:rsidP="004E4378">
      <w:pPr>
        <w:widowControl w:val="0"/>
        <w:overflowPunct w:val="0"/>
        <w:autoSpaceDE w:val="0"/>
        <w:autoSpaceDN w:val="0"/>
        <w:adjustRightInd w:val="0"/>
        <w:ind w:left="720" w:hanging="720"/>
      </w:pPr>
      <w:r w:rsidRPr="00B81DD3">
        <w:t xml:space="preserve">A.13 </w:t>
      </w:r>
      <w:r w:rsidRPr="00B81DD3">
        <w:tab/>
        <w:t>Estimates of Other Annual Costs to Respondents</w:t>
      </w:r>
    </w:p>
    <w:p w14:paraId="3673C10A" w14:textId="77777777" w:rsidR="0093445F" w:rsidRPr="00B81DD3" w:rsidRDefault="0093445F" w:rsidP="004E4378">
      <w:pPr>
        <w:widowControl w:val="0"/>
        <w:overflowPunct w:val="0"/>
        <w:autoSpaceDE w:val="0"/>
        <w:autoSpaceDN w:val="0"/>
        <w:adjustRightInd w:val="0"/>
        <w:ind w:left="720" w:hanging="720"/>
      </w:pPr>
      <w:r w:rsidRPr="00B81DD3">
        <w:t>A.14</w:t>
      </w:r>
      <w:r w:rsidRPr="00B81DD3">
        <w:tab/>
        <w:t>Estimates of Annualized Government Costs</w:t>
      </w:r>
    </w:p>
    <w:p w14:paraId="11C1671D" w14:textId="77777777" w:rsidR="0093445F" w:rsidRPr="00B81DD3" w:rsidRDefault="0093445F" w:rsidP="004E4378">
      <w:pPr>
        <w:widowControl w:val="0"/>
        <w:overflowPunct w:val="0"/>
        <w:autoSpaceDE w:val="0"/>
        <w:autoSpaceDN w:val="0"/>
        <w:adjustRightInd w:val="0"/>
        <w:ind w:left="720" w:hanging="720"/>
      </w:pPr>
      <w:r w:rsidRPr="00B81DD3">
        <w:t>A.15</w:t>
      </w:r>
      <w:r w:rsidRPr="00B81DD3">
        <w:tab/>
        <w:t>Changes in Hour Burden</w:t>
      </w:r>
    </w:p>
    <w:p w14:paraId="439D8C24" w14:textId="77777777" w:rsidR="0093445F" w:rsidRPr="00B81DD3" w:rsidRDefault="0093445F" w:rsidP="004E4378">
      <w:pPr>
        <w:widowControl w:val="0"/>
        <w:overflowPunct w:val="0"/>
        <w:autoSpaceDE w:val="0"/>
        <w:autoSpaceDN w:val="0"/>
        <w:adjustRightInd w:val="0"/>
        <w:ind w:left="720" w:hanging="720"/>
      </w:pPr>
      <w:r w:rsidRPr="00B81DD3">
        <w:t>A.16</w:t>
      </w:r>
      <w:r w:rsidRPr="00B81DD3">
        <w:tab/>
        <w:t>Time Schedule, Publication, and Analysis Plans</w:t>
      </w:r>
    </w:p>
    <w:p w14:paraId="0E161B4C" w14:textId="77777777" w:rsidR="0093445F" w:rsidRPr="00B81DD3" w:rsidRDefault="0093445F" w:rsidP="004E4378">
      <w:pPr>
        <w:widowControl w:val="0"/>
        <w:overflowPunct w:val="0"/>
        <w:autoSpaceDE w:val="0"/>
        <w:autoSpaceDN w:val="0"/>
        <w:adjustRightInd w:val="0"/>
        <w:ind w:left="720" w:hanging="720"/>
      </w:pPr>
      <w:r w:rsidRPr="00B81DD3">
        <w:t xml:space="preserve">A.17 </w:t>
      </w:r>
      <w:r w:rsidRPr="00B81DD3">
        <w:tab/>
        <w:t>Display of Expiration Date for OMB Approval</w:t>
      </w:r>
    </w:p>
    <w:p w14:paraId="0121DA67" w14:textId="77777777" w:rsidR="0093445F" w:rsidRDefault="0093445F" w:rsidP="004E4378">
      <w:pPr>
        <w:widowControl w:val="0"/>
        <w:overflowPunct w:val="0"/>
        <w:autoSpaceDE w:val="0"/>
        <w:autoSpaceDN w:val="0"/>
        <w:adjustRightInd w:val="0"/>
        <w:ind w:left="720" w:hanging="720"/>
      </w:pPr>
      <w:r w:rsidRPr="00B81DD3">
        <w:t>A.18</w:t>
      </w:r>
      <w:r w:rsidRPr="00B81DD3">
        <w:tab/>
        <w:t>Exceptions of Certification Statement</w:t>
      </w:r>
    </w:p>
    <w:p w14:paraId="0AC43FD8" w14:textId="77777777" w:rsidR="005336CE" w:rsidRDefault="005336CE" w:rsidP="004E4378">
      <w:pPr>
        <w:widowControl w:val="0"/>
        <w:overflowPunct w:val="0"/>
        <w:autoSpaceDE w:val="0"/>
        <w:autoSpaceDN w:val="0"/>
        <w:adjustRightInd w:val="0"/>
        <w:ind w:left="720" w:hanging="720"/>
      </w:pPr>
    </w:p>
    <w:p w14:paraId="25D1EB35" w14:textId="77777777" w:rsidR="005336CE" w:rsidRDefault="005336CE" w:rsidP="004E4378">
      <w:pPr>
        <w:widowControl w:val="0"/>
        <w:overflowPunct w:val="0"/>
        <w:autoSpaceDE w:val="0"/>
        <w:autoSpaceDN w:val="0"/>
        <w:adjustRightInd w:val="0"/>
        <w:ind w:left="720" w:hanging="720"/>
      </w:pPr>
    </w:p>
    <w:p w14:paraId="013915E7" w14:textId="77777777" w:rsidR="005336CE" w:rsidRDefault="005336CE" w:rsidP="004E4378">
      <w:pPr>
        <w:widowControl w:val="0"/>
        <w:overflowPunct w:val="0"/>
        <w:autoSpaceDE w:val="0"/>
        <w:autoSpaceDN w:val="0"/>
        <w:adjustRightInd w:val="0"/>
        <w:ind w:left="720" w:hanging="720"/>
      </w:pPr>
      <w:r>
        <w:t>APPENDICES:</w:t>
      </w:r>
    </w:p>
    <w:p w14:paraId="0609FF3F" w14:textId="77777777" w:rsidR="005336CE" w:rsidRDefault="005336CE" w:rsidP="004E4378">
      <w:pPr>
        <w:widowControl w:val="0"/>
        <w:overflowPunct w:val="0"/>
        <w:autoSpaceDE w:val="0"/>
        <w:autoSpaceDN w:val="0"/>
        <w:adjustRightInd w:val="0"/>
        <w:ind w:left="720" w:hanging="720"/>
      </w:pPr>
    </w:p>
    <w:p w14:paraId="4891D82F" w14:textId="77777777" w:rsidR="00BA5B29" w:rsidRPr="006C2516" w:rsidRDefault="00BA5B29" w:rsidP="00BA5B29">
      <w:pPr>
        <w:pStyle w:val="CommentText"/>
        <w:rPr>
          <w:sz w:val="24"/>
          <w:szCs w:val="24"/>
        </w:rPr>
      </w:pPr>
      <w:r w:rsidRPr="006C2516">
        <w:rPr>
          <w:sz w:val="24"/>
          <w:szCs w:val="24"/>
        </w:rPr>
        <w:t xml:space="preserve">Appendix 1: </w:t>
      </w:r>
    </w:p>
    <w:p w14:paraId="1E1F6AEC" w14:textId="77777777" w:rsidR="00BA5B29" w:rsidRDefault="00BA5B29" w:rsidP="00BA5B29">
      <w:pPr>
        <w:widowControl w:val="0"/>
        <w:overflowPunct w:val="0"/>
        <w:autoSpaceDE w:val="0"/>
        <w:autoSpaceDN w:val="0"/>
        <w:adjustRightInd w:val="0"/>
        <w:rPr>
          <w:sz w:val="20"/>
          <w:szCs w:val="20"/>
        </w:rPr>
      </w:pPr>
      <w:r w:rsidRPr="00B81DD3">
        <w:t>Section 13(b) of the Food and Nutrition Act of 2008, as amended (7 U.S.C. 2022(b)), and Supplemental Nutrition Assistance Program (SNAP) regulations at 7 CFR 273.18(a)(2) require State agencies</w:t>
      </w:r>
    </w:p>
    <w:p w14:paraId="3655A87E" w14:textId="77777777" w:rsidR="00BA5B29" w:rsidRDefault="00BA5B29" w:rsidP="00BA5B29">
      <w:pPr>
        <w:widowControl w:val="0"/>
        <w:overflowPunct w:val="0"/>
        <w:autoSpaceDE w:val="0"/>
        <w:autoSpaceDN w:val="0"/>
        <w:adjustRightInd w:val="0"/>
        <w:ind w:left="720" w:hanging="720"/>
      </w:pPr>
      <w:r>
        <w:t>Appendix 2: eRDS Screenshots</w:t>
      </w:r>
    </w:p>
    <w:p w14:paraId="0F2DAB90" w14:textId="77777777" w:rsidR="00BA5B29" w:rsidRDefault="00BA5B29" w:rsidP="00BA5B29">
      <w:pPr>
        <w:widowControl w:val="0"/>
        <w:overflowPunct w:val="0"/>
        <w:autoSpaceDE w:val="0"/>
        <w:autoSpaceDN w:val="0"/>
        <w:adjustRightInd w:val="0"/>
        <w:ind w:left="720" w:hanging="720"/>
      </w:pPr>
      <w:r>
        <w:t>Appendix 3: Burden Narrative</w:t>
      </w:r>
    </w:p>
    <w:p w14:paraId="661B7938" w14:textId="77777777" w:rsidR="00BA5B29" w:rsidRDefault="00BA5B29" w:rsidP="00BA5B29">
      <w:pPr>
        <w:widowControl w:val="0"/>
        <w:overflowPunct w:val="0"/>
        <w:autoSpaceDE w:val="0"/>
        <w:autoSpaceDN w:val="0"/>
        <w:adjustRightInd w:val="0"/>
        <w:ind w:left="720" w:hanging="720"/>
      </w:pPr>
      <w:r>
        <w:t>Appendix 4: Appendix 4 eDRS Online Administrators Guide</w:t>
      </w:r>
    </w:p>
    <w:p w14:paraId="4706453E" w14:textId="77777777" w:rsidR="00BA5B29" w:rsidRDefault="00BA5B29" w:rsidP="00BA5B29">
      <w:pPr>
        <w:widowControl w:val="0"/>
        <w:overflowPunct w:val="0"/>
        <w:autoSpaceDE w:val="0"/>
        <w:autoSpaceDN w:val="0"/>
        <w:adjustRightInd w:val="0"/>
        <w:ind w:left="720" w:hanging="720"/>
      </w:pPr>
      <w:r>
        <w:t>Appendix 5: Burden Table</w:t>
      </w:r>
    </w:p>
    <w:p w14:paraId="569B2494" w14:textId="77777777" w:rsidR="00BA5B29" w:rsidRDefault="00BA5B29" w:rsidP="00BA5B29">
      <w:pPr>
        <w:widowControl w:val="0"/>
        <w:overflowPunct w:val="0"/>
        <w:autoSpaceDE w:val="0"/>
        <w:autoSpaceDN w:val="0"/>
        <w:adjustRightInd w:val="0"/>
        <w:ind w:left="720" w:hanging="720"/>
      </w:pPr>
      <w:r>
        <w:t>Appendix 6: eDRS Online Query User Guide</w:t>
      </w:r>
    </w:p>
    <w:p w14:paraId="18D71F6E" w14:textId="77777777" w:rsidR="00BA5B29" w:rsidRPr="00B81DD3" w:rsidRDefault="00BA5B29" w:rsidP="00BA5B29">
      <w:pPr>
        <w:widowControl w:val="0"/>
        <w:overflowPunct w:val="0"/>
        <w:autoSpaceDE w:val="0"/>
        <w:autoSpaceDN w:val="0"/>
        <w:adjustRightInd w:val="0"/>
        <w:ind w:left="720" w:hanging="720"/>
      </w:pPr>
    </w:p>
    <w:p w14:paraId="0FDD7463" w14:textId="77777777" w:rsidR="003E307D" w:rsidRPr="00B81DD3" w:rsidRDefault="003E307D" w:rsidP="004E4378">
      <w:pPr>
        <w:widowControl w:val="0"/>
        <w:overflowPunct w:val="0"/>
        <w:autoSpaceDE w:val="0"/>
        <w:autoSpaceDN w:val="0"/>
        <w:adjustRightInd w:val="0"/>
        <w:ind w:left="720" w:hanging="720"/>
      </w:pPr>
    </w:p>
    <w:p w14:paraId="3DC6C0FF" w14:textId="77777777" w:rsidR="0093445F" w:rsidRPr="00B81DD3" w:rsidRDefault="0093445F" w:rsidP="00623F98">
      <w:pPr>
        <w:spacing w:line="480" w:lineRule="auto"/>
        <w:rPr>
          <w:b/>
        </w:rPr>
      </w:pPr>
    </w:p>
    <w:p w14:paraId="0CE6D7F9" w14:textId="77777777" w:rsidR="0093445F" w:rsidRPr="00B81DD3" w:rsidRDefault="0093445F">
      <w:pPr>
        <w:rPr>
          <w:b/>
        </w:rPr>
      </w:pPr>
      <w:r w:rsidRPr="00B81DD3">
        <w:rPr>
          <w:b/>
        </w:rPr>
        <w:br w:type="page"/>
      </w:r>
    </w:p>
    <w:p w14:paraId="0EF81D10" w14:textId="77777777" w:rsidR="001D30B4" w:rsidRPr="00B81DD3" w:rsidRDefault="001D30B4" w:rsidP="0093445F">
      <w:pPr>
        <w:spacing w:line="480" w:lineRule="auto"/>
        <w:rPr>
          <w:b/>
        </w:rPr>
      </w:pPr>
      <w:r w:rsidRPr="00B81DD3">
        <w:rPr>
          <w:b/>
        </w:rPr>
        <w:lastRenderedPageBreak/>
        <w:t>A. Justification</w:t>
      </w:r>
    </w:p>
    <w:p w14:paraId="5F7FABBA" w14:textId="77777777" w:rsidR="006620FD" w:rsidRPr="00B81DD3" w:rsidRDefault="004C29C5" w:rsidP="0093445F">
      <w:pPr>
        <w:spacing w:line="480" w:lineRule="auto"/>
        <w:rPr>
          <w:b/>
        </w:rPr>
      </w:pPr>
      <w:r w:rsidRPr="00B81DD3">
        <w:rPr>
          <w:b/>
        </w:rPr>
        <w:t xml:space="preserve">1. </w:t>
      </w:r>
      <w:r w:rsidR="006620FD" w:rsidRPr="00B81DD3">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FEBF243" w14:textId="77777777" w:rsidR="00DE7059" w:rsidRPr="00B81DD3" w:rsidRDefault="00DE7059" w:rsidP="0093445F">
      <w:pPr>
        <w:spacing w:line="480" w:lineRule="auto"/>
      </w:pPr>
    </w:p>
    <w:p w14:paraId="59B9B933" w14:textId="77777777" w:rsidR="00E666F1" w:rsidRPr="00B81DD3" w:rsidRDefault="001D30B4" w:rsidP="0093445F">
      <w:pPr>
        <w:spacing w:line="480" w:lineRule="auto"/>
      </w:pPr>
      <w:r w:rsidRPr="00B81DD3">
        <w:t xml:space="preserve">This </w:t>
      </w:r>
      <w:r w:rsidR="00302C27">
        <w:t>is</w:t>
      </w:r>
      <w:r w:rsidRPr="00B81DD3">
        <w:t xml:space="preserve"> a revision of the currently approved information collection associated with initiating collection actions against households who received an overissuance in the </w:t>
      </w:r>
      <w:r w:rsidR="007D0011" w:rsidRPr="00B81DD3">
        <w:t>Supplemental Nutrition Assistance Program</w:t>
      </w:r>
      <w:r w:rsidRPr="00B81DD3">
        <w:t xml:space="preserve"> (</w:t>
      </w:r>
      <w:r w:rsidR="00F57BE3" w:rsidRPr="00B81DD3">
        <w:t>SNAP</w:t>
      </w:r>
      <w:r w:rsidRPr="00B81DD3">
        <w:t>)</w:t>
      </w:r>
      <w:r w:rsidR="00E666F1" w:rsidRPr="00B81DD3">
        <w:t>, issuing notifications to SNAP households regarding processes related to intentional program violations (IPV), and using disqualified recipient data to ascertain the correct penalty for IPVs, based on prior disqualifications.</w:t>
      </w:r>
    </w:p>
    <w:p w14:paraId="4502B098" w14:textId="77777777" w:rsidR="00E666F1" w:rsidRPr="00B81DD3" w:rsidRDefault="00E666F1" w:rsidP="0093445F">
      <w:pPr>
        <w:spacing w:line="480" w:lineRule="auto"/>
      </w:pPr>
    </w:p>
    <w:p w14:paraId="133D939C" w14:textId="77777777" w:rsidR="003C2D18" w:rsidRPr="00B81DD3" w:rsidRDefault="00E666F1" w:rsidP="0093445F">
      <w:pPr>
        <w:spacing w:line="480" w:lineRule="auto"/>
      </w:pPr>
      <w:r w:rsidRPr="00B81DD3">
        <w:rPr>
          <w:i/>
        </w:rPr>
        <w:t>Initiating Collection Action</w:t>
      </w:r>
      <w:r w:rsidRPr="00B81DD3">
        <w:t xml:space="preserve"> - Section 13(b) of the Food and Nutrition Act of 2008, as amended (7 U.S.C. 2022(b)), and Supplemental Nutrition Assistance Program (SNAP) regulations at 7 CFR 273.18(a)(2) require State agencies to initiate collection action against households that have been overissued benefits.  To initiate collection action, State agencies must provide an affected household with written notification informing the household of the claim and demanding repayment.  This process is automated in most State agencies.  Note that for overissuance claims, this information collection only covers the activities associated with initiating collection.  </w:t>
      </w:r>
      <w:r w:rsidR="00317F2B">
        <w:t>The burden associated with reporting collections and other claims management information on the FNS-209 form is covered under currently approved under the Food Program Reporting System OMB number 0584-0594, expiration date 6/30/2019.  The burden associated with referring delinquent claims and receiving collections through the Treasury Offset Program is covered under currently approved OMB number 0584-0446, expiration date 9/30/2019.</w:t>
      </w:r>
    </w:p>
    <w:p w14:paraId="3C5479B9" w14:textId="77777777" w:rsidR="00E666F1" w:rsidRPr="00B81DD3" w:rsidRDefault="00E666F1" w:rsidP="0093445F">
      <w:pPr>
        <w:spacing w:line="480" w:lineRule="auto"/>
        <w:ind w:right="-180"/>
        <w:contextualSpacing/>
      </w:pPr>
    </w:p>
    <w:p w14:paraId="0FCE94F0" w14:textId="77777777" w:rsidR="00E666F1" w:rsidRPr="00B81DD3" w:rsidRDefault="00E666F1" w:rsidP="0093445F">
      <w:pPr>
        <w:spacing w:line="480" w:lineRule="auto"/>
        <w:ind w:right="-180"/>
        <w:contextualSpacing/>
      </w:pPr>
      <w:r w:rsidRPr="00EA7E4D">
        <w:rPr>
          <w:i/>
        </w:rPr>
        <w:t>Intentional Program Violation Notification</w:t>
      </w:r>
      <w:r w:rsidRPr="00EA7E4D">
        <w:t xml:space="preserve"> - SNAP regulations at 7 CFR 273.16(a)(1) require</w:t>
      </w:r>
      <w:r w:rsidRPr="00B81DD3">
        <w:t xml:space="preserve"> State agencies to investigate any case of suspected fraud and, where applicable, make an intentional Program violation (IPV) determination either administratively or judicially.  This activity is vital to protect and enhance the integrity of SNAP.    Notifications and activities involved in the IPV process include:</w:t>
      </w:r>
    </w:p>
    <w:p w14:paraId="03346FCB" w14:textId="77777777" w:rsidR="00E666F1" w:rsidRPr="00B81DD3" w:rsidRDefault="00E666F1" w:rsidP="0093445F">
      <w:pPr>
        <w:pStyle w:val="ListParagraph"/>
        <w:numPr>
          <w:ilvl w:val="0"/>
          <w:numId w:val="22"/>
        </w:numPr>
        <w:spacing w:line="480" w:lineRule="auto"/>
        <w:ind w:right="-180"/>
      </w:pPr>
      <w:r w:rsidRPr="00EA7E4D">
        <w:t>7 CFR 273.16(e)(3)</w:t>
      </w:r>
      <w:r w:rsidRPr="00B81DD3">
        <w:t xml:space="preserve"> - The State agency providing written notification informing an individual suspected of committing an IPV of an impending administrative disqualification hearing or court action;</w:t>
      </w:r>
    </w:p>
    <w:p w14:paraId="0DB15F7E" w14:textId="77777777" w:rsidR="00E666F1" w:rsidRPr="00B81DD3" w:rsidRDefault="00E666F1" w:rsidP="0093445F">
      <w:pPr>
        <w:pStyle w:val="ListParagraph"/>
        <w:numPr>
          <w:ilvl w:val="0"/>
          <w:numId w:val="22"/>
        </w:numPr>
        <w:spacing w:line="480" w:lineRule="auto"/>
        <w:ind w:right="-180"/>
      </w:pPr>
      <w:r w:rsidRPr="00B81DD3">
        <w:t xml:space="preserve">7 CFR 273.16(f)(2) and 273.16(h)(2) - An individual opting to accept the disqualification and waiving the right to an administrative disqualification hearing or court action by signing either a waiver to an administrative disqualification hearing or a disqualification consent agreement in cases of deferred adjudication and returning it to the State agency; and </w:t>
      </w:r>
    </w:p>
    <w:p w14:paraId="68A926B6" w14:textId="77777777" w:rsidR="003C2D18" w:rsidRPr="00B81DD3" w:rsidRDefault="00E666F1" w:rsidP="0093445F">
      <w:pPr>
        <w:pStyle w:val="ListParagraph"/>
        <w:numPr>
          <w:ilvl w:val="0"/>
          <w:numId w:val="22"/>
        </w:numPr>
        <w:spacing w:line="480" w:lineRule="auto"/>
        <w:ind w:right="-180"/>
      </w:pPr>
      <w:r w:rsidRPr="00B81DD3">
        <w:t>7 CFR 273.16(e)(9) - Once a determination is made regarding an IPV, the State agency sending notification to the affected individual of the action taken on the administrative disqualification hearing or court decision.</w:t>
      </w:r>
    </w:p>
    <w:p w14:paraId="3C3EFEF7" w14:textId="77777777" w:rsidR="00E666F1" w:rsidRPr="00B81DD3" w:rsidRDefault="00E666F1" w:rsidP="0093445F">
      <w:pPr>
        <w:spacing w:line="480" w:lineRule="auto"/>
        <w:ind w:right="-180"/>
        <w:contextualSpacing/>
      </w:pPr>
    </w:p>
    <w:p w14:paraId="57C82451" w14:textId="77777777" w:rsidR="001D30B4" w:rsidRPr="00B81DD3" w:rsidRDefault="00E666F1" w:rsidP="0093445F">
      <w:pPr>
        <w:spacing w:line="480" w:lineRule="auto"/>
      </w:pPr>
      <w:r w:rsidRPr="00B81DD3">
        <w:rPr>
          <w:i/>
        </w:rPr>
        <w:t>Accessing, Reviewing, and Updating Disqualified Recipient Data</w:t>
      </w:r>
      <w:r w:rsidRPr="00B81DD3">
        <w:t xml:space="preserve"> - SNAP regulations at 7 CFR 273.16(i)(4) require State agencies to use disqualified recipient data to ascertain the correct penalty for IPVs, based on prior disqualifications. State agencies determine this by accessing and reviewing records located in the Electronic Disqualified Recipient System (eDRS). eDRS is an automated system developed by FNS that contains records of disqualifications in every State.  State agencies are also responsible for updating the system, as required at 273.16(i)(2)(i), which includes reporting disqualifications in eDRS as they occur and updating eDRS when records are no longer accurate, relevant, or complete.</w:t>
      </w:r>
    </w:p>
    <w:p w14:paraId="3426286B" w14:textId="77777777" w:rsidR="001D30B4" w:rsidRPr="00B81DD3" w:rsidRDefault="001D30B4" w:rsidP="0093445F">
      <w:pPr>
        <w:spacing w:line="480" w:lineRule="auto"/>
      </w:pPr>
    </w:p>
    <w:p w14:paraId="36E9676A" w14:textId="77777777" w:rsidR="0093445F" w:rsidRPr="00B81DD3" w:rsidRDefault="004C29C5" w:rsidP="0093445F">
      <w:pPr>
        <w:spacing w:line="480" w:lineRule="auto"/>
        <w:rPr>
          <w:b/>
          <w:bCs/>
        </w:rPr>
      </w:pPr>
      <w:r w:rsidRPr="00B81DD3">
        <w:rPr>
          <w:b/>
        </w:rPr>
        <w:t xml:space="preserve">2. </w:t>
      </w:r>
      <w:r w:rsidR="0093445F" w:rsidRPr="00B81DD3">
        <w:rPr>
          <w:b/>
          <w:bCs/>
        </w:rPr>
        <w:t>Indicate how, by whom, and for what purpose the information is to be used. Except for a new collection, indicate how the agency has actually used the information received from the current collection.</w:t>
      </w:r>
    </w:p>
    <w:p w14:paraId="33311F7B" w14:textId="77777777" w:rsidR="00DE7059" w:rsidRPr="00B81DD3" w:rsidRDefault="00DE7059" w:rsidP="0093445F">
      <w:pPr>
        <w:spacing w:line="480" w:lineRule="auto"/>
        <w:contextualSpacing/>
        <w:rPr>
          <w:i/>
        </w:rPr>
      </w:pPr>
    </w:p>
    <w:p w14:paraId="7E918094" w14:textId="77777777" w:rsidR="001D30B4" w:rsidRPr="00B81DD3" w:rsidRDefault="001D30B4" w:rsidP="0093445F">
      <w:pPr>
        <w:spacing w:line="480" w:lineRule="auto"/>
        <w:contextualSpacing/>
      </w:pPr>
      <w:r w:rsidRPr="00B81DD3">
        <w:rPr>
          <w:i/>
        </w:rPr>
        <w:t xml:space="preserve">Initiating Collection Action – </w:t>
      </w:r>
      <w:r w:rsidRPr="00B81DD3">
        <w:t xml:space="preserve">To initiate collection action, </w:t>
      </w:r>
      <w:r w:rsidR="00F74C6E" w:rsidRPr="00B81DD3">
        <w:t>SNAP regulations at 7 CFR 273.18</w:t>
      </w:r>
      <w:r w:rsidR="005A7D36" w:rsidRPr="00B81DD3">
        <w:t>(a)(2)</w:t>
      </w:r>
      <w:r w:rsidR="00F74C6E" w:rsidRPr="00B81DD3">
        <w:t xml:space="preserve"> require </w:t>
      </w:r>
      <w:r w:rsidR="009A220E" w:rsidRPr="00B81DD3">
        <w:t xml:space="preserve">all 53 </w:t>
      </w:r>
      <w:r w:rsidRPr="00B81DD3">
        <w:t xml:space="preserve">State agencies to provide written notification </w:t>
      </w:r>
      <w:r w:rsidR="009A220E" w:rsidRPr="00B81DD3">
        <w:t xml:space="preserve">as needed </w:t>
      </w:r>
      <w:r w:rsidRPr="00B81DD3">
        <w:t xml:space="preserve">to all households that were overissued </w:t>
      </w:r>
      <w:r w:rsidR="007D0011" w:rsidRPr="00B81DD3">
        <w:t>SNAP</w:t>
      </w:r>
      <w:r w:rsidRPr="00B81DD3">
        <w:t xml:space="preserve"> benefits inform</w:t>
      </w:r>
      <w:r w:rsidR="00C67C1E" w:rsidRPr="00B81DD3">
        <w:t>ing</w:t>
      </w:r>
      <w:r w:rsidRPr="00B81DD3">
        <w:t xml:space="preserve"> them of the claim and </w:t>
      </w:r>
      <w:r w:rsidR="00C67C1E" w:rsidRPr="00B81DD3">
        <w:t xml:space="preserve">a </w:t>
      </w:r>
      <w:r w:rsidRPr="00B81DD3">
        <w:t>demand</w:t>
      </w:r>
      <w:r w:rsidR="00C67C1E" w:rsidRPr="00B81DD3">
        <w:t xml:space="preserve"> for</w:t>
      </w:r>
      <w:r w:rsidRPr="00B81DD3">
        <w:t xml:space="preserve"> repayment.  This process is automated in most State agencies.  The notification must conform to the requirements of 7 CFR 273.18(e)(3)(iv) </w:t>
      </w:r>
      <w:r w:rsidR="00C67C1E" w:rsidRPr="00B81DD3">
        <w:t xml:space="preserve">to include the </w:t>
      </w:r>
      <w:r w:rsidRPr="00B81DD3">
        <w:t>data below:</w:t>
      </w:r>
    </w:p>
    <w:p w14:paraId="2EFEB83C" w14:textId="77777777" w:rsidR="001D30B4" w:rsidRPr="00B81DD3" w:rsidRDefault="001D30B4" w:rsidP="0093445F">
      <w:pPr>
        <w:numPr>
          <w:ilvl w:val="0"/>
          <w:numId w:val="1"/>
        </w:numPr>
        <w:spacing w:line="480" w:lineRule="auto"/>
        <w:contextualSpacing/>
      </w:pPr>
      <w:r w:rsidRPr="00B81DD3">
        <w:t>The amount of the claim;</w:t>
      </w:r>
    </w:p>
    <w:p w14:paraId="7CEEA30B" w14:textId="77777777" w:rsidR="001D30B4" w:rsidRPr="00B81DD3" w:rsidRDefault="001D30B4" w:rsidP="0093445F">
      <w:pPr>
        <w:numPr>
          <w:ilvl w:val="0"/>
          <w:numId w:val="1"/>
        </w:numPr>
        <w:spacing w:line="480" w:lineRule="auto"/>
        <w:contextualSpacing/>
      </w:pPr>
      <w:r w:rsidRPr="00B81DD3">
        <w:t>The intent to collect from all adult household members;</w:t>
      </w:r>
    </w:p>
    <w:p w14:paraId="69F1E79C" w14:textId="77777777" w:rsidR="001D30B4" w:rsidRPr="00B81DD3" w:rsidRDefault="001D30B4" w:rsidP="0093445F">
      <w:pPr>
        <w:numPr>
          <w:ilvl w:val="0"/>
          <w:numId w:val="1"/>
        </w:numPr>
        <w:spacing w:line="480" w:lineRule="auto"/>
        <w:contextualSpacing/>
      </w:pPr>
      <w:r w:rsidRPr="00B81DD3">
        <w:t>The type of and reason for the claim;</w:t>
      </w:r>
    </w:p>
    <w:p w14:paraId="004F4D61" w14:textId="77777777" w:rsidR="001D30B4" w:rsidRPr="00B81DD3" w:rsidRDefault="001D30B4" w:rsidP="0093445F">
      <w:pPr>
        <w:numPr>
          <w:ilvl w:val="0"/>
          <w:numId w:val="1"/>
        </w:numPr>
        <w:spacing w:line="480" w:lineRule="auto"/>
        <w:contextualSpacing/>
      </w:pPr>
      <w:r w:rsidRPr="00B81DD3">
        <w:t>The time period associated with the claim;</w:t>
      </w:r>
    </w:p>
    <w:p w14:paraId="7D581F75" w14:textId="77777777" w:rsidR="001D30B4" w:rsidRPr="00B81DD3" w:rsidRDefault="001D30B4" w:rsidP="0093445F">
      <w:pPr>
        <w:numPr>
          <w:ilvl w:val="0"/>
          <w:numId w:val="1"/>
        </w:numPr>
        <w:spacing w:line="480" w:lineRule="auto"/>
        <w:contextualSpacing/>
      </w:pPr>
      <w:r w:rsidRPr="00B81DD3">
        <w:t>How the claim was calculated;</w:t>
      </w:r>
    </w:p>
    <w:p w14:paraId="38BBC590" w14:textId="77777777" w:rsidR="001D30B4" w:rsidRPr="00B81DD3" w:rsidRDefault="001D30B4" w:rsidP="0093445F">
      <w:pPr>
        <w:numPr>
          <w:ilvl w:val="0"/>
          <w:numId w:val="1"/>
        </w:numPr>
        <w:spacing w:line="480" w:lineRule="auto"/>
        <w:contextualSpacing/>
      </w:pPr>
      <w:r w:rsidRPr="00B81DD3">
        <w:t>A listing of payment procedures and applicable options;</w:t>
      </w:r>
    </w:p>
    <w:p w14:paraId="1697097F" w14:textId="77777777" w:rsidR="001D30B4" w:rsidRPr="00B81DD3" w:rsidRDefault="001D30B4" w:rsidP="0093445F">
      <w:pPr>
        <w:numPr>
          <w:ilvl w:val="0"/>
          <w:numId w:val="1"/>
        </w:numPr>
        <w:spacing w:line="480" w:lineRule="auto"/>
        <w:contextualSpacing/>
      </w:pPr>
      <w:r w:rsidRPr="00B81DD3">
        <w:t xml:space="preserve">A listing of appeal and due process rights; and </w:t>
      </w:r>
    </w:p>
    <w:p w14:paraId="3B53FAFE" w14:textId="77777777" w:rsidR="001D30B4" w:rsidRPr="00B81DD3" w:rsidRDefault="001D30B4" w:rsidP="0093445F">
      <w:pPr>
        <w:numPr>
          <w:ilvl w:val="0"/>
          <w:numId w:val="1"/>
        </w:numPr>
        <w:spacing w:line="480" w:lineRule="auto"/>
        <w:contextualSpacing/>
      </w:pPr>
      <w:r w:rsidRPr="00B81DD3">
        <w:t>A listing of actions that may be taken if the claim is not timely paid.</w:t>
      </w:r>
    </w:p>
    <w:p w14:paraId="1FD0C269" w14:textId="77777777" w:rsidR="001D30B4" w:rsidRPr="00B81DD3" w:rsidRDefault="001D30B4" w:rsidP="0093445F">
      <w:pPr>
        <w:spacing w:line="480" w:lineRule="auto"/>
        <w:contextualSpacing/>
      </w:pPr>
    </w:p>
    <w:p w14:paraId="26BEEB58" w14:textId="77777777" w:rsidR="001D30B4" w:rsidRPr="00B81DD3" w:rsidRDefault="001D30B4" w:rsidP="0093445F">
      <w:pPr>
        <w:spacing w:line="480" w:lineRule="auto"/>
        <w:contextualSpacing/>
      </w:pPr>
      <w:r w:rsidRPr="00B81DD3">
        <w:rPr>
          <w:i/>
        </w:rPr>
        <w:t xml:space="preserve">Intentional Program Violations (IPV) – </w:t>
      </w:r>
      <w:r w:rsidR="007D0011" w:rsidRPr="00B81DD3">
        <w:t>SNAP</w:t>
      </w:r>
      <w:r w:rsidRPr="00B81DD3">
        <w:t xml:space="preserve"> regulations at 7 CFR 273.16</w:t>
      </w:r>
      <w:r w:rsidR="005A7D36" w:rsidRPr="00B81DD3">
        <w:t>(a)(1)</w:t>
      </w:r>
      <w:r w:rsidRPr="00B81DD3">
        <w:t xml:space="preserve"> require State agencies to investigate any case of suspected fraud, and, where applicable, make a determination of an IPV either administratively or through the court.  A State agency may determine an IPV by:</w:t>
      </w:r>
    </w:p>
    <w:p w14:paraId="05576777" w14:textId="77777777" w:rsidR="001D30B4" w:rsidRPr="00B81DD3" w:rsidRDefault="001D30B4" w:rsidP="0093445F">
      <w:pPr>
        <w:numPr>
          <w:ilvl w:val="0"/>
          <w:numId w:val="2"/>
        </w:numPr>
        <w:spacing w:line="480" w:lineRule="auto"/>
        <w:contextualSpacing/>
      </w:pPr>
      <w:r w:rsidRPr="00B81DD3">
        <w:t>The individual accepting the penalty by signing a waiv</w:t>
      </w:r>
      <w:r w:rsidR="004337C4" w:rsidRPr="00B81DD3">
        <w:t>er of right to an administrative</w:t>
      </w:r>
      <w:r w:rsidRPr="00B81DD3">
        <w:t xml:space="preserve"> disqualification hearing (ADH);</w:t>
      </w:r>
    </w:p>
    <w:p w14:paraId="0528E134" w14:textId="77777777" w:rsidR="001D30B4" w:rsidRPr="00B81DD3" w:rsidRDefault="001D30B4" w:rsidP="0093445F">
      <w:pPr>
        <w:numPr>
          <w:ilvl w:val="0"/>
          <w:numId w:val="2"/>
        </w:numPr>
        <w:spacing w:line="480" w:lineRule="auto"/>
        <w:contextualSpacing/>
      </w:pPr>
      <w:r w:rsidRPr="00B81DD3">
        <w:t>The individual signing a disqualification consent agreement in cases of deferred adjudication; or</w:t>
      </w:r>
    </w:p>
    <w:p w14:paraId="0C54385F" w14:textId="77777777" w:rsidR="001D30B4" w:rsidRPr="00B81DD3" w:rsidRDefault="001D30B4" w:rsidP="0093445F">
      <w:pPr>
        <w:numPr>
          <w:ilvl w:val="0"/>
          <w:numId w:val="2"/>
        </w:numPr>
        <w:spacing w:line="480" w:lineRule="auto"/>
        <w:contextualSpacing/>
      </w:pPr>
      <w:r w:rsidRPr="00B81DD3">
        <w:t>An administrative hearing official or a court of appropriate jurisdiction determining that the individual committed the IPV.</w:t>
      </w:r>
    </w:p>
    <w:p w14:paraId="16035BFF" w14:textId="77777777" w:rsidR="001D30B4" w:rsidRPr="00B81DD3" w:rsidRDefault="001D30B4" w:rsidP="0093445F">
      <w:pPr>
        <w:spacing w:line="480" w:lineRule="auto"/>
        <w:contextualSpacing/>
      </w:pPr>
    </w:p>
    <w:p w14:paraId="19ED040E" w14:textId="77777777" w:rsidR="001D30B4" w:rsidRPr="00B81DD3" w:rsidRDefault="007D0011" w:rsidP="0093445F">
      <w:pPr>
        <w:spacing w:line="480" w:lineRule="auto"/>
        <w:contextualSpacing/>
      </w:pPr>
      <w:r w:rsidRPr="00B81DD3">
        <w:t>SNAP</w:t>
      </w:r>
      <w:r w:rsidR="001D30B4" w:rsidRPr="00B81DD3">
        <w:t xml:space="preserve"> regulations at 7 CFR 273.16(e)(3) require that State agencies provide written notification of an impending ADH to the individual suspected of committing an IPV.  The notification contains an explanation of the charge against the individual, the potential penalties, and a listing of the rights and options afforded to the individual.  A similar notification is sent to individuals who are being prosecuted through the court.</w:t>
      </w:r>
    </w:p>
    <w:p w14:paraId="34C14C54" w14:textId="77777777" w:rsidR="001D30B4" w:rsidRPr="00B81DD3" w:rsidRDefault="001D30B4" w:rsidP="0093445F">
      <w:pPr>
        <w:spacing w:line="480" w:lineRule="auto"/>
        <w:contextualSpacing/>
      </w:pPr>
    </w:p>
    <w:p w14:paraId="7699F1AD" w14:textId="77777777" w:rsidR="001D30B4" w:rsidRPr="00B81DD3" w:rsidRDefault="001D30B4" w:rsidP="0093445F">
      <w:pPr>
        <w:spacing w:line="480" w:lineRule="auto"/>
        <w:contextualSpacing/>
      </w:pPr>
      <w:r w:rsidRPr="00B81DD3">
        <w:t>In some State agencies, one of the options available to the</w:t>
      </w:r>
      <w:r w:rsidR="005A7D36" w:rsidRPr="00B81DD3">
        <w:t xml:space="preserve"> individual under 7 CFR 273.16(f)(2</w:t>
      </w:r>
      <w:r w:rsidRPr="00B81DD3">
        <w:t>) is the ability for the individual to waive the right to an ADH and accept the disqualification penalty.  The disqualification waiver may be included in the advance notification or provided as a separate attachment for the individual to sign and submit to avoid having the ADH.  Similarly, under 7 CFR 273.16(h)</w:t>
      </w:r>
      <w:r w:rsidR="005A7D36" w:rsidRPr="00B81DD3">
        <w:t>(2)</w:t>
      </w:r>
      <w:r w:rsidRPr="00B81DD3">
        <w:t>, State agencies may establish procedures to provide the accused individual with the option to consent to a Program disqualification to avoid criminal prosecution.</w:t>
      </w:r>
    </w:p>
    <w:p w14:paraId="0AD97EC6" w14:textId="77777777" w:rsidR="001D30B4" w:rsidRPr="00B81DD3" w:rsidRDefault="001D30B4" w:rsidP="0093445F">
      <w:pPr>
        <w:spacing w:line="480" w:lineRule="auto"/>
        <w:contextualSpacing/>
      </w:pPr>
    </w:p>
    <w:p w14:paraId="54E12E65" w14:textId="77777777" w:rsidR="001D30B4" w:rsidRPr="00B81DD3" w:rsidRDefault="001D30B4" w:rsidP="0093445F">
      <w:pPr>
        <w:spacing w:line="480" w:lineRule="auto"/>
        <w:contextualSpacing/>
      </w:pPr>
      <w:r w:rsidRPr="00B81DD3">
        <w:t>Once a determination is made regarding an IPV, the State agency must send notification to the affected individual of the action taken on the ADH or court decision</w:t>
      </w:r>
      <w:r w:rsidR="005A7D36" w:rsidRPr="00B81DD3">
        <w:t>, as required at 7 CFR 273.16(e)(9)</w:t>
      </w:r>
      <w:r w:rsidRPr="00B81DD3">
        <w:t xml:space="preserve">.  This includes notifying the person that he/she will be disqualified and when the disqualification will become effective.    </w:t>
      </w:r>
    </w:p>
    <w:p w14:paraId="5DBDC8EF" w14:textId="77777777" w:rsidR="001D30B4" w:rsidRPr="00B81DD3" w:rsidRDefault="001D30B4" w:rsidP="0093445F">
      <w:pPr>
        <w:spacing w:line="480" w:lineRule="auto"/>
        <w:contextualSpacing/>
      </w:pPr>
    </w:p>
    <w:p w14:paraId="54D25669" w14:textId="77777777" w:rsidR="001D30B4" w:rsidRPr="00B81DD3" w:rsidRDefault="001D30B4" w:rsidP="0093445F">
      <w:pPr>
        <w:spacing w:line="480" w:lineRule="auto"/>
        <w:contextualSpacing/>
      </w:pPr>
      <w:bookmarkStart w:id="1" w:name="OLE_LINK1"/>
      <w:bookmarkStart w:id="2" w:name="OLE_LINK2"/>
      <w:r w:rsidRPr="00B81DD3">
        <w:t>One of the factors used by a State agency to determine the appropriate disqualification penalty to assign to an individual is whether or not the individual was found to have committed any prior IPVs.  The way that State agencies determine this is by accessing and checking the Electr</w:t>
      </w:r>
      <w:r w:rsidR="00386778" w:rsidRPr="00B81DD3">
        <w:t>onic Disqualified Recipient S</w:t>
      </w:r>
      <w:r w:rsidRPr="00B81DD3">
        <w:t>ystem (eDRS).  eDRS is an automated system developed by FNS that contains records of disq</w:t>
      </w:r>
      <w:r w:rsidR="005A7D36" w:rsidRPr="00B81DD3">
        <w:t>ualifications in every State.  Per 7 CFR 273.16(i)(4) S</w:t>
      </w:r>
      <w:r w:rsidRPr="00B81DD3">
        <w:t xml:space="preserve">tate agencies are responsible for checking </w:t>
      </w:r>
      <w:r w:rsidR="005A7D36" w:rsidRPr="00B81DD3">
        <w:t xml:space="preserve">eDRS </w:t>
      </w:r>
      <w:r w:rsidRPr="00B81DD3">
        <w:t xml:space="preserve">to determine the appropriate length of each disqualification.    </w:t>
      </w:r>
    </w:p>
    <w:bookmarkEnd w:id="1"/>
    <w:bookmarkEnd w:id="2"/>
    <w:p w14:paraId="2449CEF7" w14:textId="77777777" w:rsidR="001D30B4" w:rsidRPr="00B81DD3" w:rsidRDefault="001D30B4" w:rsidP="0093445F">
      <w:pPr>
        <w:spacing w:line="480" w:lineRule="auto"/>
        <w:contextualSpacing/>
      </w:pPr>
    </w:p>
    <w:p w14:paraId="3E95A4E2" w14:textId="77777777" w:rsidR="001D30B4" w:rsidRPr="00B81DD3" w:rsidRDefault="005A7D36" w:rsidP="0093445F">
      <w:pPr>
        <w:spacing w:line="480" w:lineRule="auto"/>
        <w:contextualSpacing/>
      </w:pPr>
      <w:r w:rsidRPr="00B81DD3">
        <w:t>7 CFR 273.16(i)(2)(i) requires</w:t>
      </w:r>
      <w:r w:rsidR="001D30B4" w:rsidRPr="00B81DD3">
        <w:t xml:space="preserve"> State agencies </w:t>
      </w:r>
      <w:r w:rsidRPr="00B81DD3">
        <w:t>to update the eDRS system, which includes reporting disqualifications as they occur and removing records which are no longer accurate, relevant, or complete</w:t>
      </w:r>
      <w:r w:rsidR="00964A75" w:rsidRPr="00B81DD3">
        <w:t xml:space="preserve">.  </w:t>
      </w:r>
      <w:r w:rsidRPr="00B81DD3">
        <w:t>States have a choice between using</w:t>
      </w:r>
      <w:r w:rsidR="007649A2" w:rsidRPr="00B81DD3">
        <w:t xml:space="preserve"> a batch</w:t>
      </w:r>
      <w:r w:rsidR="00964A75" w:rsidRPr="00B81DD3">
        <w:t xml:space="preserve"> process for correcting and resubmitting data</w:t>
      </w:r>
      <w:r w:rsidR="001D30B4" w:rsidRPr="00B81DD3">
        <w:t xml:space="preserve"> </w:t>
      </w:r>
      <w:r w:rsidRPr="00B81DD3">
        <w:t>or</w:t>
      </w:r>
      <w:r w:rsidR="001D30B4" w:rsidRPr="00B81DD3">
        <w:t xml:space="preserve"> submit</w:t>
      </w:r>
      <w:r w:rsidRPr="00B81DD3">
        <w:t>ting</w:t>
      </w:r>
      <w:r w:rsidR="001D30B4" w:rsidRPr="00B81DD3">
        <w:t xml:space="preserve"> data di</w:t>
      </w:r>
      <w:r w:rsidR="007649A2" w:rsidRPr="00B81DD3">
        <w:t>rectly through the eDRS website.</w:t>
      </w:r>
      <w:r w:rsidR="001D30B4" w:rsidRPr="00B81DD3">
        <w:t xml:space="preserve"> </w:t>
      </w:r>
      <w:r w:rsidRPr="00B81DD3">
        <w:t xml:space="preserve"> </w:t>
      </w:r>
      <w:r w:rsidR="007649A2" w:rsidRPr="00B81DD3">
        <w:t>D</w:t>
      </w:r>
      <w:r w:rsidR="001D30B4" w:rsidRPr="00B81DD3">
        <w:t>ata entry errors are identified at the point of entry and corrections can be made immediately.</w:t>
      </w:r>
    </w:p>
    <w:p w14:paraId="0DE35310" w14:textId="77777777" w:rsidR="001D30B4" w:rsidRPr="00B81DD3" w:rsidRDefault="001D30B4" w:rsidP="0093445F">
      <w:pPr>
        <w:spacing w:line="480" w:lineRule="auto"/>
      </w:pPr>
    </w:p>
    <w:p w14:paraId="64F641EF" w14:textId="77777777" w:rsidR="00F33B12" w:rsidRPr="00B81DD3" w:rsidRDefault="001D30B4" w:rsidP="0093445F">
      <w:pPr>
        <w:spacing w:line="480" w:lineRule="auto"/>
        <w:rPr>
          <w:b/>
        </w:rPr>
      </w:pPr>
      <w:r w:rsidRPr="00B81DD3">
        <w:rPr>
          <w:b/>
        </w:rPr>
        <w:t>3.</w:t>
      </w:r>
      <w:r w:rsidRPr="00B81DD3">
        <w:t xml:space="preserve">  </w:t>
      </w:r>
      <w:r w:rsidR="0047753B" w:rsidRPr="00B81DD3">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64C65B5" w14:textId="77777777" w:rsidR="0093445F" w:rsidRPr="00B81DD3" w:rsidRDefault="0093445F" w:rsidP="0093445F">
      <w:pPr>
        <w:spacing w:line="480" w:lineRule="auto"/>
      </w:pPr>
    </w:p>
    <w:p w14:paraId="4BE6C292" w14:textId="77777777" w:rsidR="001D30B4" w:rsidRPr="00B81DD3" w:rsidRDefault="009A220E" w:rsidP="0093445F">
      <w:pPr>
        <w:spacing w:line="480" w:lineRule="auto"/>
      </w:pPr>
      <w:r w:rsidRPr="00B81DD3">
        <w:rPr>
          <w:spacing w:val="-3"/>
        </w:rPr>
        <w:t xml:space="preserve">FNS is committed to complying with the E-Government Act, 2002 to promote the use of </w:t>
      </w:r>
      <w:r w:rsidR="00205655" w:rsidRPr="00B81DD3">
        <w:rPr>
          <w:spacing w:val="-3"/>
        </w:rPr>
        <w:t>technology.</w:t>
      </w:r>
      <w:r w:rsidR="001D30B4" w:rsidRPr="00B81DD3">
        <w:t xml:space="preserve"> </w:t>
      </w:r>
      <w:r w:rsidR="00205655" w:rsidRPr="00B81DD3">
        <w:t xml:space="preserve"> </w:t>
      </w:r>
      <w:r w:rsidR="001D30B4" w:rsidRPr="00B81DD3">
        <w:t xml:space="preserve">Federal agencies are to provide for electronic submission of information as an alternative to paper submission. State agencies have the authority to use information technology that best suits the needs of their individual or unique systems of operations to comply with this information collection.  For initiating collection action, this process is automated in </w:t>
      </w:r>
      <w:r w:rsidR="007F19A8" w:rsidRPr="00B81DD3">
        <w:t>most</w:t>
      </w:r>
      <w:r w:rsidR="001D30B4" w:rsidRPr="00B81DD3">
        <w:t xml:space="preserve"> State agencies.  The tracking and notification process for IPVs is also automated in </w:t>
      </w:r>
      <w:r w:rsidR="007F19A8" w:rsidRPr="00B81DD3">
        <w:t>most</w:t>
      </w:r>
      <w:r w:rsidR="001D30B4" w:rsidRPr="00B81DD3">
        <w:t xml:space="preserve"> State agencies.  </w:t>
      </w:r>
      <w:r w:rsidR="001D30B4" w:rsidRPr="00B81DD3">
        <w:rPr>
          <w:bCs/>
        </w:rPr>
        <w:t>FNS makes every effort to comply with these requirements for this information collection</w:t>
      </w:r>
      <w:r w:rsidR="001D30B4" w:rsidRPr="00B81DD3">
        <w:rPr>
          <w:b/>
          <w:bCs/>
        </w:rPr>
        <w:t xml:space="preserve">.  </w:t>
      </w:r>
      <w:r w:rsidR="001D30B4" w:rsidRPr="00B81DD3">
        <w:t>eDRS is an automated system developed and maintained by FNS</w:t>
      </w:r>
      <w:r w:rsidR="007F19A8" w:rsidRPr="00B81DD3">
        <w:t xml:space="preserve"> and is</w:t>
      </w:r>
      <w:r w:rsidR="001D30B4" w:rsidRPr="00B81DD3">
        <w:t xml:space="preserve"> made available to </w:t>
      </w:r>
      <w:r w:rsidRPr="00B81DD3">
        <w:t xml:space="preserve">all 53 </w:t>
      </w:r>
      <w:r w:rsidR="001D30B4" w:rsidRPr="00B81DD3">
        <w:t>State agencies</w:t>
      </w:r>
      <w:r w:rsidR="007F19A8" w:rsidRPr="00B81DD3">
        <w:t xml:space="preserve"> so that they may submit and retrieve data efficiently</w:t>
      </w:r>
      <w:r w:rsidR="00C227CE" w:rsidRPr="00B81DD3">
        <w:t>; 100 percent of the States submit data electronically</w:t>
      </w:r>
      <w:r w:rsidR="00973608">
        <w:t xml:space="preserve"> at </w:t>
      </w:r>
      <w:r w:rsidR="00B10851" w:rsidRPr="00B10851">
        <w:t>https://www.edrsng.fns.usda.gov/Default.aspx</w:t>
      </w:r>
      <w:r w:rsidR="00B10851">
        <w:rPr>
          <w:rStyle w:val="Hyperlink"/>
        </w:rPr>
        <w:t xml:space="preserve"> </w:t>
      </w:r>
      <w:r w:rsidR="00DC7D27">
        <w:t xml:space="preserve">see </w:t>
      </w:r>
      <w:r w:rsidR="007E3712">
        <w:t>eDRS Screenshots (Appendix 2</w:t>
      </w:r>
      <w:r w:rsidR="00DC7D27">
        <w:t>)</w:t>
      </w:r>
      <w:r w:rsidR="003E307D">
        <w:t>, eDRS Online Administrators Guide (Appendix</w:t>
      </w:r>
      <w:r w:rsidR="007E3712">
        <w:t xml:space="preserve"> </w:t>
      </w:r>
      <w:r w:rsidR="003E307D">
        <w:t xml:space="preserve">4) </w:t>
      </w:r>
      <w:r w:rsidR="007E3712">
        <w:t>and eDRS Query User Guide (Appendix 6)</w:t>
      </w:r>
      <w:r w:rsidR="00C227CE" w:rsidRPr="00B81DD3">
        <w:t>.</w:t>
      </w:r>
    </w:p>
    <w:p w14:paraId="6EC33181" w14:textId="77777777" w:rsidR="0073293D" w:rsidRPr="00B81DD3" w:rsidRDefault="0073293D" w:rsidP="0093445F">
      <w:pPr>
        <w:spacing w:line="480" w:lineRule="auto"/>
      </w:pPr>
    </w:p>
    <w:p w14:paraId="514F133B" w14:textId="77777777" w:rsidR="001D30B4" w:rsidRPr="00B81DD3" w:rsidRDefault="004C29C5" w:rsidP="0093445F">
      <w:pPr>
        <w:spacing w:line="480" w:lineRule="auto"/>
        <w:rPr>
          <w:b/>
        </w:rPr>
      </w:pPr>
      <w:r w:rsidRPr="00B81DD3">
        <w:t xml:space="preserve">4. </w:t>
      </w:r>
      <w:r w:rsidR="0047753B" w:rsidRPr="00B81DD3">
        <w:rPr>
          <w:b/>
        </w:rPr>
        <w:t>Describe efforts to identify duplication.  Show specifically why any similar information already available cannot be used or modified for use for the purpose described in item 2 above</w:t>
      </w:r>
      <w:r w:rsidRPr="00B81DD3">
        <w:rPr>
          <w:b/>
        </w:rPr>
        <w:t>.</w:t>
      </w:r>
      <w:r w:rsidR="0047753B" w:rsidRPr="00B81DD3" w:rsidDel="0047753B">
        <w:rPr>
          <w:b/>
        </w:rPr>
        <w:t xml:space="preserve"> </w:t>
      </w:r>
    </w:p>
    <w:p w14:paraId="61A19187" w14:textId="77777777" w:rsidR="00DE7059" w:rsidRPr="00B81DD3" w:rsidRDefault="00DE7059" w:rsidP="0093445F">
      <w:pPr>
        <w:spacing w:line="480" w:lineRule="auto"/>
        <w:rPr>
          <w:b/>
        </w:rPr>
      </w:pPr>
    </w:p>
    <w:p w14:paraId="0E58D2BF" w14:textId="77777777" w:rsidR="00D265C7" w:rsidRPr="00B81DD3" w:rsidRDefault="001D30B4" w:rsidP="0093445F">
      <w:pPr>
        <w:spacing w:line="480" w:lineRule="auto"/>
      </w:pPr>
      <w:r w:rsidRPr="00B81DD3">
        <w:t>Based on research conducted during the life cycle of this information collection, there was no other information collection that existed that would serve the Agency’s purpose.</w:t>
      </w:r>
      <w:r w:rsidR="00D265C7" w:rsidRPr="00B81DD3">
        <w:t xml:space="preserve"> </w:t>
      </w:r>
      <w:r w:rsidR="00A31754" w:rsidRPr="00B81DD3">
        <w:t xml:space="preserve">To ensure program integrity, </w:t>
      </w:r>
      <w:r w:rsidR="00D265C7" w:rsidRPr="00B81DD3">
        <w:t xml:space="preserve">FNS solely monitors </w:t>
      </w:r>
      <w:r w:rsidR="00F33B12" w:rsidRPr="00B81DD3">
        <w:t>over</w:t>
      </w:r>
      <w:r w:rsidR="00D265C7" w:rsidRPr="00B81DD3">
        <w:t>issuance and intention</w:t>
      </w:r>
      <w:r w:rsidR="00F33B12" w:rsidRPr="00B81DD3">
        <w:t>al</w:t>
      </w:r>
      <w:r w:rsidR="00D265C7" w:rsidRPr="00B81DD3">
        <w:t xml:space="preserve"> violations of SNAP benefits. The information required for </w:t>
      </w:r>
      <w:r w:rsidR="0078598A" w:rsidRPr="00B81DD3">
        <w:t xml:space="preserve">eDRS </w:t>
      </w:r>
      <w:r w:rsidR="00D265C7" w:rsidRPr="00B81DD3">
        <w:t xml:space="preserve">and repayment demands is not currently reported to any other entity outside of FNS. Every effort has been made to avoid duplication. FNS has reviewed USDA reporting requirements, state administrative agency reporting requirements and special studies by other government and private agencies. </w:t>
      </w:r>
    </w:p>
    <w:p w14:paraId="00998FAE" w14:textId="77777777" w:rsidR="001D30B4" w:rsidRPr="00B81DD3" w:rsidRDefault="001D30B4" w:rsidP="0093445F">
      <w:pPr>
        <w:spacing w:line="480" w:lineRule="auto"/>
      </w:pPr>
    </w:p>
    <w:p w14:paraId="1E29B2B9" w14:textId="77777777" w:rsidR="00DE7059" w:rsidRPr="00B81DD3" w:rsidRDefault="001D30B4" w:rsidP="0093445F">
      <w:pPr>
        <w:spacing w:line="480" w:lineRule="auto"/>
        <w:rPr>
          <w:b/>
        </w:rPr>
      </w:pPr>
      <w:r w:rsidRPr="00B81DD3">
        <w:rPr>
          <w:b/>
        </w:rPr>
        <w:t xml:space="preserve">5.  </w:t>
      </w:r>
      <w:r w:rsidR="0047753B" w:rsidRPr="00B81DD3">
        <w:rPr>
          <w:b/>
        </w:rPr>
        <w:t>If the collection of information impacts small businesses or other small entities, describe any methods used to minimize burden.</w:t>
      </w:r>
    </w:p>
    <w:p w14:paraId="40BA12A3" w14:textId="77777777" w:rsidR="0093445F" w:rsidRPr="00B81DD3" w:rsidRDefault="0093445F" w:rsidP="0093445F">
      <w:pPr>
        <w:spacing w:line="480" w:lineRule="auto"/>
        <w:rPr>
          <w:b/>
        </w:rPr>
      </w:pPr>
    </w:p>
    <w:p w14:paraId="3D69DBBB" w14:textId="77777777" w:rsidR="001D30B4" w:rsidRPr="00B81DD3" w:rsidRDefault="00D265C7" w:rsidP="0093445F">
      <w:pPr>
        <w:tabs>
          <w:tab w:val="left" w:pos="-720"/>
        </w:tabs>
        <w:suppressAutoHyphens/>
        <w:spacing w:line="480" w:lineRule="auto"/>
      </w:pPr>
      <w:r w:rsidRPr="00B81DD3">
        <w:rPr>
          <w:spacing w:val="-3"/>
        </w:rPr>
        <w:t>The information required has been held to the minimum requirement for the intended use. Circumstances limit the flexibility in modifying the reporting and recordkeeping requirements</w:t>
      </w:r>
      <w:r w:rsidRPr="00B81DD3">
        <w:t xml:space="preserve"> to comply with statutory requirements and to protect Program integrity</w:t>
      </w:r>
      <w:r w:rsidR="0073293D" w:rsidRPr="00B81DD3">
        <w:t>.</w:t>
      </w:r>
      <w:r w:rsidRPr="00B81DD3">
        <w:rPr>
          <w:spacing w:val="-3"/>
        </w:rPr>
        <w:t xml:space="preserve">  </w:t>
      </w:r>
      <w:r w:rsidR="00A31754" w:rsidRPr="00B81DD3">
        <w:rPr>
          <w:spacing w:val="-3"/>
        </w:rPr>
        <w:t>There are no small business</w:t>
      </w:r>
      <w:r w:rsidR="00A13D8A" w:rsidRPr="00B81DD3">
        <w:rPr>
          <w:spacing w:val="-3"/>
        </w:rPr>
        <w:t>es</w:t>
      </w:r>
      <w:r w:rsidR="00A31754" w:rsidRPr="00B81DD3">
        <w:rPr>
          <w:spacing w:val="-3"/>
        </w:rPr>
        <w:t xml:space="preserve"> involved in this data collection.  </w:t>
      </w:r>
      <w:r w:rsidRPr="00B81DD3">
        <w:rPr>
          <w:spacing w:val="-3"/>
        </w:rPr>
        <w:t xml:space="preserve">  </w:t>
      </w:r>
    </w:p>
    <w:p w14:paraId="211F754B" w14:textId="77777777" w:rsidR="001D30B4" w:rsidRPr="00B81DD3" w:rsidRDefault="001D30B4" w:rsidP="0093445F">
      <w:pPr>
        <w:spacing w:line="480" w:lineRule="auto"/>
      </w:pPr>
    </w:p>
    <w:p w14:paraId="4EE38859" w14:textId="77777777" w:rsidR="00DE7059" w:rsidRPr="00B81DD3" w:rsidRDefault="001D30B4" w:rsidP="0093445F">
      <w:pPr>
        <w:spacing w:line="480" w:lineRule="auto"/>
        <w:rPr>
          <w:b/>
        </w:rPr>
      </w:pPr>
      <w:r w:rsidRPr="00B81DD3">
        <w:rPr>
          <w:b/>
        </w:rPr>
        <w:t xml:space="preserve">6.  </w:t>
      </w:r>
      <w:r w:rsidR="0047753B" w:rsidRPr="00B81DD3">
        <w:rPr>
          <w:b/>
        </w:rPr>
        <w:t>Describe the consequence to Federal program or policy activities if the collection is not conducted or is conducted less frequently, as well as any technical or legal obstacles to reducing burden.</w:t>
      </w:r>
    </w:p>
    <w:p w14:paraId="09F2B0D3" w14:textId="77777777" w:rsidR="0093445F" w:rsidRPr="00B81DD3" w:rsidRDefault="0093445F" w:rsidP="0093445F">
      <w:pPr>
        <w:spacing w:line="480" w:lineRule="auto"/>
        <w:rPr>
          <w:b/>
        </w:rPr>
      </w:pPr>
    </w:p>
    <w:p w14:paraId="3E76571C" w14:textId="77777777" w:rsidR="001D30B4" w:rsidRPr="00B81DD3" w:rsidRDefault="00DC7D27" w:rsidP="0093445F">
      <w:pPr>
        <w:spacing w:line="480" w:lineRule="auto"/>
        <w:contextualSpacing/>
      </w:pPr>
      <w:r>
        <w:t xml:space="preserve">This is an ongoing mandatory data collection.  </w:t>
      </w:r>
      <w:r w:rsidR="009756C7" w:rsidRPr="00B81DD3">
        <w:t>If FNS did not</w:t>
      </w:r>
      <w:r w:rsidR="001D30B4" w:rsidRPr="00B81DD3">
        <w:t xml:space="preserve"> </w:t>
      </w:r>
      <w:r w:rsidR="009756C7" w:rsidRPr="00B81DD3">
        <w:t xml:space="preserve">initiate </w:t>
      </w:r>
      <w:r w:rsidR="00F33B12" w:rsidRPr="00B81DD3">
        <w:t xml:space="preserve">overissuance </w:t>
      </w:r>
      <w:r w:rsidR="001D30B4" w:rsidRPr="00B81DD3">
        <w:t xml:space="preserve">collection actions, the Federal program would not be in compliance with </w:t>
      </w:r>
      <w:r w:rsidR="00F33B12" w:rsidRPr="00B81DD3">
        <w:t>Federal regulations.   Additionally, c</w:t>
      </w:r>
      <w:r w:rsidR="001D30B4" w:rsidRPr="00B81DD3">
        <w:t xml:space="preserve">laims collections have a direct financial impact on </w:t>
      </w:r>
      <w:r w:rsidR="00F33B12" w:rsidRPr="00B81DD3">
        <w:t xml:space="preserve">both </w:t>
      </w:r>
      <w:r w:rsidR="001D30B4" w:rsidRPr="00B81DD3">
        <w:t xml:space="preserve">State and Federal government.  </w:t>
      </w:r>
      <w:r w:rsidR="009756C7" w:rsidRPr="00B81DD3">
        <w:t>If these overissuance</w:t>
      </w:r>
      <w:r w:rsidR="00F33B12" w:rsidRPr="00B81DD3">
        <w:t>s</w:t>
      </w:r>
      <w:r w:rsidR="009756C7" w:rsidRPr="00B81DD3">
        <w:t xml:space="preserve"> were not</w:t>
      </w:r>
      <w:r w:rsidR="001D30B4" w:rsidRPr="00B81DD3">
        <w:t xml:space="preserve"> </w:t>
      </w:r>
      <w:r w:rsidR="009756C7" w:rsidRPr="00B81DD3">
        <w:t>identified</w:t>
      </w:r>
      <w:r w:rsidR="001D30B4" w:rsidRPr="00B81DD3">
        <w:t xml:space="preserve"> and </w:t>
      </w:r>
      <w:r w:rsidR="009756C7" w:rsidRPr="00B81DD3">
        <w:t xml:space="preserve">households not </w:t>
      </w:r>
      <w:r w:rsidR="001D30B4" w:rsidRPr="00B81DD3">
        <w:t>noti</w:t>
      </w:r>
      <w:r w:rsidR="009756C7" w:rsidRPr="00B81DD3">
        <w:t>fied</w:t>
      </w:r>
      <w:r w:rsidR="001D30B4" w:rsidRPr="00B81DD3">
        <w:t xml:space="preserve"> </w:t>
      </w:r>
      <w:r w:rsidR="009756C7" w:rsidRPr="00B81DD3">
        <w:t>about</w:t>
      </w:r>
      <w:r w:rsidR="001D30B4" w:rsidRPr="00B81DD3">
        <w:t xml:space="preserve"> </w:t>
      </w:r>
      <w:r w:rsidR="009756C7" w:rsidRPr="00B81DD3">
        <w:t>overissuances</w:t>
      </w:r>
      <w:r w:rsidR="001D30B4" w:rsidRPr="00B81DD3">
        <w:t>, both entiti</w:t>
      </w:r>
      <w:r w:rsidR="00F33B12" w:rsidRPr="00B81DD3">
        <w:t>es stand to lo</w:t>
      </w:r>
      <w:r w:rsidR="001D30B4" w:rsidRPr="00B81DD3">
        <w:t>se an opportunity to reduce Program costs by millions of dollars.  There is also a negative impact on recipients.  Not adequately notifying a hou</w:t>
      </w:r>
      <w:r w:rsidR="00F33B12" w:rsidRPr="00B81DD3">
        <w:t xml:space="preserve">sehold of an overissuance or </w:t>
      </w:r>
      <w:r w:rsidR="001D30B4" w:rsidRPr="00B81DD3">
        <w:t>an impending IPV compromise</w:t>
      </w:r>
      <w:r w:rsidR="00F33B12" w:rsidRPr="00B81DD3">
        <w:t>s</w:t>
      </w:r>
      <w:r w:rsidR="001D30B4" w:rsidRPr="00B81DD3">
        <w:t xml:space="preserve"> the respondent’s right to due process.  </w:t>
      </w:r>
      <w:r w:rsidR="00111F84" w:rsidRPr="00B81DD3">
        <w:t xml:space="preserve">Further, States </w:t>
      </w:r>
      <w:r w:rsidR="00FD6763" w:rsidRPr="00B81DD3">
        <w:t>are responsible for assigning the appr</w:t>
      </w:r>
      <w:r w:rsidR="00111F84" w:rsidRPr="00B81DD3">
        <w:t xml:space="preserve">opriate penalty lengths </w:t>
      </w:r>
      <w:r w:rsidR="00FD6763" w:rsidRPr="00B81DD3">
        <w:t>to those</w:t>
      </w:r>
      <w:r w:rsidR="00111F84" w:rsidRPr="00B81DD3">
        <w:t xml:space="preserve"> found guilty of </w:t>
      </w:r>
      <w:r w:rsidR="00FD6763" w:rsidRPr="00B81DD3">
        <w:t xml:space="preserve">an </w:t>
      </w:r>
      <w:r w:rsidR="00111F84" w:rsidRPr="00B81DD3">
        <w:t>IPV</w:t>
      </w:r>
      <w:r w:rsidR="00FD6763" w:rsidRPr="00B81DD3">
        <w:t xml:space="preserve">. </w:t>
      </w:r>
      <w:r w:rsidR="00111F84" w:rsidRPr="00B81DD3">
        <w:t xml:space="preserve"> </w:t>
      </w:r>
      <w:r w:rsidR="00FD6763" w:rsidRPr="00B81DD3">
        <w:t>Individuals</w:t>
      </w:r>
      <w:r w:rsidR="00111F84" w:rsidRPr="00B81DD3">
        <w:t xml:space="preserve"> who have </w:t>
      </w:r>
      <w:r w:rsidR="00FD6763" w:rsidRPr="00B81DD3">
        <w:t xml:space="preserve">committed prior IPVs are assigned longer penalty </w:t>
      </w:r>
      <w:r w:rsidR="00F33B12" w:rsidRPr="00B81DD3">
        <w:t>durations</w:t>
      </w:r>
      <w:r w:rsidR="00FD6763" w:rsidRPr="00B81DD3">
        <w:t xml:space="preserve">. </w:t>
      </w:r>
      <w:r w:rsidR="00111F84" w:rsidRPr="00B81DD3">
        <w:t xml:space="preserve"> States </w:t>
      </w:r>
      <w:r w:rsidR="00FD6763" w:rsidRPr="00B81DD3">
        <w:t>access eDRS in order to determine if any prior IPVs have been committed.  States are responsible for updating the system so that it may be used for this purpose</w:t>
      </w:r>
      <w:r w:rsidR="00111F84" w:rsidRPr="00B81DD3">
        <w:t xml:space="preserve">.  </w:t>
      </w:r>
      <w:r w:rsidR="001D30B4" w:rsidRPr="00B81DD3">
        <w:t xml:space="preserve"> </w:t>
      </w:r>
    </w:p>
    <w:p w14:paraId="5CF89973" w14:textId="77777777" w:rsidR="001D30B4" w:rsidRPr="00B81DD3" w:rsidRDefault="001D30B4" w:rsidP="0093445F">
      <w:pPr>
        <w:spacing w:line="480" w:lineRule="auto"/>
      </w:pPr>
    </w:p>
    <w:p w14:paraId="4823A72B" w14:textId="77777777" w:rsidR="0047753B" w:rsidRPr="00B81DD3" w:rsidRDefault="0047753B" w:rsidP="0093445F">
      <w:pPr>
        <w:pStyle w:val="BodyTextIndent"/>
        <w:spacing w:line="480" w:lineRule="auto"/>
        <w:rPr>
          <w:szCs w:val="24"/>
        </w:rPr>
      </w:pPr>
      <w:r w:rsidRPr="00B81DD3">
        <w:rPr>
          <w:szCs w:val="24"/>
        </w:rPr>
        <w:t>7. Explain any special circumstances that would cause an information collecti</w:t>
      </w:r>
      <w:r w:rsidRPr="00B81DD3">
        <w:rPr>
          <w:szCs w:val="24"/>
        </w:rPr>
        <w:softHyphen/>
        <w:t>on to be con</w:t>
      </w:r>
      <w:r w:rsidRPr="00B81DD3">
        <w:rPr>
          <w:szCs w:val="24"/>
        </w:rPr>
        <w:softHyphen/>
        <w:t>ducted in a manner:</w:t>
      </w:r>
    </w:p>
    <w:p w14:paraId="1AD10706" w14:textId="77777777" w:rsidR="0047753B" w:rsidRPr="00B81DD3" w:rsidRDefault="0047753B" w:rsidP="0093445F">
      <w:pPr>
        <w:numPr>
          <w:ilvl w:val="0"/>
          <w:numId w:val="8"/>
        </w:numPr>
        <w:tabs>
          <w:tab w:val="clear" w:pos="360"/>
        </w:tabs>
        <w:spacing w:after="80" w:line="480" w:lineRule="auto"/>
        <w:ind w:left="1170" w:hanging="450"/>
        <w:rPr>
          <w:b/>
        </w:rPr>
      </w:pPr>
      <w:r w:rsidRPr="00B81DD3">
        <w:rPr>
          <w:b/>
        </w:rPr>
        <w:t>requiring respondents to report informa</w:t>
      </w:r>
      <w:r w:rsidRPr="00B81DD3">
        <w:rPr>
          <w:b/>
        </w:rPr>
        <w:softHyphen/>
        <w:t>tion to the agency more often than quarterly;</w:t>
      </w:r>
    </w:p>
    <w:p w14:paraId="600721F5" w14:textId="77777777" w:rsidR="0047753B" w:rsidRPr="00B81DD3" w:rsidRDefault="0047753B" w:rsidP="0093445F">
      <w:pPr>
        <w:numPr>
          <w:ilvl w:val="0"/>
          <w:numId w:val="9"/>
        </w:numPr>
        <w:tabs>
          <w:tab w:val="clear" w:pos="360"/>
        </w:tabs>
        <w:spacing w:after="80" w:line="480" w:lineRule="auto"/>
        <w:ind w:left="1170" w:hanging="450"/>
        <w:rPr>
          <w:b/>
        </w:rPr>
      </w:pPr>
      <w:r w:rsidRPr="00B81DD3">
        <w:rPr>
          <w:b/>
        </w:rPr>
        <w:t>requiring respondents to prepare a writ</w:t>
      </w:r>
      <w:r w:rsidRPr="00B81DD3">
        <w:rPr>
          <w:b/>
        </w:rPr>
        <w:softHyphen/>
        <w:t>ten response to a collection of infor</w:t>
      </w:r>
      <w:r w:rsidRPr="00B81DD3">
        <w:rPr>
          <w:b/>
        </w:rPr>
        <w:softHyphen/>
        <w:t>ma</w:t>
      </w:r>
      <w:r w:rsidRPr="00B81DD3">
        <w:rPr>
          <w:b/>
        </w:rPr>
        <w:softHyphen/>
        <w:t>tion in fewer than 30 days after receipt of it;</w:t>
      </w:r>
    </w:p>
    <w:p w14:paraId="0CAE975D" w14:textId="77777777" w:rsidR="0047753B" w:rsidRPr="00B81DD3" w:rsidRDefault="0047753B" w:rsidP="0093445F">
      <w:pPr>
        <w:numPr>
          <w:ilvl w:val="0"/>
          <w:numId w:val="10"/>
        </w:numPr>
        <w:tabs>
          <w:tab w:val="clear" w:pos="360"/>
        </w:tabs>
        <w:spacing w:after="80" w:line="480" w:lineRule="auto"/>
        <w:ind w:left="1170" w:hanging="450"/>
        <w:rPr>
          <w:b/>
        </w:rPr>
      </w:pPr>
      <w:r w:rsidRPr="00B81DD3">
        <w:rPr>
          <w:b/>
        </w:rPr>
        <w:t>requiring respondents to submit more than an original and two copies of any docu</w:t>
      </w:r>
      <w:r w:rsidRPr="00B81DD3">
        <w:rPr>
          <w:b/>
        </w:rPr>
        <w:softHyphen/>
        <w:t>ment;</w:t>
      </w:r>
    </w:p>
    <w:p w14:paraId="20F178B8" w14:textId="77777777" w:rsidR="0047753B" w:rsidRPr="00B81DD3" w:rsidRDefault="0047753B" w:rsidP="0093445F">
      <w:pPr>
        <w:numPr>
          <w:ilvl w:val="0"/>
          <w:numId w:val="11"/>
        </w:numPr>
        <w:tabs>
          <w:tab w:val="clear" w:pos="360"/>
        </w:tabs>
        <w:spacing w:after="80" w:line="480" w:lineRule="auto"/>
        <w:ind w:left="1170" w:hanging="450"/>
        <w:rPr>
          <w:b/>
        </w:rPr>
      </w:pPr>
      <w:r w:rsidRPr="00B81DD3">
        <w:rPr>
          <w:b/>
        </w:rPr>
        <w:t>requiring respondents to retain re</w:t>
      </w:r>
      <w:r w:rsidRPr="00B81DD3">
        <w:rPr>
          <w:b/>
        </w:rPr>
        <w:softHyphen/>
        <w:t>cords, other than health, medical, governm</w:t>
      </w:r>
      <w:r w:rsidRPr="00B81DD3">
        <w:rPr>
          <w:b/>
        </w:rPr>
        <w:softHyphen/>
        <w:t>ent contract, grant-in-aid, or tax records for more than three years;</w:t>
      </w:r>
    </w:p>
    <w:p w14:paraId="6AB0EB94" w14:textId="77777777" w:rsidR="0047753B" w:rsidRPr="00B81DD3" w:rsidRDefault="0047753B" w:rsidP="0093445F">
      <w:pPr>
        <w:numPr>
          <w:ilvl w:val="0"/>
          <w:numId w:val="12"/>
        </w:numPr>
        <w:tabs>
          <w:tab w:val="clear" w:pos="360"/>
        </w:tabs>
        <w:spacing w:after="80" w:line="480" w:lineRule="auto"/>
        <w:ind w:left="1170" w:hanging="450"/>
        <w:rPr>
          <w:b/>
        </w:rPr>
      </w:pPr>
      <w:r w:rsidRPr="00B81DD3">
        <w:rPr>
          <w:b/>
        </w:rPr>
        <w:t>in connection with a statisti</w:t>
      </w:r>
      <w:r w:rsidRPr="00B81DD3">
        <w:rPr>
          <w:b/>
        </w:rPr>
        <w:softHyphen/>
        <w:t>cal sur</w:t>
      </w:r>
      <w:r w:rsidRPr="00B81DD3">
        <w:rPr>
          <w:b/>
        </w:rPr>
        <w:softHyphen/>
        <w:t>vey, that is not de</w:t>
      </w:r>
      <w:r w:rsidRPr="00B81DD3">
        <w:rPr>
          <w:b/>
        </w:rPr>
        <w:softHyphen/>
        <w:t>signed to produce valid and reli</w:t>
      </w:r>
      <w:r w:rsidRPr="00B81DD3">
        <w:rPr>
          <w:b/>
        </w:rPr>
        <w:softHyphen/>
        <w:t>able results that can be general</w:t>
      </w:r>
      <w:r w:rsidRPr="00B81DD3">
        <w:rPr>
          <w:b/>
        </w:rPr>
        <w:softHyphen/>
        <w:t>ized to the uni</w:t>
      </w:r>
      <w:r w:rsidRPr="00B81DD3">
        <w:rPr>
          <w:b/>
        </w:rPr>
        <w:softHyphen/>
        <w:t>verse of study;</w:t>
      </w:r>
    </w:p>
    <w:p w14:paraId="204A8A93" w14:textId="77777777" w:rsidR="0047753B" w:rsidRPr="00B81DD3" w:rsidRDefault="0047753B" w:rsidP="0093445F">
      <w:pPr>
        <w:numPr>
          <w:ilvl w:val="0"/>
          <w:numId w:val="13"/>
        </w:numPr>
        <w:tabs>
          <w:tab w:val="clear" w:pos="360"/>
        </w:tabs>
        <w:spacing w:after="80" w:line="480" w:lineRule="auto"/>
        <w:ind w:left="1170" w:hanging="450"/>
        <w:rPr>
          <w:b/>
        </w:rPr>
      </w:pPr>
      <w:r w:rsidRPr="00B81DD3">
        <w:rPr>
          <w:b/>
        </w:rPr>
        <w:t>requiring the use of a statis</w:t>
      </w:r>
      <w:r w:rsidRPr="00B81DD3">
        <w:rPr>
          <w:b/>
        </w:rPr>
        <w:softHyphen/>
        <w:t>tical data classi</w:t>
      </w:r>
      <w:r w:rsidRPr="00B81DD3">
        <w:rPr>
          <w:b/>
        </w:rPr>
        <w:softHyphen/>
        <w:t>fication that has not been re</w:t>
      </w:r>
      <w:r w:rsidRPr="00B81DD3">
        <w:rPr>
          <w:b/>
        </w:rPr>
        <w:softHyphen/>
        <w:t>vie</w:t>
      </w:r>
      <w:r w:rsidRPr="00B81DD3">
        <w:rPr>
          <w:b/>
        </w:rPr>
        <w:softHyphen/>
        <w:t>wed and approved by OMB;</w:t>
      </w:r>
    </w:p>
    <w:p w14:paraId="66B2DBE7" w14:textId="77777777" w:rsidR="0047753B" w:rsidRPr="00B81DD3" w:rsidRDefault="0047753B" w:rsidP="0093445F">
      <w:pPr>
        <w:numPr>
          <w:ilvl w:val="0"/>
          <w:numId w:val="14"/>
        </w:numPr>
        <w:tabs>
          <w:tab w:val="clear" w:pos="360"/>
        </w:tabs>
        <w:spacing w:after="80" w:line="480" w:lineRule="auto"/>
        <w:ind w:left="1170" w:hanging="450"/>
        <w:rPr>
          <w:b/>
        </w:rPr>
      </w:pPr>
      <w:r w:rsidRPr="00B81DD3">
        <w:rPr>
          <w:b/>
        </w:rPr>
        <w:t>that includes a pledge of confiden</w:t>
      </w:r>
      <w:r w:rsidRPr="00B81DD3">
        <w:rPr>
          <w:b/>
        </w:rPr>
        <w:softHyphen/>
        <w:t>tiali</w:t>
      </w:r>
      <w:r w:rsidRPr="00B81DD3">
        <w:rPr>
          <w:b/>
        </w:rPr>
        <w:softHyphen/>
        <w:t>ty that is not supported by au</w:t>
      </w:r>
      <w:r w:rsidRPr="00B81DD3">
        <w:rPr>
          <w:b/>
        </w:rPr>
        <w:softHyphen/>
        <w:t>thority estab</w:t>
      </w:r>
      <w:r w:rsidRPr="00B81DD3">
        <w:rPr>
          <w:b/>
        </w:rPr>
        <w:softHyphen/>
        <w:t>lished in statute or regu</w:t>
      </w:r>
      <w:r w:rsidRPr="00B81DD3">
        <w:rPr>
          <w:b/>
        </w:rPr>
        <w:softHyphen/>
        <w:t>la</w:t>
      </w:r>
      <w:r w:rsidRPr="00B81DD3">
        <w:rPr>
          <w:b/>
        </w:rPr>
        <w:softHyphen/>
        <w:t>tion, that is not sup</w:t>
      </w:r>
      <w:r w:rsidRPr="00B81DD3">
        <w:rPr>
          <w:b/>
        </w:rPr>
        <w:softHyphen/>
        <w:t>ported by dis</w:t>
      </w:r>
      <w:r w:rsidRPr="00B81DD3">
        <w:rPr>
          <w:b/>
        </w:rPr>
        <w:softHyphen/>
        <w:t>closure and data security policies that are consistent with the pledge, or which unneces</w:t>
      </w:r>
      <w:r w:rsidRPr="00B81DD3">
        <w:rPr>
          <w:b/>
        </w:rPr>
        <w:softHyphen/>
        <w:t>sarily impedes shar</w:t>
      </w:r>
      <w:r w:rsidRPr="00B81DD3">
        <w:rPr>
          <w:b/>
        </w:rPr>
        <w:softHyphen/>
        <w:t>ing of data with other agencies for com</w:t>
      </w:r>
      <w:r w:rsidRPr="00B81DD3">
        <w:rPr>
          <w:b/>
        </w:rPr>
        <w:softHyphen/>
        <w:t>patible confiden</w:t>
      </w:r>
      <w:r w:rsidRPr="00B81DD3">
        <w:rPr>
          <w:b/>
        </w:rPr>
        <w:softHyphen/>
        <w:t>tial use; or</w:t>
      </w:r>
    </w:p>
    <w:p w14:paraId="76AB1717" w14:textId="77777777" w:rsidR="0073293D" w:rsidRPr="00B81DD3" w:rsidRDefault="0047753B" w:rsidP="0093445F">
      <w:pPr>
        <w:numPr>
          <w:ilvl w:val="0"/>
          <w:numId w:val="15"/>
        </w:numPr>
        <w:tabs>
          <w:tab w:val="clear" w:pos="360"/>
          <w:tab w:val="num" w:pos="648"/>
        </w:tabs>
        <w:spacing w:after="80" w:line="480" w:lineRule="auto"/>
        <w:ind w:left="1170" w:hanging="450"/>
      </w:pPr>
      <w:r w:rsidRPr="00B81DD3">
        <w:rPr>
          <w:b/>
        </w:rPr>
        <w:t>requiring respondents to submit propri</w:t>
      </w:r>
      <w:r w:rsidRPr="00B81DD3">
        <w:rPr>
          <w:b/>
        </w:rPr>
        <w:softHyphen/>
        <w:t>etary trade secret, or other confidential information unless the agency can demon</w:t>
      </w:r>
      <w:r w:rsidRPr="00B81DD3">
        <w:rPr>
          <w:b/>
        </w:rPr>
        <w:softHyphen/>
        <w:t>strate that it has instituted procedures to protect the information's confidentiality to the extent permit</w:t>
      </w:r>
      <w:r w:rsidRPr="00B81DD3">
        <w:rPr>
          <w:b/>
        </w:rPr>
        <w:softHyphen/>
        <w:t>ted by law.</w:t>
      </w:r>
    </w:p>
    <w:p w14:paraId="1CA1B5F5" w14:textId="77777777" w:rsidR="0093445F" w:rsidRPr="00B81DD3" w:rsidRDefault="0093445F" w:rsidP="0093445F">
      <w:pPr>
        <w:spacing w:after="80" w:line="480" w:lineRule="auto"/>
      </w:pPr>
    </w:p>
    <w:p w14:paraId="02CE415D" w14:textId="77777777" w:rsidR="001D30B4" w:rsidRPr="00B81DD3" w:rsidRDefault="001D30B4" w:rsidP="0093445F">
      <w:pPr>
        <w:spacing w:line="480" w:lineRule="auto"/>
        <w:contextualSpacing/>
      </w:pPr>
      <w:r w:rsidRPr="00B81DD3">
        <w:t>There are no special circumstances that require information collection that is inconsistent with 5 CFR 1320.</w:t>
      </w:r>
      <w:r w:rsidR="009B5274" w:rsidRPr="00B81DD3">
        <w:t>5</w:t>
      </w:r>
      <w:r w:rsidRPr="00B81DD3">
        <w:t>.</w:t>
      </w:r>
    </w:p>
    <w:p w14:paraId="3DAE3998" w14:textId="77777777" w:rsidR="001D30B4" w:rsidRPr="00B81DD3" w:rsidRDefault="001D30B4" w:rsidP="0093445F">
      <w:pPr>
        <w:spacing w:line="480" w:lineRule="auto"/>
      </w:pPr>
    </w:p>
    <w:p w14:paraId="5FE44786" w14:textId="77777777" w:rsidR="0047753B" w:rsidRPr="00B81DD3" w:rsidRDefault="0047753B" w:rsidP="0093445F">
      <w:pPr>
        <w:spacing w:line="480" w:lineRule="auto"/>
        <w:rPr>
          <w:b/>
        </w:rPr>
      </w:pPr>
      <w:r w:rsidRPr="00B81DD3">
        <w:rPr>
          <w:b/>
        </w:rPr>
        <w:t xml:space="preserve">8. If applicable, provide a copy and identify the date and page number of publication in the Federal Register of the agency's notice, </w:t>
      </w:r>
      <w:r w:rsidR="0093445F" w:rsidRPr="00B81DD3">
        <w:rPr>
          <w:b/>
          <w:bCs/>
        </w:rPr>
        <w:t xml:space="preserve">required by 5 CFR 1320.8 (d), </w:t>
      </w:r>
      <w:r w:rsidRPr="00B81DD3">
        <w:rPr>
          <w:b/>
        </w:rPr>
        <w:t>soliciting comments on the information collection prior to submission to OMB.   Summarize public comments received in response to that notice and describe actions taken by the agency in response to these comments.</w:t>
      </w:r>
      <w:r w:rsidR="0093445F" w:rsidRPr="00B81DD3">
        <w:rPr>
          <w:b/>
          <w:bCs/>
        </w:rPr>
        <w:t xml:space="preserve">  Specifically address comments received on cost and hour burden.</w:t>
      </w:r>
    </w:p>
    <w:p w14:paraId="5398BF36" w14:textId="77777777" w:rsidR="00DE7059" w:rsidRPr="00B81DD3" w:rsidRDefault="00DE7059" w:rsidP="0093445F">
      <w:pPr>
        <w:pStyle w:val="BodyTextIndent2"/>
        <w:ind w:left="0"/>
      </w:pPr>
    </w:p>
    <w:p w14:paraId="25EC6B29" w14:textId="77777777" w:rsidR="002F06EF" w:rsidRPr="00B81DD3" w:rsidRDefault="002F06EF" w:rsidP="0093445F">
      <w:pPr>
        <w:spacing w:line="480" w:lineRule="auto"/>
      </w:pPr>
      <w:r w:rsidRPr="00B81DD3">
        <w:t xml:space="preserve">The 60-day notice was published in the Federal Register on </w:t>
      </w:r>
      <w:r w:rsidR="00177F7D">
        <w:t>June 29, 2017</w:t>
      </w:r>
      <w:r w:rsidR="00F33B12" w:rsidRPr="00B81DD3">
        <w:t xml:space="preserve">, Volume </w:t>
      </w:r>
      <w:r w:rsidR="00177F7D">
        <w:t>82</w:t>
      </w:r>
      <w:r w:rsidR="00177F7D" w:rsidRPr="00B81DD3">
        <w:t xml:space="preserve"> </w:t>
      </w:r>
      <w:r w:rsidR="00F33B12" w:rsidRPr="00B81DD3">
        <w:t xml:space="preserve">Number </w:t>
      </w:r>
      <w:r w:rsidR="00177F7D">
        <w:t>124</w:t>
      </w:r>
      <w:r w:rsidR="00F33B12" w:rsidRPr="00B81DD3">
        <w:t xml:space="preserve">, and Page </w:t>
      </w:r>
      <w:r w:rsidR="00177F7D">
        <w:t>29475</w:t>
      </w:r>
      <w:r w:rsidRPr="00B81DD3">
        <w:rPr>
          <w:b/>
        </w:rPr>
        <w:t>.</w:t>
      </w:r>
      <w:r w:rsidRPr="00B81DD3">
        <w:t xml:space="preserve">  </w:t>
      </w:r>
      <w:r w:rsidR="00F33B12" w:rsidRPr="00B81DD3">
        <w:t>No comments were received</w:t>
      </w:r>
      <w:r w:rsidR="00266F08" w:rsidRPr="00B81DD3">
        <w:t>.</w:t>
      </w:r>
      <w:r w:rsidR="00F33B12" w:rsidRPr="00B81DD3">
        <w:t xml:space="preserve"> </w:t>
      </w:r>
      <w:r w:rsidR="00266F08" w:rsidRPr="00B81DD3">
        <w:t xml:space="preserve"> </w:t>
      </w:r>
    </w:p>
    <w:p w14:paraId="79D7D6FD" w14:textId="77777777" w:rsidR="00F33B12" w:rsidRPr="00B81DD3" w:rsidRDefault="00F33B12" w:rsidP="0093445F">
      <w:pPr>
        <w:spacing w:line="480" w:lineRule="auto"/>
      </w:pPr>
    </w:p>
    <w:p w14:paraId="685F929B" w14:textId="77777777" w:rsidR="0093445F" w:rsidRPr="00B81DD3" w:rsidRDefault="0093445F" w:rsidP="0093445F">
      <w:pPr>
        <w:spacing w:line="480" w:lineRule="auto"/>
        <w:rPr>
          <w:b/>
          <w:bCs/>
        </w:rPr>
      </w:pPr>
      <w:r w:rsidRPr="00B81DD3">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B81DD3">
        <w:rPr>
          <w:b/>
          <w:bCs/>
        </w:rPr>
        <w:t xml:space="preserve"> </w:t>
      </w:r>
      <w:r w:rsidRPr="00B81DD3">
        <w:rPr>
          <w:b/>
          <w:bCs/>
        </w:rPr>
        <w:t>Consultation with representatives of those from whom information is to be obtained or</w:t>
      </w:r>
      <w:r w:rsidR="00B81DD3">
        <w:rPr>
          <w:b/>
          <w:bCs/>
        </w:rPr>
        <w:t xml:space="preserve"> </w:t>
      </w:r>
      <w:r w:rsidRPr="00B81DD3">
        <w:rPr>
          <w:b/>
          <w:bCs/>
        </w:rPr>
        <w:t>those who must compile records should occur at least once every 3 years even if the</w:t>
      </w:r>
      <w:r w:rsidR="00B81DD3">
        <w:rPr>
          <w:b/>
          <w:bCs/>
        </w:rPr>
        <w:t xml:space="preserve"> </w:t>
      </w:r>
      <w:r w:rsidRPr="00B81DD3">
        <w:rPr>
          <w:b/>
          <w:bCs/>
        </w:rPr>
        <w:t>collection of information activity is the same as in prior years. There may be circumstances that may preclude consultation in a specific situation. These circumstances should be explained.</w:t>
      </w:r>
    </w:p>
    <w:p w14:paraId="35883753" w14:textId="77777777" w:rsidR="009756C7" w:rsidRPr="00B81DD3" w:rsidRDefault="009756C7" w:rsidP="0093445F">
      <w:pPr>
        <w:spacing w:line="480" w:lineRule="auto"/>
      </w:pPr>
    </w:p>
    <w:p w14:paraId="45BF3E06" w14:textId="77777777" w:rsidR="001D30B4" w:rsidRPr="00B81DD3" w:rsidRDefault="001D30B4" w:rsidP="0093445F">
      <w:pPr>
        <w:spacing w:line="480" w:lineRule="auto"/>
      </w:pPr>
      <w:r w:rsidRPr="00B81DD3">
        <w:t>Informal discussions</w:t>
      </w:r>
      <w:r w:rsidR="0068793B" w:rsidRPr="00B81DD3">
        <w:t xml:space="preserve"> with State agencies and advocates</w:t>
      </w:r>
      <w:r w:rsidRPr="00B81DD3">
        <w:t xml:space="preserve"> </w:t>
      </w:r>
      <w:r w:rsidR="00F33B12" w:rsidRPr="00B81DD3">
        <w:t xml:space="preserve">occur </w:t>
      </w:r>
      <w:r w:rsidR="0068793B" w:rsidRPr="00B81DD3">
        <w:t>during annual conferences, such as at the United Council on Welfare Fraud (UCOWF) conference and the Public Assistance Information Reporting System (PARIS) conference</w:t>
      </w:r>
      <w:r w:rsidR="00177F7D">
        <w:t xml:space="preserve"> </w:t>
      </w:r>
      <w:r w:rsidR="00317F2B">
        <w:t>convened from</w:t>
      </w:r>
      <w:r w:rsidR="00E80D54">
        <w:t xml:space="preserve"> </w:t>
      </w:r>
      <w:r w:rsidR="00E80D54">
        <w:rPr>
          <w:bCs/>
        </w:rPr>
        <w:t>October 18 - October 20, 2016</w:t>
      </w:r>
      <w:r w:rsidR="00E80D54">
        <w:t xml:space="preserve"> and March 15-17, 2016, respectively</w:t>
      </w:r>
      <w:r w:rsidR="00F33B12" w:rsidRPr="00B81DD3">
        <w:t>.  State agencies continue to indicate</w:t>
      </w:r>
      <w:r w:rsidRPr="00B81DD3">
        <w:t xml:space="preserve"> they generally support the initiating collection action and IPV procedures.  The advocacy community also generally supports this activity as it provides households and recipients advance notice of an impending adverse action.</w:t>
      </w:r>
    </w:p>
    <w:p w14:paraId="54BB41F9" w14:textId="77777777" w:rsidR="001D30B4" w:rsidRPr="00B81DD3" w:rsidRDefault="001D30B4" w:rsidP="0093445F">
      <w:pPr>
        <w:spacing w:line="480" w:lineRule="auto"/>
      </w:pPr>
    </w:p>
    <w:p w14:paraId="2EDEC679" w14:textId="77777777" w:rsidR="0093445F" w:rsidRPr="00B81DD3" w:rsidRDefault="001D30B4" w:rsidP="0093445F">
      <w:pPr>
        <w:spacing w:line="480" w:lineRule="auto"/>
      </w:pPr>
      <w:r w:rsidRPr="00B81DD3">
        <w:rPr>
          <w:b/>
        </w:rPr>
        <w:t xml:space="preserve">9.  </w:t>
      </w:r>
      <w:r w:rsidR="0047753B" w:rsidRPr="00B81DD3">
        <w:rPr>
          <w:b/>
        </w:rPr>
        <w:t>Explain any decision to provide any payment or gift to respondents, other than reenumeration of contractors or grantees.</w:t>
      </w:r>
    </w:p>
    <w:p w14:paraId="3370E1B4" w14:textId="77777777" w:rsidR="001D30B4" w:rsidRPr="00B81DD3" w:rsidRDefault="001D30B4" w:rsidP="0093445F">
      <w:pPr>
        <w:spacing w:line="480" w:lineRule="auto"/>
      </w:pPr>
      <w:r w:rsidRPr="00B81DD3">
        <w:t>No payments or gifts to respondents are provided under this information collection.</w:t>
      </w:r>
    </w:p>
    <w:p w14:paraId="0C8F96C0" w14:textId="77777777" w:rsidR="00A86FAB" w:rsidRPr="00B81DD3" w:rsidRDefault="00A86FAB" w:rsidP="0093445F">
      <w:pPr>
        <w:spacing w:line="480" w:lineRule="auto"/>
        <w:rPr>
          <w:b/>
        </w:rPr>
      </w:pPr>
    </w:p>
    <w:p w14:paraId="7B970DDA" w14:textId="77777777" w:rsidR="00DE7059" w:rsidRPr="00B81DD3" w:rsidRDefault="0047753B" w:rsidP="0093445F">
      <w:pPr>
        <w:spacing w:line="480" w:lineRule="auto"/>
        <w:rPr>
          <w:b/>
        </w:rPr>
      </w:pPr>
      <w:r w:rsidRPr="00B81DD3">
        <w:rPr>
          <w:b/>
        </w:rPr>
        <w:t>10. Describe any assurance of confidentiality provided to respondents and the basis for the assurance in statute, regulation, or agency policy.</w:t>
      </w:r>
    </w:p>
    <w:p w14:paraId="6CFB56AF" w14:textId="77777777" w:rsidR="0093445F" w:rsidRPr="00B81DD3" w:rsidRDefault="0093445F" w:rsidP="0093445F">
      <w:pPr>
        <w:spacing w:line="480" w:lineRule="auto"/>
      </w:pPr>
    </w:p>
    <w:p w14:paraId="01396666" w14:textId="77777777" w:rsidR="001D30B4" w:rsidRPr="00B81DD3" w:rsidRDefault="001D30B4" w:rsidP="0093445F">
      <w:pPr>
        <w:spacing w:line="480" w:lineRule="auto"/>
        <w:contextualSpacing/>
        <w:rPr>
          <w:color w:val="000000"/>
        </w:rPr>
      </w:pPr>
      <w:r w:rsidRPr="00B81DD3">
        <w:rPr>
          <w:color w:val="000000"/>
        </w:rPr>
        <w:t xml:space="preserve">The </w:t>
      </w:r>
      <w:r w:rsidRPr="00B81DD3">
        <w:t>Privacy Act of 1974 requires that before personal identifying information (such as social security numbers) may be shared with other</w:t>
      </w:r>
      <w:r w:rsidRPr="00B81DD3">
        <w:rPr>
          <w:color w:val="000000"/>
        </w:rPr>
        <w:t xml:space="preserve"> entities, a Privacy Act notice must first be published.  Therefore, the Food and Nutrition Service published such a </w:t>
      </w:r>
      <w:r w:rsidR="00A31754" w:rsidRPr="00B81DD3">
        <w:rPr>
          <w:color w:val="000000"/>
        </w:rPr>
        <w:t>System of Record Notice (SORN) on</w:t>
      </w:r>
      <w:r w:rsidRPr="00B81DD3">
        <w:rPr>
          <w:color w:val="000000"/>
        </w:rPr>
        <w:t xml:space="preserve"> March 27, 1998 in the Federal Register Volume 63, Number 59</w:t>
      </w:r>
      <w:r w:rsidR="00F33B12" w:rsidRPr="00B81DD3">
        <w:rPr>
          <w:color w:val="000000"/>
        </w:rPr>
        <w:t>, Page 14894,</w:t>
      </w:r>
      <w:r w:rsidRPr="00B81DD3">
        <w:rPr>
          <w:color w:val="000000"/>
        </w:rPr>
        <w:t xml:space="preserve"> titled </w:t>
      </w:r>
      <w:r w:rsidR="009A1466" w:rsidRPr="00B81DD3">
        <w:rPr>
          <w:color w:val="000000"/>
        </w:rPr>
        <w:t xml:space="preserve">USDA/FNS-3 </w:t>
      </w:r>
      <w:r w:rsidRPr="00B81DD3">
        <w:rPr>
          <w:color w:val="000000"/>
        </w:rPr>
        <w:t>“</w:t>
      </w:r>
      <w:r w:rsidRPr="00B81DD3">
        <w:rPr>
          <w:i/>
          <w:color w:val="000000"/>
        </w:rPr>
        <w:t>Claims Against Food Stamp Recipients</w:t>
      </w:r>
      <w:r w:rsidR="00F33B12" w:rsidRPr="00B81DD3">
        <w:rPr>
          <w:i/>
          <w:color w:val="000000"/>
        </w:rPr>
        <w:t>.</w:t>
      </w:r>
      <w:r w:rsidRPr="00B81DD3">
        <w:rPr>
          <w:i/>
          <w:color w:val="000000"/>
        </w:rPr>
        <w:t xml:space="preserve">” </w:t>
      </w:r>
    </w:p>
    <w:p w14:paraId="1219FD0C" w14:textId="77777777" w:rsidR="001D30B4" w:rsidRPr="00B81DD3" w:rsidRDefault="001D30B4" w:rsidP="0093445F">
      <w:pPr>
        <w:spacing w:line="480" w:lineRule="auto"/>
        <w:contextualSpacing/>
        <w:rPr>
          <w:color w:val="000000"/>
        </w:rPr>
      </w:pPr>
    </w:p>
    <w:p w14:paraId="0A0D6C5D" w14:textId="77777777" w:rsidR="001D30B4" w:rsidRPr="00B81DD3" w:rsidRDefault="006E3F04" w:rsidP="0093445F">
      <w:pPr>
        <w:spacing w:line="480" w:lineRule="auto"/>
        <w:contextualSpacing/>
      </w:pPr>
      <w:r w:rsidRPr="00B81DD3">
        <w:t xml:space="preserve">The </w:t>
      </w:r>
      <w:r w:rsidR="001D30B4" w:rsidRPr="00B81DD3">
        <w:t xml:space="preserve">Food </w:t>
      </w:r>
      <w:r w:rsidR="00223A8B" w:rsidRPr="00B81DD3">
        <w:t>and Nutrition</w:t>
      </w:r>
      <w:r w:rsidR="001D30B4" w:rsidRPr="00B81DD3">
        <w:t xml:space="preserve"> Act</w:t>
      </w:r>
      <w:r w:rsidRPr="00B81DD3">
        <w:t xml:space="preserve"> of 2008</w:t>
      </w:r>
      <w:r w:rsidR="001D30B4" w:rsidRPr="00B81DD3">
        <w:t xml:space="preserve">, Section 11(e)(8) and regulations at 7 CFR 272.1 limit the use or disclosure of information obtained from applicant households to persons directly connected with either the administration or safeguarding the integrity of the </w:t>
      </w:r>
      <w:r w:rsidR="007D0011" w:rsidRPr="00B81DD3">
        <w:t>SNAP</w:t>
      </w:r>
      <w:r w:rsidR="001D30B4" w:rsidRPr="00B81DD3">
        <w:t xml:space="preserve">.  </w:t>
      </w:r>
      <w:r w:rsidR="001D30B4" w:rsidRPr="00B81DD3">
        <w:rPr>
          <w:bCs/>
          <w:iCs/>
          <w:spacing w:val="-3"/>
        </w:rPr>
        <w:t xml:space="preserve">The information will be kept </w:t>
      </w:r>
      <w:r w:rsidR="003D6E4B" w:rsidRPr="00B81DD3">
        <w:rPr>
          <w:bCs/>
          <w:iCs/>
          <w:spacing w:val="-3"/>
        </w:rPr>
        <w:t xml:space="preserve">private; </w:t>
      </w:r>
      <w:r w:rsidR="001D30B4" w:rsidRPr="00B81DD3">
        <w:t xml:space="preserve">the activities covered by this action are to be used by those directly connected with the administration of </w:t>
      </w:r>
      <w:r w:rsidR="007D0011" w:rsidRPr="00B81DD3">
        <w:t>SNAP</w:t>
      </w:r>
      <w:r w:rsidR="003D6E4B" w:rsidRPr="00B81DD3">
        <w:t>.</w:t>
      </w:r>
      <w:r w:rsidR="001D30B4" w:rsidRPr="00B81DD3">
        <w:t xml:space="preserve">  Access to records is limited to those persons who process the records or conduct research in </w:t>
      </w:r>
      <w:r w:rsidR="00DE6015" w:rsidRPr="00B81DD3">
        <w:t>an</w:t>
      </w:r>
      <w:r w:rsidR="001D30B4" w:rsidRPr="00B81DD3">
        <w:t xml:space="preserve"> investigation as stated in this Privacy Act notice</w:t>
      </w:r>
      <w:r w:rsidR="00674C49" w:rsidRPr="00B81DD3">
        <w:t>,</w:t>
      </w:r>
      <w:r w:rsidR="001D30B4" w:rsidRPr="00B81DD3">
        <w:t> </w:t>
      </w:r>
      <w:r w:rsidR="001D30B4" w:rsidRPr="00B81DD3">
        <w:rPr>
          <w:bCs/>
          <w:iCs/>
          <w:spacing w:val="-3"/>
        </w:rPr>
        <w:t>except as otherwise required by law.</w:t>
      </w:r>
    </w:p>
    <w:p w14:paraId="4002D0D6" w14:textId="77777777" w:rsidR="001D30B4" w:rsidRPr="00B81DD3" w:rsidRDefault="001D30B4" w:rsidP="0093445F">
      <w:pPr>
        <w:spacing w:line="480" w:lineRule="auto"/>
      </w:pPr>
    </w:p>
    <w:p w14:paraId="471287E8" w14:textId="77777777" w:rsidR="0073293D" w:rsidRPr="00B81DD3" w:rsidRDefault="001D30B4" w:rsidP="0093445F">
      <w:pPr>
        <w:spacing w:line="480" w:lineRule="auto"/>
        <w:rPr>
          <w:b/>
        </w:rPr>
      </w:pPr>
      <w:r w:rsidRPr="00B81DD3">
        <w:rPr>
          <w:b/>
        </w:rPr>
        <w:t xml:space="preserve">11. </w:t>
      </w:r>
      <w:r w:rsidR="0047753B" w:rsidRPr="00B81DD3">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4C29C5" w:rsidRPr="00B81DD3">
        <w:rPr>
          <w:b/>
        </w:rPr>
        <w:t>.</w:t>
      </w:r>
    </w:p>
    <w:p w14:paraId="2CF4AF7E" w14:textId="77777777" w:rsidR="0093445F" w:rsidRPr="00B81DD3" w:rsidRDefault="0093445F" w:rsidP="0093445F">
      <w:pPr>
        <w:spacing w:line="480" w:lineRule="auto"/>
      </w:pPr>
    </w:p>
    <w:p w14:paraId="41FD30F1" w14:textId="77777777" w:rsidR="001D30B4" w:rsidRDefault="001D30B4" w:rsidP="0093445F">
      <w:pPr>
        <w:spacing w:line="480" w:lineRule="auto"/>
      </w:pPr>
      <w:r w:rsidRPr="00B81DD3">
        <w:t>This information collection does not ask any question of a sensitive nature.</w:t>
      </w:r>
    </w:p>
    <w:p w14:paraId="294B61EC" w14:textId="77777777" w:rsidR="00B81DD3" w:rsidRPr="00B81DD3" w:rsidRDefault="00B81DD3" w:rsidP="0093445F">
      <w:pPr>
        <w:spacing w:line="480" w:lineRule="auto"/>
      </w:pPr>
    </w:p>
    <w:p w14:paraId="4BF86271" w14:textId="77777777" w:rsidR="0093445F" w:rsidRPr="00B81DD3" w:rsidRDefault="0093445F" w:rsidP="0093445F">
      <w:pPr>
        <w:spacing w:line="480" w:lineRule="auto"/>
        <w:rPr>
          <w:b/>
          <w:bCs/>
        </w:rPr>
      </w:pPr>
      <w:r w:rsidRPr="00B81DD3">
        <w:rPr>
          <w:b/>
          <w:bCs/>
        </w:rPr>
        <w:t>12. Provide estimates of the hour burden of the collection of information. Indicate the</w:t>
      </w:r>
    </w:p>
    <w:p w14:paraId="12E55C60" w14:textId="77777777" w:rsidR="0093445F" w:rsidRPr="00B81DD3" w:rsidRDefault="0093445F" w:rsidP="0093445F">
      <w:pPr>
        <w:spacing w:line="480" w:lineRule="auto"/>
        <w:rPr>
          <w:b/>
          <w:bCs/>
        </w:rPr>
      </w:pPr>
      <w:r w:rsidRPr="00B81DD3">
        <w:rPr>
          <w:b/>
          <w:bCs/>
        </w:rPr>
        <w:t>number of respondents, frequency of response, annual hour burden, and an explanation of how the burden was estimated.</w:t>
      </w:r>
    </w:p>
    <w:p w14:paraId="041581C1" w14:textId="77777777" w:rsidR="0093445F" w:rsidRPr="00B81DD3" w:rsidRDefault="0093445F" w:rsidP="0093445F">
      <w:pPr>
        <w:tabs>
          <w:tab w:val="left" w:pos="-720"/>
        </w:tabs>
        <w:suppressAutoHyphens/>
        <w:spacing w:line="480" w:lineRule="auto"/>
        <w:ind w:left="360"/>
      </w:pPr>
    </w:p>
    <w:p w14:paraId="481F8967" w14:textId="77777777" w:rsidR="0093445F" w:rsidRPr="00B81DD3" w:rsidRDefault="0093445F" w:rsidP="0093445F">
      <w:pPr>
        <w:spacing w:line="480" w:lineRule="auto"/>
        <w:rPr>
          <w:b/>
          <w:bCs/>
        </w:rPr>
      </w:pPr>
      <w:r w:rsidRPr="00B81DD3">
        <w:rPr>
          <w:b/>
          <w:bCs/>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CE70869" w14:textId="77777777" w:rsidR="009A1466" w:rsidRPr="00B81DD3" w:rsidRDefault="009A1466" w:rsidP="0093445F">
      <w:pPr>
        <w:spacing w:line="480" w:lineRule="auto"/>
      </w:pPr>
    </w:p>
    <w:p w14:paraId="463A95BC" w14:textId="65F1E0DE" w:rsidR="001D30B4" w:rsidRPr="00B81DD3" w:rsidRDefault="00403361" w:rsidP="0093445F">
      <w:pPr>
        <w:spacing w:line="480" w:lineRule="auto"/>
      </w:pPr>
      <w:r>
        <w:t xml:space="preserve">The overall total burden hours for this data collection activity for reporting and recordkeeping for State agencies and Households is </w:t>
      </w:r>
      <w:r w:rsidR="004B6BEF">
        <w:t>203,587.29</w:t>
      </w:r>
      <w:r>
        <w:t xml:space="preserve"> and the total annual responses are </w:t>
      </w:r>
      <w:r w:rsidR="004B6BEF">
        <w:t>3,051,894.32</w:t>
      </w:r>
      <w:r>
        <w:t xml:space="preserve">.  </w:t>
      </w:r>
      <w:r w:rsidR="00984CDF" w:rsidRPr="00B81DD3">
        <w:t xml:space="preserve">(53) </w:t>
      </w:r>
      <w:r w:rsidR="009A1466" w:rsidRPr="00B81DD3">
        <w:t xml:space="preserve">State Agency </w:t>
      </w:r>
      <w:r w:rsidR="00084A69" w:rsidRPr="00B81DD3">
        <w:t xml:space="preserve">reporting </w:t>
      </w:r>
      <w:r w:rsidR="009A1466" w:rsidRPr="00B81DD3">
        <w:t xml:space="preserve">and </w:t>
      </w:r>
      <w:r w:rsidR="00F77895" w:rsidRPr="00B81DD3">
        <w:t xml:space="preserve">recordkeeping burdens followed by </w:t>
      </w:r>
      <w:r w:rsidR="00984CDF" w:rsidRPr="00B81DD3">
        <w:t>(</w:t>
      </w:r>
      <w:r w:rsidR="004B6BEF">
        <w:t>996,963.00</w:t>
      </w:r>
      <w:r w:rsidR="00984CDF" w:rsidRPr="00B81DD3">
        <w:t xml:space="preserve">) </w:t>
      </w:r>
      <w:r w:rsidR="009A1466" w:rsidRPr="00B81DD3">
        <w:t>household reporting</w:t>
      </w:r>
      <w:r w:rsidR="00F77895" w:rsidRPr="00B81DD3">
        <w:t xml:space="preserve"> burden hours</w:t>
      </w:r>
      <w:r w:rsidR="009A1466" w:rsidRPr="00B81DD3">
        <w:t xml:space="preserve"> are </w:t>
      </w:r>
      <w:r w:rsidR="00F77895" w:rsidRPr="00B81DD3">
        <w:t xml:space="preserve">stated in the narrative and </w:t>
      </w:r>
      <w:r w:rsidR="009A1466" w:rsidRPr="00B81DD3">
        <w:t>separated out in the tables below.</w:t>
      </w:r>
    </w:p>
    <w:p w14:paraId="508F3539" w14:textId="6873B2C3" w:rsidR="00084A69" w:rsidRPr="00B81DD3" w:rsidRDefault="00084A69" w:rsidP="0093445F">
      <w:pPr>
        <w:spacing w:line="480" w:lineRule="auto"/>
      </w:pPr>
      <w:r w:rsidRPr="00B81DD3">
        <w:t xml:space="preserve">State Agencies reporting burden is estimated at </w:t>
      </w:r>
      <w:r w:rsidR="004B6BEF">
        <w:rPr>
          <w:bCs/>
        </w:rPr>
        <w:t>139,312.56</w:t>
      </w:r>
      <w:r w:rsidR="00B76D61" w:rsidRPr="00D34B46">
        <w:rPr>
          <w:bCs/>
        </w:rPr>
        <w:t xml:space="preserve"> </w:t>
      </w:r>
      <w:r w:rsidRPr="00D34B46">
        <w:rPr>
          <w:bCs/>
        </w:rPr>
        <w:t>hours and</w:t>
      </w:r>
      <w:r w:rsidRPr="00D34B46">
        <w:rPr>
          <w:b/>
          <w:bCs/>
        </w:rPr>
        <w:t xml:space="preserve"> </w:t>
      </w:r>
      <w:r w:rsidR="00963CFC" w:rsidRPr="00D34B46">
        <w:t>1,083,671.320</w:t>
      </w:r>
      <w:r w:rsidRPr="00D34B46">
        <w:t xml:space="preserve"> total annual responses.  The recordkeeping burden estimates for State Agencies is </w:t>
      </w:r>
      <w:r w:rsidR="004B6BEF">
        <w:t>32,440.08</w:t>
      </w:r>
      <w:r w:rsidRPr="00D34B46">
        <w:t xml:space="preserve"> and the total annual responses are estimated at </w:t>
      </w:r>
      <w:r w:rsidR="00963CFC" w:rsidRPr="00DC7D27">
        <w:t>971,260.000</w:t>
      </w:r>
      <w:r w:rsidRPr="00DC7D27">
        <w:t>. The household</w:t>
      </w:r>
      <w:r w:rsidR="00403361" w:rsidRPr="00DC7D27">
        <w:t xml:space="preserve"> </w:t>
      </w:r>
      <w:r w:rsidR="00213B52">
        <w:t xml:space="preserve">reporting burden of </w:t>
      </w:r>
      <w:r w:rsidR="004B6BEF">
        <w:t>31,834.64</w:t>
      </w:r>
      <w:r w:rsidR="00A72AF8" w:rsidRPr="00D34B46">
        <w:t xml:space="preserve"> </w:t>
      </w:r>
      <w:r w:rsidR="004B6BEF" w:rsidRPr="00D34B46">
        <w:t>hours and</w:t>
      </w:r>
      <w:r w:rsidR="00A72AF8" w:rsidRPr="00D34B46">
        <w:t xml:space="preserve"> </w:t>
      </w:r>
      <w:r w:rsidR="004B6BEF">
        <w:t>996,963.00</w:t>
      </w:r>
      <w:r w:rsidR="00A72AF8" w:rsidRPr="00D34B46">
        <w:t xml:space="preserve"> total annual responses </w:t>
      </w:r>
      <w:r w:rsidRPr="00D34B46">
        <w:t>are stated in</w:t>
      </w:r>
      <w:r w:rsidRPr="00B81DD3">
        <w:t xml:space="preserve"> the narrative</w:t>
      </w:r>
      <w:r w:rsidR="009304FA">
        <w:t xml:space="preserve"> (A</w:t>
      </w:r>
      <w:r w:rsidR="00965D3F">
        <w:t>ppendix</w:t>
      </w:r>
      <w:r w:rsidR="008D3ADA">
        <w:t xml:space="preserve"> 3</w:t>
      </w:r>
      <w:r w:rsidR="009304FA">
        <w:t>)</w:t>
      </w:r>
      <w:r w:rsidRPr="00B81DD3">
        <w:t xml:space="preserve"> and separated out in the tables below</w:t>
      </w:r>
      <w:r w:rsidR="00A72AF8" w:rsidRPr="00B81DD3">
        <w:t>:</w:t>
      </w:r>
    </w:p>
    <w:p w14:paraId="20F9A313" w14:textId="77777777" w:rsidR="00084A69" w:rsidRPr="00B81DD3" w:rsidRDefault="00084A69" w:rsidP="00984CDF">
      <w:pPr>
        <w:rPr>
          <w:b/>
          <w:u w:val="single"/>
        </w:rPr>
      </w:pPr>
    </w:p>
    <w:p w14:paraId="23F1E1CD" w14:textId="77777777" w:rsidR="00615D81" w:rsidRDefault="00615D81" w:rsidP="00984CDF">
      <w:pPr>
        <w:rPr>
          <w:b/>
        </w:rPr>
        <w:sectPr w:rsidR="00615D81" w:rsidSect="00615D81">
          <w:footerReference w:type="even" r:id="rId9"/>
          <w:footerReference w:type="default" r:id="rId10"/>
          <w:pgSz w:w="12240" w:h="15840"/>
          <w:pgMar w:top="1440" w:right="1440" w:bottom="1440" w:left="1800" w:header="720" w:footer="720" w:gutter="0"/>
          <w:cols w:space="720"/>
          <w:titlePg/>
          <w:docGrid w:linePitch="360"/>
        </w:sectPr>
      </w:pPr>
    </w:p>
    <w:p w14:paraId="11703D68" w14:textId="77777777" w:rsidR="00084A69" w:rsidRDefault="00084A69" w:rsidP="00984CDF">
      <w:pPr>
        <w:rPr>
          <w:b/>
        </w:rPr>
      </w:pPr>
    </w:p>
    <w:p w14:paraId="19F080A5" w14:textId="77777777" w:rsidR="00984CDF" w:rsidRDefault="00984CDF" w:rsidP="00984CDF">
      <w:pPr>
        <w:rPr>
          <w:b/>
        </w:rPr>
      </w:pPr>
      <w:r>
        <w:rPr>
          <w:b/>
        </w:rPr>
        <w:t xml:space="preserve">Table A. 12.1 Reporting and Recordkeeping Burden Hour Estimates </w:t>
      </w:r>
    </w:p>
    <w:p w14:paraId="3A8406D2" w14:textId="77777777" w:rsidR="00763C69" w:rsidRDefault="00763C69" w:rsidP="00984CDF">
      <w:pPr>
        <w:rPr>
          <w:b/>
        </w:rPr>
      </w:pPr>
    </w:p>
    <w:p w14:paraId="760667B3" w14:textId="77777777" w:rsidR="00763C69" w:rsidRDefault="00763C69" w:rsidP="00984CDF">
      <w:pPr>
        <w:rPr>
          <w:b/>
        </w:rPr>
      </w:pPr>
    </w:p>
    <w:tbl>
      <w:tblPr>
        <w:tblStyle w:val="TableGrid"/>
        <w:tblW w:w="0" w:type="auto"/>
        <w:tblLook w:val="04A0" w:firstRow="1" w:lastRow="0" w:firstColumn="1" w:lastColumn="0" w:noHBand="0" w:noVBand="1"/>
      </w:tblPr>
      <w:tblGrid>
        <w:gridCol w:w="3127"/>
        <w:gridCol w:w="1702"/>
        <w:gridCol w:w="1691"/>
        <w:gridCol w:w="1619"/>
        <w:gridCol w:w="2035"/>
        <w:gridCol w:w="1501"/>
        <w:gridCol w:w="1501"/>
      </w:tblGrid>
      <w:tr w:rsidR="008974D6" w:rsidRPr="008974D6" w14:paraId="29900D8E" w14:textId="77777777" w:rsidTr="008974D6">
        <w:trPr>
          <w:trHeight w:val="1692"/>
        </w:trPr>
        <w:tc>
          <w:tcPr>
            <w:tcW w:w="5120" w:type="dxa"/>
            <w:noWrap/>
            <w:hideMark/>
          </w:tcPr>
          <w:p w14:paraId="31178401" w14:textId="77777777" w:rsidR="008974D6" w:rsidRPr="008974D6" w:rsidRDefault="008974D6">
            <w:pPr>
              <w:rPr>
                <w:b/>
                <w:bCs/>
              </w:rPr>
            </w:pPr>
            <w:bookmarkStart w:id="3" w:name="RANGE!A1:G34"/>
            <w:r w:rsidRPr="008974D6">
              <w:rPr>
                <w:b/>
                <w:bCs/>
              </w:rPr>
              <w:t>Title</w:t>
            </w:r>
            <w:bookmarkEnd w:id="3"/>
          </w:p>
        </w:tc>
        <w:tc>
          <w:tcPr>
            <w:tcW w:w="2720" w:type="dxa"/>
            <w:hideMark/>
          </w:tcPr>
          <w:p w14:paraId="6E2FEA9C" w14:textId="77777777" w:rsidR="008974D6" w:rsidRPr="008974D6" w:rsidRDefault="008974D6">
            <w:pPr>
              <w:rPr>
                <w:b/>
                <w:bCs/>
              </w:rPr>
            </w:pPr>
            <w:r w:rsidRPr="008974D6">
              <w:rPr>
                <w:b/>
                <w:bCs/>
              </w:rPr>
              <w:t>CFR Section of Regulations</w:t>
            </w:r>
          </w:p>
        </w:tc>
        <w:tc>
          <w:tcPr>
            <w:tcW w:w="2700" w:type="dxa"/>
            <w:hideMark/>
          </w:tcPr>
          <w:p w14:paraId="3F48511E" w14:textId="77777777" w:rsidR="008974D6" w:rsidRPr="008974D6" w:rsidRDefault="008974D6">
            <w:pPr>
              <w:rPr>
                <w:b/>
                <w:bCs/>
              </w:rPr>
            </w:pPr>
            <w:r w:rsidRPr="008974D6">
              <w:rPr>
                <w:b/>
                <w:bCs/>
              </w:rPr>
              <w:t>Estimated # Respondents</w:t>
            </w:r>
          </w:p>
        </w:tc>
        <w:tc>
          <w:tcPr>
            <w:tcW w:w="2580" w:type="dxa"/>
            <w:hideMark/>
          </w:tcPr>
          <w:p w14:paraId="545CBBB2" w14:textId="77777777" w:rsidR="008974D6" w:rsidRPr="008974D6" w:rsidRDefault="008974D6">
            <w:pPr>
              <w:rPr>
                <w:b/>
                <w:bCs/>
              </w:rPr>
            </w:pPr>
            <w:r w:rsidRPr="008974D6">
              <w:rPr>
                <w:b/>
                <w:bCs/>
              </w:rPr>
              <w:t>Responses Per Respondent</w:t>
            </w:r>
          </w:p>
        </w:tc>
        <w:tc>
          <w:tcPr>
            <w:tcW w:w="3280" w:type="dxa"/>
            <w:hideMark/>
          </w:tcPr>
          <w:p w14:paraId="049986AA" w14:textId="77777777" w:rsidR="008974D6" w:rsidRPr="008974D6" w:rsidRDefault="008974D6">
            <w:pPr>
              <w:rPr>
                <w:b/>
                <w:bCs/>
              </w:rPr>
            </w:pPr>
            <w:r w:rsidRPr="008974D6">
              <w:rPr>
                <w:b/>
                <w:bCs/>
              </w:rPr>
              <w:t>Total Annual Responses</w:t>
            </w:r>
          </w:p>
        </w:tc>
        <w:tc>
          <w:tcPr>
            <w:tcW w:w="2380" w:type="dxa"/>
            <w:hideMark/>
          </w:tcPr>
          <w:p w14:paraId="10CFE9EC" w14:textId="77777777" w:rsidR="008974D6" w:rsidRPr="008974D6" w:rsidRDefault="008974D6">
            <w:pPr>
              <w:rPr>
                <w:b/>
                <w:bCs/>
              </w:rPr>
            </w:pPr>
            <w:r w:rsidRPr="008974D6">
              <w:rPr>
                <w:b/>
                <w:bCs/>
              </w:rPr>
              <w:t>Estimated Avg. # of Hours Per Response</w:t>
            </w:r>
          </w:p>
        </w:tc>
        <w:tc>
          <w:tcPr>
            <w:tcW w:w="2380" w:type="dxa"/>
            <w:hideMark/>
          </w:tcPr>
          <w:p w14:paraId="134DC520" w14:textId="77777777" w:rsidR="008974D6" w:rsidRPr="008974D6" w:rsidRDefault="008974D6">
            <w:pPr>
              <w:rPr>
                <w:b/>
                <w:bCs/>
              </w:rPr>
            </w:pPr>
            <w:r w:rsidRPr="008974D6">
              <w:rPr>
                <w:b/>
                <w:bCs/>
              </w:rPr>
              <w:t xml:space="preserve">Estimated Total Hours   </w:t>
            </w:r>
          </w:p>
        </w:tc>
      </w:tr>
      <w:tr w:rsidR="008974D6" w:rsidRPr="008974D6" w14:paraId="33E05302" w14:textId="77777777" w:rsidTr="008974D6">
        <w:trPr>
          <w:trHeight w:val="420"/>
        </w:trPr>
        <w:tc>
          <w:tcPr>
            <w:tcW w:w="21160" w:type="dxa"/>
            <w:gridSpan w:val="7"/>
            <w:noWrap/>
            <w:hideMark/>
          </w:tcPr>
          <w:p w14:paraId="1664CB84" w14:textId="77777777" w:rsidR="008974D6" w:rsidRPr="008974D6" w:rsidRDefault="008974D6" w:rsidP="008974D6">
            <w:pPr>
              <w:rPr>
                <w:b/>
                <w:bCs/>
              </w:rPr>
            </w:pPr>
            <w:r w:rsidRPr="008974D6">
              <w:rPr>
                <w:b/>
                <w:bCs/>
              </w:rPr>
              <w:t>STATE AGENCY</w:t>
            </w:r>
          </w:p>
        </w:tc>
      </w:tr>
      <w:tr w:rsidR="008974D6" w:rsidRPr="008974D6" w14:paraId="244F4F61" w14:textId="77777777" w:rsidTr="008974D6">
        <w:trPr>
          <w:trHeight w:val="1104"/>
        </w:trPr>
        <w:tc>
          <w:tcPr>
            <w:tcW w:w="21160" w:type="dxa"/>
            <w:gridSpan w:val="7"/>
            <w:noWrap/>
            <w:hideMark/>
          </w:tcPr>
          <w:p w14:paraId="3FDD3537" w14:textId="77777777" w:rsidR="008974D6" w:rsidRPr="008974D6" w:rsidRDefault="008974D6" w:rsidP="008974D6">
            <w:pPr>
              <w:rPr>
                <w:b/>
                <w:bCs/>
              </w:rPr>
            </w:pPr>
            <w:r w:rsidRPr="008974D6">
              <w:rPr>
                <w:b/>
                <w:bCs/>
              </w:rPr>
              <w:t>Reporting Burden</w:t>
            </w:r>
          </w:p>
        </w:tc>
      </w:tr>
      <w:tr w:rsidR="008974D6" w:rsidRPr="008974D6" w14:paraId="0B78062D" w14:textId="77777777" w:rsidTr="008974D6">
        <w:trPr>
          <w:trHeight w:val="1155"/>
        </w:trPr>
        <w:tc>
          <w:tcPr>
            <w:tcW w:w="5120" w:type="dxa"/>
            <w:hideMark/>
          </w:tcPr>
          <w:p w14:paraId="11A51242" w14:textId="77777777" w:rsidR="008974D6" w:rsidRPr="008974D6" w:rsidRDefault="008974D6">
            <w:r w:rsidRPr="008974D6">
              <w:t>Demand Letter for Overissuance</w:t>
            </w:r>
          </w:p>
        </w:tc>
        <w:tc>
          <w:tcPr>
            <w:tcW w:w="2720" w:type="dxa"/>
            <w:hideMark/>
          </w:tcPr>
          <w:p w14:paraId="04BA3589" w14:textId="77777777" w:rsidR="008974D6" w:rsidRPr="008974D6" w:rsidRDefault="008974D6">
            <w:r w:rsidRPr="008974D6">
              <w:t>273.18(a)(2)</w:t>
            </w:r>
          </w:p>
        </w:tc>
        <w:tc>
          <w:tcPr>
            <w:tcW w:w="2700" w:type="dxa"/>
            <w:noWrap/>
            <w:hideMark/>
          </w:tcPr>
          <w:p w14:paraId="76A48E26" w14:textId="77777777" w:rsidR="008974D6" w:rsidRPr="008974D6" w:rsidRDefault="008974D6">
            <w:r w:rsidRPr="008974D6">
              <w:t>53</w:t>
            </w:r>
          </w:p>
        </w:tc>
        <w:tc>
          <w:tcPr>
            <w:tcW w:w="2580" w:type="dxa"/>
            <w:noWrap/>
            <w:hideMark/>
          </w:tcPr>
          <w:p w14:paraId="21EE4FA7" w14:textId="77777777" w:rsidR="008974D6" w:rsidRPr="008974D6" w:rsidRDefault="008974D6">
            <w:r w:rsidRPr="008974D6">
              <w:t>16,688.98</w:t>
            </w:r>
          </w:p>
        </w:tc>
        <w:tc>
          <w:tcPr>
            <w:tcW w:w="3280" w:type="dxa"/>
            <w:noWrap/>
            <w:hideMark/>
          </w:tcPr>
          <w:p w14:paraId="4E727948" w14:textId="77777777" w:rsidR="008974D6" w:rsidRPr="008974D6" w:rsidRDefault="008974D6">
            <w:r w:rsidRPr="008974D6">
              <w:t>884,516.00</w:t>
            </w:r>
          </w:p>
        </w:tc>
        <w:tc>
          <w:tcPr>
            <w:tcW w:w="2380" w:type="dxa"/>
            <w:noWrap/>
            <w:hideMark/>
          </w:tcPr>
          <w:p w14:paraId="18A3A12A" w14:textId="77777777" w:rsidR="008974D6" w:rsidRPr="008974D6" w:rsidRDefault="008974D6">
            <w:r w:rsidRPr="008974D6">
              <w:t>0.1336</w:t>
            </w:r>
          </w:p>
        </w:tc>
        <w:tc>
          <w:tcPr>
            <w:tcW w:w="2380" w:type="dxa"/>
            <w:noWrap/>
            <w:hideMark/>
          </w:tcPr>
          <w:p w14:paraId="586A9236" w14:textId="77777777" w:rsidR="008974D6" w:rsidRPr="008974D6" w:rsidRDefault="008974D6">
            <w:r w:rsidRPr="008974D6">
              <w:t>118,171.34</w:t>
            </w:r>
          </w:p>
        </w:tc>
      </w:tr>
      <w:tr w:rsidR="008974D6" w:rsidRPr="008974D6" w14:paraId="133BFE19" w14:textId="77777777" w:rsidTr="008974D6">
        <w:trPr>
          <w:trHeight w:val="816"/>
        </w:trPr>
        <w:tc>
          <w:tcPr>
            <w:tcW w:w="5120" w:type="dxa"/>
            <w:hideMark/>
          </w:tcPr>
          <w:p w14:paraId="169196AF" w14:textId="77777777" w:rsidR="008974D6" w:rsidRPr="008974D6" w:rsidRDefault="008974D6">
            <w:r w:rsidRPr="008974D6">
              <w:t>Notice for Hearing or Prosecution</w:t>
            </w:r>
          </w:p>
        </w:tc>
        <w:tc>
          <w:tcPr>
            <w:tcW w:w="2720" w:type="dxa"/>
            <w:hideMark/>
          </w:tcPr>
          <w:p w14:paraId="6A4E831A" w14:textId="77777777" w:rsidR="008974D6" w:rsidRPr="008974D6" w:rsidRDefault="008974D6">
            <w:r w:rsidRPr="008974D6">
              <w:t>273.16(e)(3)</w:t>
            </w:r>
          </w:p>
        </w:tc>
        <w:tc>
          <w:tcPr>
            <w:tcW w:w="2700" w:type="dxa"/>
            <w:noWrap/>
            <w:hideMark/>
          </w:tcPr>
          <w:p w14:paraId="610859E1" w14:textId="77777777" w:rsidR="008974D6" w:rsidRPr="008974D6" w:rsidRDefault="008974D6">
            <w:r w:rsidRPr="008974D6">
              <w:t>53</w:t>
            </w:r>
          </w:p>
        </w:tc>
        <w:tc>
          <w:tcPr>
            <w:tcW w:w="2580" w:type="dxa"/>
            <w:noWrap/>
            <w:hideMark/>
          </w:tcPr>
          <w:p w14:paraId="186CF9FD" w14:textId="77777777" w:rsidR="008974D6" w:rsidRPr="008974D6" w:rsidRDefault="008974D6">
            <w:r w:rsidRPr="008974D6">
              <w:t>825.34</w:t>
            </w:r>
          </w:p>
        </w:tc>
        <w:tc>
          <w:tcPr>
            <w:tcW w:w="3280" w:type="dxa"/>
            <w:noWrap/>
            <w:hideMark/>
          </w:tcPr>
          <w:p w14:paraId="27BF0BF2" w14:textId="77777777" w:rsidR="008974D6" w:rsidRPr="008974D6" w:rsidRDefault="008974D6">
            <w:r w:rsidRPr="008974D6">
              <w:t>40,230.00</w:t>
            </w:r>
          </w:p>
        </w:tc>
        <w:tc>
          <w:tcPr>
            <w:tcW w:w="2380" w:type="dxa"/>
            <w:noWrap/>
            <w:hideMark/>
          </w:tcPr>
          <w:p w14:paraId="6739FCC2" w14:textId="77777777" w:rsidR="008974D6" w:rsidRPr="008974D6" w:rsidRDefault="008974D6">
            <w:r w:rsidRPr="008974D6">
              <w:t>0.1336</w:t>
            </w:r>
          </w:p>
        </w:tc>
        <w:tc>
          <w:tcPr>
            <w:tcW w:w="2380" w:type="dxa"/>
            <w:noWrap/>
            <w:hideMark/>
          </w:tcPr>
          <w:p w14:paraId="36A28102" w14:textId="77777777" w:rsidR="008974D6" w:rsidRPr="008974D6" w:rsidRDefault="008974D6">
            <w:r w:rsidRPr="008974D6">
              <w:t>5,374.73</w:t>
            </w:r>
          </w:p>
        </w:tc>
      </w:tr>
      <w:tr w:rsidR="008974D6" w:rsidRPr="008974D6" w14:paraId="03B6D361" w14:textId="77777777" w:rsidTr="008974D6">
        <w:trPr>
          <w:trHeight w:val="1248"/>
        </w:trPr>
        <w:tc>
          <w:tcPr>
            <w:tcW w:w="5120" w:type="dxa"/>
            <w:hideMark/>
          </w:tcPr>
          <w:p w14:paraId="7F8FCCC9" w14:textId="77777777" w:rsidR="008974D6" w:rsidRPr="008974D6" w:rsidRDefault="008974D6">
            <w:pPr>
              <w:rPr>
                <w:i/>
                <w:iCs/>
              </w:rPr>
            </w:pPr>
            <w:r w:rsidRPr="008974D6">
              <w:rPr>
                <w:i/>
                <w:iCs/>
              </w:rPr>
              <w:t xml:space="preserve">Action Taken on Hearing or Court Decision: </w:t>
            </w:r>
            <w:r w:rsidRPr="008974D6">
              <w:t xml:space="preserve"> </w:t>
            </w:r>
            <w:r w:rsidRPr="008974D6">
              <w:rPr>
                <w:b/>
                <w:bCs/>
              </w:rPr>
              <w:t>For IPV Findings</w:t>
            </w:r>
          </w:p>
        </w:tc>
        <w:tc>
          <w:tcPr>
            <w:tcW w:w="2720" w:type="dxa"/>
            <w:hideMark/>
          </w:tcPr>
          <w:p w14:paraId="4AB034B4" w14:textId="77777777" w:rsidR="008974D6" w:rsidRPr="008974D6" w:rsidRDefault="008974D6">
            <w:r w:rsidRPr="008974D6">
              <w:t>273.16(e)(9)</w:t>
            </w:r>
          </w:p>
        </w:tc>
        <w:tc>
          <w:tcPr>
            <w:tcW w:w="2700" w:type="dxa"/>
            <w:noWrap/>
            <w:hideMark/>
          </w:tcPr>
          <w:p w14:paraId="64E2B6A1" w14:textId="77777777" w:rsidR="008974D6" w:rsidRPr="008974D6" w:rsidRDefault="008974D6">
            <w:r w:rsidRPr="008974D6">
              <w:t>53</w:t>
            </w:r>
          </w:p>
        </w:tc>
        <w:tc>
          <w:tcPr>
            <w:tcW w:w="2580" w:type="dxa"/>
            <w:noWrap/>
            <w:hideMark/>
          </w:tcPr>
          <w:p w14:paraId="68852523" w14:textId="77777777" w:rsidR="008974D6" w:rsidRPr="008974D6" w:rsidRDefault="008974D6">
            <w:r w:rsidRPr="008974D6">
              <w:t>759.05</w:t>
            </w:r>
          </w:p>
        </w:tc>
        <w:tc>
          <w:tcPr>
            <w:tcW w:w="3280" w:type="dxa"/>
            <w:noWrap/>
            <w:hideMark/>
          </w:tcPr>
          <w:p w14:paraId="56EEAA12" w14:textId="77777777" w:rsidR="008974D6" w:rsidRPr="008974D6" w:rsidRDefault="008974D6">
            <w:r w:rsidRPr="008974D6">
              <w:t>46,514.00</w:t>
            </w:r>
          </w:p>
        </w:tc>
        <w:tc>
          <w:tcPr>
            <w:tcW w:w="2380" w:type="dxa"/>
            <w:noWrap/>
            <w:hideMark/>
          </w:tcPr>
          <w:p w14:paraId="1CFF6622" w14:textId="77777777" w:rsidR="008974D6" w:rsidRPr="008974D6" w:rsidRDefault="008974D6">
            <w:r w:rsidRPr="008974D6">
              <w:t>0.1667</w:t>
            </w:r>
          </w:p>
        </w:tc>
        <w:tc>
          <w:tcPr>
            <w:tcW w:w="2380" w:type="dxa"/>
            <w:noWrap/>
            <w:hideMark/>
          </w:tcPr>
          <w:p w14:paraId="0CFDE7EB" w14:textId="77777777" w:rsidR="008974D6" w:rsidRPr="008974D6" w:rsidRDefault="008974D6">
            <w:r w:rsidRPr="008974D6">
              <w:t>7,752.49</w:t>
            </w:r>
          </w:p>
        </w:tc>
      </w:tr>
      <w:tr w:rsidR="008974D6" w:rsidRPr="008974D6" w14:paraId="03EDBA93" w14:textId="77777777" w:rsidTr="008974D6">
        <w:trPr>
          <w:trHeight w:val="1248"/>
        </w:trPr>
        <w:tc>
          <w:tcPr>
            <w:tcW w:w="5120" w:type="dxa"/>
            <w:hideMark/>
          </w:tcPr>
          <w:p w14:paraId="17D7DBC6" w14:textId="77777777" w:rsidR="008974D6" w:rsidRPr="008974D6" w:rsidRDefault="008974D6">
            <w:pPr>
              <w:rPr>
                <w:i/>
                <w:iCs/>
              </w:rPr>
            </w:pPr>
            <w:r w:rsidRPr="008974D6">
              <w:rPr>
                <w:i/>
                <w:iCs/>
              </w:rPr>
              <w:t xml:space="preserve">Action Taken on Hearing or Court Decision: </w:t>
            </w:r>
            <w:r w:rsidRPr="008974D6">
              <w:t xml:space="preserve"> </w:t>
            </w:r>
            <w:r w:rsidRPr="008974D6">
              <w:rPr>
                <w:b/>
                <w:bCs/>
              </w:rPr>
              <w:t>For No IPV Findings</w:t>
            </w:r>
          </w:p>
        </w:tc>
        <w:tc>
          <w:tcPr>
            <w:tcW w:w="2720" w:type="dxa"/>
            <w:hideMark/>
          </w:tcPr>
          <w:p w14:paraId="4F1702DC" w14:textId="77777777" w:rsidR="008974D6" w:rsidRPr="008974D6" w:rsidRDefault="008974D6">
            <w:r w:rsidRPr="008974D6">
              <w:t>273.16(e)(9)</w:t>
            </w:r>
          </w:p>
        </w:tc>
        <w:tc>
          <w:tcPr>
            <w:tcW w:w="2700" w:type="dxa"/>
            <w:noWrap/>
            <w:hideMark/>
          </w:tcPr>
          <w:p w14:paraId="40D59A26" w14:textId="77777777" w:rsidR="008974D6" w:rsidRPr="008974D6" w:rsidRDefault="008974D6">
            <w:r w:rsidRPr="008974D6">
              <w:t>53</w:t>
            </w:r>
          </w:p>
        </w:tc>
        <w:tc>
          <w:tcPr>
            <w:tcW w:w="2580" w:type="dxa"/>
            <w:noWrap/>
            <w:hideMark/>
          </w:tcPr>
          <w:p w14:paraId="5D8770AE" w14:textId="77777777" w:rsidR="008974D6" w:rsidRPr="008974D6" w:rsidRDefault="008974D6">
            <w:r w:rsidRPr="008974D6">
              <w:t>24.64</w:t>
            </w:r>
          </w:p>
        </w:tc>
        <w:tc>
          <w:tcPr>
            <w:tcW w:w="3280" w:type="dxa"/>
            <w:noWrap/>
            <w:hideMark/>
          </w:tcPr>
          <w:p w14:paraId="2FFAAAFD" w14:textId="77777777" w:rsidR="008974D6" w:rsidRPr="008974D6" w:rsidRDefault="008974D6">
            <w:r w:rsidRPr="008974D6">
              <w:t>1,541.00</w:t>
            </w:r>
          </w:p>
        </w:tc>
        <w:tc>
          <w:tcPr>
            <w:tcW w:w="2380" w:type="dxa"/>
            <w:noWrap/>
            <w:hideMark/>
          </w:tcPr>
          <w:p w14:paraId="3E7E7557" w14:textId="77777777" w:rsidR="008974D6" w:rsidRPr="008974D6" w:rsidRDefault="008974D6">
            <w:r w:rsidRPr="008974D6">
              <w:t>0.0835</w:t>
            </w:r>
          </w:p>
        </w:tc>
        <w:tc>
          <w:tcPr>
            <w:tcW w:w="2380" w:type="dxa"/>
            <w:noWrap/>
            <w:hideMark/>
          </w:tcPr>
          <w:p w14:paraId="146864BF" w14:textId="77777777" w:rsidR="008974D6" w:rsidRPr="008974D6" w:rsidRDefault="008974D6">
            <w:r w:rsidRPr="008974D6">
              <w:t>128.67</w:t>
            </w:r>
          </w:p>
        </w:tc>
      </w:tr>
      <w:tr w:rsidR="008974D6" w:rsidRPr="008974D6" w14:paraId="3F33F97B" w14:textId="77777777" w:rsidTr="008974D6">
        <w:trPr>
          <w:trHeight w:val="1236"/>
        </w:trPr>
        <w:tc>
          <w:tcPr>
            <w:tcW w:w="5120" w:type="dxa"/>
            <w:hideMark/>
          </w:tcPr>
          <w:p w14:paraId="521B3BF2" w14:textId="77777777" w:rsidR="008974D6" w:rsidRPr="008974D6" w:rsidRDefault="008974D6">
            <w:pPr>
              <w:rPr>
                <w:i/>
                <w:iCs/>
              </w:rPr>
            </w:pPr>
            <w:r w:rsidRPr="008974D6">
              <w:rPr>
                <w:i/>
                <w:iCs/>
              </w:rPr>
              <w:t xml:space="preserve">Electronic Disqualified Recipient System Breakout:  </w:t>
            </w:r>
            <w:r w:rsidRPr="008974D6">
              <w:rPr>
                <w:b/>
                <w:bCs/>
              </w:rPr>
              <w:t>For eDRS Reporting</w:t>
            </w:r>
          </w:p>
        </w:tc>
        <w:tc>
          <w:tcPr>
            <w:tcW w:w="2720" w:type="dxa"/>
            <w:hideMark/>
          </w:tcPr>
          <w:p w14:paraId="79D782A2" w14:textId="77777777" w:rsidR="008974D6" w:rsidRPr="008974D6" w:rsidRDefault="008974D6">
            <w:r w:rsidRPr="008974D6">
              <w:t>273.16(i)(2)(i)</w:t>
            </w:r>
          </w:p>
        </w:tc>
        <w:tc>
          <w:tcPr>
            <w:tcW w:w="2700" w:type="dxa"/>
            <w:noWrap/>
            <w:hideMark/>
          </w:tcPr>
          <w:p w14:paraId="5BBB8B3E" w14:textId="77777777" w:rsidR="008974D6" w:rsidRPr="008974D6" w:rsidRDefault="008974D6">
            <w:r w:rsidRPr="008974D6">
              <w:t>53</w:t>
            </w:r>
          </w:p>
        </w:tc>
        <w:tc>
          <w:tcPr>
            <w:tcW w:w="2580" w:type="dxa"/>
            <w:noWrap/>
            <w:hideMark/>
          </w:tcPr>
          <w:p w14:paraId="44D9B63F" w14:textId="77777777" w:rsidR="008974D6" w:rsidRPr="008974D6" w:rsidRDefault="008974D6">
            <w:r w:rsidRPr="008974D6">
              <w:t>877.62</w:t>
            </w:r>
          </w:p>
        </w:tc>
        <w:tc>
          <w:tcPr>
            <w:tcW w:w="3280" w:type="dxa"/>
            <w:noWrap/>
            <w:hideMark/>
          </w:tcPr>
          <w:p w14:paraId="6F3157DD" w14:textId="77777777" w:rsidR="008974D6" w:rsidRPr="008974D6" w:rsidRDefault="008974D6">
            <w:r w:rsidRPr="008974D6">
              <w:t>57,461.00</w:t>
            </w:r>
          </w:p>
        </w:tc>
        <w:tc>
          <w:tcPr>
            <w:tcW w:w="2380" w:type="dxa"/>
            <w:noWrap/>
            <w:hideMark/>
          </w:tcPr>
          <w:p w14:paraId="5304B657" w14:textId="77777777" w:rsidR="008974D6" w:rsidRPr="008974D6" w:rsidRDefault="008974D6">
            <w:r w:rsidRPr="008974D6">
              <w:t>0.0835</w:t>
            </w:r>
          </w:p>
        </w:tc>
        <w:tc>
          <w:tcPr>
            <w:tcW w:w="2380" w:type="dxa"/>
            <w:noWrap/>
            <w:hideMark/>
          </w:tcPr>
          <w:p w14:paraId="76D40796" w14:textId="77777777" w:rsidR="008974D6" w:rsidRPr="008974D6" w:rsidRDefault="008974D6">
            <w:r w:rsidRPr="008974D6">
              <w:t>4,797.99</w:t>
            </w:r>
          </w:p>
        </w:tc>
      </w:tr>
      <w:tr w:rsidR="008974D6" w:rsidRPr="008974D6" w14:paraId="184C3854" w14:textId="77777777" w:rsidTr="008974D6">
        <w:trPr>
          <w:trHeight w:val="1656"/>
        </w:trPr>
        <w:tc>
          <w:tcPr>
            <w:tcW w:w="5120" w:type="dxa"/>
            <w:hideMark/>
          </w:tcPr>
          <w:p w14:paraId="47F6C46A" w14:textId="77777777" w:rsidR="008974D6" w:rsidRPr="008974D6" w:rsidRDefault="008974D6">
            <w:pPr>
              <w:rPr>
                <w:i/>
                <w:iCs/>
              </w:rPr>
            </w:pPr>
            <w:r w:rsidRPr="008974D6">
              <w:rPr>
                <w:i/>
                <w:iCs/>
              </w:rPr>
              <w:t xml:space="preserve">Electronic Disqualified Recipient System Breakout: </w:t>
            </w:r>
            <w:r w:rsidRPr="008974D6">
              <w:t xml:space="preserve"> </w:t>
            </w:r>
            <w:r w:rsidRPr="008974D6">
              <w:rPr>
                <w:b/>
                <w:bCs/>
              </w:rPr>
              <w:t>For Editing and Resubmission</w:t>
            </w:r>
          </w:p>
        </w:tc>
        <w:tc>
          <w:tcPr>
            <w:tcW w:w="2720" w:type="dxa"/>
            <w:hideMark/>
          </w:tcPr>
          <w:p w14:paraId="60DA0374" w14:textId="77777777" w:rsidR="008974D6" w:rsidRPr="008974D6" w:rsidRDefault="008974D6">
            <w:r w:rsidRPr="008974D6">
              <w:t>272.1(f)(3)</w:t>
            </w:r>
          </w:p>
        </w:tc>
        <w:tc>
          <w:tcPr>
            <w:tcW w:w="2700" w:type="dxa"/>
            <w:noWrap/>
            <w:hideMark/>
          </w:tcPr>
          <w:p w14:paraId="26C35707" w14:textId="77777777" w:rsidR="008974D6" w:rsidRPr="008974D6" w:rsidRDefault="008974D6">
            <w:r w:rsidRPr="008974D6">
              <w:t>53</w:t>
            </w:r>
          </w:p>
        </w:tc>
        <w:tc>
          <w:tcPr>
            <w:tcW w:w="2580" w:type="dxa"/>
            <w:noWrap/>
            <w:hideMark/>
          </w:tcPr>
          <w:p w14:paraId="2EEE71E0" w14:textId="77777777" w:rsidR="008974D6" w:rsidRPr="008974D6" w:rsidRDefault="008974D6">
            <w:r w:rsidRPr="008974D6">
              <w:t>96.08</w:t>
            </w:r>
          </w:p>
        </w:tc>
        <w:tc>
          <w:tcPr>
            <w:tcW w:w="3280" w:type="dxa"/>
            <w:noWrap/>
            <w:hideMark/>
          </w:tcPr>
          <w:p w14:paraId="0C93590C" w14:textId="77777777" w:rsidR="008974D6" w:rsidRPr="008974D6" w:rsidRDefault="008974D6">
            <w:r w:rsidRPr="008974D6">
              <w:t>6,895.32</w:t>
            </w:r>
          </w:p>
        </w:tc>
        <w:tc>
          <w:tcPr>
            <w:tcW w:w="2380" w:type="dxa"/>
            <w:noWrap/>
            <w:hideMark/>
          </w:tcPr>
          <w:p w14:paraId="0BCBDD75" w14:textId="77777777" w:rsidR="008974D6" w:rsidRPr="008974D6" w:rsidRDefault="008974D6">
            <w:r w:rsidRPr="008974D6">
              <w:t>0.1667</w:t>
            </w:r>
          </w:p>
        </w:tc>
        <w:tc>
          <w:tcPr>
            <w:tcW w:w="2380" w:type="dxa"/>
            <w:noWrap/>
            <w:hideMark/>
          </w:tcPr>
          <w:p w14:paraId="26FB788B" w14:textId="77777777" w:rsidR="008974D6" w:rsidRPr="008974D6" w:rsidRDefault="008974D6">
            <w:r w:rsidRPr="008974D6">
              <w:t>1,149.24</w:t>
            </w:r>
          </w:p>
        </w:tc>
      </w:tr>
      <w:tr w:rsidR="008974D6" w:rsidRPr="008974D6" w14:paraId="2365B451" w14:textId="77777777" w:rsidTr="008974D6">
        <w:trPr>
          <w:trHeight w:val="1656"/>
        </w:trPr>
        <w:tc>
          <w:tcPr>
            <w:tcW w:w="5120" w:type="dxa"/>
            <w:hideMark/>
          </w:tcPr>
          <w:p w14:paraId="3F199B19" w14:textId="77777777" w:rsidR="008974D6" w:rsidRPr="008974D6" w:rsidRDefault="008974D6">
            <w:pPr>
              <w:rPr>
                <w:i/>
                <w:iCs/>
              </w:rPr>
            </w:pPr>
            <w:r w:rsidRPr="008974D6">
              <w:rPr>
                <w:i/>
                <w:iCs/>
              </w:rPr>
              <w:t xml:space="preserve">Electronic Disqualified Recipient System Breakout:  </w:t>
            </w:r>
            <w:r w:rsidRPr="008974D6">
              <w:rPr>
                <w:b/>
                <w:bCs/>
              </w:rPr>
              <w:t>For Penalty Checks using Mainframe</w:t>
            </w:r>
          </w:p>
        </w:tc>
        <w:tc>
          <w:tcPr>
            <w:tcW w:w="2720" w:type="dxa"/>
            <w:hideMark/>
          </w:tcPr>
          <w:p w14:paraId="545FEAD8" w14:textId="77777777" w:rsidR="008974D6" w:rsidRPr="008974D6" w:rsidRDefault="008974D6">
            <w:r w:rsidRPr="008974D6">
              <w:t>273.16(i)(4)</w:t>
            </w:r>
          </w:p>
        </w:tc>
        <w:tc>
          <w:tcPr>
            <w:tcW w:w="2700" w:type="dxa"/>
            <w:noWrap/>
            <w:hideMark/>
          </w:tcPr>
          <w:p w14:paraId="7EC1355C" w14:textId="77777777" w:rsidR="008974D6" w:rsidRPr="008974D6" w:rsidRDefault="008974D6">
            <w:r w:rsidRPr="008974D6">
              <w:t>53</w:t>
            </w:r>
          </w:p>
        </w:tc>
        <w:tc>
          <w:tcPr>
            <w:tcW w:w="2580" w:type="dxa"/>
            <w:noWrap/>
            <w:hideMark/>
          </w:tcPr>
          <w:p w14:paraId="552902E8" w14:textId="77777777" w:rsidR="008974D6" w:rsidRPr="008974D6" w:rsidRDefault="008974D6">
            <w:r w:rsidRPr="008974D6">
              <w:t>800.70</w:t>
            </w:r>
          </w:p>
        </w:tc>
        <w:tc>
          <w:tcPr>
            <w:tcW w:w="3280" w:type="dxa"/>
            <w:noWrap/>
            <w:hideMark/>
          </w:tcPr>
          <w:p w14:paraId="21615B1F" w14:textId="77777777" w:rsidR="008974D6" w:rsidRPr="008974D6" w:rsidRDefault="008974D6">
            <w:r w:rsidRPr="008974D6">
              <w:t>46,514.00</w:t>
            </w:r>
          </w:p>
        </w:tc>
        <w:tc>
          <w:tcPr>
            <w:tcW w:w="2380" w:type="dxa"/>
            <w:noWrap/>
            <w:hideMark/>
          </w:tcPr>
          <w:p w14:paraId="2EF169C3" w14:textId="77777777" w:rsidR="008974D6" w:rsidRPr="008974D6" w:rsidRDefault="008974D6">
            <w:r w:rsidRPr="008974D6">
              <w:t>0.0417</w:t>
            </w:r>
          </w:p>
        </w:tc>
        <w:tc>
          <w:tcPr>
            <w:tcW w:w="2380" w:type="dxa"/>
            <w:noWrap/>
            <w:hideMark/>
          </w:tcPr>
          <w:p w14:paraId="7E732BD6" w14:textId="77777777" w:rsidR="008974D6" w:rsidRPr="008974D6" w:rsidRDefault="008974D6">
            <w:r w:rsidRPr="008974D6">
              <w:t>1,938.10</w:t>
            </w:r>
          </w:p>
        </w:tc>
      </w:tr>
      <w:tr w:rsidR="008974D6" w:rsidRPr="008974D6" w14:paraId="0FA3C4CD" w14:textId="77777777" w:rsidTr="008974D6">
        <w:trPr>
          <w:trHeight w:val="825"/>
        </w:trPr>
        <w:tc>
          <w:tcPr>
            <w:tcW w:w="7840" w:type="dxa"/>
            <w:gridSpan w:val="2"/>
            <w:hideMark/>
          </w:tcPr>
          <w:p w14:paraId="0FC35FC5" w14:textId="77777777" w:rsidR="008974D6" w:rsidRPr="008974D6" w:rsidRDefault="008974D6" w:rsidP="008974D6">
            <w:pPr>
              <w:rPr>
                <w:b/>
                <w:bCs/>
              </w:rPr>
            </w:pPr>
            <w:r w:rsidRPr="008974D6">
              <w:rPr>
                <w:b/>
                <w:bCs/>
              </w:rPr>
              <w:t>Total State Agency Reporting Burden</w:t>
            </w:r>
          </w:p>
        </w:tc>
        <w:tc>
          <w:tcPr>
            <w:tcW w:w="2700" w:type="dxa"/>
            <w:noWrap/>
            <w:hideMark/>
          </w:tcPr>
          <w:p w14:paraId="553DC1F6" w14:textId="77777777" w:rsidR="008974D6" w:rsidRPr="008974D6" w:rsidRDefault="008974D6">
            <w:pPr>
              <w:rPr>
                <w:b/>
                <w:bCs/>
              </w:rPr>
            </w:pPr>
            <w:r w:rsidRPr="008974D6">
              <w:rPr>
                <w:b/>
                <w:bCs/>
              </w:rPr>
              <w:t>53</w:t>
            </w:r>
          </w:p>
        </w:tc>
        <w:tc>
          <w:tcPr>
            <w:tcW w:w="2580" w:type="dxa"/>
            <w:noWrap/>
            <w:hideMark/>
          </w:tcPr>
          <w:p w14:paraId="3D46D974" w14:textId="77777777" w:rsidR="008974D6" w:rsidRPr="008974D6" w:rsidRDefault="008974D6">
            <w:pPr>
              <w:rPr>
                <w:b/>
                <w:bCs/>
              </w:rPr>
            </w:pPr>
            <w:r w:rsidRPr="008974D6">
              <w:rPr>
                <w:b/>
                <w:bCs/>
              </w:rPr>
              <w:t>20,072.41</w:t>
            </w:r>
          </w:p>
        </w:tc>
        <w:tc>
          <w:tcPr>
            <w:tcW w:w="3280" w:type="dxa"/>
            <w:noWrap/>
            <w:hideMark/>
          </w:tcPr>
          <w:p w14:paraId="6210FDDF" w14:textId="77777777" w:rsidR="008974D6" w:rsidRPr="008974D6" w:rsidRDefault="008974D6">
            <w:pPr>
              <w:rPr>
                <w:b/>
                <w:bCs/>
              </w:rPr>
            </w:pPr>
            <w:r w:rsidRPr="008974D6">
              <w:rPr>
                <w:b/>
                <w:bCs/>
              </w:rPr>
              <w:t>1,083,671.32</w:t>
            </w:r>
          </w:p>
        </w:tc>
        <w:tc>
          <w:tcPr>
            <w:tcW w:w="2380" w:type="dxa"/>
            <w:noWrap/>
            <w:hideMark/>
          </w:tcPr>
          <w:p w14:paraId="40E83FD5" w14:textId="77777777" w:rsidR="008974D6" w:rsidRPr="008974D6" w:rsidRDefault="008974D6">
            <w:pPr>
              <w:rPr>
                <w:b/>
                <w:bCs/>
              </w:rPr>
            </w:pPr>
            <w:r w:rsidRPr="008974D6">
              <w:rPr>
                <w:b/>
                <w:bCs/>
              </w:rPr>
              <w:t>0.1286</w:t>
            </w:r>
          </w:p>
        </w:tc>
        <w:tc>
          <w:tcPr>
            <w:tcW w:w="2380" w:type="dxa"/>
            <w:noWrap/>
            <w:hideMark/>
          </w:tcPr>
          <w:p w14:paraId="28E5B6D5" w14:textId="77777777" w:rsidR="008974D6" w:rsidRPr="008974D6" w:rsidRDefault="008974D6">
            <w:pPr>
              <w:rPr>
                <w:b/>
                <w:bCs/>
              </w:rPr>
            </w:pPr>
            <w:r w:rsidRPr="008974D6">
              <w:rPr>
                <w:b/>
                <w:bCs/>
              </w:rPr>
              <w:t>139,312.56</w:t>
            </w:r>
          </w:p>
        </w:tc>
      </w:tr>
      <w:tr w:rsidR="008974D6" w:rsidRPr="008974D6" w14:paraId="575E5C3B" w14:textId="77777777" w:rsidTr="008974D6">
        <w:trPr>
          <w:trHeight w:val="432"/>
        </w:trPr>
        <w:tc>
          <w:tcPr>
            <w:tcW w:w="21160" w:type="dxa"/>
            <w:gridSpan w:val="7"/>
            <w:noWrap/>
            <w:hideMark/>
          </w:tcPr>
          <w:p w14:paraId="18C1A186" w14:textId="77777777" w:rsidR="008974D6" w:rsidRPr="008974D6" w:rsidRDefault="008974D6" w:rsidP="008974D6">
            <w:pPr>
              <w:rPr>
                <w:b/>
                <w:bCs/>
              </w:rPr>
            </w:pPr>
            <w:r w:rsidRPr="008974D6">
              <w:rPr>
                <w:b/>
                <w:bCs/>
              </w:rPr>
              <w:t>Recordkeeping</w:t>
            </w:r>
          </w:p>
        </w:tc>
      </w:tr>
      <w:tr w:rsidR="008974D6" w:rsidRPr="008974D6" w14:paraId="1D5A7C50" w14:textId="77777777" w:rsidTr="008974D6">
        <w:trPr>
          <w:trHeight w:val="1692"/>
        </w:trPr>
        <w:tc>
          <w:tcPr>
            <w:tcW w:w="5120" w:type="dxa"/>
            <w:noWrap/>
            <w:hideMark/>
          </w:tcPr>
          <w:p w14:paraId="5A05395F" w14:textId="77777777" w:rsidR="008974D6" w:rsidRPr="008974D6" w:rsidRDefault="008974D6">
            <w:pPr>
              <w:rPr>
                <w:b/>
                <w:bCs/>
              </w:rPr>
            </w:pPr>
            <w:r w:rsidRPr="008974D6">
              <w:rPr>
                <w:b/>
                <w:bCs/>
              </w:rPr>
              <w:t>Title</w:t>
            </w:r>
          </w:p>
        </w:tc>
        <w:tc>
          <w:tcPr>
            <w:tcW w:w="2720" w:type="dxa"/>
            <w:noWrap/>
            <w:hideMark/>
          </w:tcPr>
          <w:p w14:paraId="1576C79B" w14:textId="77777777" w:rsidR="008974D6" w:rsidRPr="008974D6" w:rsidRDefault="008974D6">
            <w:pPr>
              <w:rPr>
                <w:b/>
                <w:bCs/>
              </w:rPr>
            </w:pPr>
            <w:r w:rsidRPr="008974D6">
              <w:rPr>
                <w:b/>
                <w:bCs/>
              </w:rPr>
              <w:t> </w:t>
            </w:r>
          </w:p>
        </w:tc>
        <w:tc>
          <w:tcPr>
            <w:tcW w:w="2700" w:type="dxa"/>
            <w:hideMark/>
          </w:tcPr>
          <w:p w14:paraId="08D453D6" w14:textId="77777777" w:rsidR="008974D6" w:rsidRPr="008974D6" w:rsidRDefault="008974D6">
            <w:pPr>
              <w:rPr>
                <w:b/>
                <w:bCs/>
              </w:rPr>
            </w:pPr>
            <w:r w:rsidRPr="008974D6">
              <w:rPr>
                <w:b/>
                <w:bCs/>
              </w:rPr>
              <w:t>Estimated # Recordkeepers</w:t>
            </w:r>
          </w:p>
        </w:tc>
        <w:tc>
          <w:tcPr>
            <w:tcW w:w="2580" w:type="dxa"/>
            <w:hideMark/>
          </w:tcPr>
          <w:p w14:paraId="54A0FA01" w14:textId="77777777" w:rsidR="008974D6" w:rsidRPr="008974D6" w:rsidRDefault="008974D6">
            <w:pPr>
              <w:rPr>
                <w:b/>
                <w:bCs/>
              </w:rPr>
            </w:pPr>
            <w:r w:rsidRPr="008974D6">
              <w:rPr>
                <w:b/>
                <w:bCs/>
              </w:rPr>
              <w:t>Records Per Recordkeeper</w:t>
            </w:r>
          </w:p>
        </w:tc>
        <w:tc>
          <w:tcPr>
            <w:tcW w:w="3280" w:type="dxa"/>
            <w:noWrap/>
            <w:hideMark/>
          </w:tcPr>
          <w:p w14:paraId="3EA3DA38" w14:textId="77777777" w:rsidR="008974D6" w:rsidRPr="008974D6" w:rsidRDefault="008974D6">
            <w:pPr>
              <w:rPr>
                <w:b/>
                <w:bCs/>
              </w:rPr>
            </w:pPr>
            <w:r w:rsidRPr="008974D6">
              <w:rPr>
                <w:b/>
                <w:bCs/>
              </w:rPr>
              <w:t>Annual Records</w:t>
            </w:r>
          </w:p>
        </w:tc>
        <w:tc>
          <w:tcPr>
            <w:tcW w:w="2380" w:type="dxa"/>
            <w:hideMark/>
          </w:tcPr>
          <w:p w14:paraId="2EF778BA" w14:textId="77777777" w:rsidR="008974D6" w:rsidRPr="008974D6" w:rsidRDefault="008974D6">
            <w:pPr>
              <w:rPr>
                <w:b/>
                <w:bCs/>
              </w:rPr>
            </w:pPr>
            <w:r w:rsidRPr="008974D6">
              <w:rPr>
                <w:b/>
                <w:bCs/>
              </w:rPr>
              <w:t>Estimated Avg. # of Hours Per Records</w:t>
            </w:r>
          </w:p>
        </w:tc>
        <w:tc>
          <w:tcPr>
            <w:tcW w:w="2380" w:type="dxa"/>
            <w:hideMark/>
          </w:tcPr>
          <w:p w14:paraId="66DF3E00" w14:textId="77777777" w:rsidR="008974D6" w:rsidRPr="008974D6" w:rsidRDefault="008974D6">
            <w:pPr>
              <w:rPr>
                <w:b/>
                <w:bCs/>
              </w:rPr>
            </w:pPr>
            <w:r w:rsidRPr="008974D6">
              <w:rPr>
                <w:b/>
                <w:bCs/>
              </w:rPr>
              <w:t>Estimated Total Annual Records</w:t>
            </w:r>
          </w:p>
        </w:tc>
      </w:tr>
      <w:tr w:rsidR="008974D6" w:rsidRPr="008974D6" w14:paraId="2CAEDE05" w14:textId="77777777" w:rsidTr="008974D6">
        <w:trPr>
          <w:trHeight w:val="852"/>
        </w:trPr>
        <w:tc>
          <w:tcPr>
            <w:tcW w:w="5120" w:type="dxa"/>
            <w:hideMark/>
          </w:tcPr>
          <w:p w14:paraId="335FDBA2" w14:textId="77777777" w:rsidR="008974D6" w:rsidRPr="008974D6" w:rsidRDefault="008974D6">
            <w:pPr>
              <w:rPr>
                <w:i/>
                <w:iCs/>
              </w:rPr>
            </w:pPr>
            <w:r w:rsidRPr="008974D6">
              <w:rPr>
                <w:i/>
                <w:iCs/>
              </w:rPr>
              <w:t xml:space="preserve">Recordkeeping Breakout:  </w:t>
            </w:r>
            <w:r w:rsidRPr="008974D6">
              <w:rPr>
                <w:b/>
                <w:bCs/>
              </w:rPr>
              <w:t>For initiating Collection Action</w:t>
            </w:r>
          </w:p>
        </w:tc>
        <w:tc>
          <w:tcPr>
            <w:tcW w:w="2720" w:type="dxa"/>
            <w:hideMark/>
          </w:tcPr>
          <w:p w14:paraId="7F79B622" w14:textId="77777777" w:rsidR="008974D6" w:rsidRPr="008974D6" w:rsidRDefault="008974D6">
            <w:pPr>
              <w:rPr>
                <w:i/>
                <w:iCs/>
              </w:rPr>
            </w:pPr>
            <w:r w:rsidRPr="008974D6">
              <w:rPr>
                <w:i/>
                <w:iCs/>
              </w:rPr>
              <w:t>272.1(f)</w:t>
            </w:r>
          </w:p>
        </w:tc>
        <w:tc>
          <w:tcPr>
            <w:tcW w:w="2700" w:type="dxa"/>
            <w:noWrap/>
            <w:hideMark/>
          </w:tcPr>
          <w:p w14:paraId="7B4D1FD9" w14:textId="77777777" w:rsidR="008974D6" w:rsidRPr="008974D6" w:rsidRDefault="008974D6">
            <w:r w:rsidRPr="008974D6">
              <w:t>53</w:t>
            </w:r>
          </w:p>
        </w:tc>
        <w:tc>
          <w:tcPr>
            <w:tcW w:w="2580" w:type="dxa"/>
            <w:noWrap/>
            <w:hideMark/>
          </w:tcPr>
          <w:p w14:paraId="58CBBE71" w14:textId="77777777" w:rsidR="008974D6" w:rsidRPr="008974D6" w:rsidRDefault="008974D6">
            <w:r w:rsidRPr="008974D6">
              <w:t>16,688.98</w:t>
            </w:r>
          </w:p>
        </w:tc>
        <w:tc>
          <w:tcPr>
            <w:tcW w:w="3280" w:type="dxa"/>
            <w:noWrap/>
            <w:hideMark/>
          </w:tcPr>
          <w:p w14:paraId="1B55E393" w14:textId="77777777" w:rsidR="008974D6" w:rsidRPr="008974D6" w:rsidRDefault="008974D6">
            <w:r w:rsidRPr="008974D6">
              <w:t>884,516.00</w:t>
            </w:r>
          </w:p>
        </w:tc>
        <w:tc>
          <w:tcPr>
            <w:tcW w:w="2380" w:type="dxa"/>
            <w:noWrap/>
            <w:hideMark/>
          </w:tcPr>
          <w:p w14:paraId="49082ECE" w14:textId="77777777" w:rsidR="008974D6" w:rsidRPr="008974D6" w:rsidRDefault="008974D6">
            <w:r w:rsidRPr="008974D6">
              <w:t>0.0334</w:t>
            </w:r>
          </w:p>
        </w:tc>
        <w:tc>
          <w:tcPr>
            <w:tcW w:w="2380" w:type="dxa"/>
            <w:noWrap/>
            <w:hideMark/>
          </w:tcPr>
          <w:p w14:paraId="59F87BB6" w14:textId="77777777" w:rsidR="008974D6" w:rsidRPr="008974D6" w:rsidRDefault="008974D6">
            <w:r w:rsidRPr="008974D6">
              <w:t>29,542.83</w:t>
            </w:r>
          </w:p>
        </w:tc>
      </w:tr>
      <w:tr w:rsidR="008974D6" w:rsidRPr="008974D6" w14:paraId="33FD7BC3" w14:textId="77777777" w:rsidTr="008974D6">
        <w:trPr>
          <w:trHeight w:val="840"/>
        </w:trPr>
        <w:tc>
          <w:tcPr>
            <w:tcW w:w="5120" w:type="dxa"/>
            <w:hideMark/>
          </w:tcPr>
          <w:p w14:paraId="4B8824AE" w14:textId="77777777" w:rsidR="008974D6" w:rsidRPr="008974D6" w:rsidRDefault="008974D6">
            <w:pPr>
              <w:rPr>
                <w:i/>
                <w:iCs/>
              </w:rPr>
            </w:pPr>
            <w:r w:rsidRPr="008974D6">
              <w:rPr>
                <w:i/>
                <w:iCs/>
              </w:rPr>
              <w:t xml:space="preserve">Recordkeeping Breakout: </w:t>
            </w:r>
            <w:r w:rsidRPr="008974D6">
              <w:t xml:space="preserve"> </w:t>
            </w:r>
            <w:r w:rsidRPr="008974D6">
              <w:rPr>
                <w:b/>
                <w:bCs/>
              </w:rPr>
              <w:t>For IPVs</w:t>
            </w:r>
          </w:p>
        </w:tc>
        <w:tc>
          <w:tcPr>
            <w:tcW w:w="2720" w:type="dxa"/>
            <w:hideMark/>
          </w:tcPr>
          <w:p w14:paraId="40F41043" w14:textId="77777777" w:rsidR="008974D6" w:rsidRPr="008974D6" w:rsidRDefault="008974D6">
            <w:pPr>
              <w:rPr>
                <w:i/>
                <w:iCs/>
              </w:rPr>
            </w:pPr>
            <w:r w:rsidRPr="008974D6">
              <w:rPr>
                <w:i/>
                <w:iCs/>
              </w:rPr>
              <w:t>272.1(f)</w:t>
            </w:r>
          </w:p>
        </w:tc>
        <w:tc>
          <w:tcPr>
            <w:tcW w:w="2700" w:type="dxa"/>
            <w:noWrap/>
            <w:hideMark/>
          </w:tcPr>
          <w:p w14:paraId="6E20A724" w14:textId="77777777" w:rsidR="008974D6" w:rsidRPr="008974D6" w:rsidRDefault="008974D6">
            <w:r w:rsidRPr="008974D6">
              <w:t>53</w:t>
            </w:r>
          </w:p>
        </w:tc>
        <w:tc>
          <w:tcPr>
            <w:tcW w:w="2580" w:type="dxa"/>
            <w:noWrap/>
            <w:hideMark/>
          </w:tcPr>
          <w:p w14:paraId="75B8F0E2" w14:textId="77777777" w:rsidR="008974D6" w:rsidRPr="008974D6" w:rsidRDefault="008974D6">
            <w:r w:rsidRPr="008974D6">
              <w:t>1,626.04</w:t>
            </w:r>
          </w:p>
        </w:tc>
        <w:tc>
          <w:tcPr>
            <w:tcW w:w="3280" w:type="dxa"/>
            <w:noWrap/>
            <w:hideMark/>
          </w:tcPr>
          <w:p w14:paraId="52FE0204" w14:textId="77777777" w:rsidR="008974D6" w:rsidRPr="008974D6" w:rsidRDefault="008974D6">
            <w:r w:rsidRPr="008974D6">
              <w:t>86,744.00</w:t>
            </w:r>
          </w:p>
        </w:tc>
        <w:tc>
          <w:tcPr>
            <w:tcW w:w="2380" w:type="dxa"/>
            <w:noWrap/>
            <w:hideMark/>
          </w:tcPr>
          <w:p w14:paraId="75A02D4A" w14:textId="77777777" w:rsidR="008974D6" w:rsidRPr="008974D6" w:rsidRDefault="008974D6">
            <w:r w:rsidRPr="008974D6">
              <w:t>0.0334</w:t>
            </w:r>
          </w:p>
        </w:tc>
        <w:tc>
          <w:tcPr>
            <w:tcW w:w="2380" w:type="dxa"/>
            <w:noWrap/>
            <w:hideMark/>
          </w:tcPr>
          <w:p w14:paraId="1CF667EC" w14:textId="77777777" w:rsidR="008974D6" w:rsidRPr="008974D6" w:rsidRDefault="008974D6">
            <w:r w:rsidRPr="008974D6">
              <w:t>2,897.25</w:t>
            </w:r>
          </w:p>
        </w:tc>
      </w:tr>
      <w:tr w:rsidR="008974D6" w:rsidRPr="008974D6" w14:paraId="27DC0F9A" w14:textId="77777777" w:rsidTr="008974D6">
        <w:trPr>
          <w:trHeight w:val="852"/>
        </w:trPr>
        <w:tc>
          <w:tcPr>
            <w:tcW w:w="5120" w:type="dxa"/>
            <w:hideMark/>
          </w:tcPr>
          <w:p w14:paraId="1E81B611" w14:textId="77777777" w:rsidR="008974D6" w:rsidRPr="008974D6" w:rsidRDefault="008974D6">
            <w:pPr>
              <w:rPr>
                <w:b/>
                <w:bCs/>
              </w:rPr>
            </w:pPr>
            <w:r w:rsidRPr="008974D6">
              <w:rPr>
                <w:b/>
                <w:bCs/>
              </w:rPr>
              <w:t>Total State Agency Recordkeeping Burden</w:t>
            </w:r>
          </w:p>
        </w:tc>
        <w:tc>
          <w:tcPr>
            <w:tcW w:w="2720" w:type="dxa"/>
            <w:hideMark/>
          </w:tcPr>
          <w:p w14:paraId="713275ED" w14:textId="77777777" w:rsidR="008974D6" w:rsidRPr="008974D6" w:rsidRDefault="008974D6">
            <w:pPr>
              <w:rPr>
                <w:b/>
                <w:bCs/>
              </w:rPr>
            </w:pPr>
            <w:r w:rsidRPr="008974D6">
              <w:rPr>
                <w:b/>
                <w:bCs/>
              </w:rPr>
              <w:t> </w:t>
            </w:r>
          </w:p>
        </w:tc>
        <w:tc>
          <w:tcPr>
            <w:tcW w:w="2700" w:type="dxa"/>
            <w:noWrap/>
            <w:hideMark/>
          </w:tcPr>
          <w:p w14:paraId="37E2F770" w14:textId="77777777" w:rsidR="008974D6" w:rsidRPr="008974D6" w:rsidRDefault="008974D6">
            <w:r w:rsidRPr="008974D6">
              <w:t>53</w:t>
            </w:r>
          </w:p>
        </w:tc>
        <w:tc>
          <w:tcPr>
            <w:tcW w:w="2580" w:type="dxa"/>
            <w:noWrap/>
            <w:hideMark/>
          </w:tcPr>
          <w:p w14:paraId="193B6493" w14:textId="77777777" w:rsidR="008974D6" w:rsidRPr="008974D6" w:rsidRDefault="008974D6">
            <w:r w:rsidRPr="008974D6">
              <w:t>18,315.02</w:t>
            </w:r>
          </w:p>
        </w:tc>
        <w:tc>
          <w:tcPr>
            <w:tcW w:w="3280" w:type="dxa"/>
            <w:noWrap/>
            <w:hideMark/>
          </w:tcPr>
          <w:p w14:paraId="168E0990" w14:textId="77777777" w:rsidR="008974D6" w:rsidRPr="008974D6" w:rsidRDefault="008974D6">
            <w:r w:rsidRPr="008974D6">
              <w:t>971,260.00</w:t>
            </w:r>
          </w:p>
        </w:tc>
        <w:tc>
          <w:tcPr>
            <w:tcW w:w="2380" w:type="dxa"/>
            <w:noWrap/>
            <w:hideMark/>
          </w:tcPr>
          <w:p w14:paraId="62118897" w14:textId="77777777" w:rsidR="008974D6" w:rsidRPr="008974D6" w:rsidRDefault="008974D6">
            <w:r w:rsidRPr="008974D6">
              <w:t>0.0334</w:t>
            </w:r>
          </w:p>
        </w:tc>
        <w:tc>
          <w:tcPr>
            <w:tcW w:w="2380" w:type="dxa"/>
            <w:noWrap/>
            <w:hideMark/>
          </w:tcPr>
          <w:p w14:paraId="55B1FA4C" w14:textId="77777777" w:rsidR="008974D6" w:rsidRPr="008974D6" w:rsidRDefault="008974D6">
            <w:r w:rsidRPr="008974D6">
              <w:t>32,440.08</w:t>
            </w:r>
          </w:p>
        </w:tc>
      </w:tr>
      <w:tr w:rsidR="008974D6" w:rsidRPr="008974D6" w14:paraId="292E4F59" w14:textId="77777777" w:rsidTr="008974D6">
        <w:trPr>
          <w:trHeight w:val="432"/>
        </w:trPr>
        <w:tc>
          <w:tcPr>
            <w:tcW w:w="5120" w:type="dxa"/>
            <w:hideMark/>
          </w:tcPr>
          <w:p w14:paraId="404F4031" w14:textId="77777777" w:rsidR="008974D6" w:rsidRPr="008974D6" w:rsidRDefault="008974D6"/>
        </w:tc>
        <w:tc>
          <w:tcPr>
            <w:tcW w:w="2720" w:type="dxa"/>
            <w:hideMark/>
          </w:tcPr>
          <w:p w14:paraId="3B5E68F3" w14:textId="77777777" w:rsidR="008974D6" w:rsidRPr="008974D6" w:rsidRDefault="008974D6"/>
        </w:tc>
        <w:tc>
          <w:tcPr>
            <w:tcW w:w="2700" w:type="dxa"/>
            <w:noWrap/>
            <w:hideMark/>
          </w:tcPr>
          <w:p w14:paraId="2FED0141" w14:textId="77777777" w:rsidR="008974D6" w:rsidRPr="008974D6" w:rsidRDefault="008974D6"/>
        </w:tc>
        <w:tc>
          <w:tcPr>
            <w:tcW w:w="2580" w:type="dxa"/>
            <w:noWrap/>
            <w:hideMark/>
          </w:tcPr>
          <w:p w14:paraId="3255DF53" w14:textId="77777777" w:rsidR="008974D6" w:rsidRPr="008974D6" w:rsidRDefault="008974D6"/>
        </w:tc>
        <w:tc>
          <w:tcPr>
            <w:tcW w:w="3280" w:type="dxa"/>
            <w:noWrap/>
            <w:hideMark/>
          </w:tcPr>
          <w:p w14:paraId="23653C49" w14:textId="77777777" w:rsidR="008974D6" w:rsidRPr="008974D6" w:rsidRDefault="008974D6"/>
        </w:tc>
        <w:tc>
          <w:tcPr>
            <w:tcW w:w="2380" w:type="dxa"/>
            <w:noWrap/>
            <w:hideMark/>
          </w:tcPr>
          <w:p w14:paraId="7DC67AC8" w14:textId="77777777" w:rsidR="008974D6" w:rsidRPr="008974D6" w:rsidRDefault="008974D6"/>
        </w:tc>
        <w:tc>
          <w:tcPr>
            <w:tcW w:w="2380" w:type="dxa"/>
            <w:noWrap/>
            <w:hideMark/>
          </w:tcPr>
          <w:p w14:paraId="426148B0" w14:textId="77777777" w:rsidR="008974D6" w:rsidRPr="008974D6" w:rsidRDefault="008974D6">
            <w:pPr>
              <w:rPr>
                <w:b/>
                <w:bCs/>
              </w:rPr>
            </w:pPr>
          </w:p>
        </w:tc>
      </w:tr>
      <w:tr w:rsidR="008974D6" w:rsidRPr="008974D6" w14:paraId="6D069B4A" w14:textId="77777777" w:rsidTr="008974D6">
        <w:trPr>
          <w:trHeight w:val="1692"/>
        </w:trPr>
        <w:tc>
          <w:tcPr>
            <w:tcW w:w="5120" w:type="dxa"/>
            <w:hideMark/>
          </w:tcPr>
          <w:p w14:paraId="70A6C0C7" w14:textId="77777777" w:rsidR="008974D6" w:rsidRPr="008974D6" w:rsidRDefault="008974D6">
            <w:pPr>
              <w:rPr>
                <w:b/>
                <w:bCs/>
              </w:rPr>
            </w:pPr>
            <w:r w:rsidRPr="008974D6">
              <w:rPr>
                <w:b/>
                <w:bCs/>
              </w:rPr>
              <w:t>Title</w:t>
            </w:r>
          </w:p>
        </w:tc>
        <w:tc>
          <w:tcPr>
            <w:tcW w:w="2720" w:type="dxa"/>
            <w:hideMark/>
          </w:tcPr>
          <w:p w14:paraId="483E7C04" w14:textId="77777777" w:rsidR="008974D6" w:rsidRPr="008974D6" w:rsidRDefault="008974D6">
            <w:pPr>
              <w:rPr>
                <w:b/>
                <w:bCs/>
              </w:rPr>
            </w:pPr>
            <w:r w:rsidRPr="008974D6">
              <w:rPr>
                <w:b/>
                <w:bCs/>
              </w:rPr>
              <w:t>CFR Section of Regulations</w:t>
            </w:r>
          </w:p>
        </w:tc>
        <w:tc>
          <w:tcPr>
            <w:tcW w:w="2700" w:type="dxa"/>
            <w:hideMark/>
          </w:tcPr>
          <w:p w14:paraId="20288AAF" w14:textId="77777777" w:rsidR="008974D6" w:rsidRPr="008974D6" w:rsidRDefault="008974D6">
            <w:pPr>
              <w:rPr>
                <w:b/>
                <w:bCs/>
              </w:rPr>
            </w:pPr>
            <w:r w:rsidRPr="008974D6">
              <w:rPr>
                <w:b/>
                <w:bCs/>
              </w:rPr>
              <w:t>Estimated # Respondents</w:t>
            </w:r>
          </w:p>
        </w:tc>
        <w:tc>
          <w:tcPr>
            <w:tcW w:w="2580" w:type="dxa"/>
            <w:hideMark/>
          </w:tcPr>
          <w:p w14:paraId="4E5D1E43" w14:textId="77777777" w:rsidR="008974D6" w:rsidRPr="008974D6" w:rsidRDefault="008974D6">
            <w:pPr>
              <w:rPr>
                <w:b/>
                <w:bCs/>
              </w:rPr>
            </w:pPr>
            <w:r w:rsidRPr="008974D6">
              <w:rPr>
                <w:b/>
                <w:bCs/>
              </w:rPr>
              <w:t>Responses Per Respondent</w:t>
            </w:r>
          </w:p>
        </w:tc>
        <w:tc>
          <w:tcPr>
            <w:tcW w:w="3280" w:type="dxa"/>
            <w:hideMark/>
          </w:tcPr>
          <w:p w14:paraId="655EBD24" w14:textId="77777777" w:rsidR="008974D6" w:rsidRPr="008974D6" w:rsidRDefault="008974D6">
            <w:pPr>
              <w:rPr>
                <w:b/>
                <w:bCs/>
              </w:rPr>
            </w:pPr>
            <w:r w:rsidRPr="008974D6">
              <w:rPr>
                <w:b/>
                <w:bCs/>
              </w:rPr>
              <w:t xml:space="preserve">Total Annual Responses </w:t>
            </w:r>
          </w:p>
        </w:tc>
        <w:tc>
          <w:tcPr>
            <w:tcW w:w="2380" w:type="dxa"/>
            <w:hideMark/>
          </w:tcPr>
          <w:p w14:paraId="7E8AEEE2" w14:textId="77777777" w:rsidR="008974D6" w:rsidRPr="008974D6" w:rsidRDefault="008974D6">
            <w:pPr>
              <w:rPr>
                <w:b/>
                <w:bCs/>
              </w:rPr>
            </w:pPr>
            <w:r w:rsidRPr="008974D6">
              <w:rPr>
                <w:b/>
                <w:bCs/>
              </w:rPr>
              <w:t>Estimated Avg. # of Hours Per Response</w:t>
            </w:r>
          </w:p>
        </w:tc>
        <w:tc>
          <w:tcPr>
            <w:tcW w:w="2380" w:type="dxa"/>
            <w:hideMark/>
          </w:tcPr>
          <w:p w14:paraId="32FB4804" w14:textId="77777777" w:rsidR="008974D6" w:rsidRPr="008974D6" w:rsidRDefault="008974D6">
            <w:pPr>
              <w:rPr>
                <w:b/>
                <w:bCs/>
              </w:rPr>
            </w:pPr>
            <w:r w:rsidRPr="008974D6">
              <w:rPr>
                <w:b/>
                <w:bCs/>
              </w:rPr>
              <w:t xml:space="preserve">Estimated Total Hours  </w:t>
            </w:r>
          </w:p>
        </w:tc>
      </w:tr>
      <w:tr w:rsidR="008974D6" w:rsidRPr="008974D6" w14:paraId="7DE70F8E" w14:textId="77777777" w:rsidTr="008974D6">
        <w:trPr>
          <w:trHeight w:val="825"/>
        </w:trPr>
        <w:tc>
          <w:tcPr>
            <w:tcW w:w="7840" w:type="dxa"/>
            <w:gridSpan w:val="2"/>
            <w:hideMark/>
          </w:tcPr>
          <w:p w14:paraId="31805DEB" w14:textId="77777777" w:rsidR="008974D6" w:rsidRPr="008974D6" w:rsidRDefault="008974D6">
            <w:pPr>
              <w:rPr>
                <w:b/>
                <w:bCs/>
              </w:rPr>
            </w:pPr>
            <w:r w:rsidRPr="008974D6">
              <w:rPr>
                <w:b/>
                <w:bCs/>
              </w:rPr>
              <w:t>TOTAL STATE AGENCY BURDEN</w:t>
            </w:r>
          </w:p>
        </w:tc>
        <w:tc>
          <w:tcPr>
            <w:tcW w:w="2700" w:type="dxa"/>
            <w:hideMark/>
          </w:tcPr>
          <w:p w14:paraId="249FD9C3" w14:textId="77777777" w:rsidR="008974D6" w:rsidRPr="008974D6" w:rsidRDefault="008974D6">
            <w:r w:rsidRPr="008974D6">
              <w:t>53</w:t>
            </w:r>
          </w:p>
        </w:tc>
        <w:tc>
          <w:tcPr>
            <w:tcW w:w="2580" w:type="dxa"/>
            <w:hideMark/>
          </w:tcPr>
          <w:p w14:paraId="2371DC11" w14:textId="77777777" w:rsidR="008974D6" w:rsidRPr="008974D6" w:rsidRDefault="008974D6">
            <w:r w:rsidRPr="008974D6">
              <w:t xml:space="preserve">38,772.29 </w:t>
            </w:r>
          </w:p>
        </w:tc>
        <w:tc>
          <w:tcPr>
            <w:tcW w:w="3280" w:type="dxa"/>
            <w:hideMark/>
          </w:tcPr>
          <w:p w14:paraId="621443ED" w14:textId="77777777" w:rsidR="008974D6" w:rsidRPr="008974D6" w:rsidRDefault="008974D6">
            <w:r w:rsidRPr="008974D6">
              <w:t xml:space="preserve">2,054,931.32 </w:t>
            </w:r>
          </w:p>
        </w:tc>
        <w:tc>
          <w:tcPr>
            <w:tcW w:w="2380" w:type="dxa"/>
            <w:hideMark/>
          </w:tcPr>
          <w:p w14:paraId="3E7ECD70" w14:textId="77777777" w:rsidR="008974D6" w:rsidRPr="008974D6" w:rsidRDefault="008974D6">
            <w:r w:rsidRPr="008974D6">
              <w:t xml:space="preserve">0.0836 </w:t>
            </w:r>
          </w:p>
        </w:tc>
        <w:tc>
          <w:tcPr>
            <w:tcW w:w="2380" w:type="dxa"/>
            <w:hideMark/>
          </w:tcPr>
          <w:p w14:paraId="219C2292" w14:textId="77777777" w:rsidR="008974D6" w:rsidRPr="008974D6" w:rsidRDefault="008974D6">
            <w:r w:rsidRPr="008974D6">
              <w:t>171,752.65</w:t>
            </w:r>
          </w:p>
        </w:tc>
      </w:tr>
      <w:tr w:rsidR="008974D6" w:rsidRPr="008974D6" w14:paraId="5086C270" w14:textId="77777777" w:rsidTr="008974D6">
        <w:trPr>
          <w:trHeight w:val="1692"/>
        </w:trPr>
        <w:tc>
          <w:tcPr>
            <w:tcW w:w="5120" w:type="dxa"/>
            <w:hideMark/>
          </w:tcPr>
          <w:p w14:paraId="244CB698" w14:textId="77777777" w:rsidR="008974D6" w:rsidRPr="008974D6" w:rsidRDefault="008974D6">
            <w:pPr>
              <w:rPr>
                <w:b/>
                <w:bCs/>
              </w:rPr>
            </w:pPr>
            <w:r w:rsidRPr="008974D6">
              <w:rPr>
                <w:b/>
                <w:bCs/>
              </w:rPr>
              <w:t>Title</w:t>
            </w:r>
          </w:p>
        </w:tc>
        <w:tc>
          <w:tcPr>
            <w:tcW w:w="2720" w:type="dxa"/>
            <w:hideMark/>
          </w:tcPr>
          <w:p w14:paraId="2E05B060" w14:textId="77777777" w:rsidR="008974D6" w:rsidRPr="008974D6" w:rsidRDefault="008974D6">
            <w:pPr>
              <w:rPr>
                <w:b/>
                <w:bCs/>
              </w:rPr>
            </w:pPr>
            <w:r w:rsidRPr="008974D6">
              <w:rPr>
                <w:b/>
                <w:bCs/>
              </w:rPr>
              <w:t>CFR Section of Regulations</w:t>
            </w:r>
          </w:p>
        </w:tc>
        <w:tc>
          <w:tcPr>
            <w:tcW w:w="2700" w:type="dxa"/>
            <w:hideMark/>
          </w:tcPr>
          <w:p w14:paraId="2B4C0D78" w14:textId="77777777" w:rsidR="008974D6" w:rsidRPr="008974D6" w:rsidRDefault="008974D6">
            <w:pPr>
              <w:rPr>
                <w:b/>
                <w:bCs/>
              </w:rPr>
            </w:pPr>
            <w:r w:rsidRPr="008974D6">
              <w:rPr>
                <w:b/>
                <w:bCs/>
              </w:rPr>
              <w:t>Estimated # Respondents</w:t>
            </w:r>
          </w:p>
        </w:tc>
        <w:tc>
          <w:tcPr>
            <w:tcW w:w="2580" w:type="dxa"/>
            <w:hideMark/>
          </w:tcPr>
          <w:p w14:paraId="1FAD9015" w14:textId="77777777" w:rsidR="008974D6" w:rsidRPr="008974D6" w:rsidRDefault="008974D6">
            <w:pPr>
              <w:rPr>
                <w:b/>
                <w:bCs/>
              </w:rPr>
            </w:pPr>
            <w:r w:rsidRPr="008974D6">
              <w:rPr>
                <w:b/>
                <w:bCs/>
              </w:rPr>
              <w:t>Responses Per Respondent</w:t>
            </w:r>
          </w:p>
        </w:tc>
        <w:tc>
          <w:tcPr>
            <w:tcW w:w="3280" w:type="dxa"/>
            <w:hideMark/>
          </w:tcPr>
          <w:p w14:paraId="607D4726" w14:textId="77777777" w:rsidR="008974D6" w:rsidRPr="008974D6" w:rsidRDefault="008974D6">
            <w:pPr>
              <w:rPr>
                <w:b/>
                <w:bCs/>
              </w:rPr>
            </w:pPr>
            <w:r w:rsidRPr="008974D6">
              <w:rPr>
                <w:b/>
                <w:bCs/>
              </w:rPr>
              <w:t xml:space="preserve">Total Annual Responses </w:t>
            </w:r>
          </w:p>
        </w:tc>
        <w:tc>
          <w:tcPr>
            <w:tcW w:w="2380" w:type="dxa"/>
            <w:hideMark/>
          </w:tcPr>
          <w:p w14:paraId="411F6E9F" w14:textId="77777777" w:rsidR="008974D6" w:rsidRPr="008974D6" w:rsidRDefault="008974D6">
            <w:pPr>
              <w:rPr>
                <w:b/>
                <w:bCs/>
              </w:rPr>
            </w:pPr>
            <w:r w:rsidRPr="008974D6">
              <w:rPr>
                <w:b/>
                <w:bCs/>
              </w:rPr>
              <w:t>Estimated Avg. # of Hours Per Response</w:t>
            </w:r>
          </w:p>
        </w:tc>
        <w:tc>
          <w:tcPr>
            <w:tcW w:w="2380" w:type="dxa"/>
            <w:hideMark/>
          </w:tcPr>
          <w:p w14:paraId="6DE3A03A" w14:textId="77777777" w:rsidR="008974D6" w:rsidRPr="008974D6" w:rsidRDefault="008974D6">
            <w:pPr>
              <w:rPr>
                <w:b/>
                <w:bCs/>
              </w:rPr>
            </w:pPr>
            <w:r w:rsidRPr="008974D6">
              <w:rPr>
                <w:b/>
                <w:bCs/>
              </w:rPr>
              <w:t xml:space="preserve">Estimated Total Hours   </w:t>
            </w:r>
          </w:p>
        </w:tc>
      </w:tr>
      <w:tr w:rsidR="008974D6" w:rsidRPr="008974D6" w14:paraId="4EF6845B" w14:textId="77777777" w:rsidTr="008974D6">
        <w:trPr>
          <w:trHeight w:val="420"/>
        </w:trPr>
        <w:tc>
          <w:tcPr>
            <w:tcW w:w="21160" w:type="dxa"/>
            <w:gridSpan w:val="7"/>
            <w:hideMark/>
          </w:tcPr>
          <w:p w14:paraId="5CDE15C8" w14:textId="77777777" w:rsidR="008974D6" w:rsidRPr="008974D6" w:rsidRDefault="008974D6" w:rsidP="008974D6">
            <w:pPr>
              <w:rPr>
                <w:b/>
                <w:bCs/>
              </w:rPr>
            </w:pPr>
            <w:r w:rsidRPr="008974D6">
              <w:rPr>
                <w:b/>
                <w:bCs/>
              </w:rPr>
              <w:t>HOUSEHOLD</w:t>
            </w:r>
          </w:p>
        </w:tc>
      </w:tr>
      <w:tr w:rsidR="008974D6" w:rsidRPr="008974D6" w14:paraId="5B3E0FFD" w14:textId="77777777" w:rsidTr="008974D6">
        <w:trPr>
          <w:trHeight w:val="432"/>
        </w:trPr>
        <w:tc>
          <w:tcPr>
            <w:tcW w:w="21160" w:type="dxa"/>
            <w:gridSpan w:val="7"/>
            <w:hideMark/>
          </w:tcPr>
          <w:p w14:paraId="624063B5" w14:textId="77777777" w:rsidR="008974D6" w:rsidRPr="008974D6" w:rsidRDefault="008974D6" w:rsidP="008974D6">
            <w:pPr>
              <w:rPr>
                <w:b/>
                <w:bCs/>
              </w:rPr>
            </w:pPr>
            <w:r w:rsidRPr="008974D6">
              <w:rPr>
                <w:b/>
                <w:bCs/>
              </w:rPr>
              <w:t>Reporting Burden</w:t>
            </w:r>
          </w:p>
        </w:tc>
      </w:tr>
      <w:tr w:rsidR="008974D6" w:rsidRPr="008974D6" w14:paraId="035309D0" w14:textId="77777777" w:rsidTr="008974D6">
        <w:trPr>
          <w:trHeight w:val="420"/>
        </w:trPr>
        <w:tc>
          <w:tcPr>
            <w:tcW w:w="5120" w:type="dxa"/>
            <w:hideMark/>
          </w:tcPr>
          <w:p w14:paraId="76F832B3" w14:textId="77777777" w:rsidR="008974D6" w:rsidRPr="008974D6" w:rsidRDefault="008974D6">
            <w:r w:rsidRPr="008974D6">
              <w:t>Demand Letter for Overissuance</w:t>
            </w:r>
          </w:p>
        </w:tc>
        <w:tc>
          <w:tcPr>
            <w:tcW w:w="2720" w:type="dxa"/>
            <w:hideMark/>
          </w:tcPr>
          <w:p w14:paraId="2ABDFC68" w14:textId="77777777" w:rsidR="008974D6" w:rsidRPr="008974D6" w:rsidRDefault="008974D6">
            <w:r w:rsidRPr="008974D6">
              <w:t>273.18(a)(2)</w:t>
            </w:r>
          </w:p>
        </w:tc>
        <w:tc>
          <w:tcPr>
            <w:tcW w:w="2700" w:type="dxa"/>
            <w:noWrap/>
            <w:hideMark/>
          </w:tcPr>
          <w:p w14:paraId="5588F387" w14:textId="77777777" w:rsidR="008974D6" w:rsidRPr="008974D6" w:rsidRDefault="008974D6">
            <w:r w:rsidRPr="008974D6">
              <w:t>884,516.00</w:t>
            </w:r>
          </w:p>
        </w:tc>
        <w:tc>
          <w:tcPr>
            <w:tcW w:w="2580" w:type="dxa"/>
            <w:noWrap/>
            <w:hideMark/>
          </w:tcPr>
          <w:p w14:paraId="01F36268" w14:textId="77777777" w:rsidR="008974D6" w:rsidRPr="008974D6" w:rsidRDefault="008974D6">
            <w:r w:rsidRPr="008974D6">
              <w:t>1.00</w:t>
            </w:r>
          </w:p>
        </w:tc>
        <w:tc>
          <w:tcPr>
            <w:tcW w:w="3280" w:type="dxa"/>
            <w:noWrap/>
            <w:hideMark/>
          </w:tcPr>
          <w:p w14:paraId="7112D385" w14:textId="77777777" w:rsidR="008974D6" w:rsidRPr="008974D6" w:rsidRDefault="008974D6">
            <w:r w:rsidRPr="008974D6">
              <w:t>884,516.00</w:t>
            </w:r>
          </w:p>
        </w:tc>
        <w:tc>
          <w:tcPr>
            <w:tcW w:w="2380" w:type="dxa"/>
            <w:noWrap/>
            <w:hideMark/>
          </w:tcPr>
          <w:p w14:paraId="7A4987CE" w14:textId="77777777" w:rsidR="008974D6" w:rsidRPr="008974D6" w:rsidRDefault="008974D6">
            <w:r w:rsidRPr="008974D6">
              <w:t>0.0334</w:t>
            </w:r>
          </w:p>
        </w:tc>
        <w:tc>
          <w:tcPr>
            <w:tcW w:w="2380" w:type="dxa"/>
            <w:noWrap/>
            <w:hideMark/>
          </w:tcPr>
          <w:p w14:paraId="71EBEF95" w14:textId="77777777" w:rsidR="008974D6" w:rsidRPr="008974D6" w:rsidRDefault="008974D6">
            <w:r w:rsidRPr="008974D6">
              <w:t>29,542.83</w:t>
            </w:r>
          </w:p>
        </w:tc>
      </w:tr>
      <w:tr w:rsidR="008974D6" w:rsidRPr="008974D6" w14:paraId="44CB75BD" w14:textId="77777777" w:rsidTr="008974D6">
        <w:trPr>
          <w:trHeight w:val="816"/>
        </w:trPr>
        <w:tc>
          <w:tcPr>
            <w:tcW w:w="5120" w:type="dxa"/>
            <w:hideMark/>
          </w:tcPr>
          <w:p w14:paraId="23AC2C95" w14:textId="77777777" w:rsidR="008974D6" w:rsidRPr="008974D6" w:rsidRDefault="008974D6">
            <w:r w:rsidRPr="008974D6">
              <w:t>Notice for Hearing or Prosecution</w:t>
            </w:r>
          </w:p>
        </w:tc>
        <w:tc>
          <w:tcPr>
            <w:tcW w:w="2720" w:type="dxa"/>
            <w:hideMark/>
          </w:tcPr>
          <w:p w14:paraId="1F371691" w14:textId="77777777" w:rsidR="008974D6" w:rsidRPr="008974D6" w:rsidRDefault="008974D6">
            <w:r w:rsidRPr="008974D6">
              <w:t>273.16(e)(3)</w:t>
            </w:r>
          </w:p>
        </w:tc>
        <w:tc>
          <w:tcPr>
            <w:tcW w:w="2700" w:type="dxa"/>
            <w:noWrap/>
            <w:hideMark/>
          </w:tcPr>
          <w:p w14:paraId="1F697944" w14:textId="77777777" w:rsidR="008974D6" w:rsidRPr="008974D6" w:rsidRDefault="008974D6">
            <w:r w:rsidRPr="008974D6">
              <w:t>43,743.00</w:t>
            </w:r>
          </w:p>
        </w:tc>
        <w:tc>
          <w:tcPr>
            <w:tcW w:w="2580" w:type="dxa"/>
            <w:noWrap/>
            <w:hideMark/>
          </w:tcPr>
          <w:p w14:paraId="2C5DEF36" w14:textId="77777777" w:rsidR="008974D6" w:rsidRPr="008974D6" w:rsidRDefault="008974D6">
            <w:r w:rsidRPr="008974D6">
              <w:t>1.00</w:t>
            </w:r>
          </w:p>
        </w:tc>
        <w:tc>
          <w:tcPr>
            <w:tcW w:w="3280" w:type="dxa"/>
            <w:noWrap/>
            <w:hideMark/>
          </w:tcPr>
          <w:p w14:paraId="2AAEA55D" w14:textId="77777777" w:rsidR="008974D6" w:rsidRPr="008974D6" w:rsidRDefault="008974D6">
            <w:r w:rsidRPr="008974D6">
              <w:t>43,743.00</w:t>
            </w:r>
          </w:p>
        </w:tc>
        <w:tc>
          <w:tcPr>
            <w:tcW w:w="2380" w:type="dxa"/>
            <w:noWrap/>
            <w:hideMark/>
          </w:tcPr>
          <w:p w14:paraId="090AA3DA" w14:textId="77777777" w:rsidR="008974D6" w:rsidRPr="008974D6" w:rsidRDefault="008974D6">
            <w:r w:rsidRPr="008974D6">
              <w:t>0.0167</w:t>
            </w:r>
          </w:p>
        </w:tc>
        <w:tc>
          <w:tcPr>
            <w:tcW w:w="2380" w:type="dxa"/>
            <w:noWrap/>
            <w:hideMark/>
          </w:tcPr>
          <w:p w14:paraId="783C851C" w14:textId="77777777" w:rsidR="008974D6" w:rsidRPr="008974D6" w:rsidRDefault="008974D6">
            <w:r w:rsidRPr="008974D6">
              <w:t>729.06</w:t>
            </w:r>
          </w:p>
        </w:tc>
      </w:tr>
      <w:tr w:rsidR="008974D6" w:rsidRPr="008974D6" w14:paraId="2E45B185" w14:textId="77777777" w:rsidTr="008974D6">
        <w:trPr>
          <w:trHeight w:val="816"/>
        </w:trPr>
        <w:tc>
          <w:tcPr>
            <w:tcW w:w="5120" w:type="dxa"/>
            <w:hideMark/>
          </w:tcPr>
          <w:p w14:paraId="4C70A329" w14:textId="77777777" w:rsidR="008974D6" w:rsidRPr="008974D6" w:rsidRDefault="008974D6">
            <w:r w:rsidRPr="008974D6">
              <w:t>Administrative Disqualification Hearing Waiver</w:t>
            </w:r>
          </w:p>
        </w:tc>
        <w:tc>
          <w:tcPr>
            <w:tcW w:w="2720" w:type="dxa"/>
            <w:hideMark/>
          </w:tcPr>
          <w:p w14:paraId="18302B06" w14:textId="77777777" w:rsidR="008974D6" w:rsidRPr="008974D6" w:rsidRDefault="008974D6">
            <w:r w:rsidRPr="008974D6">
              <w:t>273.16(i)(2)</w:t>
            </w:r>
          </w:p>
        </w:tc>
        <w:tc>
          <w:tcPr>
            <w:tcW w:w="2700" w:type="dxa"/>
            <w:noWrap/>
            <w:hideMark/>
          </w:tcPr>
          <w:p w14:paraId="0AEF3177" w14:textId="77777777" w:rsidR="008974D6" w:rsidRPr="008974D6" w:rsidRDefault="008974D6">
            <w:r w:rsidRPr="008974D6">
              <w:t>18,112.00</w:t>
            </w:r>
          </w:p>
        </w:tc>
        <w:tc>
          <w:tcPr>
            <w:tcW w:w="2580" w:type="dxa"/>
            <w:noWrap/>
            <w:hideMark/>
          </w:tcPr>
          <w:p w14:paraId="1549631F" w14:textId="77777777" w:rsidR="008974D6" w:rsidRPr="008974D6" w:rsidRDefault="008974D6">
            <w:r w:rsidRPr="008974D6">
              <w:t>1.00</w:t>
            </w:r>
          </w:p>
        </w:tc>
        <w:tc>
          <w:tcPr>
            <w:tcW w:w="3280" w:type="dxa"/>
            <w:noWrap/>
            <w:hideMark/>
          </w:tcPr>
          <w:p w14:paraId="3B6C5B47" w14:textId="77777777" w:rsidR="008974D6" w:rsidRPr="008974D6" w:rsidRDefault="008974D6">
            <w:r w:rsidRPr="008974D6">
              <w:t>18,112.00</w:t>
            </w:r>
          </w:p>
        </w:tc>
        <w:tc>
          <w:tcPr>
            <w:tcW w:w="2380" w:type="dxa"/>
            <w:noWrap/>
            <w:hideMark/>
          </w:tcPr>
          <w:p w14:paraId="46F6836A" w14:textId="77777777" w:rsidR="008974D6" w:rsidRPr="008974D6" w:rsidRDefault="008974D6">
            <w:r w:rsidRPr="008974D6">
              <w:t>0.0334</w:t>
            </w:r>
          </w:p>
        </w:tc>
        <w:tc>
          <w:tcPr>
            <w:tcW w:w="2380" w:type="dxa"/>
            <w:noWrap/>
            <w:hideMark/>
          </w:tcPr>
          <w:p w14:paraId="7A1C646D" w14:textId="77777777" w:rsidR="008974D6" w:rsidRPr="008974D6" w:rsidRDefault="008974D6">
            <w:r w:rsidRPr="008974D6">
              <w:t>604.94</w:t>
            </w:r>
          </w:p>
        </w:tc>
      </w:tr>
      <w:tr w:rsidR="008974D6" w:rsidRPr="008974D6" w14:paraId="660E4549" w14:textId="77777777" w:rsidTr="008974D6">
        <w:trPr>
          <w:trHeight w:val="816"/>
        </w:trPr>
        <w:tc>
          <w:tcPr>
            <w:tcW w:w="5120" w:type="dxa"/>
            <w:hideMark/>
          </w:tcPr>
          <w:p w14:paraId="42B801D3" w14:textId="77777777" w:rsidR="008974D6" w:rsidRPr="008974D6" w:rsidRDefault="008974D6">
            <w:r w:rsidRPr="008974D6">
              <w:t>Disqualification Consent Agreement</w:t>
            </w:r>
          </w:p>
        </w:tc>
        <w:tc>
          <w:tcPr>
            <w:tcW w:w="2720" w:type="dxa"/>
            <w:hideMark/>
          </w:tcPr>
          <w:p w14:paraId="282AD292" w14:textId="77777777" w:rsidR="008974D6" w:rsidRPr="008974D6" w:rsidRDefault="008974D6">
            <w:r w:rsidRPr="008974D6">
              <w:t>273.16(i)(2)</w:t>
            </w:r>
          </w:p>
        </w:tc>
        <w:tc>
          <w:tcPr>
            <w:tcW w:w="2700" w:type="dxa"/>
            <w:noWrap/>
            <w:hideMark/>
          </w:tcPr>
          <w:p w14:paraId="0DDCF97E" w14:textId="77777777" w:rsidR="008974D6" w:rsidRPr="008974D6" w:rsidRDefault="008974D6">
            <w:r w:rsidRPr="008974D6">
              <w:t>6,849.00</w:t>
            </w:r>
          </w:p>
        </w:tc>
        <w:tc>
          <w:tcPr>
            <w:tcW w:w="2580" w:type="dxa"/>
            <w:noWrap/>
            <w:hideMark/>
          </w:tcPr>
          <w:p w14:paraId="715C1111" w14:textId="77777777" w:rsidR="008974D6" w:rsidRPr="008974D6" w:rsidRDefault="008974D6">
            <w:r w:rsidRPr="008974D6">
              <w:t>1.00</w:t>
            </w:r>
          </w:p>
        </w:tc>
        <w:tc>
          <w:tcPr>
            <w:tcW w:w="3280" w:type="dxa"/>
            <w:noWrap/>
            <w:hideMark/>
          </w:tcPr>
          <w:p w14:paraId="74079F26" w14:textId="77777777" w:rsidR="008974D6" w:rsidRPr="008974D6" w:rsidRDefault="008974D6">
            <w:r w:rsidRPr="008974D6">
              <w:t>6,849.00</w:t>
            </w:r>
          </w:p>
        </w:tc>
        <w:tc>
          <w:tcPr>
            <w:tcW w:w="2380" w:type="dxa"/>
            <w:noWrap/>
            <w:hideMark/>
          </w:tcPr>
          <w:p w14:paraId="63717D3F" w14:textId="77777777" w:rsidR="008974D6" w:rsidRPr="008974D6" w:rsidRDefault="008974D6">
            <w:r w:rsidRPr="008974D6">
              <w:t>0.0334</w:t>
            </w:r>
          </w:p>
        </w:tc>
        <w:tc>
          <w:tcPr>
            <w:tcW w:w="2380" w:type="dxa"/>
            <w:noWrap/>
            <w:hideMark/>
          </w:tcPr>
          <w:p w14:paraId="13DED140" w14:textId="77777777" w:rsidR="008974D6" w:rsidRPr="008974D6" w:rsidRDefault="008974D6">
            <w:r w:rsidRPr="008974D6">
              <w:t>228.76</w:t>
            </w:r>
          </w:p>
        </w:tc>
      </w:tr>
      <w:tr w:rsidR="008974D6" w:rsidRPr="008974D6" w14:paraId="3B5939CF" w14:textId="77777777" w:rsidTr="008974D6">
        <w:trPr>
          <w:trHeight w:val="1248"/>
        </w:trPr>
        <w:tc>
          <w:tcPr>
            <w:tcW w:w="5120" w:type="dxa"/>
            <w:hideMark/>
          </w:tcPr>
          <w:p w14:paraId="4C84F4D5" w14:textId="77777777" w:rsidR="008974D6" w:rsidRPr="008974D6" w:rsidRDefault="008974D6">
            <w:pPr>
              <w:rPr>
                <w:i/>
                <w:iCs/>
              </w:rPr>
            </w:pPr>
            <w:r w:rsidRPr="008974D6">
              <w:rPr>
                <w:i/>
                <w:iCs/>
              </w:rPr>
              <w:t xml:space="preserve">Action Taken on Hearing or Court Decision: </w:t>
            </w:r>
            <w:r w:rsidRPr="008974D6">
              <w:t xml:space="preserve"> </w:t>
            </w:r>
            <w:r w:rsidRPr="008974D6">
              <w:rPr>
                <w:b/>
                <w:bCs/>
              </w:rPr>
              <w:t>For IPV Findings</w:t>
            </w:r>
          </w:p>
        </w:tc>
        <w:tc>
          <w:tcPr>
            <w:tcW w:w="2720" w:type="dxa"/>
            <w:hideMark/>
          </w:tcPr>
          <w:p w14:paraId="23B17E20" w14:textId="77777777" w:rsidR="008974D6" w:rsidRPr="008974D6" w:rsidRDefault="008974D6">
            <w:r w:rsidRPr="008974D6">
              <w:t>273.16(e)(9)</w:t>
            </w:r>
          </w:p>
        </w:tc>
        <w:tc>
          <w:tcPr>
            <w:tcW w:w="2700" w:type="dxa"/>
            <w:noWrap/>
            <w:hideMark/>
          </w:tcPr>
          <w:p w14:paraId="6B4056EE" w14:textId="77777777" w:rsidR="008974D6" w:rsidRPr="008974D6" w:rsidRDefault="008974D6">
            <w:r w:rsidRPr="008974D6">
              <w:t>42,437.00</w:t>
            </w:r>
          </w:p>
        </w:tc>
        <w:tc>
          <w:tcPr>
            <w:tcW w:w="2580" w:type="dxa"/>
            <w:noWrap/>
            <w:hideMark/>
          </w:tcPr>
          <w:p w14:paraId="1E53E957" w14:textId="77777777" w:rsidR="008974D6" w:rsidRPr="008974D6" w:rsidRDefault="008974D6">
            <w:r w:rsidRPr="008974D6">
              <w:t>1.00</w:t>
            </w:r>
          </w:p>
        </w:tc>
        <w:tc>
          <w:tcPr>
            <w:tcW w:w="3280" w:type="dxa"/>
            <w:noWrap/>
            <w:hideMark/>
          </w:tcPr>
          <w:p w14:paraId="142B7245" w14:textId="77777777" w:rsidR="008974D6" w:rsidRPr="008974D6" w:rsidRDefault="008974D6">
            <w:r w:rsidRPr="008974D6">
              <w:t>42,437.00</w:t>
            </w:r>
          </w:p>
        </w:tc>
        <w:tc>
          <w:tcPr>
            <w:tcW w:w="2380" w:type="dxa"/>
            <w:noWrap/>
            <w:hideMark/>
          </w:tcPr>
          <w:p w14:paraId="61CB755D" w14:textId="77777777" w:rsidR="008974D6" w:rsidRPr="008974D6" w:rsidRDefault="008974D6">
            <w:r w:rsidRPr="008974D6">
              <w:t>0.0167</w:t>
            </w:r>
          </w:p>
        </w:tc>
        <w:tc>
          <w:tcPr>
            <w:tcW w:w="2380" w:type="dxa"/>
            <w:noWrap/>
            <w:hideMark/>
          </w:tcPr>
          <w:p w14:paraId="556268BF" w14:textId="77777777" w:rsidR="008974D6" w:rsidRPr="008974D6" w:rsidRDefault="008974D6">
            <w:r w:rsidRPr="008974D6">
              <w:t>707.28</w:t>
            </w:r>
          </w:p>
        </w:tc>
      </w:tr>
      <w:tr w:rsidR="008974D6" w:rsidRPr="008974D6" w14:paraId="61600390" w14:textId="77777777" w:rsidTr="008974D6">
        <w:trPr>
          <w:trHeight w:val="1260"/>
        </w:trPr>
        <w:tc>
          <w:tcPr>
            <w:tcW w:w="5120" w:type="dxa"/>
            <w:hideMark/>
          </w:tcPr>
          <w:p w14:paraId="690B8C8B" w14:textId="77777777" w:rsidR="008974D6" w:rsidRPr="008974D6" w:rsidRDefault="008974D6">
            <w:pPr>
              <w:rPr>
                <w:i/>
                <w:iCs/>
              </w:rPr>
            </w:pPr>
            <w:r w:rsidRPr="008974D6">
              <w:rPr>
                <w:i/>
                <w:iCs/>
              </w:rPr>
              <w:t>Action Taken on Hearing or Court Decision:</w:t>
            </w:r>
            <w:r w:rsidRPr="008974D6">
              <w:t xml:space="preserve"> </w:t>
            </w:r>
            <w:r w:rsidRPr="008974D6">
              <w:rPr>
                <w:b/>
                <w:bCs/>
              </w:rPr>
              <w:t>For No IPV Findings</w:t>
            </w:r>
          </w:p>
        </w:tc>
        <w:tc>
          <w:tcPr>
            <w:tcW w:w="2720" w:type="dxa"/>
            <w:hideMark/>
          </w:tcPr>
          <w:p w14:paraId="7B1BA23C" w14:textId="77777777" w:rsidR="008974D6" w:rsidRPr="008974D6" w:rsidRDefault="008974D6">
            <w:r w:rsidRPr="008974D6">
              <w:t>273.16(e)(9)</w:t>
            </w:r>
          </w:p>
        </w:tc>
        <w:tc>
          <w:tcPr>
            <w:tcW w:w="2700" w:type="dxa"/>
            <w:noWrap/>
            <w:hideMark/>
          </w:tcPr>
          <w:p w14:paraId="6E2BCDA8" w14:textId="77777777" w:rsidR="008974D6" w:rsidRPr="008974D6" w:rsidRDefault="008974D6">
            <w:r w:rsidRPr="008974D6">
              <w:t>1,306.00</w:t>
            </w:r>
          </w:p>
        </w:tc>
        <w:tc>
          <w:tcPr>
            <w:tcW w:w="2580" w:type="dxa"/>
            <w:noWrap/>
            <w:hideMark/>
          </w:tcPr>
          <w:p w14:paraId="217D9B99" w14:textId="77777777" w:rsidR="008974D6" w:rsidRPr="008974D6" w:rsidRDefault="008974D6">
            <w:r w:rsidRPr="008974D6">
              <w:t>1.00</w:t>
            </w:r>
          </w:p>
        </w:tc>
        <w:tc>
          <w:tcPr>
            <w:tcW w:w="3280" w:type="dxa"/>
            <w:noWrap/>
            <w:hideMark/>
          </w:tcPr>
          <w:p w14:paraId="6AC6EFE8" w14:textId="77777777" w:rsidR="008974D6" w:rsidRPr="008974D6" w:rsidRDefault="008974D6">
            <w:r w:rsidRPr="008974D6">
              <w:t>1,306.00</w:t>
            </w:r>
          </w:p>
        </w:tc>
        <w:tc>
          <w:tcPr>
            <w:tcW w:w="2380" w:type="dxa"/>
            <w:noWrap/>
            <w:hideMark/>
          </w:tcPr>
          <w:p w14:paraId="6CEE8161" w14:textId="77777777" w:rsidR="008974D6" w:rsidRPr="008974D6" w:rsidRDefault="008974D6">
            <w:r w:rsidRPr="008974D6">
              <w:t>0.0167</w:t>
            </w:r>
          </w:p>
        </w:tc>
        <w:tc>
          <w:tcPr>
            <w:tcW w:w="2380" w:type="dxa"/>
            <w:noWrap/>
            <w:hideMark/>
          </w:tcPr>
          <w:p w14:paraId="14E647DF" w14:textId="77777777" w:rsidR="008974D6" w:rsidRPr="008974D6" w:rsidRDefault="008974D6">
            <w:r w:rsidRPr="008974D6">
              <w:t>21.77</w:t>
            </w:r>
          </w:p>
        </w:tc>
      </w:tr>
      <w:tr w:rsidR="008974D6" w:rsidRPr="008974D6" w14:paraId="0967C5E3" w14:textId="77777777" w:rsidTr="008974D6">
        <w:trPr>
          <w:trHeight w:val="852"/>
        </w:trPr>
        <w:tc>
          <w:tcPr>
            <w:tcW w:w="5120" w:type="dxa"/>
            <w:hideMark/>
          </w:tcPr>
          <w:p w14:paraId="3B758514" w14:textId="77777777" w:rsidR="008974D6" w:rsidRPr="008974D6" w:rsidRDefault="008974D6">
            <w:pPr>
              <w:rPr>
                <w:b/>
                <w:bCs/>
              </w:rPr>
            </w:pPr>
            <w:r w:rsidRPr="008974D6">
              <w:rPr>
                <w:b/>
                <w:bCs/>
              </w:rPr>
              <w:t>Total Household Reporting Burden</w:t>
            </w:r>
          </w:p>
        </w:tc>
        <w:tc>
          <w:tcPr>
            <w:tcW w:w="2720" w:type="dxa"/>
            <w:hideMark/>
          </w:tcPr>
          <w:p w14:paraId="267F1AF9" w14:textId="77777777" w:rsidR="008974D6" w:rsidRPr="008974D6" w:rsidRDefault="008974D6">
            <w:pPr>
              <w:rPr>
                <w:b/>
                <w:bCs/>
              </w:rPr>
            </w:pPr>
            <w:r w:rsidRPr="008974D6">
              <w:rPr>
                <w:b/>
                <w:bCs/>
              </w:rPr>
              <w:t> </w:t>
            </w:r>
          </w:p>
        </w:tc>
        <w:tc>
          <w:tcPr>
            <w:tcW w:w="2700" w:type="dxa"/>
            <w:noWrap/>
            <w:hideMark/>
          </w:tcPr>
          <w:p w14:paraId="753A799A" w14:textId="77777777" w:rsidR="008974D6" w:rsidRPr="008974D6" w:rsidRDefault="008974D6">
            <w:r w:rsidRPr="008974D6">
              <w:t>884,516</w:t>
            </w:r>
          </w:p>
        </w:tc>
        <w:tc>
          <w:tcPr>
            <w:tcW w:w="2580" w:type="dxa"/>
            <w:noWrap/>
            <w:hideMark/>
          </w:tcPr>
          <w:p w14:paraId="5F57FD28" w14:textId="77777777" w:rsidR="008974D6" w:rsidRPr="008974D6" w:rsidRDefault="008974D6">
            <w:r w:rsidRPr="008974D6">
              <w:t>1.12713</w:t>
            </w:r>
          </w:p>
        </w:tc>
        <w:tc>
          <w:tcPr>
            <w:tcW w:w="3280" w:type="dxa"/>
            <w:noWrap/>
            <w:hideMark/>
          </w:tcPr>
          <w:p w14:paraId="4D97DD3E" w14:textId="77777777" w:rsidR="008974D6" w:rsidRPr="008974D6" w:rsidRDefault="008974D6">
            <w:r w:rsidRPr="008974D6">
              <w:t>996,963.00</w:t>
            </w:r>
          </w:p>
        </w:tc>
        <w:tc>
          <w:tcPr>
            <w:tcW w:w="2380" w:type="dxa"/>
            <w:noWrap/>
            <w:hideMark/>
          </w:tcPr>
          <w:p w14:paraId="560F7B13" w14:textId="77777777" w:rsidR="008974D6" w:rsidRPr="008974D6" w:rsidRDefault="008974D6">
            <w:r w:rsidRPr="008974D6">
              <w:t>0.0319</w:t>
            </w:r>
          </w:p>
        </w:tc>
        <w:tc>
          <w:tcPr>
            <w:tcW w:w="2380" w:type="dxa"/>
            <w:noWrap/>
            <w:hideMark/>
          </w:tcPr>
          <w:p w14:paraId="2AF162CB" w14:textId="77777777" w:rsidR="008974D6" w:rsidRPr="008974D6" w:rsidRDefault="008974D6">
            <w:r w:rsidRPr="008974D6">
              <w:t>31,834.64</w:t>
            </w:r>
          </w:p>
        </w:tc>
      </w:tr>
      <w:tr w:rsidR="008974D6" w:rsidRPr="008974D6" w14:paraId="3DB30D1B" w14:textId="77777777" w:rsidTr="008974D6">
        <w:trPr>
          <w:trHeight w:val="432"/>
        </w:trPr>
        <w:tc>
          <w:tcPr>
            <w:tcW w:w="5120" w:type="dxa"/>
            <w:hideMark/>
          </w:tcPr>
          <w:p w14:paraId="6D1F5B85" w14:textId="77777777" w:rsidR="008974D6" w:rsidRPr="008974D6" w:rsidRDefault="008974D6">
            <w:pPr>
              <w:rPr>
                <w:b/>
                <w:bCs/>
              </w:rPr>
            </w:pPr>
          </w:p>
        </w:tc>
        <w:tc>
          <w:tcPr>
            <w:tcW w:w="2720" w:type="dxa"/>
            <w:noWrap/>
            <w:hideMark/>
          </w:tcPr>
          <w:p w14:paraId="6706F726" w14:textId="77777777" w:rsidR="008974D6" w:rsidRPr="008974D6" w:rsidRDefault="008974D6">
            <w:pPr>
              <w:rPr>
                <w:b/>
                <w:bCs/>
              </w:rPr>
            </w:pPr>
          </w:p>
        </w:tc>
        <w:tc>
          <w:tcPr>
            <w:tcW w:w="2700" w:type="dxa"/>
            <w:noWrap/>
            <w:hideMark/>
          </w:tcPr>
          <w:p w14:paraId="114453FC" w14:textId="77777777" w:rsidR="008974D6" w:rsidRPr="008974D6" w:rsidRDefault="008974D6"/>
        </w:tc>
        <w:tc>
          <w:tcPr>
            <w:tcW w:w="2580" w:type="dxa"/>
            <w:noWrap/>
            <w:hideMark/>
          </w:tcPr>
          <w:p w14:paraId="0556A299" w14:textId="77777777" w:rsidR="008974D6" w:rsidRPr="008974D6" w:rsidRDefault="008974D6"/>
        </w:tc>
        <w:tc>
          <w:tcPr>
            <w:tcW w:w="3280" w:type="dxa"/>
            <w:noWrap/>
            <w:hideMark/>
          </w:tcPr>
          <w:p w14:paraId="67A875F6" w14:textId="77777777" w:rsidR="008974D6" w:rsidRPr="008974D6" w:rsidRDefault="008974D6"/>
        </w:tc>
        <w:tc>
          <w:tcPr>
            <w:tcW w:w="2380" w:type="dxa"/>
            <w:noWrap/>
            <w:hideMark/>
          </w:tcPr>
          <w:p w14:paraId="44C248EA" w14:textId="77777777" w:rsidR="008974D6" w:rsidRPr="008974D6" w:rsidRDefault="008974D6"/>
        </w:tc>
        <w:tc>
          <w:tcPr>
            <w:tcW w:w="2380" w:type="dxa"/>
            <w:noWrap/>
            <w:hideMark/>
          </w:tcPr>
          <w:p w14:paraId="6C741E15" w14:textId="77777777" w:rsidR="008974D6" w:rsidRPr="008974D6" w:rsidRDefault="008974D6">
            <w:pPr>
              <w:rPr>
                <w:b/>
                <w:bCs/>
              </w:rPr>
            </w:pPr>
          </w:p>
        </w:tc>
      </w:tr>
      <w:tr w:rsidR="008974D6" w:rsidRPr="008974D6" w14:paraId="46BD2041" w14:textId="77777777" w:rsidTr="008974D6">
        <w:trPr>
          <w:trHeight w:val="420"/>
        </w:trPr>
        <w:tc>
          <w:tcPr>
            <w:tcW w:w="21160" w:type="dxa"/>
            <w:gridSpan w:val="7"/>
            <w:hideMark/>
          </w:tcPr>
          <w:p w14:paraId="190A99DB" w14:textId="77777777" w:rsidR="008974D6" w:rsidRPr="008974D6" w:rsidRDefault="008974D6" w:rsidP="008974D6">
            <w:pPr>
              <w:rPr>
                <w:b/>
                <w:bCs/>
              </w:rPr>
            </w:pPr>
            <w:r w:rsidRPr="008974D6">
              <w:rPr>
                <w:b/>
                <w:bCs/>
              </w:rPr>
              <w:t>SUMMARY OF BURDEN</w:t>
            </w:r>
          </w:p>
        </w:tc>
      </w:tr>
      <w:tr w:rsidR="008974D6" w:rsidRPr="008974D6" w14:paraId="4E1127C3" w14:textId="77777777" w:rsidTr="008974D6">
        <w:trPr>
          <w:trHeight w:val="408"/>
        </w:trPr>
        <w:tc>
          <w:tcPr>
            <w:tcW w:w="7840" w:type="dxa"/>
            <w:gridSpan w:val="2"/>
            <w:hideMark/>
          </w:tcPr>
          <w:p w14:paraId="608B3235" w14:textId="77777777" w:rsidR="008974D6" w:rsidRPr="008974D6" w:rsidRDefault="008974D6" w:rsidP="008974D6">
            <w:r w:rsidRPr="008974D6">
              <w:t>State Agency Level</w:t>
            </w:r>
          </w:p>
        </w:tc>
        <w:tc>
          <w:tcPr>
            <w:tcW w:w="2700" w:type="dxa"/>
            <w:noWrap/>
            <w:hideMark/>
          </w:tcPr>
          <w:p w14:paraId="5711F7DD" w14:textId="77777777" w:rsidR="008974D6" w:rsidRPr="008974D6" w:rsidRDefault="008974D6">
            <w:r w:rsidRPr="008974D6">
              <w:t>53</w:t>
            </w:r>
          </w:p>
        </w:tc>
        <w:tc>
          <w:tcPr>
            <w:tcW w:w="2580" w:type="dxa"/>
            <w:noWrap/>
            <w:hideMark/>
          </w:tcPr>
          <w:p w14:paraId="675EC69A" w14:textId="77777777" w:rsidR="008974D6" w:rsidRPr="008974D6" w:rsidRDefault="008974D6">
            <w:r w:rsidRPr="008974D6">
              <w:t>38,772.29</w:t>
            </w:r>
          </w:p>
        </w:tc>
        <w:tc>
          <w:tcPr>
            <w:tcW w:w="3280" w:type="dxa"/>
            <w:noWrap/>
            <w:hideMark/>
          </w:tcPr>
          <w:p w14:paraId="39F602AC" w14:textId="77777777" w:rsidR="008974D6" w:rsidRPr="008974D6" w:rsidRDefault="008974D6">
            <w:r w:rsidRPr="008974D6">
              <w:t>2,054,931.32</w:t>
            </w:r>
          </w:p>
        </w:tc>
        <w:tc>
          <w:tcPr>
            <w:tcW w:w="2380" w:type="dxa"/>
            <w:noWrap/>
            <w:hideMark/>
          </w:tcPr>
          <w:p w14:paraId="2DD15C93" w14:textId="77777777" w:rsidR="008974D6" w:rsidRPr="008974D6" w:rsidRDefault="008974D6">
            <w:r w:rsidRPr="008974D6">
              <w:t> </w:t>
            </w:r>
          </w:p>
        </w:tc>
        <w:tc>
          <w:tcPr>
            <w:tcW w:w="2380" w:type="dxa"/>
            <w:noWrap/>
            <w:hideMark/>
          </w:tcPr>
          <w:p w14:paraId="53D92FF2" w14:textId="77777777" w:rsidR="008974D6" w:rsidRPr="008974D6" w:rsidRDefault="008974D6">
            <w:r w:rsidRPr="008974D6">
              <w:t>171,752.65</w:t>
            </w:r>
          </w:p>
        </w:tc>
      </w:tr>
      <w:tr w:rsidR="008974D6" w:rsidRPr="008974D6" w14:paraId="1E0FDBB8" w14:textId="77777777" w:rsidTr="008974D6">
        <w:trPr>
          <w:trHeight w:val="408"/>
        </w:trPr>
        <w:tc>
          <w:tcPr>
            <w:tcW w:w="7840" w:type="dxa"/>
            <w:gridSpan w:val="2"/>
            <w:hideMark/>
          </w:tcPr>
          <w:p w14:paraId="032F3D4F" w14:textId="77777777" w:rsidR="008974D6" w:rsidRPr="008974D6" w:rsidRDefault="008974D6" w:rsidP="008974D6">
            <w:r w:rsidRPr="008974D6">
              <w:t>Household</w:t>
            </w:r>
          </w:p>
        </w:tc>
        <w:tc>
          <w:tcPr>
            <w:tcW w:w="2700" w:type="dxa"/>
            <w:noWrap/>
            <w:hideMark/>
          </w:tcPr>
          <w:p w14:paraId="464FAE88" w14:textId="77777777" w:rsidR="008974D6" w:rsidRPr="008974D6" w:rsidRDefault="008974D6">
            <w:r w:rsidRPr="008974D6">
              <w:t>884,516</w:t>
            </w:r>
          </w:p>
        </w:tc>
        <w:tc>
          <w:tcPr>
            <w:tcW w:w="2580" w:type="dxa"/>
            <w:noWrap/>
            <w:hideMark/>
          </w:tcPr>
          <w:p w14:paraId="79E75F09" w14:textId="77777777" w:rsidR="008974D6" w:rsidRPr="008974D6" w:rsidRDefault="008974D6">
            <w:r w:rsidRPr="008974D6">
              <w:t> </w:t>
            </w:r>
          </w:p>
        </w:tc>
        <w:tc>
          <w:tcPr>
            <w:tcW w:w="3280" w:type="dxa"/>
            <w:noWrap/>
            <w:hideMark/>
          </w:tcPr>
          <w:p w14:paraId="3C35E5FD" w14:textId="77777777" w:rsidR="008974D6" w:rsidRPr="008974D6" w:rsidRDefault="008974D6">
            <w:r w:rsidRPr="008974D6">
              <w:t>996,963.00</w:t>
            </w:r>
          </w:p>
        </w:tc>
        <w:tc>
          <w:tcPr>
            <w:tcW w:w="2380" w:type="dxa"/>
            <w:noWrap/>
            <w:hideMark/>
          </w:tcPr>
          <w:p w14:paraId="7AC4EF34" w14:textId="77777777" w:rsidR="008974D6" w:rsidRPr="008974D6" w:rsidRDefault="008974D6">
            <w:r w:rsidRPr="008974D6">
              <w:t> </w:t>
            </w:r>
          </w:p>
        </w:tc>
        <w:tc>
          <w:tcPr>
            <w:tcW w:w="2380" w:type="dxa"/>
            <w:noWrap/>
            <w:hideMark/>
          </w:tcPr>
          <w:p w14:paraId="701984FD" w14:textId="77777777" w:rsidR="008974D6" w:rsidRPr="008974D6" w:rsidRDefault="008974D6">
            <w:r w:rsidRPr="008974D6">
              <w:t>31,834.64</w:t>
            </w:r>
          </w:p>
        </w:tc>
      </w:tr>
      <w:tr w:rsidR="008974D6" w:rsidRPr="008974D6" w14:paraId="03677B67" w14:textId="77777777" w:rsidTr="008974D6">
        <w:trPr>
          <w:trHeight w:val="825"/>
        </w:trPr>
        <w:tc>
          <w:tcPr>
            <w:tcW w:w="7840" w:type="dxa"/>
            <w:gridSpan w:val="2"/>
            <w:hideMark/>
          </w:tcPr>
          <w:p w14:paraId="616CD46B" w14:textId="77777777" w:rsidR="008974D6" w:rsidRPr="008974D6" w:rsidRDefault="008974D6" w:rsidP="008974D6">
            <w:pPr>
              <w:rPr>
                <w:b/>
                <w:bCs/>
              </w:rPr>
            </w:pPr>
            <w:r w:rsidRPr="008974D6">
              <w:rPr>
                <w:b/>
                <w:bCs/>
              </w:rPr>
              <w:t>TOTAL BURDEN THIS COLLECTION</w:t>
            </w:r>
          </w:p>
        </w:tc>
        <w:tc>
          <w:tcPr>
            <w:tcW w:w="2700" w:type="dxa"/>
            <w:noWrap/>
            <w:hideMark/>
          </w:tcPr>
          <w:p w14:paraId="271DFE04" w14:textId="77777777" w:rsidR="008974D6" w:rsidRPr="008974D6" w:rsidRDefault="008974D6">
            <w:r w:rsidRPr="008974D6">
              <w:t>884,569</w:t>
            </w:r>
          </w:p>
        </w:tc>
        <w:tc>
          <w:tcPr>
            <w:tcW w:w="2580" w:type="dxa"/>
            <w:noWrap/>
            <w:hideMark/>
          </w:tcPr>
          <w:p w14:paraId="44A69D92" w14:textId="77777777" w:rsidR="008974D6" w:rsidRPr="008974D6" w:rsidRDefault="008974D6">
            <w:r w:rsidRPr="008974D6">
              <w:t>3.45015</w:t>
            </w:r>
          </w:p>
        </w:tc>
        <w:tc>
          <w:tcPr>
            <w:tcW w:w="3280" w:type="dxa"/>
            <w:noWrap/>
            <w:hideMark/>
          </w:tcPr>
          <w:p w14:paraId="46F7B3C5" w14:textId="77777777" w:rsidR="008974D6" w:rsidRPr="008974D6" w:rsidRDefault="008974D6">
            <w:r w:rsidRPr="008974D6">
              <w:t>3,051,894.32</w:t>
            </w:r>
          </w:p>
        </w:tc>
        <w:tc>
          <w:tcPr>
            <w:tcW w:w="2380" w:type="dxa"/>
            <w:noWrap/>
            <w:hideMark/>
          </w:tcPr>
          <w:p w14:paraId="27B85C38" w14:textId="77777777" w:rsidR="008974D6" w:rsidRPr="008974D6" w:rsidRDefault="008974D6">
            <w:r w:rsidRPr="008974D6">
              <w:t>0.06671</w:t>
            </w:r>
          </w:p>
        </w:tc>
        <w:tc>
          <w:tcPr>
            <w:tcW w:w="2380" w:type="dxa"/>
            <w:noWrap/>
            <w:hideMark/>
          </w:tcPr>
          <w:p w14:paraId="66B6870A" w14:textId="77777777" w:rsidR="008974D6" w:rsidRPr="008974D6" w:rsidRDefault="008974D6">
            <w:r w:rsidRPr="008974D6">
              <w:t>203,587.29</w:t>
            </w:r>
          </w:p>
        </w:tc>
      </w:tr>
    </w:tbl>
    <w:p w14:paraId="289F9A44" w14:textId="77777777" w:rsidR="005856B7" w:rsidRDefault="00406A42" w:rsidP="0093445F">
      <w:pPr>
        <w:spacing w:line="480" w:lineRule="auto"/>
        <w:contextualSpacing/>
        <w:rPr>
          <w:sz w:val="20"/>
          <w:szCs w:val="20"/>
        </w:rPr>
      </w:pPr>
      <w:r>
        <w:fldChar w:fldCharType="begin"/>
      </w:r>
      <w:r>
        <w:instrText xml:space="preserve"> LINK </w:instrText>
      </w:r>
      <w:r w:rsidR="005856B7">
        <w:instrText xml:space="preserve">Excel.Sheet.12 "C:\\Users\\ralph.badette\\AppData\\Local\\Microsoft\\Windows\\Temporary Internet Files\\Content.Outlook\\MWJCZOH0\\Appendix 5 - OMB 0492 FINAL Burden table for SS PRAO comments 8-21-.2017.xlsx" "#0492 Burden!Print_Area" </w:instrText>
      </w:r>
      <w:r>
        <w:instrText xml:space="preserve">\a \f 4 \h  \* MERGEFORMAT </w:instrText>
      </w:r>
      <w:r>
        <w:fldChar w:fldCharType="separate"/>
      </w:r>
    </w:p>
    <w:p w14:paraId="78A5EFB9" w14:textId="2F25CD9E" w:rsidR="005856B7" w:rsidRDefault="00406A42" w:rsidP="0093445F">
      <w:pPr>
        <w:spacing w:line="480" w:lineRule="auto"/>
        <w:contextualSpacing/>
        <w:rPr>
          <w:sz w:val="20"/>
          <w:szCs w:val="20"/>
        </w:rPr>
      </w:pPr>
      <w:r>
        <w:fldChar w:fldCharType="end"/>
      </w:r>
      <w:r w:rsidR="000343B9">
        <w:rPr>
          <w:b/>
          <w:bCs/>
        </w:rPr>
        <w:fldChar w:fldCharType="begin"/>
      </w:r>
      <w:r w:rsidR="000343B9">
        <w:rPr>
          <w:b/>
          <w:bCs/>
        </w:rPr>
        <w:instrText xml:space="preserve"> LINK </w:instrText>
      </w:r>
      <w:r w:rsidR="005856B7">
        <w:rPr>
          <w:b/>
          <w:bCs/>
        </w:rPr>
        <w:instrText xml:space="preserve">Excel.Sheet.12 "C:\\Users\\ralph.badette\\AppData\\Local\\Microsoft\\Windows\\Temporary Internet Files\\Content.Outlook\\MWJCZOH0\\Appendix 5 - OMB 0492 FINAL Burden table for SS PRAO comments 8-21-.2017.xlsx" "#0492 Burden!Print_Area" </w:instrText>
      </w:r>
      <w:r w:rsidR="000343B9">
        <w:rPr>
          <w:b/>
          <w:bCs/>
        </w:rPr>
        <w:instrText xml:space="preserve">\a \f 5 \h  \* MERGEFORMAT </w:instrText>
      </w:r>
      <w:r w:rsidR="000343B9">
        <w:rPr>
          <w:b/>
          <w:bCs/>
        </w:rPr>
        <w:fldChar w:fldCharType="separate"/>
      </w:r>
      <w:bookmarkStart w:id="4" w:name="RANGE!A1:K34"/>
    </w:p>
    <w:bookmarkEnd w:id="4"/>
    <w:p w14:paraId="10EA910F" w14:textId="77777777" w:rsidR="00117BAA" w:rsidRDefault="000343B9" w:rsidP="0093445F">
      <w:pPr>
        <w:spacing w:line="480" w:lineRule="auto"/>
        <w:rPr>
          <w:b/>
          <w:bCs/>
        </w:rPr>
        <w:sectPr w:rsidR="00117BAA" w:rsidSect="00615D81">
          <w:pgSz w:w="15840" w:h="12240" w:orient="landscape"/>
          <w:pgMar w:top="1800" w:right="1440" w:bottom="1440" w:left="1440" w:header="720" w:footer="720" w:gutter="0"/>
          <w:cols w:space="720"/>
          <w:titlePg/>
          <w:docGrid w:linePitch="360"/>
        </w:sectPr>
      </w:pPr>
      <w:r>
        <w:rPr>
          <w:b/>
          <w:bCs/>
        </w:rPr>
        <w:fldChar w:fldCharType="end"/>
      </w:r>
    </w:p>
    <w:p w14:paraId="11CBA1E0" w14:textId="77777777" w:rsidR="0093445F" w:rsidRDefault="0093445F" w:rsidP="0093445F">
      <w:pPr>
        <w:spacing w:line="480" w:lineRule="auto"/>
        <w:rPr>
          <w:b/>
          <w:bCs/>
        </w:rPr>
      </w:pPr>
      <w:r>
        <w:rPr>
          <w:b/>
          <w:bCs/>
        </w:rPr>
        <w:t>B) Provide estimates of annualized cost to respondents for the hour burdens for collections of information, identifying and using appropriate wage rate categories.</w:t>
      </w:r>
    </w:p>
    <w:p w14:paraId="4C0DD568" w14:textId="77777777" w:rsidR="000670EF" w:rsidRPr="0093445F" w:rsidRDefault="000670EF" w:rsidP="0093445F">
      <w:pPr>
        <w:spacing w:line="480" w:lineRule="auto"/>
      </w:pPr>
    </w:p>
    <w:p w14:paraId="49C0D81D" w14:textId="77777777" w:rsidR="00242896" w:rsidRDefault="00E10C7A" w:rsidP="0093445F">
      <w:pPr>
        <w:spacing w:line="480" w:lineRule="auto"/>
        <w:rPr>
          <w:bCs/>
        </w:rPr>
      </w:pPr>
      <w:r w:rsidRPr="005856B7">
        <w:t xml:space="preserve">The combined total annualized cost </w:t>
      </w:r>
      <w:r w:rsidR="00733293" w:rsidRPr="005856B7">
        <w:t>for this information collection is $4,049,937.09.  This includes</w:t>
      </w:r>
      <w:r w:rsidRPr="005856B7">
        <w:t xml:space="preserve"> (States) </w:t>
      </w:r>
      <w:r w:rsidR="00733293" w:rsidRPr="005856B7">
        <w:t>which</w:t>
      </w:r>
      <w:r w:rsidR="007E4B52" w:rsidRPr="005856B7">
        <w:t xml:space="preserve"> is</w:t>
      </w:r>
      <w:r w:rsidR="00733293" w:rsidRPr="005856B7">
        <w:t xml:space="preserve"> </w:t>
      </w:r>
      <w:r w:rsidRPr="005856B7">
        <w:t>$3,</w:t>
      </w:r>
      <w:r w:rsidR="007E4B52" w:rsidRPr="005856B7">
        <w:t>589,848.48</w:t>
      </w:r>
      <w:r w:rsidRPr="005856B7">
        <w:t xml:space="preserve">. </w:t>
      </w:r>
      <w:r w:rsidR="00102834" w:rsidRPr="005856B7">
        <w:t>Based on the Bureau of Labor Statistics May 20</w:t>
      </w:r>
      <w:r w:rsidR="004764E0" w:rsidRPr="005856B7">
        <w:t>1</w:t>
      </w:r>
      <w:r w:rsidR="003330D1" w:rsidRPr="005856B7">
        <w:t>6</w:t>
      </w:r>
      <w:r w:rsidR="00102834" w:rsidRPr="005856B7">
        <w:t xml:space="preserve"> Occupational and Wage Statistics – 43-4061 (</w:t>
      </w:r>
      <w:r w:rsidR="003330D1" w:rsidRPr="005856B7">
        <w:t>https://www.bls.gov/oes/current/oes434061.htm</w:t>
      </w:r>
      <w:r w:rsidR="00102834" w:rsidRPr="005856B7">
        <w:t>), hourly mean wage for Eligibility Interviewers, Government Programs functions performed by State and local agency staff are valued at $</w:t>
      </w:r>
      <w:r w:rsidR="004764E0" w:rsidRPr="005856B7">
        <w:t>20.</w:t>
      </w:r>
      <w:r w:rsidR="00B742ED" w:rsidRPr="005856B7">
        <w:t xml:space="preserve">94 </w:t>
      </w:r>
      <w:r w:rsidR="00102834" w:rsidRPr="005856B7">
        <w:t xml:space="preserve">per staff hour.  Based on the total estimated burden for State agency reporting and recordkeeping of </w:t>
      </w:r>
      <w:r w:rsidR="00AC43BF" w:rsidRPr="005856B7">
        <w:t>171,4</w:t>
      </w:r>
      <w:r w:rsidR="00B76D61" w:rsidRPr="005856B7">
        <w:t>34.98</w:t>
      </w:r>
      <w:r w:rsidR="00790499" w:rsidRPr="005856B7">
        <w:t xml:space="preserve"> hours</w:t>
      </w:r>
      <w:r w:rsidR="00102834" w:rsidRPr="005856B7">
        <w:t xml:space="preserve">, the total cost </w:t>
      </w:r>
      <w:r w:rsidR="00790499" w:rsidRPr="005856B7">
        <w:t>is $</w:t>
      </w:r>
      <w:r w:rsidR="007E4B52" w:rsidRPr="005856B7">
        <w:rPr>
          <w:bCs/>
        </w:rPr>
        <w:t>, 3,589,848.48</w:t>
      </w:r>
      <w:r w:rsidR="00790499" w:rsidRPr="005856B7">
        <w:rPr>
          <w:bCs/>
        </w:rPr>
        <w:t>.  T</w:t>
      </w:r>
      <w:r w:rsidR="00635CAB" w:rsidRPr="005856B7">
        <w:t xml:space="preserve">he State </w:t>
      </w:r>
      <w:r w:rsidR="00790499" w:rsidRPr="005856B7">
        <w:t>share is 50% of the total cost, or $</w:t>
      </w:r>
      <w:r w:rsidR="007E4B52" w:rsidRPr="005856B7">
        <w:t>1,794,924.24</w:t>
      </w:r>
      <w:r w:rsidR="00790499" w:rsidRPr="005856B7">
        <w:rPr>
          <w:bCs/>
        </w:rPr>
        <w:t>.</w:t>
      </w:r>
    </w:p>
    <w:p w14:paraId="062FA881" w14:textId="77777777" w:rsidR="005C15E2" w:rsidRDefault="005C15E2" w:rsidP="0093445F">
      <w:pPr>
        <w:spacing w:line="480" w:lineRule="auto"/>
        <w:rPr>
          <w:bCs/>
        </w:rPr>
      </w:pPr>
    </w:p>
    <w:p w14:paraId="6D6019C7" w14:textId="77777777" w:rsidR="00733293" w:rsidRDefault="005C15E2" w:rsidP="00733293">
      <w:pPr>
        <w:spacing w:line="480" w:lineRule="auto"/>
        <w:rPr>
          <w:bCs/>
        </w:rPr>
      </w:pPr>
      <w:r>
        <w:rPr>
          <w:bCs/>
        </w:rPr>
        <w:t xml:space="preserve">Additionally, the total annualized cost for Individuals and Household (I/H) SNAP participates is </w:t>
      </w:r>
      <w:r w:rsidR="00733293">
        <w:rPr>
          <w:bCs/>
        </w:rPr>
        <w:t>$230,801.14</w:t>
      </w:r>
      <w:r>
        <w:rPr>
          <w:bCs/>
        </w:rPr>
        <w:t>.  This cost was assess</w:t>
      </w:r>
      <w:r w:rsidR="00733293">
        <w:rPr>
          <w:bCs/>
        </w:rPr>
        <w:t>ed</w:t>
      </w:r>
      <w:r>
        <w:rPr>
          <w:bCs/>
        </w:rPr>
        <w:t xml:space="preserve"> using the average minimum wage rate </w:t>
      </w:r>
      <w:r w:rsidR="00733293">
        <w:rPr>
          <w:bCs/>
        </w:rPr>
        <w:t xml:space="preserve">of </w:t>
      </w:r>
      <w:r>
        <w:rPr>
          <w:bCs/>
        </w:rPr>
        <w:t xml:space="preserve">$7.25 multiplied by the total annual burden hours </w:t>
      </w:r>
      <w:r w:rsidR="00733293">
        <w:rPr>
          <w:bCs/>
        </w:rPr>
        <w:t xml:space="preserve">for this activity which is 31,834.64. </w:t>
      </w:r>
      <w:r w:rsidR="00733293" w:rsidRPr="0093445F">
        <w:t xml:space="preserve">Based on the total estimated burden for </w:t>
      </w:r>
      <w:r w:rsidR="00733293">
        <w:t>I/H</w:t>
      </w:r>
      <w:r w:rsidR="00733293" w:rsidRPr="0093445F">
        <w:t xml:space="preserve"> reporting </w:t>
      </w:r>
      <w:r w:rsidR="00733293">
        <w:t>31,834.64</w:t>
      </w:r>
      <w:r w:rsidR="00733293" w:rsidRPr="00771FF1">
        <w:t xml:space="preserve"> hours</w:t>
      </w:r>
      <w:r w:rsidR="00733293" w:rsidRPr="0093445F">
        <w:t>, the total cost is $</w:t>
      </w:r>
      <w:r w:rsidR="00733293">
        <w:rPr>
          <w:bCs/>
        </w:rPr>
        <w:t>230,801.14</w:t>
      </w:r>
      <w:r w:rsidR="00733293" w:rsidRPr="0093445F">
        <w:rPr>
          <w:bCs/>
        </w:rPr>
        <w:t xml:space="preserve">.  </w:t>
      </w:r>
      <w:r w:rsidR="005C2C16">
        <w:rPr>
          <w:bCs/>
        </w:rPr>
        <w:t>There is no reimbursement cost for I/H portion.</w:t>
      </w:r>
    </w:p>
    <w:p w14:paraId="1AC9DAFC" w14:textId="77777777" w:rsidR="0093445F" w:rsidRPr="0093445F" w:rsidRDefault="0093445F" w:rsidP="0093445F">
      <w:pPr>
        <w:spacing w:line="480" w:lineRule="auto"/>
        <w:rPr>
          <w:bCs/>
        </w:rPr>
      </w:pPr>
    </w:p>
    <w:p w14:paraId="4CE2BA68" w14:textId="77777777" w:rsidR="00242896" w:rsidRPr="0093445F" w:rsidRDefault="00242896" w:rsidP="0093445F">
      <w:pPr>
        <w:pStyle w:val="Heading2"/>
        <w:spacing w:line="480" w:lineRule="auto"/>
        <w:rPr>
          <w:sz w:val="24"/>
          <w:szCs w:val="24"/>
        </w:rPr>
      </w:pPr>
      <w:r w:rsidRPr="0093445F">
        <w:rPr>
          <w:sz w:val="24"/>
          <w:szCs w:val="24"/>
        </w:rPr>
        <w:t>SA Reporting and Recordkeeping for 0584-0492</w:t>
      </w:r>
      <w:r w:rsidRPr="0093445F">
        <w:rPr>
          <w:color w:val="FFFFFF"/>
          <w:sz w:val="24"/>
          <w:szCs w:val="24"/>
        </w:rPr>
        <w:tab/>
      </w:r>
      <w:r w:rsidRPr="0093445F">
        <w:rPr>
          <w:color w:val="FFFFFF"/>
          <w:sz w:val="24"/>
          <w:szCs w:val="24"/>
        </w:rPr>
        <w:tab/>
      </w:r>
      <w:r w:rsidRPr="0093445F">
        <w:rPr>
          <w:color w:val="FFFFFF"/>
          <w:sz w:val="24"/>
          <w:szCs w:val="24"/>
        </w:rPr>
        <w:tab/>
      </w:r>
    </w:p>
    <w:p w14:paraId="3115FED9" w14:textId="77777777" w:rsidR="00242896" w:rsidRPr="0093445F" w:rsidRDefault="00242896" w:rsidP="005C2C16">
      <w:pPr>
        <w:tabs>
          <w:tab w:val="left" w:pos="-720"/>
        </w:tabs>
        <w:suppressAutoHyphens/>
      </w:pPr>
      <w:r w:rsidRPr="0093445F">
        <w:t>1.</w:t>
      </w:r>
      <w:r w:rsidRPr="0093445F">
        <w:tab/>
        <w:t>State and local government</w:t>
      </w:r>
    </w:p>
    <w:p w14:paraId="33DEA738" w14:textId="77777777" w:rsidR="00242896" w:rsidRDefault="00242896" w:rsidP="005C2C16">
      <w:pPr>
        <w:tabs>
          <w:tab w:val="left" w:pos="-720"/>
        </w:tabs>
        <w:suppressAutoHyphens/>
      </w:pPr>
      <w:r w:rsidRPr="0093445F">
        <w:tab/>
        <w:t>cost @ $20.</w:t>
      </w:r>
      <w:r w:rsidR="003D036E">
        <w:t>94</w:t>
      </w:r>
      <w:r w:rsidRPr="0093445F">
        <w:t>/per staff hour</w:t>
      </w:r>
      <w:r w:rsidRPr="0093445F">
        <w:tab/>
      </w:r>
      <w:r w:rsidRPr="0093445F">
        <w:tab/>
        <w:t xml:space="preserve">              $</w:t>
      </w:r>
      <w:r w:rsidR="003D036E">
        <w:t>3,589,638.40</w:t>
      </w:r>
    </w:p>
    <w:p w14:paraId="7FC1E7C1" w14:textId="77777777" w:rsidR="005C2C16" w:rsidRPr="0093445F" w:rsidRDefault="005C2C16" w:rsidP="005C2C16">
      <w:pPr>
        <w:tabs>
          <w:tab w:val="left" w:pos="-720"/>
        </w:tabs>
        <w:suppressAutoHyphens/>
      </w:pPr>
    </w:p>
    <w:p w14:paraId="4CE4E434" w14:textId="77777777" w:rsidR="005C2C16" w:rsidRDefault="00242896" w:rsidP="0093445F">
      <w:pPr>
        <w:tabs>
          <w:tab w:val="left" w:pos="-720"/>
        </w:tabs>
        <w:suppressAutoHyphens/>
        <w:spacing w:line="480" w:lineRule="auto"/>
      </w:pPr>
      <w:r w:rsidRPr="0093445F">
        <w:t>2.</w:t>
      </w:r>
      <w:r w:rsidRPr="0093445F">
        <w:tab/>
      </w:r>
      <w:r w:rsidR="005C2C16">
        <w:t>Individual/Household</w:t>
      </w:r>
      <w:r w:rsidR="005C2C16">
        <w:tab/>
      </w:r>
      <w:r w:rsidR="005C2C16">
        <w:tab/>
      </w:r>
      <w:r w:rsidR="005C2C16">
        <w:tab/>
      </w:r>
      <w:r w:rsidR="005C2C16">
        <w:tab/>
        <w:t xml:space="preserve">  $230,801.14</w:t>
      </w:r>
    </w:p>
    <w:p w14:paraId="041379EF" w14:textId="77777777" w:rsidR="00242896" w:rsidRPr="0093445F" w:rsidRDefault="005C2C16" w:rsidP="0093445F">
      <w:pPr>
        <w:tabs>
          <w:tab w:val="left" w:pos="-720"/>
        </w:tabs>
        <w:suppressAutoHyphens/>
        <w:spacing w:line="480" w:lineRule="auto"/>
      </w:pPr>
      <w:r>
        <w:tab/>
      </w:r>
      <w:r w:rsidR="00242896" w:rsidRPr="0093445F">
        <w:t>Less Federal reimbursement</w:t>
      </w:r>
      <w:r w:rsidR="00242896" w:rsidRPr="0093445F">
        <w:tab/>
      </w:r>
      <w:r w:rsidR="00242896" w:rsidRPr="0093445F">
        <w:tab/>
        <w:t xml:space="preserve">              $</w:t>
      </w:r>
      <w:r w:rsidR="007E4B52">
        <w:t>202,468.55</w:t>
      </w:r>
      <w:r w:rsidR="00242896" w:rsidRPr="0093445F">
        <w:tab/>
      </w:r>
      <w:r w:rsidR="00242896" w:rsidRPr="0093445F">
        <w:tab/>
      </w:r>
      <w:r w:rsidR="00242896" w:rsidRPr="0093445F">
        <w:tab/>
        <w:t xml:space="preserve">               </w:t>
      </w:r>
    </w:p>
    <w:p w14:paraId="7A396D88" w14:textId="77777777" w:rsidR="00242896" w:rsidRPr="0093445F" w:rsidRDefault="00242896" w:rsidP="002B63F9">
      <w:pPr>
        <w:tabs>
          <w:tab w:val="left" w:pos="-720"/>
        </w:tabs>
        <w:suppressAutoHyphens/>
      </w:pPr>
      <w:r w:rsidRPr="0093445F">
        <w:t>3.</w:t>
      </w:r>
      <w:r w:rsidRPr="0093445F">
        <w:tab/>
        <w:t>Net cost to State and local</w:t>
      </w:r>
    </w:p>
    <w:p w14:paraId="082C04F4" w14:textId="77777777" w:rsidR="00242896" w:rsidRDefault="00242896" w:rsidP="002B63F9">
      <w:pPr>
        <w:tabs>
          <w:tab w:val="left" w:pos="-720"/>
        </w:tabs>
        <w:suppressAutoHyphens/>
      </w:pPr>
      <w:r w:rsidRPr="0093445F">
        <w:tab/>
        <w:t>government</w:t>
      </w:r>
      <w:r w:rsidRPr="0093445F">
        <w:tab/>
      </w:r>
      <w:r w:rsidRPr="0093445F">
        <w:tab/>
      </w:r>
      <w:r w:rsidRPr="0093445F">
        <w:tab/>
      </w:r>
      <w:r w:rsidRPr="0093445F">
        <w:tab/>
      </w:r>
      <w:r w:rsidRPr="0093445F">
        <w:tab/>
      </w:r>
      <w:r w:rsidR="00D36C99">
        <w:t xml:space="preserve"> </w:t>
      </w:r>
      <w:r w:rsidRPr="005856B7">
        <w:t>$</w:t>
      </w:r>
      <w:r w:rsidR="003D036E" w:rsidRPr="005856B7">
        <w:t>1,794,</w:t>
      </w:r>
      <w:r w:rsidR="00B76D61" w:rsidRPr="005856B7">
        <w:t>924.24</w:t>
      </w:r>
    </w:p>
    <w:p w14:paraId="1BC6B293" w14:textId="77777777" w:rsidR="00733293" w:rsidRPr="0093445F" w:rsidRDefault="00733293" w:rsidP="0093445F">
      <w:pPr>
        <w:tabs>
          <w:tab w:val="left" w:pos="-720"/>
        </w:tabs>
        <w:suppressAutoHyphens/>
        <w:spacing w:line="480" w:lineRule="auto"/>
      </w:pPr>
      <w:r>
        <w:t xml:space="preserve">  </w:t>
      </w:r>
    </w:p>
    <w:p w14:paraId="30BD7224" w14:textId="77777777" w:rsidR="00242896" w:rsidRPr="0093445F" w:rsidRDefault="00242896" w:rsidP="0093445F">
      <w:pPr>
        <w:tabs>
          <w:tab w:val="left" w:pos="-720"/>
        </w:tabs>
        <w:suppressAutoHyphens/>
        <w:spacing w:line="480" w:lineRule="auto"/>
        <w:rPr>
          <w:b/>
          <w:u w:val="single"/>
        </w:rPr>
      </w:pPr>
      <w:r w:rsidRPr="0093445F">
        <w:tab/>
      </w:r>
      <w:r w:rsidRPr="0093445F">
        <w:tab/>
      </w:r>
      <w:r w:rsidRPr="0093445F">
        <w:tab/>
      </w:r>
      <w:r w:rsidRPr="0093445F">
        <w:rPr>
          <w:b/>
        </w:rPr>
        <w:t>Respondent Cost (SA</w:t>
      </w:r>
      <w:r w:rsidR="002B63F9">
        <w:rPr>
          <w:b/>
        </w:rPr>
        <w:t>&amp; I/H</w:t>
      </w:r>
      <w:r w:rsidRPr="0093445F">
        <w:rPr>
          <w:b/>
        </w:rPr>
        <w:t xml:space="preserve">) = </w:t>
      </w:r>
      <w:r w:rsidRPr="005856B7">
        <w:rPr>
          <w:b/>
        </w:rPr>
        <w:t>$</w:t>
      </w:r>
      <w:r w:rsidR="003D036E" w:rsidRPr="005856B7">
        <w:rPr>
          <w:b/>
        </w:rPr>
        <w:t>1,</w:t>
      </w:r>
      <w:r w:rsidR="005C2C16">
        <w:rPr>
          <w:b/>
        </w:rPr>
        <w:t>910,324.81</w:t>
      </w:r>
    </w:p>
    <w:p w14:paraId="6ED0A684" w14:textId="77777777" w:rsidR="00242896" w:rsidRPr="0093445F" w:rsidRDefault="00242896" w:rsidP="0093445F">
      <w:pPr>
        <w:spacing w:line="480" w:lineRule="auto"/>
        <w:rPr>
          <w:bCs/>
        </w:rPr>
      </w:pPr>
    </w:p>
    <w:p w14:paraId="5591152E" w14:textId="77777777" w:rsidR="00D82129" w:rsidRPr="0093445F" w:rsidRDefault="00D82129" w:rsidP="0093445F">
      <w:pPr>
        <w:spacing w:line="480" w:lineRule="auto"/>
        <w:rPr>
          <w:b/>
        </w:rPr>
      </w:pPr>
    </w:p>
    <w:p w14:paraId="39E67009" w14:textId="77777777" w:rsidR="001D30B4" w:rsidRPr="0093445F" w:rsidRDefault="001D30B4" w:rsidP="0093445F">
      <w:pPr>
        <w:spacing w:line="480" w:lineRule="auto"/>
        <w:rPr>
          <w:b/>
        </w:rPr>
      </w:pPr>
      <w:r w:rsidRPr="0093445F">
        <w:rPr>
          <w:b/>
        </w:rPr>
        <w:t xml:space="preserve">13. </w:t>
      </w:r>
      <w:r w:rsidR="004C29C5" w:rsidRPr="0093445F">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864D971" w14:textId="77777777" w:rsidR="00DE7059" w:rsidRPr="0093445F" w:rsidRDefault="00DE7059" w:rsidP="0093445F">
      <w:pPr>
        <w:spacing w:line="480" w:lineRule="auto"/>
        <w:contextualSpacing/>
      </w:pPr>
    </w:p>
    <w:p w14:paraId="2FF6AB87" w14:textId="77777777" w:rsidR="00DE7059" w:rsidRPr="0093445F" w:rsidRDefault="001D30B4" w:rsidP="0093445F">
      <w:pPr>
        <w:spacing w:line="480" w:lineRule="auto"/>
        <w:contextualSpacing/>
      </w:pPr>
      <w:r w:rsidRPr="0093445F">
        <w:t xml:space="preserve">There are no capital, start-up and/or annualized maintenance costs associated with this </w:t>
      </w:r>
    </w:p>
    <w:p w14:paraId="251F2DF7" w14:textId="77777777" w:rsidR="001D30B4" w:rsidRPr="0093445F" w:rsidRDefault="001D30B4" w:rsidP="0093445F">
      <w:pPr>
        <w:spacing w:line="480" w:lineRule="auto"/>
        <w:contextualSpacing/>
      </w:pPr>
      <w:r w:rsidRPr="0093445F">
        <w:t>burden.</w:t>
      </w:r>
    </w:p>
    <w:p w14:paraId="383320FE" w14:textId="77777777" w:rsidR="00DE7059" w:rsidRPr="0093445F" w:rsidRDefault="00DE7059" w:rsidP="0093445F">
      <w:pPr>
        <w:spacing w:line="480" w:lineRule="auto"/>
        <w:contextualSpacing/>
      </w:pPr>
    </w:p>
    <w:p w14:paraId="1C8575F6" w14:textId="77777777" w:rsidR="0093445F" w:rsidRDefault="0093445F" w:rsidP="0093445F">
      <w:pPr>
        <w:spacing w:line="480" w:lineRule="auto"/>
        <w:rPr>
          <w:b/>
          <w:bCs/>
        </w:rPr>
      </w:pPr>
      <w:r>
        <w:rPr>
          <w:b/>
          <w:bCs/>
        </w:rPr>
        <w:t>14. Provide estimates of annualized cost to the Federal government</w:t>
      </w:r>
      <w:r>
        <w:t xml:space="preserve">. </w:t>
      </w:r>
      <w:r>
        <w:rPr>
          <w:b/>
          <w:bCs/>
        </w:rPr>
        <w:t>Provide a description of the method used to estimate cost and any other expense that would not have been incurred without this collection of information.</w:t>
      </w:r>
    </w:p>
    <w:p w14:paraId="470B0EFF" w14:textId="77777777" w:rsidR="00DB6236" w:rsidRPr="0093445F" w:rsidRDefault="00DB6236" w:rsidP="0093445F">
      <w:pPr>
        <w:spacing w:line="480" w:lineRule="auto"/>
      </w:pPr>
    </w:p>
    <w:p w14:paraId="0E4B220F" w14:textId="77777777" w:rsidR="00790499" w:rsidRPr="0093445F" w:rsidRDefault="00117BAA" w:rsidP="0093445F">
      <w:pPr>
        <w:spacing w:line="480" w:lineRule="auto"/>
        <w:contextualSpacing/>
      </w:pPr>
      <w:r>
        <w:t>T</w:t>
      </w:r>
      <w:r w:rsidR="00E10C7A">
        <w:t>he total annualized cost to the Federal government is $1,79</w:t>
      </w:r>
      <w:r w:rsidR="00EA4429">
        <w:t>5</w:t>
      </w:r>
      <w:r w:rsidR="00E10C7A">
        <w:t>,</w:t>
      </w:r>
      <w:r w:rsidR="00EA4429">
        <w:t>476</w:t>
      </w:r>
      <w:r w:rsidR="00E10C7A">
        <w:t>.</w:t>
      </w:r>
      <w:r w:rsidR="00EA4429">
        <w:t>1</w:t>
      </w:r>
      <w:r>
        <w:t>0</w:t>
      </w:r>
      <w:r w:rsidR="00E10C7A">
        <w:t xml:space="preserve">.  </w:t>
      </w:r>
      <w:r w:rsidR="00790499" w:rsidRPr="0093445F">
        <w:t xml:space="preserve">Annualized costs for the Federal government include 50% of total cost to State agencies and their issuance agents.  Based on the total estimated burden for State agency reporting and recordkeeping of </w:t>
      </w:r>
      <w:r w:rsidR="003D036E">
        <w:t>171,</w:t>
      </w:r>
      <w:r w:rsidR="00AD0F61">
        <w:t>171,434.98</w:t>
      </w:r>
      <w:r w:rsidR="00790499" w:rsidRPr="0093445F">
        <w:t xml:space="preserve"> hours, the total cost is $</w:t>
      </w:r>
      <w:r w:rsidR="00AD0F61">
        <w:rPr>
          <w:bCs/>
        </w:rPr>
        <w:t>3,589,848.48</w:t>
      </w:r>
      <w:r w:rsidR="00790499" w:rsidRPr="0093445F">
        <w:t>.  The Federal share is 50% of the total cost, or $</w:t>
      </w:r>
      <w:r w:rsidR="003D036E">
        <w:rPr>
          <w:bCs/>
        </w:rPr>
        <w:t>1,794,</w:t>
      </w:r>
      <w:r w:rsidR="00AD0F61">
        <w:rPr>
          <w:bCs/>
        </w:rPr>
        <w:t>924.24</w:t>
      </w:r>
      <w:r w:rsidR="00790499" w:rsidRPr="0093445F">
        <w:t>.</w:t>
      </w:r>
    </w:p>
    <w:p w14:paraId="73664F9F" w14:textId="77777777" w:rsidR="00242896" w:rsidRDefault="00242896" w:rsidP="00790499">
      <w:pPr>
        <w:spacing w:line="480" w:lineRule="auto"/>
        <w:contextualSpacing/>
      </w:pPr>
    </w:p>
    <w:p w14:paraId="37096D1D" w14:textId="77777777" w:rsidR="001D30B4" w:rsidRDefault="000671D7" w:rsidP="00DE7059">
      <w:pPr>
        <w:spacing w:line="480" w:lineRule="auto"/>
        <w:contextualSpacing/>
      </w:pPr>
      <w:r w:rsidRPr="000671D7">
        <w:t xml:space="preserve">Federal costs </w:t>
      </w:r>
      <w:r>
        <w:t xml:space="preserve">for this burden also </w:t>
      </w:r>
      <w:r w:rsidRPr="000671D7">
        <w:t xml:space="preserve">include an estimated 12 hours of work </w:t>
      </w:r>
      <w:r>
        <w:t>to collect and review data</w:t>
      </w:r>
      <w:r w:rsidRPr="000671D7">
        <w:t xml:space="preserve"> by a Program Analyst (GS-12, Step 1) at $</w:t>
      </w:r>
      <w:r w:rsidR="003D036E">
        <w:t>37.30</w:t>
      </w:r>
      <w:r w:rsidRPr="000671D7">
        <w:t xml:space="preserve"> an hour, and </w:t>
      </w:r>
      <w:r>
        <w:t xml:space="preserve">4 hours of work by </w:t>
      </w:r>
      <w:r w:rsidRPr="000671D7">
        <w:t>a Branch Chief (GS-14, Step 1) at $</w:t>
      </w:r>
      <w:r w:rsidR="003D036E">
        <w:t>52.34</w:t>
      </w:r>
      <w:r w:rsidRPr="000671D7">
        <w:t xml:space="preserve"> an hour</w:t>
      </w:r>
      <w:r>
        <w:t>, totaling</w:t>
      </w:r>
      <w:r w:rsidRPr="000671D7">
        <w:t xml:space="preserve"> </w:t>
      </w:r>
      <w:r>
        <w:t>$</w:t>
      </w:r>
      <w:r w:rsidR="009D5AF8">
        <w:t>656.99</w:t>
      </w:r>
      <w:r>
        <w:t xml:space="preserve">.  </w:t>
      </w:r>
    </w:p>
    <w:p w14:paraId="7FABD02B" w14:textId="77777777" w:rsidR="001D30B4" w:rsidRPr="00805347" w:rsidRDefault="001D30B4" w:rsidP="0093445F">
      <w:pPr>
        <w:spacing w:line="480" w:lineRule="auto"/>
        <w:contextualSpacing/>
        <w:rPr>
          <w:b/>
        </w:rPr>
      </w:pPr>
      <w:bookmarkStart w:id="5" w:name="OLE_LINK3"/>
      <w:bookmarkStart w:id="6" w:name="OLE_LINK4"/>
      <w:r w:rsidRPr="00805347">
        <w:rPr>
          <w:b/>
        </w:rPr>
        <w:t xml:space="preserve">15. </w:t>
      </w:r>
      <w:r w:rsidR="004C29C5" w:rsidRPr="009A3085">
        <w:rPr>
          <w:b/>
        </w:rPr>
        <w:t>Explain the reasons for any program changes or adjustments reported in Items 13 or 14 of the OMB Form 83-1.</w:t>
      </w:r>
    </w:p>
    <w:p w14:paraId="7D5DEB44" w14:textId="77777777" w:rsidR="00DE7059" w:rsidRDefault="00DE7059" w:rsidP="00DE7059">
      <w:pPr>
        <w:contextualSpacing/>
      </w:pPr>
    </w:p>
    <w:p w14:paraId="17179467" w14:textId="3A0A606D" w:rsidR="00377E44" w:rsidRDefault="003D6E4B" w:rsidP="00A00994">
      <w:pPr>
        <w:spacing w:line="480" w:lineRule="auto"/>
        <w:contextualSpacing/>
      </w:pPr>
      <w:r w:rsidRPr="00242896">
        <w:t xml:space="preserve">This is a revision of a currently approved collection. </w:t>
      </w:r>
      <w:r w:rsidR="00933977" w:rsidRPr="00242896">
        <w:t xml:space="preserve">These </w:t>
      </w:r>
      <w:r w:rsidR="00A12818">
        <w:t>adjustments</w:t>
      </w:r>
      <w:r w:rsidR="00A31754">
        <w:t xml:space="preserve"> </w:t>
      </w:r>
      <w:r w:rsidR="00933977" w:rsidRPr="00242896">
        <w:t xml:space="preserve">are a result of </w:t>
      </w:r>
      <w:r w:rsidR="00F9655C">
        <w:t>a</w:t>
      </w:r>
      <w:r w:rsidR="00F9655C" w:rsidRPr="00242896">
        <w:t xml:space="preserve"> </w:t>
      </w:r>
      <w:r w:rsidR="00F9655C">
        <w:t>decrease</w:t>
      </w:r>
      <w:r w:rsidR="00F9655C" w:rsidRPr="00242896">
        <w:t xml:space="preserve"> </w:t>
      </w:r>
      <w:r w:rsidR="001D30B4" w:rsidRPr="00242896">
        <w:t xml:space="preserve">in </w:t>
      </w:r>
      <w:r w:rsidR="00242896" w:rsidRPr="00242896">
        <w:t>overissuance collections</w:t>
      </w:r>
      <w:r w:rsidR="00233D3E">
        <w:t>,</w:t>
      </w:r>
      <w:r w:rsidR="00242896" w:rsidRPr="00242896">
        <w:t xml:space="preserve"> a</w:t>
      </w:r>
      <w:r w:rsidR="008E294E">
        <w:t>n</w:t>
      </w:r>
      <w:r w:rsidR="00242896" w:rsidRPr="00242896">
        <w:t xml:space="preserve"> </w:t>
      </w:r>
      <w:r w:rsidR="0069170A">
        <w:t>increase</w:t>
      </w:r>
      <w:r w:rsidR="0069170A" w:rsidRPr="00242896">
        <w:t xml:space="preserve"> </w:t>
      </w:r>
      <w:r w:rsidR="00242896" w:rsidRPr="00242896">
        <w:t>in IPV activity</w:t>
      </w:r>
      <w:r w:rsidR="00233D3E">
        <w:t xml:space="preserve"> for States, and a decrease for IPV activity for households.</w:t>
      </w:r>
      <w:r w:rsidR="001D30B4" w:rsidRPr="00242896">
        <w:t xml:space="preserve"> </w:t>
      </w:r>
      <w:r w:rsidR="00266F08" w:rsidRPr="00242896">
        <w:t xml:space="preserve"> </w:t>
      </w:r>
      <w:r w:rsidR="00A33FF0">
        <w:t xml:space="preserve">The </w:t>
      </w:r>
      <w:r w:rsidR="00970FFF">
        <w:t xml:space="preserve">overall </w:t>
      </w:r>
      <w:r w:rsidR="00A33FF0">
        <w:t xml:space="preserve">current burden inventory </w:t>
      </w:r>
      <w:r w:rsidR="00970FFF">
        <w:t xml:space="preserve">for this collection </w:t>
      </w:r>
      <w:r w:rsidR="00A33FF0">
        <w:t xml:space="preserve">is </w:t>
      </w:r>
      <w:r w:rsidR="004F379A">
        <w:t>207,</w:t>
      </w:r>
      <w:r w:rsidR="00687B21">
        <w:t xml:space="preserve">834 </w:t>
      </w:r>
      <w:r w:rsidR="00A33FF0">
        <w:t xml:space="preserve">and this revision </w:t>
      </w:r>
      <w:r w:rsidR="00E10C7A">
        <w:t xml:space="preserve">is </w:t>
      </w:r>
      <w:r w:rsidR="00A33FF0">
        <w:t>request</w:t>
      </w:r>
      <w:r w:rsidR="00E10C7A">
        <w:t>ing</w:t>
      </w:r>
      <w:r w:rsidR="00A33FF0">
        <w:t xml:space="preserve"> </w:t>
      </w:r>
      <w:r w:rsidR="002203A9">
        <w:t>203,</w:t>
      </w:r>
      <w:r w:rsidR="00687B21">
        <w:t>587</w:t>
      </w:r>
      <w:r w:rsidR="00A33FF0">
        <w:t xml:space="preserve">.  </w:t>
      </w:r>
      <w:r w:rsidR="00A33FF0" w:rsidRPr="00242896">
        <w:t>Th</w:t>
      </w:r>
      <w:r w:rsidR="00A33FF0">
        <w:t xml:space="preserve">is revision </w:t>
      </w:r>
      <w:r w:rsidR="00970FFF">
        <w:t xml:space="preserve">burden estimates </w:t>
      </w:r>
      <w:r w:rsidR="00A33FF0">
        <w:t>reflects</w:t>
      </w:r>
      <w:r w:rsidR="00EA2CB7" w:rsidRPr="00242896">
        <w:t xml:space="preserve"> a total </w:t>
      </w:r>
      <w:r w:rsidR="008B52D6">
        <w:t>decrease</w:t>
      </w:r>
      <w:r w:rsidR="008B52D6" w:rsidRPr="00242896">
        <w:t xml:space="preserve"> </w:t>
      </w:r>
      <w:r w:rsidR="00EA2CB7" w:rsidRPr="00242896">
        <w:t>of</w:t>
      </w:r>
      <w:r w:rsidR="004F379A">
        <w:t xml:space="preserve"> -4,754 </w:t>
      </w:r>
      <w:r w:rsidR="001D30B4" w:rsidRPr="00242896">
        <w:t xml:space="preserve">burden hours reported in this information collection.  </w:t>
      </w:r>
      <w:r w:rsidR="00377E44">
        <w:t xml:space="preserve">The current total of households who had received notices due to this data collection is 917,566 and this revision has </w:t>
      </w:r>
      <w:r w:rsidR="00377E44" w:rsidRPr="00E3080C">
        <w:t>884,516, this -33,050</w:t>
      </w:r>
      <w:r w:rsidR="00377E44">
        <w:t xml:space="preserve"> decrease is due to adjustments with the number of households who have received improper payment notices which also reflects the total number of annual responses.</w:t>
      </w:r>
    </w:p>
    <w:p w14:paraId="7EA50144" w14:textId="77777777" w:rsidR="00377E44" w:rsidRDefault="00377E44" w:rsidP="00A00994">
      <w:pPr>
        <w:spacing w:line="480" w:lineRule="auto"/>
        <w:contextualSpacing/>
      </w:pPr>
    </w:p>
    <w:p w14:paraId="1B2E8358" w14:textId="56A2035F" w:rsidR="001D30B4" w:rsidRDefault="00F61CE2" w:rsidP="00A00994">
      <w:pPr>
        <w:spacing w:line="480" w:lineRule="auto"/>
        <w:contextualSpacing/>
      </w:pPr>
      <w:r w:rsidRPr="00242896">
        <w:t xml:space="preserve">The IPV- related State agency and household annual reporting and recordkeeping burden has </w:t>
      </w:r>
      <w:r w:rsidR="00B3594C" w:rsidRPr="005856B7">
        <w:t xml:space="preserve">increased </w:t>
      </w:r>
      <w:r w:rsidRPr="005856B7">
        <w:t xml:space="preserve">slightly </w:t>
      </w:r>
      <w:r w:rsidRPr="00E33D04">
        <w:t xml:space="preserve">from </w:t>
      </w:r>
      <w:r w:rsidR="00B3594C" w:rsidRPr="00E33D04">
        <w:t>11,304.97</w:t>
      </w:r>
      <w:r w:rsidR="00672540" w:rsidRPr="00E33D04">
        <w:t xml:space="preserve"> </w:t>
      </w:r>
      <w:r w:rsidRPr="00E33D04">
        <w:t xml:space="preserve">hours to </w:t>
      </w:r>
      <w:r w:rsidR="00EF61AC" w:rsidRPr="00E33D04">
        <w:t>11,350.95</w:t>
      </w:r>
      <w:r w:rsidRPr="005856B7">
        <w:t xml:space="preserve"> hours to reflect the </w:t>
      </w:r>
      <w:r w:rsidR="00242896" w:rsidRPr="005856B7">
        <w:t>lower</w:t>
      </w:r>
      <w:r w:rsidRPr="005856B7">
        <w:t xml:space="preserve"> number of disqualifications. </w:t>
      </w:r>
      <w:r w:rsidR="00161D8E" w:rsidRPr="005856B7">
        <w:t xml:space="preserve"> </w:t>
      </w:r>
      <w:r w:rsidRPr="005856B7">
        <w:t xml:space="preserve">eDRS has allowed States to better identify and track recipients disqualified from the Program.  </w:t>
      </w:r>
      <w:r w:rsidR="003D6E4B" w:rsidRPr="005856B7">
        <w:t xml:space="preserve">As a result of these </w:t>
      </w:r>
      <w:r w:rsidR="00A12818" w:rsidRPr="005856B7">
        <w:t>adjustments</w:t>
      </w:r>
      <w:r w:rsidR="003D6E4B" w:rsidRPr="005856B7">
        <w:t>, t</w:t>
      </w:r>
      <w:r w:rsidRPr="005856B7">
        <w:t xml:space="preserve">he annual burden associated with the eDRS process reflects a total </w:t>
      </w:r>
      <w:r w:rsidR="00250C05" w:rsidRPr="005856B7">
        <w:t xml:space="preserve">increase </w:t>
      </w:r>
      <w:r w:rsidRPr="005856B7">
        <w:t xml:space="preserve">from </w:t>
      </w:r>
      <w:r w:rsidR="00250C05" w:rsidRPr="005856B7">
        <w:t>3,536.28</w:t>
      </w:r>
      <w:r w:rsidR="00672540" w:rsidRPr="005856B7">
        <w:t xml:space="preserve"> hours </w:t>
      </w:r>
      <w:r w:rsidRPr="005856B7">
        <w:t xml:space="preserve">to </w:t>
      </w:r>
      <w:r w:rsidR="008460C5" w:rsidRPr="005856B7">
        <w:t>4,797.99</w:t>
      </w:r>
      <w:r w:rsidRPr="005856B7">
        <w:t xml:space="preserve"> hours p</w:t>
      </w:r>
      <w:r w:rsidRPr="00242896">
        <w:t xml:space="preserve">er year.  This </w:t>
      </w:r>
      <w:r w:rsidR="00250C05">
        <w:t>increase</w:t>
      </w:r>
      <w:r w:rsidR="00250C05" w:rsidRPr="00242896">
        <w:t xml:space="preserve"> </w:t>
      </w:r>
      <w:r w:rsidRPr="00242896">
        <w:t xml:space="preserve">is due to </w:t>
      </w:r>
      <w:r w:rsidR="00250C05">
        <w:t>the higher</w:t>
      </w:r>
      <w:r w:rsidR="00242896" w:rsidRPr="00242896">
        <w:t xml:space="preserve"> </w:t>
      </w:r>
      <w:r w:rsidRPr="00242896">
        <w:t xml:space="preserve">number </w:t>
      </w:r>
      <w:r w:rsidR="0064025C" w:rsidRPr="00242896">
        <w:t>of intentional Program violations</w:t>
      </w:r>
      <w:r w:rsidRPr="00242896">
        <w:t>.</w:t>
      </w:r>
      <w:r>
        <w:t xml:space="preserve"> </w:t>
      </w:r>
      <w:r w:rsidR="00A12818">
        <w:t xml:space="preserve">However, the overall burden inventory has </w:t>
      </w:r>
      <w:r w:rsidR="008460C5">
        <w:t xml:space="preserve">decreased </w:t>
      </w:r>
      <w:r w:rsidR="00A12818">
        <w:t>since the last revision.</w:t>
      </w:r>
    </w:p>
    <w:p w14:paraId="62718156" w14:textId="77777777" w:rsidR="006E6F66" w:rsidRPr="00BC1C51" w:rsidRDefault="006E6F66" w:rsidP="00A00994">
      <w:pPr>
        <w:spacing w:line="480" w:lineRule="auto"/>
        <w:contextualSpacing/>
      </w:pPr>
    </w:p>
    <w:bookmarkEnd w:id="5"/>
    <w:bookmarkEnd w:id="6"/>
    <w:p w14:paraId="377BAD30" w14:textId="77777777" w:rsidR="001D30B4" w:rsidRPr="00805347" w:rsidRDefault="001D30B4" w:rsidP="0093445F">
      <w:pPr>
        <w:spacing w:line="480" w:lineRule="auto"/>
        <w:rPr>
          <w:b/>
        </w:rPr>
      </w:pPr>
      <w:r w:rsidRPr="00805347">
        <w:rPr>
          <w:b/>
        </w:rPr>
        <w:t xml:space="preserve">16. </w:t>
      </w:r>
      <w:r w:rsidR="004C29C5" w:rsidRPr="009A3085">
        <w:rPr>
          <w:b/>
        </w:rPr>
        <w:t>For collections of information whose results are planned to be published, outline plans for tabulation and publication.</w:t>
      </w:r>
    </w:p>
    <w:p w14:paraId="1EAFE853" w14:textId="77777777" w:rsidR="001D30B4" w:rsidRPr="00BC1C51" w:rsidRDefault="001D30B4" w:rsidP="0093445F">
      <w:pPr>
        <w:spacing w:line="480" w:lineRule="auto"/>
      </w:pPr>
    </w:p>
    <w:p w14:paraId="5D70827B" w14:textId="77777777" w:rsidR="001D30B4" w:rsidRPr="00BC1C51" w:rsidRDefault="001D30B4" w:rsidP="0093445F">
      <w:pPr>
        <w:spacing w:line="480" w:lineRule="auto"/>
        <w:contextualSpacing/>
      </w:pPr>
      <w:r w:rsidRPr="00BC1C51">
        <w:t xml:space="preserve">Aggregate data on the number of claims established and disqualification are included in the </w:t>
      </w:r>
      <w:r w:rsidR="007D0011">
        <w:t>SNAP</w:t>
      </w:r>
      <w:r w:rsidRPr="00BC1C51">
        <w:t xml:space="preserve"> State activity report that is released on an annual basis</w:t>
      </w:r>
      <w:r w:rsidR="00205C0A">
        <w:t xml:space="preserve"> on the United States Department of Agriculture web site</w:t>
      </w:r>
      <w:r w:rsidRPr="00BC1C51">
        <w:t>.</w:t>
      </w:r>
    </w:p>
    <w:p w14:paraId="404A89B7" w14:textId="77777777" w:rsidR="001D30B4" w:rsidRPr="00BC1C51" w:rsidRDefault="001D30B4" w:rsidP="0093445F">
      <w:pPr>
        <w:spacing w:line="480" w:lineRule="auto"/>
      </w:pPr>
    </w:p>
    <w:p w14:paraId="069213F1" w14:textId="77777777" w:rsidR="001D30B4" w:rsidRPr="00805347" w:rsidRDefault="001D30B4" w:rsidP="0093445F">
      <w:pPr>
        <w:spacing w:line="480" w:lineRule="auto"/>
        <w:rPr>
          <w:b/>
        </w:rPr>
      </w:pPr>
      <w:r w:rsidRPr="00805347">
        <w:rPr>
          <w:b/>
        </w:rPr>
        <w:t xml:space="preserve">17. </w:t>
      </w:r>
      <w:r w:rsidR="004C29C5" w:rsidRPr="009A3085">
        <w:rPr>
          <w:b/>
        </w:rPr>
        <w:t>If seeking approval to not display the expiration date for OMB approval of the information collection, explain the reasons that display would be inappropriate.</w:t>
      </w:r>
    </w:p>
    <w:p w14:paraId="2D13AB97" w14:textId="77777777" w:rsidR="001D30B4" w:rsidRPr="00BC1C51" w:rsidRDefault="001D30B4" w:rsidP="0093445F">
      <w:pPr>
        <w:spacing w:line="480" w:lineRule="auto"/>
      </w:pPr>
    </w:p>
    <w:p w14:paraId="66AA8BAE" w14:textId="77777777" w:rsidR="001D30B4" w:rsidRPr="009B5274" w:rsidRDefault="001D30B4" w:rsidP="0093445F">
      <w:pPr>
        <w:spacing w:line="480" w:lineRule="auto"/>
      </w:pPr>
      <w:r w:rsidRPr="009B5274">
        <w:t>There is no form associated with this information collection</w:t>
      </w:r>
      <w:r w:rsidR="00444D8B">
        <w:t>;</w:t>
      </w:r>
      <w:r w:rsidR="009B5274">
        <w:t xml:space="preserve"> t</w:t>
      </w:r>
      <w:r w:rsidR="009B5274" w:rsidRPr="009B5274">
        <w:t>herefore</w:t>
      </w:r>
      <w:r w:rsidR="00444D8B">
        <w:t>,</w:t>
      </w:r>
      <w:r w:rsidR="009B5274" w:rsidRPr="009B5274">
        <w:t xml:space="preserve"> </w:t>
      </w:r>
      <w:r w:rsidR="009B5274" w:rsidRPr="00205C0A">
        <w:t>this submission is not seeking OMB approval to not display the expiration date.</w:t>
      </w:r>
      <w:r w:rsidR="00E65F0C">
        <w:t xml:space="preserve">  This information collection plans to display the OMB control number and expiration date on the database home page.</w:t>
      </w:r>
      <w:r w:rsidR="00B3594C">
        <w:t xml:space="preserve"> As reference</w:t>
      </w:r>
      <w:r w:rsidR="001C4A09">
        <w:t>d</w:t>
      </w:r>
      <w:r w:rsidR="00B3594C">
        <w:t>, appendix 2 contains a screenshot of eDRS</w:t>
      </w:r>
      <w:r w:rsidR="004E4378">
        <w:t xml:space="preserve"> system</w:t>
      </w:r>
      <w:r w:rsidR="00B3594C">
        <w:t xml:space="preserve">.  </w:t>
      </w:r>
      <w:r w:rsidR="00E65F0C">
        <w:t xml:space="preserve">  </w:t>
      </w:r>
    </w:p>
    <w:p w14:paraId="37BD8B85" w14:textId="77777777" w:rsidR="001D30B4" w:rsidRPr="00BC1C51" w:rsidRDefault="001D30B4" w:rsidP="0093445F">
      <w:pPr>
        <w:spacing w:line="480" w:lineRule="auto"/>
      </w:pPr>
    </w:p>
    <w:p w14:paraId="7D9E4A13" w14:textId="77777777" w:rsidR="001D30B4" w:rsidRPr="00805347" w:rsidRDefault="001D30B4" w:rsidP="0093445F">
      <w:pPr>
        <w:spacing w:line="480" w:lineRule="auto"/>
        <w:rPr>
          <w:b/>
        </w:rPr>
      </w:pPr>
      <w:r w:rsidRPr="00805347">
        <w:rPr>
          <w:b/>
        </w:rPr>
        <w:t xml:space="preserve">18.  </w:t>
      </w:r>
      <w:r w:rsidR="004C29C5" w:rsidRPr="009A3085">
        <w:rPr>
          <w:b/>
        </w:rPr>
        <w:t>Explain each exception to the certification statement identified in Item 19 "Certification for Paperwork Reduction Act."</w:t>
      </w:r>
    </w:p>
    <w:p w14:paraId="3C8CB629" w14:textId="77777777" w:rsidR="001D30B4" w:rsidRPr="00BC1C51" w:rsidRDefault="001D30B4" w:rsidP="0093445F">
      <w:pPr>
        <w:spacing w:line="480" w:lineRule="auto"/>
      </w:pPr>
    </w:p>
    <w:p w14:paraId="7D351516" w14:textId="77777777" w:rsidR="001D30B4" w:rsidRPr="00D95B65" w:rsidRDefault="001D30B4" w:rsidP="0093445F">
      <w:pPr>
        <w:spacing w:line="480" w:lineRule="auto"/>
      </w:pPr>
      <w:r>
        <w:t>There are no exceptions to the certification statement.</w:t>
      </w:r>
      <w:r>
        <w:rPr>
          <w:u w:val="single"/>
        </w:rPr>
        <w:t xml:space="preserve"> </w:t>
      </w:r>
      <w:r>
        <w:t xml:space="preserve"> </w:t>
      </w:r>
    </w:p>
    <w:p w14:paraId="7876F728" w14:textId="77777777" w:rsidR="00E23C35" w:rsidRDefault="001D30B4" w:rsidP="0093445F">
      <w:pPr>
        <w:spacing w:line="480" w:lineRule="auto"/>
      </w:pPr>
      <w:r>
        <w:t xml:space="preserve">  </w:t>
      </w:r>
    </w:p>
    <w:sectPr w:rsidR="00E23C35" w:rsidSect="00C81B86">
      <w:pgSz w:w="12240" w:h="15840" w:code="1"/>
      <w:pgMar w:top="1440" w:right="1440" w:bottom="144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35B6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B9CD1" w14:textId="77777777" w:rsidR="004174C6" w:rsidRDefault="004174C6" w:rsidP="00884C4B">
      <w:r>
        <w:separator/>
      </w:r>
    </w:p>
  </w:endnote>
  <w:endnote w:type="continuationSeparator" w:id="0">
    <w:p w14:paraId="4462C103" w14:textId="77777777" w:rsidR="004174C6" w:rsidRDefault="004174C6" w:rsidP="0088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01F3E" w14:textId="77777777" w:rsidR="005C15E2" w:rsidRDefault="005C15E2" w:rsidP="001D30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6B5A1A" w14:textId="77777777" w:rsidR="005C15E2" w:rsidRDefault="005C15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C273F" w14:textId="77777777" w:rsidR="005C15E2" w:rsidRDefault="005C15E2" w:rsidP="001D30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2943">
      <w:rPr>
        <w:rStyle w:val="PageNumber"/>
        <w:noProof/>
      </w:rPr>
      <w:t>2</w:t>
    </w:r>
    <w:r>
      <w:rPr>
        <w:rStyle w:val="PageNumber"/>
      </w:rPr>
      <w:fldChar w:fldCharType="end"/>
    </w:r>
  </w:p>
  <w:p w14:paraId="19EA7488" w14:textId="77777777" w:rsidR="005C15E2" w:rsidRDefault="005C1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FAFE7" w14:textId="77777777" w:rsidR="004174C6" w:rsidRDefault="004174C6" w:rsidP="00884C4B">
      <w:r>
        <w:separator/>
      </w:r>
    </w:p>
  </w:footnote>
  <w:footnote w:type="continuationSeparator" w:id="0">
    <w:p w14:paraId="67B3C64B" w14:textId="77777777" w:rsidR="004174C6" w:rsidRDefault="004174C6" w:rsidP="00884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rPr>
        <w:rFonts w:cs="Times New Roman"/>
      </w:r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1387E55"/>
    <w:multiLevelType w:val="hybridMultilevel"/>
    <w:tmpl w:val="A18AC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37DFC"/>
    <w:multiLevelType w:val="hybridMultilevel"/>
    <w:tmpl w:val="66AAFD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12749B"/>
    <w:multiLevelType w:val="hybridMultilevel"/>
    <w:tmpl w:val="581E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6">
    <w:nsid w:val="1D1A30D3"/>
    <w:multiLevelType w:val="hybridMultilevel"/>
    <w:tmpl w:val="9DEAC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47497C"/>
    <w:multiLevelType w:val="hybridMultilevel"/>
    <w:tmpl w:val="937C9D46"/>
    <w:lvl w:ilvl="0" w:tplc="B43AAC1E">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8">
    <w:nsid w:val="224C7812"/>
    <w:multiLevelType w:val="hybridMultilevel"/>
    <w:tmpl w:val="7DFCC6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A6C1FDA"/>
    <w:multiLevelType w:val="hybridMultilevel"/>
    <w:tmpl w:val="367A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2D3B76"/>
    <w:multiLevelType w:val="hybridMultilevel"/>
    <w:tmpl w:val="DCDA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A53712"/>
    <w:multiLevelType w:val="hybridMultilevel"/>
    <w:tmpl w:val="4C9A436A"/>
    <w:lvl w:ilvl="0" w:tplc="566A86D6">
      <w:start w:val="4"/>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4BA68F3"/>
    <w:multiLevelType w:val="hybridMultilevel"/>
    <w:tmpl w:val="0A96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D2835C8"/>
    <w:multiLevelType w:val="hybridMultilevel"/>
    <w:tmpl w:val="C9065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5D352C1"/>
    <w:multiLevelType w:val="hybridMultilevel"/>
    <w:tmpl w:val="1794E88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2">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DBA4997"/>
    <w:multiLevelType w:val="hybridMultilevel"/>
    <w:tmpl w:val="DE18D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3FE2B8D"/>
    <w:multiLevelType w:val="hybridMultilevel"/>
    <w:tmpl w:val="02141C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722C72"/>
    <w:multiLevelType w:val="hybridMultilevel"/>
    <w:tmpl w:val="873C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4"/>
  </w:num>
  <w:num w:numId="3">
    <w:abstractNumId w:val="7"/>
  </w:num>
  <w:num w:numId="4">
    <w:abstractNumId w:val="12"/>
  </w:num>
  <w:num w:numId="5">
    <w:abstractNumId w:val="24"/>
  </w:num>
  <w:num w:numId="6">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 w:numId="8">
    <w:abstractNumId w:val="15"/>
  </w:num>
  <w:num w:numId="9">
    <w:abstractNumId w:val="13"/>
  </w:num>
  <w:num w:numId="10">
    <w:abstractNumId w:val="28"/>
  </w:num>
  <w:num w:numId="11">
    <w:abstractNumId w:val="25"/>
  </w:num>
  <w:num w:numId="12">
    <w:abstractNumId w:val="18"/>
  </w:num>
  <w:num w:numId="13">
    <w:abstractNumId w:val="9"/>
  </w:num>
  <w:num w:numId="14">
    <w:abstractNumId w:val="16"/>
  </w:num>
  <w:num w:numId="15">
    <w:abstractNumId w:val="19"/>
  </w:num>
  <w:num w:numId="16">
    <w:abstractNumId w:val="5"/>
  </w:num>
  <w:num w:numId="17">
    <w:abstractNumId w:val="21"/>
  </w:num>
  <w:num w:numId="18">
    <w:abstractNumId w:val="22"/>
  </w:num>
  <w:num w:numId="19">
    <w:abstractNumId w:val="23"/>
  </w:num>
  <w:num w:numId="20">
    <w:abstractNumId w:val="8"/>
  </w:num>
  <w:num w:numId="21">
    <w:abstractNumId w:val="3"/>
  </w:num>
  <w:num w:numId="22">
    <w:abstractNumId w:val="11"/>
  </w:num>
  <w:num w:numId="23">
    <w:abstractNumId w:val="2"/>
  </w:num>
  <w:num w:numId="24">
    <w:abstractNumId w:val="27"/>
  </w:num>
  <w:num w:numId="25">
    <w:abstractNumId w:val="10"/>
  </w:num>
  <w:num w:numId="26">
    <w:abstractNumId w:val="14"/>
  </w:num>
  <w:num w:numId="27">
    <w:abstractNumId w:val="17"/>
  </w:num>
  <w:num w:numId="28">
    <w:abstractNumId w:val="26"/>
  </w:num>
  <w:num w:numId="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ker, Charlene - OCIO">
    <w15:presenceInfo w15:providerId="AD" w15:userId="S-1-5-21-2443529608-3098792306-3041422421-448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B4"/>
    <w:rsid w:val="00013563"/>
    <w:rsid w:val="000343B9"/>
    <w:rsid w:val="00034C63"/>
    <w:rsid w:val="000355A8"/>
    <w:rsid w:val="000404B7"/>
    <w:rsid w:val="00057903"/>
    <w:rsid w:val="00061F50"/>
    <w:rsid w:val="000670EF"/>
    <w:rsid w:val="000671D7"/>
    <w:rsid w:val="00070E0D"/>
    <w:rsid w:val="00084A69"/>
    <w:rsid w:val="00093524"/>
    <w:rsid w:val="000B03B5"/>
    <w:rsid w:val="000B3234"/>
    <w:rsid w:val="000C2C8B"/>
    <w:rsid w:val="000D27FF"/>
    <w:rsid w:val="000D529C"/>
    <w:rsid w:val="000E200D"/>
    <w:rsid w:val="000E3E4A"/>
    <w:rsid w:val="000F2671"/>
    <w:rsid w:val="00102834"/>
    <w:rsid w:val="00103DAD"/>
    <w:rsid w:val="00111C9A"/>
    <w:rsid w:val="00111F84"/>
    <w:rsid w:val="001143F3"/>
    <w:rsid w:val="00117934"/>
    <w:rsid w:val="00117BAA"/>
    <w:rsid w:val="001478B5"/>
    <w:rsid w:val="0015184B"/>
    <w:rsid w:val="00161D8E"/>
    <w:rsid w:val="00177F7D"/>
    <w:rsid w:val="00180424"/>
    <w:rsid w:val="00182DBE"/>
    <w:rsid w:val="00192778"/>
    <w:rsid w:val="00194F50"/>
    <w:rsid w:val="001A7AB3"/>
    <w:rsid w:val="001B1DB9"/>
    <w:rsid w:val="001C07E2"/>
    <w:rsid w:val="001C0A64"/>
    <w:rsid w:val="001C41F3"/>
    <w:rsid w:val="001C4262"/>
    <w:rsid w:val="001C4289"/>
    <w:rsid w:val="001C4A09"/>
    <w:rsid w:val="001D0681"/>
    <w:rsid w:val="001D30B4"/>
    <w:rsid w:val="001D6704"/>
    <w:rsid w:val="001E5F00"/>
    <w:rsid w:val="002014FE"/>
    <w:rsid w:val="00205655"/>
    <w:rsid w:val="00205C0A"/>
    <w:rsid w:val="00213B52"/>
    <w:rsid w:val="002203A9"/>
    <w:rsid w:val="00223A8B"/>
    <w:rsid w:val="00227CBB"/>
    <w:rsid w:val="00233D3E"/>
    <w:rsid w:val="00242896"/>
    <w:rsid w:val="00250C05"/>
    <w:rsid w:val="00254ADF"/>
    <w:rsid w:val="00256C77"/>
    <w:rsid w:val="002668B2"/>
    <w:rsid w:val="00266F08"/>
    <w:rsid w:val="0028295A"/>
    <w:rsid w:val="00287F89"/>
    <w:rsid w:val="0029498F"/>
    <w:rsid w:val="002A5A8B"/>
    <w:rsid w:val="002B1671"/>
    <w:rsid w:val="002B1E83"/>
    <w:rsid w:val="002B4545"/>
    <w:rsid w:val="002B63F9"/>
    <w:rsid w:val="002B7A2E"/>
    <w:rsid w:val="002C2096"/>
    <w:rsid w:val="002C6195"/>
    <w:rsid w:val="002D410E"/>
    <w:rsid w:val="002D598F"/>
    <w:rsid w:val="002F06EF"/>
    <w:rsid w:val="00302C27"/>
    <w:rsid w:val="00317F2B"/>
    <w:rsid w:val="00326065"/>
    <w:rsid w:val="003330D1"/>
    <w:rsid w:val="00344F13"/>
    <w:rsid w:val="003551A9"/>
    <w:rsid w:val="00364BBC"/>
    <w:rsid w:val="003675B5"/>
    <w:rsid w:val="00367948"/>
    <w:rsid w:val="00370589"/>
    <w:rsid w:val="00377746"/>
    <w:rsid w:val="00377E44"/>
    <w:rsid w:val="00386441"/>
    <w:rsid w:val="00386778"/>
    <w:rsid w:val="00396CEB"/>
    <w:rsid w:val="003A5EE3"/>
    <w:rsid w:val="003C2D18"/>
    <w:rsid w:val="003C6BE5"/>
    <w:rsid w:val="003C7F4D"/>
    <w:rsid w:val="003D036E"/>
    <w:rsid w:val="003D172D"/>
    <w:rsid w:val="003D6E4B"/>
    <w:rsid w:val="003D6F57"/>
    <w:rsid w:val="003E307D"/>
    <w:rsid w:val="003F4C84"/>
    <w:rsid w:val="003F54DA"/>
    <w:rsid w:val="00403361"/>
    <w:rsid w:val="00405651"/>
    <w:rsid w:val="00406A42"/>
    <w:rsid w:val="004073CB"/>
    <w:rsid w:val="00416194"/>
    <w:rsid w:val="004174C6"/>
    <w:rsid w:val="004337C4"/>
    <w:rsid w:val="00441BFB"/>
    <w:rsid w:val="00444D8B"/>
    <w:rsid w:val="00447ED5"/>
    <w:rsid w:val="00470142"/>
    <w:rsid w:val="004729B6"/>
    <w:rsid w:val="004764E0"/>
    <w:rsid w:val="0047753B"/>
    <w:rsid w:val="00491E0B"/>
    <w:rsid w:val="004A364C"/>
    <w:rsid w:val="004A6862"/>
    <w:rsid w:val="004A6A9B"/>
    <w:rsid w:val="004B6BEF"/>
    <w:rsid w:val="004C29C5"/>
    <w:rsid w:val="004E0753"/>
    <w:rsid w:val="004E4378"/>
    <w:rsid w:val="004F2646"/>
    <w:rsid w:val="004F379A"/>
    <w:rsid w:val="00504CB1"/>
    <w:rsid w:val="005250E9"/>
    <w:rsid w:val="00530316"/>
    <w:rsid w:val="005336CE"/>
    <w:rsid w:val="005354FF"/>
    <w:rsid w:val="005420CD"/>
    <w:rsid w:val="00560DAF"/>
    <w:rsid w:val="005707E4"/>
    <w:rsid w:val="00572943"/>
    <w:rsid w:val="00574371"/>
    <w:rsid w:val="005856B7"/>
    <w:rsid w:val="005872DE"/>
    <w:rsid w:val="005A07A9"/>
    <w:rsid w:val="005A61B1"/>
    <w:rsid w:val="005A7D36"/>
    <w:rsid w:val="005B2D67"/>
    <w:rsid w:val="005B3799"/>
    <w:rsid w:val="005C005E"/>
    <w:rsid w:val="005C15E2"/>
    <w:rsid w:val="005C27F5"/>
    <w:rsid w:val="005C2C16"/>
    <w:rsid w:val="005C520B"/>
    <w:rsid w:val="005C76BA"/>
    <w:rsid w:val="005D66C7"/>
    <w:rsid w:val="005E22DE"/>
    <w:rsid w:val="00600251"/>
    <w:rsid w:val="006006B3"/>
    <w:rsid w:val="00607F30"/>
    <w:rsid w:val="0061346D"/>
    <w:rsid w:val="00613D0B"/>
    <w:rsid w:val="00615D81"/>
    <w:rsid w:val="006211AC"/>
    <w:rsid w:val="00623F98"/>
    <w:rsid w:val="00635CAB"/>
    <w:rsid w:val="0064025C"/>
    <w:rsid w:val="00656C58"/>
    <w:rsid w:val="006620FD"/>
    <w:rsid w:val="00666D94"/>
    <w:rsid w:val="0067040F"/>
    <w:rsid w:val="00672540"/>
    <w:rsid w:val="00674C49"/>
    <w:rsid w:val="0068793B"/>
    <w:rsid w:val="00687B21"/>
    <w:rsid w:val="00691677"/>
    <w:rsid w:val="0069170A"/>
    <w:rsid w:val="006A756B"/>
    <w:rsid w:val="006B3141"/>
    <w:rsid w:val="006D379A"/>
    <w:rsid w:val="006E3A9A"/>
    <w:rsid w:val="006E3F04"/>
    <w:rsid w:val="006E6F66"/>
    <w:rsid w:val="007136ED"/>
    <w:rsid w:val="0073293D"/>
    <w:rsid w:val="00732F27"/>
    <w:rsid w:val="00733293"/>
    <w:rsid w:val="00741B93"/>
    <w:rsid w:val="00753DC8"/>
    <w:rsid w:val="00763C69"/>
    <w:rsid w:val="007649A2"/>
    <w:rsid w:val="00771FF1"/>
    <w:rsid w:val="0077562F"/>
    <w:rsid w:val="007771F5"/>
    <w:rsid w:val="00780E56"/>
    <w:rsid w:val="0078598A"/>
    <w:rsid w:val="00790499"/>
    <w:rsid w:val="00792003"/>
    <w:rsid w:val="00795787"/>
    <w:rsid w:val="007A3F2A"/>
    <w:rsid w:val="007A52F2"/>
    <w:rsid w:val="007B0363"/>
    <w:rsid w:val="007D0011"/>
    <w:rsid w:val="007E3712"/>
    <w:rsid w:val="007E4B52"/>
    <w:rsid w:val="007F19A8"/>
    <w:rsid w:val="007F5435"/>
    <w:rsid w:val="008030E1"/>
    <w:rsid w:val="008035F8"/>
    <w:rsid w:val="008040B4"/>
    <w:rsid w:val="00814084"/>
    <w:rsid w:val="008460C5"/>
    <w:rsid w:val="008475FC"/>
    <w:rsid w:val="0085258D"/>
    <w:rsid w:val="00866572"/>
    <w:rsid w:val="00875901"/>
    <w:rsid w:val="00882490"/>
    <w:rsid w:val="00884C4B"/>
    <w:rsid w:val="008866C4"/>
    <w:rsid w:val="0089015F"/>
    <w:rsid w:val="00894138"/>
    <w:rsid w:val="008974D6"/>
    <w:rsid w:val="008A3BB0"/>
    <w:rsid w:val="008A6F5F"/>
    <w:rsid w:val="008A7BB5"/>
    <w:rsid w:val="008B52D6"/>
    <w:rsid w:val="008D3ADA"/>
    <w:rsid w:val="008D492D"/>
    <w:rsid w:val="008D59D9"/>
    <w:rsid w:val="008D7361"/>
    <w:rsid w:val="008E294E"/>
    <w:rsid w:val="008E45D1"/>
    <w:rsid w:val="00903D88"/>
    <w:rsid w:val="0090680E"/>
    <w:rsid w:val="00911CF2"/>
    <w:rsid w:val="009304FA"/>
    <w:rsid w:val="0093064A"/>
    <w:rsid w:val="00933977"/>
    <w:rsid w:val="0093445F"/>
    <w:rsid w:val="00937E78"/>
    <w:rsid w:val="00944953"/>
    <w:rsid w:val="00946B3E"/>
    <w:rsid w:val="009569D7"/>
    <w:rsid w:val="00961B20"/>
    <w:rsid w:val="00963CFC"/>
    <w:rsid w:val="00964A75"/>
    <w:rsid w:val="00965D3F"/>
    <w:rsid w:val="00970FFF"/>
    <w:rsid w:val="00973608"/>
    <w:rsid w:val="00974A21"/>
    <w:rsid w:val="009756C7"/>
    <w:rsid w:val="00980770"/>
    <w:rsid w:val="00984CDF"/>
    <w:rsid w:val="0099090B"/>
    <w:rsid w:val="00992AF6"/>
    <w:rsid w:val="009A1440"/>
    <w:rsid w:val="009A1466"/>
    <w:rsid w:val="009A220E"/>
    <w:rsid w:val="009B5274"/>
    <w:rsid w:val="009C09B3"/>
    <w:rsid w:val="009C3C95"/>
    <w:rsid w:val="009D5AF8"/>
    <w:rsid w:val="009E6562"/>
    <w:rsid w:val="009F34FF"/>
    <w:rsid w:val="00A00994"/>
    <w:rsid w:val="00A02902"/>
    <w:rsid w:val="00A04A15"/>
    <w:rsid w:val="00A12818"/>
    <w:rsid w:val="00A13D8A"/>
    <w:rsid w:val="00A1724E"/>
    <w:rsid w:val="00A17AEF"/>
    <w:rsid w:val="00A220DC"/>
    <w:rsid w:val="00A2230C"/>
    <w:rsid w:val="00A25622"/>
    <w:rsid w:val="00A26267"/>
    <w:rsid w:val="00A30AD9"/>
    <w:rsid w:val="00A31754"/>
    <w:rsid w:val="00A317F9"/>
    <w:rsid w:val="00A33FF0"/>
    <w:rsid w:val="00A36503"/>
    <w:rsid w:val="00A52288"/>
    <w:rsid w:val="00A552D3"/>
    <w:rsid w:val="00A607DA"/>
    <w:rsid w:val="00A66365"/>
    <w:rsid w:val="00A72AF8"/>
    <w:rsid w:val="00A72CB5"/>
    <w:rsid w:val="00A76394"/>
    <w:rsid w:val="00A84234"/>
    <w:rsid w:val="00A85402"/>
    <w:rsid w:val="00A86FAB"/>
    <w:rsid w:val="00A87FA5"/>
    <w:rsid w:val="00A97502"/>
    <w:rsid w:val="00AA66FD"/>
    <w:rsid w:val="00AB3212"/>
    <w:rsid w:val="00AC43BF"/>
    <w:rsid w:val="00AC4472"/>
    <w:rsid w:val="00AD0F61"/>
    <w:rsid w:val="00AD166B"/>
    <w:rsid w:val="00B03B67"/>
    <w:rsid w:val="00B04DD8"/>
    <w:rsid w:val="00B10851"/>
    <w:rsid w:val="00B3594C"/>
    <w:rsid w:val="00B418FB"/>
    <w:rsid w:val="00B549AC"/>
    <w:rsid w:val="00B56164"/>
    <w:rsid w:val="00B742ED"/>
    <w:rsid w:val="00B75C0D"/>
    <w:rsid w:val="00B76C13"/>
    <w:rsid w:val="00B76D61"/>
    <w:rsid w:val="00B81DD3"/>
    <w:rsid w:val="00B87A95"/>
    <w:rsid w:val="00BA5B29"/>
    <w:rsid w:val="00BB3446"/>
    <w:rsid w:val="00BE0F58"/>
    <w:rsid w:val="00BE61D2"/>
    <w:rsid w:val="00BE7D1F"/>
    <w:rsid w:val="00C055D4"/>
    <w:rsid w:val="00C227CE"/>
    <w:rsid w:val="00C2598E"/>
    <w:rsid w:val="00C302A1"/>
    <w:rsid w:val="00C33C8C"/>
    <w:rsid w:val="00C467A2"/>
    <w:rsid w:val="00C632C3"/>
    <w:rsid w:val="00C66312"/>
    <w:rsid w:val="00C67C1E"/>
    <w:rsid w:val="00C81B86"/>
    <w:rsid w:val="00C83D72"/>
    <w:rsid w:val="00C86D51"/>
    <w:rsid w:val="00CA1514"/>
    <w:rsid w:val="00CA713B"/>
    <w:rsid w:val="00CB7ADD"/>
    <w:rsid w:val="00CC1FB8"/>
    <w:rsid w:val="00CC394C"/>
    <w:rsid w:val="00D12377"/>
    <w:rsid w:val="00D20304"/>
    <w:rsid w:val="00D265C7"/>
    <w:rsid w:val="00D26C32"/>
    <w:rsid w:val="00D34B46"/>
    <w:rsid w:val="00D35989"/>
    <w:rsid w:val="00D3612D"/>
    <w:rsid w:val="00D36C99"/>
    <w:rsid w:val="00D41745"/>
    <w:rsid w:val="00D55FAE"/>
    <w:rsid w:val="00D747CF"/>
    <w:rsid w:val="00D765A7"/>
    <w:rsid w:val="00D76CDA"/>
    <w:rsid w:val="00D82129"/>
    <w:rsid w:val="00DA39AC"/>
    <w:rsid w:val="00DB5632"/>
    <w:rsid w:val="00DB6236"/>
    <w:rsid w:val="00DC0E51"/>
    <w:rsid w:val="00DC1952"/>
    <w:rsid w:val="00DC4940"/>
    <w:rsid w:val="00DC7D27"/>
    <w:rsid w:val="00DD5A6D"/>
    <w:rsid w:val="00DD667C"/>
    <w:rsid w:val="00DE6015"/>
    <w:rsid w:val="00DE7059"/>
    <w:rsid w:val="00DE734E"/>
    <w:rsid w:val="00DF2FED"/>
    <w:rsid w:val="00E06C69"/>
    <w:rsid w:val="00E10C7A"/>
    <w:rsid w:val="00E13485"/>
    <w:rsid w:val="00E142C7"/>
    <w:rsid w:val="00E23C35"/>
    <w:rsid w:val="00E24633"/>
    <w:rsid w:val="00E30792"/>
    <w:rsid w:val="00E3080C"/>
    <w:rsid w:val="00E31684"/>
    <w:rsid w:val="00E33D04"/>
    <w:rsid w:val="00E35A46"/>
    <w:rsid w:val="00E65F0C"/>
    <w:rsid w:val="00E666F1"/>
    <w:rsid w:val="00E71EA0"/>
    <w:rsid w:val="00E76CD0"/>
    <w:rsid w:val="00E80D54"/>
    <w:rsid w:val="00E823E1"/>
    <w:rsid w:val="00E87E12"/>
    <w:rsid w:val="00EA2158"/>
    <w:rsid w:val="00EA2CB7"/>
    <w:rsid w:val="00EA4429"/>
    <w:rsid w:val="00EA7E4D"/>
    <w:rsid w:val="00EC246E"/>
    <w:rsid w:val="00EC2720"/>
    <w:rsid w:val="00EC3256"/>
    <w:rsid w:val="00ED24D9"/>
    <w:rsid w:val="00EE0321"/>
    <w:rsid w:val="00EE0EE0"/>
    <w:rsid w:val="00EE7772"/>
    <w:rsid w:val="00EF14B7"/>
    <w:rsid w:val="00EF61AC"/>
    <w:rsid w:val="00F0277E"/>
    <w:rsid w:val="00F11D39"/>
    <w:rsid w:val="00F265B8"/>
    <w:rsid w:val="00F33B12"/>
    <w:rsid w:val="00F53878"/>
    <w:rsid w:val="00F57BE3"/>
    <w:rsid w:val="00F61CE2"/>
    <w:rsid w:val="00F65301"/>
    <w:rsid w:val="00F73394"/>
    <w:rsid w:val="00F74C6E"/>
    <w:rsid w:val="00F75CCB"/>
    <w:rsid w:val="00F77895"/>
    <w:rsid w:val="00F80ADB"/>
    <w:rsid w:val="00F8143A"/>
    <w:rsid w:val="00F9655C"/>
    <w:rsid w:val="00FB22BA"/>
    <w:rsid w:val="00FB5EC0"/>
    <w:rsid w:val="00FB79A6"/>
    <w:rsid w:val="00FC0C89"/>
    <w:rsid w:val="00FD5D51"/>
    <w:rsid w:val="00FD6763"/>
    <w:rsid w:val="00FD769E"/>
    <w:rsid w:val="00FE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E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0B4"/>
    <w:rPr>
      <w:sz w:val="24"/>
      <w:szCs w:val="24"/>
    </w:rPr>
  </w:style>
  <w:style w:type="paragraph" w:styleId="Heading2">
    <w:name w:val="heading 2"/>
    <w:basedOn w:val="Normal"/>
    <w:next w:val="Normal"/>
    <w:link w:val="Heading2Char"/>
    <w:unhideWhenUsed/>
    <w:qFormat/>
    <w:rsid w:val="00242896"/>
    <w:pPr>
      <w:keepNext/>
      <w:tabs>
        <w:tab w:val="left" w:pos="-720"/>
      </w:tabs>
      <w:suppressAutoHyphens/>
      <w:overflowPunct w:val="0"/>
      <w:autoSpaceDE w:val="0"/>
      <w:autoSpaceDN w:val="0"/>
      <w:adjustRightInd w:val="0"/>
      <w:outlineLvl w:val="1"/>
    </w:pPr>
    <w:rPr>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30B4"/>
    <w:pPr>
      <w:tabs>
        <w:tab w:val="center" w:pos="4320"/>
        <w:tab w:val="right" w:pos="8640"/>
      </w:tabs>
    </w:pPr>
  </w:style>
  <w:style w:type="character" w:styleId="PageNumber">
    <w:name w:val="page number"/>
    <w:basedOn w:val="DefaultParagraphFont"/>
    <w:rsid w:val="001D30B4"/>
  </w:style>
  <w:style w:type="character" w:styleId="CommentReference">
    <w:name w:val="annotation reference"/>
    <w:basedOn w:val="DefaultParagraphFont"/>
    <w:rsid w:val="00F57BE3"/>
    <w:rPr>
      <w:sz w:val="16"/>
      <w:szCs w:val="16"/>
    </w:rPr>
  </w:style>
  <w:style w:type="paragraph" w:styleId="CommentText">
    <w:name w:val="annotation text"/>
    <w:basedOn w:val="Normal"/>
    <w:link w:val="CommentTextChar"/>
    <w:rsid w:val="00F57BE3"/>
    <w:rPr>
      <w:sz w:val="20"/>
      <w:szCs w:val="20"/>
    </w:rPr>
  </w:style>
  <w:style w:type="character" w:customStyle="1" w:styleId="CommentTextChar">
    <w:name w:val="Comment Text Char"/>
    <w:basedOn w:val="DefaultParagraphFont"/>
    <w:link w:val="CommentText"/>
    <w:rsid w:val="00F57BE3"/>
  </w:style>
  <w:style w:type="paragraph" w:styleId="CommentSubject">
    <w:name w:val="annotation subject"/>
    <w:basedOn w:val="CommentText"/>
    <w:next w:val="CommentText"/>
    <w:link w:val="CommentSubjectChar"/>
    <w:rsid w:val="00F57BE3"/>
    <w:rPr>
      <w:b/>
      <w:bCs/>
    </w:rPr>
  </w:style>
  <w:style w:type="character" w:customStyle="1" w:styleId="CommentSubjectChar">
    <w:name w:val="Comment Subject Char"/>
    <w:basedOn w:val="CommentTextChar"/>
    <w:link w:val="CommentSubject"/>
    <w:rsid w:val="00F57BE3"/>
    <w:rPr>
      <w:b/>
      <w:bCs/>
    </w:rPr>
  </w:style>
  <w:style w:type="paragraph" w:styleId="BalloonText">
    <w:name w:val="Balloon Text"/>
    <w:basedOn w:val="Normal"/>
    <w:link w:val="BalloonTextChar"/>
    <w:rsid w:val="00F57BE3"/>
    <w:rPr>
      <w:rFonts w:ascii="Tahoma" w:hAnsi="Tahoma" w:cs="Tahoma"/>
      <w:sz w:val="16"/>
      <w:szCs w:val="16"/>
    </w:rPr>
  </w:style>
  <w:style w:type="character" w:customStyle="1" w:styleId="BalloonTextChar">
    <w:name w:val="Balloon Text Char"/>
    <w:basedOn w:val="DefaultParagraphFont"/>
    <w:link w:val="BalloonText"/>
    <w:rsid w:val="00F57BE3"/>
    <w:rPr>
      <w:rFonts w:ascii="Tahoma" w:hAnsi="Tahoma" w:cs="Tahoma"/>
      <w:sz w:val="16"/>
      <w:szCs w:val="16"/>
    </w:rPr>
  </w:style>
  <w:style w:type="character" w:styleId="Hyperlink">
    <w:name w:val="Hyperlink"/>
    <w:basedOn w:val="DefaultParagraphFont"/>
    <w:rsid w:val="009A220E"/>
    <w:rPr>
      <w:color w:val="0000FF"/>
      <w:u w:val="single"/>
    </w:rPr>
  </w:style>
  <w:style w:type="paragraph" w:customStyle="1" w:styleId="Level1">
    <w:name w:val="Level 1"/>
    <w:basedOn w:val="Normal"/>
    <w:uiPriority w:val="99"/>
    <w:rsid w:val="006006B3"/>
    <w:pPr>
      <w:widowControl w:val="0"/>
      <w:numPr>
        <w:numId w:val="6"/>
      </w:numPr>
      <w:autoSpaceDE w:val="0"/>
      <w:autoSpaceDN w:val="0"/>
      <w:adjustRightInd w:val="0"/>
      <w:ind w:left="474" w:hanging="186"/>
      <w:outlineLvl w:val="0"/>
    </w:pPr>
  </w:style>
  <w:style w:type="paragraph" w:styleId="BodyTextIndent">
    <w:name w:val="Body Text Indent"/>
    <w:basedOn w:val="Normal"/>
    <w:link w:val="BodyTextIndentChar"/>
    <w:rsid w:val="0047753B"/>
    <w:pPr>
      <w:tabs>
        <w:tab w:val="left" w:pos="720"/>
      </w:tabs>
      <w:spacing w:after="80"/>
      <w:ind w:left="720" w:hanging="720"/>
    </w:pPr>
    <w:rPr>
      <w:b/>
      <w:szCs w:val="20"/>
    </w:rPr>
  </w:style>
  <w:style w:type="character" w:customStyle="1" w:styleId="BodyTextIndentChar">
    <w:name w:val="Body Text Indent Char"/>
    <w:basedOn w:val="DefaultParagraphFont"/>
    <w:link w:val="BodyTextIndent"/>
    <w:rsid w:val="0047753B"/>
    <w:rPr>
      <w:b/>
      <w:sz w:val="24"/>
    </w:rPr>
  </w:style>
  <w:style w:type="paragraph" w:styleId="BodyTextIndent2">
    <w:name w:val="Body Text Indent 2"/>
    <w:basedOn w:val="Normal"/>
    <w:link w:val="BodyTextIndent2Char"/>
    <w:rsid w:val="0047753B"/>
    <w:pPr>
      <w:spacing w:after="120" w:line="480" w:lineRule="auto"/>
      <w:ind w:left="360"/>
    </w:pPr>
  </w:style>
  <w:style w:type="character" w:customStyle="1" w:styleId="BodyTextIndent2Char">
    <w:name w:val="Body Text Indent 2 Char"/>
    <w:basedOn w:val="DefaultParagraphFont"/>
    <w:link w:val="BodyTextIndent2"/>
    <w:rsid w:val="0047753B"/>
    <w:rPr>
      <w:sz w:val="24"/>
      <w:szCs w:val="24"/>
    </w:rPr>
  </w:style>
  <w:style w:type="character" w:styleId="FollowedHyperlink">
    <w:name w:val="FollowedHyperlink"/>
    <w:basedOn w:val="DefaultParagraphFont"/>
    <w:rsid w:val="004C29C5"/>
    <w:rPr>
      <w:color w:val="800080"/>
      <w:u w:val="single"/>
    </w:rPr>
  </w:style>
  <w:style w:type="paragraph" w:customStyle="1" w:styleId="a">
    <w:name w:val="_"/>
    <w:uiPriority w:val="99"/>
    <w:rsid w:val="00EE0321"/>
    <w:pPr>
      <w:widowControl w:val="0"/>
      <w:ind w:left="720"/>
    </w:pPr>
    <w:rPr>
      <w:sz w:val="24"/>
    </w:rPr>
  </w:style>
  <w:style w:type="paragraph" w:styleId="NormalWeb">
    <w:name w:val="Normal (Web)"/>
    <w:basedOn w:val="Normal"/>
    <w:uiPriority w:val="99"/>
    <w:unhideWhenUsed/>
    <w:rsid w:val="00227CBB"/>
    <w:pPr>
      <w:spacing w:before="100" w:beforeAutospacing="1" w:after="64"/>
      <w:ind w:left="129"/>
    </w:pPr>
    <w:rPr>
      <w:sz w:val="19"/>
      <w:szCs w:val="19"/>
    </w:rPr>
  </w:style>
  <w:style w:type="paragraph" w:styleId="BodyText">
    <w:name w:val="Body Text"/>
    <w:basedOn w:val="Normal"/>
    <w:link w:val="BodyTextChar"/>
    <w:rsid w:val="00E666F1"/>
    <w:pPr>
      <w:spacing w:after="120"/>
    </w:pPr>
  </w:style>
  <w:style w:type="character" w:customStyle="1" w:styleId="BodyTextChar">
    <w:name w:val="Body Text Char"/>
    <w:basedOn w:val="DefaultParagraphFont"/>
    <w:link w:val="BodyText"/>
    <w:rsid w:val="00E666F1"/>
    <w:rPr>
      <w:sz w:val="24"/>
      <w:szCs w:val="24"/>
    </w:rPr>
  </w:style>
  <w:style w:type="paragraph" w:styleId="ListParagraph">
    <w:name w:val="List Paragraph"/>
    <w:basedOn w:val="Normal"/>
    <w:uiPriority w:val="34"/>
    <w:qFormat/>
    <w:rsid w:val="00E666F1"/>
    <w:pPr>
      <w:ind w:left="720"/>
      <w:contextualSpacing/>
    </w:pPr>
  </w:style>
  <w:style w:type="character" w:customStyle="1" w:styleId="Heading2Char">
    <w:name w:val="Heading 2 Char"/>
    <w:basedOn w:val="DefaultParagraphFont"/>
    <w:link w:val="Heading2"/>
    <w:rsid w:val="00242896"/>
    <w:rPr>
      <w:b/>
      <w:u w:val="single"/>
    </w:rPr>
  </w:style>
  <w:style w:type="character" w:styleId="Strong">
    <w:name w:val="Strong"/>
    <w:basedOn w:val="DefaultParagraphFont"/>
    <w:qFormat/>
    <w:rsid w:val="00F53878"/>
    <w:rPr>
      <w:b/>
      <w:bCs/>
    </w:rPr>
  </w:style>
  <w:style w:type="paragraph" w:customStyle="1" w:styleId="Default">
    <w:name w:val="Default"/>
    <w:rsid w:val="007E3712"/>
    <w:pPr>
      <w:autoSpaceDE w:val="0"/>
      <w:autoSpaceDN w:val="0"/>
      <w:adjustRightInd w:val="0"/>
    </w:pPr>
    <w:rPr>
      <w:color w:val="000000"/>
      <w:sz w:val="24"/>
      <w:szCs w:val="24"/>
    </w:rPr>
  </w:style>
  <w:style w:type="table" w:styleId="TableGrid">
    <w:name w:val="Table Grid"/>
    <w:basedOn w:val="TableNormal"/>
    <w:rsid w:val="004E4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0B4"/>
    <w:rPr>
      <w:sz w:val="24"/>
      <w:szCs w:val="24"/>
    </w:rPr>
  </w:style>
  <w:style w:type="paragraph" w:styleId="Heading2">
    <w:name w:val="heading 2"/>
    <w:basedOn w:val="Normal"/>
    <w:next w:val="Normal"/>
    <w:link w:val="Heading2Char"/>
    <w:unhideWhenUsed/>
    <w:qFormat/>
    <w:rsid w:val="00242896"/>
    <w:pPr>
      <w:keepNext/>
      <w:tabs>
        <w:tab w:val="left" w:pos="-720"/>
      </w:tabs>
      <w:suppressAutoHyphens/>
      <w:overflowPunct w:val="0"/>
      <w:autoSpaceDE w:val="0"/>
      <w:autoSpaceDN w:val="0"/>
      <w:adjustRightInd w:val="0"/>
      <w:outlineLvl w:val="1"/>
    </w:pPr>
    <w:rPr>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30B4"/>
    <w:pPr>
      <w:tabs>
        <w:tab w:val="center" w:pos="4320"/>
        <w:tab w:val="right" w:pos="8640"/>
      </w:tabs>
    </w:pPr>
  </w:style>
  <w:style w:type="character" w:styleId="PageNumber">
    <w:name w:val="page number"/>
    <w:basedOn w:val="DefaultParagraphFont"/>
    <w:rsid w:val="001D30B4"/>
  </w:style>
  <w:style w:type="character" w:styleId="CommentReference">
    <w:name w:val="annotation reference"/>
    <w:basedOn w:val="DefaultParagraphFont"/>
    <w:rsid w:val="00F57BE3"/>
    <w:rPr>
      <w:sz w:val="16"/>
      <w:szCs w:val="16"/>
    </w:rPr>
  </w:style>
  <w:style w:type="paragraph" w:styleId="CommentText">
    <w:name w:val="annotation text"/>
    <w:basedOn w:val="Normal"/>
    <w:link w:val="CommentTextChar"/>
    <w:rsid w:val="00F57BE3"/>
    <w:rPr>
      <w:sz w:val="20"/>
      <w:szCs w:val="20"/>
    </w:rPr>
  </w:style>
  <w:style w:type="character" w:customStyle="1" w:styleId="CommentTextChar">
    <w:name w:val="Comment Text Char"/>
    <w:basedOn w:val="DefaultParagraphFont"/>
    <w:link w:val="CommentText"/>
    <w:rsid w:val="00F57BE3"/>
  </w:style>
  <w:style w:type="paragraph" w:styleId="CommentSubject">
    <w:name w:val="annotation subject"/>
    <w:basedOn w:val="CommentText"/>
    <w:next w:val="CommentText"/>
    <w:link w:val="CommentSubjectChar"/>
    <w:rsid w:val="00F57BE3"/>
    <w:rPr>
      <w:b/>
      <w:bCs/>
    </w:rPr>
  </w:style>
  <w:style w:type="character" w:customStyle="1" w:styleId="CommentSubjectChar">
    <w:name w:val="Comment Subject Char"/>
    <w:basedOn w:val="CommentTextChar"/>
    <w:link w:val="CommentSubject"/>
    <w:rsid w:val="00F57BE3"/>
    <w:rPr>
      <w:b/>
      <w:bCs/>
    </w:rPr>
  </w:style>
  <w:style w:type="paragraph" w:styleId="BalloonText">
    <w:name w:val="Balloon Text"/>
    <w:basedOn w:val="Normal"/>
    <w:link w:val="BalloonTextChar"/>
    <w:rsid w:val="00F57BE3"/>
    <w:rPr>
      <w:rFonts w:ascii="Tahoma" w:hAnsi="Tahoma" w:cs="Tahoma"/>
      <w:sz w:val="16"/>
      <w:szCs w:val="16"/>
    </w:rPr>
  </w:style>
  <w:style w:type="character" w:customStyle="1" w:styleId="BalloonTextChar">
    <w:name w:val="Balloon Text Char"/>
    <w:basedOn w:val="DefaultParagraphFont"/>
    <w:link w:val="BalloonText"/>
    <w:rsid w:val="00F57BE3"/>
    <w:rPr>
      <w:rFonts w:ascii="Tahoma" w:hAnsi="Tahoma" w:cs="Tahoma"/>
      <w:sz w:val="16"/>
      <w:szCs w:val="16"/>
    </w:rPr>
  </w:style>
  <w:style w:type="character" w:styleId="Hyperlink">
    <w:name w:val="Hyperlink"/>
    <w:basedOn w:val="DefaultParagraphFont"/>
    <w:rsid w:val="009A220E"/>
    <w:rPr>
      <w:color w:val="0000FF"/>
      <w:u w:val="single"/>
    </w:rPr>
  </w:style>
  <w:style w:type="paragraph" w:customStyle="1" w:styleId="Level1">
    <w:name w:val="Level 1"/>
    <w:basedOn w:val="Normal"/>
    <w:uiPriority w:val="99"/>
    <w:rsid w:val="006006B3"/>
    <w:pPr>
      <w:widowControl w:val="0"/>
      <w:numPr>
        <w:numId w:val="6"/>
      </w:numPr>
      <w:autoSpaceDE w:val="0"/>
      <w:autoSpaceDN w:val="0"/>
      <w:adjustRightInd w:val="0"/>
      <w:ind w:left="474" w:hanging="186"/>
      <w:outlineLvl w:val="0"/>
    </w:pPr>
  </w:style>
  <w:style w:type="paragraph" w:styleId="BodyTextIndent">
    <w:name w:val="Body Text Indent"/>
    <w:basedOn w:val="Normal"/>
    <w:link w:val="BodyTextIndentChar"/>
    <w:rsid w:val="0047753B"/>
    <w:pPr>
      <w:tabs>
        <w:tab w:val="left" w:pos="720"/>
      </w:tabs>
      <w:spacing w:after="80"/>
      <w:ind w:left="720" w:hanging="720"/>
    </w:pPr>
    <w:rPr>
      <w:b/>
      <w:szCs w:val="20"/>
    </w:rPr>
  </w:style>
  <w:style w:type="character" w:customStyle="1" w:styleId="BodyTextIndentChar">
    <w:name w:val="Body Text Indent Char"/>
    <w:basedOn w:val="DefaultParagraphFont"/>
    <w:link w:val="BodyTextIndent"/>
    <w:rsid w:val="0047753B"/>
    <w:rPr>
      <w:b/>
      <w:sz w:val="24"/>
    </w:rPr>
  </w:style>
  <w:style w:type="paragraph" w:styleId="BodyTextIndent2">
    <w:name w:val="Body Text Indent 2"/>
    <w:basedOn w:val="Normal"/>
    <w:link w:val="BodyTextIndent2Char"/>
    <w:rsid w:val="0047753B"/>
    <w:pPr>
      <w:spacing w:after="120" w:line="480" w:lineRule="auto"/>
      <w:ind w:left="360"/>
    </w:pPr>
  </w:style>
  <w:style w:type="character" w:customStyle="1" w:styleId="BodyTextIndent2Char">
    <w:name w:val="Body Text Indent 2 Char"/>
    <w:basedOn w:val="DefaultParagraphFont"/>
    <w:link w:val="BodyTextIndent2"/>
    <w:rsid w:val="0047753B"/>
    <w:rPr>
      <w:sz w:val="24"/>
      <w:szCs w:val="24"/>
    </w:rPr>
  </w:style>
  <w:style w:type="character" w:styleId="FollowedHyperlink">
    <w:name w:val="FollowedHyperlink"/>
    <w:basedOn w:val="DefaultParagraphFont"/>
    <w:rsid w:val="004C29C5"/>
    <w:rPr>
      <w:color w:val="800080"/>
      <w:u w:val="single"/>
    </w:rPr>
  </w:style>
  <w:style w:type="paragraph" w:customStyle="1" w:styleId="a">
    <w:name w:val="_"/>
    <w:uiPriority w:val="99"/>
    <w:rsid w:val="00EE0321"/>
    <w:pPr>
      <w:widowControl w:val="0"/>
      <w:ind w:left="720"/>
    </w:pPr>
    <w:rPr>
      <w:sz w:val="24"/>
    </w:rPr>
  </w:style>
  <w:style w:type="paragraph" w:styleId="NormalWeb">
    <w:name w:val="Normal (Web)"/>
    <w:basedOn w:val="Normal"/>
    <w:uiPriority w:val="99"/>
    <w:unhideWhenUsed/>
    <w:rsid w:val="00227CBB"/>
    <w:pPr>
      <w:spacing w:before="100" w:beforeAutospacing="1" w:after="64"/>
      <w:ind w:left="129"/>
    </w:pPr>
    <w:rPr>
      <w:sz w:val="19"/>
      <w:szCs w:val="19"/>
    </w:rPr>
  </w:style>
  <w:style w:type="paragraph" w:styleId="BodyText">
    <w:name w:val="Body Text"/>
    <w:basedOn w:val="Normal"/>
    <w:link w:val="BodyTextChar"/>
    <w:rsid w:val="00E666F1"/>
    <w:pPr>
      <w:spacing w:after="120"/>
    </w:pPr>
  </w:style>
  <w:style w:type="character" w:customStyle="1" w:styleId="BodyTextChar">
    <w:name w:val="Body Text Char"/>
    <w:basedOn w:val="DefaultParagraphFont"/>
    <w:link w:val="BodyText"/>
    <w:rsid w:val="00E666F1"/>
    <w:rPr>
      <w:sz w:val="24"/>
      <w:szCs w:val="24"/>
    </w:rPr>
  </w:style>
  <w:style w:type="paragraph" w:styleId="ListParagraph">
    <w:name w:val="List Paragraph"/>
    <w:basedOn w:val="Normal"/>
    <w:uiPriority w:val="34"/>
    <w:qFormat/>
    <w:rsid w:val="00E666F1"/>
    <w:pPr>
      <w:ind w:left="720"/>
      <w:contextualSpacing/>
    </w:pPr>
  </w:style>
  <w:style w:type="character" w:customStyle="1" w:styleId="Heading2Char">
    <w:name w:val="Heading 2 Char"/>
    <w:basedOn w:val="DefaultParagraphFont"/>
    <w:link w:val="Heading2"/>
    <w:rsid w:val="00242896"/>
    <w:rPr>
      <w:b/>
      <w:u w:val="single"/>
    </w:rPr>
  </w:style>
  <w:style w:type="character" w:styleId="Strong">
    <w:name w:val="Strong"/>
    <w:basedOn w:val="DefaultParagraphFont"/>
    <w:qFormat/>
    <w:rsid w:val="00F53878"/>
    <w:rPr>
      <w:b/>
      <w:bCs/>
    </w:rPr>
  </w:style>
  <w:style w:type="paragraph" w:customStyle="1" w:styleId="Default">
    <w:name w:val="Default"/>
    <w:rsid w:val="007E3712"/>
    <w:pPr>
      <w:autoSpaceDE w:val="0"/>
      <w:autoSpaceDN w:val="0"/>
      <w:adjustRightInd w:val="0"/>
    </w:pPr>
    <w:rPr>
      <w:color w:val="000000"/>
      <w:sz w:val="24"/>
      <w:szCs w:val="24"/>
    </w:rPr>
  </w:style>
  <w:style w:type="table" w:styleId="TableGrid">
    <w:name w:val="Table Grid"/>
    <w:basedOn w:val="TableNormal"/>
    <w:rsid w:val="004E4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1040">
      <w:bodyDiv w:val="1"/>
      <w:marLeft w:val="0"/>
      <w:marRight w:val="0"/>
      <w:marTop w:val="0"/>
      <w:marBottom w:val="0"/>
      <w:divBdr>
        <w:top w:val="none" w:sz="0" w:space="0" w:color="auto"/>
        <w:left w:val="none" w:sz="0" w:space="0" w:color="auto"/>
        <w:bottom w:val="none" w:sz="0" w:space="0" w:color="auto"/>
        <w:right w:val="none" w:sz="0" w:space="0" w:color="auto"/>
      </w:divBdr>
    </w:div>
    <w:div w:id="64492565">
      <w:bodyDiv w:val="1"/>
      <w:marLeft w:val="0"/>
      <w:marRight w:val="0"/>
      <w:marTop w:val="0"/>
      <w:marBottom w:val="0"/>
      <w:divBdr>
        <w:top w:val="none" w:sz="0" w:space="0" w:color="auto"/>
        <w:left w:val="none" w:sz="0" w:space="0" w:color="auto"/>
        <w:bottom w:val="none" w:sz="0" w:space="0" w:color="auto"/>
        <w:right w:val="none" w:sz="0" w:space="0" w:color="auto"/>
      </w:divBdr>
    </w:div>
    <w:div w:id="192689813">
      <w:bodyDiv w:val="1"/>
      <w:marLeft w:val="0"/>
      <w:marRight w:val="0"/>
      <w:marTop w:val="0"/>
      <w:marBottom w:val="0"/>
      <w:divBdr>
        <w:top w:val="none" w:sz="0" w:space="0" w:color="auto"/>
        <w:left w:val="none" w:sz="0" w:space="0" w:color="auto"/>
        <w:bottom w:val="none" w:sz="0" w:space="0" w:color="auto"/>
        <w:right w:val="none" w:sz="0" w:space="0" w:color="auto"/>
      </w:divBdr>
    </w:div>
    <w:div w:id="272440772">
      <w:bodyDiv w:val="1"/>
      <w:marLeft w:val="0"/>
      <w:marRight w:val="0"/>
      <w:marTop w:val="0"/>
      <w:marBottom w:val="0"/>
      <w:divBdr>
        <w:top w:val="none" w:sz="0" w:space="0" w:color="auto"/>
        <w:left w:val="none" w:sz="0" w:space="0" w:color="auto"/>
        <w:bottom w:val="none" w:sz="0" w:space="0" w:color="auto"/>
        <w:right w:val="none" w:sz="0" w:space="0" w:color="auto"/>
      </w:divBdr>
    </w:div>
    <w:div w:id="387263459">
      <w:bodyDiv w:val="1"/>
      <w:marLeft w:val="0"/>
      <w:marRight w:val="0"/>
      <w:marTop w:val="0"/>
      <w:marBottom w:val="0"/>
      <w:divBdr>
        <w:top w:val="none" w:sz="0" w:space="0" w:color="auto"/>
        <w:left w:val="none" w:sz="0" w:space="0" w:color="auto"/>
        <w:bottom w:val="none" w:sz="0" w:space="0" w:color="auto"/>
        <w:right w:val="none" w:sz="0" w:space="0" w:color="auto"/>
      </w:divBdr>
      <w:divsChild>
        <w:div w:id="260842776">
          <w:marLeft w:val="0"/>
          <w:marRight w:val="0"/>
          <w:marTop w:val="0"/>
          <w:marBottom w:val="0"/>
          <w:divBdr>
            <w:top w:val="none" w:sz="0" w:space="0" w:color="auto"/>
            <w:left w:val="none" w:sz="0" w:space="0" w:color="auto"/>
            <w:bottom w:val="none" w:sz="0" w:space="0" w:color="auto"/>
            <w:right w:val="none" w:sz="0" w:space="0" w:color="auto"/>
          </w:divBdr>
          <w:divsChild>
            <w:div w:id="1150750044">
              <w:marLeft w:val="0"/>
              <w:marRight w:val="0"/>
              <w:marTop w:val="0"/>
              <w:marBottom w:val="0"/>
              <w:divBdr>
                <w:top w:val="none" w:sz="0" w:space="0" w:color="auto"/>
                <w:left w:val="none" w:sz="0" w:space="0" w:color="auto"/>
                <w:bottom w:val="none" w:sz="0" w:space="0" w:color="auto"/>
                <w:right w:val="none" w:sz="0" w:space="0" w:color="auto"/>
              </w:divBdr>
              <w:divsChild>
                <w:div w:id="44184077">
                  <w:marLeft w:val="2443"/>
                  <w:marRight w:val="129"/>
                  <w:marTop w:val="90"/>
                  <w:marBottom w:val="0"/>
                  <w:divBdr>
                    <w:top w:val="none" w:sz="0" w:space="0" w:color="auto"/>
                    <w:left w:val="none" w:sz="0" w:space="0" w:color="auto"/>
                    <w:bottom w:val="none" w:sz="0" w:space="0" w:color="auto"/>
                    <w:right w:val="none" w:sz="0" w:space="0" w:color="auto"/>
                  </w:divBdr>
                </w:div>
              </w:divsChild>
            </w:div>
          </w:divsChild>
        </w:div>
      </w:divsChild>
    </w:div>
    <w:div w:id="419716507">
      <w:bodyDiv w:val="1"/>
      <w:marLeft w:val="0"/>
      <w:marRight w:val="0"/>
      <w:marTop w:val="0"/>
      <w:marBottom w:val="0"/>
      <w:divBdr>
        <w:top w:val="none" w:sz="0" w:space="0" w:color="auto"/>
        <w:left w:val="none" w:sz="0" w:space="0" w:color="auto"/>
        <w:bottom w:val="none" w:sz="0" w:space="0" w:color="auto"/>
        <w:right w:val="none" w:sz="0" w:space="0" w:color="auto"/>
      </w:divBdr>
    </w:div>
    <w:div w:id="456333822">
      <w:bodyDiv w:val="1"/>
      <w:marLeft w:val="0"/>
      <w:marRight w:val="0"/>
      <w:marTop w:val="0"/>
      <w:marBottom w:val="0"/>
      <w:divBdr>
        <w:top w:val="none" w:sz="0" w:space="0" w:color="auto"/>
        <w:left w:val="none" w:sz="0" w:space="0" w:color="auto"/>
        <w:bottom w:val="none" w:sz="0" w:space="0" w:color="auto"/>
        <w:right w:val="none" w:sz="0" w:space="0" w:color="auto"/>
      </w:divBdr>
    </w:div>
    <w:div w:id="491919010">
      <w:bodyDiv w:val="1"/>
      <w:marLeft w:val="0"/>
      <w:marRight w:val="0"/>
      <w:marTop w:val="0"/>
      <w:marBottom w:val="0"/>
      <w:divBdr>
        <w:top w:val="none" w:sz="0" w:space="0" w:color="auto"/>
        <w:left w:val="none" w:sz="0" w:space="0" w:color="auto"/>
        <w:bottom w:val="none" w:sz="0" w:space="0" w:color="auto"/>
        <w:right w:val="none" w:sz="0" w:space="0" w:color="auto"/>
      </w:divBdr>
    </w:div>
    <w:div w:id="506096421">
      <w:bodyDiv w:val="1"/>
      <w:marLeft w:val="0"/>
      <w:marRight w:val="0"/>
      <w:marTop w:val="0"/>
      <w:marBottom w:val="0"/>
      <w:divBdr>
        <w:top w:val="none" w:sz="0" w:space="0" w:color="auto"/>
        <w:left w:val="none" w:sz="0" w:space="0" w:color="auto"/>
        <w:bottom w:val="none" w:sz="0" w:space="0" w:color="auto"/>
        <w:right w:val="none" w:sz="0" w:space="0" w:color="auto"/>
      </w:divBdr>
    </w:div>
    <w:div w:id="528954484">
      <w:bodyDiv w:val="1"/>
      <w:marLeft w:val="0"/>
      <w:marRight w:val="0"/>
      <w:marTop w:val="0"/>
      <w:marBottom w:val="0"/>
      <w:divBdr>
        <w:top w:val="none" w:sz="0" w:space="0" w:color="auto"/>
        <w:left w:val="none" w:sz="0" w:space="0" w:color="auto"/>
        <w:bottom w:val="none" w:sz="0" w:space="0" w:color="auto"/>
        <w:right w:val="none" w:sz="0" w:space="0" w:color="auto"/>
      </w:divBdr>
      <w:divsChild>
        <w:div w:id="2073429036">
          <w:marLeft w:val="0"/>
          <w:marRight w:val="0"/>
          <w:marTop w:val="0"/>
          <w:marBottom w:val="0"/>
          <w:divBdr>
            <w:top w:val="none" w:sz="0" w:space="0" w:color="auto"/>
            <w:left w:val="none" w:sz="0" w:space="0" w:color="auto"/>
            <w:bottom w:val="none" w:sz="0" w:space="0" w:color="auto"/>
            <w:right w:val="none" w:sz="0" w:space="0" w:color="auto"/>
          </w:divBdr>
          <w:divsChild>
            <w:div w:id="856625516">
              <w:marLeft w:val="0"/>
              <w:marRight w:val="0"/>
              <w:marTop w:val="0"/>
              <w:marBottom w:val="0"/>
              <w:divBdr>
                <w:top w:val="none" w:sz="0" w:space="0" w:color="auto"/>
                <w:left w:val="single" w:sz="4" w:space="0" w:color="E2E2E2"/>
                <w:bottom w:val="none" w:sz="0" w:space="0" w:color="auto"/>
                <w:right w:val="single" w:sz="4" w:space="0" w:color="E2E2E2"/>
              </w:divBdr>
              <w:divsChild>
                <w:div w:id="702244529">
                  <w:marLeft w:val="0"/>
                  <w:marRight w:val="0"/>
                  <w:marTop w:val="0"/>
                  <w:marBottom w:val="0"/>
                  <w:divBdr>
                    <w:top w:val="none" w:sz="0" w:space="0" w:color="auto"/>
                    <w:left w:val="none" w:sz="0" w:space="0" w:color="auto"/>
                    <w:bottom w:val="none" w:sz="0" w:space="0" w:color="auto"/>
                    <w:right w:val="none" w:sz="0" w:space="0" w:color="auto"/>
                  </w:divBdr>
                  <w:divsChild>
                    <w:div w:id="17798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721737">
      <w:bodyDiv w:val="1"/>
      <w:marLeft w:val="0"/>
      <w:marRight w:val="0"/>
      <w:marTop w:val="0"/>
      <w:marBottom w:val="0"/>
      <w:divBdr>
        <w:top w:val="none" w:sz="0" w:space="0" w:color="auto"/>
        <w:left w:val="none" w:sz="0" w:space="0" w:color="auto"/>
        <w:bottom w:val="none" w:sz="0" w:space="0" w:color="auto"/>
        <w:right w:val="none" w:sz="0" w:space="0" w:color="auto"/>
      </w:divBdr>
    </w:div>
    <w:div w:id="651299079">
      <w:bodyDiv w:val="1"/>
      <w:marLeft w:val="0"/>
      <w:marRight w:val="0"/>
      <w:marTop w:val="0"/>
      <w:marBottom w:val="0"/>
      <w:divBdr>
        <w:top w:val="none" w:sz="0" w:space="0" w:color="auto"/>
        <w:left w:val="none" w:sz="0" w:space="0" w:color="auto"/>
        <w:bottom w:val="none" w:sz="0" w:space="0" w:color="auto"/>
        <w:right w:val="none" w:sz="0" w:space="0" w:color="auto"/>
      </w:divBdr>
    </w:div>
    <w:div w:id="690106384">
      <w:bodyDiv w:val="1"/>
      <w:marLeft w:val="0"/>
      <w:marRight w:val="0"/>
      <w:marTop w:val="0"/>
      <w:marBottom w:val="0"/>
      <w:divBdr>
        <w:top w:val="none" w:sz="0" w:space="0" w:color="auto"/>
        <w:left w:val="none" w:sz="0" w:space="0" w:color="auto"/>
        <w:bottom w:val="none" w:sz="0" w:space="0" w:color="auto"/>
        <w:right w:val="none" w:sz="0" w:space="0" w:color="auto"/>
      </w:divBdr>
    </w:div>
    <w:div w:id="720787173">
      <w:bodyDiv w:val="1"/>
      <w:marLeft w:val="0"/>
      <w:marRight w:val="0"/>
      <w:marTop w:val="0"/>
      <w:marBottom w:val="0"/>
      <w:divBdr>
        <w:top w:val="none" w:sz="0" w:space="0" w:color="auto"/>
        <w:left w:val="none" w:sz="0" w:space="0" w:color="auto"/>
        <w:bottom w:val="none" w:sz="0" w:space="0" w:color="auto"/>
        <w:right w:val="none" w:sz="0" w:space="0" w:color="auto"/>
      </w:divBdr>
    </w:div>
    <w:div w:id="833029377">
      <w:bodyDiv w:val="1"/>
      <w:marLeft w:val="0"/>
      <w:marRight w:val="0"/>
      <w:marTop w:val="0"/>
      <w:marBottom w:val="0"/>
      <w:divBdr>
        <w:top w:val="none" w:sz="0" w:space="0" w:color="auto"/>
        <w:left w:val="none" w:sz="0" w:space="0" w:color="auto"/>
        <w:bottom w:val="none" w:sz="0" w:space="0" w:color="auto"/>
        <w:right w:val="none" w:sz="0" w:space="0" w:color="auto"/>
      </w:divBdr>
    </w:div>
    <w:div w:id="856582367">
      <w:bodyDiv w:val="1"/>
      <w:marLeft w:val="0"/>
      <w:marRight w:val="0"/>
      <w:marTop w:val="0"/>
      <w:marBottom w:val="0"/>
      <w:divBdr>
        <w:top w:val="none" w:sz="0" w:space="0" w:color="auto"/>
        <w:left w:val="none" w:sz="0" w:space="0" w:color="auto"/>
        <w:bottom w:val="none" w:sz="0" w:space="0" w:color="auto"/>
        <w:right w:val="none" w:sz="0" w:space="0" w:color="auto"/>
      </w:divBdr>
    </w:div>
    <w:div w:id="917205668">
      <w:bodyDiv w:val="1"/>
      <w:marLeft w:val="0"/>
      <w:marRight w:val="0"/>
      <w:marTop w:val="0"/>
      <w:marBottom w:val="0"/>
      <w:divBdr>
        <w:top w:val="none" w:sz="0" w:space="0" w:color="auto"/>
        <w:left w:val="none" w:sz="0" w:space="0" w:color="auto"/>
        <w:bottom w:val="none" w:sz="0" w:space="0" w:color="auto"/>
        <w:right w:val="none" w:sz="0" w:space="0" w:color="auto"/>
      </w:divBdr>
    </w:div>
    <w:div w:id="1072507370">
      <w:bodyDiv w:val="1"/>
      <w:marLeft w:val="0"/>
      <w:marRight w:val="0"/>
      <w:marTop w:val="0"/>
      <w:marBottom w:val="0"/>
      <w:divBdr>
        <w:top w:val="none" w:sz="0" w:space="0" w:color="auto"/>
        <w:left w:val="none" w:sz="0" w:space="0" w:color="auto"/>
        <w:bottom w:val="none" w:sz="0" w:space="0" w:color="auto"/>
        <w:right w:val="none" w:sz="0" w:space="0" w:color="auto"/>
      </w:divBdr>
    </w:div>
    <w:div w:id="1279993237">
      <w:bodyDiv w:val="1"/>
      <w:marLeft w:val="0"/>
      <w:marRight w:val="0"/>
      <w:marTop w:val="0"/>
      <w:marBottom w:val="0"/>
      <w:divBdr>
        <w:top w:val="none" w:sz="0" w:space="0" w:color="auto"/>
        <w:left w:val="none" w:sz="0" w:space="0" w:color="auto"/>
        <w:bottom w:val="none" w:sz="0" w:space="0" w:color="auto"/>
        <w:right w:val="none" w:sz="0" w:space="0" w:color="auto"/>
      </w:divBdr>
    </w:div>
    <w:div w:id="1308701825">
      <w:bodyDiv w:val="1"/>
      <w:marLeft w:val="0"/>
      <w:marRight w:val="0"/>
      <w:marTop w:val="0"/>
      <w:marBottom w:val="0"/>
      <w:divBdr>
        <w:top w:val="none" w:sz="0" w:space="0" w:color="auto"/>
        <w:left w:val="none" w:sz="0" w:space="0" w:color="auto"/>
        <w:bottom w:val="none" w:sz="0" w:space="0" w:color="auto"/>
        <w:right w:val="none" w:sz="0" w:space="0" w:color="auto"/>
      </w:divBdr>
    </w:div>
    <w:div w:id="1381632679">
      <w:bodyDiv w:val="1"/>
      <w:marLeft w:val="0"/>
      <w:marRight w:val="0"/>
      <w:marTop w:val="0"/>
      <w:marBottom w:val="0"/>
      <w:divBdr>
        <w:top w:val="none" w:sz="0" w:space="0" w:color="auto"/>
        <w:left w:val="none" w:sz="0" w:space="0" w:color="auto"/>
        <w:bottom w:val="none" w:sz="0" w:space="0" w:color="auto"/>
        <w:right w:val="none" w:sz="0" w:space="0" w:color="auto"/>
      </w:divBdr>
    </w:div>
    <w:div w:id="1434210321">
      <w:bodyDiv w:val="1"/>
      <w:marLeft w:val="0"/>
      <w:marRight w:val="0"/>
      <w:marTop w:val="0"/>
      <w:marBottom w:val="0"/>
      <w:divBdr>
        <w:top w:val="none" w:sz="0" w:space="0" w:color="auto"/>
        <w:left w:val="none" w:sz="0" w:space="0" w:color="auto"/>
        <w:bottom w:val="none" w:sz="0" w:space="0" w:color="auto"/>
        <w:right w:val="none" w:sz="0" w:space="0" w:color="auto"/>
      </w:divBdr>
    </w:div>
    <w:div w:id="1460806318">
      <w:bodyDiv w:val="1"/>
      <w:marLeft w:val="0"/>
      <w:marRight w:val="0"/>
      <w:marTop w:val="0"/>
      <w:marBottom w:val="0"/>
      <w:divBdr>
        <w:top w:val="none" w:sz="0" w:space="0" w:color="auto"/>
        <w:left w:val="none" w:sz="0" w:space="0" w:color="auto"/>
        <w:bottom w:val="none" w:sz="0" w:space="0" w:color="auto"/>
        <w:right w:val="none" w:sz="0" w:space="0" w:color="auto"/>
      </w:divBdr>
    </w:div>
    <w:div w:id="1508203615">
      <w:bodyDiv w:val="1"/>
      <w:marLeft w:val="0"/>
      <w:marRight w:val="0"/>
      <w:marTop w:val="0"/>
      <w:marBottom w:val="0"/>
      <w:divBdr>
        <w:top w:val="none" w:sz="0" w:space="0" w:color="auto"/>
        <w:left w:val="none" w:sz="0" w:space="0" w:color="auto"/>
        <w:bottom w:val="none" w:sz="0" w:space="0" w:color="auto"/>
        <w:right w:val="none" w:sz="0" w:space="0" w:color="auto"/>
      </w:divBdr>
    </w:div>
    <w:div w:id="1533809765">
      <w:bodyDiv w:val="1"/>
      <w:marLeft w:val="0"/>
      <w:marRight w:val="0"/>
      <w:marTop w:val="0"/>
      <w:marBottom w:val="0"/>
      <w:divBdr>
        <w:top w:val="none" w:sz="0" w:space="0" w:color="auto"/>
        <w:left w:val="none" w:sz="0" w:space="0" w:color="auto"/>
        <w:bottom w:val="none" w:sz="0" w:space="0" w:color="auto"/>
        <w:right w:val="none" w:sz="0" w:space="0" w:color="auto"/>
      </w:divBdr>
    </w:div>
    <w:div w:id="1671828138">
      <w:bodyDiv w:val="1"/>
      <w:marLeft w:val="0"/>
      <w:marRight w:val="0"/>
      <w:marTop w:val="0"/>
      <w:marBottom w:val="0"/>
      <w:divBdr>
        <w:top w:val="none" w:sz="0" w:space="0" w:color="auto"/>
        <w:left w:val="none" w:sz="0" w:space="0" w:color="auto"/>
        <w:bottom w:val="none" w:sz="0" w:space="0" w:color="auto"/>
        <w:right w:val="none" w:sz="0" w:space="0" w:color="auto"/>
      </w:divBdr>
    </w:div>
    <w:div w:id="1672290994">
      <w:bodyDiv w:val="1"/>
      <w:marLeft w:val="0"/>
      <w:marRight w:val="0"/>
      <w:marTop w:val="0"/>
      <w:marBottom w:val="0"/>
      <w:divBdr>
        <w:top w:val="none" w:sz="0" w:space="0" w:color="auto"/>
        <w:left w:val="none" w:sz="0" w:space="0" w:color="auto"/>
        <w:bottom w:val="none" w:sz="0" w:space="0" w:color="auto"/>
        <w:right w:val="none" w:sz="0" w:space="0" w:color="auto"/>
      </w:divBdr>
    </w:div>
    <w:div w:id="1677927355">
      <w:bodyDiv w:val="1"/>
      <w:marLeft w:val="0"/>
      <w:marRight w:val="0"/>
      <w:marTop w:val="0"/>
      <w:marBottom w:val="0"/>
      <w:divBdr>
        <w:top w:val="none" w:sz="0" w:space="0" w:color="auto"/>
        <w:left w:val="none" w:sz="0" w:space="0" w:color="auto"/>
        <w:bottom w:val="none" w:sz="0" w:space="0" w:color="auto"/>
        <w:right w:val="none" w:sz="0" w:space="0" w:color="auto"/>
      </w:divBdr>
    </w:div>
    <w:div w:id="1717043661">
      <w:bodyDiv w:val="1"/>
      <w:marLeft w:val="0"/>
      <w:marRight w:val="0"/>
      <w:marTop w:val="0"/>
      <w:marBottom w:val="0"/>
      <w:divBdr>
        <w:top w:val="none" w:sz="0" w:space="0" w:color="auto"/>
        <w:left w:val="none" w:sz="0" w:space="0" w:color="auto"/>
        <w:bottom w:val="none" w:sz="0" w:space="0" w:color="auto"/>
        <w:right w:val="none" w:sz="0" w:space="0" w:color="auto"/>
      </w:divBdr>
    </w:div>
    <w:div w:id="1856849163">
      <w:bodyDiv w:val="1"/>
      <w:marLeft w:val="0"/>
      <w:marRight w:val="0"/>
      <w:marTop w:val="0"/>
      <w:marBottom w:val="0"/>
      <w:divBdr>
        <w:top w:val="none" w:sz="0" w:space="0" w:color="auto"/>
        <w:left w:val="none" w:sz="0" w:space="0" w:color="auto"/>
        <w:bottom w:val="none" w:sz="0" w:space="0" w:color="auto"/>
        <w:right w:val="none" w:sz="0" w:space="0" w:color="auto"/>
      </w:divBdr>
    </w:div>
    <w:div w:id="1891187281">
      <w:bodyDiv w:val="1"/>
      <w:marLeft w:val="0"/>
      <w:marRight w:val="0"/>
      <w:marTop w:val="0"/>
      <w:marBottom w:val="0"/>
      <w:divBdr>
        <w:top w:val="none" w:sz="0" w:space="0" w:color="auto"/>
        <w:left w:val="none" w:sz="0" w:space="0" w:color="auto"/>
        <w:bottom w:val="none" w:sz="0" w:space="0" w:color="auto"/>
        <w:right w:val="none" w:sz="0" w:space="0" w:color="auto"/>
      </w:divBdr>
    </w:div>
    <w:div w:id="2102526105">
      <w:bodyDiv w:val="1"/>
      <w:marLeft w:val="0"/>
      <w:marRight w:val="0"/>
      <w:marTop w:val="0"/>
      <w:marBottom w:val="0"/>
      <w:divBdr>
        <w:top w:val="none" w:sz="0" w:space="0" w:color="auto"/>
        <w:left w:val="none" w:sz="0" w:space="0" w:color="auto"/>
        <w:bottom w:val="none" w:sz="0" w:space="0" w:color="auto"/>
        <w:right w:val="none" w:sz="0" w:space="0" w:color="auto"/>
      </w:divBdr>
    </w:div>
    <w:div w:id="210437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E4D4A-29C6-4C2F-9974-2BDE5EF8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4318</Words>
  <Characters>24617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FOOD STAMP PROGRAM REPAYMENT DEMAND AND PROGRAM DISQUALIFICATION</vt:lpstr>
    </vt:vector>
  </TitlesOfParts>
  <Company>USDA</Company>
  <LinksUpToDate>false</LinksUpToDate>
  <CharactersWithSpaces>28878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STAMP PROGRAM REPAYMENT DEMAND AND PROGRAM DISQUALIFICATION</dc:title>
  <dc:creator>usda</dc:creator>
  <cp:lastModifiedBy>SYSTEM</cp:lastModifiedBy>
  <cp:revision>2</cp:revision>
  <cp:lastPrinted>2017-08-14T19:37:00Z</cp:lastPrinted>
  <dcterms:created xsi:type="dcterms:W3CDTF">2018-03-22T21:02:00Z</dcterms:created>
  <dcterms:modified xsi:type="dcterms:W3CDTF">2018-03-22T21:02:00Z</dcterms:modified>
</cp:coreProperties>
</file>