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AC362"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7956884D" w14:textId="77777777" w:rsidR="009B7E7C" w:rsidRPr="003D5237" w:rsidRDefault="00EA6C04" w:rsidP="009B7E7C">
      <w:pPr>
        <w:spacing w:after="0" w:line="240" w:lineRule="auto"/>
        <w:jc w:val="center"/>
        <w:rPr>
          <w:rFonts w:ascii="Times New Roman" w:hAnsi="Times New Roman" w:cs="Times New Roman"/>
          <w:sz w:val="24"/>
          <w:szCs w:val="24"/>
        </w:rPr>
      </w:pPr>
      <w:r w:rsidRPr="00EA6C04">
        <w:rPr>
          <w:rFonts w:asciiTheme="majorHAnsi" w:hAnsiTheme="majorHAnsi"/>
          <w:sz w:val="24"/>
        </w:rPr>
        <w:t>(</w:t>
      </w:r>
      <w:r w:rsidR="009B7E7C" w:rsidRPr="003D5237">
        <w:rPr>
          <w:rFonts w:ascii="Times New Roman" w:hAnsi="Times New Roman" w:cs="Times New Roman"/>
          <w:sz w:val="24"/>
          <w:szCs w:val="24"/>
        </w:rPr>
        <w:t xml:space="preserve">(Department of Defense Contract Security Classification Specification (DD Form 254) </w:t>
      </w:r>
    </w:p>
    <w:p w14:paraId="07B7DC00" w14:textId="77777777" w:rsidR="00EA6C04" w:rsidRDefault="009B7E7C" w:rsidP="00EB3DEC">
      <w:pPr>
        <w:spacing w:after="0" w:line="240" w:lineRule="auto"/>
        <w:jc w:val="center"/>
        <w:rPr>
          <w:rFonts w:asciiTheme="majorHAnsi" w:hAnsiTheme="majorHAnsi"/>
          <w:sz w:val="24"/>
        </w:rPr>
      </w:pPr>
      <w:r w:rsidRPr="003D5237">
        <w:rPr>
          <w:rFonts w:ascii="Times New Roman" w:hAnsi="Times New Roman" w:cs="Times New Roman"/>
          <w:sz w:val="24"/>
          <w:szCs w:val="24"/>
        </w:rPr>
        <w:t>OMB Control Number:  0704-XXXX</w:t>
      </w:r>
      <w:r w:rsidR="00EA6C04" w:rsidRPr="00EA6C04">
        <w:rPr>
          <w:rFonts w:asciiTheme="majorHAnsi" w:hAnsiTheme="majorHAnsi"/>
          <w:sz w:val="24"/>
        </w:rPr>
        <w:t>)</w:t>
      </w:r>
    </w:p>
    <w:p w14:paraId="337FA060" w14:textId="77777777" w:rsidR="00EA6C04" w:rsidRDefault="00EA6C04" w:rsidP="00EB3DEC">
      <w:pPr>
        <w:spacing w:after="0" w:line="240" w:lineRule="auto"/>
        <w:jc w:val="center"/>
        <w:rPr>
          <w:rFonts w:asciiTheme="majorHAnsi" w:hAnsiTheme="majorHAnsi"/>
          <w:sz w:val="24"/>
        </w:rPr>
      </w:pPr>
    </w:p>
    <w:p w14:paraId="42385B71" w14:textId="77777777" w:rsidR="00EB3DEC" w:rsidRDefault="00EB3DEC" w:rsidP="00EB3DEC">
      <w:pPr>
        <w:spacing w:after="0" w:line="240" w:lineRule="auto"/>
        <w:jc w:val="center"/>
        <w:rPr>
          <w:rFonts w:asciiTheme="majorHAnsi" w:hAnsiTheme="majorHAnsi"/>
          <w:sz w:val="24"/>
        </w:rPr>
      </w:pPr>
    </w:p>
    <w:p w14:paraId="0718CC5B"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D646B6A"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Pursuant to 48 CFR, part 27, in conjunction with subpart 4.4 of the Federal Acquisition Regulation, contracting officers shall review all proposed solicitations to determine whether access to classified information may be required by offerors or by a contractor during contract performance.  When access to classified information is required and the provisions of subpart 4.4 require it, the contracting officer shall insert the clause at 52.2</w:t>
      </w:r>
      <w:r>
        <w:rPr>
          <w:rFonts w:ascii="Times New Roman" w:hAnsi="Times New Roman" w:cs="Times New Roman"/>
          <w:sz w:val="24"/>
          <w:szCs w:val="24"/>
        </w:rPr>
        <w:t>04</w:t>
      </w:r>
      <w:r w:rsidRPr="003D5237">
        <w:rPr>
          <w:rFonts w:ascii="Times New Roman" w:hAnsi="Times New Roman" w:cs="Times New Roman"/>
          <w:sz w:val="24"/>
          <w:szCs w:val="24"/>
        </w:rPr>
        <w:t xml:space="preserve">-2, Security Requirements, in solicitations and contracts.  DoD Components, those non-DoD agencies with formal agreements with DoD for industrial security services and U.S. contractors under DoD security </w:t>
      </w:r>
      <w:bookmarkStart w:id="1" w:name="OLE_LINK1"/>
      <w:bookmarkStart w:id="2" w:name="OLE_LINK2"/>
      <w:r w:rsidRPr="003D5237">
        <w:rPr>
          <w:rFonts w:ascii="Times New Roman" w:hAnsi="Times New Roman" w:cs="Times New Roman"/>
          <w:sz w:val="24"/>
          <w:szCs w:val="24"/>
        </w:rPr>
        <w:t>cognizance in the National Industrial Security Program (NISP) shall use</w:t>
      </w:r>
      <w:bookmarkEnd w:id="1"/>
      <w:bookmarkEnd w:id="2"/>
      <w:r w:rsidRPr="003D5237">
        <w:rPr>
          <w:rFonts w:ascii="Times New Roman" w:hAnsi="Times New Roman" w:cs="Times New Roman"/>
          <w:sz w:val="24"/>
          <w:szCs w:val="24"/>
        </w:rPr>
        <w:t xml:space="preserve"> the “Contract Security Classification Specification,” DD Form 254, as an attachment to contracts, solicitations and other arrangements or agreements requiring access to classified information by U.S. contractors.  This information collection is needed because the DD Form 254, </w:t>
      </w:r>
      <w:bookmarkStart w:id="3" w:name="OLE_LINK3"/>
      <w:bookmarkStart w:id="4" w:name="OLE_LINK4"/>
      <w:r w:rsidRPr="003D5237">
        <w:rPr>
          <w:rFonts w:ascii="Times New Roman" w:hAnsi="Times New Roman" w:cs="Times New Roman"/>
          <w:sz w:val="24"/>
          <w:szCs w:val="24"/>
        </w:rPr>
        <w:t>with its attachments, supplements, and incorporated references, is the principal authorized means for providing security classification guidance to a contractor in connection with a classified contract.</w:t>
      </w:r>
      <w:bookmarkEnd w:id="3"/>
      <w:bookmarkEnd w:id="4"/>
      <w:r w:rsidRPr="003D5237">
        <w:rPr>
          <w:rFonts w:ascii="Times New Roman" w:hAnsi="Times New Roman" w:cs="Times New Roman"/>
          <w:sz w:val="24"/>
          <w:szCs w:val="24"/>
        </w:rPr>
        <w:t xml:space="preserve">  </w:t>
      </w:r>
    </w:p>
    <w:p w14:paraId="7079AFBA" w14:textId="77777777" w:rsidR="009B7E7C" w:rsidRPr="003D5237" w:rsidRDefault="009B7E7C" w:rsidP="009B7E7C">
      <w:pPr>
        <w:spacing w:after="0" w:line="240" w:lineRule="auto"/>
        <w:rPr>
          <w:rFonts w:ascii="Times New Roman" w:hAnsi="Times New Roman" w:cs="Times New Roman"/>
          <w:sz w:val="24"/>
          <w:szCs w:val="24"/>
        </w:rPr>
      </w:pPr>
    </w:p>
    <w:p w14:paraId="075753D5"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DoD 5220.22-R “Industrial Security Regulation,” requires that Government Contracting Activities (GCAs) use the DD Form 254 to provide security classification guidance to a contractor in connection with a classified contract.  </w:t>
      </w:r>
      <w:r w:rsidR="00DE03AB">
        <w:rPr>
          <w:rFonts w:ascii="Times New Roman" w:hAnsi="Times New Roman" w:cs="Times New Roman"/>
          <w:sz w:val="24"/>
          <w:szCs w:val="24"/>
        </w:rPr>
        <w:t>T</w:t>
      </w:r>
      <w:r w:rsidRPr="003D5237">
        <w:rPr>
          <w:rFonts w:ascii="Times New Roman" w:hAnsi="Times New Roman" w:cs="Times New Roman"/>
          <w:sz w:val="24"/>
          <w:szCs w:val="24"/>
        </w:rPr>
        <w:t>he DoD 5220.22-M, National Industrial Security Program Operating Manual (NISPOM)</w:t>
      </w:r>
      <w:r w:rsidR="00DE03AB">
        <w:rPr>
          <w:rFonts w:ascii="Times New Roman" w:hAnsi="Times New Roman" w:cs="Times New Roman"/>
          <w:sz w:val="24"/>
          <w:szCs w:val="24"/>
        </w:rPr>
        <w:t xml:space="preserve"> also</w:t>
      </w:r>
      <w:r w:rsidRPr="003D5237">
        <w:rPr>
          <w:rFonts w:ascii="Times New Roman" w:hAnsi="Times New Roman" w:cs="Times New Roman"/>
          <w:sz w:val="24"/>
          <w:szCs w:val="24"/>
        </w:rPr>
        <w:t xml:space="preserve"> requires that cleared U.S. prime contractors provide contract security classification specifications to their U.S. cleared subcontractors when access to classified information is required in connection with a subcontract.</w:t>
      </w:r>
    </w:p>
    <w:p w14:paraId="3C37BD2A" w14:textId="77777777" w:rsidR="00510F0C" w:rsidRPr="00020622" w:rsidRDefault="00510F0C" w:rsidP="006E563D">
      <w:pPr>
        <w:spacing w:after="0" w:line="240" w:lineRule="auto"/>
        <w:rPr>
          <w:rFonts w:asciiTheme="majorHAnsi" w:hAnsiTheme="majorHAnsi"/>
          <w:sz w:val="24"/>
        </w:rPr>
      </w:pPr>
      <w:r w:rsidRPr="00020622">
        <w:rPr>
          <w:rFonts w:asciiTheme="majorHAnsi" w:hAnsiTheme="majorHAnsi"/>
          <w:sz w:val="24"/>
        </w:rPr>
        <w:tab/>
      </w:r>
    </w:p>
    <w:p w14:paraId="4160C33C" w14:textId="77777777" w:rsidR="00510F0C" w:rsidRPr="00020622" w:rsidRDefault="00510F0C" w:rsidP="006E563D">
      <w:pPr>
        <w:spacing w:after="0" w:line="240" w:lineRule="auto"/>
        <w:rPr>
          <w:rFonts w:asciiTheme="majorHAnsi" w:hAnsiTheme="majorHAnsi"/>
          <w:sz w:val="24"/>
        </w:rPr>
      </w:pPr>
    </w:p>
    <w:p w14:paraId="382E9982"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6EC3D95B"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There is one information collection with associated instructions.  The DD Form 254, “Contract Security Classification Specification,” is used to identify the classified areas of information involved in the classified effort and, particularly, to identify the specific items of information within these areas that require protection.  DoD Components, including the Military Services, those non-DoD agencies with formal agreements with DoD for industrial security services or U.S. contractors under DoD security cognizance in the NISP provide the guidance in the body of the DD Form 254 or its attachments based on requirements levied through security classification guidance for solicitations, contracts or other agreements requiring access to classified information.  </w:t>
      </w:r>
    </w:p>
    <w:p w14:paraId="6A765CAF" w14:textId="77777777" w:rsidR="009B7E7C" w:rsidRPr="003D5237" w:rsidRDefault="009B7E7C" w:rsidP="009B7E7C">
      <w:pPr>
        <w:spacing w:after="0" w:line="240" w:lineRule="auto"/>
        <w:rPr>
          <w:rFonts w:ascii="Times New Roman" w:hAnsi="Times New Roman" w:cs="Times New Roman"/>
          <w:sz w:val="24"/>
          <w:szCs w:val="24"/>
        </w:rPr>
      </w:pPr>
    </w:p>
    <w:p w14:paraId="59CEA3AD"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The respondent is a cleared contractor facility in the NISP under the security cognizance of the Defense Security Service (DSS), the designated Cognizant Security Office for DoD.  Pursuant to security classification guidance provided by the government customer and requirements of the NISPOM, DoD 5220.22-M, the NISP contractors must provide contract security classification specifications with any solicitations, subcontracts or other agreements requiring access to classified information that they propose or award.  For those contractors </w:t>
      </w:r>
      <w:r w:rsidRPr="003D5237">
        <w:rPr>
          <w:rFonts w:ascii="Times New Roman" w:hAnsi="Times New Roman" w:cs="Times New Roman"/>
          <w:sz w:val="24"/>
          <w:szCs w:val="24"/>
        </w:rPr>
        <w:lastRenderedPageBreak/>
        <w:t xml:space="preserve">under DoD security cognizance, that means using the DD Form 254 for those solicitations, subcontracts or other agreements that require access to classified information.  </w:t>
      </w:r>
    </w:p>
    <w:p w14:paraId="676A1895" w14:textId="77777777" w:rsidR="009B7E7C" w:rsidRPr="003D5237" w:rsidRDefault="009B7E7C" w:rsidP="009B7E7C">
      <w:pPr>
        <w:spacing w:after="0" w:line="240" w:lineRule="auto"/>
        <w:rPr>
          <w:rFonts w:ascii="Times New Roman" w:hAnsi="Times New Roman" w:cs="Times New Roman"/>
          <w:sz w:val="24"/>
          <w:szCs w:val="24"/>
        </w:rPr>
      </w:pPr>
    </w:p>
    <w:p w14:paraId="6C3E0C2E"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A respondent submits completed DD Forms 254 with any attachments to the applicable subcontractor and to the DoD NISP Cognizant Security Office (i.e., DSS) for use in the evaluation and oversight of U.S. cleared contractors’ access to and safeguarding of classified information based on requirements levied by the DoD 5220.22-M, NISPOM.  In the event that the Government Contracting Activity (GCAs) is a foreign government or an activity of the North Atlantic Treaty Organization, a security aspects letter serves as the equivalent of a DD Form 254 to provide security classification guidance to a contractor in connection with a classified contract.</w:t>
      </w:r>
    </w:p>
    <w:p w14:paraId="23662AD0" w14:textId="77777777" w:rsidR="009B7E7C" w:rsidRPr="003D5237" w:rsidRDefault="009B7E7C" w:rsidP="009B7E7C">
      <w:pPr>
        <w:spacing w:after="0" w:line="240" w:lineRule="auto"/>
        <w:rPr>
          <w:rFonts w:ascii="Times New Roman" w:hAnsi="Times New Roman" w:cs="Times New Roman"/>
          <w:sz w:val="24"/>
          <w:szCs w:val="24"/>
        </w:rPr>
      </w:pPr>
    </w:p>
    <w:p w14:paraId="218528D5" w14:textId="77777777" w:rsidR="009B7E7C" w:rsidRPr="003D5237" w:rsidRDefault="009B7E7C" w:rsidP="009B7E7C">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The contractor signs a DoD Security Agreement (DD Form 441</w:t>
      </w:r>
      <w:r w:rsidR="000053EC">
        <w:rPr>
          <w:rFonts w:ascii="Times New Roman" w:hAnsi="Times New Roman" w:cs="Times New Roman"/>
          <w:sz w:val="24"/>
          <w:szCs w:val="24"/>
        </w:rPr>
        <w:t>; OMB Control Number 0704-0194</w:t>
      </w:r>
      <w:r w:rsidRPr="003D5237">
        <w:rPr>
          <w:rFonts w:ascii="Times New Roman" w:hAnsi="Times New Roman" w:cs="Times New Roman"/>
          <w:sz w:val="24"/>
          <w:szCs w:val="24"/>
        </w:rPr>
        <w:t xml:space="preserve">) which includes the following text: </w:t>
      </w:r>
    </w:p>
    <w:p w14:paraId="0C7C40DC" w14:textId="77777777" w:rsidR="009B7E7C" w:rsidRPr="003D5237" w:rsidRDefault="009B7E7C" w:rsidP="009B7E7C">
      <w:pPr>
        <w:spacing w:after="0" w:line="240" w:lineRule="auto"/>
        <w:ind w:firstLine="720"/>
        <w:rPr>
          <w:rFonts w:ascii="Times New Roman" w:hAnsi="Times New Roman" w:cs="Times New Roman"/>
          <w:sz w:val="24"/>
          <w:szCs w:val="24"/>
        </w:rPr>
      </w:pPr>
    </w:p>
    <w:p w14:paraId="15D0E45B" w14:textId="77777777" w:rsidR="009B7E7C" w:rsidRPr="003D5237" w:rsidRDefault="009B7E7C" w:rsidP="009B7E7C">
      <w:pPr>
        <w:spacing w:after="0" w:line="240" w:lineRule="auto"/>
        <w:ind w:firstLine="990"/>
        <w:rPr>
          <w:rFonts w:ascii="Times New Roman" w:hAnsi="Times New Roman" w:cs="Times New Roman"/>
          <w:i/>
          <w:sz w:val="24"/>
          <w:szCs w:val="24"/>
        </w:rPr>
      </w:pPr>
      <w:r w:rsidRPr="003D5237">
        <w:rPr>
          <w:rFonts w:ascii="Times New Roman" w:hAnsi="Times New Roman" w:cs="Times New Roman"/>
          <w:i/>
          <w:sz w:val="24"/>
          <w:szCs w:val="24"/>
        </w:rPr>
        <w:t xml:space="preserve">“Section I Security Controls: (A) The contractor agrees to provide and maintain a system of security controls within the organization in accordance with the requirements of the “National Industrial Security Program Operating Manual,” DoD 5220.22-M… ” </w:t>
      </w:r>
    </w:p>
    <w:p w14:paraId="09D545E3" w14:textId="77777777" w:rsidR="009B7E7C" w:rsidRPr="003D5237" w:rsidRDefault="009B7E7C" w:rsidP="009B7E7C">
      <w:pPr>
        <w:spacing w:after="0" w:line="240" w:lineRule="auto"/>
        <w:rPr>
          <w:rFonts w:ascii="Times New Roman" w:hAnsi="Times New Roman" w:cs="Times New Roman"/>
          <w:i/>
          <w:sz w:val="24"/>
          <w:szCs w:val="24"/>
        </w:rPr>
      </w:pPr>
    </w:p>
    <w:p w14:paraId="55E6CC3D" w14:textId="77777777" w:rsidR="009B7E7C" w:rsidRPr="003D5237" w:rsidRDefault="009B7E7C" w:rsidP="009B7E7C">
      <w:pPr>
        <w:spacing w:after="0" w:line="240" w:lineRule="auto"/>
        <w:ind w:firstLine="990"/>
        <w:rPr>
          <w:rFonts w:ascii="Times New Roman" w:hAnsi="Times New Roman" w:cs="Times New Roman"/>
          <w:i/>
          <w:sz w:val="24"/>
          <w:szCs w:val="24"/>
        </w:rPr>
      </w:pPr>
      <w:r w:rsidRPr="003D5237">
        <w:rPr>
          <w:rFonts w:ascii="Times New Roman" w:hAnsi="Times New Roman" w:cs="Times New Roman"/>
          <w:i/>
          <w:sz w:val="24"/>
          <w:szCs w:val="24"/>
        </w:rPr>
        <w:t>“Section VI Security Costs:  This Agreement does not obligate Government funds, and the Government shall not be liable for any costs or claims of the Contractor arising out of this Agreement or instructions issued hereunder.  It is recognized, however, that the parties may provide in other written contracts for security costs, which may be properly chargeable thereto.”</w:t>
      </w:r>
    </w:p>
    <w:p w14:paraId="12361189" w14:textId="77777777" w:rsidR="009B7E7C" w:rsidRPr="003D5237" w:rsidRDefault="009B7E7C" w:rsidP="009B7E7C">
      <w:pPr>
        <w:spacing w:after="0" w:line="240" w:lineRule="auto"/>
        <w:rPr>
          <w:rFonts w:ascii="Times New Roman" w:hAnsi="Times New Roman" w:cs="Times New Roman"/>
          <w:sz w:val="24"/>
          <w:szCs w:val="24"/>
        </w:rPr>
      </w:pPr>
    </w:p>
    <w:p w14:paraId="3F4B7249" w14:textId="77777777" w:rsidR="005C7428" w:rsidRPr="009B7E7C" w:rsidRDefault="009B7E7C" w:rsidP="009B7E7C">
      <w:pPr>
        <w:spacing w:after="0" w:line="240" w:lineRule="auto"/>
        <w:rPr>
          <w:rFonts w:asciiTheme="majorHAnsi" w:hAnsiTheme="majorHAnsi"/>
          <w:i/>
          <w:sz w:val="24"/>
        </w:rPr>
      </w:pPr>
      <w:r w:rsidRPr="009B7E7C">
        <w:rPr>
          <w:rFonts w:ascii="Times New Roman" w:hAnsi="Times New Roman" w:cs="Times New Roman"/>
          <w:sz w:val="24"/>
          <w:szCs w:val="24"/>
        </w:rPr>
        <w:t xml:space="preserve">Respondents may also electronically complete and submit the DD Form 254 with attachments to the </w:t>
      </w:r>
      <w:bookmarkStart w:id="5" w:name="OLE_LINK5"/>
      <w:bookmarkStart w:id="6" w:name="OLE_LINK6"/>
      <w:r w:rsidRPr="009B7E7C">
        <w:rPr>
          <w:rFonts w:ascii="Times New Roman" w:hAnsi="Times New Roman" w:cs="Times New Roman"/>
          <w:sz w:val="24"/>
          <w:szCs w:val="24"/>
        </w:rPr>
        <w:t>servicing DSS field office through the NISP Contracts Classification System (NCCS).</w:t>
      </w:r>
      <w:bookmarkEnd w:id="5"/>
      <w:bookmarkEnd w:id="6"/>
      <w:r w:rsidRPr="009B7E7C">
        <w:rPr>
          <w:rFonts w:ascii="Times New Roman" w:hAnsi="Times New Roman" w:cs="Times New Roman"/>
          <w:sz w:val="24"/>
          <w:szCs w:val="24"/>
        </w:rPr>
        <w:t xml:space="preserve">  NCCS is as an Enterprise Federal information system application that supports DoD and other Federal Agencies in the NISP by facilitating the processing and distribution of contract security classification specifications (DD Forms 254).  NCCS is in the initial phases of deployment and is available as an application on the Wide Area Workflow E-Business Suite.  Respondents can register for, and request access to, NCCS at:  </w:t>
      </w:r>
      <w:hyperlink r:id="rId12" w:history="1">
        <w:r w:rsidRPr="009B7E7C">
          <w:rPr>
            <w:rStyle w:val="Hyperlink"/>
            <w:rFonts w:ascii="Times New Roman" w:hAnsi="Times New Roman" w:cs="Times New Roman"/>
            <w:sz w:val="24"/>
            <w:szCs w:val="24"/>
          </w:rPr>
          <w:t>https://wawf.eb.mil/</w:t>
        </w:r>
      </w:hyperlink>
      <w:r w:rsidRPr="009B7E7C">
        <w:rPr>
          <w:rFonts w:ascii="Times New Roman" w:hAnsi="Times New Roman" w:cs="Times New Roman"/>
          <w:sz w:val="24"/>
          <w:szCs w:val="24"/>
        </w:rPr>
        <w:t>.</w:t>
      </w:r>
    </w:p>
    <w:p w14:paraId="4C6C393A" w14:textId="77777777" w:rsidR="005C7428" w:rsidRDefault="005C7428" w:rsidP="006E563D">
      <w:pPr>
        <w:spacing w:after="0" w:line="240" w:lineRule="auto"/>
        <w:rPr>
          <w:rFonts w:asciiTheme="majorHAnsi" w:hAnsiTheme="majorHAnsi"/>
          <w:i/>
          <w:sz w:val="24"/>
        </w:rPr>
      </w:pPr>
    </w:p>
    <w:p w14:paraId="6EDC56AF" w14:textId="77777777" w:rsidR="005C7428" w:rsidRDefault="005C7428" w:rsidP="006E563D">
      <w:pPr>
        <w:spacing w:after="0" w:line="240" w:lineRule="auto"/>
        <w:rPr>
          <w:rFonts w:asciiTheme="majorHAnsi" w:hAnsiTheme="majorHAnsi"/>
          <w:i/>
          <w:sz w:val="24"/>
        </w:rPr>
      </w:pPr>
    </w:p>
    <w:p w14:paraId="15F67801"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2B667EBA" w14:textId="50D91E27" w:rsidR="00D41927" w:rsidRPr="003D5237" w:rsidRDefault="00D41927" w:rsidP="00D41927">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Seventy-five percent of respondents electronically complete and submit DD Forms 254 with attachments to the servicing field offices of DSS, the DoD designated NISP Cognizant Security Office.  </w:t>
      </w:r>
      <w:r w:rsidR="00980EDE">
        <w:rPr>
          <w:rFonts w:ascii="Times New Roman" w:hAnsi="Times New Roman" w:cs="Times New Roman"/>
          <w:sz w:val="24"/>
          <w:szCs w:val="24"/>
        </w:rPr>
        <w:t xml:space="preserve">Electronic submissions are considered those submitted by facsimile or those scanned and sent via email to the servicing DSS field office. </w:t>
      </w:r>
      <w:r w:rsidRPr="003D5237">
        <w:rPr>
          <w:rFonts w:ascii="Times New Roman" w:hAnsi="Times New Roman" w:cs="Times New Roman"/>
          <w:sz w:val="24"/>
          <w:szCs w:val="24"/>
        </w:rPr>
        <w:t>The remaining twenty-five percent choose to print out the DD Form 254 and mail the completed document with any attachments to the servicing DSS field office for the U.S. contractor identified in the information collection.</w:t>
      </w:r>
    </w:p>
    <w:p w14:paraId="16188089" w14:textId="77777777" w:rsidR="00D41927" w:rsidRPr="003D5237" w:rsidRDefault="00D41927" w:rsidP="00D41927">
      <w:pPr>
        <w:spacing w:after="0" w:line="240" w:lineRule="auto"/>
        <w:jc w:val="center"/>
        <w:rPr>
          <w:rFonts w:ascii="Times New Roman" w:hAnsi="Times New Roman" w:cs="Times New Roman"/>
          <w:sz w:val="24"/>
          <w:szCs w:val="24"/>
        </w:rPr>
      </w:pPr>
    </w:p>
    <w:p w14:paraId="4507CEE0" w14:textId="7C9482F4" w:rsidR="00D41927" w:rsidRDefault="002472DE" w:rsidP="00D419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DoD expects the percentage of electronic submissions via facsimile or email to </w:t>
      </w:r>
      <w:r w:rsidR="00A67108">
        <w:rPr>
          <w:rFonts w:ascii="Times New Roman" w:hAnsi="Times New Roman" w:cs="Times New Roman"/>
          <w:sz w:val="24"/>
          <w:szCs w:val="24"/>
        </w:rPr>
        <w:t>be replaced</w:t>
      </w:r>
      <w:r>
        <w:rPr>
          <w:rFonts w:ascii="Times New Roman" w:hAnsi="Times New Roman" w:cs="Times New Roman"/>
          <w:sz w:val="24"/>
          <w:szCs w:val="24"/>
        </w:rPr>
        <w:t xml:space="preserve"> as  r</w:t>
      </w:r>
      <w:r w:rsidR="00D41927" w:rsidRPr="003D5237">
        <w:rPr>
          <w:rFonts w:ascii="Times New Roman" w:hAnsi="Times New Roman" w:cs="Times New Roman"/>
          <w:sz w:val="24"/>
          <w:szCs w:val="24"/>
        </w:rPr>
        <w:t xml:space="preserve">espondents </w:t>
      </w:r>
      <w:r>
        <w:rPr>
          <w:rFonts w:ascii="Times New Roman" w:hAnsi="Times New Roman" w:cs="Times New Roman"/>
          <w:sz w:val="24"/>
          <w:szCs w:val="24"/>
        </w:rPr>
        <w:t>begin to</w:t>
      </w:r>
      <w:r w:rsidR="00D41927" w:rsidRPr="003D5237">
        <w:rPr>
          <w:rFonts w:ascii="Times New Roman" w:hAnsi="Times New Roman" w:cs="Times New Roman"/>
          <w:sz w:val="24"/>
          <w:szCs w:val="24"/>
        </w:rPr>
        <w:t xml:space="preserve"> electronically complete and submit the DD Form 254 with attachments to the servicing DSS field office through the NCCS.  NCCS is as an Enterprise Federal information system application that supports DoD and other Federal Agencies in the NISP by facilitating the processing and distribution of contract security classification specifications (DD Forms 254).  </w:t>
      </w:r>
      <w:r w:rsidR="00D41927" w:rsidRPr="003D5237">
        <w:rPr>
          <w:rFonts w:ascii="Times New Roman" w:hAnsi="Times New Roman" w:cs="Times New Roman"/>
          <w:sz w:val="24"/>
          <w:szCs w:val="24"/>
        </w:rPr>
        <w:lastRenderedPageBreak/>
        <w:t xml:space="preserve">NCCS is in the initial phases of deployment and is available as an application on the Wide Area Workflow E-Business Suite.  Respondents can register for, and request access to, NCCS at:  </w:t>
      </w:r>
      <w:hyperlink r:id="rId13" w:history="1">
        <w:r w:rsidR="00D41927" w:rsidRPr="003D5237">
          <w:rPr>
            <w:rStyle w:val="Hyperlink"/>
            <w:rFonts w:ascii="Times New Roman" w:hAnsi="Times New Roman" w:cs="Times New Roman"/>
            <w:sz w:val="24"/>
            <w:szCs w:val="24"/>
          </w:rPr>
          <w:t>https://wawf.eb.mil/</w:t>
        </w:r>
      </w:hyperlink>
      <w:r w:rsidR="00D41927" w:rsidRPr="003D5237">
        <w:rPr>
          <w:rFonts w:ascii="Times New Roman" w:hAnsi="Times New Roman" w:cs="Times New Roman"/>
          <w:sz w:val="24"/>
          <w:szCs w:val="24"/>
        </w:rPr>
        <w:t>.</w:t>
      </w:r>
      <w:r w:rsidR="00980EDE">
        <w:rPr>
          <w:rFonts w:ascii="Times New Roman" w:hAnsi="Times New Roman" w:cs="Times New Roman"/>
          <w:sz w:val="24"/>
          <w:szCs w:val="24"/>
        </w:rPr>
        <w:t xml:space="preserve">  </w:t>
      </w:r>
      <w:r w:rsidR="001A62E0">
        <w:rPr>
          <w:rFonts w:ascii="Times New Roman" w:hAnsi="Times New Roman" w:cs="Times New Roman"/>
          <w:sz w:val="24"/>
          <w:szCs w:val="24"/>
        </w:rPr>
        <w:t>The burden for the NCCS is not included in this iteration of the submission to OMB, and will be included as a revision to the collection at a later date once deployment is complete.</w:t>
      </w:r>
    </w:p>
    <w:p w14:paraId="57984FAD" w14:textId="77777777" w:rsidR="00D41927" w:rsidRDefault="00D41927" w:rsidP="00D41927">
      <w:pPr>
        <w:spacing w:after="0" w:line="240" w:lineRule="auto"/>
        <w:rPr>
          <w:rFonts w:ascii="Times New Roman" w:hAnsi="Times New Roman" w:cs="Times New Roman"/>
          <w:sz w:val="24"/>
          <w:szCs w:val="24"/>
        </w:rPr>
      </w:pPr>
    </w:p>
    <w:p w14:paraId="093573B2" w14:textId="77777777" w:rsidR="00D41927" w:rsidRDefault="00D41927" w:rsidP="00D41927">
      <w:pPr>
        <w:spacing w:after="0" w:line="240" w:lineRule="auto"/>
        <w:rPr>
          <w:rFonts w:asciiTheme="majorHAnsi" w:hAnsiTheme="majorHAnsi"/>
          <w:i/>
          <w:sz w:val="24"/>
        </w:rPr>
      </w:pPr>
    </w:p>
    <w:p w14:paraId="62A430F4" w14:textId="77777777" w:rsidR="008635C4" w:rsidRPr="00020622" w:rsidRDefault="008635C4" w:rsidP="006E563D">
      <w:pPr>
        <w:spacing w:after="0" w:line="240" w:lineRule="auto"/>
        <w:rPr>
          <w:rFonts w:asciiTheme="majorHAnsi" w:hAnsiTheme="majorHAnsi"/>
          <w:sz w:val="24"/>
          <w:u w:val="single"/>
        </w:rPr>
      </w:pPr>
      <w:r w:rsidRPr="00020622">
        <w:rPr>
          <w:rFonts w:asciiTheme="majorHAnsi" w:hAnsiTheme="majorHAnsi"/>
          <w:sz w:val="24"/>
        </w:rPr>
        <w:t xml:space="preserve">4. </w:t>
      </w:r>
      <w:r w:rsidRPr="00020622">
        <w:rPr>
          <w:rFonts w:asciiTheme="majorHAnsi" w:hAnsiTheme="majorHAnsi"/>
          <w:sz w:val="24"/>
        </w:rPr>
        <w:tab/>
      </w:r>
      <w:r w:rsidRPr="00020622">
        <w:rPr>
          <w:rFonts w:asciiTheme="majorHAnsi" w:hAnsiTheme="majorHAnsi"/>
          <w:sz w:val="24"/>
          <w:u w:val="single"/>
        </w:rPr>
        <w:t>Non-duplication</w:t>
      </w:r>
    </w:p>
    <w:p w14:paraId="4FF6F0CF" w14:textId="77777777" w:rsidR="008635C4" w:rsidRPr="00020622" w:rsidRDefault="008635C4" w:rsidP="006E563D">
      <w:pPr>
        <w:spacing w:after="0" w:line="240" w:lineRule="auto"/>
        <w:rPr>
          <w:rFonts w:asciiTheme="majorHAnsi" w:hAnsiTheme="majorHAnsi"/>
          <w:i/>
          <w:sz w:val="24"/>
        </w:rPr>
      </w:pPr>
      <w:r w:rsidRPr="00020622">
        <w:rPr>
          <w:rFonts w:asciiTheme="majorHAnsi" w:hAnsiTheme="majorHAnsi"/>
          <w:sz w:val="24"/>
        </w:rPr>
        <w:t xml:space="preserve">The information obtained through this collection is unique and </w:t>
      </w:r>
      <w:r w:rsidR="00CA15B1" w:rsidRPr="00020622">
        <w:rPr>
          <w:rFonts w:asciiTheme="majorHAnsi" w:hAnsiTheme="majorHAnsi"/>
          <w:sz w:val="24"/>
        </w:rPr>
        <w:t xml:space="preserve">is </w:t>
      </w:r>
      <w:r w:rsidRPr="00020622">
        <w:rPr>
          <w:rFonts w:asciiTheme="majorHAnsi" w:hAnsiTheme="majorHAnsi"/>
          <w:sz w:val="24"/>
        </w:rPr>
        <w:t xml:space="preserve">not already available for use or adaptation from another cleared source. </w:t>
      </w:r>
    </w:p>
    <w:p w14:paraId="4F810BD1" w14:textId="77777777" w:rsidR="00CA15B1" w:rsidRPr="00020622" w:rsidRDefault="00CA15B1" w:rsidP="006E563D">
      <w:pPr>
        <w:spacing w:after="0" w:line="240" w:lineRule="auto"/>
        <w:rPr>
          <w:rFonts w:asciiTheme="majorHAnsi" w:hAnsiTheme="majorHAnsi"/>
          <w:i/>
          <w:sz w:val="24"/>
        </w:rPr>
      </w:pPr>
    </w:p>
    <w:p w14:paraId="24AF29DE" w14:textId="77777777" w:rsidR="00CA15B1" w:rsidRPr="00020622" w:rsidRDefault="00CA15B1" w:rsidP="006E563D">
      <w:pPr>
        <w:spacing w:after="0" w:line="240" w:lineRule="auto"/>
        <w:rPr>
          <w:rFonts w:asciiTheme="majorHAnsi" w:hAnsiTheme="majorHAnsi"/>
          <w:i/>
          <w:sz w:val="24"/>
        </w:rPr>
      </w:pPr>
    </w:p>
    <w:p w14:paraId="6EE5F46D" w14:textId="77777777" w:rsidR="00CA15B1" w:rsidRPr="00020622" w:rsidRDefault="00CA15B1" w:rsidP="006E563D">
      <w:pPr>
        <w:spacing w:after="0" w:line="240" w:lineRule="auto"/>
        <w:rPr>
          <w:rFonts w:asciiTheme="majorHAnsi" w:hAnsiTheme="majorHAnsi"/>
          <w:sz w:val="24"/>
        </w:rPr>
      </w:pPr>
      <w:r w:rsidRPr="00020622">
        <w:rPr>
          <w:rFonts w:asciiTheme="majorHAnsi" w:hAnsiTheme="majorHAnsi"/>
          <w:sz w:val="24"/>
        </w:rPr>
        <w:t xml:space="preserve">5. </w:t>
      </w:r>
      <w:r w:rsidRPr="00020622">
        <w:rPr>
          <w:rFonts w:asciiTheme="majorHAnsi" w:hAnsiTheme="majorHAnsi"/>
          <w:sz w:val="24"/>
        </w:rPr>
        <w:tab/>
      </w:r>
      <w:r w:rsidRPr="00020622">
        <w:rPr>
          <w:rFonts w:asciiTheme="majorHAnsi" w:hAnsiTheme="majorHAnsi"/>
          <w:sz w:val="24"/>
          <w:u w:val="single"/>
        </w:rPr>
        <w:t>Burden on Small Businesses</w:t>
      </w:r>
      <w:r w:rsidRPr="00020622">
        <w:rPr>
          <w:rFonts w:asciiTheme="majorHAnsi" w:hAnsiTheme="majorHAnsi"/>
          <w:sz w:val="24"/>
        </w:rPr>
        <w:t xml:space="preserve"> </w:t>
      </w:r>
    </w:p>
    <w:p w14:paraId="06DEDE15" w14:textId="77777777" w:rsidR="00CA15B1" w:rsidRDefault="002567F9" w:rsidP="006E563D">
      <w:pPr>
        <w:spacing w:after="0" w:line="240" w:lineRule="auto"/>
        <w:rPr>
          <w:rFonts w:asciiTheme="majorHAnsi" w:hAnsiTheme="majorHAnsi"/>
          <w:i/>
          <w:sz w:val="24"/>
        </w:rPr>
      </w:pPr>
      <w:r w:rsidRPr="0002062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2EFA6F12" w14:textId="77777777" w:rsidR="002567F9" w:rsidRDefault="002567F9" w:rsidP="006E563D">
      <w:pPr>
        <w:spacing w:after="0" w:line="240" w:lineRule="auto"/>
        <w:rPr>
          <w:rFonts w:asciiTheme="majorHAnsi" w:hAnsiTheme="majorHAnsi"/>
          <w:i/>
          <w:sz w:val="24"/>
        </w:rPr>
      </w:pPr>
    </w:p>
    <w:p w14:paraId="5883DC28" w14:textId="77777777" w:rsidR="002567F9" w:rsidRDefault="002567F9" w:rsidP="006E563D">
      <w:pPr>
        <w:spacing w:after="0" w:line="240" w:lineRule="auto"/>
        <w:rPr>
          <w:rFonts w:asciiTheme="majorHAnsi" w:hAnsiTheme="majorHAnsi"/>
          <w:i/>
          <w:sz w:val="24"/>
        </w:rPr>
      </w:pPr>
    </w:p>
    <w:p w14:paraId="55A1C37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39D4C3BC" w14:textId="77777777" w:rsidR="00D41927" w:rsidRPr="003D5237" w:rsidRDefault="00D41927" w:rsidP="00D41927">
      <w:pPr>
        <w:spacing w:after="0" w:line="240" w:lineRule="auto"/>
        <w:ind w:firstLine="720"/>
        <w:rPr>
          <w:rFonts w:ascii="Times New Roman" w:hAnsi="Times New Roman" w:cs="Times New Roman"/>
          <w:i/>
          <w:sz w:val="24"/>
          <w:szCs w:val="24"/>
        </w:rPr>
      </w:pPr>
      <w:r w:rsidRPr="003D5237">
        <w:rPr>
          <w:rFonts w:ascii="Times New Roman" w:hAnsi="Times New Roman" w:cs="Times New Roman"/>
          <w:sz w:val="24"/>
          <w:szCs w:val="24"/>
        </w:rPr>
        <w:t>The frequency of record-keeping or reporting is “on occasion” for the DD Form 254 because it is an attachment to contracts, solicitations and other arrangements or agreements requiring access to classified information by U.S. contractors.  If requirements for the protection of classified information associated with a contract, solicitation or other arrangement change, then the Government Contracting Activity or a prime contractor would revise and then submit the revised DD Form 254 to the subcontractor with a copy to D</w:t>
      </w:r>
      <w:r>
        <w:rPr>
          <w:rFonts w:ascii="Times New Roman" w:hAnsi="Times New Roman" w:cs="Times New Roman"/>
          <w:sz w:val="24"/>
          <w:szCs w:val="24"/>
        </w:rPr>
        <w:t xml:space="preserve">efense </w:t>
      </w:r>
      <w:r w:rsidRPr="003D5237">
        <w:rPr>
          <w:rFonts w:ascii="Times New Roman" w:hAnsi="Times New Roman" w:cs="Times New Roman"/>
          <w:sz w:val="24"/>
          <w:szCs w:val="24"/>
        </w:rPr>
        <w:t>S</w:t>
      </w:r>
      <w:r>
        <w:rPr>
          <w:rFonts w:ascii="Times New Roman" w:hAnsi="Times New Roman" w:cs="Times New Roman"/>
          <w:sz w:val="24"/>
          <w:szCs w:val="24"/>
        </w:rPr>
        <w:t xml:space="preserve">ecurity </w:t>
      </w:r>
      <w:r w:rsidRPr="003D5237">
        <w:rPr>
          <w:rFonts w:ascii="Times New Roman" w:hAnsi="Times New Roman" w:cs="Times New Roman"/>
          <w:sz w:val="24"/>
          <w:szCs w:val="24"/>
        </w:rPr>
        <w:t>S</w:t>
      </w:r>
      <w:r>
        <w:rPr>
          <w:rFonts w:ascii="Times New Roman" w:hAnsi="Times New Roman" w:cs="Times New Roman"/>
          <w:sz w:val="24"/>
          <w:szCs w:val="24"/>
        </w:rPr>
        <w:t>ervice (DSS)</w:t>
      </w:r>
      <w:r w:rsidRPr="003D5237">
        <w:rPr>
          <w:rFonts w:ascii="Times New Roman" w:hAnsi="Times New Roman" w:cs="Times New Roman"/>
          <w:sz w:val="24"/>
          <w:szCs w:val="24"/>
        </w:rPr>
        <w:t>.  Without collection of this information, DoD, and its designated NISP Cognizant Security Office (i.e., DSS), would be unable to exercise effective oversight of the protection of classified information in the hands of cleared contractors in the NISP.  If collections were stopped, DoD’s ability to assure protection of classified information released or disclosed to cleared contractors in the NISP and to preclude compromise of classified information and potential harm to the national security would cease.</w:t>
      </w:r>
    </w:p>
    <w:p w14:paraId="3265E7C7" w14:textId="77777777" w:rsidR="00F86C35" w:rsidRPr="00CC5534" w:rsidRDefault="00F86C35" w:rsidP="006E563D">
      <w:pPr>
        <w:spacing w:after="0" w:line="240" w:lineRule="auto"/>
        <w:rPr>
          <w:rFonts w:asciiTheme="majorHAnsi" w:hAnsiTheme="majorHAnsi"/>
          <w:sz w:val="24"/>
        </w:rPr>
      </w:pPr>
    </w:p>
    <w:p w14:paraId="0A798707" w14:textId="77777777" w:rsidR="00F86C35" w:rsidRPr="00CC5534" w:rsidRDefault="00F86C35" w:rsidP="006E563D">
      <w:pPr>
        <w:spacing w:after="0" w:line="240" w:lineRule="auto"/>
        <w:rPr>
          <w:rFonts w:asciiTheme="majorHAnsi" w:hAnsiTheme="majorHAnsi"/>
          <w:sz w:val="24"/>
        </w:rPr>
      </w:pPr>
    </w:p>
    <w:p w14:paraId="733DC0D3" w14:textId="77777777" w:rsidR="00020622" w:rsidRDefault="00F86C35" w:rsidP="00020622">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 xml:space="preserve">Paperwork Reduction Act </w:t>
      </w:r>
      <w:r w:rsidRPr="00020622">
        <w:rPr>
          <w:rFonts w:asciiTheme="majorHAnsi" w:hAnsiTheme="majorHAnsi"/>
          <w:sz w:val="24"/>
          <w:u w:val="single"/>
        </w:rPr>
        <w:t>Guidelines</w:t>
      </w:r>
      <w:r w:rsidR="00020622" w:rsidRPr="00020622">
        <w:rPr>
          <w:rFonts w:asciiTheme="majorHAnsi" w:hAnsiTheme="majorHAnsi"/>
          <w:sz w:val="24"/>
        </w:rPr>
        <w:t xml:space="preserve">  </w:t>
      </w:r>
    </w:p>
    <w:p w14:paraId="231B6214" w14:textId="77777777" w:rsidR="00200261" w:rsidRPr="00020622" w:rsidRDefault="00200261" w:rsidP="00020622">
      <w:pPr>
        <w:spacing w:after="0" w:line="240" w:lineRule="auto"/>
        <w:rPr>
          <w:rFonts w:asciiTheme="majorHAnsi" w:hAnsiTheme="majorHAnsi"/>
        </w:rPr>
      </w:pPr>
      <w:r w:rsidRPr="00020622">
        <w:rPr>
          <w:rFonts w:asciiTheme="majorHAnsi" w:hAnsiTheme="majorHAnsi"/>
        </w:rPr>
        <w:t xml:space="preserve">This collection of information does not require collection to be conducted in a manner inconsistent with the guidelines delineated in 5 CFR 1320.5(d)(2). </w:t>
      </w:r>
    </w:p>
    <w:p w14:paraId="6C8E63D1" w14:textId="77777777" w:rsidR="00CC5534" w:rsidRPr="00020622" w:rsidRDefault="00CC5534" w:rsidP="00CC5534">
      <w:pPr>
        <w:pStyle w:val="NormalWeb"/>
        <w:spacing w:before="0" w:beforeAutospacing="0" w:after="0" w:afterAutospacing="0"/>
        <w:rPr>
          <w:rFonts w:asciiTheme="majorHAnsi" w:eastAsiaTheme="minorHAnsi" w:hAnsiTheme="majorHAnsi" w:cstheme="minorBidi"/>
          <w:szCs w:val="22"/>
        </w:rPr>
      </w:pPr>
    </w:p>
    <w:p w14:paraId="2D983EDD" w14:textId="77777777" w:rsidR="00CC5534" w:rsidRPr="00020622" w:rsidRDefault="00CC5534" w:rsidP="00CC5534">
      <w:pPr>
        <w:pStyle w:val="NormalWeb"/>
        <w:spacing w:before="0" w:beforeAutospacing="0" w:after="0" w:afterAutospacing="0"/>
        <w:rPr>
          <w:rFonts w:asciiTheme="majorHAnsi" w:eastAsiaTheme="minorHAnsi" w:hAnsiTheme="majorHAnsi" w:cstheme="minorBidi"/>
          <w:szCs w:val="22"/>
        </w:rPr>
      </w:pPr>
    </w:p>
    <w:p w14:paraId="44B07A87" w14:textId="77777777" w:rsidR="00200261" w:rsidRPr="00020622" w:rsidRDefault="00200261" w:rsidP="00CC5534">
      <w:pPr>
        <w:pStyle w:val="NormalWeb"/>
        <w:spacing w:before="0" w:beforeAutospacing="0" w:line="288" w:lineRule="atLeast"/>
        <w:rPr>
          <w:rFonts w:asciiTheme="majorHAnsi" w:eastAsiaTheme="minorHAnsi" w:hAnsiTheme="majorHAnsi" w:cstheme="minorBidi"/>
          <w:szCs w:val="22"/>
          <w:u w:val="single"/>
        </w:rPr>
      </w:pPr>
      <w:r w:rsidRPr="00020622">
        <w:rPr>
          <w:rFonts w:asciiTheme="majorHAnsi" w:eastAsiaTheme="minorHAnsi" w:hAnsiTheme="majorHAnsi" w:cstheme="minorBidi"/>
          <w:szCs w:val="22"/>
        </w:rPr>
        <w:t xml:space="preserve">8. </w:t>
      </w:r>
      <w:r w:rsidRPr="00020622">
        <w:rPr>
          <w:rFonts w:asciiTheme="majorHAnsi" w:eastAsiaTheme="minorHAnsi" w:hAnsiTheme="majorHAnsi" w:cstheme="minorBidi"/>
          <w:szCs w:val="22"/>
        </w:rPr>
        <w:tab/>
      </w:r>
      <w:r w:rsidRPr="00020622">
        <w:rPr>
          <w:rFonts w:asciiTheme="majorHAnsi" w:eastAsiaTheme="minorHAnsi" w:hAnsiTheme="majorHAnsi" w:cstheme="minorBidi"/>
          <w:szCs w:val="22"/>
          <w:u w:val="single"/>
        </w:rPr>
        <w:t>Consultation and Public Comments</w:t>
      </w:r>
    </w:p>
    <w:p w14:paraId="41596981" w14:textId="77777777" w:rsidR="00200261" w:rsidRPr="00020622" w:rsidRDefault="00200261" w:rsidP="00200261">
      <w:pPr>
        <w:pStyle w:val="NormalWeb"/>
        <w:spacing w:line="288" w:lineRule="atLeast"/>
        <w:rPr>
          <w:rFonts w:asciiTheme="majorHAnsi" w:eastAsiaTheme="minorHAnsi" w:hAnsiTheme="majorHAnsi" w:cstheme="minorBidi"/>
          <w:szCs w:val="22"/>
        </w:rPr>
      </w:pPr>
      <w:r w:rsidRPr="00020622">
        <w:rPr>
          <w:rFonts w:asciiTheme="majorHAnsi" w:eastAsiaTheme="minorHAnsi" w:hAnsiTheme="majorHAnsi" w:cstheme="minorBidi"/>
          <w:szCs w:val="22"/>
        </w:rPr>
        <w:t>Part A: PUBLIC NOTICE</w:t>
      </w:r>
    </w:p>
    <w:p w14:paraId="1E315940" w14:textId="0C78B6CB" w:rsidR="001955B8" w:rsidRDefault="008130AB" w:rsidP="001955B8">
      <w:pPr>
        <w:pStyle w:val="NormalWeb"/>
        <w:spacing w:line="288" w:lineRule="atLeast"/>
        <w:rPr>
          <w:rFonts w:asciiTheme="majorHAnsi" w:eastAsiaTheme="minorHAnsi" w:hAnsiTheme="majorHAnsi" w:cstheme="minorBidi"/>
          <w:szCs w:val="22"/>
        </w:rPr>
      </w:pPr>
      <w:r w:rsidRPr="00020622">
        <w:rPr>
          <w:rFonts w:eastAsiaTheme="minorHAnsi"/>
        </w:rPr>
        <w:t xml:space="preserve">There were two 60-Day Federal Register Notices </w:t>
      </w:r>
      <w:r w:rsidR="001F0C0B">
        <w:rPr>
          <w:rFonts w:eastAsiaTheme="minorHAnsi"/>
        </w:rPr>
        <w:t>and one 30 day Federal Register notice</w:t>
      </w:r>
      <w:r w:rsidR="001F0C0B" w:rsidRPr="00020622">
        <w:rPr>
          <w:rFonts w:eastAsiaTheme="minorHAnsi"/>
        </w:rPr>
        <w:t xml:space="preserve"> </w:t>
      </w:r>
      <w:r w:rsidRPr="00020622">
        <w:rPr>
          <w:rFonts w:eastAsiaTheme="minorHAnsi"/>
        </w:rPr>
        <w:t xml:space="preserve">for this collection.  </w:t>
      </w:r>
      <w:r w:rsidR="001955B8" w:rsidRPr="00020622">
        <w:rPr>
          <w:rFonts w:eastAsiaTheme="minorHAnsi"/>
        </w:rPr>
        <w:t xml:space="preserve">The first 60-Day FRN at 80 FRN 72714 published </w:t>
      </w:r>
      <w:r w:rsidRPr="00020622">
        <w:rPr>
          <w:rFonts w:eastAsiaTheme="minorHAnsi"/>
        </w:rPr>
        <w:t>on Friday, November 20, 2015</w:t>
      </w:r>
      <w:r w:rsidR="001955B8" w:rsidRPr="00020622">
        <w:rPr>
          <w:rFonts w:eastAsiaTheme="minorHAnsi"/>
        </w:rPr>
        <w:t>.</w:t>
      </w:r>
      <w:r w:rsidRPr="00020622">
        <w:rPr>
          <w:rFonts w:eastAsiaTheme="minorHAnsi"/>
        </w:rPr>
        <w:t xml:space="preserve">  T</w:t>
      </w:r>
      <w:r w:rsidRPr="00020622">
        <w:t xml:space="preserve">he public comment period closed on January 19, 2016.  The second 60-Day FRN </w:t>
      </w:r>
      <w:r w:rsidR="001955B8" w:rsidRPr="00020622">
        <w:t>at 82 FRN</w:t>
      </w:r>
      <w:r w:rsidR="003A10B0" w:rsidRPr="00020622">
        <w:t xml:space="preserve"> 13315</w:t>
      </w:r>
      <w:r w:rsidR="001955B8" w:rsidRPr="00020622">
        <w:t xml:space="preserve"> </w:t>
      </w:r>
      <w:r w:rsidRPr="00020622">
        <w:t>published on March</w:t>
      </w:r>
      <w:r w:rsidR="003A10B0" w:rsidRPr="00020622">
        <w:t xml:space="preserve"> 10, 2017. </w:t>
      </w:r>
      <w:r w:rsidR="003A10B0" w:rsidRPr="00020622">
        <w:rPr>
          <w:rFonts w:eastAsiaTheme="minorHAnsi"/>
        </w:rPr>
        <w:t>T</w:t>
      </w:r>
      <w:r w:rsidR="003A10B0" w:rsidRPr="00020622">
        <w:t xml:space="preserve">he public comment period closed on May, 9, 2017.  </w:t>
      </w:r>
      <w:r w:rsidR="001955B8" w:rsidRPr="00020622">
        <w:rPr>
          <w:rFonts w:asciiTheme="majorHAnsi" w:eastAsiaTheme="minorHAnsi" w:hAnsiTheme="majorHAnsi" w:cstheme="minorBidi"/>
          <w:szCs w:val="22"/>
        </w:rPr>
        <w:t>No comments were received during the second 60-Day Comment Period.</w:t>
      </w:r>
      <w:r w:rsidR="001955B8">
        <w:rPr>
          <w:rFonts w:asciiTheme="majorHAnsi" w:eastAsiaTheme="minorHAnsi" w:hAnsiTheme="majorHAnsi" w:cstheme="minorBidi"/>
          <w:szCs w:val="22"/>
        </w:rPr>
        <w:t xml:space="preserve"> </w:t>
      </w:r>
      <w:r w:rsidR="001F0C0B">
        <w:rPr>
          <w:rFonts w:asciiTheme="majorHAnsi" w:eastAsiaTheme="minorHAnsi" w:hAnsiTheme="majorHAnsi" w:cstheme="minorBidi"/>
          <w:szCs w:val="22"/>
        </w:rPr>
        <w:t xml:space="preserve"> The 30 day FRN at 82 FRN 29279 published on June 28, 2017</w:t>
      </w:r>
      <w:r w:rsidR="00AA0333">
        <w:rPr>
          <w:rFonts w:asciiTheme="majorHAnsi" w:eastAsiaTheme="minorHAnsi" w:hAnsiTheme="majorHAnsi" w:cstheme="minorBidi"/>
          <w:szCs w:val="22"/>
        </w:rPr>
        <w:t>.  The public comment period</w:t>
      </w:r>
      <w:r w:rsidR="001F0C0B">
        <w:rPr>
          <w:rFonts w:asciiTheme="majorHAnsi" w:eastAsiaTheme="minorHAnsi" w:hAnsiTheme="majorHAnsi" w:cstheme="minorBidi"/>
          <w:szCs w:val="22"/>
        </w:rPr>
        <w:t xml:space="preserve"> closed on July 28, 2017.</w:t>
      </w:r>
    </w:p>
    <w:p w14:paraId="6639A87E" w14:textId="0E094338" w:rsidR="008130AB" w:rsidRPr="003D5237" w:rsidRDefault="008130AB" w:rsidP="008130AB">
      <w:pPr>
        <w:pStyle w:val="NormalWeb"/>
        <w:spacing w:before="0" w:beforeAutospacing="0" w:after="0" w:afterAutospacing="0"/>
        <w:ind w:firstLine="720"/>
        <w:rPr>
          <w:rFonts w:eastAsiaTheme="minorHAnsi"/>
        </w:rPr>
      </w:pPr>
      <w:r w:rsidRPr="003D5237">
        <w:rPr>
          <w:rFonts w:eastAsiaTheme="minorHAnsi"/>
        </w:rPr>
        <w:t>Eight commenters provided a total of thirty-seven comments</w:t>
      </w:r>
      <w:r w:rsidR="00AA0333">
        <w:rPr>
          <w:rFonts w:eastAsiaTheme="minorHAnsi"/>
        </w:rPr>
        <w:t xml:space="preserve"> during the first 60 day public comment period</w:t>
      </w:r>
      <w:r w:rsidRPr="003D5237">
        <w:rPr>
          <w:rFonts w:eastAsiaTheme="minorHAnsi"/>
        </w:rPr>
        <w:t>.  The comments are included below in the order that the commenters addressed the sequence of points in the information collection, as well as our Agency’s response to each comment.  A detailed comments matrix has also been provided as part of this submission.</w:t>
      </w:r>
    </w:p>
    <w:p w14:paraId="4D01C51C" w14:textId="77777777" w:rsidR="008130AB" w:rsidRPr="003D5237" w:rsidRDefault="008130AB" w:rsidP="008130AB">
      <w:pPr>
        <w:pStyle w:val="NormalWeb"/>
        <w:spacing w:before="0" w:beforeAutospacing="0" w:after="0" w:afterAutospacing="0"/>
        <w:ind w:firstLine="1440"/>
        <w:rPr>
          <w:rFonts w:eastAsiaTheme="minorHAnsi"/>
        </w:rPr>
      </w:pPr>
    </w:p>
    <w:p w14:paraId="57F3AD1F" w14:textId="77777777" w:rsidR="008130AB" w:rsidRPr="003D5237" w:rsidRDefault="008130AB" w:rsidP="008130AB">
      <w:pPr>
        <w:pStyle w:val="NormalWeb"/>
        <w:spacing w:before="0" w:beforeAutospacing="0" w:after="0" w:afterAutospacing="0"/>
        <w:ind w:firstLine="720"/>
      </w:pPr>
      <w:r w:rsidRPr="003D5237">
        <w:t xml:space="preserve">All commenters in general supported the information collection; but proposed revisions for clarity or accuracy as well as user-friendly options for application in the automated NCCS.  </w:t>
      </w:r>
    </w:p>
    <w:p w14:paraId="3A4551F5" w14:textId="77777777" w:rsidR="008130AB" w:rsidRPr="003D5237" w:rsidRDefault="008130AB" w:rsidP="008130AB">
      <w:pPr>
        <w:pStyle w:val="NormalWeb"/>
        <w:spacing w:before="0" w:beforeAutospacing="0" w:after="0" w:afterAutospacing="0"/>
      </w:pPr>
    </w:p>
    <w:p w14:paraId="1065F9BA" w14:textId="77777777" w:rsidR="008130AB" w:rsidRPr="003D5237" w:rsidRDefault="008130AB" w:rsidP="008130AB">
      <w:pPr>
        <w:pStyle w:val="NormalWeb"/>
        <w:spacing w:before="0" w:beforeAutospacing="0" w:after="0" w:afterAutospacing="0"/>
        <w:ind w:firstLine="720"/>
        <w:rPr>
          <w:rFonts w:eastAsiaTheme="minorHAnsi"/>
        </w:rPr>
      </w:pPr>
      <w:r w:rsidRPr="003D5237">
        <w:rPr>
          <w:rFonts w:eastAsiaTheme="minorHAnsi"/>
        </w:rPr>
        <w:t>In addition to the instructions with this information collection, DoD Components and those non-DoD agencies with which DoD has agreements to provide industrial security services comply with guidance on completion of a contract security classification specification (i.e., DD form 254) set forth in the DoD 5220.22-R, “DoD Industrial Security Regulation”.  Cleared contractors under DoD’s NISP security cognizance also comply with guidance on completion of a contract security classification specification as an overarching requirement from the Executive Branch to cleared contractors as set forth in the DoD 5220.22-M (NISPOM).</w:t>
      </w:r>
    </w:p>
    <w:p w14:paraId="332A0041" w14:textId="77777777" w:rsidR="008130AB" w:rsidRPr="003D5237" w:rsidRDefault="008130AB" w:rsidP="008130AB">
      <w:pPr>
        <w:pStyle w:val="NormalWeb"/>
        <w:spacing w:before="0" w:beforeAutospacing="0" w:after="0" w:afterAutospacing="0"/>
        <w:ind w:firstLine="720"/>
        <w:rPr>
          <w:rFonts w:eastAsiaTheme="minorHAnsi"/>
        </w:rPr>
      </w:pPr>
    </w:p>
    <w:p w14:paraId="6D58937B" w14:textId="77777777" w:rsidR="008130AB" w:rsidRPr="003D5237" w:rsidRDefault="008130AB" w:rsidP="008130AB">
      <w:pPr>
        <w:pStyle w:val="NormalWeb"/>
        <w:spacing w:before="0" w:beforeAutospacing="0" w:after="0" w:afterAutospacing="0"/>
        <w:ind w:firstLine="720"/>
        <w:rPr>
          <w:rFonts w:eastAsiaTheme="minorHAnsi"/>
        </w:rPr>
      </w:pPr>
      <w:r w:rsidRPr="003D5237">
        <w:rPr>
          <w:rFonts w:eastAsiaTheme="minorHAnsi"/>
        </w:rPr>
        <w:t xml:space="preserve">DoD has provided </w:t>
      </w:r>
      <w:r w:rsidRPr="003D5237">
        <w:t>DSS, the office of primary responsibility for NCCS, with the six comments that recommended automated application for user friendliness for its considerations.</w:t>
      </w:r>
    </w:p>
    <w:p w14:paraId="7A1EB5AA" w14:textId="77777777" w:rsidR="008130AB" w:rsidRPr="003D5237" w:rsidRDefault="008130AB" w:rsidP="008130AB">
      <w:pPr>
        <w:pStyle w:val="NormalWeb"/>
        <w:spacing w:before="0" w:beforeAutospacing="0" w:after="0" w:afterAutospacing="0"/>
        <w:rPr>
          <w:rFonts w:eastAsiaTheme="minorHAnsi"/>
        </w:rPr>
      </w:pPr>
    </w:p>
    <w:p w14:paraId="072C2ED3" w14:textId="77777777" w:rsidR="008130AB" w:rsidRPr="003D5237" w:rsidRDefault="008130AB" w:rsidP="008130AB">
      <w:pPr>
        <w:pStyle w:val="NormalWeb"/>
        <w:spacing w:before="0" w:beforeAutospacing="0" w:after="0" w:afterAutospacing="0"/>
        <w:ind w:firstLine="720"/>
      </w:pPr>
      <w:r w:rsidRPr="003D5237">
        <w:t xml:space="preserve">We accepted one editorial comment for a subsection of item 1a(7).  We did not accept a comment to add period of performance because that information is elsewhere in the overall contract.  In response to one comment, we revised item 3b(3) to include a reminder that there should be a review of classification requirements at least biennially.  We clarified item 4 in the instructions based on one comment that indicated that an itemization for every follow-on contract of material or influence authorized for transfer is administratively burdensome.  Item 4 in the instructions now explains that either all classified material or information associated with the contract is authorized to be transferred to the contract number cited in item 2a, or, specifying a list of material or information to be transferred in item 13 of the DD Form 254.  We did not accept one comment to add associate contractor in item 8 because the NISPOM does not use that term.  Based on one comment, we corrected the subparagraphs for item 5 in the instructions since it pertains only to those instances when the classified contract has been completed at which time the Government Contracting Activity (GCA) would have to provide a retention period and final disposition instructions for the classified material from the now completed contract. </w:t>
      </w:r>
    </w:p>
    <w:p w14:paraId="450D1611" w14:textId="77777777" w:rsidR="008130AB" w:rsidRPr="003D5237" w:rsidRDefault="008130AB" w:rsidP="008130AB">
      <w:pPr>
        <w:pStyle w:val="NormalWeb"/>
        <w:spacing w:before="0" w:beforeAutospacing="0" w:after="0" w:afterAutospacing="0"/>
      </w:pPr>
    </w:p>
    <w:p w14:paraId="2214539C" w14:textId="77777777" w:rsidR="008130AB" w:rsidRPr="003D5237" w:rsidRDefault="008130AB" w:rsidP="008130AB">
      <w:pPr>
        <w:pStyle w:val="NormalWeb"/>
        <w:spacing w:before="0" w:beforeAutospacing="0" w:after="0" w:afterAutospacing="0"/>
        <w:ind w:firstLine="720"/>
      </w:pPr>
      <w:r w:rsidRPr="003D5237">
        <w:t xml:space="preserve">One comment asked how to distribute a classified DD Form 254 if the contractor did not have classified connections to a GCA.  We considered that comment a question of implementation and did not revise the instructions.  The NISPOM provides guidance on safeguarding and transmission of classified information to contractors. </w:t>
      </w:r>
    </w:p>
    <w:p w14:paraId="00D83B74" w14:textId="77777777" w:rsidR="008130AB" w:rsidRPr="003D5237" w:rsidRDefault="008130AB" w:rsidP="008130AB">
      <w:pPr>
        <w:pStyle w:val="NormalWeb"/>
        <w:spacing w:before="0" w:beforeAutospacing="0" w:after="0" w:afterAutospacing="0"/>
      </w:pPr>
    </w:p>
    <w:p w14:paraId="026D71F7" w14:textId="77777777" w:rsidR="008130AB" w:rsidRPr="003D5237" w:rsidRDefault="008130AB" w:rsidP="008130AB">
      <w:pPr>
        <w:pStyle w:val="NormalWeb"/>
        <w:spacing w:before="0" w:beforeAutospacing="0" w:after="0" w:afterAutospacing="0"/>
        <w:ind w:firstLine="720"/>
      </w:pPr>
      <w:r w:rsidRPr="003D5237">
        <w:t>The primary purpose of the DD Form 254 is for contracts requiring access to classified information, thus we did not accept a comment for item 10j asking if it could be used, or required, for unclassified contracts.</w:t>
      </w:r>
    </w:p>
    <w:p w14:paraId="3BB9B346" w14:textId="77777777" w:rsidR="008130AB" w:rsidRPr="003D5237" w:rsidRDefault="008130AB" w:rsidP="008130AB">
      <w:pPr>
        <w:pStyle w:val="NormalWeb"/>
        <w:spacing w:before="0" w:beforeAutospacing="0" w:after="0" w:afterAutospacing="0"/>
      </w:pPr>
    </w:p>
    <w:p w14:paraId="5E1F5FA7" w14:textId="77777777" w:rsidR="008130AB" w:rsidRPr="003D5237" w:rsidRDefault="008130AB" w:rsidP="008130AB">
      <w:pPr>
        <w:pStyle w:val="NormalWeb"/>
        <w:spacing w:before="0" w:beforeAutospacing="0" w:after="0" w:afterAutospacing="0"/>
        <w:ind w:firstLine="720"/>
      </w:pPr>
      <w:r w:rsidRPr="003D5237">
        <w:t>One comment recommended that the information collection include an option for facilities that host an Intelligence Community accredited sensitive compartmented information facility but do not have a DoD-granted facility security clearance (FCL).  We did not accept that comment since the primary purpose of the DD Form 254 is based on cleared contractors with a DoD-granted FCL.  We revised the information collection to state ISFD or its successor since one comment noted that there are plans for the eventual successor information system for FCLs at DSS.  We added clarification in the description of an FCL as requested in one comment to make it clear that the information collection should include the highest level of classified information to which a contractor’s employees require access for performance.</w:t>
      </w:r>
    </w:p>
    <w:p w14:paraId="74A56561" w14:textId="77777777" w:rsidR="008130AB" w:rsidRPr="003D5237" w:rsidRDefault="008130AB" w:rsidP="008130AB">
      <w:pPr>
        <w:pStyle w:val="NormalWeb"/>
        <w:spacing w:before="0" w:beforeAutospacing="0" w:after="0" w:afterAutospacing="0"/>
      </w:pPr>
    </w:p>
    <w:p w14:paraId="082F20AB" w14:textId="77777777" w:rsidR="008130AB" w:rsidRPr="003D5237" w:rsidRDefault="008130AB" w:rsidP="008130AB">
      <w:pPr>
        <w:pStyle w:val="NormalWeb"/>
        <w:spacing w:before="0" w:beforeAutospacing="0" w:after="0" w:afterAutospacing="0"/>
        <w:ind w:firstLine="720"/>
      </w:pPr>
      <w:r w:rsidRPr="003D5237">
        <w:t xml:space="preserve">One comment recommended removal of the text in the instructions that explains that a security aspects letter should be issued instead of a DD Form 254 to foreign contractors as they are not bound by the DoD 5220.22-M, NISPOM.  Based on periodic questions received, we retained that text as a needed reminder to issue a security aspects letter instead of a DD Form 254 when a classified contract involves performance by a foreign contractor.  We provided additional clarity in response to 3 comments as to where to find identifying information for the appropriate DSS field office or classified mailing addresses for contractors.  Based on one comment, we revised text to provide more security conscious wording when referring to a separate classified description of the procurement with the DD Form 254.  We revised the DD Form 254 and instructions to include the option for access to either Sensitive Compartmented Information (SCI) or non-SCI intelligence information when required for performance. </w:t>
      </w:r>
    </w:p>
    <w:p w14:paraId="1304FF4A" w14:textId="77777777" w:rsidR="008130AB" w:rsidRPr="003D5237" w:rsidRDefault="008130AB" w:rsidP="008130AB">
      <w:pPr>
        <w:pStyle w:val="NormalWeb"/>
        <w:spacing w:before="0" w:beforeAutospacing="0" w:after="0" w:afterAutospacing="0"/>
      </w:pPr>
    </w:p>
    <w:p w14:paraId="41C27214" w14:textId="77777777" w:rsidR="008130AB" w:rsidRPr="003D5237" w:rsidRDefault="008130AB" w:rsidP="008130AB">
      <w:pPr>
        <w:pStyle w:val="NormalWeb"/>
        <w:spacing w:before="0" w:beforeAutospacing="0" w:after="0" w:afterAutospacing="0"/>
        <w:ind w:firstLine="720"/>
      </w:pPr>
      <w:r w:rsidRPr="003D5237">
        <w:t>We accepted one comment that recommended using “requires” instead of “required” in item 10a(6).  Since the definition of foreign government information (FGI) is already included in item 10h(3), we did not add that FGI may include unclassified information as one commenter recommended.  We revised item 10j and item 11L in the instructions to clarify that controlled unclassified information (CUI) should only be selected if the contract requires access to classified information and also includes a requirement for access to CUI, in accordance with Government Contracting Activity (GCA) specific guidance.  In response to one comment, we removed “For Official Use Only (FOUO)” as an example in one of the instructions as no longer needed.  We continued to include the term “material” in item 11c of the instructions as that term covers any product or substance on which information is embedded while one commenter had recommended that we instead use the term “hardware.”</w:t>
      </w:r>
    </w:p>
    <w:p w14:paraId="5B9F4BF2" w14:textId="77777777" w:rsidR="008130AB" w:rsidRPr="003D5237" w:rsidRDefault="008130AB" w:rsidP="008130AB">
      <w:pPr>
        <w:pStyle w:val="NormalWeb"/>
        <w:spacing w:before="0" w:beforeAutospacing="0" w:after="0" w:afterAutospacing="0"/>
      </w:pPr>
    </w:p>
    <w:p w14:paraId="09316539" w14:textId="77777777" w:rsidR="008130AB" w:rsidRPr="003D5237" w:rsidRDefault="008130AB" w:rsidP="008130AB">
      <w:pPr>
        <w:pStyle w:val="NormalWeb"/>
        <w:spacing w:before="0" w:beforeAutospacing="0" w:after="0" w:afterAutospacing="0"/>
        <w:ind w:firstLine="720"/>
      </w:pPr>
      <w:r w:rsidRPr="003D5237">
        <w:t xml:space="preserve">In response to two comments about supplemental protection in item 2a(3) and item 11e(3)(c) about “guard services,” we revised the text in the instructions to refer to compliance with any DoD 5220.22-M (NISPOM) requirements about supplemental protection.  We revised the instructions in item 11J about operational security (OPSEC) to make it clear that a GCA must identify pertinent contract clauses with sufficient information and guidance if the GCA adds OPSEC requirements outside of the standard NISPOM requirements.  A user will be able to add text in the fillable PDF version of the DD Form 254 when the information collection is approved and published as two comments raised questions that item 12 for public release authority did not seem to allow for adding text or have sufficient space to do so, respectively.  In addition, we clarified the instructions for item 12 to include a requirement for the public release authority to provide its office and phone contact information and if available, email address.  </w:t>
      </w:r>
    </w:p>
    <w:p w14:paraId="4704FB2C" w14:textId="77777777" w:rsidR="008130AB" w:rsidRPr="003D5237" w:rsidRDefault="008130AB" w:rsidP="008130AB">
      <w:pPr>
        <w:pStyle w:val="NormalWeb"/>
        <w:spacing w:before="0" w:beforeAutospacing="0" w:after="0" w:afterAutospacing="0"/>
      </w:pPr>
    </w:p>
    <w:p w14:paraId="53E28D60" w14:textId="77777777" w:rsidR="00AA0333" w:rsidRDefault="008130AB" w:rsidP="00AA0333">
      <w:pPr>
        <w:pStyle w:val="NormalWeb"/>
        <w:spacing w:before="0" w:beforeAutospacing="0" w:after="0" w:afterAutospacing="0"/>
        <w:ind w:firstLine="720"/>
      </w:pPr>
      <w:r w:rsidRPr="003D5237">
        <w:t>In response to one comment, we revised item 13(6)(f) to clarify that the GCA should assure that it provides specific classification guidance to the contractor.  In addition, the GCA does not extract sections of the NISPOM (DoD 5220.2-M) in the DD Form 254 since the NISPOM does not provide classification guidance; but instead provides general guidance on marking of documents derivatively, classification, downgrading and declassification and procedures for classified information.  We agreed with one comment that we should remove “or its supplements” in item 14 of the instructions since the NISPOM Supplement is above the standard NISPOM requirements.  Since item 13 of the DD Form 254 includes additional ability for signatures, we did not agree with the comment to add another signature block for a GCA in item 16.  We think that the explanation of an Activity Address Code (AAC) issued by the General Services Administration to a GCA in item 16b and item 17d is clear and did not change it based on a comment which asked if it is the same type of code as one used in the DoD personnel security system of record.</w:t>
      </w:r>
      <w:r w:rsidR="00AA0333">
        <w:t xml:space="preserve"> </w:t>
      </w:r>
    </w:p>
    <w:p w14:paraId="51A3D701" w14:textId="77777777" w:rsidR="00AA0333" w:rsidRDefault="00AA0333" w:rsidP="00AA0333">
      <w:pPr>
        <w:pStyle w:val="NormalWeb"/>
        <w:spacing w:before="0" w:beforeAutospacing="0" w:after="0" w:afterAutospacing="0"/>
        <w:ind w:firstLine="720"/>
      </w:pPr>
    </w:p>
    <w:p w14:paraId="367E12CC" w14:textId="67E17F6E" w:rsidR="00AA0333" w:rsidRPr="00AA0333" w:rsidRDefault="00AA0333" w:rsidP="00AA0333">
      <w:pPr>
        <w:pStyle w:val="NormalWeb"/>
        <w:spacing w:before="0" w:beforeAutospacing="0" w:after="0" w:afterAutospacing="0"/>
        <w:ind w:firstLine="720"/>
      </w:pPr>
      <w:r>
        <w:t xml:space="preserve">One commenter provided two comments during the 30 day public comment period.  In response to one of the comments, we added a new “c” </w:t>
      </w:r>
      <w:r w:rsidRPr="00AA0333">
        <w:t xml:space="preserve">under “Description” on the first page of the instructions top left corner </w:t>
      </w:r>
      <w:r>
        <w:t xml:space="preserve">explaining that </w:t>
      </w:r>
      <w:r w:rsidR="00954000">
        <w:t>a</w:t>
      </w:r>
      <w:r w:rsidR="00954000" w:rsidRPr="00AA0333">
        <w:t xml:space="preserve"> contract</w:t>
      </w:r>
      <w:r w:rsidRPr="00AA0333">
        <w:t xml:space="preserve"> itself includes the ending period of performance, including delivery or other requirements.  The DD Form 254 is an attachment to the contract and does not include the contract expiration date.  Putting the schedule or period of performance in two places creates a probability that a change in one place will not be repeated in the other, and thus could create confusion about whether the security requirements for the contract are current with the current schedule or period of performance.</w:t>
      </w:r>
      <w:r>
        <w:t xml:space="preserve">  </w:t>
      </w:r>
      <w:r w:rsidR="00954000">
        <w:t>W</w:t>
      </w:r>
      <w:r>
        <w:t xml:space="preserve">e </w:t>
      </w:r>
      <w:r w:rsidR="00954000">
        <w:t xml:space="preserve">accepted the second comment by revising item 10k, “Other” on page 6 of 12 of the instructions to </w:t>
      </w:r>
      <w:r w:rsidR="002E27C4">
        <w:t xml:space="preserve">have the header at (2) read:  Access requirements other than those identified at items 10a through 10j. We also added </w:t>
      </w:r>
      <w:r>
        <w:t xml:space="preserve"> </w:t>
      </w:r>
      <w:r w:rsidR="002E27C4">
        <w:t>“(including any that will have to be included in the DoD personnel security system of record for an individual performing on the contract)” after “and ensure accesses.”</w:t>
      </w:r>
    </w:p>
    <w:p w14:paraId="6DD0CAE1" w14:textId="0643F2EF" w:rsidR="00AA0333" w:rsidRDefault="00AA0333" w:rsidP="006B2228">
      <w:pPr>
        <w:pStyle w:val="NormalWeb"/>
        <w:spacing w:before="0" w:beforeAutospacing="0" w:after="0" w:afterAutospacing="0"/>
        <w:ind w:firstLine="720"/>
      </w:pPr>
    </w:p>
    <w:p w14:paraId="085D3A49" w14:textId="77777777" w:rsidR="006B2228" w:rsidRPr="003D5237" w:rsidRDefault="006B2228" w:rsidP="006B2228">
      <w:pPr>
        <w:pStyle w:val="NormalWeb"/>
        <w:spacing w:before="0" w:beforeAutospacing="0" w:after="0" w:afterAutospacing="0"/>
        <w:ind w:firstLine="720"/>
      </w:pPr>
    </w:p>
    <w:p w14:paraId="7B91BFF5" w14:textId="77777777" w:rsidR="00200261" w:rsidRDefault="00200261" w:rsidP="006B2228">
      <w:pPr>
        <w:pStyle w:val="NormalWeb"/>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217E181C" w14:textId="77777777" w:rsidR="002407D3" w:rsidRPr="003D5237" w:rsidRDefault="002407D3" w:rsidP="002407D3">
      <w:pPr>
        <w:pStyle w:val="NormalWeb"/>
        <w:spacing w:before="0" w:beforeAutospacing="0" w:after="0" w:afterAutospacing="0"/>
        <w:ind w:firstLine="720"/>
      </w:pPr>
      <w:r w:rsidRPr="003D5237">
        <w:t>DoD, one of the five National Industrial Security Program (NISP) Cognizant Security Agencies, consulted informally with an ad hoc working group of the NISP Policy Advisory Committee (NISPPAC) chaired by the Director of the Information Security Oversight Office of the National Archives and Records Administration about the DD form 254 information collection and its instructions.  The NISPPAC is comprised of both government and industry representatives.  In addition, DoD Components provided informal feedback on this information collection during periodic Defense Security Oversight and Assessment Program visits.  DoD Components also provided formal feedback on this information collection through the DoD internal forms coordination process.</w:t>
      </w:r>
    </w:p>
    <w:p w14:paraId="7D6FB89E" w14:textId="77777777" w:rsidR="00F86C35" w:rsidRDefault="00F86C35" w:rsidP="006E563D">
      <w:pPr>
        <w:spacing w:after="0" w:line="240" w:lineRule="auto"/>
        <w:rPr>
          <w:rFonts w:asciiTheme="majorHAnsi" w:hAnsiTheme="majorHAnsi"/>
          <w:i/>
          <w:sz w:val="24"/>
        </w:rPr>
      </w:pPr>
    </w:p>
    <w:p w14:paraId="420A8C6B" w14:textId="77777777" w:rsidR="00571698" w:rsidRDefault="00571698" w:rsidP="006E563D">
      <w:pPr>
        <w:spacing w:after="0" w:line="240" w:lineRule="auto"/>
        <w:rPr>
          <w:rFonts w:asciiTheme="majorHAnsi" w:hAnsiTheme="majorHAnsi"/>
          <w:i/>
          <w:sz w:val="24"/>
        </w:rPr>
      </w:pPr>
    </w:p>
    <w:p w14:paraId="29B9CB00"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7AD8894" w14:textId="77777777" w:rsidR="006A13FA" w:rsidRPr="002407D3" w:rsidRDefault="006A13FA" w:rsidP="006A13FA">
      <w:pPr>
        <w:spacing w:after="0" w:line="240" w:lineRule="auto"/>
        <w:rPr>
          <w:rFonts w:asciiTheme="majorHAnsi" w:hAnsiTheme="majorHAnsi"/>
          <w:sz w:val="24"/>
        </w:rPr>
      </w:pPr>
      <w:r w:rsidRPr="002407D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75D7DD8" w14:textId="77777777" w:rsidR="006A13FA" w:rsidRPr="002407D3" w:rsidRDefault="006A13FA" w:rsidP="006A13FA">
      <w:pPr>
        <w:spacing w:after="0" w:line="240" w:lineRule="auto"/>
        <w:rPr>
          <w:rFonts w:asciiTheme="majorHAnsi" w:hAnsiTheme="majorHAnsi"/>
          <w:sz w:val="24"/>
        </w:rPr>
      </w:pPr>
    </w:p>
    <w:p w14:paraId="18B18669" w14:textId="77777777" w:rsidR="006A13FA" w:rsidRPr="002407D3" w:rsidRDefault="006A13FA" w:rsidP="006A13FA">
      <w:pPr>
        <w:spacing w:after="0" w:line="240" w:lineRule="auto"/>
        <w:rPr>
          <w:rFonts w:asciiTheme="majorHAnsi" w:hAnsiTheme="majorHAnsi"/>
          <w:sz w:val="24"/>
        </w:rPr>
      </w:pPr>
    </w:p>
    <w:p w14:paraId="6D7E33CC"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1D960828" w14:textId="77777777" w:rsidR="002407D3" w:rsidRPr="003D5237" w:rsidRDefault="002407D3" w:rsidP="002407D3">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A Privacy Act Statement is not required for this collection because we are not requesting individuals to furnish personal information for a system of records. </w:t>
      </w:r>
    </w:p>
    <w:p w14:paraId="1FC3A181" w14:textId="77777777" w:rsidR="002407D3" w:rsidRPr="003D5237" w:rsidRDefault="002407D3" w:rsidP="002407D3">
      <w:pPr>
        <w:spacing w:after="0" w:line="240" w:lineRule="auto"/>
        <w:rPr>
          <w:rFonts w:ascii="Times New Roman" w:hAnsi="Times New Roman" w:cs="Times New Roman"/>
          <w:sz w:val="24"/>
          <w:szCs w:val="24"/>
        </w:rPr>
      </w:pPr>
    </w:p>
    <w:p w14:paraId="2F178378" w14:textId="77777777" w:rsidR="002407D3" w:rsidRPr="003D5237" w:rsidRDefault="002407D3" w:rsidP="002407D3">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A System of Record Notice (SORN) is not required for this collection because records are not retrievable by PII. </w:t>
      </w:r>
    </w:p>
    <w:p w14:paraId="341B4F83" w14:textId="77777777" w:rsidR="002407D3" w:rsidRPr="003D5237" w:rsidRDefault="002407D3" w:rsidP="002407D3">
      <w:pPr>
        <w:spacing w:after="0" w:line="240" w:lineRule="auto"/>
        <w:rPr>
          <w:rFonts w:ascii="Times New Roman" w:hAnsi="Times New Roman" w:cs="Times New Roman"/>
          <w:sz w:val="24"/>
          <w:szCs w:val="24"/>
        </w:rPr>
      </w:pPr>
    </w:p>
    <w:p w14:paraId="16C621EB" w14:textId="77777777" w:rsidR="002407D3" w:rsidRPr="003D5237" w:rsidRDefault="002407D3" w:rsidP="002407D3">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 xml:space="preserve">A Privacy Impact Assessment (PIA) is not required for this collection because PII is not being collected electronically. </w:t>
      </w:r>
    </w:p>
    <w:p w14:paraId="4A0FF93B" w14:textId="77777777" w:rsidR="002407D3" w:rsidRPr="003D5237" w:rsidRDefault="002407D3" w:rsidP="002407D3">
      <w:pPr>
        <w:spacing w:after="0" w:line="240" w:lineRule="auto"/>
        <w:rPr>
          <w:rFonts w:ascii="Times New Roman" w:hAnsi="Times New Roman" w:cs="Times New Roman"/>
          <w:sz w:val="24"/>
          <w:szCs w:val="24"/>
        </w:rPr>
      </w:pPr>
    </w:p>
    <w:p w14:paraId="61D92380" w14:textId="77777777" w:rsidR="00996894" w:rsidRDefault="002407D3" w:rsidP="002407D3">
      <w:pPr>
        <w:spacing w:after="0" w:line="240" w:lineRule="auto"/>
        <w:rPr>
          <w:rFonts w:asciiTheme="majorHAnsi" w:hAnsiTheme="majorHAnsi"/>
          <w:i/>
          <w:sz w:val="24"/>
        </w:rPr>
      </w:pPr>
      <w:r w:rsidRPr="003D5237">
        <w:rPr>
          <w:rFonts w:ascii="Times New Roman" w:hAnsi="Times New Roman" w:cs="Times New Roman"/>
          <w:sz w:val="24"/>
          <w:szCs w:val="24"/>
        </w:rPr>
        <w:t xml:space="preserve">Records Retention and Disposition Schedule:  For U.S. Government agencies, refer to the National Archives and Records Administration General Records Schedule 1.1 (Financial Management and Reporting Records) for the disposition of the DD Form 254 with its related contract file. See </w:t>
      </w:r>
      <w:hyperlink r:id="rId14" w:history="1">
        <w:r w:rsidRPr="003D5237">
          <w:rPr>
            <w:rStyle w:val="Hyperlink"/>
            <w:rFonts w:ascii="Times New Roman" w:hAnsi="Times New Roman" w:cs="Times New Roman"/>
            <w:sz w:val="24"/>
            <w:szCs w:val="24"/>
          </w:rPr>
          <w:t>www.archives.gov/records-mgmt/grs.html</w:t>
        </w:r>
      </w:hyperlink>
      <w:r w:rsidRPr="003D5237">
        <w:rPr>
          <w:rFonts w:ascii="Times New Roman" w:hAnsi="Times New Roman" w:cs="Times New Roman"/>
          <w:sz w:val="24"/>
          <w:szCs w:val="24"/>
        </w:rPr>
        <w:t xml:space="preserve"> .</w:t>
      </w:r>
    </w:p>
    <w:p w14:paraId="6233C1E3" w14:textId="77777777" w:rsidR="00B52F4E" w:rsidRPr="002407D3" w:rsidRDefault="00B52F4E" w:rsidP="00996894">
      <w:pPr>
        <w:spacing w:after="0" w:line="240" w:lineRule="auto"/>
        <w:rPr>
          <w:rFonts w:asciiTheme="majorHAnsi" w:hAnsiTheme="majorHAnsi"/>
          <w:sz w:val="24"/>
        </w:rPr>
      </w:pPr>
    </w:p>
    <w:p w14:paraId="76A1F9E1" w14:textId="77777777" w:rsidR="00996894" w:rsidRPr="002407D3" w:rsidRDefault="00996894" w:rsidP="00996894">
      <w:pPr>
        <w:spacing w:after="0" w:line="240" w:lineRule="auto"/>
        <w:rPr>
          <w:rFonts w:asciiTheme="majorHAnsi" w:hAnsiTheme="majorHAnsi"/>
          <w:sz w:val="24"/>
        </w:rPr>
      </w:pPr>
    </w:p>
    <w:p w14:paraId="3EFC1377"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67839744" w14:textId="77777777" w:rsidR="009A6246" w:rsidRDefault="009A6246" w:rsidP="00337EF1">
      <w:pPr>
        <w:spacing w:after="0" w:line="240" w:lineRule="auto"/>
        <w:rPr>
          <w:rFonts w:asciiTheme="majorHAnsi" w:hAnsiTheme="majorHAnsi"/>
          <w:sz w:val="24"/>
        </w:rPr>
      </w:pPr>
      <w:r w:rsidRPr="00C0659A">
        <w:rPr>
          <w:rFonts w:asciiTheme="majorHAnsi" w:hAnsiTheme="majorHAnsi"/>
          <w:sz w:val="24"/>
        </w:rPr>
        <w:t>No questions considered sensitive are being asked in this collection.</w:t>
      </w:r>
      <w:r>
        <w:rPr>
          <w:rFonts w:asciiTheme="majorHAnsi" w:hAnsiTheme="majorHAnsi"/>
          <w:sz w:val="24"/>
        </w:rPr>
        <w:t xml:space="preserve"> </w:t>
      </w:r>
    </w:p>
    <w:p w14:paraId="3E4F0024" w14:textId="77777777" w:rsidR="00D21AA6" w:rsidRDefault="00D21AA6" w:rsidP="00337EF1">
      <w:pPr>
        <w:spacing w:after="0" w:line="240" w:lineRule="auto"/>
        <w:rPr>
          <w:rFonts w:asciiTheme="majorHAnsi" w:hAnsiTheme="majorHAnsi"/>
          <w:sz w:val="24"/>
        </w:rPr>
      </w:pPr>
    </w:p>
    <w:p w14:paraId="77C54941" w14:textId="77777777" w:rsidR="00D21AA6" w:rsidRDefault="00D21AA6" w:rsidP="00337EF1">
      <w:pPr>
        <w:spacing w:after="0" w:line="240" w:lineRule="auto"/>
        <w:rPr>
          <w:rFonts w:asciiTheme="majorHAnsi" w:hAnsiTheme="majorHAnsi"/>
          <w:sz w:val="24"/>
        </w:rPr>
      </w:pPr>
    </w:p>
    <w:p w14:paraId="66983D32"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7970874B" w14:textId="77777777" w:rsidR="00520B36" w:rsidRPr="00C0659A" w:rsidRDefault="00520B36" w:rsidP="00337EF1">
      <w:pPr>
        <w:spacing w:after="0" w:line="240" w:lineRule="auto"/>
        <w:rPr>
          <w:rFonts w:asciiTheme="majorHAnsi" w:hAnsiTheme="majorHAnsi"/>
          <w:sz w:val="24"/>
          <w:u w:val="single"/>
        </w:rPr>
      </w:pPr>
    </w:p>
    <w:p w14:paraId="6D034A2B"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324152A0" w14:textId="77777777" w:rsidR="00A76F7E" w:rsidRDefault="00A76F7E" w:rsidP="00337EF1">
      <w:pPr>
        <w:spacing w:after="0" w:line="240" w:lineRule="auto"/>
        <w:rPr>
          <w:rFonts w:asciiTheme="majorHAnsi" w:hAnsiTheme="majorHAnsi"/>
          <w:sz w:val="24"/>
        </w:rPr>
      </w:pPr>
    </w:p>
    <w:p w14:paraId="0F0B9979" w14:textId="77777777" w:rsidR="00C0659A" w:rsidRPr="003D5237" w:rsidRDefault="00A76F7E" w:rsidP="00C0659A">
      <w:pPr>
        <w:tabs>
          <w:tab w:val="left" w:pos="720"/>
        </w:tabs>
        <w:spacing w:after="0" w:line="240" w:lineRule="auto"/>
        <w:ind w:left="1260" w:hanging="630"/>
        <w:rPr>
          <w:rFonts w:ascii="Times New Roman" w:hAnsi="Times New Roman" w:cs="Times New Roman"/>
          <w:b/>
          <w:sz w:val="24"/>
          <w:szCs w:val="24"/>
          <w:u w:val="single"/>
        </w:rPr>
      </w:pPr>
      <w:r>
        <w:rPr>
          <w:rFonts w:asciiTheme="majorHAnsi" w:hAnsiTheme="majorHAnsi"/>
          <w:sz w:val="24"/>
        </w:rPr>
        <w:tab/>
      </w:r>
      <w:r w:rsidR="00C0659A" w:rsidRPr="003D5237">
        <w:rPr>
          <w:rFonts w:ascii="Times New Roman" w:hAnsi="Times New Roman" w:cs="Times New Roman"/>
          <w:sz w:val="24"/>
        </w:rPr>
        <w:t xml:space="preserve">1. </w:t>
      </w:r>
      <w:r w:rsidR="00C0659A" w:rsidRPr="003D5237">
        <w:rPr>
          <w:rFonts w:ascii="Times New Roman" w:hAnsi="Times New Roman" w:cs="Times New Roman"/>
          <w:b/>
          <w:sz w:val="24"/>
          <w:szCs w:val="24"/>
          <w:u w:val="single"/>
        </w:rPr>
        <w:t xml:space="preserve">Department of Defense Contract Security Classification Specification </w:t>
      </w:r>
    </w:p>
    <w:p w14:paraId="4B0B6629" w14:textId="77777777" w:rsidR="00C0659A" w:rsidRPr="003D5237" w:rsidRDefault="00C0659A" w:rsidP="00C0659A">
      <w:pPr>
        <w:tabs>
          <w:tab w:val="left" w:pos="720"/>
        </w:tabs>
        <w:spacing w:after="0" w:line="240" w:lineRule="auto"/>
        <w:ind w:left="1260"/>
        <w:rPr>
          <w:rFonts w:ascii="Times New Roman" w:hAnsi="Times New Roman" w:cs="Times New Roman"/>
          <w:sz w:val="24"/>
          <w:szCs w:val="24"/>
        </w:rPr>
      </w:pPr>
      <w:r w:rsidRPr="003D5237">
        <w:rPr>
          <w:rFonts w:ascii="Times New Roman" w:hAnsi="Times New Roman" w:cs="Times New Roman"/>
          <w:b/>
          <w:sz w:val="24"/>
          <w:szCs w:val="24"/>
          <w:u w:val="single"/>
        </w:rPr>
        <w:t>(DD Form 254)</w:t>
      </w:r>
    </w:p>
    <w:p w14:paraId="0F5B1D5F" w14:textId="77777777" w:rsidR="00C0659A" w:rsidRPr="003D5237" w:rsidRDefault="00C0659A" w:rsidP="00C0659A">
      <w:pPr>
        <w:spacing w:after="0" w:line="240" w:lineRule="auto"/>
        <w:ind w:left="270" w:firstLine="720"/>
        <w:rPr>
          <w:rFonts w:ascii="Times New Roman" w:hAnsi="Times New Roman" w:cs="Times New Roman"/>
          <w:sz w:val="24"/>
        </w:rPr>
      </w:pPr>
      <w:r w:rsidRPr="003D5237">
        <w:rPr>
          <w:rFonts w:ascii="Times New Roman" w:hAnsi="Times New Roman" w:cs="Times New Roman"/>
          <w:sz w:val="24"/>
        </w:rPr>
        <w:t xml:space="preserve">a. Number of Respondents:  </w:t>
      </w:r>
      <w:r w:rsidRPr="003D5237">
        <w:rPr>
          <w:rFonts w:ascii="Times New Roman" w:hAnsi="Times New Roman" w:cs="Times New Roman"/>
          <w:sz w:val="24"/>
          <w:szCs w:val="24"/>
        </w:rPr>
        <w:t>3,211</w:t>
      </w:r>
    </w:p>
    <w:p w14:paraId="35827D42" w14:textId="77777777" w:rsidR="00C0659A" w:rsidRPr="003D5237" w:rsidRDefault="00C0659A" w:rsidP="00C0659A">
      <w:pPr>
        <w:spacing w:after="0" w:line="240" w:lineRule="auto"/>
        <w:ind w:left="540" w:firstLine="450"/>
        <w:rPr>
          <w:rFonts w:ascii="Times New Roman" w:hAnsi="Times New Roman" w:cs="Times New Roman"/>
          <w:sz w:val="24"/>
        </w:rPr>
      </w:pPr>
      <w:r w:rsidRPr="003D5237">
        <w:rPr>
          <w:rFonts w:ascii="Times New Roman" w:hAnsi="Times New Roman" w:cs="Times New Roman"/>
          <w:sz w:val="24"/>
        </w:rPr>
        <w:t>b. Number of Responses Per Respondent:  10.13</w:t>
      </w:r>
    </w:p>
    <w:p w14:paraId="6A0C2C35" w14:textId="77777777" w:rsidR="00C0659A" w:rsidRPr="003D5237" w:rsidRDefault="00C0659A" w:rsidP="00C0659A">
      <w:pPr>
        <w:spacing w:after="0" w:line="240" w:lineRule="auto"/>
        <w:ind w:firstLine="990"/>
        <w:rPr>
          <w:rFonts w:ascii="Times New Roman" w:hAnsi="Times New Roman" w:cs="Times New Roman"/>
          <w:sz w:val="24"/>
        </w:rPr>
      </w:pPr>
      <w:r w:rsidRPr="003D5237">
        <w:rPr>
          <w:rFonts w:ascii="Times New Roman" w:hAnsi="Times New Roman" w:cs="Times New Roman"/>
          <w:sz w:val="24"/>
        </w:rPr>
        <w:t>c. Number of Total Annual Responses:  32,527.43</w:t>
      </w:r>
      <w:r w:rsidRPr="003D5237">
        <w:rPr>
          <w:rFonts w:ascii="Times New Roman" w:hAnsi="Times New Roman" w:cs="Times New Roman"/>
          <w:b/>
          <w:sz w:val="24"/>
          <w:szCs w:val="24"/>
        </w:rPr>
        <w:t>*</w:t>
      </w:r>
    </w:p>
    <w:p w14:paraId="7008E849" w14:textId="77777777" w:rsidR="00C0659A" w:rsidRPr="003D5237" w:rsidRDefault="00C0659A" w:rsidP="00C0659A">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d. Response Time:  70 minutes </w:t>
      </w:r>
    </w:p>
    <w:p w14:paraId="20C41C1A" w14:textId="77777777" w:rsidR="00C0659A" w:rsidRPr="003D5237" w:rsidRDefault="00C0659A" w:rsidP="00C0659A">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e. Respondent Burden Hours:  37,948.67 hours </w:t>
      </w:r>
    </w:p>
    <w:p w14:paraId="1E76D45C" w14:textId="77777777" w:rsidR="00A77157" w:rsidRDefault="00A77157" w:rsidP="00337EF1">
      <w:pPr>
        <w:spacing w:after="0" w:line="240" w:lineRule="auto"/>
        <w:rPr>
          <w:rFonts w:asciiTheme="majorHAnsi" w:hAnsiTheme="majorHAnsi"/>
          <w:sz w:val="24"/>
        </w:rPr>
      </w:pPr>
    </w:p>
    <w:p w14:paraId="4FBD88C4" w14:textId="77777777"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14:paraId="35349BA6" w14:textId="77777777" w:rsidR="00C0659A" w:rsidRPr="003D5237" w:rsidRDefault="00C0659A" w:rsidP="00C0659A">
      <w:pPr>
        <w:spacing w:after="0" w:line="240" w:lineRule="auto"/>
        <w:ind w:firstLine="990"/>
        <w:rPr>
          <w:rFonts w:ascii="Times New Roman" w:hAnsi="Times New Roman" w:cs="Times New Roman"/>
          <w:sz w:val="24"/>
          <w:szCs w:val="24"/>
        </w:rPr>
      </w:pPr>
      <w:r w:rsidRPr="003D5237">
        <w:rPr>
          <w:rFonts w:ascii="Times New Roman" w:hAnsi="Times New Roman" w:cs="Times New Roman"/>
          <w:sz w:val="24"/>
          <w:szCs w:val="24"/>
        </w:rPr>
        <w:t>a. Total Number of Respondents:  3,211</w:t>
      </w:r>
    </w:p>
    <w:p w14:paraId="3E43FDFB" w14:textId="77777777" w:rsidR="00C0659A" w:rsidRPr="003D5237" w:rsidRDefault="00C0659A" w:rsidP="00C0659A">
      <w:pPr>
        <w:tabs>
          <w:tab w:val="left" w:pos="990"/>
        </w:tabs>
        <w:spacing w:after="0" w:line="240" w:lineRule="auto"/>
        <w:rPr>
          <w:rFonts w:ascii="Times New Roman" w:hAnsi="Times New Roman" w:cs="Times New Roman"/>
          <w:sz w:val="24"/>
          <w:szCs w:val="24"/>
        </w:rPr>
      </w:pPr>
      <w:r w:rsidRPr="003D5237">
        <w:rPr>
          <w:rFonts w:ascii="Times New Roman" w:hAnsi="Times New Roman" w:cs="Times New Roman"/>
          <w:sz w:val="24"/>
          <w:szCs w:val="24"/>
        </w:rPr>
        <w:tab/>
        <w:t>b. Total Number of Annual Responses:  32,527.43</w:t>
      </w:r>
    </w:p>
    <w:p w14:paraId="51735562" w14:textId="77777777" w:rsidR="00C0659A" w:rsidRPr="003D5237" w:rsidRDefault="00C0659A" w:rsidP="00C0659A">
      <w:pPr>
        <w:tabs>
          <w:tab w:val="left" w:pos="990"/>
        </w:tabs>
        <w:spacing w:after="0" w:line="240" w:lineRule="auto"/>
        <w:rPr>
          <w:rFonts w:ascii="Times New Roman" w:hAnsi="Times New Roman" w:cs="Times New Roman"/>
          <w:sz w:val="24"/>
          <w:szCs w:val="24"/>
        </w:rPr>
      </w:pPr>
      <w:r w:rsidRPr="003D5237">
        <w:rPr>
          <w:rFonts w:ascii="Times New Roman" w:hAnsi="Times New Roman" w:cs="Times New Roman"/>
          <w:sz w:val="24"/>
          <w:szCs w:val="24"/>
        </w:rPr>
        <w:tab/>
        <w:t xml:space="preserve">c. Total Respondent Burden Hours:  37,948.67 hours </w:t>
      </w:r>
    </w:p>
    <w:p w14:paraId="509F6A37" w14:textId="77777777" w:rsidR="00A77157" w:rsidRDefault="00A77157" w:rsidP="00C0659A">
      <w:pPr>
        <w:spacing w:after="0" w:line="240" w:lineRule="auto"/>
        <w:rPr>
          <w:rFonts w:asciiTheme="majorHAnsi" w:hAnsiTheme="majorHAnsi"/>
          <w:sz w:val="24"/>
        </w:rPr>
      </w:pPr>
    </w:p>
    <w:p w14:paraId="0EBAA31D" w14:textId="77777777" w:rsidR="00105F45" w:rsidRDefault="00105F45" w:rsidP="00337EF1">
      <w:pPr>
        <w:spacing w:after="0" w:line="240" w:lineRule="auto"/>
        <w:rPr>
          <w:rFonts w:asciiTheme="majorHAnsi" w:hAnsiTheme="majorHAnsi"/>
          <w:sz w:val="24"/>
        </w:rPr>
      </w:pPr>
    </w:p>
    <w:p w14:paraId="29104EED"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71B0A732"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210B25D9" w14:textId="77777777" w:rsidR="007E6F5D" w:rsidRPr="003D5237" w:rsidRDefault="006F2DF8" w:rsidP="007E6F5D">
      <w:pPr>
        <w:tabs>
          <w:tab w:val="left" w:pos="720"/>
        </w:tabs>
        <w:spacing w:after="0" w:line="240" w:lineRule="auto"/>
        <w:ind w:left="990" w:hanging="540"/>
        <w:rPr>
          <w:rFonts w:ascii="Times New Roman" w:hAnsi="Times New Roman" w:cs="Times New Roman"/>
          <w:b/>
          <w:sz w:val="24"/>
          <w:szCs w:val="24"/>
          <w:u w:val="single"/>
        </w:rPr>
      </w:pPr>
      <w:r>
        <w:rPr>
          <w:rFonts w:asciiTheme="majorHAnsi" w:hAnsiTheme="majorHAnsi"/>
          <w:sz w:val="24"/>
        </w:rPr>
        <w:tab/>
      </w:r>
      <w:r w:rsidRPr="00722FDB">
        <w:rPr>
          <w:rFonts w:asciiTheme="majorHAnsi" w:hAnsiTheme="majorHAnsi"/>
          <w:sz w:val="24"/>
        </w:rPr>
        <w:t xml:space="preserve">1. </w:t>
      </w:r>
      <w:r w:rsidR="007E6F5D" w:rsidRPr="003D5237">
        <w:rPr>
          <w:rFonts w:ascii="Times New Roman" w:hAnsi="Times New Roman" w:cs="Times New Roman"/>
          <w:b/>
          <w:sz w:val="24"/>
          <w:szCs w:val="24"/>
          <w:u w:val="single"/>
        </w:rPr>
        <w:t xml:space="preserve">Department of Defense Contract Security Classification Specification </w:t>
      </w:r>
    </w:p>
    <w:p w14:paraId="43B7B2E6" w14:textId="77777777" w:rsidR="00254DCF" w:rsidRPr="00722FDB" w:rsidRDefault="007E6F5D" w:rsidP="007E6F5D">
      <w:pPr>
        <w:spacing w:after="0" w:line="240" w:lineRule="auto"/>
        <w:ind w:left="1530"/>
        <w:rPr>
          <w:rFonts w:asciiTheme="majorHAnsi" w:hAnsiTheme="majorHAnsi"/>
          <w:sz w:val="24"/>
        </w:rPr>
      </w:pPr>
      <w:r w:rsidRPr="003D5237">
        <w:rPr>
          <w:rFonts w:ascii="Times New Roman" w:hAnsi="Times New Roman" w:cs="Times New Roman"/>
          <w:b/>
          <w:sz w:val="24"/>
          <w:szCs w:val="24"/>
          <w:u w:val="single"/>
        </w:rPr>
        <w:t>(DD Form 254)</w:t>
      </w:r>
    </w:p>
    <w:p w14:paraId="7956FCD0" w14:textId="77777777" w:rsidR="007E6F5D" w:rsidRPr="003D5237" w:rsidRDefault="007E6F5D" w:rsidP="007E6F5D">
      <w:pPr>
        <w:spacing w:after="0" w:line="240" w:lineRule="auto"/>
        <w:ind w:firstLine="990"/>
        <w:rPr>
          <w:rFonts w:ascii="Times New Roman" w:hAnsi="Times New Roman" w:cs="Times New Roman"/>
          <w:sz w:val="24"/>
          <w:szCs w:val="24"/>
        </w:rPr>
      </w:pPr>
      <w:r w:rsidRPr="003D5237">
        <w:rPr>
          <w:rFonts w:ascii="Times New Roman" w:hAnsi="Times New Roman" w:cs="Times New Roman"/>
          <w:sz w:val="24"/>
        </w:rPr>
        <w:t xml:space="preserve">a. Number of Total Annual Responses:  </w:t>
      </w:r>
      <w:r w:rsidRPr="003D5237">
        <w:rPr>
          <w:rFonts w:ascii="Times New Roman" w:hAnsi="Times New Roman" w:cs="Times New Roman"/>
          <w:sz w:val="24"/>
          <w:szCs w:val="24"/>
        </w:rPr>
        <w:t>32,527.43</w:t>
      </w:r>
    </w:p>
    <w:p w14:paraId="192DC0E9" w14:textId="77777777" w:rsidR="007E6F5D" w:rsidRPr="003D5237" w:rsidRDefault="007E6F5D" w:rsidP="007E6F5D">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b. Response Time:  </w:t>
      </w:r>
      <w:r w:rsidRPr="003D5237">
        <w:rPr>
          <w:rFonts w:ascii="Times New Roman" w:hAnsi="Times New Roman" w:cs="Times New Roman"/>
          <w:sz w:val="24"/>
          <w:szCs w:val="24"/>
        </w:rPr>
        <w:t>70 minutes</w:t>
      </w:r>
    </w:p>
    <w:p w14:paraId="0B4E5C2D" w14:textId="67B9DF50" w:rsidR="007E6F5D" w:rsidRPr="003D5237" w:rsidRDefault="007E6F5D" w:rsidP="007E6F5D">
      <w:pPr>
        <w:spacing w:after="0" w:line="240" w:lineRule="auto"/>
        <w:ind w:firstLine="990"/>
        <w:rPr>
          <w:rFonts w:ascii="Times New Roman" w:hAnsi="Times New Roman" w:cs="Times New Roman"/>
          <w:sz w:val="24"/>
        </w:rPr>
      </w:pPr>
      <w:r w:rsidRPr="003D5237">
        <w:rPr>
          <w:rFonts w:ascii="Times New Roman" w:hAnsi="Times New Roman" w:cs="Times New Roman"/>
          <w:sz w:val="24"/>
        </w:rPr>
        <w:t>c. Respondent Hourly Wage:  $40.36 (</w:t>
      </w:r>
      <w:r w:rsidR="001C0F61">
        <w:rPr>
          <w:rFonts w:ascii="Times New Roman" w:hAnsi="Times New Roman" w:cs="Times New Roman"/>
          <w:sz w:val="24"/>
        </w:rPr>
        <w:t>~</w:t>
      </w:r>
      <w:r w:rsidRPr="003D5237">
        <w:rPr>
          <w:rFonts w:ascii="Times New Roman" w:hAnsi="Times New Roman" w:cs="Times New Roman"/>
          <w:sz w:val="24"/>
        </w:rPr>
        <w:t>$.671 per minute)**</w:t>
      </w:r>
    </w:p>
    <w:p w14:paraId="5832E04B" w14:textId="5A00905F" w:rsidR="007E6F5D" w:rsidRPr="003D5237" w:rsidRDefault="007E6F5D" w:rsidP="007E6F5D">
      <w:pPr>
        <w:spacing w:after="0" w:line="240" w:lineRule="auto"/>
        <w:ind w:firstLine="990"/>
        <w:rPr>
          <w:rFonts w:ascii="Times New Roman" w:hAnsi="Times New Roman" w:cs="Times New Roman"/>
          <w:sz w:val="24"/>
        </w:rPr>
      </w:pPr>
      <w:r w:rsidRPr="003D5237">
        <w:rPr>
          <w:rFonts w:ascii="Times New Roman" w:hAnsi="Times New Roman" w:cs="Times New Roman"/>
          <w:sz w:val="24"/>
        </w:rPr>
        <w:t>d. Labor Burden per Response:  $</w:t>
      </w:r>
      <w:r w:rsidR="007D01A2">
        <w:rPr>
          <w:rFonts w:ascii="Times New Roman" w:hAnsi="Times New Roman" w:cs="Times New Roman"/>
          <w:sz w:val="24"/>
        </w:rPr>
        <w:t>47.0</w:t>
      </w:r>
      <w:r w:rsidR="001C0F61">
        <w:rPr>
          <w:rFonts w:ascii="Times New Roman" w:hAnsi="Times New Roman" w:cs="Times New Roman"/>
          <w:sz w:val="24"/>
        </w:rPr>
        <w:t>8</w:t>
      </w:r>
    </w:p>
    <w:p w14:paraId="32D3950F" w14:textId="790E28FC" w:rsidR="007E6F5D" w:rsidRPr="003D5237" w:rsidRDefault="001C0F61" w:rsidP="007E6F5D">
      <w:pPr>
        <w:spacing w:after="0" w:line="240" w:lineRule="auto"/>
        <w:ind w:firstLine="990"/>
        <w:rPr>
          <w:rFonts w:ascii="Times New Roman" w:hAnsi="Times New Roman" w:cs="Times New Roman"/>
          <w:sz w:val="24"/>
        </w:rPr>
      </w:pPr>
      <w:r>
        <w:rPr>
          <w:rFonts w:ascii="Times New Roman" w:hAnsi="Times New Roman" w:cs="Times New Roman"/>
          <w:sz w:val="24"/>
        </w:rPr>
        <w:t>e. Total Labor Burden:  $1,531,391.40</w:t>
      </w:r>
    </w:p>
    <w:p w14:paraId="7A0A24EE" w14:textId="77777777" w:rsidR="00520B36" w:rsidRDefault="00520B36" w:rsidP="006F2DF8">
      <w:pPr>
        <w:spacing w:after="0" w:line="240" w:lineRule="auto"/>
        <w:rPr>
          <w:rFonts w:asciiTheme="majorHAnsi" w:hAnsiTheme="majorHAnsi"/>
          <w:sz w:val="24"/>
        </w:rPr>
      </w:pPr>
    </w:p>
    <w:p w14:paraId="7237BF69" w14:textId="77777777" w:rsidR="00520B36" w:rsidRDefault="00520B36" w:rsidP="006F2DF8">
      <w:pPr>
        <w:spacing w:after="0" w:line="240" w:lineRule="auto"/>
        <w:rPr>
          <w:rFonts w:asciiTheme="majorHAnsi" w:hAnsiTheme="majorHAnsi"/>
          <w:sz w:val="24"/>
        </w:rPr>
      </w:pPr>
    </w:p>
    <w:p w14:paraId="5FB71036"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0CF5C535" w14:textId="77777777" w:rsidR="000376DB" w:rsidRPr="003D5237" w:rsidRDefault="000376DB" w:rsidP="000376DB">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a. Total Number of Annual Responses for 3,211 Respondents:  </w:t>
      </w:r>
      <w:r w:rsidRPr="003D5237">
        <w:rPr>
          <w:rFonts w:ascii="Times New Roman" w:hAnsi="Times New Roman" w:cs="Times New Roman"/>
          <w:sz w:val="24"/>
          <w:szCs w:val="24"/>
        </w:rPr>
        <w:t>32,527.43</w:t>
      </w:r>
      <w:r w:rsidRPr="003D5237">
        <w:rPr>
          <w:rFonts w:ascii="Times New Roman" w:hAnsi="Times New Roman" w:cs="Times New Roman"/>
          <w:sz w:val="24"/>
        </w:rPr>
        <w:tab/>
      </w:r>
    </w:p>
    <w:p w14:paraId="34BDB226" w14:textId="77777777" w:rsidR="001C0F61" w:rsidRPr="003D5237" w:rsidRDefault="000376DB" w:rsidP="001C0F61">
      <w:pPr>
        <w:spacing w:after="0" w:line="240" w:lineRule="auto"/>
        <w:ind w:firstLine="990"/>
        <w:rPr>
          <w:rFonts w:ascii="Times New Roman" w:hAnsi="Times New Roman" w:cs="Times New Roman"/>
          <w:sz w:val="24"/>
        </w:rPr>
      </w:pPr>
      <w:r w:rsidRPr="003D5237">
        <w:rPr>
          <w:rFonts w:ascii="Times New Roman" w:hAnsi="Times New Roman" w:cs="Times New Roman"/>
          <w:sz w:val="24"/>
        </w:rPr>
        <w:t>b. Total Labor Burden:  $</w:t>
      </w:r>
      <w:r w:rsidR="001C0F61">
        <w:rPr>
          <w:rFonts w:ascii="Times New Roman" w:hAnsi="Times New Roman" w:cs="Times New Roman"/>
          <w:sz w:val="24"/>
        </w:rPr>
        <w:t>1,531,391.40</w:t>
      </w:r>
    </w:p>
    <w:p w14:paraId="1BA88146" w14:textId="77777777" w:rsidR="00520B36" w:rsidRPr="00337EF1" w:rsidRDefault="00520B36" w:rsidP="006F2DF8">
      <w:pPr>
        <w:spacing w:after="0" w:line="240" w:lineRule="auto"/>
        <w:rPr>
          <w:rFonts w:asciiTheme="majorHAnsi" w:hAnsiTheme="majorHAnsi"/>
          <w:sz w:val="24"/>
        </w:rPr>
      </w:pPr>
    </w:p>
    <w:p w14:paraId="2A741506" w14:textId="77777777" w:rsidR="000376DB" w:rsidRPr="000376DB" w:rsidRDefault="000376DB" w:rsidP="000376DB">
      <w:pPr>
        <w:spacing w:after="0" w:line="240" w:lineRule="auto"/>
        <w:rPr>
          <w:rFonts w:asciiTheme="majorHAnsi" w:hAnsiTheme="majorHAnsi"/>
          <w:sz w:val="24"/>
        </w:rPr>
      </w:pPr>
      <w:r w:rsidRPr="000376DB">
        <w:rPr>
          <w:rFonts w:asciiTheme="majorHAnsi" w:hAnsiTheme="majorHAnsi"/>
          <w:b/>
          <w:sz w:val="24"/>
        </w:rPr>
        <w:t>*</w:t>
      </w:r>
      <w:r w:rsidRPr="000376DB">
        <w:rPr>
          <w:rFonts w:asciiTheme="majorHAnsi" w:hAnsiTheme="majorHAnsi"/>
          <w:sz w:val="24"/>
        </w:rPr>
        <w:t xml:space="preserve"> Total number of responses (32,527.43) is based on the estimated number of classified subcontracts awarded by prime contractor annually, not including any subcontracts for which DSS does not have security cognizance/oversight (e.g., special access programs for which DSS does not have such security cognizance or sensitive compartmented information for which DSS also does not have security cognizance).</w:t>
      </w:r>
    </w:p>
    <w:p w14:paraId="425762AB" w14:textId="77777777" w:rsidR="000376DB" w:rsidRPr="000376DB" w:rsidRDefault="000376DB" w:rsidP="000376DB">
      <w:pPr>
        <w:spacing w:after="0" w:line="240" w:lineRule="auto"/>
        <w:rPr>
          <w:rFonts w:asciiTheme="majorHAnsi" w:hAnsiTheme="majorHAnsi"/>
          <w:sz w:val="24"/>
        </w:rPr>
      </w:pPr>
    </w:p>
    <w:p w14:paraId="2D710BA5" w14:textId="77777777" w:rsidR="006F2DF8" w:rsidRPr="000376DB" w:rsidRDefault="000376DB" w:rsidP="000376DB">
      <w:pPr>
        <w:spacing w:after="0" w:line="240" w:lineRule="auto"/>
        <w:rPr>
          <w:rFonts w:asciiTheme="majorHAnsi" w:hAnsiTheme="majorHAnsi"/>
          <w:sz w:val="24"/>
        </w:rPr>
      </w:pPr>
      <w:r w:rsidRPr="000376DB">
        <w:rPr>
          <w:rFonts w:asciiTheme="majorHAnsi" w:hAnsiTheme="majorHAnsi"/>
          <w:b/>
          <w:sz w:val="24"/>
        </w:rPr>
        <w:t>**</w:t>
      </w:r>
      <w:r w:rsidRPr="000376DB">
        <w:rPr>
          <w:rFonts w:asciiTheme="majorHAnsi" w:hAnsiTheme="majorHAnsi"/>
          <w:sz w:val="24"/>
        </w:rPr>
        <w:t>Hourly wage for respondent is based on the approximate salary of a GS-12, Step 4 in the Washington, D.C., Maryland and Virginia metropolitan area (effective January 2015):  ($40.36) rate per hour)/60 minutes=$.671 (rate per minute)</w:t>
      </w:r>
    </w:p>
    <w:p w14:paraId="64D88464" w14:textId="77777777" w:rsidR="0019309D" w:rsidRDefault="0019309D" w:rsidP="00337EF1">
      <w:pPr>
        <w:spacing w:after="0" w:line="240" w:lineRule="auto"/>
        <w:rPr>
          <w:rFonts w:asciiTheme="majorHAnsi" w:hAnsiTheme="majorHAnsi"/>
          <w:sz w:val="24"/>
        </w:rPr>
      </w:pPr>
    </w:p>
    <w:p w14:paraId="615BED28" w14:textId="77777777" w:rsidR="0019309D" w:rsidRDefault="0019309D" w:rsidP="00337EF1">
      <w:pPr>
        <w:spacing w:after="0" w:line="240" w:lineRule="auto"/>
        <w:rPr>
          <w:rFonts w:asciiTheme="majorHAnsi" w:hAnsiTheme="majorHAnsi"/>
          <w:sz w:val="24"/>
        </w:rPr>
      </w:pPr>
    </w:p>
    <w:p w14:paraId="1EA608E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2B03293" w14:textId="77777777" w:rsidR="0019309D" w:rsidRDefault="0019309D" w:rsidP="0019309D">
      <w:pPr>
        <w:spacing w:after="0" w:line="240" w:lineRule="auto"/>
        <w:rPr>
          <w:rFonts w:asciiTheme="majorHAnsi" w:hAnsiTheme="majorHAnsi"/>
          <w:sz w:val="24"/>
        </w:rPr>
      </w:pPr>
      <w:r w:rsidRPr="008F63D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1C911522" w14:textId="77777777" w:rsidR="0019309D" w:rsidRDefault="0019309D" w:rsidP="0019309D">
      <w:pPr>
        <w:spacing w:after="0" w:line="240" w:lineRule="auto"/>
        <w:rPr>
          <w:rFonts w:asciiTheme="majorHAnsi" w:hAnsiTheme="majorHAnsi"/>
          <w:sz w:val="24"/>
        </w:rPr>
      </w:pPr>
    </w:p>
    <w:p w14:paraId="04E48A21" w14:textId="77777777" w:rsidR="0019309D" w:rsidRDefault="0019309D" w:rsidP="0019309D">
      <w:pPr>
        <w:spacing w:after="0" w:line="240" w:lineRule="auto"/>
        <w:rPr>
          <w:rFonts w:asciiTheme="majorHAnsi" w:hAnsiTheme="majorHAnsi"/>
          <w:sz w:val="24"/>
        </w:rPr>
      </w:pPr>
    </w:p>
    <w:p w14:paraId="4E93C01F"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53E3E94" w14:textId="77777777" w:rsidR="00F25499" w:rsidRDefault="00F25499" w:rsidP="0019309D">
      <w:pPr>
        <w:spacing w:after="0" w:line="240" w:lineRule="auto"/>
        <w:rPr>
          <w:rFonts w:asciiTheme="majorHAnsi" w:hAnsiTheme="majorHAnsi"/>
          <w:sz w:val="24"/>
        </w:rPr>
      </w:pPr>
    </w:p>
    <w:p w14:paraId="0FF37B07"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0AC3650F" w14:textId="4663A55F" w:rsidR="00073AFF" w:rsidRPr="003D5237" w:rsidRDefault="00722FDB" w:rsidP="00073AFF">
      <w:pPr>
        <w:spacing w:after="0" w:line="240" w:lineRule="auto"/>
        <w:ind w:firstLine="720"/>
        <w:rPr>
          <w:rFonts w:ascii="Times New Roman" w:hAnsi="Times New Roman" w:cs="Times New Roman"/>
          <w:b/>
          <w:sz w:val="24"/>
          <w:szCs w:val="24"/>
          <w:u w:val="single"/>
        </w:rPr>
      </w:pPr>
      <w:r w:rsidRPr="00722FDB">
        <w:rPr>
          <w:rFonts w:asciiTheme="majorHAnsi" w:hAnsiTheme="majorHAnsi"/>
          <w:sz w:val="24"/>
        </w:rPr>
        <w:t xml:space="preserve">1. </w:t>
      </w:r>
      <w:r w:rsidR="00073AFF" w:rsidRPr="003D5237">
        <w:rPr>
          <w:rFonts w:ascii="Times New Roman" w:hAnsi="Times New Roman" w:cs="Times New Roman"/>
          <w:b/>
          <w:sz w:val="24"/>
          <w:szCs w:val="24"/>
          <w:u w:val="single"/>
        </w:rPr>
        <w:t xml:space="preserve">Department of Defense Contract Security Classification Specification </w:t>
      </w:r>
    </w:p>
    <w:p w14:paraId="050895B1"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b/>
          <w:sz w:val="24"/>
          <w:szCs w:val="24"/>
          <w:u w:val="single"/>
        </w:rPr>
        <w:t>(DD Form 254</w:t>
      </w:r>
    </w:p>
    <w:p w14:paraId="35636558" w14:textId="77777777" w:rsidR="00073AFF" w:rsidRPr="003D5237" w:rsidRDefault="00073AFF" w:rsidP="00073AFF">
      <w:pPr>
        <w:spacing w:after="0" w:line="240" w:lineRule="auto"/>
        <w:ind w:firstLine="990"/>
        <w:rPr>
          <w:rFonts w:ascii="Times New Roman" w:hAnsi="Times New Roman" w:cs="Times New Roman"/>
          <w:sz w:val="24"/>
          <w:szCs w:val="24"/>
        </w:rPr>
      </w:pPr>
      <w:r w:rsidRPr="003D5237">
        <w:rPr>
          <w:rFonts w:ascii="Times New Roman" w:hAnsi="Times New Roman" w:cs="Times New Roman"/>
          <w:sz w:val="24"/>
        </w:rPr>
        <w:t xml:space="preserve">a. Number of Total Annual Responses:  </w:t>
      </w:r>
      <w:r w:rsidRPr="003D5237">
        <w:rPr>
          <w:rFonts w:ascii="Times New Roman" w:hAnsi="Times New Roman" w:cs="Times New Roman"/>
          <w:sz w:val="24"/>
          <w:szCs w:val="24"/>
        </w:rPr>
        <w:t>32,527.43</w:t>
      </w:r>
    </w:p>
    <w:p w14:paraId="4133A3BB"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b. Processing Time per Response:  .5 hours  </w:t>
      </w:r>
    </w:p>
    <w:p w14:paraId="751D10B3"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c. Hourly Wage of Worker(s) Processing Responses:  $</w:t>
      </w:r>
      <w:r w:rsidRPr="003D5237">
        <w:rPr>
          <w:rFonts w:ascii="Times New Roman" w:hAnsi="Times New Roman" w:cs="Times New Roman"/>
          <w:sz w:val="24"/>
          <w:szCs w:val="24"/>
        </w:rPr>
        <w:t>40.36</w:t>
      </w:r>
      <w:r w:rsidRPr="003D5237">
        <w:rPr>
          <w:rFonts w:ascii="Times New Roman" w:hAnsi="Times New Roman" w:cs="Times New Roman"/>
          <w:sz w:val="24"/>
        </w:rPr>
        <w:t>*</w:t>
      </w:r>
    </w:p>
    <w:p w14:paraId="7716A613"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d. Cost to Process Each Response:  $20.18**</w:t>
      </w:r>
      <w:r w:rsidRPr="003D5237">
        <w:rPr>
          <w:rFonts w:ascii="Times New Roman" w:hAnsi="Times New Roman" w:cs="Times New Roman"/>
          <w:sz w:val="24"/>
        </w:rPr>
        <w:tab/>
      </w:r>
    </w:p>
    <w:p w14:paraId="3AEE1B44"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e. Total Cost to Process Responses:  $</w:t>
      </w:r>
      <w:r w:rsidRPr="003D5237">
        <w:rPr>
          <w:rFonts w:ascii="Times New Roman" w:hAnsi="Times New Roman" w:cs="Times New Roman"/>
          <w:sz w:val="24"/>
          <w:szCs w:val="24"/>
        </w:rPr>
        <w:t>656,403.54</w:t>
      </w:r>
    </w:p>
    <w:p w14:paraId="5B98DCFD" w14:textId="77777777" w:rsidR="00722FDB" w:rsidRDefault="00722FDB" w:rsidP="00722FDB">
      <w:pPr>
        <w:spacing w:after="0" w:line="240" w:lineRule="auto"/>
        <w:ind w:firstLine="720"/>
        <w:rPr>
          <w:rFonts w:asciiTheme="majorHAnsi" w:hAnsiTheme="majorHAnsi"/>
          <w:sz w:val="24"/>
        </w:rPr>
      </w:pPr>
    </w:p>
    <w:p w14:paraId="1262B539"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6FCF00FA"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 xml:space="preserve">a. Total Number of Annual Responses:  </w:t>
      </w:r>
      <w:r w:rsidRPr="003D5237">
        <w:rPr>
          <w:rFonts w:ascii="Times New Roman" w:hAnsi="Times New Roman" w:cs="Times New Roman"/>
          <w:sz w:val="24"/>
          <w:szCs w:val="24"/>
        </w:rPr>
        <w:t>32,527.43</w:t>
      </w:r>
    </w:p>
    <w:p w14:paraId="73657CA4" w14:textId="77777777" w:rsidR="00073AFF" w:rsidRPr="003D5237" w:rsidRDefault="00073AFF" w:rsidP="00073AFF">
      <w:pPr>
        <w:spacing w:after="0" w:line="240" w:lineRule="auto"/>
        <w:ind w:firstLine="990"/>
        <w:rPr>
          <w:rFonts w:ascii="Times New Roman" w:hAnsi="Times New Roman" w:cs="Times New Roman"/>
          <w:sz w:val="24"/>
        </w:rPr>
      </w:pPr>
      <w:r w:rsidRPr="003D5237">
        <w:rPr>
          <w:rFonts w:ascii="Times New Roman" w:hAnsi="Times New Roman" w:cs="Times New Roman"/>
          <w:sz w:val="24"/>
        </w:rPr>
        <w:t>b. Total Labor Burden</w:t>
      </w:r>
      <w:r w:rsidRPr="003D5237">
        <w:rPr>
          <w:rFonts w:ascii="Times New Roman" w:hAnsi="Times New Roman" w:cs="Times New Roman"/>
          <w:i/>
          <w:sz w:val="24"/>
        </w:rPr>
        <w:t xml:space="preserve">:  </w:t>
      </w:r>
      <w:r w:rsidRPr="003D5237">
        <w:rPr>
          <w:rFonts w:ascii="Times New Roman" w:hAnsi="Times New Roman" w:cs="Times New Roman"/>
          <w:sz w:val="24"/>
        </w:rPr>
        <w:t>$</w:t>
      </w:r>
      <w:r w:rsidRPr="003D5237">
        <w:rPr>
          <w:rFonts w:ascii="Times New Roman" w:hAnsi="Times New Roman" w:cs="Times New Roman"/>
          <w:sz w:val="24"/>
          <w:szCs w:val="24"/>
        </w:rPr>
        <w:t>656,403.54</w:t>
      </w:r>
      <w:r w:rsidRPr="003D5237">
        <w:rPr>
          <w:rFonts w:ascii="Times New Roman" w:hAnsi="Times New Roman" w:cs="Times New Roman"/>
          <w:sz w:val="24"/>
        </w:rPr>
        <w:t xml:space="preserve"> </w:t>
      </w:r>
    </w:p>
    <w:p w14:paraId="176B894E" w14:textId="77777777" w:rsidR="00722FDB" w:rsidRDefault="00722FDB" w:rsidP="00073AFF">
      <w:pPr>
        <w:spacing w:after="0" w:line="240" w:lineRule="auto"/>
        <w:rPr>
          <w:rFonts w:asciiTheme="majorHAnsi" w:hAnsiTheme="majorHAnsi"/>
          <w:sz w:val="24"/>
        </w:rPr>
      </w:pPr>
    </w:p>
    <w:p w14:paraId="137F3434"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12027194"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Equipment: $0</w:t>
      </w:r>
    </w:p>
    <w:p w14:paraId="02CC0792"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Printing: $0</w:t>
      </w:r>
    </w:p>
    <w:p w14:paraId="684B267B"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Postage: $0</w:t>
      </w:r>
    </w:p>
    <w:p w14:paraId="2610309A"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Software Purchases: $0</w:t>
      </w:r>
    </w:p>
    <w:p w14:paraId="56254E59"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Licensing Costs: $0</w:t>
      </w:r>
    </w:p>
    <w:p w14:paraId="703B9454" w14:textId="77777777" w:rsidR="00311D37" w:rsidRPr="003D5237" w:rsidRDefault="00311D37" w:rsidP="00311D37">
      <w:pPr>
        <w:pStyle w:val="ListParagraph"/>
        <w:numPr>
          <w:ilvl w:val="0"/>
          <w:numId w:val="11"/>
        </w:numPr>
        <w:spacing w:after="0" w:line="240" w:lineRule="auto"/>
        <w:ind w:firstLine="270"/>
        <w:rPr>
          <w:rFonts w:ascii="Times New Roman" w:hAnsi="Times New Roman" w:cs="Times New Roman"/>
          <w:sz w:val="24"/>
          <w:szCs w:val="24"/>
        </w:rPr>
      </w:pPr>
      <w:r w:rsidRPr="003D5237">
        <w:rPr>
          <w:rFonts w:ascii="Times New Roman" w:hAnsi="Times New Roman" w:cs="Times New Roman"/>
          <w:sz w:val="24"/>
          <w:szCs w:val="24"/>
        </w:rPr>
        <w:t>Other: $0</w:t>
      </w:r>
    </w:p>
    <w:p w14:paraId="38B65F37" w14:textId="77777777" w:rsidR="00311D37" w:rsidRPr="003D5237" w:rsidRDefault="00311D37" w:rsidP="00311D37">
      <w:pPr>
        <w:spacing w:after="0" w:line="240" w:lineRule="auto"/>
        <w:ind w:left="720" w:firstLine="270"/>
        <w:rPr>
          <w:rFonts w:ascii="Times New Roman" w:hAnsi="Times New Roman" w:cs="Times New Roman"/>
          <w:sz w:val="24"/>
          <w:szCs w:val="24"/>
        </w:rPr>
      </w:pPr>
      <w:r w:rsidRPr="003D5237">
        <w:rPr>
          <w:rFonts w:ascii="Times New Roman" w:hAnsi="Times New Roman" w:cs="Times New Roman"/>
          <w:sz w:val="24"/>
          <w:szCs w:val="24"/>
        </w:rPr>
        <w:t xml:space="preserve">g. </w:t>
      </w:r>
      <w:r w:rsidRPr="003D5237">
        <w:rPr>
          <w:rFonts w:ascii="Times New Roman" w:hAnsi="Times New Roman" w:cs="Times New Roman"/>
          <w:sz w:val="24"/>
          <w:szCs w:val="24"/>
        </w:rPr>
        <w:tab/>
        <w:t>Total: $0</w:t>
      </w:r>
    </w:p>
    <w:p w14:paraId="476F8ED5" w14:textId="77777777" w:rsidR="00311D37" w:rsidRPr="003D5237" w:rsidRDefault="00311D37" w:rsidP="00311D37">
      <w:pPr>
        <w:spacing w:after="0" w:line="240" w:lineRule="auto"/>
        <w:rPr>
          <w:rFonts w:ascii="Times New Roman" w:hAnsi="Times New Roman" w:cs="Times New Roman"/>
          <w:sz w:val="24"/>
          <w:szCs w:val="24"/>
        </w:rPr>
      </w:pPr>
    </w:p>
    <w:p w14:paraId="1DC750A8" w14:textId="77777777" w:rsidR="00311D37" w:rsidRPr="003D5237" w:rsidRDefault="00311D37" w:rsidP="00311D37">
      <w:pPr>
        <w:spacing w:after="0" w:line="240" w:lineRule="auto"/>
        <w:ind w:firstLine="360"/>
        <w:rPr>
          <w:rFonts w:ascii="Times New Roman" w:hAnsi="Times New Roman" w:cs="Times New Roman"/>
          <w:sz w:val="24"/>
          <w:szCs w:val="24"/>
        </w:rPr>
      </w:pPr>
      <w:r w:rsidRPr="003D5237">
        <w:rPr>
          <w:rFonts w:ascii="Times New Roman" w:hAnsi="Times New Roman" w:cs="Times New Roman"/>
          <w:sz w:val="24"/>
          <w:szCs w:val="24"/>
        </w:rPr>
        <w:t xml:space="preserve">1. </w:t>
      </w:r>
      <w:r w:rsidRPr="003D5237">
        <w:rPr>
          <w:rFonts w:ascii="Times New Roman" w:hAnsi="Times New Roman" w:cs="Times New Roman"/>
          <w:sz w:val="24"/>
          <w:szCs w:val="24"/>
          <w:u w:val="single"/>
        </w:rPr>
        <w:t>Total Operational and Maintenance Costs</w:t>
      </w:r>
      <w:r w:rsidRPr="003D5237">
        <w:rPr>
          <w:rFonts w:ascii="Times New Roman" w:hAnsi="Times New Roman" w:cs="Times New Roman"/>
          <w:sz w:val="24"/>
          <w:szCs w:val="24"/>
        </w:rPr>
        <w:t>: $0</w:t>
      </w:r>
    </w:p>
    <w:p w14:paraId="026DF741" w14:textId="77777777" w:rsidR="00311D37" w:rsidRPr="003D5237" w:rsidRDefault="00311D37" w:rsidP="00311D37">
      <w:pPr>
        <w:spacing w:after="0" w:line="240" w:lineRule="auto"/>
        <w:ind w:firstLine="360"/>
        <w:rPr>
          <w:rFonts w:ascii="Times New Roman" w:hAnsi="Times New Roman" w:cs="Times New Roman"/>
          <w:sz w:val="24"/>
          <w:szCs w:val="24"/>
        </w:rPr>
      </w:pPr>
      <w:r w:rsidRPr="003D5237">
        <w:rPr>
          <w:rFonts w:ascii="Times New Roman" w:hAnsi="Times New Roman" w:cs="Times New Roman"/>
          <w:sz w:val="24"/>
          <w:szCs w:val="24"/>
        </w:rPr>
        <w:t xml:space="preserve">2. </w:t>
      </w:r>
      <w:r w:rsidRPr="003D5237">
        <w:rPr>
          <w:rFonts w:ascii="Times New Roman" w:hAnsi="Times New Roman" w:cs="Times New Roman"/>
          <w:sz w:val="24"/>
          <w:szCs w:val="24"/>
          <w:u w:val="single"/>
        </w:rPr>
        <w:t>Total Labor Cost to the Federal Government</w:t>
      </w:r>
      <w:r w:rsidRPr="003D5237">
        <w:rPr>
          <w:rFonts w:ascii="Times New Roman" w:hAnsi="Times New Roman" w:cs="Times New Roman"/>
          <w:sz w:val="24"/>
          <w:szCs w:val="24"/>
        </w:rPr>
        <w:t>: $656,403.54</w:t>
      </w:r>
    </w:p>
    <w:p w14:paraId="4FB33142" w14:textId="77777777" w:rsidR="00311D37" w:rsidRDefault="00311D37" w:rsidP="00311D37">
      <w:pPr>
        <w:spacing w:after="0" w:line="240" w:lineRule="auto"/>
        <w:ind w:firstLine="360"/>
        <w:rPr>
          <w:rFonts w:ascii="Times New Roman" w:hAnsi="Times New Roman" w:cs="Times New Roman"/>
          <w:sz w:val="24"/>
          <w:szCs w:val="24"/>
        </w:rPr>
      </w:pPr>
      <w:r w:rsidRPr="003D5237">
        <w:rPr>
          <w:rFonts w:ascii="Times New Roman" w:hAnsi="Times New Roman" w:cs="Times New Roman"/>
          <w:sz w:val="24"/>
          <w:szCs w:val="24"/>
        </w:rPr>
        <w:t xml:space="preserve">3. </w:t>
      </w:r>
      <w:r w:rsidRPr="003D5237">
        <w:rPr>
          <w:rFonts w:ascii="Times New Roman" w:hAnsi="Times New Roman" w:cs="Times New Roman"/>
          <w:sz w:val="24"/>
          <w:szCs w:val="24"/>
          <w:u w:val="single"/>
        </w:rPr>
        <w:t>Total Cost to the Federal Government</w:t>
      </w:r>
      <w:r w:rsidRPr="003D5237">
        <w:rPr>
          <w:rFonts w:ascii="Times New Roman" w:hAnsi="Times New Roman" w:cs="Times New Roman"/>
          <w:sz w:val="24"/>
          <w:szCs w:val="24"/>
        </w:rPr>
        <w:t>: $656,403.54</w:t>
      </w:r>
    </w:p>
    <w:p w14:paraId="2875971C" w14:textId="77777777" w:rsidR="00311D37" w:rsidRDefault="00311D37" w:rsidP="00311D37">
      <w:pPr>
        <w:spacing w:after="0" w:line="240" w:lineRule="auto"/>
        <w:ind w:firstLine="360"/>
        <w:rPr>
          <w:rFonts w:ascii="Times New Roman" w:hAnsi="Times New Roman" w:cs="Times New Roman"/>
          <w:sz w:val="24"/>
          <w:szCs w:val="24"/>
        </w:rPr>
      </w:pPr>
    </w:p>
    <w:p w14:paraId="4232C764" w14:textId="77777777" w:rsidR="00311D37" w:rsidRPr="003D5237" w:rsidRDefault="00311D37" w:rsidP="00311D37">
      <w:pPr>
        <w:spacing w:after="0" w:line="240" w:lineRule="auto"/>
        <w:ind w:firstLine="720"/>
        <w:rPr>
          <w:rFonts w:ascii="Times New Roman" w:hAnsi="Times New Roman" w:cs="Times New Roman"/>
          <w:sz w:val="24"/>
          <w:szCs w:val="24"/>
        </w:rPr>
      </w:pPr>
      <w:r w:rsidRPr="003D5237">
        <w:rPr>
          <w:rFonts w:ascii="Times New Roman" w:hAnsi="Times New Roman" w:cs="Times New Roman"/>
          <w:sz w:val="24"/>
          <w:szCs w:val="24"/>
        </w:rPr>
        <w:t>*Cost to federal government is based on the approximate salary of a GS-12, Step 4 in the Washington, D.C., Maryland and Virginia metropolitan area (effective January 2015):  ($40.36) rate per hour)/60 minutes=$.671 (rate per minute)</w:t>
      </w:r>
    </w:p>
    <w:p w14:paraId="31182657" w14:textId="77777777" w:rsidR="00311D37" w:rsidRDefault="00311D37" w:rsidP="00311D37">
      <w:pPr>
        <w:spacing w:after="0" w:line="240" w:lineRule="auto"/>
        <w:rPr>
          <w:rFonts w:asciiTheme="majorHAnsi" w:hAnsiTheme="majorHAnsi"/>
          <w:sz w:val="24"/>
          <w:u w:val="single"/>
        </w:rPr>
      </w:pPr>
      <w:r w:rsidRPr="003D5237">
        <w:rPr>
          <w:rFonts w:ascii="Times New Roman" w:hAnsi="Times New Roman" w:cs="Times New Roman"/>
          <w:b/>
          <w:sz w:val="24"/>
          <w:szCs w:val="24"/>
        </w:rPr>
        <w:t>**</w:t>
      </w:r>
      <w:r w:rsidRPr="003D5237">
        <w:rPr>
          <w:rFonts w:ascii="Times New Roman" w:hAnsi="Times New Roman" w:cs="Times New Roman"/>
          <w:sz w:val="24"/>
          <w:szCs w:val="24"/>
        </w:rPr>
        <w:t xml:space="preserve"> Cost to federal government represents the initial review by a government employee (Industrial Security Representative for completeness for a DD Form 254 from a prime contractor to a subcontractor.</w:t>
      </w:r>
      <w:r w:rsidRPr="003D5237">
        <w:rPr>
          <w:rFonts w:ascii="Times New Roman" w:hAnsi="Times New Roman" w:cs="Times New Roman"/>
          <w:sz w:val="24"/>
          <w:szCs w:val="24"/>
        </w:rPr>
        <w:tab/>
      </w:r>
    </w:p>
    <w:p w14:paraId="06839760" w14:textId="77777777" w:rsidR="00DA2B37" w:rsidRDefault="00DA2B37" w:rsidP="00486235">
      <w:pPr>
        <w:spacing w:after="0" w:line="240" w:lineRule="auto"/>
        <w:rPr>
          <w:rFonts w:asciiTheme="majorHAnsi" w:hAnsiTheme="majorHAnsi"/>
          <w:sz w:val="24"/>
        </w:rPr>
      </w:pPr>
    </w:p>
    <w:p w14:paraId="0152E118" w14:textId="77777777" w:rsidR="00311D37" w:rsidRDefault="00311D37" w:rsidP="00486235">
      <w:pPr>
        <w:spacing w:after="0" w:line="240" w:lineRule="auto"/>
        <w:rPr>
          <w:rFonts w:asciiTheme="majorHAnsi" w:hAnsiTheme="majorHAnsi"/>
          <w:sz w:val="24"/>
        </w:rPr>
      </w:pPr>
    </w:p>
    <w:p w14:paraId="6392176E"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7699BC43" w14:textId="77777777" w:rsidR="00DA2B37" w:rsidRPr="00020622" w:rsidRDefault="00DA2B37" w:rsidP="001C4917">
      <w:pPr>
        <w:spacing w:after="0" w:line="240" w:lineRule="auto"/>
        <w:rPr>
          <w:rFonts w:asciiTheme="majorHAnsi" w:hAnsiTheme="majorHAnsi"/>
          <w:sz w:val="24"/>
        </w:rPr>
      </w:pPr>
      <w:r w:rsidRPr="00020622">
        <w:rPr>
          <w:rFonts w:asciiTheme="majorHAnsi" w:hAnsiTheme="majorHAnsi"/>
          <w:sz w:val="24"/>
        </w:rPr>
        <w:t xml:space="preserve">This is an existing collection currently in use without an OMB Control Number. </w:t>
      </w:r>
    </w:p>
    <w:p w14:paraId="02D851D3" w14:textId="77777777" w:rsidR="00DA2B37" w:rsidRPr="00020622" w:rsidRDefault="00DA2B37" w:rsidP="00486235">
      <w:pPr>
        <w:spacing w:after="0" w:line="240" w:lineRule="auto"/>
        <w:rPr>
          <w:rFonts w:asciiTheme="majorHAnsi" w:hAnsiTheme="majorHAnsi"/>
          <w:sz w:val="24"/>
        </w:rPr>
      </w:pPr>
    </w:p>
    <w:p w14:paraId="3FC7CC51" w14:textId="77777777" w:rsidR="00DA2B37" w:rsidRPr="00020622" w:rsidRDefault="00DA2B37" w:rsidP="00486235">
      <w:pPr>
        <w:spacing w:after="0" w:line="240" w:lineRule="auto"/>
        <w:rPr>
          <w:rFonts w:asciiTheme="majorHAnsi" w:hAnsiTheme="majorHAnsi"/>
          <w:sz w:val="24"/>
        </w:rPr>
      </w:pPr>
    </w:p>
    <w:p w14:paraId="6EF60FE6" w14:textId="77777777" w:rsidR="00DA2B37"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16. </w:t>
      </w:r>
      <w:r w:rsidRPr="00020622">
        <w:rPr>
          <w:rFonts w:asciiTheme="majorHAnsi" w:hAnsiTheme="majorHAnsi"/>
          <w:sz w:val="24"/>
        </w:rPr>
        <w:tab/>
      </w:r>
      <w:r w:rsidRPr="00020622">
        <w:rPr>
          <w:rFonts w:asciiTheme="majorHAnsi" w:hAnsiTheme="majorHAnsi"/>
          <w:sz w:val="24"/>
          <w:u w:val="single"/>
        </w:rPr>
        <w:t>Publication of Results</w:t>
      </w:r>
      <w:r w:rsidRPr="00020622">
        <w:rPr>
          <w:rFonts w:asciiTheme="majorHAnsi" w:hAnsiTheme="majorHAnsi"/>
          <w:sz w:val="24"/>
        </w:rPr>
        <w:t xml:space="preserve"> </w:t>
      </w:r>
    </w:p>
    <w:p w14:paraId="70CCDE8B" w14:textId="77777777" w:rsidR="005C3A95"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The results of this information collection will not be published. </w:t>
      </w:r>
    </w:p>
    <w:p w14:paraId="7E825B3A" w14:textId="77777777" w:rsidR="00DA2B37" w:rsidRPr="00020622" w:rsidRDefault="00DA2B37" w:rsidP="00486235">
      <w:pPr>
        <w:spacing w:after="0" w:line="240" w:lineRule="auto"/>
        <w:rPr>
          <w:rFonts w:asciiTheme="majorHAnsi" w:hAnsiTheme="majorHAnsi"/>
          <w:sz w:val="24"/>
        </w:rPr>
      </w:pPr>
    </w:p>
    <w:p w14:paraId="69F2AD17" w14:textId="77777777" w:rsidR="005C3A95" w:rsidRPr="00020622" w:rsidRDefault="005C3A95" w:rsidP="00486235">
      <w:pPr>
        <w:spacing w:after="0" w:line="240" w:lineRule="auto"/>
        <w:rPr>
          <w:rFonts w:asciiTheme="majorHAnsi" w:hAnsiTheme="majorHAnsi"/>
          <w:sz w:val="24"/>
        </w:rPr>
      </w:pPr>
    </w:p>
    <w:p w14:paraId="1DE73049" w14:textId="77777777" w:rsidR="005C3A95" w:rsidRPr="00020622" w:rsidRDefault="005C3A95" w:rsidP="00486235">
      <w:pPr>
        <w:spacing w:after="0" w:line="240" w:lineRule="auto"/>
        <w:rPr>
          <w:rFonts w:asciiTheme="majorHAnsi" w:hAnsiTheme="majorHAnsi"/>
          <w:sz w:val="24"/>
        </w:rPr>
      </w:pPr>
      <w:r w:rsidRPr="00020622">
        <w:rPr>
          <w:rFonts w:asciiTheme="majorHAnsi" w:hAnsiTheme="majorHAnsi"/>
          <w:sz w:val="24"/>
        </w:rPr>
        <w:t xml:space="preserve">17. </w:t>
      </w:r>
      <w:r w:rsidR="00C62D17" w:rsidRPr="00020622">
        <w:rPr>
          <w:rFonts w:asciiTheme="majorHAnsi" w:hAnsiTheme="majorHAnsi"/>
          <w:sz w:val="24"/>
        </w:rPr>
        <w:tab/>
      </w:r>
      <w:r w:rsidR="00C62D17" w:rsidRPr="00020622">
        <w:rPr>
          <w:rFonts w:asciiTheme="majorHAnsi" w:hAnsiTheme="majorHAnsi"/>
          <w:sz w:val="24"/>
          <w:u w:val="single"/>
        </w:rPr>
        <w:t>Non-Display of OMB Expiration Date</w:t>
      </w:r>
    </w:p>
    <w:p w14:paraId="49342DB2" w14:textId="77777777" w:rsidR="00C62D17" w:rsidRDefault="00C62D17" w:rsidP="00486235">
      <w:pPr>
        <w:spacing w:after="0" w:line="240" w:lineRule="auto"/>
        <w:rPr>
          <w:rFonts w:asciiTheme="majorHAnsi" w:hAnsiTheme="majorHAnsi"/>
          <w:sz w:val="24"/>
        </w:rPr>
      </w:pPr>
      <w:r w:rsidRPr="0002062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1C9E2F2" w14:textId="77777777" w:rsidR="00C62D17" w:rsidRDefault="00C62D17" w:rsidP="00486235">
      <w:pPr>
        <w:spacing w:after="0" w:line="240" w:lineRule="auto"/>
        <w:rPr>
          <w:rFonts w:asciiTheme="majorHAnsi" w:hAnsiTheme="majorHAnsi"/>
          <w:sz w:val="24"/>
        </w:rPr>
      </w:pPr>
    </w:p>
    <w:p w14:paraId="69146395" w14:textId="77777777" w:rsidR="001C4917" w:rsidRDefault="001C4917" w:rsidP="00486235">
      <w:pPr>
        <w:spacing w:after="0" w:line="240" w:lineRule="auto"/>
        <w:rPr>
          <w:rFonts w:asciiTheme="majorHAnsi" w:hAnsiTheme="majorHAnsi"/>
          <w:sz w:val="24"/>
        </w:rPr>
      </w:pPr>
    </w:p>
    <w:p w14:paraId="4E3D4D21" w14:textId="77777777" w:rsidR="00C62D17" w:rsidRPr="00020622" w:rsidRDefault="00C62D17" w:rsidP="00486235">
      <w:pPr>
        <w:spacing w:after="0" w:line="240" w:lineRule="auto"/>
        <w:rPr>
          <w:rFonts w:asciiTheme="majorHAnsi" w:hAnsiTheme="majorHAnsi"/>
          <w:sz w:val="24"/>
          <w:u w:val="single"/>
        </w:rPr>
      </w:pPr>
      <w:r w:rsidRPr="00020622">
        <w:rPr>
          <w:rFonts w:asciiTheme="majorHAnsi" w:hAnsiTheme="majorHAnsi"/>
          <w:sz w:val="24"/>
        </w:rPr>
        <w:t xml:space="preserve">18. </w:t>
      </w:r>
      <w:r w:rsidRPr="00020622">
        <w:rPr>
          <w:rFonts w:asciiTheme="majorHAnsi" w:hAnsiTheme="majorHAnsi"/>
          <w:sz w:val="24"/>
        </w:rPr>
        <w:tab/>
      </w:r>
      <w:r w:rsidRPr="00020622">
        <w:rPr>
          <w:rFonts w:asciiTheme="majorHAnsi" w:hAnsiTheme="majorHAnsi"/>
          <w:sz w:val="24"/>
          <w:u w:val="single"/>
        </w:rPr>
        <w:t>Exceptions to “Certification for Paperwork Reduction Submissions”</w:t>
      </w:r>
    </w:p>
    <w:p w14:paraId="20C4CA73" w14:textId="77777777" w:rsidR="00A50A0F" w:rsidRPr="00C62D17" w:rsidRDefault="00A50A0F" w:rsidP="001C4917">
      <w:pPr>
        <w:spacing w:after="0" w:line="240" w:lineRule="auto"/>
        <w:rPr>
          <w:rFonts w:asciiTheme="majorHAnsi" w:hAnsiTheme="majorHAnsi"/>
          <w:i/>
          <w:sz w:val="24"/>
        </w:rPr>
      </w:pPr>
      <w:r w:rsidRPr="00020622">
        <w:rPr>
          <w:rFonts w:asciiTheme="majorHAnsi" w:hAnsiTheme="majorHAnsi"/>
          <w:sz w:val="24"/>
        </w:rPr>
        <w:t>We are not requesting an</w:t>
      </w:r>
      <w:r w:rsidR="00420AE9" w:rsidRPr="00020622">
        <w:rPr>
          <w:rFonts w:asciiTheme="majorHAnsi" w:hAnsiTheme="majorHAnsi"/>
          <w:sz w:val="24"/>
        </w:rPr>
        <w:t>y</w:t>
      </w:r>
      <w:r w:rsidRPr="00020622">
        <w:rPr>
          <w:rFonts w:asciiTheme="majorHAnsi" w:hAnsiTheme="majorHAnsi"/>
          <w:sz w:val="24"/>
        </w:rPr>
        <w:t xml:space="preserve"> exemption</w:t>
      </w:r>
      <w:r w:rsidR="00420AE9" w:rsidRPr="00020622">
        <w:rPr>
          <w:rFonts w:asciiTheme="majorHAnsi" w:hAnsiTheme="majorHAnsi"/>
          <w:sz w:val="24"/>
        </w:rPr>
        <w:t>s</w:t>
      </w:r>
      <w:r w:rsidRPr="00020622">
        <w:rPr>
          <w:rFonts w:asciiTheme="majorHAnsi" w:hAnsiTheme="majorHAnsi"/>
          <w:sz w:val="24"/>
        </w:rPr>
        <w:t xml:space="preserve"> to the provisions </w:t>
      </w:r>
      <w:r w:rsidR="00420AE9" w:rsidRPr="00020622">
        <w:rPr>
          <w:rFonts w:asciiTheme="majorHAnsi" w:hAnsiTheme="majorHAnsi"/>
          <w:sz w:val="24"/>
        </w:rPr>
        <w:t xml:space="preserve">stated in 5 CFR 1320.9. </w:t>
      </w:r>
    </w:p>
    <w:sectPr w:rsidR="00A50A0F" w:rsidRPr="00C62D1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1463C" w14:textId="77777777" w:rsidR="00642741" w:rsidRDefault="00642741" w:rsidP="00FB569C">
      <w:pPr>
        <w:spacing w:after="0" w:line="240" w:lineRule="auto"/>
      </w:pPr>
      <w:r>
        <w:separator/>
      </w:r>
    </w:p>
  </w:endnote>
  <w:endnote w:type="continuationSeparator" w:id="0">
    <w:p w14:paraId="475ABFCB"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46B6" w14:textId="77777777" w:rsidR="00FB569C" w:rsidRPr="00D462F7" w:rsidRDefault="00D462F7" w:rsidP="00D462F7">
    <w:pPr>
      <w:pStyle w:val="Footer"/>
      <w:jc w:val="center"/>
      <w:rPr>
        <w:i/>
        <w:sz w:val="21"/>
        <w:szCs w:val="21"/>
      </w:rPr>
    </w:pPr>
    <w:r w:rsidRPr="00D462F7">
      <w:rPr>
        <w:i/>
        <w:sz w:val="21"/>
        <w:szCs w:val="21"/>
      </w:rPr>
      <w:t>Version 1.1 – Effective 11/1/2016</w:t>
    </w:r>
  </w:p>
  <w:p w14:paraId="79B0AD6C"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F7742" w14:textId="77777777" w:rsidR="00642741" w:rsidRDefault="00642741" w:rsidP="00FB569C">
      <w:pPr>
        <w:spacing w:after="0" w:line="240" w:lineRule="auto"/>
      </w:pPr>
      <w:r>
        <w:separator/>
      </w:r>
    </w:p>
  </w:footnote>
  <w:footnote w:type="continuationSeparator" w:id="0">
    <w:p w14:paraId="1E696808"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53EC"/>
    <w:rsid w:val="00020622"/>
    <w:rsid w:val="000376DB"/>
    <w:rsid w:val="00073AFF"/>
    <w:rsid w:val="000B0E70"/>
    <w:rsid w:val="000D6A2C"/>
    <w:rsid w:val="00105F45"/>
    <w:rsid w:val="0019309D"/>
    <w:rsid w:val="001955B8"/>
    <w:rsid w:val="001A62E0"/>
    <w:rsid w:val="001C0F61"/>
    <w:rsid w:val="001C4917"/>
    <w:rsid w:val="001F0C0B"/>
    <w:rsid w:val="001F526C"/>
    <w:rsid w:val="00200261"/>
    <w:rsid w:val="00203BC2"/>
    <w:rsid w:val="00211832"/>
    <w:rsid w:val="00222D1B"/>
    <w:rsid w:val="002407D3"/>
    <w:rsid w:val="0024335E"/>
    <w:rsid w:val="002472DE"/>
    <w:rsid w:val="00254DCF"/>
    <w:rsid w:val="002567F9"/>
    <w:rsid w:val="0027743E"/>
    <w:rsid w:val="00294E92"/>
    <w:rsid w:val="002E27C4"/>
    <w:rsid w:val="00311D37"/>
    <w:rsid w:val="003132E7"/>
    <w:rsid w:val="00313C69"/>
    <w:rsid w:val="003234E1"/>
    <w:rsid w:val="00331D7E"/>
    <w:rsid w:val="00337EF1"/>
    <w:rsid w:val="00394A8A"/>
    <w:rsid w:val="003A10B0"/>
    <w:rsid w:val="003C0540"/>
    <w:rsid w:val="00420AE9"/>
    <w:rsid w:val="00443F35"/>
    <w:rsid w:val="00480AFF"/>
    <w:rsid w:val="00486235"/>
    <w:rsid w:val="00490797"/>
    <w:rsid w:val="004C74D6"/>
    <w:rsid w:val="004F4F5D"/>
    <w:rsid w:val="00510F0C"/>
    <w:rsid w:val="00520B36"/>
    <w:rsid w:val="00571698"/>
    <w:rsid w:val="00576EDB"/>
    <w:rsid w:val="00596BBA"/>
    <w:rsid w:val="005C3A95"/>
    <w:rsid w:val="005C7428"/>
    <w:rsid w:val="005D5C81"/>
    <w:rsid w:val="00642741"/>
    <w:rsid w:val="006568D7"/>
    <w:rsid w:val="006A13FA"/>
    <w:rsid w:val="006B2228"/>
    <w:rsid w:val="006E563D"/>
    <w:rsid w:val="006F2DF8"/>
    <w:rsid w:val="006F3E0D"/>
    <w:rsid w:val="006F4978"/>
    <w:rsid w:val="00722FDB"/>
    <w:rsid w:val="007630DF"/>
    <w:rsid w:val="0077261C"/>
    <w:rsid w:val="007D01A2"/>
    <w:rsid w:val="007E6F5D"/>
    <w:rsid w:val="008130AB"/>
    <w:rsid w:val="008635C4"/>
    <w:rsid w:val="008D1294"/>
    <w:rsid w:val="008E3029"/>
    <w:rsid w:val="008F63D1"/>
    <w:rsid w:val="00954000"/>
    <w:rsid w:val="00980EDE"/>
    <w:rsid w:val="0098628F"/>
    <w:rsid w:val="00996894"/>
    <w:rsid w:val="009A6246"/>
    <w:rsid w:val="009B7E7C"/>
    <w:rsid w:val="009F2544"/>
    <w:rsid w:val="00A50A0F"/>
    <w:rsid w:val="00A67108"/>
    <w:rsid w:val="00A76F7E"/>
    <w:rsid w:val="00A77157"/>
    <w:rsid w:val="00AA0333"/>
    <w:rsid w:val="00B52F4E"/>
    <w:rsid w:val="00B933B0"/>
    <w:rsid w:val="00C0659A"/>
    <w:rsid w:val="00C62D17"/>
    <w:rsid w:val="00C808F4"/>
    <w:rsid w:val="00CA15B1"/>
    <w:rsid w:val="00CC24D5"/>
    <w:rsid w:val="00CC2B0A"/>
    <w:rsid w:val="00CC4CC7"/>
    <w:rsid w:val="00CC5534"/>
    <w:rsid w:val="00CF2F96"/>
    <w:rsid w:val="00D21AA6"/>
    <w:rsid w:val="00D41927"/>
    <w:rsid w:val="00D462F7"/>
    <w:rsid w:val="00DA2B37"/>
    <w:rsid w:val="00DE03AB"/>
    <w:rsid w:val="00E5409A"/>
    <w:rsid w:val="00E95FFB"/>
    <w:rsid w:val="00EA6C04"/>
    <w:rsid w:val="00EB3DEC"/>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wf.eb.mi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awf.eb.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ives.gov/records-mgmt/g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TH3QXZ4CCXAT-18-1567</_dlc_DocId>
    <_dlc_DocIdUrl xmlns="4f06cbb4-5319-44a1-b73c-03442379dfaa">
      <Url>https://eitsdext.osd.mil/sites/dodiic/_layouts/DocIdRedir.aspx?ID=TH3QXZ4CCXAT-18-1567</Url>
      <Description>TH3QXZ4CCXAT-18-1567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C45F3-BB52-47BA-B9DB-CFD36312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6E90C-DDAC-4A2B-B93A-0EBF0BCD018D}">
  <ds:schemaRefs>
    <ds:schemaRef ds:uri="http://purl.org/dc/elements/1.1/"/>
    <ds:schemaRef ds:uri="http://purl.org/dc/dcmitype/"/>
    <ds:schemaRef ds:uri="456AF0B4-47B6-441D-9D5F-F64341D14F81"/>
    <ds:schemaRef ds:uri="http://purl.org/dc/terms/"/>
    <ds:schemaRef ds:uri="http://schemas.microsoft.com/office/2006/documentManagement/types"/>
    <ds:schemaRef ds:uri="http://schemas.microsoft.com/office/infopath/2007/PartnerControls"/>
    <ds:schemaRef ds:uri="4f06cbb4-5319-44a1-b73c-03442379dfaa"/>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F5A2E6-DCE3-4C9C-9FDB-FB58A18F68D2}">
  <ds:schemaRefs>
    <ds:schemaRef ds:uri="http://schemas.microsoft.com/sharepoint/events"/>
  </ds:schemaRefs>
</ds:datastoreItem>
</file>

<file path=customXml/itemProps4.xml><?xml version="1.0" encoding="utf-8"?>
<ds:datastoreItem xmlns:ds="http://schemas.openxmlformats.org/officeDocument/2006/customXml" ds:itemID="{C549D8B2-2802-4DFC-A06C-29C6A6EC7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2017-09-27T13:49:00Z</dcterms:created>
  <dcterms:modified xsi:type="dcterms:W3CDTF">2017-09-27T13:49:00Z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ce905367-8990-4186-bcc3-74506650a89d</vt:lpwstr>
  </property>
</Properties>
</file>