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35C68" w14:textId="77777777" w:rsidR="003F16AF" w:rsidRPr="003F16AF" w:rsidRDefault="003F16AF" w:rsidP="003F16AF">
      <w:pPr>
        <w:pStyle w:val="Heading2"/>
        <w:tabs>
          <w:tab w:val="clear" w:pos="1152"/>
        </w:tabs>
        <w:spacing w:line="240" w:lineRule="auto"/>
        <w:ind w:left="0" w:firstLine="0"/>
        <w:jc w:val="center"/>
        <w:rPr>
          <w:rFonts w:ascii="Times New Roman" w:hAnsi="Times New Roman"/>
          <w:color w:val="auto"/>
          <w:sz w:val="24"/>
          <w:szCs w:val="24"/>
        </w:rPr>
      </w:pPr>
      <w:bookmarkStart w:id="0" w:name="_Toc471198151"/>
      <w:bookmarkStart w:id="1" w:name="_Toc329674960"/>
      <w:r w:rsidRPr="003F16AF">
        <w:rPr>
          <w:rFonts w:ascii="Times New Roman" w:hAnsi="Times New Roman"/>
          <w:color w:val="auto"/>
          <w:sz w:val="24"/>
          <w:szCs w:val="24"/>
        </w:rPr>
        <w:t>THE SUBSTANCE ABUSE AND MENTAL HEALTH SERVICES ADMINISTRATION (SAMHSA) MENTAL HEALTH BLOCK GRANT TEN PERCENT SET ASIDE EVALUATION</w:t>
      </w:r>
    </w:p>
    <w:p w14:paraId="13CCE1D8" w14:textId="5FB35C5C" w:rsidR="003F16AF" w:rsidRPr="003F16AF" w:rsidRDefault="003F16AF" w:rsidP="003F16AF">
      <w:pPr>
        <w:pStyle w:val="Heading2"/>
        <w:tabs>
          <w:tab w:val="clear" w:pos="1152"/>
        </w:tabs>
        <w:spacing w:line="240" w:lineRule="auto"/>
        <w:ind w:left="0" w:firstLine="0"/>
        <w:jc w:val="center"/>
        <w:rPr>
          <w:rFonts w:ascii="Times New Roman" w:hAnsi="Times New Roman"/>
          <w:color w:val="auto"/>
          <w:sz w:val="24"/>
          <w:szCs w:val="24"/>
        </w:rPr>
      </w:pPr>
      <w:r w:rsidRPr="003F16AF">
        <w:rPr>
          <w:rFonts w:ascii="Times New Roman" w:hAnsi="Times New Roman"/>
          <w:color w:val="auto"/>
          <w:sz w:val="24"/>
          <w:szCs w:val="24"/>
        </w:rPr>
        <w:t>SUPPORTING STATEMENT</w:t>
      </w:r>
      <w:r w:rsidR="009778EA">
        <w:rPr>
          <w:rFonts w:ascii="Times New Roman" w:hAnsi="Times New Roman"/>
          <w:color w:val="auto"/>
          <w:sz w:val="24"/>
          <w:szCs w:val="24"/>
        </w:rPr>
        <w:t xml:space="preserve"> PART B</w:t>
      </w:r>
    </w:p>
    <w:p w14:paraId="5EC6733F" w14:textId="28482F55" w:rsidR="008D16E7" w:rsidRPr="003F16AF" w:rsidRDefault="003F16AF" w:rsidP="003F16AF">
      <w:pPr>
        <w:pStyle w:val="Heading2"/>
        <w:spacing w:line="240" w:lineRule="auto"/>
        <w:ind w:left="0" w:firstLine="0"/>
        <w:rPr>
          <w:rFonts w:ascii="Times New Roman" w:hAnsi="Times New Roman"/>
          <w:color w:val="auto"/>
          <w:sz w:val="24"/>
          <w:szCs w:val="24"/>
        </w:rPr>
      </w:pPr>
      <w:r w:rsidRPr="003F16AF">
        <w:rPr>
          <w:rFonts w:ascii="Times New Roman" w:hAnsi="Times New Roman"/>
          <w:color w:val="auto"/>
          <w:sz w:val="24"/>
          <w:szCs w:val="24"/>
        </w:rPr>
        <w:t xml:space="preserve">B. </w:t>
      </w:r>
      <w:r w:rsidRPr="003F16AF">
        <w:rPr>
          <w:rFonts w:ascii="Times New Roman" w:hAnsi="Times New Roman"/>
          <w:color w:val="auto"/>
          <w:sz w:val="24"/>
          <w:szCs w:val="24"/>
        </w:rPr>
        <w:tab/>
        <w:t>Collections of Information Employing Statistical Methods</w:t>
      </w:r>
    </w:p>
    <w:p w14:paraId="5CC37685" w14:textId="77777777" w:rsidR="00F71D78" w:rsidRPr="003F16AF" w:rsidRDefault="0004584D" w:rsidP="003F16AF">
      <w:pPr>
        <w:pStyle w:val="Heading2"/>
        <w:spacing w:line="240" w:lineRule="auto"/>
        <w:rPr>
          <w:rFonts w:ascii="Times New Roman" w:hAnsi="Times New Roman"/>
          <w:color w:val="auto"/>
          <w:sz w:val="24"/>
          <w:szCs w:val="24"/>
        </w:rPr>
      </w:pPr>
      <w:r w:rsidRPr="003F16AF">
        <w:rPr>
          <w:rFonts w:ascii="Times New Roman" w:hAnsi="Times New Roman"/>
          <w:color w:val="auto"/>
          <w:sz w:val="24"/>
          <w:szCs w:val="24"/>
        </w:rPr>
        <w:t>B.1</w:t>
      </w:r>
      <w:r w:rsidR="00F71D78" w:rsidRPr="003F16AF">
        <w:rPr>
          <w:rFonts w:ascii="Times New Roman" w:hAnsi="Times New Roman"/>
          <w:color w:val="auto"/>
          <w:sz w:val="24"/>
          <w:szCs w:val="24"/>
        </w:rPr>
        <w:tab/>
        <w:t>Potential Respondent Universe and Respondent Selection Method</w:t>
      </w:r>
      <w:bookmarkEnd w:id="0"/>
      <w:bookmarkEnd w:id="1"/>
    </w:p>
    <w:p w14:paraId="51A6C387" w14:textId="77777777" w:rsidR="00F71D78" w:rsidRPr="003F16AF" w:rsidRDefault="0004584D" w:rsidP="003F16AF">
      <w:pPr>
        <w:pStyle w:val="Heading3"/>
        <w:spacing w:line="240" w:lineRule="auto"/>
        <w:rPr>
          <w:rFonts w:ascii="Times New Roman" w:hAnsi="Times New Roman"/>
          <w:color w:val="auto"/>
          <w:sz w:val="24"/>
          <w:szCs w:val="24"/>
        </w:rPr>
      </w:pPr>
      <w:bookmarkStart w:id="2" w:name="_Toc290021779"/>
      <w:bookmarkStart w:id="3" w:name="_Toc471198152"/>
      <w:r w:rsidRPr="003F16AF">
        <w:rPr>
          <w:rFonts w:ascii="Times New Roman" w:hAnsi="Times New Roman"/>
          <w:color w:val="auto"/>
          <w:sz w:val="24"/>
          <w:szCs w:val="24"/>
        </w:rPr>
        <w:t>B.</w:t>
      </w:r>
      <w:r w:rsidR="00F71D78" w:rsidRPr="003F16AF">
        <w:rPr>
          <w:rFonts w:ascii="Times New Roman" w:hAnsi="Times New Roman"/>
          <w:color w:val="auto"/>
          <w:sz w:val="24"/>
          <w:szCs w:val="24"/>
        </w:rPr>
        <w:t>1</w:t>
      </w:r>
      <w:r w:rsidRPr="003F16AF">
        <w:rPr>
          <w:rFonts w:ascii="Times New Roman" w:hAnsi="Times New Roman"/>
          <w:color w:val="auto"/>
          <w:sz w:val="24"/>
          <w:szCs w:val="24"/>
        </w:rPr>
        <w:t>.1</w:t>
      </w:r>
      <w:r w:rsidR="00F71D78" w:rsidRPr="003F16AF">
        <w:rPr>
          <w:rFonts w:ascii="Times New Roman" w:hAnsi="Times New Roman"/>
          <w:color w:val="auto"/>
          <w:sz w:val="24"/>
          <w:szCs w:val="24"/>
        </w:rPr>
        <w:tab/>
        <w:t>Respondent Universe</w:t>
      </w:r>
      <w:bookmarkEnd w:id="2"/>
      <w:bookmarkEnd w:id="3"/>
    </w:p>
    <w:p w14:paraId="05A7EB83" w14:textId="025C01B9" w:rsidR="00F71D78" w:rsidRPr="003F16AF" w:rsidRDefault="00F60DA1" w:rsidP="003F16AF">
      <w:pPr>
        <w:pStyle w:val="L1-FlLSp12"/>
        <w:spacing w:line="240" w:lineRule="auto"/>
        <w:rPr>
          <w:rFonts w:ascii="Times New Roman" w:hAnsi="Times New Roman"/>
          <w:szCs w:val="24"/>
        </w:rPr>
      </w:pPr>
      <w:r>
        <w:rPr>
          <w:rFonts w:ascii="Times New Roman" w:hAnsi="Times New Roman"/>
          <w:szCs w:val="24"/>
        </w:rPr>
        <w:t>The r</w:t>
      </w:r>
      <w:r w:rsidR="00F71D78" w:rsidRPr="003F16AF">
        <w:rPr>
          <w:rFonts w:ascii="Times New Roman" w:hAnsi="Times New Roman"/>
          <w:szCs w:val="24"/>
        </w:rPr>
        <w:t xml:space="preserve">espondent universe for the proposed </w:t>
      </w:r>
      <w:r w:rsidR="008D3E36">
        <w:rPr>
          <w:rFonts w:ascii="Times New Roman" w:hAnsi="Times New Roman"/>
          <w:szCs w:val="24"/>
        </w:rPr>
        <w:t>evaluation</w:t>
      </w:r>
      <w:r w:rsidR="00F71D78" w:rsidRPr="003F16AF">
        <w:rPr>
          <w:rFonts w:ascii="Times New Roman" w:hAnsi="Times New Roman"/>
          <w:szCs w:val="24"/>
        </w:rPr>
        <w:t xml:space="preserve"> includes 250 SAMHSA grantee sites implementing </w:t>
      </w:r>
      <w:r w:rsidR="00EE255C">
        <w:rPr>
          <w:rFonts w:ascii="Times New Roman" w:hAnsi="Times New Roman"/>
          <w:szCs w:val="24"/>
        </w:rPr>
        <w:t>Coordinated Specialty Care (</w:t>
      </w:r>
      <w:r w:rsidR="00F71D78" w:rsidRPr="003F16AF">
        <w:rPr>
          <w:rFonts w:ascii="Times New Roman" w:hAnsi="Times New Roman"/>
          <w:szCs w:val="24"/>
        </w:rPr>
        <w:t>CSC</w:t>
      </w:r>
      <w:r w:rsidR="00EE255C">
        <w:rPr>
          <w:rFonts w:ascii="Times New Roman" w:hAnsi="Times New Roman"/>
          <w:szCs w:val="24"/>
        </w:rPr>
        <w:t>)</w:t>
      </w:r>
      <w:r w:rsidR="00F71D78" w:rsidRPr="003F16AF">
        <w:rPr>
          <w:rFonts w:ascii="Times New Roman" w:hAnsi="Times New Roman"/>
          <w:szCs w:val="24"/>
        </w:rPr>
        <w:t xml:space="preserve"> programming through MHBG 10% set-aside funding across the country. </w:t>
      </w:r>
      <w:r w:rsidR="003F16AF">
        <w:rPr>
          <w:rFonts w:ascii="Times New Roman" w:hAnsi="Times New Roman"/>
          <w:szCs w:val="24"/>
        </w:rPr>
        <w:t xml:space="preserve">The project will have </w:t>
      </w:r>
      <w:r w:rsidR="00F71D78" w:rsidRPr="003F16AF">
        <w:rPr>
          <w:rFonts w:ascii="Times New Roman" w:hAnsi="Times New Roman"/>
          <w:szCs w:val="24"/>
        </w:rPr>
        <w:t>up to 32 grantee sites that ar</w:t>
      </w:r>
      <w:r w:rsidR="00314066">
        <w:rPr>
          <w:rFonts w:ascii="Times New Roman" w:hAnsi="Times New Roman"/>
          <w:szCs w:val="24"/>
        </w:rPr>
        <w:t>e implementing a CSC program</w:t>
      </w:r>
      <w:r w:rsidR="00F71D78" w:rsidRPr="003F16AF">
        <w:rPr>
          <w:rFonts w:ascii="Times New Roman" w:hAnsi="Times New Roman"/>
          <w:szCs w:val="24"/>
        </w:rPr>
        <w:t xml:space="preserve"> for participation in the full evaluation. T</w:t>
      </w:r>
      <w:r w:rsidR="0070755F" w:rsidRPr="003F16AF">
        <w:rPr>
          <w:rFonts w:ascii="Times New Roman" w:hAnsi="Times New Roman"/>
          <w:szCs w:val="24"/>
        </w:rPr>
        <w:t>he sampling approaches for the</w:t>
      </w:r>
      <w:r w:rsidR="00F71D78" w:rsidRPr="003F16AF">
        <w:rPr>
          <w:rFonts w:ascii="Times New Roman" w:hAnsi="Times New Roman"/>
          <w:szCs w:val="24"/>
        </w:rPr>
        <w:t xml:space="preserve"> </w:t>
      </w:r>
      <w:r w:rsidR="0070755F" w:rsidRPr="003F16AF">
        <w:rPr>
          <w:rFonts w:ascii="Times New Roman" w:hAnsi="Times New Roman"/>
          <w:szCs w:val="24"/>
        </w:rPr>
        <w:t>data information collection activities</w:t>
      </w:r>
      <w:r w:rsidR="00F71D78" w:rsidRPr="003F16AF">
        <w:rPr>
          <w:rFonts w:ascii="Times New Roman" w:hAnsi="Times New Roman"/>
          <w:szCs w:val="24"/>
        </w:rPr>
        <w:t xml:space="preserve"> are: </w:t>
      </w:r>
    </w:p>
    <w:p w14:paraId="1602AF6C" w14:textId="77777777" w:rsidR="0004584D" w:rsidRPr="003F16AF" w:rsidRDefault="0004584D" w:rsidP="003F16AF">
      <w:pPr>
        <w:pStyle w:val="L1-FlLSp12"/>
        <w:spacing w:line="240" w:lineRule="auto"/>
        <w:rPr>
          <w:rFonts w:ascii="Times New Roman" w:hAnsi="Times New Roman"/>
          <w:szCs w:val="24"/>
        </w:rPr>
      </w:pPr>
    </w:p>
    <w:p w14:paraId="001089DF" w14:textId="17E93548" w:rsidR="00F71D78" w:rsidRDefault="0004584D" w:rsidP="003F16AF">
      <w:pPr>
        <w:pStyle w:val="N0-FlLftBullet"/>
        <w:spacing w:line="240" w:lineRule="auto"/>
        <w:rPr>
          <w:rFonts w:ascii="Times New Roman" w:hAnsi="Times New Roman"/>
          <w:szCs w:val="24"/>
        </w:rPr>
      </w:pPr>
      <w:r w:rsidRPr="003F16AF">
        <w:rPr>
          <w:rFonts w:ascii="Times New Roman" w:hAnsi="Times New Roman"/>
          <w:b/>
          <w:szCs w:val="24"/>
        </w:rPr>
        <w:t>(1)</w:t>
      </w:r>
      <w:r w:rsidRPr="003F16AF">
        <w:rPr>
          <w:rFonts w:ascii="Times New Roman" w:hAnsi="Times New Roman"/>
          <w:b/>
          <w:szCs w:val="24"/>
        </w:rPr>
        <w:tab/>
      </w:r>
      <w:r w:rsidR="00B5023D">
        <w:rPr>
          <w:rFonts w:ascii="Times New Roman" w:hAnsi="Times New Roman"/>
          <w:b/>
          <w:szCs w:val="24"/>
        </w:rPr>
        <w:t>Site</w:t>
      </w:r>
      <w:r w:rsidR="00F71D78" w:rsidRPr="003F16AF">
        <w:rPr>
          <w:rFonts w:ascii="Times New Roman" w:hAnsi="Times New Roman"/>
          <w:b/>
          <w:szCs w:val="24"/>
        </w:rPr>
        <w:t xml:space="preserve"> </w:t>
      </w:r>
      <w:r w:rsidR="00B37C90">
        <w:rPr>
          <w:rFonts w:ascii="Times New Roman" w:hAnsi="Times New Roman"/>
          <w:b/>
          <w:szCs w:val="24"/>
        </w:rPr>
        <w:t>S</w:t>
      </w:r>
      <w:r w:rsidR="00F71D78" w:rsidRPr="003F16AF">
        <w:rPr>
          <w:rFonts w:ascii="Times New Roman" w:hAnsi="Times New Roman"/>
          <w:b/>
          <w:szCs w:val="24"/>
        </w:rPr>
        <w:t>urvey:</w:t>
      </w:r>
      <w:r w:rsidR="00F71D78" w:rsidRPr="003F16AF">
        <w:rPr>
          <w:rFonts w:ascii="Times New Roman" w:hAnsi="Times New Roman"/>
          <w:szCs w:val="24"/>
        </w:rPr>
        <w:t xml:space="preserve"> A one-time </w:t>
      </w:r>
      <w:r w:rsidR="00B5023D">
        <w:rPr>
          <w:rFonts w:ascii="Times New Roman" w:hAnsi="Times New Roman"/>
          <w:szCs w:val="24"/>
        </w:rPr>
        <w:t xml:space="preserve">online </w:t>
      </w:r>
      <w:r w:rsidR="00F71D78" w:rsidRPr="003F16AF">
        <w:rPr>
          <w:rFonts w:ascii="Times New Roman" w:hAnsi="Times New Roman"/>
          <w:szCs w:val="24"/>
        </w:rPr>
        <w:t xml:space="preserve">survey will be conducted with site directors </w:t>
      </w:r>
      <w:r w:rsidR="00B37C90" w:rsidRPr="00B37C90">
        <w:rPr>
          <w:rFonts w:ascii="Times New Roman" w:hAnsi="Times New Roman"/>
          <w:szCs w:val="24"/>
        </w:rPr>
        <w:t xml:space="preserve">of all CSC sites </w:t>
      </w:r>
      <w:r w:rsidR="00F71D78" w:rsidRPr="003F16AF">
        <w:rPr>
          <w:rFonts w:ascii="Times New Roman" w:hAnsi="Times New Roman"/>
          <w:szCs w:val="24"/>
        </w:rPr>
        <w:t xml:space="preserve">using </w:t>
      </w:r>
      <w:proofErr w:type="spellStart"/>
      <w:r w:rsidR="00F71D78" w:rsidRPr="003F16AF">
        <w:rPr>
          <w:rFonts w:ascii="Times New Roman" w:hAnsi="Times New Roman"/>
          <w:szCs w:val="24"/>
        </w:rPr>
        <w:t>MHBG</w:t>
      </w:r>
      <w:proofErr w:type="spellEnd"/>
      <w:r w:rsidR="00F71D78" w:rsidRPr="003F16AF">
        <w:rPr>
          <w:rFonts w:ascii="Times New Roman" w:hAnsi="Times New Roman"/>
          <w:szCs w:val="24"/>
        </w:rPr>
        <w:t xml:space="preserve"> 10% set-aside funding for CSC programming in FY 2017.</w:t>
      </w:r>
      <w:r w:rsidR="00060BFF" w:rsidRPr="003F16AF">
        <w:rPr>
          <w:rFonts w:ascii="Times New Roman" w:hAnsi="Times New Roman"/>
          <w:szCs w:val="24"/>
        </w:rPr>
        <w:t xml:space="preserve"> </w:t>
      </w:r>
      <w:r w:rsidR="00F71D78" w:rsidRPr="003F16AF">
        <w:rPr>
          <w:rFonts w:ascii="Times New Roman" w:hAnsi="Times New Roman"/>
          <w:szCs w:val="24"/>
        </w:rPr>
        <w:t xml:space="preserve">One grantee director from each CSC site across the country will be invited to respond to the online survey. </w:t>
      </w:r>
    </w:p>
    <w:p w14:paraId="09432461" w14:textId="58E55579" w:rsidR="00B37C90" w:rsidRDefault="00DD73E9" w:rsidP="00DD73E9">
      <w:pPr>
        <w:pStyle w:val="N0-FlLftBullet"/>
        <w:spacing w:line="240" w:lineRule="auto"/>
        <w:rPr>
          <w:rFonts w:ascii="Times New Roman" w:hAnsi="Times New Roman"/>
          <w:b/>
          <w:szCs w:val="24"/>
        </w:rPr>
      </w:pPr>
      <w:r w:rsidRPr="003F16AF">
        <w:rPr>
          <w:rFonts w:ascii="Times New Roman" w:hAnsi="Times New Roman"/>
          <w:b/>
          <w:szCs w:val="24"/>
        </w:rPr>
        <w:t>(</w:t>
      </w:r>
      <w:r>
        <w:rPr>
          <w:rFonts w:ascii="Times New Roman" w:hAnsi="Times New Roman"/>
          <w:b/>
          <w:szCs w:val="24"/>
        </w:rPr>
        <w:t>2</w:t>
      </w:r>
      <w:r w:rsidR="00B37C90">
        <w:rPr>
          <w:rFonts w:ascii="Times New Roman" w:hAnsi="Times New Roman"/>
          <w:b/>
          <w:szCs w:val="24"/>
        </w:rPr>
        <w:t>)</w:t>
      </w:r>
      <w:r w:rsidR="00B37C90">
        <w:rPr>
          <w:rFonts w:ascii="Times New Roman" w:hAnsi="Times New Roman"/>
          <w:b/>
          <w:szCs w:val="24"/>
        </w:rPr>
        <w:tab/>
        <w:t>Agency Director</w:t>
      </w:r>
      <w:r w:rsidR="004E7C36" w:rsidRPr="005A5D06">
        <w:rPr>
          <w:rFonts w:ascii="Times New Roman" w:hAnsi="Times New Roman"/>
          <w:b/>
        </w:rPr>
        <w:t>/Administrator Interview:</w:t>
      </w:r>
      <w:r w:rsidR="004E7C36" w:rsidRPr="005A5D06">
        <w:rPr>
          <w:rFonts w:ascii="Times New Roman" w:hAnsi="Times New Roman"/>
        </w:rPr>
        <w:t xml:space="preserve"> </w:t>
      </w:r>
      <w:r w:rsidR="00B37C90" w:rsidRPr="00B37C90">
        <w:rPr>
          <w:rFonts w:ascii="Times New Roman" w:hAnsi="Times New Roman"/>
          <w:szCs w:val="24"/>
        </w:rPr>
        <w:t>T</w:t>
      </w:r>
      <w:r w:rsidR="00B37C90" w:rsidRPr="003F16AF">
        <w:rPr>
          <w:rFonts w:ascii="Times New Roman" w:hAnsi="Times New Roman"/>
          <w:szCs w:val="24"/>
        </w:rPr>
        <w:t xml:space="preserve">here will be one-day visits to all 32 sites annually in Years 1 and 2. </w:t>
      </w:r>
      <w:r w:rsidR="00B37C90">
        <w:rPr>
          <w:rFonts w:ascii="Times New Roman" w:hAnsi="Times New Roman"/>
          <w:szCs w:val="24"/>
        </w:rPr>
        <w:t xml:space="preserve">The Agency Director </w:t>
      </w:r>
      <w:r w:rsidR="00B37C90" w:rsidRPr="003F16AF">
        <w:rPr>
          <w:rFonts w:ascii="Times New Roman" w:hAnsi="Times New Roman"/>
          <w:szCs w:val="24"/>
        </w:rPr>
        <w:t>will be selected purposively using organizational charts and information on each employee’s role at the host organization and its partner organizations.</w:t>
      </w:r>
      <w:r w:rsidRPr="003F16AF">
        <w:rPr>
          <w:rFonts w:ascii="Times New Roman" w:hAnsi="Times New Roman"/>
          <w:b/>
          <w:szCs w:val="24"/>
        </w:rPr>
        <w:tab/>
      </w:r>
    </w:p>
    <w:p w14:paraId="45182588" w14:textId="61676A36" w:rsidR="00B37C90" w:rsidRDefault="00B37C90" w:rsidP="00B37C90">
      <w:pPr>
        <w:pStyle w:val="L1-FlLSp12"/>
        <w:tabs>
          <w:tab w:val="clear" w:pos="1152"/>
        </w:tabs>
        <w:spacing w:line="240" w:lineRule="auto"/>
        <w:ind w:left="630" w:hanging="630"/>
        <w:rPr>
          <w:rFonts w:ascii="Times New Roman" w:hAnsi="Times New Roman"/>
          <w:szCs w:val="24"/>
        </w:rPr>
      </w:pPr>
      <w:r>
        <w:rPr>
          <w:rFonts w:ascii="Times New Roman" w:hAnsi="Times New Roman"/>
          <w:b/>
          <w:szCs w:val="24"/>
        </w:rPr>
        <w:t xml:space="preserve">(3) </w:t>
      </w:r>
      <w:r>
        <w:rPr>
          <w:rFonts w:ascii="Times New Roman" w:hAnsi="Times New Roman"/>
          <w:b/>
          <w:szCs w:val="24"/>
        </w:rPr>
        <w:tab/>
      </w:r>
      <w:r w:rsidRPr="00B37C90">
        <w:rPr>
          <w:rFonts w:ascii="Times New Roman" w:hAnsi="Times New Roman"/>
          <w:b/>
        </w:rPr>
        <w:t>Coordinated Specialty Care (CSC) Staff Interview</w:t>
      </w:r>
      <w:r>
        <w:rPr>
          <w:rFonts w:ascii="Times New Roman" w:hAnsi="Times New Roman"/>
        </w:rPr>
        <w:t>:</w:t>
      </w:r>
      <w:r w:rsidRPr="00B37C90">
        <w:rPr>
          <w:rFonts w:ascii="Times New Roman" w:hAnsi="Times New Roman"/>
          <w:szCs w:val="24"/>
        </w:rPr>
        <w:t xml:space="preserve"> T</w:t>
      </w:r>
      <w:r w:rsidRPr="003F16AF">
        <w:rPr>
          <w:rFonts w:ascii="Times New Roman" w:hAnsi="Times New Roman"/>
          <w:szCs w:val="24"/>
        </w:rPr>
        <w:t xml:space="preserve">here will be one-day visits to all 32 sites annually in Years 1 and 2. </w:t>
      </w:r>
      <w:r>
        <w:rPr>
          <w:rFonts w:ascii="Times New Roman" w:hAnsi="Times New Roman"/>
          <w:szCs w:val="24"/>
        </w:rPr>
        <w:t xml:space="preserve">The CSC staff </w:t>
      </w:r>
      <w:r w:rsidRPr="003F16AF">
        <w:rPr>
          <w:rFonts w:ascii="Times New Roman" w:hAnsi="Times New Roman"/>
          <w:szCs w:val="24"/>
        </w:rPr>
        <w:t>will be selected purposively using organizational charts and information on each employee’s role at the host organization and its partner organizations.</w:t>
      </w:r>
      <w:r w:rsidRPr="00B37C90">
        <w:rPr>
          <w:rFonts w:ascii="Times New Roman" w:hAnsi="Times New Roman"/>
          <w:szCs w:val="24"/>
        </w:rPr>
        <w:t xml:space="preserve"> </w:t>
      </w:r>
      <w:r>
        <w:rPr>
          <w:rFonts w:ascii="Times New Roman" w:hAnsi="Times New Roman"/>
          <w:szCs w:val="24"/>
        </w:rPr>
        <w:t>U</w:t>
      </w:r>
      <w:r w:rsidRPr="003F16AF">
        <w:rPr>
          <w:rFonts w:ascii="Times New Roman" w:hAnsi="Times New Roman"/>
          <w:szCs w:val="24"/>
        </w:rPr>
        <w:t xml:space="preserve">p to </w:t>
      </w:r>
      <w:r>
        <w:rPr>
          <w:rFonts w:ascii="Times New Roman" w:hAnsi="Times New Roman"/>
          <w:szCs w:val="24"/>
        </w:rPr>
        <w:t>3</w:t>
      </w:r>
      <w:r w:rsidRPr="003F16AF">
        <w:rPr>
          <w:rFonts w:ascii="Times New Roman" w:hAnsi="Times New Roman"/>
          <w:szCs w:val="24"/>
        </w:rPr>
        <w:t xml:space="preserve"> CSC </w:t>
      </w:r>
      <w:r>
        <w:rPr>
          <w:rFonts w:ascii="Times New Roman" w:hAnsi="Times New Roman"/>
          <w:szCs w:val="24"/>
        </w:rPr>
        <w:t>Program Staff</w:t>
      </w:r>
      <w:r w:rsidRPr="003F16AF">
        <w:rPr>
          <w:rFonts w:ascii="Times New Roman" w:hAnsi="Times New Roman"/>
          <w:szCs w:val="24"/>
        </w:rPr>
        <w:t xml:space="preserve"> will be interviewed at each site.</w:t>
      </w:r>
    </w:p>
    <w:p w14:paraId="57629326" w14:textId="7CB44A0D" w:rsidR="00B37C90" w:rsidRDefault="00B37C90" w:rsidP="00B37C90">
      <w:pPr>
        <w:pStyle w:val="L1-FlLSp12"/>
        <w:tabs>
          <w:tab w:val="clear" w:pos="1152"/>
        </w:tabs>
        <w:spacing w:line="240" w:lineRule="auto"/>
        <w:ind w:left="630" w:hanging="630"/>
        <w:rPr>
          <w:rFonts w:ascii="Times New Roman" w:hAnsi="Times New Roman"/>
        </w:rPr>
      </w:pPr>
    </w:p>
    <w:p w14:paraId="2B89DB72" w14:textId="373FF545" w:rsidR="00B37C90" w:rsidRDefault="00B37C90" w:rsidP="00B37C90">
      <w:pPr>
        <w:pStyle w:val="L1-FlLSp12"/>
        <w:tabs>
          <w:tab w:val="clear" w:pos="1152"/>
        </w:tabs>
        <w:spacing w:line="240" w:lineRule="auto"/>
        <w:ind w:left="630" w:hanging="630"/>
        <w:rPr>
          <w:rFonts w:ascii="Times New Roman" w:hAnsi="Times New Roman"/>
        </w:rPr>
      </w:pPr>
      <w:r w:rsidRPr="00B37C90">
        <w:rPr>
          <w:rFonts w:ascii="Times New Roman" w:hAnsi="Times New Roman"/>
          <w:b/>
        </w:rPr>
        <w:t xml:space="preserve">(4) </w:t>
      </w:r>
      <w:r>
        <w:rPr>
          <w:rFonts w:ascii="Times New Roman" w:hAnsi="Times New Roman"/>
        </w:rPr>
        <w:tab/>
      </w:r>
      <w:r w:rsidRPr="00B37C90">
        <w:rPr>
          <w:rFonts w:ascii="Times New Roman" w:hAnsi="Times New Roman"/>
          <w:b/>
          <w:szCs w:val="24"/>
        </w:rPr>
        <w:t>Coordinated Specialty Care (CSC) Participant Interview</w:t>
      </w:r>
      <w:r w:rsidRPr="003F16AF">
        <w:rPr>
          <w:rFonts w:ascii="Times New Roman" w:hAnsi="Times New Roman"/>
          <w:b/>
          <w:szCs w:val="24"/>
        </w:rPr>
        <w:t>:</w:t>
      </w:r>
      <w:r w:rsidRPr="003F16AF">
        <w:rPr>
          <w:rFonts w:ascii="Times New Roman" w:hAnsi="Times New Roman"/>
          <w:szCs w:val="24"/>
        </w:rPr>
        <w:t xml:space="preserve"> During the annual site visits, interviews </w:t>
      </w:r>
      <w:r>
        <w:rPr>
          <w:rFonts w:ascii="Times New Roman" w:hAnsi="Times New Roman"/>
          <w:szCs w:val="24"/>
        </w:rPr>
        <w:t xml:space="preserve">will be conducted </w:t>
      </w:r>
      <w:r w:rsidRPr="003F16AF">
        <w:rPr>
          <w:rFonts w:ascii="Times New Roman" w:hAnsi="Times New Roman"/>
          <w:szCs w:val="24"/>
        </w:rPr>
        <w:t xml:space="preserve">with up to </w:t>
      </w:r>
      <w:r>
        <w:rPr>
          <w:rFonts w:ascii="Times New Roman" w:hAnsi="Times New Roman"/>
          <w:szCs w:val="24"/>
        </w:rPr>
        <w:t>2</w:t>
      </w:r>
      <w:r w:rsidRPr="003F16AF">
        <w:rPr>
          <w:rFonts w:ascii="Times New Roman" w:hAnsi="Times New Roman"/>
          <w:szCs w:val="24"/>
        </w:rPr>
        <w:t xml:space="preserve"> program participants</w:t>
      </w:r>
      <w:r>
        <w:rPr>
          <w:rFonts w:ascii="Times New Roman" w:hAnsi="Times New Roman"/>
          <w:szCs w:val="24"/>
        </w:rPr>
        <w:t xml:space="preserve"> at each of the 32 sites</w:t>
      </w:r>
      <w:r w:rsidRPr="003F16AF">
        <w:rPr>
          <w:rFonts w:ascii="Times New Roman" w:hAnsi="Times New Roman"/>
          <w:szCs w:val="24"/>
        </w:rPr>
        <w:t xml:space="preserve">. </w:t>
      </w:r>
      <w:r>
        <w:rPr>
          <w:rFonts w:ascii="Times New Roman" w:hAnsi="Times New Roman"/>
          <w:szCs w:val="24"/>
        </w:rPr>
        <w:t>The project</w:t>
      </w:r>
      <w:r w:rsidRPr="003F16AF">
        <w:rPr>
          <w:rFonts w:ascii="Times New Roman" w:hAnsi="Times New Roman"/>
          <w:szCs w:val="24"/>
        </w:rPr>
        <w:t xml:space="preserve"> will work with each site representative to purposively select up to two program participants for interviews at each site.</w:t>
      </w:r>
    </w:p>
    <w:p w14:paraId="3E04A7A1" w14:textId="77777777" w:rsidR="00B37C90" w:rsidRPr="00CD604A" w:rsidRDefault="00B37C90" w:rsidP="00B37C90">
      <w:pPr>
        <w:pStyle w:val="L1-FlLSp12"/>
        <w:spacing w:line="240" w:lineRule="auto"/>
        <w:rPr>
          <w:rFonts w:ascii="Times New Roman" w:hAnsi="Times New Roman"/>
          <w:szCs w:val="24"/>
        </w:rPr>
      </w:pPr>
    </w:p>
    <w:p w14:paraId="45D2876D" w14:textId="3D24CBDD" w:rsidR="00DD73E9" w:rsidRDefault="00B37C90" w:rsidP="00DD73E9">
      <w:pPr>
        <w:pStyle w:val="N0-FlLftBullet"/>
        <w:spacing w:line="240" w:lineRule="auto"/>
        <w:rPr>
          <w:rFonts w:ascii="Times New Roman" w:hAnsi="Times New Roman"/>
          <w:szCs w:val="24"/>
        </w:rPr>
      </w:pPr>
      <w:r>
        <w:rPr>
          <w:rFonts w:ascii="Times New Roman" w:hAnsi="Times New Roman"/>
          <w:b/>
          <w:szCs w:val="24"/>
        </w:rPr>
        <w:t>(5)</w:t>
      </w:r>
      <w:r>
        <w:rPr>
          <w:rFonts w:ascii="Times New Roman" w:hAnsi="Times New Roman"/>
          <w:b/>
          <w:szCs w:val="24"/>
        </w:rPr>
        <w:tab/>
      </w:r>
      <w:r w:rsidR="00DD73E9" w:rsidRPr="003F16AF">
        <w:rPr>
          <w:rFonts w:ascii="Times New Roman" w:hAnsi="Times New Roman"/>
          <w:b/>
          <w:szCs w:val="24"/>
        </w:rPr>
        <w:t xml:space="preserve">State Mental Health </w:t>
      </w:r>
      <w:r w:rsidR="00DD73E9">
        <w:rPr>
          <w:rFonts w:ascii="Times New Roman" w:hAnsi="Times New Roman"/>
          <w:b/>
          <w:szCs w:val="24"/>
        </w:rPr>
        <w:t>Authority</w:t>
      </w:r>
      <w:r w:rsidR="00DD73E9" w:rsidRPr="003F16AF">
        <w:rPr>
          <w:rFonts w:ascii="Times New Roman" w:hAnsi="Times New Roman"/>
          <w:b/>
          <w:szCs w:val="24"/>
        </w:rPr>
        <w:t xml:space="preserve"> Interviews:</w:t>
      </w:r>
      <w:r w:rsidR="00DD73E9" w:rsidRPr="003F16AF">
        <w:rPr>
          <w:rFonts w:ascii="Times New Roman" w:hAnsi="Times New Roman"/>
          <w:szCs w:val="24"/>
        </w:rPr>
        <w:t xml:space="preserve"> </w:t>
      </w:r>
      <w:r w:rsidR="00DD73E9">
        <w:rPr>
          <w:rFonts w:ascii="Times New Roman" w:hAnsi="Times New Roman"/>
          <w:szCs w:val="24"/>
        </w:rPr>
        <w:t xml:space="preserve">There </w:t>
      </w:r>
      <w:r w:rsidR="00DD73E9" w:rsidRPr="003F16AF">
        <w:rPr>
          <w:rFonts w:ascii="Times New Roman" w:hAnsi="Times New Roman"/>
          <w:szCs w:val="24"/>
        </w:rPr>
        <w:t xml:space="preserve">will </w:t>
      </w:r>
      <w:r w:rsidR="00DD73E9">
        <w:rPr>
          <w:rFonts w:ascii="Times New Roman" w:hAnsi="Times New Roman"/>
          <w:szCs w:val="24"/>
        </w:rPr>
        <w:t xml:space="preserve">be </w:t>
      </w:r>
      <w:r w:rsidR="00DD73E9" w:rsidRPr="003F16AF">
        <w:rPr>
          <w:rFonts w:ascii="Times New Roman" w:hAnsi="Times New Roman"/>
          <w:szCs w:val="24"/>
        </w:rPr>
        <w:t>one-time key informant interviews with up to 32 State Mental Health Directors (or their representatives). The interviews will be conducted over the telephone.</w:t>
      </w:r>
      <w:r w:rsidR="00DD73E9" w:rsidRPr="003F16AF" w:rsidDel="00D106B8">
        <w:rPr>
          <w:rFonts w:ascii="Times New Roman" w:hAnsi="Times New Roman"/>
          <w:szCs w:val="24"/>
        </w:rPr>
        <w:t xml:space="preserve"> </w:t>
      </w:r>
    </w:p>
    <w:p w14:paraId="63EF0143" w14:textId="33B7B3C1" w:rsidR="00B37C90" w:rsidRDefault="0004584D" w:rsidP="003F16AF">
      <w:pPr>
        <w:pStyle w:val="N0-FlLftBullet"/>
        <w:spacing w:line="240" w:lineRule="auto"/>
        <w:rPr>
          <w:rFonts w:ascii="Times New Roman" w:hAnsi="Times New Roman"/>
          <w:b/>
          <w:szCs w:val="24"/>
        </w:rPr>
      </w:pPr>
      <w:r w:rsidRPr="003F16AF">
        <w:rPr>
          <w:rFonts w:ascii="Times New Roman" w:hAnsi="Times New Roman"/>
          <w:b/>
          <w:szCs w:val="24"/>
        </w:rPr>
        <w:t>(</w:t>
      </w:r>
      <w:r w:rsidR="00B37C90">
        <w:rPr>
          <w:rFonts w:ascii="Times New Roman" w:hAnsi="Times New Roman"/>
          <w:b/>
          <w:szCs w:val="24"/>
        </w:rPr>
        <w:t>6</w:t>
      </w:r>
      <w:r w:rsidRPr="003F16AF">
        <w:rPr>
          <w:rFonts w:ascii="Times New Roman" w:hAnsi="Times New Roman"/>
          <w:b/>
          <w:szCs w:val="24"/>
        </w:rPr>
        <w:t>)</w:t>
      </w:r>
      <w:r w:rsidRPr="003F16AF">
        <w:rPr>
          <w:rFonts w:ascii="Times New Roman" w:hAnsi="Times New Roman"/>
          <w:b/>
          <w:szCs w:val="24"/>
        </w:rPr>
        <w:tab/>
      </w:r>
      <w:r w:rsidR="00B37C90" w:rsidRPr="003F16AF">
        <w:rPr>
          <w:rFonts w:ascii="Times New Roman" w:hAnsi="Times New Roman"/>
          <w:b/>
          <w:szCs w:val="24"/>
        </w:rPr>
        <w:t xml:space="preserve">Fidelity </w:t>
      </w:r>
      <w:r w:rsidR="00B37C90">
        <w:rPr>
          <w:rFonts w:ascii="Times New Roman" w:hAnsi="Times New Roman"/>
          <w:b/>
          <w:szCs w:val="24"/>
        </w:rPr>
        <w:t>Interview</w:t>
      </w:r>
      <w:r w:rsidR="00B37C90" w:rsidRPr="003F16AF">
        <w:rPr>
          <w:rFonts w:ascii="Times New Roman" w:hAnsi="Times New Roman"/>
          <w:b/>
          <w:szCs w:val="24"/>
        </w:rPr>
        <w:t>:</w:t>
      </w:r>
      <w:r w:rsidR="00B37C90" w:rsidRPr="003F16AF">
        <w:rPr>
          <w:rFonts w:ascii="Times New Roman" w:hAnsi="Times New Roman"/>
          <w:szCs w:val="24"/>
        </w:rPr>
        <w:t xml:space="preserve"> Program fidelity assessments will be conducted annually in Years 1 and 2 at 32 sites. </w:t>
      </w:r>
      <w:r w:rsidR="00B37C90" w:rsidRPr="00F60625">
        <w:rPr>
          <w:rFonts w:ascii="Times New Roman" w:hAnsi="Times New Roman"/>
          <w:szCs w:val="24"/>
        </w:rPr>
        <w:t xml:space="preserve">Up to four </w:t>
      </w:r>
      <w:r w:rsidR="00B37C90">
        <w:rPr>
          <w:rFonts w:ascii="Times New Roman" w:hAnsi="Times New Roman"/>
          <w:szCs w:val="24"/>
        </w:rPr>
        <w:t>staff members</w:t>
      </w:r>
      <w:r w:rsidR="00B37C90" w:rsidRPr="003F16AF">
        <w:rPr>
          <w:rFonts w:ascii="Times New Roman" w:hAnsi="Times New Roman"/>
          <w:szCs w:val="24"/>
        </w:rPr>
        <w:t xml:space="preserve"> from each agency will be selected to respond </w:t>
      </w:r>
      <w:r w:rsidR="00B37C90" w:rsidRPr="003F16AF">
        <w:rPr>
          <w:rFonts w:ascii="Times New Roman" w:hAnsi="Times New Roman"/>
          <w:szCs w:val="24"/>
        </w:rPr>
        <w:lastRenderedPageBreak/>
        <w:t>the fidelity questions. The fidelity assessments will be conducted through telephone interviews.</w:t>
      </w:r>
    </w:p>
    <w:p w14:paraId="4FD30EEF" w14:textId="08724F1C" w:rsidR="00F71D78" w:rsidRPr="003F16AF" w:rsidRDefault="00B37C90" w:rsidP="00B37C90">
      <w:pPr>
        <w:pStyle w:val="N0-FlLftBullet"/>
        <w:spacing w:line="240" w:lineRule="auto"/>
        <w:rPr>
          <w:rFonts w:ascii="Times New Roman" w:hAnsi="Times New Roman"/>
          <w:szCs w:val="24"/>
        </w:rPr>
      </w:pPr>
      <w:r>
        <w:rPr>
          <w:rFonts w:ascii="Times New Roman" w:hAnsi="Times New Roman"/>
          <w:b/>
          <w:szCs w:val="24"/>
        </w:rPr>
        <w:t xml:space="preserve">(7) </w:t>
      </w:r>
      <w:r>
        <w:rPr>
          <w:rFonts w:ascii="Times New Roman" w:hAnsi="Times New Roman"/>
          <w:b/>
          <w:szCs w:val="24"/>
        </w:rPr>
        <w:tab/>
      </w:r>
      <w:r w:rsidR="00187CD4" w:rsidRPr="00187CD4">
        <w:rPr>
          <w:rFonts w:ascii="Times New Roman" w:hAnsi="Times New Roman"/>
          <w:b/>
          <w:szCs w:val="24"/>
        </w:rPr>
        <w:t>Possible Administrative Data Elements</w:t>
      </w:r>
      <w:r>
        <w:rPr>
          <w:rFonts w:ascii="Times New Roman" w:hAnsi="Times New Roman"/>
          <w:b/>
          <w:szCs w:val="24"/>
        </w:rPr>
        <w:t xml:space="preserve">: </w:t>
      </w:r>
      <w:r w:rsidR="00F71D78" w:rsidRPr="003F16AF">
        <w:rPr>
          <w:rFonts w:ascii="Times New Roman" w:hAnsi="Times New Roman"/>
          <w:szCs w:val="24"/>
        </w:rPr>
        <w:t xml:space="preserve">Each site is already collecting data on participants as a part of their treatment process. </w:t>
      </w:r>
      <w:r w:rsidR="003F16AF">
        <w:rPr>
          <w:rFonts w:ascii="Times New Roman" w:hAnsi="Times New Roman"/>
          <w:szCs w:val="24"/>
        </w:rPr>
        <w:t>The project</w:t>
      </w:r>
      <w:r w:rsidR="003F16AF" w:rsidRPr="003F16AF">
        <w:rPr>
          <w:rFonts w:ascii="Times New Roman" w:hAnsi="Times New Roman"/>
          <w:szCs w:val="24"/>
        </w:rPr>
        <w:t xml:space="preserve"> </w:t>
      </w:r>
      <w:r w:rsidR="00F71D78" w:rsidRPr="003F16AF">
        <w:rPr>
          <w:rFonts w:ascii="Times New Roman" w:hAnsi="Times New Roman"/>
          <w:szCs w:val="24"/>
        </w:rPr>
        <w:t>will work</w:t>
      </w:r>
      <w:r w:rsidR="00722C5D">
        <w:rPr>
          <w:rFonts w:ascii="Times New Roman" w:hAnsi="Times New Roman"/>
          <w:szCs w:val="24"/>
        </w:rPr>
        <w:t xml:space="preserve"> with</w:t>
      </w:r>
      <w:r w:rsidR="00F71D78" w:rsidRPr="003F16AF">
        <w:rPr>
          <w:rFonts w:ascii="Times New Roman" w:hAnsi="Times New Roman"/>
          <w:szCs w:val="24"/>
        </w:rPr>
        <w:t xml:space="preserve"> each site to obtain </w:t>
      </w:r>
      <w:r w:rsidR="00187CD4">
        <w:rPr>
          <w:rFonts w:ascii="Times New Roman" w:hAnsi="Times New Roman"/>
          <w:szCs w:val="24"/>
        </w:rPr>
        <w:t>possible</w:t>
      </w:r>
      <w:r w:rsidR="00F71D78" w:rsidRPr="003F16AF">
        <w:rPr>
          <w:rFonts w:ascii="Times New Roman" w:hAnsi="Times New Roman"/>
          <w:szCs w:val="24"/>
        </w:rPr>
        <w:t xml:space="preserve"> administrative data on client demographics and outcomes for analysis in the evaluation. The administrative data will include information on clients who were enrolled within 180 days prior to </w:t>
      </w:r>
      <w:r w:rsidR="008D3E36">
        <w:rPr>
          <w:rFonts w:ascii="Times New Roman" w:hAnsi="Times New Roman"/>
          <w:szCs w:val="24"/>
        </w:rPr>
        <w:t>evaluation</w:t>
      </w:r>
      <w:r w:rsidR="00F71D78" w:rsidRPr="003F16AF">
        <w:rPr>
          <w:rFonts w:ascii="Times New Roman" w:hAnsi="Times New Roman"/>
          <w:szCs w:val="24"/>
        </w:rPr>
        <w:t xml:space="preserve"> start (as soon as OMB approval is obtained) and future clients who will be enrolled within 180 days after </w:t>
      </w:r>
      <w:r w:rsidR="008D3E36">
        <w:rPr>
          <w:rFonts w:ascii="Times New Roman" w:hAnsi="Times New Roman"/>
          <w:szCs w:val="24"/>
        </w:rPr>
        <w:t>evaluation</w:t>
      </w:r>
      <w:r w:rsidR="00F71D78" w:rsidRPr="003F16AF">
        <w:rPr>
          <w:rFonts w:ascii="Times New Roman" w:hAnsi="Times New Roman"/>
          <w:szCs w:val="24"/>
        </w:rPr>
        <w:t xml:space="preserve"> start. There will be no additional interview or data collection effort with site clients as a part of this evaluation.</w:t>
      </w:r>
    </w:p>
    <w:p w14:paraId="35C89CEA" w14:textId="0872AD52" w:rsidR="00B37C90" w:rsidRPr="00CD604A" w:rsidRDefault="003F16AF" w:rsidP="00B37C90">
      <w:pPr>
        <w:pStyle w:val="L1-FlLSp12"/>
        <w:spacing w:line="240" w:lineRule="auto"/>
        <w:rPr>
          <w:rFonts w:ascii="Times New Roman" w:hAnsi="Times New Roman"/>
          <w:szCs w:val="24"/>
        </w:rPr>
      </w:pPr>
      <w:r>
        <w:rPr>
          <w:rFonts w:ascii="Times New Roman" w:hAnsi="Times New Roman"/>
          <w:b/>
          <w:szCs w:val="24"/>
        </w:rPr>
        <w:t>Attachments</w:t>
      </w:r>
      <w:r w:rsidR="00F71D78" w:rsidRPr="003F16AF">
        <w:rPr>
          <w:rFonts w:ascii="Times New Roman" w:hAnsi="Times New Roman"/>
          <w:b/>
          <w:szCs w:val="24"/>
        </w:rPr>
        <w:t xml:space="preserve"> </w:t>
      </w:r>
      <w:r w:rsidR="00DD7048">
        <w:rPr>
          <w:rFonts w:ascii="Times New Roman" w:hAnsi="Times New Roman"/>
          <w:b/>
          <w:szCs w:val="24"/>
        </w:rPr>
        <w:t>1-</w:t>
      </w:r>
      <w:r w:rsidR="00B37C90">
        <w:rPr>
          <w:rFonts w:ascii="Times New Roman" w:hAnsi="Times New Roman"/>
          <w:b/>
          <w:szCs w:val="24"/>
        </w:rPr>
        <w:t>7</w:t>
      </w:r>
      <w:r w:rsidR="002E4DB3" w:rsidRPr="003F16AF">
        <w:rPr>
          <w:rFonts w:ascii="Times New Roman" w:hAnsi="Times New Roman"/>
          <w:b/>
          <w:szCs w:val="24"/>
        </w:rPr>
        <w:t xml:space="preserve"> </w:t>
      </w:r>
      <w:r w:rsidR="00F71D78" w:rsidRPr="003F16AF">
        <w:rPr>
          <w:rFonts w:ascii="Times New Roman" w:hAnsi="Times New Roman"/>
          <w:szCs w:val="24"/>
        </w:rPr>
        <w:t xml:space="preserve">present the site survey, </w:t>
      </w:r>
      <w:r w:rsidR="00B37C90" w:rsidRPr="00CD604A">
        <w:rPr>
          <w:rFonts w:ascii="Times New Roman" w:hAnsi="Times New Roman"/>
        </w:rPr>
        <w:t>Agency Director Interview</w:t>
      </w:r>
      <w:r w:rsidR="00B37C90">
        <w:rPr>
          <w:rFonts w:ascii="Times New Roman" w:hAnsi="Times New Roman"/>
        </w:rPr>
        <w:t xml:space="preserve">, </w:t>
      </w:r>
      <w:r w:rsidR="00B37C90" w:rsidRPr="00CD604A">
        <w:rPr>
          <w:rFonts w:ascii="Times New Roman" w:hAnsi="Times New Roman"/>
        </w:rPr>
        <w:t>Coordinated Specialty Care (CSC) Staff Interview</w:t>
      </w:r>
      <w:r w:rsidR="00B37C90">
        <w:rPr>
          <w:rFonts w:ascii="Times New Roman" w:hAnsi="Times New Roman"/>
        </w:rPr>
        <w:t xml:space="preserve">, </w:t>
      </w:r>
      <w:r w:rsidR="00B37C90" w:rsidRPr="00CD604A">
        <w:rPr>
          <w:rFonts w:ascii="Times New Roman" w:hAnsi="Times New Roman"/>
        </w:rPr>
        <w:t>Coordinated Specialty Care (CSC) Participant Interview</w:t>
      </w:r>
      <w:r w:rsidR="00B37C90">
        <w:rPr>
          <w:rFonts w:ascii="Times New Roman" w:hAnsi="Times New Roman"/>
        </w:rPr>
        <w:t xml:space="preserve">, </w:t>
      </w:r>
      <w:r w:rsidR="00B37C90" w:rsidRPr="00CD604A">
        <w:rPr>
          <w:rFonts w:ascii="Times New Roman" w:hAnsi="Times New Roman"/>
        </w:rPr>
        <w:t>State Mental Health Authority Interview</w:t>
      </w:r>
      <w:r w:rsidR="00B37C90">
        <w:rPr>
          <w:rFonts w:ascii="Times New Roman" w:hAnsi="Times New Roman"/>
        </w:rPr>
        <w:t>, F</w:t>
      </w:r>
      <w:r w:rsidR="00B37C90" w:rsidRPr="00CD604A">
        <w:rPr>
          <w:rFonts w:ascii="Times New Roman" w:hAnsi="Times New Roman"/>
        </w:rPr>
        <w:t>idelity Interview</w:t>
      </w:r>
      <w:r w:rsidR="00B37C90">
        <w:rPr>
          <w:rFonts w:ascii="Times New Roman" w:hAnsi="Times New Roman"/>
        </w:rPr>
        <w:t xml:space="preserve">, and </w:t>
      </w:r>
      <w:r w:rsidR="0003210F">
        <w:rPr>
          <w:rFonts w:ascii="Times New Roman" w:hAnsi="Times New Roman"/>
          <w:szCs w:val="24"/>
        </w:rPr>
        <w:t xml:space="preserve">Possible </w:t>
      </w:r>
      <w:r w:rsidR="0003210F" w:rsidRPr="00211401">
        <w:rPr>
          <w:rFonts w:ascii="Times New Roman" w:hAnsi="Times New Roman"/>
          <w:szCs w:val="24"/>
        </w:rPr>
        <w:t>Administrative Data</w:t>
      </w:r>
      <w:r w:rsidR="0003210F">
        <w:rPr>
          <w:rFonts w:ascii="Times New Roman" w:hAnsi="Times New Roman"/>
          <w:szCs w:val="24"/>
        </w:rPr>
        <w:t xml:space="preserve"> Elements</w:t>
      </w:r>
      <w:r w:rsidR="00B37C90">
        <w:rPr>
          <w:rFonts w:ascii="Times New Roman" w:hAnsi="Times New Roman"/>
        </w:rPr>
        <w:t xml:space="preserve">. </w:t>
      </w:r>
    </w:p>
    <w:p w14:paraId="6EF0CF0C" w14:textId="219B71DB"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w:t>
      </w:r>
    </w:p>
    <w:p w14:paraId="2743F29A" w14:textId="77777777" w:rsidR="00F71D78" w:rsidRPr="003F16AF" w:rsidRDefault="00F71D78" w:rsidP="003F16AF">
      <w:pPr>
        <w:pStyle w:val="L1-FlLSp12"/>
        <w:spacing w:line="240" w:lineRule="auto"/>
        <w:rPr>
          <w:rFonts w:ascii="Times New Roman" w:hAnsi="Times New Roman"/>
          <w:szCs w:val="24"/>
        </w:rPr>
      </w:pPr>
    </w:p>
    <w:p w14:paraId="54C5B598" w14:textId="77777777" w:rsidR="00F71D78" w:rsidRPr="003F16AF" w:rsidRDefault="00F71D78" w:rsidP="003F16AF">
      <w:pPr>
        <w:pStyle w:val="Heading3"/>
        <w:spacing w:line="240" w:lineRule="auto"/>
        <w:rPr>
          <w:rFonts w:ascii="Times New Roman" w:hAnsi="Times New Roman"/>
          <w:color w:val="auto"/>
          <w:sz w:val="24"/>
          <w:szCs w:val="24"/>
        </w:rPr>
      </w:pPr>
      <w:bookmarkStart w:id="4" w:name="_Toc471198153"/>
      <w:r w:rsidRPr="003F16AF">
        <w:rPr>
          <w:rFonts w:ascii="Times New Roman" w:hAnsi="Times New Roman"/>
          <w:color w:val="auto"/>
          <w:sz w:val="24"/>
          <w:szCs w:val="24"/>
        </w:rPr>
        <w:t>B.1.2</w:t>
      </w:r>
      <w:r w:rsidRPr="003F16AF">
        <w:rPr>
          <w:rFonts w:ascii="Times New Roman" w:hAnsi="Times New Roman"/>
          <w:color w:val="auto"/>
          <w:sz w:val="24"/>
          <w:szCs w:val="24"/>
        </w:rPr>
        <w:tab/>
        <w:t>Sampling Methods</w:t>
      </w:r>
      <w:bookmarkEnd w:id="4"/>
    </w:p>
    <w:p w14:paraId="3FD45A44" w14:textId="77777777" w:rsidR="00F71D78" w:rsidRPr="003F16AF" w:rsidRDefault="0004584D" w:rsidP="003F16AF">
      <w:pPr>
        <w:pStyle w:val="Heading5"/>
        <w:spacing w:line="240" w:lineRule="auto"/>
        <w:rPr>
          <w:rFonts w:ascii="Times New Roman" w:hAnsi="Times New Roman"/>
          <w:szCs w:val="24"/>
        </w:rPr>
      </w:pPr>
      <w:r w:rsidRPr="003F16AF">
        <w:rPr>
          <w:rFonts w:ascii="Times New Roman" w:hAnsi="Times New Roman"/>
          <w:szCs w:val="24"/>
        </w:rPr>
        <w:tab/>
      </w:r>
      <w:r w:rsidR="00F71D78" w:rsidRPr="003F16AF">
        <w:rPr>
          <w:rFonts w:ascii="Times New Roman" w:hAnsi="Times New Roman"/>
          <w:szCs w:val="24"/>
        </w:rPr>
        <w:t>Site Selection</w:t>
      </w:r>
    </w:p>
    <w:p w14:paraId="5097B892" w14:textId="3C2A86AC"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 xml:space="preserve">Selecting the 32 sites will be purposeful and the selection criteria will include factors such as, having administrative data on the outcome measures identified for this </w:t>
      </w:r>
      <w:r w:rsidR="008D3E36">
        <w:rPr>
          <w:rFonts w:ascii="Times New Roman" w:hAnsi="Times New Roman"/>
          <w:szCs w:val="24"/>
        </w:rPr>
        <w:t>evaluation</w:t>
      </w:r>
      <w:r w:rsidRPr="003F16AF">
        <w:rPr>
          <w:rFonts w:ascii="Times New Roman" w:hAnsi="Times New Roman"/>
          <w:szCs w:val="24"/>
        </w:rPr>
        <w:t>; HHS Regional representation; program model/type; CSC implementation and fidelity status; use of set-aside funding; variation in TA received at start-up of program; and urban/rural representation. There is no systematic sampling of sites from a universe.</w:t>
      </w:r>
    </w:p>
    <w:p w14:paraId="67909905" w14:textId="77777777" w:rsidR="0004584D" w:rsidRPr="003F16AF" w:rsidRDefault="0004584D" w:rsidP="003F16AF">
      <w:pPr>
        <w:pStyle w:val="L1-FlLSp12"/>
        <w:spacing w:line="240" w:lineRule="auto"/>
        <w:rPr>
          <w:rFonts w:ascii="Times New Roman" w:hAnsi="Times New Roman"/>
          <w:szCs w:val="24"/>
        </w:rPr>
      </w:pPr>
    </w:p>
    <w:p w14:paraId="3034E792" w14:textId="77777777" w:rsidR="00F71D78" w:rsidRPr="003F16AF" w:rsidRDefault="0004584D" w:rsidP="003F16AF">
      <w:pPr>
        <w:pStyle w:val="Heading5"/>
        <w:spacing w:line="240" w:lineRule="auto"/>
        <w:rPr>
          <w:rFonts w:ascii="Times New Roman" w:hAnsi="Times New Roman"/>
          <w:szCs w:val="24"/>
        </w:rPr>
      </w:pPr>
      <w:r w:rsidRPr="003F16AF">
        <w:rPr>
          <w:rFonts w:ascii="Times New Roman" w:hAnsi="Times New Roman"/>
          <w:szCs w:val="24"/>
        </w:rPr>
        <w:tab/>
      </w:r>
      <w:r w:rsidR="00F71D78" w:rsidRPr="003F16AF">
        <w:rPr>
          <w:rFonts w:ascii="Times New Roman" w:hAnsi="Times New Roman"/>
          <w:szCs w:val="24"/>
        </w:rPr>
        <w:t>Power Estimates</w:t>
      </w:r>
    </w:p>
    <w:p w14:paraId="169DA8C0" w14:textId="29398AFB" w:rsidR="00C575E5" w:rsidRPr="00C575E5" w:rsidRDefault="00C575E5" w:rsidP="00C575E5">
      <w:pPr>
        <w:pStyle w:val="L1-FlLSp12"/>
        <w:spacing w:line="240" w:lineRule="auto"/>
        <w:rPr>
          <w:rFonts w:ascii="Times New Roman" w:hAnsi="Times New Roman"/>
          <w:szCs w:val="24"/>
        </w:rPr>
      </w:pPr>
      <w:r w:rsidRPr="00C575E5">
        <w:rPr>
          <w:rFonts w:ascii="Times New Roman" w:hAnsi="Times New Roman"/>
          <w:szCs w:val="24"/>
        </w:rPr>
        <w:t xml:space="preserve">The </w:t>
      </w:r>
      <w:r w:rsidR="008D3E36">
        <w:rPr>
          <w:rFonts w:ascii="Times New Roman" w:hAnsi="Times New Roman"/>
          <w:szCs w:val="24"/>
        </w:rPr>
        <w:t>evaluation</w:t>
      </w:r>
      <w:r w:rsidRPr="00C575E5">
        <w:rPr>
          <w:rFonts w:ascii="Times New Roman" w:hAnsi="Times New Roman"/>
          <w:szCs w:val="24"/>
        </w:rPr>
        <w:t xml:space="preserve"> is designed to identify the differences in participant outcomes </w:t>
      </w:r>
      <w:r w:rsidR="00722C5D">
        <w:rPr>
          <w:rFonts w:ascii="Times New Roman" w:hAnsi="Times New Roman"/>
          <w:szCs w:val="24"/>
        </w:rPr>
        <w:t xml:space="preserve">(assessed through administrative data) </w:t>
      </w:r>
      <w:r w:rsidRPr="00C575E5">
        <w:rPr>
          <w:rFonts w:ascii="Times New Roman" w:hAnsi="Times New Roman"/>
          <w:szCs w:val="24"/>
        </w:rPr>
        <w:t xml:space="preserve">across sites implementing CSC program with varying levels of fidelity. For the outcomes evaluation, assuming three groups of sites including high, medium and low fidelity to the CSC, it is critical to have a sample size with the ability to detect differences in key outcomes across the three groups. A recent </w:t>
      </w:r>
      <w:r w:rsidR="008D3E36">
        <w:rPr>
          <w:rFonts w:ascii="Times New Roman" w:hAnsi="Times New Roman"/>
          <w:szCs w:val="24"/>
        </w:rPr>
        <w:t>evaluation</w:t>
      </w:r>
      <w:r>
        <w:rPr>
          <w:rStyle w:val="FootnoteReference"/>
          <w:rFonts w:ascii="Times New Roman" w:hAnsi="Times New Roman"/>
          <w:szCs w:val="24"/>
        </w:rPr>
        <w:footnoteReference w:id="1"/>
      </w:r>
      <w:r>
        <w:rPr>
          <w:rFonts w:ascii="Times New Roman" w:hAnsi="Times New Roman"/>
          <w:szCs w:val="24"/>
        </w:rPr>
        <w:t xml:space="preserve"> </w:t>
      </w:r>
      <w:r w:rsidRPr="00C575E5">
        <w:rPr>
          <w:rFonts w:ascii="Times New Roman" w:hAnsi="Times New Roman"/>
          <w:szCs w:val="24"/>
        </w:rPr>
        <w:t>funded by the National Institute of Mental Health including population with FEP used several outcomes including the Quality of Life Scale</w:t>
      </w:r>
      <w:r w:rsidR="00DD73E9">
        <w:rPr>
          <w:rFonts w:ascii="Times New Roman" w:hAnsi="Times New Roman"/>
          <w:szCs w:val="24"/>
        </w:rPr>
        <w:t xml:space="preserve"> (which is one of the outcomes in the current evaluation)</w:t>
      </w:r>
      <w:r w:rsidRPr="00C575E5">
        <w:rPr>
          <w:rFonts w:ascii="Times New Roman" w:hAnsi="Times New Roman"/>
          <w:szCs w:val="24"/>
        </w:rPr>
        <w:t xml:space="preserve">, the Positive and Negative Syndrome Scale (PANSS), and the Calgary Depression Scale for Schizophrenia (CDSS) as key outcomes. Using data from this </w:t>
      </w:r>
      <w:r w:rsidR="008D3E36">
        <w:rPr>
          <w:rFonts w:ascii="Times New Roman" w:hAnsi="Times New Roman"/>
          <w:szCs w:val="24"/>
        </w:rPr>
        <w:t>evaluation</w:t>
      </w:r>
      <w:r w:rsidRPr="00C575E5">
        <w:rPr>
          <w:rFonts w:ascii="Times New Roman" w:hAnsi="Times New Roman"/>
          <w:szCs w:val="24"/>
        </w:rPr>
        <w:t xml:space="preserve">, we estimate that for a power of 80 percent, the total sample size needed for the </w:t>
      </w:r>
      <w:r w:rsidR="008D3E36">
        <w:rPr>
          <w:rFonts w:ascii="Times New Roman" w:hAnsi="Times New Roman"/>
          <w:szCs w:val="24"/>
        </w:rPr>
        <w:t>evaluation</w:t>
      </w:r>
      <w:r w:rsidRPr="00C575E5">
        <w:rPr>
          <w:rFonts w:ascii="Times New Roman" w:hAnsi="Times New Roman"/>
          <w:szCs w:val="24"/>
        </w:rPr>
        <w:t xml:space="preserve"> across the 32 sites is</w:t>
      </w:r>
      <w:r w:rsidR="006C7788">
        <w:rPr>
          <w:rFonts w:ascii="Times New Roman" w:hAnsi="Times New Roman"/>
          <w:szCs w:val="24"/>
        </w:rPr>
        <w:t xml:space="preserve"> at most</w:t>
      </w:r>
      <w:r w:rsidRPr="00C575E5">
        <w:rPr>
          <w:rFonts w:ascii="Times New Roman" w:hAnsi="Times New Roman"/>
          <w:szCs w:val="24"/>
        </w:rPr>
        <w:t xml:space="preserve"> 348; about 11 </w:t>
      </w:r>
      <w:r w:rsidR="008D3E36">
        <w:rPr>
          <w:rFonts w:ascii="Times New Roman" w:hAnsi="Times New Roman"/>
          <w:szCs w:val="24"/>
        </w:rPr>
        <w:t>evaluation</w:t>
      </w:r>
      <w:r w:rsidRPr="00C575E5">
        <w:rPr>
          <w:rFonts w:ascii="Times New Roman" w:hAnsi="Times New Roman"/>
          <w:szCs w:val="24"/>
        </w:rPr>
        <w:t xml:space="preserve"> subjects per site on average. </w:t>
      </w:r>
    </w:p>
    <w:p w14:paraId="0855838F" w14:textId="77777777" w:rsidR="00054386" w:rsidRDefault="00054386" w:rsidP="003F16AF">
      <w:pPr>
        <w:pStyle w:val="TT-TableTitle"/>
        <w:spacing w:line="240" w:lineRule="auto"/>
        <w:rPr>
          <w:rFonts w:ascii="Times New Roman" w:hAnsi="Times New Roman"/>
          <w:sz w:val="24"/>
          <w:szCs w:val="24"/>
        </w:rPr>
      </w:pPr>
    </w:p>
    <w:p w14:paraId="2F722B82" w14:textId="77777777" w:rsidR="00924AD0" w:rsidRDefault="00924AD0" w:rsidP="00924AD0">
      <w:pPr>
        <w:pStyle w:val="TT-TableTitle"/>
        <w:spacing w:line="240" w:lineRule="auto"/>
        <w:ind w:left="0" w:firstLine="0"/>
        <w:rPr>
          <w:rFonts w:ascii="Times New Roman" w:hAnsi="Times New Roman"/>
          <w:sz w:val="24"/>
          <w:szCs w:val="24"/>
        </w:rPr>
      </w:pPr>
    </w:p>
    <w:p w14:paraId="10C099B6" w14:textId="3E85D611" w:rsidR="00F71D78" w:rsidRPr="003F16AF" w:rsidRDefault="00054386" w:rsidP="00924AD0">
      <w:pPr>
        <w:pStyle w:val="TT-TableTitle"/>
        <w:spacing w:line="240" w:lineRule="auto"/>
        <w:ind w:left="0" w:firstLine="0"/>
        <w:rPr>
          <w:rFonts w:ascii="Times New Roman" w:hAnsi="Times New Roman"/>
          <w:sz w:val="24"/>
          <w:szCs w:val="24"/>
        </w:rPr>
      </w:pPr>
      <w:r>
        <w:rPr>
          <w:rFonts w:ascii="Times New Roman" w:hAnsi="Times New Roman"/>
          <w:sz w:val="24"/>
          <w:szCs w:val="24"/>
        </w:rPr>
        <w:t>T</w:t>
      </w:r>
      <w:r w:rsidR="00060BFF" w:rsidRPr="003F16AF">
        <w:rPr>
          <w:rFonts w:ascii="Times New Roman" w:hAnsi="Times New Roman"/>
          <w:sz w:val="24"/>
          <w:szCs w:val="24"/>
        </w:rPr>
        <w:t>able 1</w:t>
      </w:r>
      <w:r w:rsidR="00F71D78" w:rsidRPr="003F16AF">
        <w:rPr>
          <w:rFonts w:ascii="Times New Roman" w:hAnsi="Times New Roman"/>
          <w:sz w:val="24"/>
          <w:szCs w:val="24"/>
        </w:rPr>
        <w:t>.</w:t>
      </w:r>
      <w:r w:rsidR="00F71D78" w:rsidRPr="003F16AF">
        <w:rPr>
          <w:rFonts w:ascii="Times New Roman" w:hAnsi="Times New Roman"/>
          <w:sz w:val="24"/>
          <w:szCs w:val="24"/>
        </w:rPr>
        <w:tab/>
        <w:t xml:space="preserve">Sampling </w:t>
      </w:r>
      <w:r w:rsidR="0004584D" w:rsidRPr="003F16AF">
        <w:rPr>
          <w:rFonts w:ascii="Times New Roman" w:hAnsi="Times New Roman"/>
          <w:sz w:val="24"/>
          <w:szCs w:val="24"/>
        </w:rPr>
        <w:t>power analysis</w:t>
      </w:r>
    </w:p>
    <w:tbl>
      <w:tblPr>
        <w:tblW w:w="4887" w:type="pct"/>
        <w:tblInd w:w="108" w:type="dxa"/>
        <w:tblCellMar>
          <w:left w:w="0" w:type="dxa"/>
          <w:right w:w="0" w:type="dxa"/>
        </w:tblCellMar>
        <w:tblLook w:val="04A0" w:firstRow="1" w:lastRow="0" w:firstColumn="1" w:lastColumn="0" w:noHBand="0" w:noVBand="1"/>
      </w:tblPr>
      <w:tblGrid>
        <w:gridCol w:w="2287"/>
        <w:gridCol w:w="2287"/>
        <w:gridCol w:w="2287"/>
        <w:gridCol w:w="2287"/>
      </w:tblGrid>
      <w:tr w:rsidR="00C575E5" w:rsidRPr="00C575E5" w14:paraId="4AEDE6A3" w14:textId="77777777" w:rsidTr="00C575E5">
        <w:trPr>
          <w:trHeight w:val="20"/>
        </w:trPr>
        <w:tc>
          <w:tcPr>
            <w:tcW w:w="1250" w:type="pct"/>
            <w:tcBorders>
              <w:top w:val="single" w:sz="8" w:space="0" w:color="auto"/>
              <w:left w:val="nil"/>
              <w:bottom w:val="single" w:sz="8" w:space="0" w:color="auto"/>
              <w:right w:val="nil"/>
            </w:tcBorders>
            <w:shd w:val="clear" w:color="auto" w:fill="auto"/>
            <w:tcMar>
              <w:top w:w="0" w:type="dxa"/>
              <w:left w:w="108" w:type="dxa"/>
              <w:bottom w:w="0" w:type="dxa"/>
              <w:right w:w="108" w:type="dxa"/>
            </w:tcMar>
            <w:vAlign w:val="bottom"/>
            <w:hideMark/>
          </w:tcPr>
          <w:p w14:paraId="7F59D465"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Outcome variables</w:t>
            </w:r>
          </w:p>
        </w:tc>
        <w:tc>
          <w:tcPr>
            <w:tcW w:w="1250" w:type="pct"/>
            <w:tcBorders>
              <w:top w:val="single" w:sz="8" w:space="0" w:color="auto"/>
              <w:left w:val="nil"/>
              <w:bottom w:val="single" w:sz="8" w:space="0" w:color="auto"/>
              <w:right w:val="nil"/>
            </w:tcBorders>
            <w:shd w:val="clear" w:color="auto" w:fill="auto"/>
            <w:tcMar>
              <w:top w:w="0" w:type="dxa"/>
              <w:left w:w="108" w:type="dxa"/>
              <w:bottom w:w="0" w:type="dxa"/>
              <w:right w:w="108" w:type="dxa"/>
            </w:tcMar>
            <w:vAlign w:val="bottom"/>
            <w:hideMark/>
          </w:tcPr>
          <w:p w14:paraId="34362373"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Desired power</w:t>
            </w:r>
          </w:p>
        </w:tc>
        <w:tc>
          <w:tcPr>
            <w:tcW w:w="1250" w:type="pct"/>
            <w:tcBorders>
              <w:top w:val="single" w:sz="8" w:space="0" w:color="auto"/>
              <w:left w:val="nil"/>
              <w:bottom w:val="single" w:sz="8" w:space="0" w:color="auto"/>
              <w:right w:val="nil"/>
            </w:tcBorders>
            <w:shd w:val="clear" w:color="auto" w:fill="auto"/>
            <w:tcMar>
              <w:top w:w="0" w:type="dxa"/>
              <w:left w:w="108" w:type="dxa"/>
              <w:bottom w:w="0" w:type="dxa"/>
              <w:right w:w="108" w:type="dxa"/>
            </w:tcMar>
            <w:vAlign w:val="bottom"/>
            <w:hideMark/>
          </w:tcPr>
          <w:p w14:paraId="1BFAB6E4"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Total sample size</w:t>
            </w:r>
          </w:p>
        </w:tc>
        <w:tc>
          <w:tcPr>
            <w:tcW w:w="1250" w:type="pct"/>
            <w:tcBorders>
              <w:top w:val="single" w:sz="8" w:space="0" w:color="auto"/>
              <w:left w:val="nil"/>
              <w:bottom w:val="single" w:sz="8" w:space="0" w:color="auto"/>
              <w:right w:val="nil"/>
            </w:tcBorders>
            <w:shd w:val="clear" w:color="auto" w:fill="auto"/>
            <w:tcMar>
              <w:top w:w="0" w:type="dxa"/>
              <w:left w:w="108" w:type="dxa"/>
              <w:bottom w:w="0" w:type="dxa"/>
              <w:right w:w="108" w:type="dxa"/>
            </w:tcMar>
            <w:vAlign w:val="bottom"/>
            <w:hideMark/>
          </w:tcPr>
          <w:p w14:paraId="7C470092"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Per site sample size</w:t>
            </w:r>
          </w:p>
        </w:tc>
      </w:tr>
      <w:tr w:rsidR="00C575E5" w:rsidRPr="00C575E5" w14:paraId="2686AC0A" w14:textId="77777777" w:rsidTr="007B4880">
        <w:trPr>
          <w:trHeight w:val="20"/>
        </w:trPr>
        <w:tc>
          <w:tcPr>
            <w:tcW w:w="1250" w:type="pct"/>
            <w:noWrap/>
            <w:tcMar>
              <w:top w:w="0" w:type="dxa"/>
              <w:left w:w="108" w:type="dxa"/>
              <w:bottom w:w="0" w:type="dxa"/>
              <w:right w:w="108" w:type="dxa"/>
            </w:tcMar>
          </w:tcPr>
          <w:p w14:paraId="23B5CFF6" w14:textId="77777777" w:rsidR="00C575E5" w:rsidRPr="00C575E5" w:rsidRDefault="00C575E5" w:rsidP="007B4880">
            <w:pPr>
              <w:pStyle w:val="TX-TableText"/>
              <w:spacing w:before="20" w:after="20" w:line="20" w:lineRule="atLeast"/>
              <w:jc w:val="center"/>
              <w:rPr>
                <w:rFonts w:ascii="Times New Roman" w:hAnsi="Times New Roman"/>
                <w:b/>
                <w:bCs/>
                <w:sz w:val="24"/>
                <w:szCs w:val="24"/>
              </w:rPr>
            </w:pPr>
            <w:r w:rsidRPr="00C575E5">
              <w:rPr>
                <w:rFonts w:ascii="Times New Roman" w:hAnsi="Times New Roman"/>
                <w:b/>
                <w:bCs/>
                <w:sz w:val="24"/>
                <w:szCs w:val="24"/>
              </w:rPr>
              <w:t>QLS</w:t>
            </w:r>
          </w:p>
        </w:tc>
        <w:tc>
          <w:tcPr>
            <w:tcW w:w="1250" w:type="pct"/>
            <w:noWrap/>
            <w:tcMar>
              <w:top w:w="0" w:type="dxa"/>
              <w:left w:w="108" w:type="dxa"/>
              <w:bottom w:w="0" w:type="dxa"/>
              <w:right w:w="108" w:type="dxa"/>
            </w:tcMar>
          </w:tcPr>
          <w:p w14:paraId="10F7D48E"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0.8</w:t>
            </w:r>
          </w:p>
        </w:tc>
        <w:tc>
          <w:tcPr>
            <w:tcW w:w="1250" w:type="pct"/>
            <w:noWrap/>
            <w:tcMar>
              <w:top w:w="0" w:type="dxa"/>
              <w:left w:w="108" w:type="dxa"/>
              <w:bottom w:w="0" w:type="dxa"/>
              <w:right w:w="108" w:type="dxa"/>
            </w:tcMar>
          </w:tcPr>
          <w:p w14:paraId="0EA20A4E"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198</w:t>
            </w:r>
          </w:p>
        </w:tc>
        <w:tc>
          <w:tcPr>
            <w:tcW w:w="1250" w:type="pct"/>
            <w:noWrap/>
            <w:tcMar>
              <w:top w:w="0" w:type="dxa"/>
              <w:left w:w="108" w:type="dxa"/>
              <w:bottom w:w="0" w:type="dxa"/>
              <w:right w:w="108" w:type="dxa"/>
            </w:tcMar>
          </w:tcPr>
          <w:p w14:paraId="79720715" w14:textId="17CCB216" w:rsidR="00C575E5" w:rsidRPr="00C575E5" w:rsidRDefault="00C575E5" w:rsidP="002E4DB3">
            <w:pPr>
              <w:pStyle w:val="TX-TableText"/>
              <w:spacing w:before="20" w:after="20" w:line="20" w:lineRule="atLeast"/>
              <w:ind w:right="795"/>
              <w:jc w:val="right"/>
              <w:rPr>
                <w:rFonts w:ascii="Times New Roman" w:hAnsi="Times New Roman"/>
                <w:sz w:val="24"/>
                <w:szCs w:val="24"/>
              </w:rPr>
            </w:pPr>
            <w:r w:rsidRPr="00C575E5">
              <w:rPr>
                <w:rFonts w:ascii="Times New Roman" w:hAnsi="Times New Roman"/>
                <w:sz w:val="24"/>
                <w:szCs w:val="24"/>
              </w:rPr>
              <w:t>6</w:t>
            </w:r>
            <w:r w:rsidR="00DD73E9">
              <w:rPr>
                <w:rFonts w:ascii="Times New Roman" w:hAnsi="Times New Roman"/>
                <w:sz w:val="24"/>
                <w:szCs w:val="24"/>
              </w:rPr>
              <w:t>.0</w:t>
            </w:r>
          </w:p>
        </w:tc>
      </w:tr>
      <w:tr w:rsidR="00C575E5" w:rsidRPr="00C575E5" w14:paraId="0A7FF72D" w14:textId="77777777" w:rsidTr="007B4880">
        <w:trPr>
          <w:trHeight w:val="20"/>
        </w:trPr>
        <w:tc>
          <w:tcPr>
            <w:tcW w:w="1250" w:type="pct"/>
            <w:noWrap/>
            <w:tcMar>
              <w:top w:w="0" w:type="dxa"/>
              <w:left w:w="108" w:type="dxa"/>
              <w:bottom w:w="0" w:type="dxa"/>
              <w:right w:w="108" w:type="dxa"/>
            </w:tcMar>
          </w:tcPr>
          <w:p w14:paraId="7C869610" w14:textId="77777777" w:rsidR="00C575E5" w:rsidRPr="00C575E5" w:rsidRDefault="00C575E5" w:rsidP="002E4DB3">
            <w:pPr>
              <w:pStyle w:val="TX-TableText"/>
              <w:spacing w:before="20" w:after="20" w:line="20" w:lineRule="atLeast"/>
              <w:ind w:right="795"/>
              <w:jc w:val="right"/>
              <w:rPr>
                <w:rFonts w:ascii="Times New Roman" w:hAnsi="Times New Roman"/>
                <w:b/>
                <w:bCs/>
                <w:sz w:val="24"/>
                <w:szCs w:val="24"/>
              </w:rPr>
            </w:pPr>
            <w:r w:rsidRPr="00C575E5">
              <w:rPr>
                <w:rFonts w:ascii="Times New Roman" w:hAnsi="Times New Roman"/>
                <w:b/>
                <w:bCs/>
                <w:sz w:val="24"/>
                <w:szCs w:val="24"/>
              </w:rPr>
              <w:t>PANSS</w:t>
            </w:r>
          </w:p>
        </w:tc>
        <w:tc>
          <w:tcPr>
            <w:tcW w:w="1250" w:type="pct"/>
            <w:noWrap/>
            <w:tcMar>
              <w:top w:w="0" w:type="dxa"/>
              <w:left w:w="108" w:type="dxa"/>
              <w:bottom w:w="0" w:type="dxa"/>
              <w:right w:w="108" w:type="dxa"/>
            </w:tcMar>
          </w:tcPr>
          <w:p w14:paraId="5237EEF4"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0.8</w:t>
            </w:r>
          </w:p>
        </w:tc>
        <w:tc>
          <w:tcPr>
            <w:tcW w:w="1250" w:type="pct"/>
            <w:noWrap/>
            <w:tcMar>
              <w:top w:w="0" w:type="dxa"/>
              <w:left w:w="108" w:type="dxa"/>
              <w:bottom w:w="0" w:type="dxa"/>
              <w:right w:w="108" w:type="dxa"/>
            </w:tcMar>
          </w:tcPr>
          <w:p w14:paraId="46D6EC51"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189</w:t>
            </w:r>
          </w:p>
        </w:tc>
        <w:tc>
          <w:tcPr>
            <w:tcW w:w="1250" w:type="pct"/>
            <w:noWrap/>
            <w:tcMar>
              <w:top w:w="0" w:type="dxa"/>
              <w:left w:w="108" w:type="dxa"/>
              <w:bottom w:w="0" w:type="dxa"/>
              <w:right w:w="108" w:type="dxa"/>
            </w:tcMar>
          </w:tcPr>
          <w:p w14:paraId="3E34CBEC" w14:textId="77777777" w:rsidR="00C575E5" w:rsidRPr="00C575E5" w:rsidRDefault="00C575E5" w:rsidP="002E4DB3">
            <w:pPr>
              <w:pStyle w:val="TX-TableText"/>
              <w:spacing w:before="20" w:after="20" w:line="20" w:lineRule="atLeast"/>
              <w:ind w:right="795"/>
              <w:jc w:val="right"/>
              <w:rPr>
                <w:rFonts w:ascii="Times New Roman" w:hAnsi="Times New Roman"/>
                <w:sz w:val="24"/>
                <w:szCs w:val="24"/>
              </w:rPr>
            </w:pPr>
            <w:r w:rsidRPr="00C575E5">
              <w:rPr>
                <w:rFonts w:ascii="Times New Roman" w:hAnsi="Times New Roman"/>
                <w:sz w:val="24"/>
                <w:szCs w:val="24"/>
              </w:rPr>
              <w:t>5.7</w:t>
            </w:r>
          </w:p>
        </w:tc>
      </w:tr>
      <w:tr w:rsidR="00C575E5" w:rsidRPr="00C575E5" w14:paraId="580FBE2D" w14:textId="77777777" w:rsidTr="007B4880">
        <w:trPr>
          <w:trHeight w:val="20"/>
        </w:trPr>
        <w:tc>
          <w:tcPr>
            <w:tcW w:w="1250" w:type="pct"/>
            <w:noWrap/>
            <w:tcMar>
              <w:top w:w="0" w:type="dxa"/>
              <w:left w:w="108" w:type="dxa"/>
              <w:bottom w:w="0" w:type="dxa"/>
              <w:right w:w="108" w:type="dxa"/>
            </w:tcMar>
            <w:hideMark/>
          </w:tcPr>
          <w:p w14:paraId="41AE8DD6" w14:textId="77777777" w:rsidR="00C575E5" w:rsidRPr="00C575E5" w:rsidRDefault="00C575E5" w:rsidP="002E4DB3">
            <w:pPr>
              <w:pStyle w:val="TX-TableText"/>
              <w:spacing w:before="20" w:after="20" w:line="20" w:lineRule="atLeast"/>
              <w:ind w:right="795"/>
              <w:jc w:val="right"/>
              <w:rPr>
                <w:rFonts w:ascii="Times New Roman" w:hAnsi="Times New Roman"/>
                <w:b/>
                <w:bCs/>
                <w:sz w:val="24"/>
                <w:szCs w:val="24"/>
              </w:rPr>
            </w:pPr>
            <w:r w:rsidRPr="00C575E5">
              <w:rPr>
                <w:rFonts w:ascii="Times New Roman" w:hAnsi="Times New Roman"/>
                <w:b/>
                <w:bCs/>
                <w:sz w:val="24"/>
                <w:szCs w:val="24"/>
              </w:rPr>
              <w:t>CDSS</w:t>
            </w:r>
          </w:p>
        </w:tc>
        <w:tc>
          <w:tcPr>
            <w:tcW w:w="1250" w:type="pct"/>
            <w:noWrap/>
            <w:tcMar>
              <w:top w:w="0" w:type="dxa"/>
              <w:left w:w="108" w:type="dxa"/>
              <w:bottom w:w="0" w:type="dxa"/>
              <w:right w:w="108" w:type="dxa"/>
            </w:tcMar>
            <w:hideMark/>
          </w:tcPr>
          <w:p w14:paraId="60842BD9"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0.8</w:t>
            </w:r>
          </w:p>
        </w:tc>
        <w:tc>
          <w:tcPr>
            <w:tcW w:w="1250" w:type="pct"/>
            <w:noWrap/>
            <w:tcMar>
              <w:top w:w="0" w:type="dxa"/>
              <w:left w:w="108" w:type="dxa"/>
              <w:bottom w:w="0" w:type="dxa"/>
              <w:right w:w="108" w:type="dxa"/>
            </w:tcMar>
            <w:hideMark/>
          </w:tcPr>
          <w:p w14:paraId="49930D42"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348</w:t>
            </w:r>
          </w:p>
        </w:tc>
        <w:tc>
          <w:tcPr>
            <w:tcW w:w="1250" w:type="pct"/>
            <w:noWrap/>
            <w:tcMar>
              <w:top w:w="0" w:type="dxa"/>
              <w:left w:w="108" w:type="dxa"/>
              <w:bottom w:w="0" w:type="dxa"/>
              <w:right w:w="108" w:type="dxa"/>
            </w:tcMar>
            <w:hideMark/>
          </w:tcPr>
          <w:p w14:paraId="29706642" w14:textId="77777777" w:rsidR="00C575E5" w:rsidRPr="00C575E5" w:rsidRDefault="00C575E5" w:rsidP="002E4DB3">
            <w:pPr>
              <w:pStyle w:val="TX-TableText"/>
              <w:spacing w:before="20" w:after="20" w:line="20" w:lineRule="atLeast"/>
              <w:ind w:right="795"/>
              <w:jc w:val="right"/>
              <w:rPr>
                <w:rFonts w:ascii="Times New Roman" w:hAnsi="Times New Roman"/>
                <w:sz w:val="24"/>
                <w:szCs w:val="24"/>
              </w:rPr>
            </w:pPr>
            <w:r w:rsidRPr="00C575E5">
              <w:rPr>
                <w:rFonts w:ascii="Times New Roman" w:hAnsi="Times New Roman"/>
                <w:sz w:val="24"/>
                <w:szCs w:val="24"/>
              </w:rPr>
              <w:t>10.5</w:t>
            </w:r>
          </w:p>
        </w:tc>
      </w:tr>
      <w:tr w:rsidR="00C575E5" w:rsidRPr="00C575E5" w14:paraId="0C49FA6A" w14:textId="77777777" w:rsidTr="007B4880">
        <w:trPr>
          <w:trHeight w:val="20"/>
        </w:trPr>
        <w:tc>
          <w:tcPr>
            <w:tcW w:w="1250" w:type="pct"/>
            <w:tcBorders>
              <w:top w:val="nil"/>
              <w:left w:val="nil"/>
              <w:bottom w:val="single" w:sz="8" w:space="0" w:color="auto"/>
              <w:right w:val="nil"/>
            </w:tcBorders>
            <w:noWrap/>
            <w:tcMar>
              <w:top w:w="0" w:type="dxa"/>
              <w:left w:w="108" w:type="dxa"/>
              <w:bottom w:w="0" w:type="dxa"/>
              <w:right w:w="108" w:type="dxa"/>
            </w:tcMar>
          </w:tcPr>
          <w:p w14:paraId="6EFFBA22" w14:textId="77777777" w:rsidR="00C575E5" w:rsidRPr="00C575E5" w:rsidRDefault="00C575E5" w:rsidP="007B4880">
            <w:pPr>
              <w:pStyle w:val="TX-TableText"/>
              <w:spacing w:before="20" w:after="20" w:line="20" w:lineRule="atLeast"/>
              <w:rPr>
                <w:rFonts w:ascii="Times New Roman" w:hAnsi="Times New Roman"/>
                <w:b/>
                <w:bCs/>
                <w:sz w:val="24"/>
                <w:szCs w:val="24"/>
              </w:rPr>
            </w:pPr>
          </w:p>
        </w:tc>
        <w:tc>
          <w:tcPr>
            <w:tcW w:w="1250" w:type="pct"/>
            <w:tcBorders>
              <w:top w:val="nil"/>
              <w:left w:val="nil"/>
              <w:bottom w:val="single" w:sz="8" w:space="0" w:color="auto"/>
              <w:right w:val="nil"/>
            </w:tcBorders>
            <w:noWrap/>
            <w:tcMar>
              <w:top w:w="0" w:type="dxa"/>
              <w:left w:w="108" w:type="dxa"/>
              <w:bottom w:w="0" w:type="dxa"/>
              <w:right w:w="108" w:type="dxa"/>
            </w:tcMar>
          </w:tcPr>
          <w:p w14:paraId="639498DE" w14:textId="77777777" w:rsidR="00C575E5" w:rsidRPr="00C575E5" w:rsidRDefault="00C575E5" w:rsidP="007B4880">
            <w:pPr>
              <w:pStyle w:val="TX-TableText"/>
              <w:spacing w:before="20" w:after="20" w:line="20" w:lineRule="atLeast"/>
              <w:jc w:val="center"/>
              <w:rPr>
                <w:rFonts w:ascii="Times New Roman" w:hAnsi="Times New Roman"/>
                <w:sz w:val="24"/>
                <w:szCs w:val="24"/>
              </w:rPr>
            </w:pPr>
          </w:p>
        </w:tc>
        <w:tc>
          <w:tcPr>
            <w:tcW w:w="1250" w:type="pct"/>
            <w:tcBorders>
              <w:top w:val="nil"/>
              <w:left w:val="nil"/>
              <w:bottom w:val="single" w:sz="8" w:space="0" w:color="auto"/>
              <w:right w:val="nil"/>
            </w:tcBorders>
            <w:noWrap/>
            <w:tcMar>
              <w:top w:w="0" w:type="dxa"/>
              <w:left w:w="108" w:type="dxa"/>
              <w:bottom w:w="0" w:type="dxa"/>
              <w:right w:w="108" w:type="dxa"/>
            </w:tcMar>
          </w:tcPr>
          <w:p w14:paraId="56B979DA" w14:textId="77777777" w:rsidR="00C575E5" w:rsidRPr="00C575E5" w:rsidRDefault="00C575E5" w:rsidP="007B4880">
            <w:pPr>
              <w:pStyle w:val="TX-TableText"/>
              <w:spacing w:before="20" w:after="20" w:line="20" w:lineRule="atLeast"/>
              <w:jc w:val="center"/>
              <w:rPr>
                <w:rFonts w:ascii="Times New Roman" w:hAnsi="Times New Roman"/>
                <w:sz w:val="24"/>
                <w:szCs w:val="24"/>
              </w:rPr>
            </w:pPr>
          </w:p>
        </w:tc>
        <w:tc>
          <w:tcPr>
            <w:tcW w:w="1250" w:type="pct"/>
            <w:tcBorders>
              <w:top w:val="nil"/>
              <w:left w:val="nil"/>
              <w:bottom w:val="single" w:sz="8" w:space="0" w:color="auto"/>
              <w:right w:val="nil"/>
            </w:tcBorders>
            <w:noWrap/>
            <w:tcMar>
              <w:top w:w="0" w:type="dxa"/>
              <w:left w:w="108" w:type="dxa"/>
              <w:bottom w:w="0" w:type="dxa"/>
              <w:right w:w="108" w:type="dxa"/>
            </w:tcMar>
          </w:tcPr>
          <w:p w14:paraId="24848E0B" w14:textId="77777777" w:rsidR="00C575E5" w:rsidRPr="00C575E5" w:rsidRDefault="00C575E5" w:rsidP="007B4880">
            <w:pPr>
              <w:pStyle w:val="TX-TableText"/>
              <w:spacing w:before="20" w:after="20" w:line="20" w:lineRule="atLeast"/>
              <w:jc w:val="center"/>
              <w:rPr>
                <w:rFonts w:ascii="Times New Roman" w:hAnsi="Times New Roman"/>
                <w:sz w:val="24"/>
                <w:szCs w:val="24"/>
              </w:rPr>
            </w:pPr>
          </w:p>
        </w:tc>
      </w:tr>
    </w:tbl>
    <w:p w14:paraId="7E1D4BE9" w14:textId="77777777" w:rsidR="00C575E5" w:rsidRPr="00E775AA" w:rsidRDefault="00C575E5" w:rsidP="00F15031">
      <w:pPr>
        <w:pStyle w:val="TF-TblFN"/>
        <w:spacing w:before="0"/>
        <w:rPr>
          <w:rFonts w:ascii="Times New Roman" w:hAnsi="Times New Roman"/>
          <w:sz w:val="20"/>
        </w:rPr>
      </w:pPr>
      <w:r w:rsidRPr="00E775AA">
        <w:rPr>
          <w:rFonts w:ascii="Times New Roman" w:hAnsi="Times New Roman"/>
          <w:b/>
          <w:bCs/>
          <w:sz w:val="20"/>
        </w:rPr>
        <w:t xml:space="preserve">Note: </w:t>
      </w:r>
      <w:r w:rsidRPr="00E775AA">
        <w:rPr>
          <w:rFonts w:ascii="Times New Roman" w:hAnsi="Times New Roman"/>
          <w:sz w:val="20"/>
        </w:rPr>
        <w:t xml:space="preserve">Intra-class correlation within site is assumed to be 0.1 and Alpha=0.05 and power was set to be 0.7 or 0.8. The number of sites is assumed to be 32. </w:t>
      </w:r>
    </w:p>
    <w:p w14:paraId="2DFA88AB" w14:textId="77777777" w:rsidR="00C575E5" w:rsidRDefault="00C575E5" w:rsidP="003F16AF">
      <w:pPr>
        <w:pStyle w:val="TT-TableTitle"/>
        <w:spacing w:line="240" w:lineRule="auto"/>
        <w:rPr>
          <w:rFonts w:ascii="Times New Roman" w:hAnsi="Times New Roman"/>
          <w:sz w:val="32"/>
          <w:szCs w:val="24"/>
        </w:rPr>
      </w:pPr>
    </w:p>
    <w:p w14:paraId="57D239DA" w14:textId="77777777" w:rsidR="00C575E5" w:rsidRPr="00C575E5" w:rsidRDefault="00C575E5" w:rsidP="00266C1F">
      <w:pPr>
        <w:spacing w:line="240" w:lineRule="auto"/>
        <w:rPr>
          <w:rFonts w:ascii="Times New Roman" w:hAnsi="Times New Roman"/>
          <w:szCs w:val="24"/>
        </w:rPr>
      </w:pPr>
      <w:r w:rsidRPr="00C575E5">
        <w:rPr>
          <w:rFonts w:ascii="Times New Roman" w:hAnsi="Times New Roman"/>
          <w:szCs w:val="24"/>
        </w:rPr>
        <w:t>For the high fidelity group, the estimated effect sizes for the QLS, PANSS, and CDSS are the difference between the baseline measure and the follow-up measure. As presented in Table 6, these are 5.90, 4.32, and 0.78 which can be detected with a sample size of 348 and a power of 0.8.</w:t>
      </w:r>
    </w:p>
    <w:p w14:paraId="370237DD" w14:textId="77777777" w:rsidR="00C575E5" w:rsidRPr="00C575E5" w:rsidRDefault="00C575E5" w:rsidP="00C575E5">
      <w:pPr>
        <w:pStyle w:val="TT-TableTitle"/>
        <w:rPr>
          <w:rFonts w:ascii="Times New Roman" w:hAnsi="Times New Roman"/>
          <w:sz w:val="24"/>
          <w:szCs w:val="24"/>
        </w:rPr>
      </w:pPr>
    </w:p>
    <w:p w14:paraId="6B25E0B1" w14:textId="7AA1666E" w:rsidR="00C575E5" w:rsidRPr="00C575E5" w:rsidRDefault="00C575E5" w:rsidP="00C575E5">
      <w:pPr>
        <w:pStyle w:val="TT-TableTitle"/>
        <w:rPr>
          <w:rFonts w:ascii="Times New Roman" w:hAnsi="Times New Roman"/>
          <w:sz w:val="24"/>
          <w:szCs w:val="24"/>
        </w:rPr>
      </w:pPr>
      <w:r w:rsidRPr="00C575E5">
        <w:rPr>
          <w:rFonts w:ascii="Times New Roman" w:hAnsi="Times New Roman"/>
          <w:sz w:val="24"/>
          <w:szCs w:val="24"/>
        </w:rPr>
        <w:t xml:space="preserve">Table </w:t>
      </w:r>
      <w:r w:rsidR="00054386">
        <w:rPr>
          <w:rFonts w:ascii="Times New Roman" w:hAnsi="Times New Roman"/>
          <w:sz w:val="24"/>
          <w:szCs w:val="24"/>
        </w:rPr>
        <w:t>2</w:t>
      </w:r>
      <w:r w:rsidRPr="00C575E5">
        <w:rPr>
          <w:rFonts w:ascii="Times New Roman" w:hAnsi="Times New Roman"/>
          <w:sz w:val="24"/>
          <w:szCs w:val="24"/>
        </w:rPr>
        <w:t>.           The estimated effect sizes for the high fidelity group</w:t>
      </w:r>
    </w:p>
    <w:tbl>
      <w:tblPr>
        <w:tblW w:w="4753" w:type="pct"/>
        <w:tblInd w:w="108" w:type="dxa"/>
        <w:tblCellMar>
          <w:left w:w="0" w:type="dxa"/>
          <w:right w:w="0" w:type="dxa"/>
        </w:tblCellMar>
        <w:tblLook w:val="04A0" w:firstRow="1" w:lastRow="0" w:firstColumn="1" w:lastColumn="0" w:noHBand="0" w:noVBand="1"/>
      </w:tblPr>
      <w:tblGrid>
        <w:gridCol w:w="1872"/>
        <w:gridCol w:w="2310"/>
        <w:gridCol w:w="2491"/>
        <w:gridCol w:w="2225"/>
      </w:tblGrid>
      <w:tr w:rsidR="00C575E5" w:rsidRPr="00C575E5" w14:paraId="6903D3F2" w14:textId="77777777" w:rsidTr="002E4DB3">
        <w:trPr>
          <w:trHeight w:val="20"/>
        </w:trPr>
        <w:tc>
          <w:tcPr>
            <w:tcW w:w="1052" w:type="pct"/>
            <w:tcBorders>
              <w:top w:val="single" w:sz="8" w:space="0" w:color="auto"/>
              <w:left w:val="nil"/>
              <w:bottom w:val="single" w:sz="8" w:space="0" w:color="auto"/>
              <w:right w:val="nil"/>
            </w:tcBorders>
            <w:shd w:val="clear" w:color="auto" w:fill="auto"/>
            <w:tcMar>
              <w:top w:w="0" w:type="dxa"/>
              <w:left w:w="108" w:type="dxa"/>
              <w:bottom w:w="0" w:type="dxa"/>
              <w:right w:w="108" w:type="dxa"/>
            </w:tcMar>
            <w:vAlign w:val="bottom"/>
            <w:hideMark/>
          </w:tcPr>
          <w:p w14:paraId="08554FE6"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Outcome variables</w:t>
            </w:r>
          </w:p>
        </w:tc>
        <w:tc>
          <w:tcPr>
            <w:tcW w:w="1298" w:type="pct"/>
            <w:tcBorders>
              <w:top w:val="single" w:sz="8" w:space="0" w:color="auto"/>
              <w:left w:val="nil"/>
              <w:bottom w:val="single" w:sz="8" w:space="0" w:color="auto"/>
              <w:right w:val="nil"/>
            </w:tcBorders>
            <w:shd w:val="clear" w:color="auto" w:fill="auto"/>
            <w:tcMar>
              <w:top w:w="0" w:type="dxa"/>
              <w:left w:w="108" w:type="dxa"/>
              <w:bottom w:w="0" w:type="dxa"/>
              <w:right w:w="108" w:type="dxa"/>
            </w:tcMar>
            <w:vAlign w:val="bottom"/>
            <w:hideMark/>
          </w:tcPr>
          <w:p w14:paraId="4BE6E958"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Baseline</w:t>
            </w:r>
          </w:p>
        </w:tc>
        <w:tc>
          <w:tcPr>
            <w:tcW w:w="1400" w:type="pct"/>
            <w:tcBorders>
              <w:top w:val="single" w:sz="8" w:space="0" w:color="auto"/>
              <w:left w:val="nil"/>
              <w:bottom w:val="single" w:sz="8" w:space="0" w:color="auto"/>
              <w:right w:val="nil"/>
            </w:tcBorders>
            <w:shd w:val="clear" w:color="auto" w:fill="auto"/>
          </w:tcPr>
          <w:p w14:paraId="7492B70C"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 xml:space="preserve">Follow-up for </w:t>
            </w:r>
          </w:p>
          <w:p w14:paraId="3B853EA5"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High Fidelity Group</w:t>
            </w:r>
          </w:p>
        </w:tc>
        <w:tc>
          <w:tcPr>
            <w:tcW w:w="1250" w:type="pct"/>
            <w:tcBorders>
              <w:top w:val="single" w:sz="8" w:space="0" w:color="auto"/>
              <w:left w:val="nil"/>
              <w:bottom w:val="single" w:sz="8" w:space="0" w:color="auto"/>
              <w:right w:val="nil"/>
            </w:tcBorders>
            <w:shd w:val="clear" w:color="auto" w:fill="auto"/>
          </w:tcPr>
          <w:p w14:paraId="01C12061" w14:textId="77777777" w:rsidR="00C575E5" w:rsidRPr="00C575E5" w:rsidRDefault="00C575E5" w:rsidP="007B4880">
            <w:pPr>
              <w:pStyle w:val="TH-TableHeading"/>
              <w:spacing w:before="20" w:after="20" w:line="20" w:lineRule="atLeast"/>
              <w:rPr>
                <w:rFonts w:ascii="Times New Roman" w:hAnsi="Times New Roman"/>
                <w:sz w:val="24"/>
                <w:szCs w:val="24"/>
              </w:rPr>
            </w:pPr>
            <w:r w:rsidRPr="00C575E5">
              <w:rPr>
                <w:rFonts w:ascii="Times New Roman" w:hAnsi="Times New Roman"/>
                <w:sz w:val="24"/>
                <w:szCs w:val="24"/>
              </w:rPr>
              <w:t>Estimated Effect Size</w:t>
            </w:r>
          </w:p>
        </w:tc>
      </w:tr>
      <w:tr w:rsidR="00C575E5" w:rsidRPr="00C575E5" w14:paraId="452F489E" w14:textId="77777777" w:rsidTr="002E4DB3">
        <w:trPr>
          <w:trHeight w:val="20"/>
        </w:trPr>
        <w:tc>
          <w:tcPr>
            <w:tcW w:w="1052" w:type="pct"/>
            <w:noWrap/>
            <w:tcMar>
              <w:top w:w="0" w:type="dxa"/>
              <w:left w:w="108" w:type="dxa"/>
              <w:bottom w:w="0" w:type="dxa"/>
              <w:right w:w="108" w:type="dxa"/>
            </w:tcMar>
          </w:tcPr>
          <w:p w14:paraId="52E6D949" w14:textId="77777777" w:rsidR="00C575E5" w:rsidRPr="00C575E5" w:rsidRDefault="00C575E5" w:rsidP="007B4880">
            <w:pPr>
              <w:pStyle w:val="TX-TableText"/>
              <w:spacing w:before="20" w:after="20" w:line="20" w:lineRule="atLeast"/>
              <w:jc w:val="center"/>
              <w:rPr>
                <w:rFonts w:ascii="Times New Roman" w:hAnsi="Times New Roman"/>
                <w:b/>
                <w:bCs/>
                <w:sz w:val="24"/>
                <w:szCs w:val="24"/>
              </w:rPr>
            </w:pPr>
            <w:r w:rsidRPr="00C575E5">
              <w:rPr>
                <w:rFonts w:ascii="Times New Roman" w:hAnsi="Times New Roman"/>
                <w:b/>
                <w:bCs/>
                <w:sz w:val="24"/>
                <w:szCs w:val="24"/>
              </w:rPr>
              <w:t>QLS</w:t>
            </w:r>
          </w:p>
        </w:tc>
        <w:tc>
          <w:tcPr>
            <w:tcW w:w="1298" w:type="pct"/>
            <w:noWrap/>
            <w:tcMar>
              <w:top w:w="0" w:type="dxa"/>
              <w:left w:w="108" w:type="dxa"/>
              <w:bottom w:w="0" w:type="dxa"/>
              <w:right w:w="108" w:type="dxa"/>
            </w:tcMar>
          </w:tcPr>
          <w:p w14:paraId="7D2AA559"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54.77</w:t>
            </w:r>
          </w:p>
        </w:tc>
        <w:tc>
          <w:tcPr>
            <w:tcW w:w="1400" w:type="pct"/>
          </w:tcPr>
          <w:p w14:paraId="681653BF"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60.67</w:t>
            </w:r>
          </w:p>
        </w:tc>
        <w:tc>
          <w:tcPr>
            <w:tcW w:w="1250" w:type="pct"/>
          </w:tcPr>
          <w:p w14:paraId="3B97AF5D"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5.90</w:t>
            </w:r>
          </w:p>
        </w:tc>
      </w:tr>
      <w:tr w:rsidR="00C575E5" w:rsidRPr="00C575E5" w14:paraId="2E6E53D3" w14:textId="77777777" w:rsidTr="002E4DB3">
        <w:trPr>
          <w:trHeight w:val="20"/>
        </w:trPr>
        <w:tc>
          <w:tcPr>
            <w:tcW w:w="1052" w:type="pct"/>
            <w:noWrap/>
            <w:tcMar>
              <w:top w:w="0" w:type="dxa"/>
              <w:left w:w="108" w:type="dxa"/>
              <w:bottom w:w="0" w:type="dxa"/>
              <w:right w:w="108" w:type="dxa"/>
            </w:tcMar>
          </w:tcPr>
          <w:p w14:paraId="2930AAA2" w14:textId="77777777" w:rsidR="00C575E5" w:rsidRPr="00C575E5" w:rsidRDefault="00C575E5" w:rsidP="007B4880">
            <w:pPr>
              <w:pStyle w:val="TX-TableText"/>
              <w:spacing w:before="20" w:after="20" w:line="20" w:lineRule="atLeast"/>
              <w:jc w:val="center"/>
              <w:rPr>
                <w:rFonts w:ascii="Times New Roman" w:hAnsi="Times New Roman"/>
                <w:b/>
                <w:bCs/>
                <w:sz w:val="24"/>
                <w:szCs w:val="24"/>
              </w:rPr>
            </w:pPr>
            <w:r w:rsidRPr="00C575E5">
              <w:rPr>
                <w:rFonts w:ascii="Times New Roman" w:hAnsi="Times New Roman"/>
                <w:b/>
                <w:bCs/>
                <w:sz w:val="24"/>
                <w:szCs w:val="24"/>
              </w:rPr>
              <w:t>PANSS</w:t>
            </w:r>
          </w:p>
        </w:tc>
        <w:tc>
          <w:tcPr>
            <w:tcW w:w="1298" w:type="pct"/>
            <w:noWrap/>
            <w:tcMar>
              <w:top w:w="0" w:type="dxa"/>
              <w:left w:w="108" w:type="dxa"/>
              <w:bottom w:w="0" w:type="dxa"/>
              <w:right w:w="108" w:type="dxa"/>
            </w:tcMar>
          </w:tcPr>
          <w:p w14:paraId="4B0ECC10"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74.54</w:t>
            </w:r>
          </w:p>
        </w:tc>
        <w:tc>
          <w:tcPr>
            <w:tcW w:w="1400" w:type="pct"/>
          </w:tcPr>
          <w:p w14:paraId="11B75908"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70.22</w:t>
            </w:r>
          </w:p>
        </w:tc>
        <w:tc>
          <w:tcPr>
            <w:tcW w:w="1250" w:type="pct"/>
          </w:tcPr>
          <w:p w14:paraId="41DF4BDE"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4.32</w:t>
            </w:r>
          </w:p>
        </w:tc>
      </w:tr>
      <w:tr w:rsidR="00C575E5" w:rsidRPr="00C575E5" w14:paraId="46FD7050" w14:textId="77777777" w:rsidTr="002E4DB3">
        <w:trPr>
          <w:trHeight w:val="20"/>
        </w:trPr>
        <w:tc>
          <w:tcPr>
            <w:tcW w:w="1052" w:type="pct"/>
            <w:noWrap/>
            <w:tcMar>
              <w:top w:w="0" w:type="dxa"/>
              <w:left w:w="108" w:type="dxa"/>
              <w:bottom w:w="0" w:type="dxa"/>
              <w:right w:w="108" w:type="dxa"/>
            </w:tcMar>
            <w:hideMark/>
          </w:tcPr>
          <w:p w14:paraId="090BE588" w14:textId="77777777" w:rsidR="00C575E5" w:rsidRPr="00C575E5" w:rsidRDefault="00C575E5" w:rsidP="007B4880">
            <w:pPr>
              <w:pStyle w:val="TX-TableText"/>
              <w:spacing w:before="20" w:after="20" w:line="20" w:lineRule="atLeast"/>
              <w:jc w:val="center"/>
              <w:rPr>
                <w:rFonts w:ascii="Times New Roman" w:hAnsi="Times New Roman"/>
                <w:b/>
                <w:bCs/>
                <w:sz w:val="24"/>
                <w:szCs w:val="24"/>
              </w:rPr>
            </w:pPr>
            <w:r w:rsidRPr="00C575E5">
              <w:rPr>
                <w:rFonts w:ascii="Times New Roman" w:hAnsi="Times New Roman"/>
                <w:b/>
                <w:bCs/>
                <w:sz w:val="24"/>
                <w:szCs w:val="24"/>
              </w:rPr>
              <w:t>CDSS</w:t>
            </w:r>
          </w:p>
        </w:tc>
        <w:tc>
          <w:tcPr>
            <w:tcW w:w="1298" w:type="pct"/>
            <w:noWrap/>
            <w:tcMar>
              <w:top w:w="0" w:type="dxa"/>
              <w:left w:w="108" w:type="dxa"/>
              <w:bottom w:w="0" w:type="dxa"/>
              <w:right w:w="108" w:type="dxa"/>
            </w:tcMar>
            <w:hideMark/>
          </w:tcPr>
          <w:p w14:paraId="28714895"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4.66</w:t>
            </w:r>
          </w:p>
        </w:tc>
        <w:tc>
          <w:tcPr>
            <w:tcW w:w="1400" w:type="pct"/>
          </w:tcPr>
          <w:p w14:paraId="1CFA3C1F"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3.88</w:t>
            </w:r>
          </w:p>
        </w:tc>
        <w:tc>
          <w:tcPr>
            <w:tcW w:w="1250" w:type="pct"/>
          </w:tcPr>
          <w:p w14:paraId="46E12962" w14:textId="77777777" w:rsidR="00C575E5" w:rsidRPr="00C575E5" w:rsidRDefault="00C575E5" w:rsidP="007B4880">
            <w:pPr>
              <w:pStyle w:val="TX-TableText"/>
              <w:spacing w:before="20" w:after="20" w:line="20" w:lineRule="atLeast"/>
              <w:jc w:val="center"/>
              <w:rPr>
                <w:rFonts w:ascii="Times New Roman" w:hAnsi="Times New Roman"/>
                <w:sz w:val="24"/>
                <w:szCs w:val="24"/>
              </w:rPr>
            </w:pPr>
            <w:r w:rsidRPr="00C575E5">
              <w:rPr>
                <w:rFonts w:ascii="Times New Roman" w:hAnsi="Times New Roman"/>
                <w:sz w:val="24"/>
                <w:szCs w:val="24"/>
              </w:rPr>
              <w:t>0.78</w:t>
            </w:r>
          </w:p>
        </w:tc>
      </w:tr>
      <w:tr w:rsidR="00C575E5" w:rsidRPr="00C575E5" w14:paraId="06E0B848" w14:textId="77777777" w:rsidTr="002E4DB3">
        <w:trPr>
          <w:trHeight w:val="20"/>
        </w:trPr>
        <w:tc>
          <w:tcPr>
            <w:tcW w:w="1052" w:type="pct"/>
            <w:tcBorders>
              <w:top w:val="nil"/>
              <w:left w:val="nil"/>
              <w:bottom w:val="single" w:sz="8" w:space="0" w:color="auto"/>
              <w:right w:val="nil"/>
            </w:tcBorders>
            <w:noWrap/>
            <w:tcMar>
              <w:top w:w="0" w:type="dxa"/>
              <w:left w:w="108" w:type="dxa"/>
              <w:bottom w:w="0" w:type="dxa"/>
              <w:right w:w="108" w:type="dxa"/>
            </w:tcMar>
          </w:tcPr>
          <w:p w14:paraId="03CA937E" w14:textId="77777777" w:rsidR="00C575E5" w:rsidRPr="00C575E5" w:rsidRDefault="00C575E5" w:rsidP="007B4880">
            <w:pPr>
              <w:pStyle w:val="TX-TableText"/>
              <w:spacing w:before="20" w:after="20" w:line="20" w:lineRule="atLeast"/>
              <w:rPr>
                <w:rFonts w:ascii="Times New Roman" w:hAnsi="Times New Roman"/>
                <w:b/>
                <w:bCs/>
                <w:sz w:val="24"/>
                <w:szCs w:val="24"/>
              </w:rPr>
            </w:pPr>
          </w:p>
        </w:tc>
        <w:tc>
          <w:tcPr>
            <w:tcW w:w="1298" w:type="pct"/>
            <w:tcBorders>
              <w:top w:val="nil"/>
              <w:left w:val="nil"/>
              <w:bottom w:val="single" w:sz="8" w:space="0" w:color="auto"/>
              <w:right w:val="nil"/>
            </w:tcBorders>
            <w:noWrap/>
            <w:tcMar>
              <w:top w:w="0" w:type="dxa"/>
              <w:left w:w="108" w:type="dxa"/>
              <w:bottom w:w="0" w:type="dxa"/>
              <w:right w:w="108" w:type="dxa"/>
            </w:tcMar>
          </w:tcPr>
          <w:p w14:paraId="0D8907DE" w14:textId="77777777" w:rsidR="00C575E5" w:rsidRPr="00C575E5" w:rsidRDefault="00C575E5" w:rsidP="007B4880">
            <w:pPr>
              <w:pStyle w:val="TX-TableText"/>
              <w:spacing w:before="20" w:after="20" w:line="20" w:lineRule="atLeast"/>
              <w:jc w:val="center"/>
              <w:rPr>
                <w:rFonts w:ascii="Times New Roman" w:hAnsi="Times New Roman"/>
                <w:sz w:val="24"/>
                <w:szCs w:val="24"/>
              </w:rPr>
            </w:pPr>
          </w:p>
        </w:tc>
        <w:tc>
          <w:tcPr>
            <w:tcW w:w="1400" w:type="pct"/>
            <w:tcBorders>
              <w:top w:val="nil"/>
              <w:left w:val="nil"/>
              <w:bottom w:val="single" w:sz="8" w:space="0" w:color="auto"/>
              <w:right w:val="nil"/>
            </w:tcBorders>
          </w:tcPr>
          <w:p w14:paraId="5CFF80E0" w14:textId="77777777" w:rsidR="00C575E5" w:rsidRPr="00C575E5" w:rsidRDefault="00C575E5" w:rsidP="007B4880">
            <w:pPr>
              <w:pStyle w:val="TX-TableText"/>
              <w:spacing w:before="20" w:after="20" w:line="20" w:lineRule="atLeast"/>
              <w:jc w:val="center"/>
              <w:rPr>
                <w:rFonts w:ascii="Times New Roman" w:hAnsi="Times New Roman"/>
                <w:sz w:val="24"/>
                <w:szCs w:val="24"/>
              </w:rPr>
            </w:pPr>
          </w:p>
        </w:tc>
        <w:tc>
          <w:tcPr>
            <w:tcW w:w="1250" w:type="pct"/>
            <w:tcBorders>
              <w:top w:val="nil"/>
              <w:left w:val="nil"/>
              <w:bottom w:val="single" w:sz="8" w:space="0" w:color="auto"/>
              <w:right w:val="nil"/>
            </w:tcBorders>
          </w:tcPr>
          <w:p w14:paraId="50FFF82D" w14:textId="77777777" w:rsidR="00C575E5" w:rsidRPr="00C575E5" w:rsidRDefault="00C575E5" w:rsidP="007B4880">
            <w:pPr>
              <w:pStyle w:val="TX-TableText"/>
              <w:spacing w:before="20" w:after="20" w:line="20" w:lineRule="atLeast"/>
              <w:jc w:val="center"/>
              <w:rPr>
                <w:rFonts w:ascii="Times New Roman" w:hAnsi="Times New Roman"/>
                <w:sz w:val="24"/>
                <w:szCs w:val="24"/>
              </w:rPr>
            </w:pPr>
          </w:p>
        </w:tc>
      </w:tr>
    </w:tbl>
    <w:p w14:paraId="08CFBC3C" w14:textId="77777777" w:rsidR="00C575E5" w:rsidRPr="00C575E5" w:rsidRDefault="00C575E5" w:rsidP="003F16AF">
      <w:pPr>
        <w:pStyle w:val="TT-TableTitle"/>
        <w:spacing w:line="240" w:lineRule="auto"/>
        <w:rPr>
          <w:rFonts w:ascii="Times New Roman" w:hAnsi="Times New Roman"/>
          <w:sz w:val="24"/>
          <w:szCs w:val="24"/>
        </w:rPr>
      </w:pPr>
    </w:p>
    <w:p w14:paraId="56D08B8F" w14:textId="77777777" w:rsidR="00C575E5" w:rsidRPr="00C575E5" w:rsidRDefault="00C575E5" w:rsidP="003F16AF">
      <w:pPr>
        <w:pStyle w:val="L1-FlLSp12"/>
        <w:spacing w:line="240" w:lineRule="auto"/>
        <w:rPr>
          <w:rFonts w:ascii="Times New Roman" w:eastAsiaTheme="minorHAnsi" w:hAnsi="Times New Roman"/>
          <w:szCs w:val="24"/>
        </w:rPr>
      </w:pPr>
    </w:p>
    <w:p w14:paraId="3969AE3D" w14:textId="77777777" w:rsidR="00F71D78" w:rsidRPr="003F16AF" w:rsidRDefault="004F3563" w:rsidP="003F16AF">
      <w:pPr>
        <w:pStyle w:val="Heading5"/>
        <w:spacing w:line="240" w:lineRule="auto"/>
        <w:rPr>
          <w:rFonts w:ascii="Times New Roman" w:hAnsi="Times New Roman"/>
          <w:szCs w:val="24"/>
        </w:rPr>
      </w:pPr>
      <w:r w:rsidRPr="003F16AF">
        <w:rPr>
          <w:rFonts w:ascii="Times New Roman" w:hAnsi="Times New Roman"/>
          <w:szCs w:val="24"/>
        </w:rPr>
        <w:tab/>
      </w:r>
      <w:r w:rsidR="00F71D78" w:rsidRPr="003F16AF">
        <w:rPr>
          <w:rFonts w:ascii="Times New Roman" w:hAnsi="Times New Roman"/>
          <w:szCs w:val="24"/>
        </w:rPr>
        <w:t>In-depth Interviews with Key Informants</w:t>
      </w:r>
    </w:p>
    <w:p w14:paraId="264E2145" w14:textId="531DFCDE" w:rsidR="00F71D78" w:rsidRPr="003F16AF" w:rsidRDefault="003F16AF" w:rsidP="003F16AF">
      <w:pPr>
        <w:pStyle w:val="L1-FlLSp12"/>
        <w:spacing w:line="240" w:lineRule="auto"/>
        <w:rPr>
          <w:rFonts w:ascii="Times New Roman" w:hAnsi="Times New Roman"/>
          <w:szCs w:val="24"/>
        </w:rPr>
      </w:pPr>
      <w:r>
        <w:rPr>
          <w:rFonts w:ascii="Times New Roman" w:hAnsi="Times New Roman"/>
          <w:szCs w:val="24"/>
        </w:rPr>
        <w:t>K</w:t>
      </w:r>
      <w:r w:rsidR="00F71D78" w:rsidRPr="003F16AF">
        <w:rPr>
          <w:rFonts w:ascii="Times New Roman" w:hAnsi="Times New Roman"/>
          <w:szCs w:val="24"/>
        </w:rPr>
        <w:t xml:space="preserve">ey informant interviews </w:t>
      </w:r>
      <w:r>
        <w:rPr>
          <w:rFonts w:ascii="Times New Roman" w:hAnsi="Times New Roman"/>
          <w:szCs w:val="24"/>
        </w:rPr>
        <w:t xml:space="preserve">will be conducted </w:t>
      </w:r>
      <w:r w:rsidR="00F71D78" w:rsidRPr="003F16AF">
        <w:rPr>
          <w:rFonts w:ascii="Times New Roman" w:hAnsi="Times New Roman"/>
          <w:szCs w:val="24"/>
        </w:rPr>
        <w:t>with up to 32 State Mental Health Directors across the country. Interviewees will be contacted by phone and they will represent the States where the 32 CSC sites are located.</w:t>
      </w:r>
    </w:p>
    <w:p w14:paraId="1E5F1601" w14:textId="77777777" w:rsidR="004F3563" w:rsidRPr="003F16AF" w:rsidRDefault="004F3563" w:rsidP="003F16AF">
      <w:pPr>
        <w:pStyle w:val="L1-FlLSp12"/>
        <w:spacing w:line="240" w:lineRule="auto"/>
        <w:rPr>
          <w:rFonts w:ascii="Times New Roman" w:hAnsi="Times New Roman"/>
          <w:szCs w:val="24"/>
        </w:rPr>
      </w:pPr>
    </w:p>
    <w:p w14:paraId="40DBF835" w14:textId="390FF204"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There will be two site visits in Years 1 and 2. During the site visits, in</w:t>
      </w:r>
      <w:r w:rsidR="003F16AF">
        <w:rPr>
          <w:rFonts w:ascii="Times New Roman" w:hAnsi="Times New Roman"/>
          <w:szCs w:val="24"/>
        </w:rPr>
        <w:t>-</w:t>
      </w:r>
      <w:r w:rsidRPr="003F16AF">
        <w:rPr>
          <w:rFonts w:ascii="Times New Roman" w:hAnsi="Times New Roman"/>
          <w:szCs w:val="24"/>
        </w:rPr>
        <w:t xml:space="preserve">person in-depth interviews </w:t>
      </w:r>
      <w:r w:rsidR="003F16AF">
        <w:rPr>
          <w:rFonts w:ascii="Times New Roman" w:hAnsi="Times New Roman"/>
          <w:szCs w:val="24"/>
        </w:rPr>
        <w:t xml:space="preserve">will be conducted </w:t>
      </w:r>
      <w:r w:rsidRPr="003F16AF">
        <w:rPr>
          <w:rFonts w:ascii="Times New Roman" w:hAnsi="Times New Roman"/>
          <w:szCs w:val="24"/>
        </w:rPr>
        <w:t xml:space="preserve">with site director/administrator and up to </w:t>
      </w:r>
      <w:r w:rsidR="008376CB">
        <w:rPr>
          <w:rFonts w:ascii="Times New Roman" w:hAnsi="Times New Roman"/>
          <w:szCs w:val="24"/>
        </w:rPr>
        <w:t>3</w:t>
      </w:r>
      <w:r w:rsidRPr="003F16AF">
        <w:rPr>
          <w:rFonts w:ascii="Times New Roman" w:hAnsi="Times New Roman"/>
          <w:szCs w:val="24"/>
        </w:rPr>
        <w:t xml:space="preserve"> program staff providing CSC services. Working with each site, Westat will identify a </w:t>
      </w:r>
      <w:r w:rsidR="00623509" w:rsidRPr="003F16AF">
        <w:rPr>
          <w:rFonts w:ascii="Times New Roman" w:hAnsi="Times New Roman"/>
          <w:szCs w:val="24"/>
        </w:rPr>
        <w:t>convenien</w:t>
      </w:r>
      <w:r w:rsidR="00623509">
        <w:rPr>
          <w:rFonts w:ascii="Times New Roman" w:hAnsi="Times New Roman"/>
          <w:szCs w:val="24"/>
        </w:rPr>
        <w:t>ce</w:t>
      </w:r>
      <w:r w:rsidR="00623509" w:rsidRPr="003F16AF">
        <w:rPr>
          <w:rFonts w:ascii="Times New Roman" w:hAnsi="Times New Roman"/>
          <w:szCs w:val="24"/>
        </w:rPr>
        <w:t xml:space="preserve"> </w:t>
      </w:r>
      <w:r w:rsidRPr="003F16AF">
        <w:rPr>
          <w:rFonts w:ascii="Times New Roman" w:hAnsi="Times New Roman"/>
          <w:szCs w:val="24"/>
        </w:rPr>
        <w:t xml:space="preserve">sample of 2 program participants at each site for in-person in-depth interviews. Potential in-depth interviewees will be contacted by phone and offered $25 to participate in an interview at the CSC center which will focus on their experiences as program participants. Respondents will be informed that the interview will last for approximately 60 minutes. Agreement to be interviewed will be obtained on the phone to be followed up with written consent in person. </w:t>
      </w:r>
    </w:p>
    <w:p w14:paraId="51CDECE8" w14:textId="77777777" w:rsidR="004F3563" w:rsidRPr="003F16AF" w:rsidRDefault="004F3563" w:rsidP="003F16AF">
      <w:pPr>
        <w:pStyle w:val="L1-FlLSp12"/>
        <w:spacing w:line="240" w:lineRule="auto"/>
        <w:rPr>
          <w:rFonts w:ascii="Times New Roman" w:hAnsi="Times New Roman"/>
          <w:szCs w:val="24"/>
        </w:rPr>
      </w:pPr>
    </w:p>
    <w:p w14:paraId="64067072" w14:textId="77777777" w:rsidR="004F3563" w:rsidRPr="003F16AF" w:rsidRDefault="004F3563" w:rsidP="003F16AF">
      <w:pPr>
        <w:pStyle w:val="L1-FlLSp12"/>
        <w:spacing w:line="240" w:lineRule="auto"/>
        <w:rPr>
          <w:rFonts w:ascii="Times New Roman" w:hAnsi="Times New Roman"/>
          <w:szCs w:val="24"/>
        </w:rPr>
      </w:pPr>
    </w:p>
    <w:p w14:paraId="6614C264" w14:textId="77777777" w:rsidR="00F71D78" w:rsidRPr="003F16AF" w:rsidRDefault="00F71D78" w:rsidP="003F16AF">
      <w:pPr>
        <w:pStyle w:val="Heading2"/>
        <w:spacing w:line="240" w:lineRule="auto"/>
        <w:rPr>
          <w:rFonts w:ascii="Times New Roman" w:hAnsi="Times New Roman"/>
          <w:color w:val="auto"/>
          <w:sz w:val="24"/>
          <w:szCs w:val="24"/>
        </w:rPr>
      </w:pPr>
      <w:bookmarkStart w:id="5" w:name="_Toc471198154"/>
      <w:r w:rsidRPr="003F16AF">
        <w:rPr>
          <w:rFonts w:ascii="Times New Roman" w:hAnsi="Times New Roman"/>
          <w:color w:val="auto"/>
          <w:sz w:val="24"/>
          <w:szCs w:val="24"/>
        </w:rPr>
        <w:lastRenderedPageBreak/>
        <w:t>B.</w:t>
      </w:r>
      <w:r w:rsidR="00084141" w:rsidRPr="003F16AF">
        <w:rPr>
          <w:rFonts w:ascii="Times New Roman" w:hAnsi="Times New Roman"/>
          <w:color w:val="auto"/>
          <w:sz w:val="24"/>
          <w:szCs w:val="24"/>
        </w:rPr>
        <w:t>2</w:t>
      </w:r>
      <w:r w:rsidRPr="003F16AF">
        <w:rPr>
          <w:rFonts w:ascii="Times New Roman" w:hAnsi="Times New Roman"/>
          <w:color w:val="auto"/>
          <w:sz w:val="24"/>
          <w:szCs w:val="24"/>
        </w:rPr>
        <w:tab/>
        <w:t>Information Collection Procedures</w:t>
      </w:r>
      <w:bookmarkEnd w:id="5"/>
    </w:p>
    <w:p w14:paraId="457275A2" w14:textId="064539AA"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 xml:space="preserve">Administrative data that include client outcomes </w:t>
      </w:r>
      <w:r w:rsidR="006C7788">
        <w:rPr>
          <w:rFonts w:ascii="Times New Roman" w:hAnsi="Times New Roman"/>
          <w:szCs w:val="24"/>
        </w:rPr>
        <w:t>are</w:t>
      </w:r>
      <w:r w:rsidRPr="003F16AF">
        <w:rPr>
          <w:rFonts w:ascii="Times New Roman" w:hAnsi="Times New Roman"/>
          <w:szCs w:val="24"/>
        </w:rPr>
        <w:t xml:space="preserve"> collected by </w:t>
      </w:r>
      <w:r w:rsidR="006C7788">
        <w:rPr>
          <w:rFonts w:ascii="Times New Roman" w:hAnsi="Times New Roman"/>
          <w:szCs w:val="24"/>
        </w:rPr>
        <w:t>32 study</w:t>
      </w:r>
      <w:r w:rsidR="006C7788" w:rsidRPr="003F16AF">
        <w:rPr>
          <w:rFonts w:ascii="Times New Roman" w:hAnsi="Times New Roman"/>
          <w:szCs w:val="24"/>
        </w:rPr>
        <w:t xml:space="preserve"> </w:t>
      </w:r>
      <w:r w:rsidRPr="003F16AF">
        <w:rPr>
          <w:rFonts w:ascii="Times New Roman" w:hAnsi="Times New Roman"/>
          <w:szCs w:val="24"/>
        </w:rPr>
        <w:t>sites</w:t>
      </w:r>
      <w:r w:rsidR="006C7788">
        <w:rPr>
          <w:rFonts w:ascii="Times New Roman" w:hAnsi="Times New Roman"/>
          <w:szCs w:val="24"/>
        </w:rPr>
        <w:t xml:space="preserve"> as a part of their </w:t>
      </w:r>
      <w:r w:rsidR="00F9703F">
        <w:rPr>
          <w:rFonts w:ascii="Times New Roman" w:hAnsi="Times New Roman"/>
          <w:szCs w:val="24"/>
        </w:rPr>
        <w:t xml:space="preserve">routine </w:t>
      </w:r>
      <w:r w:rsidR="006C7788">
        <w:rPr>
          <w:rFonts w:ascii="Times New Roman" w:hAnsi="Times New Roman"/>
          <w:szCs w:val="24"/>
        </w:rPr>
        <w:t>operations. The sites</w:t>
      </w:r>
      <w:r w:rsidRPr="003F16AF">
        <w:rPr>
          <w:rFonts w:ascii="Times New Roman" w:hAnsi="Times New Roman"/>
          <w:szCs w:val="24"/>
        </w:rPr>
        <w:t xml:space="preserve"> will submit de-identified client-level data to the Evaluation Team. </w:t>
      </w:r>
      <w:r w:rsidR="006C7788">
        <w:rPr>
          <w:rFonts w:ascii="Times New Roman" w:hAnsi="Times New Roman"/>
          <w:szCs w:val="24"/>
        </w:rPr>
        <w:t>For the key informant interviews and fidelity assessments, t</w:t>
      </w:r>
      <w:r w:rsidRPr="003F16AF">
        <w:rPr>
          <w:rFonts w:ascii="Times New Roman" w:hAnsi="Times New Roman"/>
          <w:szCs w:val="24"/>
        </w:rPr>
        <w:t xml:space="preserve">he Evaluation Team will conduct all data collection activities. The Evaluation Team also will provide </w:t>
      </w:r>
      <w:r w:rsidR="006C7788">
        <w:rPr>
          <w:rFonts w:ascii="Times New Roman" w:hAnsi="Times New Roman"/>
          <w:szCs w:val="24"/>
        </w:rPr>
        <w:t>evaluation</w:t>
      </w:r>
      <w:r w:rsidR="00F9703F">
        <w:rPr>
          <w:rFonts w:ascii="Times New Roman" w:hAnsi="Times New Roman"/>
          <w:szCs w:val="24"/>
        </w:rPr>
        <w:t>-</w:t>
      </w:r>
      <w:r w:rsidR="006C7788">
        <w:rPr>
          <w:rFonts w:ascii="Times New Roman" w:hAnsi="Times New Roman"/>
          <w:szCs w:val="24"/>
        </w:rPr>
        <w:t xml:space="preserve">related </w:t>
      </w:r>
      <w:r w:rsidRPr="003F16AF">
        <w:rPr>
          <w:rFonts w:ascii="Times New Roman" w:hAnsi="Times New Roman"/>
          <w:szCs w:val="24"/>
        </w:rPr>
        <w:t xml:space="preserve">technical assistance and training (TAT) to </w:t>
      </w:r>
      <w:r w:rsidR="006C7788">
        <w:rPr>
          <w:rFonts w:ascii="Times New Roman" w:hAnsi="Times New Roman"/>
          <w:szCs w:val="24"/>
        </w:rPr>
        <w:t xml:space="preserve">32 study </w:t>
      </w:r>
      <w:r w:rsidRPr="003F16AF">
        <w:rPr>
          <w:rFonts w:ascii="Times New Roman" w:hAnsi="Times New Roman"/>
          <w:szCs w:val="24"/>
        </w:rPr>
        <w:t>sites to build consensus on an approach to the evaluation, its measures, and data collection procedures. National Association of State Mental Health Directors</w:t>
      </w:r>
      <w:r w:rsidR="00722C5D">
        <w:rPr>
          <w:rFonts w:ascii="Times New Roman" w:hAnsi="Times New Roman"/>
          <w:szCs w:val="24"/>
        </w:rPr>
        <w:t xml:space="preserve"> (NASMHPD)</w:t>
      </w:r>
      <w:r w:rsidRPr="003F16AF">
        <w:rPr>
          <w:rFonts w:ascii="Times New Roman" w:hAnsi="Times New Roman"/>
          <w:szCs w:val="24"/>
        </w:rPr>
        <w:t xml:space="preserve">, </w:t>
      </w:r>
      <w:r w:rsidR="00722C5D">
        <w:rPr>
          <w:rFonts w:ascii="Times New Roman" w:hAnsi="Times New Roman"/>
          <w:szCs w:val="24"/>
        </w:rPr>
        <w:t>who</w:t>
      </w:r>
      <w:r w:rsidRPr="003F16AF">
        <w:rPr>
          <w:rFonts w:ascii="Times New Roman" w:hAnsi="Times New Roman"/>
          <w:szCs w:val="24"/>
        </w:rPr>
        <w:t xml:space="preserve"> is a member of the Evaluation Team for this </w:t>
      </w:r>
      <w:r w:rsidR="008D3E36">
        <w:rPr>
          <w:rFonts w:ascii="Times New Roman" w:hAnsi="Times New Roman"/>
          <w:szCs w:val="24"/>
        </w:rPr>
        <w:t>evaluation</w:t>
      </w:r>
      <w:r w:rsidRPr="003F16AF">
        <w:rPr>
          <w:rFonts w:ascii="Times New Roman" w:hAnsi="Times New Roman"/>
          <w:szCs w:val="24"/>
        </w:rPr>
        <w:t xml:space="preserve">, already has regular contact with the CSC sites through their TAT-related activities, and these already-established connections with sites will help facilitate the evaluation-related TAT. </w:t>
      </w:r>
    </w:p>
    <w:p w14:paraId="088809D4" w14:textId="073DEE4D" w:rsidR="004F3563" w:rsidRPr="003F16AF" w:rsidRDefault="004F3563" w:rsidP="003F16AF">
      <w:pPr>
        <w:spacing w:line="240" w:lineRule="auto"/>
        <w:rPr>
          <w:rFonts w:ascii="Times New Roman" w:hAnsi="Times New Roman"/>
          <w:b/>
          <w:i/>
          <w:szCs w:val="24"/>
        </w:rPr>
      </w:pPr>
    </w:p>
    <w:p w14:paraId="65EDB34D" w14:textId="77777777" w:rsidR="00F71D78" w:rsidRPr="003F16AF" w:rsidRDefault="004F3563" w:rsidP="003F16AF">
      <w:pPr>
        <w:pStyle w:val="Heading5"/>
        <w:spacing w:line="240" w:lineRule="auto"/>
        <w:rPr>
          <w:rFonts w:ascii="Times New Roman" w:hAnsi="Times New Roman"/>
          <w:szCs w:val="24"/>
        </w:rPr>
      </w:pPr>
      <w:r w:rsidRPr="003F16AF">
        <w:rPr>
          <w:rFonts w:ascii="Times New Roman" w:hAnsi="Times New Roman"/>
          <w:szCs w:val="24"/>
        </w:rPr>
        <w:tab/>
      </w:r>
      <w:r w:rsidR="00F71D78" w:rsidRPr="003F16AF">
        <w:rPr>
          <w:rFonts w:ascii="Times New Roman" w:hAnsi="Times New Roman"/>
          <w:szCs w:val="24"/>
        </w:rPr>
        <w:t>Site Survey</w:t>
      </w:r>
    </w:p>
    <w:p w14:paraId="6B046E08" w14:textId="77777777"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The site survey will be administered to all CSC programs that are funded through the MHBG 10% set-aside funds in FY2017. This survey will help address research questions regarding the context within which the sites operate. The site survey will include items that will assess the following:</w:t>
      </w:r>
    </w:p>
    <w:p w14:paraId="23FE19AD" w14:textId="77777777" w:rsidR="004F3563" w:rsidRPr="003F16AF" w:rsidRDefault="004F3563" w:rsidP="003F16AF">
      <w:pPr>
        <w:pStyle w:val="L1-FlLSp12"/>
        <w:spacing w:line="240" w:lineRule="auto"/>
        <w:rPr>
          <w:rFonts w:ascii="Times New Roman" w:hAnsi="Times New Roman"/>
          <w:szCs w:val="24"/>
        </w:rPr>
      </w:pPr>
    </w:p>
    <w:p w14:paraId="662BC38F"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Program model(s) used</w:t>
      </w:r>
    </w:p>
    <w:p w14:paraId="37FA2A41"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Target population and demographics of clients</w:t>
      </w:r>
    </w:p>
    <w:p w14:paraId="1333C945"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Process for identifying and recruiting participants</w:t>
      </w:r>
    </w:p>
    <w:p w14:paraId="44BD24BF"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Array of treatment services and supports offered through the program</w:t>
      </w:r>
      <w:r w:rsidR="00060BFF" w:rsidRPr="003F16AF">
        <w:rPr>
          <w:rFonts w:ascii="Times New Roman" w:hAnsi="Times New Roman"/>
          <w:szCs w:val="24"/>
        </w:rPr>
        <w:t>’</w:t>
      </w:r>
      <w:r w:rsidRPr="003F16AF">
        <w:rPr>
          <w:rFonts w:ascii="Times New Roman" w:hAnsi="Times New Roman"/>
          <w:szCs w:val="24"/>
        </w:rPr>
        <w:t>s CSC model</w:t>
      </w:r>
    </w:p>
    <w:p w14:paraId="27379492"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Fidelity process used by site</w:t>
      </w:r>
    </w:p>
    <w:p w14:paraId="1A4B6F12"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Peer involvement</w:t>
      </w:r>
    </w:p>
    <w:p w14:paraId="5AF0CAB2"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Duration of care</w:t>
      </w:r>
    </w:p>
    <w:p w14:paraId="629D019A"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Outcome measures used by site</w:t>
      </w:r>
    </w:p>
    <w:p w14:paraId="5913DBA0"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Use of MHBG funds for FEP</w:t>
      </w:r>
    </w:p>
    <w:p w14:paraId="69DD7E16"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Use of other funds for FEP</w:t>
      </w:r>
    </w:p>
    <w:p w14:paraId="713B0095"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Sources of insurance that programs accept for payment for services</w:t>
      </w:r>
    </w:p>
    <w:p w14:paraId="7F925839"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Information technology/system availability</w:t>
      </w:r>
    </w:p>
    <w:p w14:paraId="2C4F8BE7" w14:textId="77777777" w:rsidR="00F71D78" w:rsidRPr="003F16AF" w:rsidRDefault="00F71D78" w:rsidP="006D16B9">
      <w:pPr>
        <w:pStyle w:val="N1-1stBullet"/>
        <w:spacing w:line="240" w:lineRule="auto"/>
        <w:rPr>
          <w:rFonts w:ascii="Times New Roman" w:hAnsi="Times New Roman"/>
          <w:szCs w:val="24"/>
        </w:rPr>
      </w:pPr>
      <w:r w:rsidRPr="003F16AF">
        <w:rPr>
          <w:rFonts w:ascii="Times New Roman" w:hAnsi="Times New Roman"/>
          <w:szCs w:val="24"/>
        </w:rPr>
        <w:t>Sustainability of the services</w:t>
      </w:r>
    </w:p>
    <w:p w14:paraId="02B6E6E0" w14:textId="61DBEC1F"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One key contact (in most cases the center director) at each site will be contacted by email and asked to participate in the survey. A secure link to the survey will be provided within the email. The survey will take approximately 1</w:t>
      </w:r>
      <w:r w:rsidR="00054386">
        <w:rPr>
          <w:rFonts w:ascii="Times New Roman" w:hAnsi="Times New Roman"/>
          <w:szCs w:val="24"/>
        </w:rPr>
        <w:t>2</w:t>
      </w:r>
      <w:r w:rsidRPr="003F16AF">
        <w:rPr>
          <w:rFonts w:ascii="Times New Roman" w:hAnsi="Times New Roman"/>
          <w:szCs w:val="24"/>
        </w:rPr>
        <w:t xml:space="preserve"> minutes to complete.</w:t>
      </w:r>
    </w:p>
    <w:p w14:paraId="3DC3DD91" w14:textId="77777777" w:rsidR="004F3563" w:rsidRPr="003F16AF" w:rsidRDefault="004F3563" w:rsidP="003F16AF">
      <w:pPr>
        <w:pStyle w:val="L1-FlLSp12"/>
        <w:spacing w:line="240" w:lineRule="auto"/>
        <w:rPr>
          <w:rFonts w:ascii="Times New Roman" w:hAnsi="Times New Roman"/>
          <w:szCs w:val="24"/>
        </w:rPr>
      </w:pPr>
    </w:p>
    <w:p w14:paraId="6B62E83F" w14:textId="76C7ECEE" w:rsidR="00F71D78" w:rsidRPr="003F16AF" w:rsidRDefault="004F3563" w:rsidP="003F16AF">
      <w:pPr>
        <w:pStyle w:val="Heading5"/>
        <w:spacing w:line="240" w:lineRule="auto"/>
        <w:rPr>
          <w:rFonts w:ascii="Times New Roman" w:hAnsi="Times New Roman"/>
          <w:szCs w:val="24"/>
        </w:rPr>
      </w:pPr>
      <w:r w:rsidRPr="003F16AF">
        <w:rPr>
          <w:rFonts w:ascii="Times New Roman" w:hAnsi="Times New Roman"/>
          <w:szCs w:val="24"/>
        </w:rPr>
        <w:tab/>
      </w:r>
      <w:r w:rsidR="00D028F1" w:rsidRPr="00211401">
        <w:rPr>
          <w:rFonts w:ascii="Times New Roman" w:hAnsi="Times New Roman"/>
        </w:rPr>
        <w:t>Agency Director</w:t>
      </w:r>
      <w:r w:rsidR="00D028F1">
        <w:rPr>
          <w:rFonts w:ascii="Times New Roman" w:hAnsi="Times New Roman"/>
        </w:rPr>
        <w:t>/Administrator</w:t>
      </w:r>
      <w:r w:rsidR="00D028F1" w:rsidRPr="00211401">
        <w:rPr>
          <w:rFonts w:ascii="Times New Roman" w:hAnsi="Times New Roman"/>
        </w:rPr>
        <w:t xml:space="preserve"> Interview, Coordinated Specialty Care (CSC) Staff Interview, CSC Participant Interview</w:t>
      </w:r>
      <w:r w:rsidR="00D028F1">
        <w:rPr>
          <w:rFonts w:ascii="Times New Roman" w:hAnsi="Times New Roman"/>
        </w:rPr>
        <w:t xml:space="preserve">, and </w:t>
      </w:r>
      <w:r w:rsidR="00D028F1" w:rsidRPr="00211401">
        <w:rPr>
          <w:rFonts w:ascii="Times New Roman" w:hAnsi="Times New Roman"/>
        </w:rPr>
        <w:t>State Mental Health Authority Interview</w:t>
      </w:r>
    </w:p>
    <w:p w14:paraId="4C7499EB" w14:textId="0BC74C63"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The</w:t>
      </w:r>
      <w:r w:rsidRPr="003F16AF">
        <w:rPr>
          <w:rFonts w:ascii="Times New Roman" w:hAnsi="Times New Roman"/>
          <w:bCs/>
          <w:szCs w:val="24"/>
        </w:rPr>
        <w:t xml:space="preserve"> site visit discussion guides are</w:t>
      </w:r>
      <w:r w:rsidRPr="003F16AF">
        <w:rPr>
          <w:rFonts w:ascii="Times New Roman" w:hAnsi="Times New Roman"/>
          <w:szCs w:val="24"/>
        </w:rPr>
        <w:t xml:space="preserve"> designed to coordinate the collection of information on how the components of the CSC model are delivered at each site. The Evaluation Team will have interviews with state representatives for MHBG funding, CSC program site directors, site staff, and program participants. The questions </w:t>
      </w:r>
      <w:r w:rsidR="00054386">
        <w:rPr>
          <w:rFonts w:ascii="Times New Roman" w:hAnsi="Times New Roman"/>
          <w:szCs w:val="24"/>
        </w:rPr>
        <w:t>will</w:t>
      </w:r>
      <w:r w:rsidRPr="003F16AF">
        <w:rPr>
          <w:rFonts w:ascii="Times New Roman" w:hAnsi="Times New Roman"/>
          <w:szCs w:val="24"/>
        </w:rPr>
        <w:t xml:space="preserve"> examine the recruitment of participants with FEP, education and training of program staff, and referral activities conducted. These questions will be mainly open-ended, as there will be variation in responses and the intent is to capture that variation rather than using predetermined response codes.</w:t>
      </w:r>
    </w:p>
    <w:p w14:paraId="3041AEE7" w14:textId="77777777" w:rsidR="004F3563" w:rsidRPr="003F16AF" w:rsidRDefault="004F3563" w:rsidP="003F16AF">
      <w:pPr>
        <w:pStyle w:val="L1-FlLSp12"/>
        <w:spacing w:line="240" w:lineRule="auto"/>
        <w:rPr>
          <w:rFonts w:ascii="Times New Roman" w:hAnsi="Times New Roman"/>
          <w:szCs w:val="24"/>
        </w:rPr>
      </w:pPr>
    </w:p>
    <w:p w14:paraId="62DFA849" w14:textId="505275E9"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The interview data collection protocol is designed with overlapping content areas focused on eliciting information about operations and perspectives on CSC service delivery at each site. Site directors will be asked to recount their MHBG experiences, offer informed perspectives on the primary objective of the FEP program, participant recruitment, and staff training. Program staff will be asked questions about provision of individual components of CSC, service delivery challenges and solutions, and participant outcomes. Program participants will be asked questions about their experiences at the site, challenges and facilitators that are important in their treatment plan, and outcomes observed through participation in the program. State mental health directors will be asked about the state</w:t>
      </w:r>
      <w:r w:rsidR="00060BFF" w:rsidRPr="003F16AF">
        <w:rPr>
          <w:rFonts w:ascii="Times New Roman" w:hAnsi="Times New Roman"/>
          <w:szCs w:val="24"/>
        </w:rPr>
        <w:t>’</w:t>
      </w:r>
      <w:r w:rsidRPr="003F16AF">
        <w:rPr>
          <w:rFonts w:ascii="Times New Roman" w:hAnsi="Times New Roman"/>
          <w:szCs w:val="24"/>
        </w:rPr>
        <w:t>s role in making programmatic decisions for CSC sites, such as which CSC program model is implemented, what type of technical assistance sites receive, and how set-aside funds are allocated and utilized for service delivery. Questions will focus on the challenges experienced by the programs and lessons learned, fidelity to the CSC service package, funding for different components of the services package, staff and participant experiences, program outcomes, and barriers/</w:t>
      </w:r>
      <w:r w:rsidR="00EB367F" w:rsidRPr="003F16AF">
        <w:rPr>
          <w:rFonts w:ascii="Times New Roman" w:hAnsi="Times New Roman"/>
          <w:szCs w:val="24"/>
        </w:rPr>
        <w:t xml:space="preserve"> </w:t>
      </w:r>
      <w:r w:rsidRPr="003F16AF">
        <w:rPr>
          <w:rFonts w:ascii="Times New Roman" w:hAnsi="Times New Roman"/>
          <w:szCs w:val="24"/>
        </w:rPr>
        <w:t xml:space="preserve">facilitators to successful implementation of CSC services. </w:t>
      </w:r>
      <w:r w:rsidRPr="003F16AF">
        <w:rPr>
          <w:rFonts w:ascii="Times New Roman" w:hAnsi="Times New Roman"/>
          <w:bCs/>
          <w:szCs w:val="24"/>
        </w:rPr>
        <w:t xml:space="preserve">The collection and analysis of qualitative case </w:t>
      </w:r>
      <w:r w:rsidR="008D3E36">
        <w:rPr>
          <w:rFonts w:ascii="Times New Roman" w:hAnsi="Times New Roman"/>
          <w:bCs/>
          <w:szCs w:val="24"/>
        </w:rPr>
        <w:t>evaluation</w:t>
      </w:r>
      <w:r w:rsidRPr="003F16AF">
        <w:rPr>
          <w:rFonts w:ascii="Times New Roman" w:hAnsi="Times New Roman"/>
          <w:bCs/>
          <w:szCs w:val="24"/>
        </w:rPr>
        <w:t xml:space="preserve"> data are crucial for answering the research </w:t>
      </w:r>
      <w:r w:rsidRPr="003F16AF">
        <w:rPr>
          <w:rFonts w:ascii="Times New Roman" w:hAnsi="Times New Roman"/>
          <w:szCs w:val="24"/>
        </w:rPr>
        <w:t>questions.</w:t>
      </w:r>
    </w:p>
    <w:p w14:paraId="3947E697" w14:textId="77777777" w:rsidR="004F3563" w:rsidRPr="003F16AF" w:rsidRDefault="004F3563" w:rsidP="003F16AF">
      <w:pPr>
        <w:pStyle w:val="L1-FlLSp12"/>
        <w:spacing w:line="240" w:lineRule="auto"/>
        <w:rPr>
          <w:rFonts w:ascii="Times New Roman" w:hAnsi="Times New Roman"/>
          <w:szCs w:val="24"/>
        </w:rPr>
      </w:pPr>
    </w:p>
    <w:p w14:paraId="453056A9" w14:textId="77777777" w:rsidR="00D028F1" w:rsidRPr="003F16AF" w:rsidRDefault="00D028F1" w:rsidP="00D028F1">
      <w:pPr>
        <w:pStyle w:val="L1-FlLSp12"/>
        <w:spacing w:line="240" w:lineRule="auto"/>
        <w:rPr>
          <w:rFonts w:ascii="Times New Roman" w:hAnsi="Times New Roman"/>
          <w:szCs w:val="24"/>
        </w:rPr>
      </w:pPr>
    </w:p>
    <w:p w14:paraId="6A796337" w14:textId="77777777" w:rsidR="00D028F1" w:rsidRPr="003F16AF" w:rsidRDefault="00D028F1" w:rsidP="00D028F1">
      <w:pPr>
        <w:pStyle w:val="Heading5"/>
        <w:spacing w:line="240" w:lineRule="auto"/>
        <w:rPr>
          <w:rFonts w:ascii="Times New Roman" w:hAnsi="Times New Roman"/>
          <w:szCs w:val="24"/>
        </w:rPr>
      </w:pPr>
      <w:r w:rsidRPr="003F16AF">
        <w:rPr>
          <w:rFonts w:ascii="Times New Roman" w:hAnsi="Times New Roman"/>
          <w:szCs w:val="24"/>
        </w:rPr>
        <w:tab/>
      </w:r>
      <w:r>
        <w:rPr>
          <w:rFonts w:ascii="Times New Roman" w:hAnsi="Times New Roman"/>
          <w:szCs w:val="24"/>
        </w:rPr>
        <w:t>Fidelity Interview</w:t>
      </w:r>
    </w:p>
    <w:p w14:paraId="4DE01C4E" w14:textId="77777777" w:rsidR="00D028F1" w:rsidRPr="003F16AF" w:rsidRDefault="00D028F1" w:rsidP="00D028F1">
      <w:pPr>
        <w:pStyle w:val="L1-FlLSp12"/>
        <w:spacing w:line="240" w:lineRule="auto"/>
        <w:rPr>
          <w:rFonts w:ascii="Times New Roman" w:hAnsi="Times New Roman"/>
          <w:szCs w:val="24"/>
        </w:rPr>
      </w:pPr>
      <w:r>
        <w:rPr>
          <w:rFonts w:ascii="Times New Roman" w:hAnsi="Times New Roman"/>
          <w:szCs w:val="24"/>
        </w:rPr>
        <w:t xml:space="preserve">Information gathered through fidelity assessment interviews (conducted over the phone with site staff) and reviews of de-identified health records and supplementary material from each site will be used to rate the program’s fidelity to the CSC model. Ratings of fidelity will be made using the </w:t>
      </w:r>
      <w:r w:rsidRPr="003F16AF">
        <w:rPr>
          <w:rFonts w:ascii="Times New Roman" w:hAnsi="Times New Roman"/>
          <w:szCs w:val="24"/>
        </w:rPr>
        <w:t>First Episode Psychosis Services Fidelity Scale (</w:t>
      </w:r>
      <w:proofErr w:type="spellStart"/>
      <w:r w:rsidRPr="003F16AF">
        <w:rPr>
          <w:rFonts w:ascii="Times New Roman" w:hAnsi="Times New Roman"/>
          <w:szCs w:val="24"/>
        </w:rPr>
        <w:t>FEPS</w:t>
      </w:r>
      <w:proofErr w:type="spellEnd"/>
      <w:r w:rsidRPr="003F16AF">
        <w:rPr>
          <w:rFonts w:ascii="Times New Roman" w:hAnsi="Times New Roman"/>
          <w:szCs w:val="24"/>
        </w:rPr>
        <w:t>-FS)</w:t>
      </w:r>
      <w:r w:rsidRPr="003F16AF">
        <w:rPr>
          <w:rStyle w:val="FootnoteReference"/>
          <w:rFonts w:ascii="Times New Roman" w:hAnsi="Times New Roman"/>
          <w:szCs w:val="24"/>
        </w:rPr>
        <w:footnoteReference w:id="2"/>
      </w:r>
      <w:r>
        <w:rPr>
          <w:rFonts w:ascii="Times New Roman" w:hAnsi="Times New Roman"/>
          <w:szCs w:val="24"/>
        </w:rPr>
        <w:t xml:space="preserve">. The </w:t>
      </w:r>
      <w:proofErr w:type="spellStart"/>
      <w:r w:rsidRPr="003F16AF">
        <w:rPr>
          <w:rFonts w:ascii="Times New Roman" w:hAnsi="Times New Roman"/>
          <w:szCs w:val="24"/>
        </w:rPr>
        <w:t>FEPS</w:t>
      </w:r>
      <w:proofErr w:type="spellEnd"/>
      <w:r w:rsidRPr="003F16AF">
        <w:rPr>
          <w:rFonts w:ascii="Times New Roman" w:hAnsi="Times New Roman"/>
          <w:szCs w:val="24"/>
        </w:rPr>
        <w:t xml:space="preserve">-FS </w:t>
      </w:r>
      <w:r>
        <w:rPr>
          <w:rFonts w:ascii="Times New Roman" w:hAnsi="Times New Roman"/>
          <w:szCs w:val="24"/>
        </w:rPr>
        <w:t>was</w:t>
      </w:r>
      <w:r w:rsidRPr="003F16AF">
        <w:rPr>
          <w:rFonts w:ascii="Times New Roman" w:hAnsi="Times New Roman"/>
          <w:szCs w:val="24"/>
        </w:rPr>
        <w:t xml:space="preserve"> developed using formal knowledge synthesis processes</w:t>
      </w:r>
      <w:r>
        <w:rPr>
          <w:rFonts w:ascii="Times New Roman" w:hAnsi="Times New Roman"/>
          <w:szCs w:val="24"/>
        </w:rPr>
        <w:t xml:space="preserve">, which </w:t>
      </w:r>
      <w:r w:rsidRPr="003F16AF">
        <w:rPr>
          <w:rFonts w:ascii="Times New Roman" w:hAnsi="Times New Roman"/>
          <w:szCs w:val="24"/>
        </w:rPr>
        <w:t xml:space="preserve">included systematic reviews, international expert consensus, and pilot testing in two countries. The scale is designed to assess fidelity across differing health systems and different program models. The </w:t>
      </w:r>
      <w:proofErr w:type="spellStart"/>
      <w:r w:rsidRPr="003F16AF">
        <w:rPr>
          <w:rFonts w:ascii="Times New Roman" w:hAnsi="Times New Roman"/>
          <w:szCs w:val="24"/>
        </w:rPr>
        <w:t>FEPS</w:t>
      </w:r>
      <w:proofErr w:type="spellEnd"/>
      <w:r w:rsidRPr="003F16AF">
        <w:rPr>
          <w:rFonts w:ascii="Times New Roman" w:hAnsi="Times New Roman"/>
          <w:szCs w:val="24"/>
        </w:rPr>
        <w:t>-FS contains 31 program-specific items. The scale has been developed to measure the adequacy of implementation of CSC.</w:t>
      </w:r>
    </w:p>
    <w:p w14:paraId="29AAC8AF" w14:textId="77777777" w:rsidR="00D028F1" w:rsidRPr="003F16AF" w:rsidRDefault="00D028F1" w:rsidP="00D028F1">
      <w:pPr>
        <w:pStyle w:val="L1-FlLSp12"/>
        <w:spacing w:line="240" w:lineRule="auto"/>
        <w:rPr>
          <w:rFonts w:ascii="Times New Roman" w:hAnsi="Times New Roman"/>
          <w:szCs w:val="24"/>
        </w:rPr>
      </w:pPr>
    </w:p>
    <w:p w14:paraId="17E1AE14" w14:textId="77777777" w:rsidR="00D028F1" w:rsidRPr="003F16AF" w:rsidRDefault="00D028F1" w:rsidP="00D028F1">
      <w:pPr>
        <w:pStyle w:val="L1-FlLSp12"/>
        <w:spacing w:line="240" w:lineRule="auto"/>
        <w:rPr>
          <w:rFonts w:ascii="Times New Roman" w:hAnsi="Times New Roman"/>
          <w:szCs w:val="24"/>
        </w:rPr>
      </w:pPr>
      <w:r w:rsidRPr="003F16AF">
        <w:rPr>
          <w:rFonts w:ascii="Times New Roman" w:hAnsi="Times New Roman"/>
          <w:szCs w:val="24"/>
        </w:rPr>
        <w:lastRenderedPageBreak/>
        <w:t>The data collection procedures that support the fidelity review include health record review</w:t>
      </w:r>
      <w:r>
        <w:rPr>
          <w:rFonts w:ascii="Times New Roman" w:hAnsi="Times New Roman"/>
          <w:szCs w:val="24"/>
        </w:rPr>
        <w:t>s</w:t>
      </w:r>
      <w:r w:rsidRPr="003F16AF">
        <w:rPr>
          <w:rFonts w:ascii="Times New Roman" w:hAnsi="Times New Roman"/>
          <w:szCs w:val="24"/>
        </w:rPr>
        <w:t xml:space="preserve"> and semi-structured interviews with the team leaders. For some items that require health record review</w:t>
      </w:r>
      <w:r>
        <w:rPr>
          <w:rFonts w:ascii="Times New Roman" w:hAnsi="Times New Roman"/>
          <w:szCs w:val="24"/>
        </w:rPr>
        <w:t>s</w:t>
      </w:r>
      <w:r w:rsidRPr="003F16AF">
        <w:rPr>
          <w:rFonts w:ascii="Times New Roman" w:hAnsi="Times New Roman"/>
          <w:szCs w:val="24"/>
        </w:rPr>
        <w:t xml:space="preserve"> for rating, the intent is to use health records selected at random. Health records will be selected from those who have </w:t>
      </w:r>
      <w:r>
        <w:rPr>
          <w:rFonts w:ascii="Times New Roman" w:hAnsi="Times New Roman"/>
          <w:szCs w:val="24"/>
        </w:rPr>
        <w:t xml:space="preserve">participated in </w:t>
      </w:r>
      <w:r w:rsidRPr="003F16AF">
        <w:rPr>
          <w:rFonts w:ascii="Times New Roman" w:hAnsi="Times New Roman"/>
          <w:szCs w:val="24"/>
        </w:rPr>
        <w:t>the program for at least 1 year.</w:t>
      </w:r>
    </w:p>
    <w:p w14:paraId="1666022E" w14:textId="3C9DB038" w:rsidR="004F3563" w:rsidRDefault="004F3563" w:rsidP="003F16AF">
      <w:pPr>
        <w:pStyle w:val="L1-FlLSp12"/>
        <w:spacing w:line="240" w:lineRule="auto"/>
        <w:rPr>
          <w:rFonts w:ascii="Times New Roman" w:hAnsi="Times New Roman"/>
          <w:szCs w:val="24"/>
        </w:rPr>
      </w:pPr>
    </w:p>
    <w:p w14:paraId="087E3860" w14:textId="77777777" w:rsidR="00D028F1" w:rsidRPr="003F16AF" w:rsidRDefault="00D028F1" w:rsidP="003F16AF">
      <w:pPr>
        <w:pStyle w:val="L1-FlLSp12"/>
        <w:spacing w:line="240" w:lineRule="auto"/>
        <w:rPr>
          <w:rFonts w:ascii="Times New Roman" w:hAnsi="Times New Roman"/>
          <w:szCs w:val="24"/>
        </w:rPr>
      </w:pPr>
    </w:p>
    <w:p w14:paraId="626E5196" w14:textId="06426C92" w:rsidR="00F71D78" w:rsidRPr="003F16AF" w:rsidRDefault="004F3563" w:rsidP="003F16AF">
      <w:pPr>
        <w:pStyle w:val="Heading5"/>
        <w:spacing w:line="240" w:lineRule="auto"/>
        <w:rPr>
          <w:rFonts w:ascii="Times New Roman" w:hAnsi="Times New Roman"/>
          <w:szCs w:val="24"/>
        </w:rPr>
      </w:pPr>
      <w:r w:rsidRPr="003F16AF">
        <w:rPr>
          <w:rFonts w:ascii="Times New Roman" w:hAnsi="Times New Roman"/>
          <w:szCs w:val="24"/>
        </w:rPr>
        <w:tab/>
      </w:r>
      <w:r w:rsidR="00D028F1">
        <w:rPr>
          <w:rFonts w:ascii="Times New Roman" w:hAnsi="Times New Roman"/>
          <w:szCs w:val="24"/>
        </w:rPr>
        <w:t xml:space="preserve">Possible </w:t>
      </w:r>
      <w:r w:rsidR="00F71D78" w:rsidRPr="003F16AF">
        <w:rPr>
          <w:rFonts w:ascii="Times New Roman" w:hAnsi="Times New Roman"/>
          <w:szCs w:val="24"/>
        </w:rPr>
        <w:t>Administrative Data</w:t>
      </w:r>
      <w:r w:rsidR="00D028F1">
        <w:rPr>
          <w:rFonts w:ascii="Times New Roman" w:hAnsi="Times New Roman"/>
          <w:szCs w:val="24"/>
        </w:rPr>
        <w:t xml:space="preserve"> Elements</w:t>
      </w:r>
      <w:bookmarkStart w:id="6" w:name="_GoBack"/>
      <w:bookmarkEnd w:id="6"/>
    </w:p>
    <w:p w14:paraId="3D3CCE25" w14:textId="10B707F3"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 xml:space="preserve">To minimize burden and maximize the number of sites reporting participant level data, the team </w:t>
      </w:r>
      <w:proofErr w:type="gramStart"/>
      <w:r w:rsidRPr="003F16AF">
        <w:rPr>
          <w:rFonts w:ascii="Times New Roman" w:hAnsi="Times New Roman"/>
          <w:szCs w:val="24"/>
        </w:rPr>
        <w:t>will</w:t>
      </w:r>
      <w:proofErr w:type="gramEnd"/>
      <w:r w:rsidRPr="003F16AF">
        <w:rPr>
          <w:rFonts w:ascii="Times New Roman" w:hAnsi="Times New Roman"/>
          <w:szCs w:val="24"/>
        </w:rPr>
        <w:t xml:space="preserve"> seek sites that are already collecting measures identified for this </w:t>
      </w:r>
      <w:r w:rsidR="008D3E36">
        <w:rPr>
          <w:rFonts w:ascii="Times New Roman" w:hAnsi="Times New Roman"/>
          <w:szCs w:val="24"/>
        </w:rPr>
        <w:t>evaluation</w:t>
      </w:r>
      <w:r w:rsidRPr="003F16AF">
        <w:rPr>
          <w:rFonts w:ascii="Times New Roman" w:hAnsi="Times New Roman"/>
          <w:szCs w:val="24"/>
        </w:rPr>
        <w:t xml:space="preserve">. The Team will develop procedures to assess the quality of any data that sites are already collecting to ensure its adequacy for the evaluation. The Team utilized information from partners about data that sites are already collecting to help select data elements, thereby reducing site burden. </w:t>
      </w:r>
      <w:r w:rsidR="003F16AF">
        <w:rPr>
          <w:rFonts w:ascii="Times New Roman" w:hAnsi="Times New Roman"/>
          <w:szCs w:val="24"/>
        </w:rPr>
        <w:t>S</w:t>
      </w:r>
      <w:r w:rsidRPr="003F16AF">
        <w:rPr>
          <w:rFonts w:ascii="Times New Roman" w:hAnsi="Times New Roman"/>
          <w:szCs w:val="24"/>
        </w:rPr>
        <w:t>ites</w:t>
      </w:r>
      <w:r w:rsidR="003F16AF">
        <w:rPr>
          <w:rFonts w:ascii="Times New Roman" w:hAnsi="Times New Roman"/>
          <w:szCs w:val="24"/>
        </w:rPr>
        <w:t xml:space="preserve"> will be asked</w:t>
      </w:r>
      <w:r w:rsidRPr="003F16AF">
        <w:rPr>
          <w:rFonts w:ascii="Times New Roman" w:hAnsi="Times New Roman"/>
          <w:szCs w:val="24"/>
        </w:rPr>
        <w:t xml:space="preserve"> to provide participant data at baseline and every 6 months after that for up to 18 months. In order to reduce burden on sites, </w:t>
      </w:r>
      <w:r w:rsidR="003F16AF">
        <w:rPr>
          <w:rFonts w:ascii="Times New Roman" w:hAnsi="Times New Roman"/>
          <w:szCs w:val="24"/>
        </w:rPr>
        <w:t>the project</w:t>
      </w:r>
      <w:r w:rsidR="003F16AF" w:rsidRPr="003F16AF">
        <w:rPr>
          <w:rFonts w:ascii="Times New Roman" w:hAnsi="Times New Roman"/>
          <w:szCs w:val="24"/>
        </w:rPr>
        <w:t xml:space="preserve"> </w:t>
      </w:r>
      <w:r w:rsidRPr="003F16AF">
        <w:rPr>
          <w:rFonts w:ascii="Times New Roman" w:hAnsi="Times New Roman"/>
          <w:szCs w:val="24"/>
        </w:rPr>
        <w:t>will follow these procedures:</w:t>
      </w:r>
    </w:p>
    <w:p w14:paraId="60BD356F" w14:textId="77777777" w:rsidR="004F3563" w:rsidRPr="003F16AF" w:rsidRDefault="004F3563" w:rsidP="003F16AF">
      <w:pPr>
        <w:pStyle w:val="L1-FlLSp12"/>
        <w:spacing w:line="240" w:lineRule="auto"/>
        <w:rPr>
          <w:rFonts w:ascii="Times New Roman" w:hAnsi="Times New Roman"/>
          <w:szCs w:val="24"/>
        </w:rPr>
      </w:pPr>
    </w:p>
    <w:p w14:paraId="55B7D4EA" w14:textId="77777777" w:rsidR="00F71D78" w:rsidRPr="003F16AF" w:rsidRDefault="00F71D78" w:rsidP="003F16AF">
      <w:pPr>
        <w:pStyle w:val="N1-1stBullet"/>
        <w:spacing w:line="240" w:lineRule="auto"/>
        <w:rPr>
          <w:rFonts w:ascii="Times New Roman" w:hAnsi="Times New Roman"/>
          <w:szCs w:val="24"/>
        </w:rPr>
      </w:pPr>
      <w:r w:rsidRPr="003F16AF">
        <w:rPr>
          <w:rFonts w:ascii="Times New Roman" w:hAnsi="Times New Roman"/>
          <w:szCs w:val="24"/>
        </w:rPr>
        <w:t>All of the required items will be the ones that are regularly collected by providers as a part of their routine practice.</w:t>
      </w:r>
      <w:r w:rsidR="00060BFF" w:rsidRPr="003F16AF">
        <w:rPr>
          <w:rFonts w:ascii="Times New Roman" w:hAnsi="Times New Roman"/>
          <w:szCs w:val="24"/>
        </w:rPr>
        <w:t xml:space="preserve"> </w:t>
      </w:r>
      <w:r w:rsidRPr="003F16AF">
        <w:rPr>
          <w:rFonts w:ascii="Times New Roman" w:hAnsi="Times New Roman"/>
          <w:szCs w:val="24"/>
        </w:rPr>
        <w:t>Centers will not be required to make any changes to their current practices.</w:t>
      </w:r>
      <w:r w:rsidR="00060BFF" w:rsidRPr="003F16AF">
        <w:rPr>
          <w:rFonts w:ascii="Times New Roman" w:hAnsi="Times New Roman"/>
          <w:szCs w:val="24"/>
        </w:rPr>
        <w:t xml:space="preserve"> </w:t>
      </w:r>
      <w:r w:rsidRPr="003F16AF">
        <w:rPr>
          <w:rFonts w:ascii="Times New Roman" w:hAnsi="Times New Roman"/>
          <w:szCs w:val="24"/>
        </w:rPr>
        <w:t>A site staff familiar with the client will be able to complete most of the questions quickly.</w:t>
      </w:r>
    </w:p>
    <w:p w14:paraId="086FFCF0" w14:textId="77777777" w:rsidR="00F71D78" w:rsidRPr="003F16AF" w:rsidRDefault="00F71D78" w:rsidP="003F16AF">
      <w:pPr>
        <w:pStyle w:val="N1-1stBullet"/>
        <w:spacing w:line="240" w:lineRule="auto"/>
        <w:rPr>
          <w:rFonts w:ascii="Times New Roman" w:hAnsi="Times New Roman"/>
          <w:szCs w:val="24"/>
        </w:rPr>
      </w:pPr>
      <w:r w:rsidRPr="003F16AF">
        <w:rPr>
          <w:rFonts w:ascii="Times New Roman" w:hAnsi="Times New Roman"/>
          <w:szCs w:val="24"/>
        </w:rPr>
        <w:t xml:space="preserve">Most items will require only a </w:t>
      </w:r>
      <w:r w:rsidR="00060BFF" w:rsidRPr="003F16AF">
        <w:rPr>
          <w:rFonts w:ascii="Times New Roman" w:hAnsi="Times New Roman"/>
          <w:szCs w:val="24"/>
        </w:rPr>
        <w:t>“</w:t>
      </w:r>
      <w:r w:rsidRPr="003F16AF">
        <w:rPr>
          <w:rFonts w:ascii="Times New Roman" w:hAnsi="Times New Roman"/>
          <w:szCs w:val="24"/>
        </w:rPr>
        <w:t>yes</w:t>
      </w:r>
      <w:r w:rsidR="00060BFF" w:rsidRPr="003F16AF">
        <w:rPr>
          <w:rFonts w:ascii="Times New Roman" w:hAnsi="Times New Roman"/>
          <w:szCs w:val="24"/>
        </w:rPr>
        <w:t>”</w:t>
      </w:r>
      <w:r w:rsidRPr="003F16AF">
        <w:rPr>
          <w:rFonts w:ascii="Times New Roman" w:hAnsi="Times New Roman"/>
          <w:szCs w:val="24"/>
        </w:rPr>
        <w:t xml:space="preserve"> or </w:t>
      </w:r>
      <w:r w:rsidR="00060BFF" w:rsidRPr="003F16AF">
        <w:rPr>
          <w:rFonts w:ascii="Times New Roman" w:hAnsi="Times New Roman"/>
          <w:szCs w:val="24"/>
        </w:rPr>
        <w:t>“</w:t>
      </w:r>
      <w:r w:rsidRPr="003F16AF">
        <w:rPr>
          <w:rFonts w:ascii="Times New Roman" w:hAnsi="Times New Roman"/>
          <w:szCs w:val="24"/>
        </w:rPr>
        <w:t>no</w:t>
      </w:r>
      <w:r w:rsidR="00060BFF" w:rsidRPr="003F16AF">
        <w:rPr>
          <w:rFonts w:ascii="Times New Roman" w:hAnsi="Times New Roman"/>
          <w:szCs w:val="24"/>
        </w:rPr>
        <w:t>”</w:t>
      </w:r>
      <w:r w:rsidRPr="003F16AF">
        <w:rPr>
          <w:rFonts w:ascii="Times New Roman" w:hAnsi="Times New Roman"/>
          <w:szCs w:val="24"/>
        </w:rPr>
        <w:t xml:space="preserve"> response.</w:t>
      </w:r>
    </w:p>
    <w:p w14:paraId="4B473431" w14:textId="6629668C" w:rsidR="00F71D78" w:rsidRPr="003F16AF" w:rsidRDefault="00F71D78" w:rsidP="003F16AF">
      <w:pPr>
        <w:pStyle w:val="N1-1stBullet"/>
        <w:spacing w:line="240" w:lineRule="auto"/>
        <w:rPr>
          <w:rFonts w:ascii="Times New Roman" w:hAnsi="Times New Roman"/>
          <w:szCs w:val="24"/>
        </w:rPr>
      </w:pPr>
      <w:r w:rsidRPr="003F16AF">
        <w:rPr>
          <w:rFonts w:ascii="Times New Roman" w:hAnsi="Times New Roman"/>
          <w:szCs w:val="24"/>
        </w:rPr>
        <w:t xml:space="preserve">In some cases, sites </w:t>
      </w:r>
      <w:r w:rsidR="003F16AF">
        <w:rPr>
          <w:rFonts w:ascii="Times New Roman" w:hAnsi="Times New Roman"/>
          <w:szCs w:val="24"/>
        </w:rPr>
        <w:t xml:space="preserve">will be asked </w:t>
      </w:r>
      <w:r w:rsidRPr="003F16AF">
        <w:rPr>
          <w:rFonts w:ascii="Times New Roman" w:hAnsi="Times New Roman"/>
          <w:szCs w:val="24"/>
        </w:rPr>
        <w:t>to include certain information only if it is already being collected at the site. No changes to the routine of the clinic are required for these items.</w:t>
      </w:r>
    </w:p>
    <w:p w14:paraId="05AA0DB4" w14:textId="77777777" w:rsidR="00F71D78" w:rsidRPr="003F16AF" w:rsidRDefault="00F71D78" w:rsidP="003F16AF">
      <w:pPr>
        <w:pStyle w:val="SL-FlLftSgl"/>
        <w:spacing w:line="240" w:lineRule="auto"/>
        <w:rPr>
          <w:rFonts w:ascii="Times New Roman" w:hAnsi="Times New Roman"/>
          <w:szCs w:val="24"/>
        </w:rPr>
      </w:pPr>
    </w:p>
    <w:p w14:paraId="0A8DC63C" w14:textId="77777777" w:rsidR="00F71D78" w:rsidRPr="003F16AF" w:rsidRDefault="00F71D78" w:rsidP="003F16AF">
      <w:pPr>
        <w:pStyle w:val="Heading2"/>
        <w:spacing w:line="240" w:lineRule="auto"/>
        <w:rPr>
          <w:rFonts w:ascii="Times New Roman" w:hAnsi="Times New Roman"/>
          <w:color w:val="auto"/>
          <w:sz w:val="24"/>
          <w:szCs w:val="24"/>
        </w:rPr>
      </w:pPr>
      <w:bookmarkStart w:id="7" w:name="_Toc471198155"/>
      <w:r w:rsidRPr="003F16AF">
        <w:rPr>
          <w:rFonts w:ascii="Times New Roman" w:hAnsi="Times New Roman"/>
          <w:color w:val="auto"/>
          <w:sz w:val="24"/>
          <w:szCs w:val="24"/>
        </w:rPr>
        <w:t>B.</w:t>
      </w:r>
      <w:bookmarkStart w:id="8" w:name="_Toc471198156"/>
      <w:bookmarkEnd w:id="7"/>
      <w:r w:rsidRPr="003F16AF">
        <w:rPr>
          <w:rFonts w:ascii="Times New Roman" w:hAnsi="Times New Roman"/>
          <w:color w:val="auto"/>
          <w:sz w:val="24"/>
          <w:szCs w:val="24"/>
        </w:rPr>
        <w:t>3</w:t>
      </w:r>
      <w:r w:rsidRPr="003F16AF">
        <w:rPr>
          <w:rFonts w:ascii="Times New Roman" w:hAnsi="Times New Roman"/>
          <w:color w:val="auto"/>
          <w:sz w:val="24"/>
          <w:szCs w:val="24"/>
        </w:rPr>
        <w:tab/>
        <w:t>Methods to Maximize Response Rates</w:t>
      </w:r>
      <w:bookmarkEnd w:id="8"/>
    </w:p>
    <w:p w14:paraId="7BFA924F" w14:textId="77777777"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Several steps will be taken to maximize response rates and reduce nonresponse bias for all data collection efforts. The Evaluation Team will lead and/or be available to support each data collection process, providing ongoing TAT, answering sites</w:t>
      </w:r>
      <w:r w:rsidR="00060BFF" w:rsidRPr="003F16AF">
        <w:rPr>
          <w:rFonts w:ascii="Times New Roman" w:hAnsi="Times New Roman"/>
          <w:szCs w:val="24"/>
        </w:rPr>
        <w:t>’</w:t>
      </w:r>
      <w:r w:rsidRPr="003F16AF">
        <w:rPr>
          <w:rFonts w:ascii="Times New Roman" w:hAnsi="Times New Roman"/>
          <w:szCs w:val="24"/>
        </w:rPr>
        <w:t xml:space="preserve"> questions, and providing clarification and guidance whenever needed. For most data collection activities, the Evaluation Team will collect data from participants involved in the planning and implementation of CSC models. Efforts to maximize response rates are presented here by type of data collection method.</w:t>
      </w:r>
    </w:p>
    <w:p w14:paraId="56CBC879" w14:textId="77777777" w:rsidR="00246BEA" w:rsidRPr="003F16AF" w:rsidRDefault="00246BEA" w:rsidP="003F16AF">
      <w:pPr>
        <w:pStyle w:val="L1-FlLSp12"/>
        <w:spacing w:line="240" w:lineRule="auto"/>
        <w:rPr>
          <w:rFonts w:ascii="Times New Roman" w:hAnsi="Times New Roman"/>
          <w:szCs w:val="24"/>
        </w:rPr>
      </w:pPr>
    </w:p>
    <w:p w14:paraId="62D6B9D3" w14:textId="77777777" w:rsidR="00F71D78" w:rsidRPr="003F16AF" w:rsidRDefault="00F71D78" w:rsidP="003F16AF">
      <w:pPr>
        <w:pStyle w:val="N1-1stBullet"/>
        <w:spacing w:line="240" w:lineRule="auto"/>
        <w:rPr>
          <w:rFonts w:ascii="Times New Roman" w:hAnsi="Times New Roman"/>
          <w:szCs w:val="24"/>
        </w:rPr>
      </w:pPr>
      <w:r w:rsidRPr="003F16AF">
        <w:rPr>
          <w:rFonts w:ascii="Times New Roman" w:hAnsi="Times New Roman"/>
          <w:b/>
          <w:szCs w:val="24"/>
        </w:rPr>
        <w:t>Requesting documents.</w:t>
      </w:r>
      <w:r w:rsidRPr="003F16AF">
        <w:rPr>
          <w:rFonts w:ascii="Times New Roman" w:hAnsi="Times New Roman"/>
          <w:szCs w:val="24"/>
        </w:rPr>
        <w:t xml:space="preserve"> Document requests will be combined across all evaluation components to minimize the number of requests and avoid duplicate requests.</w:t>
      </w:r>
    </w:p>
    <w:p w14:paraId="62A3B4C2" w14:textId="77777777" w:rsidR="00F71D78" w:rsidRPr="003F16AF" w:rsidRDefault="00F71D78" w:rsidP="003F16AF">
      <w:pPr>
        <w:pStyle w:val="N1-1stBullet"/>
        <w:spacing w:line="240" w:lineRule="auto"/>
        <w:rPr>
          <w:rFonts w:ascii="Times New Roman" w:hAnsi="Times New Roman"/>
          <w:szCs w:val="24"/>
        </w:rPr>
      </w:pPr>
      <w:r w:rsidRPr="003F16AF">
        <w:rPr>
          <w:rFonts w:ascii="Times New Roman" w:hAnsi="Times New Roman"/>
          <w:b/>
          <w:szCs w:val="24"/>
        </w:rPr>
        <w:t>Identifying respondents among participants.</w:t>
      </w:r>
      <w:r w:rsidRPr="003F16AF">
        <w:rPr>
          <w:rFonts w:ascii="Times New Roman" w:hAnsi="Times New Roman"/>
          <w:szCs w:val="24"/>
        </w:rPr>
        <w:t xml:space="preserve"> The Evaluation Team will work with each site</w:t>
      </w:r>
      <w:r w:rsidR="00060BFF" w:rsidRPr="003F16AF">
        <w:rPr>
          <w:rFonts w:ascii="Times New Roman" w:hAnsi="Times New Roman"/>
          <w:szCs w:val="24"/>
        </w:rPr>
        <w:t>’</w:t>
      </w:r>
      <w:r w:rsidRPr="003F16AF">
        <w:rPr>
          <w:rFonts w:ascii="Times New Roman" w:hAnsi="Times New Roman"/>
          <w:szCs w:val="24"/>
        </w:rPr>
        <w:t>s project director to identify the appropriate people to interview. All respondents will be partners in the planning and implementation of the CSC models and will participate in the evaluation as part of the performance of their roles.</w:t>
      </w:r>
    </w:p>
    <w:p w14:paraId="3D5A5FE7" w14:textId="77777777" w:rsidR="00F71D78" w:rsidRPr="003F16AF" w:rsidRDefault="00F71D78" w:rsidP="003F16AF">
      <w:pPr>
        <w:pStyle w:val="N1-1stBullet"/>
        <w:spacing w:line="240" w:lineRule="auto"/>
        <w:rPr>
          <w:rFonts w:ascii="Times New Roman" w:hAnsi="Times New Roman"/>
          <w:szCs w:val="24"/>
        </w:rPr>
      </w:pPr>
      <w:r w:rsidRPr="003F16AF">
        <w:rPr>
          <w:rFonts w:ascii="Times New Roman" w:hAnsi="Times New Roman"/>
          <w:b/>
          <w:szCs w:val="24"/>
        </w:rPr>
        <w:t>Scheduling interviews.</w:t>
      </w:r>
      <w:r w:rsidRPr="003F16AF">
        <w:rPr>
          <w:rFonts w:ascii="Times New Roman" w:hAnsi="Times New Roman"/>
          <w:szCs w:val="24"/>
        </w:rPr>
        <w:t xml:space="preserve"> The Evaluation Team will be flexible in scheduling interviews, provide a copy of the interview schedule ahead of time, and respect the </w:t>
      </w:r>
      <w:r w:rsidRPr="003F16AF">
        <w:rPr>
          <w:rFonts w:ascii="Times New Roman" w:hAnsi="Times New Roman"/>
          <w:szCs w:val="24"/>
        </w:rPr>
        <w:lastRenderedPageBreak/>
        <w:t>specified time limits. To make the best use of informants</w:t>
      </w:r>
      <w:r w:rsidR="00060BFF" w:rsidRPr="003F16AF">
        <w:rPr>
          <w:rFonts w:ascii="Times New Roman" w:hAnsi="Times New Roman"/>
          <w:szCs w:val="24"/>
        </w:rPr>
        <w:t>’</w:t>
      </w:r>
      <w:r w:rsidRPr="003F16AF">
        <w:rPr>
          <w:rFonts w:ascii="Times New Roman" w:hAnsi="Times New Roman"/>
          <w:szCs w:val="24"/>
        </w:rPr>
        <w:t xml:space="preserve"> time, the Evaluation Team will review available documents and conduct web searches to collect publicly available information prior to the interview.</w:t>
      </w:r>
    </w:p>
    <w:p w14:paraId="4F1DEA32" w14:textId="77777777" w:rsidR="00F71D78" w:rsidRPr="003F16AF" w:rsidRDefault="00F71D78" w:rsidP="003F16AF">
      <w:pPr>
        <w:pStyle w:val="N1-1stBullet"/>
        <w:spacing w:line="240" w:lineRule="auto"/>
        <w:rPr>
          <w:rFonts w:ascii="Times New Roman" w:hAnsi="Times New Roman"/>
          <w:szCs w:val="24"/>
        </w:rPr>
      </w:pPr>
      <w:r w:rsidRPr="003F16AF">
        <w:rPr>
          <w:rFonts w:ascii="Times New Roman" w:hAnsi="Times New Roman"/>
          <w:b/>
          <w:szCs w:val="24"/>
        </w:rPr>
        <w:t>Site liaison model.</w:t>
      </w:r>
      <w:r w:rsidRPr="003F16AF">
        <w:rPr>
          <w:rFonts w:ascii="Times New Roman" w:hAnsi="Times New Roman"/>
          <w:szCs w:val="24"/>
        </w:rPr>
        <w:t xml:space="preserve"> Individual Evaluation Team members will serve as site liaisons to each participating site to facilitate communication in ways that the Evaluation Team anticipates will enhance response rates, data quality, and site motivation. In addition, the site liaison model will enable the Evaluation Team to understand the sites more comprehensively, which will be of value when interpreting findings.</w:t>
      </w:r>
    </w:p>
    <w:p w14:paraId="44743F5C" w14:textId="37F5768D" w:rsidR="00F71D78" w:rsidRPr="003F16AF" w:rsidRDefault="00F71D78" w:rsidP="003F16AF">
      <w:pPr>
        <w:pStyle w:val="Heading2"/>
        <w:spacing w:line="240" w:lineRule="auto"/>
        <w:rPr>
          <w:rFonts w:ascii="Times New Roman" w:hAnsi="Times New Roman"/>
          <w:color w:val="auto"/>
          <w:sz w:val="24"/>
          <w:szCs w:val="24"/>
        </w:rPr>
      </w:pPr>
      <w:bookmarkStart w:id="9" w:name="_Toc471198157"/>
      <w:r w:rsidRPr="003F16AF">
        <w:rPr>
          <w:rFonts w:ascii="Times New Roman" w:hAnsi="Times New Roman"/>
          <w:color w:val="auto"/>
          <w:sz w:val="24"/>
          <w:szCs w:val="24"/>
        </w:rPr>
        <w:t>B.4</w:t>
      </w:r>
      <w:r w:rsidRPr="003F16AF">
        <w:rPr>
          <w:rFonts w:ascii="Times New Roman" w:hAnsi="Times New Roman"/>
          <w:color w:val="auto"/>
          <w:sz w:val="24"/>
          <w:szCs w:val="24"/>
        </w:rPr>
        <w:tab/>
      </w:r>
      <w:r w:rsidR="00253C57">
        <w:rPr>
          <w:rFonts w:ascii="Times New Roman" w:hAnsi="Times New Roman"/>
          <w:color w:val="auto"/>
          <w:sz w:val="24"/>
          <w:szCs w:val="24"/>
        </w:rPr>
        <w:t>Test of Procedures</w:t>
      </w:r>
      <w:bookmarkEnd w:id="9"/>
    </w:p>
    <w:p w14:paraId="3AAF7494" w14:textId="55743B8E" w:rsidR="00F71D78" w:rsidRPr="003F16AF" w:rsidRDefault="00F71D78" w:rsidP="003F16AF">
      <w:pPr>
        <w:pStyle w:val="L1-FlLSp12"/>
        <w:spacing w:line="240" w:lineRule="auto"/>
        <w:rPr>
          <w:rFonts w:ascii="Times New Roman" w:hAnsi="Times New Roman"/>
          <w:szCs w:val="24"/>
        </w:rPr>
      </w:pPr>
      <w:r w:rsidRPr="003F16AF">
        <w:rPr>
          <w:rFonts w:ascii="Times New Roman" w:hAnsi="Times New Roman"/>
          <w:szCs w:val="24"/>
        </w:rPr>
        <w:t xml:space="preserve">The data collection instruments including the site survey and key informant interviews were reviewed by the internal and external technical advisers who provided feedback on measurement quality, potential burden, and </w:t>
      </w:r>
      <w:r w:rsidRPr="00737A33">
        <w:rPr>
          <w:rFonts w:ascii="Times New Roman" w:hAnsi="Times New Roman"/>
          <w:szCs w:val="24"/>
        </w:rPr>
        <w:t xml:space="preserve">ease of administration. </w:t>
      </w:r>
      <w:r w:rsidR="00D1481D" w:rsidRPr="00737A33">
        <w:rPr>
          <w:rFonts w:ascii="Times New Roman" w:hAnsi="Times New Roman"/>
          <w:szCs w:val="24"/>
        </w:rPr>
        <w:t xml:space="preserve">Additionally, as part of previous university-based research </w:t>
      </w:r>
      <w:r w:rsidR="006500CF" w:rsidRPr="00737A33">
        <w:rPr>
          <w:rFonts w:ascii="Times New Roman" w:hAnsi="Times New Roman"/>
          <w:szCs w:val="24"/>
        </w:rPr>
        <w:t xml:space="preserve">that was </w:t>
      </w:r>
      <w:r w:rsidR="00D1481D" w:rsidRPr="00737A33">
        <w:rPr>
          <w:rFonts w:ascii="Times New Roman" w:hAnsi="Times New Roman"/>
          <w:b/>
          <w:szCs w:val="24"/>
        </w:rPr>
        <w:t>not</w:t>
      </w:r>
      <w:r w:rsidR="00D1481D" w:rsidRPr="00737A33">
        <w:rPr>
          <w:rFonts w:ascii="Times New Roman" w:hAnsi="Times New Roman"/>
          <w:szCs w:val="24"/>
        </w:rPr>
        <w:t xml:space="preserve"> conducted for SAMHSA, </w:t>
      </w:r>
      <w:r w:rsidR="006500CF" w:rsidRPr="00737A33">
        <w:rPr>
          <w:rFonts w:ascii="Times New Roman" w:hAnsi="Times New Roman"/>
          <w:szCs w:val="24"/>
        </w:rPr>
        <w:t xml:space="preserve">the </w:t>
      </w:r>
      <w:r w:rsidRPr="00737A33">
        <w:rPr>
          <w:rFonts w:ascii="Times New Roman" w:hAnsi="Times New Roman"/>
          <w:szCs w:val="24"/>
        </w:rPr>
        <w:t xml:space="preserve">CSC fidelity instrument </w:t>
      </w:r>
      <w:r w:rsidR="006500CF" w:rsidRPr="00737A33">
        <w:rPr>
          <w:rFonts w:ascii="Times New Roman" w:hAnsi="Times New Roman"/>
          <w:szCs w:val="24"/>
        </w:rPr>
        <w:t xml:space="preserve">(the FEPS-FS) </w:t>
      </w:r>
      <w:r w:rsidR="00D1481D" w:rsidRPr="00737A33">
        <w:rPr>
          <w:rFonts w:ascii="Times New Roman" w:hAnsi="Times New Roman"/>
          <w:szCs w:val="24"/>
        </w:rPr>
        <w:t xml:space="preserve">was pilot tested </w:t>
      </w:r>
      <w:r w:rsidR="00D1481D" w:rsidRPr="00737A33">
        <w:rPr>
          <w:rFonts w:ascii="Times New Roman" w:hAnsi="Times New Roman"/>
          <w:color w:val="222222"/>
          <w:szCs w:val="24"/>
          <w:shd w:val="clear" w:color="auto" w:fill="FFFFFF"/>
        </w:rPr>
        <w:t>in two countries. Results from this pilot testing indicated the feasibility and reliability of the fidelity instrument (</w:t>
      </w:r>
      <w:proofErr w:type="spellStart"/>
      <w:r w:rsidR="00D1481D" w:rsidRPr="00737A33">
        <w:rPr>
          <w:rFonts w:ascii="Times New Roman" w:hAnsi="Times New Roman"/>
          <w:color w:val="222222"/>
          <w:szCs w:val="24"/>
          <w:shd w:val="clear" w:color="auto" w:fill="FFFFFF"/>
        </w:rPr>
        <w:t>intraclass</w:t>
      </w:r>
      <w:proofErr w:type="spellEnd"/>
      <w:r w:rsidR="00D1481D" w:rsidRPr="00737A33">
        <w:rPr>
          <w:rFonts w:ascii="Times New Roman" w:hAnsi="Times New Roman"/>
          <w:color w:val="222222"/>
          <w:szCs w:val="24"/>
          <w:shd w:val="clear" w:color="auto" w:fill="FFFFFF"/>
        </w:rPr>
        <w:t xml:space="preserve"> correlation coefficient for interrater reliability=.842; 95% confidence interval=.795-.882). </w:t>
      </w:r>
      <w:r w:rsidR="006500CF" w:rsidRPr="00737A33">
        <w:rPr>
          <w:rFonts w:ascii="Times New Roman" w:hAnsi="Times New Roman"/>
          <w:color w:val="000000"/>
          <w:szCs w:val="24"/>
          <w:shd w:val="clear" w:color="auto" w:fill="FFFFFF"/>
        </w:rPr>
        <w:t xml:space="preserve">Content validity was supported by comparisons with </w:t>
      </w:r>
      <w:r w:rsidR="006500CF" w:rsidRPr="00737A33">
        <w:rPr>
          <w:rFonts w:ascii="Times New Roman" w:hAnsi="Times New Roman"/>
          <w:color w:val="222222"/>
          <w:szCs w:val="24"/>
          <w:shd w:val="clear" w:color="auto" w:fill="FFFFFF"/>
        </w:rPr>
        <w:t xml:space="preserve">three existing fidelity scales, as </w:t>
      </w:r>
      <w:r w:rsidR="006500CF" w:rsidRPr="00737A33">
        <w:rPr>
          <w:rFonts w:ascii="Times New Roman" w:hAnsi="Times New Roman"/>
          <w:color w:val="000000"/>
          <w:szCs w:val="24"/>
          <w:shd w:val="clear" w:color="auto" w:fill="FFFFFF"/>
        </w:rPr>
        <w:t>the FEPS-FS ha</w:t>
      </w:r>
      <w:r w:rsidR="00737A33" w:rsidRPr="00737A33">
        <w:rPr>
          <w:rFonts w:ascii="Times New Roman" w:hAnsi="Times New Roman"/>
          <w:color w:val="000000"/>
          <w:szCs w:val="24"/>
          <w:shd w:val="clear" w:color="auto" w:fill="FFFFFF"/>
        </w:rPr>
        <w:t>d</w:t>
      </w:r>
      <w:r w:rsidR="006500CF" w:rsidRPr="00737A33">
        <w:rPr>
          <w:rFonts w:ascii="Times New Roman" w:hAnsi="Times New Roman"/>
          <w:color w:val="000000"/>
          <w:szCs w:val="24"/>
          <w:shd w:val="clear" w:color="auto" w:fill="FFFFFF"/>
        </w:rPr>
        <w:t xml:space="preserve"> the highest proportion of components common to all scales. </w:t>
      </w:r>
      <w:r w:rsidR="00D1481D" w:rsidRPr="00737A33">
        <w:rPr>
          <w:rFonts w:ascii="Times New Roman" w:hAnsi="Times New Roman"/>
          <w:color w:val="222222"/>
          <w:szCs w:val="24"/>
          <w:shd w:val="clear" w:color="auto" w:fill="FFFFFF"/>
        </w:rPr>
        <w:t>Results indicated that the fidelity scale was feasible</w:t>
      </w:r>
      <w:r w:rsidR="006500CF" w:rsidRPr="00737A33">
        <w:rPr>
          <w:rFonts w:ascii="Times New Roman" w:hAnsi="Times New Roman"/>
          <w:color w:val="222222"/>
          <w:szCs w:val="24"/>
          <w:shd w:val="clear" w:color="auto" w:fill="FFFFFF"/>
        </w:rPr>
        <w:t xml:space="preserve"> for sites to use</w:t>
      </w:r>
      <w:r w:rsidR="00D1481D" w:rsidRPr="00737A33">
        <w:rPr>
          <w:rFonts w:ascii="Times New Roman" w:hAnsi="Times New Roman"/>
          <w:color w:val="222222"/>
          <w:szCs w:val="24"/>
          <w:shd w:val="clear" w:color="auto" w:fill="FFFFFF"/>
        </w:rPr>
        <w:t xml:space="preserve">, reliable, and </w:t>
      </w:r>
      <w:r w:rsidR="006500CF" w:rsidRPr="00737A33">
        <w:rPr>
          <w:rFonts w:ascii="Times New Roman" w:hAnsi="Times New Roman"/>
          <w:color w:val="222222"/>
          <w:szCs w:val="24"/>
          <w:shd w:val="clear" w:color="auto" w:fill="FFFFFF"/>
        </w:rPr>
        <w:t xml:space="preserve">a </w:t>
      </w:r>
      <w:r w:rsidR="00D1481D" w:rsidRPr="00737A33">
        <w:rPr>
          <w:rFonts w:ascii="Times New Roman" w:hAnsi="Times New Roman"/>
          <w:color w:val="222222"/>
          <w:szCs w:val="24"/>
          <w:shd w:val="clear" w:color="auto" w:fill="FFFFFF"/>
        </w:rPr>
        <w:t>valid measure of adherence to evidence-based practices for first-episode psychosis services</w:t>
      </w:r>
      <w:r w:rsidR="006500CF" w:rsidRPr="00737A33">
        <w:rPr>
          <w:rFonts w:ascii="Arial" w:hAnsi="Arial" w:cs="Arial"/>
          <w:color w:val="222222"/>
          <w:sz w:val="21"/>
          <w:szCs w:val="21"/>
          <w:shd w:val="clear" w:color="auto" w:fill="FFFFFF"/>
        </w:rPr>
        <w:t>.</w:t>
      </w:r>
      <w:r w:rsidR="006500CF" w:rsidRPr="00737A33">
        <w:rPr>
          <w:rStyle w:val="FootnoteReference"/>
          <w:rFonts w:ascii="Arial" w:hAnsi="Arial" w:cs="Arial"/>
          <w:color w:val="222222"/>
          <w:sz w:val="21"/>
          <w:szCs w:val="21"/>
          <w:shd w:val="clear" w:color="auto" w:fill="FFFFFF"/>
        </w:rPr>
        <w:footnoteReference w:id="3"/>
      </w:r>
      <w:r w:rsidR="006500CF">
        <w:rPr>
          <w:rFonts w:ascii="Arial" w:hAnsi="Arial" w:cs="Arial"/>
          <w:color w:val="222222"/>
          <w:sz w:val="21"/>
          <w:szCs w:val="21"/>
          <w:shd w:val="clear" w:color="auto" w:fill="FFFFFF"/>
        </w:rPr>
        <w:t xml:space="preserve"> </w:t>
      </w:r>
    </w:p>
    <w:p w14:paraId="389A63C2" w14:textId="77777777" w:rsidR="0086538A" w:rsidRPr="003F16AF" w:rsidRDefault="0086538A" w:rsidP="003F16AF">
      <w:pPr>
        <w:pStyle w:val="L1-FlLSp12"/>
        <w:spacing w:line="240" w:lineRule="auto"/>
        <w:rPr>
          <w:rFonts w:ascii="Times New Roman" w:hAnsi="Times New Roman"/>
          <w:szCs w:val="24"/>
        </w:rPr>
      </w:pPr>
    </w:p>
    <w:p w14:paraId="5F5E4321" w14:textId="31AC8191" w:rsidR="00F71D78" w:rsidRPr="003F16AF" w:rsidRDefault="00F71D78" w:rsidP="003F16AF">
      <w:pPr>
        <w:pStyle w:val="Heading2"/>
        <w:spacing w:line="240" w:lineRule="auto"/>
        <w:rPr>
          <w:rFonts w:ascii="Times New Roman" w:hAnsi="Times New Roman"/>
          <w:color w:val="auto"/>
          <w:sz w:val="24"/>
          <w:szCs w:val="24"/>
        </w:rPr>
      </w:pPr>
      <w:bookmarkStart w:id="10" w:name="_Toc471198158"/>
      <w:r w:rsidRPr="003F16AF">
        <w:rPr>
          <w:rFonts w:ascii="Times New Roman" w:hAnsi="Times New Roman"/>
          <w:color w:val="auto"/>
          <w:sz w:val="24"/>
          <w:szCs w:val="24"/>
        </w:rPr>
        <w:t>B.</w:t>
      </w:r>
      <w:r w:rsidR="00246BEA" w:rsidRPr="003F16AF">
        <w:rPr>
          <w:rFonts w:ascii="Times New Roman" w:hAnsi="Times New Roman"/>
          <w:color w:val="auto"/>
          <w:sz w:val="24"/>
          <w:szCs w:val="24"/>
        </w:rPr>
        <w:t>5</w:t>
      </w:r>
      <w:r w:rsidRPr="003F16AF">
        <w:rPr>
          <w:rFonts w:ascii="Times New Roman" w:hAnsi="Times New Roman"/>
          <w:color w:val="auto"/>
          <w:sz w:val="24"/>
          <w:szCs w:val="24"/>
        </w:rPr>
        <w:tab/>
      </w:r>
      <w:r w:rsidR="00253C57">
        <w:rPr>
          <w:rFonts w:ascii="Times New Roman" w:hAnsi="Times New Roman"/>
          <w:color w:val="auto"/>
          <w:sz w:val="24"/>
          <w:szCs w:val="24"/>
        </w:rPr>
        <w:t xml:space="preserve">Statistical Consultants </w:t>
      </w:r>
      <w:bookmarkEnd w:id="10"/>
    </w:p>
    <w:tbl>
      <w:tblPr>
        <w:tblW w:w="4931" w:type="pct"/>
        <w:tblInd w:w="108" w:type="dxa"/>
        <w:tblBorders>
          <w:top w:val="single" w:sz="4" w:space="0" w:color="auto"/>
          <w:bottom w:val="single" w:sz="4" w:space="0" w:color="auto"/>
        </w:tblBorders>
        <w:tblLook w:val="01E0" w:firstRow="1" w:lastRow="1" w:firstColumn="1" w:lastColumn="1" w:noHBand="0" w:noVBand="0"/>
      </w:tblPr>
      <w:tblGrid>
        <w:gridCol w:w="1592"/>
        <w:gridCol w:w="2682"/>
        <w:gridCol w:w="1740"/>
        <w:gridCol w:w="3217"/>
      </w:tblGrid>
      <w:tr w:rsidR="003F16AF" w:rsidRPr="003F16AF" w14:paraId="0CC4272F" w14:textId="77777777" w:rsidTr="0070755F">
        <w:trPr>
          <w:cantSplit/>
        </w:trPr>
        <w:tc>
          <w:tcPr>
            <w:tcW w:w="919" w:type="pct"/>
            <w:tcBorders>
              <w:top w:val="single" w:sz="4" w:space="0" w:color="auto"/>
              <w:left w:val="nil"/>
              <w:bottom w:val="single" w:sz="4" w:space="0" w:color="auto"/>
              <w:right w:val="nil"/>
            </w:tcBorders>
            <w:shd w:val="clear" w:color="auto" w:fill="AFBED7"/>
            <w:vAlign w:val="bottom"/>
          </w:tcPr>
          <w:p w14:paraId="3E42352F" w14:textId="77777777" w:rsidR="00F71D78" w:rsidRPr="003F16AF" w:rsidRDefault="00F71D78" w:rsidP="003F16AF">
            <w:pPr>
              <w:pStyle w:val="TH-TableHeading"/>
              <w:spacing w:before="40" w:after="40" w:line="240" w:lineRule="auto"/>
              <w:rPr>
                <w:rFonts w:ascii="Times New Roman" w:hAnsi="Times New Roman"/>
                <w:sz w:val="24"/>
                <w:szCs w:val="24"/>
              </w:rPr>
            </w:pPr>
            <w:bookmarkStart w:id="11" w:name="_Toc329675004"/>
            <w:r w:rsidRPr="003F16AF">
              <w:rPr>
                <w:rFonts w:ascii="Times New Roman" w:hAnsi="Times New Roman"/>
                <w:sz w:val="24"/>
                <w:szCs w:val="24"/>
              </w:rPr>
              <w:t>Name</w:t>
            </w:r>
            <w:bookmarkEnd w:id="11"/>
          </w:p>
        </w:tc>
        <w:tc>
          <w:tcPr>
            <w:tcW w:w="1509" w:type="pct"/>
            <w:tcBorders>
              <w:top w:val="single" w:sz="4" w:space="0" w:color="auto"/>
              <w:left w:val="nil"/>
              <w:bottom w:val="single" w:sz="4" w:space="0" w:color="auto"/>
              <w:right w:val="nil"/>
            </w:tcBorders>
            <w:shd w:val="clear" w:color="auto" w:fill="AFBED7"/>
            <w:vAlign w:val="bottom"/>
          </w:tcPr>
          <w:p w14:paraId="0CFF3102" w14:textId="77777777" w:rsidR="00F71D78" w:rsidRPr="003F16AF" w:rsidRDefault="00F71D78" w:rsidP="003F16AF">
            <w:pPr>
              <w:pStyle w:val="TH-TableHeading"/>
              <w:spacing w:before="40" w:after="40" w:line="240" w:lineRule="auto"/>
              <w:rPr>
                <w:rFonts w:ascii="Times New Roman" w:hAnsi="Times New Roman"/>
                <w:sz w:val="24"/>
                <w:szCs w:val="24"/>
              </w:rPr>
            </w:pPr>
            <w:bookmarkStart w:id="12" w:name="_Toc329675005"/>
            <w:r w:rsidRPr="003F16AF">
              <w:rPr>
                <w:rFonts w:ascii="Times New Roman" w:hAnsi="Times New Roman"/>
                <w:sz w:val="24"/>
                <w:szCs w:val="24"/>
              </w:rPr>
              <w:t>Affiliation</w:t>
            </w:r>
            <w:bookmarkEnd w:id="12"/>
          </w:p>
        </w:tc>
        <w:tc>
          <w:tcPr>
            <w:tcW w:w="999" w:type="pct"/>
            <w:tcBorders>
              <w:top w:val="single" w:sz="4" w:space="0" w:color="auto"/>
              <w:left w:val="nil"/>
              <w:bottom w:val="single" w:sz="4" w:space="0" w:color="auto"/>
              <w:right w:val="nil"/>
            </w:tcBorders>
            <w:shd w:val="clear" w:color="auto" w:fill="AFBED7"/>
            <w:vAlign w:val="bottom"/>
          </w:tcPr>
          <w:p w14:paraId="3507C08A" w14:textId="77777777" w:rsidR="00F71D78" w:rsidRPr="003F16AF" w:rsidRDefault="00F71D78" w:rsidP="003F16AF">
            <w:pPr>
              <w:pStyle w:val="TH-TableHeading"/>
              <w:spacing w:before="40" w:after="40" w:line="240" w:lineRule="auto"/>
              <w:ind w:left="-108" w:right="-94"/>
              <w:rPr>
                <w:rFonts w:ascii="Times New Roman" w:hAnsi="Times New Roman"/>
                <w:sz w:val="24"/>
                <w:szCs w:val="24"/>
              </w:rPr>
            </w:pPr>
            <w:bookmarkStart w:id="13" w:name="_Toc329675006"/>
            <w:r w:rsidRPr="003F16AF">
              <w:rPr>
                <w:rFonts w:ascii="Times New Roman" w:hAnsi="Times New Roman"/>
                <w:sz w:val="24"/>
                <w:szCs w:val="24"/>
              </w:rPr>
              <w:t xml:space="preserve">Telephone </w:t>
            </w:r>
            <w:r w:rsidR="00151D3A" w:rsidRPr="003F16AF">
              <w:rPr>
                <w:rFonts w:ascii="Times New Roman" w:hAnsi="Times New Roman"/>
                <w:sz w:val="24"/>
                <w:szCs w:val="24"/>
              </w:rPr>
              <w:t>N</w:t>
            </w:r>
            <w:r w:rsidRPr="003F16AF">
              <w:rPr>
                <w:rFonts w:ascii="Times New Roman" w:hAnsi="Times New Roman"/>
                <w:sz w:val="24"/>
                <w:szCs w:val="24"/>
              </w:rPr>
              <w:t>umber</w:t>
            </w:r>
            <w:bookmarkEnd w:id="13"/>
          </w:p>
        </w:tc>
        <w:tc>
          <w:tcPr>
            <w:tcW w:w="1573" w:type="pct"/>
            <w:tcBorders>
              <w:top w:val="single" w:sz="4" w:space="0" w:color="auto"/>
              <w:left w:val="nil"/>
              <w:bottom w:val="single" w:sz="4" w:space="0" w:color="auto"/>
              <w:right w:val="nil"/>
            </w:tcBorders>
            <w:shd w:val="clear" w:color="auto" w:fill="AFBED7"/>
            <w:vAlign w:val="bottom"/>
          </w:tcPr>
          <w:p w14:paraId="05724B6C" w14:textId="77777777" w:rsidR="00F71D78" w:rsidRPr="003F16AF" w:rsidRDefault="00151D3A" w:rsidP="003F16AF">
            <w:pPr>
              <w:pStyle w:val="TH-TableHeading"/>
              <w:spacing w:before="40" w:after="40" w:line="240" w:lineRule="auto"/>
              <w:rPr>
                <w:rFonts w:ascii="Times New Roman" w:hAnsi="Times New Roman"/>
                <w:sz w:val="24"/>
                <w:szCs w:val="24"/>
              </w:rPr>
            </w:pPr>
            <w:bookmarkStart w:id="14" w:name="_Toc329675007"/>
            <w:r w:rsidRPr="003F16AF">
              <w:rPr>
                <w:rFonts w:ascii="Times New Roman" w:hAnsi="Times New Roman"/>
                <w:sz w:val="24"/>
                <w:szCs w:val="24"/>
              </w:rPr>
              <w:t>E</w:t>
            </w:r>
            <w:r w:rsidR="00F71D78" w:rsidRPr="003F16AF">
              <w:rPr>
                <w:rFonts w:ascii="Times New Roman" w:hAnsi="Times New Roman"/>
                <w:sz w:val="24"/>
                <w:szCs w:val="24"/>
              </w:rPr>
              <w:t>-mail</w:t>
            </w:r>
            <w:bookmarkEnd w:id="14"/>
          </w:p>
        </w:tc>
      </w:tr>
      <w:tr w:rsidR="003F16AF" w:rsidRPr="003F16AF" w14:paraId="7C8DE6AA" w14:textId="77777777" w:rsidTr="0070755F">
        <w:trPr>
          <w:cantSplit/>
        </w:trPr>
        <w:tc>
          <w:tcPr>
            <w:tcW w:w="919" w:type="pct"/>
            <w:tcBorders>
              <w:top w:val="single" w:sz="4" w:space="0" w:color="auto"/>
              <w:bottom w:val="single" w:sz="4" w:space="0" w:color="auto"/>
            </w:tcBorders>
          </w:tcPr>
          <w:p w14:paraId="5C1FEB59" w14:textId="05CF3631" w:rsidR="00F71D78" w:rsidRPr="003F16AF" w:rsidRDefault="00924AD0" w:rsidP="003F16AF">
            <w:pPr>
              <w:pStyle w:val="TX-TableText"/>
              <w:spacing w:before="40" w:after="40" w:line="240" w:lineRule="auto"/>
              <w:rPr>
                <w:rFonts w:ascii="Times New Roman" w:hAnsi="Times New Roman"/>
                <w:sz w:val="24"/>
                <w:szCs w:val="24"/>
              </w:rPr>
            </w:pPr>
            <w:r>
              <w:rPr>
                <w:rFonts w:ascii="Times New Roman" w:hAnsi="Times New Roman"/>
                <w:sz w:val="24"/>
                <w:szCs w:val="24"/>
              </w:rPr>
              <w:t>Abram Rosenblatt</w:t>
            </w:r>
          </w:p>
        </w:tc>
        <w:tc>
          <w:tcPr>
            <w:tcW w:w="1509" w:type="pct"/>
            <w:tcBorders>
              <w:top w:val="single" w:sz="4" w:space="0" w:color="auto"/>
              <w:bottom w:val="single" w:sz="4" w:space="0" w:color="auto"/>
            </w:tcBorders>
          </w:tcPr>
          <w:p w14:paraId="4F9494CA" w14:textId="77777777" w:rsidR="00F71D78" w:rsidRPr="003F16AF" w:rsidRDefault="00F71D78" w:rsidP="003F16AF">
            <w:pPr>
              <w:pStyle w:val="TX-TableText"/>
              <w:spacing w:before="40" w:after="40" w:line="240" w:lineRule="auto"/>
              <w:rPr>
                <w:rFonts w:ascii="Times New Roman" w:hAnsi="Times New Roman"/>
                <w:sz w:val="24"/>
                <w:szCs w:val="24"/>
              </w:rPr>
            </w:pPr>
            <w:r w:rsidRPr="003F16AF">
              <w:rPr>
                <w:rFonts w:ascii="Times New Roman" w:hAnsi="Times New Roman"/>
                <w:sz w:val="24"/>
                <w:szCs w:val="24"/>
              </w:rPr>
              <w:t>Principal Investigator, Westat</w:t>
            </w:r>
          </w:p>
        </w:tc>
        <w:tc>
          <w:tcPr>
            <w:tcW w:w="999" w:type="pct"/>
            <w:tcBorders>
              <w:top w:val="single" w:sz="4" w:space="0" w:color="auto"/>
              <w:bottom w:val="single" w:sz="4" w:space="0" w:color="auto"/>
            </w:tcBorders>
          </w:tcPr>
          <w:p w14:paraId="121CF2F6" w14:textId="2B9DD85C" w:rsidR="00F71D78" w:rsidRPr="003F16AF" w:rsidRDefault="00F71D78" w:rsidP="00924AD0">
            <w:pPr>
              <w:pStyle w:val="TX-TableText"/>
              <w:spacing w:before="40" w:after="40" w:line="240" w:lineRule="auto"/>
              <w:jc w:val="center"/>
              <w:rPr>
                <w:rFonts w:ascii="Times New Roman" w:hAnsi="Times New Roman"/>
                <w:sz w:val="24"/>
                <w:szCs w:val="24"/>
              </w:rPr>
            </w:pPr>
            <w:r w:rsidRPr="003F16AF">
              <w:rPr>
                <w:rFonts w:ascii="Times New Roman" w:hAnsi="Times New Roman"/>
                <w:sz w:val="24"/>
                <w:szCs w:val="24"/>
              </w:rPr>
              <w:t>301-</w:t>
            </w:r>
            <w:r w:rsidR="00924AD0">
              <w:rPr>
                <w:rFonts w:ascii="Times New Roman" w:hAnsi="Times New Roman"/>
                <w:sz w:val="24"/>
                <w:szCs w:val="24"/>
              </w:rPr>
              <w:t>517-4065</w:t>
            </w:r>
          </w:p>
        </w:tc>
        <w:tc>
          <w:tcPr>
            <w:tcW w:w="1573" w:type="pct"/>
            <w:tcBorders>
              <w:top w:val="single" w:sz="4" w:space="0" w:color="auto"/>
              <w:bottom w:val="single" w:sz="4" w:space="0" w:color="auto"/>
            </w:tcBorders>
          </w:tcPr>
          <w:p w14:paraId="7BA17838" w14:textId="248528A3" w:rsidR="00F71D78" w:rsidRPr="003F16AF" w:rsidRDefault="00924AD0" w:rsidP="003F16AF">
            <w:pPr>
              <w:pStyle w:val="TX-TableText"/>
              <w:spacing w:before="40" w:after="40" w:line="240" w:lineRule="auto"/>
              <w:rPr>
                <w:rFonts w:ascii="Times New Roman" w:hAnsi="Times New Roman"/>
                <w:sz w:val="24"/>
                <w:szCs w:val="24"/>
              </w:rPr>
            </w:pPr>
            <w:r>
              <w:rPr>
                <w:rFonts w:ascii="Times New Roman" w:hAnsi="Times New Roman"/>
                <w:sz w:val="24"/>
                <w:szCs w:val="24"/>
              </w:rPr>
              <w:t>AbramRosenblatt</w:t>
            </w:r>
            <w:r w:rsidR="00F71D78" w:rsidRPr="003F16AF">
              <w:rPr>
                <w:rFonts w:ascii="Times New Roman" w:hAnsi="Times New Roman"/>
                <w:sz w:val="24"/>
                <w:szCs w:val="24"/>
              </w:rPr>
              <w:t>@westat.com</w:t>
            </w:r>
            <w:r w:rsidR="00F71D78" w:rsidRPr="003F16AF" w:rsidDel="00B51180">
              <w:rPr>
                <w:rFonts w:ascii="Times New Roman" w:hAnsi="Times New Roman"/>
                <w:sz w:val="24"/>
                <w:szCs w:val="24"/>
              </w:rPr>
              <w:t xml:space="preserve"> </w:t>
            </w:r>
          </w:p>
        </w:tc>
      </w:tr>
      <w:tr w:rsidR="003F16AF" w:rsidRPr="003F16AF" w14:paraId="08FCD366" w14:textId="77777777" w:rsidTr="0070755F">
        <w:trPr>
          <w:cantSplit/>
        </w:trPr>
        <w:tc>
          <w:tcPr>
            <w:tcW w:w="919" w:type="pct"/>
            <w:tcBorders>
              <w:top w:val="single" w:sz="4" w:space="0" w:color="auto"/>
              <w:bottom w:val="single" w:sz="4" w:space="0" w:color="auto"/>
            </w:tcBorders>
          </w:tcPr>
          <w:p w14:paraId="6AD6FE5E" w14:textId="77777777" w:rsidR="00F71D78" w:rsidRPr="003F16AF" w:rsidRDefault="00F71D78" w:rsidP="003F16AF">
            <w:pPr>
              <w:pStyle w:val="TX-TableText"/>
              <w:spacing w:before="40" w:after="40" w:line="240" w:lineRule="auto"/>
              <w:rPr>
                <w:rFonts w:ascii="Times New Roman" w:hAnsi="Times New Roman"/>
                <w:sz w:val="24"/>
                <w:szCs w:val="24"/>
              </w:rPr>
            </w:pPr>
            <w:r w:rsidRPr="003F16AF">
              <w:rPr>
                <w:rFonts w:ascii="Times New Roman" w:hAnsi="Times New Roman"/>
                <w:sz w:val="24"/>
                <w:szCs w:val="24"/>
              </w:rPr>
              <w:t>Preethy George</w:t>
            </w:r>
          </w:p>
        </w:tc>
        <w:tc>
          <w:tcPr>
            <w:tcW w:w="1509" w:type="pct"/>
            <w:tcBorders>
              <w:top w:val="single" w:sz="4" w:space="0" w:color="auto"/>
              <w:bottom w:val="single" w:sz="4" w:space="0" w:color="auto"/>
            </w:tcBorders>
          </w:tcPr>
          <w:p w14:paraId="54E94AAB" w14:textId="77777777" w:rsidR="00F71D78" w:rsidRPr="003F16AF" w:rsidRDefault="00F71D78" w:rsidP="003F16AF">
            <w:pPr>
              <w:pStyle w:val="TX-TableText"/>
              <w:spacing w:before="40" w:after="40" w:line="240" w:lineRule="auto"/>
              <w:rPr>
                <w:rFonts w:ascii="Times New Roman" w:hAnsi="Times New Roman"/>
                <w:sz w:val="24"/>
                <w:szCs w:val="24"/>
              </w:rPr>
            </w:pPr>
            <w:r w:rsidRPr="003F16AF">
              <w:rPr>
                <w:rFonts w:ascii="Times New Roman" w:hAnsi="Times New Roman"/>
                <w:sz w:val="24"/>
                <w:szCs w:val="24"/>
              </w:rPr>
              <w:t>Project Director, Westat</w:t>
            </w:r>
          </w:p>
        </w:tc>
        <w:tc>
          <w:tcPr>
            <w:tcW w:w="999" w:type="pct"/>
            <w:tcBorders>
              <w:top w:val="single" w:sz="4" w:space="0" w:color="auto"/>
              <w:bottom w:val="single" w:sz="4" w:space="0" w:color="auto"/>
            </w:tcBorders>
          </w:tcPr>
          <w:p w14:paraId="14E258F7" w14:textId="77777777" w:rsidR="00F71D78" w:rsidRPr="003F16AF" w:rsidRDefault="00F71D78" w:rsidP="003F16AF">
            <w:pPr>
              <w:pStyle w:val="TX-TableText"/>
              <w:spacing w:before="40" w:after="40" w:line="240" w:lineRule="auto"/>
              <w:jc w:val="center"/>
              <w:rPr>
                <w:rFonts w:ascii="Times New Roman" w:hAnsi="Times New Roman"/>
                <w:sz w:val="24"/>
                <w:szCs w:val="24"/>
              </w:rPr>
            </w:pPr>
            <w:r w:rsidRPr="003F16AF">
              <w:rPr>
                <w:rFonts w:ascii="Times New Roman" w:hAnsi="Times New Roman"/>
                <w:sz w:val="24"/>
                <w:szCs w:val="24"/>
              </w:rPr>
              <w:t>301-738-3553</w:t>
            </w:r>
          </w:p>
        </w:tc>
        <w:tc>
          <w:tcPr>
            <w:tcW w:w="1573" w:type="pct"/>
            <w:tcBorders>
              <w:top w:val="single" w:sz="4" w:space="0" w:color="auto"/>
              <w:bottom w:val="single" w:sz="4" w:space="0" w:color="auto"/>
            </w:tcBorders>
          </w:tcPr>
          <w:p w14:paraId="4A7BC336" w14:textId="77777777" w:rsidR="00F71D78" w:rsidRPr="003F16AF" w:rsidRDefault="00D028F1" w:rsidP="003F16AF">
            <w:pPr>
              <w:pStyle w:val="TX-TableText"/>
              <w:spacing w:before="40" w:after="40" w:line="240" w:lineRule="auto"/>
              <w:rPr>
                <w:rFonts w:ascii="Times New Roman" w:hAnsi="Times New Roman"/>
                <w:sz w:val="24"/>
                <w:szCs w:val="24"/>
              </w:rPr>
            </w:pPr>
            <w:hyperlink r:id="rId8" w:history="1"/>
            <w:r w:rsidR="00F71D78" w:rsidRPr="003F16AF">
              <w:rPr>
                <w:rFonts w:ascii="Times New Roman" w:hAnsi="Times New Roman"/>
                <w:sz w:val="24"/>
                <w:szCs w:val="24"/>
              </w:rPr>
              <w:t>PreethyGeorge@westat.com</w:t>
            </w:r>
          </w:p>
        </w:tc>
      </w:tr>
      <w:tr w:rsidR="003F16AF" w:rsidRPr="003F16AF" w14:paraId="116F9DAA" w14:textId="77777777" w:rsidTr="0070755F">
        <w:trPr>
          <w:cantSplit/>
        </w:trPr>
        <w:tc>
          <w:tcPr>
            <w:tcW w:w="919" w:type="pct"/>
            <w:tcBorders>
              <w:top w:val="single" w:sz="4" w:space="0" w:color="auto"/>
              <w:bottom w:val="single" w:sz="4" w:space="0" w:color="auto"/>
            </w:tcBorders>
          </w:tcPr>
          <w:p w14:paraId="6646AF4B" w14:textId="77777777" w:rsidR="00F71D78" w:rsidRPr="003F16AF" w:rsidRDefault="00F71D78" w:rsidP="003F16AF">
            <w:pPr>
              <w:pStyle w:val="TX-TableText"/>
              <w:spacing w:before="40" w:after="40" w:line="240" w:lineRule="auto"/>
              <w:rPr>
                <w:rFonts w:ascii="Times New Roman" w:hAnsi="Times New Roman"/>
                <w:sz w:val="24"/>
                <w:szCs w:val="24"/>
              </w:rPr>
            </w:pPr>
            <w:proofErr w:type="spellStart"/>
            <w:r w:rsidRPr="003F16AF">
              <w:rPr>
                <w:rFonts w:ascii="Times New Roman" w:hAnsi="Times New Roman"/>
                <w:sz w:val="24"/>
                <w:szCs w:val="24"/>
              </w:rPr>
              <w:t>Hyunshik</w:t>
            </w:r>
            <w:proofErr w:type="spellEnd"/>
            <w:r w:rsidRPr="003F16AF">
              <w:rPr>
                <w:rFonts w:ascii="Times New Roman" w:hAnsi="Times New Roman"/>
                <w:sz w:val="24"/>
                <w:szCs w:val="24"/>
              </w:rPr>
              <w:t xml:space="preserve"> Lee</w:t>
            </w:r>
          </w:p>
        </w:tc>
        <w:tc>
          <w:tcPr>
            <w:tcW w:w="1509" w:type="pct"/>
            <w:tcBorders>
              <w:top w:val="single" w:sz="4" w:space="0" w:color="auto"/>
              <w:bottom w:val="single" w:sz="4" w:space="0" w:color="auto"/>
            </w:tcBorders>
          </w:tcPr>
          <w:p w14:paraId="40BFB5C6" w14:textId="77777777" w:rsidR="00F71D78" w:rsidRPr="003F16AF" w:rsidRDefault="00F71D78" w:rsidP="003F16AF">
            <w:pPr>
              <w:pStyle w:val="TX-TableText"/>
              <w:spacing w:before="40" w:after="40" w:line="240" w:lineRule="auto"/>
              <w:rPr>
                <w:rFonts w:ascii="Times New Roman" w:hAnsi="Times New Roman"/>
                <w:sz w:val="24"/>
                <w:szCs w:val="24"/>
              </w:rPr>
            </w:pPr>
            <w:r w:rsidRPr="003F16AF">
              <w:rPr>
                <w:rFonts w:ascii="Times New Roman" w:hAnsi="Times New Roman"/>
                <w:sz w:val="24"/>
                <w:szCs w:val="24"/>
              </w:rPr>
              <w:t>Senior Statistician, Westat</w:t>
            </w:r>
          </w:p>
        </w:tc>
        <w:tc>
          <w:tcPr>
            <w:tcW w:w="999" w:type="pct"/>
            <w:tcBorders>
              <w:top w:val="single" w:sz="4" w:space="0" w:color="auto"/>
              <w:bottom w:val="single" w:sz="4" w:space="0" w:color="auto"/>
            </w:tcBorders>
          </w:tcPr>
          <w:p w14:paraId="15AD4B7E" w14:textId="77777777" w:rsidR="00F71D78" w:rsidRPr="003F16AF" w:rsidRDefault="00F71D78" w:rsidP="003F16AF">
            <w:pPr>
              <w:pStyle w:val="TX-TableText"/>
              <w:spacing w:before="40" w:after="40" w:line="240" w:lineRule="auto"/>
              <w:jc w:val="center"/>
              <w:rPr>
                <w:rFonts w:ascii="Times New Roman" w:hAnsi="Times New Roman"/>
                <w:sz w:val="24"/>
                <w:szCs w:val="24"/>
              </w:rPr>
            </w:pPr>
            <w:r w:rsidRPr="003F16AF">
              <w:rPr>
                <w:rFonts w:ascii="Times New Roman" w:hAnsi="Times New Roman"/>
                <w:sz w:val="24"/>
                <w:szCs w:val="24"/>
              </w:rPr>
              <w:t>301-610-5112</w:t>
            </w:r>
          </w:p>
        </w:tc>
        <w:tc>
          <w:tcPr>
            <w:tcW w:w="1573" w:type="pct"/>
            <w:tcBorders>
              <w:top w:val="single" w:sz="4" w:space="0" w:color="auto"/>
              <w:bottom w:val="single" w:sz="4" w:space="0" w:color="auto"/>
            </w:tcBorders>
          </w:tcPr>
          <w:p w14:paraId="3435DD17" w14:textId="77777777" w:rsidR="00F71D78" w:rsidRPr="003F16AF" w:rsidRDefault="00D028F1" w:rsidP="003F16AF">
            <w:pPr>
              <w:pStyle w:val="TX-TableText"/>
              <w:spacing w:before="40" w:after="40" w:line="240" w:lineRule="auto"/>
              <w:rPr>
                <w:rFonts w:ascii="Times New Roman" w:hAnsi="Times New Roman"/>
                <w:sz w:val="24"/>
                <w:szCs w:val="24"/>
              </w:rPr>
            </w:pPr>
            <w:hyperlink r:id="rId9" w:history="1">
              <w:r w:rsidR="00F71D78" w:rsidRPr="003F16AF">
                <w:rPr>
                  <w:rStyle w:val="Hyperlink"/>
                  <w:rFonts w:ascii="Times New Roman" w:hAnsi="Times New Roman"/>
                  <w:color w:val="auto"/>
                  <w:sz w:val="24"/>
                  <w:szCs w:val="24"/>
                </w:rPr>
                <w:t>HyunshikLee@westat.com</w:t>
              </w:r>
            </w:hyperlink>
          </w:p>
        </w:tc>
      </w:tr>
    </w:tbl>
    <w:p w14:paraId="0200423A" w14:textId="77777777" w:rsidR="00F71D78" w:rsidRPr="003F16AF" w:rsidRDefault="00F71D78" w:rsidP="003F16AF">
      <w:pPr>
        <w:spacing w:line="240" w:lineRule="auto"/>
        <w:rPr>
          <w:rFonts w:ascii="Times New Roman" w:hAnsi="Times New Roman"/>
          <w:szCs w:val="24"/>
        </w:rPr>
      </w:pPr>
    </w:p>
    <w:p w14:paraId="47D06B9B" w14:textId="77777777" w:rsidR="0039136C" w:rsidRPr="003F16AF" w:rsidRDefault="0039136C" w:rsidP="003F16AF">
      <w:pPr>
        <w:spacing w:line="240" w:lineRule="auto"/>
        <w:rPr>
          <w:rFonts w:ascii="Times New Roman" w:hAnsi="Times New Roman"/>
          <w:szCs w:val="24"/>
        </w:rPr>
      </w:pPr>
    </w:p>
    <w:p w14:paraId="06988E79" w14:textId="77777777" w:rsidR="006A2D92" w:rsidRDefault="006A2D92" w:rsidP="003F16AF">
      <w:pPr>
        <w:pStyle w:val="Heading3"/>
        <w:spacing w:line="240" w:lineRule="auto"/>
        <w:rPr>
          <w:rFonts w:ascii="Times New Roman" w:hAnsi="Times New Roman"/>
          <w:color w:val="auto"/>
          <w:sz w:val="24"/>
          <w:szCs w:val="24"/>
        </w:rPr>
        <w:sectPr w:rsidR="006A2D92" w:rsidSect="007D2E23">
          <w:footerReference w:type="default" r:id="rId10"/>
          <w:headerReference w:type="first" r:id="rId11"/>
          <w:footerReference w:type="first" r:id="rId12"/>
          <w:pgSz w:w="12240" w:h="15840" w:code="1"/>
          <w:pgMar w:top="1440" w:right="1440" w:bottom="1440" w:left="1440" w:header="720" w:footer="576" w:gutter="0"/>
          <w:pgNumType w:start="1"/>
          <w:cols w:space="720"/>
          <w:titlePg/>
          <w:docGrid w:linePitch="360"/>
        </w:sectPr>
      </w:pPr>
      <w:bookmarkStart w:id="15" w:name="_Toc391970705"/>
    </w:p>
    <w:p w14:paraId="68055345" w14:textId="3B249C9A" w:rsidR="0039136C" w:rsidRPr="000F2A70" w:rsidRDefault="0039136C" w:rsidP="003F16AF">
      <w:pPr>
        <w:pStyle w:val="Heading3"/>
        <w:spacing w:line="240" w:lineRule="auto"/>
        <w:rPr>
          <w:rFonts w:ascii="Times New Roman" w:hAnsi="Times New Roman"/>
          <w:color w:val="auto"/>
          <w:sz w:val="24"/>
          <w:szCs w:val="24"/>
        </w:rPr>
      </w:pPr>
      <w:r w:rsidRPr="000F2A70">
        <w:rPr>
          <w:rFonts w:ascii="Times New Roman" w:hAnsi="Times New Roman"/>
          <w:color w:val="auto"/>
          <w:sz w:val="24"/>
          <w:szCs w:val="24"/>
        </w:rPr>
        <w:lastRenderedPageBreak/>
        <w:t>List of Attachments</w:t>
      </w:r>
      <w:bookmarkEnd w:id="15"/>
    </w:p>
    <w:p w14:paraId="2F586325" w14:textId="77777777" w:rsidR="0039136C" w:rsidRPr="000F2A70" w:rsidRDefault="0039136C" w:rsidP="007A72DF">
      <w:pPr>
        <w:pStyle w:val="N0-FlLftBullet"/>
        <w:spacing w:after="0" w:line="276" w:lineRule="auto"/>
        <w:rPr>
          <w:rFonts w:ascii="Times New Roman" w:hAnsi="Times New Roman"/>
          <w:szCs w:val="24"/>
        </w:rPr>
      </w:pPr>
      <w:r w:rsidRPr="000F2A70">
        <w:rPr>
          <w:rFonts w:ascii="Times New Roman" w:hAnsi="Times New Roman"/>
          <w:b/>
          <w:szCs w:val="24"/>
        </w:rPr>
        <w:tab/>
        <w:t>Attachment 1:</w:t>
      </w:r>
      <w:r w:rsidRPr="000F2A70">
        <w:rPr>
          <w:rFonts w:ascii="Times New Roman" w:hAnsi="Times New Roman"/>
          <w:szCs w:val="24"/>
        </w:rPr>
        <w:t xml:space="preserve"> Site Survey</w:t>
      </w:r>
    </w:p>
    <w:p w14:paraId="6CE05D8D" w14:textId="1ADADF78" w:rsidR="0039136C" w:rsidRPr="000F2A70" w:rsidRDefault="0039136C" w:rsidP="007A72DF">
      <w:pPr>
        <w:pStyle w:val="N0-FlLftBullet"/>
        <w:spacing w:after="0" w:line="276" w:lineRule="auto"/>
        <w:rPr>
          <w:rFonts w:ascii="Times New Roman" w:hAnsi="Times New Roman"/>
          <w:szCs w:val="24"/>
        </w:rPr>
      </w:pPr>
      <w:r w:rsidRPr="000F2A70">
        <w:rPr>
          <w:rFonts w:ascii="Times New Roman" w:hAnsi="Times New Roman"/>
          <w:b/>
          <w:szCs w:val="24"/>
        </w:rPr>
        <w:tab/>
        <w:t>Attachment 2:</w:t>
      </w:r>
      <w:r w:rsidRPr="000F2A70">
        <w:rPr>
          <w:rFonts w:ascii="Times New Roman" w:hAnsi="Times New Roman"/>
          <w:szCs w:val="24"/>
        </w:rPr>
        <w:t xml:space="preserve"> </w:t>
      </w:r>
      <w:r w:rsidR="004E7C36" w:rsidRPr="004E7C36">
        <w:rPr>
          <w:rFonts w:ascii="Times New Roman" w:hAnsi="Times New Roman"/>
          <w:szCs w:val="24"/>
        </w:rPr>
        <w:t>Agency Director</w:t>
      </w:r>
      <w:r w:rsidR="004E7C36" w:rsidRPr="004E7C36">
        <w:rPr>
          <w:rFonts w:ascii="Times New Roman" w:hAnsi="Times New Roman"/>
        </w:rPr>
        <w:t>/Administrator Interview</w:t>
      </w:r>
    </w:p>
    <w:p w14:paraId="7671E5A0" w14:textId="48AD01AD" w:rsidR="0039136C" w:rsidRPr="000F2A70" w:rsidRDefault="0039136C" w:rsidP="007A72DF">
      <w:pPr>
        <w:pStyle w:val="N0-FlLftBullet"/>
        <w:spacing w:after="0" w:line="276" w:lineRule="auto"/>
        <w:rPr>
          <w:rFonts w:ascii="Times New Roman" w:hAnsi="Times New Roman"/>
          <w:szCs w:val="24"/>
        </w:rPr>
      </w:pPr>
      <w:r w:rsidRPr="000F2A70">
        <w:rPr>
          <w:rFonts w:ascii="Times New Roman" w:hAnsi="Times New Roman"/>
          <w:b/>
          <w:szCs w:val="24"/>
        </w:rPr>
        <w:tab/>
        <w:t>Attachment 3:</w:t>
      </w:r>
      <w:r w:rsidRPr="000F2A70">
        <w:rPr>
          <w:rFonts w:ascii="Times New Roman" w:hAnsi="Times New Roman"/>
          <w:szCs w:val="24"/>
        </w:rPr>
        <w:t xml:space="preserve"> Coordinated Specialty Care </w:t>
      </w:r>
      <w:r w:rsidR="009E34A1">
        <w:rPr>
          <w:rFonts w:ascii="Times New Roman" w:hAnsi="Times New Roman"/>
          <w:szCs w:val="24"/>
        </w:rPr>
        <w:t xml:space="preserve">(CSC) Program </w:t>
      </w:r>
      <w:r w:rsidRPr="000F2A70">
        <w:rPr>
          <w:rFonts w:ascii="Times New Roman" w:hAnsi="Times New Roman"/>
          <w:szCs w:val="24"/>
        </w:rPr>
        <w:t>Staff Interview</w:t>
      </w:r>
    </w:p>
    <w:p w14:paraId="0A8331A0" w14:textId="302631D9" w:rsidR="0039136C" w:rsidRPr="000F2A70" w:rsidRDefault="0039136C" w:rsidP="007A72DF">
      <w:pPr>
        <w:pStyle w:val="N0-FlLftBullet"/>
        <w:spacing w:after="0" w:line="276" w:lineRule="auto"/>
        <w:rPr>
          <w:rFonts w:ascii="Times New Roman" w:hAnsi="Times New Roman"/>
          <w:szCs w:val="24"/>
        </w:rPr>
      </w:pPr>
      <w:r w:rsidRPr="000F2A70">
        <w:rPr>
          <w:rFonts w:ascii="Times New Roman" w:hAnsi="Times New Roman"/>
          <w:b/>
          <w:szCs w:val="24"/>
        </w:rPr>
        <w:tab/>
        <w:t>Attachment 4:</w:t>
      </w:r>
      <w:r w:rsidRPr="000F2A70">
        <w:rPr>
          <w:rFonts w:ascii="Times New Roman" w:hAnsi="Times New Roman"/>
          <w:szCs w:val="24"/>
        </w:rPr>
        <w:t xml:space="preserve"> Coordinated Specialty Care </w:t>
      </w:r>
      <w:r w:rsidR="009E34A1">
        <w:rPr>
          <w:rFonts w:ascii="Times New Roman" w:hAnsi="Times New Roman"/>
          <w:szCs w:val="24"/>
        </w:rPr>
        <w:t xml:space="preserve">(CSC) </w:t>
      </w:r>
      <w:r w:rsidRPr="000F2A70">
        <w:rPr>
          <w:rFonts w:ascii="Times New Roman" w:hAnsi="Times New Roman"/>
          <w:szCs w:val="24"/>
        </w:rPr>
        <w:t>Participant Interview</w:t>
      </w:r>
    </w:p>
    <w:p w14:paraId="66137C66" w14:textId="77777777" w:rsidR="0039136C" w:rsidRPr="000F2A70" w:rsidRDefault="0039136C" w:rsidP="007A72DF">
      <w:pPr>
        <w:pStyle w:val="N0-FlLftBullet"/>
        <w:spacing w:after="0" w:line="276" w:lineRule="auto"/>
        <w:rPr>
          <w:rFonts w:ascii="Times New Roman" w:hAnsi="Times New Roman"/>
          <w:szCs w:val="24"/>
        </w:rPr>
      </w:pPr>
      <w:r w:rsidRPr="000F2A70">
        <w:rPr>
          <w:rFonts w:ascii="Times New Roman" w:hAnsi="Times New Roman"/>
          <w:b/>
          <w:szCs w:val="24"/>
        </w:rPr>
        <w:tab/>
        <w:t>Attachment 5:</w:t>
      </w:r>
      <w:r w:rsidRPr="000F2A70">
        <w:rPr>
          <w:rFonts w:ascii="Times New Roman" w:hAnsi="Times New Roman"/>
          <w:szCs w:val="24"/>
        </w:rPr>
        <w:t xml:space="preserve"> State Mental Health Authority Interview</w:t>
      </w:r>
    </w:p>
    <w:p w14:paraId="14983484" w14:textId="5AB58966" w:rsidR="0039136C" w:rsidRDefault="0039136C" w:rsidP="007A72DF">
      <w:pPr>
        <w:pStyle w:val="N0-FlLftBullet"/>
        <w:spacing w:after="0" w:line="276" w:lineRule="auto"/>
        <w:rPr>
          <w:rFonts w:ascii="Times New Roman" w:hAnsi="Times New Roman"/>
          <w:szCs w:val="24"/>
        </w:rPr>
      </w:pPr>
      <w:r w:rsidRPr="000F2A70">
        <w:rPr>
          <w:rFonts w:ascii="Times New Roman" w:hAnsi="Times New Roman"/>
          <w:b/>
          <w:szCs w:val="24"/>
        </w:rPr>
        <w:tab/>
        <w:t>Attachment 6:</w:t>
      </w:r>
      <w:r w:rsidR="009E34A1">
        <w:rPr>
          <w:rFonts w:ascii="Times New Roman" w:hAnsi="Times New Roman"/>
          <w:szCs w:val="24"/>
        </w:rPr>
        <w:t xml:space="preserve"> </w:t>
      </w:r>
      <w:r w:rsidR="00D82680">
        <w:rPr>
          <w:rFonts w:ascii="Times New Roman" w:hAnsi="Times New Roman"/>
          <w:szCs w:val="24"/>
        </w:rPr>
        <w:t>F</w:t>
      </w:r>
      <w:r w:rsidRPr="000F2A70">
        <w:rPr>
          <w:rFonts w:ascii="Times New Roman" w:hAnsi="Times New Roman"/>
          <w:szCs w:val="24"/>
        </w:rPr>
        <w:t>idelity Interview</w:t>
      </w:r>
    </w:p>
    <w:p w14:paraId="0164F4EF" w14:textId="269C0B2D" w:rsidR="00924AD0" w:rsidRPr="000F2A70" w:rsidRDefault="00924AD0" w:rsidP="007A72DF">
      <w:pPr>
        <w:pStyle w:val="N0-FlLftBullet"/>
        <w:spacing w:after="0" w:line="276" w:lineRule="auto"/>
        <w:rPr>
          <w:rFonts w:ascii="Times New Roman" w:hAnsi="Times New Roman"/>
          <w:szCs w:val="24"/>
        </w:rPr>
      </w:pPr>
      <w:r>
        <w:rPr>
          <w:rFonts w:ascii="Times New Roman" w:hAnsi="Times New Roman"/>
          <w:b/>
          <w:szCs w:val="24"/>
        </w:rPr>
        <w:tab/>
        <w:t>Attachment 7:</w:t>
      </w:r>
      <w:r>
        <w:rPr>
          <w:rFonts w:ascii="Times New Roman" w:hAnsi="Times New Roman"/>
          <w:szCs w:val="24"/>
        </w:rPr>
        <w:t xml:space="preserve"> </w:t>
      </w:r>
      <w:r w:rsidR="0003210F">
        <w:rPr>
          <w:rFonts w:ascii="Times New Roman" w:hAnsi="Times New Roman"/>
          <w:szCs w:val="24"/>
        </w:rPr>
        <w:t xml:space="preserve">Possible </w:t>
      </w:r>
      <w:r w:rsidR="0003210F" w:rsidRPr="00211401">
        <w:rPr>
          <w:rFonts w:ascii="Times New Roman" w:hAnsi="Times New Roman"/>
          <w:szCs w:val="24"/>
        </w:rPr>
        <w:t>Administrative Data</w:t>
      </w:r>
      <w:r w:rsidR="0003210F">
        <w:rPr>
          <w:rFonts w:ascii="Times New Roman" w:hAnsi="Times New Roman"/>
          <w:szCs w:val="24"/>
        </w:rPr>
        <w:t xml:space="preserve"> Elements</w:t>
      </w:r>
    </w:p>
    <w:p w14:paraId="21BCEE0E" w14:textId="166613B6" w:rsidR="0039136C" w:rsidRPr="003F16AF" w:rsidRDefault="0039136C" w:rsidP="00054386">
      <w:pPr>
        <w:pStyle w:val="N0-FlLftBullet"/>
        <w:spacing w:after="0" w:line="276" w:lineRule="auto"/>
        <w:rPr>
          <w:rFonts w:ascii="Times New Roman" w:hAnsi="Times New Roman"/>
          <w:szCs w:val="24"/>
        </w:rPr>
      </w:pPr>
    </w:p>
    <w:sectPr w:rsidR="0039136C" w:rsidRPr="003F16AF" w:rsidSect="007D2E23">
      <w:pgSz w:w="12240" w:h="15840" w:code="1"/>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F69A6" w14:textId="77777777" w:rsidR="008F33A6" w:rsidRDefault="008F33A6" w:rsidP="00444C39">
      <w:pPr>
        <w:spacing w:line="240" w:lineRule="auto"/>
      </w:pPr>
      <w:r>
        <w:separator/>
      </w:r>
    </w:p>
  </w:endnote>
  <w:endnote w:type="continuationSeparator" w:id="0">
    <w:p w14:paraId="342DA6B2" w14:textId="77777777" w:rsidR="008F33A6" w:rsidRDefault="008F33A6" w:rsidP="00444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060602"/>
      <w:docPartObj>
        <w:docPartGallery w:val="Page Numbers (Bottom of Page)"/>
        <w:docPartUnique/>
      </w:docPartObj>
    </w:sdtPr>
    <w:sdtEndPr>
      <w:rPr>
        <w:noProof/>
      </w:rPr>
    </w:sdtEndPr>
    <w:sdtContent>
      <w:p w14:paraId="20C61936" w14:textId="6C770929" w:rsidR="003F16AF" w:rsidRDefault="003F16AF">
        <w:pPr>
          <w:pStyle w:val="Footer"/>
          <w:jc w:val="center"/>
        </w:pPr>
        <w:r>
          <w:fldChar w:fldCharType="begin"/>
        </w:r>
        <w:r>
          <w:instrText xml:space="preserve"> PAGE   \* MERGEFORMAT </w:instrText>
        </w:r>
        <w:r>
          <w:fldChar w:fldCharType="separate"/>
        </w:r>
        <w:r w:rsidR="00D028F1">
          <w:rPr>
            <w:noProof/>
          </w:rPr>
          <w:t>7</w:t>
        </w:r>
        <w:r>
          <w:rPr>
            <w:noProof/>
          </w:rPr>
          <w:fldChar w:fldCharType="end"/>
        </w:r>
      </w:p>
    </w:sdtContent>
  </w:sdt>
  <w:p w14:paraId="32BF7D98" w14:textId="77777777" w:rsidR="007D2E23" w:rsidRDefault="007D2E23" w:rsidP="007D2E23">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712546"/>
      <w:docPartObj>
        <w:docPartGallery w:val="Page Numbers (Bottom of Page)"/>
        <w:docPartUnique/>
      </w:docPartObj>
    </w:sdtPr>
    <w:sdtEndPr>
      <w:rPr>
        <w:noProof/>
      </w:rPr>
    </w:sdtEndPr>
    <w:sdtContent>
      <w:p w14:paraId="6CA9FCBE" w14:textId="07BB5425" w:rsidR="008D16E7" w:rsidRDefault="008D16E7">
        <w:pPr>
          <w:pStyle w:val="Footer"/>
          <w:jc w:val="center"/>
        </w:pPr>
        <w:r>
          <w:fldChar w:fldCharType="begin"/>
        </w:r>
        <w:r>
          <w:instrText xml:space="preserve"> PAGE   \* MERGEFORMAT </w:instrText>
        </w:r>
        <w:r>
          <w:fldChar w:fldCharType="separate"/>
        </w:r>
        <w:r w:rsidR="00D028F1">
          <w:rPr>
            <w:noProof/>
          </w:rPr>
          <w:t>1</w:t>
        </w:r>
        <w:r>
          <w:rPr>
            <w:noProof/>
          </w:rPr>
          <w:fldChar w:fldCharType="end"/>
        </w:r>
      </w:p>
    </w:sdtContent>
  </w:sdt>
  <w:p w14:paraId="2AC4EA5D" w14:textId="77777777" w:rsidR="007D2E23" w:rsidRDefault="007D2E23" w:rsidP="007D2E23">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E9EC2" w14:textId="77777777" w:rsidR="008F33A6" w:rsidRDefault="008F33A6" w:rsidP="00444C39">
      <w:pPr>
        <w:spacing w:line="240" w:lineRule="auto"/>
      </w:pPr>
      <w:r>
        <w:separator/>
      </w:r>
    </w:p>
  </w:footnote>
  <w:footnote w:type="continuationSeparator" w:id="0">
    <w:p w14:paraId="1394E13E" w14:textId="77777777" w:rsidR="008F33A6" w:rsidRDefault="008F33A6" w:rsidP="00444C39">
      <w:pPr>
        <w:spacing w:line="240" w:lineRule="auto"/>
      </w:pPr>
      <w:r>
        <w:continuationSeparator/>
      </w:r>
    </w:p>
  </w:footnote>
  <w:footnote w:id="1">
    <w:p w14:paraId="1FE3B305" w14:textId="70687E36" w:rsidR="00C575E5" w:rsidRDefault="00C575E5">
      <w:pPr>
        <w:pStyle w:val="FootnoteText"/>
      </w:pPr>
      <w:r>
        <w:rPr>
          <w:rStyle w:val="FootnoteReference"/>
        </w:rPr>
        <w:footnoteRef/>
      </w:r>
      <w:r>
        <w:t xml:space="preserve"> </w:t>
      </w:r>
      <w:r w:rsidRPr="007E3D81">
        <w:rPr>
          <w:rFonts w:ascii="Times New Roman" w:hAnsi="Times New Roman"/>
        </w:rPr>
        <w:t>Kane JM,</w:t>
      </w:r>
      <w:r w:rsidRPr="007E3D81">
        <w:rPr>
          <w:rFonts w:ascii="Times New Roman" w:hAnsi="Times New Roman"/>
          <w:spacing w:val="-2"/>
        </w:rPr>
        <w:t xml:space="preserve"> Robinson</w:t>
      </w:r>
      <w:r w:rsidRPr="007E3D81">
        <w:rPr>
          <w:rFonts w:ascii="Times New Roman" w:hAnsi="Times New Roman"/>
        </w:rPr>
        <w:t xml:space="preserve"> DG, </w:t>
      </w:r>
      <w:proofErr w:type="spellStart"/>
      <w:r w:rsidRPr="007E3D81">
        <w:rPr>
          <w:rFonts w:ascii="Times New Roman" w:hAnsi="Times New Roman"/>
          <w:spacing w:val="-2"/>
        </w:rPr>
        <w:t>Schooler</w:t>
      </w:r>
      <w:proofErr w:type="spellEnd"/>
      <w:r w:rsidRPr="007E3D81">
        <w:rPr>
          <w:rFonts w:ascii="Times New Roman" w:hAnsi="Times New Roman"/>
        </w:rPr>
        <w:t xml:space="preserve"> NR, </w:t>
      </w:r>
      <w:proofErr w:type="spellStart"/>
      <w:r w:rsidRPr="007E3D81">
        <w:rPr>
          <w:rFonts w:ascii="Times New Roman" w:hAnsi="Times New Roman"/>
        </w:rPr>
        <w:t>Mueser</w:t>
      </w:r>
      <w:proofErr w:type="spellEnd"/>
      <w:r w:rsidRPr="007E3D81">
        <w:rPr>
          <w:rFonts w:ascii="Times New Roman" w:hAnsi="Times New Roman"/>
        </w:rPr>
        <w:t xml:space="preserve"> </w:t>
      </w:r>
      <w:proofErr w:type="spellStart"/>
      <w:r w:rsidRPr="007E3D81">
        <w:rPr>
          <w:rFonts w:ascii="Times New Roman" w:hAnsi="Times New Roman"/>
        </w:rPr>
        <w:t>KT</w:t>
      </w:r>
      <w:proofErr w:type="spellEnd"/>
      <w:r w:rsidRPr="007E3D81">
        <w:rPr>
          <w:rFonts w:ascii="Times New Roman" w:hAnsi="Times New Roman"/>
        </w:rPr>
        <w:t>, Penn</w:t>
      </w:r>
      <w:r w:rsidRPr="007E3D81">
        <w:rPr>
          <w:rFonts w:ascii="Times New Roman" w:hAnsi="Times New Roman"/>
          <w:spacing w:val="-3"/>
        </w:rPr>
        <w:t xml:space="preserve"> </w:t>
      </w:r>
      <w:r w:rsidRPr="007E3D81">
        <w:rPr>
          <w:rFonts w:ascii="Times New Roman" w:hAnsi="Times New Roman"/>
        </w:rPr>
        <w:t xml:space="preserve">DL, </w:t>
      </w:r>
      <w:proofErr w:type="spellStart"/>
      <w:r w:rsidRPr="007E3D81">
        <w:rPr>
          <w:rFonts w:ascii="Times New Roman" w:hAnsi="Times New Roman"/>
        </w:rPr>
        <w:t>Rosenheck</w:t>
      </w:r>
      <w:proofErr w:type="spellEnd"/>
      <w:r w:rsidRPr="007E3D81">
        <w:rPr>
          <w:rFonts w:ascii="Times New Roman" w:hAnsi="Times New Roman"/>
        </w:rPr>
        <w:t xml:space="preserve"> RA, Addington J,</w:t>
      </w:r>
      <w:r w:rsidRPr="007E3D81">
        <w:rPr>
          <w:rFonts w:ascii="Times New Roman" w:hAnsi="Times New Roman"/>
          <w:spacing w:val="-2"/>
        </w:rPr>
        <w:t xml:space="preserve"> </w:t>
      </w:r>
      <w:r w:rsidR="00054386">
        <w:rPr>
          <w:rFonts w:ascii="Times New Roman" w:hAnsi="Times New Roman"/>
        </w:rPr>
        <w:t>…</w:t>
      </w:r>
      <w:r w:rsidRPr="007E3D81">
        <w:rPr>
          <w:rFonts w:ascii="Times New Roman" w:hAnsi="Times New Roman"/>
        </w:rPr>
        <w:t xml:space="preserve"> Heinssen </w:t>
      </w:r>
      <w:proofErr w:type="spellStart"/>
      <w:r w:rsidRPr="007E3D81">
        <w:rPr>
          <w:rFonts w:ascii="Times New Roman" w:hAnsi="Times New Roman"/>
        </w:rPr>
        <w:t>RK</w:t>
      </w:r>
      <w:proofErr w:type="spellEnd"/>
      <w:r w:rsidR="00054386">
        <w:rPr>
          <w:rFonts w:ascii="Times New Roman" w:hAnsi="Times New Roman"/>
        </w:rPr>
        <w:t xml:space="preserve">. (2016). </w:t>
      </w:r>
      <w:r w:rsidRPr="007E3D81">
        <w:rPr>
          <w:rFonts w:ascii="Times New Roman" w:hAnsi="Times New Roman"/>
        </w:rPr>
        <w:t>Comprehensive Versus Usual Community</w:t>
      </w:r>
      <w:r w:rsidRPr="007E3D81">
        <w:rPr>
          <w:rFonts w:ascii="Times New Roman" w:hAnsi="Times New Roman"/>
          <w:spacing w:val="1"/>
        </w:rPr>
        <w:t xml:space="preserve"> </w:t>
      </w:r>
      <w:r w:rsidRPr="007E3D81">
        <w:rPr>
          <w:rFonts w:ascii="Times New Roman" w:hAnsi="Times New Roman"/>
        </w:rPr>
        <w:t>Care</w:t>
      </w:r>
      <w:r w:rsidRPr="007E3D81">
        <w:rPr>
          <w:rFonts w:ascii="Times New Roman" w:hAnsi="Times New Roman"/>
          <w:spacing w:val="-2"/>
        </w:rPr>
        <w:t xml:space="preserve"> </w:t>
      </w:r>
      <w:r w:rsidRPr="007E3D81">
        <w:rPr>
          <w:rFonts w:ascii="Times New Roman" w:hAnsi="Times New Roman"/>
        </w:rPr>
        <w:t xml:space="preserve">for First-Episode Psychosis: 2-Year Outcomes </w:t>
      </w:r>
      <w:proofErr w:type="gramStart"/>
      <w:r w:rsidRPr="007E3D81">
        <w:rPr>
          <w:rFonts w:ascii="Times New Roman" w:hAnsi="Times New Roman"/>
        </w:rPr>
        <w:t>From</w:t>
      </w:r>
      <w:proofErr w:type="gramEnd"/>
      <w:r w:rsidRPr="007E3D81">
        <w:rPr>
          <w:rFonts w:ascii="Times New Roman" w:hAnsi="Times New Roman"/>
        </w:rPr>
        <w:t xml:space="preserve"> the</w:t>
      </w:r>
      <w:r w:rsidRPr="007E3D81">
        <w:rPr>
          <w:rFonts w:ascii="Times New Roman" w:hAnsi="Times New Roman"/>
          <w:spacing w:val="-2"/>
        </w:rPr>
        <w:t xml:space="preserve"> </w:t>
      </w:r>
      <w:r w:rsidRPr="007E3D81">
        <w:rPr>
          <w:rFonts w:ascii="Times New Roman" w:hAnsi="Times New Roman"/>
        </w:rPr>
        <w:t>NIMH RAISE</w:t>
      </w:r>
      <w:r w:rsidRPr="007E3D81">
        <w:rPr>
          <w:rFonts w:ascii="Times New Roman" w:hAnsi="Times New Roman"/>
          <w:spacing w:val="-2"/>
        </w:rPr>
        <w:t xml:space="preserve"> </w:t>
      </w:r>
      <w:r w:rsidRPr="007E3D81">
        <w:rPr>
          <w:rFonts w:ascii="Times New Roman" w:hAnsi="Times New Roman"/>
        </w:rPr>
        <w:t>Early</w:t>
      </w:r>
      <w:r w:rsidRPr="007E3D81">
        <w:rPr>
          <w:rFonts w:ascii="Times New Roman" w:hAnsi="Times New Roman"/>
          <w:spacing w:val="1"/>
        </w:rPr>
        <w:t xml:space="preserve"> </w:t>
      </w:r>
      <w:r w:rsidRPr="007E3D81">
        <w:rPr>
          <w:rFonts w:ascii="Times New Roman" w:hAnsi="Times New Roman"/>
        </w:rPr>
        <w:t>Treatment</w:t>
      </w:r>
      <w:r w:rsidRPr="007E3D81">
        <w:rPr>
          <w:rFonts w:ascii="Times New Roman" w:hAnsi="Times New Roman"/>
          <w:spacing w:val="1"/>
        </w:rPr>
        <w:t xml:space="preserve"> </w:t>
      </w:r>
      <w:r w:rsidRPr="007E3D81">
        <w:rPr>
          <w:rFonts w:ascii="Times New Roman" w:hAnsi="Times New Roman"/>
        </w:rPr>
        <w:t xml:space="preserve">Program. </w:t>
      </w:r>
      <w:r w:rsidRPr="007E3D81">
        <w:rPr>
          <w:rFonts w:ascii="Times New Roman" w:hAnsi="Times New Roman"/>
          <w:i/>
          <w:iCs/>
        </w:rPr>
        <w:t>American</w:t>
      </w:r>
      <w:r w:rsidRPr="007E3D81">
        <w:rPr>
          <w:rFonts w:ascii="Times New Roman" w:hAnsi="Times New Roman"/>
          <w:i/>
          <w:iCs/>
          <w:spacing w:val="-2"/>
        </w:rPr>
        <w:t xml:space="preserve"> </w:t>
      </w:r>
      <w:r w:rsidRPr="007E3D81">
        <w:rPr>
          <w:rFonts w:ascii="Times New Roman" w:hAnsi="Times New Roman"/>
          <w:i/>
          <w:iCs/>
        </w:rPr>
        <w:t>Journal</w:t>
      </w:r>
      <w:r w:rsidRPr="007E3D81">
        <w:rPr>
          <w:rFonts w:ascii="Times New Roman" w:hAnsi="Times New Roman"/>
          <w:i/>
          <w:iCs/>
          <w:spacing w:val="1"/>
        </w:rPr>
        <w:t xml:space="preserve"> </w:t>
      </w:r>
      <w:r w:rsidRPr="007E3D81">
        <w:rPr>
          <w:rFonts w:ascii="Times New Roman" w:hAnsi="Times New Roman"/>
          <w:i/>
          <w:iCs/>
        </w:rPr>
        <w:t>of</w:t>
      </w:r>
      <w:r w:rsidRPr="007E3D81">
        <w:rPr>
          <w:rFonts w:ascii="Times New Roman" w:hAnsi="Times New Roman"/>
          <w:i/>
          <w:iCs/>
          <w:spacing w:val="-2"/>
        </w:rPr>
        <w:t xml:space="preserve"> </w:t>
      </w:r>
      <w:r w:rsidRPr="007E3D81">
        <w:rPr>
          <w:rFonts w:ascii="Times New Roman" w:hAnsi="Times New Roman"/>
          <w:i/>
          <w:iCs/>
        </w:rPr>
        <w:t>Psychiatry</w:t>
      </w:r>
      <w:r w:rsidR="00054386">
        <w:rPr>
          <w:rFonts w:ascii="Times New Roman" w:hAnsi="Times New Roman"/>
          <w:i/>
          <w:iCs/>
        </w:rPr>
        <w:t xml:space="preserve">, </w:t>
      </w:r>
      <w:r w:rsidRPr="007E3D81">
        <w:rPr>
          <w:rFonts w:ascii="Times New Roman" w:hAnsi="Times New Roman"/>
        </w:rPr>
        <w:t>173(4):362-72</w:t>
      </w:r>
      <w:r w:rsidR="00054386">
        <w:rPr>
          <w:rFonts w:ascii="Times New Roman" w:hAnsi="Times New Roman"/>
        </w:rPr>
        <w:t>.</w:t>
      </w:r>
    </w:p>
  </w:footnote>
  <w:footnote w:id="2">
    <w:p w14:paraId="47DFFA33" w14:textId="77777777" w:rsidR="00D028F1" w:rsidRDefault="00D028F1" w:rsidP="00D028F1">
      <w:pPr>
        <w:pStyle w:val="FootnoteText"/>
      </w:pPr>
      <w:r w:rsidRPr="00C575E5">
        <w:rPr>
          <w:rStyle w:val="FootnoteReference"/>
          <w:rFonts w:ascii="Times New Roman" w:hAnsi="Times New Roman"/>
        </w:rPr>
        <w:footnoteRef/>
      </w:r>
      <w:r w:rsidRPr="00C575E5">
        <w:rPr>
          <w:rFonts w:ascii="Times New Roman" w:hAnsi="Times New Roman"/>
        </w:rPr>
        <w:tab/>
      </w:r>
      <w:hyperlink r:id="rId1">
        <w:r w:rsidRPr="00C575E5">
          <w:rPr>
            <w:rFonts w:ascii="Times New Roman" w:hAnsi="Times New Roman"/>
          </w:rPr>
          <w:t>Addington,</w:t>
        </w:r>
      </w:hyperlink>
      <w:r w:rsidRPr="00C575E5">
        <w:rPr>
          <w:rFonts w:ascii="Times New Roman" w:hAnsi="Times New Roman"/>
        </w:rPr>
        <w:t xml:space="preserve"> D., </w:t>
      </w:r>
      <w:hyperlink r:id="rId2">
        <w:r w:rsidRPr="00C575E5">
          <w:rPr>
            <w:rFonts w:ascii="Times New Roman" w:hAnsi="Times New Roman"/>
          </w:rPr>
          <w:t>Norman,</w:t>
        </w:r>
      </w:hyperlink>
      <w:r w:rsidRPr="00C575E5">
        <w:rPr>
          <w:rFonts w:ascii="Times New Roman" w:hAnsi="Times New Roman"/>
        </w:rPr>
        <w:t xml:space="preserve"> R. Bond, G., </w:t>
      </w:r>
      <w:hyperlink r:id="rId3">
        <w:r w:rsidRPr="00C575E5">
          <w:rPr>
            <w:rFonts w:ascii="Times New Roman" w:hAnsi="Times New Roman"/>
          </w:rPr>
          <w:t>Sale,</w:t>
        </w:r>
      </w:hyperlink>
      <w:r w:rsidRPr="00C575E5">
        <w:rPr>
          <w:rFonts w:ascii="Times New Roman" w:hAnsi="Times New Roman"/>
        </w:rPr>
        <w:t xml:space="preserve"> T., </w:t>
      </w:r>
      <w:hyperlink r:id="rId4">
        <w:r w:rsidRPr="00C575E5">
          <w:rPr>
            <w:rFonts w:ascii="Times New Roman" w:hAnsi="Times New Roman"/>
          </w:rPr>
          <w:t>Melton,</w:t>
        </w:r>
      </w:hyperlink>
      <w:r w:rsidRPr="00C575E5">
        <w:rPr>
          <w:rFonts w:ascii="Times New Roman" w:hAnsi="Times New Roman"/>
        </w:rPr>
        <w:t xml:space="preserve"> R., </w:t>
      </w:r>
      <w:hyperlink r:id="rId5">
        <w:r w:rsidRPr="00C575E5">
          <w:rPr>
            <w:rFonts w:ascii="Times New Roman" w:hAnsi="Times New Roman"/>
          </w:rPr>
          <w:t>McKenzie,</w:t>
        </w:r>
      </w:hyperlink>
      <w:r w:rsidRPr="00C575E5">
        <w:rPr>
          <w:rFonts w:ascii="Times New Roman" w:hAnsi="Times New Roman"/>
        </w:rPr>
        <w:t xml:space="preserve"> E., &amp; </w:t>
      </w:r>
      <w:hyperlink r:id="rId6">
        <w:r w:rsidRPr="00C575E5">
          <w:rPr>
            <w:rFonts w:ascii="Times New Roman" w:hAnsi="Times New Roman"/>
          </w:rPr>
          <w:t>Wang,</w:t>
        </w:r>
      </w:hyperlink>
      <w:r w:rsidRPr="00C575E5">
        <w:rPr>
          <w:rFonts w:ascii="Times New Roman" w:hAnsi="Times New Roman"/>
        </w:rPr>
        <w:t xml:space="preserve"> J. (2016). Development and testing of the First Episode Fidelity Scale. Psychiatric Services. Advance Online Publication</w:t>
      </w:r>
      <w:r w:rsidRPr="00EB367F">
        <w:t>.</w:t>
      </w:r>
    </w:p>
  </w:footnote>
  <w:footnote w:id="3">
    <w:p w14:paraId="47E3D204" w14:textId="17ED6E0C" w:rsidR="006500CF" w:rsidRDefault="006500CF">
      <w:pPr>
        <w:pStyle w:val="FootnoteText"/>
      </w:pPr>
      <w:r>
        <w:rPr>
          <w:rStyle w:val="FootnoteReference"/>
        </w:rPr>
        <w:footnoteRef/>
      </w:r>
      <w:r>
        <w:t xml:space="preserve"> Addington, D., Norman, R., Bond, G., &amp; Wang, J. (2016). Development and testing of the First-Episode Psychosis Services Scale. </w:t>
      </w:r>
      <w:r>
        <w:rPr>
          <w:i/>
        </w:rPr>
        <w:t>Psychiatric Services, 67</w:t>
      </w:r>
      <w:r>
        <w:t xml:space="preserve">(9), 1023-1025.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94A75" w14:textId="77777777" w:rsidR="00204A3E" w:rsidRDefault="00204A3E" w:rsidP="0052344C">
    <w:pPr>
      <w:pStyle w:val="Header"/>
      <w:ind w:right="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2424E570"/>
    <w:lvl w:ilvl="0" w:tplc="89643F22">
      <w:start w:val="1"/>
      <w:numFmt w:val="bullet"/>
      <w:pStyle w:val="N1-1stBullet"/>
      <w:lvlText w:val=""/>
      <w:lvlJc w:val="left"/>
      <w:pPr>
        <w:tabs>
          <w:tab w:val="num" w:pos="1152"/>
        </w:tabs>
        <w:ind w:left="1152" w:hanging="576"/>
      </w:pPr>
      <w:rPr>
        <w:rFonts w:ascii="Wingdings" w:hAnsi="Wingdings"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1351D8"/>
    <w:multiLevelType w:val="hybridMultilevel"/>
    <w:tmpl w:val="32EA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32D4E"/>
    <w:multiLevelType w:val="hybridMultilevel"/>
    <w:tmpl w:val="91AAC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833C44"/>
    <w:multiLevelType w:val="hybridMultilevel"/>
    <w:tmpl w:val="5E26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DB5265"/>
    <w:multiLevelType w:val="hybridMultilevel"/>
    <w:tmpl w:val="607C0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AC6CD8"/>
    <w:multiLevelType w:val="hybridMultilevel"/>
    <w:tmpl w:val="EEF26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072661"/>
    <w:multiLevelType w:val="hybridMultilevel"/>
    <w:tmpl w:val="4250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C574D"/>
    <w:multiLevelType w:val="hybridMultilevel"/>
    <w:tmpl w:val="74A08920"/>
    <w:lvl w:ilvl="0" w:tplc="F6A81C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80A8D"/>
    <w:multiLevelType w:val="hybridMultilevel"/>
    <w:tmpl w:val="D486B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5"/>
  </w:num>
  <w:num w:numId="3">
    <w:abstractNumId w:val="0"/>
  </w:num>
  <w:num w:numId="4">
    <w:abstractNumId w:val="5"/>
  </w:num>
  <w:num w:numId="5">
    <w:abstractNumId w:val="6"/>
  </w:num>
  <w:num w:numId="6">
    <w:abstractNumId w:val="1"/>
  </w:num>
  <w:num w:numId="7">
    <w:abstractNumId w:val="0"/>
  </w:num>
  <w:num w:numId="8">
    <w:abstractNumId w:val="5"/>
  </w:num>
  <w:num w:numId="9">
    <w:abstractNumId w:val="6"/>
  </w:num>
  <w:num w:numId="10">
    <w:abstractNumId w:val="1"/>
  </w:num>
  <w:num w:numId="11">
    <w:abstractNumId w:val="0"/>
  </w:num>
  <w:num w:numId="12">
    <w:abstractNumId w:val="5"/>
  </w:num>
  <w:num w:numId="13">
    <w:abstractNumId w:val="6"/>
  </w:num>
  <w:num w:numId="14">
    <w:abstractNumId w:val="1"/>
  </w:num>
  <w:num w:numId="15">
    <w:abstractNumId w:val="0"/>
  </w:num>
  <w:num w:numId="16">
    <w:abstractNumId w:val="5"/>
  </w:num>
  <w:num w:numId="17">
    <w:abstractNumId w:val="6"/>
  </w:num>
  <w:num w:numId="18">
    <w:abstractNumId w:val="1"/>
  </w:num>
  <w:num w:numId="19">
    <w:abstractNumId w:val="0"/>
  </w:num>
  <w:num w:numId="20">
    <w:abstractNumId w:val="5"/>
  </w:num>
  <w:num w:numId="21">
    <w:abstractNumId w:val="6"/>
  </w:num>
  <w:num w:numId="22">
    <w:abstractNumId w:val="1"/>
  </w:num>
  <w:num w:numId="23">
    <w:abstractNumId w:val="3"/>
  </w:num>
  <w:num w:numId="24">
    <w:abstractNumId w:val="12"/>
  </w:num>
  <w:num w:numId="25">
    <w:abstractNumId w:val="7"/>
  </w:num>
  <w:num w:numId="26">
    <w:abstractNumId w:val="8"/>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11"/>
  </w:num>
  <w:num w:numId="38">
    <w:abstractNumId w:val="9"/>
  </w:num>
  <w:num w:numId="39">
    <w:abstractNumId w:val="2"/>
  </w:num>
  <w:num w:numId="40">
    <w:abstractNumId w:val="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AD"/>
    <w:rsid w:val="00004C27"/>
    <w:rsid w:val="000165B5"/>
    <w:rsid w:val="00023389"/>
    <w:rsid w:val="000306F9"/>
    <w:rsid w:val="0003210F"/>
    <w:rsid w:val="00037E67"/>
    <w:rsid w:val="00042159"/>
    <w:rsid w:val="0004358D"/>
    <w:rsid w:val="0004584D"/>
    <w:rsid w:val="00047389"/>
    <w:rsid w:val="00054386"/>
    <w:rsid w:val="000566DC"/>
    <w:rsid w:val="00057BD6"/>
    <w:rsid w:val="00060BFF"/>
    <w:rsid w:val="000622E0"/>
    <w:rsid w:val="000635D0"/>
    <w:rsid w:val="00067ACC"/>
    <w:rsid w:val="000706BA"/>
    <w:rsid w:val="0007749C"/>
    <w:rsid w:val="00080AEA"/>
    <w:rsid w:val="00080ED6"/>
    <w:rsid w:val="000817CD"/>
    <w:rsid w:val="00084141"/>
    <w:rsid w:val="000874CE"/>
    <w:rsid w:val="0009522C"/>
    <w:rsid w:val="000A30EB"/>
    <w:rsid w:val="000A529A"/>
    <w:rsid w:val="000B3932"/>
    <w:rsid w:val="000C19F7"/>
    <w:rsid w:val="000C76BB"/>
    <w:rsid w:val="000D1FC2"/>
    <w:rsid w:val="000D3122"/>
    <w:rsid w:val="000F1B18"/>
    <w:rsid w:val="000F2A70"/>
    <w:rsid w:val="00100B1D"/>
    <w:rsid w:val="00111681"/>
    <w:rsid w:val="0011626D"/>
    <w:rsid w:val="00126285"/>
    <w:rsid w:val="001302C2"/>
    <w:rsid w:val="0013311E"/>
    <w:rsid w:val="00143977"/>
    <w:rsid w:val="00151D3A"/>
    <w:rsid w:val="00156EDD"/>
    <w:rsid w:val="00173075"/>
    <w:rsid w:val="001852F4"/>
    <w:rsid w:val="001870E7"/>
    <w:rsid w:val="00187CD4"/>
    <w:rsid w:val="001941DD"/>
    <w:rsid w:val="001A7D48"/>
    <w:rsid w:val="001B74F4"/>
    <w:rsid w:val="001C1C77"/>
    <w:rsid w:val="001D1D73"/>
    <w:rsid w:val="001D2EC3"/>
    <w:rsid w:val="001F16A0"/>
    <w:rsid w:val="001F668A"/>
    <w:rsid w:val="001F6B10"/>
    <w:rsid w:val="001F6DF7"/>
    <w:rsid w:val="00204A3E"/>
    <w:rsid w:val="002055F1"/>
    <w:rsid w:val="002200F2"/>
    <w:rsid w:val="00220A94"/>
    <w:rsid w:val="002221F3"/>
    <w:rsid w:val="002315E9"/>
    <w:rsid w:val="00231AD4"/>
    <w:rsid w:val="002400DB"/>
    <w:rsid w:val="002419E5"/>
    <w:rsid w:val="00242C39"/>
    <w:rsid w:val="002468CB"/>
    <w:rsid w:val="00246BEA"/>
    <w:rsid w:val="00253C57"/>
    <w:rsid w:val="00254270"/>
    <w:rsid w:val="0026559C"/>
    <w:rsid w:val="00266C1F"/>
    <w:rsid w:val="002956CC"/>
    <w:rsid w:val="0029656E"/>
    <w:rsid w:val="002A302E"/>
    <w:rsid w:val="002A4120"/>
    <w:rsid w:val="002B1FAC"/>
    <w:rsid w:val="002C1603"/>
    <w:rsid w:val="002D422A"/>
    <w:rsid w:val="002E0DEF"/>
    <w:rsid w:val="002E4DB3"/>
    <w:rsid w:val="002E73D6"/>
    <w:rsid w:val="002F44C0"/>
    <w:rsid w:val="00300B8B"/>
    <w:rsid w:val="00313814"/>
    <w:rsid w:val="00314066"/>
    <w:rsid w:val="003203FC"/>
    <w:rsid w:val="0032741D"/>
    <w:rsid w:val="003379FA"/>
    <w:rsid w:val="00340ED5"/>
    <w:rsid w:val="0034297D"/>
    <w:rsid w:val="00354808"/>
    <w:rsid w:val="00361630"/>
    <w:rsid w:val="00362ADE"/>
    <w:rsid w:val="00373FA5"/>
    <w:rsid w:val="00381404"/>
    <w:rsid w:val="0039136C"/>
    <w:rsid w:val="00393277"/>
    <w:rsid w:val="003A7AE7"/>
    <w:rsid w:val="003B36C4"/>
    <w:rsid w:val="003C5B8D"/>
    <w:rsid w:val="003C752F"/>
    <w:rsid w:val="003D52FF"/>
    <w:rsid w:val="003D7790"/>
    <w:rsid w:val="003E1A76"/>
    <w:rsid w:val="003E20D4"/>
    <w:rsid w:val="003E4766"/>
    <w:rsid w:val="003F16AF"/>
    <w:rsid w:val="003F3CB9"/>
    <w:rsid w:val="00401FF7"/>
    <w:rsid w:val="00404D10"/>
    <w:rsid w:val="00412F83"/>
    <w:rsid w:val="00431DEB"/>
    <w:rsid w:val="00442AEA"/>
    <w:rsid w:val="00444AE4"/>
    <w:rsid w:val="00444C39"/>
    <w:rsid w:val="004503C4"/>
    <w:rsid w:val="0045647B"/>
    <w:rsid w:val="0046448A"/>
    <w:rsid w:val="004649A2"/>
    <w:rsid w:val="00486957"/>
    <w:rsid w:val="004A0478"/>
    <w:rsid w:val="004A1D7E"/>
    <w:rsid w:val="004A3022"/>
    <w:rsid w:val="004A53B5"/>
    <w:rsid w:val="004B0F21"/>
    <w:rsid w:val="004B275D"/>
    <w:rsid w:val="004B72D5"/>
    <w:rsid w:val="004B77BA"/>
    <w:rsid w:val="004C0E1A"/>
    <w:rsid w:val="004E04ED"/>
    <w:rsid w:val="004E1629"/>
    <w:rsid w:val="004E7C36"/>
    <w:rsid w:val="004F0D7E"/>
    <w:rsid w:val="004F3563"/>
    <w:rsid w:val="004F735A"/>
    <w:rsid w:val="00503A40"/>
    <w:rsid w:val="005228AD"/>
    <w:rsid w:val="0052344C"/>
    <w:rsid w:val="00531E9E"/>
    <w:rsid w:val="00541FB8"/>
    <w:rsid w:val="00553825"/>
    <w:rsid w:val="00554E57"/>
    <w:rsid w:val="005551C2"/>
    <w:rsid w:val="00567577"/>
    <w:rsid w:val="00572508"/>
    <w:rsid w:val="005834CB"/>
    <w:rsid w:val="00586512"/>
    <w:rsid w:val="005914F9"/>
    <w:rsid w:val="00592E95"/>
    <w:rsid w:val="005971E2"/>
    <w:rsid w:val="005B3F16"/>
    <w:rsid w:val="005C753B"/>
    <w:rsid w:val="005E2011"/>
    <w:rsid w:val="00607616"/>
    <w:rsid w:val="00612DF8"/>
    <w:rsid w:val="00615BEA"/>
    <w:rsid w:val="00623509"/>
    <w:rsid w:val="00630A77"/>
    <w:rsid w:val="0063572E"/>
    <w:rsid w:val="00643522"/>
    <w:rsid w:val="006500CF"/>
    <w:rsid w:val="00655C15"/>
    <w:rsid w:val="0066221A"/>
    <w:rsid w:val="00663FAF"/>
    <w:rsid w:val="00677216"/>
    <w:rsid w:val="006933F8"/>
    <w:rsid w:val="0069436B"/>
    <w:rsid w:val="00694ABB"/>
    <w:rsid w:val="006950B3"/>
    <w:rsid w:val="006A2D92"/>
    <w:rsid w:val="006B4C26"/>
    <w:rsid w:val="006C7788"/>
    <w:rsid w:val="006C7C23"/>
    <w:rsid w:val="006D16B9"/>
    <w:rsid w:val="006D4C8F"/>
    <w:rsid w:val="006E46EF"/>
    <w:rsid w:val="006F7CBB"/>
    <w:rsid w:val="00705237"/>
    <w:rsid w:val="0070755F"/>
    <w:rsid w:val="0071127E"/>
    <w:rsid w:val="00722C5D"/>
    <w:rsid w:val="0073196E"/>
    <w:rsid w:val="00737A33"/>
    <w:rsid w:val="00740A01"/>
    <w:rsid w:val="00742FC0"/>
    <w:rsid w:val="00752989"/>
    <w:rsid w:val="00756EE5"/>
    <w:rsid w:val="007613BF"/>
    <w:rsid w:val="00774E2E"/>
    <w:rsid w:val="00775DE1"/>
    <w:rsid w:val="007925CA"/>
    <w:rsid w:val="00797D61"/>
    <w:rsid w:val="007A72DF"/>
    <w:rsid w:val="007B130A"/>
    <w:rsid w:val="007B55A2"/>
    <w:rsid w:val="007B7025"/>
    <w:rsid w:val="007D2E23"/>
    <w:rsid w:val="007D7391"/>
    <w:rsid w:val="007E3D81"/>
    <w:rsid w:val="007F3B98"/>
    <w:rsid w:val="007F6FB6"/>
    <w:rsid w:val="00805446"/>
    <w:rsid w:val="008057E0"/>
    <w:rsid w:val="00811B59"/>
    <w:rsid w:val="008376CB"/>
    <w:rsid w:val="008552F4"/>
    <w:rsid w:val="00862B22"/>
    <w:rsid w:val="00864B2A"/>
    <w:rsid w:val="0086538A"/>
    <w:rsid w:val="008656C2"/>
    <w:rsid w:val="00867CA3"/>
    <w:rsid w:val="0087659F"/>
    <w:rsid w:val="008804CA"/>
    <w:rsid w:val="008A5839"/>
    <w:rsid w:val="008A5878"/>
    <w:rsid w:val="008B2F4E"/>
    <w:rsid w:val="008C1757"/>
    <w:rsid w:val="008D16E7"/>
    <w:rsid w:val="008D3E36"/>
    <w:rsid w:val="008D5443"/>
    <w:rsid w:val="008D6187"/>
    <w:rsid w:val="008F33A6"/>
    <w:rsid w:val="008F3CBA"/>
    <w:rsid w:val="008F40A3"/>
    <w:rsid w:val="00901EAA"/>
    <w:rsid w:val="00907804"/>
    <w:rsid w:val="00913E7A"/>
    <w:rsid w:val="00924AD0"/>
    <w:rsid w:val="00925CD2"/>
    <w:rsid w:val="00931C25"/>
    <w:rsid w:val="009376A2"/>
    <w:rsid w:val="00941391"/>
    <w:rsid w:val="00955492"/>
    <w:rsid w:val="0095624D"/>
    <w:rsid w:val="009649FE"/>
    <w:rsid w:val="0096741E"/>
    <w:rsid w:val="00972A2C"/>
    <w:rsid w:val="009743E8"/>
    <w:rsid w:val="009778EA"/>
    <w:rsid w:val="009819D1"/>
    <w:rsid w:val="00982581"/>
    <w:rsid w:val="00997A83"/>
    <w:rsid w:val="009B2E04"/>
    <w:rsid w:val="009D4DCB"/>
    <w:rsid w:val="009E34A1"/>
    <w:rsid w:val="009F0275"/>
    <w:rsid w:val="00A00A0D"/>
    <w:rsid w:val="00A04818"/>
    <w:rsid w:val="00A04B61"/>
    <w:rsid w:val="00A10DA6"/>
    <w:rsid w:val="00A169B0"/>
    <w:rsid w:val="00A174B6"/>
    <w:rsid w:val="00A37852"/>
    <w:rsid w:val="00A45206"/>
    <w:rsid w:val="00A530C5"/>
    <w:rsid w:val="00A56B21"/>
    <w:rsid w:val="00A64345"/>
    <w:rsid w:val="00A80061"/>
    <w:rsid w:val="00A85941"/>
    <w:rsid w:val="00A86809"/>
    <w:rsid w:val="00AA11E2"/>
    <w:rsid w:val="00AA4A3E"/>
    <w:rsid w:val="00AA75C6"/>
    <w:rsid w:val="00AB6323"/>
    <w:rsid w:val="00AB7AB8"/>
    <w:rsid w:val="00AC2C6D"/>
    <w:rsid w:val="00AC2D76"/>
    <w:rsid w:val="00AC4D83"/>
    <w:rsid w:val="00AC7894"/>
    <w:rsid w:val="00AD286B"/>
    <w:rsid w:val="00AD3A47"/>
    <w:rsid w:val="00AD555C"/>
    <w:rsid w:val="00AE1B7F"/>
    <w:rsid w:val="00AE2CDC"/>
    <w:rsid w:val="00AF080B"/>
    <w:rsid w:val="00AF4984"/>
    <w:rsid w:val="00AF5182"/>
    <w:rsid w:val="00B00F77"/>
    <w:rsid w:val="00B043A6"/>
    <w:rsid w:val="00B04A13"/>
    <w:rsid w:val="00B06782"/>
    <w:rsid w:val="00B23004"/>
    <w:rsid w:val="00B32D02"/>
    <w:rsid w:val="00B36272"/>
    <w:rsid w:val="00B37C90"/>
    <w:rsid w:val="00B5023D"/>
    <w:rsid w:val="00B5510D"/>
    <w:rsid w:val="00B576FE"/>
    <w:rsid w:val="00B65DAD"/>
    <w:rsid w:val="00B736CE"/>
    <w:rsid w:val="00B77156"/>
    <w:rsid w:val="00BA2148"/>
    <w:rsid w:val="00BB026F"/>
    <w:rsid w:val="00BB396D"/>
    <w:rsid w:val="00BB5125"/>
    <w:rsid w:val="00BB629A"/>
    <w:rsid w:val="00BD0832"/>
    <w:rsid w:val="00BD362E"/>
    <w:rsid w:val="00BF2CDD"/>
    <w:rsid w:val="00BF2F05"/>
    <w:rsid w:val="00BF3CFB"/>
    <w:rsid w:val="00BF6F07"/>
    <w:rsid w:val="00C40FA0"/>
    <w:rsid w:val="00C42859"/>
    <w:rsid w:val="00C44758"/>
    <w:rsid w:val="00C52B7B"/>
    <w:rsid w:val="00C575E5"/>
    <w:rsid w:val="00C57E1A"/>
    <w:rsid w:val="00C61B3C"/>
    <w:rsid w:val="00C6667A"/>
    <w:rsid w:val="00C73437"/>
    <w:rsid w:val="00C75C4B"/>
    <w:rsid w:val="00C80583"/>
    <w:rsid w:val="00CA68AF"/>
    <w:rsid w:val="00CB6B60"/>
    <w:rsid w:val="00CC2604"/>
    <w:rsid w:val="00CE3926"/>
    <w:rsid w:val="00D028F1"/>
    <w:rsid w:val="00D106B8"/>
    <w:rsid w:val="00D1481D"/>
    <w:rsid w:val="00D3018A"/>
    <w:rsid w:val="00D32581"/>
    <w:rsid w:val="00D3683E"/>
    <w:rsid w:val="00D44E8E"/>
    <w:rsid w:val="00D573AD"/>
    <w:rsid w:val="00D649C5"/>
    <w:rsid w:val="00D64B7F"/>
    <w:rsid w:val="00D70371"/>
    <w:rsid w:val="00D82680"/>
    <w:rsid w:val="00D843B3"/>
    <w:rsid w:val="00DB5ED6"/>
    <w:rsid w:val="00DC2701"/>
    <w:rsid w:val="00DC2916"/>
    <w:rsid w:val="00DC5931"/>
    <w:rsid w:val="00DD4DFC"/>
    <w:rsid w:val="00DD5194"/>
    <w:rsid w:val="00DD5ABA"/>
    <w:rsid w:val="00DD6E66"/>
    <w:rsid w:val="00DD7048"/>
    <w:rsid w:val="00DD73E9"/>
    <w:rsid w:val="00DE49D5"/>
    <w:rsid w:val="00DE731B"/>
    <w:rsid w:val="00DF367E"/>
    <w:rsid w:val="00DF7E44"/>
    <w:rsid w:val="00E007BA"/>
    <w:rsid w:val="00E01746"/>
    <w:rsid w:val="00E06DC1"/>
    <w:rsid w:val="00E10FF6"/>
    <w:rsid w:val="00E21A16"/>
    <w:rsid w:val="00E24C21"/>
    <w:rsid w:val="00E2577C"/>
    <w:rsid w:val="00E34366"/>
    <w:rsid w:val="00E36500"/>
    <w:rsid w:val="00E37173"/>
    <w:rsid w:val="00E41EDA"/>
    <w:rsid w:val="00E64521"/>
    <w:rsid w:val="00E64E91"/>
    <w:rsid w:val="00E700E6"/>
    <w:rsid w:val="00E7135B"/>
    <w:rsid w:val="00E72443"/>
    <w:rsid w:val="00E72D1B"/>
    <w:rsid w:val="00E76BA7"/>
    <w:rsid w:val="00E775AA"/>
    <w:rsid w:val="00E776C8"/>
    <w:rsid w:val="00E8183A"/>
    <w:rsid w:val="00E847A2"/>
    <w:rsid w:val="00E84FA2"/>
    <w:rsid w:val="00E872FD"/>
    <w:rsid w:val="00E90EAD"/>
    <w:rsid w:val="00E94E4A"/>
    <w:rsid w:val="00EA33E8"/>
    <w:rsid w:val="00EA43F6"/>
    <w:rsid w:val="00EB367F"/>
    <w:rsid w:val="00EB75DA"/>
    <w:rsid w:val="00ED5C80"/>
    <w:rsid w:val="00ED7FF6"/>
    <w:rsid w:val="00EE1AD1"/>
    <w:rsid w:val="00EE255C"/>
    <w:rsid w:val="00F15031"/>
    <w:rsid w:val="00F2538A"/>
    <w:rsid w:val="00F334E1"/>
    <w:rsid w:val="00F41698"/>
    <w:rsid w:val="00F42756"/>
    <w:rsid w:val="00F4658F"/>
    <w:rsid w:val="00F46870"/>
    <w:rsid w:val="00F60625"/>
    <w:rsid w:val="00F6094A"/>
    <w:rsid w:val="00F60DA1"/>
    <w:rsid w:val="00F71D78"/>
    <w:rsid w:val="00F7345B"/>
    <w:rsid w:val="00F77D3B"/>
    <w:rsid w:val="00F9703F"/>
    <w:rsid w:val="00FB0912"/>
    <w:rsid w:val="00FB19AC"/>
    <w:rsid w:val="00FC304D"/>
    <w:rsid w:val="00FD0EA2"/>
    <w:rsid w:val="00FD70AC"/>
    <w:rsid w:val="00FE0F68"/>
    <w:rsid w:val="00FF4AB3"/>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5934D4D"/>
  <w15:docId w15:val="{0CF71DEA-F599-4D4D-A16D-0D297515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A01"/>
    <w:pPr>
      <w:spacing w:line="240" w:lineRule="atLeast"/>
    </w:pPr>
    <w:rPr>
      <w:rFonts w:ascii="Garamond" w:hAnsi="Garamond"/>
      <w:sz w:val="24"/>
    </w:rPr>
  </w:style>
  <w:style w:type="paragraph" w:styleId="Heading1">
    <w:name w:val="heading 1"/>
    <w:aliases w:val="H1-Sec.Head,H1-Chap. Head"/>
    <w:basedOn w:val="Normal"/>
    <w:link w:val="Heading1Char"/>
    <w:qFormat/>
    <w:rsid w:val="00740A0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40A01"/>
    <w:pPr>
      <w:spacing w:after="360"/>
      <w:ind w:left="1152" w:hanging="1152"/>
      <w:jc w:val="left"/>
      <w:outlineLvl w:val="1"/>
    </w:pPr>
    <w:rPr>
      <w:sz w:val="32"/>
    </w:rPr>
  </w:style>
  <w:style w:type="paragraph" w:styleId="Heading3">
    <w:name w:val="heading 3"/>
    <w:aliases w:val="H3-Sec. Head"/>
    <w:basedOn w:val="Heading1"/>
    <w:next w:val="L1-FlLSp12"/>
    <w:qFormat/>
    <w:rsid w:val="00740A01"/>
    <w:pPr>
      <w:spacing w:after="360"/>
      <w:ind w:left="1152" w:hanging="1152"/>
      <w:jc w:val="left"/>
      <w:outlineLvl w:val="2"/>
    </w:pPr>
    <w:rPr>
      <w:sz w:val="28"/>
    </w:rPr>
  </w:style>
  <w:style w:type="paragraph" w:styleId="Heading4">
    <w:name w:val="heading 4"/>
    <w:aliases w:val="H4 Sec.Heading,H4-Sec. Head"/>
    <w:basedOn w:val="Heading1"/>
    <w:next w:val="L1-FlLSp12"/>
    <w:qFormat/>
    <w:rsid w:val="00740A01"/>
    <w:pPr>
      <w:spacing w:after="360"/>
      <w:ind w:left="1152" w:hanging="1152"/>
      <w:jc w:val="left"/>
      <w:outlineLvl w:val="3"/>
    </w:pPr>
    <w:rPr>
      <w:color w:val="auto"/>
      <w:sz w:val="24"/>
    </w:rPr>
  </w:style>
  <w:style w:type="paragraph" w:styleId="Heading5">
    <w:name w:val="heading 5"/>
    <w:aliases w:val="H5-Sec. Head"/>
    <w:basedOn w:val="Heading1"/>
    <w:next w:val="L1-FlLSp12"/>
    <w:qFormat/>
    <w:rsid w:val="00740A01"/>
    <w:pPr>
      <w:keepLines/>
      <w:spacing w:after="360"/>
      <w:ind w:left="1152" w:hanging="1152"/>
      <w:jc w:val="left"/>
      <w:outlineLvl w:val="4"/>
    </w:pPr>
    <w:rPr>
      <w:i/>
      <w:color w:val="auto"/>
      <w:sz w:val="24"/>
    </w:rPr>
  </w:style>
  <w:style w:type="paragraph" w:styleId="Heading6">
    <w:name w:val="heading 6"/>
    <w:basedOn w:val="Normal"/>
    <w:next w:val="Normal"/>
    <w:qFormat/>
    <w:rsid w:val="00740A01"/>
    <w:pPr>
      <w:keepNext/>
      <w:spacing w:before="240"/>
      <w:jc w:val="center"/>
      <w:outlineLvl w:val="5"/>
    </w:pPr>
    <w:rPr>
      <w:b/>
      <w:caps/>
    </w:rPr>
  </w:style>
  <w:style w:type="paragraph" w:styleId="Heading7">
    <w:name w:val="heading 7"/>
    <w:basedOn w:val="Normal"/>
    <w:next w:val="Normal"/>
    <w:qFormat/>
    <w:rsid w:val="00740A0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0A0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40A01"/>
    <w:pPr>
      <w:keepLines/>
      <w:jc w:val="center"/>
    </w:pPr>
  </w:style>
  <w:style w:type="paragraph" w:customStyle="1" w:styleId="C3-CtrSp12">
    <w:name w:val="C3-Ctr Sp&amp;1/2"/>
    <w:basedOn w:val="Normal"/>
    <w:rsid w:val="00740A01"/>
    <w:pPr>
      <w:keepLines/>
      <w:spacing w:line="360" w:lineRule="atLeast"/>
      <w:jc w:val="center"/>
    </w:pPr>
  </w:style>
  <w:style w:type="paragraph" w:customStyle="1" w:styleId="E1-Equation">
    <w:name w:val="E1-Equation"/>
    <w:basedOn w:val="Normal"/>
    <w:rsid w:val="00740A01"/>
    <w:pPr>
      <w:tabs>
        <w:tab w:val="center" w:pos="4680"/>
        <w:tab w:val="right" w:pos="9360"/>
      </w:tabs>
    </w:pPr>
  </w:style>
  <w:style w:type="paragraph" w:customStyle="1" w:styleId="E2-Equation">
    <w:name w:val="E2-Equation"/>
    <w:basedOn w:val="Normal"/>
    <w:rsid w:val="00740A01"/>
    <w:pPr>
      <w:tabs>
        <w:tab w:val="right" w:pos="1152"/>
        <w:tab w:val="center" w:pos="1440"/>
        <w:tab w:val="left" w:pos="1728"/>
      </w:tabs>
      <w:ind w:left="1728" w:hanging="1728"/>
    </w:pPr>
  </w:style>
  <w:style w:type="paragraph" w:styleId="Footer">
    <w:name w:val="footer"/>
    <w:basedOn w:val="Normal"/>
    <w:link w:val="FooterChar"/>
    <w:uiPriority w:val="99"/>
    <w:rsid w:val="00740A01"/>
  </w:style>
  <w:style w:type="paragraph" w:styleId="FootnoteText">
    <w:name w:val="footnote text"/>
    <w:aliases w:val="F1"/>
    <w:link w:val="FootnoteTextChar"/>
    <w:rsid w:val="00740A01"/>
    <w:pPr>
      <w:tabs>
        <w:tab w:val="left" w:pos="120"/>
      </w:tabs>
      <w:spacing w:before="120" w:line="200" w:lineRule="atLeast"/>
      <w:ind w:left="115" w:hanging="115"/>
    </w:pPr>
    <w:rPr>
      <w:rFonts w:ascii="Garamond" w:hAnsi="Garamond"/>
    </w:rPr>
  </w:style>
  <w:style w:type="paragraph" w:styleId="Header">
    <w:name w:val="header"/>
    <w:basedOn w:val="Normal"/>
    <w:rsid w:val="00740A01"/>
    <w:rPr>
      <w:sz w:val="20"/>
    </w:rPr>
  </w:style>
  <w:style w:type="paragraph" w:customStyle="1" w:styleId="L1-FlLSp12">
    <w:name w:val="L1-FlL Sp&amp;1/2"/>
    <w:basedOn w:val="Normal"/>
    <w:link w:val="L1-FlLSp12Char"/>
    <w:uiPriority w:val="99"/>
    <w:rsid w:val="00740A01"/>
    <w:pPr>
      <w:tabs>
        <w:tab w:val="left" w:pos="1152"/>
      </w:tabs>
      <w:spacing w:line="360" w:lineRule="atLeast"/>
    </w:pPr>
  </w:style>
  <w:style w:type="paragraph" w:customStyle="1" w:styleId="N0-FlLftBullet">
    <w:name w:val="N0-Fl Lft Bullet"/>
    <w:basedOn w:val="Normal"/>
    <w:rsid w:val="00740A01"/>
    <w:pPr>
      <w:tabs>
        <w:tab w:val="left" w:pos="576"/>
      </w:tabs>
      <w:spacing w:after="240"/>
      <w:ind w:left="576" w:hanging="576"/>
    </w:pPr>
  </w:style>
  <w:style w:type="paragraph" w:customStyle="1" w:styleId="N1-1stBullet">
    <w:name w:val="N1-1st Bullet"/>
    <w:basedOn w:val="Normal"/>
    <w:rsid w:val="00740A01"/>
    <w:pPr>
      <w:numPr>
        <w:numId w:val="3"/>
      </w:numPr>
      <w:spacing w:after="240"/>
    </w:pPr>
  </w:style>
  <w:style w:type="paragraph" w:customStyle="1" w:styleId="N2-2ndBullet">
    <w:name w:val="N2-2nd Bullet"/>
    <w:basedOn w:val="Normal"/>
    <w:rsid w:val="00740A01"/>
    <w:pPr>
      <w:numPr>
        <w:numId w:val="1"/>
      </w:numPr>
      <w:spacing w:after="240"/>
    </w:pPr>
  </w:style>
  <w:style w:type="paragraph" w:customStyle="1" w:styleId="N3-3rdBullet">
    <w:name w:val="N3-3rd Bullet"/>
    <w:basedOn w:val="Normal"/>
    <w:rsid w:val="00740A01"/>
    <w:pPr>
      <w:numPr>
        <w:numId w:val="36"/>
      </w:numPr>
      <w:spacing w:after="240"/>
    </w:pPr>
  </w:style>
  <w:style w:type="paragraph" w:customStyle="1" w:styleId="N4-4thBullet">
    <w:name w:val="N4-4th Bullet"/>
    <w:basedOn w:val="Normal"/>
    <w:rsid w:val="00740A01"/>
    <w:pPr>
      <w:numPr>
        <w:numId w:val="6"/>
      </w:numPr>
      <w:spacing w:after="240"/>
    </w:pPr>
  </w:style>
  <w:style w:type="paragraph" w:customStyle="1" w:styleId="N5-5thBullet">
    <w:name w:val="N5-5th Bullet"/>
    <w:basedOn w:val="Normal"/>
    <w:rsid w:val="00740A01"/>
    <w:pPr>
      <w:tabs>
        <w:tab w:val="left" w:pos="3456"/>
      </w:tabs>
      <w:spacing w:after="240"/>
      <w:ind w:left="3456" w:hanging="576"/>
    </w:pPr>
  </w:style>
  <w:style w:type="paragraph" w:customStyle="1" w:styleId="N6-DateInd">
    <w:name w:val="N6-Date Ind."/>
    <w:basedOn w:val="Normal"/>
    <w:rsid w:val="00740A01"/>
    <w:pPr>
      <w:tabs>
        <w:tab w:val="left" w:pos="4910"/>
      </w:tabs>
      <w:ind w:left="4910"/>
    </w:pPr>
  </w:style>
  <w:style w:type="paragraph" w:customStyle="1" w:styleId="N7-3Block">
    <w:name w:val="N7-3&quot; Block"/>
    <w:basedOn w:val="Normal"/>
    <w:rsid w:val="00740A01"/>
    <w:pPr>
      <w:tabs>
        <w:tab w:val="left" w:pos="1152"/>
      </w:tabs>
      <w:ind w:left="1152" w:right="1152"/>
    </w:pPr>
  </w:style>
  <w:style w:type="paragraph" w:customStyle="1" w:styleId="N8-QxQBlock">
    <w:name w:val="N8-QxQ Block"/>
    <w:basedOn w:val="Normal"/>
    <w:rsid w:val="00740A01"/>
    <w:pPr>
      <w:tabs>
        <w:tab w:val="left" w:pos="1152"/>
      </w:tabs>
      <w:spacing w:after="360" w:line="360" w:lineRule="atLeast"/>
      <w:ind w:left="1152" w:hanging="1152"/>
    </w:pPr>
  </w:style>
  <w:style w:type="paragraph" w:customStyle="1" w:styleId="P1-StandPara">
    <w:name w:val="P1-Stand Para"/>
    <w:basedOn w:val="Normal"/>
    <w:rsid w:val="00740A01"/>
    <w:pPr>
      <w:spacing w:line="360" w:lineRule="atLeast"/>
      <w:ind w:firstLine="1152"/>
    </w:pPr>
  </w:style>
  <w:style w:type="paragraph" w:customStyle="1" w:styleId="Q1-BestFinQ">
    <w:name w:val="Q1-Best/Fin Q"/>
    <w:rsid w:val="00740A01"/>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740A01"/>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740A01"/>
  </w:style>
  <w:style w:type="paragraph" w:customStyle="1" w:styleId="SP-SglSpPara">
    <w:name w:val="SP-Sgl Sp Para"/>
    <w:basedOn w:val="Normal"/>
    <w:rsid w:val="00740A01"/>
    <w:pPr>
      <w:tabs>
        <w:tab w:val="left" w:pos="576"/>
      </w:tabs>
      <w:ind w:firstLine="576"/>
    </w:pPr>
  </w:style>
  <w:style w:type="paragraph" w:customStyle="1" w:styleId="T0-ChapPgHd">
    <w:name w:val="T0-Chap/Pg Hd"/>
    <w:basedOn w:val="Normal"/>
    <w:rsid w:val="00740A01"/>
    <w:pPr>
      <w:tabs>
        <w:tab w:val="left" w:pos="8640"/>
      </w:tabs>
    </w:pPr>
    <w:rPr>
      <w:rFonts w:ascii="Franklin Gothic Medium" w:hAnsi="Franklin Gothic Medium"/>
      <w:u w:val="words"/>
    </w:rPr>
  </w:style>
  <w:style w:type="paragraph" w:styleId="TOC1">
    <w:name w:val="toc 1"/>
    <w:basedOn w:val="Normal"/>
    <w:uiPriority w:val="39"/>
    <w:rsid w:val="00740A01"/>
    <w:pPr>
      <w:tabs>
        <w:tab w:val="left" w:pos="1440"/>
        <w:tab w:val="right" w:leader="dot" w:pos="8208"/>
        <w:tab w:val="left" w:pos="8640"/>
      </w:tabs>
      <w:ind w:left="1440" w:right="1800" w:hanging="1152"/>
    </w:pPr>
  </w:style>
  <w:style w:type="paragraph" w:styleId="TOC2">
    <w:name w:val="toc 2"/>
    <w:basedOn w:val="Normal"/>
    <w:uiPriority w:val="39"/>
    <w:rsid w:val="00740A01"/>
    <w:pPr>
      <w:tabs>
        <w:tab w:val="left" w:pos="2160"/>
        <w:tab w:val="right" w:leader="dot" w:pos="8208"/>
        <w:tab w:val="left" w:pos="8640"/>
      </w:tabs>
      <w:ind w:left="2160" w:right="1800" w:hanging="720"/>
    </w:pPr>
    <w:rPr>
      <w:szCs w:val="22"/>
    </w:rPr>
  </w:style>
  <w:style w:type="paragraph" w:styleId="TOC3">
    <w:name w:val="toc 3"/>
    <w:basedOn w:val="Normal"/>
    <w:uiPriority w:val="39"/>
    <w:rsid w:val="00740A01"/>
    <w:pPr>
      <w:tabs>
        <w:tab w:val="left" w:pos="3024"/>
        <w:tab w:val="right" w:leader="dot" w:pos="8208"/>
        <w:tab w:val="left" w:pos="8640"/>
      </w:tabs>
      <w:ind w:left="3024" w:right="1800" w:hanging="864"/>
    </w:pPr>
  </w:style>
  <w:style w:type="paragraph" w:styleId="TOC4">
    <w:name w:val="toc 4"/>
    <w:basedOn w:val="Normal"/>
    <w:semiHidden/>
    <w:rsid w:val="00740A01"/>
    <w:pPr>
      <w:tabs>
        <w:tab w:val="left" w:pos="3888"/>
        <w:tab w:val="right" w:leader="dot" w:pos="8208"/>
        <w:tab w:val="left" w:pos="8640"/>
      </w:tabs>
      <w:ind w:left="3888" w:right="1800" w:hanging="864"/>
    </w:pPr>
  </w:style>
  <w:style w:type="paragraph" w:styleId="TOC5">
    <w:name w:val="toc 5"/>
    <w:basedOn w:val="Normal"/>
    <w:uiPriority w:val="39"/>
    <w:rsid w:val="00740A01"/>
    <w:pPr>
      <w:tabs>
        <w:tab w:val="left" w:pos="1440"/>
        <w:tab w:val="right" w:leader="dot" w:pos="8208"/>
        <w:tab w:val="left" w:pos="8640"/>
      </w:tabs>
      <w:ind w:left="1440" w:right="1800" w:hanging="1152"/>
    </w:pPr>
  </w:style>
  <w:style w:type="paragraph" w:customStyle="1" w:styleId="TT-TableTitle">
    <w:name w:val="TT-Table Title"/>
    <w:link w:val="TT-TableTitleChar"/>
    <w:rsid w:val="00740A01"/>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740A01"/>
    <w:pPr>
      <w:tabs>
        <w:tab w:val="left" w:pos="2232"/>
      </w:tabs>
      <w:spacing w:line="240" w:lineRule="exact"/>
    </w:pPr>
    <w:rPr>
      <w:vanish/>
    </w:rPr>
  </w:style>
  <w:style w:type="paragraph" w:customStyle="1" w:styleId="R1-ResPara">
    <w:name w:val="R1-Res. Para"/>
    <w:rsid w:val="00740A01"/>
    <w:pPr>
      <w:spacing w:line="240" w:lineRule="atLeast"/>
      <w:ind w:left="288"/>
    </w:pPr>
    <w:rPr>
      <w:rFonts w:ascii="Garamond" w:hAnsi="Garamond"/>
      <w:sz w:val="24"/>
    </w:rPr>
  </w:style>
  <w:style w:type="paragraph" w:customStyle="1" w:styleId="R2-ResBullet">
    <w:name w:val="R2-Res Bullet"/>
    <w:basedOn w:val="Normal"/>
    <w:rsid w:val="00740A01"/>
    <w:pPr>
      <w:tabs>
        <w:tab w:val="left" w:pos="720"/>
      </w:tabs>
      <w:ind w:left="720" w:hanging="432"/>
    </w:pPr>
  </w:style>
  <w:style w:type="paragraph" w:customStyle="1" w:styleId="RF-Reference">
    <w:name w:val="RF-Reference"/>
    <w:basedOn w:val="Normal"/>
    <w:rsid w:val="00740A01"/>
    <w:pPr>
      <w:spacing w:line="240" w:lineRule="exact"/>
      <w:ind w:left="216" w:hanging="216"/>
    </w:pPr>
  </w:style>
  <w:style w:type="paragraph" w:customStyle="1" w:styleId="RH-SglSpHead">
    <w:name w:val="RH-Sgl Sp Head"/>
    <w:next w:val="RL-FlLftSgl"/>
    <w:rsid w:val="00740A01"/>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740A01"/>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740A01"/>
    <w:pPr>
      <w:keepNext/>
      <w:spacing w:line="240" w:lineRule="exact"/>
    </w:pPr>
    <w:rPr>
      <w:u w:val="single"/>
    </w:rPr>
  </w:style>
  <w:style w:type="paragraph" w:customStyle="1" w:styleId="Header-1">
    <w:name w:val="Header-1"/>
    <w:rsid w:val="00740A01"/>
    <w:pPr>
      <w:keepNext/>
      <w:framePr w:hSpace="187" w:wrap="around" w:vAnchor="text" w:hAnchor="text" w:y="1"/>
      <w:spacing w:line="240" w:lineRule="atLeast"/>
      <w:suppressOverlap/>
      <w:jc w:val="right"/>
    </w:pPr>
    <w:rPr>
      <w:rFonts w:ascii="Franklin Gothic Medium" w:hAnsi="Franklin Gothic Medium"/>
      <w:b/>
      <w:color w:val="324162"/>
    </w:rPr>
  </w:style>
  <w:style w:type="table" w:styleId="TableGrid">
    <w:name w:val="Table Grid"/>
    <w:basedOn w:val="TableNormal"/>
    <w:rsid w:val="00B3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40A01"/>
  </w:style>
  <w:style w:type="paragraph" w:customStyle="1" w:styleId="R0-FLLftSglBoldItalic">
    <w:name w:val="R0-FL Lft Sgl Bold Italic"/>
    <w:rsid w:val="00740A01"/>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0A01"/>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0A0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40A01"/>
    <w:rPr>
      <w:rFonts w:ascii="Franklin Gothic Medium" w:hAnsi="Franklin Gothic Medium"/>
      <w:sz w:val="16"/>
    </w:rPr>
  </w:style>
  <w:style w:type="paragraph" w:customStyle="1" w:styleId="TH-TableHeading">
    <w:name w:val="TH-Table Heading"/>
    <w:rsid w:val="00740A01"/>
    <w:pPr>
      <w:keepNext/>
      <w:spacing w:line="240" w:lineRule="atLeast"/>
      <w:jc w:val="center"/>
    </w:pPr>
    <w:rPr>
      <w:rFonts w:ascii="Franklin Gothic Medium" w:hAnsi="Franklin Gothic Medium"/>
      <w:b/>
    </w:rPr>
  </w:style>
  <w:style w:type="paragraph" w:styleId="TOC6">
    <w:name w:val="toc 6"/>
    <w:semiHidden/>
    <w:rsid w:val="00740A01"/>
    <w:pPr>
      <w:tabs>
        <w:tab w:val="right" w:leader="dot" w:pos="8208"/>
        <w:tab w:val="left" w:pos="8640"/>
      </w:tabs>
      <w:ind w:left="288"/>
    </w:pPr>
    <w:rPr>
      <w:rFonts w:ascii="Garamond" w:hAnsi="Garamond"/>
      <w:sz w:val="24"/>
      <w:szCs w:val="22"/>
    </w:rPr>
  </w:style>
  <w:style w:type="paragraph" w:styleId="TOC7">
    <w:name w:val="toc 7"/>
    <w:semiHidden/>
    <w:rsid w:val="00740A01"/>
    <w:pPr>
      <w:tabs>
        <w:tab w:val="right" w:leader="dot" w:pos="8208"/>
        <w:tab w:val="left" w:pos="8640"/>
      </w:tabs>
      <w:ind w:left="1440"/>
    </w:pPr>
    <w:rPr>
      <w:rFonts w:ascii="Garamond" w:hAnsi="Garamond"/>
      <w:sz w:val="24"/>
      <w:szCs w:val="22"/>
    </w:rPr>
  </w:style>
  <w:style w:type="paragraph" w:styleId="TOC8">
    <w:name w:val="toc 8"/>
    <w:semiHidden/>
    <w:rsid w:val="00740A01"/>
    <w:pPr>
      <w:tabs>
        <w:tab w:val="right" w:leader="dot" w:pos="8208"/>
        <w:tab w:val="left" w:pos="8640"/>
      </w:tabs>
      <w:ind w:left="2160"/>
    </w:pPr>
    <w:rPr>
      <w:rFonts w:ascii="Garamond" w:hAnsi="Garamond"/>
      <w:sz w:val="24"/>
      <w:szCs w:val="22"/>
    </w:rPr>
  </w:style>
  <w:style w:type="paragraph" w:styleId="TOC9">
    <w:name w:val="toc 9"/>
    <w:semiHidden/>
    <w:rsid w:val="00740A0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740A01"/>
    <w:rPr>
      <w:rFonts w:ascii="Franklin Gothic Medium" w:hAnsi="Franklin Gothic Medium"/>
      <w:sz w:val="20"/>
    </w:rPr>
  </w:style>
  <w:style w:type="paragraph" w:styleId="BalloonText">
    <w:name w:val="Balloon Text"/>
    <w:basedOn w:val="Normal"/>
    <w:link w:val="BalloonTextChar"/>
    <w:uiPriority w:val="99"/>
    <w:semiHidden/>
    <w:unhideWhenUsed/>
    <w:rsid w:val="00740A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01"/>
    <w:rPr>
      <w:rFonts w:ascii="Tahoma" w:hAnsi="Tahoma" w:cs="Tahoma"/>
      <w:sz w:val="16"/>
      <w:szCs w:val="16"/>
    </w:rPr>
  </w:style>
  <w:style w:type="paragraph" w:customStyle="1" w:styleId="CoverPage-WPN">
    <w:name w:val="CoverPage-WPN"/>
    <w:basedOn w:val="Normal"/>
    <w:rsid w:val="00C80583"/>
    <w:pPr>
      <w:spacing w:before="60"/>
      <w:ind w:left="-101" w:right="144"/>
    </w:pPr>
    <w:rPr>
      <w:rFonts w:ascii="Franklin Gothic Medium" w:hAnsi="Franklin Gothic Medium"/>
      <w:color w:val="003C79"/>
      <w:sz w:val="20"/>
    </w:rPr>
  </w:style>
  <w:style w:type="paragraph" w:customStyle="1" w:styleId="CoverPage-RFP">
    <w:name w:val="CoverPage-RFP"/>
    <w:basedOn w:val="Normal"/>
    <w:rsid w:val="00C80583"/>
    <w:pPr>
      <w:spacing w:after="360"/>
    </w:pPr>
    <w:rPr>
      <w:rFonts w:ascii="Franklin Gothic Medium" w:hAnsi="Franklin Gothic Medium"/>
      <w:color w:val="003C79"/>
      <w:sz w:val="20"/>
      <w:szCs w:val="24"/>
    </w:rPr>
  </w:style>
  <w:style w:type="paragraph" w:customStyle="1" w:styleId="CoverPage-Title">
    <w:name w:val="CoverPage-Title"/>
    <w:basedOn w:val="Normal"/>
    <w:rsid w:val="00C80583"/>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C80583"/>
    <w:pPr>
      <w:ind w:left="864" w:hanging="864"/>
    </w:pPr>
    <w:rPr>
      <w:rFonts w:ascii="Franklin Gothic Medium" w:hAnsi="Franklin Gothic Medium"/>
      <w:b/>
      <w:color w:val="003C79"/>
      <w:sz w:val="28"/>
      <w:szCs w:val="28"/>
    </w:rPr>
  </w:style>
  <w:style w:type="paragraph" w:customStyle="1" w:styleId="CoverPage-Date">
    <w:name w:val="CoverPage-Date"/>
    <w:basedOn w:val="Normal"/>
    <w:rsid w:val="00C80583"/>
    <w:rPr>
      <w:rFonts w:ascii="Franklin Gothic Medium" w:hAnsi="Franklin Gothic Medium"/>
      <w:b/>
      <w:color w:val="003C79"/>
      <w:sz w:val="20"/>
    </w:rPr>
  </w:style>
  <w:style w:type="paragraph" w:customStyle="1" w:styleId="CoverPage-Submitted">
    <w:name w:val="CoverPage-Submitted"/>
    <w:basedOn w:val="Normal"/>
    <w:rsid w:val="00C80583"/>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C80583"/>
    <w:rPr>
      <w:rFonts w:ascii="Franklin Gothic Medium" w:hAnsi="Franklin Gothic Medium"/>
      <w:color w:val="003C79"/>
      <w:sz w:val="22"/>
      <w:szCs w:val="22"/>
    </w:rPr>
  </w:style>
  <w:style w:type="paragraph" w:customStyle="1" w:styleId="ReportCover-AuthorsHead">
    <w:name w:val="ReportCover-AuthorsHead"/>
    <w:basedOn w:val="Normal"/>
    <w:rsid w:val="00C80583"/>
    <w:rPr>
      <w:rFonts w:ascii="Franklin Gothic Medium" w:hAnsi="Franklin Gothic Medium"/>
      <w:b/>
      <w:color w:val="003C79"/>
      <w:szCs w:val="24"/>
    </w:rPr>
  </w:style>
  <w:style w:type="paragraph" w:customStyle="1" w:styleId="ReportCover-Date">
    <w:name w:val="ReportCover-Date"/>
    <w:basedOn w:val="Normal"/>
    <w:rsid w:val="00C80583"/>
    <w:rPr>
      <w:rFonts w:ascii="Franklin Gothic Medium" w:hAnsi="Franklin Gothic Medium"/>
      <w:b/>
      <w:color w:val="003C79"/>
      <w:sz w:val="28"/>
    </w:rPr>
  </w:style>
  <w:style w:type="paragraph" w:customStyle="1" w:styleId="ReportCover-ImageBottom">
    <w:name w:val="ReportCover-ImageBottom"/>
    <w:basedOn w:val="Normal"/>
    <w:rsid w:val="00C80583"/>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C80583"/>
    <w:pPr>
      <w:spacing w:line="100" w:lineRule="exact"/>
    </w:pPr>
  </w:style>
  <w:style w:type="paragraph" w:customStyle="1" w:styleId="ReportCover-Prepared">
    <w:name w:val="ReportCover-Prepared"/>
    <w:basedOn w:val="Normal"/>
    <w:rsid w:val="00C80583"/>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C805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C80583"/>
    <w:pPr>
      <w:spacing w:line="480" w:lineRule="exact"/>
    </w:pPr>
    <w:rPr>
      <w:rFonts w:ascii="Franklin Gothic Medium" w:hAnsi="Franklin Gothic Medium"/>
      <w:b/>
      <w:color w:val="003C79"/>
      <w:sz w:val="44"/>
      <w:szCs w:val="40"/>
    </w:rPr>
  </w:style>
  <w:style w:type="character" w:styleId="FootnoteReference">
    <w:name w:val="footnote reference"/>
    <w:basedOn w:val="DefaultParagraphFont"/>
    <w:uiPriority w:val="99"/>
    <w:semiHidden/>
    <w:unhideWhenUsed/>
    <w:rsid w:val="00740A01"/>
    <w:rPr>
      <w:vertAlign w:val="superscript"/>
    </w:rPr>
  </w:style>
  <w:style w:type="paragraph" w:styleId="ListParagraph">
    <w:name w:val="List Paragraph"/>
    <w:basedOn w:val="Normal"/>
    <w:uiPriority w:val="34"/>
    <w:qFormat/>
    <w:rsid w:val="00B36272"/>
    <w:pPr>
      <w:spacing w:line="240" w:lineRule="auto"/>
      <w:ind w:left="720"/>
      <w:contextualSpacing/>
    </w:pPr>
    <w:rPr>
      <w:rFonts w:ascii="Times New Roman" w:hAnsi="Times New Roman"/>
      <w:sz w:val="20"/>
    </w:rPr>
  </w:style>
  <w:style w:type="character" w:customStyle="1" w:styleId="Heading1Char">
    <w:name w:val="Heading 1 Char"/>
    <w:aliases w:val="H1-Sec.Head Char,H1-Chap. Head Char"/>
    <w:basedOn w:val="DefaultParagraphFont"/>
    <w:link w:val="Heading1"/>
    <w:rsid w:val="00B36272"/>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694ABB"/>
    <w:rPr>
      <w:rFonts w:ascii="Franklin Gothic Medium" w:hAnsi="Franklin Gothic Medium"/>
      <w:b/>
      <w:color w:val="324162"/>
      <w:sz w:val="32"/>
    </w:rPr>
  </w:style>
  <w:style w:type="character" w:customStyle="1" w:styleId="FootnoteTextChar">
    <w:name w:val="Footnote Text Char"/>
    <w:aliases w:val="F1 Char"/>
    <w:basedOn w:val="DefaultParagraphFont"/>
    <w:link w:val="FootnoteText"/>
    <w:uiPriority w:val="99"/>
    <w:rsid w:val="00B36272"/>
    <w:rPr>
      <w:rFonts w:ascii="Garamond" w:hAnsi="Garamond"/>
    </w:rPr>
  </w:style>
  <w:style w:type="character" w:customStyle="1" w:styleId="L1-FlLSp12Char">
    <w:name w:val="L1-FlL Sp&amp;1/2 Char"/>
    <w:link w:val="L1-FlLSp12"/>
    <w:uiPriority w:val="99"/>
    <w:locked/>
    <w:rsid w:val="00B36272"/>
    <w:rPr>
      <w:rFonts w:ascii="Garamond" w:hAnsi="Garamond"/>
      <w:sz w:val="24"/>
    </w:rPr>
  </w:style>
  <w:style w:type="character" w:customStyle="1" w:styleId="TT-TableTitleChar">
    <w:name w:val="TT-Table Title Char"/>
    <w:basedOn w:val="DefaultParagraphFont"/>
    <w:link w:val="TT-TableTitle"/>
    <w:locked/>
    <w:rsid w:val="00B36272"/>
    <w:rPr>
      <w:rFonts w:ascii="Franklin Gothic Medium" w:hAnsi="Franklin Gothic Medium"/>
      <w:sz w:val="22"/>
    </w:rPr>
  </w:style>
  <w:style w:type="paragraph" w:customStyle="1" w:styleId="TB-TableBullet">
    <w:name w:val="TB-Table Bullet"/>
    <w:basedOn w:val="TX-TableText"/>
    <w:qFormat/>
    <w:rsid w:val="00740A01"/>
    <w:pPr>
      <w:numPr>
        <w:numId w:val="37"/>
      </w:numPr>
      <w:ind w:left="288" w:hanging="288"/>
    </w:pPr>
  </w:style>
  <w:style w:type="character" w:styleId="Hyperlink">
    <w:name w:val="Hyperlink"/>
    <w:basedOn w:val="DefaultParagraphFont"/>
    <w:uiPriority w:val="99"/>
    <w:rsid w:val="00F71D78"/>
    <w:rPr>
      <w:rFonts w:cs="Times New Roman"/>
      <w:color w:val="000000"/>
    </w:rPr>
  </w:style>
  <w:style w:type="character" w:styleId="CommentReference">
    <w:name w:val="annotation reference"/>
    <w:basedOn w:val="DefaultParagraphFont"/>
    <w:uiPriority w:val="99"/>
    <w:semiHidden/>
    <w:unhideWhenUsed/>
    <w:rsid w:val="00D106B8"/>
    <w:rPr>
      <w:sz w:val="16"/>
      <w:szCs w:val="16"/>
    </w:rPr>
  </w:style>
  <w:style w:type="paragraph" w:styleId="CommentText">
    <w:name w:val="annotation text"/>
    <w:basedOn w:val="Normal"/>
    <w:link w:val="CommentTextChar"/>
    <w:uiPriority w:val="99"/>
    <w:semiHidden/>
    <w:unhideWhenUsed/>
    <w:rsid w:val="00D106B8"/>
    <w:pPr>
      <w:spacing w:line="240" w:lineRule="auto"/>
    </w:pPr>
    <w:rPr>
      <w:sz w:val="20"/>
    </w:rPr>
  </w:style>
  <w:style w:type="character" w:customStyle="1" w:styleId="CommentTextChar">
    <w:name w:val="Comment Text Char"/>
    <w:basedOn w:val="DefaultParagraphFont"/>
    <w:link w:val="CommentText"/>
    <w:uiPriority w:val="99"/>
    <w:semiHidden/>
    <w:rsid w:val="00D106B8"/>
    <w:rPr>
      <w:rFonts w:ascii="Garamond" w:hAnsi="Garamond"/>
    </w:rPr>
  </w:style>
  <w:style w:type="paragraph" w:styleId="CommentSubject">
    <w:name w:val="annotation subject"/>
    <w:basedOn w:val="CommentText"/>
    <w:next w:val="CommentText"/>
    <w:link w:val="CommentSubjectChar"/>
    <w:uiPriority w:val="99"/>
    <w:semiHidden/>
    <w:unhideWhenUsed/>
    <w:rsid w:val="00D106B8"/>
    <w:rPr>
      <w:b/>
      <w:bCs/>
    </w:rPr>
  </w:style>
  <w:style w:type="character" w:customStyle="1" w:styleId="CommentSubjectChar">
    <w:name w:val="Comment Subject Char"/>
    <w:basedOn w:val="CommentTextChar"/>
    <w:link w:val="CommentSubject"/>
    <w:uiPriority w:val="99"/>
    <w:semiHidden/>
    <w:rsid w:val="00D106B8"/>
    <w:rPr>
      <w:rFonts w:ascii="Garamond" w:hAnsi="Garamond"/>
      <w:b/>
      <w:bCs/>
    </w:rPr>
  </w:style>
  <w:style w:type="character" w:customStyle="1" w:styleId="FooterChar">
    <w:name w:val="Footer Char"/>
    <w:basedOn w:val="DefaultParagraphFont"/>
    <w:link w:val="Footer"/>
    <w:uiPriority w:val="99"/>
    <w:rsid w:val="008D16E7"/>
    <w:rPr>
      <w:rFonts w:ascii="Garamond" w:hAnsi="Garamond"/>
      <w:sz w:val="24"/>
    </w:rPr>
  </w:style>
  <w:style w:type="character" w:customStyle="1" w:styleId="apple-converted-space">
    <w:name w:val="apple-converted-space"/>
    <w:basedOn w:val="DefaultParagraphFont"/>
    <w:rsid w:val="006500CF"/>
  </w:style>
  <w:style w:type="paragraph" w:styleId="Revision">
    <w:name w:val="Revision"/>
    <w:hidden/>
    <w:uiPriority w:val="99"/>
    <w:semiHidden/>
    <w:rsid w:val="00DD5194"/>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yunshikLee@westat.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s.psychiatryonline.org/author/Sale%2C%2BTamara" TargetMode="External"/><Relationship Id="rId2" Type="http://schemas.openxmlformats.org/officeDocument/2006/relationships/hyperlink" Target="http://ps.psychiatryonline.org/author/Norman%2C%2BRoss" TargetMode="External"/><Relationship Id="rId1" Type="http://schemas.openxmlformats.org/officeDocument/2006/relationships/hyperlink" Target="http://ps.psychiatryonline.org/author/Addington%2C%2BDonald%2BEmile" TargetMode="External"/><Relationship Id="rId6" Type="http://schemas.openxmlformats.org/officeDocument/2006/relationships/hyperlink" Target="http://ps.psychiatryonline.org/author/Wang%2C%2BJianLi" TargetMode="External"/><Relationship Id="rId5" Type="http://schemas.openxmlformats.org/officeDocument/2006/relationships/hyperlink" Target="http://ps.psychiatryonline.org/author/McKenzie%2C%2BEmily" TargetMode="External"/><Relationship Id="rId4" Type="http://schemas.openxmlformats.org/officeDocument/2006/relationships/hyperlink" Target="http://ps.psychiatryonline.org/author/Melton%2C%2BRy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400A-E318-403B-BD7A-9939E53C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F93E16BF.dotm</Template>
  <TotalTime>22</TotalTime>
  <Pages>8</Pages>
  <Words>2510</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Sonji Hogan</dc:creator>
  <cp:lastModifiedBy>Preethy George</cp:lastModifiedBy>
  <cp:revision>10</cp:revision>
  <cp:lastPrinted>2014-05-20T13:20:00Z</cp:lastPrinted>
  <dcterms:created xsi:type="dcterms:W3CDTF">2017-06-15T13:34:00Z</dcterms:created>
  <dcterms:modified xsi:type="dcterms:W3CDTF">2017-06-15T14:34:00Z</dcterms:modified>
</cp:coreProperties>
</file>