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664AC" w14:textId="6413906F" w:rsidR="00376BDD" w:rsidRPr="000A6528" w:rsidRDefault="00C84341" w:rsidP="00376BDD">
      <w:pPr>
        <w:pStyle w:val="Title"/>
        <w:rPr>
          <w:rFonts w:ascii="Helvetica" w:hAnsi="Helvetica"/>
        </w:rPr>
      </w:pPr>
      <w:bookmarkStart w:id="0" w:name="_Toc88277949"/>
      <w:bookmarkStart w:id="1" w:name="_Toc475008970"/>
      <w:r w:rsidRPr="00C84341">
        <w:t>Program Evaluation for Prevention Contract</w:t>
      </w:r>
      <w:r>
        <w:t>:</w:t>
      </w:r>
      <w:r w:rsidRPr="00C84341">
        <w:t xml:space="preserve"> </w:t>
      </w:r>
      <w:r w:rsidR="00376BDD">
        <w:t>Strategic Prevention Framework</w:t>
      </w:r>
      <w:r>
        <w:t xml:space="preserve"> for </w:t>
      </w:r>
      <w:r w:rsidR="00376BDD">
        <w:t xml:space="preserve">Prescription </w:t>
      </w:r>
      <w:r>
        <w:t>Drugs</w:t>
      </w:r>
      <w:r w:rsidR="00376BDD">
        <w:t xml:space="preserve"> </w:t>
      </w:r>
    </w:p>
    <w:p w14:paraId="12AF4123" w14:textId="7DC11A89" w:rsidR="00376BDD" w:rsidRDefault="00376BDD" w:rsidP="00376BDD">
      <w:pPr>
        <w:pStyle w:val="Title"/>
      </w:pPr>
      <w:r>
        <w:t>Supporting Statement</w:t>
      </w:r>
    </w:p>
    <w:p w14:paraId="76FD6DA9" w14:textId="101F0FD6" w:rsidR="00424D5D" w:rsidRPr="0037320E" w:rsidRDefault="00424D5D" w:rsidP="00D84EA6">
      <w:pPr>
        <w:pStyle w:val="Heading1"/>
        <w:rPr>
          <w:szCs w:val="20"/>
        </w:rPr>
      </w:pPr>
      <w:r w:rsidRPr="0037320E">
        <w:t>A.</w:t>
      </w:r>
      <w:r w:rsidRPr="0037320E">
        <w:tab/>
        <w:t>Justification</w:t>
      </w:r>
      <w:bookmarkEnd w:id="0"/>
      <w:bookmarkEnd w:id="1"/>
    </w:p>
    <w:p w14:paraId="7364D3F1" w14:textId="77777777" w:rsidR="00424D5D" w:rsidRPr="009B2D44" w:rsidRDefault="00424D5D" w:rsidP="00D84EA6">
      <w:pPr>
        <w:pStyle w:val="Heading2"/>
      </w:pPr>
      <w:bookmarkStart w:id="2" w:name="_Toc88033459"/>
      <w:bookmarkStart w:id="3" w:name="_Toc88277950"/>
      <w:bookmarkStart w:id="4" w:name="_Toc475008971"/>
      <w:r w:rsidRPr="009B2D44">
        <w:t>A.1</w:t>
      </w:r>
      <w:r w:rsidRPr="009B2D44">
        <w:tab/>
        <w:t>Circumstances Making the Collection of Information Necessary</w:t>
      </w:r>
      <w:bookmarkEnd w:id="2"/>
      <w:bookmarkEnd w:id="3"/>
      <w:bookmarkEnd w:id="4"/>
    </w:p>
    <w:p w14:paraId="41EB13E4" w14:textId="4E2C54EE" w:rsidR="000D2F08" w:rsidRPr="002146E0" w:rsidRDefault="000D2F08" w:rsidP="000D2F08">
      <w:pPr>
        <w:pStyle w:val="BodyText"/>
      </w:pPr>
      <w:r w:rsidRPr="004C26D5">
        <w:t>The Substance Abuse and Mental Health Services Administration’s (</w:t>
      </w:r>
      <w:r w:rsidRPr="00DF5194">
        <w:t>SAMHSA</w:t>
      </w:r>
      <w:r w:rsidRPr="004C26D5">
        <w:t>) Center for Substance Abuse Prevention (</w:t>
      </w:r>
      <w:r w:rsidRPr="00DF5194">
        <w:t>CSAP</w:t>
      </w:r>
      <w:r w:rsidRPr="004C26D5">
        <w:t>) is requesting approval from the Office of Management and Budget (</w:t>
      </w:r>
      <w:r w:rsidRPr="00DF5194">
        <w:t>OMB</w:t>
      </w:r>
      <w:r w:rsidRPr="004C26D5">
        <w:t xml:space="preserve">) for </w:t>
      </w:r>
      <w:r w:rsidR="008B0DEF">
        <w:t xml:space="preserve">new </w:t>
      </w:r>
      <w:r w:rsidRPr="004C26D5">
        <w:t xml:space="preserve">data collection activities related to the </w:t>
      </w:r>
      <w:r>
        <w:t>cross-site evaluation</w:t>
      </w:r>
      <w:r w:rsidRPr="004C26D5">
        <w:t xml:space="preserve"> of </w:t>
      </w:r>
      <w:r w:rsidRPr="00C21E3B">
        <w:rPr>
          <w:bCs/>
        </w:rPr>
        <w:t xml:space="preserve">SAMHSA’s </w:t>
      </w:r>
      <w:r>
        <w:rPr>
          <w:bCs/>
        </w:rPr>
        <w:t>Strategic Prevention Framework for Prescription Drugs (</w:t>
      </w:r>
      <w:r w:rsidRPr="00DF5194">
        <w:rPr>
          <w:bCs/>
        </w:rPr>
        <w:t>SPF</w:t>
      </w:r>
      <w:r>
        <w:rPr>
          <w:bCs/>
        </w:rPr>
        <w:t>-Rx)</w:t>
      </w:r>
      <w:r w:rsidRPr="002146E0">
        <w:rPr>
          <w:bCs/>
        </w:rPr>
        <w:t xml:space="preserve">. </w:t>
      </w:r>
      <w:r w:rsidRPr="002146E0">
        <w:rPr>
          <w:rFonts w:cs="Arial"/>
        </w:rPr>
        <w:t>The SPF-Rx program is designed to address nonmedical use of prescription drugs as well as opioid overdoses by raising awareness about the dangers of sharing medications and by working with pharmaceutical and medical communities. The SPF-Rx program aims to promote collaboration between states/tribes and pharmaceutical and medical communities to understand the risks of overprescribing to youth age 12</w:t>
      </w:r>
      <w:r w:rsidR="00C84341">
        <w:rPr>
          <w:rFonts w:cs="Arial"/>
        </w:rPr>
        <w:t>–</w:t>
      </w:r>
      <w:r w:rsidRPr="002146E0">
        <w:rPr>
          <w:rFonts w:cs="Arial"/>
        </w:rPr>
        <w:t xml:space="preserve">17 and adults 18 years of age and older and enhance capacity for and access to </w:t>
      </w:r>
      <w:r w:rsidR="00C84341" w:rsidRPr="00C84341">
        <w:rPr>
          <w:rFonts w:cs="Arial"/>
        </w:rPr>
        <w:t xml:space="preserve">Prescription Drug Monitoring Program </w:t>
      </w:r>
      <w:r w:rsidR="00C84341">
        <w:rPr>
          <w:rFonts w:cs="Arial"/>
        </w:rPr>
        <w:t>(</w:t>
      </w:r>
      <w:r w:rsidRPr="00DF5194">
        <w:rPr>
          <w:rFonts w:cs="Arial"/>
        </w:rPr>
        <w:t>PDMP</w:t>
      </w:r>
      <w:r w:rsidR="00C84341">
        <w:rPr>
          <w:rFonts w:cs="Arial"/>
        </w:rPr>
        <w:t>)</w:t>
      </w:r>
      <w:r w:rsidRPr="002146E0">
        <w:rPr>
          <w:rFonts w:cs="Arial"/>
        </w:rPr>
        <w:t xml:space="preserve"> data for prevention purposes.</w:t>
      </w:r>
    </w:p>
    <w:p w14:paraId="7266F8DA" w14:textId="566079C5" w:rsidR="000D2F08" w:rsidRDefault="000D2F08" w:rsidP="000D2F08">
      <w:pPr>
        <w:pStyle w:val="BodyText"/>
        <w:rPr>
          <w:bCs/>
        </w:rPr>
      </w:pPr>
      <w:r w:rsidRPr="002146E0">
        <w:rPr>
          <w:bCs/>
        </w:rPr>
        <w:t xml:space="preserve">The SPF-Rx program </w:t>
      </w:r>
      <w:r w:rsidRPr="002146E0">
        <w:t>aims to address SAMHSA’s priorities on prevention and reduction of prescription drug and illicit opioid misuse and abuse</w:t>
      </w:r>
      <w:r w:rsidR="00C84341">
        <w:rPr>
          <w:rFonts w:cs="Arial"/>
          <w:szCs w:val="24"/>
        </w:rPr>
        <w:t>. Its</w:t>
      </w:r>
      <w:r w:rsidRPr="002146E0">
        <w:rPr>
          <w:rFonts w:cs="Arial"/>
          <w:szCs w:val="24"/>
        </w:rPr>
        <w:t xml:space="preserve"> indicators of success </w:t>
      </w:r>
      <w:r w:rsidR="00C84341">
        <w:rPr>
          <w:rFonts w:cs="Arial"/>
          <w:szCs w:val="24"/>
        </w:rPr>
        <w:t>are</w:t>
      </w:r>
      <w:r w:rsidR="00C84341" w:rsidRPr="002146E0">
        <w:rPr>
          <w:rFonts w:cs="Arial"/>
          <w:szCs w:val="24"/>
        </w:rPr>
        <w:t xml:space="preserve"> </w:t>
      </w:r>
      <w:r w:rsidRPr="002146E0">
        <w:rPr>
          <w:rFonts w:cs="Arial"/>
          <w:szCs w:val="24"/>
        </w:rPr>
        <w:t>reductions in opioid overdoses and the incorporation of PDMP data into needs assessments and strategic plans</w:t>
      </w:r>
      <w:r w:rsidRPr="002146E0">
        <w:t>.</w:t>
      </w:r>
      <w:r w:rsidRPr="002146E0">
        <w:rPr>
          <w:bCs/>
        </w:rPr>
        <w:t xml:space="preserve"> </w:t>
      </w:r>
      <w:r>
        <w:rPr>
          <w:bCs/>
        </w:rPr>
        <w:t xml:space="preserve">Data collected through the tools described in this statement will be used for the national cross-site evaluation of SAMHSA’s SPF-Rx program. </w:t>
      </w:r>
      <w:r w:rsidR="0094123B">
        <w:rPr>
          <w:bCs/>
        </w:rPr>
        <w:t xml:space="preserve">This </w:t>
      </w:r>
      <w:r w:rsidR="008B0DEF">
        <w:rPr>
          <w:bCs/>
        </w:rPr>
        <w:t xml:space="preserve">clearance </w:t>
      </w:r>
      <w:r w:rsidR="0094123B">
        <w:rPr>
          <w:bCs/>
        </w:rPr>
        <w:t>package covers continued data collection through 2020</w:t>
      </w:r>
      <w:r w:rsidR="00D438C4">
        <w:rPr>
          <w:bCs/>
        </w:rPr>
        <w:t>,</w:t>
      </w:r>
      <w:r w:rsidR="0094123B">
        <w:rPr>
          <w:bCs/>
        </w:rPr>
        <w:t xml:space="preserve"> as the evaluation is expected to continue through at least that time; however</w:t>
      </w:r>
      <w:r w:rsidR="00D438C4">
        <w:rPr>
          <w:bCs/>
        </w:rPr>
        <w:t>,</w:t>
      </w:r>
      <w:r w:rsidR="0094123B">
        <w:rPr>
          <w:bCs/>
        </w:rPr>
        <w:t xml:space="preserve"> t</w:t>
      </w:r>
      <w:r w:rsidR="00C84341">
        <w:rPr>
          <w:bCs/>
        </w:rPr>
        <w:t xml:space="preserve">he </w:t>
      </w:r>
      <w:r w:rsidR="00C84341" w:rsidRPr="00C84341">
        <w:rPr>
          <w:bCs/>
        </w:rPr>
        <w:t>Program Evaluation for Prevention Contract (</w:t>
      </w:r>
      <w:r w:rsidR="004014A9">
        <w:rPr>
          <w:bCs/>
        </w:rPr>
        <w:t>PEP</w:t>
      </w:r>
      <w:r w:rsidR="004014A9">
        <w:rPr>
          <w:bCs/>
        </w:rPr>
        <w:noBreakHyphen/>
        <w:t>C</w:t>
      </w:r>
      <w:r w:rsidR="00C84341">
        <w:rPr>
          <w:bCs/>
        </w:rPr>
        <w:t>)</w:t>
      </w:r>
      <w:r>
        <w:rPr>
          <w:bCs/>
        </w:rPr>
        <w:t xml:space="preserve"> is scheduled to conduct a national cross-site evaluation of SPF-Rx</w:t>
      </w:r>
      <w:r w:rsidR="0069595E" w:rsidRPr="0069595E">
        <w:rPr>
          <w:bCs/>
          <w:sz w:val="24"/>
        </w:rPr>
        <w:t xml:space="preserve"> </w:t>
      </w:r>
      <w:r w:rsidR="0069595E" w:rsidRPr="0069595E">
        <w:rPr>
          <w:bCs/>
        </w:rPr>
        <w:t>through September 2018</w:t>
      </w:r>
      <w:r>
        <w:rPr>
          <w:bCs/>
        </w:rPr>
        <w:t xml:space="preserve">. </w:t>
      </w:r>
      <w:r w:rsidR="0069595E">
        <w:rPr>
          <w:bCs/>
        </w:rPr>
        <w:t xml:space="preserve">The </w:t>
      </w:r>
      <w:r w:rsidR="004014A9">
        <w:rPr>
          <w:bCs/>
        </w:rPr>
        <w:t>PEP</w:t>
      </w:r>
      <w:r w:rsidR="004014A9">
        <w:rPr>
          <w:bCs/>
        </w:rPr>
        <w:noBreakHyphen/>
        <w:t>C</w:t>
      </w:r>
      <w:r w:rsidR="0069595E">
        <w:rPr>
          <w:bCs/>
        </w:rPr>
        <w:t xml:space="preserve"> team</w:t>
      </w:r>
      <w:r>
        <w:rPr>
          <w:bCs/>
        </w:rPr>
        <w:t xml:space="preserve"> will systematically collect and maintain an Annual Implementation Instrument (</w:t>
      </w:r>
      <w:r w:rsidRPr="00DF5194">
        <w:rPr>
          <w:bCs/>
        </w:rPr>
        <w:t>AII</w:t>
      </w:r>
      <w:r>
        <w:rPr>
          <w:bCs/>
        </w:rPr>
        <w:t xml:space="preserve">) and outcomes data submitted by SPF-Rx grantees through the online </w:t>
      </w:r>
      <w:r w:rsidR="004014A9">
        <w:rPr>
          <w:bCs/>
        </w:rPr>
        <w:t>PEP</w:t>
      </w:r>
      <w:r w:rsidR="004014A9">
        <w:rPr>
          <w:bCs/>
        </w:rPr>
        <w:noBreakHyphen/>
        <w:t>C</w:t>
      </w:r>
      <w:r>
        <w:rPr>
          <w:bCs/>
        </w:rPr>
        <w:t xml:space="preserve"> Management Reporting Tool (</w:t>
      </w:r>
      <w:r w:rsidRPr="00DF5194">
        <w:rPr>
          <w:bCs/>
        </w:rPr>
        <w:t>MRT</w:t>
      </w:r>
      <w:r>
        <w:rPr>
          <w:bCs/>
        </w:rPr>
        <w:t xml:space="preserve">). SAMHSA is requesting approval for data collection for the SPF-Rx cross-site evaluation with the following </w:t>
      </w:r>
      <w:r w:rsidR="0069595E">
        <w:rPr>
          <w:bCs/>
        </w:rPr>
        <w:t xml:space="preserve">four </w:t>
      </w:r>
      <w:r>
        <w:rPr>
          <w:bCs/>
        </w:rPr>
        <w:t>instruments:</w:t>
      </w:r>
    </w:p>
    <w:p w14:paraId="7365BA07" w14:textId="3E6D5933" w:rsidR="000D2F08" w:rsidRDefault="000D2F08" w:rsidP="0056688C">
      <w:pPr>
        <w:pStyle w:val="ListNumber"/>
        <w:numPr>
          <w:ilvl w:val="0"/>
          <w:numId w:val="10"/>
        </w:numPr>
      </w:pPr>
      <w:r w:rsidRPr="002146E0">
        <w:rPr>
          <w:i/>
          <w:iCs/>
        </w:rPr>
        <w:t>AII</w:t>
      </w:r>
      <w:r>
        <w:t xml:space="preserve"> to collect information from primary SPF-Rx grantees and their </w:t>
      </w:r>
      <w:proofErr w:type="spellStart"/>
      <w:r>
        <w:t>subrecipient</w:t>
      </w:r>
      <w:proofErr w:type="spellEnd"/>
      <w:r>
        <w:t xml:space="preserve"> communities about SPF-Rx implementation, including </w:t>
      </w:r>
      <w:proofErr w:type="spellStart"/>
      <w:r>
        <w:t>subrecipient</w:t>
      </w:r>
      <w:proofErr w:type="spellEnd"/>
      <w:r>
        <w:t xml:space="preserve"> communities’ progress through the </w:t>
      </w:r>
      <w:r w:rsidR="00C84341">
        <w:t>SPF</w:t>
      </w:r>
      <w:r>
        <w:t xml:space="preserve"> and the specific prevention interventions being implemented by the </w:t>
      </w:r>
      <w:proofErr w:type="spellStart"/>
      <w:r>
        <w:t>subrecipient</w:t>
      </w:r>
      <w:proofErr w:type="spellEnd"/>
      <w:r>
        <w:t xml:space="preserve"> communities and primary grantees. Information collected </w:t>
      </w:r>
      <w:r w:rsidR="0069595E">
        <w:t xml:space="preserve">will </w:t>
      </w:r>
      <w:r>
        <w:t xml:space="preserve">include </w:t>
      </w:r>
      <w:proofErr w:type="spellStart"/>
      <w:r>
        <w:t>subrecipients</w:t>
      </w:r>
      <w:proofErr w:type="spellEnd"/>
      <w:r>
        <w:t>’ organization type</w:t>
      </w:r>
      <w:r w:rsidR="0069595E">
        <w:t>s</w:t>
      </w:r>
      <w:r>
        <w:t>, funding, cultural competence, assessments, capacity building, sustainability, strategic planning, prevention intervention implementation</w:t>
      </w:r>
      <w:r w:rsidR="0069595E">
        <w:t>s</w:t>
      </w:r>
      <w:r>
        <w:t>, evaluation</w:t>
      </w:r>
      <w:r w:rsidR="0069595E">
        <w:t>s</w:t>
      </w:r>
      <w:r>
        <w:t>, and contextual factors (</w:t>
      </w:r>
      <w:r w:rsidRPr="00DF60EC">
        <w:rPr>
          <w:b/>
          <w:bCs/>
        </w:rPr>
        <w:t xml:space="preserve">Attachment </w:t>
      </w:r>
      <w:r w:rsidR="00047BEB">
        <w:rPr>
          <w:b/>
          <w:bCs/>
        </w:rPr>
        <w:t>1</w:t>
      </w:r>
      <w:r>
        <w:t>).</w:t>
      </w:r>
    </w:p>
    <w:p w14:paraId="209EA20B" w14:textId="0AC03934" w:rsidR="000D2F08" w:rsidRDefault="000D2F08" w:rsidP="0056688C">
      <w:pPr>
        <w:pStyle w:val="ListNumber"/>
        <w:numPr>
          <w:ilvl w:val="0"/>
          <w:numId w:val="10"/>
        </w:numPr>
      </w:pPr>
      <w:r>
        <w:rPr>
          <w:i/>
          <w:iCs/>
        </w:rPr>
        <w:t>Grantee</w:t>
      </w:r>
      <w:r w:rsidRPr="00EF183A">
        <w:rPr>
          <w:i/>
          <w:iCs/>
        </w:rPr>
        <w:t xml:space="preserve"> </w:t>
      </w:r>
      <w:r>
        <w:rPr>
          <w:i/>
          <w:iCs/>
        </w:rPr>
        <w:t>Interview</w:t>
      </w:r>
      <w:r>
        <w:t xml:space="preserve"> to obtain the perspective of the implementing Project Directors </w:t>
      </w:r>
      <w:r w:rsidR="0069595E">
        <w:t>(</w:t>
      </w:r>
      <w:r w:rsidR="0069595E" w:rsidRPr="00DF5194">
        <w:t>PDs</w:t>
      </w:r>
      <w:r w:rsidR="0069595E">
        <w:t xml:space="preserve">) </w:t>
      </w:r>
      <w:r>
        <w:t>or their staff on important topics, including infrastructure and capacity, collaboration, leveraging funding and resources, criteria and use of evidence-informed interventions, monitoring and evaluation, collaboration, challenges, and health disparities. Information from these interviews will help inform SPF-Rx cross-site evaluation reports and will help identify lessons learned</w:t>
      </w:r>
      <w:r w:rsidR="0069595E">
        <w:t xml:space="preserve"> and </w:t>
      </w:r>
      <w:r>
        <w:t>success stories from grantee</w:t>
      </w:r>
      <w:r w:rsidR="0069595E">
        <w:t>s</w:t>
      </w:r>
      <w:r>
        <w:t>’ SPF-Rx programs (</w:t>
      </w:r>
      <w:r w:rsidRPr="00DF60EC">
        <w:rPr>
          <w:b/>
          <w:bCs/>
        </w:rPr>
        <w:t xml:space="preserve">Attachment </w:t>
      </w:r>
      <w:r w:rsidR="00047BEB">
        <w:rPr>
          <w:b/>
          <w:bCs/>
        </w:rPr>
        <w:t>2</w:t>
      </w:r>
      <w:r>
        <w:t>).</w:t>
      </w:r>
    </w:p>
    <w:p w14:paraId="00BB5173" w14:textId="16C85827" w:rsidR="000D2F08" w:rsidRPr="00A95D19" w:rsidRDefault="000D2F08" w:rsidP="0056688C">
      <w:pPr>
        <w:pStyle w:val="ListNumber"/>
        <w:numPr>
          <w:ilvl w:val="0"/>
          <w:numId w:val="10"/>
        </w:numPr>
        <w:rPr>
          <w:bCs/>
        </w:rPr>
      </w:pPr>
      <w:r>
        <w:rPr>
          <w:bCs/>
          <w:i/>
          <w:iCs/>
        </w:rPr>
        <w:t xml:space="preserve">Grantee- and Community-Level </w:t>
      </w:r>
      <w:r w:rsidRPr="002146E0">
        <w:rPr>
          <w:bCs/>
          <w:i/>
          <w:iCs/>
        </w:rPr>
        <w:t>Outcome</w:t>
      </w:r>
      <w:r>
        <w:rPr>
          <w:bCs/>
          <w:i/>
          <w:iCs/>
        </w:rPr>
        <w:t xml:space="preserve">s Modules </w:t>
      </w:r>
      <w:r w:rsidR="0069595E">
        <w:rPr>
          <w:bCs/>
          <w:iCs/>
        </w:rPr>
        <w:t xml:space="preserve">to </w:t>
      </w:r>
      <w:r>
        <w:rPr>
          <w:bCs/>
          <w:iCs/>
        </w:rPr>
        <w:t>collect data on key SPF-Rx program outcomes, including opioid misuse and abuse, opioid overdoses, and opioid prescribing patterns. Grantees will provide outcomes data at the grantee level for their state, tribal area</w:t>
      </w:r>
      <w:r w:rsidR="0069595E">
        <w:rPr>
          <w:bCs/>
          <w:iCs/>
        </w:rPr>
        <w:t>,</w:t>
      </w:r>
      <w:r>
        <w:rPr>
          <w:bCs/>
          <w:iCs/>
        </w:rPr>
        <w:t xml:space="preserve"> or jurisdiction, </w:t>
      </w:r>
      <w:r w:rsidR="0069595E">
        <w:rPr>
          <w:bCs/>
          <w:iCs/>
        </w:rPr>
        <w:t>as well</w:t>
      </w:r>
      <w:r w:rsidR="00AD60BB">
        <w:rPr>
          <w:bCs/>
          <w:iCs/>
        </w:rPr>
        <w:t xml:space="preserve"> </w:t>
      </w:r>
      <w:r w:rsidR="0069595E">
        <w:rPr>
          <w:bCs/>
          <w:iCs/>
        </w:rPr>
        <w:t xml:space="preserve">as </w:t>
      </w:r>
      <w:r w:rsidR="00AD60BB">
        <w:rPr>
          <w:bCs/>
          <w:iCs/>
        </w:rPr>
        <w:t xml:space="preserve">at the community level </w:t>
      </w:r>
      <w:r>
        <w:rPr>
          <w:bCs/>
          <w:iCs/>
        </w:rPr>
        <w:t>for</w:t>
      </w:r>
      <w:r w:rsidR="00AD60BB">
        <w:rPr>
          <w:bCs/>
          <w:iCs/>
        </w:rPr>
        <w:t xml:space="preserve"> each of</w:t>
      </w:r>
      <w:r>
        <w:rPr>
          <w:bCs/>
          <w:iCs/>
        </w:rPr>
        <w:t xml:space="preserve"> their </w:t>
      </w:r>
      <w:proofErr w:type="spellStart"/>
      <w:r>
        <w:rPr>
          <w:bCs/>
          <w:iCs/>
        </w:rPr>
        <w:t>subrecipient</w:t>
      </w:r>
      <w:proofErr w:type="spellEnd"/>
      <w:r>
        <w:rPr>
          <w:bCs/>
          <w:iCs/>
        </w:rPr>
        <w:t xml:space="preserve"> communities. </w:t>
      </w:r>
    </w:p>
    <w:p w14:paraId="2D3046E6" w14:textId="2204C12E" w:rsidR="000D2F08" w:rsidRPr="00CF1BBA" w:rsidRDefault="000D2F08" w:rsidP="0056688C">
      <w:pPr>
        <w:pStyle w:val="ListNumber"/>
        <w:numPr>
          <w:ilvl w:val="1"/>
          <w:numId w:val="10"/>
        </w:numPr>
        <w:rPr>
          <w:bCs/>
        </w:rPr>
      </w:pPr>
      <w:r w:rsidRPr="00CF1BBA">
        <w:rPr>
          <w:bCs/>
        </w:rPr>
        <w:t>Grantee</w:t>
      </w:r>
      <w:r>
        <w:rPr>
          <w:bCs/>
        </w:rPr>
        <w:t>-Level</w:t>
      </w:r>
      <w:r w:rsidRPr="00CF1BBA">
        <w:rPr>
          <w:bCs/>
        </w:rPr>
        <w:t xml:space="preserve"> Outcome</w:t>
      </w:r>
      <w:r>
        <w:rPr>
          <w:bCs/>
        </w:rPr>
        <w:t>s</w:t>
      </w:r>
      <w:r w:rsidRPr="00CF1BBA">
        <w:rPr>
          <w:bCs/>
        </w:rPr>
        <w:t xml:space="preserve"> </w:t>
      </w:r>
      <w:r>
        <w:rPr>
          <w:bCs/>
        </w:rPr>
        <w:t>Module</w:t>
      </w:r>
      <w:r w:rsidRPr="00CF1BBA">
        <w:rPr>
          <w:bCs/>
        </w:rPr>
        <w:t xml:space="preserve"> </w:t>
      </w:r>
      <w:r w:rsidR="0069595E">
        <w:rPr>
          <w:b/>
          <w:bCs/>
        </w:rPr>
        <w:t xml:space="preserve">(Attachment </w:t>
      </w:r>
      <w:r w:rsidR="00047BEB">
        <w:rPr>
          <w:b/>
          <w:bCs/>
        </w:rPr>
        <w:t>3</w:t>
      </w:r>
      <w:r w:rsidR="0069595E">
        <w:rPr>
          <w:b/>
          <w:bCs/>
        </w:rPr>
        <w:t>)</w:t>
      </w:r>
    </w:p>
    <w:p w14:paraId="301CC025" w14:textId="7F3DD803" w:rsidR="000D2F08" w:rsidRDefault="000D2F08" w:rsidP="0056688C">
      <w:pPr>
        <w:pStyle w:val="ListNumber"/>
        <w:numPr>
          <w:ilvl w:val="1"/>
          <w:numId w:val="10"/>
        </w:numPr>
        <w:rPr>
          <w:bCs/>
        </w:rPr>
      </w:pPr>
      <w:r w:rsidRPr="00CF1BBA">
        <w:rPr>
          <w:bCs/>
        </w:rPr>
        <w:lastRenderedPageBreak/>
        <w:t>Community-Level Outcome</w:t>
      </w:r>
      <w:r w:rsidR="004B2008">
        <w:rPr>
          <w:bCs/>
        </w:rPr>
        <w:t>s</w:t>
      </w:r>
      <w:r w:rsidRPr="00CF1BBA">
        <w:rPr>
          <w:bCs/>
        </w:rPr>
        <w:t xml:space="preserve"> </w:t>
      </w:r>
      <w:r>
        <w:rPr>
          <w:bCs/>
        </w:rPr>
        <w:t>Module</w:t>
      </w:r>
      <w:r w:rsidR="0069595E">
        <w:rPr>
          <w:bCs/>
        </w:rPr>
        <w:t xml:space="preserve"> </w:t>
      </w:r>
      <w:r w:rsidR="0069595E">
        <w:rPr>
          <w:b/>
          <w:bCs/>
        </w:rPr>
        <w:t xml:space="preserve">(Attachment </w:t>
      </w:r>
      <w:r w:rsidR="00047BEB">
        <w:rPr>
          <w:b/>
          <w:bCs/>
        </w:rPr>
        <w:t>4</w:t>
      </w:r>
      <w:r w:rsidR="0069595E">
        <w:rPr>
          <w:b/>
          <w:bCs/>
        </w:rPr>
        <w:t>)</w:t>
      </w:r>
    </w:p>
    <w:p w14:paraId="5A042192" w14:textId="62B49F91" w:rsidR="000D2F08" w:rsidRPr="002146E0" w:rsidRDefault="000D2F08" w:rsidP="0056688C">
      <w:pPr>
        <w:pStyle w:val="ListNumber"/>
        <w:numPr>
          <w:ilvl w:val="0"/>
          <w:numId w:val="10"/>
        </w:numPr>
      </w:pPr>
      <w:r w:rsidRPr="002146E0">
        <w:rPr>
          <w:i/>
          <w:iCs/>
        </w:rPr>
        <w:t>Substitute Data Source Request</w:t>
      </w:r>
      <w:r w:rsidRPr="00A95D19">
        <w:rPr>
          <w:bCs/>
        </w:rPr>
        <w:t xml:space="preserve"> </w:t>
      </w:r>
      <w:r w:rsidR="0069595E">
        <w:rPr>
          <w:bCs/>
        </w:rPr>
        <w:t xml:space="preserve">to </w:t>
      </w:r>
      <w:r w:rsidRPr="00A95D19">
        <w:rPr>
          <w:bCs/>
        </w:rPr>
        <w:t>allow grantees to request permission from SAMHSA to use “substitute measures” for their outcomes</w:t>
      </w:r>
      <w:r>
        <w:rPr>
          <w:bCs/>
        </w:rPr>
        <w:t xml:space="preserve"> data</w:t>
      </w:r>
      <w:r w:rsidR="0069595E">
        <w:rPr>
          <w:bCs/>
        </w:rPr>
        <w:t>—that is,</w:t>
      </w:r>
      <w:r w:rsidRPr="00A95D19">
        <w:rPr>
          <w:bCs/>
        </w:rPr>
        <w:t xml:space="preserve"> measures that differ from a list of </w:t>
      </w:r>
      <w:r w:rsidR="0069595E">
        <w:rPr>
          <w:bCs/>
        </w:rPr>
        <w:t>pre</w:t>
      </w:r>
      <w:r w:rsidRPr="00A95D19">
        <w:rPr>
          <w:bCs/>
        </w:rPr>
        <w:t>approved outcomes measures</w:t>
      </w:r>
      <w:r>
        <w:rPr>
          <w:bCs/>
        </w:rPr>
        <w:t xml:space="preserve"> </w:t>
      </w:r>
      <w:r>
        <w:t>(</w:t>
      </w:r>
      <w:r w:rsidRPr="00DF60EC">
        <w:rPr>
          <w:b/>
          <w:bCs/>
        </w:rPr>
        <w:t xml:space="preserve">Attachment </w:t>
      </w:r>
      <w:r w:rsidR="00047BEB">
        <w:rPr>
          <w:b/>
          <w:bCs/>
        </w:rPr>
        <w:t>5</w:t>
      </w:r>
      <w:r>
        <w:rPr>
          <w:b/>
          <w:bCs/>
        </w:rPr>
        <w:t>)</w:t>
      </w:r>
      <w:r>
        <w:rPr>
          <w:bCs/>
        </w:rPr>
        <w:t>.</w:t>
      </w:r>
    </w:p>
    <w:p w14:paraId="78B680DA" w14:textId="465A715D" w:rsidR="000D2F08" w:rsidRPr="00431379" w:rsidRDefault="000D2F08" w:rsidP="00376BDD">
      <w:pPr>
        <w:pStyle w:val="BodyText"/>
      </w:pPr>
      <w:r w:rsidRPr="00431379">
        <w:t xml:space="preserve">SAMHSA’s </w:t>
      </w:r>
      <w:r>
        <w:t>SPF-Rx</w:t>
      </w:r>
      <w:r w:rsidRPr="00431379">
        <w:t xml:space="preserve"> grant program is authorized under Section 516 of the Public Health Service Act, as amended, and addresses Healthy People 2020 Substance Abuse Topic Area </w:t>
      </w:r>
      <w:r w:rsidRPr="006038E8">
        <w:t xml:space="preserve">HP </w:t>
      </w:r>
      <w:r w:rsidRPr="00431379">
        <w:t>2020-SA. The</w:t>
      </w:r>
      <w:r>
        <w:t xml:space="preserve"> SPF-Rx </w:t>
      </w:r>
      <w:r w:rsidRPr="00431379">
        <w:t xml:space="preserve">grant program also supports SAMHSA’s Strategic Initiative: Prevention of Substance Abuse and Mental Illness. Finally, the </w:t>
      </w:r>
      <w:r>
        <w:t xml:space="preserve">SPF-Rx </w:t>
      </w:r>
      <w:r w:rsidRPr="00431379">
        <w:t>grant program seek</w:t>
      </w:r>
      <w:r w:rsidR="0069595E">
        <w:t>s</w:t>
      </w:r>
      <w:r w:rsidRPr="00431379">
        <w:t xml:space="preserve"> to address behavioral health disparities among racial and ethnic minorities by encouraging the implementation of strategies to decrease the differences in access, service use, and outcomes among the racial and ethnic minority populations served.</w:t>
      </w:r>
    </w:p>
    <w:p w14:paraId="0C7A23E9" w14:textId="77777777" w:rsidR="000D2F08" w:rsidRPr="00EF5F79" w:rsidRDefault="000D2F08" w:rsidP="00376BDD">
      <w:pPr>
        <w:pStyle w:val="Heading3"/>
      </w:pPr>
      <w:r w:rsidRPr="00EF5F79">
        <w:t>Scope of the Issue</w:t>
      </w:r>
    </w:p>
    <w:p w14:paraId="44C046BC" w14:textId="7E064125" w:rsidR="000D2F08" w:rsidRPr="008D4A7B" w:rsidRDefault="000D2F08" w:rsidP="000D2F08">
      <w:pPr>
        <w:pStyle w:val="BodyText"/>
      </w:pPr>
      <w:r w:rsidRPr="008D4A7B">
        <w:t>Opioid misuse, abuse, and overdose are significant public health issues in the United States. Prescription drug misuse (</w:t>
      </w:r>
      <w:r w:rsidR="00C84341" w:rsidRPr="00DF5194">
        <w:t>PDM</w:t>
      </w:r>
      <w:r w:rsidR="00C84341">
        <w:t xml:space="preserve">; </w:t>
      </w:r>
      <w:r w:rsidRPr="008D4A7B">
        <w:t xml:space="preserve">including abuse) among young people is the fastest-growing drug problem in the </w:t>
      </w:r>
      <w:r w:rsidR="0069595E">
        <w:t>country</w:t>
      </w:r>
      <w:r w:rsidRPr="008D4A7B">
        <w:t xml:space="preserve">; after alcohol, prescription drugs are second only to marijuana as the drugs most abused by teenagers </w:t>
      </w:r>
      <w:r w:rsidRPr="008D4A7B">
        <w:fldChar w:fldCharType="begin"/>
      </w:r>
      <w:r w:rsidRPr="008D4A7B">
        <w:instrText xml:space="preserve"> ADDIN EN.CITE &lt;EndNote&gt;&lt;Cite&gt;&lt;Author&gt;National Institutes of Health&lt;/Author&gt;&lt;Year&gt;2011&lt;/Year&gt;&lt;RecNum&gt;576&lt;/RecNum&gt;&lt;DisplayText&gt;(National Institutes of Health, 2011)&lt;/DisplayText&gt;&lt;record&gt;&lt;rec-number&gt;576&lt;/rec-number&gt;&lt;foreign-keys&gt;&lt;key app="EN" db-id="wa9addrv1fstemew2t6p9eahst2rt0dxsxv0"&gt;576&lt;/key&gt;&lt;/foreign-keys&gt;&lt;ref-type name="Journal Article"&gt;17&lt;/ref-type&gt;&lt;contributors&gt;&lt;authors&gt;&lt;author&gt;National Institutes of Health,&lt;/author&gt;&lt;/authors&gt;&lt;/contributors&gt;&lt;titles&gt;&lt;/titles&gt;&lt;dates&gt;&lt;year&gt;2011&lt;/year&gt;&lt;/dates&gt;&lt;urls&gt;&lt;/urls&gt;&lt;/record&gt;&lt;/Cite&gt;&lt;/EndNote&gt;</w:instrText>
      </w:r>
      <w:r w:rsidRPr="008D4A7B">
        <w:fldChar w:fldCharType="separate"/>
      </w:r>
      <w:r w:rsidRPr="008D4A7B">
        <w:t>(National Institutes of Health, 2011)</w:t>
      </w:r>
      <w:r w:rsidRPr="008D4A7B">
        <w:fldChar w:fldCharType="end"/>
      </w:r>
      <w:r w:rsidRPr="008D4A7B">
        <w:t xml:space="preserve">. </w:t>
      </w:r>
      <w:r w:rsidR="00C84341" w:rsidRPr="00C84341">
        <w:t>PDM</w:t>
      </w:r>
      <w:r w:rsidRPr="008D4A7B">
        <w:t xml:space="preserve"> refers to the use of licit drugs </w:t>
      </w:r>
      <w:r w:rsidR="00047BEB" w:rsidRPr="008D4A7B">
        <w:t xml:space="preserve">without a prescription </w:t>
      </w:r>
      <w:r w:rsidRPr="008D4A7B">
        <w:t>to treat</w:t>
      </w:r>
      <w:r w:rsidR="00047BEB">
        <w:t xml:space="preserve"> issues such as</w:t>
      </w:r>
      <w:r w:rsidRPr="008D4A7B">
        <w:t xml:space="preserve"> pain, attention deficit disorder, or anxiety; in a way other than prescribed; or because of the feelings the drugs may elicit </w:t>
      </w:r>
      <w:r w:rsidRPr="008D4A7B">
        <w:fldChar w:fldCharType="begin"/>
      </w:r>
      <w:r w:rsidRPr="008D4A7B">
        <w:instrText xml:space="preserve"> ADDIN EN.CITE &lt;EndNote&gt;&lt;Cite&gt;&lt;Author&gt;National Institutes of Health&lt;/Author&gt;&lt;Year&gt;2011&lt;/Year&gt;&lt;RecNum&gt;576&lt;/RecNum&gt;&lt;DisplayText&gt;(National Institutes of Health, 2011)&lt;/DisplayText&gt;&lt;record&gt;&lt;rec-number&gt;576&lt;/rec-number&gt;&lt;foreign-keys&gt;&lt;key app="EN" db-id="wa9addrv1fstemew2t6p9eahst2rt0dxsxv0"&gt;576&lt;/key&gt;&lt;/foreign-keys&gt;&lt;ref-type name="Journal Article"&gt;17&lt;/ref-type&gt;&lt;contributors&gt;&lt;authors&gt;&lt;author&gt;National Institutes of Health,&lt;/author&gt;&lt;/authors&gt;&lt;/contributors&gt;&lt;titles&gt;&lt;/titles&gt;&lt;dates&gt;&lt;year&gt;2011&lt;/year&gt;&lt;/dates&gt;&lt;urls&gt;&lt;/urls&gt;&lt;/record&gt;&lt;/Cite&gt;&lt;/EndNote&gt;</w:instrText>
      </w:r>
      <w:r w:rsidRPr="008D4A7B">
        <w:fldChar w:fldCharType="separate"/>
      </w:r>
      <w:r w:rsidRPr="008D4A7B">
        <w:t>(National Institutes of Health, 2011)</w:t>
      </w:r>
      <w:r w:rsidRPr="008D4A7B">
        <w:fldChar w:fldCharType="end"/>
      </w:r>
      <w:r w:rsidRPr="008D4A7B">
        <w:t>. The National Survey on Drug Use and Health (</w:t>
      </w:r>
      <w:r w:rsidRPr="00DF5194">
        <w:t>NSDUH</w:t>
      </w:r>
      <w:r w:rsidRPr="008D4A7B">
        <w:t xml:space="preserve">) estimates from 2015 indicate that 2.0% of respondents age 12–17 and 2.0% of respondents age 26 or older report current </w:t>
      </w:r>
      <w:r w:rsidR="00C84341" w:rsidRPr="00C84341">
        <w:t>PDM</w:t>
      </w:r>
      <w:r w:rsidRPr="008D4A7B">
        <w:t>. The problem is especially pronounced among young adults age 18</w:t>
      </w:r>
      <w:r w:rsidR="00D77145">
        <w:t>–</w:t>
      </w:r>
      <w:r w:rsidRPr="008D4A7B">
        <w:t xml:space="preserve">25, with 5.1% of NSDUH respondents in that age group </w:t>
      </w:r>
      <w:r w:rsidR="00D77145">
        <w:t>saying</w:t>
      </w:r>
      <w:r w:rsidR="00D77145" w:rsidRPr="008D4A7B">
        <w:t xml:space="preserve"> </w:t>
      </w:r>
      <w:r w:rsidRPr="008D4A7B">
        <w:t xml:space="preserve">that they are current misusers </w:t>
      </w:r>
      <w:r w:rsidRPr="008D4A7B">
        <w:fldChar w:fldCharType="begin"/>
      </w:r>
      <w:r w:rsidRPr="008D4A7B">
        <w:instrText xml:space="preserve"> ADDIN EN.CITE &lt;EndNote&gt;&lt;Cite&gt;&lt;Author&gt;Substance Abuse and Mental Health Services Administration&lt;/Author&gt;&lt;Year&gt;2014&lt;/Year&gt;&lt;RecNum&gt;475&lt;/RecNum&gt;&lt;DisplayText&gt;(Substance Abuse and Mental Health Services Administration, 2014)&lt;/DisplayText&gt;&lt;record&gt;&lt;rec-number&gt;475&lt;/rec-number&gt;&lt;foreign-keys&gt;&lt;key app="EN" db-id="wa9addrv1fstemew2t6p9eahst2rt0dxsxv0"&gt;475&lt;/key&gt;&lt;/foreign-keys&gt;&lt;ref-type name="Report"&gt;27&lt;/ref-type&gt;&lt;contributors&gt;&lt;authors&gt;&lt;author&gt;Substance Abuse and Mental Health Services Administration,,&lt;/author&gt;&lt;/authors&gt;&lt;/contributors&gt;&lt;titles&gt;&lt;title&gt;The NSDUH Report: Underage binge alcohol use varies within and across states&lt;/title&gt;&lt;/titles&gt;&lt;number&gt;NSDUH_199&lt;/number&gt;&lt;dates&gt;&lt;year&gt;2014&lt;/year&gt;&lt;/dates&gt;&lt;pub-location&gt;Rockville, MD&lt;/pub-location&gt;&lt;publisher&gt;Substance Abuse and Mental Health Services Administration, Center for Behavioral Health Statistics and Quality,,&lt;/publisher&gt;&lt;urls&gt;&lt;related-urls&gt;&lt;url&gt;http://www.samhsa.gov/data/sites/default/files/NSDUH-SR199-UnderageBinge-2014/NSDUH-SR199-UnderageBinge-2014.pdf&lt;/url&gt;&lt;/related-urls&gt;&lt;/urls&gt;&lt;/record&gt;&lt;/Cite&gt;&lt;/EndNote&gt;</w:instrText>
      </w:r>
      <w:r w:rsidRPr="008D4A7B">
        <w:fldChar w:fldCharType="separate"/>
      </w:r>
      <w:r w:rsidRPr="008D4A7B">
        <w:t>(SAMHSA, 2016a)</w:t>
      </w:r>
      <w:r w:rsidRPr="008D4A7B">
        <w:fldChar w:fldCharType="end"/>
      </w:r>
      <w:r w:rsidRPr="008D4A7B">
        <w:t xml:space="preserve">. The widespread consequences of </w:t>
      </w:r>
      <w:r w:rsidR="00C84341" w:rsidRPr="00C84341">
        <w:t>PDM</w:t>
      </w:r>
      <w:r w:rsidRPr="008D4A7B">
        <w:t xml:space="preserve"> are similar to those associated with use of alcohol and other drugs (i.e., violence perpetration and victimization along with health, safety, social, emotional, academic, familial, and economic consequences). In 2011, the nonmedical use of pharmaceuticals accounted for nearly a quarter of all drug-related emergency </w:t>
      </w:r>
      <w:r w:rsidR="00D77145">
        <w:t>department</w:t>
      </w:r>
      <w:r w:rsidR="00D77145" w:rsidRPr="008D4A7B">
        <w:t xml:space="preserve"> </w:t>
      </w:r>
      <w:r w:rsidRPr="008D4A7B">
        <w:t>visits. Approximately 22.5% of these visits involved youth and young adults age 12–24</w:t>
      </w:r>
      <w:r w:rsidR="00D77145">
        <w:t>;</w:t>
      </w:r>
      <w:r w:rsidRPr="008D4A7B">
        <w:t xml:space="preserve"> adults age 25 and older accounted for 76.2% </w:t>
      </w:r>
      <w:r w:rsidRPr="008D4A7B">
        <w:fldChar w:fldCharType="begin"/>
      </w:r>
      <w:r w:rsidRPr="008D4A7B">
        <w:instrText xml:space="preserve"> ADDIN EN.CITE &lt;EndNote&gt;&lt;Cite ExcludeAuth="1"&gt;&lt;Author&gt;Substance Abuse and Mental Health Services Administration&lt;/Author&gt;&lt;Year&gt;2013&lt;/Year&gt;&lt;RecNum&gt;17&lt;/RecNum&gt;&lt;Prefix&gt;SAMHSA`,&lt;/Prefix&gt;&lt;DisplayText&gt;(Substance Abuse and Mental Health Services Administration, 2013)&lt;/DisplayText&gt;&lt;record&gt;&lt;rec-number&gt;17&lt;/rec-number&gt;&lt;foreign-keys&gt;&lt;key app="EN" db-id="wa9addrv1fstemew2t6p9eahst2rt0dxsxv0"&gt;17&lt;/key&gt;&lt;/foreign-keys&gt;&lt;ref-type name="Report"&gt;27&lt;/ref-type&gt;&lt;contributors&gt;&lt;authors&gt;&lt;author&gt;Substance Abuse and Mental Health Services Administration,&lt;/author&gt;&lt;/authors&gt;&lt;/contributors&gt;&lt;titles&gt;&lt;title&gt;Strategies and interventions for reducing nonmedical use of prescription drugs: A review of the literature (2006-2013)&lt;/title&gt;&lt;/titles&gt;&lt;dates&gt;&lt;year&gt;2013&lt;/year&gt;&lt;/dates&gt;&lt;urls&gt;&lt;related-urls&gt;&lt;url&gt;http://captus.samhsa.gov/sites/default/files/capt_resource/nmupd_strategiesandinterventionlitreview10-23-13_0.pdf&lt;/url&gt;&lt;/related-urls&gt;&lt;/urls&gt;&lt;/record&gt;&lt;/Cite&gt;&lt;/EndNote&gt;</w:instrText>
      </w:r>
      <w:r w:rsidRPr="008D4A7B">
        <w:fldChar w:fldCharType="separate"/>
      </w:r>
      <w:r w:rsidRPr="008D4A7B">
        <w:rPr>
          <w:noProof/>
        </w:rPr>
        <w:t>(SAMHSA, 2013)</w:t>
      </w:r>
      <w:r w:rsidRPr="008D4A7B">
        <w:fldChar w:fldCharType="end"/>
      </w:r>
      <w:r w:rsidRPr="008D4A7B">
        <w:t xml:space="preserve">. Since 2003, more deaths have been due to opioid analgesic overdoses than to heroin and cocaine combined </w:t>
      </w:r>
      <w:r w:rsidR="00D77145">
        <w:t>(</w:t>
      </w:r>
      <w:r w:rsidR="00D77145" w:rsidRPr="00D77145">
        <w:t xml:space="preserve">Centers for Disease Control and Prevention </w:t>
      </w:r>
      <w:r w:rsidRPr="008D4A7B">
        <w:fldChar w:fldCharType="begin"/>
      </w:r>
      <w:r w:rsidRPr="008D4A7B">
        <w:instrText xml:space="preserve"> ADDIN EN.CITE &lt;EndNote&gt;&lt;Cite&gt;&lt;Author&gt;Centers for Disease Control and Prevention&lt;/Author&gt;&lt;Year&gt;2012&lt;/Year&gt;&lt;RecNum&gt;577&lt;/RecNum&gt;&lt;DisplayText&gt;(Centers for Disease Control and Prevention, 2012)&lt;/DisplayText&gt;&lt;record&gt;&lt;rec-number&gt;577&lt;/rec-number&gt;&lt;foreign-keys&gt;&lt;key app="EN" db-id="wa9addrv1fstemew2t6p9eahst2rt0dxsxv0"&gt;577&lt;/key&gt;&lt;/foreign-keys&gt;&lt;ref-type name="Journal Article"&gt;17&lt;/ref-type&gt;&lt;contributors&gt;&lt;authors&gt;&lt;author&gt;Centers for Disease Control and Prevention,&lt;/author&gt;&lt;/authors&gt;&lt;/contributors&gt;&lt;titles&gt;&lt;/titles&gt;&lt;dates&gt;&lt;year&gt;2012&lt;/year&gt;&lt;/dates&gt;&lt;urls&gt;&lt;/urls&gt;&lt;/record&gt;&lt;/Cite&gt;&lt;/EndNote&gt;</w:instrText>
      </w:r>
      <w:r w:rsidRPr="008D4A7B">
        <w:fldChar w:fldCharType="separate"/>
      </w:r>
      <w:r w:rsidR="00D77145">
        <w:t>[</w:t>
      </w:r>
      <w:r w:rsidRPr="00DF5194">
        <w:t>CDC</w:t>
      </w:r>
      <w:r w:rsidRPr="008D4A7B">
        <w:t>, 2012</w:t>
      </w:r>
      <w:r w:rsidR="00D77145">
        <w:t>]</w:t>
      </w:r>
      <w:r w:rsidRPr="008D4A7B">
        <w:t>)</w:t>
      </w:r>
      <w:r w:rsidRPr="008D4A7B">
        <w:fldChar w:fldCharType="end"/>
      </w:r>
      <w:r w:rsidRPr="008D4A7B">
        <w:t xml:space="preserve">. </w:t>
      </w:r>
    </w:p>
    <w:p w14:paraId="1F6670C4" w14:textId="2A052C22" w:rsidR="000D2F08" w:rsidRPr="002146E0" w:rsidRDefault="000D2F08" w:rsidP="000D2F08">
      <w:pPr>
        <w:pStyle w:val="BodyText"/>
      </w:pPr>
      <w:r w:rsidRPr="002146E0">
        <w:t>Drug-related overdose is the currently the nation’s leading cause of accidental death, surpassing deaths from motor vehicles</w:t>
      </w:r>
      <w:r w:rsidR="00047BEB">
        <w:t xml:space="preserve"> beginning</w:t>
      </w:r>
      <w:r w:rsidRPr="002146E0">
        <w:t xml:space="preserve"> in 2008, and deaths from opioid overdose play a significant role in this increase. Opioid overdose fatalities can be attributed to both prescription medications, such as morphine, codeine, oxycodone, and others, </w:t>
      </w:r>
      <w:r w:rsidR="00D77145">
        <w:t>and to</w:t>
      </w:r>
      <w:r w:rsidRPr="002146E0">
        <w:t xml:space="preserve"> illegal drugs such as heroin. Opioid overdose deaths attributed to prescription opioids and illicit opioids have quadrupled since 1999 (</w:t>
      </w:r>
      <w:r w:rsidR="00047BEB">
        <w:t>SAMHSA</w:t>
      </w:r>
      <w:r w:rsidRPr="002146E0">
        <w:t>, 2016</w:t>
      </w:r>
      <w:r w:rsidR="00047BEB">
        <w:t>a</w:t>
      </w:r>
      <w:r w:rsidRPr="002146E0">
        <w:t>; SAMHSA, 2016</w:t>
      </w:r>
      <w:r w:rsidR="00047BEB">
        <w:t>b</w:t>
      </w:r>
      <w:r w:rsidRPr="002146E0">
        <w:t xml:space="preserve">). </w:t>
      </w:r>
      <w:r w:rsidR="00D77145">
        <w:t>From</w:t>
      </w:r>
      <w:r w:rsidR="00D77145" w:rsidRPr="002146E0">
        <w:t xml:space="preserve"> </w:t>
      </w:r>
      <w:r w:rsidRPr="002146E0">
        <w:t xml:space="preserve">2001 </w:t>
      </w:r>
      <w:r w:rsidR="00D77145">
        <w:t>through</w:t>
      </w:r>
      <w:r w:rsidR="00D77145" w:rsidRPr="002146E0">
        <w:t xml:space="preserve"> </w:t>
      </w:r>
      <w:r w:rsidRPr="002146E0">
        <w:t>2014, the number of overdose deaths involving prescription opioid analgesics more th</w:t>
      </w:r>
      <w:r>
        <w:t xml:space="preserve">an tripled (SAMHSA, 2016b). In </w:t>
      </w:r>
      <w:r w:rsidRPr="002146E0">
        <w:t>2014, 40% of drug overdose deaths were associated wi</w:t>
      </w:r>
      <w:r>
        <w:t xml:space="preserve">th prescription opioids, </w:t>
      </w:r>
      <w:r w:rsidR="00D77145">
        <w:t xml:space="preserve">whereas </w:t>
      </w:r>
      <w:r w:rsidRPr="002146E0">
        <w:t>23.1% wer</w:t>
      </w:r>
      <w:r>
        <w:t>e associated with heroin (</w:t>
      </w:r>
      <w:r w:rsidRPr="002146E0">
        <w:t>CDC, 2016a; CDC, 2016b).</w:t>
      </w:r>
    </w:p>
    <w:p w14:paraId="3800DA35" w14:textId="2ED42625" w:rsidR="000D2F08" w:rsidRPr="002146E0" w:rsidRDefault="000D2F08" w:rsidP="000D2F08">
      <w:pPr>
        <w:pStyle w:val="BodyText"/>
        <w:rPr>
          <w:rFonts w:ascii="AdvOT17a2fb79.B" w:hAnsi="AdvOT17a2fb79.B" w:cs="AdvOT17a2fb79.B"/>
          <w:color w:val="231F20"/>
        </w:rPr>
      </w:pPr>
      <w:r w:rsidRPr="002146E0">
        <w:t xml:space="preserve">A key resource for monitoring prescribing opioids among medical professionals </w:t>
      </w:r>
      <w:r w:rsidR="00C84341">
        <w:t>are</w:t>
      </w:r>
      <w:r w:rsidR="00C84341" w:rsidRPr="002146E0">
        <w:t xml:space="preserve"> </w:t>
      </w:r>
      <w:r w:rsidRPr="002146E0">
        <w:t>the PDMPs</w:t>
      </w:r>
      <w:r w:rsidR="00C84341">
        <w:t>,</w:t>
      </w:r>
      <w:r w:rsidRPr="002146E0">
        <w:t xml:space="preserve"> state-run databases used to track the prescribing and dispensing of controlled prescription drugs to patients.</w:t>
      </w:r>
      <w:r>
        <w:t xml:space="preserve"> </w:t>
      </w:r>
      <w:r w:rsidRPr="002146E0">
        <w:t>The</w:t>
      </w:r>
      <w:r w:rsidR="00D77145">
        <w:t xml:space="preserve"> PDMPs</w:t>
      </w:r>
      <w:r w:rsidRPr="002146E0">
        <w:t xml:space="preserve"> are designed to monitor this information for suspected abuse or diversion (i.e., channeling drugs into illegal use), and </w:t>
      </w:r>
      <w:r w:rsidR="00D77145">
        <w:t xml:space="preserve">they </w:t>
      </w:r>
      <w:r w:rsidRPr="002146E0">
        <w:t>can give a prescriber or pharmacist critical information regarding a patient’s controlled substance prescription history.</w:t>
      </w:r>
      <w:r>
        <w:t xml:space="preserve"> </w:t>
      </w:r>
      <w:r w:rsidR="00D77145">
        <w:t>All</w:t>
      </w:r>
      <w:r w:rsidRPr="002146E0">
        <w:t xml:space="preserve"> states </w:t>
      </w:r>
      <w:r w:rsidR="00D77145">
        <w:t xml:space="preserve">except Missouri, as well as the District of Columbia and the territory of Guam, </w:t>
      </w:r>
      <w:r w:rsidRPr="002146E0">
        <w:t xml:space="preserve">have PDMPs </w:t>
      </w:r>
      <w:r w:rsidRPr="002146E0">
        <w:rPr>
          <w:rFonts w:ascii="AdvOT17a2fb79.B" w:hAnsi="AdvOT17a2fb79.B" w:cs="AdvOT17a2fb79.B"/>
          <w:color w:val="231F20"/>
        </w:rPr>
        <w:t xml:space="preserve">to detect high-risk prescribing and patient behaviors. </w:t>
      </w:r>
    </w:p>
    <w:p w14:paraId="4657BF29" w14:textId="1ED5B252" w:rsidR="000D2F08" w:rsidRPr="002146E0" w:rsidRDefault="000D2F08" w:rsidP="000D2F08">
      <w:pPr>
        <w:pStyle w:val="BodyText"/>
      </w:pPr>
      <w:r w:rsidRPr="002146E0">
        <w:t xml:space="preserve">While prescriber use of PDMPs and program capacity vary from state to state, several case studies suggest that PDMPs are effective in curbing </w:t>
      </w:r>
      <w:r w:rsidR="00C84341" w:rsidRPr="00C84341">
        <w:t>PDM</w:t>
      </w:r>
      <w:r w:rsidRPr="002146E0">
        <w:t>.</w:t>
      </w:r>
      <w:r>
        <w:t xml:space="preserve"> </w:t>
      </w:r>
      <w:r w:rsidRPr="002146E0">
        <w:t xml:space="preserve">For example, 70% of Maryland physicians attributed decreases in their opioid prescribing to their use of the state’s PDMP, and the </w:t>
      </w:r>
      <w:r w:rsidR="00D77145">
        <w:t>implementation</w:t>
      </w:r>
      <w:r w:rsidR="00D77145" w:rsidRPr="002146E0">
        <w:t xml:space="preserve"> </w:t>
      </w:r>
      <w:r w:rsidRPr="002146E0">
        <w:t xml:space="preserve">of Florida’s </w:t>
      </w:r>
      <w:r w:rsidRPr="002146E0">
        <w:lastRenderedPageBreak/>
        <w:t>PDMP correlated with significant reductions in both the number of opioid prescriptions written and the number of patients receiving opioids among high-volume prescribers (Lin et al., 2017; Chang et al., 2016).</w:t>
      </w:r>
      <w:r>
        <w:t xml:space="preserve"> </w:t>
      </w:r>
      <w:r w:rsidRPr="002146E0">
        <w:t>Use of PDMPs has also been associated with reductions in opioid-related overdose deaths, with higher</w:t>
      </w:r>
      <w:r w:rsidR="00D77145">
        <w:t>-</w:t>
      </w:r>
      <w:r w:rsidRPr="002146E0">
        <w:t xml:space="preserve">functioning PDMPs showing greater reductions in death </w:t>
      </w:r>
      <w:r w:rsidR="00D77145">
        <w:t>than</w:t>
      </w:r>
      <w:r w:rsidRPr="002146E0">
        <w:t xml:space="preserve"> less robust programs (Patrick et al., 2016).</w:t>
      </w:r>
      <w:r>
        <w:t xml:space="preserve"> </w:t>
      </w:r>
    </w:p>
    <w:p w14:paraId="454F6A9E" w14:textId="796B2675" w:rsidR="000D2F08" w:rsidRPr="002146E0" w:rsidRDefault="000D2F08" w:rsidP="00376BDD">
      <w:pPr>
        <w:pStyle w:val="Heading3"/>
      </w:pPr>
      <w:r w:rsidRPr="002146E0">
        <w:t>Strategic Prevention Framework for Prescription Drugs</w:t>
      </w:r>
    </w:p>
    <w:p w14:paraId="12BA08B7" w14:textId="55773E6F" w:rsidR="000D2F08" w:rsidRDefault="000D2F08" w:rsidP="000D2F08">
      <w:pPr>
        <w:pStyle w:val="BodyText"/>
        <w:rPr>
          <w:szCs w:val="20"/>
        </w:rPr>
      </w:pPr>
      <w:r>
        <w:t xml:space="preserve">In </w:t>
      </w:r>
      <w:r w:rsidR="00573100">
        <w:t>FY</w:t>
      </w:r>
      <w:r>
        <w:t xml:space="preserve">2017, SAMHSA awarded the </w:t>
      </w:r>
      <w:r w:rsidR="00D77145">
        <w:t>5</w:t>
      </w:r>
      <w:r>
        <w:t xml:space="preserve">-year SPF-Rx grant to </w:t>
      </w:r>
      <w:r w:rsidR="00D77145">
        <w:t>25</w:t>
      </w:r>
      <w:r>
        <w:t xml:space="preserve"> s</w:t>
      </w:r>
      <w:r w:rsidDel="009A4D99">
        <w:t>tates</w:t>
      </w:r>
      <w:r w:rsidRPr="00330AE8" w:rsidDel="009A4D99">
        <w:t>, jurisdictions</w:t>
      </w:r>
      <w:r w:rsidR="00D77145">
        <w:t xml:space="preserve"> or </w:t>
      </w:r>
      <w:r w:rsidRPr="00330AE8" w:rsidDel="009A4D99">
        <w:t>territories, and tribal organizations</w:t>
      </w:r>
      <w:r>
        <w:t xml:space="preserve">. SPF-Rx is grounded in the SPF-based infrastructures that have been developed through the SPF State Incentive Grants </w:t>
      </w:r>
      <w:r w:rsidR="00D72DCB">
        <w:t>(</w:t>
      </w:r>
      <w:r w:rsidR="00D72DCB" w:rsidRPr="00DF5194">
        <w:t>SIGs</w:t>
      </w:r>
      <w:r w:rsidR="00D72DCB">
        <w:t xml:space="preserve">) </w:t>
      </w:r>
      <w:r>
        <w:t>that were funded from 2004 to 2010 and the Partnership</w:t>
      </w:r>
      <w:r w:rsidR="00D72DCB">
        <w:t>s</w:t>
      </w:r>
      <w:r>
        <w:t xml:space="preserve"> for Success </w:t>
      </w:r>
      <w:r w:rsidR="00D72DCB">
        <w:t>(</w:t>
      </w:r>
      <w:r w:rsidR="00D72DCB" w:rsidRPr="00DF5194">
        <w:t>PFS</w:t>
      </w:r>
      <w:r w:rsidR="00D72DCB">
        <w:t xml:space="preserve">) </w:t>
      </w:r>
      <w:r>
        <w:t xml:space="preserve">grants that initiated funding in 2009 and are ongoing. </w:t>
      </w:r>
      <w:r w:rsidRPr="00330AE8" w:rsidDel="009A4D99">
        <w:t xml:space="preserve">Grantees used the SPF model, which consists of five steps: </w:t>
      </w:r>
      <w:r w:rsidDel="009A4D99">
        <w:t xml:space="preserve">(1) </w:t>
      </w:r>
      <w:r w:rsidRPr="00330AE8" w:rsidDel="009A4D99">
        <w:t>needs assessment</w:t>
      </w:r>
      <w:r w:rsidDel="009A4D99">
        <w:t>;</w:t>
      </w:r>
      <w:r w:rsidRPr="00330AE8" w:rsidDel="009A4D99">
        <w:t xml:space="preserve"> </w:t>
      </w:r>
      <w:r w:rsidDel="009A4D99">
        <w:t>(2) capacity building; (3)</w:t>
      </w:r>
      <w:r w:rsidRPr="00330AE8" w:rsidDel="009A4D99">
        <w:t xml:space="preserve"> strategic planning</w:t>
      </w:r>
      <w:r w:rsidDel="009A4D99">
        <w:t>; (4) </w:t>
      </w:r>
      <w:r w:rsidRPr="00330AE8" w:rsidDel="009A4D99">
        <w:t>implementation of programs, policies, and practices</w:t>
      </w:r>
      <w:r w:rsidDel="009A4D99">
        <w:t xml:space="preserve">; </w:t>
      </w:r>
      <w:r w:rsidRPr="00330AE8" w:rsidDel="009A4D99">
        <w:t>and</w:t>
      </w:r>
      <w:r w:rsidDel="009A4D99">
        <w:t xml:space="preserve"> (5)</w:t>
      </w:r>
      <w:r w:rsidRPr="00330AE8" w:rsidDel="009A4D99">
        <w:t xml:space="preserve"> evaluation. </w:t>
      </w:r>
      <w:r w:rsidDel="009A4D99">
        <w:t>Grantees also considered c</w:t>
      </w:r>
      <w:r w:rsidRPr="00330AE8" w:rsidDel="009A4D99">
        <w:t xml:space="preserve">ultural competence and sustainability at each step in the </w:t>
      </w:r>
      <w:r w:rsidRPr="009301BA" w:rsidDel="009A4D99">
        <w:t xml:space="preserve">process. </w:t>
      </w:r>
      <w:r w:rsidRPr="002146E0">
        <w:rPr>
          <w:rFonts w:cs="Arial"/>
          <w:szCs w:val="24"/>
        </w:rPr>
        <w:t xml:space="preserve">The SPF-based programs </w:t>
      </w:r>
      <w:r w:rsidRPr="009301BA">
        <w:rPr>
          <w:rFonts w:cs="Arial"/>
          <w:szCs w:val="24"/>
        </w:rPr>
        <w:t xml:space="preserve">were established </w:t>
      </w:r>
      <w:r w:rsidRPr="009301BA" w:rsidDel="009A4D99">
        <w:t>with the goals of preventing the onset and reducing the progression of substance abuse, reducing problems related to substance abuse, and building capacity and infrastructure for prevention</w:t>
      </w:r>
      <w:r w:rsidRPr="009301BA">
        <w:t>. T</w:t>
      </w:r>
      <w:r w:rsidRPr="001823A6">
        <w:t>he SPF-Rx program continues the SPF-based</w:t>
      </w:r>
      <w:r>
        <w:t xml:space="preserve"> model with a specific focus on</w:t>
      </w:r>
      <w:r w:rsidRPr="002146E0">
        <w:rPr>
          <w:rFonts w:cs="Arial"/>
          <w:szCs w:val="24"/>
        </w:rPr>
        <w:t xml:space="preserve"> </w:t>
      </w:r>
      <w:r w:rsidR="00C84341" w:rsidRPr="00C84341">
        <w:rPr>
          <w:rFonts w:cs="Arial"/>
          <w:szCs w:val="24"/>
        </w:rPr>
        <w:t>PDM</w:t>
      </w:r>
      <w:r w:rsidRPr="002146E0">
        <w:rPr>
          <w:rFonts w:cs="Arial"/>
          <w:szCs w:val="24"/>
        </w:rPr>
        <w:t xml:space="preserve"> </w:t>
      </w:r>
      <w:r w:rsidRPr="002146E0">
        <w:rPr>
          <w:rFonts w:cs="Arial"/>
          <w:color w:val="000000"/>
          <w:szCs w:val="24"/>
          <w:lang w:val="en"/>
        </w:rPr>
        <w:t>among youth age</w:t>
      </w:r>
      <w:r w:rsidR="00C84341">
        <w:rPr>
          <w:rFonts w:cs="Arial"/>
          <w:color w:val="000000"/>
          <w:szCs w:val="24"/>
          <w:lang w:val="en"/>
        </w:rPr>
        <w:t xml:space="preserve"> 12–</w:t>
      </w:r>
      <w:r w:rsidRPr="002146E0">
        <w:rPr>
          <w:rFonts w:cs="Arial"/>
          <w:color w:val="000000"/>
          <w:szCs w:val="24"/>
          <w:lang w:val="en"/>
        </w:rPr>
        <w:t>17 and adults 18 years of age and older</w:t>
      </w:r>
      <w:r>
        <w:rPr>
          <w:rFonts w:cs="Arial"/>
          <w:color w:val="000000"/>
          <w:szCs w:val="24"/>
          <w:lang w:val="en"/>
        </w:rPr>
        <w:t>. Through this program, grantees are expected to work with pharmaceutical and medical communities on awareness</w:t>
      </w:r>
      <w:r w:rsidR="00D72DCB">
        <w:rPr>
          <w:rFonts w:cs="Arial"/>
          <w:color w:val="000000"/>
          <w:szCs w:val="24"/>
          <w:lang w:val="en"/>
        </w:rPr>
        <w:t>-</w:t>
      </w:r>
      <w:r>
        <w:rPr>
          <w:rFonts w:cs="Arial"/>
          <w:color w:val="000000"/>
          <w:szCs w:val="24"/>
          <w:lang w:val="en"/>
        </w:rPr>
        <w:t xml:space="preserve">raising activities related to dangers of sharing medications and overprescribing and </w:t>
      </w:r>
      <w:r w:rsidR="00D72DCB">
        <w:rPr>
          <w:rFonts w:cs="Arial"/>
          <w:color w:val="000000"/>
          <w:szCs w:val="24"/>
          <w:lang w:val="en"/>
        </w:rPr>
        <w:t xml:space="preserve">to </w:t>
      </w:r>
      <w:r>
        <w:rPr>
          <w:rFonts w:cs="Arial"/>
          <w:color w:val="000000"/>
          <w:szCs w:val="24"/>
          <w:lang w:val="en"/>
        </w:rPr>
        <w:t>provide community awareness and prescription drug abuse prevention activities to adults, youth, prescribers, and patients</w:t>
      </w:r>
      <w:r w:rsidRPr="001823A6">
        <w:rPr>
          <w:rFonts w:cs="Arial"/>
          <w:color w:val="000000"/>
          <w:szCs w:val="24"/>
          <w:lang w:val="en"/>
        </w:rPr>
        <w:t>.</w:t>
      </w:r>
      <w:r>
        <w:rPr>
          <w:rFonts w:cs="Arial"/>
        </w:rPr>
        <w:t xml:space="preserve"> Training implemented as a part of awareness</w:t>
      </w:r>
      <w:r w:rsidR="00D72DCB">
        <w:rPr>
          <w:rFonts w:cs="Arial"/>
        </w:rPr>
        <w:t>-</w:t>
      </w:r>
      <w:r>
        <w:rPr>
          <w:rFonts w:cs="Arial"/>
        </w:rPr>
        <w:t xml:space="preserve">raising activities will be informed by </w:t>
      </w:r>
      <w:r w:rsidRPr="007D028F">
        <w:rPr>
          <w:szCs w:val="20"/>
        </w:rPr>
        <w:t>SAMHSA’s Opioid Overdose Prevention Toolkit</w:t>
      </w:r>
      <w:r>
        <w:rPr>
          <w:szCs w:val="20"/>
        </w:rPr>
        <w:t xml:space="preserve"> and the </w:t>
      </w:r>
      <w:r w:rsidR="00D72DCB">
        <w:rPr>
          <w:szCs w:val="20"/>
        </w:rPr>
        <w:t>CDC’s</w:t>
      </w:r>
      <w:r>
        <w:rPr>
          <w:szCs w:val="20"/>
        </w:rPr>
        <w:t xml:space="preserve"> Policy Guidelines for Prescribing Opioids for Chronic Pain</w:t>
      </w:r>
      <w:r w:rsidR="00D72DCB">
        <w:rPr>
          <w:szCs w:val="20"/>
        </w:rPr>
        <w:t>.</w:t>
      </w:r>
      <w:r>
        <w:rPr>
          <w:szCs w:val="20"/>
        </w:rPr>
        <w:t xml:space="preserve"> Additionally, </w:t>
      </w:r>
      <w:r w:rsidRPr="002146E0">
        <w:rPr>
          <w:rFonts w:cs="Arial"/>
        </w:rPr>
        <w:t>PDMP</w:t>
      </w:r>
      <w:r w:rsidR="00C84341">
        <w:rPr>
          <w:rFonts w:cs="Arial"/>
        </w:rPr>
        <w:t>s</w:t>
      </w:r>
      <w:r w:rsidRPr="002146E0">
        <w:rPr>
          <w:rFonts w:cs="Arial"/>
        </w:rPr>
        <w:t xml:space="preserve"> will serve as a major data source </w:t>
      </w:r>
      <w:r>
        <w:rPr>
          <w:rFonts w:cs="Arial"/>
        </w:rPr>
        <w:t xml:space="preserve">for identifying </w:t>
      </w:r>
      <w:r w:rsidR="00D72DCB">
        <w:rPr>
          <w:rFonts w:cs="Arial"/>
        </w:rPr>
        <w:t xml:space="preserve">the </w:t>
      </w:r>
      <w:r>
        <w:rPr>
          <w:rFonts w:cs="Arial"/>
        </w:rPr>
        <w:t xml:space="preserve">prevalence of </w:t>
      </w:r>
      <w:r w:rsidR="00C84341" w:rsidRPr="00C84341">
        <w:rPr>
          <w:rFonts w:cs="Arial"/>
        </w:rPr>
        <w:t>PDM</w:t>
      </w:r>
      <w:r>
        <w:rPr>
          <w:rFonts w:cs="Arial"/>
        </w:rPr>
        <w:t xml:space="preserve"> and </w:t>
      </w:r>
      <w:r w:rsidRPr="002146E0">
        <w:rPr>
          <w:rFonts w:cs="Arial"/>
        </w:rPr>
        <w:t>assessing impacts of the program</w:t>
      </w:r>
      <w:r>
        <w:rPr>
          <w:rFonts w:cs="Arial"/>
        </w:rPr>
        <w:t xml:space="preserve"> on reductions in misuse</w:t>
      </w:r>
      <w:r w:rsidRPr="002146E0">
        <w:rPr>
          <w:rFonts w:cs="Arial"/>
        </w:rPr>
        <w:t xml:space="preserve">. </w:t>
      </w:r>
    </w:p>
    <w:p w14:paraId="744DF188" w14:textId="77777777" w:rsidR="000D2F08" w:rsidRPr="002146E0" w:rsidRDefault="000D2F08" w:rsidP="00376BDD">
      <w:pPr>
        <w:pStyle w:val="Heading3"/>
      </w:pPr>
      <w:r w:rsidRPr="002146E0">
        <w:t>Potential Impact of SPF-Rx Performance and Outcome Measure Finding</w:t>
      </w:r>
    </w:p>
    <w:p w14:paraId="6D37E05F" w14:textId="1D198988" w:rsidR="000D2F08" w:rsidRPr="002146E0" w:rsidRDefault="000D2F08" w:rsidP="000D2F08">
      <w:pPr>
        <w:pStyle w:val="BodyText"/>
      </w:pPr>
      <w:r>
        <w:t>The SPF-Rx</w:t>
      </w:r>
      <w:r w:rsidRPr="002146E0">
        <w:t xml:space="preserve"> data collection efforts will </w:t>
      </w:r>
      <w:r w:rsidR="00D72DCB">
        <w:t>us</w:t>
      </w:r>
      <w:r w:rsidR="00D72DCB" w:rsidRPr="002146E0">
        <w:t xml:space="preserve">e </w:t>
      </w:r>
      <w:r w:rsidRPr="002146E0">
        <w:t xml:space="preserve">an </w:t>
      </w:r>
      <w:r>
        <w:t>AII</w:t>
      </w:r>
      <w:r w:rsidRPr="002146E0">
        <w:t>, Grantee Interview, and Grantee</w:t>
      </w:r>
      <w:r w:rsidR="00BE3282">
        <w:t>-</w:t>
      </w:r>
      <w:r w:rsidRPr="002146E0">
        <w:t xml:space="preserve"> and Community-</w:t>
      </w:r>
      <w:r w:rsidR="00D72DCB">
        <w:t>L</w:t>
      </w:r>
      <w:r w:rsidRPr="002146E0">
        <w:t>evel Outcomes</w:t>
      </w:r>
      <w:r>
        <w:t xml:space="preserve"> </w:t>
      </w:r>
      <w:r w:rsidR="00047BEB">
        <w:t xml:space="preserve">Modules </w:t>
      </w:r>
      <w:r>
        <w:t>and Substitute Data Forms</w:t>
      </w:r>
      <w:r w:rsidRPr="002146E0">
        <w:t>.</w:t>
      </w:r>
      <w:r>
        <w:t xml:space="preserve"> These cross-site measures will provide process data regarding grantee progression through the SPF model, challenges and successes experienced during these steps, PDMP infrastructure building and </w:t>
      </w:r>
      <w:r w:rsidR="00D72DCB">
        <w:t>use</w:t>
      </w:r>
      <w:r>
        <w:t xml:space="preserve">, descriptive information about intervention implementation, </w:t>
      </w:r>
      <w:r w:rsidR="00C84341" w:rsidRPr="00C84341">
        <w:t>PDM</w:t>
      </w:r>
      <w:r>
        <w:t xml:space="preserve">-related outcomes, </w:t>
      </w:r>
      <w:r w:rsidR="00D72DCB">
        <w:t>training and technical assistance (</w:t>
      </w:r>
      <w:r>
        <w:t>T</w:t>
      </w:r>
      <w:r w:rsidR="00D72DCB">
        <w:t>/</w:t>
      </w:r>
      <w:r w:rsidRPr="00DF5194">
        <w:t>TA</w:t>
      </w:r>
      <w:r w:rsidR="00D72DCB">
        <w:t>)</w:t>
      </w:r>
      <w:r>
        <w:t xml:space="preserve"> </w:t>
      </w:r>
      <w:r w:rsidR="00D72DCB">
        <w:t xml:space="preserve">use </w:t>
      </w:r>
      <w:r>
        <w:t xml:space="preserve">and needs, and leveraging of funds. </w:t>
      </w:r>
      <w:r w:rsidRPr="002146E0">
        <w:t xml:space="preserve">This data collection will </w:t>
      </w:r>
      <w:r w:rsidR="00127D48">
        <w:t>emphasize</w:t>
      </w:r>
      <w:r w:rsidRPr="002146E0">
        <w:t xml:space="preserve"> the SPF-Rx impact on outcomes related to </w:t>
      </w:r>
      <w:r w:rsidR="00C84341" w:rsidRPr="00C84341">
        <w:t>PDM</w:t>
      </w:r>
      <w:r w:rsidRPr="002146E0">
        <w:t xml:space="preserve">, including the prevalence of </w:t>
      </w:r>
      <w:r w:rsidR="00C84341" w:rsidRPr="00C84341">
        <w:t>PDM</w:t>
      </w:r>
      <w:r w:rsidRPr="002146E0">
        <w:t xml:space="preserve"> and related consequences such as prescription drug poisonings and overdoses and capacity for and </w:t>
      </w:r>
      <w:r w:rsidR="00D72DCB">
        <w:t>use</w:t>
      </w:r>
      <w:r w:rsidR="00D72DCB" w:rsidRPr="002146E0">
        <w:t xml:space="preserve"> </w:t>
      </w:r>
      <w:r w:rsidRPr="002146E0">
        <w:t>of PDMP for monitoring prescriber behavior and prevention purposes.</w:t>
      </w:r>
      <w:r>
        <w:t xml:space="preserve"> </w:t>
      </w:r>
      <w:r w:rsidRPr="002146E0">
        <w:t xml:space="preserve">The emergence of </w:t>
      </w:r>
      <w:r w:rsidR="00C84341" w:rsidRPr="00C84341">
        <w:t>PDM</w:t>
      </w:r>
      <w:r w:rsidRPr="002146E0">
        <w:t xml:space="preserve"> as a serious public health issue provides a unique opportunity for the SPF-Rx cross</w:t>
      </w:r>
      <w:r w:rsidR="00127D48">
        <w:t>-</w:t>
      </w:r>
      <w:r w:rsidRPr="002146E0">
        <w:t xml:space="preserve">site evaluation to examine the implementation and effectiveness of prevention interventions developed to target this issue. </w:t>
      </w:r>
    </w:p>
    <w:p w14:paraId="13A780FE" w14:textId="24FFDBE9" w:rsidR="000D2F08" w:rsidRDefault="000D2F08" w:rsidP="000D2F08">
      <w:pPr>
        <w:pStyle w:val="BodyText"/>
      </w:pPr>
      <w:r>
        <w:t xml:space="preserve">The SPF-Rx cross-site evaluation and outcomes measurement are expected to have numerous program and policy implications and outcomes at the national, state, and community levels. They will provide valuable information to the prevention field about best practices in real world settings, along with providing guidance to governmental entities and communities as to what types of interventions should be funded and implemented to reduce PDM. Information and guidance about building PDMP capacity and </w:t>
      </w:r>
      <w:r w:rsidR="00D72DCB">
        <w:t xml:space="preserve">using </w:t>
      </w:r>
      <w:r>
        <w:t>the data for prevention efforts from the SPF-Rx cross</w:t>
      </w:r>
      <w:r w:rsidR="00127D48">
        <w:t>-</w:t>
      </w:r>
      <w:r>
        <w:t xml:space="preserve">site evaluation will allow the </w:t>
      </w:r>
      <w:r w:rsidR="00127D48">
        <w:t>F</w:t>
      </w:r>
      <w:r>
        <w:t xml:space="preserve">ederal government, state, tribes, jurisdictions, and local communities to use their resources </w:t>
      </w:r>
      <w:r w:rsidR="00127D48" w:rsidRPr="00127D48">
        <w:t xml:space="preserve">more effectively and efficiently </w:t>
      </w:r>
      <w:r>
        <w:t xml:space="preserve">and </w:t>
      </w:r>
      <w:r w:rsidR="00127D48">
        <w:t xml:space="preserve">to </w:t>
      </w:r>
      <w:r>
        <w:t>sustain future prevention efforts.</w:t>
      </w:r>
    </w:p>
    <w:p w14:paraId="20E887E3" w14:textId="6872C891" w:rsidR="000D2F08" w:rsidRPr="00D0463A" w:rsidRDefault="00376BDD" w:rsidP="00376BDD">
      <w:pPr>
        <w:pStyle w:val="Heading2"/>
      </w:pPr>
      <w:r>
        <w:lastRenderedPageBreak/>
        <w:t>A.2</w:t>
      </w:r>
      <w:r>
        <w:tab/>
      </w:r>
      <w:r w:rsidR="000D2F08" w:rsidRPr="00376BDD">
        <w:t>P</w:t>
      </w:r>
      <w:bookmarkStart w:id="5" w:name="lastplace_LJB"/>
      <w:bookmarkEnd w:id="5"/>
      <w:r w:rsidR="000D2F08" w:rsidRPr="00376BDD">
        <w:t>urpose</w:t>
      </w:r>
      <w:r w:rsidR="000D2F08" w:rsidRPr="00D0463A">
        <w:t xml:space="preserve"> and Use of Information</w:t>
      </w:r>
    </w:p>
    <w:p w14:paraId="13B1C20B" w14:textId="0EEEC0F7" w:rsidR="000D2F08" w:rsidRDefault="000D2F08" w:rsidP="000D2F08">
      <w:pPr>
        <w:pStyle w:val="BodyText"/>
      </w:pPr>
      <w:r>
        <w:t>T</w:t>
      </w:r>
      <w:r w:rsidRPr="008B0DF6">
        <w:t xml:space="preserve">he </w:t>
      </w:r>
      <w:r>
        <w:t xml:space="preserve">SPF-Rx </w:t>
      </w:r>
      <w:r w:rsidRPr="008B0DF6">
        <w:t xml:space="preserve">evaluation </w:t>
      </w:r>
      <w:r>
        <w:t>design and measures have been informed by current and previous cross-site evaluation efforts for SAMHSA, drawing</w:t>
      </w:r>
      <w:r w:rsidRPr="0061776D">
        <w:t xml:space="preserve"> heavily from lessons learned through </w:t>
      </w:r>
      <w:r w:rsidR="00A04337">
        <w:t xml:space="preserve">the </w:t>
      </w:r>
      <w:r>
        <w:t xml:space="preserve">currently OMB-approved </w:t>
      </w:r>
      <w:r w:rsidRPr="00DF5194">
        <w:t xml:space="preserve">SPF-PFS </w:t>
      </w:r>
      <w:r w:rsidRPr="0061776D">
        <w:t>evaluation</w:t>
      </w:r>
      <w:r>
        <w:t xml:space="preserve"> (OMB No. 0930-0348).</w:t>
      </w:r>
      <w:r w:rsidRPr="00D41DC6">
        <w:t xml:space="preserve"> </w:t>
      </w:r>
      <w:r>
        <w:t>For example, t</w:t>
      </w:r>
      <w:r w:rsidRPr="00D41DC6">
        <w:t xml:space="preserve">he variability across </w:t>
      </w:r>
      <w:r>
        <w:t>PFS</w:t>
      </w:r>
      <w:r w:rsidRPr="00D41DC6">
        <w:t xml:space="preserve"> grantees (which </w:t>
      </w:r>
      <w:r>
        <w:t>will also</w:t>
      </w:r>
      <w:r w:rsidRPr="00D41DC6">
        <w:t xml:space="preserve"> apply to </w:t>
      </w:r>
      <w:r>
        <w:t>SPF-Rx grantees</w:t>
      </w:r>
      <w:r w:rsidRPr="00D41DC6">
        <w:t xml:space="preserve">) posed one of the main challenges of evaluation. </w:t>
      </w:r>
      <w:r>
        <w:t>To minimize this challenge, t</w:t>
      </w:r>
      <w:r w:rsidRPr="00D41DC6">
        <w:t xml:space="preserve">he </w:t>
      </w:r>
      <w:r>
        <w:t>SPF-Rx</w:t>
      </w:r>
      <w:r w:rsidRPr="00D41DC6">
        <w:t xml:space="preserve"> evaluation will focus on assessing the dimensions of variability and </w:t>
      </w:r>
      <w:r w:rsidR="006C3398">
        <w:t xml:space="preserve">on </w:t>
      </w:r>
      <w:r w:rsidRPr="00D41DC6">
        <w:t xml:space="preserve">accounting for them in analysis (e.g., control variables in multivariate analysis, moderation analyses), which will allow </w:t>
      </w:r>
      <w:r>
        <w:t>for accurate description of grantees and characterization of impact.</w:t>
      </w:r>
      <w:r w:rsidRPr="0061776D">
        <w:t xml:space="preserve"> </w:t>
      </w:r>
      <w:r>
        <w:t>In addition, to take advantage of lessons learned in developing and implementing the SPF-PFS cross-site evaluation instruments, the SPF-Rx</w:t>
      </w:r>
      <w:r w:rsidRPr="00D41DC6">
        <w:t xml:space="preserve"> </w:t>
      </w:r>
      <w:r>
        <w:t xml:space="preserve">cross-site instrument development began with </w:t>
      </w:r>
      <w:r w:rsidR="00A04337">
        <w:t xml:space="preserve">revisions to </w:t>
      </w:r>
      <w:r>
        <w:t>the SPF-PFS versions of the Community</w:t>
      </w:r>
      <w:r w:rsidR="006C3398">
        <w:t>-</w:t>
      </w:r>
      <w:r>
        <w:t>Level Instrument</w:t>
      </w:r>
      <w:r w:rsidR="006C3398">
        <w:t>—</w:t>
      </w:r>
      <w:r>
        <w:t>Revised (</w:t>
      </w:r>
      <w:r w:rsidR="006C3398">
        <w:t>CLI</w:t>
      </w:r>
      <w:r w:rsidR="006C3398">
        <w:noBreakHyphen/>
        <w:t>R</w:t>
      </w:r>
      <w:r>
        <w:t>), PD Interview, Outcomes</w:t>
      </w:r>
      <w:r w:rsidR="006C3398">
        <w:t xml:space="preserve"> Module</w:t>
      </w:r>
      <w:r>
        <w:t xml:space="preserve">, and Substitute Data Request to develop the </w:t>
      </w:r>
      <w:r w:rsidRPr="00047BEB">
        <w:rPr>
          <w:iCs/>
        </w:rPr>
        <w:t xml:space="preserve">SPF-Rx </w:t>
      </w:r>
      <w:r w:rsidR="0069595E" w:rsidRPr="00047BEB">
        <w:rPr>
          <w:iCs/>
        </w:rPr>
        <w:t>AII</w:t>
      </w:r>
      <w:r w:rsidRPr="006C3398">
        <w:t xml:space="preserve">, SPF-Rx </w:t>
      </w:r>
      <w:r w:rsidRPr="00047BEB">
        <w:rPr>
          <w:iCs/>
        </w:rPr>
        <w:t>Grantee Interview, SPF-Rx Outcomes Modules, and SPF-Rx Substitute Data Request Form</w:t>
      </w:r>
      <w:r w:rsidRPr="00047BEB">
        <w:t xml:space="preserve">. Because all SPF-Rx grantees are also SPF-PFS grantees, we </w:t>
      </w:r>
      <w:r w:rsidR="006C3398" w:rsidRPr="00047BEB">
        <w:t xml:space="preserve">have </w:t>
      </w:r>
      <w:r w:rsidRPr="00047BEB">
        <w:t>reduce</w:t>
      </w:r>
      <w:r w:rsidR="006C3398" w:rsidRPr="00047BEB">
        <w:t>d</w:t>
      </w:r>
      <w:r w:rsidRPr="00047BEB">
        <w:t xml:space="preserve"> reporting burden where possible by eliminating overlapping items </w:t>
      </w:r>
      <w:r w:rsidR="006C3398" w:rsidRPr="00047BEB">
        <w:t xml:space="preserve">that </w:t>
      </w:r>
      <w:r w:rsidRPr="00047BEB">
        <w:t xml:space="preserve">can be abstracted from data collected through SPF-PFS and </w:t>
      </w:r>
      <w:r w:rsidR="006C3398" w:rsidRPr="00047BEB">
        <w:t xml:space="preserve">by </w:t>
      </w:r>
      <w:r w:rsidRPr="00047BEB">
        <w:t xml:space="preserve">streamlining items that were deemed unnecessary for cross-site evaluation purposes for the SPF-PFS project (especially items assessing constructs that appeared less influential on outcomes, </w:t>
      </w:r>
      <w:r w:rsidR="006C3398" w:rsidRPr="00047BEB">
        <w:t>such as</w:t>
      </w:r>
      <w:r w:rsidRPr="00047BEB">
        <w:t xml:space="preserve"> details on </w:t>
      </w:r>
      <w:r w:rsidR="00D72DCB" w:rsidRPr="00047BEB">
        <w:t>TA</w:t>
      </w:r>
      <w:r>
        <w:t xml:space="preserve"> received</w:t>
      </w:r>
      <w:r w:rsidRPr="0061776D">
        <w:t>) and items that are less relevant to the SPF</w:t>
      </w:r>
      <w:r>
        <w:t>-Rx</w:t>
      </w:r>
      <w:r w:rsidRPr="0061776D">
        <w:t xml:space="preserve"> program</w:t>
      </w:r>
      <w:r>
        <w:t xml:space="preserve"> (e.g., items assessing alcohol</w:t>
      </w:r>
      <w:r w:rsidR="006C3398">
        <w:t>-</w:t>
      </w:r>
      <w:r>
        <w:t>targeted outcomes for the SPF-PFS programs)</w:t>
      </w:r>
      <w:r w:rsidRPr="0061776D">
        <w:t>.</w:t>
      </w:r>
      <w:r>
        <w:t xml:space="preserve"> </w:t>
      </w:r>
    </w:p>
    <w:p w14:paraId="256DEAC7" w14:textId="2AEB4989" w:rsidR="000D2F08" w:rsidRDefault="000D2F08" w:rsidP="000D2F08">
      <w:pPr>
        <w:pStyle w:val="BodyText"/>
      </w:pPr>
      <w:r>
        <w:t>During the development</w:t>
      </w:r>
      <w:r w:rsidDel="005D1AEA">
        <w:t xml:space="preserve"> </w:t>
      </w:r>
      <w:r>
        <w:t xml:space="preserve">of all instruments, input was solicited from grantee-level SPF-Rx </w:t>
      </w:r>
      <w:r w:rsidR="0069595E">
        <w:t>PD</w:t>
      </w:r>
      <w:r w:rsidRPr="002146E0">
        <w:t xml:space="preserve">s and </w:t>
      </w:r>
      <w:r w:rsidR="0069595E">
        <w:t>Project E</w:t>
      </w:r>
      <w:r w:rsidRPr="002146E0">
        <w:t xml:space="preserve">valuators, SAMHSA, the </w:t>
      </w:r>
      <w:r w:rsidR="004014A9">
        <w:t>PEP</w:t>
      </w:r>
      <w:r w:rsidR="004014A9">
        <w:noBreakHyphen/>
        <w:t>C</w:t>
      </w:r>
      <w:r w:rsidRPr="002146E0">
        <w:t xml:space="preserve"> External Steering Committee (</w:t>
      </w:r>
      <w:r w:rsidRPr="00DF5194">
        <w:t>ESC</w:t>
      </w:r>
      <w:r w:rsidRPr="002146E0">
        <w:t xml:space="preserve">), and other </w:t>
      </w:r>
      <w:r>
        <w:t xml:space="preserve">experts and </w:t>
      </w:r>
      <w:r w:rsidRPr="002146E0">
        <w:t xml:space="preserve">stakeholders (see Exhibit </w:t>
      </w:r>
      <w:r w:rsidR="009A0E20">
        <w:t>9</w:t>
      </w:r>
      <w:r w:rsidR="006C3398">
        <w:t>,</w:t>
      </w:r>
      <w:r w:rsidRPr="002146E0">
        <w:t xml:space="preserve"> the statistical consultants list, and </w:t>
      </w:r>
      <w:r w:rsidR="001378EF" w:rsidRPr="009A0E20">
        <w:rPr>
          <w:b/>
          <w:i/>
        </w:rPr>
        <w:t>Section A.8</w:t>
      </w:r>
      <w:r w:rsidR="001378EF">
        <w:t xml:space="preserve"> for </w:t>
      </w:r>
      <w:r w:rsidRPr="002146E0">
        <w:t xml:space="preserve">consultation outside the agency). After careful review, revisions were made to streamline the instruments, reduce burden, decrease verbosity, increase variation in response options, </w:t>
      </w:r>
      <w:r>
        <w:t>make items more relevant to the prescription drug focus</w:t>
      </w:r>
      <w:r w:rsidR="006C3398">
        <w:t>,</w:t>
      </w:r>
      <w:r w:rsidRPr="002146E0">
        <w:t xml:space="preserve"> and </w:t>
      </w:r>
      <w:r>
        <w:t>remove cost items</w:t>
      </w:r>
      <w:r w:rsidRPr="002146E0">
        <w:t>.</w:t>
      </w:r>
      <w:r>
        <w:t xml:space="preserve"> </w:t>
      </w:r>
      <w:r w:rsidR="006C3398">
        <w:t>These c</w:t>
      </w:r>
      <w:r>
        <w:t>hanges reduced</w:t>
      </w:r>
      <w:r w:rsidR="006C3398">
        <w:t xml:space="preserve"> the number of</w:t>
      </w:r>
      <w:r>
        <w:t xml:space="preserve"> items by more than one-third from the original </w:t>
      </w:r>
      <w:r w:rsidR="006C3398">
        <w:t>CLI</w:t>
      </w:r>
      <w:r w:rsidR="006C3398">
        <w:noBreakHyphen/>
        <w:t>R</w:t>
      </w:r>
      <w:r>
        <w:t xml:space="preserve"> and simplified the items in many cases.</w:t>
      </w:r>
    </w:p>
    <w:p w14:paraId="04D4926A" w14:textId="2A1A251D" w:rsidR="000D2F08" w:rsidRPr="0044495C" w:rsidRDefault="000D2F08" w:rsidP="00376BDD">
      <w:pPr>
        <w:pStyle w:val="Heading3"/>
      </w:pPr>
      <w:r w:rsidRPr="0044495C">
        <w:t>SPF-</w:t>
      </w:r>
      <w:r>
        <w:t>Rx</w:t>
      </w:r>
      <w:r w:rsidRPr="0044495C">
        <w:t xml:space="preserve"> </w:t>
      </w:r>
      <w:r>
        <w:t>Management</w:t>
      </w:r>
      <w:r w:rsidRPr="0044495C">
        <w:t xml:space="preserve"> Reporting Tool</w:t>
      </w:r>
    </w:p>
    <w:p w14:paraId="6A018FDF" w14:textId="71DE6C42" w:rsidR="000D2F08" w:rsidRDefault="000D2F08" w:rsidP="000D2F08">
      <w:pPr>
        <w:pStyle w:val="BodyText"/>
        <w:rPr>
          <w:bCs/>
        </w:rPr>
      </w:pPr>
      <w:r>
        <w:rPr>
          <w:bCs/>
        </w:rPr>
        <w:t xml:space="preserve">SPF-Rx AII and </w:t>
      </w:r>
      <w:r w:rsidR="00B40746">
        <w:rPr>
          <w:bCs/>
        </w:rPr>
        <w:t>o</w:t>
      </w:r>
      <w:r>
        <w:rPr>
          <w:bCs/>
        </w:rPr>
        <w:t xml:space="preserve">utcomes </w:t>
      </w:r>
      <w:r w:rsidR="00B40746">
        <w:rPr>
          <w:bCs/>
        </w:rPr>
        <w:t>d</w:t>
      </w:r>
      <w:r>
        <w:rPr>
          <w:bCs/>
        </w:rPr>
        <w:t xml:space="preserve">ata will be collected in the </w:t>
      </w:r>
      <w:r w:rsidRPr="00ED23B3">
        <w:t>SPF-Rx MRT</w:t>
      </w:r>
      <w:r w:rsidRPr="00ED23B3">
        <w:rPr>
          <w:bCs/>
        </w:rPr>
        <w:t>.</w:t>
      </w:r>
      <w:r w:rsidRPr="00163CFF">
        <w:rPr>
          <w:bCs/>
        </w:rPr>
        <w:t xml:space="preserve"> </w:t>
      </w:r>
      <w:r>
        <w:rPr>
          <w:bCs/>
        </w:rPr>
        <w:t xml:space="preserve">The MRT is a </w:t>
      </w:r>
      <w:r w:rsidRPr="00163CFF">
        <w:rPr>
          <w:bCs/>
        </w:rPr>
        <w:t xml:space="preserve">web-based data collection system that </w:t>
      </w:r>
      <w:r>
        <w:rPr>
          <w:bCs/>
        </w:rPr>
        <w:t>will use</w:t>
      </w:r>
      <w:r w:rsidRPr="00163CFF">
        <w:rPr>
          <w:bCs/>
        </w:rPr>
        <w:t xml:space="preserve"> clickable radio buttons, checkboxes, drop-down choice items, and open-ended text boxes as relevant.</w:t>
      </w:r>
      <w:r>
        <w:rPr>
          <w:bCs/>
        </w:rPr>
        <w:t xml:space="preserve"> The MRT will also allow </w:t>
      </w:r>
      <w:r w:rsidRPr="00163CFF">
        <w:rPr>
          <w:bCs/>
        </w:rPr>
        <w:t>grantees to upload required documents requested by their Project Officers.</w:t>
      </w:r>
      <w:r>
        <w:rPr>
          <w:bCs/>
        </w:rPr>
        <w:t xml:space="preserve"> </w:t>
      </w:r>
    </w:p>
    <w:p w14:paraId="58F95406" w14:textId="088D229E" w:rsidR="000D2F08" w:rsidRPr="00972C8A" w:rsidRDefault="000D2F08" w:rsidP="000D2F08">
      <w:pPr>
        <w:pStyle w:val="BodyText"/>
      </w:pPr>
      <w:r w:rsidRPr="00972C8A">
        <w:t xml:space="preserve">After </w:t>
      </w:r>
      <w:r w:rsidR="00B40746">
        <w:t xml:space="preserve">users </w:t>
      </w:r>
      <w:r w:rsidRPr="00972C8A">
        <w:t xml:space="preserve">access </w:t>
      </w:r>
      <w:r>
        <w:t xml:space="preserve">the system, the </w:t>
      </w:r>
      <w:r w:rsidRPr="00972C8A">
        <w:t>MRT</w:t>
      </w:r>
      <w:r>
        <w:t xml:space="preserve"> will direct u</w:t>
      </w:r>
      <w:r w:rsidRPr="00972C8A">
        <w:t xml:space="preserve">sers to the Home page. The Home page </w:t>
      </w:r>
      <w:r>
        <w:t xml:space="preserve">will </w:t>
      </w:r>
      <w:r w:rsidRPr="00972C8A">
        <w:t>include the following standard functions on each page throughout the system:</w:t>
      </w:r>
    </w:p>
    <w:p w14:paraId="7019473D" w14:textId="3E4CA507" w:rsidR="000D2F08" w:rsidRDefault="00B40746" w:rsidP="0056688C">
      <w:pPr>
        <w:pStyle w:val="ListNumber"/>
        <w:numPr>
          <w:ilvl w:val="0"/>
          <w:numId w:val="14"/>
        </w:numPr>
      </w:pPr>
      <w:r>
        <w:t>Links</w:t>
      </w:r>
      <w:r w:rsidR="000D2F08">
        <w:t xml:space="preserve"> to the </w:t>
      </w:r>
      <w:r>
        <w:t>three</w:t>
      </w:r>
      <w:r w:rsidR="000D2F08">
        <w:t xml:space="preserve"> landing pages: Contact Information, Annual Implementation Instrument, and Outcome Data. The top navigation menu provides drop-downs </w:t>
      </w:r>
      <w:r>
        <w:t xml:space="preserve">that </w:t>
      </w:r>
      <w:r w:rsidR="000D2F08">
        <w:t>can be used to access pages directly from any other page.</w:t>
      </w:r>
    </w:p>
    <w:p w14:paraId="14CEDFEE" w14:textId="02FB76E0" w:rsidR="000D2F08" w:rsidRDefault="00B40746" w:rsidP="0056688C">
      <w:pPr>
        <w:pStyle w:val="ListNumber"/>
        <w:numPr>
          <w:ilvl w:val="0"/>
          <w:numId w:val="10"/>
        </w:numPr>
      </w:pPr>
      <w:r>
        <w:t xml:space="preserve">A </w:t>
      </w:r>
      <w:r w:rsidR="000D2F08">
        <w:t>breadcrumb trail</w:t>
      </w:r>
      <w:r>
        <w:t xml:space="preserve"> to</w:t>
      </w:r>
      <w:r w:rsidR="000D2F08">
        <w:t xml:space="preserve"> identify where users are in the system and </w:t>
      </w:r>
      <w:r>
        <w:t>allow them</w:t>
      </w:r>
      <w:r w:rsidR="000D2F08">
        <w:t xml:space="preserve"> to move backward to previous sections.</w:t>
      </w:r>
    </w:p>
    <w:p w14:paraId="1DC2D04A" w14:textId="77777777" w:rsidR="000D2F08" w:rsidRPr="008274C1" w:rsidRDefault="000D2F08" w:rsidP="00376BDD">
      <w:pPr>
        <w:pStyle w:val="Heading4"/>
      </w:pPr>
      <w:r>
        <w:t>Annual Implementation Instrument</w:t>
      </w:r>
    </w:p>
    <w:p w14:paraId="55BD7089" w14:textId="15475B29" w:rsidR="000D2F08" w:rsidRDefault="000D2F08" w:rsidP="000D2F08">
      <w:pPr>
        <w:pStyle w:val="BodyText"/>
      </w:pPr>
      <w:r>
        <w:t xml:space="preserve">The </w:t>
      </w:r>
      <w:r w:rsidR="00B40746" w:rsidRPr="00B40746">
        <w:rPr>
          <w:iCs/>
        </w:rPr>
        <w:t>AII</w:t>
      </w:r>
      <w:r>
        <w:t xml:space="preserve"> is a web-based survey designed to be completed by grantees and </w:t>
      </w:r>
      <w:proofErr w:type="spellStart"/>
      <w:r>
        <w:t>subrecipient</w:t>
      </w:r>
      <w:proofErr w:type="spellEnd"/>
      <w:r>
        <w:t xml:space="preserve"> community </w:t>
      </w:r>
      <w:r w:rsidR="0069595E">
        <w:t>PD</w:t>
      </w:r>
      <w:r>
        <w:t xml:space="preserve">s. Data collected from the survey will be used to monitor </w:t>
      </w:r>
      <w:proofErr w:type="spellStart"/>
      <w:r>
        <w:t>subrecipient</w:t>
      </w:r>
      <w:proofErr w:type="spellEnd"/>
      <w:r>
        <w:t xml:space="preserve"> and state, tribal entity, or jurisdiction performance and </w:t>
      </w:r>
      <w:r w:rsidR="00B40746">
        <w:t xml:space="preserve">to </w:t>
      </w:r>
      <w:r>
        <w:t xml:space="preserve">evaluate the effectiveness of the SPF-Rx program across states, tribal entities, and jurisdictions. Both </w:t>
      </w:r>
      <w:r w:rsidR="00D72DCB">
        <w:t>g</w:t>
      </w:r>
      <w:r>
        <w:t xml:space="preserve">rantees and </w:t>
      </w:r>
      <w:proofErr w:type="spellStart"/>
      <w:r w:rsidR="00D72DCB">
        <w:t>s</w:t>
      </w:r>
      <w:r>
        <w:t>ubrecipients</w:t>
      </w:r>
      <w:proofErr w:type="spellEnd"/>
      <w:r>
        <w:t xml:space="preserve"> will answer questions on prevention interventions that </w:t>
      </w:r>
      <w:r w:rsidR="00B40746">
        <w:t xml:space="preserve">they have </w:t>
      </w:r>
      <w:r>
        <w:t xml:space="preserve">implemented. However, </w:t>
      </w:r>
      <w:proofErr w:type="spellStart"/>
      <w:r w:rsidR="00D72DCB">
        <w:t>sub</w:t>
      </w:r>
      <w:r w:rsidR="00D72DCB" w:rsidRPr="007A6D46">
        <w:t>recipients</w:t>
      </w:r>
      <w:proofErr w:type="spellEnd"/>
      <w:r w:rsidR="00D72DCB" w:rsidRPr="007A6D46">
        <w:t xml:space="preserve"> </w:t>
      </w:r>
      <w:r>
        <w:t xml:space="preserve">will also answer questions on their progress through the SPF </w:t>
      </w:r>
      <w:r>
        <w:lastRenderedPageBreak/>
        <w:t xml:space="preserve">steps, </w:t>
      </w:r>
      <w:r w:rsidRPr="007A6D46">
        <w:t xml:space="preserve">prevention capacity, </w:t>
      </w:r>
      <w:r>
        <w:t>and related funding measures</w:t>
      </w:r>
      <w:r w:rsidRPr="007A6D46">
        <w:t>.</w:t>
      </w:r>
      <w:r>
        <w:t xml:space="preserve"> The </w:t>
      </w:r>
      <w:r w:rsidR="0069595E">
        <w:t>AII</w:t>
      </w:r>
      <w:r>
        <w:t xml:space="preserve"> will provide process data related to</w:t>
      </w:r>
      <w:r w:rsidRPr="003420B1">
        <w:t xml:space="preserve"> leveraging of funding, organizational capacity, collaboration with community partners, data infrastructure, planned intervention targets, intervention implementation (categorization, costs, timing, dosage, and reach), evaluation, contextual factors, </w:t>
      </w:r>
      <w:r w:rsidR="00D72DCB">
        <w:t>T/TA</w:t>
      </w:r>
      <w:r w:rsidRPr="003420B1">
        <w:t xml:space="preserve"> needs, and sustainability</w:t>
      </w:r>
      <w:r>
        <w:t xml:space="preserve">. The </w:t>
      </w:r>
      <w:r>
        <w:rPr>
          <w:i/>
          <w:iCs/>
        </w:rPr>
        <w:t>tool</w:t>
      </w:r>
      <w:r>
        <w:t xml:space="preserve"> will be collected annually; however, not all </w:t>
      </w:r>
      <w:r w:rsidRPr="00C73EB1">
        <w:rPr>
          <w:i/>
        </w:rPr>
        <w:t>questions</w:t>
      </w:r>
      <w:r>
        <w:t xml:space="preserve"> will be answered every tim</w:t>
      </w:r>
      <w:r w:rsidRPr="000E5A2D">
        <w:t xml:space="preserve">e. For </w:t>
      </w:r>
      <w:r w:rsidRPr="00C73EB1">
        <w:t xml:space="preserve">instance, SPF-Rx grantees </w:t>
      </w:r>
      <w:r w:rsidR="00B40746" w:rsidRPr="00C73EB1">
        <w:t xml:space="preserve">and </w:t>
      </w:r>
      <w:proofErr w:type="spellStart"/>
      <w:r w:rsidRPr="00C73EB1">
        <w:t>subrecipients</w:t>
      </w:r>
      <w:proofErr w:type="spellEnd"/>
      <w:r w:rsidRPr="00C73EB1">
        <w:t xml:space="preserve"> will respond to items related to their targeted populations and outcomes only at baseline </w:t>
      </w:r>
      <w:r w:rsidR="00B40746" w:rsidRPr="00C73EB1">
        <w:t>unless</w:t>
      </w:r>
      <w:r w:rsidRPr="00C73EB1">
        <w:t xml:space="preserve"> there are changes</w:t>
      </w:r>
      <w:r w:rsidR="00B40746" w:rsidRPr="00C73EB1">
        <w:t>,</w:t>
      </w:r>
      <w:r w:rsidRPr="00C73EB1">
        <w:t xml:space="preserve"> whereas they will respond to intervention implementation items annual</w:t>
      </w:r>
      <w:r w:rsidR="00B40746" w:rsidRPr="00C73EB1">
        <w:t>ly</w:t>
      </w:r>
      <w:r w:rsidRPr="00C73EB1">
        <w:t xml:space="preserve"> </w:t>
      </w:r>
      <w:r w:rsidR="00C73EB1" w:rsidRPr="00C73EB1">
        <w:t>(see Exhibit 1</w:t>
      </w:r>
      <w:r w:rsidRPr="00C73EB1">
        <w:t xml:space="preserve"> for timing of data collection of various items). </w:t>
      </w:r>
      <w:r w:rsidR="00B40746" w:rsidRPr="00C73EB1">
        <w:t>Repeated</w:t>
      </w:r>
      <w:r w:rsidRPr="00C73EB1">
        <w:t xml:space="preserve"> collection of these data is needed to (1)</w:t>
      </w:r>
      <w:r w:rsidR="00B40746" w:rsidRPr="00C73EB1">
        <w:t> </w:t>
      </w:r>
      <w:r w:rsidRPr="00C73EB1">
        <w:t xml:space="preserve">track the grantees’ and </w:t>
      </w:r>
      <w:proofErr w:type="spellStart"/>
      <w:r w:rsidRPr="00C73EB1">
        <w:t>subrecipients</w:t>
      </w:r>
      <w:proofErr w:type="spellEnd"/>
      <w:r w:rsidRPr="00C73EB1">
        <w:t>’ progress and change over time</w:t>
      </w:r>
      <w:r w:rsidR="00B40746" w:rsidRPr="00C73EB1">
        <w:t>.</w:t>
      </w:r>
      <w:r w:rsidRPr="00C73EB1">
        <w:t xml:space="preserve"> (2) </w:t>
      </w:r>
      <w:proofErr w:type="gramStart"/>
      <w:r w:rsidRPr="00C73EB1">
        <w:t>allow</w:t>
      </w:r>
      <w:proofErr w:type="gramEnd"/>
      <w:r w:rsidRPr="00C73EB1">
        <w:t xml:space="preserve"> SAMHSA and the grantees to monitor performance and ongoing implementation</w:t>
      </w:r>
      <w:r w:rsidR="00B40746" w:rsidRPr="00C73EB1">
        <w:t>,</w:t>
      </w:r>
      <w:r w:rsidRPr="00C73EB1">
        <w:t xml:space="preserve"> and (3) meet new requirements regarding identifying and reducing disparities.</w:t>
      </w:r>
      <w:r>
        <w:t xml:space="preserve"> </w:t>
      </w:r>
    </w:p>
    <w:p w14:paraId="5F9326D0" w14:textId="0C48304B" w:rsidR="000D2F08" w:rsidRPr="00B46F07" w:rsidRDefault="000D2F08" w:rsidP="000D2F08">
      <w:pPr>
        <w:pStyle w:val="BodyText"/>
      </w:pPr>
      <w:r>
        <w:t xml:space="preserve">To minimize burden on the </w:t>
      </w:r>
      <w:proofErr w:type="spellStart"/>
      <w:r>
        <w:t>subrecipient</w:t>
      </w:r>
      <w:proofErr w:type="spellEnd"/>
      <w:r>
        <w:t xml:space="preserve"> respondents, all reporting for the </w:t>
      </w:r>
      <w:r w:rsidR="00B40746" w:rsidRPr="00B40746">
        <w:rPr>
          <w:iCs/>
        </w:rPr>
        <w:t>AII</w:t>
      </w:r>
      <w:r>
        <w:t xml:space="preserve"> will be done in a web-based entry form</w:t>
      </w:r>
      <w:r w:rsidR="00B40746">
        <w:t>;</w:t>
      </w:r>
      <w:r>
        <w:t xml:space="preserve"> at each data collection point</w:t>
      </w:r>
      <w:r w:rsidR="00B40746">
        <w:t>,</w:t>
      </w:r>
      <w:r>
        <w:t xml:space="preserve"> only the questions that are required at that time will appear. Responses will also generate skip patterns for later questions in the instrument, where the grantees</w:t>
      </w:r>
      <w:r w:rsidR="00B40746">
        <w:t xml:space="preserve"> and </w:t>
      </w:r>
      <w:proofErr w:type="spellStart"/>
      <w:r>
        <w:t>subrecipients</w:t>
      </w:r>
      <w:proofErr w:type="spellEnd"/>
      <w:r>
        <w:t xml:space="preserve"> complete </w:t>
      </w:r>
      <w:r w:rsidR="00B40746" w:rsidRPr="00B40746">
        <w:t xml:space="preserve">only </w:t>
      </w:r>
      <w:r>
        <w:t>relevant sets of questions and do not see others. For example, when reporting on their interventions, their reported CSAP strategy type of the intervention later leads respondents to see the questions for that CSAP strategy type sub-form (e.g.</w:t>
      </w:r>
      <w:r w:rsidR="00B40746">
        <w:t>,</w:t>
      </w:r>
      <w:r>
        <w:t xml:space="preserve"> prevention education or environmental strategy)</w:t>
      </w:r>
      <w:r w:rsidR="00B40746">
        <w:t>; they will</w:t>
      </w:r>
      <w:r>
        <w:t xml:space="preserve"> not see the other </w:t>
      </w:r>
      <w:r w:rsidRPr="00C37735">
        <w:t>sub-forms</w:t>
      </w:r>
      <w:r>
        <w:t xml:space="preserve"> at all, unless they need to fill them out for another reported intervention. In addition, once completed initially, many items will be automatically </w:t>
      </w:r>
      <w:r w:rsidR="0069595E">
        <w:t>pre</w:t>
      </w:r>
      <w:r>
        <w:t xml:space="preserve">populated on later </w:t>
      </w:r>
      <w:r w:rsidR="00B40746" w:rsidRPr="00B40746">
        <w:rPr>
          <w:iCs/>
        </w:rPr>
        <w:t>AII</w:t>
      </w:r>
      <w:r>
        <w:t xml:space="preserve"> administrations. </w:t>
      </w:r>
      <w:r w:rsidR="00B40746">
        <w:t xml:space="preserve">Respondents </w:t>
      </w:r>
      <w:r>
        <w:t xml:space="preserve">can keep those </w:t>
      </w:r>
      <w:r w:rsidR="0069595E">
        <w:t>pre</w:t>
      </w:r>
      <w:r>
        <w:t>populated responses intact or change the</w:t>
      </w:r>
      <w:r w:rsidR="00B40746">
        <w:t>ir answers</w:t>
      </w:r>
      <w:r>
        <w:t xml:space="preserve"> as relevant. For example, once </w:t>
      </w:r>
      <w:r w:rsidR="00B40746">
        <w:t>they</w:t>
      </w:r>
      <w:r>
        <w:t xml:space="preserve"> provide information about the typology and targets of their interventions, in the future they will see their prior responses and </w:t>
      </w:r>
      <w:r w:rsidR="00B40746">
        <w:t xml:space="preserve">will </w:t>
      </w:r>
      <w:r>
        <w:t xml:space="preserve">not need to respond to those items unless their responses </w:t>
      </w:r>
      <w:r w:rsidR="00B40746">
        <w:t xml:space="preserve">have </w:t>
      </w:r>
      <w:r>
        <w:t>change</w:t>
      </w:r>
      <w:r w:rsidR="00B40746">
        <w:t>d</w:t>
      </w:r>
      <w:r>
        <w:t>.</w:t>
      </w:r>
    </w:p>
    <w:p w14:paraId="2B44DABF" w14:textId="61EC7995" w:rsidR="000D2F08" w:rsidRDefault="000D2F08" w:rsidP="000D2F08">
      <w:pPr>
        <w:pStyle w:val="BodyText"/>
      </w:pPr>
      <w:r>
        <w:t xml:space="preserve">As described above, the items on the </w:t>
      </w:r>
      <w:r w:rsidR="00B40746" w:rsidRPr="00B40746">
        <w:rPr>
          <w:iCs/>
        </w:rPr>
        <w:t>AII</w:t>
      </w:r>
      <w:r>
        <w:t xml:space="preserve"> were adapted from the previous OMB-approved </w:t>
      </w:r>
      <w:r w:rsidR="006C3398">
        <w:t>CLI</w:t>
      </w:r>
      <w:r w:rsidR="006C3398">
        <w:noBreakHyphen/>
        <w:t>R</w:t>
      </w:r>
      <w:r>
        <w:t xml:space="preserve"> </w:t>
      </w:r>
      <w:r w:rsidRPr="00247DDE">
        <w:t>used for the SPF</w:t>
      </w:r>
      <w:r w:rsidR="00D72DCB">
        <w:t>-</w:t>
      </w:r>
      <w:r>
        <w:t>PFS</w:t>
      </w:r>
      <w:r w:rsidRPr="00247DDE">
        <w:t xml:space="preserve"> evaluation (OMB No. </w:t>
      </w:r>
      <w:r>
        <w:t>0930-0348</w:t>
      </w:r>
      <w:r w:rsidRPr="00247DDE">
        <w:t>)</w:t>
      </w:r>
      <w:r>
        <w:t xml:space="preserve">. The </w:t>
      </w:r>
      <w:r w:rsidR="00B40746" w:rsidRPr="00B40746">
        <w:rPr>
          <w:iCs/>
        </w:rPr>
        <w:t>AII</w:t>
      </w:r>
      <w:r>
        <w:t xml:space="preserve"> was developed with substantial input from grantee-level SPF-Rx evaluators, SAMHSA, the </w:t>
      </w:r>
      <w:r w:rsidR="004014A9">
        <w:t>PEP</w:t>
      </w:r>
      <w:r w:rsidR="004014A9">
        <w:noBreakHyphen/>
        <w:t>C</w:t>
      </w:r>
      <w:r>
        <w:t xml:space="preserve"> ESC, and other stakeholders (</w:t>
      </w:r>
      <w:r w:rsidR="006C3398" w:rsidRPr="006C3398">
        <w:t xml:space="preserve">see Exhibit </w:t>
      </w:r>
      <w:r w:rsidR="009A0E20">
        <w:t>9</w:t>
      </w:r>
      <w:r w:rsidR="006C3398" w:rsidRPr="006C3398">
        <w:t xml:space="preserve">, the statistical consultants list, and </w:t>
      </w:r>
      <w:r w:rsidR="00C73EB1" w:rsidRPr="009A0E20">
        <w:rPr>
          <w:b/>
          <w:i/>
        </w:rPr>
        <w:t>Section A.8</w:t>
      </w:r>
      <w:r w:rsidR="006C3398" w:rsidRPr="006C3398">
        <w:t>, consultation outside the agency</w:t>
      </w:r>
      <w:r>
        <w:t xml:space="preserve">). </w:t>
      </w:r>
      <w:r w:rsidR="0098369A">
        <w:t xml:space="preserve">Although </w:t>
      </w:r>
      <w:r w:rsidRPr="003420B1">
        <w:t xml:space="preserve">items on </w:t>
      </w:r>
      <w:r>
        <w:t>cultural competency and detailed cost data</w:t>
      </w:r>
      <w:r w:rsidR="0098369A">
        <w:t xml:space="preserve"> have been removed</w:t>
      </w:r>
      <w:r w:rsidRPr="003420B1">
        <w:t xml:space="preserve">, the </w:t>
      </w:r>
      <w:r w:rsidR="00B40746" w:rsidRPr="00B40746">
        <w:rPr>
          <w:iCs/>
        </w:rPr>
        <w:t>AII</w:t>
      </w:r>
      <w:r>
        <w:t xml:space="preserve"> </w:t>
      </w:r>
      <w:r w:rsidRPr="003420B1">
        <w:t>retain</w:t>
      </w:r>
      <w:r>
        <w:t>s</w:t>
      </w:r>
      <w:r w:rsidRPr="003420B1">
        <w:t xml:space="preserve"> or revise</w:t>
      </w:r>
      <w:r>
        <w:t>s</w:t>
      </w:r>
      <w:r w:rsidRPr="003420B1">
        <w:t xml:space="preserve"> items related to use of data</w:t>
      </w:r>
      <w:r w:rsidR="0098369A">
        <w:t>;</w:t>
      </w:r>
      <w:r w:rsidRPr="003420B1">
        <w:t xml:space="preserve"> planned intervention targets</w:t>
      </w:r>
      <w:r w:rsidR="0098369A">
        <w:t>;</w:t>
      </w:r>
      <w:r w:rsidRPr="003420B1">
        <w:t xml:space="preserve"> community awareness activities</w:t>
      </w:r>
      <w:r w:rsidR="0098369A">
        <w:t>;</w:t>
      </w:r>
      <w:r w:rsidRPr="003420B1">
        <w:t xml:space="preserve"> data infrastructure</w:t>
      </w:r>
      <w:r w:rsidR="0098369A">
        <w:t>;</w:t>
      </w:r>
      <w:r w:rsidRPr="003420B1">
        <w:t xml:space="preserve"> evaluation</w:t>
      </w:r>
      <w:r w:rsidR="0098369A">
        <w:t>;</w:t>
      </w:r>
      <w:r w:rsidRPr="003420B1">
        <w:t xml:space="preserve"> contextual factors</w:t>
      </w:r>
      <w:r w:rsidR="0098369A">
        <w:t>;</w:t>
      </w:r>
      <w:r w:rsidRPr="003420B1">
        <w:t xml:space="preserve"> sustainability</w:t>
      </w:r>
      <w:r w:rsidR="0098369A">
        <w:t>;</w:t>
      </w:r>
      <w:r w:rsidRPr="003420B1">
        <w:t xml:space="preserve"> </w:t>
      </w:r>
      <w:r w:rsidR="0098369A">
        <w:t>and</w:t>
      </w:r>
      <w:r w:rsidRPr="003420B1">
        <w:t xml:space="preserve"> intervention implementation items related to categorization of implemented interventions, timing, dosage, and reach.</w:t>
      </w:r>
      <w:r>
        <w:t xml:space="preserve"> </w:t>
      </w:r>
      <w:r w:rsidRPr="003420B1">
        <w:t xml:space="preserve">The </w:t>
      </w:r>
      <w:r w:rsidR="00B40746" w:rsidRPr="00B40746">
        <w:rPr>
          <w:iCs/>
        </w:rPr>
        <w:t>AII</w:t>
      </w:r>
      <w:r>
        <w:t xml:space="preserve"> </w:t>
      </w:r>
      <w:r w:rsidRPr="003420B1">
        <w:t xml:space="preserve">also includes new items </w:t>
      </w:r>
      <w:r>
        <w:t>that address SPF-Rx</w:t>
      </w:r>
      <w:r w:rsidRPr="003420B1">
        <w:t xml:space="preserve"> cross-site priorities, such as access to</w:t>
      </w:r>
      <w:r>
        <w:t xml:space="preserve"> and use of </w:t>
      </w:r>
      <w:r w:rsidRPr="003420B1">
        <w:t xml:space="preserve">relevant </w:t>
      </w:r>
      <w:r w:rsidR="00C84341" w:rsidRPr="00C84341">
        <w:t>PDM</w:t>
      </w:r>
      <w:r>
        <w:t xml:space="preserve"> </w:t>
      </w:r>
      <w:r w:rsidRPr="003420B1">
        <w:t>data sources</w:t>
      </w:r>
      <w:r>
        <w:t xml:space="preserve"> such as PDMP data</w:t>
      </w:r>
      <w:r w:rsidRPr="003420B1">
        <w:t xml:space="preserve">. </w:t>
      </w:r>
    </w:p>
    <w:p w14:paraId="0B889B6B" w14:textId="773F7522" w:rsidR="000D2F08" w:rsidRDefault="000D2F08" w:rsidP="000D2F08">
      <w:pPr>
        <w:pStyle w:val="BodyText"/>
      </w:pPr>
      <w:r>
        <w:t xml:space="preserve">All efforts have been made to minimize respondent burden </w:t>
      </w:r>
      <w:r w:rsidR="0098369A">
        <w:t>yet</w:t>
      </w:r>
      <w:r>
        <w:t xml:space="preserve"> retain the essential information needed to answer the </w:t>
      </w:r>
      <w:r w:rsidR="0098369A" w:rsidRPr="0098369A">
        <w:t>evaluation questions (</w:t>
      </w:r>
      <w:r w:rsidRPr="00DF5194">
        <w:t>EQs</w:t>
      </w:r>
      <w:r w:rsidR="0098369A">
        <w:t>)</w:t>
      </w:r>
      <w:r>
        <w:t>. This</w:t>
      </w:r>
      <w:r w:rsidR="0098369A">
        <w:t xml:space="preserve"> effort</w:t>
      </w:r>
      <w:r>
        <w:t xml:space="preserve"> is evident when comparing the estimated burden for the </w:t>
      </w:r>
      <w:r w:rsidR="006C3398" w:rsidRPr="00C73EB1">
        <w:rPr>
          <w:iCs/>
        </w:rPr>
        <w:t>CLI</w:t>
      </w:r>
      <w:r w:rsidR="006C3398" w:rsidRPr="00C73EB1">
        <w:rPr>
          <w:iCs/>
        </w:rPr>
        <w:noBreakHyphen/>
        <w:t>R</w:t>
      </w:r>
      <w:r w:rsidRPr="0098369A">
        <w:t xml:space="preserve"> </w:t>
      </w:r>
      <w:r>
        <w:t xml:space="preserve">to the estimated burden for the current SPF-Rx </w:t>
      </w:r>
      <w:r w:rsidR="0069595E">
        <w:t>AII</w:t>
      </w:r>
      <w:r>
        <w:t xml:space="preserve">: the </w:t>
      </w:r>
      <w:r w:rsidR="006C3398">
        <w:t>CLI</w:t>
      </w:r>
      <w:r w:rsidR="006C3398">
        <w:noBreakHyphen/>
        <w:t>R</w:t>
      </w:r>
      <w:r>
        <w:t xml:space="preserve"> burden estimate was 2.6 hours, and the SPF-Rx </w:t>
      </w:r>
      <w:r w:rsidR="00B40746" w:rsidRPr="00B40746">
        <w:rPr>
          <w:iCs/>
        </w:rPr>
        <w:t>AII</w:t>
      </w:r>
      <w:r>
        <w:t xml:space="preserve"> burden estimate is 2.3 hours. </w:t>
      </w:r>
    </w:p>
    <w:p w14:paraId="12BF1D08" w14:textId="77777777" w:rsidR="000D2F08" w:rsidRPr="00B310AA" w:rsidRDefault="000D2F08" w:rsidP="00376BDD">
      <w:pPr>
        <w:pStyle w:val="Heading4"/>
      </w:pPr>
      <w:r>
        <w:t xml:space="preserve">Grantee </w:t>
      </w:r>
      <w:r w:rsidRPr="00B310AA">
        <w:t>Interview</w:t>
      </w:r>
    </w:p>
    <w:p w14:paraId="48C9887C" w14:textId="4C0909B7" w:rsidR="000D2F08" w:rsidRDefault="000D2F08" w:rsidP="000D2F08">
      <w:pPr>
        <w:pStyle w:val="BodyText"/>
      </w:pPr>
      <w:r>
        <w:t xml:space="preserve">The </w:t>
      </w:r>
      <w:r w:rsidR="00BE3282" w:rsidRPr="00BE3282">
        <w:rPr>
          <w:iCs/>
        </w:rPr>
        <w:t>Grantee Interview</w:t>
      </w:r>
      <w:r>
        <w:t xml:space="preserve"> is a </w:t>
      </w:r>
      <w:r w:rsidR="006F4352">
        <w:t>semi structured</w:t>
      </w:r>
      <w:r>
        <w:t xml:space="preserve"> telephone interview with grantee staff designed to collect</w:t>
      </w:r>
      <w:r w:rsidRPr="007A6D46">
        <w:t xml:space="preserve"> more in-depth information on </w:t>
      </w:r>
      <w:r>
        <w:t xml:space="preserve">organizational infrastructure, use of PDMP data, </w:t>
      </w:r>
      <w:r w:rsidRPr="00E74251">
        <w:t>collaboration,</w:t>
      </w:r>
      <w:r>
        <w:t xml:space="preserve"> </w:t>
      </w:r>
      <w:r w:rsidRPr="00E74251">
        <w:t>leveraging of funds</w:t>
      </w:r>
      <w:r>
        <w:t xml:space="preserve"> and resources</w:t>
      </w:r>
      <w:r w:rsidRPr="00E74251">
        <w:t xml:space="preserve">, </w:t>
      </w:r>
      <w:proofErr w:type="spellStart"/>
      <w:r w:rsidRPr="00E74251">
        <w:t>subrecipient</w:t>
      </w:r>
      <w:proofErr w:type="spellEnd"/>
      <w:r w:rsidRPr="00E74251">
        <w:t xml:space="preserve"> selection, criteria for intervention selection, processes to </w:t>
      </w:r>
      <w:r w:rsidR="00BE3282">
        <w:t>decrease</w:t>
      </w:r>
      <w:r w:rsidR="00BE3282" w:rsidRPr="00E74251">
        <w:t xml:space="preserve"> </w:t>
      </w:r>
      <w:r w:rsidRPr="00E74251">
        <w:t xml:space="preserve">health disparities, and </w:t>
      </w:r>
      <w:r>
        <w:t xml:space="preserve">evaluation activities. The </w:t>
      </w:r>
      <w:r w:rsidR="00BE3282" w:rsidRPr="00BE3282">
        <w:rPr>
          <w:iCs/>
        </w:rPr>
        <w:t>Grantee Interview</w:t>
      </w:r>
      <w:r>
        <w:t xml:space="preserve"> will be </w:t>
      </w:r>
      <w:r w:rsidR="00BE3282">
        <w:t xml:space="preserve">conducted </w:t>
      </w:r>
      <w:r>
        <w:t>at the beginning of the grant and in the third and final years of the grant; collecting baseline and follow-up data is necessary to assess the grantees’ progress and change over the course of the grant.</w:t>
      </w:r>
      <w:r w:rsidRPr="00D8041C">
        <w:t xml:space="preserve"> </w:t>
      </w:r>
      <w:r>
        <w:t xml:space="preserve">Depending on the timing of OMB approval and implementation of the interview, the baseline data collection may require grantees to provide retrospective information (e.g., the SPF-Rx grantees will likely be at the beginning of their </w:t>
      </w:r>
      <w:r>
        <w:lastRenderedPageBreak/>
        <w:t xml:space="preserve">second year of their grants when they provide their baseline responses). </w:t>
      </w:r>
      <w:r w:rsidR="0094123B">
        <w:t xml:space="preserve">Thus, data will be collected </w:t>
      </w:r>
      <w:r w:rsidR="00EC43C0">
        <w:t>at baseline (typically year 2), year 3, and the final year (typically year 5)</w:t>
      </w:r>
      <w:r w:rsidR="0094123B">
        <w:t xml:space="preserve"> for SPF-Rx grantees.</w:t>
      </w:r>
    </w:p>
    <w:p w14:paraId="7685C8F2" w14:textId="69048697" w:rsidR="000D2F08" w:rsidRDefault="000D2F08" w:rsidP="000D2F08">
      <w:pPr>
        <w:pStyle w:val="BodyText"/>
        <w:rPr>
          <w:rFonts w:asciiTheme="majorBidi" w:hAnsiTheme="majorBidi" w:cstheme="majorBidi"/>
        </w:rPr>
      </w:pPr>
      <w:r w:rsidRPr="003D5F19">
        <w:rPr>
          <w:rFonts w:asciiTheme="majorBidi" w:hAnsiTheme="majorBidi" w:cstheme="majorBidi"/>
        </w:rPr>
        <w:t xml:space="preserve">The </w:t>
      </w:r>
      <w:r w:rsidR="004014A9">
        <w:rPr>
          <w:rFonts w:asciiTheme="majorBidi" w:hAnsiTheme="majorBidi" w:cstheme="majorBidi"/>
        </w:rPr>
        <w:t>PEP</w:t>
      </w:r>
      <w:r w:rsidR="004014A9">
        <w:rPr>
          <w:rFonts w:asciiTheme="majorBidi" w:hAnsiTheme="majorBidi" w:cstheme="majorBidi"/>
        </w:rPr>
        <w:noBreakHyphen/>
        <w:t>C</w:t>
      </w:r>
      <w:r w:rsidRPr="003D5F19">
        <w:rPr>
          <w:rFonts w:asciiTheme="majorBidi" w:hAnsiTheme="majorBidi" w:cstheme="majorBidi"/>
        </w:rPr>
        <w:t xml:space="preserve"> contractor’s prior experience as </w:t>
      </w:r>
      <w:r w:rsidR="00BE3282" w:rsidRPr="003D5F19">
        <w:rPr>
          <w:rFonts w:asciiTheme="majorBidi" w:hAnsiTheme="majorBidi" w:cstheme="majorBidi"/>
        </w:rPr>
        <w:t>state</w:t>
      </w:r>
      <w:r w:rsidRPr="003D5F19">
        <w:rPr>
          <w:rFonts w:asciiTheme="majorBidi" w:hAnsiTheme="majorBidi" w:cstheme="majorBidi"/>
        </w:rPr>
        <w:t xml:space="preserve">-level SPF SIG evaluators and national cross-site evaluators for SPF-PFS demonstrated the utility of more in-depth interviews with </w:t>
      </w:r>
      <w:r w:rsidR="00D72DCB" w:rsidRPr="003D5F19">
        <w:rPr>
          <w:rFonts w:asciiTheme="majorBidi" w:hAnsiTheme="majorBidi" w:cstheme="majorBidi"/>
        </w:rPr>
        <w:t xml:space="preserve">grantee </w:t>
      </w:r>
      <w:r w:rsidRPr="003D5F19">
        <w:rPr>
          <w:rFonts w:asciiTheme="majorBidi" w:hAnsiTheme="majorBidi" w:cstheme="majorBidi"/>
        </w:rPr>
        <w:t xml:space="preserve">staff. </w:t>
      </w:r>
      <w:proofErr w:type="gramStart"/>
      <w:r w:rsidRPr="003D5F19">
        <w:rPr>
          <w:rFonts w:asciiTheme="majorBidi" w:hAnsiTheme="majorBidi" w:cstheme="majorBidi"/>
        </w:rPr>
        <w:t>The SPF</w:t>
      </w:r>
      <w:r w:rsidR="00D72DCB">
        <w:rPr>
          <w:rFonts w:asciiTheme="majorBidi" w:hAnsiTheme="majorBidi" w:cstheme="majorBidi"/>
        </w:rPr>
        <w:t>-</w:t>
      </w:r>
      <w:r w:rsidRPr="003D5F19">
        <w:rPr>
          <w:rFonts w:asciiTheme="majorBidi" w:hAnsiTheme="majorBidi" w:cstheme="majorBidi"/>
        </w:rPr>
        <w:t>PFS evaluation version of the OMB-approved Grantee-Level Interview</w:t>
      </w:r>
      <w:r w:rsidR="00D438C4">
        <w:rPr>
          <w:rFonts w:asciiTheme="majorBidi" w:hAnsiTheme="majorBidi" w:cstheme="majorBidi"/>
        </w:rPr>
        <w:t>–</w:t>
      </w:r>
      <w:r w:rsidR="0094123B">
        <w:rPr>
          <w:rFonts w:asciiTheme="majorBidi" w:hAnsiTheme="majorBidi" w:cstheme="majorBidi"/>
        </w:rPr>
        <w:t>Revised</w:t>
      </w:r>
      <w:r w:rsidRPr="003D5F19">
        <w:rPr>
          <w:rFonts w:asciiTheme="majorBidi" w:hAnsiTheme="majorBidi" w:cstheme="majorBidi"/>
        </w:rPr>
        <w:t xml:space="preserve"> (</w:t>
      </w:r>
      <w:r w:rsidRPr="00DF5194">
        <w:rPr>
          <w:rFonts w:asciiTheme="majorBidi" w:hAnsiTheme="majorBidi" w:cstheme="majorBidi"/>
        </w:rPr>
        <w:t>GLI</w:t>
      </w:r>
      <w:r w:rsidR="0094123B">
        <w:rPr>
          <w:rFonts w:asciiTheme="majorBidi" w:hAnsiTheme="majorBidi" w:cstheme="majorBidi"/>
        </w:rPr>
        <w:t>-R</w:t>
      </w:r>
      <w:r w:rsidRPr="003D5F19">
        <w:rPr>
          <w:rFonts w:asciiTheme="majorBidi" w:hAnsiTheme="majorBidi" w:cstheme="majorBidi"/>
        </w:rPr>
        <w:t>; OMB No. 0930-0348) provided essential grantee-level data, but the instrument limited the information the respondents could provide.</w:t>
      </w:r>
      <w:proofErr w:type="gramEnd"/>
      <w:r w:rsidRPr="003D5F19">
        <w:rPr>
          <w:rFonts w:asciiTheme="majorBidi" w:hAnsiTheme="majorBidi" w:cstheme="majorBidi"/>
        </w:rPr>
        <w:t xml:space="preserve"> Supplemental interviews with </w:t>
      </w:r>
      <w:r w:rsidR="0069595E">
        <w:rPr>
          <w:rFonts w:asciiTheme="majorBidi" w:hAnsiTheme="majorBidi" w:cstheme="majorBidi"/>
        </w:rPr>
        <w:t>PD</w:t>
      </w:r>
      <w:r w:rsidRPr="003D5F19">
        <w:rPr>
          <w:rFonts w:asciiTheme="majorBidi" w:hAnsiTheme="majorBidi" w:cstheme="majorBidi"/>
        </w:rPr>
        <w:t>s provided the necessary context to understand changes in infrastructure and outcomes over time. In fact, an earlier version of the GLI</w:t>
      </w:r>
      <w:r w:rsidR="0094123B">
        <w:rPr>
          <w:rFonts w:asciiTheme="majorBidi" w:hAnsiTheme="majorBidi" w:cstheme="majorBidi"/>
        </w:rPr>
        <w:t xml:space="preserve"> </w:t>
      </w:r>
      <w:r w:rsidR="0094123B">
        <w:t>(OMB No. 0930-0279)</w:t>
      </w:r>
      <w:r w:rsidRPr="003D5F19">
        <w:rPr>
          <w:rFonts w:asciiTheme="majorBidi" w:hAnsiTheme="majorBidi" w:cstheme="majorBidi"/>
        </w:rPr>
        <w:t xml:space="preserve"> for SPF SIG programs began as an in</w:t>
      </w:r>
      <w:r w:rsidR="00BE3282">
        <w:rPr>
          <w:rFonts w:asciiTheme="majorBidi" w:hAnsiTheme="majorBidi" w:cstheme="majorBidi"/>
        </w:rPr>
        <w:t>-</w:t>
      </w:r>
      <w:r w:rsidRPr="003D5F19">
        <w:rPr>
          <w:rFonts w:asciiTheme="majorBidi" w:hAnsiTheme="majorBidi" w:cstheme="majorBidi"/>
        </w:rPr>
        <w:t xml:space="preserve">depth, in-person interview for SPF SIG </w:t>
      </w:r>
      <w:r w:rsidR="00BE3282" w:rsidRPr="003D5F19">
        <w:rPr>
          <w:rFonts w:asciiTheme="majorBidi" w:hAnsiTheme="majorBidi" w:cstheme="majorBidi"/>
        </w:rPr>
        <w:t xml:space="preserve">Cohorts </w:t>
      </w:r>
      <w:r w:rsidRPr="003D5F19">
        <w:rPr>
          <w:rFonts w:asciiTheme="majorBidi" w:hAnsiTheme="majorBidi" w:cstheme="majorBidi"/>
        </w:rPr>
        <w:t>I and II</w:t>
      </w:r>
      <w:r w:rsidR="00BE3282">
        <w:rPr>
          <w:rFonts w:asciiTheme="majorBidi" w:hAnsiTheme="majorBidi" w:cstheme="majorBidi"/>
        </w:rPr>
        <w:t>; it</w:t>
      </w:r>
      <w:r w:rsidRPr="003D5F19">
        <w:rPr>
          <w:rFonts w:asciiTheme="majorBidi" w:hAnsiTheme="majorBidi" w:cstheme="majorBidi"/>
        </w:rPr>
        <w:t xml:space="preserve"> was revised to the survey version for SPF SIG </w:t>
      </w:r>
      <w:r w:rsidR="00BE3282" w:rsidRPr="003D5F19">
        <w:rPr>
          <w:rFonts w:asciiTheme="majorBidi" w:hAnsiTheme="majorBidi" w:cstheme="majorBidi"/>
        </w:rPr>
        <w:t xml:space="preserve">Cohorts </w:t>
      </w:r>
      <w:r w:rsidRPr="003D5F19">
        <w:rPr>
          <w:rFonts w:asciiTheme="majorBidi" w:hAnsiTheme="majorBidi" w:cstheme="majorBidi"/>
        </w:rPr>
        <w:t>III</w:t>
      </w:r>
      <w:r w:rsidR="00BE3282">
        <w:rPr>
          <w:rFonts w:asciiTheme="majorBidi" w:hAnsiTheme="majorBidi" w:cstheme="majorBidi"/>
        </w:rPr>
        <w:t>–</w:t>
      </w:r>
      <w:r w:rsidRPr="003D5F19">
        <w:rPr>
          <w:rFonts w:asciiTheme="majorBidi" w:hAnsiTheme="majorBidi" w:cstheme="majorBidi"/>
        </w:rPr>
        <w:t>V to save funds. The SPF-PFS cross-site evaluation retains use of the GLI</w:t>
      </w:r>
      <w:r w:rsidR="0094123B">
        <w:rPr>
          <w:rFonts w:asciiTheme="majorBidi" w:hAnsiTheme="majorBidi" w:cstheme="majorBidi"/>
        </w:rPr>
        <w:t>-R</w:t>
      </w:r>
      <w:r w:rsidRPr="003D5F19">
        <w:rPr>
          <w:rFonts w:asciiTheme="majorBidi" w:hAnsiTheme="majorBidi" w:cstheme="majorBidi"/>
        </w:rPr>
        <w:t xml:space="preserve"> survey and the PD Interview; however, to reduce burden for SPF-Rx grantees</w:t>
      </w:r>
      <w:r w:rsidR="00BE3282">
        <w:rPr>
          <w:rFonts w:asciiTheme="majorBidi" w:hAnsiTheme="majorBidi" w:cstheme="majorBidi"/>
        </w:rPr>
        <w:t>,</w:t>
      </w:r>
      <w:r w:rsidRPr="003D5F19">
        <w:rPr>
          <w:rFonts w:asciiTheme="majorBidi" w:hAnsiTheme="majorBidi" w:cstheme="majorBidi"/>
        </w:rPr>
        <w:t xml:space="preserve"> only the Grantee Interview will be </w:t>
      </w:r>
      <w:r w:rsidR="00D72DCB">
        <w:rPr>
          <w:rFonts w:asciiTheme="majorBidi" w:hAnsiTheme="majorBidi" w:cstheme="majorBidi"/>
        </w:rPr>
        <w:t>us</w:t>
      </w:r>
      <w:r w:rsidR="00D72DCB" w:rsidRPr="003D5F19">
        <w:rPr>
          <w:rFonts w:asciiTheme="majorBidi" w:hAnsiTheme="majorBidi" w:cstheme="majorBidi"/>
        </w:rPr>
        <w:t>ed</w:t>
      </w:r>
      <w:r w:rsidRPr="003D5F19">
        <w:rPr>
          <w:rFonts w:asciiTheme="majorBidi" w:hAnsiTheme="majorBidi" w:cstheme="majorBidi"/>
        </w:rPr>
        <w:t>. Having SPF-Rx</w:t>
      </w:r>
      <w:r w:rsidR="00BE3282">
        <w:rPr>
          <w:rFonts w:asciiTheme="majorBidi" w:hAnsiTheme="majorBidi" w:cstheme="majorBidi"/>
        </w:rPr>
        <w:t>-</w:t>
      </w:r>
      <w:r w:rsidRPr="003D5F19">
        <w:rPr>
          <w:rFonts w:asciiTheme="majorBidi" w:hAnsiTheme="majorBidi" w:cstheme="majorBidi"/>
        </w:rPr>
        <w:t>specific items for the interview allows for more in</w:t>
      </w:r>
      <w:r w:rsidR="00BE3282">
        <w:rPr>
          <w:rFonts w:asciiTheme="majorBidi" w:hAnsiTheme="majorBidi" w:cstheme="majorBidi"/>
        </w:rPr>
        <w:t>-</w:t>
      </w:r>
      <w:r w:rsidRPr="003D5F19">
        <w:rPr>
          <w:rFonts w:asciiTheme="majorBidi" w:hAnsiTheme="majorBidi" w:cstheme="majorBidi"/>
        </w:rPr>
        <w:t>depth discussion and follow-up on important contextual factors.</w:t>
      </w:r>
      <w:r>
        <w:rPr>
          <w:rFonts w:asciiTheme="majorBidi" w:hAnsiTheme="majorBidi" w:cstheme="majorBidi"/>
        </w:rPr>
        <w:t xml:space="preserve"> </w:t>
      </w:r>
      <w:r w:rsidR="00BE3282">
        <w:rPr>
          <w:rFonts w:asciiTheme="majorBidi" w:hAnsiTheme="majorBidi" w:cstheme="majorBidi"/>
        </w:rPr>
        <w:t>T</w:t>
      </w:r>
      <w:r w:rsidRPr="003D5F19">
        <w:rPr>
          <w:rFonts w:asciiTheme="majorBidi" w:hAnsiTheme="majorBidi" w:cstheme="majorBidi"/>
        </w:rPr>
        <w:t>he</w:t>
      </w:r>
      <w:r w:rsidR="00BE3282">
        <w:rPr>
          <w:rFonts w:asciiTheme="majorBidi" w:hAnsiTheme="majorBidi" w:cstheme="majorBidi"/>
        </w:rPr>
        <w:t xml:space="preserve"> estimated burden of the</w:t>
      </w:r>
      <w:r w:rsidRPr="003D5F19">
        <w:rPr>
          <w:rFonts w:asciiTheme="majorBidi" w:hAnsiTheme="majorBidi" w:cstheme="majorBidi"/>
        </w:rPr>
        <w:t xml:space="preserve"> </w:t>
      </w:r>
      <w:r w:rsidR="00BE3282" w:rsidRPr="00BE3282">
        <w:rPr>
          <w:rFonts w:asciiTheme="majorBidi" w:hAnsiTheme="majorBidi" w:cstheme="majorBidi"/>
          <w:iCs/>
        </w:rPr>
        <w:t>Grantee Interview</w:t>
      </w:r>
      <w:r w:rsidR="00BE3282">
        <w:rPr>
          <w:rFonts w:asciiTheme="majorBidi" w:hAnsiTheme="majorBidi" w:cstheme="majorBidi"/>
        </w:rPr>
        <w:t xml:space="preserve"> of</w:t>
      </w:r>
      <w:r w:rsidRPr="003D5F19">
        <w:rPr>
          <w:rFonts w:asciiTheme="majorBidi" w:hAnsiTheme="majorBidi" w:cstheme="majorBidi"/>
        </w:rPr>
        <w:t xml:space="preserve"> 1.5 hours is equivalent to estimates for the current PFS PD Interview, but less than the combined burden for the </w:t>
      </w:r>
      <w:r w:rsidR="00C45EEE">
        <w:rPr>
          <w:rFonts w:asciiTheme="majorBidi" w:hAnsiTheme="majorBidi" w:cstheme="majorBidi"/>
        </w:rPr>
        <w:t xml:space="preserve">revised </w:t>
      </w:r>
      <w:r w:rsidRPr="003D5F19">
        <w:rPr>
          <w:rFonts w:asciiTheme="majorBidi" w:hAnsiTheme="majorBidi" w:cstheme="majorBidi"/>
        </w:rPr>
        <w:t xml:space="preserve">PFS </w:t>
      </w:r>
      <w:r w:rsidR="00BE3282" w:rsidRPr="006038E8">
        <w:rPr>
          <w:rFonts w:asciiTheme="majorBidi" w:hAnsiTheme="majorBidi" w:cstheme="majorBidi"/>
          <w:iCs/>
        </w:rPr>
        <w:t>GLI</w:t>
      </w:r>
      <w:r w:rsidR="0094123B">
        <w:rPr>
          <w:rFonts w:asciiTheme="majorBidi" w:hAnsiTheme="majorBidi" w:cstheme="majorBidi"/>
          <w:iCs/>
        </w:rPr>
        <w:t>-R</w:t>
      </w:r>
      <w:r w:rsidRPr="006038E8">
        <w:rPr>
          <w:rFonts w:asciiTheme="majorBidi" w:hAnsiTheme="majorBidi" w:cstheme="majorBidi"/>
        </w:rPr>
        <w:t xml:space="preserve"> </w:t>
      </w:r>
      <w:r w:rsidRPr="003D5F19">
        <w:rPr>
          <w:rFonts w:asciiTheme="majorBidi" w:hAnsiTheme="majorBidi" w:cstheme="majorBidi"/>
        </w:rPr>
        <w:t xml:space="preserve">and </w:t>
      </w:r>
      <w:r w:rsidR="00BE3282" w:rsidRPr="00BE3282">
        <w:rPr>
          <w:rFonts w:asciiTheme="majorBidi" w:hAnsiTheme="majorBidi" w:cstheme="majorBidi"/>
          <w:iCs/>
        </w:rPr>
        <w:t>PD Interview</w:t>
      </w:r>
      <w:r w:rsidR="00BE3282" w:rsidRPr="003D5F19">
        <w:rPr>
          <w:rFonts w:asciiTheme="majorBidi" w:hAnsiTheme="majorBidi" w:cstheme="majorBidi"/>
        </w:rPr>
        <w:t xml:space="preserve"> </w:t>
      </w:r>
      <w:r w:rsidRPr="003D5F19">
        <w:rPr>
          <w:rFonts w:asciiTheme="majorBidi" w:hAnsiTheme="majorBidi" w:cstheme="majorBidi"/>
        </w:rPr>
        <w:t>(at 2.4 hours).</w:t>
      </w:r>
      <w:r>
        <w:rPr>
          <w:rFonts w:asciiTheme="majorBidi" w:hAnsiTheme="majorBidi" w:cstheme="majorBidi"/>
        </w:rPr>
        <w:t xml:space="preserve"> </w:t>
      </w:r>
      <w:r w:rsidRPr="003D5F19">
        <w:rPr>
          <w:rFonts w:asciiTheme="majorBidi" w:hAnsiTheme="majorBidi" w:cstheme="majorBidi"/>
        </w:rPr>
        <w:t xml:space="preserve">The </w:t>
      </w:r>
      <w:r w:rsidR="00BE3282" w:rsidRPr="00BE3282">
        <w:rPr>
          <w:rFonts w:asciiTheme="majorBidi" w:hAnsiTheme="majorBidi" w:cstheme="majorBidi"/>
          <w:iCs/>
        </w:rPr>
        <w:t>Grantee Interview</w:t>
      </w:r>
      <w:r w:rsidRPr="003D5F19">
        <w:rPr>
          <w:rFonts w:asciiTheme="majorBidi" w:hAnsiTheme="majorBidi" w:cstheme="majorBidi"/>
          <w:i/>
          <w:iCs/>
        </w:rPr>
        <w:t xml:space="preserve"> </w:t>
      </w:r>
      <w:r w:rsidRPr="003D5F19">
        <w:rPr>
          <w:rFonts w:asciiTheme="majorBidi" w:hAnsiTheme="majorBidi" w:cstheme="majorBidi"/>
        </w:rPr>
        <w:t xml:space="preserve">format will also allow grantees to become better acquainted with </w:t>
      </w:r>
      <w:r w:rsidR="004014A9">
        <w:rPr>
          <w:rFonts w:asciiTheme="majorBidi" w:hAnsiTheme="majorBidi" w:cstheme="majorBidi"/>
        </w:rPr>
        <w:t>PEP</w:t>
      </w:r>
      <w:r w:rsidR="004014A9">
        <w:rPr>
          <w:rFonts w:asciiTheme="majorBidi" w:hAnsiTheme="majorBidi" w:cstheme="majorBidi"/>
        </w:rPr>
        <w:noBreakHyphen/>
        <w:t>C</w:t>
      </w:r>
      <w:r w:rsidRPr="003D5F19">
        <w:rPr>
          <w:rFonts w:asciiTheme="majorBidi" w:hAnsiTheme="majorBidi" w:cstheme="majorBidi"/>
        </w:rPr>
        <w:t xml:space="preserve"> SPF-Rx staff, ask </w:t>
      </w:r>
      <w:r w:rsidR="004014A9">
        <w:rPr>
          <w:rFonts w:asciiTheme="majorBidi" w:hAnsiTheme="majorBidi" w:cstheme="majorBidi"/>
        </w:rPr>
        <w:t>PEP</w:t>
      </w:r>
      <w:r w:rsidR="004014A9">
        <w:rPr>
          <w:rFonts w:asciiTheme="majorBidi" w:hAnsiTheme="majorBidi" w:cstheme="majorBidi"/>
        </w:rPr>
        <w:noBreakHyphen/>
        <w:t>C</w:t>
      </w:r>
      <w:r w:rsidRPr="003D5F19">
        <w:rPr>
          <w:rFonts w:asciiTheme="majorBidi" w:hAnsiTheme="majorBidi" w:cstheme="majorBidi"/>
        </w:rPr>
        <w:t xml:space="preserve"> staff questions about the cross-site evaluation, and pass along their concerns about any cross-site evaluation activities. </w:t>
      </w:r>
    </w:p>
    <w:p w14:paraId="57C3EC71" w14:textId="09123802" w:rsidR="000D2F08" w:rsidRDefault="000D2F08" w:rsidP="000D2F08">
      <w:pPr>
        <w:pStyle w:val="BodyText"/>
      </w:pPr>
      <w:r>
        <w:t xml:space="preserve">Items on the </w:t>
      </w:r>
      <w:r w:rsidR="00BE3282" w:rsidRPr="00BE3282">
        <w:rPr>
          <w:iCs/>
        </w:rPr>
        <w:t>Grantee Interview</w:t>
      </w:r>
      <w:r>
        <w:t xml:space="preserve"> were adapted from questions on the OMB-approved </w:t>
      </w:r>
      <w:r w:rsidR="003762AF">
        <w:t xml:space="preserve">PFS </w:t>
      </w:r>
      <w:r>
        <w:t>PD Interview (OMB No. 0930-0348) that were considered critical for more detailed, in-depth discussion. With an eye toward minimizing duplication and burden, the SPF-Rx</w:t>
      </w:r>
      <w:r w:rsidRPr="00D41DC6">
        <w:t xml:space="preserve"> </w:t>
      </w:r>
      <w:r>
        <w:t xml:space="preserve">evaluation </w:t>
      </w:r>
      <w:r w:rsidR="004014A9">
        <w:t xml:space="preserve">team </w:t>
      </w:r>
      <w:r>
        <w:t>has made sure that t</w:t>
      </w:r>
      <w:r w:rsidRPr="005479E7">
        <w:rPr>
          <w:bCs/>
        </w:rPr>
        <w:t xml:space="preserve">he data collected from the </w:t>
      </w:r>
      <w:r w:rsidR="00BE3282" w:rsidRPr="00BE3282">
        <w:rPr>
          <w:bCs/>
          <w:iCs/>
        </w:rPr>
        <w:t>Grantee Interview</w:t>
      </w:r>
      <w:r>
        <w:rPr>
          <w:bCs/>
        </w:rPr>
        <w:t xml:space="preserve"> will be </w:t>
      </w:r>
      <w:r w:rsidR="006F4352">
        <w:rPr>
          <w:bCs/>
        </w:rPr>
        <w:t>no duplicative</w:t>
      </w:r>
      <w:r w:rsidRPr="005479E7">
        <w:rPr>
          <w:bCs/>
        </w:rPr>
        <w:t xml:space="preserve"> and complementary</w:t>
      </w:r>
      <w:r>
        <w:rPr>
          <w:bCs/>
        </w:rPr>
        <w:t xml:space="preserve"> to data that can be gathered from PFS PD </w:t>
      </w:r>
      <w:r w:rsidR="00BE3282">
        <w:rPr>
          <w:bCs/>
        </w:rPr>
        <w:t>Interviews</w:t>
      </w:r>
      <w:r>
        <w:rPr>
          <w:bCs/>
        </w:rPr>
        <w:t xml:space="preserve">. </w:t>
      </w:r>
    </w:p>
    <w:p w14:paraId="12528053" w14:textId="1DAAE348" w:rsidR="000D2F08" w:rsidRDefault="000D2F08" w:rsidP="000D2F08">
      <w:pPr>
        <w:pStyle w:val="BodyText"/>
      </w:pPr>
      <w:r>
        <w:rPr>
          <w:i/>
          <w:iCs/>
        </w:rPr>
        <w:t xml:space="preserve">Grantee- and </w:t>
      </w:r>
      <w:r w:rsidRPr="00116E76">
        <w:rPr>
          <w:i/>
          <w:iCs/>
        </w:rPr>
        <w:t>Community-Level Outcome</w:t>
      </w:r>
      <w:r>
        <w:rPr>
          <w:i/>
          <w:iCs/>
        </w:rPr>
        <w:t>s Modules</w:t>
      </w:r>
      <w:r>
        <w:t>: G</w:t>
      </w:r>
      <w:r w:rsidRPr="00FD64BD">
        <w:t>rantees will use th</w:t>
      </w:r>
      <w:r>
        <w:t>ese</w:t>
      </w:r>
      <w:r w:rsidRPr="00FD64BD">
        <w:t xml:space="preserve"> instrument</w:t>
      </w:r>
      <w:r>
        <w:t>s</w:t>
      </w:r>
      <w:r w:rsidRPr="00FD64BD">
        <w:t xml:space="preserve"> to provide </w:t>
      </w:r>
      <w:r w:rsidRPr="00116E76">
        <w:rPr>
          <w:b/>
        </w:rPr>
        <w:t>required</w:t>
      </w:r>
      <w:r w:rsidRPr="00FD64BD">
        <w:t xml:space="preserve"> data about </w:t>
      </w:r>
      <w:r w:rsidRPr="003174EB">
        <w:t>consumption, conseq</w:t>
      </w:r>
      <w:r>
        <w:t xml:space="preserve">uence, and intervening variable program </w:t>
      </w:r>
      <w:r w:rsidRPr="00FD64BD">
        <w:t>outcomes.</w:t>
      </w:r>
      <w:r>
        <w:t xml:space="preserve"> These outcomes requirements are outlined in </w:t>
      </w:r>
      <w:r w:rsidR="00C73EB1">
        <w:t xml:space="preserve">Attachment </w:t>
      </w:r>
      <w:r w:rsidR="001C571D">
        <w:t>6</w:t>
      </w:r>
      <w:r>
        <w:t xml:space="preserve">. Grantees will provide </w:t>
      </w:r>
      <w:r w:rsidRPr="00CB3EAB">
        <w:rPr>
          <w:b/>
        </w:rPr>
        <w:t>annual</w:t>
      </w:r>
      <w:r>
        <w:t xml:space="preserve"> outcome data for </w:t>
      </w:r>
      <w:r w:rsidRPr="00CB3EAB">
        <w:rPr>
          <w:b/>
        </w:rPr>
        <w:t>each of the following</w:t>
      </w:r>
      <w:r>
        <w:t>: opioid overdoses (from hospital data, vital statistics, or other sources)</w:t>
      </w:r>
      <w:r w:rsidR="004014A9">
        <w:t>,</w:t>
      </w:r>
      <w:r>
        <w:t xml:space="preserve"> opioid prescribing practices and prescribers’ use of </w:t>
      </w:r>
      <w:r w:rsidR="00C84341">
        <w:t>PDMPs</w:t>
      </w:r>
      <w:r>
        <w:t xml:space="preserve"> (from PDMP data)</w:t>
      </w:r>
      <w:r w:rsidR="004014A9">
        <w:t>, and</w:t>
      </w:r>
      <w:r>
        <w:t xml:space="preserve"> </w:t>
      </w:r>
      <w:r w:rsidR="00C84341" w:rsidRPr="00C84341">
        <w:t>PDM</w:t>
      </w:r>
      <w:r>
        <w:t xml:space="preserve"> (if existing survey data are available). The </w:t>
      </w:r>
      <w:r w:rsidR="004014A9">
        <w:t>PEP</w:t>
      </w:r>
      <w:r w:rsidR="004014A9">
        <w:noBreakHyphen/>
        <w:t>C</w:t>
      </w:r>
      <w:r>
        <w:t xml:space="preserve"> evaluation team has access to NSDUH state-level survey data on opioid misuse and to CDC </w:t>
      </w:r>
      <w:r w:rsidRPr="00DF5194">
        <w:t xml:space="preserve">WONDER </w:t>
      </w:r>
      <w:r w:rsidR="004014A9">
        <w:t>[</w:t>
      </w:r>
      <w:r w:rsidR="004014A9" w:rsidRPr="004014A9">
        <w:t>Wide-ranging Online Data for Epidemiologic Research</w:t>
      </w:r>
      <w:r w:rsidR="004014A9">
        <w:t>]</w:t>
      </w:r>
      <w:r w:rsidR="004014A9" w:rsidRPr="004014A9">
        <w:t xml:space="preserve"> </w:t>
      </w:r>
      <w:r>
        <w:t xml:space="preserve">opioid overdose death data at state and county levels and does not request this </w:t>
      </w:r>
      <w:r w:rsidR="004014A9">
        <w:t xml:space="preserve">information </w:t>
      </w:r>
      <w:r>
        <w:t xml:space="preserve">from grantees. </w:t>
      </w:r>
    </w:p>
    <w:p w14:paraId="02119865" w14:textId="7E764D43" w:rsidR="000D2F08" w:rsidRDefault="000D2F08" w:rsidP="000D2F08">
      <w:pPr>
        <w:pStyle w:val="BodyText"/>
      </w:pPr>
      <w:r w:rsidRPr="00FD64BD">
        <w:t>The outcomes provided on</w:t>
      </w:r>
      <w:r>
        <w:t xml:space="preserve"> the </w:t>
      </w:r>
      <w:r w:rsidR="004014A9" w:rsidRPr="004014A9">
        <w:rPr>
          <w:iCs/>
        </w:rPr>
        <w:t>Outcomes Modules</w:t>
      </w:r>
      <w:r w:rsidRPr="00FD64BD">
        <w:t xml:space="preserve"> come from existing survey and administrative data within the state, tribe, or jurisdiction.</w:t>
      </w:r>
      <w:r>
        <w:t xml:space="preserve"> For the overdose-related outcomes, the instrument requests some demographic information. For </w:t>
      </w:r>
      <w:r w:rsidR="00C84341" w:rsidRPr="00C84341">
        <w:t>PDM</w:t>
      </w:r>
      <w:r>
        <w:t xml:space="preserve"> survey data, t</w:t>
      </w:r>
      <w:r w:rsidRPr="00FD64BD">
        <w:t>he instrument</w:t>
      </w:r>
      <w:r>
        <w:t>s</w:t>
      </w:r>
      <w:r w:rsidRPr="00FD64BD">
        <w:t xml:space="preserve"> request descriptions of the outcome measures (</w:t>
      </w:r>
      <w:r>
        <w:t>target outcome</w:t>
      </w:r>
      <w:r w:rsidR="004014A9">
        <w:t>,</w:t>
      </w:r>
      <w:r>
        <w:t xml:space="preserve"> data source </w:t>
      </w:r>
      <w:r w:rsidRPr="00FD64BD">
        <w:t>type</w:t>
      </w:r>
      <w:r>
        <w:t xml:space="preserve"> and name</w:t>
      </w:r>
      <w:r w:rsidR="004014A9">
        <w:t>,</w:t>
      </w:r>
      <w:r>
        <w:t xml:space="preserve"> reported outcome</w:t>
      </w:r>
      <w:r w:rsidRPr="00FD64BD">
        <w:t xml:space="preserve"> calculation</w:t>
      </w:r>
      <w:r>
        <w:t xml:space="preserve"> description</w:t>
      </w:r>
      <w:r w:rsidR="004014A9">
        <w:t>,</w:t>
      </w:r>
      <w:r>
        <w:t xml:space="preserve"> item and response wordings</w:t>
      </w:r>
      <w:r w:rsidR="004014A9">
        <w:t>,</w:t>
      </w:r>
      <w:r>
        <w:t xml:space="preserve"> sample/</w:t>
      </w:r>
      <w:r w:rsidRPr="00FD64BD">
        <w:t xml:space="preserve">population </w:t>
      </w:r>
      <w:r>
        <w:t>age and grade parameters</w:t>
      </w:r>
      <w:r w:rsidR="004014A9">
        <w:t>,</w:t>
      </w:r>
      <w:r>
        <w:t xml:space="preserve"> time frame of data collection</w:t>
      </w:r>
      <w:r w:rsidR="004014A9">
        <w:t>,</w:t>
      </w:r>
      <w:r>
        <w:t xml:space="preserve"> and actual outcome</w:t>
      </w:r>
      <w:r w:rsidRPr="00FD64BD">
        <w:t xml:space="preserve"> values</w:t>
      </w:r>
      <w:r>
        <w:t xml:space="preserve"> and variability estimates</w:t>
      </w:r>
      <w:r w:rsidRPr="00FD64BD">
        <w:t>).</w:t>
      </w:r>
      <w:r>
        <w:t xml:space="preserve"> </w:t>
      </w:r>
      <w:r w:rsidR="00C73EB1">
        <w:rPr>
          <w:rFonts w:asciiTheme="majorBidi" w:hAnsiTheme="majorBidi" w:cstheme="majorBidi"/>
        </w:rPr>
        <w:t>T</w:t>
      </w:r>
      <w:r w:rsidR="00C73EB1" w:rsidRPr="003D5F19">
        <w:rPr>
          <w:rFonts w:asciiTheme="majorBidi" w:hAnsiTheme="majorBidi" w:cstheme="majorBidi"/>
        </w:rPr>
        <w:t>he</w:t>
      </w:r>
      <w:r w:rsidR="00C73EB1">
        <w:rPr>
          <w:rFonts w:asciiTheme="majorBidi" w:hAnsiTheme="majorBidi" w:cstheme="majorBidi"/>
        </w:rPr>
        <w:t xml:space="preserve"> estimated burden for the</w:t>
      </w:r>
      <w:r w:rsidR="00C73EB1">
        <w:rPr>
          <w:rFonts w:asciiTheme="majorBidi" w:hAnsiTheme="majorBidi" w:cstheme="majorBidi"/>
          <w:iCs/>
        </w:rPr>
        <w:t xml:space="preserve"> Outcomes Module is 3 hours </w:t>
      </w:r>
      <w:r w:rsidR="00E9461F">
        <w:rPr>
          <w:rFonts w:asciiTheme="majorBidi" w:hAnsiTheme="majorBidi" w:cstheme="majorBidi"/>
          <w:iCs/>
        </w:rPr>
        <w:t xml:space="preserve">for </w:t>
      </w:r>
      <w:r w:rsidR="00E9461F">
        <w:rPr>
          <w:rFonts w:asciiTheme="majorBidi" w:hAnsiTheme="majorBidi" w:cstheme="majorBidi"/>
        </w:rPr>
        <w:t>each module.</w:t>
      </w:r>
      <w:r w:rsidR="0094123B">
        <w:rPr>
          <w:rFonts w:asciiTheme="majorBidi" w:hAnsiTheme="majorBidi" w:cstheme="majorBidi"/>
        </w:rPr>
        <w:t xml:space="preserve"> The estimated time primarily stems from</w:t>
      </w:r>
      <w:r w:rsidR="0086338B">
        <w:rPr>
          <w:rFonts w:asciiTheme="majorBidi" w:hAnsiTheme="majorBidi" w:cstheme="majorBidi"/>
        </w:rPr>
        <w:t xml:space="preserve"> the time that it will take to gather the relevant information for completing the modules.</w:t>
      </w:r>
    </w:p>
    <w:p w14:paraId="780FFC8E" w14:textId="3B62922D" w:rsidR="000D2F08" w:rsidRDefault="000D2F08" w:rsidP="000D2F08">
      <w:pPr>
        <w:pStyle w:val="BodyText"/>
      </w:pPr>
      <w:r>
        <w:t xml:space="preserve">For the Community-Level Outcomes Module, grantees will </w:t>
      </w:r>
      <w:r w:rsidRPr="00116E76">
        <w:t>select</w:t>
      </w:r>
      <w:r>
        <w:t xml:space="preserve"> one of their </w:t>
      </w:r>
      <w:proofErr w:type="spellStart"/>
      <w:r>
        <w:t>s</w:t>
      </w:r>
      <w:r w:rsidRPr="00116E76">
        <w:t>ubrecipient</w:t>
      </w:r>
      <w:r>
        <w:t>s</w:t>
      </w:r>
      <w:proofErr w:type="spellEnd"/>
      <w:r w:rsidRPr="00116E76">
        <w:t xml:space="preserve"> from </w:t>
      </w:r>
      <w:r>
        <w:t>a</w:t>
      </w:r>
      <w:r w:rsidRPr="00116E76">
        <w:t xml:space="preserve"> dropdown menu.</w:t>
      </w:r>
      <w:r>
        <w:t xml:space="preserve"> For a new outcome, grantees will click on the Add a Record button. </w:t>
      </w:r>
      <w:r w:rsidRPr="00116E76">
        <w:t xml:space="preserve">Once they have added records, they will be able to view previously added records for the selected </w:t>
      </w:r>
      <w:proofErr w:type="spellStart"/>
      <w:r w:rsidR="00D72DCB" w:rsidRPr="00116E76">
        <w:t>subr</w:t>
      </w:r>
      <w:r w:rsidRPr="00116E76">
        <w:t>ecipient</w:t>
      </w:r>
      <w:proofErr w:type="spellEnd"/>
      <w:r w:rsidRPr="00116E76">
        <w:t>.</w:t>
      </w:r>
      <w:r>
        <w:t xml:space="preserve"> </w:t>
      </w:r>
      <w:r w:rsidR="003762AF">
        <w:t xml:space="preserve">This </w:t>
      </w:r>
      <w:r>
        <w:t>will reduce</w:t>
      </w:r>
      <w:r w:rsidRPr="00116E76">
        <w:t xml:space="preserve"> burden</w:t>
      </w:r>
      <w:r>
        <w:t xml:space="preserve"> on this instrument through two processes:</w:t>
      </w:r>
    </w:p>
    <w:p w14:paraId="1858D7B1" w14:textId="28D6C676" w:rsidR="000D2F08" w:rsidRDefault="004014A9" w:rsidP="00E44BF4">
      <w:pPr>
        <w:pStyle w:val="ListBullet"/>
      </w:pPr>
      <w:r>
        <w:lastRenderedPageBreak/>
        <w:t>G</w:t>
      </w:r>
      <w:r w:rsidR="000D2F08" w:rsidRPr="00E942CC">
        <w:t xml:space="preserve">rantees </w:t>
      </w:r>
      <w:r>
        <w:t xml:space="preserve">will be able </w:t>
      </w:r>
      <w:r w:rsidR="000D2F08" w:rsidRPr="00E942CC">
        <w:t>to copy information</w:t>
      </w:r>
      <w:r w:rsidR="000D2F08">
        <w:t xml:space="preserve"> on an outcome</w:t>
      </w:r>
      <w:r w:rsidR="000D2F08" w:rsidRPr="00E942CC">
        <w:t xml:space="preserve"> from one </w:t>
      </w:r>
      <w:proofErr w:type="spellStart"/>
      <w:r w:rsidR="000D2F08" w:rsidRPr="00E942CC">
        <w:t>subrecipient</w:t>
      </w:r>
      <w:proofErr w:type="spellEnd"/>
      <w:r w:rsidR="000D2F08" w:rsidRPr="00E942CC">
        <w:t xml:space="preserve"> to another</w:t>
      </w:r>
      <w:r>
        <w:t>, so that</w:t>
      </w:r>
      <w:r w:rsidR="000D2F08">
        <w:t xml:space="preserve"> grantees </w:t>
      </w:r>
      <w:r>
        <w:t xml:space="preserve">will </w:t>
      </w:r>
      <w:r w:rsidR="000D2F08">
        <w:t xml:space="preserve">need to provide </w:t>
      </w:r>
      <w:r>
        <w:t xml:space="preserve">only </w:t>
      </w:r>
      <w:r w:rsidR="000D2F08">
        <w:t xml:space="preserve">the </w:t>
      </w:r>
      <w:proofErr w:type="spellStart"/>
      <w:r w:rsidR="000D2F08">
        <w:t>subrecipient</w:t>
      </w:r>
      <w:proofErr w:type="spellEnd"/>
      <w:r w:rsidR="000D2F08">
        <w:t>-specific information on outcome values and variability.</w:t>
      </w:r>
    </w:p>
    <w:p w14:paraId="23574E56" w14:textId="2E4737FF" w:rsidR="000D2F08" w:rsidRDefault="000D2F08" w:rsidP="00E44BF4">
      <w:pPr>
        <w:pStyle w:val="ListBullet"/>
      </w:pPr>
      <w:r w:rsidRPr="00E942CC">
        <w:t xml:space="preserve">After the initial data entry for a </w:t>
      </w:r>
      <w:proofErr w:type="spellStart"/>
      <w:r w:rsidRPr="00E942CC">
        <w:t>subrecipient</w:t>
      </w:r>
      <w:proofErr w:type="spellEnd"/>
      <w:r w:rsidRPr="00E942CC">
        <w:t xml:space="preserve">, grantees need to provide information </w:t>
      </w:r>
      <w:r w:rsidR="004014A9" w:rsidRPr="004014A9">
        <w:t xml:space="preserve">only </w:t>
      </w:r>
      <w:r w:rsidRPr="00E942CC">
        <w:t>on the follow-up data point time frame along with the value calculation information at that time point</w:t>
      </w:r>
      <w:r>
        <w:t>. They will click on an Add Follow-Up Data link provided on the page.</w:t>
      </w:r>
    </w:p>
    <w:p w14:paraId="6764F316" w14:textId="214F58CF" w:rsidR="000D2F08" w:rsidRDefault="000D2F08" w:rsidP="000D2F08">
      <w:pPr>
        <w:pStyle w:val="BodyText"/>
      </w:pPr>
      <w:r w:rsidRPr="00E942CC">
        <w:rPr>
          <w:i/>
          <w:iCs/>
        </w:rPr>
        <w:t>Substitute Data Source Request</w:t>
      </w:r>
      <w:r w:rsidRPr="00E942CC">
        <w:t xml:space="preserve">: </w:t>
      </w:r>
      <w:r>
        <w:t>T</w:t>
      </w:r>
      <w:r w:rsidRPr="00E942CC">
        <w:t>his instrument allows grantees to request permission from SAMHSA to use substitute measures for their outcomes</w:t>
      </w:r>
      <w:r w:rsidR="004014A9">
        <w:t xml:space="preserve">—that is, </w:t>
      </w:r>
      <w:r w:rsidRPr="00E942CC">
        <w:t xml:space="preserve">measures that differ from a list of </w:t>
      </w:r>
      <w:r w:rsidR="0069595E">
        <w:t>pre</w:t>
      </w:r>
      <w:r w:rsidRPr="00E942CC">
        <w:t>approved outcomes measures</w:t>
      </w:r>
      <w:r>
        <w:t xml:space="preserve"> (see </w:t>
      </w:r>
      <w:r w:rsidR="001C571D" w:rsidRPr="001C571D">
        <w:t>Attachment 6</w:t>
      </w:r>
      <w:r w:rsidRPr="001C571D">
        <w:t>).</w:t>
      </w:r>
      <w:r>
        <w:t xml:space="preserve"> </w:t>
      </w:r>
      <w:r w:rsidRPr="00E942CC">
        <w:t xml:space="preserve">Grantees </w:t>
      </w:r>
      <w:r>
        <w:t>will receive</w:t>
      </w:r>
      <w:r w:rsidRPr="00E942CC">
        <w:t xml:space="preserve"> the </w:t>
      </w:r>
      <w:r w:rsidR="004014A9">
        <w:t>PEP</w:t>
      </w:r>
      <w:r w:rsidR="004014A9">
        <w:noBreakHyphen/>
        <w:t>C</w:t>
      </w:r>
      <w:r w:rsidRPr="00E942CC">
        <w:t xml:space="preserve"> </w:t>
      </w:r>
      <w:r>
        <w:t>SPF-Rx</w:t>
      </w:r>
      <w:r w:rsidRPr="00E942CC">
        <w:t xml:space="preserve"> </w:t>
      </w:r>
      <w:r w:rsidRPr="003D5F19">
        <w:t xml:space="preserve">Outcomes Module Guidance Manual </w:t>
      </w:r>
      <w:r w:rsidR="003762AF">
        <w:t>for reference</w:t>
      </w:r>
      <w:r w:rsidRPr="003D5F19">
        <w:t>.</w:t>
      </w:r>
      <w:r>
        <w:t xml:space="preserve"> </w:t>
      </w:r>
      <w:r w:rsidR="004014A9">
        <w:t xml:space="preserve">The experience </w:t>
      </w:r>
      <w:r>
        <w:t>on the PFS cross-site</w:t>
      </w:r>
      <w:r w:rsidR="004014A9">
        <w:t xml:space="preserve"> evaluation suggests that</w:t>
      </w:r>
      <w:r>
        <w:t xml:space="preserve"> about </w:t>
      </w:r>
      <w:r w:rsidR="004014A9">
        <w:t>five</w:t>
      </w:r>
      <w:r>
        <w:t xml:space="preserve"> grantees </w:t>
      </w:r>
      <w:r w:rsidR="004014A9">
        <w:t xml:space="preserve">will </w:t>
      </w:r>
      <w:r>
        <w:t xml:space="preserve">submit a substitute data source request each year. </w:t>
      </w:r>
    </w:p>
    <w:p w14:paraId="26CE7586" w14:textId="13DFE927" w:rsidR="000D2F08" w:rsidRDefault="000D2F08" w:rsidP="000D2F08">
      <w:pPr>
        <w:pStyle w:val="BodyText"/>
      </w:pPr>
      <w:r w:rsidRPr="00FD64BD">
        <w:t xml:space="preserve">The instrument requests descriptions of the </w:t>
      </w:r>
      <w:r>
        <w:t xml:space="preserve">proposed substitute </w:t>
      </w:r>
      <w:r w:rsidRPr="00FD64BD">
        <w:t>outcome measures</w:t>
      </w:r>
      <w:r>
        <w:t xml:space="preserve"> and an explanation for the substitute data source request. For surveys, for example, it asks for the target outcome; data source name; exact wording of proxy item</w:t>
      </w:r>
      <w:r w:rsidR="004014A9">
        <w:t>;</w:t>
      </w:r>
      <w:r>
        <w:t xml:space="preserve"> response options</w:t>
      </w:r>
      <w:r w:rsidR="004014A9">
        <w:t>;</w:t>
      </w:r>
      <w:r>
        <w:t xml:space="preserve"> reported outcome</w:t>
      </w:r>
      <w:r w:rsidR="004014A9">
        <w:t>;</w:t>
      </w:r>
      <w:r>
        <w:t xml:space="preserve"> and the same survey information requested in the Outcomes Module</w:t>
      </w:r>
      <w:r w:rsidR="00E9461F" w:rsidRPr="003D5F19">
        <w:rPr>
          <w:rFonts w:asciiTheme="majorBidi" w:hAnsiTheme="majorBidi" w:cstheme="majorBidi"/>
        </w:rPr>
        <w:t>.</w:t>
      </w:r>
      <w:r w:rsidR="00E9461F">
        <w:rPr>
          <w:rFonts w:asciiTheme="majorBidi" w:hAnsiTheme="majorBidi" w:cstheme="majorBidi"/>
        </w:rPr>
        <w:t xml:space="preserve"> T</w:t>
      </w:r>
      <w:r w:rsidR="00E9461F" w:rsidRPr="003D5F19">
        <w:rPr>
          <w:rFonts w:asciiTheme="majorBidi" w:hAnsiTheme="majorBidi" w:cstheme="majorBidi"/>
        </w:rPr>
        <w:t>he</w:t>
      </w:r>
      <w:r w:rsidR="00E9461F">
        <w:rPr>
          <w:rFonts w:asciiTheme="majorBidi" w:hAnsiTheme="majorBidi" w:cstheme="majorBidi"/>
        </w:rPr>
        <w:t xml:space="preserve"> estimated burden of the</w:t>
      </w:r>
      <w:r w:rsidR="00E9461F" w:rsidRPr="003D5F19">
        <w:rPr>
          <w:rFonts w:asciiTheme="majorBidi" w:hAnsiTheme="majorBidi" w:cstheme="majorBidi"/>
        </w:rPr>
        <w:t xml:space="preserve"> </w:t>
      </w:r>
      <w:r w:rsidR="00E9461F">
        <w:rPr>
          <w:rFonts w:asciiTheme="majorBidi" w:hAnsiTheme="majorBidi" w:cstheme="majorBidi"/>
          <w:iCs/>
        </w:rPr>
        <w:t>Substitute Data Source Request</w:t>
      </w:r>
      <w:r w:rsidR="00E9461F">
        <w:rPr>
          <w:rFonts w:asciiTheme="majorBidi" w:hAnsiTheme="majorBidi" w:cstheme="majorBidi"/>
        </w:rPr>
        <w:t xml:space="preserve"> of</w:t>
      </w:r>
      <w:r w:rsidR="001C571D">
        <w:rPr>
          <w:rFonts w:asciiTheme="majorBidi" w:hAnsiTheme="majorBidi" w:cstheme="majorBidi"/>
        </w:rPr>
        <w:t xml:space="preserve"> 1 hour</w:t>
      </w:r>
      <w:r w:rsidR="00E9461F" w:rsidRPr="003D5F19">
        <w:rPr>
          <w:rFonts w:asciiTheme="majorBidi" w:hAnsiTheme="majorBidi" w:cstheme="majorBidi"/>
        </w:rPr>
        <w:t xml:space="preserve"> is equivalent to estimates for the current PFS</w:t>
      </w:r>
      <w:r w:rsidR="00E9461F">
        <w:rPr>
          <w:rFonts w:asciiTheme="majorBidi" w:hAnsiTheme="majorBidi" w:cstheme="majorBidi"/>
        </w:rPr>
        <w:t xml:space="preserve"> </w:t>
      </w:r>
      <w:r w:rsidR="00E9461F">
        <w:rPr>
          <w:rFonts w:asciiTheme="majorBidi" w:hAnsiTheme="majorBidi" w:cstheme="majorBidi"/>
          <w:iCs/>
        </w:rPr>
        <w:t>Substitute Data Source Request.</w:t>
      </w:r>
    </w:p>
    <w:p w14:paraId="597F6A0C" w14:textId="47DAA727" w:rsidR="000D2F08" w:rsidRDefault="000D2F08" w:rsidP="000D2F08">
      <w:pPr>
        <w:pStyle w:val="BodyText"/>
      </w:pPr>
      <w:r>
        <w:t xml:space="preserve">The </w:t>
      </w:r>
      <w:r w:rsidR="00B40746" w:rsidRPr="00B40746">
        <w:rPr>
          <w:iCs/>
        </w:rPr>
        <w:t>AII</w:t>
      </w:r>
      <w:r>
        <w:t xml:space="preserve">, </w:t>
      </w:r>
      <w:r w:rsidR="00BE3282" w:rsidRPr="00BE3282">
        <w:rPr>
          <w:iCs/>
        </w:rPr>
        <w:t>Grantee Interview</w:t>
      </w:r>
      <w:r w:rsidRPr="004014A9">
        <w:rPr>
          <w:iCs/>
        </w:rPr>
        <w:t xml:space="preserve">, and Outcome Measures </w:t>
      </w:r>
      <w:r>
        <w:t xml:space="preserve">will be used to collect data to measure the main constructs of interest in order to answer the SPF-Rx EQs. </w:t>
      </w:r>
      <w:r w:rsidRPr="00324500">
        <w:rPr>
          <w:b/>
          <w:i/>
        </w:rPr>
        <w:t xml:space="preserve">Exhibit </w:t>
      </w:r>
      <w:r w:rsidR="001C571D">
        <w:rPr>
          <w:b/>
          <w:i/>
        </w:rPr>
        <w:t>1</w:t>
      </w:r>
      <w:r>
        <w:t xml:space="preserve"> provides an overview of the evaluation’s main constructs of interest and the data sources and items on the </w:t>
      </w:r>
      <w:r w:rsidR="00B40746" w:rsidRPr="00B40746">
        <w:rPr>
          <w:iCs/>
        </w:rPr>
        <w:t>AII</w:t>
      </w:r>
      <w:r w:rsidRPr="00C04A86">
        <w:rPr>
          <w:i/>
          <w:iCs/>
        </w:rPr>
        <w:t xml:space="preserve">, </w:t>
      </w:r>
      <w:r w:rsidR="00BE3282" w:rsidRPr="00BE3282">
        <w:rPr>
          <w:iCs/>
        </w:rPr>
        <w:t>Grantee Interview</w:t>
      </w:r>
      <w:r w:rsidRPr="00346E11">
        <w:rPr>
          <w:iCs/>
        </w:rPr>
        <w:t>, and Outcome Measures</w:t>
      </w:r>
      <w:r w:rsidRPr="00346E11">
        <w:t xml:space="preserve"> </w:t>
      </w:r>
      <w:r>
        <w:t xml:space="preserve">that will be used to measure them. It also </w:t>
      </w:r>
      <w:r w:rsidR="00346E11">
        <w:t>describes</w:t>
      </w:r>
      <w:r>
        <w:t xml:space="preserve"> the usual timing of data collection for specific sets of items.</w:t>
      </w:r>
    </w:p>
    <w:p w14:paraId="08143C6F" w14:textId="076808AE" w:rsidR="000D2F08" w:rsidRPr="000B3DFD" w:rsidRDefault="000D2F08" w:rsidP="00C45EEE">
      <w:pPr>
        <w:pStyle w:val="ExhibitTitle"/>
        <w:keepNext w:val="0"/>
      </w:pPr>
      <w:r w:rsidRPr="000B3DFD">
        <w:t xml:space="preserve">Exhibit </w:t>
      </w:r>
      <w:r w:rsidR="001C571D">
        <w:t>1</w:t>
      </w:r>
      <w:r w:rsidR="00E44BF4">
        <w:t>:</w:t>
      </w:r>
      <w:r w:rsidRPr="000B3DFD">
        <w:t xml:space="preserve"> </w:t>
      </w:r>
      <w:r>
        <w:t xml:space="preserve">Evaluation of the </w:t>
      </w:r>
      <w:r w:rsidRPr="00C1785E">
        <w:t xml:space="preserve">Strategic Prevention Framework </w:t>
      </w:r>
      <w:r>
        <w:t>for Prescription Drugs (SPF-Rx</w:t>
      </w:r>
      <w:r w:rsidRPr="00C1785E">
        <w:t>)</w:t>
      </w:r>
      <w:r>
        <w:t xml:space="preserve"> in the </w:t>
      </w:r>
      <w:r w:rsidRPr="000B3DFD">
        <w:t xml:space="preserve">Program Evaluation </w:t>
      </w:r>
      <w:r w:rsidRPr="00E44BF4">
        <w:t>for</w:t>
      </w:r>
      <w:r w:rsidRPr="000B3DFD">
        <w:t xml:space="preserve"> Prevention Contract </w:t>
      </w:r>
      <w:r>
        <w:t>(</w:t>
      </w:r>
      <w:r w:rsidR="004014A9">
        <w:t>PEP</w:t>
      </w:r>
      <w:r w:rsidR="004014A9">
        <w:noBreakHyphen/>
        <w:t>C</w:t>
      </w:r>
      <w:r>
        <w:t>)</w:t>
      </w:r>
      <w:r w:rsidR="00346E11">
        <w:t>—</w:t>
      </w:r>
      <w:r w:rsidRPr="000B3DFD">
        <w:t>Constructs and Data Sources</w:t>
      </w:r>
    </w:p>
    <w:tbl>
      <w:tblPr>
        <w:tblStyle w:val="TableGrid1"/>
        <w:tblW w:w="9504" w:type="dxa"/>
        <w:tblLook w:val="04A0" w:firstRow="1" w:lastRow="0" w:firstColumn="1" w:lastColumn="0" w:noHBand="0" w:noVBand="1"/>
      </w:tblPr>
      <w:tblGrid>
        <w:gridCol w:w="2849"/>
        <w:gridCol w:w="2533"/>
        <w:gridCol w:w="2610"/>
        <w:gridCol w:w="1512"/>
      </w:tblGrid>
      <w:tr w:rsidR="000D2F08" w:rsidRPr="00E44BF4" w14:paraId="5AA67265" w14:textId="77777777" w:rsidTr="00573100">
        <w:tc>
          <w:tcPr>
            <w:tcW w:w="9504" w:type="dxa"/>
            <w:gridSpan w:val="4"/>
          </w:tcPr>
          <w:p w14:paraId="0B5F1B49" w14:textId="3D21AA91" w:rsidR="000D2F08" w:rsidRPr="00E44BF4" w:rsidRDefault="000D2F08" w:rsidP="00C45EEE">
            <w:pPr>
              <w:rPr>
                <w:i/>
                <w:iCs/>
                <w:sz w:val="20"/>
                <w:szCs w:val="20"/>
              </w:rPr>
            </w:pPr>
            <w:r w:rsidRPr="00346E11">
              <w:rPr>
                <w:b/>
                <w:bCs/>
                <w:sz w:val="20"/>
                <w:szCs w:val="20"/>
              </w:rPr>
              <w:t>EQ1</w:t>
            </w:r>
            <w:r w:rsidR="000869F2">
              <w:rPr>
                <w:b/>
                <w:bCs/>
                <w:sz w:val="20"/>
                <w:szCs w:val="20"/>
              </w:rPr>
              <w:t>:</w:t>
            </w:r>
            <w:r w:rsidRPr="00E44BF4">
              <w:rPr>
                <w:b/>
                <w:bCs/>
                <w:sz w:val="20"/>
                <w:szCs w:val="20"/>
              </w:rPr>
              <w:t xml:space="preserve"> Was the implementation of </w:t>
            </w:r>
            <w:r w:rsidRPr="00346E11">
              <w:rPr>
                <w:b/>
                <w:bCs/>
                <w:sz w:val="20"/>
                <w:szCs w:val="20"/>
              </w:rPr>
              <w:t>SPF</w:t>
            </w:r>
            <w:r w:rsidRPr="00E44BF4">
              <w:rPr>
                <w:b/>
                <w:bCs/>
                <w:sz w:val="20"/>
                <w:szCs w:val="20"/>
              </w:rPr>
              <w:t xml:space="preserve">-Rx associated with reduced rates of </w:t>
            </w:r>
            <w:r w:rsidR="00C84341" w:rsidRPr="007A7EFA">
              <w:rPr>
                <w:b/>
                <w:bCs/>
                <w:sz w:val="20"/>
                <w:szCs w:val="20"/>
              </w:rPr>
              <w:t>PDM</w:t>
            </w:r>
            <w:r w:rsidRPr="007A7EFA">
              <w:rPr>
                <w:b/>
                <w:bCs/>
                <w:sz w:val="20"/>
                <w:szCs w:val="20"/>
              </w:rPr>
              <w:t xml:space="preserve"> </w:t>
            </w:r>
            <w:r w:rsidRPr="00E44BF4">
              <w:rPr>
                <w:b/>
                <w:bCs/>
                <w:sz w:val="20"/>
                <w:szCs w:val="20"/>
              </w:rPr>
              <w:t xml:space="preserve">and opioid overdose at state and community levels? </w:t>
            </w:r>
            <w:r w:rsidRPr="00346E11">
              <w:rPr>
                <w:i/>
                <w:iCs/>
                <w:sz w:val="20"/>
                <w:szCs w:val="20"/>
              </w:rPr>
              <w:t>NOTE</w:t>
            </w:r>
            <w:r w:rsidRPr="00E44BF4">
              <w:rPr>
                <w:i/>
                <w:iCs/>
                <w:sz w:val="20"/>
                <w:szCs w:val="20"/>
              </w:rPr>
              <w:t>: These outcomes will also constitute the outcomes for each of the remaining EQs</w:t>
            </w:r>
          </w:p>
        </w:tc>
      </w:tr>
      <w:tr w:rsidR="000D2F08" w:rsidRPr="00866493" w14:paraId="2B0797D4" w14:textId="77777777" w:rsidTr="00573100">
        <w:tc>
          <w:tcPr>
            <w:tcW w:w="2849" w:type="dxa"/>
          </w:tcPr>
          <w:p w14:paraId="3E7F7358" w14:textId="77777777" w:rsidR="000D2F08" w:rsidRPr="00866493" w:rsidRDefault="000D2F08" w:rsidP="00C45EEE">
            <w:pPr>
              <w:rPr>
                <w:i/>
                <w:iCs/>
                <w:sz w:val="20"/>
                <w:szCs w:val="20"/>
              </w:rPr>
            </w:pPr>
            <w:r w:rsidRPr="00866493">
              <w:rPr>
                <w:i/>
                <w:iCs/>
                <w:sz w:val="20"/>
                <w:szCs w:val="20"/>
              </w:rPr>
              <w:t>Construct</w:t>
            </w:r>
          </w:p>
        </w:tc>
        <w:tc>
          <w:tcPr>
            <w:tcW w:w="2533" w:type="dxa"/>
          </w:tcPr>
          <w:p w14:paraId="3A78CAF7" w14:textId="77777777" w:rsidR="000D2F08" w:rsidRPr="00866493" w:rsidRDefault="000D2F08" w:rsidP="00C45EEE">
            <w:pPr>
              <w:rPr>
                <w:i/>
                <w:iCs/>
                <w:sz w:val="20"/>
                <w:szCs w:val="20"/>
              </w:rPr>
            </w:pPr>
            <w:r w:rsidRPr="00866493">
              <w:rPr>
                <w:i/>
                <w:iCs/>
                <w:sz w:val="20"/>
                <w:szCs w:val="20"/>
              </w:rPr>
              <w:t>Data Source</w:t>
            </w:r>
          </w:p>
        </w:tc>
        <w:tc>
          <w:tcPr>
            <w:tcW w:w="2610" w:type="dxa"/>
          </w:tcPr>
          <w:p w14:paraId="470F30F5" w14:textId="77777777" w:rsidR="000D2F08" w:rsidRPr="00866493" w:rsidRDefault="000D2F08" w:rsidP="00C45EEE">
            <w:pPr>
              <w:rPr>
                <w:i/>
                <w:iCs/>
                <w:sz w:val="20"/>
                <w:szCs w:val="20"/>
              </w:rPr>
            </w:pPr>
            <w:r w:rsidRPr="00866493">
              <w:rPr>
                <w:i/>
                <w:iCs/>
                <w:sz w:val="20"/>
                <w:szCs w:val="20"/>
              </w:rPr>
              <w:t>Items</w:t>
            </w:r>
          </w:p>
        </w:tc>
        <w:tc>
          <w:tcPr>
            <w:tcW w:w="1512" w:type="dxa"/>
          </w:tcPr>
          <w:p w14:paraId="2CD60EEE" w14:textId="77777777" w:rsidR="000D2F08" w:rsidRPr="00866493" w:rsidRDefault="000D2F08" w:rsidP="00C45EEE">
            <w:pPr>
              <w:rPr>
                <w:i/>
                <w:iCs/>
                <w:sz w:val="20"/>
                <w:szCs w:val="20"/>
              </w:rPr>
            </w:pPr>
            <w:r w:rsidRPr="00866493">
              <w:rPr>
                <w:i/>
                <w:iCs/>
                <w:sz w:val="20"/>
                <w:szCs w:val="20"/>
              </w:rPr>
              <w:t>Timing</w:t>
            </w:r>
          </w:p>
        </w:tc>
      </w:tr>
      <w:tr w:rsidR="000D2F08" w:rsidRPr="00E44BF4" w14:paraId="3549A469" w14:textId="77777777" w:rsidTr="00573100">
        <w:tc>
          <w:tcPr>
            <w:tcW w:w="2849" w:type="dxa"/>
          </w:tcPr>
          <w:p w14:paraId="5D5871E9" w14:textId="02371447" w:rsidR="000D2F08" w:rsidRPr="00E44BF4" w:rsidRDefault="00C84341" w:rsidP="00C45EEE">
            <w:pPr>
              <w:rPr>
                <w:sz w:val="20"/>
                <w:szCs w:val="20"/>
              </w:rPr>
            </w:pPr>
            <w:r w:rsidRPr="00C84341">
              <w:rPr>
                <w:sz w:val="20"/>
                <w:szCs w:val="20"/>
              </w:rPr>
              <w:t>PDM</w:t>
            </w:r>
            <w:r w:rsidRPr="00C84341" w:rsidDel="00C84341">
              <w:rPr>
                <w:sz w:val="20"/>
                <w:szCs w:val="20"/>
              </w:rPr>
              <w:t xml:space="preserve"> </w:t>
            </w:r>
            <w:r w:rsidR="000D2F08" w:rsidRPr="00E44BF4">
              <w:rPr>
                <w:sz w:val="20"/>
                <w:szCs w:val="20"/>
              </w:rPr>
              <w:t>(i.e., past</w:t>
            </w:r>
            <w:r>
              <w:rPr>
                <w:sz w:val="20"/>
                <w:szCs w:val="20"/>
              </w:rPr>
              <w:t>-</w:t>
            </w:r>
            <w:r w:rsidR="000D2F08" w:rsidRPr="00E44BF4">
              <w:rPr>
                <w:sz w:val="20"/>
                <w:szCs w:val="20"/>
              </w:rPr>
              <w:t xml:space="preserve">12-month </w:t>
            </w:r>
            <w:r w:rsidR="00346E11">
              <w:rPr>
                <w:sz w:val="20"/>
                <w:szCs w:val="20"/>
              </w:rPr>
              <w:t>misuse</w:t>
            </w:r>
            <w:r>
              <w:rPr>
                <w:sz w:val="20"/>
                <w:szCs w:val="20"/>
              </w:rPr>
              <w:t xml:space="preserve"> </w:t>
            </w:r>
            <w:r w:rsidR="001C571D">
              <w:rPr>
                <w:sz w:val="20"/>
                <w:szCs w:val="20"/>
              </w:rPr>
              <w:t xml:space="preserve">or abuse </w:t>
            </w:r>
            <w:r>
              <w:rPr>
                <w:sz w:val="20"/>
                <w:szCs w:val="20"/>
              </w:rPr>
              <w:t xml:space="preserve">of </w:t>
            </w:r>
            <w:r w:rsidR="000D2F08" w:rsidRPr="00E44BF4">
              <w:rPr>
                <w:sz w:val="20"/>
                <w:szCs w:val="20"/>
              </w:rPr>
              <w:t>prescription drug</w:t>
            </w:r>
            <w:r>
              <w:rPr>
                <w:sz w:val="20"/>
                <w:szCs w:val="20"/>
              </w:rPr>
              <w:t>s</w:t>
            </w:r>
            <w:r w:rsidR="000D2F08" w:rsidRPr="00E44BF4">
              <w:rPr>
                <w:sz w:val="20"/>
                <w:szCs w:val="20"/>
              </w:rPr>
              <w:t>; past 12</w:t>
            </w:r>
            <w:r>
              <w:rPr>
                <w:sz w:val="20"/>
                <w:szCs w:val="20"/>
              </w:rPr>
              <w:noBreakHyphen/>
            </w:r>
            <w:r w:rsidR="000D2F08" w:rsidRPr="00E44BF4">
              <w:rPr>
                <w:sz w:val="20"/>
                <w:szCs w:val="20"/>
              </w:rPr>
              <w:t xml:space="preserve">month </w:t>
            </w:r>
            <w:r>
              <w:rPr>
                <w:sz w:val="20"/>
                <w:szCs w:val="20"/>
              </w:rPr>
              <w:t xml:space="preserve">abuse or misuse of </w:t>
            </w:r>
            <w:r w:rsidR="000D2F08" w:rsidRPr="00E44BF4">
              <w:rPr>
                <w:sz w:val="20"/>
                <w:szCs w:val="20"/>
              </w:rPr>
              <w:t>prescription pain killer</w:t>
            </w:r>
            <w:r>
              <w:rPr>
                <w:sz w:val="20"/>
                <w:szCs w:val="20"/>
              </w:rPr>
              <w:t>s</w:t>
            </w:r>
            <w:r w:rsidR="00346E11">
              <w:rPr>
                <w:sz w:val="20"/>
                <w:szCs w:val="20"/>
              </w:rPr>
              <w:t>)</w:t>
            </w:r>
            <w:r w:rsidR="000D2F08" w:rsidRPr="00E44BF4">
              <w:rPr>
                <w:sz w:val="20"/>
                <w:szCs w:val="20"/>
              </w:rPr>
              <w:t xml:space="preserve"> </w:t>
            </w:r>
          </w:p>
        </w:tc>
        <w:tc>
          <w:tcPr>
            <w:tcW w:w="2533" w:type="dxa"/>
          </w:tcPr>
          <w:p w14:paraId="2516E5F1" w14:textId="2A3DAB13" w:rsidR="000D2F08" w:rsidRPr="00E44BF4" w:rsidRDefault="000D2F08" w:rsidP="00C45EEE">
            <w:pPr>
              <w:rPr>
                <w:sz w:val="20"/>
                <w:szCs w:val="20"/>
              </w:rPr>
            </w:pPr>
            <w:r w:rsidRPr="00E44BF4">
              <w:rPr>
                <w:sz w:val="20"/>
                <w:szCs w:val="20"/>
              </w:rPr>
              <w:t xml:space="preserve">Secondary data from the </w:t>
            </w:r>
            <w:r w:rsidRPr="007A7EFA">
              <w:rPr>
                <w:sz w:val="20"/>
                <w:szCs w:val="20"/>
              </w:rPr>
              <w:t>NSDUH</w:t>
            </w:r>
            <w:r w:rsidRPr="00E44BF4">
              <w:rPr>
                <w:sz w:val="20"/>
                <w:szCs w:val="20"/>
              </w:rPr>
              <w:t xml:space="preserve">, provided by </w:t>
            </w:r>
            <w:r w:rsidR="000869F2">
              <w:rPr>
                <w:sz w:val="20"/>
                <w:szCs w:val="20"/>
              </w:rPr>
              <w:t xml:space="preserve">the </w:t>
            </w:r>
            <w:r w:rsidR="004014A9">
              <w:rPr>
                <w:sz w:val="20"/>
                <w:szCs w:val="20"/>
              </w:rPr>
              <w:t>PEP</w:t>
            </w:r>
            <w:r w:rsidR="004014A9">
              <w:rPr>
                <w:sz w:val="20"/>
                <w:szCs w:val="20"/>
              </w:rPr>
              <w:noBreakHyphen/>
              <w:t>C</w:t>
            </w:r>
            <w:r w:rsidR="000869F2">
              <w:rPr>
                <w:sz w:val="20"/>
                <w:szCs w:val="20"/>
              </w:rPr>
              <w:t xml:space="preserve"> team</w:t>
            </w:r>
            <w:r w:rsidRPr="00E44BF4">
              <w:rPr>
                <w:sz w:val="20"/>
                <w:szCs w:val="20"/>
              </w:rPr>
              <w:t xml:space="preserve"> in the </w:t>
            </w:r>
            <w:r w:rsidRPr="007A7EFA">
              <w:rPr>
                <w:sz w:val="20"/>
                <w:szCs w:val="20"/>
              </w:rPr>
              <w:t xml:space="preserve">MRT </w:t>
            </w:r>
            <w:r w:rsidRPr="00E44BF4">
              <w:rPr>
                <w:sz w:val="20"/>
                <w:szCs w:val="20"/>
              </w:rPr>
              <w:t xml:space="preserve">and any other available survey data provided by the grantee </w:t>
            </w:r>
          </w:p>
        </w:tc>
        <w:tc>
          <w:tcPr>
            <w:tcW w:w="2610" w:type="dxa"/>
          </w:tcPr>
          <w:p w14:paraId="1E027F63" w14:textId="5CA99B51" w:rsidR="000D2F08" w:rsidRPr="00E44BF4" w:rsidRDefault="000D2F08" w:rsidP="00C45EEE">
            <w:pPr>
              <w:pStyle w:val="Body"/>
              <w:spacing w:before="0" w:after="0" w:line="240" w:lineRule="auto"/>
              <w:ind w:left="0"/>
              <w:contextualSpacing/>
              <w:rPr>
                <w:rFonts w:asciiTheme="majorBidi" w:hAnsiTheme="majorBidi" w:cstheme="majorBidi"/>
                <w:sz w:val="20"/>
                <w:szCs w:val="20"/>
              </w:rPr>
            </w:pPr>
            <w:r w:rsidRPr="00E44BF4">
              <w:rPr>
                <w:rFonts w:asciiTheme="majorBidi" w:hAnsiTheme="majorBidi" w:cstheme="majorBidi"/>
                <w:sz w:val="20"/>
                <w:szCs w:val="20"/>
              </w:rPr>
              <w:t>Outcome measures: NSDUH items</w:t>
            </w:r>
            <w:r w:rsidR="006E0214">
              <w:rPr>
                <w:rFonts w:asciiTheme="majorBidi" w:hAnsiTheme="majorBidi" w:cstheme="majorBidi"/>
                <w:sz w:val="20"/>
                <w:szCs w:val="20"/>
              </w:rPr>
              <w:t>—</w:t>
            </w:r>
            <w:r w:rsidRPr="00E44BF4">
              <w:rPr>
                <w:rFonts w:asciiTheme="majorBidi" w:hAnsiTheme="majorBidi" w:cstheme="majorBidi"/>
                <w:sz w:val="20"/>
                <w:szCs w:val="20"/>
              </w:rPr>
              <w:t xml:space="preserve">Percentage reporting use of </w:t>
            </w:r>
            <w:r w:rsidRPr="00E44BF4">
              <w:rPr>
                <w:rFonts w:asciiTheme="majorBidi" w:hAnsiTheme="majorBidi" w:cstheme="majorBidi"/>
                <w:b/>
                <w:sz w:val="20"/>
                <w:szCs w:val="20"/>
              </w:rPr>
              <w:t>prescription pain relievers</w:t>
            </w:r>
            <w:r w:rsidRPr="00E44BF4">
              <w:rPr>
                <w:rFonts w:asciiTheme="majorBidi" w:hAnsiTheme="majorBidi" w:cstheme="majorBidi"/>
                <w:sz w:val="20"/>
                <w:szCs w:val="20"/>
              </w:rPr>
              <w:t xml:space="preserve"> in any way that a doctor did not direct during the past 12 months; Percentage reporting use of </w:t>
            </w:r>
            <w:r w:rsidRPr="00E44BF4">
              <w:rPr>
                <w:rFonts w:asciiTheme="majorBidi" w:hAnsiTheme="majorBidi" w:cstheme="majorBidi"/>
                <w:b/>
                <w:sz w:val="20"/>
                <w:szCs w:val="20"/>
              </w:rPr>
              <w:t>any prescription drugs</w:t>
            </w:r>
            <w:r w:rsidRPr="00E44BF4">
              <w:rPr>
                <w:rFonts w:asciiTheme="majorBidi" w:hAnsiTheme="majorBidi" w:cstheme="majorBidi"/>
                <w:sz w:val="20"/>
                <w:szCs w:val="20"/>
              </w:rPr>
              <w:t xml:space="preserve"> in a way that a doctor did not direct during the past 12 months </w:t>
            </w:r>
          </w:p>
        </w:tc>
        <w:tc>
          <w:tcPr>
            <w:tcW w:w="1512" w:type="dxa"/>
          </w:tcPr>
          <w:p w14:paraId="60DDBA87" w14:textId="77777777" w:rsidR="000D2F08" w:rsidRPr="00E44BF4" w:rsidRDefault="000D2F08" w:rsidP="00C45EEE">
            <w:pPr>
              <w:rPr>
                <w:sz w:val="20"/>
                <w:szCs w:val="20"/>
              </w:rPr>
            </w:pPr>
            <w:r w:rsidRPr="00E44BF4">
              <w:rPr>
                <w:sz w:val="20"/>
                <w:szCs w:val="20"/>
              </w:rPr>
              <w:t>Annual or as data become available</w:t>
            </w:r>
          </w:p>
        </w:tc>
      </w:tr>
      <w:tr w:rsidR="000D2F08" w:rsidRPr="00E44BF4" w14:paraId="6975517B" w14:textId="77777777" w:rsidTr="00573100">
        <w:tc>
          <w:tcPr>
            <w:tcW w:w="2849" w:type="dxa"/>
          </w:tcPr>
          <w:p w14:paraId="6535220A" w14:textId="1CD0767D" w:rsidR="000D2F08" w:rsidRPr="00E44BF4" w:rsidRDefault="000D2F08" w:rsidP="00C45EEE">
            <w:pPr>
              <w:rPr>
                <w:rFonts w:asciiTheme="majorBidi" w:hAnsiTheme="majorBidi" w:cstheme="majorBidi"/>
                <w:sz w:val="20"/>
                <w:szCs w:val="20"/>
              </w:rPr>
            </w:pPr>
            <w:r w:rsidRPr="00E44BF4">
              <w:rPr>
                <w:rFonts w:asciiTheme="majorBidi" w:hAnsiTheme="majorBidi" w:cstheme="majorBidi"/>
                <w:sz w:val="20"/>
                <w:szCs w:val="20"/>
              </w:rPr>
              <w:t>Consequences (i.e.</w:t>
            </w:r>
            <w:r w:rsidR="006E0214">
              <w:rPr>
                <w:rFonts w:asciiTheme="majorBidi" w:hAnsiTheme="majorBidi" w:cstheme="majorBidi"/>
                <w:sz w:val="20"/>
                <w:szCs w:val="20"/>
              </w:rPr>
              <w:t>,</w:t>
            </w:r>
            <w:r w:rsidRPr="00E44BF4">
              <w:rPr>
                <w:rFonts w:asciiTheme="majorBidi" w:hAnsiTheme="majorBidi" w:cstheme="majorBidi"/>
                <w:sz w:val="20"/>
                <w:szCs w:val="20"/>
              </w:rPr>
              <w:t xml:space="preserve"> </w:t>
            </w:r>
            <w:r w:rsidR="006E0214" w:rsidRPr="00E44BF4">
              <w:rPr>
                <w:rFonts w:asciiTheme="majorBidi" w:hAnsiTheme="majorBidi" w:cstheme="majorBidi"/>
                <w:sz w:val="20"/>
                <w:szCs w:val="20"/>
              </w:rPr>
              <w:t xml:space="preserve">opioid </w:t>
            </w:r>
            <w:r w:rsidRPr="00E44BF4">
              <w:rPr>
                <w:rFonts w:asciiTheme="majorBidi" w:hAnsiTheme="majorBidi" w:cstheme="majorBidi"/>
                <w:sz w:val="20"/>
                <w:szCs w:val="20"/>
              </w:rPr>
              <w:t xml:space="preserve">overdose-related </w:t>
            </w:r>
            <w:r w:rsidR="00D77145">
              <w:rPr>
                <w:rFonts w:asciiTheme="majorBidi" w:hAnsiTheme="majorBidi" w:cstheme="majorBidi"/>
                <w:sz w:val="20"/>
                <w:szCs w:val="20"/>
              </w:rPr>
              <w:t>emergency department</w:t>
            </w:r>
            <w:r w:rsidR="00D77145" w:rsidRPr="00E44BF4">
              <w:rPr>
                <w:rFonts w:asciiTheme="majorBidi" w:hAnsiTheme="majorBidi" w:cstheme="majorBidi"/>
                <w:sz w:val="20"/>
                <w:szCs w:val="20"/>
              </w:rPr>
              <w:t xml:space="preserve"> </w:t>
            </w:r>
            <w:r w:rsidRPr="00E44BF4">
              <w:rPr>
                <w:rFonts w:asciiTheme="majorBidi" w:hAnsiTheme="majorBidi" w:cstheme="majorBidi"/>
                <w:sz w:val="20"/>
                <w:szCs w:val="20"/>
              </w:rPr>
              <w:t xml:space="preserve">visits; </w:t>
            </w:r>
            <w:r w:rsidR="006E0214" w:rsidRPr="00E44BF4">
              <w:rPr>
                <w:rFonts w:asciiTheme="majorBidi" w:hAnsiTheme="majorBidi" w:cstheme="majorBidi"/>
                <w:sz w:val="20"/>
                <w:szCs w:val="20"/>
              </w:rPr>
              <w:t xml:space="preserve">opioid </w:t>
            </w:r>
            <w:r w:rsidRPr="00E44BF4">
              <w:rPr>
                <w:rFonts w:asciiTheme="majorBidi" w:hAnsiTheme="majorBidi" w:cstheme="majorBidi"/>
                <w:sz w:val="20"/>
                <w:szCs w:val="20"/>
              </w:rPr>
              <w:t>overdose-related hospital admissions; overdose/poisoning; opioid overdose deaths)</w:t>
            </w:r>
          </w:p>
        </w:tc>
        <w:tc>
          <w:tcPr>
            <w:tcW w:w="2533" w:type="dxa"/>
          </w:tcPr>
          <w:p w14:paraId="4267C7ED" w14:textId="3B9502F3" w:rsidR="000D2F08" w:rsidRPr="00E44BF4" w:rsidRDefault="000D2F08" w:rsidP="00D438C4">
            <w:pPr>
              <w:rPr>
                <w:sz w:val="20"/>
                <w:szCs w:val="20"/>
              </w:rPr>
            </w:pPr>
            <w:r w:rsidRPr="00E44BF4">
              <w:rPr>
                <w:sz w:val="20"/>
                <w:szCs w:val="20"/>
              </w:rPr>
              <w:t xml:space="preserve">Publicly available secondary </w:t>
            </w:r>
            <w:proofErr w:type="spellStart"/>
            <w:r w:rsidRPr="00E44BF4">
              <w:rPr>
                <w:sz w:val="20"/>
                <w:szCs w:val="20"/>
              </w:rPr>
              <w:t>data</w:t>
            </w:r>
            <w:r w:rsidRPr="00E44BF4">
              <w:rPr>
                <w:sz w:val="20"/>
                <w:szCs w:val="20"/>
                <w:vertAlign w:val="superscript"/>
              </w:rPr>
              <w:t>a</w:t>
            </w:r>
            <w:proofErr w:type="spellEnd"/>
            <w:r w:rsidRPr="00E44BF4">
              <w:rPr>
                <w:sz w:val="20"/>
                <w:szCs w:val="20"/>
              </w:rPr>
              <w:t>; hospital administrative data provided by grantees</w:t>
            </w:r>
            <w:r w:rsidR="000D56D4">
              <w:rPr>
                <w:sz w:val="20"/>
                <w:szCs w:val="20"/>
              </w:rPr>
              <w:t xml:space="preserve"> in the grantee and community outcomes modules</w:t>
            </w:r>
          </w:p>
        </w:tc>
        <w:tc>
          <w:tcPr>
            <w:tcW w:w="2610" w:type="dxa"/>
          </w:tcPr>
          <w:p w14:paraId="4386CC52" w14:textId="3F55DAF5" w:rsidR="000D2F08" w:rsidRPr="00E44BF4" w:rsidRDefault="000D2F08" w:rsidP="00C45EEE">
            <w:pPr>
              <w:rPr>
                <w:sz w:val="20"/>
                <w:szCs w:val="20"/>
              </w:rPr>
            </w:pPr>
            <w:r w:rsidRPr="00E44BF4">
              <w:rPr>
                <w:sz w:val="20"/>
                <w:szCs w:val="20"/>
              </w:rPr>
              <w:t>n/a</w:t>
            </w:r>
            <w:r w:rsidR="00866493">
              <w:rPr>
                <w:sz w:val="20"/>
                <w:szCs w:val="20"/>
              </w:rPr>
              <w:t xml:space="preserve"> </w:t>
            </w:r>
          </w:p>
        </w:tc>
        <w:tc>
          <w:tcPr>
            <w:tcW w:w="1512" w:type="dxa"/>
          </w:tcPr>
          <w:p w14:paraId="25592F39" w14:textId="77777777" w:rsidR="000D2F08" w:rsidRPr="00E44BF4" w:rsidRDefault="000D2F08" w:rsidP="00C45EEE">
            <w:pPr>
              <w:rPr>
                <w:sz w:val="20"/>
                <w:szCs w:val="20"/>
              </w:rPr>
            </w:pPr>
            <w:r w:rsidRPr="00E44BF4">
              <w:rPr>
                <w:sz w:val="20"/>
                <w:szCs w:val="20"/>
              </w:rPr>
              <w:t>Annual or as data become available</w:t>
            </w:r>
          </w:p>
        </w:tc>
      </w:tr>
    </w:tbl>
    <w:p w14:paraId="62D38825" w14:textId="77777777" w:rsidR="00C45EEE" w:rsidRDefault="00C45EEE" w:rsidP="00C45EEE">
      <w:pPr>
        <w:jc w:val="right"/>
      </w:pPr>
      <w:r>
        <w:t>(</w:t>
      </w:r>
      <w:proofErr w:type="gramStart"/>
      <w:r>
        <w:t>continued</w:t>
      </w:r>
      <w:proofErr w:type="gramEnd"/>
      <w:r>
        <w:t>)</w:t>
      </w:r>
    </w:p>
    <w:p w14:paraId="3EB43483" w14:textId="4FB82A6D" w:rsidR="00C45EEE" w:rsidRPr="00C45EEE" w:rsidRDefault="001C571D" w:rsidP="00C45EEE">
      <w:pPr>
        <w:pStyle w:val="ExhibitTitle"/>
      </w:pPr>
      <w:r>
        <w:lastRenderedPageBreak/>
        <w:t>Exhibit 1</w:t>
      </w:r>
      <w:r w:rsidR="00C45EEE" w:rsidRPr="00C45EEE">
        <w:t>: Evaluation of the Strategic Prevention Framework for Prescription Drugs (SPF-Rx) in the Program Evaluation for Prevention Contract (PEP</w:t>
      </w:r>
      <w:r w:rsidR="00C45EEE" w:rsidRPr="00C45EEE">
        <w:noBreakHyphen/>
        <w:t>C)—Constructs and Data Sources (cont.)</w:t>
      </w:r>
    </w:p>
    <w:tbl>
      <w:tblPr>
        <w:tblStyle w:val="TableGrid1"/>
        <w:tblW w:w="9504" w:type="dxa"/>
        <w:tblLook w:val="04A0" w:firstRow="1" w:lastRow="0" w:firstColumn="1" w:lastColumn="0" w:noHBand="0" w:noVBand="1"/>
      </w:tblPr>
      <w:tblGrid>
        <w:gridCol w:w="2860"/>
        <w:gridCol w:w="2519"/>
        <w:gridCol w:w="2608"/>
        <w:gridCol w:w="1517"/>
      </w:tblGrid>
      <w:tr w:rsidR="000D2F08" w:rsidRPr="00E44BF4" w14:paraId="6521AD24" w14:textId="77777777" w:rsidTr="00C45EEE">
        <w:tc>
          <w:tcPr>
            <w:tcW w:w="9504" w:type="dxa"/>
            <w:gridSpan w:val="4"/>
            <w:tcBorders>
              <w:top w:val="single" w:sz="4" w:space="0" w:color="auto"/>
            </w:tcBorders>
          </w:tcPr>
          <w:p w14:paraId="2CA8DC8C" w14:textId="77777777" w:rsidR="000D2F08" w:rsidRPr="00E44BF4" w:rsidRDefault="000D2F08" w:rsidP="000D2F08">
            <w:pPr>
              <w:keepNext/>
              <w:rPr>
                <w:b/>
                <w:bCs/>
                <w:sz w:val="20"/>
                <w:szCs w:val="20"/>
              </w:rPr>
            </w:pPr>
            <w:r w:rsidRPr="00E44BF4">
              <w:rPr>
                <w:b/>
                <w:bCs/>
                <w:sz w:val="20"/>
                <w:szCs w:val="20"/>
              </w:rPr>
              <w:t xml:space="preserve">EQ1a: </w:t>
            </w:r>
            <w:r w:rsidRPr="00E44BF4">
              <w:rPr>
                <w:sz w:val="20"/>
                <w:szCs w:val="20"/>
              </w:rPr>
              <w:t>What interventions and combinations of interventions did grantees and communities implement for SPF-Rx? How were the types, combinations, and dosages of interventions (supply and demand side) associated with changes in prescription drug outcomes?</w:t>
            </w:r>
          </w:p>
        </w:tc>
      </w:tr>
      <w:tr w:rsidR="000D2F08" w:rsidRPr="00E44BF4" w14:paraId="63897802" w14:textId="77777777" w:rsidTr="00391B7A">
        <w:tc>
          <w:tcPr>
            <w:tcW w:w="2860" w:type="dxa"/>
          </w:tcPr>
          <w:p w14:paraId="57FC2674" w14:textId="77777777" w:rsidR="000D2F08" w:rsidRPr="00E44BF4" w:rsidRDefault="000D2F08" w:rsidP="000D2F08">
            <w:pPr>
              <w:keepNext/>
              <w:rPr>
                <w:i/>
                <w:iCs/>
                <w:sz w:val="20"/>
                <w:szCs w:val="20"/>
              </w:rPr>
            </w:pPr>
            <w:r w:rsidRPr="00E44BF4">
              <w:rPr>
                <w:i/>
                <w:iCs/>
                <w:sz w:val="20"/>
                <w:szCs w:val="20"/>
              </w:rPr>
              <w:t>Construct</w:t>
            </w:r>
          </w:p>
        </w:tc>
        <w:tc>
          <w:tcPr>
            <w:tcW w:w="2519" w:type="dxa"/>
          </w:tcPr>
          <w:p w14:paraId="7F5C0AF3" w14:textId="77777777" w:rsidR="000D2F08" w:rsidRPr="00E44BF4" w:rsidRDefault="000D2F08" w:rsidP="000D2F08">
            <w:pPr>
              <w:keepNext/>
              <w:rPr>
                <w:i/>
                <w:iCs/>
                <w:sz w:val="20"/>
                <w:szCs w:val="20"/>
              </w:rPr>
            </w:pPr>
            <w:r w:rsidRPr="00E44BF4">
              <w:rPr>
                <w:i/>
                <w:iCs/>
                <w:sz w:val="20"/>
                <w:szCs w:val="20"/>
              </w:rPr>
              <w:t>Data Source</w:t>
            </w:r>
          </w:p>
        </w:tc>
        <w:tc>
          <w:tcPr>
            <w:tcW w:w="2608" w:type="dxa"/>
          </w:tcPr>
          <w:p w14:paraId="091D122E" w14:textId="3E64E628" w:rsidR="000D2F08" w:rsidRPr="00E44BF4" w:rsidRDefault="000D2F08" w:rsidP="000D2F08">
            <w:pPr>
              <w:keepNext/>
              <w:rPr>
                <w:i/>
                <w:iCs/>
                <w:sz w:val="20"/>
                <w:szCs w:val="20"/>
              </w:rPr>
            </w:pPr>
            <w:r w:rsidRPr="00E44BF4">
              <w:rPr>
                <w:i/>
                <w:iCs/>
                <w:sz w:val="20"/>
                <w:szCs w:val="20"/>
              </w:rPr>
              <w:t>Items</w:t>
            </w:r>
          </w:p>
        </w:tc>
        <w:tc>
          <w:tcPr>
            <w:tcW w:w="1517" w:type="dxa"/>
          </w:tcPr>
          <w:p w14:paraId="3B4F129A" w14:textId="77777777" w:rsidR="000D2F08" w:rsidRPr="00E44BF4" w:rsidRDefault="000D2F08" w:rsidP="000D2F08">
            <w:pPr>
              <w:keepNext/>
              <w:rPr>
                <w:i/>
                <w:iCs/>
                <w:sz w:val="20"/>
                <w:szCs w:val="20"/>
              </w:rPr>
            </w:pPr>
            <w:r w:rsidRPr="00E44BF4">
              <w:rPr>
                <w:i/>
                <w:iCs/>
                <w:sz w:val="20"/>
                <w:szCs w:val="20"/>
              </w:rPr>
              <w:t>Timing</w:t>
            </w:r>
          </w:p>
        </w:tc>
      </w:tr>
      <w:tr w:rsidR="000D2F08" w:rsidRPr="00E44BF4" w14:paraId="44683ECE" w14:textId="77777777" w:rsidTr="00391B7A">
        <w:trPr>
          <w:trHeight w:val="198"/>
        </w:trPr>
        <w:tc>
          <w:tcPr>
            <w:tcW w:w="2860" w:type="dxa"/>
          </w:tcPr>
          <w:p w14:paraId="2BCDCB4E" w14:textId="77777777" w:rsidR="000D2F08" w:rsidRPr="00E44BF4" w:rsidRDefault="000D2F08" w:rsidP="000D2F08">
            <w:pPr>
              <w:keepNext/>
              <w:rPr>
                <w:sz w:val="20"/>
                <w:szCs w:val="20"/>
              </w:rPr>
            </w:pPr>
            <w:r w:rsidRPr="00E44BF4">
              <w:rPr>
                <w:sz w:val="20"/>
                <w:szCs w:val="20"/>
              </w:rPr>
              <w:t>Intervention information</w:t>
            </w:r>
          </w:p>
        </w:tc>
        <w:tc>
          <w:tcPr>
            <w:tcW w:w="2519" w:type="dxa"/>
          </w:tcPr>
          <w:p w14:paraId="10FD3C5E" w14:textId="77777777" w:rsidR="000D2F08" w:rsidRPr="00E44BF4" w:rsidRDefault="000D2F08" w:rsidP="000D2F08">
            <w:pPr>
              <w:keepNext/>
              <w:rPr>
                <w:sz w:val="20"/>
                <w:szCs w:val="20"/>
              </w:rPr>
            </w:pPr>
            <w:r w:rsidRPr="007A7EFA">
              <w:rPr>
                <w:sz w:val="20"/>
                <w:szCs w:val="20"/>
              </w:rPr>
              <w:t xml:space="preserve">AII </w:t>
            </w:r>
            <w:r w:rsidRPr="00E44BF4">
              <w:rPr>
                <w:sz w:val="20"/>
                <w:szCs w:val="20"/>
              </w:rPr>
              <w:t>(Section 2c)</w:t>
            </w:r>
          </w:p>
        </w:tc>
        <w:tc>
          <w:tcPr>
            <w:tcW w:w="2608" w:type="dxa"/>
          </w:tcPr>
          <w:p w14:paraId="5E018B22" w14:textId="6740690B" w:rsidR="000D2F08" w:rsidRPr="00E44BF4" w:rsidRDefault="000D2F08" w:rsidP="006E0214">
            <w:pPr>
              <w:keepNext/>
              <w:rPr>
                <w:sz w:val="20"/>
                <w:szCs w:val="20"/>
              </w:rPr>
            </w:pPr>
            <w:r w:rsidRPr="00E44BF4">
              <w:rPr>
                <w:sz w:val="20"/>
                <w:szCs w:val="20"/>
              </w:rPr>
              <w:t>Items 26.1</w:t>
            </w:r>
            <w:r w:rsidR="00866493">
              <w:rPr>
                <w:rFonts w:asciiTheme="majorBidi" w:hAnsiTheme="majorBidi" w:cstheme="majorBidi"/>
                <w:sz w:val="20"/>
                <w:szCs w:val="20"/>
              </w:rPr>
              <w:t>–</w:t>
            </w:r>
            <w:r w:rsidRPr="00E44BF4">
              <w:rPr>
                <w:sz w:val="20"/>
                <w:szCs w:val="20"/>
              </w:rPr>
              <w:t>26.7; 27</w:t>
            </w:r>
            <w:r w:rsidR="00866493">
              <w:rPr>
                <w:rFonts w:asciiTheme="majorBidi" w:hAnsiTheme="majorBidi" w:cstheme="majorBidi"/>
                <w:sz w:val="20"/>
                <w:szCs w:val="20"/>
              </w:rPr>
              <w:t>–</w:t>
            </w:r>
            <w:r w:rsidRPr="00E44BF4">
              <w:rPr>
                <w:sz w:val="20"/>
                <w:szCs w:val="20"/>
              </w:rPr>
              <w:t>31; 39</w:t>
            </w:r>
            <w:r w:rsidR="00866493">
              <w:rPr>
                <w:rFonts w:asciiTheme="majorBidi" w:hAnsiTheme="majorBidi" w:cstheme="majorBidi"/>
                <w:sz w:val="20"/>
                <w:szCs w:val="20"/>
              </w:rPr>
              <w:t>–</w:t>
            </w:r>
            <w:r w:rsidRPr="00E44BF4">
              <w:rPr>
                <w:sz w:val="20"/>
                <w:szCs w:val="20"/>
              </w:rPr>
              <w:t>43;</w:t>
            </w:r>
            <w:r w:rsidR="006E0214">
              <w:rPr>
                <w:sz w:val="20"/>
                <w:szCs w:val="20"/>
              </w:rPr>
              <w:t xml:space="preserve"> </w:t>
            </w:r>
            <w:r w:rsidRPr="00E44BF4">
              <w:rPr>
                <w:sz w:val="20"/>
                <w:szCs w:val="20"/>
              </w:rPr>
              <w:t>50; 59; 60; 64; 66;</w:t>
            </w:r>
            <w:r w:rsidR="006E0214">
              <w:rPr>
                <w:sz w:val="20"/>
                <w:szCs w:val="20"/>
              </w:rPr>
              <w:t xml:space="preserve"> </w:t>
            </w:r>
            <w:r w:rsidRPr="00E44BF4">
              <w:rPr>
                <w:sz w:val="20"/>
                <w:szCs w:val="20"/>
              </w:rPr>
              <w:t>79;</w:t>
            </w:r>
            <w:r w:rsidR="006E0214">
              <w:rPr>
                <w:sz w:val="20"/>
                <w:szCs w:val="20"/>
              </w:rPr>
              <w:t xml:space="preserve"> </w:t>
            </w:r>
            <w:r w:rsidRPr="00E44BF4">
              <w:rPr>
                <w:sz w:val="20"/>
                <w:szCs w:val="20"/>
              </w:rPr>
              <w:t>82</w:t>
            </w:r>
            <w:r w:rsidR="00866493">
              <w:rPr>
                <w:rFonts w:asciiTheme="majorBidi" w:hAnsiTheme="majorBidi" w:cstheme="majorBidi"/>
                <w:sz w:val="20"/>
                <w:szCs w:val="20"/>
              </w:rPr>
              <w:t>–</w:t>
            </w:r>
            <w:r w:rsidRPr="00E44BF4">
              <w:rPr>
                <w:sz w:val="20"/>
                <w:szCs w:val="20"/>
              </w:rPr>
              <w:t>83; 87;</w:t>
            </w:r>
            <w:r w:rsidR="006E0214">
              <w:rPr>
                <w:sz w:val="20"/>
                <w:szCs w:val="20"/>
              </w:rPr>
              <w:t xml:space="preserve"> </w:t>
            </w:r>
            <w:r w:rsidRPr="00E44BF4">
              <w:rPr>
                <w:sz w:val="20"/>
                <w:szCs w:val="20"/>
              </w:rPr>
              <w:t>89;</w:t>
            </w:r>
            <w:r w:rsidR="006E0214">
              <w:rPr>
                <w:sz w:val="20"/>
                <w:szCs w:val="20"/>
              </w:rPr>
              <w:t xml:space="preserve"> </w:t>
            </w:r>
            <w:r w:rsidRPr="00E44BF4">
              <w:rPr>
                <w:sz w:val="20"/>
                <w:szCs w:val="20"/>
              </w:rPr>
              <w:t>90; 91.1</w:t>
            </w:r>
            <w:r w:rsidR="00866493">
              <w:rPr>
                <w:rFonts w:asciiTheme="majorBidi" w:hAnsiTheme="majorBidi" w:cstheme="majorBidi"/>
                <w:sz w:val="20"/>
                <w:szCs w:val="20"/>
              </w:rPr>
              <w:t>–</w:t>
            </w:r>
            <w:r w:rsidRPr="00E44BF4">
              <w:rPr>
                <w:sz w:val="20"/>
                <w:szCs w:val="20"/>
              </w:rPr>
              <w:t>91.2;</w:t>
            </w:r>
            <w:r w:rsidR="006E0214">
              <w:rPr>
                <w:sz w:val="20"/>
                <w:szCs w:val="20"/>
              </w:rPr>
              <w:t xml:space="preserve"> </w:t>
            </w:r>
            <w:r w:rsidRPr="00E44BF4">
              <w:rPr>
                <w:sz w:val="20"/>
                <w:szCs w:val="20"/>
              </w:rPr>
              <w:t>94.1</w:t>
            </w:r>
            <w:r w:rsidR="00866493">
              <w:rPr>
                <w:rFonts w:asciiTheme="majorBidi" w:hAnsiTheme="majorBidi" w:cstheme="majorBidi"/>
                <w:sz w:val="20"/>
                <w:szCs w:val="20"/>
              </w:rPr>
              <w:t>–</w:t>
            </w:r>
            <w:r w:rsidRPr="00E44BF4">
              <w:rPr>
                <w:sz w:val="20"/>
                <w:szCs w:val="20"/>
              </w:rPr>
              <w:t>94.2; 96.1;</w:t>
            </w:r>
            <w:r w:rsidR="006E0214">
              <w:rPr>
                <w:sz w:val="20"/>
                <w:szCs w:val="20"/>
              </w:rPr>
              <w:t xml:space="preserve"> </w:t>
            </w:r>
            <w:r w:rsidRPr="00E44BF4">
              <w:rPr>
                <w:sz w:val="20"/>
                <w:szCs w:val="20"/>
              </w:rPr>
              <w:t>98;</w:t>
            </w:r>
            <w:r w:rsidR="006E0214">
              <w:rPr>
                <w:sz w:val="20"/>
                <w:szCs w:val="20"/>
              </w:rPr>
              <w:t xml:space="preserve"> </w:t>
            </w:r>
            <w:r w:rsidRPr="00E44BF4">
              <w:rPr>
                <w:sz w:val="20"/>
                <w:szCs w:val="20"/>
              </w:rPr>
              <w:t>100;</w:t>
            </w:r>
            <w:r w:rsidR="006E0214">
              <w:rPr>
                <w:sz w:val="20"/>
                <w:szCs w:val="20"/>
              </w:rPr>
              <w:t xml:space="preserve"> </w:t>
            </w:r>
            <w:r w:rsidRPr="00E44BF4">
              <w:rPr>
                <w:sz w:val="20"/>
                <w:szCs w:val="20"/>
              </w:rPr>
              <w:t>107</w:t>
            </w:r>
            <w:r w:rsidR="00866493">
              <w:rPr>
                <w:rFonts w:asciiTheme="majorBidi" w:hAnsiTheme="majorBidi" w:cstheme="majorBidi"/>
                <w:sz w:val="20"/>
                <w:szCs w:val="20"/>
              </w:rPr>
              <w:t>–</w:t>
            </w:r>
            <w:r w:rsidRPr="00E44BF4">
              <w:rPr>
                <w:sz w:val="20"/>
                <w:szCs w:val="20"/>
              </w:rPr>
              <w:t>108; 110; 112.1</w:t>
            </w:r>
            <w:r w:rsidR="006E0214">
              <w:rPr>
                <w:sz w:val="20"/>
                <w:szCs w:val="20"/>
              </w:rPr>
              <w:t>–</w:t>
            </w:r>
            <w:r w:rsidRPr="00E44BF4">
              <w:rPr>
                <w:sz w:val="20"/>
                <w:szCs w:val="20"/>
              </w:rPr>
              <w:t>113.1; 114.1;</w:t>
            </w:r>
            <w:r w:rsidR="006E0214">
              <w:rPr>
                <w:sz w:val="20"/>
                <w:szCs w:val="20"/>
              </w:rPr>
              <w:t xml:space="preserve"> </w:t>
            </w:r>
            <w:r w:rsidRPr="00E44BF4">
              <w:rPr>
                <w:sz w:val="20"/>
                <w:szCs w:val="20"/>
              </w:rPr>
              <w:t>118.1; 119</w:t>
            </w:r>
            <w:r w:rsidR="006E0214">
              <w:rPr>
                <w:sz w:val="20"/>
                <w:szCs w:val="20"/>
              </w:rPr>
              <w:t xml:space="preserve">; </w:t>
            </w:r>
            <w:r w:rsidRPr="00E44BF4">
              <w:rPr>
                <w:sz w:val="20"/>
                <w:szCs w:val="20"/>
              </w:rPr>
              <w:t>120.1; 121.1; 122.1; 123; 124.1;</w:t>
            </w:r>
            <w:r w:rsidR="006E0214">
              <w:rPr>
                <w:sz w:val="20"/>
                <w:szCs w:val="20"/>
              </w:rPr>
              <w:t xml:space="preserve"> </w:t>
            </w:r>
            <w:r w:rsidRPr="00E44BF4">
              <w:rPr>
                <w:sz w:val="20"/>
                <w:szCs w:val="20"/>
              </w:rPr>
              <w:t xml:space="preserve">125 </w:t>
            </w:r>
          </w:p>
        </w:tc>
        <w:tc>
          <w:tcPr>
            <w:tcW w:w="1517" w:type="dxa"/>
          </w:tcPr>
          <w:p w14:paraId="7C437EE6" w14:textId="77777777" w:rsidR="000D2F08" w:rsidRPr="00E44BF4" w:rsidRDefault="000D2F08" w:rsidP="000D2F08">
            <w:pPr>
              <w:keepNext/>
              <w:rPr>
                <w:sz w:val="20"/>
                <w:szCs w:val="20"/>
              </w:rPr>
            </w:pPr>
            <w:r w:rsidRPr="00E44BF4">
              <w:rPr>
                <w:sz w:val="20"/>
                <w:szCs w:val="20"/>
              </w:rPr>
              <w:t>Annual</w:t>
            </w:r>
          </w:p>
        </w:tc>
      </w:tr>
      <w:tr w:rsidR="000D2F08" w:rsidRPr="00E44BF4" w14:paraId="774C19AA" w14:textId="77777777" w:rsidTr="00391B7A">
        <w:tc>
          <w:tcPr>
            <w:tcW w:w="2860" w:type="dxa"/>
          </w:tcPr>
          <w:p w14:paraId="6E3E4B69" w14:textId="77777777" w:rsidR="000D2F08" w:rsidRPr="00E44BF4" w:rsidRDefault="000D2F08" w:rsidP="000D2F08">
            <w:pPr>
              <w:keepNext/>
              <w:rPr>
                <w:sz w:val="20"/>
                <w:szCs w:val="20"/>
              </w:rPr>
            </w:pPr>
            <w:r w:rsidRPr="00E44BF4">
              <w:rPr>
                <w:sz w:val="20"/>
                <w:szCs w:val="20"/>
              </w:rPr>
              <w:t>Combination category (i.e., multiple interventions delivered)</w:t>
            </w:r>
          </w:p>
        </w:tc>
        <w:tc>
          <w:tcPr>
            <w:tcW w:w="2519" w:type="dxa"/>
          </w:tcPr>
          <w:p w14:paraId="66DFEE88" w14:textId="0EEEFA0F" w:rsidR="000D2F08" w:rsidRPr="00E44BF4" w:rsidRDefault="000D2F08" w:rsidP="006E0214">
            <w:pPr>
              <w:keepNext/>
              <w:rPr>
                <w:i/>
                <w:iCs/>
                <w:sz w:val="20"/>
                <w:szCs w:val="20"/>
              </w:rPr>
            </w:pPr>
            <w:r w:rsidRPr="00E44BF4">
              <w:rPr>
                <w:sz w:val="20"/>
                <w:szCs w:val="20"/>
              </w:rPr>
              <w:t>Composites will be created from Intervention Type variables</w:t>
            </w:r>
          </w:p>
        </w:tc>
        <w:tc>
          <w:tcPr>
            <w:tcW w:w="2608" w:type="dxa"/>
          </w:tcPr>
          <w:p w14:paraId="37CECD1F" w14:textId="0F0518A8" w:rsidR="000D2F08" w:rsidRPr="00E44BF4" w:rsidRDefault="00866493" w:rsidP="000D2F08">
            <w:pPr>
              <w:keepNext/>
              <w:rPr>
                <w:sz w:val="20"/>
                <w:szCs w:val="20"/>
              </w:rPr>
            </w:pPr>
            <w:r>
              <w:rPr>
                <w:sz w:val="20"/>
                <w:szCs w:val="20"/>
              </w:rPr>
              <w:t>S</w:t>
            </w:r>
            <w:r w:rsidR="000D2F08" w:rsidRPr="00E44BF4">
              <w:rPr>
                <w:sz w:val="20"/>
                <w:szCs w:val="20"/>
              </w:rPr>
              <w:t>ame as above</w:t>
            </w:r>
          </w:p>
        </w:tc>
        <w:tc>
          <w:tcPr>
            <w:tcW w:w="1517" w:type="dxa"/>
          </w:tcPr>
          <w:p w14:paraId="139FDF74" w14:textId="77777777" w:rsidR="000D2F08" w:rsidRPr="00E44BF4" w:rsidRDefault="000D2F08" w:rsidP="000D2F08">
            <w:pPr>
              <w:keepNext/>
              <w:rPr>
                <w:sz w:val="20"/>
                <w:szCs w:val="20"/>
              </w:rPr>
            </w:pPr>
            <w:r w:rsidRPr="00E44BF4">
              <w:rPr>
                <w:sz w:val="20"/>
                <w:szCs w:val="20"/>
              </w:rPr>
              <w:t>Annual</w:t>
            </w:r>
          </w:p>
        </w:tc>
      </w:tr>
      <w:tr w:rsidR="000D2F08" w:rsidRPr="00E44BF4" w14:paraId="7FDE700A" w14:textId="77777777" w:rsidTr="00391B7A">
        <w:tc>
          <w:tcPr>
            <w:tcW w:w="2860" w:type="dxa"/>
          </w:tcPr>
          <w:p w14:paraId="3D817543" w14:textId="77777777" w:rsidR="000D2F08" w:rsidRPr="00E44BF4" w:rsidRDefault="000D2F08" w:rsidP="000D2F08">
            <w:pPr>
              <w:keepNext/>
              <w:rPr>
                <w:sz w:val="20"/>
                <w:szCs w:val="20"/>
              </w:rPr>
            </w:pPr>
            <w:r w:rsidRPr="00E44BF4">
              <w:rPr>
                <w:sz w:val="20"/>
                <w:szCs w:val="20"/>
              </w:rPr>
              <w:t xml:space="preserve">Timing </w:t>
            </w:r>
          </w:p>
        </w:tc>
        <w:tc>
          <w:tcPr>
            <w:tcW w:w="2519" w:type="dxa"/>
          </w:tcPr>
          <w:p w14:paraId="2A7C5166" w14:textId="77777777" w:rsidR="000D2F08" w:rsidRPr="00E44BF4" w:rsidRDefault="000D2F08" w:rsidP="000D2F08">
            <w:pPr>
              <w:keepNext/>
              <w:rPr>
                <w:sz w:val="20"/>
                <w:szCs w:val="20"/>
              </w:rPr>
            </w:pPr>
            <w:r w:rsidRPr="00E44BF4">
              <w:rPr>
                <w:sz w:val="20"/>
                <w:szCs w:val="20"/>
              </w:rPr>
              <w:t>AII (Section 2c)</w:t>
            </w:r>
          </w:p>
        </w:tc>
        <w:tc>
          <w:tcPr>
            <w:tcW w:w="2608" w:type="dxa"/>
          </w:tcPr>
          <w:p w14:paraId="7E4B8985" w14:textId="46BC3518" w:rsidR="000D2F08" w:rsidRPr="00E44BF4" w:rsidRDefault="000D2F08" w:rsidP="000D2F08">
            <w:pPr>
              <w:keepNext/>
              <w:rPr>
                <w:sz w:val="20"/>
                <w:szCs w:val="20"/>
              </w:rPr>
            </w:pPr>
            <w:r w:rsidRPr="00E44BF4">
              <w:rPr>
                <w:sz w:val="20"/>
                <w:szCs w:val="20"/>
              </w:rPr>
              <w:t>Items 26.4, 26.8, 26.9; 49;</w:t>
            </w:r>
            <w:r w:rsidR="006E0214">
              <w:rPr>
                <w:sz w:val="20"/>
                <w:szCs w:val="20"/>
              </w:rPr>
              <w:t xml:space="preserve"> </w:t>
            </w:r>
            <w:r w:rsidRPr="00E44BF4">
              <w:rPr>
                <w:sz w:val="20"/>
                <w:szCs w:val="20"/>
              </w:rPr>
              <w:t xml:space="preserve">58; 71; 106 </w:t>
            </w:r>
          </w:p>
        </w:tc>
        <w:tc>
          <w:tcPr>
            <w:tcW w:w="1517" w:type="dxa"/>
          </w:tcPr>
          <w:p w14:paraId="32E7C0DB" w14:textId="77777777" w:rsidR="000D2F08" w:rsidRPr="00E44BF4" w:rsidRDefault="000D2F08" w:rsidP="000D2F08">
            <w:pPr>
              <w:keepNext/>
              <w:rPr>
                <w:sz w:val="20"/>
                <w:szCs w:val="20"/>
              </w:rPr>
            </w:pPr>
            <w:r w:rsidRPr="00E44BF4">
              <w:rPr>
                <w:sz w:val="20"/>
                <w:szCs w:val="20"/>
              </w:rPr>
              <w:t>Annual</w:t>
            </w:r>
          </w:p>
        </w:tc>
      </w:tr>
      <w:tr w:rsidR="000D2F08" w:rsidRPr="00E44BF4" w14:paraId="033C7EA3" w14:textId="77777777" w:rsidTr="00391B7A">
        <w:tc>
          <w:tcPr>
            <w:tcW w:w="2860" w:type="dxa"/>
          </w:tcPr>
          <w:p w14:paraId="137D31B6" w14:textId="77777777" w:rsidR="000D2F08" w:rsidRPr="00E44BF4" w:rsidRDefault="000D2F08" w:rsidP="000D2F08">
            <w:pPr>
              <w:rPr>
                <w:sz w:val="20"/>
                <w:szCs w:val="20"/>
              </w:rPr>
            </w:pPr>
            <w:r w:rsidRPr="00E44BF4">
              <w:rPr>
                <w:sz w:val="20"/>
                <w:szCs w:val="20"/>
              </w:rPr>
              <w:t>Dosage</w:t>
            </w:r>
          </w:p>
        </w:tc>
        <w:tc>
          <w:tcPr>
            <w:tcW w:w="2519" w:type="dxa"/>
          </w:tcPr>
          <w:p w14:paraId="44E8D32E" w14:textId="77777777" w:rsidR="000D2F08" w:rsidRPr="00E44BF4" w:rsidRDefault="000D2F08" w:rsidP="000D2F08">
            <w:pPr>
              <w:rPr>
                <w:sz w:val="20"/>
                <w:szCs w:val="20"/>
              </w:rPr>
            </w:pPr>
            <w:r w:rsidRPr="00E44BF4">
              <w:rPr>
                <w:sz w:val="20"/>
                <w:szCs w:val="20"/>
              </w:rPr>
              <w:t>AII (Section 2c)</w:t>
            </w:r>
          </w:p>
        </w:tc>
        <w:tc>
          <w:tcPr>
            <w:tcW w:w="2608" w:type="dxa"/>
          </w:tcPr>
          <w:p w14:paraId="32FA712A" w14:textId="63F860DF" w:rsidR="000D2F08" w:rsidRPr="00E44BF4" w:rsidRDefault="000D2F08" w:rsidP="000D2F08">
            <w:pPr>
              <w:rPr>
                <w:sz w:val="20"/>
                <w:szCs w:val="20"/>
              </w:rPr>
            </w:pPr>
            <w:r w:rsidRPr="00E44BF4">
              <w:rPr>
                <w:sz w:val="20"/>
                <w:szCs w:val="20"/>
              </w:rPr>
              <w:t>Items 35; 51</w:t>
            </w:r>
            <w:r w:rsidR="00866493">
              <w:rPr>
                <w:rFonts w:asciiTheme="majorBidi" w:hAnsiTheme="majorBidi" w:cstheme="majorBidi"/>
                <w:sz w:val="20"/>
                <w:szCs w:val="20"/>
              </w:rPr>
              <w:t>–</w:t>
            </w:r>
            <w:r w:rsidRPr="00E44BF4">
              <w:rPr>
                <w:sz w:val="20"/>
                <w:szCs w:val="20"/>
              </w:rPr>
              <w:t>52; 61</w:t>
            </w:r>
            <w:r w:rsidR="00866493">
              <w:rPr>
                <w:rFonts w:asciiTheme="majorBidi" w:hAnsiTheme="majorBidi" w:cstheme="majorBidi"/>
                <w:sz w:val="20"/>
                <w:szCs w:val="20"/>
              </w:rPr>
              <w:t>–</w:t>
            </w:r>
            <w:r w:rsidRPr="00E44BF4">
              <w:rPr>
                <w:sz w:val="20"/>
                <w:szCs w:val="20"/>
              </w:rPr>
              <w:t>63; 65; 74;</w:t>
            </w:r>
            <w:r w:rsidR="006E0214">
              <w:rPr>
                <w:sz w:val="20"/>
                <w:szCs w:val="20"/>
              </w:rPr>
              <w:t xml:space="preserve"> </w:t>
            </w:r>
            <w:r w:rsidRPr="00E44BF4">
              <w:rPr>
                <w:sz w:val="20"/>
                <w:szCs w:val="20"/>
              </w:rPr>
              <w:t>84.1</w:t>
            </w:r>
            <w:r w:rsidR="00866493">
              <w:rPr>
                <w:rFonts w:asciiTheme="majorBidi" w:hAnsiTheme="majorBidi" w:cstheme="majorBidi"/>
                <w:sz w:val="20"/>
                <w:szCs w:val="20"/>
              </w:rPr>
              <w:t>–</w:t>
            </w:r>
            <w:r w:rsidRPr="00E44BF4">
              <w:rPr>
                <w:sz w:val="20"/>
                <w:szCs w:val="20"/>
              </w:rPr>
              <w:t>84.2; 85.1</w:t>
            </w:r>
            <w:r w:rsidR="00866493">
              <w:rPr>
                <w:rFonts w:asciiTheme="majorBidi" w:hAnsiTheme="majorBidi" w:cstheme="majorBidi"/>
                <w:sz w:val="20"/>
                <w:szCs w:val="20"/>
              </w:rPr>
              <w:t>–</w:t>
            </w:r>
            <w:r w:rsidRPr="00E44BF4">
              <w:rPr>
                <w:sz w:val="20"/>
                <w:szCs w:val="20"/>
              </w:rPr>
              <w:t>85.2; 96.2</w:t>
            </w:r>
            <w:r w:rsidR="00866493">
              <w:rPr>
                <w:rFonts w:asciiTheme="majorBidi" w:hAnsiTheme="majorBidi" w:cstheme="majorBidi"/>
                <w:sz w:val="20"/>
                <w:szCs w:val="20"/>
              </w:rPr>
              <w:t>–</w:t>
            </w:r>
            <w:r w:rsidRPr="00E44BF4">
              <w:rPr>
                <w:sz w:val="20"/>
                <w:szCs w:val="20"/>
              </w:rPr>
              <w:t>96.4; 112.1</w:t>
            </w:r>
            <w:r w:rsidR="00866493">
              <w:rPr>
                <w:rFonts w:asciiTheme="majorBidi" w:hAnsiTheme="majorBidi" w:cstheme="majorBidi"/>
                <w:sz w:val="20"/>
                <w:szCs w:val="20"/>
              </w:rPr>
              <w:t>–</w:t>
            </w:r>
            <w:r w:rsidRPr="00E44BF4">
              <w:rPr>
                <w:sz w:val="20"/>
                <w:szCs w:val="20"/>
              </w:rPr>
              <w:t xml:space="preserve">116; 117.2; 118.2; 119.2; 120.2; 121.2; 124.5 </w:t>
            </w:r>
          </w:p>
        </w:tc>
        <w:tc>
          <w:tcPr>
            <w:tcW w:w="1517" w:type="dxa"/>
          </w:tcPr>
          <w:p w14:paraId="4CD42FD9" w14:textId="77777777" w:rsidR="000D2F08" w:rsidRPr="00E44BF4" w:rsidRDefault="000D2F08" w:rsidP="000D2F08">
            <w:pPr>
              <w:rPr>
                <w:sz w:val="20"/>
                <w:szCs w:val="20"/>
              </w:rPr>
            </w:pPr>
            <w:r w:rsidRPr="00E44BF4">
              <w:rPr>
                <w:sz w:val="20"/>
                <w:szCs w:val="20"/>
              </w:rPr>
              <w:t>Annual</w:t>
            </w:r>
          </w:p>
        </w:tc>
      </w:tr>
      <w:tr w:rsidR="00CA33B6" w:rsidRPr="00E44BF4" w14:paraId="5A3FB47C" w14:textId="77777777" w:rsidTr="00391B7A">
        <w:tc>
          <w:tcPr>
            <w:tcW w:w="2860" w:type="dxa"/>
          </w:tcPr>
          <w:p w14:paraId="42D2EEC8" w14:textId="4863D2C4" w:rsidR="00CA33B6" w:rsidRPr="00E44BF4" w:rsidRDefault="00CA33B6" w:rsidP="00CA33B6">
            <w:pPr>
              <w:keepNext/>
              <w:rPr>
                <w:sz w:val="20"/>
                <w:szCs w:val="20"/>
              </w:rPr>
            </w:pPr>
            <w:r w:rsidRPr="00E44BF4">
              <w:rPr>
                <w:sz w:val="20"/>
                <w:szCs w:val="20"/>
              </w:rPr>
              <w:t xml:space="preserve">Reach and </w:t>
            </w:r>
            <w:r w:rsidR="006E0214" w:rsidRPr="00E44BF4">
              <w:rPr>
                <w:sz w:val="20"/>
                <w:szCs w:val="20"/>
              </w:rPr>
              <w:t>numbers served</w:t>
            </w:r>
          </w:p>
        </w:tc>
        <w:tc>
          <w:tcPr>
            <w:tcW w:w="2519" w:type="dxa"/>
          </w:tcPr>
          <w:p w14:paraId="311F5802" w14:textId="77777777" w:rsidR="00CA33B6" w:rsidRPr="00E44BF4" w:rsidRDefault="00CA33B6" w:rsidP="00CA33B6">
            <w:pPr>
              <w:keepNext/>
              <w:rPr>
                <w:sz w:val="20"/>
                <w:szCs w:val="20"/>
              </w:rPr>
            </w:pPr>
            <w:r w:rsidRPr="00E44BF4">
              <w:rPr>
                <w:sz w:val="20"/>
                <w:szCs w:val="20"/>
              </w:rPr>
              <w:t>AII (Section 2c)</w:t>
            </w:r>
          </w:p>
        </w:tc>
        <w:tc>
          <w:tcPr>
            <w:tcW w:w="2608" w:type="dxa"/>
          </w:tcPr>
          <w:p w14:paraId="1A801E0B" w14:textId="55852DC9" w:rsidR="00CA33B6" w:rsidRPr="00E44BF4" w:rsidRDefault="00CA33B6" w:rsidP="00CA33B6">
            <w:pPr>
              <w:keepNext/>
              <w:rPr>
                <w:sz w:val="20"/>
                <w:szCs w:val="20"/>
              </w:rPr>
            </w:pPr>
            <w:r w:rsidRPr="00E44BF4">
              <w:rPr>
                <w:sz w:val="20"/>
                <w:szCs w:val="20"/>
              </w:rPr>
              <w:t>Items 32.7; 36</w:t>
            </w:r>
            <w:r>
              <w:rPr>
                <w:rFonts w:asciiTheme="majorBidi" w:hAnsiTheme="majorBidi" w:cstheme="majorBidi"/>
                <w:sz w:val="20"/>
                <w:szCs w:val="20"/>
              </w:rPr>
              <w:t>–</w:t>
            </w:r>
            <w:r w:rsidRPr="00E44BF4">
              <w:rPr>
                <w:sz w:val="20"/>
                <w:szCs w:val="20"/>
              </w:rPr>
              <w:t>38; 44</w:t>
            </w:r>
            <w:r>
              <w:rPr>
                <w:rFonts w:asciiTheme="majorBidi" w:hAnsiTheme="majorBidi" w:cstheme="majorBidi"/>
                <w:sz w:val="20"/>
                <w:szCs w:val="20"/>
              </w:rPr>
              <w:t>–</w:t>
            </w:r>
            <w:r w:rsidRPr="00E44BF4">
              <w:rPr>
                <w:sz w:val="20"/>
                <w:szCs w:val="20"/>
              </w:rPr>
              <w:t>48;</w:t>
            </w:r>
            <w:r>
              <w:rPr>
                <w:sz w:val="20"/>
                <w:szCs w:val="20"/>
              </w:rPr>
              <w:t xml:space="preserve"> </w:t>
            </w:r>
            <w:r w:rsidRPr="00E44BF4">
              <w:rPr>
                <w:sz w:val="20"/>
                <w:szCs w:val="20"/>
              </w:rPr>
              <w:t>50.2; 53</w:t>
            </w:r>
            <w:r>
              <w:rPr>
                <w:sz w:val="20"/>
                <w:szCs w:val="20"/>
              </w:rPr>
              <w:t xml:space="preserve">–57; 59; </w:t>
            </w:r>
            <w:r w:rsidRPr="00E44BF4">
              <w:rPr>
                <w:sz w:val="20"/>
                <w:szCs w:val="20"/>
              </w:rPr>
              <w:t>61; 66</w:t>
            </w:r>
            <w:r>
              <w:rPr>
                <w:rFonts w:asciiTheme="majorBidi" w:hAnsiTheme="majorBidi" w:cstheme="majorBidi"/>
                <w:sz w:val="20"/>
                <w:szCs w:val="20"/>
              </w:rPr>
              <w:t>–</w:t>
            </w:r>
            <w:r w:rsidRPr="00E44BF4">
              <w:rPr>
                <w:sz w:val="20"/>
                <w:szCs w:val="20"/>
              </w:rPr>
              <w:t>70; 72</w:t>
            </w:r>
            <w:r>
              <w:rPr>
                <w:rFonts w:asciiTheme="majorBidi" w:hAnsiTheme="majorBidi" w:cstheme="majorBidi"/>
                <w:sz w:val="20"/>
                <w:szCs w:val="20"/>
              </w:rPr>
              <w:t>–</w:t>
            </w:r>
            <w:r w:rsidRPr="00E44BF4">
              <w:rPr>
                <w:sz w:val="20"/>
                <w:szCs w:val="20"/>
              </w:rPr>
              <w:t>74; 76</w:t>
            </w:r>
            <w:r>
              <w:rPr>
                <w:rFonts w:asciiTheme="majorBidi" w:hAnsiTheme="majorBidi" w:cstheme="majorBidi"/>
                <w:sz w:val="20"/>
                <w:szCs w:val="20"/>
              </w:rPr>
              <w:t>–</w:t>
            </w:r>
            <w:r w:rsidRPr="00E44BF4">
              <w:rPr>
                <w:sz w:val="20"/>
                <w:szCs w:val="20"/>
              </w:rPr>
              <w:t>80; 83; 86; 101</w:t>
            </w:r>
            <w:r>
              <w:rPr>
                <w:rFonts w:asciiTheme="majorBidi" w:hAnsiTheme="majorBidi" w:cstheme="majorBidi"/>
                <w:sz w:val="20"/>
                <w:szCs w:val="20"/>
              </w:rPr>
              <w:t>–</w:t>
            </w:r>
            <w:r w:rsidRPr="00E44BF4">
              <w:rPr>
                <w:sz w:val="20"/>
                <w:szCs w:val="20"/>
              </w:rPr>
              <w:t>105;</w:t>
            </w:r>
            <w:r>
              <w:rPr>
                <w:sz w:val="20"/>
                <w:szCs w:val="20"/>
              </w:rPr>
              <w:t xml:space="preserve"> </w:t>
            </w:r>
            <w:r w:rsidRPr="00E44BF4">
              <w:rPr>
                <w:sz w:val="20"/>
                <w:szCs w:val="20"/>
              </w:rPr>
              <w:t>112.5; 113.5; 114.4; 117.2</w:t>
            </w:r>
            <w:r>
              <w:rPr>
                <w:rFonts w:asciiTheme="majorBidi" w:hAnsiTheme="majorBidi" w:cstheme="majorBidi"/>
                <w:sz w:val="20"/>
                <w:szCs w:val="20"/>
              </w:rPr>
              <w:t>–</w:t>
            </w:r>
            <w:r w:rsidRPr="00E44BF4">
              <w:rPr>
                <w:sz w:val="20"/>
                <w:szCs w:val="20"/>
              </w:rPr>
              <w:t>117.3; 122.2; 124.2</w:t>
            </w:r>
            <w:r>
              <w:rPr>
                <w:rFonts w:asciiTheme="majorBidi" w:hAnsiTheme="majorBidi" w:cstheme="majorBidi"/>
                <w:sz w:val="20"/>
                <w:szCs w:val="20"/>
              </w:rPr>
              <w:t>–</w:t>
            </w:r>
            <w:r w:rsidRPr="00E44BF4">
              <w:rPr>
                <w:sz w:val="20"/>
                <w:szCs w:val="20"/>
              </w:rPr>
              <w:t>124.3; 126</w:t>
            </w:r>
            <w:r>
              <w:rPr>
                <w:rFonts w:asciiTheme="majorBidi" w:hAnsiTheme="majorBidi" w:cstheme="majorBidi"/>
                <w:sz w:val="20"/>
                <w:szCs w:val="20"/>
              </w:rPr>
              <w:t>–</w:t>
            </w:r>
            <w:r w:rsidRPr="00E44BF4">
              <w:rPr>
                <w:sz w:val="20"/>
                <w:szCs w:val="20"/>
              </w:rPr>
              <w:t xml:space="preserve">130 </w:t>
            </w:r>
          </w:p>
        </w:tc>
        <w:tc>
          <w:tcPr>
            <w:tcW w:w="1517" w:type="dxa"/>
          </w:tcPr>
          <w:p w14:paraId="400D5341" w14:textId="77777777" w:rsidR="00CA33B6" w:rsidRPr="00E44BF4" w:rsidRDefault="00CA33B6" w:rsidP="00CA33B6">
            <w:pPr>
              <w:keepNext/>
              <w:rPr>
                <w:sz w:val="20"/>
                <w:szCs w:val="20"/>
              </w:rPr>
            </w:pPr>
            <w:r w:rsidRPr="00E44BF4">
              <w:rPr>
                <w:sz w:val="20"/>
                <w:szCs w:val="20"/>
              </w:rPr>
              <w:t>Annual</w:t>
            </w:r>
          </w:p>
        </w:tc>
      </w:tr>
      <w:tr w:rsidR="00CA33B6" w:rsidRPr="00E44BF4" w14:paraId="5373B67E" w14:textId="77777777" w:rsidTr="00CA33B6">
        <w:tc>
          <w:tcPr>
            <w:tcW w:w="9504" w:type="dxa"/>
            <w:gridSpan w:val="4"/>
          </w:tcPr>
          <w:p w14:paraId="58FBEB03" w14:textId="3725F80E" w:rsidR="00CA33B6" w:rsidRPr="00E44BF4" w:rsidRDefault="00CA33B6" w:rsidP="00CA33B6">
            <w:pPr>
              <w:keepNext/>
              <w:rPr>
                <w:b/>
                <w:bCs/>
                <w:sz w:val="20"/>
                <w:szCs w:val="20"/>
              </w:rPr>
            </w:pPr>
            <w:r w:rsidRPr="00E44BF4">
              <w:rPr>
                <w:sz w:val="20"/>
                <w:szCs w:val="20"/>
              </w:rPr>
              <w:t xml:space="preserve">EQ1b: What other funding sources and types of activities were employed in SPF-Rx states and communities to address </w:t>
            </w:r>
            <w:r w:rsidRPr="00C84341">
              <w:rPr>
                <w:sz w:val="20"/>
                <w:szCs w:val="20"/>
              </w:rPr>
              <w:t>PDM</w:t>
            </w:r>
            <w:r w:rsidRPr="00E44BF4">
              <w:rPr>
                <w:sz w:val="20"/>
                <w:szCs w:val="20"/>
              </w:rPr>
              <w:t xml:space="preserve"> and overdose? How </w:t>
            </w:r>
            <w:r w:rsidR="006F4352" w:rsidRPr="00E44BF4">
              <w:rPr>
                <w:sz w:val="20"/>
                <w:szCs w:val="20"/>
              </w:rPr>
              <w:t>was</w:t>
            </w:r>
            <w:r w:rsidRPr="00E44BF4">
              <w:rPr>
                <w:sz w:val="20"/>
                <w:szCs w:val="20"/>
              </w:rPr>
              <w:t xml:space="preserve"> SPF-Rx interventions associated with outcomes above and beyond these other resources?</w:t>
            </w:r>
          </w:p>
        </w:tc>
      </w:tr>
      <w:tr w:rsidR="00CA33B6" w:rsidRPr="00E44BF4" w14:paraId="2EAC4BB0" w14:textId="77777777" w:rsidTr="00391B7A">
        <w:tc>
          <w:tcPr>
            <w:tcW w:w="2860" w:type="dxa"/>
          </w:tcPr>
          <w:p w14:paraId="012A7229" w14:textId="09BFCC2D" w:rsidR="00CA33B6" w:rsidRPr="00E44BF4" w:rsidRDefault="00CA33B6" w:rsidP="00CA33B6">
            <w:pPr>
              <w:keepNext/>
              <w:rPr>
                <w:sz w:val="20"/>
                <w:szCs w:val="20"/>
              </w:rPr>
            </w:pPr>
            <w:r w:rsidRPr="00E44BF4">
              <w:rPr>
                <w:sz w:val="20"/>
                <w:szCs w:val="20"/>
              </w:rPr>
              <w:t xml:space="preserve">Funding </w:t>
            </w:r>
            <w:r w:rsidR="006E0214" w:rsidRPr="00E44BF4">
              <w:rPr>
                <w:sz w:val="20"/>
                <w:szCs w:val="20"/>
              </w:rPr>
              <w:t>sources &amp; leveraging</w:t>
            </w:r>
          </w:p>
        </w:tc>
        <w:tc>
          <w:tcPr>
            <w:tcW w:w="2519" w:type="dxa"/>
          </w:tcPr>
          <w:p w14:paraId="546A484A" w14:textId="77777777" w:rsidR="00CA33B6" w:rsidRPr="00E44BF4" w:rsidRDefault="00CA33B6" w:rsidP="00CA33B6">
            <w:pPr>
              <w:keepNext/>
              <w:rPr>
                <w:sz w:val="20"/>
                <w:szCs w:val="20"/>
              </w:rPr>
            </w:pPr>
            <w:r w:rsidRPr="00E44BF4">
              <w:rPr>
                <w:sz w:val="20"/>
                <w:szCs w:val="20"/>
              </w:rPr>
              <w:t>AII (Sections 2b and 2c)</w:t>
            </w:r>
          </w:p>
        </w:tc>
        <w:tc>
          <w:tcPr>
            <w:tcW w:w="2608" w:type="dxa"/>
          </w:tcPr>
          <w:p w14:paraId="0C641DF9" w14:textId="77777777" w:rsidR="00CA33B6" w:rsidRPr="00E44BF4" w:rsidRDefault="00CA33B6" w:rsidP="00CA33B6">
            <w:pPr>
              <w:keepNext/>
              <w:rPr>
                <w:sz w:val="20"/>
                <w:szCs w:val="20"/>
              </w:rPr>
            </w:pPr>
            <w:r w:rsidRPr="00E44BF4">
              <w:rPr>
                <w:sz w:val="20"/>
                <w:szCs w:val="20"/>
              </w:rPr>
              <w:t xml:space="preserve">Items 16; 41 </w:t>
            </w:r>
          </w:p>
        </w:tc>
        <w:tc>
          <w:tcPr>
            <w:tcW w:w="1517" w:type="dxa"/>
          </w:tcPr>
          <w:p w14:paraId="77DE8549" w14:textId="77777777" w:rsidR="00CA33B6" w:rsidRPr="00E44BF4" w:rsidRDefault="00CA33B6" w:rsidP="00CA33B6">
            <w:pPr>
              <w:keepNext/>
              <w:rPr>
                <w:sz w:val="20"/>
                <w:szCs w:val="20"/>
              </w:rPr>
            </w:pPr>
            <w:r w:rsidRPr="00E44BF4">
              <w:rPr>
                <w:sz w:val="20"/>
                <w:szCs w:val="20"/>
              </w:rPr>
              <w:t>Annual</w:t>
            </w:r>
          </w:p>
        </w:tc>
      </w:tr>
      <w:tr w:rsidR="00CA33B6" w:rsidRPr="00E44BF4" w14:paraId="54F76BD4" w14:textId="77777777" w:rsidTr="00391B7A">
        <w:tc>
          <w:tcPr>
            <w:tcW w:w="2860" w:type="dxa"/>
          </w:tcPr>
          <w:p w14:paraId="22E076AE" w14:textId="77777777" w:rsidR="00CA33B6" w:rsidRPr="00E44BF4" w:rsidRDefault="00CA33B6" w:rsidP="00CA33B6">
            <w:pPr>
              <w:keepNext/>
              <w:rPr>
                <w:sz w:val="20"/>
                <w:szCs w:val="20"/>
              </w:rPr>
            </w:pPr>
          </w:p>
        </w:tc>
        <w:tc>
          <w:tcPr>
            <w:tcW w:w="2519" w:type="dxa"/>
          </w:tcPr>
          <w:p w14:paraId="1835BF97" w14:textId="77777777" w:rsidR="00CA33B6" w:rsidRPr="00E44BF4" w:rsidRDefault="00CA33B6" w:rsidP="00CA33B6">
            <w:pPr>
              <w:keepNext/>
              <w:rPr>
                <w:sz w:val="20"/>
                <w:szCs w:val="20"/>
              </w:rPr>
            </w:pPr>
            <w:r w:rsidRPr="00DF5194">
              <w:rPr>
                <w:sz w:val="20"/>
                <w:szCs w:val="20"/>
              </w:rPr>
              <w:t xml:space="preserve">GI </w:t>
            </w:r>
            <w:r w:rsidRPr="00E44BF4">
              <w:rPr>
                <w:sz w:val="20"/>
                <w:szCs w:val="20"/>
              </w:rPr>
              <w:t>(Section 2.4)</w:t>
            </w:r>
          </w:p>
        </w:tc>
        <w:tc>
          <w:tcPr>
            <w:tcW w:w="2608" w:type="dxa"/>
          </w:tcPr>
          <w:p w14:paraId="6103B72E" w14:textId="05606FD7" w:rsidR="00CA33B6" w:rsidRPr="00E44BF4" w:rsidRDefault="00CA33B6" w:rsidP="00CA33B6">
            <w:pPr>
              <w:keepNext/>
              <w:rPr>
                <w:sz w:val="20"/>
                <w:szCs w:val="20"/>
              </w:rPr>
            </w:pPr>
            <w:r w:rsidRPr="00E44BF4">
              <w:rPr>
                <w:sz w:val="20"/>
                <w:szCs w:val="20"/>
              </w:rPr>
              <w:t>Items 18</w:t>
            </w:r>
            <w:r>
              <w:rPr>
                <w:rFonts w:asciiTheme="majorBidi" w:hAnsiTheme="majorBidi" w:cstheme="majorBidi"/>
                <w:sz w:val="20"/>
                <w:szCs w:val="20"/>
              </w:rPr>
              <w:t>–</w:t>
            </w:r>
            <w:r w:rsidRPr="00E44BF4">
              <w:rPr>
                <w:sz w:val="20"/>
                <w:szCs w:val="20"/>
              </w:rPr>
              <w:t>20</w:t>
            </w:r>
          </w:p>
        </w:tc>
        <w:tc>
          <w:tcPr>
            <w:tcW w:w="1517" w:type="dxa"/>
          </w:tcPr>
          <w:p w14:paraId="669749CF" w14:textId="740965CF" w:rsidR="00CA33B6" w:rsidRPr="00E44BF4" w:rsidRDefault="00CA33B6" w:rsidP="00B852C1">
            <w:pPr>
              <w:keepNext/>
              <w:rPr>
                <w:sz w:val="20"/>
                <w:szCs w:val="20"/>
              </w:rPr>
            </w:pPr>
            <w:r w:rsidRPr="00E44BF4">
              <w:rPr>
                <w:sz w:val="20"/>
                <w:szCs w:val="20"/>
              </w:rPr>
              <w:t>Items 18</w:t>
            </w:r>
            <w:r>
              <w:rPr>
                <w:rFonts w:asciiTheme="majorBidi" w:hAnsiTheme="majorBidi" w:cstheme="majorBidi"/>
                <w:sz w:val="20"/>
                <w:szCs w:val="20"/>
              </w:rPr>
              <w:t>–</w:t>
            </w:r>
            <w:r w:rsidRPr="00E44BF4">
              <w:rPr>
                <w:sz w:val="20"/>
                <w:szCs w:val="20"/>
              </w:rPr>
              <w:t xml:space="preserve">19 collected </w:t>
            </w:r>
            <w:r w:rsidR="00FA6A31">
              <w:rPr>
                <w:sz w:val="20"/>
                <w:szCs w:val="20"/>
              </w:rPr>
              <w:t>baseline</w:t>
            </w:r>
            <w:r w:rsidR="00B852C1">
              <w:rPr>
                <w:sz w:val="20"/>
                <w:szCs w:val="20"/>
              </w:rPr>
              <w:t xml:space="preserve"> </w:t>
            </w:r>
            <w:r w:rsidRPr="00E44BF4">
              <w:rPr>
                <w:sz w:val="20"/>
                <w:szCs w:val="20"/>
              </w:rPr>
              <w:t xml:space="preserve">and </w:t>
            </w:r>
            <w:r w:rsidR="00EC43C0">
              <w:rPr>
                <w:sz w:val="20"/>
                <w:szCs w:val="20"/>
              </w:rPr>
              <w:t xml:space="preserve">final </w:t>
            </w:r>
            <w:r w:rsidR="00FA6A31">
              <w:rPr>
                <w:sz w:val="20"/>
                <w:szCs w:val="20"/>
              </w:rPr>
              <w:t>year</w:t>
            </w:r>
            <w:r w:rsidRPr="00E44BF4">
              <w:rPr>
                <w:sz w:val="20"/>
                <w:szCs w:val="20"/>
              </w:rPr>
              <w:t xml:space="preserve">; item 20 collected year 3 and </w:t>
            </w:r>
            <w:r w:rsidR="00EC43C0">
              <w:rPr>
                <w:sz w:val="20"/>
                <w:szCs w:val="20"/>
              </w:rPr>
              <w:t>final year</w:t>
            </w:r>
          </w:p>
        </w:tc>
      </w:tr>
    </w:tbl>
    <w:p w14:paraId="53F26739" w14:textId="77777777" w:rsidR="00391B7A" w:rsidRDefault="00391B7A" w:rsidP="00391B7A">
      <w:pPr>
        <w:jc w:val="right"/>
      </w:pPr>
      <w:r>
        <w:t>(</w:t>
      </w:r>
      <w:proofErr w:type="gramStart"/>
      <w:r>
        <w:t>continued</w:t>
      </w:r>
      <w:proofErr w:type="gramEnd"/>
      <w:r>
        <w:t>)</w:t>
      </w:r>
    </w:p>
    <w:p w14:paraId="16E81666" w14:textId="156EDE4F" w:rsidR="00391B7A" w:rsidRDefault="00391B7A" w:rsidP="00391B7A">
      <w:pPr>
        <w:pStyle w:val="ExhibitTitle"/>
        <w:pageBreakBefore/>
      </w:pPr>
      <w:r w:rsidRPr="000B3DFD">
        <w:lastRenderedPageBreak/>
        <w:t xml:space="preserve">Exhibit </w:t>
      </w:r>
      <w:r>
        <w:t>1:</w:t>
      </w:r>
      <w:r w:rsidRPr="000B3DFD">
        <w:t xml:space="preserve"> </w:t>
      </w:r>
      <w:r>
        <w:t xml:space="preserve">Evaluation of the </w:t>
      </w:r>
      <w:r w:rsidRPr="00C1785E">
        <w:t xml:space="preserve">Strategic Prevention Framework </w:t>
      </w:r>
      <w:r>
        <w:t>for Prescription Drugs (SPF-Rx</w:t>
      </w:r>
      <w:r w:rsidRPr="00C1785E">
        <w:t>)</w:t>
      </w:r>
      <w:r>
        <w:t xml:space="preserve"> in the </w:t>
      </w:r>
      <w:r w:rsidRPr="000B3DFD">
        <w:t xml:space="preserve">Program Evaluation </w:t>
      </w:r>
      <w:r w:rsidRPr="00E44BF4">
        <w:t>for</w:t>
      </w:r>
      <w:r w:rsidRPr="000B3DFD">
        <w:t xml:space="preserve"> Prevention Contract </w:t>
      </w:r>
      <w:r>
        <w:t>(PEP</w:t>
      </w:r>
      <w:r>
        <w:noBreakHyphen/>
        <w:t>C)—</w:t>
      </w:r>
      <w:r w:rsidRPr="000B3DFD">
        <w:t>Constructs and Data Sources</w:t>
      </w:r>
      <w:r>
        <w:t xml:space="preserve"> (cont.)</w:t>
      </w:r>
    </w:p>
    <w:tbl>
      <w:tblPr>
        <w:tblStyle w:val="TableGrid1"/>
        <w:tblW w:w="9509" w:type="dxa"/>
        <w:tblInd w:w="-5" w:type="dxa"/>
        <w:tblLook w:val="04A0" w:firstRow="1" w:lastRow="0" w:firstColumn="1" w:lastColumn="0" w:noHBand="0" w:noVBand="1"/>
      </w:tblPr>
      <w:tblGrid>
        <w:gridCol w:w="2376"/>
        <w:gridCol w:w="792"/>
        <w:gridCol w:w="1584"/>
        <w:gridCol w:w="1584"/>
        <w:gridCol w:w="792"/>
        <w:gridCol w:w="792"/>
        <w:gridCol w:w="1589"/>
      </w:tblGrid>
      <w:tr w:rsidR="000D2F08" w:rsidRPr="005456B5" w14:paraId="26321889" w14:textId="77777777" w:rsidTr="00391B7A">
        <w:tc>
          <w:tcPr>
            <w:tcW w:w="9504" w:type="dxa"/>
            <w:gridSpan w:val="7"/>
            <w:tcBorders>
              <w:top w:val="single" w:sz="4" w:space="0" w:color="auto"/>
            </w:tcBorders>
          </w:tcPr>
          <w:p w14:paraId="2F247F3D" w14:textId="1C21643D" w:rsidR="000D2F08" w:rsidRPr="00E44BF4" w:rsidRDefault="000D2F08" w:rsidP="000D2F08">
            <w:pPr>
              <w:rPr>
                <w:sz w:val="20"/>
                <w:szCs w:val="20"/>
              </w:rPr>
            </w:pPr>
            <w:r w:rsidRPr="000869F2">
              <w:rPr>
                <w:b/>
                <w:sz w:val="20"/>
                <w:szCs w:val="20"/>
              </w:rPr>
              <w:t>EQ2:</w:t>
            </w:r>
            <w:r w:rsidRPr="00E44BF4">
              <w:rPr>
                <w:sz w:val="20"/>
                <w:szCs w:val="20"/>
              </w:rPr>
              <w:t xml:space="preserve"> How did SPF-Rx grantees use </w:t>
            </w:r>
            <w:r w:rsidRPr="007A7EFA">
              <w:rPr>
                <w:sz w:val="20"/>
                <w:szCs w:val="20"/>
              </w:rPr>
              <w:t xml:space="preserve">PDMPs </w:t>
            </w:r>
            <w:r w:rsidRPr="00E44BF4">
              <w:rPr>
                <w:sz w:val="20"/>
                <w:szCs w:val="20"/>
              </w:rPr>
              <w:t xml:space="preserve">to improve prescription drug outcomes? </w:t>
            </w:r>
            <w:r w:rsidRPr="00E44BF4">
              <w:rPr>
                <w:i/>
                <w:iCs/>
                <w:sz w:val="20"/>
                <w:szCs w:val="20"/>
              </w:rPr>
              <w:t xml:space="preserve">(Overarching question answered by specific </w:t>
            </w:r>
            <w:proofErr w:type="spellStart"/>
            <w:r w:rsidRPr="00E44BF4">
              <w:rPr>
                <w:i/>
                <w:iCs/>
                <w:sz w:val="20"/>
                <w:szCs w:val="20"/>
              </w:rPr>
              <w:t>subquestions</w:t>
            </w:r>
            <w:proofErr w:type="spellEnd"/>
            <w:r w:rsidRPr="00E44BF4">
              <w:rPr>
                <w:i/>
                <w:iCs/>
                <w:sz w:val="20"/>
                <w:szCs w:val="20"/>
              </w:rPr>
              <w:t xml:space="preserve"> below.)</w:t>
            </w:r>
          </w:p>
        </w:tc>
      </w:tr>
      <w:tr w:rsidR="00391B7A" w:rsidRPr="005456B5" w14:paraId="4B035DC7" w14:textId="77777777" w:rsidTr="00391B7A">
        <w:tc>
          <w:tcPr>
            <w:tcW w:w="2376" w:type="dxa"/>
          </w:tcPr>
          <w:p w14:paraId="18D6AAC8" w14:textId="3581D8E5" w:rsidR="00391B7A" w:rsidRPr="00E44BF4" w:rsidRDefault="00391B7A" w:rsidP="00391B7A">
            <w:pPr>
              <w:rPr>
                <w:b/>
                <w:bCs/>
                <w:sz w:val="20"/>
                <w:szCs w:val="20"/>
              </w:rPr>
            </w:pPr>
            <w:r w:rsidRPr="00E44BF4">
              <w:rPr>
                <w:i/>
                <w:iCs/>
                <w:sz w:val="20"/>
                <w:szCs w:val="20"/>
              </w:rPr>
              <w:t>Construct</w:t>
            </w:r>
          </w:p>
        </w:tc>
        <w:tc>
          <w:tcPr>
            <w:tcW w:w="2376" w:type="dxa"/>
            <w:gridSpan w:val="2"/>
          </w:tcPr>
          <w:p w14:paraId="7E626AAF" w14:textId="516A8E59" w:rsidR="00391B7A" w:rsidRPr="00E44BF4" w:rsidRDefault="00391B7A" w:rsidP="00391B7A">
            <w:pPr>
              <w:rPr>
                <w:b/>
                <w:bCs/>
                <w:sz w:val="20"/>
                <w:szCs w:val="20"/>
              </w:rPr>
            </w:pPr>
            <w:r w:rsidRPr="00E44BF4">
              <w:rPr>
                <w:i/>
                <w:iCs/>
                <w:sz w:val="20"/>
                <w:szCs w:val="20"/>
              </w:rPr>
              <w:t>Data Source</w:t>
            </w:r>
          </w:p>
        </w:tc>
        <w:tc>
          <w:tcPr>
            <w:tcW w:w="2376" w:type="dxa"/>
            <w:gridSpan w:val="2"/>
          </w:tcPr>
          <w:p w14:paraId="20A3A5FA" w14:textId="7FE3DF45" w:rsidR="00391B7A" w:rsidRPr="00E44BF4" w:rsidRDefault="00391B7A" w:rsidP="00391B7A">
            <w:pPr>
              <w:rPr>
                <w:b/>
                <w:bCs/>
                <w:sz w:val="20"/>
                <w:szCs w:val="20"/>
              </w:rPr>
            </w:pPr>
            <w:r w:rsidRPr="00E44BF4">
              <w:rPr>
                <w:i/>
                <w:iCs/>
                <w:sz w:val="20"/>
                <w:szCs w:val="20"/>
              </w:rPr>
              <w:t>Items</w:t>
            </w:r>
          </w:p>
        </w:tc>
        <w:tc>
          <w:tcPr>
            <w:tcW w:w="2381" w:type="dxa"/>
            <w:gridSpan w:val="2"/>
          </w:tcPr>
          <w:p w14:paraId="096A386D" w14:textId="63F94C55" w:rsidR="00391B7A" w:rsidRPr="00E44BF4" w:rsidRDefault="00391B7A" w:rsidP="00391B7A">
            <w:pPr>
              <w:rPr>
                <w:b/>
                <w:bCs/>
                <w:sz w:val="20"/>
                <w:szCs w:val="20"/>
              </w:rPr>
            </w:pPr>
            <w:r w:rsidRPr="00E44BF4">
              <w:rPr>
                <w:bCs/>
                <w:i/>
                <w:sz w:val="20"/>
                <w:szCs w:val="20"/>
              </w:rPr>
              <w:t>Timing</w:t>
            </w:r>
          </w:p>
        </w:tc>
      </w:tr>
      <w:tr w:rsidR="00391B7A" w:rsidRPr="005456B5" w14:paraId="4778B83B" w14:textId="77777777" w:rsidTr="00391B7A">
        <w:tc>
          <w:tcPr>
            <w:tcW w:w="9509" w:type="dxa"/>
            <w:gridSpan w:val="7"/>
          </w:tcPr>
          <w:p w14:paraId="6AE3FD49" w14:textId="07E51EB7" w:rsidR="00391B7A" w:rsidRPr="00E44BF4" w:rsidRDefault="00391B7A" w:rsidP="00391B7A">
            <w:pPr>
              <w:rPr>
                <w:b/>
                <w:bCs/>
                <w:sz w:val="20"/>
                <w:szCs w:val="20"/>
              </w:rPr>
            </w:pPr>
            <w:r w:rsidRPr="00E44BF4">
              <w:rPr>
                <w:b/>
                <w:bCs/>
                <w:sz w:val="20"/>
                <w:szCs w:val="20"/>
              </w:rPr>
              <w:t xml:space="preserve">EQ2a: </w:t>
            </w:r>
            <w:r w:rsidRPr="00E44BF4">
              <w:rPr>
                <w:sz w:val="20"/>
                <w:szCs w:val="20"/>
              </w:rPr>
              <w:t>Were changes in PDMP-related capabilities</w:t>
            </w:r>
            <w:r>
              <w:rPr>
                <w:sz w:val="20"/>
                <w:szCs w:val="20"/>
              </w:rPr>
              <w:t xml:space="preserve">, </w:t>
            </w:r>
            <w:r w:rsidRPr="00E44BF4">
              <w:rPr>
                <w:sz w:val="20"/>
                <w:szCs w:val="20"/>
              </w:rPr>
              <w:t>policies</w:t>
            </w:r>
            <w:r>
              <w:rPr>
                <w:sz w:val="20"/>
                <w:szCs w:val="20"/>
              </w:rPr>
              <w:t xml:space="preserve">, and </w:t>
            </w:r>
            <w:r w:rsidRPr="00E44BF4">
              <w:rPr>
                <w:sz w:val="20"/>
                <w:szCs w:val="20"/>
              </w:rPr>
              <w:t>practices associated with intermediate outcomes (e.g., increased PDMP registration</w:t>
            </w:r>
            <w:r>
              <w:rPr>
                <w:sz w:val="20"/>
                <w:szCs w:val="20"/>
              </w:rPr>
              <w:t xml:space="preserve"> or </w:t>
            </w:r>
            <w:r w:rsidRPr="00E44BF4">
              <w:rPr>
                <w:sz w:val="20"/>
                <w:szCs w:val="20"/>
              </w:rPr>
              <w:t>queries among physicians) and long-term outcomes (reduced rate of opioid overdose)?</w:t>
            </w:r>
          </w:p>
        </w:tc>
      </w:tr>
      <w:tr w:rsidR="00391B7A" w:rsidRPr="005456B5" w14:paraId="5BA01CC0" w14:textId="77777777" w:rsidTr="00391B7A">
        <w:tc>
          <w:tcPr>
            <w:tcW w:w="3168" w:type="dxa"/>
            <w:gridSpan w:val="2"/>
            <w:vMerge w:val="restart"/>
          </w:tcPr>
          <w:p w14:paraId="7E00CDAD" w14:textId="7BD81A55" w:rsidR="00391B7A" w:rsidRPr="00E44BF4" w:rsidRDefault="00391B7A" w:rsidP="00391B7A">
            <w:pPr>
              <w:rPr>
                <w:iCs/>
                <w:sz w:val="20"/>
                <w:szCs w:val="20"/>
              </w:rPr>
            </w:pPr>
            <w:r w:rsidRPr="00E44BF4">
              <w:rPr>
                <w:iCs/>
                <w:sz w:val="20"/>
                <w:szCs w:val="20"/>
              </w:rPr>
              <w:t>PDMP capabilities</w:t>
            </w:r>
            <w:r>
              <w:rPr>
                <w:iCs/>
                <w:sz w:val="20"/>
                <w:szCs w:val="20"/>
              </w:rPr>
              <w:t xml:space="preserve"> and </w:t>
            </w:r>
            <w:r w:rsidRPr="00E44BF4">
              <w:rPr>
                <w:iCs/>
                <w:sz w:val="20"/>
                <w:szCs w:val="20"/>
              </w:rPr>
              <w:t>practices</w:t>
            </w:r>
          </w:p>
        </w:tc>
        <w:tc>
          <w:tcPr>
            <w:tcW w:w="3168" w:type="dxa"/>
            <w:gridSpan w:val="2"/>
          </w:tcPr>
          <w:p w14:paraId="7FDF56FC" w14:textId="77777777" w:rsidR="00391B7A" w:rsidRPr="00E44BF4" w:rsidRDefault="00391B7A" w:rsidP="00391B7A">
            <w:pPr>
              <w:rPr>
                <w:iCs/>
                <w:sz w:val="20"/>
                <w:szCs w:val="20"/>
              </w:rPr>
            </w:pPr>
            <w:r w:rsidRPr="00E44BF4">
              <w:rPr>
                <w:iCs/>
                <w:sz w:val="20"/>
                <w:szCs w:val="20"/>
              </w:rPr>
              <w:t>AII (Sections 2a, 2b, 2c)</w:t>
            </w:r>
          </w:p>
        </w:tc>
        <w:tc>
          <w:tcPr>
            <w:tcW w:w="1584" w:type="dxa"/>
            <w:gridSpan w:val="2"/>
          </w:tcPr>
          <w:p w14:paraId="36190C8A" w14:textId="74179E82" w:rsidR="00391B7A" w:rsidRPr="00E44BF4" w:rsidRDefault="00391B7A" w:rsidP="00391B7A">
            <w:pPr>
              <w:rPr>
                <w:iCs/>
                <w:sz w:val="20"/>
                <w:szCs w:val="20"/>
              </w:rPr>
            </w:pPr>
            <w:r w:rsidRPr="00E44BF4">
              <w:rPr>
                <w:iCs/>
                <w:sz w:val="20"/>
                <w:szCs w:val="20"/>
              </w:rPr>
              <w:t>Items 6.7</w:t>
            </w:r>
            <w:r>
              <w:rPr>
                <w:rFonts w:asciiTheme="majorBidi" w:hAnsiTheme="majorBidi" w:cstheme="majorBidi"/>
                <w:sz w:val="20"/>
                <w:szCs w:val="20"/>
              </w:rPr>
              <w:t>–</w:t>
            </w:r>
            <w:r w:rsidRPr="00E44BF4">
              <w:rPr>
                <w:iCs/>
                <w:sz w:val="20"/>
                <w:szCs w:val="20"/>
              </w:rPr>
              <w:t>6.14;</w:t>
            </w:r>
            <w:r>
              <w:rPr>
                <w:iCs/>
                <w:sz w:val="20"/>
                <w:szCs w:val="20"/>
              </w:rPr>
              <w:t xml:space="preserve"> </w:t>
            </w:r>
            <w:r w:rsidRPr="00E44BF4">
              <w:rPr>
                <w:iCs/>
                <w:sz w:val="20"/>
                <w:szCs w:val="20"/>
              </w:rPr>
              <w:t>6.27; 12; 13; 19</w:t>
            </w:r>
            <w:r>
              <w:rPr>
                <w:rFonts w:asciiTheme="majorBidi" w:hAnsiTheme="majorBidi" w:cstheme="majorBidi"/>
                <w:sz w:val="20"/>
                <w:szCs w:val="20"/>
              </w:rPr>
              <w:t>–</w:t>
            </w:r>
            <w:r w:rsidRPr="00E44BF4">
              <w:rPr>
                <w:iCs/>
                <w:sz w:val="20"/>
                <w:szCs w:val="20"/>
              </w:rPr>
              <w:t>23;</w:t>
            </w:r>
            <w:r>
              <w:rPr>
                <w:iCs/>
                <w:sz w:val="20"/>
                <w:szCs w:val="20"/>
              </w:rPr>
              <w:t xml:space="preserve"> </w:t>
            </w:r>
            <w:r w:rsidRPr="00E44BF4">
              <w:rPr>
                <w:iCs/>
                <w:sz w:val="20"/>
                <w:szCs w:val="20"/>
              </w:rPr>
              <w:t xml:space="preserve">90 </w:t>
            </w:r>
          </w:p>
        </w:tc>
        <w:tc>
          <w:tcPr>
            <w:tcW w:w="1589" w:type="dxa"/>
          </w:tcPr>
          <w:p w14:paraId="7A02E1DF" w14:textId="77777777" w:rsidR="00391B7A" w:rsidRPr="00E44BF4" w:rsidRDefault="00391B7A" w:rsidP="00391B7A">
            <w:pPr>
              <w:rPr>
                <w:iCs/>
                <w:sz w:val="20"/>
                <w:szCs w:val="20"/>
              </w:rPr>
            </w:pPr>
            <w:r w:rsidRPr="00E44BF4">
              <w:rPr>
                <w:iCs/>
                <w:sz w:val="20"/>
                <w:szCs w:val="20"/>
              </w:rPr>
              <w:t>Annual except item 19 (baseline)</w:t>
            </w:r>
          </w:p>
        </w:tc>
      </w:tr>
      <w:tr w:rsidR="00391B7A" w:rsidRPr="005456B5" w14:paraId="62AF45F9" w14:textId="77777777" w:rsidTr="00391B7A">
        <w:tc>
          <w:tcPr>
            <w:tcW w:w="3168" w:type="dxa"/>
            <w:gridSpan w:val="2"/>
            <w:vMerge/>
          </w:tcPr>
          <w:p w14:paraId="287BCB97" w14:textId="77777777" w:rsidR="00391B7A" w:rsidRPr="00E44BF4" w:rsidRDefault="00391B7A" w:rsidP="00391B7A">
            <w:pPr>
              <w:rPr>
                <w:iCs/>
                <w:sz w:val="20"/>
                <w:szCs w:val="20"/>
              </w:rPr>
            </w:pPr>
          </w:p>
        </w:tc>
        <w:tc>
          <w:tcPr>
            <w:tcW w:w="3168" w:type="dxa"/>
            <w:gridSpan w:val="2"/>
          </w:tcPr>
          <w:p w14:paraId="303E3187" w14:textId="77777777" w:rsidR="00391B7A" w:rsidRPr="00E44BF4" w:rsidRDefault="00391B7A" w:rsidP="00391B7A">
            <w:pPr>
              <w:rPr>
                <w:iCs/>
                <w:sz w:val="20"/>
                <w:szCs w:val="20"/>
              </w:rPr>
            </w:pPr>
            <w:r w:rsidRPr="00E44BF4">
              <w:rPr>
                <w:iCs/>
                <w:sz w:val="20"/>
                <w:szCs w:val="20"/>
              </w:rPr>
              <w:t>GI (Sections 2.2, 2.6)</w:t>
            </w:r>
          </w:p>
        </w:tc>
        <w:tc>
          <w:tcPr>
            <w:tcW w:w="1584" w:type="dxa"/>
            <w:gridSpan w:val="2"/>
          </w:tcPr>
          <w:p w14:paraId="5CFEE16E" w14:textId="649D2B82" w:rsidR="00391B7A" w:rsidRPr="00E44BF4" w:rsidRDefault="00391B7A" w:rsidP="00391B7A">
            <w:pPr>
              <w:rPr>
                <w:iCs/>
                <w:sz w:val="20"/>
                <w:szCs w:val="20"/>
              </w:rPr>
            </w:pPr>
            <w:r w:rsidRPr="00E44BF4">
              <w:rPr>
                <w:iCs/>
                <w:sz w:val="20"/>
                <w:szCs w:val="20"/>
              </w:rPr>
              <w:t>Items 5</w:t>
            </w:r>
            <w:r>
              <w:rPr>
                <w:rFonts w:asciiTheme="majorBidi" w:hAnsiTheme="majorBidi" w:cstheme="majorBidi"/>
                <w:sz w:val="20"/>
                <w:szCs w:val="20"/>
              </w:rPr>
              <w:t>–</w:t>
            </w:r>
            <w:r w:rsidRPr="00E44BF4">
              <w:rPr>
                <w:iCs/>
                <w:sz w:val="20"/>
                <w:szCs w:val="20"/>
              </w:rPr>
              <w:t>11; 25a</w:t>
            </w:r>
            <w:r>
              <w:rPr>
                <w:rFonts w:asciiTheme="majorBidi" w:hAnsiTheme="majorBidi" w:cstheme="majorBidi"/>
                <w:sz w:val="20"/>
                <w:szCs w:val="20"/>
              </w:rPr>
              <w:t>–</w:t>
            </w:r>
            <w:r w:rsidRPr="00E44BF4">
              <w:rPr>
                <w:iCs/>
                <w:sz w:val="20"/>
                <w:szCs w:val="20"/>
              </w:rPr>
              <w:t xml:space="preserve">c </w:t>
            </w:r>
          </w:p>
        </w:tc>
        <w:tc>
          <w:tcPr>
            <w:tcW w:w="1589" w:type="dxa"/>
          </w:tcPr>
          <w:p w14:paraId="391B2D8D" w14:textId="5C646B3D" w:rsidR="00391B7A" w:rsidRPr="00E44BF4" w:rsidRDefault="00391B7A" w:rsidP="00391B7A">
            <w:pPr>
              <w:rPr>
                <w:iCs/>
                <w:sz w:val="20"/>
                <w:szCs w:val="20"/>
              </w:rPr>
            </w:pPr>
            <w:r w:rsidRPr="00E44BF4">
              <w:rPr>
                <w:iCs/>
                <w:sz w:val="20"/>
                <w:szCs w:val="20"/>
              </w:rPr>
              <w:t>Items 5</w:t>
            </w:r>
            <w:r>
              <w:rPr>
                <w:rFonts w:asciiTheme="majorBidi" w:hAnsiTheme="majorBidi" w:cstheme="majorBidi"/>
                <w:sz w:val="20"/>
                <w:szCs w:val="20"/>
              </w:rPr>
              <w:t>–</w:t>
            </w:r>
            <w:r w:rsidRPr="00E44BF4">
              <w:rPr>
                <w:iCs/>
                <w:sz w:val="20"/>
                <w:szCs w:val="20"/>
              </w:rPr>
              <w:t xml:space="preserve">6 at </w:t>
            </w:r>
            <w:r>
              <w:rPr>
                <w:iCs/>
                <w:sz w:val="20"/>
                <w:szCs w:val="20"/>
              </w:rPr>
              <w:t>baseline</w:t>
            </w:r>
            <w:r w:rsidRPr="00E44BF4">
              <w:rPr>
                <w:iCs/>
                <w:sz w:val="20"/>
                <w:szCs w:val="20"/>
              </w:rPr>
              <w:t xml:space="preserve"> only; items 10 and 25a</w:t>
            </w:r>
            <w:r>
              <w:rPr>
                <w:rFonts w:asciiTheme="majorBidi" w:hAnsiTheme="majorBidi" w:cstheme="majorBidi"/>
                <w:sz w:val="20"/>
                <w:szCs w:val="20"/>
              </w:rPr>
              <w:t>–</w:t>
            </w:r>
            <w:r w:rsidRPr="00E44BF4">
              <w:rPr>
                <w:iCs/>
                <w:sz w:val="20"/>
                <w:szCs w:val="20"/>
              </w:rPr>
              <w:t>c at years 3 and 5; item</w:t>
            </w:r>
            <w:r>
              <w:rPr>
                <w:iCs/>
                <w:sz w:val="20"/>
                <w:szCs w:val="20"/>
              </w:rPr>
              <w:t xml:space="preserve">s </w:t>
            </w:r>
            <w:r w:rsidRPr="00E44BF4">
              <w:rPr>
                <w:iCs/>
                <w:sz w:val="20"/>
                <w:szCs w:val="20"/>
              </w:rPr>
              <w:t>7</w:t>
            </w:r>
            <w:r>
              <w:rPr>
                <w:rFonts w:asciiTheme="majorBidi" w:hAnsiTheme="majorBidi" w:cstheme="majorBidi"/>
                <w:sz w:val="20"/>
                <w:szCs w:val="20"/>
              </w:rPr>
              <w:t>–</w:t>
            </w:r>
            <w:r w:rsidRPr="00E44BF4">
              <w:rPr>
                <w:iCs/>
                <w:sz w:val="20"/>
                <w:szCs w:val="20"/>
              </w:rPr>
              <w:t xml:space="preserve">9 and 11 at </w:t>
            </w:r>
            <w:r>
              <w:rPr>
                <w:iCs/>
                <w:sz w:val="20"/>
                <w:szCs w:val="20"/>
              </w:rPr>
              <w:t>baseline, year</w:t>
            </w:r>
            <w:r w:rsidRPr="00E44BF4">
              <w:rPr>
                <w:iCs/>
                <w:sz w:val="20"/>
                <w:szCs w:val="20"/>
              </w:rPr>
              <w:t xml:space="preserve"> 3</w:t>
            </w:r>
            <w:r>
              <w:rPr>
                <w:iCs/>
                <w:sz w:val="20"/>
                <w:szCs w:val="20"/>
              </w:rPr>
              <w:t>,</w:t>
            </w:r>
            <w:r w:rsidRPr="00E44BF4">
              <w:rPr>
                <w:iCs/>
                <w:sz w:val="20"/>
                <w:szCs w:val="20"/>
              </w:rPr>
              <w:t xml:space="preserve"> and </w:t>
            </w:r>
            <w:r>
              <w:rPr>
                <w:iCs/>
                <w:sz w:val="20"/>
                <w:szCs w:val="20"/>
              </w:rPr>
              <w:t>final year</w:t>
            </w:r>
          </w:p>
        </w:tc>
      </w:tr>
      <w:tr w:rsidR="000D2F08" w:rsidRPr="005456B5" w14:paraId="7175CF4B" w14:textId="77777777" w:rsidTr="00391B7A">
        <w:tc>
          <w:tcPr>
            <w:tcW w:w="3168" w:type="dxa"/>
            <w:gridSpan w:val="2"/>
          </w:tcPr>
          <w:p w14:paraId="791C53CB" w14:textId="2091058B" w:rsidR="000D2F08" w:rsidRPr="00E44BF4" w:rsidRDefault="000D2F08" w:rsidP="000D2F08">
            <w:pPr>
              <w:rPr>
                <w:iCs/>
                <w:sz w:val="20"/>
                <w:szCs w:val="20"/>
              </w:rPr>
            </w:pPr>
            <w:r w:rsidRPr="00E44BF4">
              <w:rPr>
                <w:iCs/>
                <w:sz w:val="20"/>
                <w:szCs w:val="20"/>
              </w:rPr>
              <w:t xml:space="preserve">PDMP </w:t>
            </w:r>
            <w:r w:rsidR="006E0214" w:rsidRPr="00E44BF4">
              <w:rPr>
                <w:iCs/>
                <w:sz w:val="20"/>
                <w:szCs w:val="20"/>
              </w:rPr>
              <w:t>policies</w:t>
            </w:r>
          </w:p>
        </w:tc>
        <w:tc>
          <w:tcPr>
            <w:tcW w:w="3168" w:type="dxa"/>
            <w:gridSpan w:val="2"/>
          </w:tcPr>
          <w:p w14:paraId="4EC799FE" w14:textId="77777777" w:rsidR="000D2F08" w:rsidRPr="00E44BF4" w:rsidRDefault="000D2F08" w:rsidP="000D2F08">
            <w:pPr>
              <w:rPr>
                <w:iCs/>
                <w:sz w:val="20"/>
                <w:szCs w:val="20"/>
              </w:rPr>
            </w:pPr>
            <w:r w:rsidRPr="00E44BF4">
              <w:rPr>
                <w:iCs/>
                <w:sz w:val="20"/>
                <w:szCs w:val="20"/>
              </w:rPr>
              <w:t>AII (Section 2c)</w:t>
            </w:r>
          </w:p>
        </w:tc>
        <w:tc>
          <w:tcPr>
            <w:tcW w:w="1584" w:type="dxa"/>
            <w:gridSpan w:val="2"/>
          </w:tcPr>
          <w:p w14:paraId="5A6B79DE" w14:textId="77777777" w:rsidR="000D2F08" w:rsidRPr="00E44BF4" w:rsidRDefault="000D2F08" w:rsidP="000D2F08">
            <w:pPr>
              <w:rPr>
                <w:iCs/>
                <w:sz w:val="20"/>
                <w:szCs w:val="20"/>
              </w:rPr>
            </w:pPr>
            <w:r w:rsidRPr="00E44BF4">
              <w:rPr>
                <w:iCs/>
                <w:sz w:val="20"/>
                <w:szCs w:val="20"/>
              </w:rPr>
              <w:t>Item 90</w:t>
            </w:r>
          </w:p>
        </w:tc>
        <w:tc>
          <w:tcPr>
            <w:tcW w:w="1589" w:type="dxa"/>
          </w:tcPr>
          <w:p w14:paraId="682F1642" w14:textId="77777777" w:rsidR="000D2F08" w:rsidRPr="00E44BF4" w:rsidRDefault="000D2F08" w:rsidP="000D2F08">
            <w:pPr>
              <w:rPr>
                <w:iCs/>
                <w:sz w:val="20"/>
                <w:szCs w:val="20"/>
              </w:rPr>
            </w:pPr>
            <w:r w:rsidRPr="00E44BF4">
              <w:rPr>
                <w:iCs/>
                <w:sz w:val="20"/>
                <w:szCs w:val="20"/>
              </w:rPr>
              <w:t>Annual</w:t>
            </w:r>
          </w:p>
        </w:tc>
      </w:tr>
      <w:tr w:rsidR="000D2F08" w:rsidRPr="005456B5" w14:paraId="24CAE5A6" w14:textId="77777777" w:rsidTr="00391B7A">
        <w:tc>
          <w:tcPr>
            <w:tcW w:w="3168" w:type="dxa"/>
            <w:gridSpan w:val="2"/>
          </w:tcPr>
          <w:p w14:paraId="4F9E70F9" w14:textId="77777777" w:rsidR="000D2F08" w:rsidRPr="00E44BF4" w:rsidRDefault="000D2F08" w:rsidP="000D2F08">
            <w:pPr>
              <w:rPr>
                <w:i/>
                <w:iCs/>
                <w:sz w:val="20"/>
                <w:szCs w:val="20"/>
              </w:rPr>
            </w:pPr>
          </w:p>
        </w:tc>
        <w:tc>
          <w:tcPr>
            <w:tcW w:w="3168" w:type="dxa"/>
            <w:gridSpan w:val="2"/>
          </w:tcPr>
          <w:p w14:paraId="0C60DCB2" w14:textId="77777777" w:rsidR="000D2F08" w:rsidRPr="00E44BF4" w:rsidRDefault="000D2F08" w:rsidP="000D2F08">
            <w:pPr>
              <w:rPr>
                <w:iCs/>
                <w:sz w:val="20"/>
                <w:szCs w:val="20"/>
              </w:rPr>
            </w:pPr>
            <w:r w:rsidRPr="00E44BF4">
              <w:rPr>
                <w:iCs/>
                <w:sz w:val="20"/>
                <w:szCs w:val="20"/>
              </w:rPr>
              <w:t>GI (Sections 2.2, 2.5, 2.6)</w:t>
            </w:r>
          </w:p>
        </w:tc>
        <w:tc>
          <w:tcPr>
            <w:tcW w:w="1584" w:type="dxa"/>
            <w:gridSpan w:val="2"/>
          </w:tcPr>
          <w:p w14:paraId="7AFF6324" w14:textId="0829461B" w:rsidR="000D2F08" w:rsidRPr="00E44BF4" w:rsidRDefault="000D2F08" w:rsidP="000D2F08">
            <w:pPr>
              <w:rPr>
                <w:iCs/>
                <w:sz w:val="20"/>
                <w:szCs w:val="20"/>
              </w:rPr>
            </w:pPr>
            <w:r w:rsidRPr="00E44BF4">
              <w:rPr>
                <w:iCs/>
                <w:sz w:val="20"/>
                <w:szCs w:val="20"/>
              </w:rPr>
              <w:t>Items 5</w:t>
            </w:r>
            <w:r w:rsidR="00866493">
              <w:rPr>
                <w:rFonts w:asciiTheme="majorBidi" w:hAnsiTheme="majorBidi" w:cstheme="majorBidi"/>
                <w:sz w:val="20"/>
                <w:szCs w:val="20"/>
              </w:rPr>
              <w:t>–</w:t>
            </w:r>
            <w:r w:rsidRPr="00E44BF4">
              <w:rPr>
                <w:iCs/>
                <w:sz w:val="20"/>
                <w:szCs w:val="20"/>
              </w:rPr>
              <w:t>11; 23;</w:t>
            </w:r>
            <w:r w:rsidR="00DC5FFF">
              <w:rPr>
                <w:iCs/>
                <w:sz w:val="20"/>
                <w:szCs w:val="20"/>
              </w:rPr>
              <w:t xml:space="preserve"> </w:t>
            </w:r>
            <w:r w:rsidRPr="00E44BF4">
              <w:rPr>
                <w:iCs/>
                <w:sz w:val="20"/>
                <w:szCs w:val="20"/>
              </w:rPr>
              <w:t>25a</w:t>
            </w:r>
            <w:r w:rsidR="00866493">
              <w:rPr>
                <w:rFonts w:asciiTheme="majorBidi" w:hAnsiTheme="majorBidi" w:cstheme="majorBidi"/>
                <w:sz w:val="20"/>
                <w:szCs w:val="20"/>
              </w:rPr>
              <w:t>–</w:t>
            </w:r>
            <w:r w:rsidRPr="00E44BF4">
              <w:rPr>
                <w:iCs/>
                <w:sz w:val="20"/>
                <w:szCs w:val="20"/>
              </w:rPr>
              <w:t>c</w:t>
            </w:r>
          </w:p>
        </w:tc>
        <w:tc>
          <w:tcPr>
            <w:tcW w:w="1589" w:type="dxa"/>
          </w:tcPr>
          <w:p w14:paraId="328B4B0C" w14:textId="5D424620" w:rsidR="000D2F08" w:rsidRPr="00E44BF4" w:rsidRDefault="000D2F08" w:rsidP="00DC5FFF">
            <w:pPr>
              <w:rPr>
                <w:iCs/>
                <w:sz w:val="20"/>
                <w:szCs w:val="20"/>
              </w:rPr>
            </w:pPr>
            <w:r w:rsidRPr="00E44BF4">
              <w:rPr>
                <w:iCs/>
                <w:sz w:val="20"/>
                <w:szCs w:val="20"/>
              </w:rPr>
              <w:t>Items 5</w:t>
            </w:r>
            <w:r w:rsidR="00866493">
              <w:rPr>
                <w:rFonts w:asciiTheme="majorBidi" w:hAnsiTheme="majorBidi" w:cstheme="majorBidi"/>
                <w:sz w:val="20"/>
                <w:szCs w:val="20"/>
              </w:rPr>
              <w:t>–</w:t>
            </w:r>
            <w:r w:rsidRPr="00E44BF4">
              <w:rPr>
                <w:iCs/>
                <w:sz w:val="20"/>
                <w:szCs w:val="20"/>
              </w:rPr>
              <w:t xml:space="preserve">6 at </w:t>
            </w:r>
            <w:r w:rsidR="00FA6A31">
              <w:rPr>
                <w:iCs/>
                <w:sz w:val="20"/>
                <w:szCs w:val="20"/>
              </w:rPr>
              <w:t>baseline</w:t>
            </w:r>
            <w:r w:rsidRPr="00E44BF4">
              <w:rPr>
                <w:iCs/>
                <w:sz w:val="20"/>
                <w:szCs w:val="20"/>
              </w:rPr>
              <w:t xml:space="preserve"> only; items 10 and 25a</w:t>
            </w:r>
            <w:r w:rsidR="00866493">
              <w:rPr>
                <w:rFonts w:asciiTheme="majorBidi" w:hAnsiTheme="majorBidi" w:cstheme="majorBidi"/>
                <w:sz w:val="20"/>
                <w:szCs w:val="20"/>
              </w:rPr>
              <w:t>–</w:t>
            </w:r>
            <w:r w:rsidRPr="00E44BF4">
              <w:rPr>
                <w:iCs/>
                <w:sz w:val="20"/>
                <w:szCs w:val="20"/>
              </w:rPr>
              <w:t xml:space="preserve">c at year 3 and </w:t>
            </w:r>
            <w:r w:rsidR="00EC43C0">
              <w:rPr>
                <w:iCs/>
                <w:sz w:val="20"/>
                <w:szCs w:val="20"/>
              </w:rPr>
              <w:t>final year</w:t>
            </w:r>
            <w:r w:rsidRPr="00E44BF4">
              <w:rPr>
                <w:iCs/>
                <w:sz w:val="20"/>
                <w:szCs w:val="20"/>
              </w:rPr>
              <w:t>; items 7</w:t>
            </w:r>
            <w:r w:rsidR="00DC5FFF">
              <w:rPr>
                <w:iCs/>
                <w:sz w:val="20"/>
                <w:szCs w:val="20"/>
              </w:rPr>
              <w:t>–</w:t>
            </w:r>
            <w:r w:rsidRPr="00E44BF4">
              <w:rPr>
                <w:iCs/>
                <w:sz w:val="20"/>
                <w:szCs w:val="20"/>
              </w:rPr>
              <w:t xml:space="preserve">9, 11, and 23 at </w:t>
            </w:r>
            <w:r w:rsidR="00FA6A31">
              <w:rPr>
                <w:iCs/>
                <w:sz w:val="20"/>
                <w:szCs w:val="20"/>
              </w:rPr>
              <w:t>baseline</w:t>
            </w:r>
            <w:r w:rsidR="00EC43C0">
              <w:rPr>
                <w:iCs/>
                <w:sz w:val="20"/>
                <w:szCs w:val="20"/>
              </w:rPr>
              <w:t>,</w:t>
            </w:r>
            <w:r w:rsidR="00FA6A31">
              <w:rPr>
                <w:iCs/>
                <w:sz w:val="20"/>
                <w:szCs w:val="20"/>
              </w:rPr>
              <w:t xml:space="preserve"> </w:t>
            </w:r>
            <w:r w:rsidRPr="00E44BF4">
              <w:rPr>
                <w:iCs/>
                <w:sz w:val="20"/>
                <w:szCs w:val="20"/>
              </w:rPr>
              <w:t xml:space="preserve">year 3, and </w:t>
            </w:r>
            <w:r w:rsidR="00EC43C0">
              <w:rPr>
                <w:iCs/>
                <w:sz w:val="20"/>
                <w:szCs w:val="20"/>
              </w:rPr>
              <w:t>final year</w:t>
            </w:r>
          </w:p>
        </w:tc>
      </w:tr>
      <w:tr w:rsidR="000D2F08" w:rsidRPr="005456B5" w14:paraId="1A0CA443" w14:textId="77777777" w:rsidTr="00391B7A">
        <w:tc>
          <w:tcPr>
            <w:tcW w:w="9509" w:type="dxa"/>
            <w:gridSpan w:val="7"/>
          </w:tcPr>
          <w:p w14:paraId="16D8E66D" w14:textId="6A72DC8C" w:rsidR="000D2F08" w:rsidRPr="00E44BF4" w:rsidRDefault="000D2F08" w:rsidP="00DC5FFF">
            <w:pPr>
              <w:rPr>
                <w:b/>
                <w:bCs/>
                <w:sz w:val="20"/>
                <w:szCs w:val="20"/>
              </w:rPr>
            </w:pPr>
            <w:r w:rsidRPr="00E44BF4">
              <w:rPr>
                <w:b/>
                <w:bCs/>
                <w:sz w:val="20"/>
                <w:szCs w:val="20"/>
              </w:rPr>
              <w:t xml:space="preserve">EQ2b: </w:t>
            </w:r>
            <w:r w:rsidRPr="00E44BF4">
              <w:rPr>
                <w:sz w:val="20"/>
                <w:szCs w:val="20"/>
              </w:rPr>
              <w:t xml:space="preserve">How were PDMPs incorporated into the SPF model, including </w:t>
            </w:r>
            <w:r w:rsidR="00DC5FFF">
              <w:rPr>
                <w:sz w:val="20"/>
                <w:szCs w:val="20"/>
              </w:rPr>
              <w:t>into n</w:t>
            </w:r>
            <w:r w:rsidRPr="00E44BF4">
              <w:rPr>
                <w:sz w:val="20"/>
                <w:szCs w:val="20"/>
              </w:rPr>
              <w:t xml:space="preserve">eeds </w:t>
            </w:r>
            <w:r w:rsidR="00DC5FFF">
              <w:rPr>
                <w:sz w:val="20"/>
                <w:szCs w:val="20"/>
              </w:rPr>
              <w:t>a</w:t>
            </w:r>
            <w:r w:rsidRPr="00E44BF4">
              <w:rPr>
                <w:sz w:val="20"/>
                <w:szCs w:val="20"/>
              </w:rPr>
              <w:t xml:space="preserve">ssessment and </w:t>
            </w:r>
            <w:r w:rsidR="00DC5FFF">
              <w:rPr>
                <w:sz w:val="20"/>
                <w:szCs w:val="20"/>
              </w:rPr>
              <w:t>p</w:t>
            </w:r>
            <w:r w:rsidRPr="00E44BF4">
              <w:rPr>
                <w:sz w:val="20"/>
                <w:szCs w:val="20"/>
              </w:rPr>
              <w:t>lanning?</w:t>
            </w:r>
          </w:p>
        </w:tc>
      </w:tr>
      <w:tr w:rsidR="00CA33B6" w:rsidRPr="005456B5" w14:paraId="70770EE3" w14:textId="77777777" w:rsidTr="00391B7A">
        <w:tc>
          <w:tcPr>
            <w:tcW w:w="3168" w:type="dxa"/>
            <w:gridSpan w:val="2"/>
          </w:tcPr>
          <w:p w14:paraId="72066ECF" w14:textId="77777777" w:rsidR="00CA33B6" w:rsidRPr="00E44BF4" w:rsidRDefault="00CA33B6" w:rsidP="00CA33B6">
            <w:pPr>
              <w:rPr>
                <w:b/>
                <w:bCs/>
                <w:sz w:val="20"/>
                <w:szCs w:val="20"/>
              </w:rPr>
            </w:pPr>
          </w:p>
        </w:tc>
        <w:tc>
          <w:tcPr>
            <w:tcW w:w="3168" w:type="dxa"/>
            <w:gridSpan w:val="2"/>
          </w:tcPr>
          <w:p w14:paraId="7BD5FE8C" w14:textId="77777777" w:rsidR="00CA33B6" w:rsidRPr="00E44BF4" w:rsidRDefault="00CA33B6" w:rsidP="00CA33B6">
            <w:pPr>
              <w:rPr>
                <w:b/>
                <w:bCs/>
                <w:sz w:val="20"/>
                <w:szCs w:val="20"/>
              </w:rPr>
            </w:pPr>
            <w:r w:rsidRPr="00E44BF4">
              <w:rPr>
                <w:iCs/>
                <w:sz w:val="20"/>
                <w:szCs w:val="20"/>
              </w:rPr>
              <w:t>AII (Section 2a, 2b)</w:t>
            </w:r>
          </w:p>
        </w:tc>
        <w:tc>
          <w:tcPr>
            <w:tcW w:w="1584" w:type="dxa"/>
            <w:gridSpan w:val="2"/>
          </w:tcPr>
          <w:p w14:paraId="5B932ABB" w14:textId="6D2C84F1" w:rsidR="00CA33B6" w:rsidRPr="00E44BF4" w:rsidRDefault="00CA33B6" w:rsidP="00CA33B6">
            <w:pPr>
              <w:rPr>
                <w:bCs/>
                <w:sz w:val="20"/>
                <w:szCs w:val="20"/>
              </w:rPr>
            </w:pPr>
            <w:r w:rsidRPr="00E44BF4">
              <w:rPr>
                <w:bCs/>
                <w:sz w:val="20"/>
                <w:szCs w:val="20"/>
              </w:rPr>
              <w:t>Items 6; 19</w:t>
            </w:r>
            <w:r>
              <w:rPr>
                <w:rFonts w:asciiTheme="majorBidi" w:hAnsiTheme="majorBidi" w:cstheme="majorBidi"/>
                <w:sz w:val="20"/>
                <w:szCs w:val="20"/>
              </w:rPr>
              <w:t>–</w:t>
            </w:r>
            <w:r w:rsidRPr="00E44BF4">
              <w:rPr>
                <w:bCs/>
                <w:sz w:val="20"/>
                <w:szCs w:val="20"/>
              </w:rPr>
              <w:t>23</w:t>
            </w:r>
          </w:p>
        </w:tc>
        <w:tc>
          <w:tcPr>
            <w:tcW w:w="1589" w:type="dxa"/>
          </w:tcPr>
          <w:p w14:paraId="37DB3B19" w14:textId="77777777" w:rsidR="00CA33B6" w:rsidRPr="00E44BF4" w:rsidRDefault="00CA33B6" w:rsidP="00CA33B6">
            <w:pPr>
              <w:rPr>
                <w:bCs/>
                <w:sz w:val="20"/>
                <w:szCs w:val="20"/>
              </w:rPr>
            </w:pPr>
            <w:r w:rsidRPr="00E44BF4">
              <w:rPr>
                <w:bCs/>
                <w:sz w:val="20"/>
                <w:szCs w:val="20"/>
              </w:rPr>
              <w:t>Annual except item 19 (baseline)</w:t>
            </w:r>
          </w:p>
        </w:tc>
      </w:tr>
      <w:tr w:rsidR="00CA33B6" w:rsidRPr="005456B5" w14:paraId="043A38FF" w14:textId="77777777" w:rsidTr="00391B7A">
        <w:tc>
          <w:tcPr>
            <w:tcW w:w="3168" w:type="dxa"/>
            <w:gridSpan w:val="2"/>
          </w:tcPr>
          <w:p w14:paraId="22830E62" w14:textId="77777777" w:rsidR="00CA33B6" w:rsidRPr="00E44BF4" w:rsidRDefault="00CA33B6" w:rsidP="00CA33B6">
            <w:pPr>
              <w:rPr>
                <w:b/>
                <w:bCs/>
                <w:sz w:val="20"/>
                <w:szCs w:val="20"/>
              </w:rPr>
            </w:pPr>
          </w:p>
        </w:tc>
        <w:tc>
          <w:tcPr>
            <w:tcW w:w="3168" w:type="dxa"/>
            <w:gridSpan w:val="2"/>
          </w:tcPr>
          <w:p w14:paraId="18CB7914" w14:textId="77777777" w:rsidR="00CA33B6" w:rsidRPr="00E44BF4" w:rsidRDefault="00CA33B6" w:rsidP="00CA33B6">
            <w:pPr>
              <w:rPr>
                <w:b/>
                <w:bCs/>
                <w:sz w:val="20"/>
                <w:szCs w:val="20"/>
              </w:rPr>
            </w:pPr>
            <w:r w:rsidRPr="00E44BF4">
              <w:rPr>
                <w:iCs/>
                <w:sz w:val="20"/>
                <w:szCs w:val="20"/>
              </w:rPr>
              <w:t>GI (Section 2.2)</w:t>
            </w:r>
          </w:p>
        </w:tc>
        <w:tc>
          <w:tcPr>
            <w:tcW w:w="1584" w:type="dxa"/>
            <w:gridSpan w:val="2"/>
          </w:tcPr>
          <w:p w14:paraId="50F0C5F0" w14:textId="480659D7" w:rsidR="00CA33B6" w:rsidRPr="00E44BF4" w:rsidRDefault="00CA33B6" w:rsidP="00CA33B6">
            <w:pPr>
              <w:rPr>
                <w:bCs/>
                <w:sz w:val="20"/>
                <w:szCs w:val="20"/>
              </w:rPr>
            </w:pPr>
            <w:r w:rsidRPr="00E44BF4">
              <w:rPr>
                <w:bCs/>
                <w:sz w:val="20"/>
                <w:szCs w:val="20"/>
              </w:rPr>
              <w:t>Items 5</w:t>
            </w:r>
            <w:r>
              <w:rPr>
                <w:rFonts w:asciiTheme="majorBidi" w:hAnsiTheme="majorBidi" w:cstheme="majorBidi"/>
                <w:sz w:val="20"/>
                <w:szCs w:val="20"/>
              </w:rPr>
              <w:t>–</w:t>
            </w:r>
            <w:r w:rsidRPr="00E44BF4">
              <w:rPr>
                <w:bCs/>
                <w:sz w:val="20"/>
                <w:szCs w:val="20"/>
              </w:rPr>
              <w:t>11; 25a</w:t>
            </w:r>
            <w:r>
              <w:rPr>
                <w:rFonts w:asciiTheme="majorBidi" w:hAnsiTheme="majorBidi" w:cstheme="majorBidi"/>
                <w:sz w:val="20"/>
                <w:szCs w:val="20"/>
              </w:rPr>
              <w:t>–</w:t>
            </w:r>
            <w:r w:rsidRPr="00E44BF4">
              <w:rPr>
                <w:bCs/>
                <w:sz w:val="20"/>
                <w:szCs w:val="20"/>
              </w:rPr>
              <w:t>c</w:t>
            </w:r>
          </w:p>
        </w:tc>
        <w:tc>
          <w:tcPr>
            <w:tcW w:w="1589" w:type="dxa"/>
          </w:tcPr>
          <w:p w14:paraId="3FE66194" w14:textId="53BC4B7F" w:rsidR="00CA33B6" w:rsidRPr="00E44BF4" w:rsidRDefault="00CA33B6" w:rsidP="00CA33B6">
            <w:pPr>
              <w:rPr>
                <w:bCs/>
                <w:sz w:val="20"/>
                <w:szCs w:val="20"/>
              </w:rPr>
            </w:pPr>
            <w:r w:rsidRPr="00E44BF4">
              <w:rPr>
                <w:iCs/>
                <w:sz w:val="20"/>
                <w:szCs w:val="20"/>
              </w:rPr>
              <w:t>Items 5</w:t>
            </w:r>
            <w:r>
              <w:rPr>
                <w:rFonts w:asciiTheme="majorBidi" w:hAnsiTheme="majorBidi" w:cstheme="majorBidi"/>
                <w:sz w:val="20"/>
                <w:szCs w:val="20"/>
              </w:rPr>
              <w:t>–</w:t>
            </w:r>
            <w:r w:rsidRPr="00E44BF4">
              <w:rPr>
                <w:iCs/>
                <w:sz w:val="20"/>
                <w:szCs w:val="20"/>
              </w:rPr>
              <w:t xml:space="preserve">6 at </w:t>
            </w:r>
            <w:r w:rsidR="00FA6A31">
              <w:rPr>
                <w:iCs/>
                <w:sz w:val="20"/>
                <w:szCs w:val="20"/>
              </w:rPr>
              <w:t>baseline</w:t>
            </w:r>
            <w:r w:rsidRPr="00E44BF4">
              <w:rPr>
                <w:iCs/>
                <w:sz w:val="20"/>
                <w:szCs w:val="20"/>
              </w:rPr>
              <w:t xml:space="preserve"> only; items 10 and 25a</w:t>
            </w:r>
            <w:r>
              <w:rPr>
                <w:rFonts w:asciiTheme="majorBidi" w:hAnsiTheme="majorBidi" w:cstheme="majorBidi"/>
                <w:sz w:val="20"/>
                <w:szCs w:val="20"/>
              </w:rPr>
              <w:t>–</w:t>
            </w:r>
            <w:r w:rsidRPr="00E44BF4">
              <w:rPr>
                <w:iCs/>
                <w:sz w:val="20"/>
                <w:szCs w:val="20"/>
              </w:rPr>
              <w:t xml:space="preserve">c at year 3 and </w:t>
            </w:r>
            <w:r w:rsidR="00EC43C0">
              <w:rPr>
                <w:iCs/>
                <w:sz w:val="20"/>
                <w:szCs w:val="20"/>
              </w:rPr>
              <w:t>final year</w:t>
            </w:r>
            <w:r w:rsidRPr="00E44BF4">
              <w:rPr>
                <w:iCs/>
                <w:sz w:val="20"/>
                <w:szCs w:val="20"/>
              </w:rPr>
              <w:t>; items 7</w:t>
            </w:r>
            <w:r>
              <w:rPr>
                <w:rFonts w:asciiTheme="majorBidi" w:hAnsiTheme="majorBidi" w:cstheme="majorBidi"/>
                <w:sz w:val="20"/>
                <w:szCs w:val="20"/>
              </w:rPr>
              <w:t>–</w:t>
            </w:r>
            <w:r w:rsidRPr="00E44BF4">
              <w:rPr>
                <w:iCs/>
                <w:sz w:val="20"/>
                <w:szCs w:val="20"/>
              </w:rPr>
              <w:t xml:space="preserve">9 and 11 at </w:t>
            </w:r>
            <w:r w:rsidR="00FA6A31">
              <w:rPr>
                <w:iCs/>
                <w:sz w:val="20"/>
                <w:szCs w:val="20"/>
              </w:rPr>
              <w:t>baseline</w:t>
            </w:r>
            <w:r w:rsidR="00EC43C0">
              <w:rPr>
                <w:iCs/>
                <w:sz w:val="20"/>
                <w:szCs w:val="20"/>
              </w:rPr>
              <w:t>,</w:t>
            </w:r>
            <w:r w:rsidR="00FA6A31">
              <w:rPr>
                <w:iCs/>
                <w:sz w:val="20"/>
                <w:szCs w:val="20"/>
              </w:rPr>
              <w:t xml:space="preserve"> </w:t>
            </w:r>
            <w:r w:rsidRPr="00E44BF4">
              <w:rPr>
                <w:iCs/>
                <w:sz w:val="20"/>
                <w:szCs w:val="20"/>
              </w:rPr>
              <w:t>year 3</w:t>
            </w:r>
            <w:r w:rsidR="00D438C4">
              <w:rPr>
                <w:iCs/>
                <w:sz w:val="20"/>
                <w:szCs w:val="20"/>
              </w:rPr>
              <w:t>,</w:t>
            </w:r>
            <w:r w:rsidRPr="00E44BF4">
              <w:rPr>
                <w:iCs/>
                <w:sz w:val="20"/>
                <w:szCs w:val="20"/>
              </w:rPr>
              <w:t xml:space="preserve"> and </w:t>
            </w:r>
            <w:r w:rsidR="00EC43C0">
              <w:rPr>
                <w:iCs/>
                <w:sz w:val="20"/>
                <w:szCs w:val="20"/>
              </w:rPr>
              <w:t>final year</w:t>
            </w:r>
          </w:p>
        </w:tc>
      </w:tr>
      <w:tr w:rsidR="00CA33B6" w:rsidRPr="005456B5" w14:paraId="1E3DBC86" w14:textId="77777777" w:rsidTr="00391B7A">
        <w:tc>
          <w:tcPr>
            <w:tcW w:w="9509" w:type="dxa"/>
            <w:gridSpan w:val="7"/>
          </w:tcPr>
          <w:p w14:paraId="48A93407" w14:textId="77777777" w:rsidR="00CA33B6" w:rsidRPr="00E44BF4" w:rsidRDefault="00CA33B6" w:rsidP="00CA33B6">
            <w:pPr>
              <w:rPr>
                <w:bCs/>
                <w:sz w:val="20"/>
                <w:szCs w:val="20"/>
              </w:rPr>
            </w:pPr>
            <w:r w:rsidRPr="00E44BF4">
              <w:rPr>
                <w:b/>
                <w:bCs/>
                <w:sz w:val="20"/>
                <w:szCs w:val="20"/>
              </w:rPr>
              <w:t>EQ2c:</w:t>
            </w:r>
            <w:r w:rsidRPr="00E44BF4">
              <w:rPr>
                <w:bCs/>
                <w:sz w:val="20"/>
                <w:szCs w:val="20"/>
              </w:rPr>
              <w:t xml:space="preserve"> What are characteristics of model PDMPs?</w:t>
            </w:r>
          </w:p>
        </w:tc>
      </w:tr>
      <w:tr w:rsidR="00CA33B6" w:rsidRPr="005456B5" w14:paraId="5BE8CFE9" w14:textId="77777777" w:rsidTr="00391B7A">
        <w:tc>
          <w:tcPr>
            <w:tcW w:w="3168" w:type="dxa"/>
            <w:gridSpan w:val="2"/>
          </w:tcPr>
          <w:p w14:paraId="41761B33" w14:textId="77777777" w:rsidR="00CA33B6" w:rsidRPr="00E44BF4" w:rsidRDefault="00CA33B6" w:rsidP="00CA33B6">
            <w:pPr>
              <w:rPr>
                <w:b/>
                <w:bCs/>
                <w:sz w:val="20"/>
                <w:szCs w:val="20"/>
              </w:rPr>
            </w:pPr>
          </w:p>
        </w:tc>
        <w:tc>
          <w:tcPr>
            <w:tcW w:w="3168" w:type="dxa"/>
            <w:gridSpan w:val="2"/>
          </w:tcPr>
          <w:p w14:paraId="6AFE480B" w14:textId="77777777" w:rsidR="00CA33B6" w:rsidRPr="00E44BF4" w:rsidRDefault="00CA33B6" w:rsidP="00CA33B6">
            <w:pPr>
              <w:rPr>
                <w:b/>
                <w:bCs/>
                <w:sz w:val="20"/>
                <w:szCs w:val="20"/>
              </w:rPr>
            </w:pPr>
            <w:r w:rsidRPr="00E44BF4">
              <w:rPr>
                <w:iCs/>
                <w:sz w:val="20"/>
                <w:szCs w:val="20"/>
              </w:rPr>
              <w:t>AII (Section 2b)</w:t>
            </w:r>
          </w:p>
        </w:tc>
        <w:tc>
          <w:tcPr>
            <w:tcW w:w="1584" w:type="dxa"/>
            <w:gridSpan w:val="2"/>
          </w:tcPr>
          <w:p w14:paraId="381ECA01" w14:textId="4C2D80CC" w:rsidR="00CA33B6" w:rsidRPr="00E44BF4" w:rsidRDefault="00CA33B6" w:rsidP="00CA33B6">
            <w:pPr>
              <w:rPr>
                <w:b/>
                <w:bCs/>
                <w:sz w:val="20"/>
                <w:szCs w:val="20"/>
                <w:highlight w:val="yellow"/>
              </w:rPr>
            </w:pPr>
            <w:r w:rsidRPr="00E44BF4">
              <w:rPr>
                <w:iCs/>
                <w:sz w:val="20"/>
                <w:szCs w:val="20"/>
              </w:rPr>
              <w:t>Items 6.7</w:t>
            </w:r>
            <w:r>
              <w:rPr>
                <w:rFonts w:asciiTheme="majorBidi" w:hAnsiTheme="majorBidi" w:cstheme="majorBidi"/>
                <w:sz w:val="20"/>
                <w:szCs w:val="20"/>
              </w:rPr>
              <w:t>–</w:t>
            </w:r>
            <w:r w:rsidRPr="00E44BF4">
              <w:rPr>
                <w:iCs/>
                <w:sz w:val="20"/>
                <w:szCs w:val="20"/>
              </w:rPr>
              <w:t>6.14; 12; 13; 19</w:t>
            </w:r>
            <w:r>
              <w:rPr>
                <w:rFonts w:asciiTheme="majorBidi" w:hAnsiTheme="majorBidi" w:cstheme="majorBidi"/>
                <w:sz w:val="20"/>
                <w:szCs w:val="20"/>
              </w:rPr>
              <w:t>–</w:t>
            </w:r>
            <w:r w:rsidRPr="00E44BF4">
              <w:rPr>
                <w:iCs/>
                <w:sz w:val="20"/>
                <w:szCs w:val="20"/>
              </w:rPr>
              <w:t>23;</w:t>
            </w:r>
            <w:r w:rsidR="00DC5FFF">
              <w:rPr>
                <w:iCs/>
                <w:sz w:val="20"/>
                <w:szCs w:val="20"/>
              </w:rPr>
              <w:t xml:space="preserve"> </w:t>
            </w:r>
            <w:r w:rsidRPr="00E44BF4">
              <w:rPr>
                <w:iCs/>
                <w:sz w:val="20"/>
                <w:szCs w:val="20"/>
              </w:rPr>
              <w:t xml:space="preserve">90 </w:t>
            </w:r>
          </w:p>
        </w:tc>
        <w:tc>
          <w:tcPr>
            <w:tcW w:w="1589" w:type="dxa"/>
          </w:tcPr>
          <w:p w14:paraId="10385385" w14:textId="77777777" w:rsidR="00CA33B6" w:rsidRPr="00E44BF4" w:rsidRDefault="00CA33B6" w:rsidP="00CA33B6">
            <w:pPr>
              <w:rPr>
                <w:b/>
                <w:bCs/>
                <w:sz w:val="20"/>
                <w:szCs w:val="20"/>
                <w:highlight w:val="yellow"/>
              </w:rPr>
            </w:pPr>
            <w:r w:rsidRPr="00E44BF4">
              <w:rPr>
                <w:iCs/>
                <w:sz w:val="20"/>
                <w:szCs w:val="20"/>
              </w:rPr>
              <w:t>Annual except item 19 (baseline)</w:t>
            </w:r>
          </w:p>
        </w:tc>
      </w:tr>
      <w:tr w:rsidR="00CA33B6" w:rsidRPr="005456B5" w14:paraId="4A3FC10D" w14:textId="77777777" w:rsidTr="00391B7A">
        <w:tc>
          <w:tcPr>
            <w:tcW w:w="3168" w:type="dxa"/>
            <w:gridSpan w:val="2"/>
          </w:tcPr>
          <w:p w14:paraId="0D7CF923" w14:textId="77777777" w:rsidR="00CA33B6" w:rsidRPr="00E44BF4" w:rsidRDefault="00CA33B6" w:rsidP="00CA33B6">
            <w:pPr>
              <w:rPr>
                <w:b/>
                <w:bCs/>
                <w:sz w:val="20"/>
                <w:szCs w:val="20"/>
              </w:rPr>
            </w:pPr>
          </w:p>
        </w:tc>
        <w:tc>
          <w:tcPr>
            <w:tcW w:w="3168" w:type="dxa"/>
            <w:gridSpan w:val="2"/>
          </w:tcPr>
          <w:p w14:paraId="0E6E5EE0" w14:textId="77777777" w:rsidR="00CA33B6" w:rsidRPr="00E44BF4" w:rsidRDefault="00CA33B6" w:rsidP="00CA33B6">
            <w:pPr>
              <w:rPr>
                <w:b/>
                <w:bCs/>
                <w:sz w:val="20"/>
                <w:szCs w:val="20"/>
              </w:rPr>
            </w:pPr>
            <w:r w:rsidRPr="00E44BF4">
              <w:rPr>
                <w:iCs/>
                <w:sz w:val="20"/>
                <w:szCs w:val="20"/>
              </w:rPr>
              <w:t>GI (Section 2.2)</w:t>
            </w:r>
          </w:p>
        </w:tc>
        <w:tc>
          <w:tcPr>
            <w:tcW w:w="1584" w:type="dxa"/>
            <w:gridSpan w:val="2"/>
          </w:tcPr>
          <w:p w14:paraId="3B3A82D4" w14:textId="2E161365" w:rsidR="00CA33B6" w:rsidRPr="00E44BF4" w:rsidRDefault="00CA33B6" w:rsidP="00CA33B6">
            <w:pPr>
              <w:rPr>
                <w:b/>
                <w:bCs/>
                <w:sz w:val="20"/>
                <w:szCs w:val="20"/>
                <w:highlight w:val="yellow"/>
              </w:rPr>
            </w:pPr>
            <w:r w:rsidRPr="00E44BF4">
              <w:rPr>
                <w:bCs/>
                <w:sz w:val="20"/>
                <w:szCs w:val="20"/>
              </w:rPr>
              <w:t>Items 7</w:t>
            </w:r>
            <w:r>
              <w:rPr>
                <w:rFonts w:asciiTheme="majorBidi" w:hAnsiTheme="majorBidi" w:cstheme="majorBidi"/>
                <w:sz w:val="20"/>
                <w:szCs w:val="20"/>
              </w:rPr>
              <w:t>–</w:t>
            </w:r>
            <w:r w:rsidRPr="00E44BF4">
              <w:rPr>
                <w:bCs/>
                <w:sz w:val="20"/>
                <w:szCs w:val="20"/>
              </w:rPr>
              <w:t>11; 23</w:t>
            </w:r>
            <w:r w:rsidRPr="00DC5FFF">
              <w:rPr>
                <w:bCs/>
                <w:sz w:val="20"/>
                <w:szCs w:val="20"/>
              </w:rPr>
              <w:t>;</w:t>
            </w:r>
            <w:r w:rsidRPr="00E44BF4">
              <w:rPr>
                <w:b/>
                <w:bCs/>
                <w:sz w:val="20"/>
                <w:szCs w:val="20"/>
              </w:rPr>
              <w:t xml:space="preserve"> </w:t>
            </w:r>
            <w:r w:rsidRPr="00E44BF4">
              <w:rPr>
                <w:bCs/>
                <w:sz w:val="20"/>
                <w:szCs w:val="20"/>
              </w:rPr>
              <w:t>25a</w:t>
            </w:r>
            <w:r>
              <w:rPr>
                <w:rFonts w:asciiTheme="majorBidi" w:hAnsiTheme="majorBidi" w:cstheme="majorBidi"/>
                <w:sz w:val="20"/>
                <w:szCs w:val="20"/>
              </w:rPr>
              <w:t>–</w:t>
            </w:r>
            <w:r w:rsidRPr="00E44BF4">
              <w:rPr>
                <w:bCs/>
                <w:sz w:val="20"/>
                <w:szCs w:val="20"/>
              </w:rPr>
              <w:t>c</w:t>
            </w:r>
          </w:p>
        </w:tc>
        <w:tc>
          <w:tcPr>
            <w:tcW w:w="1589" w:type="dxa"/>
          </w:tcPr>
          <w:p w14:paraId="4EB9D57B" w14:textId="55D19AA5" w:rsidR="00CA33B6" w:rsidRPr="00E44BF4" w:rsidRDefault="00CA33B6" w:rsidP="00D438C4">
            <w:pPr>
              <w:rPr>
                <w:b/>
                <w:bCs/>
                <w:sz w:val="20"/>
                <w:szCs w:val="20"/>
                <w:highlight w:val="yellow"/>
              </w:rPr>
            </w:pPr>
            <w:r w:rsidRPr="00E44BF4">
              <w:rPr>
                <w:iCs/>
                <w:sz w:val="20"/>
                <w:szCs w:val="20"/>
              </w:rPr>
              <w:t>Items 7</w:t>
            </w:r>
            <w:r>
              <w:rPr>
                <w:rFonts w:asciiTheme="majorBidi" w:hAnsiTheme="majorBidi" w:cstheme="majorBidi"/>
                <w:sz w:val="20"/>
                <w:szCs w:val="20"/>
              </w:rPr>
              <w:t>–</w:t>
            </w:r>
            <w:r w:rsidRPr="00E44BF4">
              <w:rPr>
                <w:iCs/>
                <w:sz w:val="20"/>
                <w:szCs w:val="20"/>
              </w:rPr>
              <w:t xml:space="preserve">9, 11, and 23 at </w:t>
            </w:r>
            <w:r w:rsidR="00FA6A31">
              <w:rPr>
                <w:iCs/>
                <w:sz w:val="20"/>
                <w:szCs w:val="20"/>
              </w:rPr>
              <w:t>baseline</w:t>
            </w:r>
            <w:r w:rsidR="00D438C4">
              <w:rPr>
                <w:iCs/>
                <w:sz w:val="20"/>
                <w:szCs w:val="20"/>
              </w:rPr>
              <w:t>,</w:t>
            </w:r>
            <w:r w:rsidR="00FA6A31">
              <w:rPr>
                <w:iCs/>
                <w:sz w:val="20"/>
                <w:szCs w:val="20"/>
              </w:rPr>
              <w:t xml:space="preserve"> </w:t>
            </w:r>
            <w:r w:rsidRPr="00E44BF4">
              <w:rPr>
                <w:iCs/>
                <w:sz w:val="20"/>
                <w:szCs w:val="20"/>
              </w:rPr>
              <w:t>year 3</w:t>
            </w:r>
            <w:r w:rsidR="00D438C4">
              <w:rPr>
                <w:iCs/>
                <w:sz w:val="20"/>
                <w:szCs w:val="20"/>
              </w:rPr>
              <w:t>,</w:t>
            </w:r>
            <w:r w:rsidRPr="00E44BF4">
              <w:rPr>
                <w:iCs/>
                <w:sz w:val="20"/>
                <w:szCs w:val="20"/>
              </w:rPr>
              <w:t xml:space="preserve"> and </w:t>
            </w:r>
            <w:r w:rsidR="00EC43C0">
              <w:rPr>
                <w:iCs/>
                <w:sz w:val="20"/>
                <w:szCs w:val="20"/>
              </w:rPr>
              <w:t>final year</w:t>
            </w:r>
            <w:r w:rsidRPr="00E44BF4">
              <w:rPr>
                <w:iCs/>
                <w:sz w:val="20"/>
                <w:szCs w:val="20"/>
              </w:rPr>
              <w:t>; items 10 and 25a</w:t>
            </w:r>
            <w:r>
              <w:rPr>
                <w:rFonts w:asciiTheme="majorBidi" w:hAnsiTheme="majorBidi" w:cstheme="majorBidi"/>
                <w:sz w:val="20"/>
                <w:szCs w:val="20"/>
              </w:rPr>
              <w:t>–</w:t>
            </w:r>
            <w:r w:rsidRPr="00E44BF4">
              <w:rPr>
                <w:iCs/>
                <w:sz w:val="20"/>
                <w:szCs w:val="20"/>
              </w:rPr>
              <w:t xml:space="preserve">c at year 3 and </w:t>
            </w:r>
            <w:r w:rsidR="00EC43C0">
              <w:rPr>
                <w:iCs/>
                <w:sz w:val="20"/>
                <w:szCs w:val="20"/>
              </w:rPr>
              <w:t>final year</w:t>
            </w:r>
            <w:r w:rsidRPr="00E44BF4">
              <w:rPr>
                <w:iCs/>
                <w:sz w:val="20"/>
                <w:szCs w:val="20"/>
              </w:rPr>
              <w:t xml:space="preserve"> </w:t>
            </w:r>
          </w:p>
        </w:tc>
      </w:tr>
    </w:tbl>
    <w:p w14:paraId="5488B083" w14:textId="77777777" w:rsidR="00391B7A" w:rsidRPr="00CA33B6" w:rsidRDefault="00391B7A" w:rsidP="00391B7A">
      <w:pPr>
        <w:jc w:val="right"/>
      </w:pPr>
      <w:r w:rsidRPr="00CA33B6">
        <w:t>(</w:t>
      </w:r>
      <w:proofErr w:type="gramStart"/>
      <w:r w:rsidRPr="00CA33B6">
        <w:t>continued</w:t>
      </w:r>
      <w:proofErr w:type="gramEnd"/>
      <w:r w:rsidRPr="00CA33B6">
        <w:t>)</w:t>
      </w:r>
    </w:p>
    <w:p w14:paraId="78196CFF" w14:textId="1AE87B6E" w:rsidR="00391B7A" w:rsidRDefault="00391B7A" w:rsidP="00391B7A">
      <w:pPr>
        <w:pStyle w:val="ExhibitTitle"/>
      </w:pPr>
      <w:r>
        <w:lastRenderedPageBreak/>
        <w:t>Exhibit 1</w:t>
      </w:r>
      <w:r w:rsidRPr="00CA33B6">
        <w:t>: Evaluation of the Strategic Prevention Framework for Prescription Drugs (SPF-Rx) in the Program Evaluation for Prevention Contract (PEP</w:t>
      </w:r>
      <w:r w:rsidRPr="00CA33B6">
        <w:noBreakHyphen/>
        <w:t>C)—Constructs and Data Sources (cont.)</w:t>
      </w:r>
    </w:p>
    <w:tbl>
      <w:tblPr>
        <w:tblStyle w:val="TableGrid1"/>
        <w:tblW w:w="9509" w:type="dxa"/>
        <w:tblInd w:w="-5" w:type="dxa"/>
        <w:tblCellMar>
          <w:left w:w="115" w:type="dxa"/>
          <w:right w:w="115" w:type="dxa"/>
        </w:tblCellMar>
        <w:tblLook w:val="04A0" w:firstRow="1" w:lastRow="0" w:firstColumn="1" w:lastColumn="0" w:noHBand="0" w:noVBand="1"/>
      </w:tblPr>
      <w:tblGrid>
        <w:gridCol w:w="2867"/>
        <w:gridCol w:w="2520"/>
        <w:gridCol w:w="2610"/>
        <w:gridCol w:w="1512"/>
      </w:tblGrid>
      <w:tr w:rsidR="00CA33B6" w:rsidRPr="005456B5" w14:paraId="7D5076C0" w14:textId="77777777" w:rsidTr="00391B7A">
        <w:tc>
          <w:tcPr>
            <w:tcW w:w="9509" w:type="dxa"/>
            <w:gridSpan w:val="4"/>
          </w:tcPr>
          <w:p w14:paraId="0ADDE2BF" w14:textId="667F273A" w:rsidR="00CA33B6" w:rsidRPr="00E44BF4" w:rsidRDefault="00CA33B6" w:rsidP="00CA33B6">
            <w:pPr>
              <w:rPr>
                <w:b/>
                <w:bCs/>
                <w:sz w:val="20"/>
                <w:szCs w:val="20"/>
              </w:rPr>
            </w:pPr>
            <w:r w:rsidRPr="00E44BF4">
              <w:rPr>
                <w:b/>
                <w:bCs/>
                <w:sz w:val="20"/>
                <w:szCs w:val="20"/>
              </w:rPr>
              <w:t xml:space="preserve">EQ2d: </w:t>
            </w:r>
            <w:r w:rsidRPr="00E44BF4">
              <w:rPr>
                <w:sz w:val="20"/>
                <w:szCs w:val="20"/>
              </w:rPr>
              <w:t>How did PDMPs</w:t>
            </w:r>
            <w:r w:rsidR="00DC5FFF">
              <w:rPr>
                <w:sz w:val="20"/>
                <w:szCs w:val="20"/>
              </w:rPr>
              <w:t>’</w:t>
            </w:r>
            <w:r w:rsidRPr="00E44BF4">
              <w:rPr>
                <w:sz w:val="20"/>
                <w:szCs w:val="20"/>
              </w:rPr>
              <w:t xml:space="preserve"> capacity infrastructure improve over time? How did grantees strengthen workforce development (e.g., credentialing) to ensure use of PDMPs?</w:t>
            </w:r>
          </w:p>
        </w:tc>
      </w:tr>
      <w:tr w:rsidR="00CA33B6" w:rsidRPr="00E44BF4" w14:paraId="53699AC7" w14:textId="77777777" w:rsidTr="00391B7A">
        <w:tc>
          <w:tcPr>
            <w:tcW w:w="2867" w:type="dxa"/>
          </w:tcPr>
          <w:p w14:paraId="2C92830D" w14:textId="77777777" w:rsidR="00CA33B6" w:rsidRPr="00E44BF4" w:rsidRDefault="00CA33B6" w:rsidP="00CA33B6">
            <w:pPr>
              <w:keepNext/>
              <w:rPr>
                <w:i/>
                <w:iCs/>
                <w:sz w:val="20"/>
                <w:szCs w:val="20"/>
              </w:rPr>
            </w:pPr>
            <w:r w:rsidRPr="00E44BF4">
              <w:rPr>
                <w:i/>
                <w:iCs/>
                <w:sz w:val="20"/>
                <w:szCs w:val="20"/>
              </w:rPr>
              <w:t>Construct</w:t>
            </w:r>
          </w:p>
        </w:tc>
        <w:tc>
          <w:tcPr>
            <w:tcW w:w="2520" w:type="dxa"/>
          </w:tcPr>
          <w:p w14:paraId="0BBA6297" w14:textId="77777777" w:rsidR="00CA33B6" w:rsidRPr="00E44BF4" w:rsidRDefault="00CA33B6" w:rsidP="00CA33B6">
            <w:pPr>
              <w:keepNext/>
              <w:rPr>
                <w:i/>
                <w:iCs/>
                <w:sz w:val="20"/>
                <w:szCs w:val="20"/>
              </w:rPr>
            </w:pPr>
            <w:r w:rsidRPr="00E44BF4">
              <w:rPr>
                <w:i/>
                <w:iCs/>
                <w:sz w:val="20"/>
                <w:szCs w:val="20"/>
              </w:rPr>
              <w:t>Data Source</w:t>
            </w:r>
          </w:p>
        </w:tc>
        <w:tc>
          <w:tcPr>
            <w:tcW w:w="2610" w:type="dxa"/>
          </w:tcPr>
          <w:p w14:paraId="0864FEAB" w14:textId="77777777" w:rsidR="00CA33B6" w:rsidRPr="00E44BF4" w:rsidRDefault="00CA33B6" w:rsidP="00CA33B6">
            <w:pPr>
              <w:keepNext/>
              <w:rPr>
                <w:i/>
                <w:iCs/>
                <w:sz w:val="20"/>
                <w:szCs w:val="20"/>
              </w:rPr>
            </w:pPr>
            <w:r w:rsidRPr="00E44BF4">
              <w:rPr>
                <w:i/>
                <w:iCs/>
                <w:sz w:val="20"/>
                <w:szCs w:val="20"/>
              </w:rPr>
              <w:t>Items</w:t>
            </w:r>
          </w:p>
        </w:tc>
        <w:tc>
          <w:tcPr>
            <w:tcW w:w="1512" w:type="dxa"/>
          </w:tcPr>
          <w:p w14:paraId="258AA85C" w14:textId="77777777" w:rsidR="00CA33B6" w:rsidRPr="00E44BF4" w:rsidRDefault="00CA33B6" w:rsidP="00CA33B6">
            <w:pPr>
              <w:keepNext/>
              <w:rPr>
                <w:i/>
                <w:iCs/>
                <w:sz w:val="20"/>
                <w:szCs w:val="20"/>
              </w:rPr>
            </w:pPr>
            <w:r w:rsidRPr="00E44BF4">
              <w:rPr>
                <w:i/>
                <w:iCs/>
                <w:sz w:val="20"/>
                <w:szCs w:val="20"/>
              </w:rPr>
              <w:t>Timing</w:t>
            </w:r>
          </w:p>
        </w:tc>
      </w:tr>
      <w:tr w:rsidR="00CA33B6" w:rsidRPr="005456B5" w14:paraId="674C351F" w14:textId="77777777" w:rsidTr="00391B7A">
        <w:tc>
          <w:tcPr>
            <w:tcW w:w="2867" w:type="dxa"/>
          </w:tcPr>
          <w:p w14:paraId="12E89AE4" w14:textId="77777777" w:rsidR="00CA33B6" w:rsidRPr="00E44BF4" w:rsidRDefault="00CA33B6" w:rsidP="00CA33B6">
            <w:pPr>
              <w:rPr>
                <w:b/>
                <w:bCs/>
                <w:sz w:val="20"/>
                <w:szCs w:val="20"/>
              </w:rPr>
            </w:pPr>
          </w:p>
        </w:tc>
        <w:tc>
          <w:tcPr>
            <w:tcW w:w="2520" w:type="dxa"/>
          </w:tcPr>
          <w:p w14:paraId="008AC91D" w14:textId="77777777" w:rsidR="00CA33B6" w:rsidRPr="00E44BF4" w:rsidRDefault="00CA33B6" w:rsidP="00CA33B6">
            <w:pPr>
              <w:rPr>
                <w:b/>
                <w:bCs/>
                <w:sz w:val="20"/>
                <w:szCs w:val="20"/>
              </w:rPr>
            </w:pPr>
            <w:r w:rsidRPr="00E44BF4">
              <w:rPr>
                <w:iCs/>
                <w:sz w:val="20"/>
                <w:szCs w:val="20"/>
              </w:rPr>
              <w:t>AII (Section 2b)</w:t>
            </w:r>
          </w:p>
        </w:tc>
        <w:tc>
          <w:tcPr>
            <w:tcW w:w="2610" w:type="dxa"/>
          </w:tcPr>
          <w:p w14:paraId="67521E6C" w14:textId="3421B580" w:rsidR="00CA33B6" w:rsidRPr="00E44BF4" w:rsidRDefault="00CA33B6" w:rsidP="00CA33B6">
            <w:pPr>
              <w:rPr>
                <w:b/>
                <w:bCs/>
                <w:sz w:val="20"/>
                <w:szCs w:val="20"/>
              </w:rPr>
            </w:pPr>
            <w:r w:rsidRPr="00E44BF4">
              <w:rPr>
                <w:iCs/>
                <w:sz w:val="20"/>
                <w:szCs w:val="20"/>
              </w:rPr>
              <w:t>Items</w:t>
            </w:r>
            <w:r>
              <w:rPr>
                <w:iCs/>
                <w:sz w:val="20"/>
                <w:szCs w:val="20"/>
              </w:rPr>
              <w:t xml:space="preserve"> 6.7</w:t>
            </w:r>
            <w:r>
              <w:rPr>
                <w:rFonts w:asciiTheme="majorBidi" w:hAnsiTheme="majorBidi" w:cstheme="majorBidi"/>
                <w:sz w:val="20"/>
                <w:szCs w:val="20"/>
              </w:rPr>
              <w:t>–</w:t>
            </w:r>
            <w:r w:rsidRPr="00E44BF4">
              <w:rPr>
                <w:iCs/>
                <w:sz w:val="20"/>
                <w:szCs w:val="20"/>
              </w:rPr>
              <w:t>6.14; 6.27; 12; 13; 19</w:t>
            </w:r>
            <w:r>
              <w:rPr>
                <w:rFonts w:asciiTheme="majorBidi" w:hAnsiTheme="majorBidi" w:cstheme="majorBidi"/>
                <w:sz w:val="20"/>
                <w:szCs w:val="20"/>
              </w:rPr>
              <w:t>–</w:t>
            </w:r>
            <w:r w:rsidRPr="00E44BF4">
              <w:rPr>
                <w:iCs/>
                <w:sz w:val="20"/>
                <w:szCs w:val="20"/>
              </w:rPr>
              <w:t xml:space="preserve">23; 90 </w:t>
            </w:r>
          </w:p>
        </w:tc>
        <w:tc>
          <w:tcPr>
            <w:tcW w:w="1512" w:type="dxa"/>
          </w:tcPr>
          <w:p w14:paraId="5465FA9D" w14:textId="77777777" w:rsidR="00CA33B6" w:rsidRPr="00E44BF4" w:rsidRDefault="00CA33B6" w:rsidP="00CA33B6">
            <w:pPr>
              <w:rPr>
                <w:b/>
                <w:bCs/>
                <w:sz w:val="20"/>
                <w:szCs w:val="20"/>
              </w:rPr>
            </w:pPr>
            <w:r w:rsidRPr="00E44BF4">
              <w:rPr>
                <w:iCs/>
                <w:sz w:val="20"/>
                <w:szCs w:val="20"/>
              </w:rPr>
              <w:t>Annual except item 19 (baseline)</w:t>
            </w:r>
          </w:p>
        </w:tc>
      </w:tr>
      <w:tr w:rsidR="00CA33B6" w:rsidRPr="005456B5" w14:paraId="52C8AF55" w14:textId="77777777" w:rsidTr="00391B7A">
        <w:tc>
          <w:tcPr>
            <w:tcW w:w="2867" w:type="dxa"/>
          </w:tcPr>
          <w:p w14:paraId="719EC92A" w14:textId="77777777" w:rsidR="00CA33B6" w:rsidRPr="00E44BF4" w:rsidRDefault="00CA33B6" w:rsidP="00CA33B6">
            <w:pPr>
              <w:rPr>
                <w:b/>
                <w:bCs/>
                <w:sz w:val="20"/>
                <w:szCs w:val="20"/>
              </w:rPr>
            </w:pPr>
          </w:p>
        </w:tc>
        <w:tc>
          <w:tcPr>
            <w:tcW w:w="2520" w:type="dxa"/>
          </w:tcPr>
          <w:p w14:paraId="73984777" w14:textId="77777777" w:rsidR="00CA33B6" w:rsidRPr="00E44BF4" w:rsidRDefault="00CA33B6" w:rsidP="00CA33B6">
            <w:pPr>
              <w:rPr>
                <w:b/>
                <w:bCs/>
                <w:sz w:val="20"/>
                <w:szCs w:val="20"/>
              </w:rPr>
            </w:pPr>
            <w:r w:rsidRPr="00E44BF4">
              <w:rPr>
                <w:iCs/>
                <w:sz w:val="20"/>
                <w:szCs w:val="20"/>
              </w:rPr>
              <w:t>GI (Section 2.2)</w:t>
            </w:r>
          </w:p>
        </w:tc>
        <w:tc>
          <w:tcPr>
            <w:tcW w:w="2610" w:type="dxa"/>
          </w:tcPr>
          <w:p w14:paraId="33FAA022" w14:textId="537A6720" w:rsidR="00CA33B6" w:rsidRPr="00E44BF4" w:rsidRDefault="00CA33B6" w:rsidP="00CA33B6">
            <w:pPr>
              <w:rPr>
                <w:bCs/>
                <w:sz w:val="20"/>
                <w:szCs w:val="20"/>
              </w:rPr>
            </w:pPr>
            <w:r w:rsidRPr="00E44BF4">
              <w:rPr>
                <w:bCs/>
                <w:sz w:val="20"/>
                <w:szCs w:val="20"/>
              </w:rPr>
              <w:t>Items 7</w:t>
            </w:r>
            <w:r>
              <w:rPr>
                <w:rFonts w:asciiTheme="majorBidi" w:hAnsiTheme="majorBidi" w:cstheme="majorBidi"/>
                <w:sz w:val="20"/>
                <w:szCs w:val="20"/>
              </w:rPr>
              <w:t>–</w:t>
            </w:r>
            <w:r w:rsidRPr="00E44BF4">
              <w:rPr>
                <w:bCs/>
                <w:sz w:val="20"/>
                <w:szCs w:val="20"/>
              </w:rPr>
              <w:t>11; 23; 25a</w:t>
            </w:r>
            <w:r>
              <w:rPr>
                <w:rFonts w:asciiTheme="majorBidi" w:hAnsiTheme="majorBidi" w:cstheme="majorBidi"/>
                <w:sz w:val="20"/>
                <w:szCs w:val="20"/>
              </w:rPr>
              <w:t>–</w:t>
            </w:r>
            <w:r w:rsidRPr="00E44BF4">
              <w:rPr>
                <w:bCs/>
                <w:sz w:val="20"/>
                <w:szCs w:val="20"/>
              </w:rPr>
              <w:t>c</w:t>
            </w:r>
          </w:p>
        </w:tc>
        <w:tc>
          <w:tcPr>
            <w:tcW w:w="1512" w:type="dxa"/>
          </w:tcPr>
          <w:p w14:paraId="30DE1497" w14:textId="5EEDAC50" w:rsidR="00CA33B6" w:rsidRPr="00E44BF4" w:rsidRDefault="00CA33B6" w:rsidP="00CA33B6">
            <w:pPr>
              <w:rPr>
                <w:bCs/>
                <w:sz w:val="20"/>
                <w:szCs w:val="20"/>
              </w:rPr>
            </w:pPr>
            <w:r w:rsidRPr="00E44BF4">
              <w:rPr>
                <w:iCs/>
                <w:sz w:val="20"/>
                <w:szCs w:val="20"/>
              </w:rPr>
              <w:t>Items 7</w:t>
            </w:r>
            <w:r>
              <w:rPr>
                <w:rFonts w:asciiTheme="majorBidi" w:hAnsiTheme="majorBidi" w:cstheme="majorBidi"/>
                <w:sz w:val="20"/>
                <w:szCs w:val="20"/>
              </w:rPr>
              <w:t>–</w:t>
            </w:r>
            <w:r w:rsidRPr="00E44BF4">
              <w:rPr>
                <w:iCs/>
                <w:sz w:val="20"/>
                <w:szCs w:val="20"/>
              </w:rPr>
              <w:t xml:space="preserve">9, 11, and 23 at </w:t>
            </w:r>
            <w:r w:rsidR="00EC43C0">
              <w:rPr>
                <w:iCs/>
                <w:sz w:val="20"/>
                <w:szCs w:val="20"/>
              </w:rPr>
              <w:t>baseline,</w:t>
            </w:r>
            <w:r w:rsidR="00FA6A31">
              <w:rPr>
                <w:iCs/>
                <w:sz w:val="20"/>
                <w:szCs w:val="20"/>
              </w:rPr>
              <w:t xml:space="preserve"> </w:t>
            </w:r>
            <w:r w:rsidR="00EC43C0">
              <w:rPr>
                <w:iCs/>
                <w:sz w:val="20"/>
                <w:szCs w:val="20"/>
              </w:rPr>
              <w:t xml:space="preserve">year </w:t>
            </w:r>
            <w:r w:rsidRPr="00E44BF4">
              <w:rPr>
                <w:iCs/>
                <w:sz w:val="20"/>
                <w:szCs w:val="20"/>
              </w:rPr>
              <w:t>3</w:t>
            </w:r>
            <w:r w:rsidR="00EC43C0">
              <w:rPr>
                <w:iCs/>
                <w:sz w:val="20"/>
                <w:szCs w:val="20"/>
              </w:rPr>
              <w:t>,</w:t>
            </w:r>
            <w:r w:rsidRPr="00E44BF4">
              <w:rPr>
                <w:iCs/>
                <w:sz w:val="20"/>
                <w:szCs w:val="20"/>
              </w:rPr>
              <w:t xml:space="preserve"> and </w:t>
            </w:r>
            <w:r w:rsidR="00EC43C0">
              <w:rPr>
                <w:iCs/>
                <w:sz w:val="20"/>
                <w:szCs w:val="20"/>
              </w:rPr>
              <w:t>final year</w:t>
            </w:r>
            <w:r w:rsidRPr="00E44BF4">
              <w:rPr>
                <w:iCs/>
                <w:sz w:val="20"/>
                <w:szCs w:val="20"/>
              </w:rPr>
              <w:t>; items 10 and 25a</w:t>
            </w:r>
            <w:r>
              <w:rPr>
                <w:rFonts w:asciiTheme="majorBidi" w:hAnsiTheme="majorBidi" w:cstheme="majorBidi"/>
                <w:sz w:val="20"/>
                <w:szCs w:val="20"/>
              </w:rPr>
              <w:t>–</w:t>
            </w:r>
            <w:r w:rsidRPr="00E44BF4">
              <w:rPr>
                <w:iCs/>
                <w:sz w:val="20"/>
                <w:szCs w:val="20"/>
              </w:rPr>
              <w:t xml:space="preserve">c at year 3 and </w:t>
            </w:r>
            <w:r w:rsidR="00EC43C0">
              <w:rPr>
                <w:iCs/>
                <w:sz w:val="20"/>
                <w:szCs w:val="20"/>
              </w:rPr>
              <w:t>final year</w:t>
            </w:r>
            <w:r w:rsidRPr="00E44BF4">
              <w:rPr>
                <w:iCs/>
                <w:sz w:val="20"/>
                <w:szCs w:val="20"/>
              </w:rPr>
              <w:t xml:space="preserve"> </w:t>
            </w:r>
          </w:p>
        </w:tc>
      </w:tr>
      <w:tr w:rsidR="00CA33B6" w:rsidRPr="005456B5" w14:paraId="7CA6E50B" w14:textId="77777777" w:rsidTr="000869F2">
        <w:tc>
          <w:tcPr>
            <w:tcW w:w="9509" w:type="dxa"/>
            <w:gridSpan w:val="4"/>
          </w:tcPr>
          <w:p w14:paraId="77FB3ED8" w14:textId="7D623BB1" w:rsidR="00CA33B6" w:rsidRPr="00E44BF4" w:rsidRDefault="00CA33B6" w:rsidP="00DC5FFF">
            <w:pPr>
              <w:rPr>
                <w:b/>
                <w:bCs/>
                <w:sz w:val="20"/>
                <w:szCs w:val="20"/>
              </w:rPr>
            </w:pPr>
            <w:r w:rsidRPr="00E44BF4">
              <w:rPr>
                <w:b/>
                <w:bCs/>
                <w:sz w:val="20"/>
                <w:szCs w:val="20"/>
              </w:rPr>
              <w:t>EQ3</w:t>
            </w:r>
            <w:r w:rsidR="000869F2">
              <w:rPr>
                <w:b/>
                <w:bCs/>
                <w:sz w:val="20"/>
                <w:szCs w:val="20"/>
              </w:rPr>
              <w:t>:</w:t>
            </w:r>
            <w:r w:rsidRPr="00E44BF4">
              <w:rPr>
                <w:b/>
                <w:bCs/>
                <w:sz w:val="20"/>
                <w:szCs w:val="20"/>
              </w:rPr>
              <w:t xml:space="preserve"> </w:t>
            </w:r>
            <w:r w:rsidRPr="00E44BF4">
              <w:rPr>
                <w:sz w:val="20"/>
                <w:szCs w:val="20"/>
              </w:rPr>
              <w:t>What barriers and facilitators affected SPF-Rx implementation and outcomes (e.g., characteristics of partnerships, concentration of effort, infrastructure, laws and regulations, state</w:t>
            </w:r>
            <w:r w:rsidR="00DC5FFF">
              <w:rPr>
                <w:sz w:val="20"/>
                <w:szCs w:val="20"/>
              </w:rPr>
              <w:t xml:space="preserve"> or </w:t>
            </w:r>
            <w:r w:rsidRPr="00E44BF4">
              <w:rPr>
                <w:sz w:val="20"/>
                <w:szCs w:val="20"/>
              </w:rPr>
              <w:t>community contextual factors)</w:t>
            </w:r>
            <w:r w:rsidR="00DC5FFF">
              <w:rPr>
                <w:sz w:val="20"/>
                <w:szCs w:val="20"/>
              </w:rPr>
              <w:t>? H</w:t>
            </w:r>
            <w:r w:rsidRPr="00E44BF4">
              <w:rPr>
                <w:sz w:val="20"/>
                <w:szCs w:val="20"/>
              </w:rPr>
              <w:t>ow did grantees address these barriers?</w:t>
            </w:r>
          </w:p>
        </w:tc>
      </w:tr>
      <w:tr w:rsidR="00CA33B6" w:rsidRPr="005456B5" w14:paraId="141A0A17" w14:textId="77777777" w:rsidTr="00CA33B6">
        <w:tc>
          <w:tcPr>
            <w:tcW w:w="2867" w:type="dxa"/>
          </w:tcPr>
          <w:p w14:paraId="740F8745" w14:textId="3A2FA405" w:rsidR="00CA33B6" w:rsidRPr="00E44BF4" w:rsidRDefault="000869F2" w:rsidP="00CA33B6">
            <w:pPr>
              <w:rPr>
                <w:sz w:val="20"/>
                <w:szCs w:val="20"/>
              </w:rPr>
            </w:pPr>
            <w:r w:rsidRPr="000869F2">
              <w:rPr>
                <w:sz w:val="20"/>
                <w:szCs w:val="20"/>
              </w:rPr>
              <w:t>Infrastructure</w:t>
            </w:r>
          </w:p>
        </w:tc>
        <w:tc>
          <w:tcPr>
            <w:tcW w:w="2520" w:type="dxa"/>
          </w:tcPr>
          <w:p w14:paraId="12C55263" w14:textId="2D7907C4" w:rsidR="00CA33B6" w:rsidRPr="00E44BF4" w:rsidRDefault="00CA33B6" w:rsidP="00DC5FFF">
            <w:pPr>
              <w:rPr>
                <w:sz w:val="20"/>
                <w:szCs w:val="20"/>
                <w:highlight w:val="yellow"/>
              </w:rPr>
            </w:pPr>
            <w:r w:rsidRPr="00E44BF4">
              <w:rPr>
                <w:sz w:val="20"/>
                <w:szCs w:val="20"/>
              </w:rPr>
              <w:t>GI (Sections 2.1</w:t>
            </w:r>
            <w:r w:rsidR="00DC5FFF">
              <w:rPr>
                <w:sz w:val="20"/>
                <w:szCs w:val="20"/>
              </w:rPr>
              <w:t>–</w:t>
            </w:r>
            <w:r w:rsidRPr="00E44BF4">
              <w:rPr>
                <w:sz w:val="20"/>
                <w:szCs w:val="20"/>
              </w:rPr>
              <w:t>2.4; 2.6, 2.8)</w:t>
            </w:r>
          </w:p>
        </w:tc>
        <w:tc>
          <w:tcPr>
            <w:tcW w:w="2610" w:type="dxa"/>
          </w:tcPr>
          <w:p w14:paraId="56C10DDA" w14:textId="6CC59D80" w:rsidR="00CA33B6" w:rsidRPr="00E44BF4" w:rsidRDefault="00CA33B6" w:rsidP="00CA33B6">
            <w:pPr>
              <w:rPr>
                <w:sz w:val="20"/>
                <w:szCs w:val="20"/>
              </w:rPr>
            </w:pPr>
            <w:r w:rsidRPr="00E44BF4">
              <w:rPr>
                <w:sz w:val="20"/>
                <w:szCs w:val="20"/>
              </w:rPr>
              <w:t>Items 1</w:t>
            </w:r>
            <w:r>
              <w:rPr>
                <w:rFonts w:asciiTheme="majorBidi" w:hAnsiTheme="majorBidi" w:cstheme="majorBidi"/>
                <w:sz w:val="20"/>
                <w:szCs w:val="20"/>
              </w:rPr>
              <w:t>–</w:t>
            </w:r>
            <w:r w:rsidRPr="00E44BF4">
              <w:rPr>
                <w:sz w:val="20"/>
                <w:szCs w:val="20"/>
              </w:rPr>
              <w:t>20; 25; 33</w:t>
            </w:r>
            <w:r>
              <w:rPr>
                <w:rFonts w:asciiTheme="majorBidi" w:hAnsiTheme="majorBidi" w:cstheme="majorBidi"/>
                <w:sz w:val="20"/>
                <w:szCs w:val="20"/>
              </w:rPr>
              <w:t>–</w:t>
            </w:r>
            <w:r w:rsidRPr="00E44BF4">
              <w:rPr>
                <w:sz w:val="20"/>
                <w:szCs w:val="20"/>
              </w:rPr>
              <w:t xml:space="preserve">34 </w:t>
            </w:r>
          </w:p>
        </w:tc>
        <w:tc>
          <w:tcPr>
            <w:tcW w:w="1512" w:type="dxa"/>
          </w:tcPr>
          <w:p w14:paraId="473D4201" w14:textId="5FDF5395" w:rsidR="00CA33B6" w:rsidRPr="00D438C4" w:rsidRDefault="00CA33B6" w:rsidP="00D438C4">
            <w:pPr>
              <w:rPr>
                <w:sz w:val="20"/>
                <w:szCs w:val="20"/>
              </w:rPr>
            </w:pPr>
            <w:r w:rsidRPr="00D438C4">
              <w:rPr>
                <w:sz w:val="20"/>
                <w:szCs w:val="20"/>
              </w:rPr>
              <w:t xml:space="preserve">GI conducted </w:t>
            </w:r>
            <w:r w:rsidR="00FA6A31" w:rsidRPr="00D438C4">
              <w:rPr>
                <w:sz w:val="20"/>
                <w:szCs w:val="20"/>
              </w:rPr>
              <w:t>baseline</w:t>
            </w:r>
            <w:r w:rsidR="00EC43C0" w:rsidRPr="00D438C4">
              <w:rPr>
                <w:sz w:val="20"/>
                <w:szCs w:val="20"/>
              </w:rPr>
              <w:t>,</w:t>
            </w:r>
            <w:r w:rsidR="00FA6A31" w:rsidRPr="00D438C4">
              <w:rPr>
                <w:sz w:val="20"/>
                <w:szCs w:val="20"/>
              </w:rPr>
              <w:t xml:space="preserve"> </w:t>
            </w:r>
            <w:r w:rsidRPr="00D438C4">
              <w:rPr>
                <w:sz w:val="20"/>
                <w:szCs w:val="20"/>
              </w:rPr>
              <w:t>year 3</w:t>
            </w:r>
            <w:r w:rsidR="00D438C4" w:rsidRPr="00D438C4">
              <w:rPr>
                <w:sz w:val="20"/>
                <w:szCs w:val="20"/>
              </w:rPr>
              <w:t>,</w:t>
            </w:r>
            <w:r w:rsidRPr="00D438C4">
              <w:rPr>
                <w:sz w:val="20"/>
                <w:szCs w:val="20"/>
              </w:rPr>
              <w:t xml:space="preserve"> and </w:t>
            </w:r>
            <w:r w:rsidR="00EC43C0" w:rsidRPr="00D438C4">
              <w:rPr>
                <w:sz w:val="20"/>
                <w:szCs w:val="20"/>
              </w:rPr>
              <w:t>final year</w:t>
            </w:r>
            <w:r w:rsidRPr="00D438C4">
              <w:rPr>
                <w:sz w:val="20"/>
                <w:szCs w:val="20"/>
              </w:rPr>
              <w:t>; however, items 5</w:t>
            </w:r>
            <w:r w:rsidRPr="00D438C4">
              <w:rPr>
                <w:rFonts w:asciiTheme="majorBidi" w:hAnsiTheme="majorBidi" w:cstheme="majorBidi"/>
                <w:sz w:val="20"/>
                <w:szCs w:val="20"/>
              </w:rPr>
              <w:t>–</w:t>
            </w:r>
            <w:r w:rsidRPr="00D438C4">
              <w:rPr>
                <w:sz w:val="20"/>
                <w:szCs w:val="20"/>
              </w:rPr>
              <w:t xml:space="preserve">6 collected </w:t>
            </w:r>
            <w:r w:rsidR="00DC5FFF" w:rsidRPr="00D438C4">
              <w:rPr>
                <w:sz w:val="20"/>
                <w:szCs w:val="20"/>
              </w:rPr>
              <w:t xml:space="preserve">only </w:t>
            </w:r>
            <w:r w:rsidR="00FA6A31" w:rsidRPr="00D438C4">
              <w:rPr>
                <w:sz w:val="20"/>
                <w:szCs w:val="20"/>
              </w:rPr>
              <w:t>at baseline</w:t>
            </w:r>
            <w:r w:rsidRPr="00D438C4">
              <w:rPr>
                <w:sz w:val="20"/>
                <w:szCs w:val="20"/>
              </w:rPr>
              <w:t>; item</w:t>
            </w:r>
            <w:r w:rsidR="00DC5FFF" w:rsidRPr="00D438C4">
              <w:rPr>
                <w:sz w:val="20"/>
                <w:szCs w:val="20"/>
              </w:rPr>
              <w:t xml:space="preserve">s </w:t>
            </w:r>
            <w:r w:rsidRPr="00D438C4">
              <w:rPr>
                <w:sz w:val="20"/>
                <w:szCs w:val="20"/>
              </w:rPr>
              <w:t xml:space="preserve">10, </w:t>
            </w:r>
            <w:r w:rsidR="00DC5FFF" w:rsidRPr="00D438C4">
              <w:rPr>
                <w:sz w:val="20"/>
                <w:szCs w:val="20"/>
              </w:rPr>
              <w:t xml:space="preserve">20, and 25, </w:t>
            </w:r>
            <w:r w:rsidRPr="00D438C4">
              <w:rPr>
                <w:sz w:val="20"/>
                <w:szCs w:val="20"/>
              </w:rPr>
              <w:t xml:space="preserve">year 3 and </w:t>
            </w:r>
            <w:r w:rsidR="00EC43C0" w:rsidRPr="00D438C4">
              <w:rPr>
                <w:sz w:val="20"/>
                <w:szCs w:val="20"/>
              </w:rPr>
              <w:t>final year</w:t>
            </w:r>
            <w:r w:rsidRPr="00D438C4">
              <w:rPr>
                <w:sz w:val="20"/>
                <w:szCs w:val="20"/>
              </w:rPr>
              <w:t>; items 18</w:t>
            </w:r>
            <w:r w:rsidRPr="00D438C4">
              <w:rPr>
                <w:rFonts w:asciiTheme="majorBidi" w:hAnsiTheme="majorBidi" w:cstheme="majorBidi"/>
                <w:sz w:val="20"/>
                <w:szCs w:val="20"/>
              </w:rPr>
              <w:t>–</w:t>
            </w:r>
            <w:r w:rsidRPr="00D438C4">
              <w:rPr>
                <w:sz w:val="20"/>
                <w:szCs w:val="20"/>
              </w:rPr>
              <w:t>19</w:t>
            </w:r>
            <w:r w:rsidR="00DC5FFF" w:rsidRPr="00D438C4">
              <w:rPr>
                <w:sz w:val="20"/>
                <w:szCs w:val="20"/>
              </w:rPr>
              <w:t>,</w:t>
            </w:r>
            <w:r w:rsidRPr="00D438C4">
              <w:rPr>
                <w:sz w:val="20"/>
                <w:szCs w:val="20"/>
              </w:rPr>
              <w:t xml:space="preserve"> </w:t>
            </w:r>
            <w:r w:rsidR="00FA6A31" w:rsidRPr="00D438C4">
              <w:rPr>
                <w:sz w:val="20"/>
                <w:szCs w:val="20"/>
              </w:rPr>
              <w:t>baseline</w:t>
            </w:r>
            <w:r w:rsidRPr="00D438C4">
              <w:rPr>
                <w:sz w:val="20"/>
                <w:szCs w:val="20"/>
              </w:rPr>
              <w:t xml:space="preserve"> and </w:t>
            </w:r>
            <w:r w:rsidR="00AE384C" w:rsidRPr="00D438C4">
              <w:rPr>
                <w:sz w:val="20"/>
                <w:szCs w:val="20"/>
              </w:rPr>
              <w:t>final year</w:t>
            </w:r>
            <w:r w:rsidRPr="00D438C4">
              <w:rPr>
                <w:sz w:val="20"/>
                <w:szCs w:val="20"/>
              </w:rPr>
              <w:t xml:space="preserve">; item 34, </w:t>
            </w:r>
            <w:r w:rsidR="00AE384C" w:rsidRPr="00D438C4">
              <w:rPr>
                <w:sz w:val="20"/>
                <w:szCs w:val="20"/>
              </w:rPr>
              <w:t xml:space="preserve">final </w:t>
            </w:r>
            <w:r w:rsidRPr="00D438C4">
              <w:rPr>
                <w:sz w:val="20"/>
                <w:szCs w:val="20"/>
              </w:rPr>
              <w:t>year only</w:t>
            </w:r>
          </w:p>
        </w:tc>
      </w:tr>
      <w:tr w:rsidR="00CA33B6" w:rsidRPr="005456B5" w14:paraId="452E2F50" w14:textId="77777777" w:rsidTr="00CA33B6">
        <w:tc>
          <w:tcPr>
            <w:tcW w:w="2867" w:type="dxa"/>
          </w:tcPr>
          <w:p w14:paraId="4601D325" w14:textId="77777777" w:rsidR="00CA33B6" w:rsidRPr="00E44BF4" w:rsidRDefault="00CA33B6" w:rsidP="00CA33B6">
            <w:pPr>
              <w:rPr>
                <w:sz w:val="20"/>
                <w:szCs w:val="20"/>
              </w:rPr>
            </w:pPr>
          </w:p>
        </w:tc>
        <w:tc>
          <w:tcPr>
            <w:tcW w:w="2520" w:type="dxa"/>
          </w:tcPr>
          <w:p w14:paraId="4F0E1486" w14:textId="77777777" w:rsidR="00CA33B6" w:rsidRPr="00E44BF4" w:rsidRDefault="00CA33B6" w:rsidP="00CA33B6">
            <w:pPr>
              <w:rPr>
                <w:sz w:val="20"/>
                <w:szCs w:val="20"/>
              </w:rPr>
            </w:pPr>
            <w:r w:rsidRPr="00E44BF4">
              <w:rPr>
                <w:sz w:val="20"/>
                <w:szCs w:val="20"/>
              </w:rPr>
              <w:t xml:space="preserve">AII (Sections 2a, 2b, 2c) </w:t>
            </w:r>
          </w:p>
        </w:tc>
        <w:tc>
          <w:tcPr>
            <w:tcW w:w="2610" w:type="dxa"/>
          </w:tcPr>
          <w:p w14:paraId="6A36299A" w14:textId="5631958C" w:rsidR="00CA33B6" w:rsidRPr="00E44BF4" w:rsidRDefault="00CA33B6" w:rsidP="00CA33B6">
            <w:pPr>
              <w:rPr>
                <w:sz w:val="20"/>
                <w:szCs w:val="20"/>
              </w:rPr>
            </w:pPr>
            <w:r w:rsidRPr="00E44BF4">
              <w:rPr>
                <w:sz w:val="20"/>
                <w:szCs w:val="20"/>
              </w:rPr>
              <w:t>Items 6; 12</w:t>
            </w:r>
            <w:r>
              <w:rPr>
                <w:rFonts w:asciiTheme="majorBidi" w:hAnsiTheme="majorBidi" w:cstheme="majorBidi"/>
                <w:sz w:val="20"/>
                <w:szCs w:val="20"/>
              </w:rPr>
              <w:t>–</w:t>
            </w:r>
            <w:r w:rsidRPr="00E44BF4">
              <w:rPr>
                <w:sz w:val="20"/>
                <w:szCs w:val="20"/>
              </w:rPr>
              <w:t xml:space="preserve">24; 33 </w:t>
            </w:r>
          </w:p>
        </w:tc>
        <w:tc>
          <w:tcPr>
            <w:tcW w:w="1512" w:type="dxa"/>
          </w:tcPr>
          <w:p w14:paraId="3AE6D961" w14:textId="5E9B35A6" w:rsidR="00CA33B6" w:rsidRPr="00D438C4" w:rsidRDefault="00CA33B6" w:rsidP="00DC5FFF">
            <w:pPr>
              <w:rPr>
                <w:sz w:val="20"/>
                <w:szCs w:val="20"/>
              </w:rPr>
            </w:pPr>
            <w:r w:rsidRPr="00D438C4">
              <w:rPr>
                <w:sz w:val="20"/>
                <w:szCs w:val="20"/>
              </w:rPr>
              <w:t>Annual</w:t>
            </w:r>
            <w:r w:rsidR="00D438C4" w:rsidRPr="00D438C4">
              <w:rPr>
                <w:sz w:val="20"/>
                <w:szCs w:val="20"/>
              </w:rPr>
              <w:t>,</w:t>
            </w:r>
            <w:r w:rsidRPr="00D438C4">
              <w:rPr>
                <w:sz w:val="20"/>
                <w:szCs w:val="20"/>
              </w:rPr>
              <w:t xml:space="preserve"> except item 19 asked </w:t>
            </w:r>
            <w:r w:rsidR="00DC5FFF" w:rsidRPr="00D438C4">
              <w:rPr>
                <w:sz w:val="20"/>
                <w:szCs w:val="20"/>
              </w:rPr>
              <w:t xml:space="preserve">only </w:t>
            </w:r>
            <w:r w:rsidRPr="00D438C4">
              <w:rPr>
                <w:sz w:val="20"/>
                <w:szCs w:val="20"/>
              </w:rPr>
              <w:t>at baseline</w:t>
            </w:r>
          </w:p>
        </w:tc>
      </w:tr>
      <w:tr w:rsidR="00CA33B6" w:rsidRPr="005456B5" w14:paraId="752FFB9D" w14:textId="77777777" w:rsidTr="00CA33B6">
        <w:tc>
          <w:tcPr>
            <w:tcW w:w="2867" w:type="dxa"/>
          </w:tcPr>
          <w:p w14:paraId="17D9D812" w14:textId="54C51F4D" w:rsidR="00CA33B6" w:rsidRPr="00E44BF4" w:rsidRDefault="00CA33B6" w:rsidP="00CA33B6">
            <w:pPr>
              <w:rPr>
                <w:sz w:val="20"/>
                <w:szCs w:val="20"/>
              </w:rPr>
            </w:pPr>
            <w:r w:rsidRPr="00E44BF4">
              <w:rPr>
                <w:sz w:val="20"/>
                <w:szCs w:val="20"/>
              </w:rPr>
              <w:t xml:space="preserve">Characteristics of </w:t>
            </w:r>
            <w:r w:rsidR="006E0214" w:rsidRPr="00E44BF4">
              <w:rPr>
                <w:sz w:val="20"/>
                <w:szCs w:val="20"/>
              </w:rPr>
              <w:t>partnerships</w:t>
            </w:r>
            <w:r w:rsidR="00DC5FFF">
              <w:rPr>
                <w:sz w:val="20"/>
                <w:szCs w:val="20"/>
              </w:rPr>
              <w:t xml:space="preserve"> and </w:t>
            </w:r>
            <w:r w:rsidR="006E0214" w:rsidRPr="00E44BF4">
              <w:rPr>
                <w:sz w:val="20"/>
                <w:szCs w:val="20"/>
              </w:rPr>
              <w:t>collaborations</w:t>
            </w:r>
          </w:p>
        </w:tc>
        <w:tc>
          <w:tcPr>
            <w:tcW w:w="2520" w:type="dxa"/>
          </w:tcPr>
          <w:p w14:paraId="1B42F35F" w14:textId="77777777" w:rsidR="00CA33B6" w:rsidRPr="00E44BF4" w:rsidRDefault="00CA33B6" w:rsidP="00CA33B6">
            <w:pPr>
              <w:rPr>
                <w:sz w:val="20"/>
                <w:szCs w:val="20"/>
                <w:highlight w:val="yellow"/>
              </w:rPr>
            </w:pPr>
            <w:r w:rsidRPr="00E44BF4">
              <w:rPr>
                <w:sz w:val="20"/>
                <w:szCs w:val="20"/>
              </w:rPr>
              <w:t>GI (Sections 2.1, 2.3, 2.4, 2.8)</w:t>
            </w:r>
          </w:p>
        </w:tc>
        <w:tc>
          <w:tcPr>
            <w:tcW w:w="2610" w:type="dxa"/>
          </w:tcPr>
          <w:p w14:paraId="727F4C44" w14:textId="73AA8ABF" w:rsidR="00CA33B6" w:rsidRPr="00E44BF4" w:rsidRDefault="00CA33B6" w:rsidP="00CA33B6">
            <w:pPr>
              <w:rPr>
                <w:sz w:val="20"/>
                <w:szCs w:val="20"/>
              </w:rPr>
            </w:pPr>
            <w:r w:rsidRPr="00E44BF4">
              <w:rPr>
                <w:sz w:val="20"/>
                <w:szCs w:val="20"/>
              </w:rPr>
              <w:t>Items 1</w:t>
            </w:r>
            <w:r>
              <w:rPr>
                <w:rFonts w:asciiTheme="majorBidi" w:hAnsiTheme="majorBidi" w:cstheme="majorBidi"/>
                <w:sz w:val="20"/>
                <w:szCs w:val="20"/>
              </w:rPr>
              <w:t>–</w:t>
            </w:r>
            <w:r w:rsidRPr="00E44BF4">
              <w:rPr>
                <w:sz w:val="20"/>
                <w:szCs w:val="20"/>
              </w:rPr>
              <w:t>4; 12</w:t>
            </w:r>
            <w:r>
              <w:rPr>
                <w:rFonts w:asciiTheme="majorBidi" w:hAnsiTheme="majorBidi" w:cstheme="majorBidi"/>
                <w:sz w:val="20"/>
                <w:szCs w:val="20"/>
              </w:rPr>
              <w:t>–</w:t>
            </w:r>
            <w:r w:rsidRPr="00E44BF4">
              <w:rPr>
                <w:sz w:val="20"/>
                <w:szCs w:val="20"/>
              </w:rPr>
              <w:t>18</w:t>
            </w:r>
          </w:p>
        </w:tc>
        <w:tc>
          <w:tcPr>
            <w:tcW w:w="1512" w:type="dxa"/>
          </w:tcPr>
          <w:p w14:paraId="189DB4DB" w14:textId="025E086C" w:rsidR="00CA33B6" w:rsidRPr="00D438C4" w:rsidRDefault="00CA33B6" w:rsidP="00CA33B6">
            <w:pPr>
              <w:rPr>
                <w:sz w:val="20"/>
                <w:szCs w:val="20"/>
              </w:rPr>
            </w:pPr>
            <w:r w:rsidRPr="00D438C4">
              <w:rPr>
                <w:sz w:val="20"/>
                <w:szCs w:val="20"/>
              </w:rPr>
              <w:t xml:space="preserve">GI conducted </w:t>
            </w:r>
            <w:r w:rsidR="00FA6A31" w:rsidRPr="00D438C4">
              <w:rPr>
                <w:sz w:val="20"/>
                <w:szCs w:val="20"/>
              </w:rPr>
              <w:t>at baseline</w:t>
            </w:r>
            <w:r w:rsidR="00AE384C" w:rsidRPr="00D438C4">
              <w:rPr>
                <w:sz w:val="20"/>
                <w:szCs w:val="20"/>
              </w:rPr>
              <w:t>,</w:t>
            </w:r>
            <w:r w:rsidR="00FA6A31" w:rsidRPr="00D438C4">
              <w:rPr>
                <w:sz w:val="20"/>
                <w:szCs w:val="20"/>
              </w:rPr>
              <w:t xml:space="preserve"> </w:t>
            </w:r>
            <w:r w:rsidRPr="00D438C4">
              <w:rPr>
                <w:sz w:val="20"/>
                <w:szCs w:val="20"/>
              </w:rPr>
              <w:t>year</w:t>
            </w:r>
            <w:r w:rsidR="00DC5FFF" w:rsidRPr="00D438C4">
              <w:rPr>
                <w:sz w:val="20"/>
                <w:szCs w:val="20"/>
              </w:rPr>
              <w:t xml:space="preserve"> </w:t>
            </w:r>
            <w:r w:rsidRPr="00D438C4">
              <w:rPr>
                <w:sz w:val="20"/>
                <w:szCs w:val="20"/>
              </w:rPr>
              <w:t>3</w:t>
            </w:r>
            <w:r w:rsidR="00D438C4" w:rsidRPr="00D438C4">
              <w:rPr>
                <w:sz w:val="20"/>
                <w:szCs w:val="20"/>
              </w:rPr>
              <w:t>,</w:t>
            </w:r>
            <w:r w:rsidRPr="00D438C4">
              <w:rPr>
                <w:sz w:val="20"/>
                <w:szCs w:val="20"/>
              </w:rPr>
              <w:t xml:space="preserve"> and </w:t>
            </w:r>
            <w:r w:rsidR="00AE384C" w:rsidRPr="00D438C4">
              <w:rPr>
                <w:sz w:val="20"/>
                <w:szCs w:val="20"/>
              </w:rPr>
              <w:t>final year</w:t>
            </w:r>
            <w:r w:rsidRPr="00D438C4">
              <w:rPr>
                <w:sz w:val="20"/>
                <w:szCs w:val="20"/>
              </w:rPr>
              <w:t>; however, item 18 is asked only at baseline and final interview</w:t>
            </w:r>
            <w:r w:rsidR="00DC5FFF" w:rsidRPr="00D438C4">
              <w:rPr>
                <w:sz w:val="20"/>
                <w:szCs w:val="20"/>
              </w:rPr>
              <w:t>s</w:t>
            </w:r>
          </w:p>
        </w:tc>
      </w:tr>
      <w:tr w:rsidR="00CA33B6" w:rsidRPr="005456B5" w14:paraId="60A0BF8A" w14:textId="77777777" w:rsidTr="00CA33B6">
        <w:tc>
          <w:tcPr>
            <w:tcW w:w="2867" w:type="dxa"/>
          </w:tcPr>
          <w:p w14:paraId="4CD4AFDE" w14:textId="77777777" w:rsidR="00CA33B6" w:rsidRPr="00E44BF4" w:rsidRDefault="00CA33B6" w:rsidP="00CA33B6">
            <w:pPr>
              <w:rPr>
                <w:sz w:val="20"/>
                <w:szCs w:val="20"/>
              </w:rPr>
            </w:pPr>
          </w:p>
        </w:tc>
        <w:tc>
          <w:tcPr>
            <w:tcW w:w="2520" w:type="dxa"/>
          </w:tcPr>
          <w:p w14:paraId="166BBEFA" w14:textId="77777777" w:rsidR="00CA33B6" w:rsidRPr="00E44BF4" w:rsidRDefault="00CA33B6" w:rsidP="00CA33B6">
            <w:pPr>
              <w:rPr>
                <w:sz w:val="20"/>
                <w:szCs w:val="20"/>
              </w:rPr>
            </w:pPr>
            <w:r w:rsidRPr="00E44BF4">
              <w:rPr>
                <w:sz w:val="20"/>
                <w:szCs w:val="20"/>
              </w:rPr>
              <w:t>AII (Sections 2b, 2c, 3)</w:t>
            </w:r>
          </w:p>
        </w:tc>
        <w:tc>
          <w:tcPr>
            <w:tcW w:w="2610" w:type="dxa"/>
          </w:tcPr>
          <w:p w14:paraId="3E8A42CE" w14:textId="77777777" w:rsidR="00CA33B6" w:rsidRPr="00E44BF4" w:rsidRDefault="00CA33B6" w:rsidP="00CA33B6">
            <w:pPr>
              <w:rPr>
                <w:sz w:val="20"/>
                <w:szCs w:val="20"/>
              </w:rPr>
            </w:pPr>
            <w:r w:rsidRPr="00E44BF4">
              <w:rPr>
                <w:sz w:val="20"/>
                <w:szCs w:val="20"/>
              </w:rPr>
              <w:t>Items 18; 33; 133</w:t>
            </w:r>
          </w:p>
        </w:tc>
        <w:tc>
          <w:tcPr>
            <w:tcW w:w="1512" w:type="dxa"/>
          </w:tcPr>
          <w:p w14:paraId="5931A556" w14:textId="77777777" w:rsidR="00CA33B6" w:rsidRPr="00D438C4" w:rsidRDefault="00CA33B6" w:rsidP="00CA33B6">
            <w:pPr>
              <w:rPr>
                <w:sz w:val="20"/>
                <w:szCs w:val="20"/>
              </w:rPr>
            </w:pPr>
            <w:r w:rsidRPr="00D438C4">
              <w:rPr>
                <w:sz w:val="20"/>
                <w:szCs w:val="20"/>
              </w:rPr>
              <w:t>Annual</w:t>
            </w:r>
          </w:p>
        </w:tc>
      </w:tr>
    </w:tbl>
    <w:p w14:paraId="264BE40B" w14:textId="77777777" w:rsidR="00391B7A" w:rsidRPr="00CA33B6" w:rsidRDefault="00391B7A" w:rsidP="00391B7A">
      <w:pPr>
        <w:jc w:val="right"/>
      </w:pPr>
      <w:r w:rsidRPr="00CA33B6">
        <w:t>(</w:t>
      </w:r>
      <w:proofErr w:type="gramStart"/>
      <w:r w:rsidRPr="00CA33B6">
        <w:t>continued</w:t>
      </w:r>
      <w:proofErr w:type="gramEnd"/>
      <w:r w:rsidRPr="00CA33B6">
        <w:t>)</w:t>
      </w:r>
    </w:p>
    <w:p w14:paraId="487849A5" w14:textId="77777777" w:rsidR="00391B7A" w:rsidRDefault="00391B7A" w:rsidP="00391B7A">
      <w:pPr>
        <w:pStyle w:val="ExhibitTitle"/>
        <w:pageBreakBefore/>
      </w:pPr>
      <w:r>
        <w:lastRenderedPageBreak/>
        <w:t>Exhibit 1</w:t>
      </w:r>
      <w:r w:rsidRPr="00CA33B6">
        <w:t>: Evaluation of the Strategic Prevention Framework for Prescription Drugs (SPF-Rx) in the Program Evaluation for Prevention Contract (PEP</w:t>
      </w:r>
      <w:r w:rsidRPr="00CA33B6">
        <w:noBreakHyphen/>
        <w:t>C)—Constructs and Data Sources (cont.)</w:t>
      </w:r>
    </w:p>
    <w:tbl>
      <w:tblPr>
        <w:tblStyle w:val="TableGrid1"/>
        <w:tblW w:w="9509" w:type="dxa"/>
        <w:tblInd w:w="-5" w:type="dxa"/>
        <w:tblCellMar>
          <w:left w:w="115" w:type="dxa"/>
          <w:right w:w="115" w:type="dxa"/>
        </w:tblCellMar>
        <w:tblLook w:val="04A0" w:firstRow="1" w:lastRow="0" w:firstColumn="1" w:lastColumn="0" w:noHBand="0" w:noVBand="1"/>
      </w:tblPr>
      <w:tblGrid>
        <w:gridCol w:w="2867"/>
        <w:gridCol w:w="2520"/>
        <w:gridCol w:w="2610"/>
        <w:gridCol w:w="1512"/>
      </w:tblGrid>
      <w:tr w:rsidR="00391B7A" w:rsidRPr="00E44BF4" w14:paraId="06A1002B" w14:textId="77777777" w:rsidTr="00011866">
        <w:tc>
          <w:tcPr>
            <w:tcW w:w="9509" w:type="dxa"/>
            <w:gridSpan w:val="4"/>
          </w:tcPr>
          <w:p w14:paraId="4D1DADCA" w14:textId="77777777" w:rsidR="00391B7A" w:rsidRPr="00E44BF4" w:rsidRDefault="00391B7A" w:rsidP="00011866">
            <w:pPr>
              <w:rPr>
                <w:b/>
                <w:bCs/>
                <w:sz w:val="20"/>
                <w:szCs w:val="20"/>
              </w:rPr>
            </w:pPr>
            <w:r w:rsidRPr="00E44BF4">
              <w:rPr>
                <w:b/>
                <w:bCs/>
                <w:sz w:val="20"/>
                <w:szCs w:val="20"/>
              </w:rPr>
              <w:t>EQ3</w:t>
            </w:r>
            <w:r>
              <w:rPr>
                <w:b/>
                <w:bCs/>
                <w:sz w:val="20"/>
                <w:szCs w:val="20"/>
              </w:rPr>
              <w:t xml:space="preserve"> (cont.):</w:t>
            </w:r>
            <w:r w:rsidRPr="00E44BF4">
              <w:rPr>
                <w:b/>
                <w:bCs/>
                <w:sz w:val="20"/>
                <w:szCs w:val="20"/>
              </w:rPr>
              <w:t xml:space="preserve"> </w:t>
            </w:r>
            <w:r w:rsidRPr="00E44BF4">
              <w:rPr>
                <w:sz w:val="20"/>
                <w:szCs w:val="20"/>
              </w:rPr>
              <w:t>What barriers and facilitators affected SPF-Rx implementation and outcomes (e.g., characteristics of partnerships, concentration of effort, infrastructure, laws and regulations, state/community contextual factors) and how did grantees address these barriers?</w:t>
            </w:r>
          </w:p>
        </w:tc>
      </w:tr>
      <w:tr w:rsidR="00391B7A" w:rsidRPr="00CA33B6" w14:paraId="60C151DB" w14:textId="77777777" w:rsidTr="00011866">
        <w:tc>
          <w:tcPr>
            <w:tcW w:w="2867" w:type="dxa"/>
          </w:tcPr>
          <w:p w14:paraId="699026AB" w14:textId="77777777" w:rsidR="00391B7A" w:rsidRPr="00CA33B6" w:rsidRDefault="00391B7A" w:rsidP="00011866">
            <w:pPr>
              <w:rPr>
                <w:i/>
                <w:sz w:val="20"/>
                <w:szCs w:val="20"/>
              </w:rPr>
            </w:pPr>
            <w:r>
              <w:rPr>
                <w:i/>
                <w:sz w:val="20"/>
                <w:szCs w:val="20"/>
              </w:rPr>
              <w:t>Construct</w:t>
            </w:r>
          </w:p>
        </w:tc>
        <w:tc>
          <w:tcPr>
            <w:tcW w:w="2520" w:type="dxa"/>
          </w:tcPr>
          <w:p w14:paraId="5A285F09" w14:textId="77777777" w:rsidR="00391B7A" w:rsidRPr="00CA33B6" w:rsidRDefault="00391B7A" w:rsidP="00011866">
            <w:pPr>
              <w:rPr>
                <w:i/>
                <w:sz w:val="20"/>
                <w:szCs w:val="20"/>
              </w:rPr>
            </w:pPr>
            <w:r w:rsidRPr="00CA33B6">
              <w:rPr>
                <w:i/>
                <w:sz w:val="20"/>
                <w:szCs w:val="20"/>
              </w:rPr>
              <w:t>Data Source</w:t>
            </w:r>
          </w:p>
        </w:tc>
        <w:tc>
          <w:tcPr>
            <w:tcW w:w="2610" w:type="dxa"/>
          </w:tcPr>
          <w:p w14:paraId="59D2D235" w14:textId="77777777" w:rsidR="00391B7A" w:rsidRPr="00CA33B6" w:rsidRDefault="00391B7A" w:rsidP="00011866">
            <w:pPr>
              <w:rPr>
                <w:i/>
                <w:sz w:val="20"/>
                <w:szCs w:val="20"/>
              </w:rPr>
            </w:pPr>
            <w:r>
              <w:rPr>
                <w:i/>
                <w:sz w:val="20"/>
                <w:szCs w:val="20"/>
              </w:rPr>
              <w:t>Items</w:t>
            </w:r>
          </w:p>
        </w:tc>
        <w:tc>
          <w:tcPr>
            <w:tcW w:w="1512" w:type="dxa"/>
          </w:tcPr>
          <w:p w14:paraId="07D7115A" w14:textId="77777777" w:rsidR="00391B7A" w:rsidRPr="00CA33B6" w:rsidRDefault="00391B7A" w:rsidP="00011866">
            <w:pPr>
              <w:rPr>
                <w:i/>
                <w:sz w:val="20"/>
                <w:szCs w:val="20"/>
              </w:rPr>
            </w:pPr>
            <w:r>
              <w:rPr>
                <w:i/>
                <w:sz w:val="20"/>
                <w:szCs w:val="20"/>
              </w:rPr>
              <w:t>Timing</w:t>
            </w:r>
          </w:p>
        </w:tc>
      </w:tr>
      <w:tr w:rsidR="00CA33B6" w:rsidRPr="005456B5" w14:paraId="5E504F84" w14:textId="77777777" w:rsidTr="00CA33B6">
        <w:tc>
          <w:tcPr>
            <w:tcW w:w="2867" w:type="dxa"/>
          </w:tcPr>
          <w:p w14:paraId="11E0EF2C" w14:textId="77777777" w:rsidR="00CA33B6" w:rsidRPr="00E44BF4" w:rsidRDefault="00CA33B6" w:rsidP="00CA33B6">
            <w:pPr>
              <w:rPr>
                <w:sz w:val="20"/>
                <w:szCs w:val="20"/>
              </w:rPr>
            </w:pPr>
            <w:r w:rsidRPr="00E44BF4">
              <w:rPr>
                <w:sz w:val="20"/>
                <w:szCs w:val="20"/>
              </w:rPr>
              <w:t>Strategy (intervention) selection</w:t>
            </w:r>
          </w:p>
        </w:tc>
        <w:tc>
          <w:tcPr>
            <w:tcW w:w="2520" w:type="dxa"/>
          </w:tcPr>
          <w:p w14:paraId="7D441CE2" w14:textId="77777777" w:rsidR="00CA33B6" w:rsidRPr="00E44BF4" w:rsidRDefault="00CA33B6" w:rsidP="00CA33B6">
            <w:pPr>
              <w:rPr>
                <w:sz w:val="20"/>
                <w:szCs w:val="20"/>
                <w:highlight w:val="yellow"/>
              </w:rPr>
            </w:pPr>
            <w:r w:rsidRPr="00E44BF4">
              <w:rPr>
                <w:sz w:val="20"/>
                <w:szCs w:val="20"/>
              </w:rPr>
              <w:t xml:space="preserve">GI (Section 2.5) </w:t>
            </w:r>
          </w:p>
        </w:tc>
        <w:tc>
          <w:tcPr>
            <w:tcW w:w="2610" w:type="dxa"/>
          </w:tcPr>
          <w:p w14:paraId="39150941" w14:textId="26C6E4D7" w:rsidR="00CA33B6" w:rsidRPr="00E44BF4" w:rsidRDefault="00CA33B6" w:rsidP="00CA33B6">
            <w:pPr>
              <w:rPr>
                <w:sz w:val="20"/>
                <w:szCs w:val="20"/>
              </w:rPr>
            </w:pPr>
            <w:r w:rsidRPr="00E44BF4">
              <w:rPr>
                <w:sz w:val="20"/>
                <w:szCs w:val="20"/>
              </w:rPr>
              <w:t>Items 21</w:t>
            </w:r>
            <w:r>
              <w:rPr>
                <w:rFonts w:asciiTheme="majorBidi" w:hAnsiTheme="majorBidi" w:cstheme="majorBidi"/>
                <w:sz w:val="20"/>
                <w:szCs w:val="20"/>
              </w:rPr>
              <w:t>–</w:t>
            </w:r>
            <w:r w:rsidRPr="00E44BF4">
              <w:rPr>
                <w:sz w:val="20"/>
                <w:szCs w:val="20"/>
              </w:rPr>
              <w:t>24</w:t>
            </w:r>
          </w:p>
        </w:tc>
        <w:tc>
          <w:tcPr>
            <w:tcW w:w="1512" w:type="dxa"/>
          </w:tcPr>
          <w:p w14:paraId="7710E5E4" w14:textId="590A6BFF" w:rsidR="00CA33B6" w:rsidRPr="00D438C4" w:rsidRDefault="00CA33B6" w:rsidP="00CA33B6">
            <w:pPr>
              <w:rPr>
                <w:sz w:val="20"/>
                <w:szCs w:val="20"/>
              </w:rPr>
            </w:pPr>
            <w:r w:rsidRPr="00D438C4">
              <w:rPr>
                <w:sz w:val="20"/>
                <w:szCs w:val="20"/>
              </w:rPr>
              <w:t>Items 21</w:t>
            </w:r>
            <w:r w:rsidRPr="00D438C4">
              <w:rPr>
                <w:rFonts w:asciiTheme="majorBidi" w:hAnsiTheme="majorBidi" w:cstheme="majorBidi"/>
                <w:sz w:val="20"/>
                <w:szCs w:val="20"/>
              </w:rPr>
              <w:t>–</w:t>
            </w:r>
            <w:r w:rsidRPr="00D438C4">
              <w:rPr>
                <w:sz w:val="20"/>
                <w:szCs w:val="20"/>
              </w:rPr>
              <w:t xml:space="preserve">22 asked </w:t>
            </w:r>
            <w:r w:rsidR="00FA6A31" w:rsidRPr="00D438C4">
              <w:rPr>
                <w:sz w:val="20"/>
                <w:szCs w:val="20"/>
              </w:rPr>
              <w:t xml:space="preserve">at baseline and </w:t>
            </w:r>
            <w:r w:rsidRPr="00D438C4">
              <w:rPr>
                <w:sz w:val="20"/>
                <w:szCs w:val="20"/>
              </w:rPr>
              <w:t>year 3; items 23</w:t>
            </w:r>
            <w:r w:rsidRPr="00D438C4">
              <w:rPr>
                <w:rFonts w:asciiTheme="majorBidi" w:hAnsiTheme="majorBidi" w:cstheme="majorBidi"/>
                <w:sz w:val="20"/>
                <w:szCs w:val="20"/>
              </w:rPr>
              <w:t>–</w:t>
            </w:r>
            <w:r w:rsidRPr="00D438C4">
              <w:rPr>
                <w:sz w:val="20"/>
                <w:szCs w:val="20"/>
              </w:rPr>
              <w:t xml:space="preserve">24 asked </w:t>
            </w:r>
            <w:r w:rsidR="00AE384C" w:rsidRPr="00D438C4">
              <w:rPr>
                <w:sz w:val="20"/>
                <w:szCs w:val="20"/>
              </w:rPr>
              <w:t xml:space="preserve">baseline, </w:t>
            </w:r>
            <w:r w:rsidRPr="00D438C4">
              <w:rPr>
                <w:sz w:val="20"/>
                <w:szCs w:val="20"/>
              </w:rPr>
              <w:t>year 3</w:t>
            </w:r>
            <w:r w:rsidR="00D438C4" w:rsidRPr="00D438C4">
              <w:rPr>
                <w:sz w:val="20"/>
                <w:szCs w:val="20"/>
              </w:rPr>
              <w:t>,</w:t>
            </w:r>
            <w:r w:rsidRPr="00D438C4">
              <w:rPr>
                <w:sz w:val="20"/>
                <w:szCs w:val="20"/>
              </w:rPr>
              <w:t xml:space="preserve"> and </w:t>
            </w:r>
            <w:r w:rsidR="00AE384C" w:rsidRPr="00D438C4">
              <w:rPr>
                <w:sz w:val="20"/>
                <w:szCs w:val="20"/>
              </w:rPr>
              <w:t>final year</w:t>
            </w:r>
          </w:p>
        </w:tc>
      </w:tr>
      <w:tr w:rsidR="00CA33B6" w:rsidRPr="005456B5" w14:paraId="0C11630A" w14:textId="77777777" w:rsidTr="00CA33B6">
        <w:tc>
          <w:tcPr>
            <w:tcW w:w="2867" w:type="dxa"/>
          </w:tcPr>
          <w:p w14:paraId="4A07662D" w14:textId="77777777" w:rsidR="00CA33B6" w:rsidRPr="00E44BF4" w:rsidRDefault="00CA33B6" w:rsidP="00CA33B6">
            <w:pPr>
              <w:rPr>
                <w:sz w:val="20"/>
                <w:szCs w:val="20"/>
              </w:rPr>
            </w:pPr>
          </w:p>
        </w:tc>
        <w:tc>
          <w:tcPr>
            <w:tcW w:w="2520" w:type="dxa"/>
          </w:tcPr>
          <w:p w14:paraId="18E7A36B" w14:textId="77777777" w:rsidR="00CA33B6" w:rsidRPr="00E44BF4" w:rsidRDefault="00CA33B6" w:rsidP="00CA33B6">
            <w:pPr>
              <w:rPr>
                <w:sz w:val="20"/>
                <w:szCs w:val="20"/>
                <w:highlight w:val="yellow"/>
              </w:rPr>
            </w:pPr>
            <w:r w:rsidRPr="00E44BF4">
              <w:rPr>
                <w:sz w:val="20"/>
                <w:szCs w:val="20"/>
              </w:rPr>
              <w:t>AII (Section 2c)</w:t>
            </w:r>
          </w:p>
        </w:tc>
        <w:tc>
          <w:tcPr>
            <w:tcW w:w="2610" w:type="dxa"/>
          </w:tcPr>
          <w:p w14:paraId="0974F5E6" w14:textId="09F9787C" w:rsidR="00CA33B6" w:rsidRPr="00E44BF4" w:rsidRDefault="00CA33B6" w:rsidP="00CA33B6">
            <w:pPr>
              <w:rPr>
                <w:sz w:val="20"/>
                <w:szCs w:val="20"/>
              </w:rPr>
            </w:pPr>
            <w:r w:rsidRPr="00E44BF4">
              <w:rPr>
                <w:sz w:val="20"/>
                <w:szCs w:val="20"/>
              </w:rPr>
              <w:t>Items 27</w:t>
            </w:r>
            <w:r>
              <w:rPr>
                <w:rFonts w:asciiTheme="majorBidi" w:hAnsiTheme="majorBidi" w:cstheme="majorBidi"/>
                <w:sz w:val="20"/>
                <w:szCs w:val="20"/>
              </w:rPr>
              <w:t>–</w:t>
            </w:r>
            <w:r w:rsidRPr="00E44BF4">
              <w:rPr>
                <w:sz w:val="20"/>
                <w:szCs w:val="20"/>
              </w:rPr>
              <w:t>31</w:t>
            </w:r>
          </w:p>
        </w:tc>
        <w:tc>
          <w:tcPr>
            <w:tcW w:w="1512" w:type="dxa"/>
          </w:tcPr>
          <w:p w14:paraId="670A2A9B" w14:textId="77777777" w:rsidR="00CA33B6" w:rsidRPr="00E44BF4" w:rsidRDefault="00CA33B6" w:rsidP="00CA33B6">
            <w:pPr>
              <w:rPr>
                <w:sz w:val="20"/>
                <w:szCs w:val="20"/>
              </w:rPr>
            </w:pPr>
            <w:r w:rsidRPr="00E44BF4">
              <w:rPr>
                <w:sz w:val="20"/>
                <w:szCs w:val="20"/>
              </w:rPr>
              <w:t>Annual</w:t>
            </w:r>
          </w:p>
        </w:tc>
      </w:tr>
      <w:tr w:rsidR="00CA33B6" w:rsidRPr="005456B5" w14:paraId="1D359218" w14:textId="77777777" w:rsidTr="00CA33B6">
        <w:tc>
          <w:tcPr>
            <w:tcW w:w="2867" w:type="dxa"/>
          </w:tcPr>
          <w:p w14:paraId="12112B3C" w14:textId="77777777" w:rsidR="00CA33B6" w:rsidRPr="00E44BF4" w:rsidRDefault="00CA33B6" w:rsidP="00CA33B6">
            <w:pPr>
              <w:rPr>
                <w:sz w:val="20"/>
                <w:szCs w:val="20"/>
              </w:rPr>
            </w:pPr>
            <w:r w:rsidRPr="00E44BF4">
              <w:rPr>
                <w:sz w:val="20"/>
                <w:szCs w:val="20"/>
              </w:rPr>
              <w:t>Implementation adaptation</w:t>
            </w:r>
          </w:p>
        </w:tc>
        <w:tc>
          <w:tcPr>
            <w:tcW w:w="2520" w:type="dxa"/>
          </w:tcPr>
          <w:p w14:paraId="37B463E8" w14:textId="77777777" w:rsidR="00CA33B6" w:rsidRPr="00E44BF4" w:rsidRDefault="00CA33B6" w:rsidP="00CA33B6">
            <w:pPr>
              <w:rPr>
                <w:sz w:val="20"/>
                <w:szCs w:val="20"/>
              </w:rPr>
            </w:pPr>
            <w:r w:rsidRPr="00E44BF4">
              <w:rPr>
                <w:sz w:val="20"/>
                <w:szCs w:val="20"/>
              </w:rPr>
              <w:t>AII (Section 2c; 2d)</w:t>
            </w:r>
          </w:p>
        </w:tc>
        <w:tc>
          <w:tcPr>
            <w:tcW w:w="2610" w:type="dxa"/>
          </w:tcPr>
          <w:p w14:paraId="1E697D38" w14:textId="6753CC3F" w:rsidR="00CA33B6" w:rsidRPr="00E44BF4" w:rsidRDefault="00CA33B6" w:rsidP="00CA33B6">
            <w:pPr>
              <w:rPr>
                <w:sz w:val="20"/>
                <w:szCs w:val="20"/>
              </w:rPr>
            </w:pPr>
            <w:r w:rsidRPr="00E44BF4">
              <w:rPr>
                <w:sz w:val="20"/>
                <w:szCs w:val="20"/>
              </w:rPr>
              <w:t>Items 31; 131</w:t>
            </w:r>
            <w:r>
              <w:rPr>
                <w:rFonts w:asciiTheme="majorBidi" w:hAnsiTheme="majorBidi" w:cstheme="majorBidi"/>
                <w:sz w:val="20"/>
                <w:szCs w:val="20"/>
              </w:rPr>
              <w:t>–</w:t>
            </w:r>
            <w:r w:rsidRPr="00E44BF4">
              <w:rPr>
                <w:sz w:val="20"/>
                <w:szCs w:val="20"/>
              </w:rPr>
              <w:t>132</w:t>
            </w:r>
          </w:p>
        </w:tc>
        <w:tc>
          <w:tcPr>
            <w:tcW w:w="1512" w:type="dxa"/>
          </w:tcPr>
          <w:p w14:paraId="4FF5A130" w14:textId="77777777" w:rsidR="00CA33B6" w:rsidRPr="00E44BF4" w:rsidRDefault="00CA33B6" w:rsidP="00CA33B6">
            <w:pPr>
              <w:rPr>
                <w:sz w:val="20"/>
                <w:szCs w:val="20"/>
              </w:rPr>
            </w:pPr>
            <w:r w:rsidRPr="00E44BF4">
              <w:rPr>
                <w:sz w:val="20"/>
                <w:szCs w:val="20"/>
              </w:rPr>
              <w:t>Annual</w:t>
            </w:r>
          </w:p>
        </w:tc>
      </w:tr>
      <w:tr w:rsidR="00CA33B6" w:rsidRPr="005456B5" w14:paraId="6B957F7A" w14:textId="77777777" w:rsidTr="000869F2">
        <w:tc>
          <w:tcPr>
            <w:tcW w:w="2867" w:type="dxa"/>
          </w:tcPr>
          <w:p w14:paraId="2B326C86" w14:textId="77777777" w:rsidR="00CA33B6" w:rsidRPr="00E44BF4" w:rsidRDefault="00CA33B6" w:rsidP="00CA33B6">
            <w:pPr>
              <w:rPr>
                <w:sz w:val="20"/>
                <w:szCs w:val="20"/>
              </w:rPr>
            </w:pPr>
            <w:r w:rsidRPr="00E44BF4">
              <w:rPr>
                <w:sz w:val="20"/>
                <w:szCs w:val="20"/>
              </w:rPr>
              <w:t>Geography/concentration of effort</w:t>
            </w:r>
          </w:p>
        </w:tc>
        <w:tc>
          <w:tcPr>
            <w:tcW w:w="2520" w:type="dxa"/>
          </w:tcPr>
          <w:p w14:paraId="487A274C" w14:textId="77777777" w:rsidR="00CA33B6" w:rsidRPr="00E44BF4" w:rsidRDefault="00CA33B6" w:rsidP="00CA33B6">
            <w:pPr>
              <w:rPr>
                <w:sz w:val="20"/>
                <w:szCs w:val="20"/>
              </w:rPr>
            </w:pPr>
            <w:r w:rsidRPr="00E44BF4">
              <w:rPr>
                <w:sz w:val="20"/>
                <w:szCs w:val="20"/>
              </w:rPr>
              <w:t>AII (Section 2a, 2c, 3)</w:t>
            </w:r>
          </w:p>
        </w:tc>
        <w:tc>
          <w:tcPr>
            <w:tcW w:w="2610" w:type="dxa"/>
          </w:tcPr>
          <w:p w14:paraId="1142678D" w14:textId="77777777" w:rsidR="00CA33B6" w:rsidRPr="00E44BF4" w:rsidRDefault="00CA33B6" w:rsidP="00CA33B6">
            <w:pPr>
              <w:rPr>
                <w:sz w:val="20"/>
                <w:szCs w:val="20"/>
              </w:rPr>
            </w:pPr>
            <w:r w:rsidRPr="00E44BF4">
              <w:rPr>
                <w:sz w:val="20"/>
                <w:szCs w:val="20"/>
              </w:rPr>
              <w:t>Items 11; 32; 133</w:t>
            </w:r>
          </w:p>
        </w:tc>
        <w:tc>
          <w:tcPr>
            <w:tcW w:w="1512" w:type="dxa"/>
          </w:tcPr>
          <w:p w14:paraId="3B8B5700" w14:textId="77777777" w:rsidR="00CA33B6" w:rsidRPr="00E44BF4" w:rsidRDefault="00CA33B6" w:rsidP="00CA33B6">
            <w:pPr>
              <w:rPr>
                <w:sz w:val="20"/>
                <w:szCs w:val="20"/>
              </w:rPr>
            </w:pPr>
            <w:r w:rsidRPr="00E44BF4">
              <w:rPr>
                <w:sz w:val="20"/>
                <w:szCs w:val="20"/>
              </w:rPr>
              <w:t>Annual</w:t>
            </w:r>
          </w:p>
        </w:tc>
      </w:tr>
      <w:tr w:rsidR="00CA33B6" w:rsidRPr="005456B5" w14:paraId="626220C3" w14:textId="77777777" w:rsidTr="000869F2">
        <w:tc>
          <w:tcPr>
            <w:tcW w:w="2867" w:type="dxa"/>
          </w:tcPr>
          <w:p w14:paraId="61485B69" w14:textId="77777777" w:rsidR="00CA33B6" w:rsidRPr="00E44BF4" w:rsidRDefault="00CA33B6" w:rsidP="00CA33B6">
            <w:pPr>
              <w:rPr>
                <w:sz w:val="20"/>
                <w:szCs w:val="20"/>
              </w:rPr>
            </w:pPr>
            <w:r w:rsidRPr="00E44BF4">
              <w:rPr>
                <w:sz w:val="20"/>
                <w:szCs w:val="20"/>
              </w:rPr>
              <w:t>Demographics (gender, age, race, ethnicity)</w:t>
            </w:r>
          </w:p>
        </w:tc>
        <w:tc>
          <w:tcPr>
            <w:tcW w:w="2520" w:type="dxa"/>
          </w:tcPr>
          <w:p w14:paraId="2FE7C128" w14:textId="77777777" w:rsidR="00CA33B6" w:rsidRPr="00E44BF4" w:rsidRDefault="00CA33B6" w:rsidP="00CA33B6">
            <w:pPr>
              <w:rPr>
                <w:sz w:val="20"/>
                <w:szCs w:val="20"/>
                <w:highlight w:val="yellow"/>
              </w:rPr>
            </w:pPr>
            <w:r w:rsidRPr="00E44BF4">
              <w:rPr>
                <w:sz w:val="20"/>
                <w:szCs w:val="20"/>
              </w:rPr>
              <w:t>AII (Section 2c)</w:t>
            </w:r>
          </w:p>
        </w:tc>
        <w:tc>
          <w:tcPr>
            <w:tcW w:w="2610" w:type="dxa"/>
          </w:tcPr>
          <w:p w14:paraId="68E9F897" w14:textId="3B50FEAD" w:rsidR="00CA33B6" w:rsidRPr="00E44BF4" w:rsidRDefault="00CA33B6" w:rsidP="00CA33B6">
            <w:pPr>
              <w:rPr>
                <w:sz w:val="20"/>
                <w:szCs w:val="20"/>
              </w:rPr>
            </w:pPr>
            <w:r w:rsidRPr="00E44BF4">
              <w:rPr>
                <w:sz w:val="20"/>
                <w:szCs w:val="20"/>
              </w:rPr>
              <w:t>Items 32.6; 45</w:t>
            </w:r>
            <w:r>
              <w:rPr>
                <w:rFonts w:asciiTheme="majorBidi" w:hAnsiTheme="majorBidi" w:cstheme="majorBidi"/>
                <w:sz w:val="20"/>
                <w:szCs w:val="20"/>
              </w:rPr>
              <w:t>–</w:t>
            </w:r>
            <w:r w:rsidRPr="00E44BF4">
              <w:rPr>
                <w:sz w:val="20"/>
                <w:szCs w:val="20"/>
              </w:rPr>
              <w:t>48; 50; 54</w:t>
            </w:r>
            <w:r>
              <w:rPr>
                <w:rFonts w:asciiTheme="majorBidi" w:hAnsiTheme="majorBidi" w:cstheme="majorBidi"/>
                <w:sz w:val="20"/>
                <w:szCs w:val="20"/>
              </w:rPr>
              <w:t>–</w:t>
            </w:r>
            <w:r w:rsidRPr="00E44BF4">
              <w:rPr>
                <w:sz w:val="20"/>
                <w:szCs w:val="20"/>
              </w:rPr>
              <w:t>57; 59; 67</w:t>
            </w:r>
            <w:r>
              <w:rPr>
                <w:rFonts w:asciiTheme="majorBidi" w:hAnsiTheme="majorBidi" w:cstheme="majorBidi"/>
                <w:sz w:val="20"/>
                <w:szCs w:val="20"/>
              </w:rPr>
              <w:t>–</w:t>
            </w:r>
            <w:r w:rsidRPr="00E44BF4">
              <w:rPr>
                <w:sz w:val="20"/>
                <w:szCs w:val="20"/>
              </w:rPr>
              <w:t>70; 72; 77</w:t>
            </w:r>
            <w:r>
              <w:rPr>
                <w:rFonts w:asciiTheme="majorBidi" w:hAnsiTheme="majorBidi" w:cstheme="majorBidi"/>
                <w:sz w:val="20"/>
                <w:szCs w:val="20"/>
              </w:rPr>
              <w:t>–</w:t>
            </w:r>
            <w:r w:rsidRPr="00E44BF4">
              <w:rPr>
                <w:sz w:val="20"/>
                <w:szCs w:val="20"/>
              </w:rPr>
              <w:t>80; 83; 102</w:t>
            </w:r>
            <w:r>
              <w:rPr>
                <w:rFonts w:asciiTheme="majorBidi" w:hAnsiTheme="majorBidi" w:cstheme="majorBidi"/>
                <w:sz w:val="20"/>
                <w:szCs w:val="20"/>
              </w:rPr>
              <w:t>–</w:t>
            </w:r>
            <w:r w:rsidRPr="00E44BF4">
              <w:rPr>
                <w:sz w:val="20"/>
                <w:szCs w:val="20"/>
              </w:rPr>
              <w:t>105; 127</w:t>
            </w:r>
            <w:r>
              <w:rPr>
                <w:rFonts w:asciiTheme="majorBidi" w:hAnsiTheme="majorBidi" w:cstheme="majorBidi"/>
                <w:sz w:val="20"/>
                <w:szCs w:val="20"/>
              </w:rPr>
              <w:t>–</w:t>
            </w:r>
            <w:r w:rsidRPr="00E44BF4">
              <w:rPr>
                <w:sz w:val="20"/>
                <w:szCs w:val="20"/>
              </w:rPr>
              <w:t>130</w:t>
            </w:r>
          </w:p>
        </w:tc>
        <w:tc>
          <w:tcPr>
            <w:tcW w:w="1512" w:type="dxa"/>
          </w:tcPr>
          <w:p w14:paraId="72F2A99F" w14:textId="77777777" w:rsidR="00CA33B6" w:rsidRPr="00E44BF4" w:rsidRDefault="00CA33B6" w:rsidP="00CA33B6">
            <w:pPr>
              <w:rPr>
                <w:sz w:val="20"/>
                <w:szCs w:val="20"/>
              </w:rPr>
            </w:pPr>
            <w:r w:rsidRPr="00E44BF4">
              <w:rPr>
                <w:sz w:val="20"/>
                <w:szCs w:val="20"/>
              </w:rPr>
              <w:t>Annual</w:t>
            </w:r>
          </w:p>
        </w:tc>
      </w:tr>
      <w:tr w:rsidR="00CA33B6" w:rsidRPr="005456B5" w14:paraId="60DDD029" w14:textId="77777777" w:rsidTr="000869F2">
        <w:tc>
          <w:tcPr>
            <w:tcW w:w="2867" w:type="dxa"/>
          </w:tcPr>
          <w:p w14:paraId="36D7D67A" w14:textId="0E521190" w:rsidR="00CA33B6" w:rsidRPr="00E44BF4" w:rsidRDefault="00CA33B6" w:rsidP="00DC5FFF">
            <w:pPr>
              <w:rPr>
                <w:sz w:val="20"/>
                <w:szCs w:val="20"/>
              </w:rPr>
            </w:pPr>
            <w:r w:rsidRPr="00E44BF4">
              <w:rPr>
                <w:sz w:val="20"/>
                <w:szCs w:val="20"/>
              </w:rPr>
              <w:t>Training and technical assistance</w:t>
            </w:r>
          </w:p>
        </w:tc>
        <w:tc>
          <w:tcPr>
            <w:tcW w:w="2520" w:type="dxa"/>
          </w:tcPr>
          <w:p w14:paraId="114BE482" w14:textId="77777777" w:rsidR="00CA33B6" w:rsidRPr="00E44BF4" w:rsidRDefault="00CA33B6" w:rsidP="00CA33B6">
            <w:pPr>
              <w:rPr>
                <w:sz w:val="20"/>
                <w:szCs w:val="20"/>
                <w:highlight w:val="yellow"/>
              </w:rPr>
            </w:pPr>
            <w:r w:rsidRPr="00E44BF4">
              <w:rPr>
                <w:sz w:val="20"/>
                <w:szCs w:val="20"/>
              </w:rPr>
              <w:t>AII (Section 2b)</w:t>
            </w:r>
          </w:p>
        </w:tc>
        <w:tc>
          <w:tcPr>
            <w:tcW w:w="2610" w:type="dxa"/>
          </w:tcPr>
          <w:p w14:paraId="278A0F11" w14:textId="77777777" w:rsidR="00CA33B6" w:rsidRPr="00E44BF4" w:rsidRDefault="00CA33B6" w:rsidP="00CA33B6">
            <w:pPr>
              <w:rPr>
                <w:sz w:val="20"/>
                <w:szCs w:val="20"/>
              </w:rPr>
            </w:pPr>
            <w:r w:rsidRPr="00E44BF4">
              <w:rPr>
                <w:sz w:val="20"/>
                <w:szCs w:val="20"/>
              </w:rPr>
              <w:t>Item 13</w:t>
            </w:r>
          </w:p>
        </w:tc>
        <w:tc>
          <w:tcPr>
            <w:tcW w:w="1512" w:type="dxa"/>
          </w:tcPr>
          <w:p w14:paraId="7670CFB8" w14:textId="77777777" w:rsidR="00CA33B6" w:rsidRPr="00E44BF4" w:rsidRDefault="00CA33B6" w:rsidP="00CA33B6">
            <w:pPr>
              <w:rPr>
                <w:sz w:val="20"/>
                <w:szCs w:val="20"/>
              </w:rPr>
            </w:pPr>
            <w:r w:rsidRPr="00E44BF4">
              <w:rPr>
                <w:sz w:val="20"/>
                <w:szCs w:val="20"/>
              </w:rPr>
              <w:t>Annual</w:t>
            </w:r>
          </w:p>
        </w:tc>
      </w:tr>
      <w:tr w:rsidR="00CA33B6" w:rsidRPr="005456B5" w14:paraId="4B741539" w14:textId="77777777" w:rsidTr="000869F2">
        <w:tc>
          <w:tcPr>
            <w:tcW w:w="2867" w:type="dxa"/>
          </w:tcPr>
          <w:p w14:paraId="38879AB9" w14:textId="395794B2" w:rsidR="00CA33B6" w:rsidRPr="00E44BF4" w:rsidRDefault="00CA33B6" w:rsidP="00B852C1">
            <w:pPr>
              <w:rPr>
                <w:sz w:val="20"/>
                <w:szCs w:val="20"/>
              </w:rPr>
            </w:pPr>
            <w:r w:rsidRPr="00E44BF4">
              <w:rPr>
                <w:sz w:val="20"/>
                <w:szCs w:val="20"/>
              </w:rPr>
              <w:t xml:space="preserve">Barriers to implementation </w:t>
            </w:r>
            <w:r w:rsidR="00DC5FFF">
              <w:rPr>
                <w:sz w:val="20"/>
                <w:szCs w:val="20"/>
              </w:rPr>
              <w:t>and</w:t>
            </w:r>
            <w:r w:rsidR="00B852C1">
              <w:rPr>
                <w:sz w:val="20"/>
                <w:szCs w:val="20"/>
              </w:rPr>
              <w:t xml:space="preserve"> </w:t>
            </w:r>
            <w:r w:rsidRPr="00E44BF4">
              <w:rPr>
                <w:sz w:val="20"/>
                <w:szCs w:val="20"/>
              </w:rPr>
              <w:t>contextual barriers</w:t>
            </w:r>
          </w:p>
        </w:tc>
        <w:tc>
          <w:tcPr>
            <w:tcW w:w="2520" w:type="dxa"/>
          </w:tcPr>
          <w:p w14:paraId="45477F47" w14:textId="77777777" w:rsidR="00CA33B6" w:rsidRPr="00E44BF4" w:rsidRDefault="00CA33B6" w:rsidP="00CA33B6">
            <w:pPr>
              <w:rPr>
                <w:sz w:val="20"/>
                <w:szCs w:val="20"/>
                <w:highlight w:val="yellow"/>
              </w:rPr>
            </w:pPr>
            <w:r w:rsidRPr="00E44BF4">
              <w:rPr>
                <w:sz w:val="20"/>
                <w:szCs w:val="20"/>
              </w:rPr>
              <w:t>GI (Sections 2.2-2.8)</w:t>
            </w:r>
          </w:p>
        </w:tc>
        <w:tc>
          <w:tcPr>
            <w:tcW w:w="2610" w:type="dxa"/>
          </w:tcPr>
          <w:p w14:paraId="62EA98FD" w14:textId="2E3C6814" w:rsidR="00CA33B6" w:rsidRPr="00E44BF4" w:rsidRDefault="00CA33B6" w:rsidP="00CA33B6">
            <w:pPr>
              <w:rPr>
                <w:sz w:val="20"/>
                <w:szCs w:val="20"/>
              </w:rPr>
            </w:pPr>
            <w:r w:rsidRPr="00E44BF4">
              <w:rPr>
                <w:sz w:val="20"/>
                <w:szCs w:val="20"/>
              </w:rPr>
              <w:t>Items 5</w:t>
            </w:r>
            <w:r>
              <w:rPr>
                <w:rFonts w:asciiTheme="majorBidi" w:hAnsiTheme="majorBidi" w:cstheme="majorBidi"/>
                <w:sz w:val="20"/>
                <w:szCs w:val="20"/>
              </w:rPr>
              <w:t>–</w:t>
            </w:r>
            <w:r w:rsidRPr="00E44BF4">
              <w:rPr>
                <w:sz w:val="20"/>
                <w:szCs w:val="20"/>
              </w:rPr>
              <w:t>6; 9</w:t>
            </w:r>
            <w:r>
              <w:rPr>
                <w:rFonts w:asciiTheme="majorBidi" w:hAnsiTheme="majorBidi" w:cstheme="majorBidi"/>
                <w:sz w:val="20"/>
                <w:szCs w:val="20"/>
              </w:rPr>
              <w:t>–</w:t>
            </w:r>
            <w:r w:rsidRPr="00E44BF4">
              <w:rPr>
                <w:sz w:val="20"/>
                <w:szCs w:val="20"/>
              </w:rPr>
              <w:t>11; 14</w:t>
            </w:r>
            <w:r>
              <w:rPr>
                <w:rFonts w:asciiTheme="majorBidi" w:hAnsiTheme="majorBidi" w:cstheme="majorBidi"/>
                <w:sz w:val="20"/>
                <w:szCs w:val="20"/>
              </w:rPr>
              <w:t>–</w:t>
            </w:r>
            <w:r w:rsidRPr="00E44BF4">
              <w:rPr>
                <w:sz w:val="20"/>
                <w:szCs w:val="20"/>
              </w:rPr>
              <w:t>17; 21; 25; 28</w:t>
            </w:r>
            <w:r>
              <w:rPr>
                <w:rFonts w:asciiTheme="majorBidi" w:hAnsiTheme="majorBidi" w:cstheme="majorBidi"/>
                <w:sz w:val="20"/>
                <w:szCs w:val="20"/>
              </w:rPr>
              <w:t>–</w:t>
            </w:r>
            <w:r w:rsidRPr="00E44BF4">
              <w:rPr>
                <w:sz w:val="20"/>
                <w:szCs w:val="20"/>
              </w:rPr>
              <w:t>29; 34</w:t>
            </w:r>
          </w:p>
        </w:tc>
        <w:tc>
          <w:tcPr>
            <w:tcW w:w="1512" w:type="dxa"/>
          </w:tcPr>
          <w:p w14:paraId="5CFC05B7" w14:textId="45AA0078" w:rsidR="00CA33B6" w:rsidRPr="00D438C4" w:rsidRDefault="00FA6A31" w:rsidP="00DC5FFF">
            <w:pPr>
              <w:rPr>
                <w:sz w:val="20"/>
                <w:szCs w:val="20"/>
              </w:rPr>
            </w:pPr>
            <w:r w:rsidRPr="00D438C4">
              <w:rPr>
                <w:sz w:val="20"/>
                <w:szCs w:val="20"/>
              </w:rPr>
              <w:t>Baseline</w:t>
            </w:r>
            <w:r w:rsidR="00830BFA" w:rsidRPr="00D438C4">
              <w:rPr>
                <w:sz w:val="20"/>
                <w:szCs w:val="20"/>
              </w:rPr>
              <w:t>,</w:t>
            </w:r>
            <w:r w:rsidRPr="00D438C4">
              <w:rPr>
                <w:sz w:val="20"/>
                <w:szCs w:val="20"/>
              </w:rPr>
              <w:t xml:space="preserve"> y</w:t>
            </w:r>
            <w:r w:rsidR="00CA33B6" w:rsidRPr="00D438C4">
              <w:rPr>
                <w:sz w:val="20"/>
                <w:szCs w:val="20"/>
              </w:rPr>
              <w:t>ear 3</w:t>
            </w:r>
            <w:r w:rsidR="00D438C4" w:rsidRPr="00D438C4">
              <w:rPr>
                <w:sz w:val="20"/>
                <w:szCs w:val="20"/>
              </w:rPr>
              <w:t>,</w:t>
            </w:r>
            <w:r w:rsidR="00CA33B6" w:rsidRPr="00D438C4">
              <w:rPr>
                <w:sz w:val="20"/>
                <w:szCs w:val="20"/>
              </w:rPr>
              <w:t xml:space="preserve"> and </w:t>
            </w:r>
            <w:r w:rsidR="00830BFA" w:rsidRPr="00D438C4">
              <w:rPr>
                <w:sz w:val="20"/>
                <w:szCs w:val="20"/>
              </w:rPr>
              <w:t>final year</w:t>
            </w:r>
            <w:r w:rsidR="00CA33B6" w:rsidRPr="00D438C4">
              <w:rPr>
                <w:sz w:val="20"/>
                <w:szCs w:val="20"/>
              </w:rPr>
              <w:t>, except items 5</w:t>
            </w:r>
            <w:r w:rsidR="00DC5FFF" w:rsidRPr="00D438C4">
              <w:rPr>
                <w:sz w:val="20"/>
                <w:szCs w:val="20"/>
              </w:rPr>
              <w:t>–</w:t>
            </w:r>
            <w:r w:rsidR="00CA33B6" w:rsidRPr="00D438C4">
              <w:rPr>
                <w:sz w:val="20"/>
                <w:szCs w:val="20"/>
              </w:rPr>
              <w:t xml:space="preserve">6 asked </w:t>
            </w:r>
            <w:r w:rsidRPr="00D438C4">
              <w:rPr>
                <w:sz w:val="20"/>
                <w:szCs w:val="20"/>
              </w:rPr>
              <w:t>baseline</w:t>
            </w:r>
            <w:r w:rsidR="00CA33B6" w:rsidRPr="00D438C4">
              <w:rPr>
                <w:sz w:val="20"/>
                <w:szCs w:val="20"/>
              </w:rPr>
              <w:t xml:space="preserve"> only; item 21</w:t>
            </w:r>
            <w:r w:rsidR="00DC5FFF" w:rsidRPr="00D438C4">
              <w:rPr>
                <w:sz w:val="20"/>
                <w:szCs w:val="20"/>
              </w:rPr>
              <w:t>,</w:t>
            </w:r>
            <w:r w:rsidR="00CA33B6" w:rsidRPr="00D438C4">
              <w:rPr>
                <w:sz w:val="20"/>
                <w:szCs w:val="20"/>
              </w:rPr>
              <w:t xml:space="preserve"> </w:t>
            </w:r>
            <w:r w:rsidRPr="00D438C4">
              <w:rPr>
                <w:sz w:val="20"/>
                <w:szCs w:val="20"/>
              </w:rPr>
              <w:t>baseline</w:t>
            </w:r>
            <w:r w:rsidR="00CA33B6" w:rsidRPr="00D438C4">
              <w:rPr>
                <w:sz w:val="20"/>
                <w:szCs w:val="20"/>
              </w:rPr>
              <w:t xml:space="preserve"> and </w:t>
            </w:r>
            <w:r w:rsidRPr="00D438C4">
              <w:rPr>
                <w:sz w:val="20"/>
                <w:szCs w:val="20"/>
              </w:rPr>
              <w:t xml:space="preserve">year </w:t>
            </w:r>
            <w:r w:rsidR="00CA33B6" w:rsidRPr="00D438C4">
              <w:rPr>
                <w:sz w:val="20"/>
                <w:szCs w:val="20"/>
              </w:rPr>
              <w:t>3; item 25</w:t>
            </w:r>
            <w:r w:rsidR="00DC5FFF" w:rsidRPr="00D438C4">
              <w:rPr>
                <w:sz w:val="20"/>
                <w:szCs w:val="20"/>
              </w:rPr>
              <w:t>,</w:t>
            </w:r>
            <w:r w:rsidR="00CA33B6" w:rsidRPr="00D438C4">
              <w:rPr>
                <w:sz w:val="20"/>
                <w:szCs w:val="20"/>
              </w:rPr>
              <w:t xml:space="preserve"> year 3 and </w:t>
            </w:r>
            <w:r w:rsidR="00830BFA" w:rsidRPr="00D438C4">
              <w:rPr>
                <w:sz w:val="20"/>
                <w:szCs w:val="20"/>
              </w:rPr>
              <w:t>final year</w:t>
            </w:r>
          </w:p>
        </w:tc>
      </w:tr>
      <w:tr w:rsidR="00CA33B6" w:rsidRPr="005456B5" w14:paraId="3982728A" w14:textId="77777777" w:rsidTr="000869F2">
        <w:tc>
          <w:tcPr>
            <w:tcW w:w="2867" w:type="dxa"/>
          </w:tcPr>
          <w:p w14:paraId="3F5EFA15" w14:textId="77777777" w:rsidR="00CA33B6" w:rsidRPr="00E44BF4" w:rsidRDefault="00CA33B6" w:rsidP="00CA33B6">
            <w:pPr>
              <w:rPr>
                <w:sz w:val="20"/>
                <w:szCs w:val="20"/>
              </w:rPr>
            </w:pPr>
          </w:p>
        </w:tc>
        <w:tc>
          <w:tcPr>
            <w:tcW w:w="2520" w:type="dxa"/>
          </w:tcPr>
          <w:p w14:paraId="39ACD152" w14:textId="77777777" w:rsidR="00CA33B6" w:rsidRPr="00E44BF4" w:rsidRDefault="00CA33B6" w:rsidP="00CA33B6">
            <w:pPr>
              <w:rPr>
                <w:sz w:val="20"/>
                <w:szCs w:val="20"/>
              </w:rPr>
            </w:pPr>
            <w:r w:rsidRPr="00E44BF4">
              <w:rPr>
                <w:sz w:val="20"/>
                <w:szCs w:val="20"/>
              </w:rPr>
              <w:t>AII (Sections 2a, 2b, 3)</w:t>
            </w:r>
          </w:p>
        </w:tc>
        <w:tc>
          <w:tcPr>
            <w:tcW w:w="2610" w:type="dxa"/>
          </w:tcPr>
          <w:p w14:paraId="35E6FA86" w14:textId="2AC6365C" w:rsidR="00CA33B6" w:rsidRPr="00E44BF4" w:rsidRDefault="00CA33B6" w:rsidP="00DC5FFF">
            <w:pPr>
              <w:rPr>
                <w:sz w:val="20"/>
                <w:szCs w:val="20"/>
              </w:rPr>
            </w:pPr>
            <w:r w:rsidRPr="00E44BF4">
              <w:rPr>
                <w:sz w:val="20"/>
                <w:szCs w:val="20"/>
              </w:rPr>
              <w:t>Items 133</w:t>
            </w:r>
            <w:r w:rsidR="00DC5FFF">
              <w:rPr>
                <w:sz w:val="20"/>
                <w:szCs w:val="20"/>
              </w:rPr>
              <w:t>–</w:t>
            </w:r>
            <w:r w:rsidRPr="00E44BF4">
              <w:rPr>
                <w:sz w:val="20"/>
                <w:szCs w:val="20"/>
              </w:rPr>
              <w:t>134</w:t>
            </w:r>
          </w:p>
        </w:tc>
        <w:tc>
          <w:tcPr>
            <w:tcW w:w="1512" w:type="dxa"/>
          </w:tcPr>
          <w:p w14:paraId="7925C84F" w14:textId="235D0124" w:rsidR="00CA33B6" w:rsidRPr="00D438C4" w:rsidRDefault="00CA33B6" w:rsidP="00CA33B6">
            <w:pPr>
              <w:rPr>
                <w:sz w:val="20"/>
                <w:szCs w:val="20"/>
              </w:rPr>
            </w:pPr>
            <w:r w:rsidRPr="00D438C4">
              <w:rPr>
                <w:sz w:val="20"/>
                <w:szCs w:val="20"/>
              </w:rPr>
              <w:t>Annual for item 133 and baseline and final for item 34</w:t>
            </w:r>
          </w:p>
        </w:tc>
      </w:tr>
    </w:tbl>
    <w:p w14:paraId="33BEEDD4" w14:textId="77777777" w:rsidR="00391B7A" w:rsidRPr="00CA33B6" w:rsidRDefault="00391B7A" w:rsidP="00391B7A">
      <w:pPr>
        <w:jc w:val="right"/>
      </w:pPr>
      <w:r w:rsidRPr="00CA33B6">
        <w:t>(</w:t>
      </w:r>
      <w:proofErr w:type="gramStart"/>
      <w:r w:rsidRPr="00CA33B6">
        <w:t>continued</w:t>
      </w:r>
      <w:proofErr w:type="gramEnd"/>
      <w:r w:rsidRPr="00CA33B6">
        <w:t>)</w:t>
      </w:r>
    </w:p>
    <w:p w14:paraId="3EB6A280" w14:textId="77777777" w:rsidR="00391B7A" w:rsidRDefault="00391B7A" w:rsidP="00391B7A">
      <w:pPr>
        <w:pStyle w:val="ExhibitTitle"/>
      </w:pPr>
      <w:r>
        <w:lastRenderedPageBreak/>
        <w:t>Exhibit 1</w:t>
      </w:r>
      <w:r w:rsidRPr="00CA33B6">
        <w:t>: Evaluation of the Strategic Prevention Framework for Prescription Drugs (SPF-Rx) in the Program Evaluation for Prevention Contract (PEP</w:t>
      </w:r>
      <w:r w:rsidRPr="00CA33B6">
        <w:noBreakHyphen/>
        <w:t>C)—Constructs and Data Sources (cont.)</w:t>
      </w:r>
    </w:p>
    <w:tbl>
      <w:tblPr>
        <w:tblStyle w:val="TableGrid1"/>
        <w:tblW w:w="9509" w:type="dxa"/>
        <w:tblInd w:w="-5" w:type="dxa"/>
        <w:tblCellMar>
          <w:left w:w="72" w:type="dxa"/>
          <w:right w:w="72" w:type="dxa"/>
        </w:tblCellMar>
        <w:tblLook w:val="04A0" w:firstRow="1" w:lastRow="0" w:firstColumn="1" w:lastColumn="0" w:noHBand="0" w:noVBand="1"/>
      </w:tblPr>
      <w:tblGrid>
        <w:gridCol w:w="2880"/>
        <w:gridCol w:w="2520"/>
        <w:gridCol w:w="2568"/>
        <w:gridCol w:w="1541"/>
      </w:tblGrid>
      <w:tr w:rsidR="00CA33B6" w:rsidRPr="005456B5" w14:paraId="3BBA83E8" w14:textId="77777777" w:rsidTr="000869F2">
        <w:trPr>
          <w:cantSplit/>
        </w:trPr>
        <w:tc>
          <w:tcPr>
            <w:tcW w:w="9509" w:type="dxa"/>
            <w:gridSpan w:val="4"/>
            <w:tcBorders>
              <w:top w:val="single" w:sz="4" w:space="0" w:color="auto"/>
              <w:bottom w:val="single" w:sz="4" w:space="0" w:color="auto"/>
            </w:tcBorders>
            <w:tcMar>
              <w:left w:w="115" w:type="dxa"/>
              <w:right w:w="288" w:type="dxa"/>
            </w:tcMar>
          </w:tcPr>
          <w:p w14:paraId="4E3AAAE2" w14:textId="11202278" w:rsidR="00CA33B6" w:rsidRPr="00D438C4" w:rsidRDefault="00CA33B6" w:rsidP="00DC5FFF">
            <w:pPr>
              <w:keepNext/>
              <w:rPr>
                <w:sz w:val="20"/>
                <w:szCs w:val="20"/>
              </w:rPr>
            </w:pPr>
            <w:r w:rsidRPr="00D438C4">
              <w:rPr>
                <w:b/>
                <w:sz w:val="20"/>
                <w:szCs w:val="20"/>
              </w:rPr>
              <w:t>EQ3a:</w:t>
            </w:r>
            <w:r w:rsidRPr="00D438C4">
              <w:rPr>
                <w:sz w:val="20"/>
                <w:szCs w:val="20"/>
              </w:rPr>
              <w:t xml:space="preserve"> How did grantees implement their quality improvement plans to address access </w:t>
            </w:r>
            <w:r w:rsidR="00DC5FFF" w:rsidRPr="00D438C4">
              <w:rPr>
                <w:sz w:val="20"/>
                <w:szCs w:val="20"/>
              </w:rPr>
              <w:t xml:space="preserve">to </w:t>
            </w:r>
            <w:r w:rsidRPr="00D438C4">
              <w:rPr>
                <w:sz w:val="20"/>
                <w:szCs w:val="20"/>
              </w:rPr>
              <w:t xml:space="preserve">and use </w:t>
            </w:r>
            <w:r w:rsidR="00DC5FFF" w:rsidRPr="00D438C4">
              <w:rPr>
                <w:sz w:val="20"/>
                <w:szCs w:val="20"/>
              </w:rPr>
              <w:t xml:space="preserve">of </w:t>
            </w:r>
            <w:r w:rsidRPr="00D438C4">
              <w:rPr>
                <w:sz w:val="20"/>
                <w:szCs w:val="20"/>
              </w:rPr>
              <w:t>prevention services for their health disparities populations</w:t>
            </w:r>
            <w:r w:rsidR="00DC5FFF" w:rsidRPr="00D438C4">
              <w:rPr>
                <w:sz w:val="20"/>
                <w:szCs w:val="20"/>
              </w:rPr>
              <w:t>?</w:t>
            </w:r>
          </w:p>
        </w:tc>
      </w:tr>
      <w:tr w:rsidR="00CA33B6" w:rsidRPr="005456B5" w14:paraId="27076B75" w14:textId="77777777" w:rsidTr="000869F2">
        <w:trPr>
          <w:cantSplit/>
        </w:trPr>
        <w:tc>
          <w:tcPr>
            <w:tcW w:w="2880" w:type="dxa"/>
            <w:tcBorders>
              <w:top w:val="single" w:sz="4" w:space="0" w:color="auto"/>
              <w:bottom w:val="single" w:sz="12" w:space="0" w:color="auto"/>
            </w:tcBorders>
            <w:tcMar>
              <w:left w:w="115" w:type="dxa"/>
              <w:right w:w="288" w:type="dxa"/>
            </w:tcMar>
          </w:tcPr>
          <w:p w14:paraId="7D633305" w14:textId="77777777" w:rsidR="00CA33B6" w:rsidRPr="009C7345" w:rsidRDefault="00CA33B6" w:rsidP="00CA33B6">
            <w:pPr>
              <w:keepNext/>
              <w:rPr>
                <w:sz w:val="20"/>
                <w:szCs w:val="20"/>
              </w:rPr>
            </w:pPr>
            <w:r w:rsidRPr="009C7345">
              <w:rPr>
                <w:sz w:val="20"/>
                <w:szCs w:val="20"/>
              </w:rPr>
              <w:t xml:space="preserve">Strategies employed </w:t>
            </w:r>
          </w:p>
        </w:tc>
        <w:tc>
          <w:tcPr>
            <w:tcW w:w="2520" w:type="dxa"/>
            <w:tcBorders>
              <w:top w:val="single" w:sz="4" w:space="0" w:color="auto"/>
              <w:bottom w:val="single" w:sz="12" w:space="0" w:color="auto"/>
            </w:tcBorders>
          </w:tcPr>
          <w:p w14:paraId="61A93B8E" w14:textId="77777777" w:rsidR="00CA33B6" w:rsidRPr="009C7345" w:rsidRDefault="00CA33B6" w:rsidP="00CA33B6">
            <w:pPr>
              <w:keepNext/>
              <w:rPr>
                <w:sz w:val="20"/>
                <w:szCs w:val="20"/>
              </w:rPr>
            </w:pPr>
            <w:r w:rsidRPr="009C7345">
              <w:rPr>
                <w:sz w:val="20"/>
                <w:szCs w:val="20"/>
              </w:rPr>
              <w:t>GI (Section 2.7)</w:t>
            </w:r>
          </w:p>
        </w:tc>
        <w:tc>
          <w:tcPr>
            <w:tcW w:w="2568" w:type="dxa"/>
            <w:tcBorders>
              <w:top w:val="single" w:sz="4" w:space="0" w:color="auto"/>
              <w:bottom w:val="single" w:sz="12" w:space="0" w:color="auto"/>
            </w:tcBorders>
          </w:tcPr>
          <w:p w14:paraId="345E906D" w14:textId="2F5606B7" w:rsidR="00CA33B6" w:rsidRPr="009C7345" w:rsidRDefault="00CA33B6" w:rsidP="00CA33B6">
            <w:pPr>
              <w:keepNext/>
              <w:rPr>
                <w:sz w:val="20"/>
                <w:szCs w:val="20"/>
              </w:rPr>
            </w:pPr>
            <w:r w:rsidRPr="009C7345">
              <w:rPr>
                <w:sz w:val="20"/>
                <w:szCs w:val="20"/>
              </w:rPr>
              <w:t>Items 26</w:t>
            </w:r>
            <w:r>
              <w:rPr>
                <w:rFonts w:asciiTheme="majorBidi" w:hAnsiTheme="majorBidi" w:cstheme="majorBidi"/>
                <w:sz w:val="20"/>
                <w:szCs w:val="20"/>
              </w:rPr>
              <w:t>–</w:t>
            </w:r>
            <w:r w:rsidRPr="009C7345">
              <w:rPr>
                <w:sz w:val="20"/>
                <w:szCs w:val="20"/>
              </w:rPr>
              <w:t>29; 31</w:t>
            </w:r>
            <w:r>
              <w:rPr>
                <w:rFonts w:asciiTheme="majorBidi" w:hAnsiTheme="majorBidi" w:cstheme="majorBidi"/>
                <w:sz w:val="20"/>
                <w:szCs w:val="20"/>
              </w:rPr>
              <w:t>–</w:t>
            </w:r>
            <w:r w:rsidRPr="009C7345">
              <w:rPr>
                <w:sz w:val="20"/>
                <w:szCs w:val="20"/>
              </w:rPr>
              <w:t xml:space="preserve">32 </w:t>
            </w:r>
          </w:p>
        </w:tc>
        <w:tc>
          <w:tcPr>
            <w:tcW w:w="1541" w:type="dxa"/>
            <w:tcBorders>
              <w:top w:val="single" w:sz="4" w:space="0" w:color="auto"/>
              <w:bottom w:val="single" w:sz="12" w:space="0" w:color="auto"/>
            </w:tcBorders>
          </w:tcPr>
          <w:p w14:paraId="2AD77745" w14:textId="583756DE" w:rsidR="00CA33B6" w:rsidRPr="00D438C4" w:rsidRDefault="00CA33B6" w:rsidP="00DC5FFF">
            <w:pPr>
              <w:keepNext/>
              <w:rPr>
                <w:sz w:val="20"/>
                <w:szCs w:val="20"/>
              </w:rPr>
            </w:pPr>
            <w:r w:rsidRPr="00D438C4">
              <w:rPr>
                <w:sz w:val="20"/>
                <w:szCs w:val="20"/>
              </w:rPr>
              <w:t xml:space="preserve">Items 26 and 28 collected </w:t>
            </w:r>
            <w:r w:rsidR="00FA6A31" w:rsidRPr="00D438C4">
              <w:rPr>
                <w:sz w:val="20"/>
                <w:szCs w:val="20"/>
              </w:rPr>
              <w:t>at baseline</w:t>
            </w:r>
            <w:r w:rsidRPr="00D438C4">
              <w:rPr>
                <w:sz w:val="20"/>
                <w:szCs w:val="20"/>
              </w:rPr>
              <w:t>; items 27 and 29</w:t>
            </w:r>
            <w:r w:rsidR="00DC5FFF" w:rsidRPr="00D438C4">
              <w:rPr>
                <w:sz w:val="20"/>
                <w:szCs w:val="20"/>
              </w:rPr>
              <w:t>,</w:t>
            </w:r>
            <w:r w:rsidRPr="00D438C4">
              <w:rPr>
                <w:sz w:val="20"/>
                <w:szCs w:val="20"/>
              </w:rPr>
              <w:t xml:space="preserve"> </w:t>
            </w:r>
            <w:r w:rsidR="00C4372D" w:rsidRPr="00D438C4">
              <w:rPr>
                <w:sz w:val="20"/>
                <w:szCs w:val="20"/>
              </w:rPr>
              <w:t>baseline</w:t>
            </w:r>
            <w:r w:rsidRPr="00D438C4">
              <w:rPr>
                <w:sz w:val="20"/>
                <w:szCs w:val="20"/>
              </w:rPr>
              <w:t xml:space="preserve"> and</w:t>
            </w:r>
            <w:r w:rsidR="00C4372D" w:rsidRPr="00D438C4">
              <w:rPr>
                <w:sz w:val="20"/>
                <w:szCs w:val="20"/>
              </w:rPr>
              <w:t xml:space="preserve"> </w:t>
            </w:r>
            <w:r w:rsidR="00830BFA" w:rsidRPr="00D438C4">
              <w:rPr>
                <w:sz w:val="20"/>
                <w:szCs w:val="20"/>
              </w:rPr>
              <w:t>final year</w:t>
            </w:r>
            <w:r w:rsidRPr="00D438C4">
              <w:rPr>
                <w:sz w:val="20"/>
                <w:szCs w:val="20"/>
              </w:rPr>
              <w:t>; item 30</w:t>
            </w:r>
            <w:r w:rsidR="00DC5FFF" w:rsidRPr="00D438C4">
              <w:rPr>
                <w:sz w:val="20"/>
                <w:szCs w:val="20"/>
              </w:rPr>
              <w:t>,</w:t>
            </w:r>
            <w:r w:rsidRPr="00D438C4">
              <w:rPr>
                <w:sz w:val="20"/>
                <w:szCs w:val="20"/>
              </w:rPr>
              <w:t xml:space="preserve"> </w:t>
            </w:r>
            <w:r w:rsidR="00C4372D" w:rsidRPr="00D438C4">
              <w:rPr>
                <w:sz w:val="20"/>
                <w:szCs w:val="20"/>
              </w:rPr>
              <w:t>baseline</w:t>
            </w:r>
            <w:r w:rsidR="00830BFA" w:rsidRPr="00D438C4">
              <w:rPr>
                <w:sz w:val="20"/>
                <w:szCs w:val="20"/>
              </w:rPr>
              <w:t>,</w:t>
            </w:r>
            <w:r w:rsidR="00C4372D" w:rsidRPr="00D438C4">
              <w:rPr>
                <w:sz w:val="20"/>
                <w:szCs w:val="20"/>
              </w:rPr>
              <w:t xml:space="preserve"> </w:t>
            </w:r>
            <w:r w:rsidRPr="00D438C4">
              <w:rPr>
                <w:sz w:val="20"/>
                <w:szCs w:val="20"/>
              </w:rPr>
              <w:t>year 3</w:t>
            </w:r>
            <w:r w:rsidR="00D438C4" w:rsidRPr="00D438C4">
              <w:rPr>
                <w:sz w:val="20"/>
                <w:szCs w:val="20"/>
              </w:rPr>
              <w:t>,</w:t>
            </w:r>
            <w:r w:rsidRPr="00D438C4">
              <w:rPr>
                <w:sz w:val="20"/>
                <w:szCs w:val="20"/>
              </w:rPr>
              <w:t xml:space="preserve"> and </w:t>
            </w:r>
            <w:r w:rsidR="00830BFA" w:rsidRPr="00D438C4">
              <w:rPr>
                <w:sz w:val="20"/>
                <w:szCs w:val="20"/>
              </w:rPr>
              <w:t>final year</w:t>
            </w:r>
          </w:p>
        </w:tc>
      </w:tr>
    </w:tbl>
    <w:p w14:paraId="54A15910" w14:textId="54145FE1" w:rsidR="00346E11" w:rsidRPr="00346E11" w:rsidRDefault="00346E11" w:rsidP="00346E11">
      <w:pPr>
        <w:pStyle w:val="ExhibitNote1"/>
        <w:ind w:right="-180"/>
      </w:pPr>
      <w:r w:rsidRPr="00346E11">
        <w:t xml:space="preserve">Note. </w:t>
      </w:r>
      <w:r w:rsidRPr="00346E11">
        <w:rPr>
          <w:iCs/>
        </w:rPr>
        <w:t xml:space="preserve">AII, Annual Implementation Instrument; </w:t>
      </w:r>
      <w:r>
        <w:rPr>
          <w:iCs/>
        </w:rPr>
        <w:t xml:space="preserve">EQ, evaluation question; </w:t>
      </w:r>
      <w:r w:rsidRPr="00346E11">
        <w:rPr>
          <w:iCs/>
        </w:rPr>
        <w:t xml:space="preserve">GI, Grantee Interview; </w:t>
      </w:r>
      <w:r w:rsidR="000869F2" w:rsidRPr="000869F2">
        <w:rPr>
          <w:iCs/>
        </w:rPr>
        <w:t xml:space="preserve">MRT, Management Reporting Tool; </w:t>
      </w:r>
      <w:r w:rsidR="000869F2">
        <w:rPr>
          <w:iCs/>
        </w:rPr>
        <w:t xml:space="preserve">NSDUH, </w:t>
      </w:r>
      <w:r w:rsidR="000869F2" w:rsidRPr="000869F2">
        <w:rPr>
          <w:iCs/>
        </w:rPr>
        <w:t>National Survey on Drug Use and Health</w:t>
      </w:r>
      <w:r w:rsidR="000869F2">
        <w:rPr>
          <w:iCs/>
        </w:rPr>
        <w:t xml:space="preserve">; PDM, prescription drug misuse and abuse; PDMP, </w:t>
      </w:r>
      <w:r w:rsidR="007A7EFA">
        <w:rPr>
          <w:iCs/>
        </w:rPr>
        <w:t>Prescription Drug Monitoring Program</w:t>
      </w:r>
      <w:r w:rsidR="000869F2">
        <w:t>.</w:t>
      </w:r>
    </w:p>
    <w:p w14:paraId="4CE2AE6D" w14:textId="53EB02B7" w:rsidR="00346E11" w:rsidRDefault="00346E11" w:rsidP="00346E11">
      <w:pPr>
        <w:pStyle w:val="ExhibitNote1"/>
        <w:ind w:right="-180"/>
      </w:pPr>
      <w:proofErr w:type="spellStart"/>
      <w:r w:rsidRPr="00346E11">
        <w:rPr>
          <w:vertAlign w:val="superscript"/>
        </w:rPr>
        <w:t>a</w:t>
      </w:r>
      <w:proofErr w:type="spellEnd"/>
      <w:r w:rsidRPr="00346E11">
        <w:rPr>
          <w:vertAlign w:val="superscript"/>
        </w:rPr>
        <w:t xml:space="preserve"> </w:t>
      </w:r>
      <w:r w:rsidRPr="00346E11">
        <w:t xml:space="preserve">For example, </w:t>
      </w:r>
      <w:r w:rsidR="007A7EFA">
        <w:t xml:space="preserve">the </w:t>
      </w:r>
      <w:r w:rsidR="000869F2" w:rsidRPr="000869F2">
        <w:t>NSDUH</w:t>
      </w:r>
      <w:r w:rsidRPr="00346E11">
        <w:t>, National Poison Data System, CDC WONDER database with overdose dea</w:t>
      </w:r>
      <w:r w:rsidR="000869F2">
        <w:t xml:space="preserve">th data for states and counties, </w:t>
      </w:r>
      <w:r w:rsidR="007A7EFA">
        <w:t xml:space="preserve">and </w:t>
      </w:r>
      <w:r w:rsidR="000869F2">
        <w:t>Uniform Crime Reports.</w:t>
      </w:r>
    </w:p>
    <w:p w14:paraId="08787B09" w14:textId="77777777" w:rsidR="00656B70" w:rsidRDefault="00656B70" w:rsidP="00346E11">
      <w:pPr>
        <w:pStyle w:val="ExhibitNote1"/>
        <w:ind w:right="-180"/>
      </w:pPr>
    </w:p>
    <w:p w14:paraId="220DB5EB" w14:textId="05A99F6E" w:rsidR="000D2F08" w:rsidRPr="00D0463A" w:rsidRDefault="00376BDD" w:rsidP="00376BDD">
      <w:pPr>
        <w:pStyle w:val="Heading2"/>
      </w:pPr>
      <w:r>
        <w:t>A.3</w:t>
      </w:r>
      <w:r>
        <w:tab/>
      </w:r>
      <w:r w:rsidR="000D2F08" w:rsidRPr="00D0463A">
        <w:t>Use of Information Technology</w:t>
      </w:r>
    </w:p>
    <w:p w14:paraId="0308B2E5" w14:textId="7460483F" w:rsidR="000D2F08" w:rsidRPr="006F0AEA" w:rsidRDefault="000D2F08" w:rsidP="000D2F08">
      <w:pPr>
        <w:pStyle w:val="BodyText"/>
      </w:pPr>
      <w:r>
        <w:t>SPF-Rx g</w:t>
      </w:r>
      <w:r w:rsidRPr="00975ADD">
        <w:t>rantee sta</w:t>
      </w:r>
      <w:r>
        <w:t>ff will provide outcomes</w:t>
      </w:r>
      <w:r w:rsidRPr="002A0786">
        <w:t xml:space="preserve"> information via </w:t>
      </w:r>
      <w:r>
        <w:t xml:space="preserve">the </w:t>
      </w:r>
      <w:r w:rsidR="0069595E">
        <w:t>AII</w:t>
      </w:r>
      <w:r>
        <w:t xml:space="preserve"> and the Grantee Outcomes Module through SAMHSA’s web-based </w:t>
      </w:r>
      <w:r w:rsidRPr="009E18C8">
        <w:t xml:space="preserve">MRT. </w:t>
      </w:r>
      <w:r w:rsidRPr="002A0786">
        <w:t>Using</w:t>
      </w:r>
      <w:r w:rsidRPr="00975ADD">
        <w:t xml:space="preserve"> a </w:t>
      </w:r>
      <w:r>
        <w:t>w</w:t>
      </w:r>
      <w:r w:rsidRPr="00975ADD">
        <w:t xml:space="preserve">eb instrument allows for automated data checks as well as for </w:t>
      </w:r>
      <w:proofErr w:type="gramStart"/>
      <w:r w:rsidRPr="00975ADD">
        <w:t>skip</w:t>
      </w:r>
      <w:proofErr w:type="gramEnd"/>
      <w:r w:rsidRPr="00975ADD">
        <w:t xml:space="preserve"> procedures and prepopulated fields on </w:t>
      </w:r>
      <w:r w:rsidR="00C35C55">
        <w:t xml:space="preserve">the basis of </w:t>
      </w:r>
      <w:r w:rsidRPr="00975ADD">
        <w:t>prior responses to certain questions.</w:t>
      </w:r>
      <w:r>
        <w:t xml:space="preserve"> </w:t>
      </w:r>
      <w:r w:rsidRPr="00975ADD">
        <w:t xml:space="preserve">This will reduce </w:t>
      </w:r>
      <w:r w:rsidR="00C35C55">
        <w:t>both respondent</w:t>
      </w:r>
      <w:r w:rsidR="00C35C55" w:rsidRPr="00975ADD">
        <w:t xml:space="preserve"> </w:t>
      </w:r>
      <w:r w:rsidRPr="00975ADD">
        <w:t>burden and data entry error, thereby increasing the efficiency of data entry and improving data quality.</w:t>
      </w:r>
      <w:r>
        <w:t xml:space="preserve"> </w:t>
      </w:r>
      <w:r w:rsidRPr="00975ADD">
        <w:t>The automated data checks will ensure that responses follow the expected format (e.g.</w:t>
      </w:r>
      <w:r w:rsidR="00C35C55">
        <w:t>,</w:t>
      </w:r>
      <w:r w:rsidRPr="00975ADD">
        <w:t xml:space="preserve"> numbers or dates where those are expected). </w:t>
      </w:r>
      <w:r w:rsidR="00C35C55">
        <w:t>W</w:t>
      </w:r>
      <w:r w:rsidRPr="006F0AEA">
        <w:t xml:space="preserve">eb-based systems allow grantees to copy information from one form to another and then change information as needed, such as when </w:t>
      </w:r>
      <w:r w:rsidR="00C35C55">
        <w:t>they</w:t>
      </w:r>
      <w:r w:rsidR="00C35C55" w:rsidRPr="006F0AEA">
        <w:t xml:space="preserve"> </w:t>
      </w:r>
      <w:r w:rsidRPr="006F0AEA">
        <w:t xml:space="preserve">need to provide similar community outcomes data on the same measures for multiple communities, where only the outcomes value differs. Similarly, once completed initially, some items are automatically </w:t>
      </w:r>
      <w:r w:rsidR="0069595E">
        <w:t>pre</w:t>
      </w:r>
      <w:r w:rsidRPr="006F0AEA">
        <w:t>populated</w:t>
      </w:r>
      <w:r>
        <w:t xml:space="preserve"> with data entered during a prior reporting period and require editing some fields </w:t>
      </w:r>
      <w:r w:rsidR="00C35C55" w:rsidRPr="00C35C55">
        <w:t xml:space="preserve">only </w:t>
      </w:r>
      <w:r>
        <w:t xml:space="preserve">if they have changed. Examples in the MRT include the intervention strategies and targeted populations. </w:t>
      </w:r>
    </w:p>
    <w:p w14:paraId="104490FB" w14:textId="2AA95287" w:rsidR="000D2F08" w:rsidRPr="00AB1DA1" w:rsidRDefault="00661C74" w:rsidP="000D2F08">
      <w:pPr>
        <w:pStyle w:val="BodyText"/>
      </w:pPr>
      <w:r>
        <w:t>W</w:t>
      </w:r>
      <w:r w:rsidRPr="00AB1DA1">
        <w:t>eb-based system</w:t>
      </w:r>
      <w:r>
        <w:t>s</w:t>
      </w:r>
      <w:r w:rsidRPr="00AB1DA1">
        <w:t xml:space="preserve"> also </w:t>
      </w:r>
      <w:r>
        <w:t>allow</w:t>
      </w:r>
      <w:r w:rsidRPr="00AB1DA1">
        <w:t xml:space="preserve"> SAMHSA </w:t>
      </w:r>
      <w:r w:rsidRPr="006038E8">
        <w:t xml:space="preserve">SPF-Rx </w:t>
      </w:r>
      <w:r w:rsidRPr="00AB1DA1">
        <w:t>Project Officers</w:t>
      </w:r>
      <w:r>
        <w:t xml:space="preserve"> and the cross-site evaluation team</w:t>
      </w:r>
      <w:r w:rsidRPr="00AB1DA1">
        <w:t xml:space="preserve"> to review submissions conveniently, request revisions as needed, and then </w:t>
      </w:r>
      <w:r>
        <w:t>approves</w:t>
      </w:r>
      <w:r w:rsidRPr="00AB1DA1">
        <w:t xml:space="preserve"> grantee submissions as </w:t>
      </w:r>
      <w:r>
        <w:t>appropriate</w:t>
      </w:r>
      <w:r w:rsidRPr="00AB1DA1">
        <w:t>.</w:t>
      </w:r>
      <w:r>
        <w:t xml:space="preserve"> </w:t>
      </w:r>
      <w:r w:rsidR="000D2F08" w:rsidRPr="00AB1DA1">
        <w:t>A dashboard and other reports</w:t>
      </w:r>
      <w:r w:rsidR="000D2F08">
        <w:t xml:space="preserve"> for each system</w:t>
      </w:r>
      <w:r w:rsidR="000D2F08" w:rsidRPr="00AB1DA1">
        <w:t xml:space="preserve"> will also be available to SAMHSA and the </w:t>
      </w:r>
      <w:r w:rsidR="004014A9">
        <w:t>PEP</w:t>
      </w:r>
      <w:r w:rsidR="004014A9">
        <w:noBreakHyphen/>
        <w:t>C</w:t>
      </w:r>
      <w:r w:rsidR="000D2F08" w:rsidRPr="00AB1DA1">
        <w:t xml:space="preserve"> team, as well as </w:t>
      </w:r>
      <w:r w:rsidR="00C35C55">
        <w:t xml:space="preserve">to </w:t>
      </w:r>
      <w:r w:rsidR="000D2F08" w:rsidRPr="00AB1DA1">
        <w:t xml:space="preserve">the grantees and </w:t>
      </w:r>
      <w:r w:rsidR="000D2F08">
        <w:t xml:space="preserve">communities </w:t>
      </w:r>
      <w:r w:rsidR="000D2F08" w:rsidRPr="00AB1DA1">
        <w:t>who submit data, so that they can monitor the overall status of data collection and monitor performance.</w:t>
      </w:r>
      <w:r w:rsidR="000D2F08">
        <w:t xml:space="preserve"> </w:t>
      </w:r>
      <w:r w:rsidR="000D2F08" w:rsidRPr="00AB1DA1">
        <w:t xml:space="preserve">Grantees will have access to their own data. </w:t>
      </w:r>
    </w:p>
    <w:p w14:paraId="317AA8E7" w14:textId="506F040F" w:rsidR="000D2F08" w:rsidRPr="00AB1DA1" w:rsidRDefault="008E1E27" w:rsidP="000D2F08">
      <w:pPr>
        <w:pStyle w:val="BodyText"/>
      </w:pPr>
      <w:r>
        <w:t>Finally</w:t>
      </w:r>
      <w:r w:rsidR="00C35C55">
        <w:t>, w</w:t>
      </w:r>
      <w:r w:rsidR="000D2F08" w:rsidRPr="00AB1DA1">
        <w:t>eb-based system</w:t>
      </w:r>
      <w:r w:rsidR="000D2F08">
        <w:t xml:space="preserve">s allow </w:t>
      </w:r>
      <w:r w:rsidR="000D2F08" w:rsidRPr="00AB1DA1">
        <w:t xml:space="preserve">grantees and SAMHSA Project Officers easy access to the </w:t>
      </w:r>
      <w:r w:rsidR="004014A9">
        <w:t>PEP</w:t>
      </w:r>
      <w:r w:rsidR="004014A9">
        <w:noBreakHyphen/>
        <w:t>C</w:t>
      </w:r>
      <w:r w:rsidR="000D2F08" w:rsidRPr="00AB1DA1">
        <w:t xml:space="preserve"> </w:t>
      </w:r>
      <w:r w:rsidR="000D2F08">
        <w:t>Knowledge B</w:t>
      </w:r>
      <w:r w:rsidR="000D2F08" w:rsidRPr="00AB1DA1">
        <w:t>ase, which</w:t>
      </w:r>
      <w:r w:rsidR="000D2F08">
        <w:t xml:space="preserve"> will</w:t>
      </w:r>
      <w:r w:rsidR="000D2F08" w:rsidRPr="00AB1DA1">
        <w:t xml:space="preserve"> contain data submission manuals and other relevant documents, a section with responses to frequently asked questions, and a link to a </w:t>
      </w:r>
      <w:r w:rsidR="00C45EEE">
        <w:t>TA</w:t>
      </w:r>
      <w:r w:rsidR="000D2F08" w:rsidRPr="00AB1DA1">
        <w:t xml:space="preserve"> </w:t>
      </w:r>
      <w:r w:rsidR="00C35C55">
        <w:t>s</w:t>
      </w:r>
      <w:r w:rsidR="000D2F08" w:rsidRPr="00AB1DA1">
        <w:t>ubmission form.</w:t>
      </w:r>
      <w:r w:rsidR="000D2F08">
        <w:t xml:space="preserve"> </w:t>
      </w:r>
      <w:r w:rsidR="000D2F08" w:rsidRPr="00AB1DA1">
        <w:t xml:space="preserve">Grantees and Project Officers can also request </w:t>
      </w:r>
      <w:r w:rsidR="00D72DCB">
        <w:t>TA</w:t>
      </w:r>
      <w:r w:rsidR="000D2F08">
        <w:t xml:space="preserve"> on their SPF</w:t>
      </w:r>
      <w:r w:rsidR="0098369A">
        <w:t>-</w:t>
      </w:r>
      <w:r w:rsidR="000D2F08">
        <w:t>Rx</w:t>
      </w:r>
      <w:r w:rsidR="000D2F08" w:rsidRPr="00AB1DA1">
        <w:t xml:space="preserve"> data entry through email and a</w:t>
      </w:r>
      <w:r w:rsidR="0098369A">
        <w:t xml:space="preserve"> tele</w:t>
      </w:r>
      <w:r w:rsidR="000D2F08" w:rsidRPr="00AB1DA1">
        <w:t>phone request system.</w:t>
      </w:r>
      <w:r w:rsidR="000D2F08">
        <w:t xml:space="preserve"> </w:t>
      </w:r>
      <w:r w:rsidR="000D2F08" w:rsidRPr="00AB1DA1">
        <w:t xml:space="preserve">All </w:t>
      </w:r>
      <w:r w:rsidR="00D72DCB">
        <w:t>TA</w:t>
      </w:r>
      <w:r w:rsidR="000D2F08" w:rsidRPr="00AB1DA1">
        <w:t xml:space="preserve"> requests </w:t>
      </w:r>
      <w:r w:rsidR="000D2F08">
        <w:t>will be</w:t>
      </w:r>
      <w:r w:rsidR="000D2F08" w:rsidRPr="00AB1DA1">
        <w:t xml:space="preserve"> routed to </w:t>
      </w:r>
      <w:r w:rsidR="000D2F08">
        <w:t>an</w:t>
      </w:r>
      <w:r w:rsidR="000D2F08" w:rsidRPr="00AB1DA1">
        <w:t xml:space="preserve"> electronic system </w:t>
      </w:r>
      <w:r w:rsidR="00C35C55">
        <w:t xml:space="preserve">that tracks </w:t>
      </w:r>
      <w:r w:rsidR="000D2F08" w:rsidRPr="00AB1DA1">
        <w:t>requests, follow-ups, and resolutions.</w:t>
      </w:r>
    </w:p>
    <w:p w14:paraId="49AE76D7" w14:textId="5000C01E" w:rsidR="000D2F08" w:rsidRPr="00D0463A" w:rsidRDefault="00376BDD" w:rsidP="00376BDD">
      <w:pPr>
        <w:pStyle w:val="Heading2"/>
      </w:pPr>
      <w:r>
        <w:t>A.4</w:t>
      </w:r>
      <w:r>
        <w:tab/>
      </w:r>
      <w:r w:rsidR="000D2F08" w:rsidRPr="00D0463A">
        <w:t>Effort to Identify Duplication</w:t>
      </w:r>
    </w:p>
    <w:p w14:paraId="4511F68A" w14:textId="1519B893" w:rsidR="000D2F08" w:rsidRPr="00D0463A" w:rsidRDefault="000D2F08" w:rsidP="000D2F08">
      <w:pPr>
        <w:pStyle w:val="BodyText"/>
        <w:rPr>
          <w:highlight w:val="lightGray"/>
        </w:rPr>
      </w:pPr>
      <w:r w:rsidRPr="00975ADD">
        <w:t>This evaluation is collecting information unique to SPF-</w:t>
      </w:r>
      <w:r>
        <w:t xml:space="preserve">Rx </w:t>
      </w:r>
      <w:r w:rsidR="00661C74">
        <w:t>program grantees that are</w:t>
      </w:r>
      <w:r w:rsidRPr="00975ADD">
        <w:t xml:space="preserve"> otherwise not available to</w:t>
      </w:r>
      <w:r>
        <w:t xml:space="preserve"> project officers or the </w:t>
      </w:r>
      <w:r w:rsidR="004014A9">
        <w:t>PEP</w:t>
      </w:r>
      <w:r w:rsidR="004014A9">
        <w:noBreakHyphen/>
        <w:t>C</w:t>
      </w:r>
      <w:r>
        <w:t xml:space="preserve"> c</w:t>
      </w:r>
      <w:r w:rsidRPr="00975ADD">
        <w:t>ross</w:t>
      </w:r>
      <w:r w:rsidR="00127D48">
        <w:t>-</w:t>
      </w:r>
      <w:r w:rsidRPr="00975ADD">
        <w:t xml:space="preserve">site evaluation team. </w:t>
      </w:r>
    </w:p>
    <w:p w14:paraId="5D2BDD34" w14:textId="30022E3A" w:rsidR="000D2F08" w:rsidRPr="00D0463A" w:rsidRDefault="00376BDD" w:rsidP="00376BDD">
      <w:pPr>
        <w:pStyle w:val="Heading2"/>
      </w:pPr>
      <w:r>
        <w:lastRenderedPageBreak/>
        <w:t>A.5</w:t>
      </w:r>
      <w:r>
        <w:tab/>
      </w:r>
      <w:r w:rsidR="000D2F08" w:rsidRPr="00D0463A">
        <w:t>Involvement of Small Entities</w:t>
      </w:r>
    </w:p>
    <w:p w14:paraId="76D20242" w14:textId="325260EE" w:rsidR="000D2F08" w:rsidRPr="00D53559" w:rsidRDefault="000D2F08" w:rsidP="000D2F08">
      <w:pPr>
        <w:pStyle w:val="BodyText"/>
      </w:pPr>
      <w:r w:rsidRPr="00D53559">
        <w:t xml:space="preserve">Participation in this evaluation will not impose a significant </w:t>
      </w:r>
      <w:r w:rsidR="00F5603A">
        <w:t>impact</w:t>
      </w:r>
      <w:r w:rsidR="00C35C55" w:rsidRPr="00D53559">
        <w:t xml:space="preserve"> </w:t>
      </w:r>
      <w:r w:rsidRPr="00D53559">
        <w:t>on small entities. SPF-</w:t>
      </w:r>
      <w:r>
        <w:t xml:space="preserve">Rx </w:t>
      </w:r>
      <w:r w:rsidRPr="00D53559">
        <w:t xml:space="preserve">grantees will usually consist of </w:t>
      </w:r>
      <w:r w:rsidR="00BE3282" w:rsidRPr="00D53559">
        <w:t>state</w:t>
      </w:r>
      <w:r w:rsidRPr="00D53559">
        <w:t xml:space="preserve"> agencies, tribal organizations</w:t>
      </w:r>
      <w:r w:rsidR="00C35C55">
        <w:t>,</w:t>
      </w:r>
      <w:r w:rsidRPr="00D53559">
        <w:t xml:space="preserve"> and other jurisdictions. Some </w:t>
      </w:r>
      <w:r>
        <w:t xml:space="preserve">communities </w:t>
      </w:r>
      <w:r w:rsidRPr="00D53559">
        <w:t xml:space="preserve">may be small entities; however, </w:t>
      </w:r>
      <w:r w:rsidRPr="003703BF">
        <w:t>the</w:t>
      </w:r>
      <w:r>
        <w:t xml:space="preserve"> MRT is</w:t>
      </w:r>
      <w:r w:rsidRPr="00D53559">
        <w:t xml:space="preserve"> designed to include only the most pertinent information needed to be able to monitor </w:t>
      </w:r>
      <w:r w:rsidR="0069595E">
        <w:t>each</w:t>
      </w:r>
      <w:r w:rsidR="0069595E" w:rsidRPr="00D53559">
        <w:t xml:space="preserve"> </w:t>
      </w:r>
      <w:r w:rsidRPr="00D53559">
        <w:t>grantee’s progress and to carry out the evaluation effectively, and the</w:t>
      </w:r>
      <w:r w:rsidR="00F5603A">
        <w:t xml:space="preserve"> evaluation’s</w:t>
      </w:r>
      <w:r w:rsidRPr="00D53559">
        <w:t xml:space="preserve"> impact will not be significant.</w:t>
      </w:r>
    </w:p>
    <w:p w14:paraId="71AD8D2B" w14:textId="4409313A" w:rsidR="000D2F08" w:rsidRPr="00D0463A" w:rsidRDefault="00376BDD" w:rsidP="00376BDD">
      <w:pPr>
        <w:pStyle w:val="Heading2"/>
      </w:pPr>
      <w:r>
        <w:t>A.6</w:t>
      </w:r>
      <w:r>
        <w:tab/>
      </w:r>
      <w:r w:rsidR="000D2F08" w:rsidRPr="00D0463A">
        <w:t>Consequences If Information Collected Less Frequently</w:t>
      </w:r>
    </w:p>
    <w:p w14:paraId="2A0D99BE" w14:textId="6EB7874E" w:rsidR="000D2F08" w:rsidRPr="00D0463A" w:rsidRDefault="000D2F08" w:rsidP="000D2F08">
      <w:pPr>
        <w:pStyle w:val="BodyText"/>
        <w:rPr>
          <w:highlight w:val="lightGray"/>
        </w:rPr>
      </w:pPr>
      <w:r w:rsidRPr="000361AA">
        <w:t xml:space="preserve">The multiple data collection points for the </w:t>
      </w:r>
      <w:r>
        <w:rPr>
          <w:iCs/>
        </w:rPr>
        <w:t>SPF-Rx cross-site evaluation in the MRT</w:t>
      </w:r>
      <w:r w:rsidRPr="000361AA">
        <w:rPr>
          <w:i/>
          <w:iCs/>
        </w:rPr>
        <w:t xml:space="preserve"> </w:t>
      </w:r>
      <w:r w:rsidR="00C35C55">
        <w:t xml:space="preserve">are </w:t>
      </w:r>
      <w:r w:rsidRPr="000361AA">
        <w:t xml:space="preserve">necessary to track and evaluate grantees’ and </w:t>
      </w:r>
      <w:r>
        <w:t>communities’</w:t>
      </w:r>
      <w:r w:rsidRPr="000361AA">
        <w:t xml:space="preserve"> progress and change over time.</w:t>
      </w:r>
      <w:r>
        <w:t xml:space="preserve"> SAMHSA </w:t>
      </w:r>
      <w:r w:rsidRPr="000361AA">
        <w:t xml:space="preserve">will use the data for the purposes of the </w:t>
      </w:r>
      <w:r>
        <w:t>cross-site evaluation for the SPF-Rx programs</w:t>
      </w:r>
      <w:r w:rsidRPr="000361AA">
        <w:t>,</w:t>
      </w:r>
      <w:r>
        <w:t xml:space="preserve"> and grantees </w:t>
      </w:r>
      <w:r w:rsidRPr="003F5617">
        <w:t xml:space="preserve">will use these data to track their </w:t>
      </w:r>
      <w:r w:rsidR="008E1E27">
        <w:t xml:space="preserve">and their communities’ </w:t>
      </w:r>
      <w:r w:rsidRPr="003F5617">
        <w:t xml:space="preserve">ongoing implementation. Less frequent reporting will affect SAMHSA’s and the grantees’ ability to do so effectively. </w:t>
      </w:r>
      <w:r w:rsidRPr="003703BF">
        <w:t>For example, SAMHSA</w:t>
      </w:r>
      <w:r w:rsidR="00127D48">
        <w:t xml:space="preserve"> is</w:t>
      </w:r>
      <w:r w:rsidRPr="003703BF">
        <w:t xml:space="preserve"> federal</w:t>
      </w:r>
      <w:r w:rsidR="00127D48">
        <w:t>ly</w:t>
      </w:r>
      <w:r w:rsidRPr="003703BF">
        <w:t xml:space="preserve"> require</w:t>
      </w:r>
      <w:r w:rsidR="00127D48">
        <w:t>d</w:t>
      </w:r>
      <w:r w:rsidRPr="003703BF">
        <w:t xml:space="preserve"> to report on </w:t>
      </w:r>
      <w:r w:rsidR="00CC71C3">
        <w:t>Government Performance and Results Act (</w:t>
      </w:r>
      <w:r w:rsidRPr="00DF5194">
        <w:t>GPRA</w:t>
      </w:r>
      <w:r w:rsidR="00CC71C3">
        <w:t>)</w:t>
      </w:r>
      <w:r w:rsidRPr="003703BF">
        <w:t xml:space="preserve"> measures once each year.</w:t>
      </w:r>
      <w:r>
        <w:t xml:space="preserve"> </w:t>
      </w:r>
      <w:r w:rsidRPr="003F5617">
        <w:t xml:space="preserve">New </w:t>
      </w:r>
      <w:r w:rsidR="00127D48">
        <w:t>F</w:t>
      </w:r>
      <w:r w:rsidRPr="003F5617">
        <w:t xml:space="preserve">ederal health disparities priorities require periodic reports of the activities used to address those priorities through SAMHSA programs such as </w:t>
      </w:r>
      <w:r>
        <w:t>SPF-Rx</w:t>
      </w:r>
      <w:r w:rsidRPr="003F5617">
        <w:t>.</w:t>
      </w:r>
    </w:p>
    <w:p w14:paraId="66CFCFE2" w14:textId="3870C594" w:rsidR="000D2F08" w:rsidRPr="00D0463A" w:rsidRDefault="000D2F08" w:rsidP="000D2F08">
      <w:pPr>
        <w:pStyle w:val="BodyText"/>
        <w:rPr>
          <w:highlight w:val="lightGray"/>
        </w:rPr>
      </w:pPr>
      <w:r w:rsidRPr="000361AA">
        <w:t xml:space="preserve">SAMHSA has made every effort to ensure that data are collected only when necessary and that extraneous collection will not be conducted. </w:t>
      </w:r>
      <w:r w:rsidRPr="003703BF">
        <w:t xml:space="preserve">For example, </w:t>
      </w:r>
      <w:r>
        <w:t xml:space="preserve">the AII tool for SPF-Rx will collect grantee and </w:t>
      </w:r>
      <w:proofErr w:type="spellStart"/>
      <w:r w:rsidR="00C35C55">
        <w:t>subrecipient</w:t>
      </w:r>
      <w:proofErr w:type="spellEnd"/>
      <w:r w:rsidR="00C35C55">
        <w:t xml:space="preserve"> </w:t>
      </w:r>
      <w:r>
        <w:t>implementation data annual</w:t>
      </w:r>
      <w:r w:rsidR="00C35C55">
        <w:t>ly</w:t>
      </w:r>
      <w:r>
        <w:t xml:space="preserve">. </w:t>
      </w:r>
      <w:r w:rsidR="00F5603A">
        <w:t>Exhibit 2</w:t>
      </w:r>
      <w:r w:rsidRPr="006B6A5D">
        <w:t xml:space="preserve"> provides information on data collection requirements and timing for the instruments of the </w:t>
      </w:r>
      <w:r w:rsidR="004014A9">
        <w:t>PEP</w:t>
      </w:r>
      <w:r w:rsidR="004014A9">
        <w:noBreakHyphen/>
        <w:t>C</w:t>
      </w:r>
      <w:r w:rsidRPr="006B6A5D">
        <w:t xml:space="preserve"> </w:t>
      </w:r>
      <w:r>
        <w:t>SPF-Rx cross-site evaluation in the MRT</w:t>
      </w:r>
      <w:r w:rsidRPr="006B6A5D">
        <w:t>.</w:t>
      </w:r>
      <w:r>
        <w:t xml:space="preserve"> It also </w:t>
      </w:r>
      <w:r w:rsidR="00573100">
        <w:t xml:space="preserve">shows the </w:t>
      </w:r>
      <w:r>
        <w:t xml:space="preserve">timing for the Grantee Interview, which will not be collected in the MRT but administered by </w:t>
      </w:r>
      <w:r w:rsidR="00C35C55">
        <w:t>tele</w:t>
      </w:r>
      <w:r>
        <w:t>phone.</w:t>
      </w:r>
    </w:p>
    <w:p w14:paraId="4D670457" w14:textId="025CABF2" w:rsidR="000D2F08" w:rsidRPr="000361AA" w:rsidRDefault="00F5603A" w:rsidP="000D2F08">
      <w:pPr>
        <w:pStyle w:val="ExhibitTitle"/>
      </w:pPr>
      <w:r>
        <w:t>Exhibit 2</w:t>
      </w:r>
      <w:r w:rsidR="009C7345">
        <w:t>:</w:t>
      </w:r>
      <w:r w:rsidR="000D2F08" w:rsidRPr="000361AA">
        <w:t xml:space="preserve"> Data Collection Requirements and Timing for the </w:t>
      </w:r>
      <w:r w:rsidR="000D2F08">
        <w:t>MRT</w:t>
      </w:r>
      <w:r w:rsidR="000D2F08" w:rsidRPr="000361AA">
        <w:t xml:space="preserve"> Instruments</w:t>
      </w:r>
    </w:p>
    <w:tbl>
      <w:tblPr>
        <w:tblW w:w="92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89"/>
        <w:gridCol w:w="3090"/>
        <w:gridCol w:w="3090"/>
      </w:tblGrid>
      <w:tr w:rsidR="000D2F08" w:rsidRPr="00E42198" w14:paraId="6F7E468A" w14:textId="77777777" w:rsidTr="00573100">
        <w:trPr>
          <w:cantSplit/>
        </w:trPr>
        <w:tc>
          <w:tcPr>
            <w:tcW w:w="3089" w:type="dxa"/>
            <w:shd w:val="clear" w:color="auto" w:fill="auto"/>
            <w:vAlign w:val="bottom"/>
          </w:tcPr>
          <w:p w14:paraId="041E6563" w14:textId="77777777" w:rsidR="000D2F08" w:rsidRPr="00E42198" w:rsidRDefault="000D2F08" w:rsidP="00E42198">
            <w:pPr>
              <w:keepNext/>
              <w:rPr>
                <w:b/>
                <w:sz w:val="20"/>
                <w:szCs w:val="20"/>
              </w:rPr>
            </w:pPr>
            <w:r w:rsidRPr="00E42198">
              <w:rPr>
                <w:b/>
                <w:sz w:val="20"/>
                <w:szCs w:val="20"/>
              </w:rPr>
              <w:br w:type="page"/>
              <w:t>Instrument</w:t>
            </w:r>
          </w:p>
        </w:tc>
        <w:tc>
          <w:tcPr>
            <w:tcW w:w="3090" w:type="dxa"/>
            <w:shd w:val="clear" w:color="auto" w:fill="auto"/>
            <w:vAlign w:val="bottom"/>
          </w:tcPr>
          <w:p w14:paraId="1D242A09" w14:textId="77777777" w:rsidR="000D2F08" w:rsidRPr="00E42198" w:rsidRDefault="000D2F08" w:rsidP="00E42198">
            <w:pPr>
              <w:keepNext/>
              <w:jc w:val="center"/>
              <w:rPr>
                <w:b/>
                <w:sz w:val="20"/>
                <w:szCs w:val="20"/>
              </w:rPr>
            </w:pPr>
            <w:r w:rsidRPr="00E42198">
              <w:rPr>
                <w:b/>
                <w:sz w:val="20"/>
                <w:szCs w:val="20"/>
              </w:rPr>
              <w:t>Requirement</w:t>
            </w:r>
          </w:p>
        </w:tc>
        <w:tc>
          <w:tcPr>
            <w:tcW w:w="3090" w:type="dxa"/>
            <w:shd w:val="clear" w:color="auto" w:fill="auto"/>
            <w:vAlign w:val="bottom"/>
          </w:tcPr>
          <w:p w14:paraId="0F6D4F0C" w14:textId="77777777" w:rsidR="000D2F08" w:rsidRPr="00E42198" w:rsidRDefault="000D2F08" w:rsidP="00E42198">
            <w:pPr>
              <w:pStyle w:val="TableHeader"/>
              <w:rPr>
                <w:sz w:val="20"/>
                <w:szCs w:val="20"/>
              </w:rPr>
            </w:pPr>
            <w:r w:rsidRPr="00E42198">
              <w:rPr>
                <w:sz w:val="20"/>
                <w:szCs w:val="20"/>
              </w:rPr>
              <w:t>Timing</w:t>
            </w:r>
          </w:p>
        </w:tc>
      </w:tr>
      <w:tr w:rsidR="000D2F08" w:rsidRPr="00E42198" w14:paraId="00139559" w14:textId="77777777" w:rsidTr="00573100">
        <w:trPr>
          <w:cantSplit/>
        </w:trPr>
        <w:tc>
          <w:tcPr>
            <w:tcW w:w="3089" w:type="dxa"/>
            <w:vAlign w:val="center"/>
          </w:tcPr>
          <w:p w14:paraId="5A650B66" w14:textId="77777777" w:rsidR="000D2F08" w:rsidRPr="00E42198" w:rsidRDefault="000D2F08" w:rsidP="00E42198">
            <w:pPr>
              <w:keepNext/>
              <w:rPr>
                <w:sz w:val="20"/>
                <w:szCs w:val="20"/>
              </w:rPr>
            </w:pPr>
            <w:r w:rsidRPr="00E42198">
              <w:rPr>
                <w:sz w:val="20"/>
                <w:szCs w:val="20"/>
              </w:rPr>
              <w:t>Annual Implementation Instrument</w:t>
            </w:r>
          </w:p>
        </w:tc>
        <w:tc>
          <w:tcPr>
            <w:tcW w:w="3090" w:type="dxa"/>
            <w:vAlign w:val="center"/>
          </w:tcPr>
          <w:p w14:paraId="71733E37" w14:textId="77777777" w:rsidR="000D2F08" w:rsidRPr="00E42198" w:rsidRDefault="000D2F08" w:rsidP="00E42198">
            <w:pPr>
              <w:keepNext/>
              <w:rPr>
                <w:sz w:val="20"/>
                <w:szCs w:val="20"/>
              </w:rPr>
            </w:pPr>
            <w:r w:rsidRPr="00E42198">
              <w:rPr>
                <w:sz w:val="20"/>
                <w:szCs w:val="20"/>
              </w:rPr>
              <w:t>Yes</w:t>
            </w:r>
          </w:p>
        </w:tc>
        <w:tc>
          <w:tcPr>
            <w:tcW w:w="3090" w:type="dxa"/>
            <w:vAlign w:val="center"/>
          </w:tcPr>
          <w:p w14:paraId="6D26AEFA" w14:textId="77777777" w:rsidR="000D2F08" w:rsidRPr="00E42198" w:rsidRDefault="000D2F08" w:rsidP="00E42198">
            <w:pPr>
              <w:keepNext/>
              <w:rPr>
                <w:sz w:val="20"/>
                <w:szCs w:val="20"/>
              </w:rPr>
            </w:pPr>
            <w:r w:rsidRPr="00E42198">
              <w:rPr>
                <w:sz w:val="20"/>
                <w:szCs w:val="20"/>
              </w:rPr>
              <w:t>Annually</w:t>
            </w:r>
          </w:p>
        </w:tc>
      </w:tr>
      <w:tr w:rsidR="000D2F08" w:rsidRPr="00E42198" w14:paraId="259052A2" w14:textId="77777777" w:rsidTr="00573100">
        <w:trPr>
          <w:cantSplit/>
        </w:trPr>
        <w:tc>
          <w:tcPr>
            <w:tcW w:w="3089" w:type="dxa"/>
            <w:vAlign w:val="center"/>
          </w:tcPr>
          <w:p w14:paraId="0A5539CC" w14:textId="00EEA1A7" w:rsidR="000D2F08" w:rsidRPr="00E42198" w:rsidRDefault="000D2F08" w:rsidP="00E42198">
            <w:pPr>
              <w:keepNext/>
              <w:rPr>
                <w:sz w:val="20"/>
                <w:szCs w:val="20"/>
              </w:rPr>
            </w:pPr>
            <w:r w:rsidRPr="00E42198">
              <w:rPr>
                <w:sz w:val="20"/>
                <w:szCs w:val="20"/>
              </w:rPr>
              <w:t>Outcomes Data</w:t>
            </w:r>
            <w:r w:rsidR="00573100">
              <w:rPr>
                <w:sz w:val="20"/>
                <w:szCs w:val="20"/>
              </w:rPr>
              <w:t xml:space="preserve"> Modules</w:t>
            </w:r>
          </w:p>
        </w:tc>
        <w:tc>
          <w:tcPr>
            <w:tcW w:w="3090" w:type="dxa"/>
            <w:vAlign w:val="center"/>
          </w:tcPr>
          <w:p w14:paraId="0296FF03" w14:textId="77777777" w:rsidR="000D2F08" w:rsidRPr="00E42198" w:rsidRDefault="000D2F08" w:rsidP="00E42198">
            <w:pPr>
              <w:keepNext/>
              <w:rPr>
                <w:sz w:val="20"/>
                <w:szCs w:val="20"/>
              </w:rPr>
            </w:pPr>
            <w:r w:rsidRPr="00E42198">
              <w:rPr>
                <w:sz w:val="20"/>
                <w:szCs w:val="20"/>
              </w:rPr>
              <w:t>Yes</w:t>
            </w:r>
          </w:p>
        </w:tc>
        <w:tc>
          <w:tcPr>
            <w:tcW w:w="3090" w:type="dxa"/>
            <w:vAlign w:val="center"/>
          </w:tcPr>
          <w:p w14:paraId="75C1C430" w14:textId="77777777" w:rsidR="000D2F08" w:rsidRPr="00E42198" w:rsidRDefault="000D2F08" w:rsidP="00E42198">
            <w:pPr>
              <w:keepNext/>
              <w:rPr>
                <w:sz w:val="20"/>
                <w:szCs w:val="20"/>
              </w:rPr>
            </w:pPr>
            <w:r w:rsidRPr="00E42198">
              <w:rPr>
                <w:sz w:val="20"/>
                <w:szCs w:val="20"/>
              </w:rPr>
              <w:t xml:space="preserve">Annually </w:t>
            </w:r>
          </w:p>
        </w:tc>
      </w:tr>
      <w:tr w:rsidR="000D2F08" w:rsidRPr="00E42198" w14:paraId="4FAC361B" w14:textId="77777777" w:rsidTr="00573100">
        <w:trPr>
          <w:cantSplit/>
        </w:trPr>
        <w:tc>
          <w:tcPr>
            <w:tcW w:w="3089" w:type="dxa"/>
            <w:vAlign w:val="center"/>
          </w:tcPr>
          <w:p w14:paraId="2CBEC621" w14:textId="0BFBAD22" w:rsidR="000D2F08" w:rsidRPr="00E42198" w:rsidRDefault="000D2F08" w:rsidP="00E42198">
            <w:pPr>
              <w:keepNext/>
              <w:rPr>
                <w:sz w:val="20"/>
                <w:szCs w:val="20"/>
              </w:rPr>
            </w:pPr>
            <w:r w:rsidRPr="00E42198">
              <w:rPr>
                <w:sz w:val="20"/>
                <w:szCs w:val="20"/>
              </w:rPr>
              <w:t>Grantee Interview</w:t>
            </w:r>
          </w:p>
        </w:tc>
        <w:tc>
          <w:tcPr>
            <w:tcW w:w="3090" w:type="dxa"/>
            <w:vAlign w:val="center"/>
          </w:tcPr>
          <w:p w14:paraId="2DC39916" w14:textId="77777777" w:rsidR="000D2F08" w:rsidRPr="00E42198" w:rsidRDefault="000D2F08" w:rsidP="00E42198">
            <w:pPr>
              <w:keepNext/>
              <w:rPr>
                <w:sz w:val="20"/>
                <w:szCs w:val="20"/>
              </w:rPr>
            </w:pPr>
            <w:r w:rsidRPr="00E42198">
              <w:rPr>
                <w:sz w:val="20"/>
                <w:szCs w:val="20"/>
              </w:rPr>
              <w:t>Yes</w:t>
            </w:r>
          </w:p>
        </w:tc>
        <w:tc>
          <w:tcPr>
            <w:tcW w:w="3090" w:type="dxa"/>
            <w:vAlign w:val="center"/>
          </w:tcPr>
          <w:p w14:paraId="43D4A434" w14:textId="5E18E625" w:rsidR="000D2F08" w:rsidRPr="00E42198" w:rsidRDefault="00EC43C0" w:rsidP="00E42198">
            <w:pPr>
              <w:keepNext/>
              <w:rPr>
                <w:sz w:val="20"/>
                <w:szCs w:val="20"/>
              </w:rPr>
            </w:pPr>
            <w:r>
              <w:rPr>
                <w:sz w:val="20"/>
                <w:szCs w:val="20"/>
              </w:rPr>
              <w:t>Baseline</w:t>
            </w:r>
            <w:r w:rsidR="000D2F08" w:rsidRPr="00E42198">
              <w:rPr>
                <w:sz w:val="20"/>
                <w:szCs w:val="20"/>
              </w:rPr>
              <w:t>,</w:t>
            </w:r>
            <w:r>
              <w:rPr>
                <w:sz w:val="20"/>
                <w:szCs w:val="20"/>
              </w:rPr>
              <w:t xml:space="preserve"> year 3</w:t>
            </w:r>
            <w:r w:rsidR="000D2F08" w:rsidRPr="00E42198">
              <w:rPr>
                <w:sz w:val="20"/>
                <w:szCs w:val="20"/>
              </w:rPr>
              <w:t>, and final year</w:t>
            </w:r>
          </w:p>
        </w:tc>
      </w:tr>
    </w:tbl>
    <w:p w14:paraId="1CA49422" w14:textId="77777777" w:rsidR="000D2F08" w:rsidRPr="00126B94" w:rsidRDefault="000D2F08" w:rsidP="00E42198">
      <w:pPr>
        <w:pStyle w:val="ExhibitNote2"/>
      </w:pPr>
    </w:p>
    <w:p w14:paraId="70D3AC86" w14:textId="1BBAC074" w:rsidR="000D2F08" w:rsidRPr="00126B94" w:rsidRDefault="00376BDD" w:rsidP="00376BDD">
      <w:pPr>
        <w:pStyle w:val="Heading2"/>
      </w:pPr>
      <w:r>
        <w:t>A.7</w:t>
      </w:r>
      <w:r>
        <w:tab/>
      </w:r>
      <w:r w:rsidR="000D2F08" w:rsidRPr="00126B94">
        <w:t xml:space="preserve">Consistency With the Guidelines in 5 </w:t>
      </w:r>
      <w:r w:rsidR="000D2F08" w:rsidRPr="00DF5194">
        <w:t xml:space="preserve">CFR </w:t>
      </w:r>
      <w:r w:rsidR="000D2F08" w:rsidRPr="00126B94">
        <w:t>1320.5(d</w:t>
      </w:r>
      <w:proofErr w:type="gramStart"/>
      <w:r w:rsidR="000D2F08" w:rsidRPr="00126B94">
        <w:t>)(</w:t>
      </w:r>
      <w:proofErr w:type="gramEnd"/>
      <w:r w:rsidR="000D2F08" w:rsidRPr="00126B94">
        <w:t>2)</w:t>
      </w:r>
    </w:p>
    <w:p w14:paraId="038E7829" w14:textId="77777777" w:rsidR="000D2F08" w:rsidRPr="0013488D" w:rsidRDefault="000D2F08" w:rsidP="000D2F08">
      <w:pPr>
        <w:pStyle w:val="BodyText"/>
      </w:pPr>
      <w:r w:rsidRPr="0013488D">
        <w:t>This information collection fully complies with the guidelines in 5 CFR 1320.5(d</w:t>
      </w:r>
      <w:proofErr w:type="gramStart"/>
      <w:r w:rsidRPr="0013488D">
        <w:t>)(</w:t>
      </w:r>
      <w:proofErr w:type="gramEnd"/>
      <w:r w:rsidRPr="0013488D">
        <w:t>2).</w:t>
      </w:r>
    </w:p>
    <w:p w14:paraId="0BA46A88" w14:textId="1E22214E" w:rsidR="000D2F08" w:rsidRPr="00126B94" w:rsidRDefault="00376BDD" w:rsidP="00376BDD">
      <w:pPr>
        <w:pStyle w:val="Heading2"/>
      </w:pPr>
      <w:r>
        <w:t>A.8</w:t>
      </w:r>
      <w:r>
        <w:tab/>
      </w:r>
      <w:r w:rsidR="000D2F08" w:rsidRPr="00126B94">
        <w:t xml:space="preserve">Consultation </w:t>
      </w:r>
      <w:proofErr w:type="gramStart"/>
      <w:r w:rsidR="000D2F08" w:rsidRPr="00126B94">
        <w:t>Outside</w:t>
      </w:r>
      <w:proofErr w:type="gramEnd"/>
      <w:r w:rsidR="000D2F08" w:rsidRPr="00126B94">
        <w:t xml:space="preserve"> the Agency</w:t>
      </w:r>
    </w:p>
    <w:p w14:paraId="3D978845" w14:textId="6516B365" w:rsidR="000D2F08" w:rsidRPr="006E3236" w:rsidRDefault="000D2F08" w:rsidP="000D2F08">
      <w:pPr>
        <w:pStyle w:val="BodyText"/>
      </w:pPr>
      <w:r w:rsidRPr="006E3236">
        <w:t xml:space="preserve">The notice required by 5 CFR 1320.8(d) was published in the </w:t>
      </w:r>
      <w:r w:rsidRPr="006E3236">
        <w:rPr>
          <w:i/>
        </w:rPr>
        <w:t>Federal Register</w:t>
      </w:r>
      <w:r w:rsidRPr="006E3236">
        <w:t xml:space="preserve"> on</w:t>
      </w:r>
      <w:r w:rsidR="008B0DEF" w:rsidRPr="006E3236">
        <w:t xml:space="preserve"> April </w:t>
      </w:r>
      <w:r w:rsidR="006E3236">
        <w:t>18</w:t>
      </w:r>
      <w:r w:rsidR="008B0DEF" w:rsidRPr="006E3236">
        <w:t>, 2017</w:t>
      </w:r>
      <w:r w:rsidRPr="006E3236">
        <w:t xml:space="preserve"> (</w:t>
      </w:r>
      <w:r w:rsidR="008B0DEF" w:rsidRPr="006E3236">
        <w:t>82</w:t>
      </w:r>
      <w:r w:rsidRPr="006E3236">
        <w:t xml:space="preserve"> FR </w:t>
      </w:r>
      <w:r w:rsidR="006E3236">
        <w:t>(18307</w:t>
      </w:r>
      <w:r w:rsidRPr="006E3236">
        <w:t>). No comments were received.</w:t>
      </w:r>
    </w:p>
    <w:p w14:paraId="7953A6FD" w14:textId="624076A4" w:rsidR="000D2F08" w:rsidRPr="003703BF" w:rsidRDefault="000D2F08" w:rsidP="000D2F08">
      <w:pPr>
        <w:pStyle w:val="BodyText"/>
      </w:pPr>
      <w:r w:rsidRPr="003703BF">
        <w:t xml:space="preserve">The SPF-Rx tools were developed by SAMHSA and the contractors. The </w:t>
      </w:r>
      <w:r w:rsidR="004014A9">
        <w:t>PEP</w:t>
      </w:r>
      <w:r w:rsidR="004014A9">
        <w:noBreakHyphen/>
        <w:t>C</w:t>
      </w:r>
      <w:r w:rsidRPr="003703BF">
        <w:t xml:space="preserve"> team conducted interviews with grantees </w:t>
      </w:r>
      <w:r w:rsidR="00573100">
        <w:t>before</w:t>
      </w:r>
      <w:r w:rsidRPr="003703BF">
        <w:t xml:space="preserve"> the development phase to obtain feedback that was used to inform the development of the tools. </w:t>
      </w:r>
      <w:r w:rsidR="00573100">
        <w:t>Each instrument was</w:t>
      </w:r>
      <w:r w:rsidRPr="003703BF">
        <w:t xml:space="preserve"> reviewed by </w:t>
      </w:r>
      <w:r w:rsidR="00573100">
        <w:t>three to five</w:t>
      </w:r>
      <w:r w:rsidRPr="003703BF">
        <w:t xml:space="preserve"> SPF-Rx grantee volunteers. Individuals provided feedback on each of the data collection instruments</w:t>
      </w:r>
      <w:r w:rsidR="00573100">
        <w:t>,</w:t>
      </w:r>
      <w:r w:rsidRPr="003703BF">
        <w:t xml:space="preserve"> and the instruments were revised on </w:t>
      </w:r>
      <w:r w:rsidR="00573100">
        <w:t xml:space="preserve">the basis of </w:t>
      </w:r>
      <w:r w:rsidRPr="003703BF">
        <w:t xml:space="preserve">their feedback. Revisions ranged from changes in the instructions to simplify them to suggestions for ways to streamline data collected across tools and overlapping grant programs. </w:t>
      </w:r>
      <w:r w:rsidR="001E5933">
        <w:t xml:space="preserve">The </w:t>
      </w:r>
      <w:r w:rsidR="001E5933">
        <w:lastRenderedPageBreak/>
        <w:t xml:space="preserve">External Steering Committee (ESC) was also consulted during tool development. </w:t>
      </w:r>
      <w:r w:rsidRPr="003703BF">
        <w:t xml:space="preserve">See </w:t>
      </w:r>
      <w:r w:rsidRPr="00803430">
        <w:rPr>
          <w:bCs/>
          <w:iCs/>
        </w:rPr>
        <w:t xml:space="preserve">Exhibit </w:t>
      </w:r>
      <w:r w:rsidR="001E5933">
        <w:rPr>
          <w:bCs/>
          <w:iCs/>
        </w:rPr>
        <w:t>9</w:t>
      </w:r>
      <w:r w:rsidR="001E5933" w:rsidRPr="00803430">
        <w:t xml:space="preserve"> </w:t>
      </w:r>
      <w:r w:rsidRPr="003703BF">
        <w:t>for the list of individuals consulted throughout the development process of the instruments.</w:t>
      </w:r>
    </w:p>
    <w:p w14:paraId="193A35A4" w14:textId="2DD60564" w:rsidR="000D2F08" w:rsidRPr="00126B94" w:rsidRDefault="00376BDD" w:rsidP="00376BDD">
      <w:pPr>
        <w:pStyle w:val="Heading2"/>
      </w:pPr>
      <w:r>
        <w:t>A.9</w:t>
      </w:r>
      <w:r>
        <w:tab/>
      </w:r>
      <w:r w:rsidR="000D2F08" w:rsidRPr="00126B94">
        <w:t>Payment to Respondents</w:t>
      </w:r>
    </w:p>
    <w:p w14:paraId="6928A69F" w14:textId="77777777" w:rsidR="000D2F08" w:rsidRPr="004A7725" w:rsidRDefault="000D2F08" w:rsidP="000D2F08">
      <w:pPr>
        <w:pStyle w:val="BodyText"/>
      </w:pPr>
      <w:r w:rsidRPr="004A7725">
        <w:t>No cash incentives or gifts will be given to respondents.</w:t>
      </w:r>
    </w:p>
    <w:p w14:paraId="578D1DFE" w14:textId="0A2333BB" w:rsidR="000D2F08" w:rsidRPr="000D50FC" w:rsidRDefault="00376BDD" w:rsidP="00376BDD">
      <w:pPr>
        <w:pStyle w:val="Heading2"/>
      </w:pPr>
      <w:r>
        <w:t>A.10</w:t>
      </w:r>
      <w:r>
        <w:tab/>
      </w:r>
      <w:r w:rsidR="000D2F08" w:rsidRPr="000D50FC">
        <w:t>Assurance of Confidentiality</w:t>
      </w:r>
    </w:p>
    <w:p w14:paraId="5BC47941" w14:textId="2D185957" w:rsidR="000D2F08" w:rsidRPr="009803BC" w:rsidRDefault="000D2F08" w:rsidP="000D2F08">
      <w:pPr>
        <w:pStyle w:val="BodyText"/>
      </w:pPr>
      <w:r w:rsidRPr="000D50FC">
        <w:t xml:space="preserve">The </w:t>
      </w:r>
      <w:r>
        <w:t xml:space="preserve">MRT does not </w:t>
      </w:r>
      <w:r w:rsidRPr="000D50FC">
        <w:t xml:space="preserve">request personal data </w:t>
      </w:r>
      <w:r>
        <w:t>for</w:t>
      </w:r>
      <w:r>
        <w:rPr>
          <w:iCs/>
        </w:rPr>
        <w:t xml:space="preserve"> the web-based cross-site evaluation</w:t>
      </w:r>
      <w:r w:rsidRPr="000D50FC">
        <w:rPr>
          <w:i/>
          <w:iCs/>
        </w:rPr>
        <w:t xml:space="preserve"> </w:t>
      </w:r>
      <w:r w:rsidRPr="000D50FC">
        <w:t>instrument</w:t>
      </w:r>
      <w:r>
        <w:t>s</w:t>
      </w:r>
      <w:r w:rsidRPr="000D50FC">
        <w:t>.</w:t>
      </w:r>
      <w:r>
        <w:t xml:space="preserve"> The</w:t>
      </w:r>
      <w:r w:rsidRPr="000D50FC">
        <w:t xml:space="preserve"> focus of the data collection is on the programmatic characteristics of the </w:t>
      </w:r>
      <w:r>
        <w:t>SPF</w:t>
      </w:r>
      <w:r w:rsidR="0098369A">
        <w:t>-</w:t>
      </w:r>
      <w:r>
        <w:t xml:space="preserve">Rx grantees and </w:t>
      </w:r>
      <w:proofErr w:type="spellStart"/>
      <w:r>
        <w:t>subrecipient</w:t>
      </w:r>
      <w:proofErr w:type="spellEnd"/>
      <w:r>
        <w:t xml:space="preserve"> communities</w:t>
      </w:r>
      <w:r w:rsidRPr="000D50FC">
        <w:t>.</w:t>
      </w:r>
      <w:r>
        <w:t xml:space="preserve"> </w:t>
      </w:r>
      <w:r w:rsidRPr="009803BC">
        <w:t xml:space="preserve">Grantee staff will provide information about their organizations and their </w:t>
      </w:r>
      <w:r>
        <w:t xml:space="preserve">SPF-Rx </w:t>
      </w:r>
      <w:r w:rsidRPr="009803BC">
        <w:t xml:space="preserve">activities rather than information about themselves personally. The instruments collect programmatic data at the grantee and community levels along with aggregated, </w:t>
      </w:r>
      <w:proofErr w:type="spellStart"/>
      <w:r w:rsidRPr="009803BC">
        <w:t>nonidentifying</w:t>
      </w:r>
      <w:proofErr w:type="spellEnd"/>
      <w:r w:rsidRPr="009803BC">
        <w:t xml:space="preserve"> individual-level data (e.g., community outcomes data). Sensitive respondent information, such as birthdates and Social Security Numbers, will not be collected. </w:t>
      </w:r>
    </w:p>
    <w:p w14:paraId="1B6CA69B" w14:textId="33CC7EE2" w:rsidR="000D2F08" w:rsidRPr="00D942BD" w:rsidRDefault="000D2F08" w:rsidP="000D2F08">
      <w:pPr>
        <w:pStyle w:val="BodyText"/>
      </w:pPr>
      <w:r w:rsidRPr="00D942BD">
        <w:t xml:space="preserve">The </w:t>
      </w:r>
      <w:r>
        <w:t xml:space="preserve">MRT </w:t>
      </w:r>
      <w:r w:rsidRPr="00D942BD">
        <w:t>team take</w:t>
      </w:r>
      <w:r>
        <w:t>s</w:t>
      </w:r>
      <w:r w:rsidRPr="00D942BD">
        <w:t xml:space="preserve"> responsibility for ensuring that the </w:t>
      </w:r>
      <w:r w:rsidR="00573100" w:rsidRPr="00D942BD">
        <w:t xml:space="preserve">web </w:t>
      </w:r>
      <w:r w:rsidRPr="00D942BD">
        <w:t>and data system</w:t>
      </w:r>
      <w:r>
        <w:t>s</w:t>
      </w:r>
      <w:r w:rsidRPr="00D942BD">
        <w:t xml:space="preserve"> </w:t>
      </w:r>
      <w:r>
        <w:t>are</w:t>
      </w:r>
      <w:r w:rsidRPr="00D942BD">
        <w:t xml:space="preserve"> properly maintained and monitored. Server staff will follow standard procedures for applying security patches and conducting routine maintenance for system updates. Data will be stored on a password-protected server, and access to data in the system will be handled by a hierarchy of user roles, with each role conferring only the minimum access to system data needed to perform the necessary functions of the role. </w:t>
      </w:r>
    </w:p>
    <w:p w14:paraId="324042AE" w14:textId="37216581" w:rsidR="000D2F08" w:rsidRPr="00D942BD" w:rsidRDefault="00573100" w:rsidP="000D2F08">
      <w:pPr>
        <w:pStyle w:val="BodyText"/>
      </w:pPr>
      <w:r>
        <w:t>Although they do</w:t>
      </w:r>
      <w:r w:rsidRPr="00D942BD">
        <w:t xml:space="preserve"> </w:t>
      </w:r>
      <w:r w:rsidR="000D2F08" w:rsidRPr="00D942BD">
        <w:t xml:space="preserve">not collect individual-level data, evaluation </w:t>
      </w:r>
      <w:proofErr w:type="gramStart"/>
      <w:r w:rsidR="000D2F08" w:rsidRPr="00D942BD">
        <w:t>staff are</w:t>
      </w:r>
      <w:proofErr w:type="gramEnd"/>
      <w:r w:rsidR="000D2F08" w:rsidRPr="00D942BD">
        <w:t xml:space="preserve"> trained on the importance of privacy and in handling sensitive data. </w:t>
      </w:r>
    </w:p>
    <w:p w14:paraId="664AD3CB" w14:textId="5311ECDC" w:rsidR="000D2F08" w:rsidRPr="00126B94" w:rsidRDefault="00376BDD" w:rsidP="00376BDD">
      <w:pPr>
        <w:pStyle w:val="Heading2"/>
      </w:pPr>
      <w:r>
        <w:t>A.11</w:t>
      </w:r>
      <w:r>
        <w:tab/>
      </w:r>
      <w:r w:rsidR="000D2F08" w:rsidRPr="00126B94">
        <w:t>Questions of a Sensitive Nature</w:t>
      </w:r>
    </w:p>
    <w:p w14:paraId="5FABF0A1" w14:textId="64848739" w:rsidR="000D2F08" w:rsidRPr="009A457D" w:rsidRDefault="000D2F08" w:rsidP="000D2F08">
      <w:pPr>
        <w:pStyle w:val="BodyText"/>
      </w:pPr>
      <w:r w:rsidRPr="009A457D">
        <w:t xml:space="preserve">The information reported by respondents </w:t>
      </w:r>
      <w:r>
        <w:t xml:space="preserve">for SPF-Rx cross-site evaluation (the </w:t>
      </w:r>
      <w:r w:rsidR="00B40746" w:rsidRPr="00B40746">
        <w:t>AII</w:t>
      </w:r>
      <w:r w:rsidRPr="00E1680D">
        <w:rPr>
          <w:i/>
        </w:rPr>
        <w:t xml:space="preserve">, </w:t>
      </w:r>
      <w:r w:rsidRPr="004B2008">
        <w:t>Outcome</w:t>
      </w:r>
      <w:r w:rsidR="004B2008">
        <w:t>s</w:t>
      </w:r>
      <w:r w:rsidRPr="004B2008">
        <w:t xml:space="preserve"> Module,</w:t>
      </w:r>
      <w:r w:rsidRPr="00E1680D">
        <w:rPr>
          <w:i/>
        </w:rPr>
        <w:t xml:space="preserve"> Substitute Data Source Request</w:t>
      </w:r>
      <w:r>
        <w:t xml:space="preserve">, and </w:t>
      </w:r>
      <w:r w:rsidR="00BE3282" w:rsidRPr="00BE3282">
        <w:t>Grantee Interview</w:t>
      </w:r>
      <w:r>
        <w:t xml:space="preserve">) </w:t>
      </w:r>
      <w:r w:rsidR="00573100">
        <w:t xml:space="preserve">is </w:t>
      </w:r>
      <w:r>
        <w:t xml:space="preserve">not </w:t>
      </w:r>
      <w:r w:rsidRPr="009A457D">
        <w:t>sensitive personal information</w:t>
      </w:r>
      <w:r>
        <w:t xml:space="preserve">. The instruments </w:t>
      </w:r>
      <w:r w:rsidRPr="009A457D">
        <w:t>focus only on program</w:t>
      </w:r>
      <w:r>
        <w:t xml:space="preserve">-related information for </w:t>
      </w:r>
      <w:r w:rsidRPr="009A457D">
        <w:t xml:space="preserve">the grantees’ projects. </w:t>
      </w:r>
    </w:p>
    <w:p w14:paraId="623B412E" w14:textId="208C31AD" w:rsidR="000D2F08" w:rsidRPr="00126B94" w:rsidRDefault="00376BDD" w:rsidP="00376BDD">
      <w:pPr>
        <w:pStyle w:val="Heading2"/>
      </w:pPr>
      <w:r>
        <w:t>A.12</w:t>
      </w:r>
      <w:r>
        <w:tab/>
      </w:r>
      <w:r w:rsidR="000D2F08" w:rsidRPr="00126B94">
        <w:t>Estimates of Annualized Hour Burden</w:t>
      </w:r>
    </w:p>
    <w:p w14:paraId="164062BF" w14:textId="7EE1BDFD" w:rsidR="000D2F08" w:rsidRPr="00F93710" w:rsidRDefault="000D2F08" w:rsidP="000D2F08">
      <w:pPr>
        <w:pStyle w:val="BodyText"/>
      </w:pPr>
      <w:r w:rsidRPr="00F93710">
        <w:t>The number of data collection</w:t>
      </w:r>
      <w:r w:rsidR="00DC2D5B">
        <w:t xml:space="preserve"> response</w:t>
      </w:r>
      <w:r w:rsidR="00573100">
        <w:t>s</w:t>
      </w:r>
      <w:r w:rsidRPr="00F93710">
        <w:t xml:space="preserve"> will be consistent for grantees but may vary </w:t>
      </w:r>
      <w:r w:rsidR="00573100">
        <w:t xml:space="preserve">for </w:t>
      </w:r>
      <w:proofErr w:type="spellStart"/>
      <w:r w:rsidR="00573100">
        <w:t>subrecipients</w:t>
      </w:r>
      <w:proofErr w:type="spellEnd"/>
      <w:r w:rsidR="00573100">
        <w:t xml:space="preserve"> </w:t>
      </w:r>
      <w:r w:rsidRPr="00F93710">
        <w:t xml:space="preserve">based on the timing </w:t>
      </w:r>
      <w:r w:rsidR="00573100">
        <w:t>of their</w:t>
      </w:r>
      <w:r w:rsidR="00573100" w:rsidRPr="00F93710">
        <w:t xml:space="preserve"> </w:t>
      </w:r>
      <w:r w:rsidRPr="00F93710">
        <w:t xml:space="preserve">funding. As such, the burden and respondent cost may vary by year. </w:t>
      </w:r>
      <w:r w:rsidR="00DC2D5B">
        <w:rPr>
          <w:b/>
          <w:i/>
        </w:rPr>
        <w:t>Exhibit 3</w:t>
      </w:r>
      <w:r w:rsidRPr="00F93710">
        <w:rPr>
          <w:b/>
          <w:i/>
        </w:rPr>
        <w:t xml:space="preserve"> </w:t>
      </w:r>
      <w:r w:rsidRPr="00F93710">
        <w:t>provides an overview of the estimated annual number of responses per grantee, per instrument.</w:t>
      </w:r>
    </w:p>
    <w:p w14:paraId="3F18F57B" w14:textId="2FC40D36" w:rsidR="000D2F08" w:rsidRPr="007E6236" w:rsidRDefault="000D2F08" w:rsidP="000D2F08">
      <w:pPr>
        <w:pStyle w:val="ExhibitTitle"/>
      </w:pPr>
      <w:r w:rsidRPr="007E6236">
        <w:lastRenderedPageBreak/>
        <w:t xml:space="preserve">Exhibit </w:t>
      </w:r>
      <w:r w:rsidR="00DC2D5B">
        <w:t>3</w:t>
      </w:r>
      <w:r w:rsidR="00E42198">
        <w:t>:</w:t>
      </w:r>
      <w:r w:rsidRPr="007E6236">
        <w:t xml:space="preserve"> Annual Data Collection Responses per Grantee for </w:t>
      </w:r>
      <w:r w:rsidR="004014A9">
        <w:t>PEP</w:t>
      </w:r>
      <w:r w:rsidR="004014A9">
        <w:noBreakHyphen/>
        <w:t>C</w:t>
      </w:r>
      <w:r w:rsidRPr="007E6236">
        <w:t xml:space="preserve"> SPF-Rx </w:t>
      </w:r>
      <w:r>
        <w:t xml:space="preserve">Cross-Site </w:t>
      </w:r>
      <w:r w:rsidRPr="007E6236">
        <w:t>Instruments</w:t>
      </w:r>
    </w:p>
    <w:tbl>
      <w:tblPr>
        <w:tblStyle w:val="TableGrid"/>
        <w:tblW w:w="8460" w:type="dxa"/>
        <w:tblLook w:val="04A0" w:firstRow="1" w:lastRow="0" w:firstColumn="1" w:lastColumn="0" w:noHBand="0" w:noVBand="1"/>
      </w:tblPr>
      <w:tblGrid>
        <w:gridCol w:w="3505"/>
        <w:gridCol w:w="990"/>
        <w:gridCol w:w="990"/>
        <w:gridCol w:w="1039"/>
        <w:gridCol w:w="1936"/>
      </w:tblGrid>
      <w:tr w:rsidR="000D2F08" w:rsidRPr="00E42198" w14:paraId="0AD90B98" w14:textId="77777777" w:rsidTr="00E42198">
        <w:tc>
          <w:tcPr>
            <w:tcW w:w="3505" w:type="dxa"/>
            <w:vAlign w:val="bottom"/>
          </w:tcPr>
          <w:p w14:paraId="3B8E3D16" w14:textId="61DC5F31" w:rsidR="000D2F08" w:rsidRPr="00E42198" w:rsidRDefault="00573100" w:rsidP="00E42198">
            <w:pPr>
              <w:pStyle w:val="TableText1"/>
              <w:rPr>
                <w:b/>
              </w:rPr>
            </w:pPr>
            <w:r>
              <w:rPr>
                <w:b/>
              </w:rPr>
              <w:t>Instrument</w:t>
            </w:r>
          </w:p>
        </w:tc>
        <w:tc>
          <w:tcPr>
            <w:tcW w:w="990" w:type="dxa"/>
            <w:vAlign w:val="bottom"/>
          </w:tcPr>
          <w:p w14:paraId="5ACA40D1" w14:textId="77777777" w:rsidR="000D2F08" w:rsidRPr="00E42198" w:rsidRDefault="000D2F08" w:rsidP="00E42198">
            <w:pPr>
              <w:pStyle w:val="TableText1"/>
              <w:rPr>
                <w:b/>
              </w:rPr>
            </w:pPr>
            <w:r w:rsidRPr="00E42198">
              <w:rPr>
                <w:b/>
              </w:rPr>
              <w:t>FY2018</w:t>
            </w:r>
          </w:p>
        </w:tc>
        <w:tc>
          <w:tcPr>
            <w:tcW w:w="990" w:type="dxa"/>
            <w:vAlign w:val="bottom"/>
          </w:tcPr>
          <w:p w14:paraId="1C258B3D" w14:textId="77777777" w:rsidR="000D2F08" w:rsidRPr="00E42198" w:rsidRDefault="000D2F08" w:rsidP="00E42198">
            <w:pPr>
              <w:pStyle w:val="TableText1"/>
              <w:rPr>
                <w:b/>
              </w:rPr>
            </w:pPr>
            <w:r w:rsidRPr="00E42198">
              <w:rPr>
                <w:b/>
              </w:rPr>
              <w:t>FY2019</w:t>
            </w:r>
          </w:p>
        </w:tc>
        <w:tc>
          <w:tcPr>
            <w:tcW w:w="1039" w:type="dxa"/>
            <w:vAlign w:val="bottom"/>
          </w:tcPr>
          <w:p w14:paraId="675B598E" w14:textId="77777777" w:rsidR="000D2F08" w:rsidRPr="00E42198" w:rsidRDefault="000D2F08" w:rsidP="00E42198">
            <w:pPr>
              <w:pStyle w:val="TableText1"/>
              <w:rPr>
                <w:b/>
              </w:rPr>
            </w:pPr>
            <w:r w:rsidRPr="00E42198">
              <w:rPr>
                <w:b/>
              </w:rPr>
              <w:t>FY2020</w:t>
            </w:r>
          </w:p>
        </w:tc>
        <w:tc>
          <w:tcPr>
            <w:tcW w:w="1936" w:type="dxa"/>
            <w:vAlign w:val="bottom"/>
          </w:tcPr>
          <w:p w14:paraId="368797D8" w14:textId="77777777" w:rsidR="000D2F08" w:rsidRPr="00E42198" w:rsidRDefault="000D2F08" w:rsidP="00E42198">
            <w:pPr>
              <w:pStyle w:val="TableText1"/>
              <w:rPr>
                <w:b/>
                <w:vertAlign w:val="superscript"/>
              </w:rPr>
            </w:pPr>
            <w:r w:rsidRPr="00E42198">
              <w:rPr>
                <w:b/>
              </w:rPr>
              <w:t xml:space="preserve">FY2021–Request OMB </w:t>
            </w:r>
            <w:proofErr w:type="spellStart"/>
            <w:r w:rsidRPr="00E42198">
              <w:rPr>
                <w:b/>
              </w:rPr>
              <w:t>Extension</w:t>
            </w:r>
            <w:r w:rsidRPr="00E42198">
              <w:rPr>
                <w:b/>
                <w:vertAlign w:val="superscript"/>
              </w:rPr>
              <w:t>a</w:t>
            </w:r>
            <w:proofErr w:type="spellEnd"/>
          </w:p>
        </w:tc>
      </w:tr>
      <w:tr w:rsidR="000D2F08" w:rsidRPr="00E42198" w14:paraId="56C96548" w14:textId="77777777" w:rsidTr="00E42198">
        <w:tc>
          <w:tcPr>
            <w:tcW w:w="3505" w:type="dxa"/>
          </w:tcPr>
          <w:p w14:paraId="439E7CB1" w14:textId="77777777" w:rsidR="000D2F08" w:rsidRPr="00E42198" w:rsidRDefault="000D2F08" w:rsidP="00E42198">
            <w:pPr>
              <w:pStyle w:val="TableText1"/>
              <w:rPr>
                <w:bCs/>
              </w:rPr>
            </w:pPr>
            <w:r w:rsidRPr="00E42198">
              <w:rPr>
                <w:bCs/>
              </w:rPr>
              <w:t>Annual Implementation Instrument</w:t>
            </w:r>
          </w:p>
        </w:tc>
        <w:tc>
          <w:tcPr>
            <w:tcW w:w="990" w:type="dxa"/>
          </w:tcPr>
          <w:p w14:paraId="32226E2A" w14:textId="77777777" w:rsidR="000D2F08" w:rsidRPr="00E42198" w:rsidRDefault="000D2F08" w:rsidP="00E42198">
            <w:pPr>
              <w:pStyle w:val="TableText1"/>
            </w:pPr>
            <w:r w:rsidRPr="00E42198">
              <w:t>1</w:t>
            </w:r>
          </w:p>
        </w:tc>
        <w:tc>
          <w:tcPr>
            <w:tcW w:w="990" w:type="dxa"/>
          </w:tcPr>
          <w:p w14:paraId="20FB3431" w14:textId="77777777" w:rsidR="000D2F08" w:rsidRPr="00E42198" w:rsidRDefault="000D2F08" w:rsidP="00E42198">
            <w:pPr>
              <w:pStyle w:val="TableText1"/>
            </w:pPr>
            <w:r w:rsidRPr="00E42198">
              <w:t>1</w:t>
            </w:r>
          </w:p>
        </w:tc>
        <w:tc>
          <w:tcPr>
            <w:tcW w:w="1039" w:type="dxa"/>
          </w:tcPr>
          <w:p w14:paraId="1167CB0E" w14:textId="77777777" w:rsidR="000D2F08" w:rsidRPr="00E42198" w:rsidRDefault="000D2F08" w:rsidP="00E42198">
            <w:pPr>
              <w:pStyle w:val="TableText1"/>
            </w:pPr>
            <w:r w:rsidRPr="00E42198">
              <w:t>1</w:t>
            </w:r>
          </w:p>
        </w:tc>
        <w:tc>
          <w:tcPr>
            <w:tcW w:w="1936" w:type="dxa"/>
          </w:tcPr>
          <w:p w14:paraId="62F11BEE" w14:textId="77777777" w:rsidR="000D2F08" w:rsidRPr="00E42198" w:rsidRDefault="000D2F08" w:rsidP="00E42198">
            <w:pPr>
              <w:pStyle w:val="TableText1"/>
            </w:pPr>
            <w:r w:rsidRPr="00E42198">
              <w:t>1</w:t>
            </w:r>
          </w:p>
        </w:tc>
      </w:tr>
      <w:tr w:rsidR="000D2F08" w:rsidRPr="00E42198" w14:paraId="3F9FDFFC" w14:textId="77777777" w:rsidTr="00E42198">
        <w:tc>
          <w:tcPr>
            <w:tcW w:w="3505" w:type="dxa"/>
          </w:tcPr>
          <w:p w14:paraId="073F639C" w14:textId="6A5D535A" w:rsidR="000D2F08" w:rsidRPr="00E42198" w:rsidRDefault="000D2F08" w:rsidP="00E42198">
            <w:pPr>
              <w:pStyle w:val="TableText1"/>
              <w:rPr>
                <w:bCs/>
              </w:rPr>
            </w:pPr>
            <w:r w:rsidRPr="00E42198">
              <w:t>Grantee-</w:t>
            </w:r>
            <w:r w:rsidR="00573100" w:rsidRPr="00E42198">
              <w:t>level outcome data</w:t>
            </w:r>
            <w:r w:rsidR="00573100" w:rsidRPr="00E42198">
              <w:rPr>
                <w:bCs/>
              </w:rPr>
              <w:t xml:space="preserve"> </w:t>
            </w:r>
          </w:p>
        </w:tc>
        <w:tc>
          <w:tcPr>
            <w:tcW w:w="990" w:type="dxa"/>
          </w:tcPr>
          <w:p w14:paraId="25DD1318" w14:textId="77777777" w:rsidR="000D2F08" w:rsidRPr="00E42198" w:rsidRDefault="000D2F08" w:rsidP="00E42198">
            <w:pPr>
              <w:pStyle w:val="TableText1"/>
            </w:pPr>
            <w:r w:rsidRPr="00E42198">
              <w:t>1</w:t>
            </w:r>
          </w:p>
        </w:tc>
        <w:tc>
          <w:tcPr>
            <w:tcW w:w="990" w:type="dxa"/>
          </w:tcPr>
          <w:p w14:paraId="2D3234C5" w14:textId="77777777" w:rsidR="000D2F08" w:rsidRPr="00E42198" w:rsidRDefault="000D2F08" w:rsidP="00E42198">
            <w:pPr>
              <w:pStyle w:val="TableText1"/>
            </w:pPr>
            <w:r w:rsidRPr="00E42198">
              <w:t>1</w:t>
            </w:r>
          </w:p>
        </w:tc>
        <w:tc>
          <w:tcPr>
            <w:tcW w:w="1039" w:type="dxa"/>
          </w:tcPr>
          <w:p w14:paraId="7A1F341E" w14:textId="77777777" w:rsidR="000D2F08" w:rsidRPr="00E42198" w:rsidRDefault="000D2F08" w:rsidP="00E42198">
            <w:pPr>
              <w:pStyle w:val="TableText1"/>
            </w:pPr>
            <w:r w:rsidRPr="00E42198">
              <w:t>1</w:t>
            </w:r>
          </w:p>
        </w:tc>
        <w:tc>
          <w:tcPr>
            <w:tcW w:w="1936" w:type="dxa"/>
          </w:tcPr>
          <w:p w14:paraId="1A1F58D7" w14:textId="77777777" w:rsidR="000D2F08" w:rsidRPr="00E42198" w:rsidRDefault="000D2F08" w:rsidP="00E42198">
            <w:pPr>
              <w:pStyle w:val="TableText1"/>
            </w:pPr>
            <w:r w:rsidRPr="00E42198">
              <w:t>1</w:t>
            </w:r>
          </w:p>
        </w:tc>
      </w:tr>
      <w:tr w:rsidR="000D2F08" w:rsidRPr="00E42198" w14:paraId="332A9A96" w14:textId="77777777" w:rsidTr="00E42198">
        <w:tc>
          <w:tcPr>
            <w:tcW w:w="3505" w:type="dxa"/>
          </w:tcPr>
          <w:p w14:paraId="7360A301" w14:textId="01AF42D9" w:rsidR="000D2F08" w:rsidRPr="00E42198" w:rsidRDefault="000D2F08" w:rsidP="00E42198">
            <w:pPr>
              <w:pStyle w:val="TableText1"/>
              <w:rPr>
                <w:bCs/>
              </w:rPr>
            </w:pPr>
            <w:r w:rsidRPr="00E42198">
              <w:t>Community</w:t>
            </w:r>
            <w:r w:rsidR="00573100">
              <w:t>-</w:t>
            </w:r>
            <w:r w:rsidR="00573100" w:rsidRPr="00E42198">
              <w:t xml:space="preserve">level outcome data </w:t>
            </w:r>
          </w:p>
        </w:tc>
        <w:tc>
          <w:tcPr>
            <w:tcW w:w="990" w:type="dxa"/>
          </w:tcPr>
          <w:p w14:paraId="5D5A631C" w14:textId="77777777" w:rsidR="000D2F08" w:rsidRPr="00E42198" w:rsidRDefault="000D2F08" w:rsidP="00E42198">
            <w:pPr>
              <w:pStyle w:val="TableText1"/>
            </w:pPr>
            <w:r w:rsidRPr="00E42198">
              <w:t>1</w:t>
            </w:r>
          </w:p>
        </w:tc>
        <w:tc>
          <w:tcPr>
            <w:tcW w:w="990" w:type="dxa"/>
          </w:tcPr>
          <w:p w14:paraId="6F990BDA" w14:textId="77777777" w:rsidR="000D2F08" w:rsidRPr="00E42198" w:rsidRDefault="000D2F08" w:rsidP="00E42198">
            <w:pPr>
              <w:pStyle w:val="TableText1"/>
            </w:pPr>
            <w:r w:rsidRPr="00E42198">
              <w:t>1</w:t>
            </w:r>
          </w:p>
        </w:tc>
        <w:tc>
          <w:tcPr>
            <w:tcW w:w="1039" w:type="dxa"/>
          </w:tcPr>
          <w:p w14:paraId="5D688C80" w14:textId="77777777" w:rsidR="000D2F08" w:rsidRPr="00E42198" w:rsidRDefault="000D2F08" w:rsidP="00E42198">
            <w:pPr>
              <w:pStyle w:val="TableText1"/>
            </w:pPr>
            <w:r w:rsidRPr="00E42198">
              <w:t>1</w:t>
            </w:r>
          </w:p>
        </w:tc>
        <w:tc>
          <w:tcPr>
            <w:tcW w:w="1936" w:type="dxa"/>
          </w:tcPr>
          <w:p w14:paraId="0EE2F055" w14:textId="77777777" w:rsidR="000D2F08" w:rsidRPr="00E42198" w:rsidRDefault="000D2F08" w:rsidP="00E42198">
            <w:pPr>
              <w:pStyle w:val="TableText1"/>
            </w:pPr>
            <w:r w:rsidRPr="00E42198">
              <w:t>1</w:t>
            </w:r>
          </w:p>
        </w:tc>
      </w:tr>
      <w:tr w:rsidR="000D2F08" w:rsidRPr="00E42198" w14:paraId="1B4FD53E" w14:textId="77777777" w:rsidTr="00E42198">
        <w:tc>
          <w:tcPr>
            <w:tcW w:w="3505" w:type="dxa"/>
          </w:tcPr>
          <w:p w14:paraId="04793EB1" w14:textId="77777777" w:rsidR="000D2F08" w:rsidRPr="00E42198" w:rsidRDefault="000D2F08" w:rsidP="00E42198">
            <w:pPr>
              <w:pStyle w:val="TableText1"/>
              <w:rPr>
                <w:bCs/>
              </w:rPr>
            </w:pPr>
            <w:r w:rsidRPr="00E42198">
              <w:rPr>
                <w:bCs/>
              </w:rPr>
              <w:t>Substitute Data Request</w:t>
            </w:r>
          </w:p>
        </w:tc>
        <w:tc>
          <w:tcPr>
            <w:tcW w:w="990" w:type="dxa"/>
          </w:tcPr>
          <w:p w14:paraId="3A66C9BE" w14:textId="77777777" w:rsidR="000D2F08" w:rsidRPr="00E42198" w:rsidRDefault="000D2F08" w:rsidP="00E42198">
            <w:pPr>
              <w:pStyle w:val="TableText1"/>
            </w:pPr>
            <w:r w:rsidRPr="00E42198">
              <w:t>1</w:t>
            </w:r>
          </w:p>
        </w:tc>
        <w:tc>
          <w:tcPr>
            <w:tcW w:w="990" w:type="dxa"/>
          </w:tcPr>
          <w:p w14:paraId="145655C4" w14:textId="77777777" w:rsidR="000D2F08" w:rsidRPr="00E42198" w:rsidRDefault="000D2F08" w:rsidP="00E42198">
            <w:pPr>
              <w:pStyle w:val="TableText1"/>
            </w:pPr>
            <w:r w:rsidRPr="00E42198">
              <w:t>1</w:t>
            </w:r>
          </w:p>
        </w:tc>
        <w:tc>
          <w:tcPr>
            <w:tcW w:w="1039" w:type="dxa"/>
          </w:tcPr>
          <w:p w14:paraId="4F250E94" w14:textId="77777777" w:rsidR="000D2F08" w:rsidRPr="00E42198" w:rsidRDefault="000D2F08" w:rsidP="00E42198">
            <w:pPr>
              <w:pStyle w:val="TableText1"/>
            </w:pPr>
            <w:r w:rsidRPr="00E42198">
              <w:t>1</w:t>
            </w:r>
          </w:p>
        </w:tc>
        <w:tc>
          <w:tcPr>
            <w:tcW w:w="1936" w:type="dxa"/>
          </w:tcPr>
          <w:p w14:paraId="5BAD1D74" w14:textId="77777777" w:rsidR="000D2F08" w:rsidRPr="00E42198" w:rsidRDefault="000D2F08" w:rsidP="00E42198">
            <w:pPr>
              <w:pStyle w:val="TableText1"/>
            </w:pPr>
            <w:r w:rsidRPr="00E42198">
              <w:t>1</w:t>
            </w:r>
          </w:p>
        </w:tc>
      </w:tr>
      <w:tr w:rsidR="000D2F08" w:rsidRPr="00E42198" w14:paraId="55A71646" w14:textId="77777777" w:rsidTr="00E42198">
        <w:tc>
          <w:tcPr>
            <w:tcW w:w="3505" w:type="dxa"/>
          </w:tcPr>
          <w:p w14:paraId="60B466CA" w14:textId="3BA43681" w:rsidR="000D2F08" w:rsidRPr="00E42198" w:rsidRDefault="000D2F08" w:rsidP="00BE3282">
            <w:pPr>
              <w:pStyle w:val="TableText1"/>
              <w:rPr>
                <w:bCs/>
              </w:rPr>
            </w:pPr>
            <w:r w:rsidRPr="00E42198">
              <w:rPr>
                <w:bCs/>
              </w:rPr>
              <w:t>Grantee Interview</w:t>
            </w:r>
          </w:p>
        </w:tc>
        <w:tc>
          <w:tcPr>
            <w:tcW w:w="990" w:type="dxa"/>
          </w:tcPr>
          <w:p w14:paraId="03D8473A" w14:textId="77777777" w:rsidR="000D2F08" w:rsidRPr="00E42198" w:rsidRDefault="000D2F08" w:rsidP="00E42198">
            <w:pPr>
              <w:pStyle w:val="TableText1"/>
            </w:pPr>
            <w:r w:rsidRPr="00E42198">
              <w:t>1</w:t>
            </w:r>
          </w:p>
        </w:tc>
        <w:tc>
          <w:tcPr>
            <w:tcW w:w="990" w:type="dxa"/>
          </w:tcPr>
          <w:p w14:paraId="1B312881" w14:textId="77777777" w:rsidR="000D2F08" w:rsidRPr="00E42198" w:rsidRDefault="000D2F08" w:rsidP="00E42198">
            <w:pPr>
              <w:pStyle w:val="TableText1"/>
            </w:pPr>
          </w:p>
        </w:tc>
        <w:tc>
          <w:tcPr>
            <w:tcW w:w="1039" w:type="dxa"/>
          </w:tcPr>
          <w:p w14:paraId="47EBABB0" w14:textId="77777777" w:rsidR="000D2F08" w:rsidRPr="00E42198" w:rsidRDefault="000D2F08" w:rsidP="00E42198">
            <w:pPr>
              <w:pStyle w:val="TableText1"/>
            </w:pPr>
            <w:r w:rsidRPr="00E42198">
              <w:t>1</w:t>
            </w:r>
          </w:p>
        </w:tc>
        <w:tc>
          <w:tcPr>
            <w:tcW w:w="1936" w:type="dxa"/>
          </w:tcPr>
          <w:p w14:paraId="37265C13" w14:textId="77777777" w:rsidR="000D2F08" w:rsidRPr="00E42198" w:rsidRDefault="000D2F08" w:rsidP="00E42198">
            <w:pPr>
              <w:pStyle w:val="TableText1"/>
            </w:pPr>
            <w:r w:rsidRPr="00E42198">
              <w:t>1</w:t>
            </w:r>
          </w:p>
        </w:tc>
      </w:tr>
    </w:tbl>
    <w:p w14:paraId="060E5F50" w14:textId="4CEDD1FC" w:rsidR="000D2F08" w:rsidRPr="007E6236" w:rsidRDefault="000D2F08" w:rsidP="00E44BF4">
      <w:pPr>
        <w:pStyle w:val="ExhibitNote1"/>
      </w:pPr>
      <w:r w:rsidRPr="007E6236">
        <w:t xml:space="preserve">Note. </w:t>
      </w:r>
      <w:proofErr w:type="gramStart"/>
      <w:r w:rsidR="004B2008">
        <w:t xml:space="preserve">OMB, Office of Management and Budget; </w:t>
      </w:r>
      <w:r w:rsidR="004B2008" w:rsidRPr="00DF5194">
        <w:t>PEP-C</w:t>
      </w:r>
      <w:r w:rsidR="004B2008">
        <w:t xml:space="preserve">, Program Evaluation for Prevention Contract; </w:t>
      </w:r>
      <w:r w:rsidRPr="007E6236">
        <w:t>SPF</w:t>
      </w:r>
      <w:r>
        <w:t>-Rx</w:t>
      </w:r>
      <w:r w:rsidRPr="007E6236">
        <w:t>,</w:t>
      </w:r>
      <w:r>
        <w:t xml:space="preserve"> Strategic Prevention Framework for prescription drugs.</w:t>
      </w:r>
      <w:proofErr w:type="gramEnd"/>
    </w:p>
    <w:p w14:paraId="706B3868" w14:textId="77777777" w:rsidR="000D2F08" w:rsidRPr="007E6236" w:rsidRDefault="000D2F08" w:rsidP="00E44BF4">
      <w:pPr>
        <w:pStyle w:val="ExhibitNote2"/>
      </w:pPr>
      <w:proofErr w:type="gramStart"/>
      <w:r w:rsidRPr="007E6236">
        <w:rPr>
          <w:vertAlign w:val="superscript"/>
        </w:rPr>
        <w:t>a</w:t>
      </w:r>
      <w:proofErr w:type="gramEnd"/>
      <w:r w:rsidRPr="007E6236">
        <w:t xml:space="preserve"> FY202</w:t>
      </w:r>
      <w:r>
        <w:t>1</w:t>
      </w:r>
      <w:r w:rsidRPr="007E6236">
        <w:t xml:space="preserve"> do</w:t>
      </w:r>
      <w:r>
        <w:t>es</w:t>
      </w:r>
      <w:r w:rsidRPr="007E6236">
        <w:t xml:space="preserve"> not fall within the OMB 3-year approval period; therefore, data collection for those years is not included in the burden estimate.</w:t>
      </w:r>
    </w:p>
    <w:p w14:paraId="376C059A" w14:textId="678FD88D" w:rsidR="00DC2D5B" w:rsidRPr="00DC2D5B" w:rsidRDefault="00DC2D5B" w:rsidP="00DC2D5B">
      <w:pPr>
        <w:pStyle w:val="Heading3"/>
      </w:pPr>
      <w:r w:rsidRPr="00DC2D5B">
        <w:t>SPF-Rx Grantee-Level Outcomes Module</w:t>
      </w:r>
    </w:p>
    <w:p w14:paraId="461FB5A2" w14:textId="0C96D99F" w:rsidR="00DC2D5B" w:rsidRPr="00733FFC" w:rsidRDefault="00DC2D5B" w:rsidP="00DC2D5B">
      <w:pPr>
        <w:pStyle w:val="BodyText"/>
      </w:pPr>
      <w:r w:rsidRPr="00DC2D5B">
        <w:t>The</w:t>
      </w:r>
      <w:r w:rsidRPr="00DC2D5B">
        <w:rPr>
          <w:i/>
          <w:iCs/>
        </w:rPr>
        <w:t xml:space="preserve"> SPF-Rx Grantee-Level Outcome Module</w:t>
      </w:r>
      <w:r w:rsidRPr="00DC2D5B">
        <w:t xml:space="preserve"> will have sections that are required of all grantees. We expect that 25 SPF-Rx grantees and grantees in all future </w:t>
      </w:r>
      <w:r w:rsidR="00933E6D" w:rsidRPr="00DC2D5B">
        <w:t>cohorts</w:t>
      </w:r>
      <w:r w:rsidRPr="00DC2D5B">
        <w:t xml:space="preserve"> will complete</w:t>
      </w:r>
      <w:r w:rsidR="008E1E27">
        <w:t xml:space="preserve"> the</w:t>
      </w:r>
      <w:r w:rsidRPr="00DC2D5B">
        <w:t xml:space="preserve"> </w:t>
      </w:r>
      <w:r w:rsidRPr="00DC2D5B">
        <w:rPr>
          <w:i/>
          <w:iCs/>
        </w:rPr>
        <w:t>SPF-Rx Grantee-Level Outcome Data</w:t>
      </w:r>
      <w:r w:rsidRPr="00DC2D5B">
        <w:t xml:space="preserve"> module</w:t>
      </w:r>
      <w:r w:rsidRPr="00DC2D5B">
        <w:rPr>
          <w:i/>
          <w:iCs/>
        </w:rPr>
        <w:t xml:space="preserve"> </w:t>
      </w:r>
      <w:r w:rsidRPr="00DC2D5B">
        <w:t xml:space="preserve">one time each year, beginning in the second year of their grant. The </w:t>
      </w:r>
      <w:r w:rsidRPr="00DC2D5B">
        <w:rPr>
          <w:i/>
          <w:iCs/>
        </w:rPr>
        <w:t>SP</w:t>
      </w:r>
      <w:r w:rsidR="00240910">
        <w:rPr>
          <w:i/>
          <w:iCs/>
        </w:rPr>
        <w:t>F</w:t>
      </w:r>
      <w:r w:rsidRPr="00DC2D5B">
        <w:rPr>
          <w:i/>
          <w:iCs/>
        </w:rPr>
        <w:t xml:space="preserve">-Rx Grantee-Level Outcome </w:t>
      </w:r>
      <w:r w:rsidRPr="00DC2D5B">
        <w:t xml:space="preserve">module is estimated to take 3 hours to complete per response; this includes time to look up and compile information (2 hours) and time to complete the Web-instrument (1 hour). The estimated burden time is based on test instruments completed by evaluation staff members who have experience working with SPF-PFS grantees and input from current SPF-Rx grantees (see </w:t>
      </w:r>
      <w:r w:rsidRPr="00DC2D5B">
        <w:rPr>
          <w:b/>
          <w:bCs/>
          <w:i/>
          <w:iCs/>
        </w:rPr>
        <w:t>Section B.4</w:t>
      </w:r>
      <w:r w:rsidRPr="00DC2D5B">
        <w:rPr>
          <w:i/>
          <w:iCs/>
        </w:rPr>
        <w:t xml:space="preserve"> </w:t>
      </w:r>
      <w:r w:rsidRPr="00DC2D5B">
        <w:t xml:space="preserve">for more detail). There are no direct costs to respondents other than their time to complete the instrument. </w:t>
      </w:r>
      <w:r w:rsidRPr="00DC2D5B">
        <w:rPr>
          <w:b/>
          <w:i/>
        </w:rPr>
        <w:t>Exhibits 4–6</w:t>
      </w:r>
      <w:r w:rsidRPr="00DC2D5B">
        <w:t xml:space="preserve"> provide the details of the annual burden for each instrument for FY2018–FY2020, and </w:t>
      </w:r>
      <w:r w:rsidRPr="00DC2D5B">
        <w:rPr>
          <w:b/>
          <w:i/>
        </w:rPr>
        <w:t>Exhibit 7</w:t>
      </w:r>
      <w:r w:rsidRPr="00DC2D5B">
        <w:t xml:space="preserve"> presents estimates of the </w:t>
      </w:r>
      <w:r w:rsidRPr="00DC2D5B">
        <w:rPr>
          <w:i/>
          <w:iCs/>
        </w:rPr>
        <w:t xml:space="preserve">SPF-Rx Grantee-Level Outcome </w:t>
      </w:r>
      <w:r w:rsidRPr="00DC2D5B">
        <w:t xml:space="preserve">module annualized burden hours, </w:t>
      </w:r>
      <w:r w:rsidR="00DB112B">
        <w:t>75</w:t>
      </w:r>
      <w:r w:rsidRPr="00DC2D5B">
        <w:t>, and the annualized respondent cost, $</w:t>
      </w:r>
      <w:r w:rsidR="00DB112B">
        <w:t>3</w:t>
      </w:r>
      <w:r w:rsidR="00D438C4">
        <w:t>,</w:t>
      </w:r>
      <w:r w:rsidR="00DB112B">
        <w:t>066</w:t>
      </w:r>
      <w:r w:rsidR="00DB112B" w:rsidRPr="00DC2D5B">
        <w:t xml:space="preserve"> </w:t>
      </w:r>
      <w:r w:rsidRPr="00DC2D5B">
        <w:t xml:space="preserve">(total burden hours × the average hourly wage for State government managers, as reported in the 2015 Occupational Employment Statistics [OES] by the Bureau of Labor Statistics [BLS]; see </w:t>
      </w:r>
      <w:hyperlink r:id="rId9" w:anchor="11-0000" w:history="1">
        <w:r w:rsidR="00B852C1">
          <w:rPr>
            <w:rStyle w:val="Hyperlink"/>
          </w:rPr>
          <w:t>https://www.bls.gov/oes/current/naics4_999200.htm#11-0000</w:t>
        </w:r>
      </w:hyperlink>
      <w:r w:rsidRPr="00DC2D5B">
        <w:t>).</w:t>
      </w:r>
    </w:p>
    <w:p w14:paraId="11AA4A59" w14:textId="77777777" w:rsidR="000D2F08" w:rsidRPr="00733FFC" w:rsidRDefault="000D2F08" w:rsidP="00E44BF4">
      <w:pPr>
        <w:pStyle w:val="Heading3"/>
      </w:pPr>
      <w:r w:rsidRPr="00733FFC">
        <w:t xml:space="preserve">Community-Level Outcome Data </w:t>
      </w:r>
    </w:p>
    <w:p w14:paraId="4CF3013D" w14:textId="158D8631" w:rsidR="000D2F08" w:rsidRPr="004B2008" w:rsidRDefault="000D2F08" w:rsidP="000D2F08">
      <w:pPr>
        <w:pStyle w:val="BodyText"/>
      </w:pPr>
      <w:r w:rsidRPr="004B2008">
        <w:t xml:space="preserve">All 25 SPF-Rx grantees, and all future cohorts, are expected to complete </w:t>
      </w:r>
      <w:r w:rsidR="004B2008">
        <w:t xml:space="preserve">the </w:t>
      </w:r>
      <w:r w:rsidRPr="004B2008">
        <w:rPr>
          <w:iCs/>
        </w:rPr>
        <w:t>Community-Level Outcome</w:t>
      </w:r>
      <w:r w:rsidR="004B2008">
        <w:rPr>
          <w:iCs/>
        </w:rPr>
        <w:t>s</w:t>
      </w:r>
      <w:r w:rsidRPr="004B2008">
        <w:rPr>
          <w:iCs/>
        </w:rPr>
        <w:t xml:space="preserve"> Module</w:t>
      </w:r>
      <w:r w:rsidRPr="004B2008">
        <w:t xml:space="preserve"> one time each year, beginning in the second year of their grant</w:t>
      </w:r>
      <w:r w:rsidR="004B2008">
        <w:t>s</w:t>
      </w:r>
      <w:r w:rsidRPr="004B2008">
        <w:t xml:space="preserve">. The </w:t>
      </w:r>
      <w:r w:rsidRPr="004B2008">
        <w:rPr>
          <w:iCs/>
        </w:rPr>
        <w:t>Community</w:t>
      </w:r>
      <w:r w:rsidR="004B2008">
        <w:rPr>
          <w:iCs/>
        </w:rPr>
        <w:t>-</w:t>
      </w:r>
      <w:r w:rsidRPr="004B2008">
        <w:rPr>
          <w:iCs/>
        </w:rPr>
        <w:t>Level Outcome</w:t>
      </w:r>
      <w:r w:rsidR="004B2008">
        <w:rPr>
          <w:iCs/>
        </w:rPr>
        <w:t>s</w:t>
      </w:r>
      <w:r w:rsidRPr="004B2008">
        <w:rPr>
          <w:iCs/>
        </w:rPr>
        <w:t xml:space="preserve"> Module </w:t>
      </w:r>
      <w:r w:rsidR="00DC2D5B">
        <w:t>is estimated to take 3</w:t>
      </w:r>
      <w:r w:rsidRPr="004B2008">
        <w:t xml:space="preserve"> hours to complete per response; this includes time to look</w:t>
      </w:r>
      <w:r w:rsidR="00DC2D5B">
        <w:t xml:space="preserve"> up and compile information (2</w:t>
      </w:r>
      <w:r w:rsidRPr="004B2008">
        <w:t xml:space="preserve"> hours) and time to complete the </w:t>
      </w:r>
      <w:r w:rsidR="00573100" w:rsidRPr="004B2008">
        <w:t xml:space="preserve">web </w:t>
      </w:r>
      <w:r w:rsidRPr="004B2008">
        <w:t xml:space="preserve">instrument (1 hour). The estimated burden time is based on test instruments completed by </w:t>
      </w:r>
      <w:r w:rsidR="00DC2D5B">
        <w:t>grantee</w:t>
      </w:r>
      <w:r w:rsidRPr="004B2008">
        <w:t xml:space="preserve">s </w:t>
      </w:r>
      <w:r w:rsidR="006F4352" w:rsidRPr="004B2008">
        <w:t>that</w:t>
      </w:r>
      <w:r w:rsidR="004B2008" w:rsidRPr="004B2008">
        <w:t xml:space="preserve"> </w:t>
      </w:r>
      <w:r w:rsidRPr="004B2008">
        <w:t>have experience working with SPF-PFS</w:t>
      </w:r>
      <w:r w:rsidR="00AD4F8C">
        <w:t xml:space="preserve"> grants</w:t>
      </w:r>
      <w:r w:rsidRPr="004B2008">
        <w:t xml:space="preserve"> (see </w:t>
      </w:r>
      <w:r w:rsidRPr="004B2008">
        <w:rPr>
          <w:b/>
          <w:bCs/>
          <w:i/>
          <w:iCs/>
        </w:rPr>
        <w:t>Section B.4</w:t>
      </w:r>
      <w:r w:rsidRPr="004B2008">
        <w:rPr>
          <w:iCs/>
        </w:rPr>
        <w:t xml:space="preserve"> </w:t>
      </w:r>
      <w:r w:rsidRPr="004B2008">
        <w:t>for more detail). There are no direct costs to respondents other than their time to com</w:t>
      </w:r>
      <w:r w:rsidR="00DC2D5B">
        <w:t>plete the instrument. Exhibits 4–6</w:t>
      </w:r>
      <w:r w:rsidRPr="004B2008">
        <w:t xml:space="preserve"> provide the details of the annual burden for each instrument for FY201</w:t>
      </w:r>
      <w:r w:rsidR="00DC2D5B">
        <w:t>8</w:t>
      </w:r>
      <w:r w:rsidRPr="004B2008">
        <w:t>–FY20</w:t>
      </w:r>
      <w:r w:rsidR="00DC2D5B">
        <w:t>20</w:t>
      </w:r>
      <w:r w:rsidRPr="004B2008">
        <w:t xml:space="preserve">, and Exhibit </w:t>
      </w:r>
      <w:r w:rsidR="00DC2D5B">
        <w:t>7</w:t>
      </w:r>
      <w:r w:rsidRPr="004B2008">
        <w:t xml:space="preserve"> presents estimates of the </w:t>
      </w:r>
      <w:r w:rsidRPr="004B2008">
        <w:rPr>
          <w:iCs/>
        </w:rPr>
        <w:t>Community</w:t>
      </w:r>
      <w:r w:rsidR="004B2008">
        <w:rPr>
          <w:iCs/>
        </w:rPr>
        <w:t>-</w:t>
      </w:r>
      <w:r w:rsidRPr="004B2008">
        <w:rPr>
          <w:iCs/>
        </w:rPr>
        <w:t>Level Outcome</w:t>
      </w:r>
      <w:r w:rsidR="004B2008">
        <w:rPr>
          <w:iCs/>
        </w:rPr>
        <w:t>s</w:t>
      </w:r>
      <w:r w:rsidRPr="004B2008">
        <w:rPr>
          <w:iCs/>
        </w:rPr>
        <w:t xml:space="preserve"> Module</w:t>
      </w:r>
      <w:r w:rsidRPr="004B2008">
        <w:t xml:space="preserve"> annualized burden hours </w:t>
      </w:r>
      <w:r w:rsidR="004B2008">
        <w:t>(</w:t>
      </w:r>
      <w:r w:rsidRPr="004B2008">
        <w:t>75</w:t>
      </w:r>
      <w:r w:rsidR="004B2008">
        <w:t>)</w:t>
      </w:r>
      <w:r w:rsidRPr="004B2008">
        <w:t xml:space="preserve"> and the annualized respondent cost </w:t>
      </w:r>
      <w:r w:rsidR="004B2008">
        <w:t>(</w:t>
      </w:r>
      <w:r w:rsidRPr="004B2008">
        <w:t>$</w:t>
      </w:r>
      <w:r w:rsidR="00DB112B">
        <w:t>3,066</w:t>
      </w:r>
      <w:r w:rsidRPr="004B2008">
        <w:t xml:space="preserve"> </w:t>
      </w:r>
      <w:r w:rsidR="004B2008">
        <w:t xml:space="preserve">= </w:t>
      </w:r>
      <w:r w:rsidRPr="004B2008">
        <w:t xml:space="preserve">total burden hours × the average hourly wage for </w:t>
      </w:r>
      <w:r w:rsidR="00BE3282" w:rsidRPr="004B2008">
        <w:t>state</w:t>
      </w:r>
      <w:r w:rsidRPr="004B2008">
        <w:t xml:space="preserve"> government managers, as reported in </w:t>
      </w:r>
      <w:r w:rsidR="00DC2D5B" w:rsidRPr="00DC2D5B">
        <w:t xml:space="preserve">the 2015 Occupational Employment Statistics [OES] by the Bureau of Labor Statistics [BLS]; see </w:t>
      </w:r>
      <w:hyperlink r:id="rId10" w:anchor="11-00000" w:history="1">
        <w:r w:rsidR="00B852C1" w:rsidRPr="00C93189">
          <w:rPr>
            <w:rStyle w:val="Hyperlink"/>
          </w:rPr>
          <w:t>https://www.bls.gov/oes/current/naics4_999200.htm#11-00000</w:t>
        </w:r>
      </w:hyperlink>
      <w:r w:rsidR="00DC2D5B" w:rsidRPr="00DC2D5B">
        <w:t>).</w:t>
      </w:r>
    </w:p>
    <w:p w14:paraId="218350E3" w14:textId="77777777" w:rsidR="000D2F08" w:rsidRPr="00733FFC" w:rsidRDefault="000D2F08" w:rsidP="00E44BF4">
      <w:pPr>
        <w:pStyle w:val="Heading3"/>
      </w:pPr>
      <w:r w:rsidRPr="00733FFC">
        <w:lastRenderedPageBreak/>
        <w:t>Substitute Data Source Request</w:t>
      </w:r>
    </w:p>
    <w:p w14:paraId="45C2D221" w14:textId="2F3EE67B" w:rsidR="000D2F08" w:rsidRDefault="000D2F08" w:rsidP="000D2F08">
      <w:pPr>
        <w:pStyle w:val="BodyText"/>
      </w:pPr>
      <w:r w:rsidRPr="004B2008">
        <w:t>The</w:t>
      </w:r>
      <w:r w:rsidRPr="004B2008">
        <w:rPr>
          <w:iCs/>
        </w:rPr>
        <w:t xml:space="preserve"> Substitute Data Source Request</w:t>
      </w:r>
      <w:r w:rsidRPr="004B2008">
        <w:t xml:space="preserve"> instrument is required of grantees </w:t>
      </w:r>
      <w:r w:rsidR="004B2008" w:rsidRPr="004B2008">
        <w:t xml:space="preserve">only </w:t>
      </w:r>
      <w:r w:rsidRPr="004B2008">
        <w:t xml:space="preserve">if they want to use an annual required measure in their community outcome reporting that is not </w:t>
      </w:r>
      <w:r w:rsidR="0069595E" w:rsidRPr="004B2008">
        <w:t>pre</w:t>
      </w:r>
      <w:r w:rsidRPr="004B2008">
        <w:t>approved. Usually grantees make these requests in the second or third years of their grants, with most requests occurring shortly befor</w:t>
      </w:r>
      <w:r w:rsidR="00DC2D5B">
        <w:t>e they need to report baseline</w:t>
      </w:r>
      <w:r w:rsidR="00B852C1">
        <w:t xml:space="preserve"> </w:t>
      </w:r>
      <w:r w:rsidRPr="004B2008">
        <w:t xml:space="preserve">outcomes </w:t>
      </w:r>
      <w:r w:rsidR="00DC2D5B">
        <w:t xml:space="preserve">data </w:t>
      </w:r>
      <w:r w:rsidRPr="004B2008">
        <w:t xml:space="preserve">in the second grant year. In </w:t>
      </w:r>
      <w:r w:rsidR="00573100" w:rsidRPr="004B2008">
        <w:t>FY</w:t>
      </w:r>
      <w:r w:rsidRPr="004B2008">
        <w:t xml:space="preserve">2018 we expect that </w:t>
      </w:r>
      <w:r w:rsidR="006C1E58">
        <w:t>f</w:t>
      </w:r>
      <w:r w:rsidR="00DC2D5B">
        <w:t>ive</w:t>
      </w:r>
      <w:r w:rsidRPr="004B2008">
        <w:t xml:space="preserve"> SPF-Rx grantees will complete the </w:t>
      </w:r>
      <w:r w:rsidRPr="004B2008">
        <w:rPr>
          <w:iCs/>
        </w:rPr>
        <w:t>Substitute Data Source Request</w:t>
      </w:r>
      <w:r w:rsidRPr="004B2008">
        <w:t xml:space="preserve"> instrument. In </w:t>
      </w:r>
      <w:r w:rsidR="00573100" w:rsidRPr="004B2008">
        <w:t>FY</w:t>
      </w:r>
      <w:r w:rsidRPr="004B2008">
        <w:t xml:space="preserve">2019 we expect that </w:t>
      </w:r>
      <w:r w:rsidR="006F4352">
        <w:t>half of</w:t>
      </w:r>
      <w:r w:rsidR="006C1E58" w:rsidRPr="004B2008">
        <w:t xml:space="preserve"> </w:t>
      </w:r>
      <w:r w:rsidRPr="004B2008">
        <w:t xml:space="preserve">SPF-Rx grantees will complete the </w:t>
      </w:r>
      <w:r w:rsidRPr="004B2008">
        <w:rPr>
          <w:iCs/>
        </w:rPr>
        <w:t>Substitute Data Source Request</w:t>
      </w:r>
      <w:r w:rsidRPr="004B2008">
        <w:t xml:space="preserve"> instrument. In </w:t>
      </w:r>
      <w:r w:rsidR="00573100" w:rsidRPr="004B2008">
        <w:t>FY</w:t>
      </w:r>
      <w:r w:rsidRPr="004B2008">
        <w:t xml:space="preserve">2020 we expect that </w:t>
      </w:r>
      <w:r w:rsidR="006F4352">
        <w:t>half again</w:t>
      </w:r>
      <w:r w:rsidR="006C1E58" w:rsidRPr="004B2008">
        <w:t xml:space="preserve"> </w:t>
      </w:r>
      <w:r w:rsidRPr="004B2008">
        <w:t xml:space="preserve">SPF-Rx grantees will complete the </w:t>
      </w:r>
      <w:r w:rsidRPr="004B2008">
        <w:rPr>
          <w:iCs/>
        </w:rPr>
        <w:t>Substitute Data Source Request</w:t>
      </w:r>
      <w:r w:rsidRPr="004B2008">
        <w:t xml:space="preserve"> instrument. The </w:t>
      </w:r>
      <w:r w:rsidRPr="004B2008">
        <w:rPr>
          <w:iCs/>
        </w:rPr>
        <w:t>Substitute Data Source Request</w:t>
      </w:r>
      <w:r w:rsidRPr="004B2008">
        <w:t xml:space="preserve"> instrument is estimated to take 1 hour to complete per response; this includes time to look up and compile information (</w:t>
      </w:r>
      <w:r w:rsidR="006C1E58">
        <w:t>0</w:t>
      </w:r>
      <w:r w:rsidRPr="004B2008">
        <w:t xml:space="preserve">.5 hour) and time to complete the </w:t>
      </w:r>
      <w:r w:rsidR="00573100" w:rsidRPr="004B2008">
        <w:t xml:space="preserve">web </w:t>
      </w:r>
      <w:r w:rsidRPr="004B2008">
        <w:t>instrument (</w:t>
      </w:r>
      <w:r w:rsidR="006C1E58">
        <w:t>0</w:t>
      </w:r>
      <w:r w:rsidRPr="004B2008">
        <w:t xml:space="preserve">.5 hour). The estimated burden time is based on test instruments completed by </w:t>
      </w:r>
      <w:r w:rsidR="00AD4F8C">
        <w:t xml:space="preserve">SPF-Rx grantee </w:t>
      </w:r>
      <w:proofErr w:type="gramStart"/>
      <w:r w:rsidR="00AD4F8C">
        <w:t>staff</w:t>
      </w:r>
      <w:r w:rsidRPr="004B2008">
        <w:t xml:space="preserve"> </w:t>
      </w:r>
      <w:r w:rsidR="006F4352" w:rsidRPr="004B2008">
        <w:t>that</w:t>
      </w:r>
      <w:r w:rsidR="004B2008" w:rsidRPr="004B2008">
        <w:t xml:space="preserve"> </w:t>
      </w:r>
      <w:r w:rsidRPr="004B2008">
        <w:t>have</w:t>
      </w:r>
      <w:proofErr w:type="gramEnd"/>
      <w:r w:rsidRPr="004B2008">
        <w:t xml:space="preserve"> experience working </w:t>
      </w:r>
      <w:r w:rsidR="00AD4F8C">
        <w:t>on SPF-PFS grants</w:t>
      </w:r>
      <w:r w:rsidRPr="004B2008">
        <w:t xml:space="preserve"> (see </w:t>
      </w:r>
      <w:r w:rsidRPr="004B2008">
        <w:rPr>
          <w:b/>
          <w:bCs/>
          <w:i/>
          <w:iCs/>
        </w:rPr>
        <w:t>Section B.4</w:t>
      </w:r>
      <w:r w:rsidRPr="004B2008">
        <w:rPr>
          <w:iCs/>
        </w:rPr>
        <w:t xml:space="preserve"> </w:t>
      </w:r>
      <w:r w:rsidRPr="004B2008">
        <w:t xml:space="preserve">for more detail). There are no direct costs to respondents other than their time to complete the instrument. Exhibits </w:t>
      </w:r>
      <w:r w:rsidR="001E5933">
        <w:t>4</w:t>
      </w:r>
      <w:r w:rsidRPr="004B2008">
        <w:t>–</w:t>
      </w:r>
      <w:r w:rsidR="001E5933">
        <w:t>6</w:t>
      </w:r>
      <w:r w:rsidRPr="004B2008">
        <w:t xml:space="preserve"> provide the details of the annual burden for each instrument for FY201</w:t>
      </w:r>
      <w:r w:rsidR="00E77965">
        <w:t>8</w:t>
      </w:r>
      <w:r w:rsidRPr="004B2008">
        <w:t>–FY20</w:t>
      </w:r>
      <w:r w:rsidR="00E77965">
        <w:t>20</w:t>
      </w:r>
      <w:r w:rsidRPr="004B2008">
        <w:t xml:space="preserve">, and Exhibit </w:t>
      </w:r>
      <w:r w:rsidR="001E5933">
        <w:t>7</w:t>
      </w:r>
      <w:r w:rsidRPr="004B2008">
        <w:t xml:space="preserve"> presents estimates of the </w:t>
      </w:r>
      <w:r w:rsidRPr="004B2008">
        <w:rPr>
          <w:iCs/>
        </w:rPr>
        <w:t>Substitute Data Source Request</w:t>
      </w:r>
      <w:r w:rsidRPr="004B2008">
        <w:t xml:space="preserve"> instrument annualized burden hours </w:t>
      </w:r>
      <w:r w:rsidR="006C1E58">
        <w:t>(</w:t>
      </w:r>
      <w:r w:rsidR="00E77965">
        <w:t>3.67</w:t>
      </w:r>
      <w:r w:rsidR="006C1E58">
        <w:t>)</w:t>
      </w:r>
      <w:r w:rsidRPr="004B2008">
        <w:t xml:space="preserve"> and the annualized respondent cost </w:t>
      </w:r>
      <w:r w:rsidR="006C1E58">
        <w:t>(</w:t>
      </w:r>
      <w:r w:rsidRPr="004B2008">
        <w:t>$</w:t>
      </w:r>
      <w:r w:rsidR="00E77965">
        <w:t>149.89</w:t>
      </w:r>
      <w:r w:rsidR="00E77965" w:rsidRPr="004B2008">
        <w:t xml:space="preserve"> </w:t>
      </w:r>
      <w:r w:rsidR="006C1E58">
        <w:t xml:space="preserve">= </w:t>
      </w:r>
      <w:r w:rsidRPr="004B2008">
        <w:t xml:space="preserve">total burden hours × the average hourly wage for </w:t>
      </w:r>
      <w:r w:rsidR="00BE3282" w:rsidRPr="004B2008">
        <w:t>state</w:t>
      </w:r>
      <w:r w:rsidRPr="004B2008">
        <w:t xml:space="preserve"> government managers, as reported in the </w:t>
      </w:r>
      <w:r w:rsidR="00AD4F8C" w:rsidRPr="00DC2D5B">
        <w:t xml:space="preserve">2015 Occupational Employment Statistics [OES] by the Bureau of Labor Statistics [BLS]; see </w:t>
      </w:r>
      <w:hyperlink r:id="rId11" w:anchor="11-00000" w:history="1">
        <w:r w:rsidR="00B852C1" w:rsidRPr="00C93189">
          <w:rPr>
            <w:rStyle w:val="Hyperlink"/>
          </w:rPr>
          <w:t>https://www.bls.gov/oes/current/naics4_999200.htm#11-00000</w:t>
        </w:r>
      </w:hyperlink>
      <w:r w:rsidR="00AD4F8C">
        <w:t>)</w:t>
      </w:r>
      <w:r w:rsidRPr="004B2008">
        <w:t>.</w:t>
      </w:r>
    </w:p>
    <w:p w14:paraId="7592B2F4" w14:textId="17CCB38B" w:rsidR="00D1679D" w:rsidRPr="00733FFC" w:rsidRDefault="00D1679D" w:rsidP="00D1679D">
      <w:pPr>
        <w:pStyle w:val="Heading3"/>
      </w:pPr>
      <w:r>
        <w:t>Annual Implementation Instrument</w:t>
      </w:r>
    </w:p>
    <w:p w14:paraId="1FD99BDE" w14:textId="6AE970FF" w:rsidR="00D1679D" w:rsidRDefault="00D1679D" w:rsidP="00D1679D">
      <w:pPr>
        <w:pStyle w:val="BodyText"/>
      </w:pPr>
      <w:r w:rsidRPr="004B2008">
        <w:t>The</w:t>
      </w:r>
      <w:r w:rsidRPr="004B2008">
        <w:rPr>
          <w:iCs/>
        </w:rPr>
        <w:t xml:space="preserve"> </w:t>
      </w:r>
      <w:r>
        <w:rPr>
          <w:iCs/>
        </w:rPr>
        <w:t>AII</w:t>
      </w:r>
      <w:r w:rsidRPr="004B2008">
        <w:t xml:space="preserve"> is required of grantees </w:t>
      </w:r>
      <w:r>
        <w:t>annually</w:t>
      </w:r>
      <w:r w:rsidRPr="004B2008">
        <w:t>. In FY2018</w:t>
      </w:r>
      <w:r>
        <w:t xml:space="preserve"> through FY2020</w:t>
      </w:r>
      <w:r w:rsidR="00EF3BB3">
        <w:t>,</w:t>
      </w:r>
      <w:r w:rsidRPr="004B2008">
        <w:t xml:space="preserve"> we expect that </w:t>
      </w:r>
      <w:r w:rsidR="00EF3BB3">
        <w:t>25</w:t>
      </w:r>
      <w:r w:rsidRPr="004B2008">
        <w:t xml:space="preserve"> SPF-Rx grantees will complete the </w:t>
      </w:r>
      <w:r>
        <w:rPr>
          <w:iCs/>
        </w:rPr>
        <w:t>AII</w:t>
      </w:r>
      <w:r w:rsidRPr="004B2008">
        <w:t xml:space="preserve">. The </w:t>
      </w:r>
      <w:r>
        <w:rPr>
          <w:iCs/>
        </w:rPr>
        <w:t>AII</w:t>
      </w:r>
      <w:r>
        <w:t xml:space="preserve"> is estimated to take 2.3</w:t>
      </w:r>
      <w:r w:rsidRPr="004B2008">
        <w:t xml:space="preserve"> hour</w:t>
      </w:r>
      <w:r>
        <w:t>s</w:t>
      </w:r>
      <w:r w:rsidRPr="004B2008">
        <w:t xml:space="preserve"> to complete per response; this includes time to look up and compile information (</w:t>
      </w:r>
      <w:r>
        <w:t>1.5</w:t>
      </w:r>
      <w:r w:rsidRPr="004B2008">
        <w:t xml:space="preserve"> hour</w:t>
      </w:r>
      <w:r w:rsidR="00EF3BB3">
        <w:t>s</w:t>
      </w:r>
      <w:r w:rsidRPr="004B2008">
        <w:t>) and time to complete the web instrument (</w:t>
      </w:r>
      <w:r>
        <w:t>0.8</w:t>
      </w:r>
      <w:r w:rsidRPr="004B2008">
        <w:t xml:space="preserve"> hour). The estimated burden time is based on test instruments completed by </w:t>
      </w:r>
      <w:r>
        <w:t xml:space="preserve">SPF-Rx grantee </w:t>
      </w:r>
      <w:proofErr w:type="gramStart"/>
      <w:r>
        <w:t>staff</w:t>
      </w:r>
      <w:r w:rsidRPr="004B2008">
        <w:t xml:space="preserve"> </w:t>
      </w:r>
      <w:r w:rsidR="006F4352" w:rsidRPr="004B2008">
        <w:t>that</w:t>
      </w:r>
      <w:r w:rsidRPr="004B2008">
        <w:t xml:space="preserve"> have</w:t>
      </w:r>
      <w:proofErr w:type="gramEnd"/>
      <w:r w:rsidRPr="004B2008">
        <w:t xml:space="preserve"> experience working </w:t>
      </w:r>
      <w:r>
        <w:t>on SPF-PFS grants</w:t>
      </w:r>
      <w:r w:rsidRPr="004B2008">
        <w:t xml:space="preserve"> (see </w:t>
      </w:r>
      <w:r w:rsidRPr="004B2008">
        <w:rPr>
          <w:b/>
          <w:bCs/>
          <w:i/>
          <w:iCs/>
        </w:rPr>
        <w:t>Section B.4</w:t>
      </w:r>
      <w:r w:rsidRPr="004B2008">
        <w:rPr>
          <w:iCs/>
        </w:rPr>
        <w:t xml:space="preserve"> </w:t>
      </w:r>
      <w:r w:rsidRPr="004B2008">
        <w:t xml:space="preserve">for more detail). There are no direct costs to respondents other than their time to complete the instrument. Exhibits </w:t>
      </w:r>
      <w:r>
        <w:t>4</w:t>
      </w:r>
      <w:r w:rsidRPr="004B2008">
        <w:t>–</w:t>
      </w:r>
      <w:r>
        <w:t>6</w:t>
      </w:r>
      <w:r w:rsidRPr="004B2008">
        <w:t xml:space="preserve"> provide the details of the annual burden for each instrument for FY201</w:t>
      </w:r>
      <w:r>
        <w:t>8</w:t>
      </w:r>
      <w:r w:rsidRPr="004B2008">
        <w:t>–FY20</w:t>
      </w:r>
      <w:r>
        <w:t>20</w:t>
      </w:r>
      <w:r w:rsidRPr="004B2008">
        <w:t xml:space="preserve">, and Exhibit </w:t>
      </w:r>
      <w:r>
        <w:t>7</w:t>
      </w:r>
      <w:r w:rsidRPr="004B2008">
        <w:t xml:space="preserve"> presents estimates of the </w:t>
      </w:r>
      <w:r>
        <w:rPr>
          <w:iCs/>
        </w:rPr>
        <w:t>AII</w:t>
      </w:r>
      <w:r w:rsidRPr="004B2008">
        <w:t xml:space="preserve"> annualized burden hours </w:t>
      </w:r>
      <w:r>
        <w:t>(230)</w:t>
      </w:r>
      <w:r w:rsidRPr="004B2008">
        <w:t xml:space="preserve"> and the annualized respondent cost </w:t>
      </w:r>
      <w:r>
        <w:t>(</w:t>
      </w:r>
      <w:r w:rsidRPr="004B2008">
        <w:t>$</w:t>
      </w:r>
      <w:r>
        <w:t>9</w:t>
      </w:r>
      <w:r w:rsidR="00EF3BB3">
        <w:t>,</w:t>
      </w:r>
      <w:r>
        <w:t>384</w:t>
      </w:r>
      <w:r w:rsidRPr="004B2008">
        <w:t xml:space="preserve"> </w:t>
      </w:r>
      <w:r>
        <w:t xml:space="preserve">= </w:t>
      </w:r>
      <w:r w:rsidRPr="004B2008">
        <w:t xml:space="preserve">total burden hours × the average hourly wage for state government managers, as reported in the </w:t>
      </w:r>
      <w:r w:rsidRPr="00DC2D5B">
        <w:t xml:space="preserve">2015 Occupational Employment Statistics [OES] by the Bureau of Labor Statistics [BLS]; see </w:t>
      </w:r>
      <w:hyperlink r:id="rId12" w:anchor="11-00000" w:history="1">
        <w:r w:rsidR="00B852C1" w:rsidRPr="00C93189">
          <w:rPr>
            <w:rStyle w:val="Hyperlink"/>
          </w:rPr>
          <w:t>https://www.bls.gov/oes/current/naics4_999200.htm#11-00000</w:t>
        </w:r>
      </w:hyperlink>
      <w:r>
        <w:t>)</w:t>
      </w:r>
      <w:r w:rsidRPr="004B2008">
        <w:t>.</w:t>
      </w:r>
    </w:p>
    <w:p w14:paraId="4584E372" w14:textId="354A5514" w:rsidR="00D1679D" w:rsidRPr="00733FFC" w:rsidRDefault="00D1679D" w:rsidP="00D1679D">
      <w:pPr>
        <w:pStyle w:val="Heading3"/>
      </w:pPr>
      <w:r>
        <w:t>Grantee-Level Interview</w:t>
      </w:r>
    </w:p>
    <w:p w14:paraId="16166150" w14:textId="0DA6B365" w:rsidR="00D1679D" w:rsidRPr="004B2008" w:rsidRDefault="00D1679D" w:rsidP="00D1679D">
      <w:pPr>
        <w:pStyle w:val="BodyText"/>
      </w:pPr>
      <w:r w:rsidRPr="004B2008">
        <w:t>The</w:t>
      </w:r>
      <w:r w:rsidRPr="004B2008">
        <w:rPr>
          <w:iCs/>
        </w:rPr>
        <w:t xml:space="preserve"> </w:t>
      </w:r>
      <w:r>
        <w:rPr>
          <w:iCs/>
        </w:rPr>
        <w:t>Grantee-Level Interview</w:t>
      </w:r>
      <w:r w:rsidRPr="004B2008">
        <w:t xml:space="preserve"> is required of grantees </w:t>
      </w:r>
      <w:r>
        <w:t xml:space="preserve">in the baseline, </w:t>
      </w:r>
      <w:r w:rsidR="00EF3BB3">
        <w:t xml:space="preserve">third, </w:t>
      </w:r>
      <w:r>
        <w:t>and final years of their grant funding</w:t>
      </w:r>
      <w:r w:rsidRPr="004B2008">
        <w:t>. In FY2018</w:t>
      </w:r>
      <w:r>
        <w:t xml:space="preserve"> through FY2020</w:t>
      </w:r>
      <w:r w:rsidR="00EF3BB3">
        <w:t>,</w:t>
      </w:r>
      <w:r w:rsidRPr="004B2008">
        <w:t xml:space="preserve"> we expect that </w:t>
      </w:r>
      <w:r w:rsidR="00EF3BB3">
        <w:t>25</w:t>
      </w:r>
      <w:r w:rsidRPr="004B2008">
        <w:t xml:space="preserve"> SPF-Rx grantees will complete the </w:t>
      </w:r>
      <w:r>
        <w:rPr>
          <w:iCs/>
        </w:rPr>
        <w:t xml:space="preserve">Grantee-Level instrument twice </w:t>
      </w:r>
      <w:r w:rsidR="00EF3BB3">
        <w:rPr>
          <w:iCs/>
        </w:rPr>
        <w:t>(</w:t>
      </w:r>
      <w:r w:rsidR="009A7B86">
        <w:rPr>
          <w:iCs/>
        </w:rPr>
        <w:t xml:space="preserve">in </w:t>
      </w:r>
      <w:r w:rsidR="00EF3BB3">
        <w:rPr>
          <w:iCs/>
        </w:rPr>
        <w:t xml:space="preserve">their </w:t>
      </w:r>
      <w:r>
        <w:rPr>
          <w:iCs/>
        </w:rPr>
        <w:t xml:space="preserve">baseline and </w:t>
      </w:r>
      <w:r w:rsidR="00EF3BB3">
        <w:rPr>
          <w:iCs/>
        </w:rPr>
        <w:t xml:space="preserve">third </w:t>
      </w:r>
      <w:r>
        <w:rPr>
          <w:iCs/>
        </w:rPr>
        <w:t>years</w:t>
      </w:r>
      <w:r w:rsidR="00EF3BB3">
        <w:rPr>
          <w:iCs/>
        </w:rPr>
        <w:t>)</w:t>
      </w:r>
      <w:r w:rsidRPr="004B2008">
        <w:t xml:space="preserve">. The </w:t>
      </w:r>
      <w:r>
        <w:rPr>
          <w:iCs/>
        </w:rPr>
        <w:t>Grantee-Level Interview</w:t>
      </w:r>
      <w:r>
        <w:t xml:space="preserve"> is estimated to take 1.5</w:t>
      </w:r>
      <w:r w:rsidRPr="004B2008">
        <w:t xml:space="preserve"> hour</w:t>
      </w:r>
      <w:r>
        <w:t>s</w:t>
      </w:r>
      <w:r w:rsidRPr="004B2008">
        <w:t xml:space="preserve"> to complete per response. The estimated burden time is based on test instruments completed by </w:t>
      </w:r>
      <w:r>
        <w:t xml:space="preserve">SPF-Rx grantee </w:t>
      </w:r>
      <w:proofErr w:type="gramStart"/>
      <w:r>
        <w:t>staff</w:t>
      </w:r>
      <w:r w:rsidRPr="004B2008">
        <w:t xml:space="preserve"> </w:t>
      </w:r>
      <w:r w:rsidR="006F4352" w:rsidRPr="004B2008">
        <w:t>that</w:t>
      </w:r>
      <w:r w:rsidRPr="004B2008">
        <w:t xml:space="preserve"> have</w:t>
      </w:r>
      <w:proofErr w:type="gramEnd"/>
      <w:r w:rsidRPr="004B2008">
        <w:t xml:space="preserve"> experience working </w:t>
      </w:r>
      <w:r>
        <w:t>on SPF-PFS grants</w:t>
      </w:r>
      <w:r w:rsidRPr="004B2008">
        <w:t xml:space="preserve"> (see </w:t>
      </w:r>
      <w:r w:rsidRPr="004B2008">
        <w:rPr>
          <w:b/>
          <w:bCs/>
          <w:i/>
          <w:iCs/>
        </w:rPr>
        <w:t>Section B.4</w:t>
      </w:r>
      <w:r w:rsidRPr="004B2008">
        <w:rPr>
          <w:iCs/>
        </w:rPr>
        <w:t xml:space="preserve"> </w:t>
      </w:r>
      <w:r w:rsidRPr="004B2008">
        <w:t xml:space="preserve">for more detail). There are no direct costs to respondents other than their time to complete the instrument. Exhibits </w:t>
      </w:r>
      <w:r>
        <w:t>4</w:t>
      </w:r>
      <w:r w:rsidRPr="004B2008">
        <w:t>–</w:t>
      </w:r>
      <w:r>
        <w:t>6</w:t>
      </w:r>
      <w:r w:rsidRPr="004B2008">
        <w:t xml:space="preserve"> provide the details of the annual burden for each instrument for FY201</w:t>
      </w:r>
      <w:r>
        <w:t>8</w:t>
      </w:r>
      <w:r w:rsidRPr="004B2008">
        <w:t>–FY20</w:t>
      </w:r>
      <w:r>
        <w:t>20</w:t>
      </w:r>
      <w:r w:rsidRPr="004B2008">
        <w:t xml:space="preserve">, and Exhibit </w:t>
      </w:r>
      <w:r>
        <w:t>7</w:t>
      </w:r>
      <w:r w:rsidRPr="004B2008">
        <w:t xml:space="preserve"> presents estimates of the </w:t>
      </w:r>
      <w:r w:rsidR="009305A0">
        <w:rPr>
          <w:iCs/>
        </w:rPr>
        <w:t>Grantee-Level Instrument</w:t>
      </w:r>
      <w:r w:rsidRPr="004B2008">
        <w:t xml:space="preserve"> annualized burden hours </w:t>
      </w:r>
      <w:r>
        <w:t>(</w:t>
      </w:r>
      <w:r w:rsidR="009305A0">
        <w:t>25.5</w:t>
      </w:r>
      <w:r>
        <w:t>)</w:t>
      </w:r>
      <w:r w:rsidRPr="004B2008">
        <w:t xml:space="preserve"> and the annualized respondent cost </w:t>
      </w:r>
      <w:r>
        <w:t>(</w:t>
      </w:r>
      <w:r w:rsidRPr="004B2008">
        <w:t>$</w:t>
      </w:r>
      <w:r w:rsidR="009305A0">
        <w:t>1</w:t>
      </w:r>
      <w:r w:rsidR="00EF3BB3">
        <w:t>,</w:t>
      </w:r>
      <w:r w:rsidR="009305A0">
        <w:t>042.44</w:t>
      </w:r>
      <w:r w:rsidRPr="004B2008">
        <w:t xml:space="preserve"> </w:t>
      </w:r>
      <w:r>
        <w:t xml:space="preserve">= </w:t>
      </w:r>
      <w:r w:rsidRPr="004B2008">
        <w:t xml:space="preserve">total burden hours × the average hourly wage for state government managers, as reported in the </w:t>
      </w:r>
      <w:r w:rsidRPr="00DC2D5B">
        <w:t>2015 Occupational Employment Statistics [OES] by the Bureau of Labor Statistics [BLS]; see</w:t>
      </w:r>
      <w:hyperlink r:id="rId13" w:anchor="11-0000" w:history="1">
        <w:r w:rsidRPr="00DC2D5B">
          <w:t xml:space="preserve"> </w:t>
        </w:r>
        <w:r w:rsidRPr="00DC2D5B">
          <w:rPr>
            <w:rStyle w:val="Hyperlink"/>
          </w:rPr>
          <w:t>https://www.bls.gov/oes/current/naics4_999200.htm#11-00000</w:t>
        </w:r>
      </w:hyperlink>
      <w:r>
        <w:t>)</w:t>
      </w:r>
      <w:r w:rsidRPr="004B2008">
        <w:t>.</w:t>
      </w:r>
    </w:p>
    <w:p w14:paraId="5D4E84E9" w14:textId="5263001F" w:rsidR="00BD6217" w:rsidRDefault="00BD6217" w:rsidP="00E42198">
      <w:pPr>
        <w:pStyle w:val="ExhibitTitle"/>
        <w:rPr>
          <w:b w:val="0"/>
          <w:u w:val="single"/>
        </w:rPr>
      </w:pPr>
      <w:r w:rsidRPr="00BD6217">
        <w:rPr>
          <w:b w:val="0"/>
          <w:u w:val="single"/>
        </w:rPr>
        <w:lastRenderedPageBreak/>
        <w:t>Evaluation Plan Checklist</w:t>
      </w:r>
    </w:p>
    <w:p w14:paraId="18210C43" w14:textId="648EB2E7" w:rsidR="00BD6217" w:rsidRPr="008814FF" w:rsidRDefault="00BD6217" w:rsidP="00BD6217">
      <w:pPr>
        <w:pStyle w:val="ListNumber"/>
        <w:numPr>
          <w:ilvl w:val="0"/>
          <w:numId w:val="0"/>
        </w:numPr>
        <w:tabs>
          <w:tab w:val="left" w:pos="720"/>
        </w:tabs>
        <w:spacing w:after="0"/>
        <w:rPr>
          <w:sz w:val="24"/>
          <w:szCs w:val="24"/>
        </w:rPr>
      </w:pPr>
      <w:r w:rsidRPr="008814FF">
        <w:rPr>
          <w:i/>
          <w:sz w:val="24"/>
          <w:szCs w:val="24"/>
        </w:rPr>
        <w:t>Evaluation Plan</w:t>
      </w:r>
      <w:r w:rsidRPr="008814FF">
        <w:rPr>
          <w:sz w:val="24"/>
          <w:szCs w:val="24"/>
        </w:rPr>
        <w:t xml:space="preserve"> </w:t>
      </w:r>
      <w:r w:rsidR="00933E6D" w:rsidRPr="008814FF">
        <w:rPr>
          <w:sz w:val="24"/>
          <w:szCs w:val="24"/>
        </w:rPr>
        <w:t>allows</w:t>
      </w:r>
      <w:r>
        <w:rPr>
          <w:sz w:val="24"/>
          <w:szCs w:val="24"/>
        </w:rPr>
        <w:t xml:space="preserve"> </w:t>
      </w:r>
      <w:r w:rsidRPr="008814FF">
        <w:rPr>
          <w:sz w:val="24"/>
          <w:szCs w:val="24"/>
        </w:rPr>
        <w:t>grantees to outline their local evaluation plan</w:t>
      </w:r>
      <w:r>
        <w:rPr>
          <w:sz w:val="24"/>
          <w:szCs w:val="24"/>
        </w:rPr>
        <w:t xml:space="preserve"> with core elements required for the cross-site evaluation</w:t>
      </w:r>
      <w:r w:rsidRPr="008814FF">
        <w:rPr>
          <w:sz w:val="24"/>
          <w:szCs w:val="24"/>
        </w:rPr>
        <w:t xml:space="preserve">. </w:t>
      </w:r>
      <w:r>
        <w:rPr>
          <w:sz w:val="24"/>
          <w:szCs w:val="24"/>
        </w:rPr>
        <w:t>Main s</w:t>
      </w:r>
      <w:r w:rsidRPr="008814FF">
        <w:rPr>
          <w:sz w:val="24"/>
          <w:szCs w:val="24"/>
        </w:rPr>
        <w:t>ections include goals and objectives, performance measures, data analysis plan, and reporting plan.</w:t>
      </w:r>
      <w:r>
        <w:rPr>
          <w:sz w:val="24"/>
          <w:szCs w:val="24"/>
        </w:rPr>
        <w:t xml:space="preserve"> The evaluation plan ensures that grantees align their local infrastructure with the required reporting requirements for the cross-site. In addition, it also provides grantees with technical assistance from the cross-site evaluation team on data collection.</w:t>
      </w:r>
    </w:p>
    <w:p w14:paraId="4C2C165E" w14:textId="77777777" w:rsidR="00BD6217" w:rsidRDefault="00BD6217" w:rsidP="00E42198">
      <w:pPr>
        <w:pStyle w:val="ExhibitTitle"/>
      </w:pPr>
    </w:p>
    <w:p w14:paraId="5E0428A2" w14:textId="13382743" w:rsidR="000D2F08" w:rsidRDefault="00AD4F8C" w:rsidP="00E42198">
      <w:pPr>
        <w:pStyle w:val="ExhibitTitle"/>
      </w:pPr>
      <w:r>
        <w:t>Exhibit 4</w:t>
      </w:r>
      <w:r w:rsidR="00E42198">
        <w:t>:</w:t>
      </w:r>
      <w:r w:rsidR="000D2F08" w:rsidRPr="00733FFC">
        <w:t xml:space="preserve"> </w:t>
      </w:r>
      <w:r w:rsidR="000D2F08" w:rsidRPr="00E42198">
        <w:t>FY2018</w:t>
      </w:r>
      <w:r w:rsidR="000D2F08" w:rsidRPr="00733FFC">
        <w:t xml:space="preserve"> Annual Burden</w:t>
      </w:r>
    </w:p>
    <w:tbl>
      <w:tblPr>
        <w:tblW w:w="95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170"/>
      </w:tblGrid>
      <w:tr w:rsidR="00AD4F8C" w:rsidRPr="009C7345" w14:paraId="09D3DA39" w14:textId="77777777" w:rsidTr="00661C74">
        <w:trPr>
          <w:cantSplit/>
        </w:trPr>
        <w:tc>
          <w:tcPr>
            <w:tcW w:w="2052" w:type="dxa"/>
            <w:vAlign w:val="bottom"/>
          </w:tcPr>
          <w:p w14:paraId="0FA4264D" w14:textId="77777777" w:rsidR="00AD4F8C" w:rsidRPr="009C7345" w:rsidRDefault="00AD4F8C" w:rsidP="00AD4F8C">
            <w:pPr>
              <w:keepNext/>
              <w:rPr>
                <w:b/>
                <w:sz w:val="20"/>
                <w:szCs w:val="20"/>
              </w:rPr>
            </w:pPr>
            <w:r w:rsidRPr="009C7345">
              <w:rPr>
                <w:b/>
                <w:sz w:val="20"/>
                <w:szCs w:val="20"/>
              </w:rPr>
              <w:t>Instrument</w:t>
            </w:r>
          </w:p>
        </w:tc>
        <w:tc>
          <w:tcPr>
            <w:tcW w:w="1260" w:type="dxa"/>
            <w:vAlign w:val="bottom"/>
          </w:tcPr>
          <w:p w14:paraId="275DFF63" w14:textId="77777777" w:rsidR="00AD4F8C" w:rsidRPr="009C7345" w:rsidRDefault="00AD4F8C" w:rsidP="00AD4F8C">
            <w:pPr>
              <w:keepNext/>
              <w:rPr>
                <w:b/>
                <w:bCs/>
                <w:sz w:val="20"/>
                <w:szCs w:val="20"/>
              </w:rPr>
            </w:pPr>
            <w:r w:rsidRPr="009C7345">
              <w:rPr>
                <w:b/>
                <w:bCs/>
                <w:sz w:val="20"/>
                <w:szCs w:val="20"/>
              </w:rPr>
              <w:t>Number of Respondents</w:t>
            </w:r>
          </w:p>
        </w:tc>
        <w:tc>
          <w:tcPr>
            <w:tcW w:w="1170" w:type="dxa"/>
            <w:vAlign w:val="bottom"/>
          </w:tcPr>
          <w:p w14:paraId="5C1B4145" w14:textId="77777777" w:rsidR="00AD4F8C" w:rsidRPr="009C7345" w:rsidRDefault="00AD4F8C" w:rsidP="00AD4F8C">
            <w:pPr>
              <w:keepNext/>
              <w:rPr>
                <w:b/>
                <w:bCs/>
                <w:sz w:val="20"/>
                <w:szCs w:val="20"/>
              </w:rPr>
            </w:pPr>
            <w:r w:rsidRPr="009C7345">
              <w:rPr>
                <w:b/>
                <w:bCs/>
                <w:sz w:val="20"/>
                <w:szCs w:val="20"/>
              </w:rPr>
              <w:t>Responses per Respondent</w:t>
            </w:r>
          </w:p>
        </w:tc>
        <w:tc>
          <w:tcPr>
            <w:tcW w:w="1080" w:type="dxa"/>
            <w:vAlign w:val="bottom"/>
          </w:tcPr>
          <w:p w14:paraId="1CA3D8C6" w14:textId="77777777" w:rsidR="00AD4F8C" w:rsidRPr="009C7345" w:rsidRDefault="00AD4F8C" w:rsidP="00AD4F8C">
            <w:pPr>
              <w:keepNext/>
              <w:rPr>
                <w:b/>
                <w:bCs/>
                <w:sz w:val="20"/>
                <w:szCs w:val="20"/>
              </w:rPr>
            </w:pPr>
            <w:r w:rsidRPr="009C7345">
              <w:rPr>
                <w:b/>
                <w:bCs/>
                <w:sz w:val="20"/>
                <w:szCs w:val="20"/>
              </w:rPr>
              <w:t>Total Number of Responses</w:t>
            </w:r>
          </w:p>
        </w:tc>
        <w:tc>
          <w:tcPr>
            <w:tcW w:w="1070" w:type="dxa"/>
            <w:vAlign w:val="bottom"/>
          </w:tcPr>
          <w:p w14:paraId="54BFDC33" w14:textId="77777777" w:rsidR="00AD4F8C" w:rsidRPr="009C7345" w:rsidRDefault="00AD4F8C" w:rsidP="00AD4F8C">
            <w:pPr>
              <w:keepNext/>
              <w:rPr>
                <w:b/>
                <w:bCs/>
                <w:sz w:val="20"/>
                <w:szCs w:val="20"/>
              </w:rPr>
            </w:pPr>
            <w:r w:rsidRPr="009C7345">
              <w:rPr>
                <w:b/>
                <w:bCs/>
                <w:sz w:val="20"/>
                <w:szCs w:val="20"/>
              </w:rPr>
              <w:t>Hours per Response</w:t>
            </w:r>
          </w:p>
        </w:tc>
        <w:tc>
          <w:tcPr>
            <w:tcW w:w="820" w:type="dxa"/>
            <w:vAlign w:val="bottom"/>
          </w:tcPr>
          <w:p w14:paraId="5F6F7A2D" w14:textId="77777777" w:rsidR="00AD4F8C" w:rsidRPr="009C7345" w:rsidRDefault="00AD4F8C" w:rsidP="00AD4F8C">
            <w:pPr>
              <w:keepNext/>
              <w:rPr>
                <w:b/>
                <w:bCs/>
                <w:sz w:val="20"/>
                <w:szCs w:val="20"/>
              </w:rPr>
            </w:pPr>
            <w:r w:rsidRPr="009C7345">
              <w:rPr>
                <w:b/>
                <w:bCs/>
                <w:sz w:val="20"/>
                <w:szCs w:val="20"/>
              </w:rPr>
              <w:t>Total Burden Hours</w:t>
            </w:r>
          </w:p>
        </w:tc>
        <w:tc>
          <w:tcPr>
            <w:tcW w:w="900" w:type="dxa"/>
            <w:vAlign w:val="bottom"/>
          </w:tcPr>
          <w:p w14:paraId="52AEEE88" w14:textId="77777777" w:rsidR="00AD4F8C" w:rsidRPr="009C7345" w:rsidRDefault="00AD4F8C" w:rsidP="00AD4F8C">
            <w:pPr>
              <w:keepNext/>
              <w:rPr>
                <w:b/>
                <w:bCs/>
                <w:sz w:val="20"/>
                <w:szCs w:val="20"/>
              </w:rPr>
            </w:pPr>
            <w:r w:rsidRPr="009C7345">
              <w:rPr>
                <w:b/>
                <w:bCs/>
                <w:sz w:val="20"/>
                <w:szCs w:val="20"/>
              </w:rPr>
              <w:t>Average Hourly Wage</w:t>
            </w:r>
          </w:p>
        </w:tc>
        <w:tc>
          <w:tcPr>
            <w:tcW w:w="1170" w:type="dxa"/>
            <w:vAlign w:val="bottom"/>
          </w:tcPr>
          <w:p w14:paraId="1C01BD9C" w14:textId="77777777" w:rsidR="00AD4F8C" w:rsidRPr="009C7345" w:rsidRDefault="00AD4F8C" w:rsidP="00AD4F8C">
            <w:pPr>
              <w:keepNext/>
              <w:rPr>
                <w:b/>
                <w:bCs/>
                <w:sz w:val="20"/>
                <w:szCs w:val="20"/>
              </w:rPr>
            </w:pPr>
            <w:r w:rsidRPr="009C7345">
              <w:rPr>
                <w:b/>
                <w:bCs/>
                <w:sz w:val="20"/>
                <w:szCs w:val="20"/>
              </w:rPr>
              <w:t>Total Respondent Cost</w:t>
            </w:r>
            <w:r w:rsidRPr="009C7345">
              <w:rPr>
                <w:b/>
                <w:bCs/>
                <w:sz w:val="20"/>
                <w:szCs w:val="20"/>
                <w:vertAlign w:val="superscript"/>
              </w:rPr>
              <w:t>a</w:t>
            </w:r>
          </w:p>
        </w:tc>
      </w:tr>
      <w:tr w:rsidR="00AD4F8C" w:rsidRPr="009C7345" w14:paraId="7F1428C3" w14:textId="77777777" w:rsidTr="00661C74">
        <w:trPr>
          <w:cantSplit/>
        </w:trPr>
        <w:tc>
          <w:tcPr>
            <w:tcW w:w="2052" w:type="dxa"/>
          </w:tcPr>
          <w:p w14:paraId="1F677A4D" w14:textId="77777777" w:rsidR="00AD4F8C" w:rsidRPr="009C7345" w:rsidRDefault="00AD4F8C" w:rsidP="00AD4F8C">
            <w:pPr>
              <w:keepNext/>
              <w:rPr>
                <w:i/>
                <w:iCs/>
                <w:sz w:val="20"/>
                <w:szCs w:val="20"/>
              </w:rPr>
            </w:pPr>
            <w:r>
              <w:rPr>
                <w:i/>
                <w:iCs/>
                <w:sz w:val="20"/>
                <w:szCs w:val="20"/>
              </w:rPr>
              <w:t>Grantee-Level Outcomes Module</w:t>
            </w:r>
          </w:p>
        </w:tc>
        <w:tc>
          <w:tcPr>
            <w:tcW w:w="1260" w:type="dxa"/>
            <w:vAlign w:val="center"/>
          </w:tcPr>
          <w:p w14:paraId="5FCB9B49" w14:textId="77777777" w:rsidR="00AD4F8C" w:rsidRPr="009C7345" w:rsidRDefault="00AD4F8C" w:rsidP="00AD4F8C">
            <w:pPr>
              <w:keepNext/>
              <w:tabs>
                <w:tab w:val="decimal" w:pos="640"/>
              </w:tabs>
              <w:rPr>
                <w:i/>
                <w:iCs/>
                <w:sz w:val="20"/>
                <w:szCs w:val="20"/>
              </w:rPr>
            </w:pPr>
            <w:r>
              <w:rPr>
                <w:i/>
                <w:iCs/>
                <w:sz w:val="20"/>
                <w:szCs w:val="20"/>
              </w:rPr>
              <w:t>25</w:t>
            </w:r>
          </w:p>
        </w:tc>
        <w:tc>
          <w:tcPr>
            <w:tcW w:w="1170" w:type="dxa"/>
            <w:vAlign w:val="center"/>
          </w:tcPr>
          <w:p w14:paraId="21112C05" w14:textId="11AE56CB" w:rsidR="00AD4F8C" w:rsidRPr="009C7345" w:rsidRDefault="00661C74" w:rsidP="00AD4F8C">
            <w:pPr>
              <w:keepNext/>
              <w:tabs>
                <w:tab w:val="decimal" w:pos="640"/>
              </w:tabs>
              <w:rPr>
                <w:i/>
                <w:iCs/>
                <w:sz w:val="20"/>
                <w:szCs w:val="20"/>
              </w:rPr>
            </w:pPr>
            <w:r>
              <w:rPr>
                <w:i/>
                <w:iCs/>
                <w:sz w:val="20"/>
                <w:szCs w:val="20"/>
              </w:rPr>
              <w:t>1</w:t>
            </w:r>
          </w:p>
        </w:tc>
        <w:tc>
          <w:tcPr>
            <w:tcW w:w="1080" w:type="dxa"/>
            <w:vAlign w:val="center"/>
          </w:tcPr>
          <w:p w14:paraId="2AD26FE5" w14:textId="77777777" w:rsidR="00AD4F8C" w:rsidRPr="009C7345" w:rsidRDefault="00AD4F8C" w:rsidP="00AD4F8C">
            <w:pPr>
              <w:keepNext/>
              <w:tabs>
                <w:tab w:val="decimal" w:pos="640"/>
              </w:tabs>
              <w:rPr>
                <w:i/>
                <w:iCs/>
                <w:sz w:val="20"/>
                <w:szCs w:val="20"/>
              </w:rPr>
            </w:pPr>
            <w:r>
              <w:rPr>
                <w:i/>
                <w:iCs/>
                <w:sz w:val="20"/>
                <w:szCs w:val="20"/>
              </w:rPr>
              <w:t>25</w:t>
            </w:r>
          </w:p>
        </w:tc>
        <w:tc>
          <w:tcPr>
            <w:tcW w:w="1070" w:type="dxa"/>
            <w:vAlign w:val="center"/>
          </w:tcPr>
          <w:p w14:paraId="661B60E2" w14:textId="77777777" w:rsidR="00AD4F8C" w:rsidRPr="009C7345" w:rsidRDefault="00AD4F8C" w:rsidP="00AD4F8C">
            <w:pPr>
              <w:keepNext/>
              <w:jc w:val="center"/>
              <w:rPr>
                <w:i/>
                <w:iCs/>
                <w:sz w:val="20"/>
                <w:szCs w:val="20"/>
              </w:rPr>
            </w:pPr>
            <w:r>
              <w:rPr>
                <w:i/>
                <w:iCs/>
                <w:sz w:val="20"/>
                <w:szCs w:val="20"/>
              </w:rPr>
              <w:t>3</w:t>
            </w:r>
          </w:p>
        </w:tc>
        <w:tc>
          <w:tcPr>
            <w:tcW w:w="820" w:type="dxa"/>
            <w:vAlign w:val="center"/>
          </w:tcPr>
          <w:p w14:paraId="43609CE3" w14:textId="77777777" w:rsidR="00AD4F8C" w:rsidRPr="009C7345" w:rsidRDefault="00AD4F8C" w:rsidP="00AD4F8C">
            <w:pPr>
              <w:keepNext/>
              <w:jc w:val="center"/>
              <w:rPr>
                <w:i/>
                <w:iCs/>
                <w:sz w:val="20"/>
                <w:szCs w:val="20"/>
              </w:rPr>
            </w:pPr>
            <w:r>
              <w:rPr>
                <w:i/>
                <w:iCs/>
                <w:sz w:val="20"/>
                <w:szCs w:val="20"/>
              </w:rPr>
              <w:t>75</w:t>
            </w:r>
          </w:p>
        </w:tc>
        <w:tc>
          <w:tcPr>
            <w:tcW w:w="900" w:type="dxa"/>
            <w:vAlign w:val="center"/>
          </w:tcPr>
          <w:p w14:paraId="6C6F81AF" w14:textId="77777777" w:rsidR="00AD4F8C" w:rsidRPr="009C7345" w:rsidRDefault="00AD4F8C" w:rsidP="00AD4F8C">
            <w:pPr>
              <w:keepNext/>
              <w:tabs>
                <w:tab w:val="decimal" w:pos="468"/>
              </w:tabs>
              <w:rPr>
                <w:i/>
                <w:iCs/>
                <w:sz w:val="20"/>
                <w:szCs w:val="20"/>
              </w:rPr>
            </w:pPr>
            <w:r w:rsidRPr="009C7345">
              <w:rPr>
                <w:i/>
                <w:iCs/>
                <w:sz w:val="20"/>
                <w:szCs w:val="20"/>
              </w:rPr>
              <w:t>$40.88</w:t>
            </w:r>
          </w:p>
        </w:tc>
        <w:tc>
          <w:tcPr>
            <w:tcW w:w="1170" w:type="dxa"/>
            <w:vAlign w:val="center"/>
          </w:tcPr>
          <w:p w14:paraId="0CCF12E2" w14:textId="03AD7970" w:rsidR="00AD4F8C" w:rsidRPr="009C7345" w:rsidRDefault="00AD4F8C" w:rsidP="00AD4F8C">
            <w:pPr>
              <w:keepNext/>
              <w:tabs>
                <w:tab w:val="decimal" w:pos="828"/>
              </w:tabs>
              <w:rPr>
                <w:i/>
                <w:iCs/>
                <w:sz w:val="20"/>
                <w:szCs w:val="20"/>
              </w:rPr>
            </w:pPr>
            <w:r w:rsidRPr="009C7345">
              <w:rPr>
                <w:i/>
                <w:iCs/>
                <w:sz w:val="20"/>
                <w:szCs w:val="20"/>
              </w:rPr>
              <w:t>$</w:t>
            </w:r>
            <w:r>
              <w:rPr>
                <w:i/>
                <w:iCs/>
                <w:sz w:val="20"/>
                <w:szCs w:val="20"/>
              </w:rPr>
              <w:t>3</w:t>
            </w:r>
            <w:r w:rsidR="009A7B86">
              <w:rPr>
                <w:i/>
                <w:iCs/>
                <w:sz w:val="20"/>
                <w:szCs w:val="20"/>
              </w:rPr>
              <w:t>,</w:t>
            </w:r>
            <w:r>
              <w:rPr>
                <w:i/>
                <w:iCs/>
                <w:sz w:val="20"/>
                <w:szCs w:val="20"/>
              </w:rPr>
              <w:t>066</w:t>
            </w:r>
          </w:p>
        </w:tc>
      </w:tr>
      <w:tr w:rsidR="00AD4F8C" w:rsidRPr="009C7345" w14:paraId="44D4C108" w14:textId="77777777" w:rsidTr="00661C74">
        <w:trPr>
          <w:cantSplit/>
        </w:trPr>
        <w:tc>
          <w:tcPr>
            <w:tcW w:w="2052" w:type="dxa"/>
          </w:tcPr>
          <w:p w14:paraId="436CB7AD" w14:textId="77777777" w:rsidR="00AD4F8C" w:rsidRPr="009C7345" w:rsidRDefault="00AD4F8C" w:rsidP="00AD4F8C">
            <w:pPr>
              <w:keepNext/>
              <w:rPr>
                <w:i/>
                <w:iCs/>
                <w:sz w:val="20"/>
                <w:szCs w:val="20"/>
                <w:vertAlign w:val="superscript"/>
              </w:rPr>
            </w:pPr>
            <w:r>
              <w:rPr>
                <w:i/>
                <w:iCs/>
                <w:sz w:val="20"/>
                <w:szCs w:val="20"/>
              </w:rPr>
              <w:t>Community-Level Outcomes Module</w:t>
            </w:r>
          </w:p>
        </w:tc>
        <w:tc>
          <w:tcPr>
            <w:tcW w:w="1260" w:type="dxa"/>
            <w:vAlign w:val="center"/>
          </w:tcPr>
          <w:p w14:paraId="3CCF44FC" w14:textId="77777777" w:rsidR="00AD4F8C" w:rsidRPr="009C7345" w:rsidRDefault="00AD4F8C" w:rsidP="00AD4F8C">
            <w:pPr>
              <w:keepNext/>
              <w:jc w:val="center"/>
              <w:rPr>
                <w:i/>
                <w:iCs/>
                <w:sz w:val="20"/>
                <w:szCs w:val="20"/>
              </w:rPr>
            </w:pPr>
            <w:r>
              <w:rPr>
                <w:i/>
                <w:iCs/>
                <w:sz w:val="20"/>
                <w:szCs w:val="20"/>
              </w:rPr>
              <w:t>25</w:t>
            </w:r>
          </w:p>
        </w:tc>
        <w:tc>
          <w:tcPr>
            <w:tcW w:w="1170" w:type="dxa"/>
            <w:vAlign w:val="center"/>
          </w:tcPr>
          <w:p w14:paraId="769648EA"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7E78433F" w14:textId="77777777" w:rsidR="00AD4F8C" w:rsidRPr="009C7345" w:rsidRDefault="00AD4F8C" w:rsidP="00AD4F8C">
            <w:pPr>
              <w:keepNext/>
              <w:jc w:val="center"/>
              <w:rPr>
                <w:i/>
                <w:iCs/>
                <w:sz w:val="20"/>
                <w:szCs w:val="20"/>
              </w:rPr>
            </w:pPr>
            <w:r>
              <w:rPr>
                <w:i/>
                <w:iCs/>
                <w:sz w:val="20"/>
                <w:szCs w:val="20"/>
              </w:rPr>
              <w:t>25</w:t>
            </w:r>
          </w:p>
        </w:tc>
        <w:tc>
          <w:tcPr>
            <w:tcW w:w="1070" w:type="dxa"/>
            <w:vAlign w:val="center"/>
          </w:tcPr>
          <w:p w14:paraId="66B8CD08" w14:textId="77777777" w:rsidR="00AD4F8C" w:rsidRPr="009C7345" w:rsidRDefault="00AD4F8C" w:rsidP="00AD4F8C">
            <w:pPr>
              <w:keepNext/>
              <w:jc w:val="center"/>
              <w:rPr>
                <w:i/>
                <w:iCs/>
                <w:sz w:val="20"/>
                <w:szCs w:val="20"/>
              </w:rPr>
            </w:pPr>
            <w:r>
              <w:rPr>
                <w:i/>
                <w:iCs/>
                <w:sz w:val="20"/>
                <w:szCs w:val="20"/>
              </w:rPr>
              <w:t>3</w:t>
            </w:r>
          </w:p>
        </w:tc>
        <w:tc>
          <w:tcPr>
            <w:tcW w:w="820" w:type="dxa"/>
            <w:vAlign w:val="center"/>
          </w:tcPr>
          <w:p w14:paraId="5A9EA391" w14:textId="77777777" w:rsidR="00AD4F8C" w:rsidRPr="009C7345" w:rsidRDefault="00AD4F8C" w:rsidP="00AD4F8C">
            <w:pPr>
              <w:keepNext/>
              <w:jc w:val="center"/>
              <w:rPr>
                <w:i/>
                <w:iCs/>
                <w:sz w:val="20"/>
                <w:szCs w:val="20"/>
              </w:rPr>
            </w:pPr>
            <w:r>
              <w:rPr>
                <w:i/>
                <w:iCs/>
                <w:sz w:val="20"/>
                <w:szCs w:val="20"/>
              </w:rPr>
              <w:t>75</w:t>
            </w:r>
          </w:p>
        </w:tc>
        <w:tc>
          <w:tcPr>
            <w:tcW w:w="900" w:type="dxa"/>
            <w:vAlign w:val="center"/>
          </w:tcPr>
          <w:p w14:paraId="12F5CE97" w14:textId="77777777" w:rsidR="00AD4F8C" w:rsidRPr="009C7345" w:rsidRDefault="00AD4F8C" w:rsidP="00AD4F8C">
            <w:pPr>
              <w:keepNext/>
              <w:jc w:val="center"/>
              <w:rPr>
                <w:i/>
                <w:iCs/>
                <w:sz w:val="20"/>
                <w:szCs w:val="20"/>
              </w:rPr>
            </w:pPr>
            <w:r w:rsidRPr="009C7345">
              <w:rPr>
                <w:i/>
                <w:iCs/>
                <w:sz w:val="20"/>
                <w:szCs w:val="20"/>
              </w:rPr>
              <w:t>$40.88</w:t>
            </w:r>
          </w:p>
        </w:tc>
        <w:tc>
          <w:tcPr>
            <w:tcW w:w="1170" w:type="dxa"/>
            <w:vAlign w:val="center"/>
          </w:tcPr>
          <w:p w14:paraId="7B033352" w14:textId="47AA1EFB" w:rsidR="00AD4F8C" w:rsidRPr="009C7345" w:rsidRDefault="00AD4F8C" w:rsidP="00AD4F8C">
            <w:pPr>
              <w:keepNext/>
              <w:tabs>
                <w:tab w:val="decimal" w:pos="828"/>
              </w:tabs>
              <w:rPr>
                <w:i/>
                <w:iCs/>
                <w:sz w:val="20"/>
                <w:szCs w:val="20"/>
              </w:rPr>
            </w:pPr>
            <w:r w:rsidRPr="009C7345">
              <w:rPr>
                <w:i/>
                <w:iCs/>
                <w:sz w:val="20"/>
                <w:szCs w:val="20"/>
              </w:rPr>
              <w:t>$</w:t>
            </w:r>
            <w:r>
              <w:rPr>
                <w:i/>
                <w:iCs/>
                <w:sz w:val="20"/>
                <w:szCs w:val="20"/>
              </w:rPr>
              <w:t>3</w:t>
            </w:r>
            <w:r w:rsidR="009A7B86">
              <w:rPr>
                <w:i/>
                <w:iCs/>
                <w:sz w:val="20"/>
                <w:szCs w:val="20"/>
              </w:rPr>
              <w:t>,</w:t>
            </w:r>
            <w:r>
              <w:rPr>
                <w:i/>
                <w:iCs/>
                <w:sz w:val="20"/>
                <w:szCs w:val="20"/>
              </w:rPr>
              <w:t>066</w:t>
            </w:r>
          </w:p>
        </w:tc>
      </w:tr>
      <w:tr w:rsidR="00AD4F8C" w:rsidRPr="009C7345" w14:paraId="4864BAE7" w14:textId="77777777" w:rsidTr="00661C74">
        <w:trPr>
          <w:cantSplit/>
        </w:trPr>
        <w:tc>
          <w:tcPr>
            <w:tcW w:w="2052" w:type="dxa"/>
          </w:tcPr>
          <w:p w14:paraId="30FE2DA5" w14:textId="77777777" w:rsidR="00AD4F8C" w:rsidRPr="009C7345" w:rsidDel="00FE4480" w:rsidRDefault="00AD4F8C" w:rsidP="00AD4F8C">
            <w:pPr>
              <w:keepNext/>
              <w:rPr>
                <w:i/>
                <w:iCs/>
                <w:sz w:val="20"/>
                <w:szCs w:val="20"/>
              </w:rPr>
            </w:pPr>
            <w:r>
              <w:rPr>
                <w:i/>
                <w:iCs/>
                <w:sz w:val="20"/>
                <w:szCs w:val="20"/>
              </w:rPr>
              <w:t>Substitute Data Request Form</w:t>
            </w:r>
          </w:p>
        </w:tc>
        <w:tc>
          <w:tcPr>
            <w:tcW w:w="1260" w:type="dxa"/>
            <w:vAlign w:val="center"/>
          </w:tcPr>
          <w:p w14:paraId="2229CF56" w14:textId="16619040" w:rsidR="00AD4F8C" w:rsidRDefault="00661C74" w:rsidP="00AD4F8C">
            <w:pPr>
              <w:keepNext/>
              <w:jc w:val="center"/>
              <w:rPr>
                <w:i/>
                <w:iCs/>
                <w:sz w:val="20"/>
                <w:szCs w:val="20"/>
              </w:rPr>
            </w:pPr>
            <w:r>
              <w:rPr>
                <w:i/>
                <w:iCs/>
                <w:sz w:val="20"/>
                <w:szCs w:val="20"/>
              </w:rPr>
              <w:t>12</w:t>
            </w:r>
          </w:p>
        </w:tc>
        <w:tc>
          <w:tcPr>
            <w:tcW w:w="1170" w:type="dxa"/>
            <w:vAlign w:val="center"/>
          </w:tcPr>
          <w:p w14:paraId="3903D927" w14:textId="77777777" w:rsidR="00AD4F8C" w:rsidRPr="009C7345" w:rsidRDefault="00AD4F8C" w:rsidP="00AD4F8C">
            <w:pPr>
              <w:keepNext/>
              <w:jc w:val="center"/>
              <w:rPr>
                <w:i/>
                <w:iCs/>
                <w:sz w:val="20"/>
                <w:szCs w:val="20"/>
              </w:rPr>
            </w:pPr>
            <w:r>
              <w:rPr>
                <w:i/>
                <w:iCs/>
                <w:sz w:val="20"/>
                <w:szCs w:val="20"/>
              </w:rPr>
              <w:t>1</w:t>
            </w:r>
          </w:p>
        </w:tc>
        <w:tc>
          <w:tcPr>
            <w:tcW w:w="1080" w:type="dxa"/>
            <w:vAlign w:val="center"/>
          </w:tcPr>
          <w:p w14:paraId="63AE8EDF" w14:textId="07579065" w:rsidR="00AD4F8C" w:rsidRPr="009C7345" w:rsidDel="00FE4480" w:rsidRDefault="00661C74" w:rsidP="00AD4F8C">
            <w:pPr>
              <w:keepNext/>
              <w:jc w:val="center"/>
              <w:rPr>
                <w:i/>
                <w:iCs/>
                <w:sz w:val="20"/>
                <w:szCs w:val="20"/>
              </w:rPr>
            </w:pPr>
            <w:r>
              <w:rPr>
                <w:i/>
                <w:iCs/>
                <w:sz w:val="20"/>
                <w:szCs w:val="20"/>
              </w:rPr>
              <w:t>12</w:t>
            </w:r>
          </w:p>
        </w:tc>
        <w:tc>
          <w:tcPr>
            <w:tcW w:w="1070" w:type="dxa"/>
            <w:vAlign w:val="center"/>
          </w:tcPr>
          <w:p w14:paraId="3AABFBD2" w14:textId="77777777" w:rsidR="00AD4F8C" w:rsidRPr="009C7345" w:rsidDel="00FE4480" w:rsidRDefault="00AD4F8C" w:rsidP="00AD4F8C">
            <w:pPr>
              <w:keepNext/>
              <w:jc w:val="center"/>
              <w:rPr>
                <w:i/>
                <w:iCs/>
                <w:sz w:val="20"/>
                <w:szCs w:val="20"/>
              </w:rPr>
            </w:pPr>
            <w:r>
              <w:rPr>
                <w:i/>
                <w:iCs/>
                <w:sz w:val="20"/>
                <w:szCs w:val="20"/>
              </w:rPr>
              <w:t>1</w:t>
            </w:r>
          </w:p>
        </w:tc>
        <w:tc>
          <w:tcPr>
            <w:tcW w:w="820" w:type="dxa"/>
            <w:vAlign w:val="center"/>
          </w:tcPr>
          <w:p w14:paraId="72E875F6" w14:textId="5B1CA1ED" w:rsidR="00AD4F8C" w:rsidRPr="009C7345" w:rsidDel="00FE4480" w:rsidRDefault="00661C74" w:rsidP="00AD4F8C">
            <w:pPr>
              <w:keepNext/>
              <w:jc w:val="center"/>
              <w:rPr>
                <w:i/>
                <w:iCs/>
                <w:sz w:val="20"/>
                <w:szCs w:val="20"/>
              </w:rPr>
            </w:pPr>
            <w:r>
              <w:rPr>
                <w:i/>
                <w:iCs/>
                <w:sz w:val="20"/>
                <w:szCs w:val="20"/>
              </w:rPr>
              <w:t>12</w:t>
            </w:r>
          </w:p>
        </w:tc>
        <w:tc>
          <w:tcPr>
            <w:tcW w:w="900" w:type="dxa"/>
            <w:vAlign w:val="center"/>
          </w:tcPr>
          <w:p w14:paraId="5B0253EE" w14:textId="77777777" w:rsidR="00AD4F8C" w:rsidRPr="009C7345" w:rsidRDefault="00AD4F8C" w:rsidP="00AD4F8C">
            <w:pPr>
              <w:keepNext/>
              <w:jc w:val="center"/>
              <w:rPr>
                <w:i/>
                <w:iCs/>
                <w:sz w:val="20"/>
                <w:szCs w:val="20"/>
              </w:rPr>
            </w:pPr>
            <w:r>
              <w:rPr>
                <w:i/>
                <w:iCs/>
                <w:sz w:val="20"/>
                <w:szCs w:val="20"/>
              </w:rPr>
              <w:t>$40.88</w:t>
            </w:r>
          </w:p>
        </w:tc>
        <w:tc>
          <w:tcPr>
            <w:tcW w:w="1170" w:type="dxa"/>
            <w:vAlign w:val="center"/>
          </w:tcPr>
          <w:p w14:paraId="035AAB27" w14:textId="62FA0471" w:rsidR="00AD4F8C" w:rsidRPr="009C7345" w:rsidRDefault="00661C74" w:rsidP="00661C74">
            <w:pPr>
              <w:keepNext/>
              <w:tabs>
                <w:tab w:val="left" w:pos="391"/>
                <w:tab w:val="decimal" w:pos="828"/>
              </w:tabs>
              <w:rPr>
                <w:i/>
                <w:iCs/>
                <w:sz w:val="20"/>
                <w:szCs w:val="20"/>
              </w:rPr>
            </w:pPr>
            <w:r>
              <w:rPr>
                <w:i/>
                <w:iCs/>
                <w:sz w:val="20"/>
                <w:szCs w:val="20"/>
              </w:rPr>
              <w:t xml:space="preserve">    $490.56</w:t>
            </w:r>
          </w:p>
        </w:tc>
      </w:tr>
      <w:tr w:rsidR="00AD4F8C" w:rsidRPr="009C7345" w14:paraId="3939D92B" w14:textId="77777777" w:rsidTr="00661C74">
        <w:trPr>
          <w:cantSplit/>
        </w:trPr>
        <w:tc>
          <w:tcPr>
            <w:tcW w:w="2052" w:type="dxa"/>
          </w:tcPr>
          <w:p w14:paraId="5B63118C" w14:textId="77777777" w:rsidR="00AD4F8C" w:rsidRPr="009C7345" w:rsidRDefault="00AD4F8C" w:rsidP="00AD4F8C">
            <w:pPr>
              <w:keepNext/>
              <w:rPr>
                <w:i/>
                <w:iCs/>
                <w:sz w:val="20"/>
                <w:szCs w:val="20"/>
              </w:rPr>
            </w:pPr>
            <w:r>
              <w:rPr>
                <w:i/>
                <w:iCs/>
                <w:sz w:val="20"/>
                <w:szCs w:val="20"/>
              </w:rPr>
              <w:t>Annual Implementation Instrument</w:t>
            </w:r>
          </w:p>
        </w:tc>
        <w:tc>
          <w:tcPr>
            <w:tcW w:w="1260" w:type="dxa"/>
            <w:vAlign w:val="center"/>
          </w:tcPr>
          <w:p w14:paraId="02A51BB4" w14:textId="77777777" w:rsidR="00AD4F8C" w:rsidRPr="009C7345" w:rsidRDefault="00AD4F8C" w:rsidP="00AD4F8C">
            <w:pPr>
              <w:keepNext/>
              <w:jc w:val="center"/>
              <w:rPr>
                <w:i/>
                <w:iCs/>
                <w:sz w:val="20"/>
                <w:szCs w:val="20"/>
              </w:rPr>
            </w:pPr>
            <w:r>
              <w:rPr>
                <w:i/>
                <w:iCs/>
                <w:sz w:val="20"/>
                <w:szCs w:val="20"/>
              </w:rPr>
              <w:t>100</w:t>
            </w:r>
          </w:p>
        </w:tc>
        <w:tc>
          <w:tcPr>
            <w:tcW w:w="1170" w:type="dxa"/>
            <w:vAlign w:val="center"/>
          </w:tcPr>
          <w:p w14:paraId="132474D3"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78A2917A" w14:textId="77777777" w:rsidR="00AD4F8C" w:rsidRPr="009C7345" w:rsidRDefault="00AD4F8C" w:rsidP="00AD4F8C">
            <w:pPr>
              <w:keepNext/>
              <w:jc w:val="center"/>
              <w:rPr>
                <w:i/>
                <w:iCs/>
                <w:sz w:val="20"/>
                <w:szCs w:val="20"/>
              </w:rPr>
            </w:pPr>
            <w:r>
              <w:rPr>
                <w:i/>
                <w:iCs/>
                <w:sz w:val="20"/>
                <w:szCs w:val="20"/>
              </w:rPr>
              <w:t>100</w:t>
            </w:r>
          </w:p>
        </w:tc>
        <w:tc>
          <w:tcPr>
            <w:tcW w:w="1070" w:type="dxa"/>
            <w:vAlign w:val="center"/>
          </w:tcPr>
          <w:p w14:paraId="0FB3E976" w14:textId="77777777" w:rsidR="00AD4F8C" w:rsidRPr="009C7345" w:rsidRDefault="00AD4F8C" w:rsidP="00AD4F8C">
            <w:pPr>
              <w:keepNext/>
              <w:jc w:val="center"/>
              <w:rPr>
                <w:i/>
                <w:iCs/>
                <w:sz w:val="20"/>
                <w:szCs w:val="20"/>
              </w:rPr>
            </w:pPr>
            <w:r>
              <w:rPr>
                <w:i/>
                <w:iCs/>
                <w:sz w:val="20"/>
                <w:szCs w:val="20"/>
              </w:rPr>
              <w:t>2.3</w:t>
            </w:r>
          </w:p>
        </w:tc>
        <w:tc>
          <w:tcPr>
            <w:tcW w:w="820" w:type="dxa"/>
            <w:vAlign w:val="center"/>
          </w:tcPr>
          <w:p w14:paraId="04101C54" w14:textId="77777777" w:rsidR="00AD4F8C" w:rsidRPr="009C7345" w:rsidRDefault="00AD4F8C" w:rsidP="00AD4F8C">
            <w:pPr>
              <w:keepNext/>
              <w:jc w:val="center"/>
              <w:rPr>
                <w:i/>
                <w:iCs/>
                <w:sz w:val="20"/>
                <w:szCs w:val="20"/>
              </w:rPr>
            </w:pPr>
            <w:r>
              <w:rPr>
                <w:i/>
                <w:iCs/>
                <w:sz w:val="20"/>
                <w:szCs w:val="20"/>
              </w:rPr>
              <w:t>230</w:t>
            </w:r>
          </w:p>
        </w:tc>
        <w:tc>
          <w:tcPr>
            <w:tcW w:w="900" w:type="dxa"/>
            <w:vAlign w:val="center"/>
          </w:tcPr>
          <w:p w14:paraId="791B686D" w14:textId="77777777" w:rsidR="00AD4F8C" w:rsidRPr="009C7345" w:rsidRDefault="00AD4F8C" w:rsidP="00AD4F8C">
            <w:pPr>
              <w:keepNext/>
              <w:jc w:val="center"/>
              <w:rPr>
                <w:i/>
                <w:iCs/>
                <w:sz w:val="20"/>
                <w:szCs w:val="20"/>
              </w:rPr>
            </w:pPr>
            <w:r w:rsidRPr="009C7345">
              <w:rPr>
                <w:i/>
                <w:iCs/>
                <w:sz w:val="20"/>
                <w:szCs w:val="20"/>
              </w:rPr>
              <w:t>$40.88</w:t>
            </w:r>
          </w:p>
        </w:tc>
        <w:tc>
          <w:tcPr>
            <w:tcW w:w="1170" w:type="dxa"/>
            <w:vAlign w:val="center"/>
          </w:tcPr>
          <w:p w14:paraId="2B821A5B" w14:textId="3B30B10C" w:rsidR="00AD4F8C" w:rsidRPr="009C7345" w:rsidRDefault="00AD4F8C" w:rsidP="00154014">
            <w:pPr>
              <w:keepNext/>
              <w:tabs>
                <w:tab w:val="decimal" w:pos="828"/>
              </w:tabs>
              <w:rPr>
                <w:i/>
                <w:iCs/>
                <w:sz w:val="20"/>
                <w:szCs w:val="20"/>
              </w:rPr>
            </w:pPr>
            <w:r w:rsidRPr="009C7345">
              <w:rPr>
                <w:i/>
                <w:iCs/>
                <w:sz w:val="20"/>
                <w:szCs w:val="20"/>
              </w:rPr>
              <w:t>$</w:t>
            </w:r>
            <w:r>
              <w:rPr>
                <w:i/>
                <w:iCs/>
                <w:sz w:val="20"/>
                <w:szCs w:val="20"/>
              </w:rPr>
              <w:t>9</w:t>
            </w:r>
            <w:r w:rsidR="009A7B86">
              <w:rPr>
                <w:i/>
                <w:iCs/>
                <w:sz w:val="20"/>
                <w:szCs w:val="20"/>
              </w:rPr>
              <w:t>,</w:t>
            </w:r>
            <w:r w:rsidR="00154014">
              <w:rPr>
                <w:i/>
                <w:iCs/>
                <w:sz w:val="20"/>
                <w:szCs w:val="20"/>
              </w:rPr>
              <w:t>402.40</w:t>
            </w:r>
          </w:p>
        </w:tc>
      </w:tr>
      <w:tr w:rsidR="00AD4F8C" w:rsidRPr="009C7345" w14:paraId="07B9A945" w14:textId="77777777" w:rsidTr="00661C74">
        <w:trPr>
          <w:cantSplit/>
        </w:trPr>
        <w:tc>
          <w:tcPr>
            <w:tcW w:w="2052" w:type="dxa"/>
          </w:tcPr>
          <w:p w14:paraId="7B4D24BA" w14:textId="77777777" w:rsidR="00AD4F8C" w:rsidRPr="009C7345" w:rsidDel="00FE4480" w:rsidRDefault="00AD4F8C" w:rsidP="00AD4F8C">
            <w:pPr>
              <w:keepNext/>
              <w:rPr>
                <w:i/>
                <w:iCs/>
                <w:sz w:val="20"/>
                <w:szCs w:val="20"/>
              </w:rPr>
            </w:pPr>
            <w:r>
              <w:rPr>
                <w:i/>
                <w:iCs/>
                <w:sz w:val="20"/>
                <w:szCs w:val="20"/>
              </w:rPr>
              <w:t>Grantee-Level Interview</w:t>
            </w:r>
          </w:p>
        </w:tc>
        <w:tc>
          <w:tcPr>
            <w:tcW w:w="1260" w:type="dxa"/>
            <w:vAlign w:val="center"/>
          </w:tcPr>
          <w:p w14:paraId="5986F92B" w14:textId="77777777" w:rsidR="00AD4F8C" w:rsidRDefault="00AD4F8C" w:rsidP="00AD4F8C">
            <w:pPr>
              <w:keepNext/>
              <w:jc w:val="center"/>
              <w:rPr>
                <w:i/>
                <w:iCs/>
                <w:sz w:val="20"/>
                <w:szCs w:val="20"/>
              </w:rPr>
            </w:pPr>
            <w:r>
              <w:rPr>
                <w:i/>
                <w:iCs/>
                <w:sz w:val="20"/>
                <w:szCs w:val="20"/>
              </w:rPr>
              <w:t>25</w:t>
            </w:r>
          </w:p>
        </w:tc>
        <w:tc>
          <w:tcPr>
            <w:tcW w:w="1170" w:type="dxa"/>
            <w:vAlign w:val="center"/>
          </w:tcPr>
          <w:p w14:paraId="2A11BB5E" w14:textId="77777777" w:rsidR="00AD4F8C" w:rsidRPr="009C7345" w:rsidRDefault="00AD4F8C" w:rsidP="00AD4F8C">
            <w:pPr>
              <w:keepNext/>
              <w:jc w:val="center"/>
              <w:rPr>
                <w:i/>
                <w:iCs/>
                <w:sz w:val="20"/>
                <w:szCs w:val="20"/>
              </w:rPr>
            </w:pPr>
            <w:r>
              <w:rPr>
                <w:i/>
                <w:iCs/>
                <w:sz w:val="20"/>
                <w:szCs w:val="20"/>
              </w:rPr>
              <w:t>1</w:t>
            </w:r>
          </w:p>
        </w:tc>
        <w:tc>
          <w:tcPr>
            <w:tcW w:w="1080" w:type="dxa"/>
            <w:vAlign w:val="center"/>
          </w:tcPr>
          <w:p w14:paraId="054DC956" w14:textId="77777777" w:rsidR="00AD4F8C" w:rsidRPr="009C7345" w:rsidDel="00FE4480" w:rsidRDefault="00AD4F8C" w:rsidP="00AD4F8C">
            <w:pPr>
              <w:keepNext/>
              <w:jc w:val="center"/>
              <w:rPr>
                <w:i/>
                <w:iCs/>
                <w:sz w:val="20"/>
                <w:szCs w:val="20"/>
              </w:rPr>
            </w:pPr>
            <w:r>
              <w:rPr>
                <w:i/>
                <w:iCs/>
                <w:sz w:val="20"/>
                <w:szCs w:val="20"/>
              </w:rPr>
              <w:t>25</w:t>
            </w:r>
          </w:p>
        </w:tc>
        <w:tc>
          <w:tcPr>
            <w:tcW w:w="1070" w:type="dxa"/>
            <w:vAlign w:val="center"/>
          </w:tcPr>
          <w:p w14:paraId="1431A6F6" w14:textId="77777777" w:rsidR="00AD4F8C" w:rsidRPr="009C7345" w:rsidDel="00FE4480" w:rsidRDefault="00AD4F8C" w:rsidP="00AD4F8C">
            <w:pPr>
              <w:keepNext/>
              <w:jc w:val="center"/>
              <w:rPr>
                <w:i/>
                <w:iCs/>
                <w:sz w:val="20"/>
                <w:szCs w:val="20"/>
              </w:rPr>
            </w:pPr>
            <w:r>
              <w:rPr>
                <w:i/>
                <w:iCs/>
                <w:sz w:val="20"/>
                <w:szCs w:val="20"/>
              </w:rPr>
              <w:t>1.5</w:t>
            </w:r>
          </w:p>
        </w:tc>
        <w:tc>
          <w:tcPr>
            <w:tcW w:w="820" w:type="dxa"/>
            <w:vAlign w:val="center"/>
          </w:tcPr>
          <w:p w14:paraId="4FDEE01E" w14:textId="77777777" w:rsidR="00AD4F8C" w:rsidRPr="009C7345" w:rsidDel="00FE4480" w:rsidRDefault="00AD4F8C" w:rsidP="00AD4F8C">
            <w:pPr>
              <w:keepNext/>
              <w:jc w:val="center"/>
              <w:rPr>
                <w:i/>
                <w:iCs/>
                <w:sz w:val="20"/>
                <w:szCs w:val="20"/>
              </w:rPr>
            </w:pPr>
            <w:r>
              <w:rPr>
                <w:i/>
                <w:iCs/>
                <w:sz w:val="20"/>
                <w:szCs w:val="20"/>
              </w:rPr>
              <w:t>37.5</w:t>
            </w:r>
          </w:p>
        </w:tc>
        <w:tc>
          <w:tcPr>
            <w:tcW w:w="900" w:type="dxa"/>
            <w:vAlign w:val="center"/>
          </w:tcPr>
          <w:p w14:paraId="3448B3F1" w14:textId="77777777" w:rsidR="00AD4F8C" w:rsidRPr="009C7345" w:rsidRDefault="00AD4F8C" w:rsidP="00AD4F8C">
            <w:pPr>
              <w:keepNext/>
              <w:jc w:val="center"/>
              <w:rPr>
                <w:i/>
                <w:iCs/>
                <w:sz w:val="20"/>
                <w:szCs w:val="20"/>
              </w:rPr>
            </w:pPr>
            <w:r>
              <w:rPr>
                <w:i/>
                <w:iCs/>
                <w:sz w:val="20"/>
                <w:szCs w:val="20"/>
              </w:rPr>
              <w:t>$40.88</w:t>
            </w:r>
          </w:p>
        </w:tc>
        <w:tc>
          <w:tcPr>
            <w:tcW w:w="1170" w:type="dxa"/>
            <w:vAlign w:val="center"/>
          </w:tcPr>
          <w:p w14:paraId="642C049B" w14:textId="796FC27C" w:rsidR="00AD4F8C" w:rsidRPr="009C7345" w:rsidRDefault="00C654F1" w:rsidP="00AD4F8C">
            <w:pPr>
              <w:keepNext/>
              <w:tabs>
                <w:tab w:val="decimal" w:pos="828"/>
              </w:tabs>
              <w:rPr>
                <w:i/>
                <w:iCs/>
                <w:sz w:val="20"/>
                <w:szCs w:val="20"/>
              </w:rPr>
            </w:pPr>
            <w:r>
              <w:rPr>
                <w:i/>
                <w:iCs/>
                <w:sz w:val="20"/>
                <w:szCs w:val="20"/>
              </w:rPr>
              <w:t>$1</w:t>
            </w:r>
            <w:r w:rsidR="009A7B86">
              <w:rPr>
                <w:i/>
                <w:iCs/>
                <w:sz w:val="20"/>
                <w:szCs w:val="20"/>
              </w:rPr>
              <w:t>,</w:t>
            </w:r>
            <w:r w:rsidR="00154014">
              <w:rPr>
                <w:i/>
                <w:iCs/>
                <w:sz w:val="20"/>
                <w:szCs w:val="20"/>
              </w:rPr>
              <w:t>533</w:t>
            </w:r>
          </w:p>
        </w:tc>
      </w:tr>
      <w:tr w:rsidR="00154014" w:rsidRPr="009C7345" w14:paraId="68948569" w14:textId="77777777" w:rsidTr="00661C74">
        <w:trPr>
          <w:cantSplit/>
        </w:trPr>
        <w:tc>
          <w:tcPr>
            <w:tcW w:w="2052" w:type="dxa"/>
          </w:tcPr>
          <w:p w14:paraId="2E8C7E82" w14:textId="24CEE929" w:rsidR="00154014" w:rsidRDefault="00154014" w:rsidP="00AD4F8C">
            <w:pPr>
              <w:keepNext/>
              <w:rPr>
                <w:i/>
                <w:iCs/>
                <w:sz w:val="20"/>
                <w:szCs w:val="20"/>
              </w:rPr>
            </w:pPr>
            <w:r>
              <w:rPr>
                <w:i/>
                <w:iCs/>
                <w:sz w:val="20"/>
                <w:szCs w:val="20"/>
              </w:rPr>
              <w:t>Evaluation Plan</w:t>
            </w:r>
          </w:p>
        </w:tc>
        <w:tc>
          <w:tcPr>
            <w:tcW w:w="1260" w:type="dxa"/>
            <w:vAlign w:val="center"/>
          </w:tcPr>
          <w:p w14:paraId="5EDE0BDB" w14:textId="30D37F78" w:rsidR="00154014" w:rsidRDefault="00154014" w:rsidP="00AD4F8C">
            <w:pPr>
              <w:keepNext/>
              <w:jc w:val="center"/>
              <w:rPr>
                <w:i/>
                <w:iCs/>
                <w:sz w:val="20"/>
                <w:szCs w:val="20"/>
              </w:rPr>
            </w:pPr>
            <w:r>
              <w:rPr>
                <w:i/>
                <w:iCs/>
                <w:sz w:val="20"/>
                <w:szCs w:val="20"/>
              </w:rPr>
              <w:t>25</w:t>
            </w:r>
          </w:p>
        </w:tc>
        <w:tc>
          <w:tcPr>
            <w:tcW w:w="1170" w:type="dxa"/>
            <w:vAlign w:val="center"/>
          </w:tcPr>
          <w:p w14:paraId="0779A71B" w14:textId="3CCDF390" w:rsidR="00154014" w:rsidRDefault="00154014" w:rsidP="00AD4F8C">
            <w:pPr>
              <w:keepNext/>
              <w:jc w:val="center"/>
              <w:rPr>
                <w:i/>
                <w:iCs/>
                <w:sz w:val="20"/>
                <w:szCs w:val="20"/>
              </w:rPr>
            </w:pPr>
            <w:r>
              <w:rPr>
                <w:i/>
                <w:iCs/>
                <w:sz w:val="20"/>
                <w:szCs w:val="20"/>
              </w:rPr>
              <w:t>1</w:t>
            </w:r>
          </w:p>
        </w:tc>
        <w:tc>
          <w:tcPr>
            <w:tcW w:w="1080" w:type="dxa"/>
            <w:vAlign w:val="center"/>
          </w:tcPr>
          <w:p w14:paraId="610C626A" w14:textId="4405B467" w:rsidR="00154014" w:rsidRDefault="00154014" w:rsidP="00AD4F8C">
            <w:pPr>
              <w:keepNext/>
              <w:jc w:val="center"/>
              <w:rPr>
                <w:i/>
                <w:iCs/>
                <w:sz w:val="20"/>
                <w:szCs w:val="20"/>
              </w:rPr>
            </w:pPr>
            <w:r>
              <w:rPr>
                <w:i/>
                <w:iCs/>
                <w:sz w:val="20"/>
                <w:szCs w:val="20"/>
              </w:rPr>
              <w:t>25</w:t>
            </w:r>
          </w:p>
        </w:tc>
        <w:tc>
          <w:tcPr>
            <w:tcW w:w="1070" w:type="dxa"/>
            <w:vAlign w:val="center"/>
          </w:tcPr>
          <w:p w14:paraId="332871C6" w14:textId="29E6AC22" w:rsidR="00154014" w:rsidRDefault="00154014" w:rsidP="00AD4F8C">
            <w:pPr>
              <w:keepNext/>
              <w:jc w:val="center"/>
              <w:rPr>
                <w:i/>
                <w:iCs/>
                <w:sz w:val="20"/>
                <w:szCs w:val="20"/>
              </w:rPr>
            </w:pPr>
            <w:r>
              <w:rPr>
                <w:i/>
                <w:iCs/>
                <w:sz w:val="20"/>
                <w:szCs w:val="20"/>
              </w:rPr>
              <w:t>8</w:t>
            </w:r>
          </w:p>
        </w:tc>
        <w:tc>
          <w:tcPr>
            <w:tcW w:w="820" w:type="dxa"/>
            <w:vAlign w:val="center"/>
          </w:tcPr>
          <w:p w14:paraId="31A176AC" w14:textId="43E3C9D1" w:rsidR="00154014" w:rsidRDefault="00154014" w:rsidP="00AD4F8C">
            <w:pPr>
              <w:keepNext/>
              <w:jc w:val="center"/>
              <w:rPr>
                <w:i/>
                <w:iCs/>
                <w:sz w:val="20"/>
                <w:szCs w:val="20"/>
              </w:rPr>
            </w:pPr>
            <w:r>
              <w:rPr>
                <w:i/>
                <w:iCs/>
                <w:sz w:val="20"/>
                <w:szCs w:val="20"/>
              </w:rPr>
              <w:t>200</w:t>
            </w:r>
          </w:p>
        </w:tc>
        <w:tc>
          <w:tcPr>
            <w:tcW w:w="900" w:type="dxa"/>
            <w:vAlign w:val="center"/>
          </w:tcPr>
          <w:p w14:paraId="1A5271BD" w14:textId="11667097" w:rsidR="00154014" w:rsidRDefault="00154014" w:rsidP="00AD4F8C">
            <w:pPr>
              <w:keepNext/>
              <w:jc w:val="center"/>
              <w:rPr>
                <w:i/>
                <w:iCs/>
                <w:sz w:val="20"/>
                <w:szCs w:val="20"/>
              </w:rPr>
            </w:pPr>
            <w:r>
              <w:rPr>
                <w:i/>
                <w:iCs/>
                <w:sz w:val="20"/>
                <w:szCs w:val="20"/>
              </w:rPr>
              <w:t>$40.88</w:t>
            </w:r>
          </w:p>
        </w:tc>
        <w:tc>
          <w:tcPr>
            <w:tcW w:w="1170" w:type="dxa"/>
            <w:vAlign w:val="center"/>
          </w:tcPr>
          <w:p w14:paraId="67E21D8C" w14:textId="478AB94D" w:rsidR="00154014" w:rsidRDefault="00154014" w:rsidP="00AD4F8C">
            <w:pPr>
              <w:keepNext/>
              <w:tabs>
                <w:tab w:val="decimal" w:pos="828"/>
              </w:tabs>
              <w:rPr>
                <w:i/>
                <w:iCs/>
                <w:sz w:val="20"/>
                <w:szCs w:val="20"/>
              </w:rPr>
            </w:pPr>
            <w:r>
              <w:rPr>
                <w:i/>
                <w:iCs/>
                <w:sz w:val="20"/>
                <w:szCs w:val="20"/>
              </w:rPr>
              <w:t>$8,176</w:t>
            </w:r>
          </w:p>
        </w:tc>
      </w:tr>
      <w:tr w:rsidR="00AD4F8C" w:rsidRPr="009C7345" w14:paraId="6D422984" w14:textId="77777777" w:rsidTr="00661C74">
        <w:trPr>
          <w:cantSplit/>
        </w:trPr>
        <w:tc>
          <w:tcPr>
            <w:tcW w:w="2052" w:type="dxa"/>
          </w:tcPr>
          <w:p w14:paraId="789F7250" w14:textId="77777777" w:rsidR="00AD4F8C" w:rsidRPr="009C7345" w:rsidRDefault="00AD4F8C" w:rsidP="00AD4F8C">
            <w:pPr>
              <w:rPr>
                <w:b/>
                <w:bCs/>
                <w:sz w:val="20"/>
                <w:szCs w:val="20"/>
              </w:rPr>
            </w:pPr>
            <w:r w:rsidRPr="009C7345">
              <w:rPr>
                <w:b/>
                <w:bCs/>
                <w:sz w:val="20"/>
                <w:szCs w:val="20"/>
              </w:rPr>
              <w:t>FY201</w:t>
            </w:r>
            <w:r>
              <w:rPr>
                <w:b/>
                <w:bCs/>
                <w:sz w:val="20"/>
                <w:szCs w:val="20"/>
              </w:rPr>
              <w:t>8</w:t>
            </w:r>
            <w:r w:rsidRPr="009C7345">
              <w:rPr>
                <w:b/>
                <w:bCs/>
                <w:sz w:val="20"/>
                <w:szCs w:val="20"/>
              </w:rPr>
              <w:t xml:space="preserve"> TOTAL</w:t>
            </w:r>
          </w:p>
        </w:tc>
        <w:tc>
          <w:tcPr>
            <w:tcW w:w="1260" w:type="dxa"/>
            <w:vAlign w:val="center"/>
          </w:tcPr>
          <w:p w14:paraId="17F15463" w14:textId="6D5B10B5" w:rsidR="00AD4F8C" w:rsidRPr="009C7345" w:rsidRDefault="00C137D5" w:rsidP="00AD4F8C">
            <w:pPr>
              <w:tabs>
                <w:tab w:val="decimal" w:pos="640"/>
              </w:tabs>
              <w:rPr>
                <w:b/>
                <w:bCs/>
                <w:sz w:val="20"/>
                <w:szCs w:val="20"/>
              </w:rPr>
            </w:pPr>
            <w:r>
              <w:rPr>
                <w:b/>
                <w:bCs/>
                <w:sz w:val="20"/>
                <w:szCs w:val="20"/>
              </w:rPr>
              <w:t>100</w:t>
            </w:r>
          </w:p>
        </w:tc>
        <w:tc>
          <w:tcPr>
            <w:tcW w:w="1170" w:type="dxa"/>
            <w:shd w:val="clear" w:color="auto" w:fill="D9D9D9" w:themeFill="background1" w:themeFillShade="D9"/>
            <w:vAlign w:val="center"/>
          </w:tcPr>
          <w:p w14:paraId="203F0E0B" w14:textId="77777777" w:rsidR="00AD4F8C" w:rsidRPr="009C7345" w:rsidRDefault="00AD4F8C" w:rsidP="00AD4F8C">
            <w:pPr>
              <w:tabs>
                <w:tab w:val="decimal" w:pos="640"/>
              </w:tabs>
              <w:rPr>
                <w:b/>
                <w:bCs/>
                <w:sz w:val="20"/>
                <w:szCs w:val="20"/>
              </w:rPr>
            </w:pPr>
          </w:p>
        </w:tc>
        <w:tc>
          <w:tcPr>
            <w:tcW w:w="1080" w:type="dxa"/>
            <w:vAlign w:val="center"/>
          </w:tcPr>
          <w:p w14:paraId="2E0A78B0" w14:textId="27282131" w:rsidR="00AD4F8C" w:rsidRPr="009C7345" w:rsidRDefault="00C137D5" w:rsidP="00AD4F8C">
            <w:pPr>
              <w:tabs>
                <w:tab w:val="decimal" w:pos="640"/>
              </w:tabs>
              <w:rPr>
                <w:b/>
                <w:bCs/>
                <w:sz w:val="20"/>
                <w:szCs w:val="20"/>
              </w:rPr>
            </w:pPr>
            <w:r>
              <w:rPr>
                <w:b/>
                <w:bCs/>
                <w:sz w:val="20"/>
                <w:szCs w:val="20"/>
              </w:rPr>
              <w:t>212</w:t>
            </w:r>
          </w:p>
        </w:tc>
        <w:tc>
          <w:tcPr>
            <w:tcW w:w="1070" w:type="dxa"/>
            <w:shd w:val="clear" w:color="auto" w:fill="D9D9D9" w:themeFill="background1" w:themeFillShade="D9"/>
            <w:vAlign w:val="center"/>
          </w:tcPr>
          <w:p w14:paraId="62C4D6B8" w14:textId="77777777" w:rsidR="00AD4F8C" w:rsidRPr="009C7345" w:rsidRDefault="00AD4F8C" w:rsidP="00AD4F8C">
            <w:pPr>
              <w:tabs>
                <w:tab w:val="decimal" w:pos="549"/>
              </w:tabs>
              <w:rPr>
                <w:b/>
                <w:bCs/>
                <w:sz w:val="20"/>
                <w:szCs w:val="20"/>
              </w:rPr>
            </w:pPr>
          </w:p>
        </w:tc>
        <w:tc>
          <w:tcPr>
            <w:tcW w:w="820" w:type="dxa"/>
            <w:vAlign w:val="center"/>
          </w:tcPr>
          <w:p w14:paraId="346E486E" w14:textId="42881DE7" w:rsidR="00AD4F8C" w:rsidRPr="009C7345" w:rsidRDefault="00C137D5" w:rsidP="00AD4F8C">
            <w:pPr>
              <w:tabs>
                <w:tab w:val="decimal" w:pos="478"/>
              </w:tabs>
              <w:jc w:val="center"/>
              <w:rPr>
                <w:b/>
                <w:bCs/>
                <w:sz w:val="20"/>
                <w:szCs w:val="20"/>
              </w:rPr>
            </w:pPr>
            <w:r>
              <w:rPr>
                <w:b/>
                <w:bCs/>
                <w:sz w:val="20"/>
                <w:szCs w:val="20"/>
              </w:rPr>
              <w:t>629</w:t>
            </w:r>
            <w:r w:rsidR="00AD4F8C">
              <w:rPr>
                <w:b/>
                <w:bCs/>
                <w:sz w:val="20"/>
                <w:szCs w:val="20"/>
              </w:rPr>
              <w:t>.5</w:t>
            </w:r>
          </w:p>
        </w:tc>
        <w:tc>
          <w:tcPr>
            <w:tcW w:w="900" w:type="dxa"/>
            <w:shd w:val="clear" w:color="auto" w:fill="D9D9D9" w:themeFill="background1" w:themeFillShade="D9"/>
            <w:vAlign w:val="center"/>
          </w:tcPr>
          <w:p w14:paraId="05DD79E8" w14:textId="77777777" w:rsidR="00AD4F8C" w:rsidRPr="009C7345" w:rsidRDefault="00AD4F8C" w:rsidP="00AD4F8C">
            <w:pPr>
              <w:tabs>
                <w:tab w:val="decimal" w:pos="468"/>
              </w:tabs>
              <w:rPr>
                <w:b/>
                <w:bCs/>
                <w:sz w:val="20"/>
                <w:szCs w:val="20"/>
              </w:rPr>
            </w:pPr>
          </w:p>
        </w:tc>
        <w:tc>
          <w:tcPr>
            <w:tcW w:w="1170" w:type="dxa"/>
            <w:vAlign w:val="center"/>
          </w:tcPr>
          <w:p w14:paraId="1C9A79DF" w14:textId="0D5019A7" w:rsidR="00AD4F8C" w:rsidRPr="009C7345" w:rsidRDefault="00AD4F8C" w:rsidP="006F4352">
            <w:pPr>
              <w:tabs>
                <w:tab w:val="decimal" w:pos="828"/>
              </w:tabs>
              <w:rPr>
                <w:b/>
                <w:bCs/>
                <w:sz w:val="20"/>
                <w:szCs w:val="20"/>
              </w:rPr>
            </w:pPr>
            <w:r w:rsidRPr="009C7345">
              <w:rPr>
                <w:b/>
                <w:bCs/>
                <w:sz w:val="20"/>
                <w:szCs w:val="20"/>
              </w:rPr>
              <w:t>$</w:t>
            </w:r>
            <w:r w:rsidR="00154014">
              <w:rPr>
                <w:b/>
                <w:bCs/>
                <w:sz w:val="20"/>
                <w:szCs w:val="20"/>
              </w:rPr>
              <w:t>25</w:t>
            </w:r>
            <w:r w:rsidR="006F4352">
              <w:rPr>
                <w:b/>
                <w:bCs/>
                <w:sz w:val="20"/>
                <w:szCs w:val="20"/>
              </w:rPr>
              <w:t>,733.96</w:t>
            </w:r>
          </w:p>
        </w:tc>
      </w:tr>
    </w:tbl>
    <w:p w14:paraId="01E00B56" w14:textId="4E61A55D" w:rsidR="000D2F08" w:rsidRPr="00733FFC" w:rsidRDefault="000D2F08" w:rsidP="00E44BF4">
      <w:pPr>
        <w:pStyle w:val="ExhibitNote1"/>
      </w:pPr>
      <w:proofErr w:type="gramStart"/>
      <w:r w:rsidRPr="00733FFC">
        <w:rPr>
          <w:vertAlign w:val="superscript"/>
        </w:rPr>
        <w:t>a</w:t>
      </w:r>
      <w:proofErr w:type="gramEnd"/>
      <w:r w:rsidRPr="00733FFC">
        <w:t xml:space="preserve"> </w:t>
      </w:r>
      <w:r w:rsidRPr="00733FFC">
        <w:rPr>
          <w:b/>
          <w:bCs/>
        </w:rPr>
        <w:t>Total respondent cost</w:t>
      </w:r>
      <w:r w:rsidRPr="00733FFC">
        <w:t xml:space="preserve"> is calculated as total burden hours </w:t>
      </w:r>
      <w:r w:rsidR="006C1E58" w:rsidRPr="006C1E58">
        <w:t>×</w:t>
      </w:r>
      <w:r w:rsidRPr="00733FFC">
        <w:t xml:space="preserve"> average hourly wage.</w:t>
      </w:r>
    </w:p>
    <w:p w14:paraId="4EFA932B" w14:textId="77777777" w:rsidR="00AD4F8C" w:rsidRDefault="00AD4F8C" w:rsidP="000D2F08">
      <w:pPr>
        <w:pStyle w:val="ExhibitTitle"/>
      </w:pPr>
    </w:p>
    <w:p w14:paraId="1DB8733B" w14:textId="7F2D8371" w:rsidR="000D2F08" w:rsidRDefault="00AD4F8C" w:rsidP="000D2F08">
      <w:pPr>
        <w:pStyle w:val="ExhibitTitle"/>
      </w:pPr>
      <w:r>
        <w:t>Exhibit 5</w:t>
      </w:r>
      <w:r w:rsidR="00E42198">
        <w:t>:</w:t>
      </w:r>
      <w:r w:rsidR="000D2F08" w:rsidRPr="00733FFC">
        <w:t xml:space="preserve"> FY2019 Annual Burden</w:t>
      </w:r>
    </w:p>
    <w:tbl>
      <w:tblPr>
        <w:tblW w:w="95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AD4F8C" w:rsidRPr="009C7345" w14:paraId="04D8F2E5" w14:textId="77777777" w:rsidTr="00FF461A">
        <w:trPr>
          <w:cantSplit/>
        </w:trPr>
        <w:tc>
          <w:tcPr>
            <w:tcW w:w="2052" w:type="dxa"/>
            <w:vAlign w:val="bottom"/>
          </w:tcPr>
          <w:p w14:paraId="4AF9978E" w14:textId="77777777" w:rsidR="00AD4F8C" w:rsidRPr="009C7345" w:rsidRDefault="00AD4F8C" w:rsidP="00AD4F8C">
            <w:pPr>
              <w:keepNext/>
              <w:rPr>
                <w:b/>
                <w:sz w:val="20"/>
                <w:szCs w:val="20"/>
              </w:rPr>
            </w:pPr>
            <w:r w:rsidRPr="009C7345">
              <w:rPr>
                <w:b/>
                <w:sz w:val="20"/>
                <w:szCs w:val="20"/>
              </w:rPr>
              <w:t>Instrument</w:t>
            </w:r>
          </w:p>
        </w:tc>
        <w:tc>
          <w:tcPr>
            <w:tcW w:w="1260" w:type="dxa"/>
            <w:vAlign w:val="bottom"/>
          </w:tcPr>
          <w:p w14:paraId="64380890" w14:textId="77777777" w:rsidR="00AD4F8C" w:rsidRPr="009C7345" w:rsidRDefault="00AD4F8C" w:rsidP="00AD4F8C">
            <w:pPr>
              <w:keepNext/>
              <w:rPr>
                <w:b/>
                <w:bCs/>
                <w:sz w:val="20"/>
                <w:szCs w:val="20"/>
              </w:rPr>
            </w:pPr>
            <w:r w:rsidRPr="009C7345">
              <w:rPr>
                <w:b/>
                <w:bCs/>
                <w:sz w:val="20"/>
                <w:szCs w:val="20"/>
              </w:rPr>
              <w:t>Number of Respondents</w:t>
            </w:r>
          </w:p>
        </w:tc>
        <w:tc>
          <w:tcPr>
            <w:tcW w:w="1170" w:type="dxa"/>
            <w:vAlign w:val="bottom"/>
          </w:tcPr>
          <w:p w14:paraId="54AD5E51" w14:textId="77777777" w:rsidR="00AD4F8C" w:rsidRPr="009C7345" w:rsidRDefault="00AD4F8C" w:rsidP="00AD4F8C">
            <w:pPr>
              <w:keepNext/>
              <w:rPr>
                <w:b/>
                <w:bCs/>
                <w:sz w:val="20"/>
                <w:szCs w:val="20"/>
              </w:rPr>
            </w:pPr>
            <w:r w:rsidRPr="009C7345">
              <w:rPr>
                <w:b/>
                <w:bCs/>
                <w:sz w:val="20"/>
                <w:szCs w:val="20"/>
              </w:rPr>
              <w:t>Responses per Respondent</w:t>
            </w:r>
          </w:p>
        </w:tc>
        <w:tc>
          <w:tcPr>
            <w:tcW w:w="1080" w:type="dxa"/>
            <w:vAlign w:val="bottom"/>
          </w:tcPr>
          <w:p w14:paraId="1A0839BF" w14:textId="77777777" w:rsidR="00AD4F8C" w:rsidRPr="009C7345" w:rsidRDefault="00AD4F8C" w:rsidP="00AD4F8C">
            <w:pPr>
              <w:keepNext/>
              <w:rPr>
                <w:b/>
                <w:bCs/>
                <w:sz w:val="20"/>
                <w:szCs w:val="20"/>
              </w:rPr>
            </w:pPr>
            <w:r w:rsidRPr="009C7345">
              <w:rPr>
                <w:b/>
                <w:bCs/>
                <w:sz w:val="20"/>
                <w:szCs w:val="20"/>
              </w:rPr>
              <w:t>Total Number of Responses</w:t>
            </w:r>
          </w:p>
        </w:tc>
        <w:tc>
          <w:tcPr>
            <w:tcW w:w="1070" w:type="dxa"/>
            <w:vAlign w:val="bottom"/>
          </w:tcPr>
          <w:p w14:paraId="489C1294" w14:textId="77777777" w:rsidR="00AD4F8C" w:rsidRPr="009C7345" w:rsidRDefault="00AD4F8C" w:rsidP="00AD4F8C">
            <w:pPr>
              <w:keepNext/>
              <w:rPr>
                <w:b/>
                <w:bCs/>
                <w:sz w:val="20"/>
                <w:szCs w:val="20"/>
              </w:rPr>
            </w:pPr>
            <w:r w:rsidRPr="009C7345">
              <w:rPr>
                <w:b/>
                <w:bCs/>
                <w:sz w:val="20"/>
                <w:szCs w:val="20"/>
              </w:rPr>
              <w:t>Hours per Response</w:t>
            </w:r>
          </w:p>
        </w:tc>
        <w:tc>
          <w:tcPr>
            <w:tcW w:w="820" w:type="dxa"/>
            <w:vAlign w:val="bottom"/>
          </w:tcPr>
          <w:p w14:paraId="26818877" w14:textId="77777777" w:rsidR="00AD4F8C" w:rsidRPr="009C7345" w:rsidRDefault="00AD4F8C" w:rsidP="00AD4F8C">
            <w:pPr>
              <w:keepNext/>
              <w:rPr>
                <w:b/>
                <w:bCs/>
                <w:sz w:val="20"/>
                <w:szCs w:val="20"/>
              </w:rPr>
            </w:pPr>
            <w:r w:rsidRPr="009C7345">
              <w:rPr>
                <w:b/>
                <w:bCs/>
                <w:sz w:val="20"/>
                <w:szCs w:val="20"/>
              </w:rPr>
              <w:t>Total Burden Hours</w:t>
            </w:r>
          </w:p>
        </w:tc>
        <w:tc>
          <w:tcPr>
            <w:tcW w:w="900" w:type="dxa"/>
            <w:vAlign w:val="bottom"/>
          </w:tcPr>
          <w:p w14:paraId="525D08C2" w14:textId="77777777" w:rsidR="00AD4F8C" w:rsidRPr="009C7345" w:rsidRDefault="00AD4F8C" w:rsidP="00AD4F8C">
            <w:pPr>
              <w:keepNext/>
              <w:rPr>
                <w:b/>
                <w:bCs/>
                <w:sz w:val="20"/>
                <w:szCs w:val="20"/>
              </w:rPr>
            </w:pPr>
            <w:r w:rsidRPr="009C7345">
              <w:rPr>
                <w:b/>
                <w:bCs/>
                <w:sz w:val="20"/>
                <w:szCs w:val="20"/>
              </w:rPr>
              <w:t>Average Hourly Wage</w:t>
            </w:r>
          </w:p>
        </w:tc>
        <w:tc>
          <w:tcPr>
            <w:tcW w:w="1224" w:type="dxa"/>
            <w:vAlign w:val="bottom"/>
          </w:tcPr>
          <w:p w14:paraId="5625D7E9" w14:textId="77777777" w:rsidR="00AD4F8C" w:rsidRPr="009C7345" w:rsidRDefault="00AD4F8C" w:rsidP="00AD4F8C">
            <w:pPr>
              <w:keepNext/>
              <w:rPr>
                <w:b/>
                <w:bCs/>
                <w:sz w:val="20"/>
                <w:szCs w:val="20"/>
              </w:rPr>
            </w:pPr>
            <w:r w:rsidRPr="009C7345">
              <w:rPr>
                <w:b/>
                <w:bCs/>
                <w:sz w:val="20"/>
                <w:szCs w:val="20"/>
              </w:rPr>
              <w:t>Total Respondent Cost</w:t>
            </w:r>
            <w:r w:rsidRPr="009C7345">
              <w:rPr>
                <w:b/>
                <w:bCs/>
                <w:sz w:val="20"/>
                <w:szCs w:val="20"/>
                <w:vertAlign w:val="superscript"/>
              </w:rPr>
              <w:t>a</w:t>
            </w:r>
          </w:p>
        </w:tc>
      </w:tr>
      <w:tr w:rsidR="00661C74" w:rsidRPr="009C7345" w14:paraId="234FBDCE" w14:textId="77777777" w:rsidTr="00FF461A">
        <w:trPr>
          <w:cantSplit/>
        </w:trPr>
        <w:tc>
          <w:tcPr>
            <w:tcW w:w="2052" w:type="dxa"/>
          </w:tcPr>
          <w:p w14:paraId="062BD64E" w14:textId="5A37D0D3" w:rsidR="00661C74" w:rsidRDefault="00661C74" w:rsidP="00AD4F8C">
            <w:pPr>
              <w:keepNext/>
              <w:rPr>
                <w:i/>
                <w:iCs/>
                <w:sz w:val="20"/>
                <w:szCs w:val="20"/>
              </w:rPr>
            </w:pPr>
            <w:r>
              <w:rPr>
                <w:i/>
                <w:iCs/>
                <w:sz w:val="20"/>
                <w:szCs w:val="20"/>
              </w:rPr>
              <w:t>Grantee-Level Outcomes Module</w:t>
            </w:r>
          </w:p>
        </w:tc>
        <w:tc>
          <w:tcPr>
            <w:tcW w:w="1260" w:type="dxa"/>
            <w:vAlign w:val="center"/>
          </w:tcPr>
          <w:p w14:paraId="5AC92256" w14:textId="45313AB6" w:rsidR="00661C74" w:rsidRDefault="00661C74" w:rsidP="00AD4F8C">
            <w:pPr>
              <w:keepNext/>
              <w:jc w:val="center"/>
              <w:rPr>
                <w:i/>
                <w:iCs/>
                <w:sz w:val="20"/>
                <w:szCs w:val="20"/>
              </w:rPr>
            </w:pPr>
            <w:r>
              <w:rPr>
                <w:i/>
                <w:iCs/>
                <w:sz w:val="20"/>
                <w:szCs w:val="20"/>
              </w:rPr>
              <w:t>25</w:t>
            </w:r>
          </w:p>
        </w:tc>
        <w:tc>
          <w:tcPr>
            <w:tcW w:w="1170" w:type="dxa"/>
            <w:vAlign w:val="center"/>
          </w:tcPr>
          <w:p w14:paraId="71371954" w14:textId="0CA63EC6" w:rsidR="00661C74" w:rsidRPr="009C7345" w:rsidRDefault="00661C74" w:rsidP="00AD4F8C">
            <w:pPr>
              <w:keepNext/>
              <w:jc w:val="center"/>
              <w:rPr>
                <w:i/>
                <w:iCs/>
                <w:sz w:val="20"/>
                <w:szCs w:val="20"/>
              </w:rPr>
            </w:pPr>
            <w:r>
              <w:rPr>
                <w:i/>
                <w:iCs/>
                <w:sz w:val="20"/>
                <w:szCs w:val="20"/>
              </w:rPr>
              <w:t>1</w:t>
            </w:r>
          </w:p>
        </w:tc>
        <w:tc>
          <w:tcPr>
            <w:tcW w:w="1080" w:type="dxa"/>
            <w:vAlign w:val="center"/>
          </w:tcPr>
          <w:p w14:paraId="69D38E6B" w14:textId="60C2DF8F" w:rsidR="00661C74" w:rsidRDefault="00661C74" w:rsidP="00AD4F8C">
            <w:pPr>
              <w:keepNext/>
              <w:jc w:val="center"/>
              <w:rPr>
                <w:i/>
                <w:iCs/>
                <w:sz w:val="20"/>
                <w:szCs w:val="20"/>
              </w:rPr>
            </w:pPr>
            <w:r>
              <w:rPr>
                <w:i/>
                <w:iCs/>
                <w:sz w:val="20"/>
                <w:szCs w:val="20"/>
              </w:rPr>
              <w:t>25</w:t>
            </w:r>
          </w:p>
        </w:tc>
        <w:tc>
          <w:tcPr>
            <w:tcW w:w="1070" w:type="dxa"/>
            <w:vAlign w:val="center"/>
          </w:tcPr>
          <w:p w14:paraId="740B9614" w14:textId="2F07628B" w:rsidR="00661C74" w:rsidRDefault="00661C74" w:rsidP="00AD4F8C">
            <w:pPr>
              <w:keepNext/>
              <w:jc w:val="center"/>
              <w:rPr>
                <w:i/>
                <w:iCs/>
                <w:sz w:val="20"/>
                <w:szCs w:val="20"/>
              </w:rPr>
            </w:pPr>
            <w:r>
              <w:rPr>
                <w:i/>
                <w:iCs/>
                <w:sz w:val="20"/>
                <w:szCs w:val="20"/>
              </w:rPr>
              <w:t>3</w:t>
            </w:r>
          </w:p>
        </w:tc>
        <w:tc>
          <w:tcPr>
            <w:tcW w:w="820" w:type="dxa"/>
            <w:vAlign w:val="center"/>
          </w:tcPr>
          <w:p w14:paraId="7B897D17" w14:textId="495C300F" w:rsidR="00661C74" w:rsidRDefault="00661C74" w:rsidP="00AD4F8C">
            <w:pPr>
              <w:keepNext/>
              <w:jc w:val="center"/>
              <w:rPr>
                <w:i/>
                <w:iCs/>
                <w:sz w:val="20"/>
                <w:szCs w:val="20"/>
              </w:rPr>
            </w:pPr>
            <w:r>
              <w:rPr>
                <w:i/>
                <w:iCs/>
                <w:sz w:val="20"/>
                <w:szCs w:val="20"/>
              </w:rPr>
              <w:t>75</w:t>
            </w:r>
          </w:p>
        </w:tc>
        <w:tc>
          <w:tcPr>
            <w:tcW w:w="900" w:type="dxa"/>
            <w:vAlign w:val="center"/>
          </w:tcPr>
          <w:p w14:paraId="6490D6E9" w14:textId="70AC86D0" w:rsidR="00661C74" w:rsidRPr="009C7345" w:rsidRDefault="00661C74" w:rsidP="00AD4F8C">
            <w:pPr>
              <w:keepNext/>
              <w:jc w:val="center"/>
              <w:rPr>
                <w:i/>
                <w:iCs/>
                <w:sz w:val="20"/>
                <w:szCs w:val="20"/>
              </w:rPr>
            </w:pPr>
            <w:r>
              <w:rPr>
                <w:i/>
                <w:iCs/>
                <w:sz w:val="20"/>
                <w:szCs w:val="20"/>
              </w:rPr>
              <w:t>$40.88</w:t>
            </w:r>
          </w:p>
        </w:tc>
        <w:tc>
          <w:tcPr>
            <w:tcW w:w="1224" w:type="dxa"/>
            <w:vAlign w:val="center"/>
          </w:tcPr>
          <w:p w14:paraId="239196B7" w14:textId="57CA53A8" w:rsidR="00661C74" w:rsidRPr="009C7345" w:rsidRDefault="00661C74" w:rsidP="00AD4F8C">
            <w:pPr>
              <w:keepNext/>
              <w:tabs>
                <w:tab w:val="decimal" w:pos="828"/>
              </w:tabs>
              <w:rPr>
                <w:i/>
                <w:iCs/>
                <w:sz w:val="20"/>
                <w:szCs w:val="20"/>
              </w:rPr>
            </w:pPr>
            <w:r>
              <w:rPr>
                <w:i/>
                <w:iCs/>
                <w:sz w:val="20"/>
                <w:szCs w:val="20"/>
              </w:rPr>
              <w:t>$3,066</w:t>
            </w:r>
          </w:p>
        </w:tc>
      </w:tr>
      <w:tr w:rsidR="00AD4F8C" w:rsidRPr="009C7345" w14:paraId="2684B998" w14:textId="77777777" w:rsidTr="00FF461A">
        <w:trPr>
          <w:cantSplit/>
        </w:trPr>
        <w:tc>
          <w:tcPr>
            <w:tcW w:w="2052" w:type="dxa"/>
          </w:tcPr>
          <w:p w14:paraId="2F617571" w14:textId="77777777" w:rsidR="00AD4F8C" w:rsidRPr="009C7345" w:rsidRDefault="00AD4F8C" w:rsidP="00AD4F8C">
            <w:pPr>
              <w:keepNext/>
              <w:rPr>
                <w:i/>
                <w:iCs/>
                <w:sz w:val="20"/>
                <w:szCs w:val="20"/>
                <w:vertAlign w:val="superscript"/>
              </w:rPr>
            </w:pPr>
            <w:r>
              <w:rPr>
                <w:i/>
                <w:iCs/>
                <w:sz w:val="20"/>
                <w:szCs w:val="20"/>
              </w:rPr>
              <w:t>Community-Level Outcomes Module</w:t>
            </w:r>
          </w:p>
        </w:tc>
        <w:tc>
          <w:tcPr>
            <w:tcW w:w="1260" w:type="dxa"/>
            <w:vAlign w:val="center"/>
          </w:tcPr>
          <w:p w14:paraId="48E3465E" w14:textId="77777777" w:rsidR="00AD4F8C" w:rsidRPr="009C7345" w:rsidRDefault="00AD4F8C" w:rsidP="00AD4F8C">
            <w:pPr>
              <w:keepNext/>
              <w:jc w:val="center"/>
              <w:rPr>
                <w:i/>
                <w:iCs/>
                <w:sz w:val="20"/>
                <w:szCs w:val="20"/>
              </w:rPr>
            </w:pPr>
            <w:r>
              <w:rPr>
                <w:i/>
                <w:iCs/>
                <w:sz w:val="20"/>
                <w:szCs w:val="20"/>
              </w:rPr>
              <w:t>25</w:t>
            </w:r>
          </w:p>
        </w:tc>
        <w:tc>
          <w:tcPr>
            <w:tcW w:w="1170" w:type="dxa"/>
            <w:vAlign w:val="center"/>
          </w:tcPr>
          <w:p w14:paraId="520F6794"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34057408" w14:textId="77777777" w:rsidR="00AD4F8C" w:rsidRPr="009C7345" w:rsidRDefault="00AD4F8C" w:rsidP="00AD4F8C">
            <w:pPr>
              <w:keepNext/>
              <w:jc w:val="center"/>
              <w:rPr>
                <w:i/>
                <w:iCs/>
                <w:sz w:val="20"/>
                <w:szCs w:val="20"/>
              </w:rPr>
            </w:pPr>
            <w:r>
              <w:rPr>
                <w:i/>
                <w:iCs/>
                <w:sz w:val="20"/>
                <w:szCs w:val="20"/>
              </w:rPr>
              <w:t>25</w:t>
            </w:r>
          </w:p>
        </w:tc>
        <w:tc>
          <w:tcPr>
            <w:tcW w:w="1070" w:type="dxa"/>
            <w:vAlign w:val="center"/>
          </w:tcPr>
          <w:p w14:paraId="50411386" w14:textId="77777777" w:rsidR="00AD4F8C" w:rsidRPr="009C7345" w:rsidRDefault="00AD4F8C" w:rsidP="00AD4F8C">
            <w:pPr>
              <w:keepNext/>
              <w:jc w:val="center"/>
              <w:rPr>
                <w:i/>
                <w:iCs/>
                <w:sz w:val="20"/>
                <w:szCs w:val="20"/>
              </w:rPr>
            </w:pPr>
            <w:r>
              <w:rPr>
                <w:i/>
                <w:iCs/>
                <w:sz w:val="20"/>
                <w:szCs w:val="20"/>
              </w:rPr>
              <w:t>3</w:t>
            </w:r>
          </w:p>
        </w:tc>
        <w:tc>
          <w:tcPr>
            <w:tcW w:w="820" w:type="dxa"/>
            <w:vAlign w:val="center"/>
          </w:tcPr>
          <w:p w14:paraId="6B96D37E" w14:textId="77777777" w:rsidR="00AD4F8C" w:rsidRPr="009C7345" w:rsidRDefault="00AD4F8C" w:rsidP="00AD4F8C">
            <w:pPr>
              <w:keepNext/>
              <w:jc w:val="center"/>
              <w:rPr>
                <w:i/>
                <w:iCs/>
                <w:sz w:val="20"/>
                <w:szCs w:val="20"/>
              </w:rPr>
            </w:pPr>
            <w:r>
              <w:rPr>
                <w:i/>
                <w:iCs/>
                <w:sz w:val="20"/>
                <w:szCs w:val="20"/>
              </w:rPr>
              <w:t>75</w:t>
            </w:r>
          </w:p>
        </w:tc>
        <w:tc>
          <w:tcPr>
            <w:tcW w:w="900" w:type="dxa"/>
            <w:vAlign w:val="center"/>
          </w:tcPr>
          <w:p w14:paraId="143C847C" w14:textId="77777777" w:rsidR="00AD4F8C" w:rsidRPr="009C7345" w:rsidRDefault="00AD4F8C" w:rsidP="00AD4F8C">
            <w:pPr>
              <w:keepNext/>
              <w:jc w:val="center"/>
              <w:rPr>
                <w:i/>
                <w:iCs/>
                <w:sz w:val="20"/>
                <w:szCs w:val="20"/>
              </w:rPr>
            </w:pPr>
            <w:r w:rsidRPr="009C7345">
              <w:rPr>
                <w:i/>
                <w:iCs/>
                <w:sz w:val="20"/>
                <w:szCs w:val="20"/>
              </w:rPr>
              <w:t>$40.88</w:t>
            </w:r>
          </w:p>
        </w:tc>
        <w:tc>
          <w:tcPr>
            <w:tcW w:w="1224" w:type="dxa"/>
            <w:vAlign w:val="center"/>
          </w:tcPr>
          <w:p w14:paraId="70B33853" w14:textId="40FBF54B" w:rsidR="00AD4F8C" w:rsidRPr="009C7345" w:rsidRDefault="00AD4F8C" w:rsidP="00AD4F8C">
            <w:pPr>
              <w:keepNext/>
              <w:tabs>
                <w:tab w:val="decimal" w:pos="828"/>
              </w:tabs>
              <w:rPr>
                <w:i/>
                <w:iCs/>
                <w:sz w:val="20"/>
                <w:szCs w:val="20"/>
              </w:rPr>
            </w:pPr>
            <w:r w:rsidRPr="009C7345">
              <w:rPr>
                <w:i/>
                <w:iCs/>
                <w:sz w:val="20"/>
                <w:szCs w:val="20"/>
              </w:rPr>
              <w:t>$</w:t>
            </w:r>
            <w:r>
              <w:rPr>
                <w:i/>
                <w:iCs/>
                <w:sz w:val="20"/>
                <w:szCs w:val="20"/>
              </w:rPr>
              <w:t>3</w:t>
            </w:r>
            <w:r w:rsidR="009A7B86">
              <w:rPr>
                <w:i/>
                <w:iCs/>
                <w:sz w:val="20"/>
                <w:szCs w:val="20"/>
              </w:rPr>
              <w:t>,</w:t>
            </w:r>
            <w:r>
              <w:rPr>
                <w:i/>
                <w:iCs/>
                <w:sz w:val="20"/>
                <w:szCs w:val="20"/>
              </w:rPr>
              <w:t>066</w:t>
            </w:r>
          </w:p>
        </w:tc>
      </w:tr>
      <w:tr w:rsidR="00AD4F8C" w:rsidRPr="009C7345" w14:paraId="7221C85E" w14:textId="77777777" w:rsidTr="00FF461A">
        <w:trPr>
          <w:cantSplit/>
        </w:trPr>
        <w:tc>
          <w:tcPr>
            <w:tcW w:w="2052" w:type="dxa"/>
          </w:tcPr>
          <w:p w14:paraId="4CD0D65B" w14:textId="77777777" w:rsidR="00AD4F8C" w:rsidRPr="006F4352" w:rsidDel="00FE4480" w:rsidRDefault="00AD4F8C" w:rsidP="00AD4F8C">
            <w:pPr>
              <w:keepNext/>
              <w:rPr>
                <w:i/>
                <w:iCs/>
                <w:sz w:val="20"/>
                <w:szCs w:val="20"/>
              </w:rPr>
            </w:pPr>
            <w:r w:rsidRPr="006F4352">
              <w:rPr>
                <w:i/>
                <w:iCs/>
                <w:sz w:val="20"/>
                <w:szCs w:val="20"/>
              </w:rPr>
              <w:t>Substitute Data Request Form</w:t>
            </w:r>
          </w:p>
        </w:tc>
        <w:tc>
          <w:tcPr>
            <w:tcW w:w="1260" w:type="dxa"/>
            <w:vAlign w:val="center"/>
          </w:tcPr>
          <w:p w14:paraId="02BC4E9C" w14:textId="1B4008E5" w:rsidR="00AD4F8C" w:rsidRPr="006F4352" w:rsidRDefault="00661C74" w:rsidP="00AD4F8C">
            <w:pPr>
              <w:keepNext/>
              <w:jc w:val="center"/>
              <w:rPr>
                <w:i/>
                <w:iCs/>
                <w:sz w:val="20"/>
                <w:szCs w:val="20"/>
              </w:rPr>
            </w:pPr>
            <w:r w:rsidRPr="006F4352">
              <w:rPr>
                <w:i/>
                <w:iCs/>
                <w:sz w:val="20"/>
                <w:szCs w:val="20"/>
              </w:rPr>
              <w:t>12</w:t>
            </w:r>
          </w:p>
        </w:tc>
        <w:tc>
          <w:tcPr>
            <w:tcW w:w="1170" w:type="dxa"/>
            <w:vAlign w:val="center"/>
          </w:tcPr>
          <w:p w14:paraId="0D205938" w14:textId="77777777" w:rsidR="00AD4F8C" w:rsidRPr="006F4352" w:rsidRDefault="00AD4F8C" w:rsidP="00AD4F8C">
            <w:pPr>
              <w:keepNext/>
              <w:jc w:val="center"/>
              <w:rPr>
                <w:i/>
                <w:iCs/>
                <w:sz w:val="20"/>
                <w:szCs w:val="20"/>
              </w:rPr>
            </w:pPr>
            <w:r w:rsidRPr="006F4352">
              <w:rPr>
                <w:i/>
                <w:iCs/>
                <w:sz w:val="20"/>
                <w:szCs w:val="20"/>
              </w:rPr>
              <w:t>1</w:t>
            </w:r>
          </w:p>
        </w:tc>
        <w:tc>
          <w:tcPr>
            <w:tcW w:w="1080" w:type="dxa"/>
            <w:vAlign w:val="center"/>
          </w:tcPr>
          <w:p w14:paraId="2D0B62B5" w14:textId="78A1C5AC" w:rsidR="00AD4F8C" w:rsidRPr="006F4352" w:rsidDel="00FE4480" w:rsidRDefault="00661C74" w:rsidP="00AD4F8C">
            <w:pPr>
              <w:keepNext/>
              <w:jc w:val="center"/>
              <w:rPr>
                <w:i/>
                <w:iCs/>
                <w:sz w:val="20"/>
                <w:szCs w:val="20"/>
              </w:rPr>
            </w:pPr>
            <w:r w:rsidRPr="006F4352">
              <w:rPr>
                <w:i/>
                <w:iCs/>
                <w:sz w:val="20"/>
                <w:szCs w:val="20"/>
              </w:rPr>
              <w:t>12</w:t>
            </w:r>
          </w:p>
        </w:tc>
        <w:tc>
          <w:tcPr>
            <w:tcW w:w="1070" w:type="dxa"/>
            <w:vAlign w:val="center"/>
          </w:tcPr>
          <w:p w14:paraId="28D68E6A" w14:textId="77777777" w:rsidR="00AD4F8C" w:rsidRPr="006F4352" w:rsidDel="00FE4480" w:rsidRDefault="00AD4F8C" w:rsidP="00AD4F8C">
            <w:pPr>
              <w:keepNext/>
              <w:jc w:val="center"/>
              <w:rPr>
                <w:i/>
                <w:iCs/>
                <w:sz w:val="20"/>
                <w:szCs w:val="20"/>
              </w:rPr>
            </w:pPr>
            <w:r w:rsidRPr="006F4352">
              <w:rPr>
                <w:i/>
                <w:iCs/>
                <w:sz w:val="20"/>
                <w:szCs w:val="20"/>
              </w:rPr>
              <w:t>1</w:t>
            </w:r>
          </w:p>
        </w:tc>
        <w:tc>
          <w:tcPr>
            <w:tcW w:w="820" w:type="dxa"/>
            <w:vAlign w:val="center"/>
          </w:tcPr>
          <w:p w14:paraId="4A224CD7" w14:textId="7A494B06" w:rsidR="00AD4F8C" w:rsidRPr="006F4352" w:rsidDel="00FE4480" w:rsidRDefault="00661C74" w:rsidP="00AD4F8C">
            <w:pPr>
              <w:keepNext/>
              <w:jc w:val="center"/>
              <w:rPr>
                <w:i/>
                <w:iCs/>
                <w:sz w:val="20"/>
                <w:szCs w:val="20"/>
              </w:rPr>
            </w:pPr>
            <w:r w:rsidRPr="006F4352">
              <w:rPr>
                <w:i/>
                <w:iCs/>
                <w:sz w:val="20"/>
                <w:szCs w:val="20"/>
              </w:rPr>
              <w:t>12</w:t>
            </w:r>
          </w:p>
        </w:tc>
        <w:tc>
          <w:tcPr>
            <w:tcW w:w="900" w:type="dxa"/>
            <w:vAlign w:val="center"/>
          </w:tcPr>
          <w:p w14:paraId="20EAAB83" w14:textId="77777777" w:rsidR="00AD4F8C" w:rsidRPr="006F4352" w:rsidRDefault="00AD4F8C" w:rsidP="00AD4F8C">
            <w:pPr>
              <w:keepNext/>
              <w:jc w:val="center"/>
              <w:rPr>
                <w:i/>
                <w:iCs/>
                <w:sz w:val="20"/>
                <w:szCs w:val="20"/>
              </w:rPr>
            </w:pPr>
            <w:r w:rsidRPr="006F4352">
              <w:rPr>
                <w:i/>
                <w:iCs/>
                <w:sz w:val="20"/>
                <w:szCs w:val="20"/>
              </w:rPr>
              <w:t>$40.88</w:t>
            </w:r>
          </w:p>
        </w:tc>
        <w:tc>
          <w:tcPr>
            <w:tcW w:w="1224" w:type="dxa"/>
            <w:vAlign w:val="center"/>
          </w:tcPr>
          <w:p w14:paraId="65C282D3" w14:textId="3E6E0279" w:rsidR="00AD4F8C" w:rsidRPr="006F4352" w:rsidRDefault="00AD4F8C" w:rsidP="00661C74">
            <w:pPr>
              <w:keepNext/>
              <w:tabs>
                <w:tab w:val="left" w:pos="391"/>
                <w:tab w:val="decimal" w:pos="828"/>
              </w:tabs>
              <w:rPr>
                <w:i/>
                <w:iCs/>
                <w:sz w:val="20"/>
                <w:szCs w:val="20"/>
              </w:rPr>
            </w:pPr>
            <w:r w:rsidRPr="006F4352">
              <w:rPr>
                <w:i/>
                <w:iCs/>
                <w:sz w:val="20"/>
                <w:szCs w:val="20"/>
              </w:rPr>
              <w:t xml:space="preserve">    </w:t>
            </w:r>
            <w:r w:rsidR="00661C74" w:rsidRPr="006F4352">
              <w:rPr>
                <w:i/>
                <w:iCs/>
                <w:sz w:val="20"/>
                <w:szCs w:val="20"/>
              </w:rPr>
              <w:t>$490.56</w:t>
            </w:r>
          </w:p>
        </w:tc>
      </w:tr>
      <w:tr w:rsidR="00AD4F8C" w:rsidRPr="009C7345" w14:paraId="7F4BE0DD" w14:textId="77777777" w:rsidTr="00FF461A">
        <w:trPr>
          <w:cantSplit/>
        </w:trPr>
        <w:tc>
          <w:tcPr>
            <w:tcW w:w="2052" w:type="dxa"/>
          </w:tcPr>
          <w:p w14:paraId="1510B7AF" w14:textId="77777777" w:rsidR="00AD4F8C" w:rsidRPr="009C7345" w:rsidRDefault="00AD4F8C" w:rsidP="00AD4F8C">
            <w:pPr>
              <w:keepNext/>
              <w:rPr>
                <w:i/>
                <w:iCs/>
                <w:sz w:val="20"/>
                <w:szCs w:val="20"/>
              </w:rPr>
            </w:pPr>
            <w:r>
              <w:rPr>
                <w:i/>
                <w:iCs/>
                <w:sz w:val="20"/>
                <w:szCs w:val="20"/>
              </w:rPr>
              <w:t>Annual Implementation Instrument</w:t>
            </w:r>
          </w:p>
        </w:tc>
        <w:tc>
          <w:tcPr>
            <w:tcW w:w="1260" w:type="dxa"/>
            <w:vAlign w:val="center"/>
          </w:tcPr>
          <w:p w14:paraId="3D638007" w14:textId="77777777" w:rsidR="00AD4F8C" w:rsidRPr="009C7345" w:rsidRDefault="00AD4F8C" w:rsidP="00AD4F8C">
            <w:pPr>
              <w:keepNext/>
              <w:jc w:val="center"/>
              <w:rPr>
                <w:i/>
                <w:iCs/>
                <w:sz w:val="20"/>
                <w:szCs w:val="20"/>
              </w:rPr>
            </w:pPr>
            <w:r>
              <w:rPr>
                <w:i/>
                <w:iCs/>
                <w:sz w:val="20"/>
                <w:szCs w:val="20"/>
              </w:rPr>
              <w:t>100</w:t>
            </w:r>
          </w:p>
        </w:tc>
        <w:tc>
          <w:tcPr>
            <w:tcW w:w="1170" w:type="dxa"/>
            <w:vAlign w:val="center"/>
          </w:tcPr>
          <w:p w14:paraId="2D336303"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276A3518" w14:textId="77777777" w:rsidR="00AD4F8C" w:rsidRPr="009C7345" w:rsidRDefault="00AD4F8C" w:rsidP="00AD4F8C">
            <w:pPr>
              <w:keepNext/>
              <w:jc w:val="center"/>
              <w:rPr>
                <w:i/>
                <w:iCs/>
                <w:sz w:val="20"/>
                <w:szCs w:val="20"/>
              </w:rPr>
            </w:pPr>
            <w:r>
              <w:rPr>
                <w:i/>
                <w:iCs/>
                <w:sz w:val="20"/>
                <w:szCs w:val="20"/>
              </w:rPr>
              <w:t>100</w:t>
            </w:r>
          </w:p>
        </w:tc>
        <w:tc>
          <w:tcPr>
            <w:tcW w:w="1070" w:type="dxa"/>
            <w:vAlign w:val="center"/>
          </w:tcPr>
          <w:p w14:paraId="3083ACBE" w14:textId="77777777" w:rsidR="00AD4F8C" w:rsidRPr="009C7345" w:rsidRDefault="00AD4F8C" w:rsidP="00AD4F8C">
            <w:pPr>
              <w:keepNext/>
              <w:jc w:val="center"/>
              <w:rPr>
                <w:i/>
                <w:iCs/>
                <w:sz w:val="20"/>
                <w:szCs w:val="20"/>
              </w:rPr>
            </w:pPr>
            <w:r>
              <w:rPr>
                <w:i/>
                <w:iCs/>
                <w:sz w:val="20"/>
                <w:szCs w:val="20"/>
              </w:rPr>
              <w:t>2.3</w:t>
            </w:r>
          </w:p>
        </w:tc>
        <w:tc>
          <w:tcPr>
            <w:tcW w:w="820" w:type="dxa"/>
            <w:vAlign w:val="center"/>
          </w:tcPr>
          <w:p w14:paraId="4686B264" w14:textId="77777777" w:rsidR="00AD4F8C" w:rsidRPr="009C7345" w:rsidRDefault="00AD4F8C" w:rsidP="00AD4F8C">
            <w:pPr>
              <w:keepNext/>
              <w:jc w:val="center"/>
              <w:rPr>
                <w:i/>
                <w:iCs/>
                <w:sz w:val="20"/>
                <w:szCs w:val="20"/>
              </w:rPr>
            </w:pPr>
            <w:r>
              <w:rPr>
                <w:i/>
                <w:iCs/>
                <w:sz w:val="20"/>
                <w:szCs w:val="20"/>
              </w:rPr>
              <w:t>230</w:t>
            </w:r>
          </w:p>
        </w:tc>
        <w:tc>
          <w:tcPr>
            <w:tcW w:w="900" w:type="dxa"/>
            <w:vAlign w:val="center"/>
          </w:tcPr>
          <w:p w14:paraId="3876771A" w14:textId="77777777" w:rsidR="00AD4F8C" w:rsidRPr="009C7345" w:rsidRDefault="00AD4F8C" w:rsidP="00AD4F8C">
            <w:pPr>
              <w:keepNext/>
              <w:jc w:val="center"/>
              <w:rPr>
                <w:i/>
                <w:iCs/>
                <w:sz w:val="20"/>
                <w:szCs w:val="20"/>
              </w:rPr>
            </w:pPr>
            <w:r w:rsidRPr="009C7345">
              <w:rPr>
                <w:i/>
                <w:iCs/>
                <w:sz w:val="20"/>
                <w:szCs w:val="20"/>
              </w:rPr>
              <w:t>$40.88</w:t>
            </w:r>
          </w:p>
        </w:tc>
        <w:tc>
          <w:tcPr>
            <w:tcW w:w="1224" w:type="dxa"/>
            <w:vAlign w:val="center"/>
          </w:tcPr>
          <w:p w14:paraId="33C3F2F1" w14:textId="4FC9F2FE" w:rsidR="00AD4F8C" w:rsidRPr="009C7345" w:rsidRDefault="00AD4F8C" w:rsidP="00154014">
            <w:pPr>
              <w:keepNext/>
              <w:tabs>
                <w:tab w:val="decimal" w:pos="828"/>
              </w:tabs>
              <w:rPr>
                <w:i/>
                <w:iCs/>
                <w:sz w:val="20"/>
                <w:szCs w:val="20"/>
              </w:rPr>
            </w:pPr>
            <w:r w:rsidRPr="009C7345">
              <w:rPr>
                <w:i/>
                <w:iCs/>
                <w:sz w:val="20"/>
                <w:szCs w:val="20"/>
              </w:rPr>
              <w:t>$</w:t>
            </w:r>
            <w:r>
              <w:rPr>
                <w:i/>
                <w:iCs/>
                <w:sz w:val="20"/>
                <w:szCs w:val="20"/>
              </w:rPr>
              <w:t>9</w:t>
            </w:r>
            <w:r w:rsidR="009A7B86">
              <w:rPr>
                <w:i/>
                <w:iCs/>
                <w:sz w:val="20"/>
                <w:szCs w:val="20"/>
              </w:rPr>
              <w:t>,</w:t>
            </w:r>
            <w:r w:rsidR="00154014">
              <w:rPr>
                <w:i/>
                <w:iCs/>
                <w:sz w:val="20"/>
                <w:szCs w:val="20"/>
              </w:rPr>
              <w:t>402.40</w:t>
            </w:r>
          </w:p>
        </w:tc>
      </w:tr>
      <w:tr w:rsidR="00AD4F8C" w:rsidRPr="009C7345" w14:paraId="38F8AF78" w14:textId="77777777" w:rsidTr="00FF461A">
        <w:trPr>
          <w:cantSplit/>
        </w:trPr>
        <w:tc>
          <w:tcPr>
            <w:tcW w:w="2052" w:type="dxa"/>
          </w:tcPr>
          <w:p w14:paraId="1CFE6BE8" w14:textId="77777777" w:rsidR="00AD4F8C" w:rsidRPr="009C7345" w:rsidDel="00FE4480" w:rsidRDefault="00AD4F8C" w:rsidP="00AD4F8C">
            <w:pPr>
              <w:keepNext/>
              <w:rPr>
                <w:i/>
                <w:iCs/>
                <w:sz w:val="20"/>
                <w:szCs w:val="20"/>
              </w:rPr>
            </w:pPr>
            <w:r>
              <w:rPr>
                <w:i/>
                <w:iCs/>
                <w:sz w:val="20"/>
                <w:szCs w:val="20"/>
              </w:rPr>
              <w:t>Grantee-Level Interview</w:t>
            </w:r>
          </w:p>
        </w:tc>
        <w:tc>
          <w:tcPr>
            <w:tcW w:w="1260" w:type="dxa"/>
            <w:vAlign w:val="center"/>
          </w:tcPr>
          <w:p w14:paraId="677E733A" w14:textId="77777777" w:rsidR="00AD4F8C" w:rsidRDefault="00AD4F8C" w:rsidP="00AD4F8C">
            <w:pPr>
              <w:keepNext/>
              <w:jc w:val="center"/>
              <w:rPr>
                <w:i/>
                <w:iCs/>
                <w:sz w:val="20"/>
                <w:szCs w:val="20"/>
              </w:rPr>
            </w:pPr>
            <w:r>
              <w:rPr>
                <w:i/>
                <w:iCs/>
                <w:sz w:val="20"/>
                <w:szCs w:val="20"/>
              </w:rPr>
              <w:t>25</w:t>
            </w:r>
          </w:p>
        </w:tc>
        <w:tc>
          <w:tcPr>
            <w:tcW w:w="1170" w:type="dxa"/>
            <w:vAlign w:val="center"/>
          </w:tcPr>
          <w:p w14:paraId="79177100" w14:textId="77777777" w:rsidR="00AD4F8C" w:rsidRPr="009C7345" w:rsidRDefault="00AD4F8C" w:rsidP="00AD4F8C">
            <w:pPr>
              <w:keepNext/>
              <w:jc w:val="center"/>
              <w:rPr>
                <w:i/>
                <w:iCs/>
                <w:sz w:val="20"/>
                <w:szCs w:val="20"/>
              </w:rPr>
            </w:pPr>
            <w:r>
              <w:rPr>
                <w:i/>
                <w:iCs/>
                <w:sz w:val="20"/>
                <w:szCs w:val="20"/>
              </w:rPr>
              <w:t>1</w:t>
            </w:r>
          </w:p>
        </w:tc>
        <w:tc>
          <w:tcPr>
            <w:tcW w:w="1080" w:type="dxa"/>
            <w:vAlign w:val="center"/>
          </w:tcPr>
          <w:p w14:paraId="135713A6" w14:textId="77777777" w:rsidR="00AD4F8C" w:rsidRPr="009C7345" w:rsidDel="00FE4480" w:rsidRDefault="00AD4F8C" w:rsidP="00AD4F8C">
            <w:pPr>
              <w:keepNext/>
              <w:jc w:val="center"/>
              <w:rPr>
                <w:i/>
                <w:iCs/>
                <w:sz w:val="20"/>
                <w:szCs w:val="20"/>
              </w:rPr>
            </w:pPr>
            <w:r>
              <w:rPr>
                <w:i/>
                <w:iCs/>
                <w:sz w:val="20"/>
                <w:szCs w:val="20"/>
              </w:rPr>
              <w:t>25</w:t>
            </w:r>
          </w:p>
        </w:tc>
        <w:tc>
          <w:tcPr>
            <w:tcW w:w="1070" w:type="dxa"/>
            <w:vAlign w:val="center"/>
          </w:tcPr>
          <w:p w14:paraId="0E998A85" w14:textId="77777777" w:rsidR="00AD4F8C" w:rsidRPr="009C7345" w:rsidDel="00FE4480" w:rsidRDefault="00AD4F8C" w:rsidP="00AD4F8C">
            <w:pPr>
              <w:keepNext/>
              <w:jc w:val="center"/>
              <w:rPr>
                <w:i/>
                <w:iCs/>
                <w:sz w:val="20"/>
                <w:szCs w:val="20"/>
              </w:rPr>
            </w:pPr>
            <w:r>
              <w:rPr>
                <w:i/>
                <w:iCs/>
                <w:sz w:val="20"/>
                <w:szCs w:val="20"/>
              </w:rPr>
              <w:t>1.5</w:t>
            </w:r>
          </w:p>
        </w:tc>
        <w:tc>
          <w:tcPr>
            <w:tcW w:w="820" w:type="dxa"/>
            <w:vAlign w:val="center"/>
          </w:tcPr>
          <w:p w14:paraId="3363C12C" w14:textId="77777777" w:rsidR="00AD4F8C" w:rsidRPr="009C7345" w:rsidDel="00FE4480" w:rsidRDefault="00AD4F8C" w:rsidP="00AD4F8C">
            <w:pPr>
              <w:keepNext/>
              <w:jc w:val="center"/>
              <w:rPr>
                <w:i/>
                <w:iCs/>
                <w:sz w:val="20"/>
                <w:szCs w:val="20"/>
              </w:rPr>
            </w:pPr>
            <w:r>
              <w:rPr>
                <w:i/>
                <w:iCs/>
                <w:sz w:val="20"/>
                <w:szCs w:val="20"/>
              </w:rPr>
              <w:t>37.5</w:t>
            </w:r>
          </w:p>
        </w:tc>
        <w:tc>
          <w:tcPr>
            <w:tcW w:w="900" w:type="dxa"/>
            <w:vAlign w:val="center"/>
          </w:tcPr>
          <w:p w14:paraId="14F678F3" w14:textId="77777777" w:rsidR="00AD4F8C" w:rsidRPr="009C7345" w:rsidRDefault="00AD4F8C" w:rsidP="00AD4F8C">
            <w:pPr>
              <w:keepNext/>
              <w:jc w:val="center"/>
              <w:rPr>
                <w:i/>
                <w:iCs/>
                <w:sz w:val="20"/>
                <w:szCs w:val="20"/>
              </w:rPr>
            </w:pPr>
            <w:r>
              <w:rPr>
                <w:i/>
                <w:iCs/>
                <w:sz w:val="20"/>
                <w:szCs w:val="20"/>
              </w:rPr>
              <w:t>$40.88</w:t>
            </w:r>
          </w:p>
        </w:tc>
        <w:tc>
          <w:tcPr>
            <w:tcW w:w="1224" w:type="dxa"/>
            <w:vAlign w:val="center"/>
          </w:tcPr>
          <w:p w14:paraId="4E8AAC16" w14:textId="5E4B8CBA" w:rsidR="00AD4F8C" w:rsidRPr="009C7345" w:rsidRDefault="00C654F1" w:rsidP="00AD4F8C">
            <w:pPr>
              <w:keepNext/>
              <w:tabs>
                <w:tab w:val="decimal" w:pos="828"/>
              </w:tabs>
              <w:rPr>
                <w:i/>
                <w:iCs/>
                <w:sz w:val="20"/>
                <w:szCs w:val="20"/>
              </w:rPr>
            </w:pPr>
            <w:r>
              <w:rPr>
                <w:i/>
                <w:iCs/>
                <w:sz w:val="20"/>
                <w:szCs w:val="20"/>
              </w:rPr>
              <w:t>$1</w:t>
            </w:r>
            <w:r w:rsidR="009A7B86">
              <w:rPr>
                <w:i/>
                <w:iCs/>
                <w:sz w:val="20"/>
                <w:szCs w:val="20"/>
              </w:rPr>
              <w:t>,</w:t>
            </w:r>
            <w:r w:rsidR="00AD4F8C">
              <w:rPr>
                <w:i/>
                <w:iCs/>
                <w:sz w:val="20"/>
                <w:szCs w:val="20"/>
              </w:rPr>
              <w:t>533</w:t>
            </w:r>
          </w:p>
        </w:tc>
      </w:tr>
      <w:tr w:rsidR="00AD4F8C" w:rsidRPr="009C7345" w14:paraId="76311629" w14:textId="77777777" w:rsidTr="00FF461A">
        <w:trPr>
          <w:cantSplit/>
        </w:trPr>
        <w:tc>
          <w:tcPr>
            <w:tcW w:w="2052" w:type="dxa"/>
          </w:tcPr>
          <w:p w14:paraId="37706284" w14:textId="71DF0495" w:rsidR="00AD4F8C" w:rsidRPr="009C7345" w:rsidRDefault="00AD4F8C" w:rsidP="00AD4F8C">
            <w:pPr>
              <w:rPr>
                <w:b/>
                <w:bCs/>
                <w:sz w:val="20"/>
                <w:szCs w:val="20"/>
              </w:rPr>
            </w:pPr>
            <w:r>
              <w:rPr>
                <w:b/>
                <w:bCs/>
                <w:sz w:val="20"/>
                <w:szCs w:val="20"/>
              </w:rPr>
              <w:t>FY2019</w:t>
            </w:r>
            <w:r w:rsidRPr="009C7345">
              <w:rPr>
                <w:b/>
                <w:bCs/>
                <w:sz w:val="20"/>
                <w:szCs w:val="20"/>
              </w:rPr>
              <w:t xml:space="preserve"> TOTAL</w:t>
            </w:r>
          </w:p>
        </w:tc>
        <w:tc>
          <w:tcPr>
            <w:tcW w:w="1260" w:type="dxa"/>
            <w:vAlign w:val="center"/>
          </w:tcPr>
          <w:p w14:paraId="6D802636" w14:textId="1BBDEF61" w:rsidR="00AD4F8C" w:rsidRPr="009C7345" w:rsidRDefault="00C137D5" w:rsidP="00AD4F8C">
            <w:pPr>
              <w:tabs>
                <w:tab w:val="decimal" w:pos="640"/>
              </w:tabs>
              <w:rPr>
                <w:b/>
                <w:bCs/>
                <w:sz w:val="20"/>
                <w:szCs w:val="20"/>
              </w:rPr>
            </w:pPr>
            <w:r>
              <w:rPr>
                <w:b/>
                <w:bCs/>
                <w:sz w:val="20"/>
                <w:szCs w:val="20"/>
              </w:rPr>
              <w:t>100</w:t>
            </w:r>
          </w:p>
        </w:tc>
        <w:tc>
          <w:tcPr>
            <w:tcW w:w="1170" w:type="dxa"/>
            <w:shd w:val="clear" w:color="auto" w:fill="D9D9D9" w:themeFill="background1" w:themeFillShade="D9"/>
            <w:vAlign w:val="center"/>
          </w:tcPr>
          <w:p w14:paraId="6846D1A9" w14:textId="77777777" w:rsidR="00AD4F8C" w:rsidRPr="009C7345" w:rsidRDefault="00AD4F8C" w:rsidP="00AD4F8C">
            <w:pPr>
              <w:tabs>
                <w:tab w:val="decimal" w:pos="640"/>
              </w:tabs>
              <w:rPr>
                <w:b/>
                <w:bCs/>
                <w:sz w:val="20"/>
                <w:szCs w:val="20"/>
              </w:rPr>
            </w:pPr>
          </w:p>
        </w:tc>
        <w:tc>
          <w:tcPr>
            <w:tcW w:w="1080" w:type="dxa"/>
            <w:vAlign w:val="center"/>
          </w:tcPr>
          <w:p w14:paraId="7FE63DE5" w14:textId="3021617C" w:rsidR="00AD4F8C" w:rsidRPr="009C7345" w:rsidRDefault="00C137D5" w:rsidP="00AD4F8C">
            <w:pPr>
              <w:tabs>
                <w:tab w:val="decimal" w:pos="640"/>
              </w:tabs>
              <w:rPr>
                <w:b/>
                <w:bCs/>
                <w:sz w:val="20"/>
                <w:szCs w:val="20"/>
              </w:rPr>
            </w:pPr>
            <w:r>
              <w:rPr>
                <w:b/>
                <w:bCs/>
                <w:sz w:val="20"/>
                <w:szCs w:val="20"/>
              </w:rPr>
              <w:t>187</w:t>
            </w:r>
          </w:p>
        </w:tc>
        <w:tc>
          <w:tcPr>
            <w:tcW w:w="1070" w:type="dxa"/>
            <w:shd w:val="clear" w:color="auto" w:fill="D9D9D9" w:themeFill="background1" w:themeFillShade="D9"/>
            <w:vAlign w:val="center"/>
          </w:tcPr>
          <w:p w14:paraId="3EE183E9" w14:textId="77777777" w:rsidR="00AD4F8C" w:rsidRPr="009C7345" w:rsidRDefault="00AD4F8C" w:rsidP="00AD4F8C">
            <w:pPr>
              <w:tabs>
                <w:tab w:val="decimal" w:pos="549"/>
              </w:tabs>
              <w:rPr>
                <w:b/>
                <w:bCs/>
                <w:sz w:val="20"/>
                <w:szCs w:val="20"/>
              </w:rPr>
            </w:pPr>
          </w:p>
        </w:tc>
        <w:tc>
          <w:tcPr>
            <w:tcW w:w="820" w:type="dxa"/>
            <w:vAlign w:val="center"/>
          </w:tcPr>
          <w:p w14:paraId="6C8E5616" w14:textId="04AD7774" w:rsidR="00AD4F8C" w:rsidRPr="009C7345" w:rsidRDefault="00C137D5" w:rsidP="00AD4F8C">
            <w:pPr>
              <w:tabs>
                <w:tab w:val="decimal" w:pos="478"/>
              </w:tabs>
              <w:jc w:val="center"/>
              <w:rPr>
                <w:b/>
                <w:bCs/>
                <w:sz w:val="20"/>
                <w:szCs w:val="20"/>
              </w:rPr>
            </w:pPr>
            <w:r>
              <w:rPr>
                <w:b/>
                <w:bCs/>
                <w:sz w:val="20"/>
                <w:szCs w:val="20"/>
              </w:rPr>
              <w:t>429.50</w:t>
            </w:r>
          </w:p>
        </w:tc>
        <w:tc>
          <w:tcPr>
            <w:tcW w:w="900" w:type="dxa"/>
            <w:shd w:val="clear" w:color="auto" w:fill="D9D9D9" w:themeFill="background1" w:themeFillShade="D9"/>
            <w:vAlign w:val="center"/>
          </w:tcPr>
          <w:p w14:paraId="2B897F08" w14:textId="77777777" w:rsidR="00AD4F8C" w:rsidRPr="009C7345" w:rsidRDefault="00AD4F8C" w:rsidP="00AD4F8C">
            <w:pPr>
              <w:tabs>
                <w:tab w:val="decimal" w:pos="468"/>
              </w:tabs>
              <w:rPr>
                <w:b/>
                <w:bCs/>
                <w:sz w:val="20"/>
                <w:szCs w:val="20"/>
              </w:rPr>
            </w:pPr>
          </w:p>
        </w:tc>
        <w:tc>
          <w:tcPr>
            <w:tcW w:w="1224" w:type="dxa"/>
            <w:vAlign w:val="center"/>
          </w:tcPr>
          <w:p w14:paraId="54DB2541" w14:textId="5749FFDC" w:rsidR="00AD4F8C" w:rsidRPr="009C7345" w:rsidRDefault="00AD4F8C" w:rsidP="006F4352">
            <w:pPr>
              <w:tabs>
                <w:tab w:val="decimal" w:pos="828"/>
              </w:tabs>
              <w:rPr>
                <w:b/>
                <w:bCs/>
                <w:sz w:val="20"/>
                <w:szCs w:val="20"/>
              </w:rPr>
            </w:pPr>
            <w:r w:rsidRPr="009C7345">
              <w:rPr>
                <w:b/>
                <w:bCs/>
                <w:sz w:val="20"/>
                <w:szCs w:val="20"/>
              </w:rPr>
              <w:t>$</w:t>
            </w:r>
            <w:r w:rsidR="00154014">
              <w:rPr>
                <w:b/>
                <w:bCs/>
                <w:sz w:val="20"/>
                <w:szCs w:val="20"/>
              </w:rPr>
              <w:t>17</w:t>
            </w:r>
            <w:r w:rsidR="006F4352">
              <w:rPr>
                <w:b/>
                <w:bCs/>
                <w:sz w:val="20"/>
                <w:szCs w:val="20"/>
              </w:rPr>
              <w:t>,557.96</w:t>
            </w:r>
          </w:p>
        </w:tc>
      </w:tr>
    </w:tbl>
    <w:p w14:paraId="4ABE5E8A" w14:textId="1255CD5F" w:rsidR="000D2F08" w:rsidRPr="00733FFC" w:rsidRDefault="000D2F08" w:rsidP="00E42198">
      <w:pPr>
        <w:pStyle w:val="ExhibitNote2"/>
      </w:pPr>
      <w:proofErr w:type="gramStart"/>
      <w:r w:rsidRPr="00733FFC">
        <w:rPr>
          <w:vertAlign w:val="superscript"/>
        </w:rPr>
        <w:t>a</w:t>
      </w:r>
      <w:proofErr w:type="gramEnd"/>
      <w:r w:rsidRPr="00733FFC">
        <w:t xml:space="preserve"> </w:t>
      </w:r>
      <w:r w:rsidRPr="00733FFC">
        <w:rPr>
          <w:b/>
          <w:bCs/>
        </w:rPr>
        <w:t>Total respondent cost</w:t>
      </w:r>
      <w:r w:rsidRPr="00733FFC">
        <w:t xml:space="preserve"> is calculated as total burden hours </w:t>
      </w:r>
      <w:r w:rsidR="006C1E58" w:rsidRPr="006C1E58">
        <w:t>×</w:t>
      </w:r>
      <w:r w:rsidRPr="00733FFC">
        <w:t xml:space="preserve"> average hourly wage.</w:t>
      </w:r>
    </w:p>
    <w:p w14:paraId="043D9FE4" w14:textId="2E05F35A" w:rsidR="000D2F08" w:rsidRDefault="00AD4F8C" w:rsidP="00E42198">
      <w:pPr>
        <w:pStyle w:val="ExhibitTitle"/>
      </w:pPr>
      <w:r>
        <w:lastRenderedPageBreak/>
        <w:t>Exhibit 6</w:t>
      </w:r>
      <w:r w:rsidR="00E42198">
        <w:t>:</w:t>
      </w:r>
      <w:r w:rsidR="000D2F08" w:rsidRPr="00733FFC">
        <w:t xml:space="preserve"> </w:t>
      </w:r>
      <w:r w:rsidR="000D2F08" w:rsidRPr="00E42198">
        <w:t>FY2020</w:t>
      </w:r>
      <w:r w:rsidR="006C1E58">
        <w:t xml:space="preserve"> </w:t>
      </w:r>
      <w:r w:rsidR="000D2F08" w:rsidRPr="00E42198">
        <w:t>Annual</w:t>
      </w:r>
      <w:r w:rsidR="000D2F08" w:rsidRPr="00733FFC">
        <w:t xml:space="preserve"> Burden</w:t>
      </w:r>
    </w:p>
    <w:tbl>
      <w:tblPr>
        <w:tblW w:w="95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AD4F8C" w:rsidRPr="009C7345" w14:paraId="3CE58984" w14:textId="77777777" w:rsidTr="00FF461A">
        <w:trPr>
          <w:cantSplit/>
        </w:trPr>
        <w:tc>
          <w:tcPr>
            <w:tcW w:w="2052" w:type="dxa"/>
            <w:vAlign w:val="bottom"/>
          </w:tcPr>
          <w:p w14:paraId="7F4E7D50" w14:textId="77777777" w:rsidR="00AD4F8C" w:rsidRPr="009C7345" w:rsidRDefault="00AD4F8C" w:rsidP="00AD4F8C">
            <w:pPr>
              <w:keepNext/>
              <w:rPr>
                <w:b/>
                <w:sz w:val="20"/>
                <w:szCs w:val="20"/>
              </w:rPr>
            </w:pPr>
            <w:r w:rsidRPr="009C7345">
              <w:rPr>
                <w:b/>
                <w:sz w:val="20"/>
                <w:szCs w:val="20"/>
              </w:rPr>
              <w:t>Instrument</w:t>
            </w:r>
          </w:p>
        </w:tc>
        <w:tc>
          <w:tcPr>
            <w:tcW w:w="1260" w:type="dxa"/>
            <w:vAlign w:val="bottom"/>
          </w:tcPr>
          <w:p w14:paraId="012A59AE" w14:textId="77777777" w:rsidR="00AD4F8C" w:rsidRPr="009C7345" w:rsidRDefault="00AD4F8C" w:rsidP="00AD4F8C">
            <w:pPr>
              <w:keepNext/>
              <w:rPr>
                <w:b/>
                <w:bCs/>
                <w:sz w:val="20"/>
                <w:szCs w:val="20"/>
              </w:rPr>
            </w:pPr>
            <w:r w:rsidRPr="009C7345">
              <w:rPr>
                <w:b/>
                <w:bCs/>
                <w:sz w:val="20"/>
                <w:szCs w:val="20"/>
              </w:rPr>
              <w:t>Number of Respondents</w:t>
            </w:r>
          </w:p>
        </w:tc>
        <w:tc>
          <w:tcPr>
            <w:tcW w:w="1170" w:type="dxa"/>
            <w:vAlign w:val="bottom"/>
          </w:tcPr>
          <w:p w14:paraId="50BF262D" w14:textId="77777777" w:rsidR="00AD4F8C" w:rsidRPr="009C7345" w:rsidRDefault="00AD4F8C" w:rsidP="00AD4F8C">
            <w:pPr>
              <w:keepNext/>
              <w:rPr>
                <w:b/>
                <w:bCs/>
                <w:sz w:val="20"/>
                <w:szCs w:val="20"/>
              </w:rPr>
            </w:pPr>
            <w:r w:rsidRPr="009C7345">
              <w:rPr>
                <w:b/>
                <w:bCs/>
                <w:sz w:val="20"/>
                <w:szCs w:val="20"/>
              </w:rPr>
              <w:t>Responses per Respondent</w:t>
            </w:r>
          </w:p>
        </w:tc>
        <w:tc>
          <w:tcPr>
            <w:tcW w:w="1080" w:type="dxa"/>
            <w:vAlign w:val="bottom"/>
          </w:tcPr>
          <w:p w14:paraId="50286E81" w14:textId="77777777" w:rsidR="00AD4F8C" w:rsidRPr="009C7345" w:rsidRDefault="00AD4F8C" w:rsidP="00AD4F8C">
            <w:pPr>
              <w:keepNext/>
              <w:rPr>
                <w:b/>
                <w:bCs/>
                <w:sz w:val="20"/>
                <w:szCs w:val="20"/>
              </w:rPr>
            </w:pPr>
            <w:r w:rsidRPr="009C7345">
              <w:rPr>
                <w:b/>
                <w:bCs/>
                <w:sz w:val="20"/>
                <w:szCs w:val="20"/>
              </w:rPr>
              <w:t>Total Number of Responses</w:t>
            </w:r>
          </w:p>
        </w:tc>
        <w:tc>
          <w:tcPr>
            <w:tcW w:w="1070" w:type="dxa"/>
            <w:vAlign w:val="bottom"/>
          </w:tcPr>
          <w:p w14:paraId="3A242E38" w14:textId="77777777" w:rsidR="00AD4F8C" w:rsidRPr="009C7345" w:rsidRDefault="00AD4F8C" w:rsidP="00AD4F8C">
            <w:pPr>
              <w:keepNext/>
              <w:rPr>
                <w:b/>
                <w:bCs/>
                <w:sz w:val="20"/>
                <w:szCs w:val="20"/>
              </w:rPr>
            </w:pPr>
            <w:r w:rsidRPr="009C7345">
              <w:rPr>
                <w:b/>
                <w:bCs/>
                <w:sz w:val="20"/>
                <w:szCs w:val="20"/>
              </w:rPr>
              <w:t>Hours per Response</w:t>
            </w:r>
          </w:p>
        </w:tc>
        <w:tc>
          <w:tcPr>
            <w:tcW w:w="820" w:type="dxa"/>
            <w:vAlign w:val="bottom"/>
          </w:tcPr>
          <w:p w14:paraId="190DEEA4" w14:textId="77777777" w:rsidR="00AD4F8C" w:rsidRPr="009C7345" w:rsidRDefault="00AD4F8C" w:rsidP="00AD4F8C">
            <w:pPr>
              <w:keepNext/>
              <w:rPr>
                <w:b/>
                <w:bCs/>
                <w:sz w:val="20"/>
                <w:szCs w:val="20"/>
              </w:rPr>
            </w:pPr>
            <w:r w:rsidRPr="009C7345">
              <w:rPr>
                <w:b/>
                <w:bCs/>
                <w:sz w:val="20"/>
                <w:szCs w:val="20"/>
              </w:rPr>
              <w:t>Total Burden Hours</w:t>
            </w:r>
          </w:p>
        </w:tc>
        <w:tc>
          <w:tcPr>
            <w:tcW w:w="900" w:type="dxa"/>
            <w:vAlign w:val="bottom"/>
          </w:tcPr>
          <w:p w14:paraId="4688CA51" w14:textId="77777777" w:rsidR="00AD4F8C" w:rsidRPr="009C7345" w:rsidRDefault="00AD4F8C" w:rsidP="00AD4F8C">
            <w:pPr>
              <w:keepNext/>
              <w:rPr>
                <w:b/>
                <w:bCs/>
                <w:sz w:val="20"/>
                <w:szCs w:val="20"/>
              </w:rPr>
            </w:pPr>
            <w:r w:rsidRPr="009C7345">
              <w:rPr>
                <w:b/>
                <w:bCs/>
                <w:sz w:val="20"/>
                <w:szCs w:val="20"/>
              </w:rPr>
              <w:t>Average Hourly Wage</w:t>
            </w:r>
          </w:p>
        </w:tc>
        <w:tc>
          <w:tcPr>
            <w:tcW w:w="1224" w:type="dxa"/>
            <w:vAlign w:val="bottom"/>
          </w:tcPr>
          <w:p w14:paraId="08C65CDF" w14:textId="77777777" w:rsidR="00AD4F8C" w:rsidRPr="009C7345" w:rsidRDefault="00AD4F8C" w:rsidP="00AD4F8C">
            <w:pPr>
              <w:keepNext/>
              <w:rPr>
                <w:b/>
                <w:bCs/>
                <w:sz w:val="20"/>
                <w:szCs w:val="20"/>
              </w:rPr>
            </w:pPr>
            <w:r w:rsidRPr="009C7345">
              <w:rPr>
                <w:b/>
                <w:bCs/>
                <w:sz w:val="20"/>
                <w:szCs w:val="20"/>
              </w:rPr>
              <w:t>Total Respondent Cost</w:t>
            </w:r>
            <w:r w:rsidRPr="009C7345">
              <w:rPr>
                <w:b/>
                <w:bCs/>
                <w:sz w:val="20"/>
                <w:szCs w:val="20"/>
                <w:vertAlign w:val="superscript"/>
              </w:rPr>
              <w:t>a</w:t>
            </w:r>
          </w:p>
        </w:tc>
      </w:tr>
      <w:tr w:rsidR="00AD4F8C" w:rsidRPr="009C7345" w14:paraId="0A8D9093" w14:textId="77777777" w:rsidTr="00FF461A">
        <w:trPr>
          <w:cantSplit/>
        </w:trPr>
        <w:tc>
          <w:tcPr>
            <w:tcW w:w="2052" w:type="dxa"/>
          </w:tcPr>
          <w:p w14:paraId="4CD950C3" w14:textId="77777777" w:rsidR="00AD4F8C" w:rsidRPr="009C7345" w:rsidRDefault="00AD4F8C" w:rsidP="00AD4F8C">
            <w:pPr>
              <w:keepNext/>
              <w:rPr>
                <w:i/>
                <w:iCs/>
                <w:sz w:val="20"/>
                <w:szCs w:val="20"/>
              </w:rPr>
            </w:pPr>
            <w:r>
              <w:rPr>
                <w:i/>
                <w:iCs/>
                <w:sz w:val="20"/>
                <w:szCs w:val="20"/>
              </w:rPr>
              <w:t>Grantee-Level Outcomes Module</w:t>
            </w:r>
          </w:p>
        </w:tc>
        <w:tc>
          <w:tcPr>
            <w:tcW w:w="1260" w:type="dxa"/>
            <w:vAlign w:val="center"/>
          </w:tcPr>
          <w:p w14:paraId="47FC3171" w14:textId="77777777" w:rsidR="00AD4F8C" w:rsidRPr="009C7345" w:rsidRDefault="00AD4F8C" w:rsidP="00AD4F8C">
            <w:pPr>
              <w:keepNext/>
              <w:tabs>
                <w:tab w:val="decimal" w:pos="640"/>
              </w:tabs>
              <w:rPr>
                <w:i/>
                <w:iCs/>
                <w:sz w:val="20"/>
                <w:szCs w:val="20"/>
              </w:rPr>
            </w:pPr>
            <w:r>
              <w:rPr>
                <w:i/>
                <w:iCs/>
                <w:sz w:val="20"/>
                <w:szCs w:val="20"/>
              </w:rPr>
              <w:t>25</w:t>
            </w:r>
          </w:p>
        </w:tc>
        <w:tc>
          <w:tcPr>
            <w:tcW w:w="1170" w:type="dxa"/>
            <w:vAlign w:val="center"/>
          </w:tcPr>
          <w:p w14:paraId="31018568" w14:textId="77777777" w:rsidR="00AD4F8C" w:rsidRPr="009C7345" w:rsidRDefault="00AD4F8C" w:rsidP="00AD4F8C">
            <w:pPr>
              <w:keepNext/>
              <w:tabs>
                <w:tab w:val="decimal" w:pos="640"/>
              </w:tabs>
              <w:rPr>
                <w:i/>
                <w:iCs/>
                <w:sz w:val="20"/>
                <w:szCs w:val="20"/>
              </w:rPr>
            </w:pPr>
            <w:r w:rsidRPr="009C7345">
              <w:rPr>
                <w:i/>
                <w:iCs/>
                <w:sz w:val="20"/>
                <w:szCs w:val="20"/>
              </w:rPr>
              <w:t>1</w:t>
            </w:r>
          </w:p>
        </w:tc>
        <w:tc>
          <w:tcPr>
            <w:tcW w:w="1080" w:type="dxa"/>
            <w:vAlign w:val="center"/>
          </w:tcPr>
          <w:p w14:paraId="2267B9F4" w14:textId="77777777" w:rsidR="00AD4F8C" w:rsidRPr="009C7345" w:rsidRDefault="00AD4F8C" w:rsidP="00661C74">
            <w:pPr>
              <w:keepNext/>
              <w:tabs>
                <w:tab w:val="decimal" w:pos="640"/>
              </w:tabs>
              <w:ind w:left="18" w:hanging="108"/>
              <w:rPr>
                <w:i/>
                <w:iCs/>
                <w:sz w:val="20"/>
                <w:szCs w:val="20"/>
              </w:rPr>
            </w:pPr>
            <w:r>
              <w:rPr>
                <w:i/>
                <w:iCs/>
                <w:sz w:val="20"/>
                <w:szCs w:val="20"/>
              </w:rPr>
              <w:t>25</w:t>
            </w:r>
          </w:p>
        </w:tc>
        <w:tc>
          <w:tcPr>
            <w:tcW w:w="1070" w:type="dxa"/>
            <w:vAlign w:val="center"/>
          </w:tcPr>
          <w:p w14:paraId="005590F3" w14:textId="77777777" w:rsidR="00AD4F8C" w:rsidRPr="009C7345" w:rsidRDefault="00AD4F8C" w:rsidP="00AD4F8C">
            <w:pPr>
              <w:keepNext/>
              <w:jc w:val="center"/>
              <w:rPr>
                <w:i/>
                <w:iCs/>
                <w:sz w:val="20"/>
                <w:szCs w:val="20"/>
              </w:rPr>
            </w:pPr>
            <w:r>
              <w:rPr>
                <w:i/>
                <w:iCs/>
                <w:sz w:val="20"/>
                <w:szCs w:val="20"/>
              </w:rPr>
              <w:t>3</w:t>
            </w:r>
          </w:p>
        </w:tc>
        <w:tc>
          <w:tcPr>
            <w:tcW w:w="820" w:type="dxa"/>
            <w:vAlign w:val="center"/>
          </w:tcPr>
          <w:p w14:paraId="6DA65C71" w14:textId="77777777" w:rsidR="00AD4F8C" w:rsidRPr="009C7345" w:rsidRDefault="00AD4F8C" w:rsidP="00AD4F8C">
            <w:pPr>
              <w:keepNext/>
              <w:jc w:val="center"/>
              <w:rPr>
                <w:i/>
                <w:iCs/>
                <w:sz w:val="20"/>
                <w:szCs w:val="20"/>
              </w:rPr>
            </w:pPr>
            <w:r>
              <w:rPr>
                <w:i/>
                <w:iCs/>
                <w:sz w:val="20"/>
                <w:szCs w:val="20"/>
              </w:rPr>
              <w:t>75</w:t>
            </w:r>
          </w:p>
        </w:tc>
        <w:tc>
          <w:tcPr>
            <w:tcW w:w="900" w:type="dxa"/>
            <w:vAlign w:val="center"/>
          </w:tcPr>
          <w:p w14:paraId="223554AA" w14:textId="77777777" w:rsidR="00AD4F8C" w:rsidRPr="009C7345" w:rsidRDefault="00AD4F8C" w:rsidP="00AD4F8C">
            <w:pPr>
              <w:keepNext/>
              <w:tabs>
                <w:tab w:val="decimal" w:pos="468"/>
              </w:tabs>
              <w:rPr>
                <w:i/>
                <w:iCs/>
                <w:sz w:val="20"/>
                <w:szCs w:val="20"/>
              </w:rPr>
            </w:pPr>
            <w:r w:rsidRPr="009C7345">
              <w:rPr>
                <w:i/>
                <w:iCs/>
                <w:sz w:val="20"/>
                <w:szCs w:val="20"/>
              </w:rPr>
              <w:t>$40.88</w:t>
            </w:r>
          </w:p>
        </w:tc>
        <w:tc>
          <w:tcPr>
            <w:tcW w:w="1224" w:type="dxa"/>
            <w:vAlign w:val="center"/>
          </w:tcPr>
          <w:p w14:paraId="72FDB820" w14:textId="6D4B1EC9" w:rsidR="00AD4F8C" w:rsidRPr="009C7345" w:rsidRDefault="00AD4F8C" w:rsidP="00AD4F8C">
            <w:pPr>
              <w:keepNext/>
              <w:tabs>
                <w:tab w:val="decimal" w:pos="828"/>
              </w:tabs>
              <w:rPr>
                <w:i/>
                <w:iCs/>
                <w:sz w:val="20"/>
                <w:szCs w:val="20"/>
              </w:rPr>
            </w:pPr>
            <w:r w:rsidRPr="009C7345">
              <w:rPr>
                <w:i/>
                <w:iCs/>
                <w:sz w:val="20"/>
                <w:szCs w:val="20"/>
              </w:rPr>
              <w:t>$</w:t>
            </w:r>
            <w:r>
              <w:rPr>
                <w:i/>
                <w:iCs/>
                <w:sz w:val="20"/>
                <w:szCs w:val="20"/>
              </w:rPr>
              <w:t>3</w:t>
            </w:r>
            <w:r w:rsidR="009A7B86">
              <w:rPr>
                <w:i/>
                <w:iCs/>
                <w:sz w:val="20"/>
                <w:szCs w:val="20"/>
              </w:rPr>
              <w:t>,</w:t>
            </w:r>
            <w:r>
              <w:rPr>
                <w:i/>
                <w:iCs/>
                <w:sz w:val="20"/>
                <w:szCs w:val="20"/>
              </w:rPr>
              <w:t>066</w:t>
            </w:r>
          </w:p>
        </w:tc>
      </w:tr>
      <w:tr w:rsidR="00AD4F8C" w:rsidRPr="009C7345" w14:paraId="32E43911" w14:textId="77777777" w:rsidTr="00FF461A">
        <w:trPr>
          <w:cantSplit/>
        </w:trPr>
        <w:tc>
          <w:tcPr>
            <w:tcW w:w="2052" w:type="dxa"/>
          </w:tcPr>
          <w:p w14:paraId="73F00F12" w14:textId="77777777" w:rsidR="00AD4F8C" w:rsidRPr="009C7345" w:rsidRDefault="00AD4F8C" w:rsidP="00AD4F8C">
            <w:pPr>
              <w:keepNext/>
              <w:rPr>
                <w:i/>
                <w:iCs/>
                <w:sz w:val="20"/>
                <w:szCs w:val="20"/>
                <w:vertAlign w:val="superscript"/>
              </w:rPr>
            </w:pPr>
            <w:r>
              <w:rPr>
                <w:i/>
                <w:iCs/>
                <w:sz w:val="20"/>
                <w:szCs w:val="20"/>
              </w:rPr>
              <w:t>Community-Level Outcomes Module</w:t>
            </w:r>
          </w:p>
        </w:tc>
        <w:tc>
          <w:tcPr>
            <w:tcW w:w="1260" w:type="dxa"/>
            <w:vAlign w:val="center"/>
          </w:tcPr>
          <w:p w14:paraId="5B7F242B" w14:textId="77777777" w:rsidR="00AD4F8C" w:rsidRPr="009C7345" w:rsidRDefault="00AD4F8C" w:rsidP="00AD4F8C">
            <w:pPr>
              <w:keepNext/>
              <w:jc w:val="center"/>
              <w:rPr>
                <w:i/>
                <w:iCs/>
                <w:sz w:val="20"/>
                <w:szCs w:val="20"/>
              </w:rPr>
            </w:pPr>
            <w:r>
              <w:rPr>
                <w:i/>
                <w:iCs/>
                <w:sz w:val="20"/>
                <w:szCs w:val="20"/>
              </w:rPr>
              <w:t>25</w:t>
            </w:r>
          </w:p>
        </w:tc>
        <w:tc>
          <w:tcPr>
            <w:tcW w:w="1170" w:type="dxa"/>
            <w:vAlign w:val="center"/>
          </w:tcPr>
          <w:p w14:paraId="379B5E90"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5E878517" w14:textId="77777777" w:rsidR="00AD4F8C" w:rsidRPr="009C7345" w:rsidRDefault="00AD4F8C" w:rsidP="00AD4F8C">
            <w:pPr>
              <w:keepNext/>
              <w:jc w:val="center"/>
              <w:rPr>
                <w:i/>
                <w:iCs/>
                <w:sz w:val="20"/>
                <w:szCs w:val="20"/>
              </w:rPr>
            </w:pPr>
            <w:r>
              <w:rPr>
                <w:i/>
                <w:iCs/>
                <w:sz w:val="20"/>
                <w:szCs w:val="20"/>
              </w:rPr>
              <w:t>25</w:t>
            </w:r>
          </w:p>
        </w:tc>
        <w:tc>
          <w:tcPr>
            <w:tcW w:w="1070" w:type="dxa"/>
            <w:vAlign w:val="center"/>
          </w:tcPr>
          <w:p w14:paraId="1009A7D6" w14:textId="77777777" w:rsidR="00AD4F8C" w:rsidRPr="009C7345" w:rsidRDefault="00AD4F8C" w:rsidP="00AD4F8C">
            <w:pPr>
              <w:keepNext/>
              <w:jc w:val="center"/>
              <w:rPr>
                <w:i/>
                <w:iCs/>
                <w:sz w:val="20"/>
                <w:szCs w:val="20"/>
              </w:rPr>
            </w:pPr>
            <w:r>
              <w:rPr>
                <w:i/>
                <w:iCs/>
                <w:sz w:val="20"/>
                <w:szCs w:val="20"/>
              </w:rPr>
              <w:t>3</w:t>
            </w:r>
          </w:p>
        </w:tc>
        <w:tc>
          <w:tcPr>
            <w:tcW w:w="820" w:type="dxa"/>
            <w:vAlign w:val="center"/>
          </w:tcPr>
          <w:p w14:paraId="5D788678" w14:textId="77777777" w:rsidR="00AD4F8C" w:rsidRPr="009C7345" w:rsidRDefault="00AD4F8C" w:rsidP="00AD4F8C">
            <w:pPr>
              <w:keepNext/>
              <w:jc w:val="center"/>
              <w:rPr>
                <w:i/>
                <w:iCs/>
                <w:sz w:val="20"/>
                <w:szCs w:val="20"/>
              </w:rPr>
            </w:pPr>
            <w:r>
              <w:rPr>
                <w:i/>
                <w:iCs/>
                <w:sz w:val="20"/>
                <w:szCs w:val="20"/>
              </w:rPr>
              <w:t>75</w:t>
            </w:r>
          </w:p>
        </w:tc>
        <w:tc>
          <w:tcPr>
            <w:tcW w:w="900" w:type="dxa"/>
            <w:vAlign w:val="center"/>
          </w:tcPr>
          <w:p w14:paraId="73CB9F9A" w14:textId="77777777" w:rsidR="00AD4F8C" w:rsidRPr="009C7345" w:rsidRDefault="00AD4F8C" w:rsidP="00AD4F8C">
            <w:pPr>
              <w:keepNext/>
              <w:jc w:val="center"/>
              <w:rPr>
                <w:i/>
                <w:iCs/>
                <w:sz w:val="20"/>
                <w:szCs w:val="20"/>
              </w:rPr>
            </w:pPr>
            <w:r w:rsidRPr="009C7345">
              <w:rPr>
                <w:i/>
                <w:iCs/>
                <w:sz w:val="20"/>
                <w:szCs w:val="20"/>
              </w:rPr>
              <w:t>$40.88</w:t>
            </w:r>
          </w:p>
        </w:tc>
        <w:tc>
          <w:tcPr>
            <w:tcW w:w="1224" w:type="dxa"/>
            <w:vAlign w:val="center"/>
          </w:tcPr>
          <w:p w14:paraId="65B6DA5E" w14:textId="203E069A" w:rsidR="00AD4F8C" w:rsidRPr="009C7345" w:rsidRDefault="00AD4F8C" w:rsidP="00AD4F8C">
            <w:pPr>
              <w:keepNext/>
              <w:tabs>
                <w:tab w:val="decimal" w:pos="828"/>
              </w:tabs>
              <w:rPr>
                <w:i/>
                <w:iCs/>
                <w:sz w:val="20"/>
                <w:szCs w:val="20"/>
              </w:rPr>
            </w:pPr>
            <w:r w:rsidRPr="009C7345">
              <w:rPr>
                <w:i/>
                <w:iCs/>
                <w:sz w:val="20"/>
                <w:szCs w:val="20"/>
              </w:rPr>
              <w:t>$</w:t>
            </w:r>
            <w:r>
              <w:rPr>
                <w:i/>
                <w:iCs/>
                <w:sz w:val="20"/>
                <w:szCs w:val="20"/>
              </w:rPr>
              <w:t>3</w:t>
            </w:r>
            <w:r w:rsidR="009A7B86">
              <w:rPr>
                <w:i/>
                <w:iCs/>
                <w:sz w:val="20"/>
                <w:szCs w:val="20"/>
              </w:rPr>
              <w:t>,</w:t>
            </w:r>
            <w:r>
              <w:rPr>
                <w:i/>
                <w:iCs/>
                <w:sz w:val="20"/>
                <w:szCs w:val="20"/>
              </w:rPr>
              <w:t>066</w:t>
            </w:r>
          </w:p>
        </w:tc>
      </w:tr>
      <w:tr w:rsidR="00AD4F8C" w:rsidRPr="006F4352" w14:paraId="63D6E7CA" w14:textId="77777777" w:rsidTr="00FF461A">
        <w:trPr>
          <w:cantSplit/>
        </w:trPr>
        <w:tc>
          <w:tcPr>
            <w:tcW w:w="2052" w:type="dxa"/>
          </w:tcPr>
          <w:p w14:paraId="786E10BF" w14:textId="77777777" w:rsidR="00AD4F8C" w:rsidRPr="006F4352" w:rsidDel="00FE4480" w:rsidRDefault="00AD4F8C" w:rsidP="00AD4F8C">
            <w:pPr>
              <w:keepNext/>
              <w:rPr>
                <w:i/>
                <w:iCs/>
                <w:sz w:val="20"/>
                <w:szCs w:val="20"/>
              </w:rPr>
            </w:pPr>
            <w:r w:rsidRPr="006F4352">
              <w:rPr>
                <w:i/>
                <w:iCs/>
                <w:sz w:val="20"/>
                <w:szCs w:val="20"/>
              </w:rPr>
              <w:t>Substitute Data Request Form</w:t>
            </w:r>
          </w:p>
        </w:tc>
        <w:tc>
          <w:tcPr>
            <w:tcW w:w="1260" w:type="dxa"/>
            <w:vAlign w:val="center"/>
          </w:tcPr>
          <w:p w14:paraId="31856BD8" w14:textId="704C839B" w:rsidR="00AD4F8C" w:rsidRPr="006F4352" w:rsidRDefault="00661C74" w:rsidP="00AD4F8C">
            <w:pPr>
              <w:keepNext/>
              <w:jc w:val="center"/>
              <w:rPr>
                <w:i/>
                <w:iCs/>
                <w:sz w:val="20"/>
                <w:szCs w:val="20"/>
              </w:rPr>
            </w:pPr>
            <w:r w:rsidRPr="006F4352">
              <w:rPr>
                <w:i/>
                <w:iCs/>
                <w:sz w:val="20"/>
                <w:szCs w:val="20"/>
              </w:rPr>
              <w:t>12</w:t>
            </w:r>
          </w:p>
        </w:tc>
        <w:tc>
          <w:tcPr>
            <w:tcW w:w="1170" w:type="dxa"/>
            <w:vAlign w:val="center"/>
          </w:tcPr>
          <w:p w14:paraId="66870C11" w14:textId="77777777" w:rsidR="00AD4F8C" w:rsidRPr="006F4352" w:rsidRDefault="00AD4F8C" w:rsidP="00AD4F8C">
            <w:pPr>
              <w:keepNext/>
              <w:jc w:val="center"/>
              <w:rPr>
                <w:i/>
                <w:iCs/>
                <w:sz w:val="20"/>
                <w:szCs w:val="20"/>
              </w:rPr>
            </w:pPr>
            <w:r w:rsidRPr="006F4352">
              <w:rPr>
                <w:i/>
                <w:iCs/>
                <w:sz w:val="20"/>
                <w:szCs w:val="20"/>
              </w:rPr>
              <w:t>1</w:t>
            </w:r>
          </w:p>
        </w:tc>
        <w:tc>
          <w:tcPr>
            <w:tcW w:w="1080" w:type="dxa"/>
            <w:vAlign w:val="center"/>
          </w:tcPr>
          <w:p w14:paraId="65E6D6C5" w14:textId="3C014E4B" w:rsidR="00AD4F8C" w:rsidRPr="006F4352" w:rsidDel="00FE4480" w:rsidRDefault="00661C74" w:rsidP="00AD4F8C">
            <w:pPr>
              <w:keepNext/>
              <w:jc w:val="center"/>
              <w:rPr>
                <w:i/>
                <w:iCs/>
                <w:sz w:val="20"/>
                <w:szCs w:val="20"/>
              </w:rPr>
            </w:pPr>
            <w:r w:rsidRPr="006F4352">
              <w:rPr>
                <w:i/>
                <w:iCs/>
                <w:sz w:val="20"/>
                <w:szCs w:val="20"/>
              </w:rPr>
              <w:t>12</w:t>
            </w:r>
          </w:p>
        </w:tc>
        <w:tc>
          <w:tcPr>
            <w:tcW w:w="1070" w:type="dxa"/>
            <w:vAlign w:val="center"/>
          </w:tcPr>
          <w:p w14:paraId="63CA214D" w14:textId="77777777" w:rsidR="00AD4F8C" w:rsidRPr="006F4352" w:rsidDel="00FE4480" w:rsidRDefault="00AD4F8C" w:rsidP="00AD4F8C">
            <w:pPr>
              <w:keepNext/>
              <w:jc w:val="center"/>
              <w:rPr>
                <w:i/>
                <w:iCs/>
                <w:sz w:val="20"/>
                <w:szCs w:val="20"/>
              </w:rPr>
            </w:pPr>
            <w:r w:rsidRPr="006F4352">
              <w:rPr>
                <w:i/>
                <w:iCs/>
                <w:sz w:val="20"/>
                <w:szCs w:val="20"/>
              </w:rPr>
              <w:t>1</w:t>
            </w:r>
          </w:p>
        </w:tc>
        <w:tc>
          <w:tcPr>
            <w:tcW w:w="820" w:type="dxa"/>
            <w:vAlign w:val="center"/>
          </w:tcPr>
          <w:p w14:paraId="5C6C69BA" w14:textId="659E28FE" w:rsidR="00AD4F8C" w:rsidRPr="006F4352" w:rsidDel="00FE4480" w:rsidRDefault="00661C74" w:rsidP="00AD4F8C">
            <w:pPr>
              <w:keepNext/>
              <w:jc w:val="center"/>
              <w:rPr>
                <w:i/>
                <w:iCs/>
                <w:sz w:val="20"/>
                <w:szCs w:val="20"/>
              </w:rPr>
            </w:pPr>
            <w:r w:rsidRPr="006F4352">
              <w:rPr>
                <w:i/>
                <w:iCs/>
                <w:sz w:val="20"/>
                <w:szCs w:val="20"/>
              </w:rPr>
              <w:t>12</w:t>
            </w:r>
          </w:p>
        </w:tc>
        <w:tc>
          <w:tcPr>
            <w:tcW w:w="900" w:type="dxa"/>
            <w:vAlign w:val="center"/>
          </w:tcPr>
          <w:p w14:paraId="4620EDD8" w14:textId="77777777" w:rsidR="00AD4F8C" w:rsidRPr="006F4352" w:rsidRDefault="00AD4F8C" w:rsidP="00AD4F8C">
            <w:pPr>
              <w:keepNext/>
              <w:jc w:val="center"/>
              <w:rPr>
                <w:i/>
                <w:iCs/>
                <w:sz w:val="20"/>
                <w:szCs w:val="20"/>
              </w:rPr>
            </w:pPr>
            <w:r w:rsidRPr="006F4352">
              <w:rPr>
                <w:i/>
                <w:iCs/>
                <w:sz w:val="20"/>
                <w:szCs w:val="20"/>
              </w:rPr>
              <w:t>$40.88</w:t>
            </w:r>
          </w:p>
        </w:tc>
        <w:tc>
          <w:tcPr>
            <w:tcW w:w="1224" w:type="dxa"/>
            <w:vAlign w:val="center"/>
          </w:tcPr>
          <w:p w14:paraId="7851592C" w14:textId="2395104B" w:rsidR="00AD4F8C" w:rsidRPr="006F4352" w:rsidRDefault="00661C74" w:rsidP="00661C74">
            <w:pPr>
              <w:keepNext/>
              <w:tabs>
                <w:tab w:val="left" w:pos="391"/>
                <w:tab w:val="decimal" w:pos="828"/>
              </w:tabs>
              <w:rPr>
                <w:i/>
                <w:iCs/>
                <w:sz w:val="20"/>
                <w:szCs w:val="20"/>
              </w:rPr>
            </w:pPr>
            <w:r w:rsidRPr="006F4352">
              <w:rPr>
                <w:i/>
                <w:iCs/>
                <w:sz w:val="20"/>
                <w:szCs w:val="20"/>
              </w:rPr>
              <w:t xml:space="preserve">   </w:t>
            </w:r>
            <w:r w:rsidR="00AD4F8C" w:rsidRPr="006F4352">
              <w:rPr>
                <w:i/>
                <w:iCs/>
                <w:sz w:val="20"/>
                <w:szCs w:val="20"/>
              </w:rPr>
              <w:t xml:space="preserve"> </w:t>
            </w:r>
            <w:r w:rsidRPr="006F4352">
              <w:rPr>
                <w:i/>
                <w:iCs/>
                <w:sz w:val="20"/>
                <w:szCs w:val="20"/>
              </w:rPr>
              <w:t>$490.56</w:t>
            </w:r>
          </w:p>
        </w:tc>
      </w:tr>
      <w:tr w:rsidR="00AD4F8C" w:rsidRPr="006F4352" w14:paraId="074F73B1" w14:textId="77777777" w:rsidTr="00FF461A">
        <w:trPr>
          <w:cantSplit/>
        </w:trPr>
        <w:tc>
          <w:tcPr>
            <w:tcW w:w="2052" w:type="dxa"/>
          </w:tcPr>
          <w:p w14:paraId="4687257F" w14:textId="77777777" w:rsidR="00AD4F8C" w:rsidRPr="006F4352" w:rsidRDefault="00AD4F8C" w:rsidP="00AD4F8C">
            <w:pPr>
              <w:keepNext/>
              <w:rPr>
                <w:i/>
                <w:iCs/>
                <w:sz w:val="20"/>
                <w:szCs w:val="20"/>
              </w:rPr>
            </w:pPr>
            <w:r w:rsidRPr="006F4352">
              <w:rPr>
                <w:i/>
                <w:iCs/>
                <w:sz w:val="20"/>
                <w:szCs w:val="20"/>
              </w:rPr>
              <w:t>Annual Implementation Instrument</w:t>
            </w:r>
          </w:p>
        </w:tc>
        <w:tc>
          <w:tcPr>
            <w:tcW w:w="1260" w:type="dxa"/>
            <w:vAlign w:val="center"/>
          </w:tcPr>
          <w:p w14:paraId="49B64F4E" w14:textId="77777777" w:rsidR="00AD4F8C" w:rsidRPr="006F4352" w:rsidRDefault="00AD4F8C" w:rsidP="00AD4F8C">
            <w:pPr>
              <w:keepNext/>
              <w:jc w:val="center"/>
              <w:rPr>
                <w:i/>
                <w:iCs/>
                <w:sz w:val="20"/>
                <w:szCs w:val="20"/>
              </w:rPr>
            </w:pPr>
            <w:r w:rsidRPr="006F4352">
              <w:rPr>
                <w:i/>
                <w:iCs/>
                <w:sz w:val="20"/>
                <w:szCs w:val="20"/>
              </w:rPr>
              <w:t>100</w:t>
            </w:r>
          </w:p>
        </w:tc>
        <w:tc>
          <w:tcPr>
            <w:tcW w:w="1170" w:type="dxa"/>
            <w:vAlign w:val="center"/>
          </w:tcPr>
          <w:p w14:paraId="720D38D4" w14:textId="77777777" w:rsidR="00AD4F8C" w:rsidRPr="006F4352" w:rsidRDefault="00AD4F8C" w:rsidP="00AD4F8C">
            <w:pPr>
              <w:keepNext/>
              <w:jc w:val="center"/>
              <w:rPr>
                <w:i/>
                <w:iCs/>
                <w:sz w:val="20"/>
                <w:szCs w:val="20"/>
              </w:rPr>
            </w:pPr>
            <w:r w:rsidRPr="006F4352">
              <w:rPr>
                <w:i/>
                <w:iCs/>
                <w:sz w:val="20"/>
                <w:szCs w:val="20"/>
              </w:rPr>
              <w:t>1</w:t>
            </w:r>
          </w:p>
        </w:tc>
        <w:tc>
          <w:tcPr>
            <w:tcW w:w="1080" w:type="dxa"/>
            <w:vAlign w:val="center"/>
          </w:tcPr>
          <w:p w14:paraId="004A0086" w14:textId="77777777" w:rsidR="00AD4F8C" w:rsidRPr="006F4352" w:rsidRDefault="00AD4F8C" w:rsidP="00AD4F8C">
            <w:pPr>
              <w:keepNext/>
              <w:jc w:val="center"/>
              <w:rPr>
                <w:i/>
                <w:iCs/>
                <w:sz w:val="20"/>
                <w:szCs w:val="20"/>
              </w:rPr>
            </w:pPr>
            <w:r w:rsidRPr="006F4352">
              <w:rPr>
                <w:i/>
                <w:iCs/>
                <w:sz w:val="20"/>
                <w:szCs w:val="20"/>
              </w:rPr>
              <w:t>100</w:t>
            </w:r>
          </w:p>
        </w:tc>
        <w:tc>
          <w:tcPr>
            <w:tcW w:w="1070" w:type="dxa"/>
            <w:vAlign w:val="center"/>
          </w:tcPr>
          <w:p w14:paraId="3202D08C" w14:textId="77777777" w:rsidR="00AD4F8C" w:rsidRPr="006F4352" w:rsidRDefault="00AD4F8C" w:rsidP="00AD4F8C">
            <w:pPr>
              <w:keepNext/>
              <w:jc w:val="center"/>
              <w:rPr>
                <w:i/>
                <w:iCs/>
                <w:sz w:val="20"/>
                <w:szCs w:val="20"/>
              </w:rPr>
            </w:pPr>
            <w:r w:rsidRPr="006F4352">
              <w:rPr>
                <w:i/>
                <w:iCs/>
                <w:sz w:val="20"/>
                <w:szCs w:val="20"/>
              </w:rPr>
              <w:t>2.3</w:t>
            </w:r>
          </w:p>
        </w:tc>
        <w:tc>
          <w:tcPr>
            <w:tcW w:w="820" w:type="dxa"/>
            <w:vAlign w:val="center"/>
          </w:tcPr>
          <w:p w14:paraId="310769B9" w14:textId="77777777" w:rsidR="00AD4F8C" w:rsidRPr="006F4352" w:rsidRDefault="00AD4F8C" w:rsidP="00AD4F8C">
            <w:pPr>
              <w:keepNext/>
              <w:jc w:val="center"/>
              <w:rPr>
                <w:i/>
                <w:iCs/>
                <w:sz w:val="20"/>
                <w:szCs w:val="20"/>
              </w:rPr>
            </w:pPr>
            <w:r w:rsidRPr="006F4352">
              <w:rPr>
                <w:i/>
                <w:iCs/>
                <w:sz w:val="20"/>
                <w:szCs w:val="20"/>
              </w:rPr>
              <w:t>230</w:t>
            </w:r>
          </w:p>
        </w:tc>
        <w:tc>
          <w:tcPr>
            <w:tcW w:w="900" w:type="dxa"/>
            <w:vAlign w:val="center"/>
          </w:tcPr>
          <w:p w14:paraId="046F9E6D" w14:textId="77777777" w:rsidR="00AD4F8C" w:rsidRPr="006F4352" w:rsidRDefault="00AD4F8C" w:rsidP="00AD4F8C">
            <w:pPr>
              <w:keepNext/>
              <w:jc w:val="center"/>
              <w:rPr>
                <w:i/>
                <w:iCs/>
                <w:sz w:val="20"/>
                <w:szCs w:val="20"/>
              </w:rPr>
            </w:pPr>
            <w:r w:rsidRPr="006F4352">
              <w:rPr>
                <w:i/>
                <w:iCs/>
                <w:sz w:val="20"/>
                <w:szCs w:val="20"/>
              </w:rPr>
              <w:t>$40.88</w:t>
            </w:r>
          </w:p>
        </w:tc>
        <w:tc>
          <w:tcPr>
            <w:tcW w:w="1224" w:type="dxa"/>
            <w:vAlign w:val="center"/>
          </w:tcPr>
          <w:p w14:paraId="491D6243" w14:textId="2EC439A9" w:rsidR="00AD4F8C" w:rsidRPr="006F4352" w:rsidRDefault="00AD4F8C" w:rsidP="00154014">
            <w:pPr>
              <w:keepNext/>
              <w:tabs>
                <w:tab w:val="decimal" w:pos="828"/>
              </w:tabs>
              <w:rPr>
                <w:i/>
                <w:iCs/>
                <w:sz w:val="20"/>
                <w:szCs w:val="20"/>
              </w:rPr>
            </w:pPr>
            <w:r w:rsidRPr="006F4352">
              <w:rPr>
                <w:i/>
                <w:iCs/>
                <w:sz w:val="20"/>
                <w:szCs w:val="20"/>
              </w:rPr>
              <w:t>$9</w:t>
            </w:r>
            <w:r w:rsidR="009A7B86" w:rsidRPr="006F4352">
              <w:rPr>
                <w:i/>
                <w:iCs/>
                <w:sz w:val="20"/>
                <w:szCs w:val="20"/>
              </w:rPr>
              <w:t>,</w:t>
            </w:r>
            <w:r w:rsidR="00154014" w:rsidRPr="006F4352">
              <w:rPr>
                <w:i/>
                <w:iCs/>
                <w:sz w:val="20"/>
                <w:szCs w:val="20"/>
              </w:rPr>
              <w:t>402.40</w:t>
            </w:r>
          </w:p>
        </w:tc>
      </w:tr>
      <w:tr w:rsidR="00AD4F8C" w:rsidRPr="006F4352" w14:paraId="29C145F3" w14:textId="77777777" w:rsidTr="00FF461A">
        <w:trPr>
          <w:cantSplit/>
        </w:trPr>
        <w:tc>
          <w:tcPr>
            <w:tcW w:w="2052" w:type="dxa"/>
          </w:tcPr>
          <w:p w14:paraId="0E160E7E" w14:textId="77777777" w:rsidR="00AD4F8C" w:rsidRPr="006F4352" w:rsidDel="00FE4480" w:rsidRDefault="00AD4F8C" w:rsidP="00AD4F8C">
            <w:pPr>
              <w:keepNext/>
              <w:rPr>
                <w:i/>
                <w:iCs/>
                <w:sz w:val="20"/>
                <w:szCs w:val="20"/>
              </w:rPr>
            </w:pPr>
            <w:r w:rsidRPr="006F4352">
              <w:rPr>
                <w:i/>
                <w:iCs/>
                <w:sz w:val="20"/>
                <w:szCs w:val="20"/>
              </w:rPr>
              <w:t>Grantee-Level Interview</w:t>
            </w:r>
          </w:p>
        </w:tc>
        <w:tc>
          <w:tcPr>
            <w:tcW w:w="1260" w:type="dxa"/>
            <w:vAlign w:val="center"/>
          </w:tcPr>
          <w:p w14:paraId="7F36AC4B" w14:textId="7D97798D" w:rsidR="00AD4F8C" w:rsidRPr="006F4352" w:rsidRDefault="00E77965" w:rsidP="00AD4F8C">
            <w:pPr>
              <w:keepNext/>
              <w:jc w:val="center"/>
              <w:rPr>
                <w:i/>
                <w:iCs/>
                <w:sz w:val="20"/>
                <w:szCs w:val="20"/>
              </w:rPr>
            </w:pPr>
            <w:r w:rsidRPr="006F4352">
              <w:rPr>
                <w:i/>
                <w:iCs/>
                <w:sz w:val="20"/>
                <w:szCs w:val="20"/>
              </w:rPr>
              <w:t>0</w:t>
            </w:r>
          </w:p>
        </w:tc>
        <w:tc>
          <w:tcPr>
            <w:tcW w:w="1170" w:type="dxa"/>
            <w:vAlign w:val="center"/>
          </w:tcPr>
          <w:p w14:paraId="6F7CC61C" w14:textId="371F1D9E" w:rsidR="00AD4F8C" w:rsidRPr="006F4352" w:rsidRDefault="00E77965" w:rsidP="00AD4F8C">
            <w:pPr>
              <w:keepNext/>
              <w:jc w:val="center"/>
              <w:rPr>
                <w:i/>
                <w:iCs/>
                <w:sz w:val="20"/>
                <w:szCs w:val="20"/>
              </w:rPr>
            </w:pPr>
            <w:r w:rsidRPr="006F4352">
              <w:rPr>
                <w:i/>
                <w:iCs/>
                <w:sz w:val="20"/>
                <w:szCs w:val="20"/>
              </w:rPr>
              <w:t>0</w:t>
            </w:r>
          </w:p>
        </w:tc>
        <w:tc>
          <w:tcPr>
            <w:tcW w:w="1080" w:type="dxa"/>
            <w:vAlign w:val="center"/>
          </w:tcPr>
          <w:p w14:paraId="20C90C98" w14:textId="3FC018EE" w:rsidR="00AD4F8C" w:rsidRPr="006F4352" w:rsidDel="00FE4480" w:rsidRDefault="00E77965" w:rsidP="00AD4F8C">
            <w:pPr>
              <w:keepNext/>
              <w:jc w:val="center"/>
              <w:rPr>
                <w:i/>
                <w:iCs/>
                <w:sz w:val="20"/>
                <w:szCs w:val="20"/>
              </w:rPr>
            </w:pPr>
            <w:r w:rsidRPr="006F4352">
              <w:rPr>
                <w:i/>
                <w:iCs/>
                <w:sz w:val="20"/>
                <w:szCs w:val="20"/>
              </w:rPr>
              <w:t>0</w:t>
            </w:r>
          </w:p>
        </w:tc>
        <w:tc>
          <w:tcPr>
            <w:tcW w:w="1070" w:type="dxa"/>
            <w:vAlign w:val="center"/>
          </w:tcPr>
          <w:p w14:paraId="5BF4F6C3" w14:textId="77777777" w:rsidR="00AD4F8C" w:rsidRPr="006F4352" w:rsidDel="00FE4480" w:rsidRDefault="00AD4F8C" w:rsidP="00AD4F8C">
            <w:pPr>
              <w:keepNext/>
              <w:jc w:val="center"/>
              <w:rPr>
                <w:i/>
                <w:iCs/>
                <w:sz w:val="20"/>
                <w:szCs w:val="20"/>
              </w:rPr>
            </w:pPr>
            <w:r w:rsidRPr="006F4352">
              <w:rPr>
                <w:i/>
                <w:iCs/>
                <w:sz w:val="20"/>
                <w:szCs w:val="20"/>
              </w:rPr>
              <w:t>1.5</w:t>
            </w:r>
          </w:p>
        </w:tc>
        <w:tc>
          <w:tcPr>
            <w:tcW w:w="820" w:type="dxa"/>
            <w:vAlign w:val="center"/>
          </w:tcPr>
          <w:p w14:paraId="5FAB84FC" w14:textId="478936D4" w:rsidR="00AD4F8C" w:rsidRPr="006F4352" w:rsidDel="00FE4480" w:rsidRDefault="00E77965" w:rsidP="00AD4F8C">
            <w:pPr>
              <w:keepNext/>
              <w:jc w:val="center"/>
              <w:rPr>
                <w:i/>
                <w:iCs/>
                <w:sz w:val="20"/>
                <w:szCs w:val="20"/>
              </w:rPr>
            </w:pPr>
            <w:r w:rsidRPr="006F4352">
              <w:rPr>
                <w:i/>
                <w:iCs/>
                <w:sz w:val="20"/>
                <w:szCs w:val="20"/>
              </w:rPr>
              <w:t>0</w:t>
            </w:r>
          </w:p>
        </w:tc>
        <w:tc>
          <w:tcPr>
            <w:tcW w:w="900" w:type="dxa"/>
            <w:vAlign w:val="center"/>
          </w:tcPr>
          <w:p w14:paraId="521991D6" w14:textId="76095115" w:rsidR="00AD4F8C" w:rsidRPr="006F4352" w:rsidRDefault="00E77965" w:rsidP="00AD4F8C">
            <w:pPr>
              <w:keepNext/>
              <w:jc w:val="center"/>
              <w:rPr>
                <w:i/>
                <w:iCs/>
                <w:sz w:val="20"/>
                <w:szCs w:val="20"/>
              </w:rPr>
            </w:pPr>
            <w:r w:rsidRPr="006F4352">
              <w:rPr>
                <w:i/>
                <w:iCs/>
                <w:sz w:val="20"/>
                <w:szCs w:val="20"/>
              </w:rPr>
              <w:t>0</w:t>
            </w:r>
          </w:p>
        </w:tc>
        <w:tc>
          <w:tcPr>
            <w:tcW w:w="1224" w:type="dxa"/>
            <w:vAlign w:val="center"/>
          </w:tcPr>
          <w:p w14:paraId="39FC93DD" w14:textId="5E788C50" w:rsidR="00AD4F8C" w:rsidRPr="006F4352" w:rsidRDefault="00E77965" w:rsidP="00AD4F8C">
            <w:pPr>
              <w:keepNext/>
              <w:tabs>
                <w:tab w:val="decimal" w:pos="828"/>
              </w:tabs>
              <w:rPr>
                <w:i/>
                <w:iCs/>
                <w:sz w:val="20"/>
                <w:szCs w:val="20"/>
              </w:rPr>
            </w:pPr>
            <w:r w:rsidRPr="006F4352">
              <w:rPr>
                <w:i/>
                <w:iCs/>
                <w:sz w:val="20"/>
                <w:szCs w:val="20"/>
              </w:rPr>
              <w:t>0</w:t>
            </w:r>
          </w:p>
        </w:tc>
      </w:tr>
      <w:tr w:rsidR="00AD4F8C" w:rsidRPr="006F4352" w14:paraId="5AFD27B7" w14:textId="77777777" w:rsidTr="00FF461A">
        <w:trPr>
          <w:cantSplit/>
        </w:trPr>
        <w:tc>
          <w:tcPr>
            <w:tcW w:w="2052" w:type="dxa"/>
          </w:tcPr>
          <w:p w14:paraId="76A54BBF" w14:textId="25C19401" w:rsidR="00AD4F8C" w:rsidRPr="006F4352" w:rsidRDefault="00AD4F8C" w:rsidP="00AD4F8C">
            <w:pPr>
              <w:rPr>
                <w:b/>
                <w:bCs/>
                <w:sz w:val="20"/>
                <w:szCs w:val="20"/>
              </w:rPr>
            </w:pPr>
            <w:r w:rsidRPr="006F4352">
              <w:rPr>
                <w:b/>
                <w:bCs/>
                <w:sz w:val="20"/>
                <w:szCs w:val="20"/>
              </w:rPr>
              <w:t>FY2020 TOTAL</w:t>
            </w:r>
          </w:p>
        </w:tc>
        <w:tc>
          <w:tcPr>
            <w:tcW w:w="1260" w:type="dxa"/>
            <w:vAlign w:val="center"/>
          </w:tcPr>
          <w:p w14:paraId="3E57E1BD" w14:textId="6C3564EF" w:rsidR="00AD4F8C" w:rsidRPr="006F4352" w:rsidRDefault="00C137D5" w:rsidP="00AD4F8C">
            <w:pPr>
              <w:tabs>
                <w:tab w:val="decimal" w:pos="640"/>
              </w:tabs>
              <w:rPr>
                <w:b/>
                <w:bCs/>
                <w:sz w:val="20"/>
                <w:szCs w:val="20"/>
              </w:rPr>
            </w:pPr>
            <w:r>
              <w:rPr>
                <w:b/>
                <w:bCs/>
                <w:sz w:val="20"/>
                <w:szCs w:val="20"/>
              </w:rPr>
              <w:t>100</w:t>
            </w:r>
          </w:p>
        </w:tc>
        <w:tc>
          <w:tcPr>
            <w:tcW w:w="1170" w:type="dxa"/>
            <w:shd w:val="clear" w:color="auto" w:fill="D9D9D9" w:themeFill="background1" w:themeFillShade="D9"/>
            <w:vAlign w:val="center"/>
          </w:tcPr>
          <w:p w14:paraId="4C7BD32C" w14:textId="77777777" w:rsidR="00AD4F8C" w:rsidRPr="006F4352" w:rsidRDefault="00AD4F8C" w:rsidP="00AD4F8C">
            <w:pPr>
              <w:tabs>
                <w:tab w:val="decimal" w:pos="640"/>
              </w:tabs>
              <w:rPr>
                <w:b/>
                <w:bCs/>
                <w:sz w:val="20"/>
                <w:szCs w:val="20"/>
              </w:rPr>
            </w:pPr>
          </w:p>
        </w:tc>
        <w:tc>
          <w:tcPr>
            <w:tcW w:w="1080" w:type="dxa"/>
            <w:vAlign w:val="center"/>
          </w:tcPr>
          <w:p w14:paraId="45610BB6" w14:textId="55D4092E" w:rsidR="00AD4F8C" w:rsidRPr="006F4352" w:rsidRDefault="00AD4F8C" w:rsidP="00AD4F8C">
            <w:pPr>
              <w:tabs>
                <w:tab w:val="decimal" w:pos="640"/>
              </w:tabs>
              <w:rPr>
                <w:b/>
                <w:bCs/>
                <w:sz w:val="20"/>
                <w:szCs w:val="20"/>
              </w:rPr>
            </w:pPr>
            <w:r w:rsidRPr="006F4352">
              <w:rPr>
                <w:b/>
                <w:bCs/>
                <w:sz w:val="20"/>
                <w:szCs w:val="20"/>
              </w:rPr>
              <w:t>1</w:t>
            </w:r>
            <w:r w:rsidR="00AE097C">
              <w:rPr>
                <w:b/>
                <w:bCs/>
                <w:sz w:val="20"/>
                <w:szCs w:val="20"/>
              </w:rPr>
              <w:t>6</w:t>
            </w:r>
            <w:bookmarkStart w:id="6" w:name="_GoBack"/>
            <w:bookmarkEnd w:id="6"/>
            <w:r w:rsidR="00E77965" w:rsidRPr="006F4352">
              <w:rPr>
                <w:b/>
                <w:bCs/>
                <w:sz w:val="20"/>
                <w:szCs w:val="20"/>
              </w:rPr>
              <w:t>2</w:t>
            </w:r>
          </w:p>
        </w:tc>
        <w:tc>
          <w:tcPr>
            <w:tcW w:w="1070" w:type="dxa"/>
            <w:shd w:val="clear" w:color="auto" w:fill="D9D9D9" w:themeFill="background1" w:themeFillShade="D9"/>
            <w:vAlign w:val="center"/>
          </w:tcPr>
          <w:p w14:paraId="370B1EF5" w14:textId="77777777" w:rsidR="00AD4F8C" w:rsidRPr="006F4352" w:rsidRDefault="00AD4F8C" w:rsidP="00AD4F8C">
            <w:pPr>
              <w:tabs>
                <w:tab w:val="decimal" w:pos="549"/>
              </w:tabs>
              <w:rPr>
                <w:b/>
                <w:bCs/>
                <w:sz w:val="20"/>
                <w:szCs w:val="20"/>
              </w:rPr>
            </w:pPr>
          </w:p>
        </w:tc>
        <w:tc>
          <w:tcPr>
            <w:tcW w:w="820" w:type="dxa"/>
            <w:vAlign w:val="center"/>
          </w:tcPr>
          <w:p w14:paraId="40AF6EAD" w14:textId="6BDA59AE" w:rsidR="00AD4F8C" w:rsidRPr="006F4352" w:rsidRDefault="00E77965" w:rsidP="00C137D5">
            <w:pPr>
              <w:tabs>
                <w:tab w:val="decimal" w:pos="478"/>
              </w:tabs>
              <w:jc w:val="center"/>
              <w:rPr>
                <w:b/>
                <w:bCs/>
                <w:sz w:val="20"/>
                <w:szCs w:val="20"/>
              </w:rPr>
            </w:pPr>
            <w:r w:rsidRPr="006F4352">
              <w:rPr>
                <w:b/>
                <w:bCs/>
                <w:sz w:val="20"/>
                <w:szCs w:val="20"/>
              </w:rPr>
              <w:t>3</w:t>
            </w:r>
            <w:r w:rsidR="00C137D5">
              <w:rPr>
                <w:b/>
                <w:bCs/>
                <w:sz w:val="20"/>
                <w:szCs w:val="20"/>
              </w:rPr>
              <w:t>92</w:t>
            </w:r>
          </w:p>
        </w:tc>
        <w:tc>
          <w:tcPr>
            <w:tcW w:w="900" w:type="dxa"/>
            <w:shd w:val="clear" w:color="auto" w:fill="D9D9D9" w:themeFill="background1" w:themeFillShade="D9"/>
            <w:vAlign w:val="center"/>
          </w:tcPr>
          <w:p w14:paraId="2535BC3D" w14:textId="77777777" w:rsidR="00AD4F8C" w:rsidRPr="006F4352" w:rsidRDefault="00AD4F8C" w:rsidP="00AD4F8C">
            <w:pPr>
              <w:tabs>
                <w:tab w:val="decimal" w:pos="468"/>
              </w:tabs>
              <w:rPr>
                <w:b/>
                <w:bCs/>
                <w:sz w:val="20"/>
                <w:szCs w:val="20"/>
              </w:rPr>
            </w:pPr>
          </w:p>
        </w:tc>
        <w:tc>
          <w:tcPr>
            <w:tcW w:w="1224" w:type="dxa"/>
            <w:vAlign w:val="center"/>
          </w:tcPr>
          <w:p w14:paraId="19833E63" w14:textId="26CFDF78" w:rsidR="00AD4F8C" w:rsidRPr="006F4352" w:rsidRDefault="00AD4F8C" w:rsidP="00AD4F8C">
            <w:pPr>
              <w:tabs>
                <w:tab w:val="decimal" w:pos="828"/>
              </w:tabs>
              <w:rPr>
                <w:b/>
                <w:bCs/>
                <w:sz w:val="20"/>
                <w:szCs w:val="20"/>
              </w:rPr>
            </w:pPr>
            <w:r w:rsidRPr="006F4352">
              <w:rPr>
                <w:b/>
                <w:bCs/>
                <w:sz w:val="20"/>
                <w:szCs w:val="20"/>
              </w:rPr>
              <w:t>$</w:t>
            </w:r>
            <w:r w:rsidR="00C654F1" w:rsidRPr="006F4352">
              <w:rPr>
                <w:b/>
                <w:bCs/>
                <w:sz w:val="20"/>
                <w:szCs w:val="20"/>
              </w:rPr>
              <w:t>1</w:t>
            </w:r>
            <w:r w:rsidR="006F4352" w:rsidRPr="006F4352">
              <w:rPr>
                <w:b/>
                <w:bCs/>
                <w:sz w:val="20"/>
                <w:szCs w:val="20"/>
              </w:rPr>
              <w:t>6</w:t>
            </w:r>
            <w:r w:rsidR="00C654F1" w:rsidRPr="006F4352">
              <w:rPr>
                <w:b/>
                <w:bCs/>
                <w:sz w:val="20"/>
                <w:szCs w:val="20"/>
              </w:rPr>
              <w:t>,</w:t>
            </w:r>
            <w:r w:rsidR="006F4352" w:rsidRPr="006F4352">
              <w:rPr>
                <w:b/>
                <w:bCs/>
                <w:sz w:val="20"/>
                <w:szCs w:val="20"/>
              </w:rPr>
              <w:t>024.96</w:t>
            </w:r>
          </w:p>
        </w:tc>
      </w:tr>
    </w:tbl>
    <w:p w14:paraId="23C90FAA" w14:textId="07120291" w:rsidR="000D2F08" w:rsidRPr="006F4352" w:rsidRDefault="000D2F08" w:rsidP="00E42198">
      <w:pPr>
        <w:pStyle w:val="ExhibitNote2"/>
      </w:pPr>
      <w:proofErr w:type="gramStart"/>
      <w:r w:rsidRPr="006F4352">
        <w:rPr>
          <w:vertAlign w:val="superscript"/>
        </w:rPr>
        <w:t>a</w:t>
      </w:r>
      <w:proofErr w:type="gramEnd"/>
      <w:r w:rsidRPr="006F4352">
        <w:t xml:space="preserve"> </w:t>
      </w:r>
      <w:r w:rsidRPr="006F4352">
        <w:rPr>
          <w:b/>
          <w:bCs/>
        </w:rPr>
        <w:t>Total respondent cost</w:t>
      </w:r>
      <w:r w:rsidRPr="006F4352">
        <w:t xml:space="preserve"> is calculated as total burden hours </w:t>
      </w:r>
      <w:r w:rsidR="006C1E58" w:rsidRPr="006F4352">
        <w:t>×</w:t>
      </w:r>
      <w:r w:rsidRPr="006F4352">
        <w:t xml:space="preserve"> average hourly wage.</w:t>
      </w:r>
    </w:p>
    <w:p w14:paraId="5C94CF57" w14:textId="3ADC853D" w:rsidR="000D2F08" w:rsidRDefault="000D2F08" w:rsidP="000D2F08">
      <w:pPr>
        <w:rPr>
          <w:b/>
          <w:bCs/>
        </w:rPr>
      </w:pPr>
      <w:r w:rsidRPr="006F4352">
        <w:rPr>
          <w:b/>
          <w:bCs/>
        </w:rPr>
        <w:t>Ex</w:t>
      </w:r>
      <w:r w:rsidR="00AD4F8C" w:rsidRPr="006F4352">
        <w:rPr>
          <w:b/>
          <w:bCs/>
        </w:rPr>
        <w:t>hibit 7</w:t>
      </w:r>
      <w:r w:rsidR="00E42198" w:rsidRPr="006F4352">
        <w:rPr>
          <w:b/>
          <w:bCs/>
        </w:rPr>
        <w:t>:</w:t>
      </w:r>
      <w:r w:rsidRPr="006F4352">
        <w:rPr>
          <w:b/>
          <w:bCs/>
        </w:rPr>
        <w:t xml:space="preserve"> Annualized Data Collection Burden</w:t>
      </w:r>
    </w:p>
    <w:p w14:paraId="576E1404" w14:textId="77777777" w:rsidR="00C137D5" w:rsidRPr="006F4352" w:rsidRDefault="00C137D5" w:rsidP="000D2F08">
      <w:pPr>
        <w:rPr>
          <w:rFonts w:ascii="Times New Roman Bold" w:hAnsi="Times New Roman Bold"/>
          <w:b/>
          <w:bCs/>
          <w:vertAlign w:val="superscript"/>
        </w:rPr>
      </w:pPr>
    </w:p>
    <w:tbl>
      <w:tblPr>
        <w:tblW w:w="95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AD4F8C" w:rsidRPr="006F4352" w14:paraId="46D5F9EB" w14:textId="77777777" w:rsidTr="00FF461A">
        <w:trPr>
          <w:cantSplit/>
        </w:trPr>
        <w:tc>
          <w:tcPr>
            <w:tcW w:w="2052" w:type="dxa"/>
            <w:vAlign w:val="bottom"/>
          </w:tcPr>
          <w:p w14:paraId="2EEE24F2" w14:textId="77777777" w:rsidR="00AD4F8C" w:rsidRPr="006F4352" w:rsidRDefault="00AD4F8C" w:rsidP="00AD4F8C">
            <w:pPr>
              <w:keepNext/>
              <w:rPr>
                <w:b/>
                <w:sz w:val="20"/>
                <w:szCs w:val="20"/>
              </w:rPr>
            </w:pPr>
            <w:r w:rsidRPr="006F4352">
              <w:rPr>
                <w:b/>
                <w:sz w:val="20"/>
                <w:szCs w:val="20"/>
              </w:rPr>
              <w:t>Instrument</w:t>
            </w:r>
          </w:p>
        </w:tc>
        <w:tc>
          <w:tcPr>
            <w:tcW w:w="1260" w:type="dxa"/>
            <w:vAlign w:val="bottom"/>
          </w:tcPr>
          <w:p w14:paraId="010C192E" w14:textId="77777777" w:rsidR="00AD4F8C" w:rsidRPr="006F4352" w:rsidRDefault="00AD4F8C" w:rsidP="00AD4F8C">
            <w:pPr>
              <w:keepNext/>
              <w:rPr>
                <w:b/>
                <w:bCs/>
                <w:sz w:val="20"/>
                <w:szCs w:val="20"/>
              </w:rPr>
            </w:pPr>
            <w:r w:rsidRPr="006F4352">
              <w:rPr>
                <w:b/>
                <w:bCs/>
                <w:sz w:val="20"/>
                <w:szCs w:val="20"/>
              </w:rPr>
              <w:t>Number of Respondents</w:t>
            </w:r>
          </w:p>
        </w:tc>
        <w:tc>
          <w:tcPr>
            <w:tcW w:w="1170" w:type="dxa"/>
            <w:vAlign w:val="bottom"/>
          </w:tcPr>
          <w:p w14:paraId="482EB534" w14:textId="77777777" w:rsidR="00AD4F8C" w:rsidRPr="006F4352" w:rsidRDefault="00AD4F8C" w:rsidP="00AD4F8C">
            <w:pPr>
              <w:keepNext/>
              <w:rPr>
                <w:b/>
                <w:bCs/>
                <w:sz w:val="20"/>
                <w:szCs w:val="20"/>
              </w:rPr>
            </w:pPr>
            <w:r w:rsidRPr="006F4352">
              <w:rPr>
                <w:b/>
                <w:bCs/>
                <w:sz w:val="20"/>
                <w:szCs w:val="20"/>
              </w:rPr>
              <w:t>Responses per Respondent</w:t>
            </w:r>
          </w:p>
        </w:tc>
        <w:tc>
          <w:tcPr>
            <w:tcW w:w="1080" w:type="dxa"/>
            <w:vAlign w:val="bottom"/>
          </w:tcPr>
          <w:p w14:paraId="42EA6E46" w14:textId="77777777" w:rsidR="00AD4F8C" w:rsidRPr="006F4352" w:rsidRDefault="00AD4F8C" w:rsidP="00AD4F8C">
            <w:pPr>
              <w:keepNext/>
              <w:rPr>
                <w:b/>
                <w:bCs/>
                <w:sz w:val="20"/>
                <w:szCs w:val="20"/>
              </w:rPr>
            </w:pPr>
            <w:r w:rsidRPr="006F4352">
              <w:rPr>
                <w:b/>
                <w:bCs/>
                <w:sz w:val="20"/>
                <w:szCs w:val="20"/>
              </w:rPr>
              <w:t>Total Number of Responses</w:t>
            </w:r>
          </w:p>
        </w:tc>
        <w:tc>
          <w:tcPr>
            <w:tcW w:w="1070" w:type="dxa"/>
            <w:vAlign w:val="bottom"/>
          </w:tcPr>
          <w:p w14:paraId="36954554" w14:textId="77777777" w:rsidR="00AD4F8C" w:rsidRPr="006F4352" w:rsidRDefault="00AD4F8C" w:rsidP="00AD4F8C">
            <w:pPr>
              <w:keepNext/>
              <w:rPr>
                <w:b/>
                <w:bCs/>
                <w:sz w:val="20"/>
                <w:szCs w:val="20"/>
              </w:rPr>
            </w:pPr>
            <w:r w:rsidRPr="006F4352">
              <w:rPr>
                <w:b/>
                <w:bCs/>
                <w:sz w:val="20"/>
                <w:szCs w:val="20"/>
              </w:rPr>
              <w:t>Hours per Response</w:t>
            </w:r>
          </w:p>
        </w:tc>
        <w:tc>
          <w:tcPr>
            <w:tcW w:w="820" w:type="dxa"/>
            <w:vAlign w:val="bottom"/>
          </w:tcPr>
          <w:p w14:paraId="17916F73" w14:textId="77777777" w:rsidR="00AD4F8C" w:rsidRPr="006F4352" w:rsidRDefault="00AD4F8C" w:rsidP="00AD4F8C">
            <w:pPr>
              <w:keepNext/>
              <w:rPr>
                <w:b/>
                <w:bCs/>
                <w:sz w:val="20"/>
                <w:szCs w:val="20"/>
              </w:rPr>
            </w:pPr>
            <w:r w:rsidRPr="006F4352">
              <w:rPr>
                <w:b/>
                <w:bCs/>
                <w:sz w:val="20"/>
                <w:szCs w:val="20"/>
              </w:rPr>
              <w:t>Total Burden Hours</w:t>
            </w:r>
          </w:p>
        </w:tc>
        <w:tc>
          <w:tcPr>
            <w:tcW w:w="900" w:type="dxa"/>
            <w:vAlign w:val="bottom"/>
          </w:tcPr>
          <w:p w14:paraId="416D50A4" w14:textId="77777777" w:rsidR="00AD4F8C" w:rsidRPr="006F4352" w:rsidRDefault="00AD4F8C" w:rsidP="00AD4F8C">
            <w:pPr>
              <w:keepNext/>
              <w:rPr>
                <w:b/>
                <w:bCs/>
                <w:sz w:val="20"/>
                <w:szCs w:val="20"/>
              </w:rPr>
            </w:pPr>
            <w:r w:rsidRPr="006F4352">
              <w:rPr>
                <w:b/>
                <w:bCs/>
                <w:sz w:val="20"/>
                <w:szCs w:val="20"/>
              </w:rPr>
              <w:t>Average Hourly Wage</w:t>
            </w:r>
          </w:p>
        </w:tc>
        <w:tc>
          <w:tcPr>
            <w:tcW w:w="1224" w:type="dxa"/>
            <w:vAlign w:val="bottom"/>
          </w:tcPr>
          <w:p w14:paraId="19BB7075" w14:textId="77777777" w:rsidR="00AD4F8C" w:rsidRPr="006F4352" w:rsidRDefault="00AD4F8C" w:rsidP="00AD4F8C">
            <w:pPr>
              <w:keepNext/>
              <w:rPr>
                <w:b/>
                <w:bCs/>
                <w:sz w:val="20"/>
                <w:szCs w:val="20"/>
              </w:rPr>
            </w:pPr>
            <w:r w:rsidRPr="006F4352">
              <w:rPr>
                <w:b/>
                <w:bCs/>
                <w:sz w:val="20"/>
                <w:szCs w:val="20"/>
              </w:rPr>
              <w:t>Total Respondent Cost</w:t>
            </w:r>
            <w:r w:rsidRPr="006F4352">
              <w:rPr>
                <w:b/>
                <w:bCs/>
                <w:sz w:val="20"/>
                <w:szCs w:val="20"/>
                <w:vertAlign w:val="superscript"/>
              </w:rPr>
              <w:t>a</w:t>
            </w:r>
          </w:p>
        </w:tc>
      </w:tr>
      <w:tr w:rsidR="00661C74" w:rsidRPr="006F4352" w14:paraId="1DF2DC55" w14:textId="77777777" w:rsidTr="00FF461A">
        <w:trPr>
          <w:cantSplit/>
        </w:trPr>
        <w:tc>
          <w:tcPr>
            <w:tcW w:w="2052" w:type="dxa"/>
          </w:tcPr>
          <w:p w14:paraId="052BB66D" w14:textId="08FB5FA8" w:rsidR="00661C74" w:rsidRPr="006F4352" w:rsidRDefault="00661C74" w:rsidP="00AD4F8C">
            <w:pPr>
              <w:keepNext/>
              <w:rPr>
                <w:i/>
                <w:iCs/>
                <w:sz w:val="20"/>
                <w:szCs w:val="20"/>
              </w:rPr>
            </w:pPr>
            <w:r w:rsidRPr="006F4352">
              <w:rPr>
                <w:i/>
                <w:iCs/>
                <w:sz w:val="20"/>
                <w:szCs w:val="20"/>
              </w:rPr>
              <w:t>Grantee-Level Outcomes Module</w:t>
            </w:r>
          </w:p>
        </w:tc>
        <w:tc>
          <w:tcPr>
            <w:tcW w:w="1260" w:type="dxa"/>
            <w:vAlign w:val="center"/>
          </w:tcPr>
          <w:p w14:paraId="79021BE8" w14:textId="2E915B0B" w:rsidR="00661C74" w:rsidRPr="006F4352" w:rsidRDefault="00661C74" w:rsidP="00AD4F8C">
            <w:pPr>
              <w:keepNext/>
              <w:jc w:val="center"/>
              <w:rPr>
                <w:i/>
                <w:iCs/>
                <w:sz w:val="20"/>
                <w:szCs w:val="20"/>
              </w:rPr>
            </w:pPr>
            <w:r w:rsidRPr="006F4352">
              <w:rPr>
                <w:i/>
                <w:iCs/>
                <w:sz w:val="20"/>
                <w:szCs w:val="20"/>
              </w:rPr>
              <w:t>25</w:t>
            </w:r>
          </w:p>
        </w:tc>
        <w:tc>
          <w:tcPr>
            <w:tcW w:w="1170" w:type="dxa"/>
            <w:vAlign w:val="center"/>
          </w:tcPr>
          <w:p w14:paraId="60F588D8" w14:textId="195E7284" w:rsidR="00661C74" w:rsidRPr="006F4352" w:rsidRDefault="00661C74" w:rsidP="00AD4F8C">
            <w:pPr>
              <w:keepNext/>
              <w:jc w:val="center"/>
              <w:rPr>
                <w:i/>
                <w:iCs/>
                <w:sz w:val="20"/>
                <w:szCs w:val="20"/>
              </w:rPr>
            </w:pPr>
            <w:r w:rsidRPr="006F4352">
              <w:rPr>
                <w:i/>
                <w:iCs/>
                <w:sz w:val="20"/>
                <w:szCs w:val="20"/>
              </w:rPr>
              <w:t>1</w:t>
            </w:r>
          </w:p>
        </w:tc>
        <w:tc>
          <w:tcPr>
            <w:tcW w:w="1080" w:type="dxa"/>
            <w:vAlign w:val="center"/>
          </w:tcPr>
          <w:p w14:paraId="468FA028" w14:textId="575BEA4C" w:rsidR="00661C74" w:rsidRPr="006F4352" w:rsidRDefault="00661C74" w:rsidP="00AD4F8C">
            <w:pPr>
              <w:keepNext/>
              <w:jc w:val="center"/>
              <w:rPr>
                <w:i/>
                <w:iCs/>
                <w:sz w:val="20"/>
                <w:szCs w:val="20"/>
              </w:rPr>
            </w:pPr>
            <w:r w:rsidRPr="006F4352">
              <w:rPr>
                <w:i/>
                <w:iCs/>
                <w:sz w:val="20"/>
                <w:szCs w:val="20"/>
              </w:rPr>
              <w:t>25</w:t>
            </w:r>
          </w:p>
        </w:tc>
        <w:tc>
          <w:tcPr>
            <w:tcW w:w="1070" w:type="dxa"/>
            <w:vAlign w:val="center"/>
          </w:tcPr>
          <w:p w14:paraId="0F0008A2" w14:textId="7C385639" w:rsidR="00661C74" w:rsidRPr="006F4352" w:rsidRDefault="00661C74" w:rsidP="00AD4F8C">
            <w:pPr>
              <w:keepNext/>
              <w:jc w:val="center"/>
              <w:rPr>
                <w:i/>
                <w:iCs/>
                <w:sz w:val="20"/>
                <w:szCs w:val="20"/>
              </w:rPr>
            </w:pPr>
            <w:r w:rsidRPr="006F4352">
              <w:rPr>
                <w:i/>
                <w:iCs/>
                <w:sz w:val="20"/>
                <w:szCs w:val="20"/>
              </w:rPr>
              <w:t>3</w:t>
            </w:r>
          </w:p>
        </w:tc>
        <w:tc>
          <w:tcPr>
            <w:tcW w:w="820" w:type="dxa"/>
            <w:vAlign w:val="center"/>
          </w:tcPr>
          <w:p w14:paraId="0F57EA20" w14:textId="1850C923" w:rsidR="00661C74" w:rsidRPr="006F4352" w:rsidRDefault="00661C74" w:rsidP="00AD4F8C">
            <w:pPr>
              <w:keepNext/>
              <w:jc w:val="center"/>
              <w:rPr>
                <w:i/>
                <w:iCs/>
                <w:sz w:val="20"/>
                <w:szCs w:val="20"/>
              </w:rPr>
            </w:pPr>
            <w:r w:rsidRPr="006F4352">
              <w:rPr>
                <w:i/>
                <w:iCs/>
                <w:sz w:val="20"/>
                <w:szCs w:val="20"/>
              </w:rPr>
              <w:t>75</w:t>
            </w:r>
          </w:p>
        </w:tc>
        <w:tc>
          <w:tcPr>
            <w:tcW w:w="900" w:type="dxa"/>
            <w:vAlign w:val="center"/>
          </w:tcPr>
          <w:p w14:paraId="3ABD74BD" w14:textId="7AA720C2" w:rsidR="00661C74" w:rsidRPr="006F4352" w:rsidRDefault="00661C74" w:rsidP="00AD4F8C">
            <w:pPr>
              <w:keepNext/>
              <w:jc w:val="center"/>
              <w:rPr>
                <w:i/>
                <w:iCs/>
                <w:sz w:val="20"/>
                <w:szCs w:val="20"/>
              </w:rPr>
            </w:pPr>
            <w:r w:rsidRPr="006F4352">
              <w:rPr>
                <w:i/>
                <w:iCs/>
                <w:sz w:val="20"/>
                <w:szCs w:val="20"/>
              </w:rPr>
              <w:t>$40.88</w:t>
            </w:r>
          </w:p>
        </w:tc>
        <w:tc>
          <w:tcPr>
            <w:tcW w:w="1224" w:type="dxa"/>
            <w:vAlign w:val="center"/>
          </w:tcPr>
          <w:p w14:paraId="11344976" w14:textId="78A09A06" w:rsidR="00661C74" w:rsidRPr="006F4352" w:rsidRDefault="00661C74" w:rsidP="00AD4F8C">
            <w:pPr>
              <w:keepNext/>
              <w:tabs>
                <w:tab w:val="decimal" w:pos="828"/>
              </w:tabs>
              <w:rPr>
                <w:i/>
                <w:iCs/>
                <w:sz w:val="20"/>
                <w:szCs w:val="20"/>
              </w:rPr>
            </w:pPr>
            <w:r w:rsidRPr="006F4352">
              <w:rPr>
                <w:i/>
                <w:iCs/>
                <w:sz w:val="20"/>
                <w:szCs w:val="20"/>
              </w:rPr>
              <w:t>$3,066</w:t>
            </w:r>
          </w:p>
        </w:tc>
      </w:tr>
      <w:tr w:rsidR="00AD4F8C" w:rsidRPr="006F4352" w14:paraId="6D40A9BA" w14:textId="77777777" w:rsidTr="00FF461A">
        <w:trPr>
          <w:cantSplit/>
        </w:trPr>
        <w:tc>
          <w:tcPr>
            <w:tcW w:w="2052" w:type="dxa"/>
          </w:tcPr>
          <w:p w14:paraId="67C88742" w14:textId="77777777" w:rsidR="00AD4F8C" w:rsidRPr="006F4352" w:rsidRDefault="00AD4F8C" w:rsidP="00AD4F8C">
            <w:pPr>
              <w:keepNext/>
              <w:rPr>
                <w:i/>
                <w:iCs/>
                <w:sz w:val="20"/>
                <w:szCs w:val="20"/>
                <w:vertAlign w:val="superscript"/>
              </w:rPr>
            </w:pPr>
            <w:r w:rsidRPr="006F4352">
              <w:rPr>
                <w:i/>
                <w:iCs/>
                <w:sz w:val="20"/>
                <w:szCs w:val="20"/>
              </w:rPr>
              <w:t>Community-Level Outcomes Module</w:t>
            </w:r>
          </w:p>
        </w:tc>
        <w:tc>
          <w:tcPr>
            <w:tcW w:w="1260" w:type="dxa"/>
            <w:vAlign w:val="center"/>
          </w:tcPr>
          <w:p w14:paraId="12F9DE8C" w14:textId="77777777" w:rsidR="00AD4F8C" w:rsidRPr="006F4352" w:rsidRDefault="00AD4F8C" w:rsidP="00AD4F8C">
            <w:pPr>
              <w:keepNext/>
              <w:jc w:val="center"/>
              <w:rPr>
                <w:i/>
                <w:iCs/>
                <w:sz w:val="20"/>
                <w:szCs w:val="20"/>
              </w:rPr>
            </w:pPr>
            <w:r w:rsidRPr="006F4352">
              <w:rPr>
                <w:i/>
                <w:iCs/>
                <w:sz w:val="20"/>
                <w:szCs w:val="20"/>
              </w:rPr>
              <w:t>25</w:t>
            </w:r>
          </w:p>
        </w:tc>
        <w:tc>
          <w:tcPr>
            <w:tcW w:w="1170" w:type="dxa"/>
            <w:vAlign w:val="center"/>
          </w:tcPr>
          <w:p w14:paraId="16DB6619" w14:textId="77777777" w:rsidR="00AD4F8C" w:rsidRPr="006F4352" w:rsidRDefault="00AD4F8C" w:rsidP="00AD4F8C">
            <w:pPr>
              <w:keepNext/>
              <w:jc w:val="center"/>
              <w:rPr>
                <w:i/>
                <w:iCs/>
                <w:sz w:val="20"/>
                <w:szCs w:val="20"/>
              </w:rPr>
            </w:pPr>
            <w:r w:rsidRPr="006F4352">
              <w:rPr>
                <w:i/>
                <w:iCs/>
                <w:sz w:val="20"/>
                <w:szCs w:val="20"/>
              </w:rPr>
              <w:t>1</w:t>
            </w:r>
          </w:p>
        </w:tc>
        <w:tc>
          <w:tcPr>
            <w:tcW w:w="1080" w:type="dxa"/>
            <w:vAlign w:val="center"/>
          </w:tcPr>
          <w:p w14:paraId="79E87A43" w14:textId="77777777" w:rsidR="00AD4F8C" w:rsidRPr="006F4352" w:rsidRDefault="00AD4F8C" w:rsidP="00AD4F8C">
            <w:pPr>
              <w:keepNext/>
              <w:jc w:val="center"/>
              <w:rPr>
                <w:i/>
                <w:iCs/>
                <w:sz w:val="20"/>
                <w:szCs w:val="20"/>
              </w:rPr>
            </w:pPr>
            <w:r w:rsidRPr="006F4352">
              <w:rPr>
                <w:i/>
                <w:iCs/>
                <w:sz w:val="20"/>
                <w:szCs w:val="20"/>
              </w:rPr>
              <w:t>25</w:t>
            </w:r>
          </w:p>
        </w:tc>
        <w:tc>
          <w:tcPr>
            <w:tcW w:w="1070" w:type="dxa"/>
            <w:vAlign w:val="center"/>
          </w:tcPr>
          <w:p w14:paraId="66A74A7B" w14:textId="77777777" w:rsidR="00AD4F8C" w:rsidRPr="006F4352" w:rsidRDefault="00AD4F8C" w:rsidP="00AD4F8C">
            <w:pPr>
              <w:keepNext/>
              <w:jc w:val="center"/>
              <w:rPr>
                <w:i/>
                <w:iCs/>
                <w:sz w:val="20"/>
                <w:szCs w:val="20"/>
              </w:rPr>
            </w:pPr>
            <w:r w:rsidRPr="006F4352">
              <w:rPr>
                <w:i/>
                <w:iCs/>
                <w:sz w:val="20"/>
                <w:szCs w:val="20"/>
              </w:rPr>
              <w:t>3</w:t>
            </w:r>
          </w:p>
        </w:tc>
        <w:tc>
          <w:tcPr>
            <w:tcW w:w="820" w:type="dxa"/>
            <w:vAlign w:val="center"/>
          </w:tcPr>
          <w:p w14:paraId="3AE1517C" w14:textId="77777777" w:rsidR="00AD4F8C" w:rsidRPr="006F4352" w:rsidRDefault="00AD4F8C" w:rsidP="00AD4F8C">
            <w:pPr>
              <w:keepNext/>
              <w:jc w:val="center"/>
              <w:rPr>
                <w:i/>
                <w:iCs/>
                <w:sz w:val="20"/>
                <w:szCs w:val="20"/>
              </w:rPr>
            </w:pPr>
            <w:r w:rsidRPr="006F4352">
              <w:rPr>
                <w:i/>
                <w:iCs/>
                <w:sz w:val="20"/>
                <w:szCs w:val="20"/>
              </w:rPr>
              <w:t>75</w:t>
            </w:r>
          </w:p>
        </w:tc>
        <w:tc>
          <w:tcPr>
            <w:tcW w:w="900" w:type="dxa"/>
            <w:vAlign w:val="center"/>
          </w:tcPr>
          <w:p w14:paraId="70FFE519" w14:textId="77777777" w:rsidR="00AD4F8C" w:rsidRPr="006F4352" w:rsidRDefault="00AD4F8C" w:rsidP="00AD4F8C">
            <w:pPr>
              <w:keepNext/>
              <w:jc w:val="center"/>
              <w:rPr>
                <w:i/>
                <w:iCs/>
                <w:sz w:val="20"/>
                <w:szCs w:val="20"/>
              </w:rPr>
            </w:pPr>
            <w:r w:rsidRPr="006F4352">
              <w:rPr>
                <w:i/>
                <w:iCs/>
                <w:sz w:val="20"/>
                <w:szCs w:val="20"/>
              </w:rPr>
              <w:t>$40.88</w:t>
            </w:r>
          </w:p>
        </w:tc>
        <w:tc>
          <w:tcPr>
            <w:tcW w:w="1224" w:type="dxa"/>
            <w:vAlign w:val="center"/>
          </w:tcPr>
          <w:p w14:paraId="2404F53B" w14:textId="483699BD" w:rsidR="00AD4F8C" w:rsidRPr="006F4352" w:rsidRDefault="00AD4F8C" w:rsidP="00AD4F8C">
            <w:pPr>
              <w:keepNext/>
              <w:tabs>
                <w:tab w:val="decimal" w:pos="828"/>
              </w:tabs>
              <w:rPr>
                <w:i/>
                <w:iCs/>
                <w:sz w:val="20"/>
                <w:szCs w:val="20"/>
              </w:rPr>
            </w:pPr>
            <w:r w:rsidRPr="006F4352">
              <w:rPr>
                <w:i/>
                <w:iCs/>
                <w:sz w:val="20"/>
                <w:szCs w:val="20"/>
              </w:rPr>
              <w:t>$3</w:t>
            </w:r>
            <w:r w:rsidR="009A7B86" w:rsidRPr="006F4352">
              <w:rPr>
                <w:i/>
                <w:iCs/>
                <w:sz w:val="20"/>
                <w:szCs w:val="20"/>
              </w:rPr>
              <w:t>,</w:t>
            </w:r>
            <w:r w:rsidRPr="006F4352">
              <w:rPr>
                <w:i/>
                <w:iCs/>
                <w:sz w:val="20"/>
                <w:szCs w:val="20"/>
              </w:rPr>
              <w:t>066</w:t>
            </w:r>
          </w:p>
        </w:tc>
      </w:tr>
      <w:tr w:rsidR="00AD4F8C" w:rsidRPr="009C7345" w14:paraId="6C35A266" w14:textId="77777777" w:rsidTr="00FF461A">
        <w:trPr>
          <w:cantSplit/>
        </w:trPr>
        <w:tc>
          <w:tcPr>
            <w:tcW w:w="2052" w:type="dxa"/>
          </w:tcPr>
          <w:p w14:paraId="64BC47D8" w14:textId="77777777" w:rsidR="00AD4F8C" w:rsidRPr="006F4352" w:rsidDel="00FE4480" w:rsidRDefault="00AD4F8C" w:rsidP="00AD4F8C">
            <w:pPr>
              <w:keepNext/>
              <w:rPr>
                <w:i/>
                <w:iCs/>
                <w:sz w:val="20"/>
                <w:szCs w:val="20"/>
              </w:rPr>
            </w:pPr>
            <w:r w:rsidRPr="006F4352">
              <w:rPr>
                <w:i/>
                <w:iCs/>
                <w:sz w:val="20"/>
                <w:szCs w:val="20"/>
              </w:rPr>
              <w:t>Substitute Data Request Form</w:t>
            </w:r>
          </w:p>
        </w:tc>
        <w:tc>
          <w:tcPr>
            <w:tcW w:w="1260" w:type="dxa"/>
            <w:vAlign w:val="center"/>
          </w:tcPr>
          <w:p w14:paraId="261D0C4D" w14:textId="27F97BC0" w:rsidR="00AD4F8C" w:rsidRPr="006F4352" w:rsidRDefault="00661C74" w:rsidP="00AD4F8C">
            <w:pPr>
              <w:keepNext/>
              <w:jc w:val="center"/>
              <w:rPr>
                <w:i/>
                <w:iCs/>
                <w:sz w:val="20"/>
                <w:szCs w:val="20"/>
              </w:rPr>
            </w:pPr>
            <w:r w:rsidRPr="006F4352">
              <w:rPr>
                <w:i/>
                <w:iCs/>
                <w:sz w:val="20"/>
                <w:szCs w:val="20"/>
              </w:rPr>
              <w:t>12</w:t>
            </w:r>
          </w:p>
        </w:tc>
        <w:tc>
          <w:tcPr>
            <w:tcW w:w="1170" w:type="dxa"/>
            <w:vAlign w:val="center"/>
          </w:tcPr>
          <w:p w14:paraId="436DAFDA" w14:textId="77777777" w:rsidR="00AD4F8C" w:rsidRPr="006F4352" w:rsidRDefault="00AD4F8C" w:rsidP="00AD4F8C">
            <w:pPr>
              <w:keepNext/>
              <w:jc w:val="center"/>
              <w:rPr>
                <w:i/>
                <w:iCs/>
                <w:sz w:val="20"/>
                <w:szCs w:val="20"/>
              </w:rPr>
            </w:pPr>
            <w:r w:rsidRPr="006F4352">
              <w:rPr>
                <w:i/>
                <w:iCs/>
                <w:sz w:val="20"/>
                <w:szCs w:val="20"/>
              </w:rPr>
              <w:t>1</w:t>
            </w:r>
          </w:p>
        </w:tc>
        <w:tc>
          <w:tcPr>
            <w:tcW w:w="1080" w:type="dxa"/>
            <w:vAlign w:val="center"/>
          </w:tcPr>
          <w:p w14:paraId="62001BC7" w14:textId="749E678F" w:rsidR="00AD4F8C" w:rsidRPr="006F4352" w:rsidDel="00FE4480" w:rsidRDefault="00661C74" w:rsidP="00AD4F8C">
            <w:pPr>
              <w:keepNext/>
              <w:jc w:val="center"/>
              <w:rPr>
                <w:i/>
                <w:iCs/>
                <w:sz w:val="20"/>
                <w:szCs w:val="20"/>
              </w:rPr>
            </w:pPr>
            <w:r w:rsidRPr="006F4352">
              <w:rPr>
                <w:i/>
                <w:iCs/>
                <w:sz w:val="20"/>
                <w:szCs w:val="20"/>
              </w:rPr>
              <w:t>12</w:t>
            </w:r>
          </w:p>
        </w:tc>
        <w:tc>
          <w:tcPr>
            <w:tcW w:w="1070" w:type="dxa"/>
            <w:vAlign w:val="center"/>
          </w:tcPr>
          <w:p w14:paraId="39369C7A" w14:textId="77777777" w:rsidR="00AD4F8C" w:rsidRPr="006F4352" w:rsidDel="00FE4480" w:rsidRDefault="00AD4F8C" w:rsidP="00AD4F8C">
            <w:pPr>
              <w:keepNext/>
              <w:jc w:val="center"/>
              <w:rPr>
                <w:i/>
                <w:iCs/>
                <w:sz w:val="20"/>
                <w:szCs w:val="20"/>
              </w:rPr>
            </w:pPr>
            <w:r w:rsidRPr="006F4352">
              <w:rPr>
                <w:i/>
                <w:iCs/>
                <w:sz w:val="20"/>
                <w:szCs w:val="20"/>
              </w:rPr>
              <w:t>1</w:t>
            </w:r>
          </w:p>
        </w:tc>
        <w:tc>
          <w:tcPr>
            <w:tcW w:w="820" w:type="dxa"/>
            <w:vAlign w:val="center"/>
          </w:tcPr>
          <w:p w14:paraId="7F1DBF78" w14:textId="35004A18" w:rsidR="00AD4F8C" w:rsidRPr="006F4352" w:rsidDel="00FE4480" w:rsidRDefault="00661C74" w:rsidP="00AD4F8C">
            <w:pPr>
              <w:keepNext/>
              <w:jc w:val="center"/>
              <w:rPr>
                <w:i/>
                <w:iCs/>
                <w:sz w:val="20"/>
                <w:szCs w:val="20"/>
              </w:rPr>
            </w:pPr>
            <w:r w:rsidRPr="006F4352">
              <w:rPr>
                <w:i/>
                <w:iCs/>
                <w:sz w:val="20"/>
                <w:szCs w:val="20"/>
              </w:rPr>
              <w:t>12</w:t>
            </w:r>
          </w:p>
        </w:tc>
        <w:tc>
          <w:tcPr>
            <w:tcW w:w="900" w:type="dxa"/>
            <w:vAlign w:val="center"/>
          </w:tcPr>
          <w:p w14:paraId="334765EA" w14:textId="77777777" w:rsidR="00AD4F8C" w:rsidRPr="006F4352" w:rsidRDefault="00AD4F8C" w:rsidP="00AD4F8C">
            <w:pPr>
              <w:keepNext/>
              <w:jc w:val="center"/>
              <w:rPr>
                <w:i/>
                <w:iCs/>
                <w:sz w:val="20"/>
                <w:szCs w:val="20"/>
              </w:rPr>
            </w:pPr>
            <w:r w:rsidRPr="006F4352">
              <w:rPr>
                <w:i/>
                <w:iCs/>
                <w:sz w:val="20"/>
                <w:szCs w:val="20"/>
              </w:rPr>
              <w:t>$40.88</w:t>
            </w:r>
          </w:p>
        </w:tc>
        <w:tc>
          <w:tcPr>
            <w:tcW w:w="1224" w:type="dxa"/>
            <w:vAlign w:val="center"/>
          </w:tcPr>
          <w:p w14:paraId="551D9DA5" w14:textId="5F9B35E8" w:rsidR="00AD4F8C" w:rsidRPr="009C7345" w:rsidRDefault="00661C74" w:rsidP="00661C74">
            <w:pPr>
              <w:keepNext/>
              <w:tabs>
                <w:tab w:val="left" w:pos="391"/>
                <w:tab w:val="decimal" w:pos="828"/>
              </w:tabs>
              <w:rPr>
                <w:i/>
                <w:iCs/>
                <w:sz w:val="20"/>
                <w:szCs w:val="20"/>
              </w:rPr>
            </w:pPr>
            <w:r w:rsidRPr="006F4352">
              <w:rPr>
                <w:i/>
                <w:iCs/>
                <w:sz w:val="20"/>
                <w:szCs w:val="20"/>
              </w:rPr>
              <w:t xml:space="preserve">   </w:t>
            </w:r>
            <w:r w:rsidR="00AD4F8C" w:rsidRPr="006F4352">
              <w:rPr>
                <w:i/>
                <w:iCs/>
                <w:sz w:val="20"/>
                <w:szCs w:val="20"/>
              </w:rPr>
              <w:t xml:space="preserve"> </w:t>
            </w:r>
            <w:r w:rsidRPr="006F4352">
              <w:rPr>
                <w:i/>
                <w:iCs/>
                <w:sz w:val="20"/>
                <w:szCs w:val="20"/>
              </w:rPr>
              <w:t xml:space="preserve"> $490.56</w:t>
            </w:r>
          </w:p>
        </w:tc>
      </w:tr>
      <w:tr w:rsidR="00AD4F8C" w:rsidRPr="009C7345" w14:paraId="6EB5A0CD" w14:textId="77777777" w:rsidTr="00FF461A">
        <w:trPr>
          <w:cantSplit/>
        </w:trPr>
        <w:tc>
          <w:tcPr>
            <w:tcW w:w="2052" w:type="dxa"/>
          </w:tcPr>
          <w:p w14:paraId="60A40CA1" w14:textId="77777777" w:rsidR="00AD4F8C" w:rsidRPr="009C7345" w:rsidRDefault="00AD4F8C" w:rsidP="00AD4F8C">
            <w:pPr>
              <w:keepNext/>
              <w:rPr>
                <w:i/>
                <w:iCs/>
                <w:sz w:val="20"/>
                <w:szCs w:val="20"/>
              </w:rPr>
            </w:pPr>
            <w:r>
              <w:rPr>
                <w:i/>
                <w:iCs/>
                <w:sz w:val="20"/>
                <w:szCs w:val="20"/>
              </w:rPr>
              <w:t>Annual Implementation Instrument</w:t>
            </w:r>
          </w:p>
        </w:tc>
        <w:tc>
          <w:tcPr>
            <w:tcW w:w="1260" w:type="dxa"/>
            <w:vAlign w:val="center"/>
          </w:tcPr>
          <w:p w14:paraId="108553C8" w14:textId="77777777" w:rsidR="00AD4F8C" w:rsidRPr="009C7345" w:rsidRDefault="00AD4F8C" w:rsidP="00AD4F8C">
            <w:pPr>
              <w:keepNext/>
              <w:jc w:val="center"/>
              <w:rPr>
                <w:i/>
                <w:iCs/>
                <w:sz w:val="20"/>
                <w:szCs w:val="20"/>
              </w:rPr>
            </w:pPr>
            <w:r>
              <w:rPr>
                <w:i/>
                <w:iCs/>
                <w:sz w:val="20"/>
                <w:szCs w:val="20"/>
              </w:rPr>
              <w:t>100</w:t>
            </w:r>
          </w:p>
        </w:tc>
        <w:tc>
          <w:tcPr>
            <w:tcW w:w="1170" w:type="dxa"/>
            <w:vAlign w:val="center"/>
          </w:tcPr>
          <w:p w14:paraId="65EBEA95" w14:textId="77777777" w:rsidR="00AD4F8C" w:rsidRPr="009C7345" w:rsidRDefault="00AD4F8C" w:rsidP="00AD4F8C">
            <w:pPr>
              <w:keepNext/>
              <w:jc w:val="center"/>
              <w:rPr>
                <w:i/>
                <w:iCs/>
                <w:sz w:val="20"/>
                <w:szCs w:val="20"/>
              </w:rPr>
            </w:pPr>
            <w:r w:rsidRPr="009C7345">
              <w:rPr>
                <w:i/>
                <w:iCs/>
                <w:sz w:val="20"/>
                <w:szCs w:val="20"/>
              </w:rPr>
              <w:t>1</w:t>
            </w:r>
          </w:p>
        </w:tc>
        <w:tc>
          <w:tcPr>
            <w:tcW w:w="1080" w:type="dxa"/>
            <w:vAlign w:val="center"/>
          </w:tcPr>
          <w:p w14:paraId="2693488C" w14:textId="77777777" w:rsidR="00AD4F8C" w:rsidRPr="009C7345" w:rsidRDefault="00AD4F8C" w:rsidP="00AD4F8C">
            <w:pPr>
              <w:keepNext/>
              <w:jc w:val="center"/>
              <w:rPr>
                <w:i/>
                <w:iCs/>
                <w:sz w:val="20"/>
                <w:szCs w:val="20"/>
              </w:rPr>
            </w:pPr>
            <w:r>
              <w:rPr>
                <w:i/>
                <w:iCs/>
                <w:sz w:val="20"/>
                <w:szCs w:val="20"/>
              </w:rPr>
              <w:t>100</w:t>
            </w:r>
          </w:p>
        </w:tc>
        <w:tc>
          <w:tcPr>
            <w:tcW w:w="1070" w:type="dxa"/>
            <w:vAlign w:val="center"/>
          </w:tcPr>
          <w:p w14:paraId="7B52E458" w14:textId="77777777" w:rsidR="00AD4F8C" w:rsidRPr="009C7345" w:rsidRDefault="00AD4F8C" w:rsidP="00AD4F8C">
            <w:pPr>
              <w:keepNext/>
              <w:jc w:val="center"/>
              <w:rPr>
                <w:i/>
                <w:iCs/>
                <w:sz w:val="20"/>
                <w:szCs w:val="20"/>
              </w:rPr>
            </w:pPr>
            <w:r>
              <w:rPr>
                <w:i/>
                <w:iCs/>
                <w:sz w:val="20"/>
                <w:szCs w:val="20"/>
              </w:rPr>
              <w:t>2.3</w:t>
            </w:r>
          </w:p>
        </w:tc>
        <w:tc>
          <w:tcPr>
            <w:tcW w:w="820" w:type="dxa"/>
            <w:vAlign w:val="center"/>
          </w:tcPr>
          <w:p w14:paraId="360EFABB" w14:textId="77777777" w:rsidR="00AD4F8C" w:rsidRPr="009C7345" w:rsidRDefault="00AD4F8C" w:rsidP="00AD4F8C">
            <w:pPr>
              <w:keepNext/>
              <w:jc w:val="center"/>
              <w:rPr>
                <w:i/>
                <w:iCs/>
                <w:sz w:val="20"/>
                <w:szCs w:val="20"/>
              </w:rPr>
            </w:pPr>
            <w:r>
              <w:rPr>
                <w:i/>
                <w:iCs/>
                <w:sz w:val="20"/>
                <w:szCs w:val="20"/>
              </w:rPr>
              <w:t>230</w:t>
            </w:r>
          </w:p>
        </w:tc>
        <w:tc>
          <w:tcPr>
            <w:tcW w:w="900" w:type="dxa"/>
            <w:vAlign w:val="center"/>
          </w:tcPr>
          <w:p w14:paraId="77B5AE06" w14:textId="77777777" w:rsidR="00AD4F8C" w:rsidRPr="009C7345" w:rsidRDefault="00AD4F8C" w:rsidP="00AD4F8C">
            <w:pPr>
              <w:keepNext/>
              <w:jc w:val="center"/>
              <w:rPr>
                <w:i/>
                <w:iCs/>
                <w:sz w:val="20"/>
                <w:szCs w:val="20"/>
              </w:rPr>
            </w:pPr>
            <w:r w:rsidRPr="009C7345">
              <w:rPr>
                <w:i/>
                <w:iCs/>
                <w:sz w:val="20"/>
                <w:szCs w:val="20"/>
              </w:rPr>
              <w:t>$40.88</w:t>
            </w:r>
          </w:p>
        </w:tc>
        <w:tc>
          <w:tcPr>
            <w:tcW w:w="1224" w:type="dxa"/>
            <w:vAlign w:val="center"/>
          </w:tcPr>
          <w:p w14:paraId="0FE21112" w14:textId="200E1078" w:rsidR="00AD4F8C" w:rsidRPr="009C7345" w:rsidRDefault="00AD4F8C" w:rsidP="00154014">
            <w:pPr>
              <w:keepNext/>
              <w:tabs>
                <w:tab w:val="decimal" w:pos="828"/>
              </w:tabs>
              <w:rPr>
                <w:i/>
                <w:iCs/>
                <w:sz w:val="20"/>
                <w:szCs w:val="20"/>
              </w:rPr>
            </w:pPr>
            <w:r w:rsidRPr="009C7345">
              <w:rPr>
                <w:i/>
                <w:iCs/>
                <w:sz w:val="20"/>
                <w:szCs w:val="20"/>
              </w:rPr>
              <w:t>$</w:t>
            </w:r>
            <w:r>
              <w:rPr>
                <w:i/>
                <w:iCs/>
                <w:sz w:val="20"/>
                <w:szCs w:val="20"/>
              </w:rPr>
              <w:t>9</w:t>
            </w:r>
            <w:r w:rsidR="009A7B86">
              <w:rPr>
                <w:i/>
                <w:iCs/>
                <w:sz w:val="20"/>
                <w:szCs w:val="20"/>
              </w:rPr>
              <w:t>,</w:t>
            </w:r>
            <w:r w:rsidR="00154014">
              <w:rPr>
                <w:i/>
                <w:iCs/>
                <w:sz w:val="20"/>
                <w:szCs w:val="20"/>
              </w:rPr>
              <w:t>402.40</w:t>
            </w:r>
          </w:p>
        </w:tc>
      </w:tr>
      <w:tr w:rsidR="00AD4F8C" w:rsidRPr="009C7345" w14:paraId="6057CEF3" w14:textId="77777777" w:rsidTr="00FF461A">
        <w:trPr>
          <w:cantSplit/>
        </w:trPr>
        <w:tc>
          <w:tcPr>
            <w:tcW w:w="2052" w:type="dxa"/>
          </w:tcPr>
          <w:p w14:paraId="48E6BA54" w14:textId="77777777" w:rsidR="00AD4F8C" w:rsidRPr="009C7345" w:rsidDel="00FE4480" w:rsidRDefault="00AD4F8C" w:rsidP="00AD4F8C">
            <w:pPr>
              <w:keepNext/>
              <w:rPr>
                <w:i/>
                <w:iCs/>
                <w:sz w:val="20"/>
                <w:szCs w:val="20"/>
              </w:rPr>
            </w:pPr>
            <w:r>
              <w:rPr>
                <w:i/>
                <w:iCs/>
                <w:sz w:val="20"/>
                <w:szCs w:val="20"/>
              </w:rPr>
              <w:t>Grantee-Level Interview</w:t>
            </w:r>
          </w:p>
        </w:tc>
        <w:tc>
          <w:tcPr>
            <w:tcW w:w="1260" w:type="dxa"/>
            <w:vAlign w:val="center"/>
          </w:tcPr>
          <w:p w14:paraId="56870B0C" w14:textId="20D61E08" w:rsidR="00AD4F8C" w:rsidRDefault="00CC3615" w:rsidP="00AD4F8C">
            <w:pPr>
              <w:keepNext/>
              <w:jc w:val="center"/>
              <w:rPr>
                <w:i/>
                <w:iCs/>
                <w:sz w:val="20"/>
                <w:szCs w:val="20"/>
              </w:rPr>
            </w:pPr>
            <w:r>
              <w:rPr>
                <w:i/>
                <w:iCs/>
                <w:sz w:val="20"/>
                <w:szCs w:val="20"/>
              </w:rPr>
              <w:t>17</w:t>
            </w:r>
          </w:p>
        </w:tc>
        <w:tc>
          <w:tcPr>
            <w:tcW w:w="1170" w:type="dxa"/>
            <w:vAlign w:val="center"/>
          </w:tcPr>
          <w:p w14:paraId="15BF9FBB" w14:textId="77777777" w:rsidR="00AD4F8C" w:rsidRPr="009C7345" w:rsidRDefault="00AD4F8C" w:rsidP="00AD4F8C">
            <w:pPr>
              <w:keepNext/>
              <w:jc w:val="center"/>
              <w:rPr>
                <w:i/>
                <w:iCs/>
                <w:sz w:val="20"/>
                <w:szCs w:val="20"/>
              </w:rPr>
            </w:pPr>
            <w:r>
              <w:rPr>
                <w:i/>
                <w:iCs/>
                <w:sz w:val="20"/>
                <w:szCs w:val="20"/>
              </w:rPr>
              <w:t>1</w:t>
            </w:r>
          </w:p>
        </w:tc>
        <w:tc>
          <w:tcPr>
            <w:tcW w:w="1080" w:type="dxa"/>
            <w:vAlign w:val="center"/>
          </w:tcPr>
          <w:p w14:paraId="735F90A3" w14:textId="514AD479" w:rsidR="00AD4F8C" w:rsidRPr="009C7345" w:rsidDel="00FE4480" w:rsidRDefault="0030171D" w:rsidP="00AD4F8C">
            <w:pPr>
              <w:keepNext/>
              <w:jc w:val="center"/>
              <w:rPr>
                <w:i/>
                <w:iCs/>
                <w:sz w:val="20"/>
                <w:szCs w:val="20"/>
              </w:rPr>
            </w:pPr>
            <w:r>
              <w:rPr>
                <w:i/>
                <w:iCs/>
                <w:sz w:val="20"/>
                <w:szCs w:val="20"/>
              </w:rPr>
              <w:t>17</w:t>
            </w:r>
          </w:p>
        </w:tc>
        <w:tc>
          <w:tcPr>
            <w:tcW w:w="1070" w:type="dxa"/>
            <w:vAlign w:val="center"/>
          </w:tcPr>
          <w:p w14:paraId="343CB6E6" w14:textId="77777777" w:rsidR="00AD4F8C" w:rsidRPr="009C7345" w:rsidDel="00FE4480" w:rsidRDefault="00AD4F8C" w:rsidP="00AD4F8C">
            <w:pPr>
              <w:keepNext/>
              <w:jc w:val="center"/>
              <w:rPr>
                <w:i/>
                <w:iCs/>
                <w:sz w:val="20"/>
                <w:szCs w:val="20"/>
              </w:rPr>
            </w:pPr>
            <w:r>
              <w:rPr>
                <w:i/>
                <w:iCs/>
                <w:sz w:val="20"/>
                <w:szCs w:val="20"/>
              </w:rPr>
              <w:t>1.5</w:t>
            </w:r>
          </w:p>
        </w:tc>
        <w:tc>
          <w:tcPr>
            <w:tcW w:w="820" w:type="dxa"/>
            <w:vAlign w:val="center"/>
          </w:tcPr>
          <w:p w14:paraId="18416ECC" w14:textId="3EC60F4E" w:rsidR="00AD4F8C" w:rsidRPr="009C7345" w:rsidDel="00FE4480" w:rsidRDefault="0030171D" w:rsidP="00AD4F8C">
            <w:pPr>
              <w:keepNext/>
              <w:jc w:val="center"/>
              <w:rPr>
                <w:i/>
                <w:iCs/>
                <w:sz w:val="20"/>
                <w:szCs w:val="20"/>
              </w:rPr>
            </w:pPr>
            <w:r>
              <w:rPr>
                <w:i/>
                <w:iCs/>
                <w:sz w:val="20"/>
                <w:szCs w:val="20"/>
              </w:rPr>
              <w:t>25</w:t>
            </w:r>
            <w:r w:rsidR="00AD4F8C">
              <w:rPr>
                <w:i/>
                <w:iCs/>
                <w:sz w:val="20"/>
                <w:szCs w:val="20"/>
              </w:rPr>
              <w:t>.5</w:t>
            </w:r>
          </w:p>
        </w:tc>
        <w:tc>
          <w:tcPr>
            <w:tcW w:w="900" w:type="dxa"/>
            <w:vAlign w:val="center"/>
          </w:tcPr>
          <w:p w14:paraId="21444866" w14:textId="77777777" w:rsidR="00AD4F8C" w:rsidRPr="009C7345" w:rsidRDefault="00AD4F8C" w:rsidP="00AD4F8C">
            <w:pPr>
              <w:keepNext/>
              <w:jc w:val="center"/>
              <w:rPr>
                <w:i/>
                <w:iCs/>
                <w:sz w:val="20"/>
                <w:szCs w:val="20"/>
              </w:rPr>
            </w:pPr>
            <w:r>
              <w:rPr>
                <w:i/>
                <w:iCs/>
                <w:sz w:val="20"/>
                <w:szCs w:val="20"/>
              </w:rPr>
              <w:t>$40.88</w:t>
            </w:r>
          </w:p>
        </w:tc>
        <w:tc>
          <w:tcPr>
            <w:tcW w:w="1224" w:type="dxa"/>
            <w:vAlign w:val="center"/>
          </w:tcPr>
          <w:p w14:paraId="539A450C" w14:textId="4F460C03" w:rsidR="00AD4F8C" w:rsidRPr="009C7345" w:rsidRDefault="00AD4F8C" w:rsidP="00AD4F8C">
            <w:pPr>
              <w:keepNext/>
              <w:tabs>
                <w:tab w:val="decimal" w:pos="828"/>
              </w:tabs>
              <w:rPr>
                <w:i/>
                <w:iCs/>
                <w:sz w:val="20"/>
                <w:szCs w:val="20"/>
              </w:rPr>
            </w:pPr>
            <w:r>
              <w:rPr>
                <w:i/>
                <w:iCs/>
                <w:sz w:val="20"/>
                <w:szCs w:val="20"/>
              </w:rPr>
              <w:t>$1,</w:t>
            </w:r>
            <w:r w:rsidR="0030171D">
              <w:rPr>
                <w:i/>
                <w:iCs/>
                <w:sz w:val="20"/>
                <w:szCs w:val="20"/>
              </w:rPr>
              <w:t>042.44</w:t>
            </w:r>
          </w:p>
        </w:tc>
      </w:tr>
      <w:tr w:rsidR="00CB62FF" w:rsidRPr="009C7345" w14:paraId="003C1A7B" w14:textId="77777777" w:rsidTr="00FF461A">
        <w:trPr>
          <w:cantSplit/>
        </w:trPr>
        <w:tc>
          <w:tcPr>
            <w:tcW w:w="2052" w:type="dxa"/>
          </w:tcPr>
          <w:p w14:paraId="6F8C454E" w14:textId="1CD09583" w:rsidR="00CB62FF" w:rsidRDefault="00CB62FF" w:rsidP="00AD4F8C">
            <w:pPr>
              <w:keepNext/>
              <w:rPr>
                <w:i/>
                <w:iCs/>
                <w:sz w:val="20"/>
                <w:szCs w:val="20"/>
              </w:rPr>
            </w:pPr>
            <w:r>
              <w:rPr>
                <w:i/>
                <w:iCs/>
                <w:sz w:val="20"/>
                <w:szCs w:val="20"/>
              </w:rPr>
              <w:t>Evaluation Plan</w:t>
            </w:r>
          </w:p>
        </w:tc>
        <w:tc>
          <w:tcPr>
            <w:tcW w:w="1260" w:type="dxa"/>
            <w:vAlign w:val="center"/>
          </w:tcPr>
          <w:p w14:paraId="734BBA0B" w14:textId="0904783E" w:rsidR="00CB62FF" w:rsidRDefault="00CB62FF" w:rsidP="00AD4F8C">
            <w:pPr>
              <w:keepNext/>
              <w:jc w:val="center"/>
              <w:rPr>
                <w:i/>
                <w:iCs/>
                <w:sz w:val="20"/>
                <w:szCs w:val="20"/>
              </w:rPr>
            </w:pPr>
            <w:r>
              <w:rPr>
                <w:i/>
                <w:iCs/>
                <w:sz w:val="20"/>
                <w:szCs w:val="20"/>
              </w:rPr>
              <w:t>25</w:t>
            </w:r>
          </w:p>
        </w:tc>
        <w:tc>
          <w:tcPr>
            <w:tcW w:w="1170" w:type="dxa"/>
            <w:vAlign w:val="center"/>
          </w:tcPr>
          <w:p w14:paraId="3B2D29D0" w14:textId="0B85A67D" w:rsidR="00CB62FF" w:rsidRDefault="00CB62FF" w:rsidP="00AD4F8C">
            <w:pPr>
              <w:keepNext/>
              <w:jc w:val="center"/>
              <w:rPr>
                <w:i/>
                <w:iCs/>
                <w:sz w:val="20"/>
                <w:szCs w:val="20"/>
              </w:rPr>
            </w:pPr>
            <w:r>
              <w:rPr>
                <w:i/>
                <w:iCs/>
                <w:sz w:val="20"/>
                <w:szCs w:val="20"/>
              </w:rPr>
              <w:t>1</w:t>
            </w:r>
          </w:p>
        </w:tc>
        <w:tc>
          <w:tcPr>
            <w:tcW w:w="1080" w:type="dxa"/>
            <w:vAlign w:val="center"/>
          </w:tcPr>
          <w:p w14:paraId="4EA9E71B" w14:textId="2150B339" w:rsidR="00CB62FF" w:rsidRDefault="00CB62FF" w:rsidP="00AD4F8C">
            <w:pPr>
              <w:keepNext/>
              <w:jc w:val="center"/>
              <w:rPr>
                <w:i/>
                <w:iCs/>
                <w:sz w:val="20"/>
                <w:szCs w:val="20"/>
              </w:rPr>
            </w:pPr>
            <w:r>
              <w:rPr>
                <w:i/>
                <w:iCs/>
                <w:sz w:val="20"/>
                <w:szCs w:val="20"/>
              </w:rPr>
              <w:t>25</w:t>
            </w:r>
          </w:p>
        </w:tc>
        <w:tc>
          <w:tcPr>
            <w:tcW w:w="1070" w:type="dxa"/>
            <w:vAlign w:val="center"/>
          </w:tcPr>
          <w:p w14:paraId="6713C8C7" w14:textId="2FF852D2" w:rsidR="00CB62FF" w:rsidRDefault="00CB62FF" w:rsidP="00AD4F8C">
            <w:pPr>
              <w:keepNext/>
              <w:jc w:val="center"/>
              <w:rPr>
                <w:i/>
                <w:iCs/>
                <w:sz w:val="20"/>
                <w:szCs w:val="20"/>
              </w:rPr>
            </w:pPr>
            <w:r>
              <w:rPr>
                <w:i/>
                <w:iCs/>
                <w:sz w:val="20"/>
                <w:szCs w:val="20"/>
              </w:rPr>
              <w:t>8</w:t>
            </w:r>
          </w:p>
        </w:tc>
        <w:tc>
          <w:tcPr>
            <w:tcW w:w="820" w:type="dxa"/>
            <w:vAlign w:val="center"/>
          </w:tcPr>
          <w:p w14:paraId="7D0A6F8D" w14:textId="648E1635" w:rsidR="00CB62FF" w:rsidRDefault="00CB62FF" w:rsidP="00AD4F8C">
            <w:pPr>
              <w:keepNext/>
              <w:jc w:val="center"/>
              <w:rPr>
                <w:i/>
                <w:iCs/>
                <w:sz w:val="20"/>
                <w:szCs w:val="20"/>
              </w:rPr>
            </w:pPr>
            <w:r>
              <w:rPr>
                <w:i/>
                <w:iCs/>
                <w:sz w:val="20"/>
                <w:szCs w:val="20"/>
              </w:rPr>
              <w:t>200</w:t>
            </w:r>
          </w:p>
        </w:tc>
        <w:tc>
          <w:tcPr>
            <w:tcW w:w="900" w:type="dxa"/>
            <w:vAlign w:val="center"/>
          </w:tcPr>
          <w:p w14:paraId="14667EB1" w14:textId="39F6D9E1" w:rsidR="00CB62FF" w:rsidRDefault="00CB62FF" w:rsidP="00AD4F8C">
            <w:pPr>
              <w:keepNext/>
              <w:jc w:val="center"/>
              <w:rPr>
                <w:i/>
                <w:iCs/>
                <w:sz w:val="20"/>
                <w:szCs w:val="20"/>
              </w:rPr>
            </w:pPr>
            <w:r>
              <w:rPr>
                <w:i/>
                <w:iCs/>
                <w:sz w:val="20"/>
                <w:szCs w:val="20"/>
              </w:rPr>
              <w:t>40.88</w:t>
            </w:r>
          </w:p>
        </w:tc>
        <w:tc>
          <w:tcPr>
            <w:tcW w:w="1224" w:type="dxa"/>
            <w:vAlign w:val="center"/>
          </w:tcPr>
          <w:p w14:paraId="3B17198D" w14:textId="6FBC5D68" w:rsidR="00CB62FF" w:rsidRDefault="00814727" w:rsidP="00AD4F8C">
            <w:pPr>
              <w:keepNext/>
              <w:tabs>
                <w:tab w:val="decimal" w:pos="828"/>
              </w:tabs>
              <w:rPr>
                <w:i/>
                <w:iCs/>
                <w:sz w:val="20"/>
                <w:szCs w:val="20"/>
              </w:rPr>
            </w:pPr>
            <w:r>
              <w:rPr>
                <w:i/>
                <w:iCs/>
                <w:sz w:val="20"/>
                <w:szCs w:val="20"/>
              </w:rPr>
              <w:t>$8,176</w:t>
            </w:r>
          </w:p>
        </w:tc>
      </w:tr>
      <w:tr w:rsidR="00AD4F8C" w:rsidRPr="009C7345" w14:paraId="1DBC9D30" w14:textId="77777777" w:rsidTr="00FF461A">
        <w:trPr>
          <w:cantSplit/>
        </w:trPr>
        <w:tc>
          <w:tcPr>
            <w:tcW w:w="2052" w:type="dxa"/>
          </w:tcPr>
          <w:p w14:paraId="23AB2834" w14:textId="290C2878" w:rsidR="00AD4F8C" w:rsidRPr="009C7345" w:rsidRDefault="00C654F1" w:rsidP="00AD4F8C">
            <w:pPr>
              <w:rPr>
                <w:b/>
                <w:bCs/>
                <w:sz w:val="20"/>
                <w:szCs w:val="20"/>
              </w:rPr>
            </w:pPr>
            <w:r>
              <w:rPr>
                <w:b/>
                <w:bCs/>
                <w:sz w:val="20"/>
                <w:szCs w:val="20"/>
              </w:rPr>
              <w:t>OVERALL</w:t>
            </w:r>
            <w:r w:rsidR="00AD4F8C" w:rsidRPr="009C7345">
              <w:rPr>
                <w:b/>
                <w:bCs/>
                <w:sz w:val="20"/>
                <w:szCs w:val="20"/>
              </w:rPr>
              <w:t xml:space="preserve"> TOTAL</w:t>
            </w:r>
          </w:p>
        </w:tc>
        <w:tc>
          <w:tcPr>
            <w:tcW w:w="1260" w:type="dxa"/>
            <w:vAlign w:val="center"/>
          </w:tcPr>
          <w:p w14:paraId="78322A41" w14:textId="3E8C8F3B" w:rsidR="00AD4F8C" w:rsidRPr="009C7345" w:rsidRDefault="00CB62FF" w:rsidP="00AD4F8C">
            <w:pPr>
              <w:tabs>
                <w:tab w:val="decimal" w:pos="640"/>
              </w:tabs>
              <w:rPr>
                <w:b/>
                <w:bCs/>
                <w:sz w:val="20"/>
                <w:szCs w:val="20"/>
              </w:rPr>
            </w:pPr>
            <w:r>
              <w:rPr>
                <w:b/>
                <w:bCs/>
                <w:sz w:val="20"/>
                <w:szCs w:val="20"/>
              </w:rPr>
              <w:t>100</w:t>
            </w:r>
          </w:p>
        </w:tc>
        <w:tc>
          <w:tcPr>
            <w:tcW w:w="1170" w:type="dxa"/>
            <w:shd w:val="clear" w:color="auto" w:fill="D9D9D9" w:themeFill="background1" w:themeFillShade="D9"/>
            <w:vAlign w:val="center"/>
          </w:tcPr>
          <w:p w14:paraId="378BF7E0" w14:textId="77777777" w:rsidR="00AD4F8C" w:rsidRPr="009C7345" w:rsidRDefault="00AD4F8C" w:rsidP="00AD4F8C">
            <w:pPr>
              <w:tabs>
                <w:tab w:val="decimal" w:pos="640"/>
              </w:tabs>
              <w:rPr>
                <w:b/>
                <w:bCs/>
                <w:sz w:val="20"/>
                <w:szCs w:val="20"/>
              </w:rPr>
            </w:pPr>
          </w:p>
        </w:tc>
        <w:tc>
          <w:tcPr>
            <w:tcW w:w="1080" w:type="dxa"/>
            <w:vAlign w:val="center"/>
          </w:tcPr>
          <w:p w14:paraId="0FB11462" w14:textId="315FAFE3" w:rsidR="00AD4F8C" w:rsidRPr="009C7345" w:rsidRDefault="00CB62FF" w:rsidP="00AD4F8C">
            <w:pPr>
              <w:tabs>
                <w:tab w:val="decimal" w:pos="640"/>
              </w:tabs>
              <w:rPr>
                <w:b/>
                <w:bCs/>
                <w:sz w:val="20"/>
                <w:szCs w:val="20"/>
              </w:rPr>
            </w:pPr>
            <w:r>
              <w:rPr>
                <w:b/>
                <w:bCs/>
                <w:sz w:val="20"/>
                <w:szCs w:val="20"/>
              </w:rPr>
              <w:t>204</w:t>
            </w:r>
          </w:p>
        </w:tc>
        <w:tc>
          <w:tcPr>
            <w:tcW w:w="1070" w:type="dxa"/>
            <w:shd w:val="clear" w:color="auto" w:fill="D9D9D9" w:themeFill="background1" w:themeFillShade="D9"/>
            <w:vAlign w:val="center"/>
          </w:tcPr>
          <w:p w14:paraId="1767BC6F" w14:textId="77777777" w:rsidR="00AD4F8C" w:rsidRPr="009C7345" w:rsidRDefault="00AD4F8C" w:rsidP="00AD4F8C">
            <w:pPr>
              <w:tabs>
                <w:tab w:val="decimal" w:pos="549"/>
              </w:tabs>
              <w:rPr>
                <w:b/>
                <w:bCs/>
                <w:sz w:val="20"/>
                <w:szCs w:val="20"/>
              </w:rPr>
            </w:pPr>
          </w:p>
        </w:tc>
        <w:tc>
          <w:tcPr>
            <w:tcW w:w="820" w:type="dxa"/>
            <w:vAlign w:val="center"/>
          </w:tcPr>
          <w:p w14:paraId="01B4B715" w14:textId="64A68F5F" w:rsidR="00AD4F8C" w:rsidRPr="009C7345" w:rsidRDefault="00814727" w:rsidP="00AD4F8C">
            <w:pPr>
              <w:tabs>
                <w:tab w:val="decimal" w:pos="478"/>
              </w:tabs>
              <w:jc w:val="center"/>
              <w:rPr>
                <w:b/>
                <w:bCs/>
                <w:sz w:val="20"/>
                <w:szCs w:val="20"/>
              </w:rPr>
            </w:pPr>
            <w:r>
              <w:rPr>
                <w:b/>
                <w:bCs/>
                <w:sz w:val="20"/>
                <w:szCs w:val="20"/>
              </w:rPr>
              <w:t>618</w:t>
            </w:r>
          </w:p>
        </w:tc>
        <w:tc>
          <w:tcPr>
            <w:tcW w:w="900" w:type="dxa"/>
            <w:shd w:val="clear" w:color="auto" w:fill="D9D9D9" w:themeFill="background1" w:themeFillShade="D9"/>
            <w:vAlign w:val="center"/>
          </w:tcPr>
          <w:p w14:paraId="0CE0626B" w14:textId="77777777" w:rsidR="00AD4F8C" w:rsidRPr="009C7345" w:rsidRDefault="00AD4F8C" w:rsidP="00AD4F8C">
            <w:pPr>
              <w:tabs>
                <w:tab w:val="decimal" w:pos="468"/>
              </w:tabs>
              <w:rPr>
                <w:b/>
                <w:bCs/>
                <w:sz w:val="20"/>
                <w:szCs w:val="20"/>
              </w:rPr>
            </w:pPr>
          </w:p>
        </w:tc>
        <w:tc>
          <w:tcPr>
            <w:tcW w:w="1224" w:type="dxa"/>
            <w:vAlign w:val="center"/>
          </w:tcPr>
          <w:p w14:paraId="172C68C9" w14:textId="28585A44" w:rsidR="00AD4F8C" w:rsidRPr="009C7345" w:rsidRDefault="00814727" w:rsidP="00AD4F8C">
            <w:pPr>
              <w:tabs>
                <w:tab w:val="decimal" w:pos="828"/>
              </w:tabs>
              <w:rPr>
                <w:b/>
                <w:bCs/>
                <w:sz w:val="20"/>
                <w:szCs w:val="20"/>
              </w:rPr>
            </w:pPr>
            <w:r>
              <w:rPr>
                <w:b/>
                <w:bCs/>
                <w:sz w:val="20"/>
                <w:szCs w:val="20"/>
              </w:rPr>
              <w:t>25,243.40</w:t>
            </w:r>
          </w:p>
        </w:tc>
      </w:tr>
    </w:tbl>
    <w:p w14:paraId="65096071" w14:textId="3B5856AA" w:rsidR="000D2F08" w:rsidRPr="00733FFC" w:rsidRDefault="006C1E58" w:rsidP="00E44BF4">
      <w:pPr>
        <w:pStyle w:val="ExhibitNote1"/>
      </w:pPr>
      <w:r>
        <w:t>Note.</w:t>
      </w:r>
      <w:r w:rsidRPr="00733FFC">
        <w:rPr>
          <w:b/>
          <w:bCs/>
          <w:vertAlign w:val="superscript"/>
        </w:rPr>
        <w:t xml:space="preserve"> </w:t>
      </w:r>
      <w:r w:rsidR="000D2F08" w:rsidRPr="00733FFC">
        <w:rPr>
          <w:b/>
          <w:bCs/>
        </w:rPr>
        <w:t>Annualized Data Collection Burden</w:t>
      </w:r>
      <w:r w:rsidR="000D2F08" w:rsidRPr="00733FFC">
        <w:t xml:space="preserve"> captures the average number of respondents and responses, burden hours, and respondent cost over the </w:t>
      </w:r>
      <w:r>
        <w:t>3</w:t>
      </w:r>
      <w:r w:rsidRPr="00733FFC">
        <w:t xml:space="preserve"> </w:t>
      </w:r>
      <w:r w:rsidR="00C654F1">
        <w:t>years (FY2018</w:t>
      </w:r>
      <w:r w:rsidR="000D2F08" w:rsidRPr="00733FFC">
        <w:t>–</w:t>
      </w:r>
      <w:r>
        <w:t>FY</w:t>
      </w:r>
      <w:r w:rsidR="00C654F1">
        <w:t>2020</w:t>
      </w:r>
      <w:r w:rsidR="000D2F08" w:rsidRPr="00733FFC">
        <w:t>).</w:t>
      </w:r>
    </w:p>
    <w:p w14:paraId="33C5C297" w14:textId="5EF1D797" w:rsidR="000D2F08" w:rsidRPr="00733FFC" w:rsidRDefault="006C1E58" w:rsidP="00E44BF4">
      <w:pPr>
        <w:pStyle w:val="ExhibitNote2"/>
      </w:pPr>
      <w:proofErr w:type="gramStart"/>
      <w:r>
        <w:rPr>
          <w:vertAlign w:val="superscript"/>
        </w:rPr>
        <w:t>a</w:t>
      </w:r>
      <w:proofErr w:type="gramEnd"/>
      <w:r w:rsidR="000D2F08" w:rsidRPr="00733FFC">
        <w:rPr>
          <w:vertAlign w:val="superscript"/>
        </w:rPr>
        <w:t xml:space="preserve"> </w:t>
      </w:r>
      <w:r w:rsidR="000D2F08" w:rsidRPr="00733FFC">
        <w:rPr>
          <w:b/>
          <w:bCs/>
        </w:rPr>
        <w:t>Respondent cost</w:t>
      </w:r>
      <w:r w:rsidR="000D2F08" w:rsidRPr="00733FFC">
        <w:t xml:space="preserve"> is calculated as total burden hours </w:t>
      </w:r>
      <w:r w:rsidRPr="006C1E58">
        <w:t>×</w:t>
      </w:r>
      <w:r w:rsidR="000D2F08" w:rsidRPr="00733FFC">
        <w:t xml:space="preserve"> average hourly wage. </w:t>
      </w:r>
    </w:p>
    <w:p w14:paraId="44C6F824" w14:textId="037ADF02" w:rsidR="000D2F08" w:rsidRPr="00726178" w:rsidRDefault="00376BDD" w:rsidP="00E44BF4">
      <w:pPr>
        <w:pStyle w:val="Heading2"/>
      </w:pPr>
      <w:r>
        <w:t>A.13</w:t>
      </w:r>
      <w:r>
        <w:tab/>
      </w:r>
      <w:r w:rsidR="000D2F08" w:rsidRPr="00E44BF4">
        <w:t>Estimates</w:t>
      </w:r>
      <w:r w:rsidR="000D2F08" w:rsidRPr="00726178">
        <w:t xml:space="preserve"> of Annualized Cost Burden to Respondents</w:t>
      </w:r>
    </w:p>
    <w:p w14:paraId="202A5C64" w14:textId="77777777" w:rsidR="000D2F08" w:rsidRPr="00C030A7" w:rsidRDefault="000D2F08" w:rsidP="000D2F08">
      <w:pPr>
        <w:pStyle w:val="BodyText"/>
      </w:pPr>
      <w:r w:rsidRPr="00C030A7">
        <w:t>There are no respondent costs for capital or start-up or for operation or maintenance.</w:t>
      </w:r>
    </w:p>
    <w:p w14:paraId="14271D9B" w14:textId="259873E0" w:rsidR="000D2F08" w:rsidRPr="00726178" w:rsidRDefault="00376BDD" w:rsidP="00E44BF4">
      <w:pPr>
        <w:pStyle w:val="Heading2"/>
      </w:pPr>
      <w:r>
        <w:t>A.14</w:t>
      </w:r>
      <w:r>
        <w:tab/>
      </w:r>
      <w:r w:rsidR="000D2F08" w:rsidRPr="00726178">
        <w:t>Estimates of Annualized Cost to the Government</w:t>
      </w:r>
    </w:p>
    <w:p w14:paraId="3BA77C68" w14:textId="761CB9CD" w:rsidR="000D2F08" w:rsidRPr="00D0463A" w:rsidRDefault="000D2F08" w:rsidP="000D2F08">
      <w:pPr>
        <w:pStyle w:val="BodyText"/>
        <w:rPr>
          <w:highlight w:val="lightGray"/>
        </w:rPr>
      </w:pPr>
      <w:r w:rsidRPr="00250D47">
        <w:t xml:space="preserve">The total estimated cost to the government for the data collection from </w:t>
      </w:r>
      <w:r w:rsidR="00573100">
        <w:t>FY</w:t>
      </w:r>
      <w:r w:rsidRPr="00250D47">
        <w:t xml:space="preserve">2018 through </w:t>
      </w:r>
      <w:r w:rsidR="00573100">
        <w:t>FY</w:t>
      </w:r>
      <w:r w:rsidRPr="00250D47">
        <w:t xml:space="preserve">2020 is </w:t>
      </w:r>
      <w:r w:rsidR="007069BA" w:rsidRPr="00250D47">
        <w:t>$</w:t>
      </w:r>
      <w:r w:rsidR="007069BA">
        <w:t>979,981</w:t>
      </w:r>
      <w:r w:rsidR="007069BA" w:rsidRPr="00250D47">
        <w:t>.</w:t>
      </w:r>
      <w:r w:rsidRPr="00250D47">
        <w:t xml:space="preserve"> This includes approximately $</w:t>
      </w:r>
      <w:r w:rsidR="00ED215D">
        <w:rPr>
          <w:color w:val="1F497D"/>
        </w:rPr>
        <w:t>496,375</w:t>
      </w:r>
      <w:r w:rsidRPr="00250D47">
        <w:t xml:space="preserve"> for developing the instruments; programming and maintaining the online data collection system; providing data collection training to grantees and </w:t>
      </w:r>
      <w:proofErr w:type="spellStart"/>
      <w:r w:rsidRPr="00250D47">
        <w:t>subrecipients</w:t>
      </w:r>
      <w:proofErr w:type="spellEnd"/>
      <w:r w:rsidRPr="00250D47">
        <w:rPr>
          <w:iCs/>
        </w:rPr>
        <w:t xml:space="preserve">; </w:t>
      </w:r>
      <w:r w:rsidRPr="00250D47">
        <w:t xml:space="preserve">processing, cleaning, and housing data; </w:t>
      </w:r>
      <w:r w:rsidRPr="00250D47">
        <w:rPr>
          <w:iCs/>
        </w:rPr>
        <w:t>and</w:t>
      </w:r>
      <w:r w:rsidRPr="00250D47">
        <w:t xml:space="preserve"> analyzing and reporting data.</w:t>
      </w:r>
      <w:r>
        <w:t xml:space="preserve"> </w:t>
      </w:r>
      <w:r w:rsidRPr="00DA1A73">
        <w:t xml:space="preserve">Approximately $55,602 per year represents SAMHSA costs to manage/administer the data collection and analysis for 25% </w:t>
      </w:r>
      <w:r w:rsidR="006C1E58">
        <w:t xml:space="preserve">time </w:t>
      </w:r>
      <w:r w:rsidRPr="00DA1A73">
        <w:t xml:space="preserve">each </w:t>
      </w:r>
      <w:r w:rsidR="006C1E58">
        <w:t>by</w:t>
      </w:r>
      <w:r w:rsidR="006C1E58" w:rsidRPr="00DA1A73">
        <w:t xml:space="preserve"> </w:t>
      </w:r>
      <w:r w:rsidRPr="00DA1A73">
        <w:t xml:space="preserve">two employees (GS-14-10, $111,203 annual salary). Approximately $105,600 per year </w:t>
      </w:r>
      <w:r w:rsidRPr="00DA1A73">
        <w:lastRenderedPageBreak/>
        <w:t xml:space="preserve">represents SAMHSA costs to monitor and approve grantee reporting in these instruments (10% time of 10 Project Officers at $105,600 annual salary). The annualized cost is approximately </w:t>
      </w:r>
      <w:r w:rsidR="007069BA" w:rsidRPr="00DA1A73">
        <w:t>$</w:t>
      </w:r>
      <w:r w:rsidR="007069BA">
        <w:t>326,660.33.</w:t>
      </w:r>
    </w:p>
    <w:p w14:paraId="235C64FE" w14:textId="43225AE0" w:rsidR="000D2F08" w:rsidRPr="00726178" w:rsidRDefault="00376BDD" w:rsidP="00E44BF4">
      <w:pPr>
        <w:pStyle w:val="Heading2"/>
      </w:pPr>
      <w:r>
        <w:t>A.15</w:t>
      </w:r>
      <w:r>
        <w:tab/>
      </w:r>
      <w:r w:rsidR="000D2F08" w:rsidRPr="00726178">
        <w:t>Changes in Burden</w:t>
      </w:r>
    </w:p>
    <w:p w14:paraId="2A9B3B7E" w14:textId="2982C273" w:rsidR="000D2F08" w:rsidRPr="00C030A7" w:rsidRDefault="008B0DEF" w:rsidP="000D2F08">
      <w:pPr>
        <w:pStyle w:val="BodyText"/>
      </w:pPr>
      <w:r>
        <w:t xml:space="preserve">This is </w:t>
      </w:r>
      <w:r w:rsidR="00240910">
        <w:t xml:space="preserve">a </w:t>
      </w:r>
      <w:r w:rsidR="000D2F08" w:rsidRPr="00C030A7">
        <w:t>new collection.</w:t>
      </w:r>
    </w:p>
    <w:p w14:paraId="204614BC" w14:textId="776CA55D" w:rsidR="000D2F08" w:rsidRPr="00726178" w:rsidRDefault="00376BDD" w:rsidP="00E44BF4">
      <w:pPr>
        <w:pStyle w:val="Heading2"/>
      </w:pPr>
      <w:r>
        <w:t>A.16</w:t>
      </w:r>
      <w:r>
        <w:tab/>
      </w:r>
      <w:r w:rsidR="000D2F08" w:rsidRPr="00726178">
        <w:t>Time Schedule, Publications, and Analysis Plan</w:t>
      </w:r>
    </w:p>
    <w:p w14:paraId="3B964079" w14:textId="77777777" w:rsidR="000D2F08" w:rsidRPr="00C54C00" w:rsidRDefault="000D2F08" w:rsidP="00E44BF4">
      <w:pPr>
        <w:pStyle w:val="Heading3"/>
      </w:pPr>
      <w:r>
        <w:t xml:space="preserve">SPF-Rx </w:t>
      </w:r>
      <w:r w:rsidRPr="00C54C00">
        <w:t xml:space="preserve">Time Schedule </w:t>
      </w:r>
    </w:p>
    <w:p w14:paraId="0E342313" w14:textId="6F52B0E6" w:rsidR="000D2F08" w:rsidRPr="00C54C00" w:rsidRDefault="000D2F08" w:rsidP="000D2F08">
      <w:pPr>
        <w:pStyle w:val="BodyText"/>
      </w:pPr>
      <w:r w:rsidRPr="00C54C00">
        <w:rPr>
          <w:b/>
          <w:bCs/>
          <w:i/>
        </w:rPr>
        <w:t xml:space="preserve">Exhibit </w:t>
      </w:r>
      <w:r w:rsidR="001E5933">
        <w:rPr>
          <w:b/>
          <w:bCs/>
          <w:i/>
        </w:rPr>
        <w:t>8</w:t>
      </w:r>
      <w:r w:rsidR="009A7B86">
        <w:rPr>
          <w:b/>
          <w:bCs/>
          <w:i/>
        </w:rPr>
        <w:t xml:space="preserve"> </w:t>
      </w:r>
      <w:r w:rsidRPr="00C54C00">
        <w:t xml:space="preserve">outlines the key time points for the </w:t>
      </w:r>
      <w:r w:rsidR="004014A9">
        <w:t>PEP</w:t>
      </w:r>
      <w:r w:rsidR="004014A9">
        <w:noBreakHyphen/>
        <w:t>C</w:t>
      </w:r>
      <w:r w:rsidRPr="00C54C00">
        <w:t xml:space="preserve"> </w:t>
      </w:r>
      <w:r w:rsidR="006C1E58">
        <w:t>SPF-Rx</w:t>
      </w:r>
      <w:r w:rsidRPr="00C54C00">
        <w:t xml:space="preserve"> data collection.</w:t>
      </w:r>
    </w:p>
    <w:p w14:paraId="1A286D24" w14:textId="77777777" w:rsidR="00391B7A" w:rsidRDefault="00391B7A">
      <w:pPr>
        <w:rPr>
          <w:rFonts w:eastAsiaTheme="minorHAnsi" w:cstheme="minorBidi"/>
          <w:b/>
          <w:bCs/>
          <w:sz w:val="22"/>
          <w:lang w:eastAsia="en-US"/>
        </w:rPr>
      </w:pPr>
      <w:r>
        <w:br w:type="page"/>
      </w:r>
    </w:p>
    <w:p w14:paraId="01323D77" w14:textId="2C1419A4" w:rsidR="000D2F08" w:rsidRPr="00C54C00" w:rsidRDefault="000D2F08" w:rsidP="000D2F08">
      <w:pPr>
        <w:pStyle w:val="ExhibitTitle"/>
      </w:pPr>
      <w:r w:rsidRPr="00C54C00">
        <w:lastRenderedPageBreak/>
        <w:t xml:space="preserve">Exhibit </w:t>
      </w:r>
      <w:r w:rsidR="001E5933">
        <w:t>8</w:t>
      </w:r>
      <w:r w:rsidR="009C7345">
        <w:t>:</w:t>
      </w:r>
      <w:r w:rsidRPr="00C54C00">
        <w:t xml:space="preserve"> Time Schedule for Data Collection </w:t>
      </w:r>
    </w:p>
    <w:tbl>
      <w:tblPr>
        <w:tblW w:w="963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6030"/>
        <w:gridCol w:w="3600"/>
      </w:tblGrid>
      <w:tr w:rsidR="000D2F08" w:rsidRPr="00D0463A" w14:paraId="3132A004" w14:textId="77777777" w:rsidTr="00573100">
        <w:trPr>
          <w:cantSplit/>
        </w:trPr>
        <w:tc>
          <w:tcPr>
            <w:tcW w:w="6030" w:type="dxa"/>
            <w:shd w:val="clear" w:color="auto" w:fill="auto"/>
            <w:vAlign w:val="bottom"/>
          </w:tcPr>
          <w:p w14:paraId="7F6C9C20" w14:textId="77777777" w:rsidR="000D2F08" w:rsidRPr="00866493" w:rsidRDefault="000D2F08" w:rsidP="000D2F08">
            <w:pPr>
              <w:rPr>
                <w:b/>
                <w:bCs/>
                <w:sz w:val="20"/>
                <w:szCs w:val="20"/>
              </w:rPr>
            </w:pPr>
            <w:r w:rsidRPr="00866493">
              <w:rPr>
                <w:b/>
                <w:bCs/>
                <w:sz w:val="20"/>
                <w:szCs w:val="20"/>
              </w:rPr>
              <w:t>Activity</w:t>
            </w:r>
          </w:p>
        </w:tc>
        <w:tc>
          <w:tcPr>
            <w:tcW w:w="3600" w:type="dxa"/>
            <w:shd w:val="clear" w:color="auto" w:fill="auto"/>
            <w:vAlign w:val="bottom"/>
          </w:tcPr>
          <w:p w14:paraId="04AE63AD" w14:textId="77777777" w:rsidR="000D2F08" w:rsidRPr="00866493" w:rsidRDefault="000D2F08" w:rsidP="000D2F08">
            <w:pPr>
              <w:rPr>
                <w:b/>
                <w:bCs/>
                <w:sz w:val="20"/>
                <w:szCs w:val="20"/>
              </w:rPr>
            </w:pPr>
            <w:r w:rsidRPr="00866493">
              <w:rPr>
                <w:b/>
                <w:bCs/>
                <w:sz w:val="20"/>
                <w:szCs w:val="20"/>
              </w:rPr>
              <w:t>Time Schedule</w:t>
            </w:r>
          </w:p>
        </w:tc>
      </w:tr>
      <w:tr w:rsidR="000D2F08" w:rsidRPr="00D0463A" w14:paraId="6E605FD1" w14:textId="77777777" w:rsidTr="00573100">
        <w:trPr>
          <w:cantSplit/>
        </w:trPr>
        <w:tc>
          <w:tcPr>
            <w:tcW w:w="6030" w:type="dxa"/>
            <w:shd w:val="clear" w:color="auto" w:fill="auto"/>
          </w:tcPr>
          <w:p w14:paraId="7E318DD2" w14:textId="77777777" w:rsidR="000D2F08" w:rsidRPr="00866493" w:rsidRDefault="000D2F08" w:rsidP="000D2F08">
            <w:pPr>
              <w:rPr>
                <w:sz w:val="20"/>
                <w:szCs w:val="20"/>
              </w:rPr>
            </w:pPr>
            <w:r w:rsidRPr="00866493">
              <w:rPr>
                <w:sz w:val="20"/>
                <w:szCs w:val="20"/>
              </w:rPr>
              <w:t>Prepare for data collection</w:t>
            </w:r>
          </w:p>
        </w:tc>
        <w:tc>
          <w:tcPr>
            <w:tcW w:w="3600" w:type="dxa"/>
            <w:shd w:val="clear" w:color="auto" w:fill="auto"/>
          </w:tcPr>
          <w:p w14:paraId="4E1A9F5C" w14:textId="77777777" w:rsidR="000D2F08" w:rsidRPr="00866493" w:rsidRDefault="000D2F08" w:rsidP="000D2F08">
            <w:pPr>
              <w:rPr>
                <w:sz w:val="20"/>
                <w:szCs w:val="20"/>
              </w:rPr>
            </w:pPr>
            <w:r w:rsidRPr="00866493">
              <w:rPr>
                <w:sz w:val="20"/>
                <w:szCs w:val="20"/>
              </w:rPr>
              <w:t>November 2016–January 2017</w:t>
            </w:r>
          </w:p>
        </w:tc>
      </w:tr>
      <w:tr w:rsidR="000D2F08" w:rsidRPr="00D0463A" w14:paraId="1F89A17A" w14:textId="77777777" w:rsidTr="00573100">
        <w:trPr>
          <w:cantSplit/>
        </w:trPr>
        <w:tc>
          <w:tcPr>
            <w:tcW w:w="6030" w:type="dxa"/>
            <w:shd w:val="clear" w:color="auto" w:fill="auto"/>
          </w:tcPr>
          <w:p w14:paraId="0248B523" w14:textId="77777777" w:rsidR="000D2F08" w:rsidRPr="00866493" w:rsidRDefault="000D2F08" w:rsidP="000D2F08">
            <w:pPr>
              <w:rPr>
                <w:sz w:val="20"/>
                <w:szCs w:val="20"/>
              </w:rPr>
            </w:pPr>
            <w:r w:rsidRPr="00866493">
              <w:rPr>
                <w:sz w:val="20"/>
                <w:szCs w:val="20"/>
              </w:rPr>
              <w:t>Submit OMB package for approval of data collection</w:t>
            </w:r>
          </w:p>
        </w:tc>
        <w:tc>
          <w:tcPr>
            <w:tcW w:w="3600" w:type="dxa"/>
            <w:shd w:val="clear" w:color="auto" w:fill="auto"/>
          </w:tcPr>
          <w:p w14:paraId="3A59BBE2" w14:textId="77777777" w:rsidR="000D2F08" w:rsidRPr="00866493" w:rsidRDefault="000D2F08" w:rsidP="000D2F08">
            <w:pPr>
              <w:rPr>
                <w:sz w:val="20"/>
                <w:szCs w:val="20"/>
              </w:rPr>
            </w:pPr>
            <w:r w:rsidRPr="00866493">
              <w:rPr>
                <w:sz w:val="20"/>
                <w:szCs w:val="20"/>
              </w:rPr>
              <w:t>April 2017</w:t>
            </w:r>
          </w:p>
        </w:tc>
      </w:tr>
      <w:tr w:rsidR="000D2F08" w:rsidRPr="00D0463A" w14:paraId="309AE404" w14:textId="77777777" w:rsidTr="00573100">
        <w:trPr>
          <w:cantSplit/>
        </w:trPr>
        <w:tc>
          <w:tcPr>
            <w:tcW w:w="6030" w:type="dxa"/>
            <w:shd w:val="clear" w:color="auto" w:fill="auto"/>
          </w:tcPr>
          <w:p w14:paraId="7E047DAA" w14:textId="77777777" w:rsidR="000D2F08" w:rsidRPr="00866493" w:rsidRDefault="000D2F08" w:rsidP="000D2F08">
            <w:pPr>
              <w:rPr>
                <w:sz w:val="20"/>
                <w:szCs w:val="20"/>
              </w:rPr>
            </w:pPr>
            <w:r w:rsidRPr="00866493">
              <w:rPr>
                <w:sz w:val="20"/>
                <w:szCs w:val="20"/>
              </w:rPr>
              <w:t>Obtain OMB approval of data collection</w:t>
            </w:r>
          </w:p>
        </w:tc>
        <w:tc>
          <w:tcPr>
            <w:tcW w:w="3600" w:type="dxa"/>
            <w:shd w:val="clear" w:color="auto" w:fill="auto"/>
          </w:tcPr>
          <w:p w14:paraId="0D55D361" w14:textId="77777777" w:rsidR="000D2F08" w:rsidRPr="00866493" w:rsidRDefault="000D2F08" w:rsidP="000D2F08">
            <w:pPr>
              <w:rPr>
                <w:sz w:val="20"/>
                <w:szCs w:val="20"/>
              </w:rPr>
            </w:pPr>
            <w:r w:rsidRPr="00866493">
              <w:rPr>
                <w:sz w:val="20"/>
                <w:szCs w:val="20"/>
              </w:rPr>
              <w:t>September 2017</w:t>
            </w:r>
          </w:p>
        </w:tc>
      </w:tr>
      <w:tr w:rsidR="000D2F08" w:rsidRPr="00D0463A" w14:paraId="1C20E6FD" w14:textId="77777777" w:rsidTr="00573100">
        <w:trPr>
          <w:cantSplit/>
        </w:trPr>
        <w:tc>
          <w:tcPr>
            <w:tcW w:w="6030" w:type="dxa"/>
            <w:shd w:val="clear" w:color="auto" w:fill="auto"/>
          </w:tcPr>
          <w:p w14:paraId="412A34A3" w14:textId="77777777" w:rsidR="000D2F08" w:rsidRPr="00866493" w:rsidRDefault="000D2F08" w:rsidP="000D2F08">
            <w:pPr>
              <w:rPr>
                <w:sz w:val="20"/>
                <w:szCs w:val="20"/>
              </w:rPr>
            </w:pPr>
            <w:r w:rsidRPr="00866493">
              <w:rPr>
                <w:sz w:val="20"/>
                <w:szCs w:val="20"/>
              </w:rPr>
              <w:t xml:space="preserve">Collect data </w:t>
            </w:r>
          </w:p>
        </w:tc>
        <w:tc>
          <w:tcPr>
            <w:tcW w:w="3600" w:type="dxa"/>
            <w:shd w:val="clear" w:color="auto" w:fill="auto"/>
          </w:tcPr>
          <w:p w14:paraId="0B321A20" w14:textId="77777777" w:rsidR="000D2F08" w:rsidRPr="00866493" w:rsidRDefault="000D2F08" w:rsidP="000D2F08">
            <w:pPr>
              <w:rPr>
                <w:sz w:val="20"/>
                <w:szCs w:val="20"/>
              </w:rPr>
            </w:pPr>
            <w:r w:rsidRPr="00866493">
              <w:rPr>
                <w:sz w:val="20"/>
                <w:szCs w:val="20"/>
              </w:rPr>
              <w:t>November 2017–September 2021</w:t>
            </w:r>
          </w:p>
        </w:tc>
      </w:tr>
      <w:tr w:rsidR="000D2F08" w:rsidRPr="00D0463A" w14:paraId="525DF5BC" w14:textId="77777777" w:rsidTr="00573100">
        <w:trPr>
          <w:cantSplit/>
        </w:trPr>
        <w:tc>
          <w:tcPr>
            <w:tcW w:w="6030" w:type="dxa"/>
            <w:shd w:val="clear" w:color="auto" w:fill="auto"/>
          </w:tcPr>
          <w:p w14:paraId="354A3594" w14:textId="77777777" w:rsidR="000D2F08" w:rsidRPr="00866493" w:rsidRDefault="000D2F08" w:rsidP="000D2F08">
            <w:pPr>
              <w:rPr>
                <w:sz w:val="20"/>
                <w:szCs w:val="20"/>
              </w:rPr>
            </w:pPr>
            <w:r w:rsidRPr="00866493">
              <w:rPr>
                <w:sz w:val="20"/>
                <w:szCs w:val="20"/>
              </w:rPr>
              <w:t xml:space="preserve">Analyze data </w:t>
            </w:r>
          </w:p>
        </w:tc>
        <w:tc>
          <w:tcPr>
            <w:tcW w:w="3600" w:type="dxa"/>
            <w:shd w:val="clear" w:color="auto" w:fill="auto"/>
          </w:tcPr>
          <w:p w14:paraId="7AF6350C" w14:textId="77777777" w:rsidR="000D2F08" w:rsidRPr="00866493" w:rsidRDefault="000D2F08" w:rsidP="000D2F08">
            <w:pPr>
              <w:rPr>
                <w:sz w:val="20"/>
                <w:szCs w:val="20"/>
              </w:rPr>
            </w:pPr>
            <w:r w:rsidRPr="00866493">
              <w:rPr>
                <w:sz w:val="20"/>
                <w:szCs w:val="20"/>
              </w:rPr>
              <w:t>April 2018–September 2021</w:t>
            </w:r>
          </w:p>
        </w:tc>
      </w:tr>
      <w:tr w:rsidR="000D2F08" w:rsidRPr="00D0463A" w14:paraId="2FC6C8D3" w14:textId="77777777" w:rsidTr="00573100">
        <w:trPr>
          <w:cantSplit/>
        </w:trPr>
        <w:tc>
          <w:tcPr>
            <w:tcW w:w="6030" w:type="dxa"/>
            <w:shd w:val="clear" w:color="auto" w:fill="auto"/>
          </w:tcPr>
          <w:p w14:paraId="79A9082F" w14:textId="45A17B76" w:rsidR="000D2F08" w:rsidRPr="00866493" w:rsidRDefault="000D2F08" w:rsidP="000D2F08">
            <w:pPr>
              <w:rPr>
                <w:sz w:val="20"/>
                <w:szCs w:val="20"/>
              </w:rPr>
            </w:pPr>
            <w:r w:rsidRPr="00866493">
              <w:rPr>
                <w:sz w:val="20"/>
                <w:szCs w:val="20"/>
              </w:rPr>
              <w:t>Disseminate findings</w:t>
            </w:r>
            <w:r w:rsidR="006C1E58">
              <w:rPr>
                <w:sz w:val="20"/>
                <w:szCs w:val="20"/>
              </w:rPr>
              <w:t>:</w:t>
            </w:r>
            <w:r w:rsidRPr="00866493">
              <w:rPr>
                <w:sz w:val="20"/>
                <w:szCs w:val="20"/>
              </w:rPr>
              <w:br/>
              <w:t>Interim reports, presentations, manuscripts, final report</w:t>
            </w:r>
          </w:p>
        </w:tc>
        <w:tc>
          <w:tcPr>
            <w:tcW w:w="3600" w:type="dxa"/>
            <w:shd w:val="clear" w:color="auto" w:fill="auto"/>
          </w:tcPr>
          <w:p w14:paraId="64ABD993" w14:textId="2E13879C" w:rsidR="000D2F08" w:rsidRPr="00866493" w:rsidRDefault="000D2F08" w:rsidP="000D2F08">
            <w:pPr>
              <w:rPr>
                <w:sz w:val="20"/>
                <w:szCs w:val="20"/>
              </w:rPr>
            </w:pPr>
            <w:r w:rsidRPr="00866493">
              <w:rPr>
                <w:sz w:val="20"/>
                <w:szCs w:val="20"/>
              </w:rPr>
              <w:t>September 2018–September 202</w:t>
            </w:r>
            <w:r w:rsidR="00ED215D">
              <w:rPr>
                <w:sz w:val="20"/>
                <w:szCs w:val="20"/>
              </w:rPr>
              <w:t>0</w:t>
            </w:r>
          </w:p>
        </w:tc>
      </w:tr>
    </w:tbl>
    <w:p w14:paraId="78131A1F" w14:textId="77777777" w:rsidR="000D2F08" w:rsidRPr="00C54C00" w:rsidRDefault="000D2F08" w:rsidP="000D2F08">
      <w:pPr>
        <w:pStyle w:val="ExhibitNote2"/>
      </w:pPr>
      <w:r w:rsidRPr="00C54C00">
        <w:t>Note. OMB, Office of Management and Budget.</w:t>
      </w:r>
    </w:p>
    <w:p w14:paraId="0FDDFE71" w14:textId="1B6F012F" w:rsidR="000D2F08" w:rsidRPr="00E10C86" w:rsidRDefault="000D2F08" w:rsidP="00E44BF4">
      <w:pPr>
        <w:pStyle w:val="Heading3"/>
      </w:pPr>
      <w:r w:rsidRPr="00E10C86">
        <w:t>Publications</w:t>
      </w:r>
    </w:p>
    <w:p w14:paraId="5276ED2C" w14:textId="68508668" w:rsidR="000D2F08" w:rsidRPr="00E10C86" w:rsidRDefault="000D2F08" w:rsidP="000D2F08">
      <w:pPr>
        <w:pStyle w:val="BodyText"/>
      </w:pPr>
      <w:r w:rsidRPr="00E10C86">
        <w:t xml:space="preserve">The </w:t>
      </w:r>
      <w:r w:rsidR="004014A9">
        <w:t>PEP</w:t>
      </w:r>
      <w:r w:rsidR="004014A9">
        <w:noBreakHyphen/>
        <w:t>C</w:t>
      </w:r>
      <w:r w:rsidRPr="00E10C86">
        <w:t xml:space="preserve"> SPF-Rx evaluation will use the data collected through the </w:t>
      </w:r>
      <w:r w:rsidR="004014A9">
        <w:t>PEP</w:t>
      </w:r>
      <w:r w:rsidR="004014A9">
        <w:noBreakHyphen/>
        <w:t>C</w:t>
      </w:r>
      <w:r w:rsidRPr="00E10C86">
        <w:t xml:space="preserve"> SPF-Rx MRT to help SAMHSA reach its diverse stakeholders through targeted products and innovative dissemination venues. The objective for all reports and dissemination products is to provide user-friendly documents and presentations that help SAMHSA successfully disseminate and explain the findings. The dissemination plan includes products in a variety of formats for a variety of target audiences. Audiences for these reports will include Congress, the </w:t>
      </w:r>
      <w:r w:rsidR="00B873BE">
        <w:t>Office of National Drug Control Policy (</w:t>
      </w:r>
      <w:r w:rsidRPr="00DF5194">
        <w:t>ONDCP</w:t>
      </w:r>
      <w:r w:rsidR="00B873BE">
        <w:t>)</w:t>
      </w:r>
      <w:r w:rsidRPr="00E10C86">
        <w:t>, SAMHSA Centers, the evaluation’s SAMHSA Contracting Officer’s Representatives (</w:t>
      </w:r>
      <w:r w:rsidRPr="00DF5194">
        <w:t>CORs</w:t>
      </w:r>
      <w:r w:rsidRPr="00E10C86">
        <w:t>), SPF-Rx grantees, and the broader prescription drug abuse prevention field (</w:t>
      </w:r>
      <w:r w:rsidR="00B873BE">
        <w:t>i.e.</w:t>
      </w:r>
      <w:r w:rsidRPr="00E10C86">
        <w:t xml:space="preserve">, academia, researchers, policymakers, providers). </w:t>
      </w:r>
      <w:r w:rsidR="004014A9">
        <w:t>PEP</w:t>
      </w:r>
      <w:r w:rsidR="004014A9">
        <w:noBreakHyphen/>
        <w:t>C</w:t>
      </w:r>
      <w:r w:rsidRPr="00E10C86">
        <w:t xml:space="preserve"> and SAMHSA </w:t>
      </w:r>
      <w:r w:rsidR="006F4352">
        <w:t xml:space="preserve">staff </w:t>
      </w:r>
      <w:r w:rsidR="006F4352" w:rsidRPr="00E10C86">
        <w:t>recognizes</w:t>
      </w:r>
      <w:r w:rsidRPr="00E10C86">
        <w:t xml:space="preserve"> that different audiences are best reached by different types of report formats. For example, reports to Congress and </w:t>
      </w:r>
      <w:r w:rsidR="002A3851">
        <w:t xml:space="preserve">the </w:t>
      </w:r>
      <w:r w:rsidRPr="00E10C86">
        <w:t>ONDCP will require materials that are concise but offer policy-relevant recommendations. Reports created for SAMHSA Centers and the CORs will require more in-depth information, such as substantive background and discussion sections, to supplement the analytic approach. Reports created for SPF-Rx grantees will be concise handouts</w:t>
      </w:r>
      <w:r w:rsidR="00B873BE">
        <w:t>,</w:t>
      </w:r>
      <w:r w:rsidRPr="00E10C86">
        <w:t xml:space="preserve"> with helpful and easy-to-read graphics on performance data rather than lengthy text. The assortment of dissemination products developed using the </w:t>
      </w:r>
      <w:r w:rsidR="004014A9">
        <w:t>PEP</w:t>
      </w:r>
      <w:r w:rsidR="004014A9">
        <w:noBreakHyphen/>
        <w:t>C</w:t>
      </w:r>
      <w:r w:rsidRPr="00E10C86">
        <w:t xml:space="preserve"> SPF-Rx MRT data will include short and long analytic reports, congressional briefings, annual evaluation reports, research and policy briefs, ad hoc analytic reports, journal articles, best practice summaries, and conference or other presentations. </w:t>
      </w:r>
    </w:p>
    <w:p w14:paraId="37758CB3" w14:textId="77777777" w:rsidR="000D2F08" w:rsidRPr="008B5158" w:rsidRDefault="000D2F08" w:rsidP="00E44BF4">
      <w:pPr>
        <w:pStyle w:val="Heading3"/>
      </w:pPr>
      <w:r w:rsidRPr="008B5158">
        <w:t>Analysis</w:t>
      </w:r>
    </w:p>
    <w:p w14:paraId="33A36F18" w14:textId="607107AF" w:rsidR="000D2F08" w:rsidRPr="008B5158" w:rsidRDefault="000D2F08" w:rsidP="000D2F08">
      <w:pPr>
        <w:pStyle w:val="BodyText"/>
      </w:pPr>
      <w:r w:rsidRPr="008B5158">
        <w:t xml:space="preserve">The </w:t>
      </w:r>
      <w:r w:rsidR="004014A9">
        <w:t>PEP</w:t>
      </w:r>
      <w:r w:rsidR="004014A9">
        <w:noBreakHyphen/>
        <w:t>C</w:t>
      </w:r>
      <w:r w:rsidRPr="008B5158">
        <w:t xml:space="preserve"> SPF-Rx evaluation uses a series of interdependent analysis frameworks that have been selected to maximize the coverage of key EQs posed for assessing the objectives of SPF-Rx in the prevention of prescription drug and pain reliever misuse and opioid overdose. The evaluation will fully incorporate all data from the </w:t>
      </w:r>
      <w:r w:rsidRPr="008B5158">
        <w:rPr>
          <w:iCs/>
        </w:rPr>
        <w:t>cross-site evaluation instruments as well as secondary data</w:t>
      </w:r>
      <w:r w:rsidR="00CC71C3">
        <w:rPr>
          <w:iCs/>
        </w:rPr>
        <w:t>,</w:t>
      </w:r>
      <w:r w:rsidRPr="008B5158">
        <w:t xml:space="preserve"> as indicated in </w:t>
      </w:r>
      <w:r w:rsidRPr="00803430">
        <w:rPr>
          <w:bCs/>
          <w:iCs/>
        </w:rPr>
        <w:t>Exhibit 3</w:t>
      </w:r>
      <w:r w:rsidRPr="00803430">
        <w:t>.</w:t>
      </w:r>
      <w:r w:rsidRPr="008B5158">
        <w:t xml:space="preserve"> The analysis plan includes a range of analyses</w:t>
      </w:r>
      <w:r w:rsidR="00CC71C3">
        <w:t>, from</w:t>
      </w:r>
      <w:r w:rsidRPr="008B5158">
        <w:t xml:space="preserve"> basic descriptive analyses of GPRA measures, grantee performance measures, and </w:t>
      </w:r>
      <w:r w:rsidR="00CC71C3">
        <w:t>National Outcomes Measures</w:t>
      </w:r>
      <w:r w:rsidR="00CC71C3" w:rsidRPr="008B5158">
        <w:t xml:space="preserve"> </w:t>
      </w:r>
      <w:r w:rsidRPr="008B5158">
        <w:t>(</w:t>
      </w:r>
      <w:r w:rsidR="00CC71C3" w:rsidRPr="006038E8">
        <w:t>NOMs</w:t>
      </w:r>
      <w:r w:rsidR="00CC71C3">
        <w:t xml:space="preserve">; </w:t>
      </w:r>
      <w:r w:rsidRPr="008B5158">
        <w:t xml:space="preserve">e.g., means, frequencies, percentages) to sophisticated qualitative analysis and multiple quantitative analytic frameworks and models that reflect complexities that are anticipated to arise with data collected by the </w:t>
      </w:r>
      <w:r w:rsidR="004014A9">
        <w:t>PEP</w:t>
      </w:r>
      <w:r w:rsidR="004014A9">
        <w:noBreakHyphen/>
        <w:t>C</w:t>
      </w:r>
      <w:r w:rsidRPr="008B5158">
        <w:t>.</w:t>
      </w:r>
    </w:p>
    <w:p w14:paraId="1FE9AAD0" w14:textId="77777777" w:rsidR="000D2F08" w:rsidRPr="00CC71C3" w:rsidRDefault="000D2F08" w:rsidP="002A3851">
      <w:pPr>
        <w:pStyle w:val="Heading4"/>
      </w:pPr>
      <w:r w:rsidRPr="00CC71C3">
        <w:t>Matched Comparison Groups</w:t>
      </w:r>
    </w:p>
    <w:p w14:paraId="624A9ECA" w14:textId="2BD53551" w:rsidR="000D2F08" w:rsidRPr="008B5158" w:rsidRDefault="000D2F08" w:rsidP="000D2F08">
      <w:pPr>
        <w:pStyle w:val="BodyText"/>
      </w:pPr>
      <w:r w:rsidRPr="008B5158">
        <w:t xml:space="preserve">The SPF-Rx evaluation will use a pre/post design with matched comparison groups when relevant and feasible. The </w:t>
      </w:r>
      <w:r w:rsidR="004014A9">
        <w:t>PEP</w:t>
      </w:r>
      <w:r w:rsidR="004014A9">
        <w:noBreakHyphen/>
        <w:t>C</w:t>
      </w:r>
      <w:r w:rsidRPr="008B5158">
        <w:t xml:space="preserve"> team plans to obtain key county-level characteristics from baseline census, archival, and survey data sources from which to select comparison counties (or communities) for SPF-PFS </w:t>
      </w:r>
      <w:proofErr w:type="spellStart"/>
      <w:r w:rsidRPr="008B5158">
        <w:t>subrecipients</w:t>
      </w:r>
      <w:proofErr w:type="spellEnd"/>
      <w:r w:rsidRPr="008B5158">
        <w:t xml:space="preserve">. For some grantees, </w:t>
      </w:r>
      <w:r w:rsidR="00CC71C3">
        <w:t>many</w:t>
      </w:r>
      <w:r w:rsidR="00CC71C3" w:rsidRPr="008B5158">
        <w:t xml:space="preserve"> </w:t>
      </w:r>
      <w:r w:rsidRPr="008B5158">
        <w:t xml:space="preserve">of the required estimates will be available through standard public reporting. For others, the </w:t>
      </w:r>
      <w:r w:rsidR="004014A9">
        <w:t>PEP</w:t>
      </w:r>
      <w:r w:rsidR="004014A9">
        <w:noBreakHyphen/>
        <w:t>C</w:t>
      </w:r>
      <w:r w:rsidRPr="008B5158">
        <w:t xml:space="preserve"> team will need to collaborate with grantee-level evaluators to obtain the </w:t>
      </w:r>
      <w:r w:rsidRPr="008B5158">
        <w:lastRenderedPageBreak/>
        <w:t>estimates. In no cases will new data collection be required for the matching process. Follow-up outcomes data for the matched comparison groups will come from the same data sources used for the matching process.</w:t>
      </w:r>
    </w:p>
    <w:p w14:paraId="63BA922F" w14:textId="565AF974" w:rsidR="000D2F08" w:rsidRPr="008B5158" w:rsidRDefault="000D2F08" w:rsidP="000D2F08">
      <w:pPr>
        <w:pStyle w:val="BodyText"/>
        <w:rPr>
          <w:b/>
          <w:bCs/>
        </w:rPr>
      </w:pPr>
      <w:r w:rsidRPr="008B5158">
        <w:t xml:space="preserve">Matched comparison communities will not be completing any of the instruments in the </w:t>
      </w:r>
      <w:r w:rsidR="00C547F3" w:rsidRPr="00C547F3">
        <w:rPr>
          <w:iCs/>
        </w:rPr>
        <w:t>PEP-C</w:t>
      </w:r>
      <w:r w:rsidRPr="008B5158">
        <w:rPr>
          <w:i/>
          <w:iCs/>
        </w:rPr>
        <w:t xml:space="preserve"> </w:t>
      </w:r>
      <w:r w:rsidR="00C547F3" w:rsidRPr="00C547F3">
        <w:rPr>
          <w:iCs/>
        </w:rPr>
        <w:t>SPF-Rx</w:t>
      </w:r>
      <w:r w:rsidRPr="008B5158">
        <w:t>.</w:t>
      </w:r>
    </w:p>
    <w:p w14:paraId="0786F702" w14:textId="77777777" w:rsidR="000D2F08" w:rsidRPr="00CC71C3" w:rsidRDefault="000D2F08" w:rsidP="002A3851">
      <w:pPr>
        <w:pStyle w:val="Heading4"/>
      </w:pPr>
      <w:r w:rsidRPr="00CC71C3">
        <w:t>Qualitative Analyses</w:t>
      </w:r>
    </w:p>
    <w:p w14:paraId="5FBECAB6" w14:textId="2D6B34C1" w:rsidR="000D2F08" w:rsidRPr="008B5158" w:rsidRDefault="000D2F08" w:rsidP="000D2F08">
      <w:pPr>
        <w:pStyle w:val="BodyText"/>
      </w:pPr>
      <w:r w:rsidRPr="008B5158">
        <w:t xml:space="preserve">Qualitative analyses of the </w:t>
      </w:r>
      <w:r w:rsidR="00C547F3" w:rsidRPr="00C547F3">
        <w:rPr>
          <w:iCs/>
        </w:rPr>
        <w:t>PEP-C</w:t>
      </w:r>
      <w:r w:rsidRPr="008B5158">
        <w:rPr>
          <w:i/>
          <w:iCs/>
        </w:rPr>
        <w:t xml:space="preserve"> </w:t>
      </w:r>
      <w:r w:rsidR="00C547F3" w:rsidRPr="00C547F3">
        <w:rPr>
          <w:iCs/>
        </w:rPr>
        <w:t>SPF-Rx</w:t>
      </w:r>
      <w:r w:rsidRPr="008B5158">
        <w:rPr>
          <w:i/>
          <w:iCs/>
        </w:rPr>
        <w:t xml:space="preserve"> </w:t>
      </w:r>
      <w:r w:rsidR="00C547F3" w:rsidRPr="00C547F3">
        <w:rPr>
          <w:iCs/>
        </w:rPr>
        <w:t>MRT</w:t>
      </w:r>
      <w:r w:rsidRPr="008B5158">
        <w:t xml:space="preserve"> data focus primarily on the Grantee Interview. </w:t>
      </w:r>
      <w:r w:rsidR="004014A9">
        <w:t>PEP</w:t>
      </w:r>
      <w:r w:rsidR="004014A9">
        <w:noBreakHyphen/>
        <w:t>C</w:t>
      </w:r>
      <w:r w:rsidRPr="008B5158">
        <w:t xml:space="preserve"> staff will upload the interview data into a qualitative research software program, </w:t>
      </w:r>
      <w:proofErr w:type="spellStart"/>
      <w:r w:rsidRPr="008B5158">
        <w:t>NVivo</w:t>
      </w:r>
      <w:proofErr w:type="spellEnd"/>
      <w:r w:rsidRPr="008B5158">
        <w:t xml:space="preserve">, for coding. Preparation for coding will include developing a dictionary or codebook in which codes will be carefully defined and logged so that coders </w:t>
      </w:r>
      <w:r w:rsidR="002A3851">
        <w:t>will be</w:t>
      </w:r>
      <w:r w:rsidR="002A3851" w:rsidRPr="008B5158">
        <w:t xml:space="preserve"> </w:t>
      </w:r>
      <w:r w:rsidRPr="008B5158">
        <w:t xml:space="preserve">able to follow their meaning and know when to apply the codes to text within an interview. Codes will reflect prominent themes relevant to interpreting evaluation findings. To ensure reliability in the coding process, coders will then be assigned to work independently and concurrently on a subset of the open-ended response data. A kappa coefficient of </w:t>
      </w:r>
      <w:r w:rsidR="002A3851">
        <w:t>0</w:t>
      </w:r>
      <w:r w:rsidRPr="008B5158">
        <w:t xml:space="preserve">.8 or higher will be maintained on all codes. Any discrepancies will be worked out between coders to ensure consistent application of codes. Upon completion of coding, the findings will be compiled on the basis of the prominence of codes (or themes) and organized around the major research questions and constructs. </w:t>
      </w:r>
    </w:p>
    <w:p w14:paraId="357390CB" w14:textId="77777777" w:rsidR="000D2F08" w:rsidRPr="00CC71C3" w:rsidRDefault="000D2F08" w:rsidP="002A3851">
      <w:pPr>
        <w:pStyle w:val="Heading4"/>
      </w:pPr>
      <w:r w:rsidRPr="00CC71C3">
        <w:t>Quantitative Analyses</w:t>
      </w:r>
    </w:p>
    <w:p w14:paraId="2D868C12" w14:textId="757EED57" w:rsidR="000D2F08" w:rsidRPr="008B5158" w:rsidRDefault="000D2F08" w:rsidP="000D2F08">
      <w:pPr>
        <w:pStyle w:val="BodyText"/>
      </w:pPr>
      <w:r w:rsidRPr="008B5158">
        <w:t xml:space="preserve">Several features of the evaluation design and EQs guided the selection of the analysis frameworks </w:t>
      </w:r>
      <w:r w:rsidR="002A3851">
        <w:t xml:space="preserve">that </w:t>
      </w:r>
      <w:r w:rsidRPr="008B5158">
        <w:t>the SPF-Rx evaluation has proposed to use or adapt. These features include:</w:t>
      </w:r>
    </w:p>
    <w:p w14:paraId="1DB85D97" w14:textId="77777777" w:rsidR="000D2F08" w:rsidRPr="008B5158" w:rsidRDefault="000D2F08" w:rsidP="000D2F08">
      <w:pPr>
        <w:pStyle w:val="ListBullet"/>
      </w:pPr>
      <w:r w:rsidRPr="008B5158">
        <w:t>Repeated outcomes;</w:t>
      </w:r>
    </w:p>
    <w:p w14:paraId="44EB3588" w14:textId="77777777" w:rsidR="000D2F08" w:rsidRPr="008B5158" w:rsidRDefault="000D2F08" w:rsidP="000D2F08">
      <w:pPr>
        <w:pStyle w:val="ListBullet"/>
      </w:pPr>
      <w:r w:rsidRPr="008B5158">
        <w:t>Data from state and tribal grantees;</w:t>
      </w:r>
    </w:p>
    <w:p w14:paraId="0E718DC8" w14:textId="77777777" w:rsidR="000D2F08" w:rsidRPr="008B5158" w:rsidRDefault="000D2F08" w:rsidP="000D2F08">
      <w:pPr>
        <w:pStyle w:val="ListBullet"/>
      </w:pPr>
      <w:r w:rsidRPr="008B5158">
        <w:t>Data from communities nested within grantees;</w:t>
      </w:r>
    </w:p>
    <w:p w14:paraId="3558F04C" w14:textId="14982D2B" w:rsidR="000D2F08" w:rsidRPr="008B5158" w:rsidRDefault="000D2F08" w:rsidP="000D2F08">
      <w:pPr>
        <w:pStyle w:val="ListBullet"/>
      </w:pPr>
      <w:r w:rsidRPr="008B5158">
        <w:t xml:space="preserve">Nonrandomized comparison communities within grantee </w:t>
      </w:r>
      <w:r w:rsidR="00BE3282" w:rsidRPr="008B5158">
        <w:t>state</w:t>
      </w:r>
      <w:r w:rsidRPr="008B5158">
        <w:t>s; and</w:t>
      </w:r>
    </w:p>
    <w:p w14:paraId="300767C1" w14:textId="4A1F4B56" w:rsidR="000D2F08" w:rsidRPr="008B5158" w:rsidRDefault="000D2F08" w:rsidP="000D2F08">
      <w:pPr>
        <w:pStyle w:val="ListBullet"/>
      </w:pPr>
      <w:r w:rsidRPr="008B5158">
        <w:t>Nonrandom selection of intervention types that often occur in combination</w:t>
      </w:r>
      <w:r w:rsidR="002A3851">
        <w:t>.</w:t>
      </w:r>
    </w:p>
    <w:p w14:paraId="27243048" w14:textId="1F8BC59D" w:rsidR="000D2F08" w:rsidRPr="008B5158" w:rsidRDefault="000D2F08" w:rsidP="000D2F08">
      <w:pPr>
        <w:pStyle w:val="BodyText"/>
        <w:rPr>
          <w:i/>
          <w:iCs/>
        </w:rPr>
      </w:pPr>
      <w:r w:rsidRPr="008B5158">
        <w:t>Below is an overview of the advanced analytic frameworks that will be used in the SPF-Rx evaluation. The methods below fall into two categories</w:t>
      </w:r>
      <w:r w:rsidR="002A3851">
        <w:t>: those</w:t>
      </w:r>
      <w:r w:rsidRPr="008B5158">
        <w:t xml:space="preserve"> well-suited to address the EQs and determine the impact of SPF-Rx and </w:t>
      </w:r>
      <w:r w:rsidR="002A3851">
        <w:t>th</w:t>
      </w:r>
      <w:r w:rsidR="00B67463">
        <w:t>o</w:t>
      </w:r>
      <w:r w:rsidR="002A3851">
        <w:t>se</w:t>
      </w:r>
      <w:r w:rsidRPr="008B5158">
        <w:t xml:space="preserve"> that maximize the internal and external validity of the evaluation models.</w:t>
      </w:r>
    </w:p>
    <w:p w14:paraId="325CF37A" w14:textId="77777777" w:rsidR="000D2F08" w:rsidRPr="00CC71C3" w:rsidRDefault="000D2F08" w:rsidP="002A3851">
      <w:pPr>
        <w:pStyle w:val="Heading4"/>
      </w:pPr>
      <w:r w:rsidRPr="00CC71C3">
        <w:t>Outcome Evaluation Models</w:t>
      </w:r>
    </w:p>
    <w:p w14:paraId="32F56770" w14:textId="7F28E2FF" w:rsidR="000D2F08" w:rsidRPr="008B5158" w:rsidRDefault="006F4352" w:rsidP="000D2F08">
      <w:pPr>
        <w:pStyle w:val="BodyText"/>
      </w:pPr>
      <w:r w:rsidRPr="008B5158">
        <w:rPr>
          <w:i/>
        </w:rPr>
        <w:t>Multilevel latent growth models</w:t>
      </w:r>
      <w:r>
        <w:t>:</w:t>
      </w:r>
      <w:r w:rsidRPr="008B5158">
        <w:t xml:space="preserve"> </w:t>
      </w:r>
      <w:r w:rsidR="000D2F08" w:rsidRPr="008B5158">
        <w:t>One of the primary analysis frameworks will be multilevel latent growth models (</w:t>
      </w:r>
      <w:r w:rsidR="000D2F08" w:rsidRPr="00DF5194">
        <w:t>MLLGM</w:t>
      </w:r>
      <w:r w:rsidR="000D2F08" w:rsidRPr="008B5158">
        <w:t xml:space="preserve">). </w:t>
      </w:r>
      <w:proofErr w:type="gramStart"/>
      <w:r w:rsidRPr="008B5158">
        <w:t>The basic linear MLLGM (</w:t>
      </w:r>
      <w:proofErr w:type="spellStart"/>
      <w:r w:rsidRPr="008B5158">
        <w:t>Muthén</w:t>
      </w:r>
      <w:proofErr w:type="spellEnd"/>
      <w:r w:rsidRPr="008B5158">
        <w:t>, 1997</w:t>
      </w:r>
      <w:r w:rsidRPr="008B5158">
        <w:fldChar w:fldCharType="begin"/>
      </w:r>
      <w:r w:rsidRPr="008B5158">
        <w:instrText xml:space="preserve"> XE "Muthén, 1997" </w:instrText>
      </w:r>
      <w:r w:rsidRPr="008B5158">
        <w:fldChar w:fldCharType="end"/>
      </w:r>
      <w:r w:rsidRPr="008B5158">
        <w:t xml:space="preserve">) accounts for variability </w:t>
      </w:r>
      <w:r>
        <w:t>in changes over time on outcome</w:t>
      </w:r>
      <w:r w:rsidRPr="008B5158">
        <w:t>s.</w:t>
      </w:r>
      <w:proofErr w:type="gramEnd"/>
      <w:r w:rsidRPr="008B5158">
        <w:t xml:space="preserve"> </w:t>
      </w:r>
      <w:r w:rsidR="000D2F08" w:rsidRPr="008B5158">
        <w:t xml:space="preserve">Where possible, a multiple baseline strategy will be employed whereby trends over time on outcomes at the grantee and </w:t>
      </w:r>
      <w:proofErr w:type="spellStart"/>
      <w:r w:rsidR="000D2F08" w:rsidRPr="008B5158">
        <w:t>subrecipient</w:t>
      </w:r>
      <w:proofErr w:type="spellEnd"/>
      <w:r w:rsidR="000D2F08" w:rsidRPr="008B5158">
        <w:t xml:space="preserve"> levels </w:t>
      </w:r>
      <w:r w:rsidR="00573100" w:rsidRPr="00573100">
        <w:t>before</w:t>
      </w:r>
      <w:r w:rsidR="000D2F08" w:rsidRPr="008B5158">
        <w:t xml:space="preserve"> PFS implementation will be compared to </w:t>
      </w:r>
      <w:r w:rsidRPr="008B5158">
        <w:t>post implementation</w:t>
      </w:r>
      <w:r w:rsidR="000D2F08" w:rsidRPr="008B5158">
        <w:t xml:space="preserve"> trends (similar to an interrupted time series approach). </w:t>
      </w:r>
      <w:r w:rsidR="00DA554E">
        <w:t>A</w:t>
      </w:r>
      <w:r w:rsidR="000D2F08" w:rsidRPr="008B5158">
        <w:t>dding appropriate predictors of change (as well as interactions of intervention and moderators</w:t>
      </w:r>
      <w:r w:rsidR="00DA554E">
        <w:t>,</w:t>
      </w:r>
      <w:r w:rsidR="000D2F08" w:rsidRPr="008B5158">
        <w:t xml:space="preserve"> such as barrier or site characteristics) </w:t>
      </w:r>
      <w:r w:rsidR="00DA554E">
        <w:t xml:space="preserve">will allow us to address </w:t>
      </w:r>
      <w:r w:rsidR="000D2F08" w:rsidRPr="008B5158">
        <w:t>all EQs with this method</w:t>
      </w:r>
      <w:r w:rsidR="00DA554E">
        <w:t>,</w:t>
      </w:r>
      <w:r w:rsidR="000D2F08" w:rsidRPr="008B5158">
        <w:t xml:space="preserve"> which focuses on differences in change in outcomes over time. Analyses will focus on predictors of </w:t>
      </w:r>
      <w:r w:rsidRPr="008B5158">
        <w:t>post implementation</w:t>
      </w:r>
      <w:r w:rsidR="000D2F08" w:rsidRPr="008B5158">
        <w:t xml:space="preserve"> changes in outcomes over time, such as the type and dosage of interventions supported under SPF-Rx</w:t>
      </w:r>
      <w:r w:rsidR="000D2F08">
        <w:t xml:space="preserve">. </w:t>
      </w:r>
      <w:r w:rsidR="000D2F08" w:rsidRPr="008B5158">
        <w:t>However, several limitations may arise in these analyses</w:t>
      </w:r>
      <w:r w:rsidR="00DA554E">
        <w:t>,</w:t>
      </w:r>
      <w:r w:rsidR="000D2F08" w:rsidRPr="008B5158">
        <w:t xml:space="preserve"> including small sample sizes at the grantee level, nonrandom assignment of PFS interventions, and variation in how GPRA </w:t>
      </w:r>
      <w:r w:rsidR="00CC71C3">
        <w:t xml:space="preserve">measures </w:t>
      </w:r>
      <w:r w:rsidR="000D2F08" w:rsidRPr="008B5158">
        <w:t xml:space="preserve">and </w:t>
      </w:r>
      <w:r w:rsidR="00CC71C3" w:rsidRPr="00CC71C3">
        <w:t>National Outcomes Measures</w:t>
      </w:r>
      <w:r w:rsidR="00DA554E">
        <w:t xml:space="preserve"> are</w:t>
      </w:r>
      <w:r w:rsidR="000D2F08" w:rsidRPr="008B5158">
        <w:t xml:space="preserve"> reported within and across grantees. As a result, the SPF-Rx evaluation will incorporate alternative or complementary analysis frameworks, or both, in addition to MLLGM.</w:t>
      </w:r>
    </w:p>
    <w:p w14:paraId="0B8DFE8B" w14:textId="3C432852" w:rsidR="000D2F08" w:rsidRPr="008B5158" w:rsidRDefault="006F4352" w:rsidP="000D2F08">
      <w:pPr>
        <w:pStyle w:val="BodyText"/>
      </w:pPr>
      <w:r w:rsidRPr="008B5158">
        <w:rPr>
          <w:i/>
        </w:rPr>
        <w:lastRenderedPageBreak/>
        <w:t>Meta-regression</w:t>
      </w:r>
      <w:r>
        <w:t>:</w:t>
      </w:r>
      <w:r w:rsidRPr="008B5158">
        <w:t xml:space="preserve"> </w:t>
      </w:r>
      <w:r w:rsidR="000D2F08" w:rsidRPr="008B5158">
        <w:t xml:space="preserve">A second strategy that can be employed if sample sizes are too small to estimate MLLGM or </w:t>
      </w:r>
      <w:r w:rsidR="00DA554E">
        <w:t xml:space="preserve">to </w:t>
      </w:r>
      <w:r w:rsidR="000D2F08" w:rsidRPr="008B5158">
        <w:t>estimate scale scores under integrative data analysis is meta-regression (</w:t>
      </w:r>
      <w:proofErr w:type="spellStart"/>
      <w:r w:rsidR="000D2F08" w:rsidRPr="008B5158">
        <w:t>Hox</w:t>
      </w:r>
      <w:proofErr w:type="spellEnd"/>
      <w:r w:rsidR="000D2F08" w:rsidRPr="008B5158">
        <w:t>, 2010</w:t>
      </w:r>
      <w:r w:rsidR="000D2F08" w:rsidRPr="008B5158">
        <w:fldChar w:fldCharType="begin"/>
      </w:r>
      <w:r w:rsidR="000D2F08" w:rsidRPr="008B5158">
        <w:instrText xml:space="preserve"> XE "Hox, 2010" </w:instrText>
      </w:r>
      <w:r w:rsidR="000D2F08" w:rsidRPr="008B5158">
        <w:fldChar w:fldCharType="end"/>
      </w:r>
      <w:r w:rsidR="000D2F08" w:rsidRPr="008B5158">
        <w:t>). Meta-regression uses effect sizes as data, similar to meta-analysis</w:t>
      </w:r>
      <w:r w:rsidR="00DA554E">
        <w:t>,</w:t>
      </w:r>
      <w:r w:rsidR="000D2F08" w:rsidRPr="008B5158">
        <w:t xml:space="preserve"> where effect sizes are extracted from past studies and used as analysis data. Unlike MLLGM, meta-regression does not require that the outcome measure be exactly the same across all analysis units; effect sizes for changes over time from disparate measures of the same construct within grantee (for grantee-level analyses) are sufficient for analysis. In addition to effect sizes, the standard errors for the effect sizes are used to calculate meta-regression weights in a manner similar to that of standard meta-analysis models. Key predictors such as types/combinations of interventions implemented (EQ1) or changes in PDMP use over time (EQ2) can then be used to account for variability in effect sizes as in a standard meta-analysis.</w:t>
      </w:r>
    </w:p>
    <w:p w14:paraId="616ADF94" w14:textId="4F969D6F" w:rsidR="000D2F08" w:rsidRPr="008B5158" w:rsidRDefault="000D2F08" w:rsidP="00DA554E">
      <w:pPr>
        <w:pStyle w:val="Heading4"/>
      </w:pPr>
      <w:r w:rsidRPr="008B5158">
        <w:t xml:space="preserve">Methods to </w:t>
      </w:r>
      <w:r w:rsidR="006C3398" w:rsidRPr="008B5158">
        <w:t>Maximize Validity</w:t>
      </w:r>
    </w:p>
    <w:p w14:paraId="5C101CBC" w14:textId="68C7132C" w:rsidR="000D2F08" w:rsidRPr="008B5158" w:rsidRDefault="006F4352" w:rsidP="000D2F08">
      <w:pPr>
        <w:pStyle w:val="BodyText"/>
      </w:pPr>
      <w:r w:rsidRPr="008B5158">
        <w:rPr>
          <w:i/>
          <w:iCs/>
        </w:rPr>
        <w:t>Propensity scoring approaches</w:t>
      </w:r>
      <w:r>
        <w:t>:</w:t>
      </w:r>
      <w:r w:rsidRPr="008B5158">
        <w:t xml:space="preserve"> </w:t>
      </w:r>
      <w:r w:rsidR="000D2F08" w:rsidRPr="008B5158">
        <w:t xml:space="preserve">Propensity scoring is a statistical approach used to balance measured covariates that influence </w:t>
      </w:r>
      <w:r w:rsidR="00DA554E">
        <w:t xml:space="preserve">both </w:t>
      </w:r>
      <w:r w:rsidR="000D2F08" w:rsidRPr="008B5158">
        <w:t xml:space="preserve">the probability of selection into two or more non-experimental groups and treatment outcomes (Rosenbaum &amp; Rubin, 1983; </w:t>
      </w:r>
      <w:proofErr w:type="spellStart"/>
      <w:r w:rsidR="000D2F08" w:rsidRPr="008B5158">
        <w:t>Shadish</w:t>
      </w:r>
      <w:proofErr w:type="spellEnd"/>
      <w:r w:rsidR="000D2F08" w:rsidRPr="008B5158">
        <w:t xml:space="preserve">, Cook, &amp; Campbell, 2002; West, </w:t>
      </w:r>
      <w:proofErr w:type="spellStart"/>
      <w:r w:rsidR="000D2F08" w:rsidRPr="008B5158">
        <w:t>Biesanz</w:t>
      </w:r>
      <w:proofErr w:type="spellEnd"/>
      <w:r w:rsidR="000D2F08" w:rsidRPr="008B5158">
        <w:t xml:space="preserve">, &amp; Pitts, 2000). More recent work has extended propensity scoring to continuous measures of treatment (Imai &amp; van </w:t>
      </w:r>
      <w:proofErr w:type="spellStart"/>
      <w:r w:rsidR="000D2F08" w:rsidRPr="008B5158">
        <w:t>Dyk</w:t>
      </w:r>
      <w:proofErr w:type="spellEnd"/>
      <w:r w:rsidR="000D2F08" w:rsidRPr="008B5158">
        <w:t xml:space="preserve">, 2004). The propensity score (when treatment assignment is categorical) is the predicted probability of assignment to a treatment condition given the key covariates of interest (estimated from a regression model—ordinary least squares for continuous treatment or logistic for categorical treatment), with the resulting probability used as either a sample </w:t>
      </w:r>
      <w:proofErr w:type="spellStart"/>
      <w:r w:rsidR="000D2F08" w:rsidRPr="008B5158">
        <w:t>stratifier</w:t>
      </w:r>
      <w:proofErr w:type="spellEnd"/>
      <w:r w:rsidR="000D2F08" w:rsidRPr="008B5158">
        <w:t xml:space="preserve"> or a weight in subsequent outcome analyses. After the propensity score weight is controlled for, covariate distributions should be equal across conditions, which will mimic random assignment to the conditions of interest in the particular EQ. These scores can then be used to weight outcome analyses (e.g., MLLGMs) to produce unbiased estimates of the treatment effect (Harder, Stuart, &amp; Anthony, 2010; McCaffrey, Ridgeway, &amp; </w:t>
      </w:r>
      <w:proofErr w:type="spellStart"/>
      <w:r w:rsidR="000D2F08" w:rsidRPr="008B5158">
        <w:t>Morral</w:t>
      </w:r>
      <w:proofErr w:type="spellEnd"/>
      <w:r w:rsidR="000D2F08" w:rsidRPr="008B5158">
        <w:t xml:space="preserve">, 2004; Rosenbaum &amp; Rubin, 1983; </w:t>
      </w:r>
      <w:proofErr w:type="spellStart"/>
      <w:r w:rsidR="000D2F08" w:rsidRPr="008B5158">
        <w:t>Shadish</w:t>
      </w:r>
      <w:proofErr w:type="spellEnd"/>
      <w:r w:rsidR="000D2F08" w:rsidRPr="008B5158">
        <w:t xml:space="preserve">, 2010). </w:t>
      </w:r>
    </w:p>
    <w:p w14:paraId="712B4EAE" w14:textId="3FBBD84A" w:rsidR="000D2F08" w:rsidRPr="008B5158" w:rsidRDefault="006F4352" w:rsidP="000D2F08">
      <w:pPr>
        <w:pStyle w:val="BodyText"/>
      </w:pPr>
      <w:r w:rsidRPr="008B5158">
        <w:rPr>
          <w:i/>
        </w:rPr>
        <w:t>Integrative data analysis</w:t>
      </w:r>
      <w:r>
        <w:t>:</w:t>
      </w:r>
      <w:r w:rsidRPr="008B5158">
        <w:t xml:space="preserve"> </w:t>
      </w:r>
      <w:r w:rsidR="000D2F08">
        <w:t>If</w:t>
      </w:r>
      <w:r w:rsidR="000D2F08" w:rsidRPr="008B5158">
        <w:t xml:space="preserve"> concerns </w:t>
      </w:r>
      <w:r w:rsidR="00B42E6B" w:rsidRPr="00B42E6B">
        <w:t xml:space="preserve">arise </w:t>
      </w:r>
      <w:r w:rsidR="000D2F08" w:rsidRPr="008B5158">
        <w:t>about the variability in measures across grantees, the SPF-</w:t>
      </w:r>
      <w:r w:rsidR="000D2F08">
        <w:t>Rx</w:t>
      </w:r>
      <w:r w:rsidR="000D2F08" w:rsidRPr="008B5158">
        <w:t xml:space="preserve"> evaluation will employ integrative data analysis (Curran et al., 2008; Curran &amp; </w:t>
      </w:r>
      <w:proofErr w:type="spellStart"/>
      <w:r w:rsidR="000D2F08" w:rsidRPr="008B5158">
        <w:t>Hussong</w:t>
      </w:r>
      <w:proofErr w:type="spellEnd"/>
      <w:r w:rsidR="000D2F08" w:rsidRPr="008B5158">
        <w:t xml:space="preserve">, 2009) to harmonize different measures of </w:t>
      </w:r>
      <w:r w:rsidR="00C84341" w:rsidRPr="00C84341">
        <w:t>PDM</w:t>
      </w:r>
      <w:r w:rsidR="000D2F08" w:rsidRPr="008B5158">
        <w:t xml:space="preserve"> (as well as </w:t>
      </w:r>
      <w:r w:rsidR="000D2F08">
        <w:t>prescriber behavior</w:t>
      </w:r>
      <w:r w:rsidR="000D2F08" w:rsidRPr="008B5158">
        <w:t xml:space="preserve"> and consequences measures) across grantees and </w:t>
      </w:r>
      <w:proofErr w:type="spellStart"/>
      <w:r w:rsidR="000D2F08" w:rsidRPr="008B5158">
        <w:t>subrecipients</w:t>
      </w:r>
      <w:proofErr w:type="spellEnd"/>
      <w:r w:rsidR="000D2F08" w:rsidRPr="008B5158">
        <w:t xml:space="preserve">. The harmonization process involves (1) creating a common measure for questions that are worded slightly differently from each other but are comparable and (2) using response scales (e.g., Likert-type scales, ordered categories) that can be condensed to their least common denominator (e.g., ever used/never used). For single-item constructs and measures, the harmonization process is the only step necessary. For constructs that reflect multiple-item scales, confirmatory factor analysis models will be employed to assess which items load on which factors and </w:t>
      </w:r>
      <w:r w:rsidR="00B42E6B">
        <w:t xml:space="preserve">to </w:t>
      </w:r>
      <w:r w:rsidR="000D2F08" w:rsidRPr="008B5158">
        <w:t>derive factor and scale scores via item response theory models, which weight each item according to how common (or rare) a response is and how correlated the item is with other items making up the factor. Note that this step may be more difficult at the grantee level, where sample sizes are small.</w:t>
      </w:r>
    </w:p>
    <w:p w14:paraId="2576691E" w14:textId="5DE08E48" w:rsidR="000D2F08" w:rsidRPr="00726178" w:rsidRDefault="00376BDD" w:rsidP="00E44BF4">
      <w:pPr>
        <w:pStyle w:val="Heading2"/>
      </w:pPr>
      <w:r>
        <w:t>A.17</w:t>
      </w:r>
      <w:r>
        <w:tab/>
      </w:r>
      <w:r w:rsidR="000D2F08" w:rsidRPr="00726178">
        <w:t xml:space="preserve">Display of </w:t>
      </w:r>
      <w:r w:rsidR="000D2F08" w:rsidRPr="00E44BF4">
        <w:t>Expiration</w:t>
      </w:r>
      <w:r w:rsidR="000D2F08" w:rsidRPr="00726178">
        <w:t xml:space="preserve"> Date</w:t>
      </w:r>
    </w:p>
    <w:p w14:paraId="4AAB59C6" w14:textId="77777777" w:rsidR="000D2F08" w:rsidRPr="00D73CE4" w:rsidRDefault="000D2F08" w:rsidP="000D2F08">
      <w:pPr>
        <w:pStyle w:val="BodyText"/>
      </w:pPr>
      <w:r w:rsidRPr="00D73CE4">
        <w:t>OMB approval expiration dates will be displayed.</w:t>
      </w:r>
    </w:p>
    <w:p w14:paraId="2A9FCB69" w14:textId="109541E6" w:rsidR="000D2F08" w:rsidRPr="00726178" w:rsidRDefault="00376BDD" w:rsidP="00E44BF4">
      <w:pPr>
        <w:pStyle w:val="Heading2"/>
      </w:pPr>
      <w:r>
        <w:t>A.18</w:t>
      </w:r>
      <w:r>
        <w:tab/>
      </w:r>
      <w:r w:rsidR="000D2F08" w:rsidRPr="00726178">
        <w:t>Exceptions to Certification for Statement</w:t>
      </w:r>
    </w:p>
    <w:p w14:paraId="4F4B43C0" w14:textId="77777777" w:rsidR="000D2F08" w:rsidRPr="004E2C66" w:rsidRDefault="000D2F08" w:rsidP="000D2F08">
      <w:pPr>
        <w:pStyle w:val="BodyText"/>
      </w:pPr>
      <w:r w:rsidRPr="004E2C66">
        <w:t>There are no exceptions to the certification statement. The certifications are included in this submission.</w:t>
      </w:r>
    </w:p>
    <w:p w14:paraId="3372CDC4" w14:textId="19CE175E" w:rsidR="00424D5D" w:rsidRDefault="00424D5D" w:rsidP="002B0925">
      <w:pPr>
        <w:pStyle w:val="Heading1"/>
      </w:pPr>
      <w:bookmarkStart w:id="7" w:name="_Toc88033509"/>
      <w:bookmarkStart w:id="8" w:name="_Toc88277988"/>
      <w:bookmarkStart w:id="9" w:name="_Toc475009001"/>
      <w:r>
        <w:lastRenderedPageBreak/>
        <w:t>References</w:t>
      </w:r>
      <w:bookmarkEnd w:id="7"/>
      <w:bookmarkEnd w:id="8"/>
      <w:bookmarkEnd w:id="9"/>
    </w:p>
    <w:p w14:paraId="0A9F5A23" w14:textId="77777777" w:rsidR="00AF6F3E" w:rsidRDefault="00AF6F3E" w:rsidP="00AF6F3E">
      <w:pPr>
        <w:pStyle w:val="biblio-entry"/>
        <w:autoSpaceDE w:val="0"/>
        <w:autoSpaceDN w:val="0"/>
        <w:adjustRightInd w:val="0"/>
        <w:rPr>
          <w:rFonts w:eastAsia="Times New Roman"/>
          <w:szCs w:val="24"/>
        </w:rPr>
      </w:pPr>
      <w:bookmarkStart w:id="10" w:name="_ENREF_12"/>
      <w:proofErr w:type="gramStart"/>
      <w:r>
        <w:rPr>
          <w:rFonts w:eastAsia="Times New Roman"/>
          <w:szCs w:val="24"/>
        </w:rPr>
        <w:t>Centers for Disease Control and Prevention (CDC).</w:t>
      </w:r>
      <w:proofErr w:type="gramEnd"/>
      <w:r>
        <w:rPr>
          <w:rFonts w:eastAsia="Times New Roman"/>
          <w:szCs w:val="24"/>
        </w:rPr>
        <w:t xml:space="preserve"> (2012). CDC grand rounds: Prescription drug overdoses - a U.S. epidemic. </w:t>
      </w:r>
      <w:proofErr w:type="gramStart"/>
      <w:r>
        <w:rPr>
          <w:rFonts w:eastAsia="Times New Roman"/>
          <w:i/>
          <w:szCs w:val="24"/>
        </w:rPr>
        <w:t>MMWR.</w:t>
      </w:r>
      <w:proofErr w:type="gramEnd"/>
      <w:r>
        <w:rPr>
          <w:rFonts w:eastAsia="Times New Roman"/>
          <w:i/>
          <w:szCs w:val="24"/>
        </w:rPr>
        <w:t xml:space="preserve"> Morbidity and Mortality Weekly Report</w:t>
      </w:r>
      <w:r>
        <w:rPr>
          <w:rFonts w:eastAsia="Times New Roman"/>
          <w:szCs w:val="24"/>
        </w:rPr>
        <w:t xml:space="preserve">, </w:t>
      </w:r>
      <w:r>
        <w:rPr>
          <w:rFonts w:eastAsia="Times New Roman"/>
          <w:i/>
          <w:szCs w:val="24"/>
        </w:rPr>
        <w:t>61</w:t>
      </w:r>
      <w:r>
        <w:rPr>
          <w:rFonts w:eastAsia="Times New Roman"/>
          <w:szCs w:val="24"/>
        </w:rPr>
        <w:t>(1), 10–13.</w:t>
      </w:r>
    </w:p>
    <w:p w14:paraId="1E51A5FE" w14:textId="749788D4"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Centers for Disease Control and Prevention (2016a).</w:t>
      </w:r>
      <w:proofErr w:type="gramEnd"/>
      <w:r>
        <w:rPr>
          <w:rFonts w:eastAsia="Times New Roman"/>
          <w:szCs w:val="24"/>
        </w:rPr>
        <w:t xml:space="preserve"> </w:t>
      </w:r>
      <w:r>
        <w:rPr>
          <w:rFonts w:eastAsia="Times New Roman"/>
          <w:i/>
          <w:szCs w:val="24"/>
        </w:rPr>
        <w:t>NCHS Data on Drug-poisoning Deaths</w:t>
      </w:r>
      <w:r>
        <w:rPr>
          <w:rFonts w:eastAsia="Times New Roman"/>
          <w:szCs w:val="24"/>
        </w:rPr>
        <w:t xml:space="preserve"> (National Center for Health Statistics Fact Sheet). Retrieved from </w:t>
      </w:r>
      <w:hyperlink r:id="rId14" w:history="1">
        <w:r w:rsidR="00585E5C" w:rsidRPr="00C93189">
          <w:rPr>
            <w:rStyle w:val="Hyperlink"/>
            <w:noProof/>
            <w:szCs w:val="24"/>
          </w:rPr>
          <w:t>https://www.cdc.gov/nchs/data/factsheets/factsheet_drug_poisoning.pdf</w:t>
        </w:r>
      </w:hyperlink>
    </w:p>
    <w:p w14:paraId="3D59BA5F"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 xml:space="preserve">Warner, M., Trinidad, J. P., Bastian, B. A., </w:t>
      </w:r>
      <w:proofErr w:type="spellStart"/>
      <w:r>
        <w:rPr>
          <w:rFonts w:eastAsia="Times New Roman"/>
          <w:szCs w:val="24"/>
        </w:rPr>
        <w:t>Minino</w:t>
      </w:r>
      <w:proofErr w:type="spellEnd"/>
      <w:r>
        <w:rPr>
          <w:rFonts w:eastAsia="Times New Roman"/>
          <w:szCs w:val="24"/>
        </w:rPr>
        <w:t xml:space="preserve">, A. M., &amp; </w:t>
      </w:r>
      <w:proofErr w:type="spellStart"/>
      <w:r>
        <w:rPr>
          <w:rFonts w:eastAsia="Times New Roman"/>
          <w:szCs w:val="24"/>
        </w:rPr>
        <w:t>Hedegaard</w:t>
      </w:r>
      <w:proofErr w:type="spellEnd"/>
      <w:r>
        <w:rPr>
          <w:rFonts w:eastAsia="Times New Roman"/>
          <w:szCs w:val="24"/>
        </w:rPr>
        <w:t>, H., &amp; the Centers for Disease Control and Prevention.</w:t>
      </w:r>
      <w:proofErr w:type="gramEnd"/>
      <w:r>
        <w:rPr>
          <w:rFonts w:eastAsia="Times New Roman"/>
          <w:szCs w:val="24"/>
        </w:rPr>
        <w:t xml:space="preserve"> (2016b). Drugs most frequently involved in drug overdose deaths: United States, 2010–2014. </w:t>
      </w:r>
      <w:r>
        <w:rPr>
          <w:rFonts w:eastAsia="Times New Roman"/>
          <w:i/>
          <w:szCs w:val="24"/>
        </w:rPr>
        <w:t>National Vital Statistics Reports</w:t>
      </w:r>
      <w:r>
        <w:rPr>
          <w:rFonts w:eastAsia="Times New Roman"/>
          <w:szCs w:val="24"/>
        </w:rPr>
        <w:t xml:space="preserve">, </w:t>
      </w:r>
      <w:r>
        <w:rPr>
          <w:rFonts w:eastAsia="Times New Roman"/>
          <w:i/>
          <w:szCs w:val="24"/>
        </w:rPr>
        <w:t>65</w:t>
      </w:r>
      <w:r>
        <w:rPr>
          <w:rFonts w:eastAsia="Times New Roman"/>
          <w:szCs w:val="24"/>
        </w:rPr>
        <w:t>(10), 1–15.</w:t>
      </w:r>
    </w:p>
    <w:p w14:paraId="364F91B9" w14:textId="77777777" w:rsidR="00AF6F3E" w:rsidRDefault="00AF6F3E" w:rsidP="00AF6F3E">
      <w:pPr>
        <w:pStyle w:val="biblio-entry"/>
        <w:autoSpaceDE w:val="0"/>
        <w:autoSpaceDN w:val="0"/>
        <w:adjustRightInd w:val="0"/>
        <w:rPr>
          <w:rFonts w:eastAsia="Times New Roman"/>
          <w:szCs w:val="24"/>
        </w:rPr>
      </w:pPr>
      <w:r>
        <w:rPr>
          <w:rFonts w:eastAsia="Times New Roman"/>
          <w:szCs w:val="24"/>
        </w:rPr>
        <w:t xml:space="preserve">Chang, H.-Y., </w:t>
      </w:r>
      <w:proofErr w:type="spellStart"/>
      <w:r>
        <w:rPr>
          <w:rFonts w:eastAsia="Times New Roman"/>
          <w:szCs w:val="24"/>
        </w:rPr>
        <w:t>Lyapustina</w:t>
      </w:r>
      <w:proofErr w:type="spellEnd"/>
      <w:r>
        <w:rPr>
          <w:rFonts w:eastAsia="Times New Roman"/>
          <w:szCs w:val="24"/>
        </w:rPr>
        <w:t xml:space="preserve">, T., </w:t>
      </w:r>
      <w:proofErr w:type="spellStart"/>
      <w:r>
        <w:rPr>
          <w:rFonts w:eastAsia="Times New Roman"/>
          <w:szCs w:val="24"/>
        </w:rPr>
        <w:t>Rutkow</w:t>
      </w:r>
      <w:proofErr w:type="spellEnd"/>
      <w:r>
        <w:rPr>
          <w:rFonts w:eastAsia="Times New Roman"/>
          <w:szCs w:val="24"/>
        </w:rPr>
        <w:t xml:space="preserve">, L., </w:t>
      </w:r>
      <w:proofErr w:type="spellStart"/>
      <w:r>
        <w:rPr>
          <w:rFonts w:eastAsia="Times New Roman"/>
          <w:szCs w:val="24"/>
        </w:rPr>
        <w:t>Daubresse</w:t>
      </w:r>
      <w:proofErr w:type="spellEnd"/>
      <w:r>
        <w:rPr>
          <w:rFonts w:eastAsia="Times New Roman"/>
          <w:szCs w:val="24"/>
        </w:rPr>
        <w:t xml:space="preserve">, M., Richey, M., </w:t>
      </w:r>
      <w:proofErr w:type="spellStart"/>
      <w:r>
        <w:rPr>
          <w:rFonts w:eastAsia="Times New Roman"/>
          <w:szCs w:val="24"/>
        </w:rPr>
        <w:t>Faul</w:t>
      </w:r>
      <w:proofErr w:type="spellEnd"/>
      <w:r>
        <w:rPr>
          <w:rFonts w:eastAsia="Times New Roman"/>
          <w:szCs w:val="24"/>
        </w:rPr>
        <w:t>, M</w:t>
      </w:r>
      <w:proofErr w:type="gramStart"/>
      <w:r>
        <w:rPr>
          <w:rFonts w:eastAsia="Times New Roman"/>
          <w:szCs w:val="24"/>
        </w:rPr>
        <w:t>., . . .</w:t>
      </w:r>
      <w:proofErr w:type="gramEnd"/>
      <w:r>
        <w:rPr>
          <w:rFonts w:eastAsia="Times New Roman"/>
          <w:szCs w:val="24"/>
        </w:rPr>
        <w:t xml:space="preserve"> Alexander, G. C. (2016). Impact of prescription drug monitoring programs and pill mill laws on high-risk opioid prescribers: A comparative interrupted time series analysis. </w:t>
      </w:r>
      <w:r>
        <w:rPr>
          <w:rFonts w:eastAsia="Times New Roman"/>
          <w:i/>
          <w:szCs w:val="24"/>
        </w:rPr>
        <w:t>Drug and Alcohol Dependence</w:t>
      </w:r>
      <w:r>
        <w:rPr>
          <w:rFonts w:eastAsia="Times New Roman"/>
          <w:szCs w:val="24"/>
        </w:rPr>
        <w:t xml:space="preserve">, </w:t>
      </w:r>
      <w:r>
        <w:rPr>
          <w:rFonts w:eastAsia="Times New Roman"/>
          <w:i/>
          <w:szCs w:val="24"/>
        </w:rPr>
        <w:t>165</w:t>
      </w:r>
      <w:r>
        <w:rPr>
          <w:rFonts w:eastAsia="Times New Roman"/>
          <w:szCs w:val="24"/>
        </w:rPr>
        <w:t xml:space="preserve">, 1–8. </w:t>
      </w:r>
      <w:hyperlink r:id="rId15" w:history="1">
        <w:r>
          <w:rPr>
            <w:rFonts w:eastAsia="Times New Roman"/>
            <w:color w:val="0000FF"/>
            <w:szCs w:val="24"/>
            <w:u w:val="words"/>
          </w:rPr>
          <w:t>http://dx.doi.org/10.1016/j.drugalcdep.2016.04.033</w:t>
        </w:r>
      </w:hyperlink>
    </w:p>
    <w:p w14:paraId="25963D6D"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 xml:space="preserve">Curran, P. J., &amp; </w:t>
      </w:r>
      <w:proofErr w:type="spellStart"/>
      <w:r>
        <w:rPr>
          <w:rFonts w:eastAsia="Times New Roman"/>
          <w:szCs w:val="24"/>
        </w:rPr>
        <w:t>Hussong</w:t>
      </w:r>
      <w:proofErr w:type="spellEnd"/>
      <w:r>
        <w:rPr>
          <w:rFonts w:eastAsia="Times New Roman"/>
          <w:szCs w:val="24"/>
        </w:rPr>
        <w:t>, A. M. (2009).</w:t>
      </w:r>
      <w:proofErr w:type="gramEnd"/>
      <w:r>
        <w:rPr>
          <w:rFonts w:eastAsia="Times New Roman"/>
          <w:szCs w:val="24"/>
        </w:rPr>
        <w:t xml:space="preserve"> Integrative data analysis: The simultaneous analysis of multiple data sets. </w:t>
      </w:r>
      <w:r>
        <w:rPr>
          <w:rFonts w:eastAsia="Times New Roman"/>
          <w:i/>
          <w:szCs w:val="24"/>
        </w:rPr>
        <w:t>Psychological Methods</w:t>
      </w:r>
      <w:r>
        <w:rPr>
          <w:rFonts w:eastAsia="Times New Roman"/>
          <w:szCs w:val="24"/>
        </w:rPr>
        <w:t xml:space="preserve">, </w:t>
      </w:r>
      <w:r>
        <w:rPr>
          <w:rFonts w:eastAsia="Times New Roman"/>
          <w:i/>
          <w:szCs w:val="24"/>
        </w:rPr>
        <w:t>14</w:t>
      </w:r>
      <w:r>
        <w:rPr>
          <w:rFonts w:eastAsia="Times New Roman"/>
          <w:szCs w:val="24"/>
        </w:rPr>
        <w:t xml:space="preserve">(2), 81–100. </w:t>
      </w:r>
      <w:hyperlink r:id="rId16" w:history="1">
        <w:r>
          <w:rPr>
            <w:rFonts w:eastAsia="Times New Roman"/>
            <w:color w:val="0000FF"/>
            <w:szCs w:val="24"/>
            <w:u w:val="words"/>
          </w:rPr>
          <w:t>http://dx.doi.org/10.1037/a0015914</w:t>
        </w:r>
      </w:hyperlink>
    </w:p>
    <w:p w14:paraId="0FBF4290" w14:textId="77777777" w:rsidR="00AF6F3E" w:rsidRDefault="00AF6F3E" w:rsidP="00AF6F3E">
      <w:pPr>
        <w:pStyle w:val="biblio-entry"/>
        <w:autoSpaceDE w:val="0"/>
        <w:autoSpaceDN w:val="0"/>
        <w:adjustRightInd w:val="0"/>
        <w:rPr>
          <w:rFonts w:eastAsia="Times New Roman"/>
          <w:szCs w:val="24"/>
        </w:rPr>
      </w:pPr>
      <w:r>
        <w:rPr>
          <w:rFonts w:eastAsia="Times New Roman"/>
          <w:szCs w:val="24"/>
        </w:rPr>
        <w:t xml:space="preserve">Curran, P. J., </w:t>
      </w:r>
      <w:proofErr w:type="spellStart"/>
      <w:r>
        <w:rPr>
          <w:rFonts w:eastAsia="Times New Roman"/>
          <w:szCs w:val="24"/>
        </w:rPr>
        <w:t>Hussong</w:t>
      </w:r>
      <w:proofErr w:type="spellEnd"/>
      <w:r>
        <w:rPr>
          <w:rFonts w:eastAsia="Times New Roman"/>
          <w:szCs w:val="24"/>
        </w:rPr>
        <w:t xml:space="preserve">, A. M., </w:t>
      </w:r>
      <w:proofErr w:type="spellStart"/>
      <w:r>
        <w:rPr>
          <w:rFonts w:eastAsia="Times New Roman"/>
          <w:szCs w:val="24"/>
        </w:rPr>
        <w:t>Cai</w:t>
      </w:r>
      <w:proofErr w:type="spellEnd"/>
      <w:r>
        <w:rPr>
          <w:rFonts w:eastAsia="Times New Roman"/>
          <w:szCs w:val="24"/>
        </w:rPr>
        <w:t xml:space="preserve">, L., Huang, W., </w:t>
      </w:r>
      <w:proofErr w:type="spellStart"/>
      <w:r>
        <w:rPr>
          <w:rFonts w:eastAsia="Times New Roman"/>
          <w:szCs w:val="24"/>
        </w:rPr>
        <w:t>Chassin</w:t>
      </w:r>
      <w:proofErr w:type="spellEnd"/>
      <w:r>
        <w:rPr>
          <w:rFonts w:eastAsia="Times New Roman"/>
          <w:szCs w:val="24"/>
        </w:rPr>
        <w:t xml:space="preserve">, L., </w:t>
      </w:r>
      <w:proofErr w:type="spellStart"/>
      <w:r>
        <w:rPr>
          <w:rFonts w:eastAsia="Times New Roman"/>
          <w:szCs w:val="24"/>
        </w:rPr>
        <w:t>Sher</w:t>
      </w:r>
      <w:proofErr w:type="spellEnd"/>
      <w:r>
        <w:rPr>
          <w:rFonts w:eastAsia="Times New Roman"/>
          <w:szCs w:val="24"/>
        </w:rPr>
        <w:t xml:space="preserve">, K. J., &amp; </w:t>
      </w:r>
      <w:proofErr w:type="spellStart"/>
      <w:r>
        <w:rPr>
          <w:rFonts w:eastAsia="Times New Roman"/>
          <w:szCs w:val="24"/>
        </w:rPr>
        <w:t>Zucker</w:t>
      </w:r>
      <w:proofErr w:type="spellEnd"/>
      <w:r>
        <w:rPr>
          <w:rFonts w:eastAsia="Times New Roman"/>
          <w:szCs w:val="24"/>
        </w:rPr>
        <w:t xml:space="preserve">, R. A. (2008). </w:t>
      </w:r>
      <w:proofErr w:type="gramStart"/>
      <w:r>
        <w:rPr>
          <w:rFonts w:eastAsia="Times New Roman"/>
          <w:szCs w:val="24"/>
        </w:rPr>
        <w:t>Pooling data from multiple longitudinal studies: The role of item response theory in integrative data analysis.</w:t>
      </w:r>
      <w:proofErr w:type="gramEnd"/>
      <w:r>
        <w:rPr>
          <w:rFonts w:eastAsia="Times New Roman"/>
          <w:szCs w:val="24"/>
        </w:rPr>
        <w:t xml:space="preserve"> </w:t>
      </w:r>
      <w:r>
        <w:rPr>
          <w:rFonts w:eastAsia="Times New Roman"/>
          <w:i/>
          <w:szCs w:val="24"/>
        </w:rPr>
        <w:t>Developmental Psychology</w:t>
      </w:r>
      <w:r>
        <w:rPr>
          <w:rFonts w:eastAsia="Times New Roman"/>
          <w:szCs w:val="24"/>
        </w:rPr>
        <w:t xml:space="preserve">, </w:t>
      </w:r>
      <w:r>
        <w:rPr>
          <w:rFonts w:eastAsia="Times New Roman"/>
          <w:i/>
          <w:szCs w:val="24"/>
        </w:rPr>
        <w:t>44</w:t>
      </w:r>
      <w:r>
        <w:rPr>
          <w:rFonts w:eastAsia="Times New Roman"/>
          <w:szCs w:val="24"/>
        </w:rPr>
        <w:t xml:space="preserve">(2), 365–380. </w:t>
      </w:r>
      <w:hyperlink r:id="rId17" w:history="1">
        <w:r>
          <w:rPr>
            <w:rFonts w:eastAsia="Times New Roman"/>
            <w:color w:val="0000FF"/>
            <w:szCs w:val="24"/>
            <w:u w:val="words"/>
          </w:rPr>
          <w:t>http://dx.doi.org/10.1037/0012-1649.44.2.365</w:t>
        </w:r>
      </w:hyperlink>
    </w:p>
    <w:p w14:paraId="37693820"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Harder, V. S., Stuart, E. A., &amp; Anthony, J. C. (2010).</w:t>
      </w:r>
      <w:proofErr w:type="gramEnd"/>
      <w:r>
        <w:rPr>
          <w:rFonts w:eastAsia="Times New Roman"/>
          <w:szCs w:val="24"/>
        </w:rPr>
        <w:t xml:space="preserve"> Propensity score techniques and the assessment of measured covariate balance to test causal associations in psychological research. </w:t>
      </w:r>
      <w:r>
        <w:rPr>
          <w:rFonts w:eastAsia="Times New Roman"/>
          <w:i/>
          <w:szCs w:val="24"/>
        </w:rPr>
        <w:t>Psychological Methods</w:t>
      </w:r>
      <w:r>
        <w:rPr>
          <w:rFonts w:eastAsia="Times New Roman"/>
          <w:szCs w:val="24"/>
        </w:rPr>
        <w:t xml:space="preserve">, </w:t>
      </w:r>
      <w:r>
        <w:rPr>
          <w:rFonts w:eastAsia="Times New Roman"/>
          <w:i/>
          <w:szCs w:val="24"/>
        </w:rPr>
        <w:t>15</w:t>
      </w:r>
      <w:r>
        <w:rPr>
          <w:rFonts w:eastAsia="Times New Roman"/>
          <w:szCs w:val="24"/>
        </w:rPr>
        <w:t xml:space="preserve">(3), 234–249. </w:t>
      </w:r>
      <w:hyperlink r:id="rId18" w:history="1">
        <w:r>
          <w:rPr>
            <w:rFonts w:eastAsia="Times New Roman"/>
            <w:color w:val="0000FF"/>
            <w:szCs w:val="24"/>
            <w:u w:val="words"/>
          </w:rPr>
          <w:t>http://dx.doi.org/10.1037/a0019623</w:t>
        </w:r>
      </w:hyperlink>
    </w:p>
    <w:p w14:paraId="5A9AE4BD" w14:textId="77777777" w:rsidR="00AF6F3E" w:rsidRDefault="00AF6F3E" w:rsidP="00AF6F3E">
      <w:pPr>
        <w:pStyle w:val="biblio-entry"/>
        <w:autoSpaceDE w:val="0"/>
        <w:autoSpaceDN w:val="0"/>
        <w:adjustRightInd w:val="0"/>
        <w:rPr>
          <w:rFonts w:eastAsia="Times New Roman"/>
          <w:szCs w:val="24"/>
        </w:rPr>
      </w:pPr>
      <w:proofErr w:type="spellStart"/>
      <w:r>
        <w:rPr>
          <w:rFonts w:eastAsia="Times New Roman"/>
          <w:szCs w:val="24"/>
        </w:rPr>
        <w:t>Hox</w:t>
      </w:r>
      <w:proofErr w:type="spellEnd"/>
      <w:r>
        <w:rPr>
          <w:rFonts w:eastAsia="Times New Roman"/>
          <w:szCs w:val="24"/>
        </w:rPr>
        <w:t xml:space="preserve">, J. J. (2010). </w:t>
      </w:r>
      <w:r>
        <w:rPr>
          <w:rFonts w:eastAsia="Times New Roman"/>
          <w:i/>
          <w:szCs w:val="24"/>
        </w:rPr>
        <w:t>Multilevel analysis: Techniques and applications</w:t>
      </w:r>
      <w:r>
        <w:rPr>
          <w:rFonts w:eastAsia="Times New Roman"/>
          <w:szCs w:val="24"/>
        </w:rPr>
        <w:t xml:space="preserve"> (2nd </w:t>
      </w:r>
      <w:proofErr w:type="gramStart"/>
      <w:r>
        <w:rPr>
          <w:rFonts w:eastAsia="Times New Roman"/>
          <w:szCs w:val="24"/>
        </w:rPr>
        <w:t>ed</w:t>
      </w:r>
      <w:proofErr w:type="gramEnd"/>
      <w:r>
        <w:rPr>
          <w:rFonts w:eastAsia="Times New Roman"/>
          <w:szCs w:val="24"/>
        </w:rPr>
        <w:t>.). New York, NY: Routledge.</w:t>
      </w:r>
    </w:p>
    <w:p w14:paraId="0345FA95" w14:textId="77777777" w:rsidR="00AF6F3E" w:rsidRDefault="00AF6F3E" w:rsidP="00AF6F3E">
      <w:pPr>
        <w:pStyle w:val="biblio-entry"/>
        <w:autoSpaceDE w:val="0"/>
        <w:autoSpaceDN w:val="0"/>
        <w:adjustRightInd w:val="0"/>
        <w:rPr>
          <w:rFonts w:eastAsia="Times New Roman"/>
          <w:szCs w:val="24"/>
        </w:rPr>
      </w:pPr>
      <w:r>
        <w:rPr>
          <w:rFonts w:eastAsia="Times New Roman"/>
          <w:szCs w:val="24"/>
        </w:rPr>
        <w:t xml:space="preserve">Imai, K., &amp; van </w:t>
      </w:r>
      <w:proofErr w:type="spellStart"/>
      <w:r>
        <w:rPr>
          <w:rFonts w:eastAsia="Times New Roman"/>
          <w:szCs w:val="24"/>
        </w:rPr>
        <w:t>Dyk</w:t>
      </w:r>
      <w:proofErr w:type="spellEnd"/>
      <w:r>
        <w:rPr>
          <w:rFonts w:eastAsia="Times New Roman"/>
          <w:szCs w:val="24"/>
        </w:rPr>
        <w:t xml:space="preserve">, D. A. (2004). Causal inference with general treatment regimes: Generalizing the propensity score. </w:t>
      </w:r>
      <w:r>
        <w:rPr>
          <w:rFonts w:eastAsia="Times New Roman"/>
          <w:i/>
          <w:szCs w:val="24"/>
        </w:rPr>
        <w:t>Journal of the American Statistical Association</w:t>
      </w:r>
      <w:r>
        <w:rPr>
          <w:rFonts w:eastAsia="Times New Roman"/>
          <w:szCs w:val="24"/>
        </w:rPr>
        <w:t xml:space="preserve">, </w:t>
      </w:r>
      <w:r>
        <w:rPr>
          <w:rFonts w:eastAsia="Times New Roman"/>
          <w:i/>
          <w:szCs w:val="24"/>
        </w:rPr>
        <w:t>99</w:t>
      </w:r>
      <w:r>
        <w:rPr>
          <w:rFonts w:eastAsia="Times New Roman"/>
          <w:szCs w:val="24"/>
        </w:rPr>
        <w:t xml:space="preserve">(467), 854–866. </w:t>
      </w:r>
      <w:hyperlink r:id="rId19" w:history="1">
        <w:r>
          <w:rPr>
            <w:rFonts w:eastAsia="Times New Roman"/>
            <w:color w:val="0000FF"/>
            <w:szCs w:val="24"/>
            <w:u w:val="words"/>
          </w:rPr>
          <w:t>http://dx.doi.org/10.1198/016214504000001187</w:t>
        </w:r>
      </w:hyperlink>
    </w:p>
    <w:bookmarkEnd w:id="10"/>
    <w:p w14:paraId="2EAAEA64" w14:textId="77777777" w:rsidR="00AF6F3E" w:rsidRDefault="00AF6F3E" w:rsidP="00AF6F3E">
      <w:pPr>
        <w:pStyle w:val="biblio-entry"/>
        <w:autoSpaceDE w:val="0"/>
        <w:autoSpaceDN w:val="0"/>
        <w:adjustRightInd w:val="0"/>
        <w:rPr>
          <w:rFonts w:eastAsia="Times New Roman"/>
          <w:szCs w:val="24"/>
        </w:rPr>
      </w:pPr>
      <w:r>
        <w:rPr>
          <w:rFonts w:eastAsia="Times New Roman"/>
          <w:szCs w:val="24"/>
        </w:rPr>
        <w:t xml:space="preserve">Lin, D. H., Lucas, E., </w:t>
      </w:r>
      <w:proofErr w:type="spellStart"/>
      <w:r>
        <w:rPr>
          <w:rFonts w:eastAsia="Times New Roman"/>
          <w:szCs w:val="24"/>
        </w:rPr>
        <w:t>Murimi</w:t>
      </w:r>
      <w:proofErr w:type="spellEnd"/>
      <w:r>
        <w:rPr>
          <w:rFonts w:eastAsia="Times New Roman"/>
          <w:szCs w:val="24"/>
        </w:rPr>
        <w:t xml:space="preserve">, I. B., Jackson, K., </w:t>
      </w:r>
      <w:proofErr w:type="spellStart"/>
      <w:r>
        <w:rPr>
          <w:rFonts w:eastAsia="Times New Roman"/>
          <w:szCs w:val="24"/>
        </w:rPr>
        <w:t>Baier</w:t>
      </w:r>
      <w:proofErr w:type="spellEnd"/>
      <w:r>
        <w:rPr>
          <w:rFonts w:eastAsia="Times New Roman"/>
          <w:szCs w:val="24"/>
        </w:rPr>
        <w:t xml:space="preserve">, M., </w:t>
      </w:r>
      <w:proofErr w:type="spellStart"/>
      <w:r>
        <w:rPr>
          <w:rFonts w:eastAsia="Times New Roman"/>
          <w:szCs w:val="24"/>
        </w:rPr>
        <w:t>Frattaroli</w:t>
      </w:r>
      <w:proofErr w:type="spellEnd"/>
      <w:r>
        <w:rPr>
          <w:rFonts w:eastAsia="Times New Roman"/>
          <w:szCs w:val="24"/>
        </w:rPr>
        <w:t>, S</w:t>
      </w:r>
      <w:proofErr w:type="gramStart"/>
      <w:r>
        <w:rPr>
          <w:rFonts w:eastAsia="Times New Roman"/>
          <w:szCs w:val="24"/>
        </w:rPr>
        <w:t>., . . .</w:t>
      </w:r>
      <w:proofErr w:type="gramEnd"/>
      <w:r>
        <w:rPr>
          <w:rFonts w:eastAsia="Times New Roman"/>
          <w:szCs w:val="24"/>
        </w:rPr>
        <w:t xml:space="preserve"> Alexander, G. C. (2017). Physician attitudes and experiences with Maryland’s prescription drug monitoring program (PDMP). </w:t>
      </w:r>
      <w:r>
        <w:rPr>
          <w:rFonts w:eastAsia="Times New Roman"/>
          <w:i/>
          <w:szCs w:val="24"/>
        </w:rPr>
        <w:t>Addiction (Abingdon, England)</w:t>
      </w:r>
      <w:r>
        <w:rPr>
          <w:rFonts w:eastAsia="Times New Roman"/>
          <w:szCs w:val="24"/>
        </w:rPr>
        <w:t xml:space="preserve">, </w:t>
      </w:r>
      <w:r>
        <w:rPr>
          <w:rFonts w:eastAsia="Times New Roman"/>
          <w:i/>
          <w:szCs w:val="24"/>
        </w:rPr>
        <w:t>112</w:t>
      </w:r>
      <w:r>
        <w:rPr>
          <w:rFonts w:eastAsia="Times New Roman"/>
          <w:szCs w:val="24"/>
        </w:rPr>
        <w:t xml:space="preserve">(2), 311–319. </w:t>
      </w:r>
      <w:hyperlink r:id="rId20" w:history="1">
        <w:r>
          <w:rPr>
            <w:rFonts w:eastAsia="Times New Roman"/>
            <w:color w:val="0000FF"/>
            <w:szCs w:val="24"/>
            <w:u w:val="words"/>
          </w:rPr>
          <w:t>http://dx.doi.org/10.1111/add.13620</w:t>
        </w:r>
      </w:hyperlink>
    </w:p>
    <w:p w14:paraId="7BE29515" w14:textId="200D4D18" w:rsidR="00AF6F3E" w:rsidRDefault="00AF6F3E" w:rsidP="00AF6F3E">
      <w:pPr>
        <w:pStyle w:val="biblio-entry"/>
        <w:autoSpaceDE w:val="0"/>
        <w:autoSpaceDN w:val="0"/>
        <w:adjustRightInd w:val="0"/>
        <w:rPr>
          <w:rFonts w:eastAsia="Times New Roman"/>
          <w:szCs w:val="24"/>
        </w:rPr>
      </w:pPr>
      <w:bookmarkStart w:id="11" w:name="_ENREF_14"/>
      <w:proofErr w:type="gramStart"/>
      <w:r>
        <w:rPr>
          <w:rFonts w:eastAsia="Times New Roman"/>
          <w:szCs w:val="24"/>
        </w:rPr>
        <w:lastRenderedPageBreak/>
        <w:t xml:space="preserve">McCaffrey, D. F., Ridgeway, G., &amp; </w:t>
      </w:r>
      <w:proofErr w:type="spellStart"/>
      <w:r>
        <w:rPr>
          <w:rFonts w:eastAsia="Times New Roman"/>
          <w:szCs w:val="24"/>
        </w:rPr>
        <w:t>Morral</w:t>
      </w:r>
      <w:proofErr w:type="spellEnd"/>
      <w:r>
        <w:rPr>
          <w:rFonts w:eastAsia="Times New Roman"/>
          <w:szCs w:val="24"/>
        </w:rPr>
        <w:t>, A. R. (2004).</w:t>
      </w:r>
      <w:proofErr w:type="gramEnd"/>
      <w:r>
        <w:rPr>
          <w:rFonts w:eastAsia="Times New Roman"/>
          <w:szCs w:val="24"/>
        </w:rPr>
        <w:t xml:space="preserve"> Propensity score estimation with boosted regression for evaluating causal effects in observational studies. </w:t>
      </w:r>
      <w:r>
        <w:rPr>
          <w:rFonts w:eastAsia="Times New Roman"/>
          <w:i/>
          <w:szCs w:val="24"/>
        </w:rPr>
        <w:t>Psychological Methods</w:t>
      </w:r>
      <w:r>
        <w:rPr>
          <w:rFonts w:eastAsia="Times New Roman"/>
          <w:szCs w:val="24"/>
        </w:rPr>
        <w:t xml:space="preserve">, </w:t>
      </w:r>
      <w:r>
        <w:rPr>
          <w:rFonts w:eastAsia="Times New Roman"/>
          <w:i/>
          <w:szCs w:val="24"/>
        </w:rPr>
        <w:t>9</w:t>
      </w:r>
      <w:r>
        <w:rPr>
          <w:rFonts w:eastAsia="Times New Roman"/>
          <w:szCs w:val="24"/>
        </w:rPr>
        <w:t xml:space="preserve">(4), 403–425. </w:t>
      </w:r>
      <w:hyperlink r:id="rId21" w:history="1">
        <w:r>
          <w:rPr>
            <w:rFonts w:eastAsia="Times New Roman"/>
            <w:color w:val="0000FF"/>
            <w:szCs w:val="24"/>
            <w:u w:val="words"/>
          </w:rPr>
          <w:t>http://dx.doi.org/10.1037/1082-989X.9.4.403</w:t>
        </w:r>
      </w:hyperlink>
      <w:bookmarkEnd w:id="11"/>
      <w:r>
        <w:rPr>
          <w:rFonts w:eastAsia="Times New Roman"/>
          <w:szCs w:val="24"/>
        </w:rPr>
        <w:t xml:space="preserve">, B. (1997). </w:t>
      </w:r>
      <w:proofErr w:type="gramStart"/>
      <w:r>
        <w:rPr>
          <w:rFonts w:eastAsia="Times New Roman"/>
          <w:szCs w:val="24"/>
        </w:rPr>
        <w:t>Latent variable modeling with longitudinal and multilevel data.</w:t>
      </w:r>
      <w:proofErr w:type="gramEnd"/>
      <w:r>
        <w:rPr>
          <w:rFonts w:eastAsia="Times New Roman"/>
          <w:szCs w:val="24"/>
        </w:rPr>
        <w:t xml:space="preserve"> </w:t>
      </w:r>
      <w:proofErr w:type="gramStart"/>
      <w:r>
        <w:rPr>
          <w:rFonts w:eastAsia="Times New Roman"/>
          <w:szCs w:val="24"/>
        </w:rPr>
        <w:t xml:space="preserve">In A. </w:t>
      </w:r>
      <w:proofErr w:type="spellStart"/>
      <w:r>
        <w:rPr>
          <w:rFonts w:eastAsia="Times New Roman"/>
          <w:szCs w:val="24"/>
        </w:rPr>
        <w:t>Raftery</w:t>
      </w:r>
      <w:proofErr w:type="spellEnd"/>
      <w:r>
        <w:rPr>
          <w:rFonts w:eastAsia="Times New Roman"/>
          <w:szCs w:val="24"/>
        </w:rPr>
        <w:t xml:space="preserve"> (Ed.), </w:t>
      </w:r>
      <w:r>
        <w:rPr>
          <w:rFonts w:eastAsia="Times New Roman"/>
          <w:i/>
          <w:szCs w:val="24"/>
        </w:rPr>
        <w:t>Sociological Methodology</w:t>
      </w:r>
      <w:r>
        <w:rPr>
          <w:rFonts w:eastAsia="Times New Roman"/>
          <w:szCs w:val="24"/>
        </w:rPr>
        <w:t xml:space="preserve"> (pp. 453–480).</w:t>
      </w:r>
      <w:proofErr w:type="gramEnd"/>
      <w:r>
        <w:rPr>
          <w:rFonts w:eastAsia="Times New Roman"/>
          <w:szCs w:val="24"/>
        </w:rPr>
        <w:t xml:space="preserve"> Boston, MA: Blackwell Publishers. </w:t>
      </w:r>
      <w:hyperlink r:id="rId22" w:history="1">
        <w:r>
          <w:rPr>
            <w:rFonts w:eastAsia="Times New Roman"/>
            <w:color w:val="0000FF"/>
            <w:szCs w:val="24"/>
            <w:u w:val="words"/>
          </w:rPr>
          <w:t>http://dx.doi.org/10.1111/1467-9531.271034</w:t>
        </w:r>
      </w:hyperlink>
    </w:p>
    <w:p w14:paraId="3E7E3958"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National Institutes of Health.</w:t>
      </w:r>
      <w:proofErr w:type="gramEnd"/>
      <w:r>
        <w:rPr>
          <w:rFonts w:eastAsia="Times New Roman"/>
          <w:szCs w:val="24"/>
        </w:rPr>
        <w:t xml:space="preserve"> </w:t>
      </w:r>
      <w:proofErr w:type="gramStart"/>
      <w:r>
        <w:rPr>
          <w:rFonts w:eastAsia="Times New Roman"/>
          <w:szCs w:val="24"/>
        </w:rPr>
        <w:t>(2011, October).</w:t>
      </w:r>
      <w:proofErr w:type="gramEnd"/>
      <w:r>
        <w:rPr>
          <w:rFonts w:eastAsia="Times New Roman"/>
          <w:szCs w:val="24"/>
        </w:rPr>
        <w:t xml:space="preserve"> </w:t>
      </w:r>
      <w:r>
        <w:rPr>
          <w:rFonts w:eastAsia="Times New Roman"/>
          <w:i/>
          <w:szCs w:val="24"/>
        </w:rPr>
        <w:t>Prescription drugs: Abuse and addiction</w:t>
      </w:r>
      <w:r>
        <w:rPr>
          <w:rFonts w:eastAsia="Times New Roman"/>
          <w:szCs w:val="24"/>
        </w:rPr>
        <w:t xml:space="preserve"> (NIH Publication No. 11-4881). Retrieved from </w:t>
      </w:r>
      <w:hyperlink r:id="rId23" w:history="1">
        <w:r>
          <w:rPr>
            <w:rStyle w:val="Hyperlink"/>
            <w:noProof/>
            <w:szCs w:val="24"/>
          </w:rPr>
          <w:t>http://www.drugabuse.gov/sites/default/files/rrprescription.pdf</w:t>
        </w:r>
      </w:hyperlink>
    </w:p>
    <w:p w14:paraId="0B6AC268"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Office of National Drug Control Policy.</w:t>
      </w:r>
      <w:proofErr w:type="gramEnd"/>
      <w:r>
        <w:rPr>
          <w:rFonts w:eastAsia="Times New Roman"/>
          <w:szCs w:val="24"/>
        </w:rPr>
        <w:t xml:space="preserve"> (2011). </w:t>
      </w:r>
      <w:r>
        <w:rPr>
          <w:rFonts w:eastAsia="Times New Roman"/>
          <w:i/>
          <w:szCs w:val="24"/>
        </w:rPr>
        <w:t>Epidemic: responding to America’s prescription drug abuse crisis.</w:t>
      </w:r>
      <w:r>
        <w:rPr>
          <w:rFonts w:eastAsia="Times New Roman"/>
          <w:szCs w:val="24"/>
        </w:rPr>
        <w:t xml:space="preserve"> Retrieved from: </w:t>
      </w:r>
      <w:hyperlink r:id="rId24" w:history="1">
        <w:r>
          <w:rPr>
            <w:rStyle w:val="Hyperlink"/>
            <w:noProof/>
            <w:szCs w:val="24"/>
          </w:rPr>
          <w:t>http://www.whitehouse.gov/sites/default/files/ondcp/issues-content/prescription-drugs/rx_abuse_plan_0.pdf</w:t>
        </w:r>
      </w:hyperlink>
    </w:p>
    <w:p w14:paraId="19B0D6AB"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 xml:space="preserve">Patrick, S. W., Fry, C. E., Jones, T. F., &amp; </w:t>
      </w:r>
      <w:proofErr w:type="spellStart"/>
      <w:r>
        <w:rPr>
          <w:rFonts w:eastAsia="Times New Roman"/>
          <w:szCs w:val="24"/>
        </w:rPr>
        <w:t>Buntin</w:t>
      </w:r>
      <w:proofErr w:type="spellEnd"/>
      <w:r>
        <w:rPr>
          <w:rFonts w:eastAsia="Times New Roman"/>
          <w:szCs w:val="24"/>
        </w:rPr>
        <w:t>, M. B. (2016).</w:t>
      </w:r>
      <w:proofErr w:type="gramEnd"/>
      <w:r>
        <w:rPr>
          <w:rFonts w:eastAsia="Times New Roman"/>
          <w:szCs w:val="24"/>
        </w:rPr>
        <w:t xml:space="preserve"> Implementation of prescription drug monitoring programs associated with reductions in opioid-related death rates. </w:t>
      </w:r>
      <w:r>
        <w:rPr>
          <w:rFonts w:eastAsia="Times New Roman"/>
          <w:i/>
          <w:szCs w:val="24"/>
        </w:rPr>
        <w:t>Health Affairs</w:t>
      </w:r>
      <w:r>
        <w:rPr>
          <w:rFonts w:eastAsia="Times New Roman"/>
          <w:szCs w:val="24"/>
        </w:rPr>
        <w:t xml:space="preserve">, </w:t>
      </w:r>
      <w:r>
        <w:rPr>
          <w:rFonts w:eastAsia="Times New Roman"/>
          <w:i/>
          <w:szCs w:val="24"/>
        </w:rPr>
        <w:t>35</w:t>
      </w:r>
      <w:r>
        <w:rPr>
          <w:rFonts w:eastAsia="Times New Roman"/>
          <w:szCs w:val="24"/>
        </w:rPr>
        <w:t xml:space="preserve">(7), 1324–1332. </w:t>
      </w:r>
      <w:hyperlink r:id="rId25" w:history="1">
        <w:r>
          <w:rPr>
            <w:rFonts w:eastAsia="Times New Roman"/>
            <w:color w:val="0000FF"/>
            <w:szCs w:val="24"/>
            <w:u w:val="words"/>
          </w:rPr>
          <w:t>http://dx.doi.org/10.1377/hlthaff.2015.1496</w:t>
        </w:r>
      </w:hyperlink>
    </w:p>
    <w:p w14:paraId="30280B27" w14:textId="77777777" w:rsidR="00AF6F3E" w:rsidRDefault="00AF6F3E" w:rsidP="00AF6F3E">
      <w:pPr>
        <w:pStyle w:val="biblio-entry"/>
        <w:autoSpaceDE w:val="0"/>
        <w:autoSpaceDN w:val="0"/>
        <w:adjustRightInd w:val="0"/>
        <w:rPr>
          <w:rFonts w:eastAsia="Times New Roman"/>
          <w:szCs w:val="24"/>
        </w:rPr>
      </w:pPr>
      <w:bookmarkStart w:id="12" w:name="_ENREF_21"/>
      <w:bookmarkStart w:id="13" w:name="_ENREF_22"/>
      <w:bookmarkEnd w:id="12"/>
      <w:proofErr w:type="gramStart"/>
      <w:r>
        <w:rPr>
          <w:rFonts w:eastAsia="Times New Roman"/>
          <w:szCs w:val="24"/>
        </w:rPr>
        <w:t>Rosenbaum, P. R., &amp; Rubin, D. B. (1983).</w:t>
      </w:r>
      <w:proofErr w:type="gramEnd"/>
      <w:r>
        <w:rPr>
          <w:rFonts w:eastAsia="Times New Roman"/>
          <w:szCs w:val="24"/>
        </w:rPr>
        <w:t xml:space="preserve"> The central role of the propensity score in observational studies for causal effects. </w:t>
      </w:r>
      <w:proofErr w:type="spellStart"/>
      <w:r>
        <w:rPr>
          <w:rFonts w:eastAsia="Times New Roman"/>
          <w:i/>
          <w:szCs w:val="24"/>
        </w:rPr>
        <w:t>Biometrika</w:t>
      </w:r>
      <w:proofErr w:type="spellEnd"/>
      <w:r>
        <w:rPr>
          <w:rFonts w:eastAsia="Times New Roman"/>
          <w:szCs w:val="24"/>
        </w:rPr>
        <w:t xml:space="preserve">, </w:t>
      </w:r>
      <w:r>
        <w:rPr>
          <w:rFonts w:eastAsia="Times New Roman"/>
          <w:i/>
          <w:szCs w:val="24"/>
        </w:rPr>
        <w:t>70</w:t>
      </w:r>
      <w:r>
        <w:rPr>
          <w:rFonts w:eastAsia="Times New Roman"/>
          <w:szCs w:val="24"/>
        </w:rPr>
        <w:t xml:space="preserve">(1), 41–55. </w:t>
      </w:r>
      <w:hyperlink r:id="rId26" w:history="1">
        <w:r>
          <w:rPr>
            <w:rFonts w:eastAsia="Times New Roman"/>
            <w:color w:val="0000FF"/>
            <w:szCs w:val="24"/>
            <w:u w:val="words"/>
          </w:rPr>
          <w:t>http://dx.doi.org/10.1093/biomet/70.1.41</w:t>
        </w:r>
      </w:hyperlink>
    </w:p>
    <w:bookmarkEnd w:id="13"/>
    <w:p w14:paraId="0B40B761" w14:textId="77777777" w:rsidR="00AF6F3E" w:rsidRDefault="00AF6F3E" w:rsidP="00AF6F3E">
      <w:pPr>
        <w:pStyle w:val="biblio-entry"/>
        <w:autoSpaceDE w:val="0"/>
        <w:autoSpaceDN w:val="0"/>
        <w:adjustRightInd w:val="0"/>
        <w:rPr>
          <w:rFonts w:eastAsia="Times New Roman"/>
          <w:szCs w:val="24"/>
        </w:rPr>
      </w:pPr>
      <w:proofErr w:type="spellStart"/>
      <w:proofErr w:type="gramStart"/>
      <w:r>
        <w:rPr>
          <w:rFonts w:eastAsia="Times New Roman"/>
          <w:szCs w:val="24"/>
        </w:rPr>
        <w:t>Shadish</w:t>
      </w:r>
      <w:proofErr w:type="spellEnd"/>
      <w:r>
        <w:rPr>
          <w:rFonts w:eastAsia="Times New Roman"/>
          <w:szCs w:val="24"/>
        </w:rPr>
        <w:t>, W., Cook, T., &amp; Campbell, D. (2002).</w:t>
      </w:r>
      <w:proofErr w:type="gramEnd"/>
      <w:r>
        <w:rPr>
          <w:rFonts w:eastAsia="Times New Roman"/>
          <w:szCs w:val="24"/>
        </w:rPr>
        <w:t xml:space="preserve"> </w:t>
      </w:r>
      <w:proofErr w:type="gramStart"/>
      <w:r>
        <w:rPr>
          <w:rFonts w:eastAsia="Times New Roman"/>
          <w:i/>
          <w:szCs w:val="24"/>
        </w:rPr>
        <w:t>Experimental and Quasi-Experimental Designs for Generalized Causal Inference</w:t>
      </w:r>
      <w:r>
        <w:rPr>
          <w:rFonts w:eastAsia="Times New Roman"/>
          <w:szCs w:val="24"/>
        </w:rPr>
        <w:t>.</w:t>
      </w:r>
      <w:proofErr w:type="gramEnd"/>
      <w:r>
        <w:rPr>
          <w:rFonts w:eastAsia="Times New Roman"/>
          <w:szCs w:val="24"/>
        </w:rPr>
        <w:t xml:space="preserve"> Boston: Houghton Mifflin.</w:t>
      </w:r>
    </w:p>
    <w:p w14:paraId="4CC7C068" w14:textId="77777777" w:rsidR="00AF6F3E" w:rsidRDefault="00AF6F3E" w:rsidP="00AF6F3E">
      <w:pPr>
        <w:pStyle w:val="biblio-entry"/>
        <w:autoSpaceDE w:val="0"/>
        <w:autoSpaceDN w:val="0"/>
        <w:adjustRightInd w:val="0"/>
        <w:rPr>
          <w:rFonts w:eastAsia="Times New Roman"/>
          <w:szCs w:val="24"/>
        </w:rPr>
      </w:pPr>
      <w:proofErr w:type="spellStart"/>
      <w:proofErr w:type="gramStart"/>
      <w:r>
        <w:rPr>
          <w:rFonts w:eastAsia="Times New Roman"/>
          <w:szCs w:val="24"/>
        </w:rPr>
        <w:t>Shadish</w:t>
      </w:r>
      <w:proofErr w:type="spellEnd"/>
      <w:r>
        <w:rPr>
          <w:rFonts w:eastAsia="Times New Roman"/>
          <w:szCs w:val="24"/>
        </w:rPr>
        <w:t>, W. R. (2010).</w:t>
      </w:r>
      <w:proofErr w:type="gramEnd"/>
      <w:r>
        <w:rPr>
          <w:rFonts w:eastAsia="Times New Roman"/>
          <w:szCs w:val="24"/>
        </w:rPr>
        <w:t xml:space="preserve"> Campbell and Rubin: A primer and comparison of their approaches to causal inference in field settings. </w:t>
      </w:r>
      <w:r w:rsidRPr="00AF6F3E">
        <w:t>Psychological</w:t>
      </w:r>
      <w:r>
        <w:rPr>
          <w:rFonts w:eastAsia="Times New Roman"/>
          <w:i/>
          <w:szCs w:val="24"/>
        </w:rPr>
        <w:t xml:space="preserve"> Methods</w:t>
      </w:r>
      <w:r>
        <w:rPr>
          <w:rFonts w:eastAsia="Times New Roman"/>
          <w:szCs w:val="24"/>
        </w:rPr>
        <w:t xml:space="preserve">, </w:t>
      </w:r>
      <w:r>
        <w:rPr>
          <w:rFonts w:eastAsia="Times New Roman"/>
          <w:i/>
          <w:szCs w:val="24"/>
        </w:rPr>
        <w:t>15</w:t>
      </w:r>
      <w:r>
        <w:rPr>
          <w:rFonts w:eastAsia="Times New Roman"/>
          <w:szCs w:val="24"/>
        </w:rPr>
        <w:t xml:space="preserve">(1), 3–17. </w:t>
      </w:r>
      <w:hyperlink r:id="rId27" w:history="1">
        <w:r>
          <w:rPr>
            <w:rFonts w:eastAsia="Times New Roman"/>
            <w:color w:val="0000FF"/>
            <w:szCs w:val="24"/>
            <w:u w:val="words"/>
          </w:rPr>
          <w:t>http://dx.doi.org/10.1037/a0015916</w:t>
        </w:r>
      </w:hyperlink>
    </w:p>
    <w:p w14:paraId="262D2A27"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Substance Abuse and Mental Health Services Administration.</w:t>
      </w:r>
      <w:proofErr w:type="gramEnd"/>
      <w:r>
        <w:rPr>
          <w:rFonts w:eastAsia="Times New Roman"/>
          <w:szCs w:val="24"/>
        </w:rPr>
        <w:t xml:space="preserve"> (2016a). </w:t>
      </w:r>
      <w:r>
        <w:rPr>
          <w:rFonts w:eastAsia="Times New Roman"/>
          <w:i/>
          <w:szCs w:val="24"/>
        </w:rPr>
        <w:t>Key substance use and mental health indicators in the United States: Results from the 2015 National Survey on Drug Use and Health</w:t>
      </w:r>
      <w:r>
        <w:rPr>
          <w:rFonts w:eastAsia="Times New Roman"/>
          <w:szCs w:val="24"/>
        </w:rPr>
        <w:t xml:space="preserve"> (NSDUH Series H-51, HHS Publication No. (SMA) 16-4984). Rockville, MD: Author. Retrieved from </w:t>
      </w:r>
      <w:hyperlink r:id="rId28" w:history="1">
        <w:r>
          <w:rPr>
            <w:rStyle w:val="Hyperlink"/>
            <w:noProof/>
            <w:szCs w:val="24"/>
          </w:rPr>
          <w:t>https://www.samhsa.gov/data/sites/default/files/NSDUH-FFR1-2015/NSDUH-FFR1-2015/NSDUH-FFR1-2015.pdf</w:t>
        </w:r>
      </w:hyperlink>
    </w:p>
    <w:p w14:paraId="2DB6E1E0" w14:textId="77777777" w:rsidR="00AF6F3E" w:rsidRDefault="00AF6F3E" w:rsidP="00AF6F3E">
      <w:pPr>
        <w:pStyle w:val="biblio-entry"/>
        <w:autoSpaceDE w:val="0"/>
        <w:autoSpaceDN w:val="0"/>
        <w:adjustRightInd w:val="0"/>
        <w:rPr>
          <w:rFonts w:eastAsia="Times New Roman"/>
          <w:szCs w:val="24"/>
        </w:rPr>
      </w:pPr>
      <w:proofErr w:type="gramStart"/>
      <w:r>
        <w:rPr>
          <w:rFonts w:eastAsia="Times New Roman"/>
          <w:szCs w:val="24"/>
        </w:rPr>
        <w:t>Substance Abuse and Mental Health Services Administration.</w:t>
      </w:r>
      <w:proofErr w:type="gramEnd"/>
      <w:r>
        <w:rPr>
          <w:rFonts w:eastAsia="Times New Roman"/>
          <w:szCs w:val="24"/>
        </w:rPr>
        <w:t xml:space="preserve"> </w:t>
      </w:r>
      <w:proofErr w:type="gramStart"/>
      <w:r>
        <w:rPr>
          <w:rFonts w:eastAsia="Times New Roman"/>
          <w:szCs w:val="24"/>
        </w:rPr>
        <w:t xml:space="preserve">(2016b). </w:t>
      </w:r>
      <w:r>
        <w:rPr>
          <w:rFonts w:eastAsia="Times New Roman"/>
          <w:i/>
          <w:szCs w:val="24"/>
        </w:rPr>
        <w:t>SAMHSA Opioid Overdose Prevention Toolkit</w:t>
      </w:r>
      <w:r>
        <w:rPr>
          <w:rFonts w:eastAsia="Times New Roman"/>
          <w:szCs w:val="24"/>
        </w:rPr>
        <w:t xml:space="preserve"> (HHS Publication No.</w:t>
      </w:r>
      <w:proofErr w:type="gramEnd"/>
      <w:r>
        <w:rPr>
          <w:rFonts w:eastAsia="Times New Roman"/>
          <w:szCs w:val="24"/>
        </w:rPr>
        <w:t xml:space="preserve"> (SMA) 16-4742). Rockville, MD: Author. Retrieved from </w:t>
      </w:r>
      <w:hyperlink r:id="rId29" w:history="1">
        <w:r>
          <w:rPr>
            <w:rStyle w:val="Hyperlink"/>
            <w:noProof/>
            <w:szCs w:val="24"/>
          </w:rPr>
          <w:t>http://store.samhsa.gov/shin/content//SMA16-4742/SMA16-4742.pdf</w:t>
        </w:r>
      </w:hyperlink>
    </w:p>
    <w:p w14:paraId="1E9CB838" w14:textId="5B8795C2" w:rsidR="001C141B" w:rsidRPr="001A3C78" w:rsidRDefault="00AF6F3E" w:rsidP="00C07AB8">
      <w:pPr>
        <w:pStyle w:val="biblio-entry"/>
      </w:pPr>
      <w:proofErr w:type="gramStart"/>
      <w:r>
        <w:rPr>
          <w:rFonts w:eastAsia="Times New Roman"/>
          <w:szCs w:val="24"/>
        </w:rPr>
        <w:t>West</w:t>
      </w:r>
      <w:r>
        <w:t xml:space="preserve">, </w:t>
      </w:r>
      <w:r>
        <w:rPr>
          <w:rFonts w:eastAsia="Times New Roman"/>
          <w:szCs w:val="24"/>
        </w:rPr>
        <w:t>S. G.</w:t>
      </w:r>
      <w:r>
        <w:t xml:space="preserve">, </w:t>
      </w:r>
      <w:proofErr w:type="spellStart"/>
      <w:r>
        <w:rPr>
          <w:rFonts w:eastAsia="Times New Roman"/>
          <w:szCs w:val="24"/>
        </w:rPr>
        <w:t>Biesanz</w:t>
      </w:r>
      <w:proofErr w:type="spellEnd"/>
      <w:r>
        <w:t xml:space="preserve">, </w:t>
      </w:r>
      <w:r>
        <w:rPr>
          <w:rFonts w:eastAsia="Times New Roman"/>
          <w:szCs w:val="24"/>
        </w:rPr>
        <w:t>J. C.</w:t>
      </w:r>
      <w:r>
        <w:t xml:space="preserve">, &amp; </w:t>
      </w:r>
      <w:r>
        <w:rPr>
          <w:rFonts w:eastAsia="Times New Roman"/>
          <w:szCs w:val="24"/>
        </w:rPr>
        <w:t>Pitts</w:t>
      </w:r>
      <w:r>
        <w:t xml:space="preserve">, </w:t>
      </w:r>
      <w:r>
        <w:rPr>
          <w:rFonts w:eastAsia="Times New Roman"/>
          <w:szCs w:val="24"/>
        </w:rPr>
        <w:t>S. C.</w:t>
      </w:r>
      <w:r>
        <w:t xml:space="preserve"> (</w:t>
      </w:r>
      <w:r>
        <w:rPr>
          <w:rFonts w:eastAsia="Times New Roman"/>
          <w:szCs w:val="24"/>
        </w:rPr>
        <w:t>2000</w:t>
      </w:r>
      <w:r>
        <w:t>).</w:t>
      </w:r>
      <w:proofErr w:type="gramEnd"/>
      <w:r>
        <w:t xml:space="preserve"> </w:t>
      </w:r>
      <w:r>
        <w:rPr>
          <w:rFonts w:eastAsia="Times New Roman"/>
          <w:szCs w:val="24"/>
        </w:rPr>
        <w:t>Causal inference and generalization in field settings: Experimental and quasi-experimental designs</w:t>
      </w:r>
      <w:r>
        <w:t xml:space="preserve">. </w:t>
      </w:r>
      <w:proofErr w:type="gramStart"/>
      <w:r>
        <w:t xml:space="preserve">In </w:t>
      </w:r>
      <w:r>
        <w:rPr>
          <w:rFonts w:eastAsia="Times New Roman"/>
          <w:szCs w:val="24"/>
        </w:rPr>
        <w:t>H. T.</w:t>
      </w:r>
      <w:r>
        <w:t xml:space="preserve"> </w:t>
      </w:r>
      <w:r>
        <w:rPr>
          <w:rFonts w:eastAsia="Times New Roman"/>
          <w:szCs w:val="24"/>
        </w:rPr>
        <w:t>Reis</w:t>
      </w:r>
      <w:r>
        <w:t xml:space="preserve"> &amp; </w:t>
      </w:r>
      <w:r>
        <w:rPr>
          <w:rFonts w:eastAsia="Times New Roman"/>
          <w:szCs w:val="24"/>
        </w:rPr>
        <w:t>C. M.</w:t>
      </w:r>
      <w:r>
        <w:t xml:space="preserve"> </w:t>
      </w:r>
      <w:r>
        <w:rPr>
          <w:rFonts w:eastAsia="Times New Roman"/>
          <w:szCs w:val="24"/>
        </w:rPr>
        <w:t>Judd</w:t>
      </w:r>
      <w:r>
        <w:t xml:space="preserve"> (Eds.), </w:t>
      </w:r>
      <w:r>
        <w:rPr>
          <w:rFonts w:eastAsia="Times New Roman"/>
          <w:i/>
          <w:szCs w:val="24"/>
        </w:rPr>
        <w:t>Handbook of research methods in social and personality psychology</w:t>
      </w:r>
      <w:r>
        <w:t xml:space="preserve"> (pp. </w:t>
      </w:r>
      <w:r>
        <w:rPr>
          <w:rFonts w:eastAsia="Times New Roman"/>
          <w:szCs w:val="24"/>
        </w:rPr>
        <w:t>40</w:t>
      </w:r>
      <w:r>
        <w:t>–</w:t>
      </w:r>
      <w:r>
        <w:rPr>
          <w:rFonts w:eastAsia="Times New Roman"/>
          <w:szCs w:val="24"/>
        </w:rPr>
        <w:t>84</w:t>
      </w:r>
      <w:r>
        <w:t>).</w:t>
      </w:r>
      <w:proofErr w:type="gramEnd"/>
      <w:r>
        <w:t xml:space="preserve"> </w:t>
      </w:r>
      <w:r>
        <w:rPr>
          <w:rFonts w:eastAsia="Times New Roman"/>
          <w:szCs w:val="24"/>
        </w:rPr>
        <w:t>New York, NY</w:t>
      </w:r>
      <w:r>
        <w:t xml:space="preserve">: </w:t>
      </w:r>
      <w:r>
        <w:rPr>
          <w:rFonts w:eastAsia="Times New Roman"/>
          <w:szCs w:val="24"/>
        </w:rPr>
        <w:t>Cambridge University Press</w:t>
      </w:r>
      <w:r>
        <w:t>.</w:t>
      </w:r>
    </w:p>
    <w:sectPr w:rsidR="001C141B" w:rsidRPr="001A3C78" w:rsidSect="00FF461A">
      <w:footerReference w:type="default" r:id="rId30"/>
      <w:footerReference w:type="first" r:id="rId3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6C005" w14:textId="77777777" w:rsidR="00C7666B" w:rsidRDefault="00C7666B" w:rsidP="001A3C78">
      <w:r>
        <w:separator/>
      </w:r>
    </w:p>
  </w:endnote>
  <w:endnote w:type="continuationSeparator" w:id="0">
    <w:p w14:paraId="6D9C3E0C" w14:textId="77777777" w:rsidR="00C7666B" w:rsidRDefault="00C7666B" w:rsidP="001A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swiss"/>
    <w:notTrueType/>
    <w:pitch w:val="variable"/>
    <w:sig w:usb0="A00002AF" w:usb1="5000204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dvOT17a2fb79.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E8B3" w14:textId="25CE32D2" w:rsidR="00C137D5" w:rsidRPr="00906F6F" w:rsidRDefault="00C137D5" w:rsidP="00B9086B">
    <w:pPr>
      <w:pStyle w:val="Footer"/>
    </w:pPr>
    <w:r>
      <w:rPr>
        <w:rStyle w:val="PageNumber"/>
      </w:rPr>
      <w:fldChar w:fldCharType="begin"/>
    </w:r>
    <w:r>
      <w:rPr>
        <w:rStyle w:val="PageNumber"/>
      </w:rPr>
      <w:instrText xml:space="preserve"> PAGE </w:instrText>
    </w:r>
    <w:r>
      <w:rPr>
        <w:rStyle w:val="PageNumber"/>
      </w:rPr>
      <w:fldChar w:fldCharType="separate"/>
    </w:r>
    <w:r w:rsidR="00AE097C">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55CC" w14:textId="71288504" w:rsidR="00C137D5" w:rsidRDefault="00C137D5" w:rsidP="00B9086B">
    <w:pPr>
      <w:pStyle w:val="Footer"/>
    </w:pPr>
    <w:r>
      <w:rPr>
        <w:rStyle w:val="PageNumber"/>
      </w:rPr>
      <w:fldChar w:fldCharType="begin"/>
    </w:r>
    <w:r>
      <w:rPr>
        <w:rStyle w:val="PageNumber"/>
      </w:rPr>
      <w:instrText xml:space="preserve"> PAGE </w:instrText>
    </w:r>
    <w:r>
      <w:rPr>
        <w:rStyle w:val="PageNumber"/>
      </w:rPr>
      <w:fldChar w:fldCharType="separate"/>
    </w:r>
    <w:r w:rsidR="00AE097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B6C2C" w14:textId="77777777" w:rsidR="00C7666B" w:rsidRDefault="00C7666B" w:rsidP="001A3C78">
      <w:r>
        <w:separator/>
      </w:r>
    </w:p>
  </w:footnote>
  <w:footnote w:type="continuationSeparator" w:id="0">
    <w:p w14:paraId="541DC4AB" w14:textId="77777777" w:rsidR="00C7666B" w:rsidRDefault="00C7666B" w:rsidP="001A3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7E2E8A"/>
    <w:lvl w:ilvl="0">
      <w:start w:val="1"/>
      <w:numFmt w:val="decimal"/>
      <w:pStyle w:val="ListNumber"/>
      <w:lvlText w:val="%1."/>
      <w:lvlJc w:val="left"/>
      <w:pPr>
        <w:tabs>
          <w:tab w:val="num" w:pos="360"/>
        </w:tabs>
        <w:ind w:left="360" w:hanging="360"/>
      </w:pPr>
    </w:lvl>
  </w:abstractNum>
  <w:abstractNum w:abstractNumId="1">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C1185"/>
    <w:multiLevelType w:val="multilevel"/>
    <w:tmpl w:val="19CCFCD4"/>
    <w:styleLink w:val="OMBBlue"/>
    <w:lvl w:ilvl="0">
      <w:start w:val="1"/>
      <w:numFmt w:val="upperLetter"/>
      <w:lvlText w:val="%1."/>
      <w:lvlJc w:val="left"/>
      <w:pPr>
        <w:ind w:left="360" w:hanging="360"/>
      </w:pPr>
      <w:rPr>
        <w:rFonts w:hint="default"/>
        <w:color w:val="44546A" w:themeColor="text2"/>
      </w:rPr>
    </w:lvl>
    <w:lvl w:ilvl="1">
      <w:start w:val="1"/>
      <w:numFmt w:val="decimal"/>
      <w:lvlText w:val="%1.%2."/>
      <w:lvlJc w:val="left"/>
      <w:pPr>
        <w:ind w:left="720" w:hanging="720"/>
      </w:pPr>
      <w:rPr>
        <w:rFonts w:hint="default"/>
        <w:color w:val="5B9BD5"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EB20A9"/>
    <w:multiLevelType w:val="hybridMultilevel"/>
    <w:tmpl w:val="984C20CA"/>
    <w:lvl w:ilvl="0" w:tplc="68EEF30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C777B02"/>
    <w:multiLevelType w:val="hybridMultilevel"/>
    <w:tmpl w:val="9C5E2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244E93"/>
    <w:multiLevelType w:val="hybridMultilevel"/>
    <w:tmpl w:val="41A6F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EDD28C6"/>
    <w:multiLevelType w:val="hybridMultilevel"/>
    <w:tmpl w:val="6A0CA47E"/>
    <w:lvl w:ilvl="0" w:tplc="ED7E7BBC">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3"/>
  </w:num>
  <w:num w:numId="5">
    <w:abstractNumId w:val="1"/>
  </w:num>
  <w:num w:numId="6">
    <w:abstractNumId w:val="10"/>
  </w:num>
  <w:num w:numId="7">
    <w:abstractNumId w:val="11"/>
  </w:num>
  <w:num w:numId="8">
    <w:abstractNumId w:val="5"/>
  </w:num>
  <w:num w:numId="9">
    <w:abstractNumId w:val="0"/>
  </w:num>
  <w:num w:numId="10">
    <w:abstractNumId w:val="7"/>
  </w:num>
  <w:num w:numId="11">
    <w:abstractNumId w:val="4"/>
  </w:num>
  <w:num w:numId="12">
    <w:abstractNumId w:val="2"/>
  </w:num>
  <w:num w:numId="13">
    <w:abstractNumId w:val="14"/>
  </w:num>
  <w:num w:numId="14">
    <w:abstractNumId w:val="7"/>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E0"/>
    <w:rsid w:val="00004D32"/>
    <w:rsid w:val="000061CB"/>
    <w:rsid w:val="00011866"/>
    <w:rsid w:val="000162F4"/>
    <w:rsid w:val="00047BEB"/>
    <w:rsid w:val="00076011"/>
    <w:rsid w:val="000763AE"/>
    <w:rsid w:val="000869F2"/>
    <w:rsid w:val="00093030"/>
    <w:rsid w:val="000D2F08"/>
    <w:rsid w:val="000D56D4"/>
    <w:rsid w:val="000E3E16"/>
    <w:rsid w:val="000F1445"/>
    <w:rsid w:val="001021C3"/>
    <w:rsid w:val="00112028"/>
    <w:rsid w:val="00113548"/>
    <w:rsid w:val="00127D48"/>
    <w:rsid w:val="001378EF"/>
    <w:rsid w:val="00154014"/>
    <w:rsid w:val="00177C5B"/>
    <w:rsid w:val="00177EB6"/>
    <w:rsid w:val="001A3C78"/>
    <w:rsid w:val="001C026A"/>
    <w:rsid w:val="001C141B"/>
    <w:rsid w:val="001C571D"/>
    <w:rsid w:val="001C5C06"/>
    <w:rsid w:val="001E5933"/>
    <w:rsid w:val="00212C84"/>
    <w:rsid w:val="002175FB"/>
    <w:rsid w:val="00240910"/>
    <w:rsid w:val="00270DA1"/>
    <w:rsid w:val="00271028"/>
    <w:rsid w:val="00285157"/>
    <w:rsid w:val="00285796"/>
    <w:rsid w:val="002A3851"/>
    <w:rsid w:val="002B0925"/>
    <w:rsid w:val="002E2E9F"/>
    <w:rsid w:val="0030171D"/>
    <w:rsid w:val="003110F0"/>
    <w:rsid w:val="0031170E"/>
    <w:rsid w:val="003156F7"/>
    <w:rsid w:val="00320D1C"/>
    <w:rsid w:val="003356FD"/>
    <w:rsid w:val="00340F1C"/>
    <w:rsid w:val="00346E11"/>
    <w:rsid w:val="00350C6D"/>
    <w:rsid w:val="00353D7D"/>
    <w:rsid w:val="00367263"/>
    <w:rsid w:val="00375131"/>
    <w:rsid w:val="003762AF"/>
    <w:rsid w:val="00376BDD"/>
    <w:rsid w:val="00387BDC"/>
    <w:rsid w:val="00391B7A"/>
    <w:rsid w:val="0039311A"/>
    <w:rsid w:val="003A1C29"/>
    <w:rsid w:val="003D0B0A"/>
    <w:rsid w:val="003E4590"/>
    <w:rsid w:val="004014A9"/>
    <w:rsid w:val="00424D5D"/>
    <w:rsid w:val="00490BF2"/>
    <w:rsid w:val="004B2008"/>
    <w:rsid w:val="004B5095"/>
    <w:rsid w:val="004B77C1"/>
    <w:rsid w:val="004D2A2C"/>
    <w:rsid w:val="00505271"/>
    <w:rsid w:val="00511A45"/>
    <w:rsid w:val="00534B72"/>
    <w:rsid w:val="00545A68"/>
    <w:rsid w:val="005524E4"/>
    <w:rsid w:val="0056688C"/>
    <w:rsid w:val="005677D3"/>
    <w:rsid w:val="00573100"/>
    <w:rsid w:val="00585E5C"/>
    <w:rsid w:val="00594FC3"/>
    <w:rsid w:val="005A3126"/>
    <w:rsid w:val="005C2D1A"/>
    <w:rsid w:val="005C48F9"/>
    <w:rsid w:val="005F3279"/>
    <w:rsid w:val="006038E8"/>
    <w:rsid w:val="00624BE4"/>
    <w:rsid w:val="00645585"/>
    <w:rsid w:val="00646B42"/>
    <w:rsid w:val="00655B3F"/>
    <w:rsid w:val="00656B70"/>
    <w:rsid w:val="00660900"/>
    <w:rsid w:val="00661C74"/>
    <w:rsid w:val="0066782D"/>
    <w:rsid w:val="0068556B"/>
    <w:rsid w:val="0069595E"/>
    <w:rsid w:val="006C03C4"/>
    <w:rsid w:val="006C082A"/>
    <w:rsid w:val="006C1E58"/>
    <w:rsid w:val="006C3398"/>
    <w:rsid w:val="006D10C6"/>
    <w:rsid w:val="006E0214"/>
    <w:rsid w:val="006E2C6E"/>
    <w:rsid w:val="006E3236"/>
    <w:rsid w:val="006F4352"/>
    <w:rsid w:val="007069BA"/>
    <w:rsid w:val="00736595"/>
    <w:rsid w:val="007500C4"/>
    <w:rsid w:val="00781CD5"/>
    <w:rsid w:val="007854BC"/>
    <w:rsid w:val="00796823"/>
    <w:rsid w:val="007A652B"/>
    <w:rsid w:val="007A7EFA"/>
    <w:rsid w:val="00814727"/>
    <w:rsid w:val="00830BFA"/>
    <w:rsid w:val="008502C0"/>
    <w:rsid w:val="008561AC"/>
    <w:rsid w:val="0086338B"/>
    <w:rsid w:val="00866493"/>
    <w:rsid w:val="0087329B"/>
    <w:rsid w:val="00873C55"/>
    <w:rsid w:val="0087689D"/>
    <w:rsid w:val="008A7B08"/>
    <w:rsid w:val="008B0DEF"/>
    <w:rsid w:val="008B778D"/>
    <w:rsid w:val="008C7198"/>
    <w:rsid w:val="008D14FA"/>
    <w:rsid w:val="008D4BDE"/>
    <w:rsid w:val="008E1E27"/>
    <w:rsid w:val="008E2C7D"/>
    <w:rsid w:val="008E3264"/>
    <w:rsid w:val="008E40A4"/>
    <w:rsid w:val="00915449"/>
    <w:rsid w:val="009305A0"/>
    <w:rsid w:val="00933E6D"/>
    <w:rsid w:val="0094123B"/>
    <w:rsid w:val="009657EC"/>
    <w:rsid w:val="00973E73"/>
    <w:rsid w:val="0098369A"/>
    <w:rsid w:val="009840A2"/>
    <w:rsid w:val="009A0E20"/>
    <w:rsid w:val="009A1700"/>
    <w:rsid w:val="009A7B86"/>
    <w:rsid w:val="009C7345"/>
    <w:rsid w:val="009C75D0"/>
    <w:rsid w:val="009E18C8"/>
    <w:rsid w:val="009F34F4"/>
    <w:rsid w:val="00A01A3B"/>
    <w:rsid w:val="00A04337"/>
    <w:rsid w:val="00A1050A"/>
    <w:rsid w:val="00A1112E"/>
    <w:rsid w:val="00A14766"/>
    <w:rsid w:val="00A20C10"/>
    <w:rsid w:val="00A26719"/>
    <w:rsid w:val="00A47726"/>
    <w:rsid w:val="00A53793"/>
    <w:rsid w:val="00A73FB8"/>
    <w:rsid w:val="00AC685F"/>
    <w:rsid w:val="00AD4F8C"/>
    <w:rsid w:val="00AD60BB"/>
    <w:rsid w:val="00AE097C"/>
    <w:rsid w:val="00AE384C"/>
    <w:rsid w:val="00AF6F3E"/>
    <w:rsid w:val="00B14471"/>
    <w:rsid w:val="00B22EB9"/>
    <w:rsid w:val="00B40746"/>
    <w:rsid w:val="00B42E6B"/>
    <w:rsid w:val="00B615A6"/>
    <w:rsid w:val="00B67463"/>
    <w:rsid w:val="00B800A0"/>
    <w:rsid w:val="00B8316C"/>
    <w:rsid w:val="00B852C1"/>
    <w:rsid w:val="00B873BE"/>
    <w:rsid w:val="00B876B3"/>
    <w:rsid w:val="00B9086B"/>
    <w:rsid w:val="00BA382C"/>
    <w:rsid w:val="00BA5C96"/>
    <w:rsid w:val="00BB4E0A"/>
    <w:rsid w:val="00BB5BE0"/>
    <w:rsid w:val="00BD6217"/>
    <w:rsid w:val="00BE3282"/>
    <w:rsid w:val="00BE6171"/>
    <w:rsid w:val="00C07AB8"/>
    <w:rsid w:val="00C137D5"/>
    <w:rsid w:val="00C1710B"/>
    <w:rsid w:val="00C31A38"/>
    <w:rsid w:val="00C35C55"/>
    <w:rsid w:val="00C4372D"/>
    <w:rsid w:val="00C45EEE"/>
    <w:rsid w:val="00C547F3"/>
    <w:rsid w:val="00C64075"/>
    <w:rsid w:val="00C654F1"/>
    <w:rsid w:val="00C73C7D"/>
    <w:rsid w:val="00C73EB1"/>
    <w:rsid w:val="00C7666B"/>
    <w:rsid w:val="00C76B82"/>
    <w:rsid w:val="00C824B2"/>
    <w:rsid w:val="00C83554"/>
    <w:rsid w:val="00C84341"/>
    <w:rsid w:val="00C91643"/>
    <w:rsid w:val="00C970C8"/>
    <w:rsid w:val="00CA33B6"/>
    <w:rsid w:val="00CB62FF"/>
    <w:rsid w:val="00CC3615"/>
    <w:rsid w:val="00CC44ED"/>
    <w:rsid w:val="00CC6416"/>
    <w:rsid w:val="00CC71C3"/>
    <w:rsid w:val="00CD6B09"/>
    <w:rsid w:val="00CE3AF2"/>
    <w:rsid w:val="00CE3C14"/>
    <w:rsid w:val="00CE7347"/>
    <w:rsid w:val="00D011E0"/>
    <w:rsid w:val="00D04EEB"/>
    <w:rsid w:val="00D07540"/>
    <w:rsid w:val="00D11F18"/>
    <w:rsid w:val="00D1679D"/>
    <w:rsid w:val="00D31CB3"/>
    <w:rsid w:val="00D41CC1"/>
    <w:rsid w:val="00D426AC"/>
    <w:rsid w:val="00D438C4"/>
    <w:rsid w:val="00D64AD6"/>
    <w:rsid w:val="00D72DCB"/>
    <w:rsid w:val="00D77145"/>
    <w:rsid w:val="00D82A79"/>
    <w:rsid w:val="00D84EA6"/>
    <w:rsid w:val="00DA4220"/>
    <w:rsid w:val="00DA554E"/>
    <w:rsid w:val="00DB112B"/>
    <w:rsid w:val="00DB314A"/>
    <w:rsid w:val="00DC0122"/>
    <w:rsid w:val="00DC2D5B"/>
    <w:rsid w:val="00DC5897"/>
    <w:rsid w:val="00DC5FFF"/>
    <w:rsid w:val="00DF5194"/>
    <w:rsid w:val="00DF607E"/>
    <w:rsid w:val="00DF77BF"/>
    <w:rsid w:val="00E14162"/>
    <w:rsid w:val="00E41127"/>
    <w:rsid w:val="00E42198"/>
    <w:rsid w:val="00E44BF4"/>
    <w:rsid w:val="00E46DB3"/>
    <w:rsid w:val="00E77965"/>
    <w:rsid w:val="00E874EE"/>
    <w:rsid w:val="00E9461F"/>
    <w:rsid w:val="00EC43C0"/>
    <w:rsid w:val="00ED215D"/>
    <w:rsid w:val="00ED47F8"/>
    <w:rsid w:val="00EE6879"/>
    <w:rsid w:val="00EF3BB3"/>
    <w:rsid w:val="00F114EC"/>
    <w:rsid w:val="00F14586"/>
    <w:rsid w:val="00F26D74"/>
    <w:rsid w:val="00F45AE6"/>
    <w:rsid w:val="00F5603A"/>
    <w:rsid w:val="00F71628"/>
    <w:rsid w:val="00F717B9"/>
    <w:rsid w:val="00F97544"/>
    <w:rsid w:val="00FA19C1"/>
    <w:rsid w:val="00FA6A31"/>
    <w:rsid w:val="00FB31D9"/>
    <w:rsid w:val="00FD285E"/>
    <w:rsid w:val="00FD69C9"/>
    <w:rsid w:val="00FF4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A68"/>
    <w:rPr>
      <w:rFonts w:ascii="Times New Roman" w:hAnsi="Times New Roman"/>
      <w:sz w:val="24"/>
      <w:szCs w:val="22"/>
      <w:lang w:eastAsia="zh-CN"/>
    </w:rPr>
  </w:style>
  <w:style w:type="paragraph" w:styleId="Heading1">
    <w:name w:val="heading 1"/>
    <w:basedOn w:val="Baseheading"/>
    <w:next w:val="Normal"/>
    <w:link w:val="Heading1Char"/>
    <w:uiPriority w:val="9"/>
    <w:qFormat/>
    <w:rsid w:val="00376BDD"/>
    <w:pPr>
      <w:keepLines/>
      <w:spacing w:before="120" w:after="120"/>
      <w:ind w:left="720" w:hanging="720"/>
    </w:pPr>
    <w:rPr>
      <w:rFonts w:asciiTheme="minorHAnsi" w:hAnsiTheme="minorHAnsi"/>
      <w:bCs/>
      <w:caps/>
      <w:sz w:val="28"/>
      <w:szCs w:val="28"/>
    </w:rPr>
  </w:style>
  <w:style w:type="paragraph" w:styleId="Heading2">
    <w:name w:val="heading 2"/>
    <w:basedOn w:val="Baseheading"/>
    <w:next w:val="Normal"/>
    <w:link w:val="Heading2Char"/>
    <w:uiPriority w:val="9"/>
    <w:unhideWhenUsed/>
    <w:qFormat/>
    <w:rsid w:val="00376BDD"/>
    <w:pPr>
      <w:keepLines/>
      <w:ind w:left="720" w:hanging="720"/>
      <w:outlineLvl w:val="1"/>
    </w:pPr>
    <w:rPr>
      <w:rFonts w:asciiTheme="minorHAnsi" w:eastAsia="MS Mincho" w:hAnsiTheme="minorHAnsi"/>
      <w:sz w:val="28"/>
      <w:szCs w:val="24"/>
      <w:lang w:eastAsia="en-US"/>
    </w:rPr>
  </w:style>
  <w:style w:type="paragraph" w:styleId="Heading3">
    <w:name w:val="heading 3"/>
    <w:basedOn w:val="Baseheading"/>
    <w:next w:val="Normal"/>
    <w:link w:val="Heading3Char"/>
    <w:uiPriority w:val="9"/>
    <w:unhideWhenUsed/>
    <w:qFormat/>
    <w:rsid w:val="00376BDD"/>
    <w:pPr>
      <w:keepLines/>
      <w:ind w:left="720" w:hanging="720"/>
      <w:outlineLvl w:val="2"/>
    </w:pPr>
    <w:rPr>
      <w:rFonts w:eastAsia="MS Mincho"/>
      <w:b w:val="0"/>
      <w:sz w:val="22"/>
      <w:szCs w:val="20"/>
      <w:u w:val="single"/>
      <w:lang w:eastAsia="en-US"/>
    </w:rPr>
  </w:style>
  <w:style w:type="paragraph" w:styleId="Heading4">
    <w:name w:val="heading 4"/>
    <w:basedOn w:val="Baseheading"/>
    <w:next w:val="Normal"/>
    <w:link w:val="Heading4Char"/>
    <w:uiPriority w:val="9"/>
    <w:unhideWhenUsed/>
    <w:qFormat/>
    <w:rsid w:val="00D84EA6"/>
    <w:pPr>
      <w:keepLines/>
      <w:ind w:left="720" w:hanging="720"/>
      <w:outlineLvl w:val="3"/>
    </w:pPr>
    <w:rPr>
      <w:b w:val="0"/>
      <w:bCs/>
      <w:i/>
      <w:iCs/>
    </w:rPr>
  </w:style>
  <w:style w:type="paragraph" w:styleId="Heading5">
    <w:name w:val="heading 5"/>
    <w:basedOn w:val="Baseheading"/>
    <w:next w:val="Normal"/>
    <w:link w:val="Heading5Char"/>
    <w:uiPriority w:val="9"/>
    <w:qFormat/>
    <w:rsid w:val="00F14586"/>
    <w:pPr>
      <w:keepLines/>
      <w:spacing w:after="60"/>
      <w:outlineLvl w:val="4"/>
    </w:pPr>
    <w:rPr>
      <w:i/>
      <w:sz w:val="20"/>
    </w:rPr>
  </w:style>
  <w:style w:type="paragraph" w:styleId="Heading6">
    <w:name w:val="heading 6"/>
    <w:basedOn w:val="Baseheading"/>
    <w:next w:val="BodyText"/>
    <w:link w:val="Heading6Char"/>
    <w:uiPriority w:val="9"/>
    <w:semiHidden/>
    <w:qFormat/>
    <w:rsid w:val="00F14586"/>
    <w:pPr>
      <w:spacing w:after="60"/>
      <w:outlineLvl w:val="5"/>
    </w:pPr>
    <w:rPr>
      <w:bCs/>
      <w:sz w:val="20"/>
    </w:rPr>
  </w:style>
  <w:style w:type="paragraph" w:styleId="Heading7">
    <w:name w:val="heading 7"/>
    <w:basedOn w:val="Baseheading"/>
    <w:next w:val="Normal"/>
    <w:link w:val="Heading7Char"/>
    <w:uiPriority w:val="9"/>
    <w:semiHidden/>
    <w:qFormat/>
    <w:rsid w:val="00F14586"/>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0F1445"/>
    <w:pPr>
      <w:keepNext/>
      <w:spacing w:before="240" w:after="240"/>
      <w:outlineLvl w:val="0"/>
    </w:pPr>
    <w:rPr>
      <w:rFonts w:ascii="Times New Roman" w:hAnsi="Times New Roman"/>
      <w:b/>
      <w:kern w:val="28"/>
      <w:sz w:val="24"/>
      <w:szCs w:val="22"/>
      <w:lang w:eastAsia="zh-CN"/>
    </w:rPr>
  </w:style>
  <w:style w:type="paragraph" w:customStyle="1" w:styleId="app-heading1">
    <w:name w:val="app-heading_1"/>
    <w:basedOn w:val="Baseheading"/>
    <w:rsid w:val="00DC5897"/>
    <w:pPr>
      <w:spacing w:before="120" w:after="120"/>
    </w:pPr>
    <w:rPr>
      <w:rFonts w:ascii="Times New Roman Bold" w:hAnsi="Times New Roman Bold"/>
      <w:caps/>
    </w:rPr>
  </w:style>
  <w:style w:type="paragraph" w:customStyle="1" w:styleId="app-heading2">
    <w:name w:val="app-heading_2"/>
    <w:basedOn w:val="Baseheading"/>
    <w:rsid w:val="00DC5897"/>
    <w:pPr>
      <w:ind w:left="720" w:hanging="720"/>
      <w:outlineLvl w:val="1"/>
    </w:pPr>
  </w:style>
  <w:style w:type="paragraph" w:customStyle="1" w:styleId="app-heading3">
    <w:name w:val="app-heading_3"/>
    <w:basedOn w:val="Baseheading"/>
    <w:rsid w:val="00DC5897"/>
    <w:pPr>
      <w:ind w:left="720" w:hanging="720"/>
      <w:outlineLvl w:val="2"/>
    </w:pPr>
    <w:rPr>
      <w:i/>
    </w:rPr>
  </w:style>
  <w:style w:type="paragraph" w:customStyle="1" w:styleId="Basetext">
    <w:name w:val="Base_text"/>
    <w:rsid w:val="004D2A2C"/>
    <w:rPr>
      <w:rFonts w:ascii="Times New Roman" w:hAnsi="Times New Roman"/>
      <w:sz w:val="24"/>
      <w:szCs w:val="22"/>
      <w:lang w:eastAsia="zh-CN"/>
    </w:rPr>
  </w:style>
  <w:style w:type="paragraph" w:customStyle="1" w:styleId="table-continued">
    <w:name w:val="table-continued"/>
    <w:basedOn w:val="Basetext"/>
    <w:rsid w:val="006D10C6"/>
    <w:pPr>
      <w:spacing w:before="40"/>
      <w:ind w:right="-86"/>
      <w:jc w:val="right"/>
    </w:pPr>
    <w:rPr>
      <w:sz w:val="20"/>
    </w:rPr>
  </w:style>
  <w:style w:type="numbering" w:customStyle="1" w:styleId="Format2Number">
    <w:name w:val="Format2_Number"/>
    <w:uiPriority w:val="99"/>
    <w:rsid w:val="009A1700"/>
    <w:pPr>
      <w:numPr>
        <w:numId w:val="5"/>
      </w:numPr>
    </w:pPr>
  </w:style>
  <w:style w:type="paragraph" w:styleId="BodyText">
    <w:name w:val="Body Text"/>
    <w:basedOn w:val="Basetext"/>
    <w:link w:val="BodyTextChar"/>
    <w:uiPriority w:val="99"/>
    <w:rsid w:val="00E44BF4"/>
    <w:pPr>
      <w:spacing w:after="240"/>
    </w:pPr>
    <w:rPr>
      <w:sz w:val="22"/>
    </w:rPr>
  </w:style>
  <w:style w:type="character" w:customStyle="1" w:styleId="BodyTextChar">
    <w:name w:val="Body Text Char"/>
    <w:link w:val="BodyText"/>
    <w:uiPriority w:val="99"/>
    <w:rsid w:val="00E44BF4"/>
    <w:rPr>
      <w:rFonts w:ascii="Times New Roman" w:hAnsi="Times New Roman"/>
      <w:sz w:val="22"/>
      <w:szCs w:val="22"/>
      <w:lang w:eastAsia="zh-CN"/>
    </w:rPr>
  </w:style>
  <w:style w:type="paragraph" w:customStyle="1" w:styleId="bullets">
    <w:name w:val="bullets"/>
    <w:basedOn w:val="Basetext"/>
    <w:rsid w:val="006E2C6E"/>
    <w:pPr>
      <w:numPr>
        <w:numId w:val="4"/>
      </w:numPr>
      <w:spacing w:after="120"/>
      <w:ind w:left="1080"/>
    </w:pPr>
  </w:style>
  <w:style w:type="paragraph" w:customStyle="1" w:styleId="bullets2nd-level">
    <w:name w:val="bullets_2nd-level"/>
    <w:basedOn w:val="Basetext"/>
    <w:rsid w:val="009C7345"/>
    <w:pPr>
      <w:numPr>
        <w:numId w:val="1"/>
      </w:numPr>
      <w:spacing w:after="120"/>
      <w:ind w:left="1440"/>
      <w:contextualSpacing/>
    </w:pPr>
  </w:style>
  <w:style w:type="paragraph" w:customStyle="1" w:styleId="bullets3rd-level">
    <w:name w:val="bullets_3rd-level"/>
    <w:basedOn w:val="Basetext"/>
    <w:rsid w:val="006E2C6E"/>
    <w:pPr>
      <w:numPr>
        <w:numId w:val="2"/>
      </w:numPr>
      <w:spacing w:after="120"/>
      <w:ind w:left="1800"/>
    </w:pPr>
  </w:style>
  <w:style w:type="paragraph" w:customStyle="1" w:styleId="figure-inline">
    <w:name w:val="figure-inline"/>
    <w:basedOn w:val="Basetext"/>
    <w:rsid w:val="003110F0"/>
    <w:pPr>
      <w:keepNext/>
      <w:spacing w:before="240"/>
      <w:jc w:val="center"/>
    </w:pPr>
  </w:style>
  <w:style w:type="paragraph" w:customStyle="1" w:styleId="cover-author">
    <w:name w:val="cover-author"/>
    <w:basedOn w:val="Basetext"/>
    <w:rsid w:val="004D2A2C"/>
    <w:pPr>
      <w:contextualSpacing/>
      <w:jc w:val="right"/>
    </w:pPr>
    <w:rPr>
      <w:rFonts w:ascii="Arial Black" w:hAnsi="Arial Black"/>
    </w:rPr>
  </w:style>
  <w:style w:type="paragraph" w:customStyle="1" w:styleId="cover-text">
    <w:name w:val="cover-text"/>
    <w:basedOn w:val="Basetext"/>
    <w:link w:val="cover-textChar"/>
    <w:rsid w:val="004D2A2C"/>
    <w:pPr>
      <w:spacing w:before="600" w:after="240"/>
      <w:contextualSpacing/>
      <w:jc w:val="right"/>
    </w:pPr>
    <w:rPr>
      <w:rFonts w:ascii="Arial" w:hAnsi="Arial"/>
    </w:rPr>
  </w:style>
  <w:style w:type="paragraph" w:customStyle="1" w:styleId="cover-title">
    <w:name w:val="cover-title"/>
    <w:basedOn w:val="Baseheading"/>
    <w:rsid w:val="00424D5D"/>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424D5D"/>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B9086B"/>
    <w:pPr>
      <w:spacing w:after="120" w:line="360" w:lineRule="auto"/>
    </w:pPr>
  </w:style>
  <w:style w:type="paragraph" w:customStyle="1" w:styleId="figure-notealt-1">
    <w:name w:val="figure-note_alt-1"/>
    <w:basedOn w:val="Basetext"/>
    <w:rsid w:val="00FA19C1"/>
    <w:pPr>
      <w:keepLines/>
      <w:spacing w:before="60"/>
      <w:ind w:left="187" w:hanging="187"/>
    </w:pPr>
    <w:rPr>
      <w:sz w:val="20"/>
    </w:rPr>
  </w:style>
  <w:style w:type="paragraph" w:customStyle="1" w:styleId="disclaimer-text">
    <w:name w:val="disclaimer-text"/>
    <w:basedOn w:val="Basetext"/>
    <w:rsid w:val="004D2A2C"/>
    <w:pPr>
      <w:spacing w:line="240" w:lineRule="exact"/>
      <w:jc w:val="right"/>
    </w:pPr>
    <w:rPr>
      <w:rFonts w:ascii="Arial" w:hAnsi="Arial"/>
      <w:sz w:val="16"/>
    </w:rPr>
  </w:style>
  <w:style w:type="character" w:styleId="EndnoteReference">
    <w:name w:val="endnote reference"/>
    <w:uiPriority w:val="99"/>
    <w:unhideWhenUsed/>
    <w:rsid w:val="009F34F4"/>
    <w:rPr>
      <w:vertAlign w:val="superscript"/>
    </w:rPr>
  </w:style>
  <w:style w:type="paragraph" w:styleId="EndnoteText">
    <w:name w:val="endnote text"/>
    <w:basedOn w:val="Basetext"/>
    <w:link w:val="EndnoteTextChar"/>
    <w:uiPriority w:val="99"/>
    <w:unhideWhenUsed/>
    <w:rsid w:val="00340F1C"/>
    <w:pPr>
      <w:keepLines/>
      <w:spacing w:after="240"/>
      <w:ind w:left="720" w:hanging="720"/>
    </w:pPr>
    <w:rPr>
      <w:szCs w:val="20"/>
    </w:rPr>
  </w:style>
  <w:style w:type="character" w:customStyle="1" w:styleId="EndnoteTextChar">
    <w:name w:val="Endnote Text Char"/>
    <w:link w:val="EndnoteText"/>
    <w:uiPriority w:val="99"/>
    <w:rsid w:val="00340F1C"/>
    <w:rPr>
      <w:rFonts w:ascii="Times New Roman" w:hAnsi="Times New Roman"/>
      <w:sz w:val="24"/>
      <w:lang w:eastAsia="zh-CN"/>
    </w:rPr>
  </w:style>
  <w:style w:type="paragraph" w:customStyle="1" w:styleId="equation">
    <w:name w:val="equation"/>
    <w:basedOn w:val="Basetext"/>
    <w:rsid w:val="00340F1C"/>
    <w:pPr>
      <w:tabs>
        <w:tab w:val="center" w:pos="4680"/>
        <w:tab w:val="right" w:pos="9360"/>
      </w:tabs>
      <w:spacing w:after="240" w:line="480" w:lineRule="atLeast"/>
    </w:pPr>
  </w:style>
  <w:style w:type="paragraph" w:customStyle="1" w:styleId="es-heading1">
    <w:name w:val="es-heading_1"/>
    <w:basedOn w:val="Baseheading"/>
    <w:rsid w:val="00DC5897"/>
    <w:pPr>
      <w:spacing w:before="120" w:after="120"/>
      <w:ind w:left="720" w:hanging="720"/>
    </w:pPr>
    <w:rPr>
      <w:rFonts w:ascii="Times New Roman Bold" w:hAnsi="Times New Roman Bold"/>
      <w:caps/>
    </w:rPr>
  </w:style>
  <w:style w:type="paragraph" w:customStyle="1" w:styleId="es-heading2">
    <w:name w:val="es-heading_2"/>
    <w:basedOn w:val="Baseheading"/>
    <w:rsid w:val="00DC5897"/>
    <w:pPr>
      <w:ind w:left="720" w:hanging="720"/>
      <w:outlineLvl w:val="1"/>
    </w:pPr>
  </w:style>
  <w:style w:type="paragraph" w:customStyle="1" w:styleId="es-heading3">
    <w:name w:val="es-heading_3"/>
    <w:basedOn w:val="Baseheading"/>
    <w:rsid w:val="00DC5897"/>
    <w:pPr>
      <w:ind w:left="720" w:hanging="720"/>
      <w:outlineLvl w:val="2"/>
    </w:pPr>
    <w:rPr>
      <w:i/>
    </w:rPr>
  </w:style>
  <w:style w:type="paragraph" w:customStyle="1" w:styleId="es-heading4">
    <w:name w:val="es-heading_4"/>
    <w:basedOn w:val="Baseheading"/>
    <w:rsid w:val="00DC5897"/>
    <w:pPr>
      <w:ind w:left="720" w:hanging="720"/>
      <w:outlineLvl w:val="3"/>
    </w:pPr>
    <w:rPr>
      <w:b w:val="0"/>
      <w:i/>
    </w:rPr>
  </w:style>
  <w:style w:type="paragraph" w:customStyle="1" w:styleId="figure-inlinew-box">
    <w:name w:val="figure-inline_w-box"/>
    <w:basedOn w:val="Basetext"/>
    <w:rsid w:val="00A47726"/>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8A7B08"/>
    <w:pPr>
      <w:numPr>
        <w:numId w:val="6"/>
      </w:numPr>
      <w:spacing w:before="60" w:after="60"/>
      <w:ind w:left="245" w:hanging="245"/>
    </w:pPr>
    <w:rPr>
      <w:sz w:val="20"/>
      <w:szCs w:val="24"/>
    </w:rPr>
  </w:style>
  <w:style w:type="paragraph" w:customStyle="1" w:styleId="figure-title">
    <w:name w:val="figure-title"/>
    <w:basedOn w:val="Basetext"/>
    <w:rsid w:val="006C03C4"/>
    <w:pPr>
      <w:keepNext/>
      <w:keepLines/>
      <w:tabs>
        <w:tab w:val="left" w:pos="1260"/>
      </w:tabs>
      <w:spacing w:before="240"/>
    </w:pPr>
    <w:rPr>
      <w:b/>
    </w:rPr>
  </w:style>
  <w:style w:type="paragraph" w:styleId="Footer">
    <w:name w:val="footer"/>
    <w:basedOn w:val="Basetext"/>
    <w:link w:val="FooterChar"/>
    <w:uiPriority w:val="99"/>
    <w:unhideWhenUsed/>
    <w:rsid w:val="000F1445"/>
    <w:pPr>
      <w:tabs>
        <w:tab w:val="center" w:pos="4680"/>
        <w:tab w:val="right" w:pos="9360"/>
      </w:tabs>
      <w:jc w:val="center"/>
    </w:pPr>
  </w:style>
  <w:style w:type="character" w:customStyle="1" w:styleId="FooterChar">
    <w:name w:val="Footer Char"/>
    <w:link w:val="Footer"/>
    <w:uiPriority w:val="99"/>
    <w:rsid w:val="000F1445"/>
    <w:rPr>
      <w:rFonts w:ascii="Times New Roman" w:hAnsi="Times New Roman"/>
      <w:sz w:val="24"/>
      <w:szCs w:val="22"/>
      <w:lang w:eastAsia="zh-CN"/>
    </w:rPr>
  </w:style>
  <w:style w:type="character" w:styleId="FootnoteReference">
    <w:name w:val="footnote reference"/>
    <w:unhideWhenUsed/>
    <w:rsid w:val="009F34F4"/>
    <w:rPr>
      <w:vertAlign w:val="superscript"/>
    </w:rPr>
  </w:style>
  <w:style w:type="paragraph" w:styleId="FootnoteText">
    <w:name w:val="footnote text"/>
    <w:basedOn w:val="Basetext"/>
    <w:link w:val="FootnoteTextChar"/>
    <w:uiPriority w:val="99"/>
    <w:unhideWhenUsed/>
    <w:rsid w:val="00545A68"/>
    <w:pPr>
      <w:ind w:left="274" w:hanging="274"/>
    </w:pPr>
    <w:rPr>
      <w:sz w:val="20"/>
      <w:szCs w:val="20"/>
    </w:rPr>
  </w:style>
  <w:style w:type="character" w:customStyle="1" w:styleId="FootnoteTextChar">
    <w:name w:val="Footnote Text Char"/>
    <w:link w:val="FootnoteText"/>
    <w:uiPriority w:val="99"/>
    <w:rsid w:val="00545A68"/>
    <w:rPr>
      <w:rFonts w:ascii="Times New Roman" w:hAnsi="Times New Roman"/>
      <w:lang w:eastAsia="zh-CN"/>
    </w:rPr>
  </w:style>
  <w:style w:type="paragraph" w:styleId="CommentSubject">
    <w:name w:val="annotation subject"/>
    <w:basedOn w:val="CommentText"/>
    <w:next w:val="CommentText"/>
    <w:link w:val="CommentSubjectChar"/>
    <w:uiPriority w:val="99"/>
    <w:semiHidden/>
    <w:unhideWhenUsed/>
    <w:rsid w:val="00655B3F"/>
    <w:rPr>
      <w:b/>
      <w:bCs/>
      <w:sz w:val="20"/>
    </w:rPr>
  </w:style>
  <w:style w:type="paragraph" w:styleId="Header">
    <w:name w:val="header"/>
    <w:basedOn w:val="Basetext"/>
    <w:link w:val="HeaderChar"/>
    <w:uiPriority w:val="99"/>
    <w:unhideWhenUsed/>
    <w:rsid w:val="00545A68"/>
    <w:rPr>
      <w:sz w:val="20"/>
    </w:rPr>
  </w:style>
  <w:style w:type="character" w:customStyle="1" w:styleId="HeaderChar">
    <w:name w:val="Header Char"/>
    <w:link w:val="Header"/>
    <w:uiPriority w:val="99"/>
    <w:rsid w:val="00545A68"/>
    <w:rPr>
      <w:rFonts w:ascii="Times New Roman" w:hAnsi="Times New Roman"/>
      <w:szCs w:val="22"/>
      <w:lang w:eastAsia="zh-CN"/>
    </w:rPr>
  </w:style>
  <w:style w:type="character" w:customStyle="1" w:styleId="Heading1Char">
    <w:name w:val="Heading 1 Char"/>
    <w:link w:val="Heading1"/>
    <w:uiPriority w:val="9"/>
    <w:rsid w:val="00376BDD"/>
    <w:rPr>
      <w:rFonts w:asciiTheme="minorHAnsi" w:hAnsiTheme="minorHAnsi"/>
      <w:b/>
      <w:bCs/>
      <w:caps/>
      <w:kern w:val="28"/>
      <w:sz w:val="28"/>
      <w:szCs w:val="28"/>
      <w:lang w:eastAsia="zh-CN"/>
    </w:rPr>
  </w:style>
  <w:style w:type="character" w:customStyle="1" w:styleId="Heading2Char">
    <w:name w:val="Heading 2 Char"/>
    <w:link w:val="Heading2"/>
    <w:uiPriority w:val="9"/>
    <w:rsid w:val="00376BDD"/>
    <w:rPr>
      <w:rFonts w:asciiTheme="minorHAnsi" w:eastAsia="MS Mincho" w:hAnsiTheme="minorHAnsi"/>
      <w:b/>
      <w:kern w:val="28"/>
      <w:sz w:val="28"/>
      <w:szCs w:val="24"/>
    </w:rPr>
  </w:style>
  <w:style w:type="character" w:customStyle="1" w:styleId="Heading3Char">
    <w:name w:val="Heading 3 Char"/>
    <w:link w:val="Heading3"/>
    <w:uiPriority w:val="9"/>
    <w:rsid w:val="00376BDD"/>
    <w:rPr>
      <w:rFonts w:ascii="Times New Roman" w:eastAsia="MS Mincho" w:hAnsi="Times New Roman"/>
      <w:kern w:val="28"/>
      <w:sz w:val="22"/>
      <w:u w:val="single"/>
    </w:rPr>
  </w:style>
  <w:style w:type="character" w:customStyle="1" w:styleId="Heading4Char">
    <w:name w:val="Heading 4 Char"/>
    <w:link w:val="Heading4"/>
    <w:uiPriority w:val="9"/>
    <w:rsid w:val="00D84EA6"/>
    <w:rPr>
      <w:rFonts w:ascii="Times New Roman" w:hAnsi="Times New Roman"/>
      <w:bCs/>
      <w:i/>
      <w:iCs/>
      <w:kern w:val="28"/>
      <w:sz w:val="24"/>
      <w:szCs w:val="22"/>
      <w:lang w:eastAsia="zh-CN"/>
    </w:rPr>
  </w:style>
  <w:style w:type="character" w:customStyle="1" w:styleId="Heading5Char">
    <w:name w:val="Heading 5 Char"/>
    <w:link w:val="Heading5"/>
    <w:uiPriority w:val="9"/>
    <w:rsid w:val="00545A68"/>
    <w:rPr>
      <w:rFonts w:ascii="Times New Roman" w:hAnsi="Times New Roman"/>
      <w:b/>
      <w:i/>
      <w:kern w:val="28"/>
      <w:szCs w:val="22"/>
      <w:lang w:eastAsia="zh-CN"/>
    </w:rPr>
  </w:style>
  <w:style w:type="character" w:styleId="Hyperlink">
    <w:name w:val="Hyperlink"/>
    <w:uiPriority w:val="99"/>
    <w:unhideWhenUsed/>
    <w:rsid w:val="001C5C06"/>
    <w:rPr>
      <w:color w:val="3333FF"/>
      <w:u w:val="none"/>
      <w:lang w:val="en-US"/>
    </w:rPr>
  </w:style>
  <w:style w:type="paragraph" w:styleId="ListContinue">
    <w:name w:val="List Continue"/>
    <w:basedOn w:val="Basetext"/>
    <w:unhideWhenUsed/>
    <w:rsid w:val="006E2C6E"/>
    <w:pPr>
      <w:spacing w:after="120"/>
      <w:ind w:left="720"/>
    </w:pPr>
  </w:style>
  <w:style w:type="paragraph" w:styleId="ListContinue2">
    <w:name w:val="List Continue 2"/>
    <w:basedOn w:val="Basetext"/>
    <w:uiPriority w:val="99"/>
    <w:unhideWhenUsed/>
    <w:rsid w:val="006E2C6E"/>
    <w:pPr>
      <w:spacing w:after="120"/>
      <w:ind w:left="1080"/>
    </w:pPr>
  </w:style>
  <w:style w:type="paragraph" w:styleId="ListParagraph">
    <w:name w:val="List Paragraph"/>
    <w:basedOn w:val="Basetext"/>
    <w:uiPriority w:val="34"/>
    <w:qFormat/>
    <w:rsid w:val="006E2C6E"/>
    <w:pPr>
      <w:ind w:left="720"/>
    </w:pPr>
  </w:style>
  <w:style w:type="character" w:styleId="PageNumber">
    <w:name w:val="page number"/>
    <w:unhideWhenUsed/>
    <w:rsid w:val="009A1700"/>
    <w:rPr>
      <w:rFonts w:ascii="Times New Roman" w:hAnsi="Times New Roman"/>
      <w:b w:val="0"/>
      <w:sz w:val="24"/>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FA19C1"/>
    <w:pPr>
      <w:keepLines/>
      <w:spacing w:before="60" w:after="240"/>
      <w:ind w:left="187" w:hanging="187"/>
    </w:pPr>
    <w:rPr>
      <w:sz w:val="20"/>
    </w:rPr>
  </w:style>
  <w:style w:type="paragraph" w:customStyle="1" w:styleId="figure-notestd">
    <w:name w:val="figure-note_std"/>
    <w:basedOn w:val="Basetext"/>
    <w:rsid w:val="00FA19C1"/>
    <w:pPr>
      <w:keepLines/>
      <w:spacing w:before="120"/>
      <w:ind w:left="187" w:hanging="187"/>
    </w:pPr>
    <w:rPr>
      <w:sz w:val="20"/>
    </w:rPr>
  </w:style>
  <w:style w:type="paragraph" w:customStyle="1" w:styleId="figure-sourcealt-1">
    <w:name w:val="figure-source_alt-1"/>
    <w:basedOn w:val="Basetext"/>
    <w:rsid w:val="00C73C7D"/>
    <w:pPr>
      <w:keepLines/>
      <w:spacing w:before="120"/>
      <w:ind w:left="720" w:hanging="720"/>
    </w:pPr>
    <w:rPr>
      <w:sz w:val="20"/>
    </w:rPr>
  </w:style>
  <w:style w:type="paragraph" w:customStyle="1" w:styleId="table-bullet2nd">
    <w:name w:val="table-bullet_2nd"/>
    <w:basedOn w:val="Basetext"/>
    <w:rsid w:val="00D11F18"/>
    <w:pPr>
      <w:numPr>
        <w:ilvl w:val="1"/>
        <w:numId w:val="3"/>
      </w:numPr>
      <w:spacing w:before="80" w:after="80"/>
    </w:pPr>
    <w:rPr>
      <w:sz w:val="22"/>
    </w:rPr>
  </w:style>
  <w:style w:type="paragraph" w:customStyle="1" w:styleId="table-bulletind">
    <w:name w:val="table-bullet_ind"/>
    <w:basedOn w:val="Basetext"/>
    <w:rsid w:val="00D11F18"/>
    <w:pPr>
      <w:numPr>
        <w:numId w:val="8"/>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8D14FA"/>
    <w:pPr>
      <w:numPr>
        <w:numId w:val="7"/>
      </w:numPr>
      <w:spacing w:before="80" w:after="80"/>
      <w:ind w:left="245" w:hanging="245"/>
    </w:pPr>
    <w:rPr>
      <w:sz w:val="22"/>
    </w:rPr>
  </w:style>
  <w:style w:type="paragraph" w:customStyle="1" w:styleId="table-headers">
    <w:name w:val="table-headers"/>
    <w:basedOn w:val="Basetext"/>
    <w:rsid w:val="006E2C6E"/>
    <w:pPr>
      <w:keepNext/>
      <w:spacing w:before="80" w:after="80"/>
      <w:jc w:val="center"/>
    </w:pPr>
    <w:rPr>
      <w:b/>
      <w:sz w:val="22"/>
    </w:rPr>
  </w:style>
  <w:style w:type="paragraph" w:styleId="TableofFigures">
    <w:name w:val="table of figures"/>
    <w:basedOn w:val="Basetext"/>
    <w:next w:val="Normal"/>
    <w:uiPriority w:val="99"/>
    <w:unhideWhenUsed/>
    <w:rsid w:val="00D84EA6"/>
    <w:pPr>
      <w:tabs>
        <w:tab w:val="right" w:leader="dot" w:pos="9360"/>
      </w:tabs>
      <w:spacing w:before="40" w:after="40"/>
      <w:ind w:left="1080" w:right="720" w:hanging="1080"/>
    </w:pPr>
    <w:rPr>
      <w:noProof/>
    </w:rPr>
  </w:style>
  <w:style w:type="paragraph" w:customStyle="1" w:styleId="table-text">
    <w:name w:val="table-text"/>
    <w:basedOn w:val="Basetext"/>
    <w:rsid w:val="008D14FA"/>
    <w:pPr>
      <w:spacing w:before="80" w:after="80"/>
    </w:pPr>
    <w:rPr>
      <w:sz w:val="22"/>
    </w:rPr>
  </w:style>
  <w:style w:type="paragraph" w:customStyle="1" w:styleId="table-textindent">
    <w:name w:val="table-text_indent"/>
    <w:basedOn w:val="Basetext"/>
    <w:qFormat/>
    <w:rsid w:val="008D14FA"/>
    <w:pPr>
      <w:spacing w:before="80" w:after="80"/>
      <w:ind w:left="245"/>
    </w:pPr>
    <w:rPr>
      <w:sz w:val="22"/>
    </w:rPr>
  </w:style>
  <w:style w:type="paragraph" w:customStyle="1" w:styleId="table-title">
    <w:name w:val="table-title"/>
    <w:basedOn w:val="Basetext"/>
    <w:rsid w:val="006E2C6E"/>
    <w:pPr>
      <w:keepNext/>
      <w:keepLines/>
      <w:spacing w:before="240" w:after="240"/>
    </w:pPr>
    <w:rPr>
      <w:b/>
    </w:rPr>
  </w:style>
  <w:style w:type="paragraph" w:customStyle="1" w:styleId="table-titlecontinued">
    <w:name w:val="table-title_continued"/>
    <w:basedOn w:val="Basetext"/>
    <w:rsid w:val="006E2C6E"/>
    <w:pPr>
      <w:keepNext/>
      <w:keepLines/>
      <w:spacing w:before="240" w:after="240"/>
    </w:pPr>
    <w:rPr>
      <w:b/>
    </w:rPr>
  </w:style>
  <w:style w:type="paragraph" w:customStyle="1" w:styleId="TOCsubheading">
    <w:name w:val="TOC_subheading"/>
    <w:basedOn w:val="Baseheading"/>
    <w:rsid w:val="00D84EA6"/>
    <w:pPr>
      <w:tabs>
        <w:tab w:val="right" w:pos="9360"/>
      </w:tabs>
      <w:spacing w:before="120"/>
      <w:outlineLvl w:val="9"/>
    </w:pPr>
  </w:style>
  <w:style w:type="paragraph" w:styleId="TOC1">
    <w:name w:val="toc 1"/>
    <w:basedOn w:val="Basetext"/>
    <w:next w:val="Normal"/>
    <w:uiPriority w:val="39"/>
    <w:unhideWhenUsed/>
    <w:rsid w:val="00AC685F"/>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AC685F"/>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AC685F"/>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D84EA6"/>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D84EA6"/>
    <w:pPr>
      <w:spacing w:before="0"/>
      <w:jc w:val="center"/>
      <w:outlineLvl w:val="9"/>
    </w:pPr>
    <w:rPr>
      <w:caps/>
      <w:kern w:val="0"/>
      <w:sz w:val="28"/>
    </w:rPr>
  </w:style>
  <w:style w:type="character" w:customStyle="1" w:styleId="CommentSubjectChar">
    <w:name w:val="Comment Subject Char"/>
    <w:link w:val="CommentSubject"/>
    <w:uiPriority w:val="99"/>
    <w:semiHidden/>
    <w:rsid w:val="00655B3F"/>
    <w:rPr>
      <w:rFonts w:ascii="Times New Roman" w:hAnsi="Times New Roman"/>
      <w:b/>
      <w:bCs/>
      <w:lang w:eastAsia="zh-CN"/>
    </w:rPr>
  </w:style>
  <w:style w:type="paragraph" w:customStyle="1" w:styleId="numbers">
    <w:name w:val="numbers"/>
    <w:basedOn w:val="Basetext"/>
    <w:rsid w:val="006E2C6E"/>
    <w:pPr>
      <w:spacing w:after="120"/>
      <w:ind w:left="1080" w:hanging="360"/>
    </w:pPr>
  </w:style>
  <w:style w:type="paragraph" w:customStyle="1" w:styleId="numbers2nd-level">
    <w:name w:val="numbers_2nd-level"/>
    <w:basedOn w:val="Basetext"/>
    <w:rsid w:val="006E2C6E"/>
    <w:pPr>
      <w:spacing w:after="120"/>
      <w:ind w:left="1440" w:hanging="360"/>
    </w:pPr>
  </w:style>
  <w:style w:type="paragraph" w:customStyle="1" w:styleId="cover-address">
    <w:name w:val="cover-address"/>
    <w:basedOn w:val="Basetext"/>
    <w:rsid w:val="004D2A2C"/>
    <w:pPr>
      <w:contextualSpacing/>
      <w:jc w:val="right"/>
    </w:pPr>
    <w:rPr>
      <w:rFonts w:ascii="Arial" w:hAnsi="Arial"/>
    </w:rPr>
  </w:style>
  <w:style w:type="paragraph" w:customStyle="1" w:styleId="cover-textbold">
    <w:name w:val="cover-text_bold"/>
    <w:basedOn w:val="Basetext"/>
    <w:rsid w:val="004D2A2C"/>
    <w:pPr>
      <w:spacing w:before="240" w:after="600"/>
      <w:contextualSpacing/>
      <w:jc w:val="right"/>
    </w:pPr>
    <w:rPr>
      <w:rFonts w:ascii="Arial" w:hAnsi="Arial"/>
      <w:b/>
    </w:rPr>
  </w:style>
  <w:style w:type="paragraph" w:customStyle="1" w:styleId="figure-sourcestd">
    <w:name w:val="figure-source_std"/>
    <w:basedOn w:val="Basetext"/>
    <w:rsid w:val="00C73C7D"/>
    <w:pPr>
      <w:keepLines/>
      <w:spacing w:before="120" w:after="240"/>
      <w:ind w:left="720" w:hanging="720"/>
    </w:pPr>
    <w:rPr>
      <w:sz w:val="20"/>
    </w:rPr>
  </w:style>
  <w:style w:type="character" w:customStyle="1" w:styleId="cover-textChar">
    <w:name w:val="cover-text Char"/>
    <w:link w:val="cover-text"/>
    <w:rsid w:val="004D2A2C"/>
    <w:rPr>
      <w:rFonts w:ascii="Arial" w:hAnsi="Arial"/>
      <w:sz w:val="24"/>
      <w:szCs w:val="22"/>
      <w:lang w:eastAsia="zh-CN"/>
    </w:rPr>
  </w:style>
  <w:style w:type="paragraph" w:customStyle="1" w:styleId="biblio-entry">
    <w:name w:val="biblio-entry"/>
    <w:basedOn w:val="Basetext"/>
    <w:rsid w:val="00BA5C96"/>
    <w:pPr>
      <w:keepLines/>
      <w:spacing w:after="240"/>
      <w:ind w:left="720" w:hanging="720"/>
    </w:pPr>
  </w:style>
  <w:style w:type="paragraph" w:customStyle="1" w:styleId="textbox-heading">
    <w:name w:val="textbox-heading"/>
    <w:basedOn w:val="Baseheading"/>
    <w:rsid w:val="006D10C6"/>
    <w:pPr>
      <w:spacing w:before="60" w:after="60"/>
      <w:jc w:val="center"/>
    </w:pPr>
    <w:rPr>
      <w:sz w:val="20"/>
    </w:rPr>
  </w:style>
  <w:style w:type="paragraph" w:customStyle="1" w:styleId="textbox-text">
    <w:name w:val="textbox-text"/>
    <w:basedOn w:val="Basetext"/>
    <w:rsid w:val="006D10C6"/>
    <w:pPr>
      <w:spacing w:before="60" w:after="60"/>
    </w:pPr>
    <w:rPr>
      <w:sz w:val="20"/>
    </w:rPr>
  </w:style>
  <w:style w:type="paragraph" w:customStyle="1" w:styleId="summary-header">
    <w:name w:val="summary-header"/>
    <w:basedOn w:val="Baseheading"/>
    <w:rsid w:val="00DC5897"/>
    <w:pPr>
      <w:spacing w:before="120" w:after="120"/>
      <w:ind w:left="720" w:hanging="720"/>
    </w:pPr>
    <w:rPr>
      <w:rFonts w:ascii="Times New Roman Bold" w:hAnsi="Times New Roman Bold"/>
      <w:caps/>
    </w:r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DC5897"/>
    <w:pPr>
      <w:spacing w:before="120" w:after="120"/>
      <w:ind w:left="720" w:hanging="720"/>
    </w:pPr>
    <w:rPr>
      <w:rFonts w:ascii="Times New Roman Bold" w:hAnsi="Times New Roman Bold"/>
      <w:caps/>
    </w:rPr>
  </w:style>
  <w:style w:type="paragraph" w:customStyle="1" w:styleId="author-affil-text">
    <w:name w:val="author-affil-text"/>
    <w:basedOn w:val="Basetext"/>
    <w:rsid w:val="00DC5897"/>
    <w:pPr>
      <w:spacing w:after="120" w:line="360" w:lineRule="auto"/>
      <w:ind w:firstLine="720"/>
    </w:pPr>
  </w:style>
  <w:style w:type="paragraph" w:customStyle="1" w:styleId="author-bio-info">
    <w:name w:val="author-bio-info"/>
    <w:basedOn w:val="Basetext"/>
    <w:rsid w:val="0031170E"/>
    <w:pPr>
      <w:spacing w:after="160" w:line="320" w:lineRule="exact"/>
    </w:pPr>
  </w:style>
  <w:style w:type="paragraph" w:customStyle="1" w:styleId="author-list-header">
    <w:name w:val="author-list-header"/>
    <w:basedOn w:val="Baseheading"/>
    <w:rsid w:val="00DC5897"/>
    <w:pPr>
      <w:spacing w:before="120" w:after="120"/>
      <w:ind w:left="720" w:hanging="720"/>
    </w:pPr>
    <w:rPr>
      <w:rFonts w:ascii="Times New Roman Bold" w:hAnsi="Times New Roman Bold"/>
      <w:caps/>
    </w:rPr>
  </w:style>
  <w:style w:type="paragraph" w:customStyle="1" w:styleId="author-list-name">
    <w:name w:val="author-list-name"/>
    <w:basedOn w:val="Basetext"/>
    <w:rsid w:val="008E3264"/>
    <w:pPr>
      <w:spacing w:after="720"/>
      <w:contextualSpacing/>
      <w:jc w:val="center"/>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DC5897"/>
    <w:pPr>
      <w:spacing w:before="120" w:after="120"/>
      <w:ind w:left="720" w:hanging="720"/>
    </w:pPr>
    <w:rPr>
      <w:rFonts w:ascii="Times New Roman Bold" w:hAnsi="Times New Roman Bold"/>
      <w:caps/>
    </w:r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
    <w:semiHidden/>
    <w:rsid w:val="00545A68"/>
    <w:rPr>
      <w:rFonts w:ascii="Times New Roman" w:hAnsi="Times New Roman"/>
      <w:b/>
      <w:bCs/>
      <w:kern w:val="28"/>
      <w:szCs w:val="22"/>
      <w:lang w:eastAsia="zh-CN"/>
    </w:rPr>
  </w:style>
  <w:style w:type="paragraph" w:customStyle="1" w:styleId="ack-header">
    <w:name w:val="ack-header"/>
    <w:basedOn w:val="Baseheading"/>
    <w:rsid w:val="00DC5897"/>
    <w:pPr>
      <w:spacing w:before="120" w:after="120"/>
      <w:ind w:left="720" w:hanging="720"/>
    </w:pPr>
    <w:rPr>
      <w:rFonts w:ascii="Times New Roman Bold" w:hAnsi="Times New Roman Bold"/>
      <w:caps/>
    </w:rPr>
  </w:style>
  <w:style w:type="paragraph" w:customStyle="1" w:styleId="ack-text">
    <w:name w:val="ack-text"/>
    <w:basedOn w:val="Basetext"/>
    <w:rsid w:val="00DC5897"/>
    <w:pPr>
      <w:spacing w:after="120" w:line="360" w:lineRule="auto"/>
      <w:ind w:firstLine="720"/>
    </w:pPr>
  </w:style>
  <w:style w:type="paragraph" w:customStyle="1" w:styleId="biblio-header">
    <w:name w:val="biblio-header"/>
    <w:basedOn w:val="Baseheading"/>
    <w:rsid w:val="00DC5897"/>
    <w:pPr>
      <w:spacing w:before="120" w:after="120"/>
      <w:ind w:left="720" w:hanging="720"/>
    </w:pPr>
    <w:rPr>
      <w:rFonts w:ascii="Times New Roman Bold" w:hAnsi="Times New Roman Bold"/>
      <w:caps/>
    </w:rPr>
  </w:style>
  <w:style w:type="paragraph" w:customStyle="1" w:styleId="endnote-header">
    <w:name w:val="endnote-header"/>
    <w:basedOn w:val="Baseheading"/>
    <w:rsid w:val="00DC5897"/>
    <w:pPr>
      <w:spacing w:before="120" w:after="120"/>
      <w:ind w:left="720" w:hanging="720"/>
    </w:pPr>
    <w:rPr>
      <w:rFonts w:ascii="Times New Roman Bold" w:hAnsi="Times New Roman Bold"/>
      <w:caps/>
    </w:rPr>
  </w:style>
  <w:style w:type="character" w:customStyle="1" w:styleId="Heading7Char">
    <w:name w:val="Heading 7 Char"/>
    <w:link w:val="Heading7"/>
    <w:uiPriority w:val="9"/>
    <w:semiHidden/>
    <w:rsid w:val="00545A68"/>
    <w:rPr>
      <w:rFonts w:ascii="Times New Roman" w:eastAsia="MS Mincho" w:hAnsi="Times New Roman"/>
      <w:b/>
      <w:i/>
      <w:kern w:val="28"/>
    </w:rPr>
  </w:style>
  <w:style w:type="paragraph" w:customStyle="1" w:styleId="cover-date">
    <w:name w:val="cover-date"/>
    <w:basedOn w:val="Basetext"/>
    <w:rsid w:val="004D2A2C"/>
    <w:pPr>
      <w:spacing w:before="240" w:after="720"/>
      <w:jc w:val="right"/>
    </w:pPr>
    <w:rPr>
      <w:rFonts w:ascii="Arial" w:hAnsi="Arial"/>
      <w:b/>
      <w:sz w:val="28"/>
    </w:rPr>
  </w:style>
  <w:style w:type="paragraph" w:customStyle="1" w:styleId="table-notealt-1">
    <w:name w:val="table-note_alt-1"/>
    <w:basedOn w:val="Basetext"/>
    <w:rsid w:val="00FB31D9"/>
    <w:pPr>
      <w:keepLines/>
      <w:spacing w:before="60"/>
      <w:ind w:left="187" w:hanging="187"/>
    </w:pPr>
    <w:rPr>
      <w:sz w:val="20"/>
    </w:rPr>
  </w:style>
  <w:style w:type="paragraph" w:customStyle="1" w:styleId="table-notealt-2">
    <w:name w:val="table-note_alt-2"/>
    <w:basedOn w:val="Basetext"/>
    <w:rsid w:val="00FB31D9"/>
    <w:pPr>
      <w:keepLines/>
      <w:spacing w:before="60" w:after="240"/>
      <w:ind w:left="187" w:hanging="187"/>
    </w:pPr>
    <w:rPr>
      <w:sz w:val="20"/>
    </w:rPr>
  </w:style>
  <w:style w:type="paragraph" w:customStyle="1" w:styleId="table-notestd">
    <w:name w:val="table-note_std"/>
    <w:basedOn w:val="Basetext"/>
    <w:rsid w:val="00FB31D9"/>
    <w:pPr>
      <w:keepLines/>
      <w:spacing w:before="120"/>
      <w:ind w:left="187" w:hanging="187"/>
    </w:pPr>
    <w:rPr>
      <w:sz w:val="20"/>
    </w:rPr>
  </w:style>
  <w:style w:type="paragraph" w:customStyle="1" w:styleId="table-sourcealt-1">
    <w:name w:val="table-source_alt-1"/>
    <w:basedOn w:val="Basetext"/>
    <w:rsid w:val="00FB31D9"/>
    <w:pPr>
      <w:keepLines/>
      <w:spacing w:before="60"/>
      <w:ind w:left="187" w:hanging="187"/>
    </w:pPr>
    <w:rPr>
      <w:sz w:val="20"/>
    </w:rPr>
  </w:style>
  <w:style w:type="paragraph" w:customStyle="1" w:styleId="table-sourcestd">
    <w:name w:val="table-source_std"/>
    <w:basedOn w:val="Basetext"/>
    <w:rsid w:val="00C73C7D"/>
    <w:pPr>
      <w:keepLines/>
      <w:spacing w:before="120" w:after="400"/>
      <w:ind w:left="187" w:hanging="187"/>
    </w:pPr>
    <w:rPr>
      <w:sz w:val="20"/>
    </w:rPr>
  </w:style>
  <w:style w:type="paragraph" w:customStyle="1" w:styleId="cover-project-no">
    <w:name w:val="cover-project-no"/>
    <w:basedOn w:val="Basetext"/>
    <w:rsid w:val="004D2A2C"/>
    <w:pPr>
      <w:autoSpaceDE w:val="0"/>
      <w:autoSpaceDN w:val="0"/>
      <w:adjustRightInd w:val="0"/>
      <w:spacing w:before="600" w:after="240"/>
      <w:contextualSpacing/>
      <w:jc w:val="right"/>
    </w:pPr>
    <w:rPr>
      <w:rFonts w:ascii="Arial" w:eastAsia="Times New Roman" w:hAnsi="Arial"/>
      <w:szCs w:val="24"/>
    </w:rPr>
  </w:style>
  <w:style w:type="table" w:styleId="TableGrid">
    <w:name w:val="Table Grid"/>
    <w:basedOn w:val="TableNormal"/>
    <w:uiPriority w:val="59"/>
    <w:rsid w:val="008A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4D2A2C"/>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8D14FA"/>
    <w:rPr>
      <w:rFonts w:ascii="Times New Roman" w:hAnsi="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BB4E0A"/>
    <w:rPr>
      <w:rFonts w:ascii="Segoe UI" w:hAnsi="Segoe UI" w:cs="Segoe UI"/>
      <w:sz w:val="18"/>
      <w:szCs w:val="18"/>
    </w:rPr>
  </w:style>
  <w:style w:type="character" w:customStyle="1" w:styleId="BalloonTextChar">
    <w:name w:val="Balloon Text Char"/>
    <w:link w:val="BalloonText"/>
    <w:uiPriority w:val="99"/>
    <w:rsid w:val="00BB4E0A"/>
    <w:rPr>
      <w:rFonts w:ascii="Segoe UI" w:hAnsi="Segoe UI" w:cs="Segoe UI"/>
      <w:sz w:val="18"/>
      <w:szCs w:val="18"/>
      <w:lang w:eastAsia="zh-CN"/>
    </w:rPr>
  </w:style>
  <w:style w:type="character" w:styleId="CommentReference">
    <w:name w:val="annotation reference"/>
    <w:uiPriority w:val="99"/>
    <w:unhideWhenUsed/>
    <w:rsid w:val="00BB4E0A"/>
    <w:rPr>
      <w:sz w:val="16"/>
      <w:szCs w:val="16"/>
    </w:rPr>
  </w:style>
  <w:style w:type="paragraph" w:styleId="CommentText">
    <w:name w:val="annotation text"/>
    <w:basedOn w:val="Normal"/>
    <w:link w:val="CommentTextChar"/>
    <w:unhideWhenUsed/>
    <w:rsid w:val="00BB4E0A"/>
    <w:rPr>
      <w:szCs w:val="20"/>
    </w:rPr>
  </w:style>
  <w:style w:type="character" w:customStyle="1" w:styleId="CommentTextChar">
    <w:name w:val="Comment Text Char"/>
    <w:link w:val="CommentText"/>
    <w:rsid w:val="00BB4E0A"/>
    <w:rPr>
      <w:rFonts w:ascii="Verdana" w:hAnsi="Verdana"/>
      <w:lang w:eastAsia="zh-CN"/>
    </w:rPr>
  </w:style>
  <w:style w:type="character" w:styleId="FollowedHyperlink">
    <w:name w:val="FollowedHyperlink"/>
    <w:uiPriority w:val="99"/>
    <w:rsid w:val="001C5C06"/>
    <w:rPr>
      <w:color w:val="6F57B5"/>
      <w:u w:val="none"/>
    </w:rPr>
  </w:style>
  <w:style w:type="paragraph" w:customStyle="1" w:styleId="titlepage-title">
    <w:name w:val="titlepage-title"/>
    <w:basedOn w:val="Basetext"/>
    <w:next w:val="Title"/>
    <w:rsid w:val="008E326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8E3264"/>
    <w:pPr>
      <w:spacing w:before="720"/>
      <w:jc w:val="center"/>
    </w:pPr>
  </w:style>
  <w:style w:type="paragraph" w:customStyle="1" w:styleId="rtitext">
    <w:name w:val="rti_text"/>
    <w:basedOn w:val="Normal"/>
    <w:qFormat/>
    <w:rsid w:val="008E326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376BDD"/>
    <w:pPr>
      <w:spacing w:before="240" w:after="60"/>
      <w:jc w:val="center"/>
      <w:outlineLvl w:val="0"/>
    </w:pPr>
    <w:rPr>
      <w:rFonts w:ascii="Times New Roman Bold" w:eastAsia="Times New Roman" w:hAnsi="Times New Roman Bold"/>
      <w:b/>
      <w:bCs/>
      <w:kern w:val="28"/>
      <w:sz w:val="32"/>
      <w:szCs w:val="32"/>
    </w:rPr>
  </w:style>
  <w:style w:type="character" w:customStyle="1" w:styleId="TitleChar">
    <w:name w:val="Title Char"/>
    <w:link w:val="Title"/>
    <w:uiPriority w:val="10"/>
    <w:rsid w:val="00376BDD"/>
    <w:rPr>
      <w:rFonts w:ascii="Times New Roman Bold" w:eastAsia="Times New Roman" w:hAnsi="Times New Roman Bold"/>
      <w:b/>
      <w:bCs/>
      <w:kern w:val="28"/>
      <w:sz w:val="32"/>
      <w:szCs w:val="32"/>
      <w:lang w:eastAsia="zh-CN"/>
    </w:rPr>
  </w:style>
  <w:style w:type="paragraph" w:styleId="ListNumber">
    <w:name w:val="List Number"/>
    <w:basedOn w:val="Normal"/>
    <w:uiPriority w:val="99"/>
    <w:unhideWhenUsed/>
    <w:rsid w:val="00E44BF4"/>
    <w:pPr>
      <w:numPr>
        <w:numId w:val="9"/>
      </w:numPr>
      <w:spacing w:after="240"/>
      <w:contextualSpacing/>
    </w:pPr>
    <w:rPr>
      <w:sz w:val="22"/>
    </w:rPr>
  </w:style>
  <w:style w:type="table" w:customStyle="1" w:styleId="TableGrid1">
    <w:name w:val="Table Grid1"/>
    <w:basedOn w:val="TableNormal"/>
    <w:next w:val="TableGrid"/>
    <w:uiPriority w:val="59"/>
    <w:rsid w:val="000D2F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F08"/>
    <w:rPr>
      <w:rFonts w:asciiTheme="minorHAnsi" w:eastAsiaTheme="minorHAnsi" w:hAnsiTheme="minorHAnsi" w:cstheme="minorBidi"/>
      <w:sz w:val="22"/>
      <w:szCs w:val="22"/>
    </w:rPr>
  </w:style>
  <w:style w:type="paragraph" w:styleId="ListBullet2">
    <w:name w:val="List Bullet 2"/>
    <w:basedOn w:val="Normal"/>
    <w:uiPriority w:val="99"/>
    <w:unhideWhenUsed/>
    <w:rsid w:val="000D2F08"/>
    <w:pPr>
      <w:spacing w:after="240"/>
      <w:ind w:left="1080" w:hanging="360"/>
      <w:contextualSpacing/>
    </w:pPr>
    <w:rPr>
      <w:rFonts w:eastAsiaTheme="minorHAnsi" w:cstheme="minorBidi"/>
      <w:sz w:val="22"/>
      <w:lang w:eastAsia="en-US"/>
    </w:rPr>
  </w:style>
  <w:style w:type="paragraph" w:styleId="ListBullet">
    <w:name w:val="List Bullet"/>
    <w:basedOn w:val="ListParagraph"/>
    <w:rsid w:val="000D2F08"/>
    <w:pPr>
      <w:numPr>
        <w:numId w:val="11"/>
      </w:numPr>
      <w:spacing w:after="240"/>
      <w:contextualSpacing/>
    </w:pPr>
    <w:rPr>
      <w:rFonts w:eastAsiaTheme="minorHAnsi" w:cstheme="minorBidi"/>
      <w:sz w:val="22"/>
      <w:lang w:eastAsia="en-US"/>
    </w:rPr>
  </w:style>
  <w:style w:type="paragraph" w:customStyle="1" w:styleId="ListBulletLast">
    <w:name w:val="List Bullet Last"/>
    <w:basedOn w:val="ListBullet"/>
    <w:qFormat/>
    <w:rsid w:val="000D2F08"/>
  </w:style>
  <w:style w:type="character" w:customStyle="1" w:styleId="ssens">
    <w:name w:val="ssens"/>
    <w:basedOn w:val="DefaultParagraphFont"/>
    <w:rsid w:val="000D2F08"/>
  </w:style>
  <w:style w:type="paragraph" w:styleId="Caption">
    <w:name w:val="caption"/>
    <w:basedOn w:val="Normal"/>
    <w:next w:val="Normal"/>
    <w:uiPriority w:val="35"/>
    <w:unhideWhenUsed/>
    <w:qFormat/>
    <w:rsid w:val="000D2F08"/>
    <w:pPr>
      <w:keepNext/>
      <w:spacing w:after="240"/>
    </w:pPr>
    <w:rPr>
      <w:rFonts w:eastAsiaTheme="minorHAnsi" w:cstheme="minorBidi"/>
      <w:b/>
      <w:bCs/>
      <w:sz w:val="22"/>
      <w:lang w:eastAsia="en-US"/>
    </w:rPr>
  </w:style>
  <w:style w:type="paragraph" w:customStyle="1" w:styleId="ExhibitTitle">
    <w:name w:val="Exhibit Title"/>
    <w:basedOn w:val="Caption"/>
    <w:qFormat/>
    <w:rsid w:val="000D2F08"/>
  </w:style>
  <w:style w:type="paragraph" w:customStyle="1" w:styleId="TableHeader">
    <w:name w:val="Table Header"/>
    <w:basedOn w:val="Normal"/>
    <w:qFormat/>
    <w:rsid w:val="000D2F08"/>
    <w:pPr>
      <w:keepNext/>
      <w:jc w:val="center"/>
    </w:pPr>
    <w:rPr>
      <w:rFonts w:eastAsiaTheme="minorHAnsi" w:cstheme="minorBidi"/>
      <w:b/>
      <w:sz w:val="22"/>
      <w:lang w:eastAsia="en-US"/>
    </w:rPr>
  </w:style>
  <w:style w:type="paragraph" w:customStyle="1" w:styleId="ExhibitNote1">
    <w:name w:val="Exhibit Note1"/>
    <w:basedOn w:val="Normal"/>
    <w:qFormat/>
    <w:rsid w:val="000D2F08"/>
    <w:rPr>
      <w:rFonts w:eastAsiaTheme="minorHAnsi" w:cstheme="minorBidi"/>
      <w:sz w:val="20"/>
      <w:szCs w:val="20"/>
      <w:lang w:eastAsia="en-US"/>
    </w:rPr>
  </w:style>
  <w:style w:type="paragraph" w:customStyle="1" w:styleId="ExhibitNote2">
    <w:name w:val="Exhibit Note2"/>
    <w:basedOn w:val="Normal"/>
    <w:qFormat/>
    <w:rsid w:val="000D2F08"/>
    <w:pPr>
      <w:spacing w:after="240"/>
    </w:pPr>
    <w:rPr>
      <w:rFonts w:eastAsiaTheme="minorHAnsi" w:cstheme="minorBidi"/>
      <w:sz w:val="20"/>
      <w:szCs w:val="20"/>
      <w:lang w:eastAsia="en-US"/>
    </w:rPr>
  </w:style>
  <w:style w:type="paragraph" w:customStyle="1" w:styleId="TableText1">
    <w:name w:val="Table Text1"/>
    <w:basedOn w:val="Normal"/>
    <w:qFormat/>
    <w:rsid w:val="00E42198"/>
    <w:pPr>
      <w:keepNext/>
      <w:spacing w:before="60" w:after="60"/>
    </w:pPr>
    <w:rPr>
      <w:rFonts w:eastAsiaTheme="minorHAnsi" w:cstheme="minorBidi"/>
      <w:sz w:val="20"/>
      <w:lang w:eastAsia="en-US"/>
    </w:rPr>
  </w:style>
  <w:style w:type="numbering" w:customStyle="1" w:styleId="OMBBlue">
    <w:name w:val="OMB_Blue"/>
    <w:uiPriority w:val="99"/>
    <w:rsid w:val="000D2F08"/>
    <w:pPr>
      <w:numPr>
        <w:numId w:val="12"/>
      </w:numPr>
    </w:pPr>
  </w:style>
  <w:style w:type="paragraph" w:styleId="Index1">
    <w:name w:val="index 1"/>
    <w:basedOn w:val="Normal"/>
    <w:next w:val="Normal"/>
    <w:autoRedefine/>
    <w:uiPriority w:val="99"/>
    <w:semiHidden/>
    <w:unhideWhenUsed/>
    <w:rsid w:val="000D2F08"/>
    <w:pPr>
      <w:ind w:left="220" w:hanging="220"/>
    </w:pPr>
    <w:rPr>
      <w:rFonts w:eastAsiaTheme="minorHAnsi" w:cstheme="minorBidi"/>
      <w:sz w:val="22"/>
      <w:lang w:eastAsia="en-US"/>
    </w:rPr>
  </w:style>
  <w:style w:type="paragraph" w:styleId="Bibliography">
    <w:name w:val="Bibliography"/>
    <w:basedOn w:val="Normal"/>
    <w:next w:val="Normal"/>
    <w:uiPriority w:val="37"/>
    <w:semiHidden/>
    <w:unhideWhenUsed/>
    <w:rsid w:val="000D2F08"/>
    <w:pPr>
      <w:spacing w:after="240"/>
    </w:pPr>
    <w:rPr>
      <w:rFonts w:eastAsiaTheme="minorHAnsi" w:cstheme="minorBidi"/>
      <w:sz w:val="22"/>
      <w:lang w:eastAsia="en-US"/>
    </w:rPr>
  </w:style>
  <w:style w:type="character" w:customStyle="1" w:styleId="apple-converted-space">
    <w:name w:val="apple-converted-space"/>
    <w:basedOn w:val="DefaultParagraphFont"/>
    <w:rsid w:val="000D2F08"/>
  </w:style>
  <w:style w:type="paragraph" w:styleId="BodyText2">
    <w:name w:val="Body Text 2"/>
    <w:basedOn w:val="Normal"/>
    <w:link w:val="BodyText2Char"/>
    <w:uiPriority w:val="99"/>
    <w:semiHidden/>
    <w:unhideWhenUsed/>
    <w:rsid w:val="000D2F08"/>
    <w:pPr>
      <w:spacing w:after="120" w:line="480" w:lineRule="auto"/>
    </w:pPr>
    <w:rPr>
      <w:rFonts w:eastAsiaTheme="minorHAnsi" w:cstheme="minorBidi"/>
      <w:sz w:val="22"/>
      <w:lang w:eastAsia="en-US"/>
    </w:rPr>
  </w:style>
  <w:style w:type="character" w:customStyle="1" w:styleId="BodyText2Char">
    <w:name w:val="Body Text 2 Char"/>
    <w:basedOn w:val="DefaultParagraphFont"/>
    <w:link w:val="BodyText2"/>
    <w:uiPriority w:val="99"/>
    <w:semiHidden/>
    <w:rsid w:val="000D2F08"/>
    <w:rPr>
      <w:rFonts w:ascii="Times New Roman" w:eastAsiaTheme="minorHAnsi" w:hAnsi="Times New Roman" w:cstheme="minorBidi"/>
      <w:sz w:val="22"/>
      <w:szCs w:val="22"/>
    </w:rPr>
  </w:style>
  <w:style w:type="paragraph" w:customStyle="1" w:styleId="Tablebullet">
    <w:name w:val="Table_bullet"/>
    <w:basedOn w:val="ListParagraph"/>
    <w:qFormat/>
    <w:rsid w:val="000D2F08"/>
    <w:pPr>
      <w:keepNext/>
      <w:keepLines/>
      <w:numPr>
        <w:numId w:val="13"/>
      </w:numPr>
      <w:spacing w:line="200" w:lineRule="exact"/>
      <w:contextualSpacing/>
    </w:pPr>
    <w:rPr>
      <w:rFonts w:ascii="Arial" w:eastAsia="Times New Roman" w:hAnsi="Arial" w:cs="Arial"/>
      <w:sz w:val="18"/>
      <w:szCs w:val="18"/>
      <w:lang w:eastAsia="en-US"/>
    </w:rPr>
  </w:style>
  <w:style w:type="paragraph" w:customStyle="1" w:styleId="Body">
    <w:name w:val="Body"/>
    <w:basedOn w:val="Normal"/>
    <w:uiPriority w:val="1"/>
    <w:qFormat/>
    <w:rsid w:val="000D2F08"/>
    <w:pPr>
      <w:spacing w:before="240" w:after="120" w:line="360" w:lineRule="auto"/>
      <w:ind w:left="720"/>
    </w:pPr>
    <w:rPr>
      <w:rFonts w:ascii="Cambria" w:eastAsiaTheme="minorHAnsi" w:hAnsi="Cambria" w:cstheme="minorBidi"/>
      <w:lang w:eastAsia="en-US"/>
    </w:rPr>
  </w:style>
  <w:style w:type="paragraph" w:customStyle="1" w:styleId="Default">
    <w:name w:val="Default"/>
    <w:rsid w:val="000D2F08"/>
    <w:pPr>
      <w:autoSpaceDE w:val="0"/>
      <w:autoSpaceDN w:val="0"/>
      <w:adjustRightInd w:val="0"/>
    </w:pPr>
    <w:rPr>
      <w:rFonts w:ascii="Arial" w:eastAsiaTheme="minorHAnsi" w:hAnsi="Arial" w:cs="Arial"/>
      <w:color w:val="000000"/>
      <w:sz w:val="24"/>
      <w:szCs w:val="24"/>
    </w:rPr>
  </w:style>
  <w:style w:type="paragraph" w:customStyle="1" w:styleId="bulletsblank">
    <w:name w:val="bullets_blank"/>
    <w:basedOn w:val="Normal"/>
    <w:rsid w:val="009C7345"/>
    <w:pPr>
      <w:keepLines/>
      <w:shd w:val="clear" w:color="auto" w:fill="FFFFFF" w:themeFill="background1"/>
      <w:spacing w:after="240"/>
      <w:ind w:left="108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A68"/>
    <w:rPr>
      <w:rFonts w:ascii="Times New Roman" w:hAnsi="Times New Roman"/>
      <w:sz w:val="24"/>
      <w:szCs w:val="22"/>
      <w:lang w:eastAsia="zh-CN"/>
    </w:rPr>
  </w:style>
  <w:style w:type="paragraph" w:styleId="Heading1">
    <w:name w:val="heading 1"/>
    <w:basedOn w:val="Baseheading"/>
    <w:next w:val="Normal"/>
    <w:link w:val="Heading1Char"/>
    <w:uiPriority w:val="9"/>
    <w:qFormat/>
    <w:rsid w:val="00376BDD"/>
    <w:pPr>
      <w:keepLines/>
      <w:spacing w:before="120" w:after="120"/>
      <w:ind w:left="720" w:hanging="720"/>
    </w:pPr>
    <w:rPr>
      <w:rFonts w:asciiTheme="minorHAnsi" w:hAnsiTheme="minorHAnsi"/>
      <w:bCs/>
      <w:caps/>
      <w:sz w:val="28"/>
      <w:szCs w:val="28"/>
    </w:rPr>
  </w:style>
  <w:style w:type="paragraph" w:styleId="Heading2">
    <w:name w:val="heading 2"/>
    <w:basedOn w:val="Baseheading"/>
    <w:next w:val="Normal"/>
    <w:link w:val="Heading2Char"/>
    <w:uiPriority w:val="9"/>
    <w:unhideWhenUsed/>
    <w:qFormat/>
    <w:rsid w:val="00376BDD"/>
    <w:pPr>
      <w:keepLines/>
      <w:ind w:left="720" w:hanging="720"/>
      <w:outlineLvl w:val="1"/>
    </w:pPr>
    <w:rPr>
      <w:rFonts w:asciiTheme="minorHAnsi" w:eastAsia="MS Mincho" w:hAnsiTheme="minorHAnsi"/>
      <w:sz w:val="28"/>
      <w:szCs w:val="24"/>
      <w:lang w:eastAsia="en-US"/>
    </w:rPr>
  </w:style>
  <w:style w:type="paragraph" w:styleId="Heading3">
    <w:name w:val="heading 3"/>
    <w:basedOn w:val="Baseheading"/>
    <w:next w:val="Normal"/>
    <w:link w:val="Heading3Char"/>
    <w:uiPriority w:val="9"/>
    <w:unhideWhenUsed/>
    <w:qFormat/>
    <w:rsid w:val="00376BDD"/>
    <w:pPr>
      <w:keepLines/>
      <w:ind w:left="720" w:hanging="720"/>
      <w:outlineLvl w:val="2"/>
    </w:pPr>
    <w:rPr>
      <w:rFonts w:eastAsia="MS Mincho"/>
      <w:b w:val="0"/>
      <w:sz w:val="22"/>
      <w:szCs w:val="20"/>
      <w:u w:val="single"/>
      <w:lang w:eastAsia="en-US"/>
    </w:rPr>
  </w:style>
  <w:style w:type="paragraph" w:styleId="Heading4">
    <w:name w:val="heading 4"/>
    <w:basedOn w:val="Baseheading"/>
    <w:next w:val="Normal"/>
    <w:link w:val="Heading4Char"/>
    <w:uiPriority w:val="9"/>
    <w:unhideWhenUsed/>
    <w:qFormat/>
    <w:rsid w:val="00D84EA6"/>
    <w:pPr>
      <w:keepLines/>
      <w:ind w:left="720" w:hanging="720"/>
      <w:outlineLvl w:val="3"/>
    </w:pPr>
    <w:rPr>
      <w:b w:val="0"/>
      <w:bCs/>
      <w:i/>
      <w:iCs/>
    </w:rPr>
  </w:style>
  <w:style w:type="paragraph" w:styleId="Heading5">
    <w:name w:val="heading 5"/>
    <w:basedOn w:val="Baseheading"/>
    <w:next w:val="Normal"/>
    <w:link w:val="Heading5Char"/>
    <w:uiPriority w:val="9"/>
    <w:qFormat/>
    <w:rsid w:val="00F14586"/>
    <w:pPr>
      <w:keepLines/>
      <w:spacing w:after="60"/>
      <w:outlineLvl w:val="4"/>
    </w:pPr>
    <w:rPr>
      <w:i/>
      <w:sz w:val="20"/>
    </w:rPr>
  </w:style>
  <w:style w:type="paragraph" w:styleId="Heading6">
    <w:name w:val="heading 6"/>
    <w:basedOn w:val="Baseheading"/>
    <w:next w:val="BodyText"/>
    <w:link w:val="Heading6Char"/>
    <w:uiPriority w:val="9"/>
    <w:semiHidden/>
    <w:qFormat/>
    <w:rsid w:val="00F14586"/>
    <w:pPr>
      <w:spacing w:after="60"/>
      <w:outlineLvl w:val="5"/>
    </w:pPr>
    <w:rPr>
      <w:bCs/>
      <w:sz w:val="20"/>
    </w:rPr>
  </w:style>
  <w:style w:type="paragraph" w:styleId="Heading7">
    <w:name w:val="heading 7"/>
    <w:basedOn w:val="Baseheading"/>
    <w:next w:val="Normal"/>
    <w:link w:val="Heading7Char"/>
    <w:uiPriority w:val="9"/>
    <w:semiHidden/>
    <w:qFormat/>
    <w:rsid w:val="00F14586"/>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0F1445"/>
    <w:pPr>
      <w:keepNext/>
      <w:spacing w:before="240" w:after="240"/>
      <w:outlineLvl w:val="0"/>
    </w:pPr>
    <w:rPr>
      <w:rFonts w:ascii="Times New Roman" w:hAnsi="Times New Roman"/>
      <w:b/>
      <w:kern w:val="28"/>
      <w:sz w:val="24"/>
      <w:szCs w:val="22"/>
      <w:lang w:eastAsia="zh-CN"/>
    </w:rPr>
  </w:style>
  <w:style w:type="paragraph" w:customStyle="1" w:styleId="app-heading1">
    <w:name w:val="app-heading_1"/>
    <w:basedOn w:val="Baseheading"/>
    <w:rsid w:val="00DC5897"/>
    <w:pPr>
      <w:spacing w:before="120" w:after="120"/>
    </w:pPr>
    <w:rPr>
      <w:rFonts w:ascii="Times New Roman Bold" w:hAnsi="Times New Roman Bold"/>
      <w:caps/>
    </w:rPr>
  </w:style>
  <w:style w:type="paragraph" w:customStyle="1" w:styleId="app-heading2">
    <w:name w:val="app-heading_2"/>
    <w:basedOn w:val="Baseheading"/>
    <w:rsid w:val="00DC5897"/>
    <w:pPr>
      <w:ind w:left="720" w:hanging="720"/>
      <w:outlineLvl w:val="1"/>
    </w:pPr>
  </w:style>
  <w:style w:type="paragraph" w:customStyle="1" w:styleId="app-heading3">
    <w:name w:val="app-heading_3"/>
    <w:basedOn w:val="Baseheading"/>
    <w:rsid w:val="00DC5897"/>
    <w:pPr>
      <w:ind w:left="720" w:hanging="720"/>
      <w:outlineLvl w:val="2"/>
    </w:pPr>
    <w:rPr>
      <w:i/>
    </w:rPr>
  </w:style>
  <w:style w:type="paragraph" w:customStyle="1" w:styleId="Basetext">
    <w:name w:val="Base_text"/>
    <w:rsid w:val="004D2A2C"/>
    <w:rPr>
      <w:rFonts w:ascii="Times New Roman" w:hAnsi="Times New Roman"/>
      <w:sz w:val="24"/>
      <w:szCs w:val="22"/>
      <w:lang w:eastAsia="zh-CN"/>
    </w:rPr>
  </w:style>
  <w:style w:type="paragraph" w:customStyle="1" w:styleId="table-continued">
    <w:name w:val="table-continued"/>
    <w:basedOn w:val="Basetext"/>
    <w:rsid w:val="006D10C6"/>
    <w:pPr>
      <w:spacing w:before="40"/>
      <w:ind w:right="-86"/>
      <w:jc w:val="right"/>
    </w:pPr>
    <w:rPr>
      <w:sz w:val="20"/>
    </w:rPr>
  </w:style>
  <w:style w:type="numbering" w:customStyle="1" w:styleId="Format2Number">
    <w:name w:val="Format2_Number"/>
    <w:uiPriority w:val="99"/>
    <w:rsid w:val="009A1700"/>
    <w:pPr>
      <w:numPr>
        <w:numId w:val="5"/>
      </w:numPr>
    </w:pPr>
  </w:style>
  <w:style w:type="paragraph" w:styleId="BodyText">
    <w:name w:val="Body Text"/>
    <w:basedOn w:val="Basetext"/>
    <w:link w:val="BodyTextChar"/>
    <w:uiPriority w:val="99"/>
    <w:rsid w:val="00E44BF4"/>
    <w:pPr>
      <w:spacing w:after="240"/>
    </w:pPr>
    <w:rPr>
      <w:sz w:val="22"/>
    </w:rPr>
  </w:style>
  <w:style w:type="character" w:customStyle="1" w:styleId="BodyTextChar">
    <w:name w:val="Body Text Char"/>
    <w:link w:val="BodyText"/>
    <w:uiPriority w:val="99"/>
    <w:rsid w:val="00E44BF4"/>
    <w:rPr>
      <w:rFonts w:ascii="Times New Roman" w:hAnsi="Times New Roman"/>
      <w:sz w:val="22"/>
      <w:szCs w:val="22"/>
      <w:lang w:eastAsia="zh-CN"/>
    </w:rPr>
  </w:style>
  <w:style w:type="paragraph" w:customStyle="1" w:styleId="bullets">
    <w:name w:val="bullets"/>
    <w:basedOn w:val="Basetext"/>
    <w:rsid w:val="006E2C6E"/>
    <w:pPr>
      <w:numPr>
        <w:numId w:val="4"/>
      </w:numPr>
      <w:spacing w:after="120"/>
      <w:ind w:left="1080"/>
    </w:pPr>
  </w:style>
  <w:style w:type="paragraph" w:customStyle="1" w:styleId="bullets2nd-level">
    <w:name w:val="bullets_2nd-level"/>
    <w:basedOn w:val="Basetext"/>
    <w:rsid w:val="009C7345"/>
    <w:pPr>
      <w:numPr>
        <w:numId w:val="1"/>
      </w:numPr>
      <w:spacing w:after="120"/>
      <w:ind w:left="1440"/>
      <w:contextualSpacing/>
    </w:pPr>
  </w:style>
  <w:style w:type="paragraph" w:customStyle="1" w:styleId="bullets3rd-level">
    <w:name w:val="bullets_3rd-level"/>
    <w:basedOn w:val="Basetext"/>
    <w:rsid w:val="006E2C6E"/>
    <w:pPr>
      <w:numPr>
        <w:numId w:val="2"/>
      </w:numPr>
      <w:spacing w:after="120"/>
      <w:ind w:left="1800"/>
    </w:pPr>
  </w:style>
  <w:style w:type="paragraph" w:customStyle="1" w:styleId="figure-inline">
    <w:name w:val="figure-inline"/>
    <w:basedOn w:val="Basetext"/>
    <w:rsid w:val="003110F0"/>
    <w:pPr>
      <w:keepNext/>
      <w:spacing w:before="240"/>
      <w:jc w:val="center"/>
    </w:pPr>
  </w:style>
  <w:style w:type="paragraph" w:customStyle="1" w:styleId="cover-author">
    <w:name w:val="cover-author"/>
    <w:basedOn w:val="Basetext"/>
    <w:rsid w:val="004D2A2C"/>
    <w:pPr>
      <w:contextualSpacing/>
      <w:jc w:val="right"/>
    </w:pPr>
    <w:rPr>
      <w:rFonts w:ascii="Arial Black" w:hAnsi="Arial Black"/>
    </w:rPr>
  </w:style>
  <w:style w:type="paragraph" w:customStyle="1" w:styleId="cover-text">
    <w:name w:val="cover-text"/>
    <w:basedOn w:val="Basetext"/>
    <w:link w:val="cover-textChar"/>
    <w:rsid w:val="004D2A2C"/>
    <w:pPr>
      <w:spacing w:before="600" w:after="240"/>
      <w:contextualSpacing/>
      <w:jc w:val="right"/>
    </w:pPr>
    <w:rPr>
      <w:rFonts w:ascii="Arial" w:hAnsi="Arial"/>
    </w:rPr>
  </w:style>
  <w:style w:type="paragraph" w:customStyle="1" w:styleId="cover-title">
    <w:name w:val="cover-title"/>
    <w:basedOn w:val="Baseheading"/>
    <w:rsid w:val="00424D5D"/>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424D5D"/>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B9086B"/>
    <w:pPr>
      <w:spacing w:after="120" w:line="360" w:lineRule="auto"/>
    </w:pPr>
  </w:style>
  <w:style w:type="paragraph" w:customStyle="1" w:styleId="figure-notealt-1">
    <w:name w:val="figure-note_alt-1"/>
    <w:basedOn w:val="Basetext"/>
    <w:rsid w:val="00FA19C1"/>
    <w:pPr>
      <w:keepLines/>
      <w:spacing w:before="60"/>
      <w:ind w:left="187" w:hanging="187"/>
    </w:pPr>
    <w:rPr>
      <w:sz w:val="20"/>
    </w:rPr>
  </w:style>
  <w:style w:type="paragraph" w:customStyle="1" w:styleId="disclaimer-text">
    <w:name w:val="disclaimer-text"/>
    <w:basedOn w:val="Basetext"/>
    <w:rsid w:val="004D2A2C"/>
    <w:pPr>
      <w:spacing w:line="240" w:lineRule="exact"/>
      <w:jc w:val="right"/>
    </w:pPr>
    <w:rPr>
      <w:rFonts w:ascii="Arial" w:hAnsi="Arial"/>
      <w:sz w:val="16"/>
    </w:rPr>
  </w:style>
  <w:style w:type="character" w:styleId="EndnoteReference">
    <w:name w:val="endnote reference"/>
    <w:uiPriority w:val="99"/>
    <w:unhideWhenUsed/>
    <w:rsid w:val="009F34F4"/>
    <w:rPr>
      <w:vertAlign w:val="superscript"/>
    </w:rPr>
  </w:style>
  <w:style w:type="paragraph" w:styleId="EndnoteText">
    <w:name w:val="endnote text"/>
    <w:basedOn w:val="Basetext"/>
    <w:link w:val="EndnoteTextChar"/>
    <w:uiPriority w:val="99"/>
    <w:unhideWhenUsed/>
    <w:rsid w:val="00340F1C"/>
    <w:pPr>
      <w:keepLines/>
      <w:spacing w:after="240"/>
      <w:ind w:left="720" w:hanging="720"/>
    </w:pPr>
    <w:rPr>
      <w:szCs w:val="20"/>
    </w:rPr>
  </w:style>
  <w:style w:type="character" w:customStyle="1" w:styleId="EndnoteTextChar">
    <w:name w:val="Endnote Text Char"/>
    <w:link w:val="EndnoteText"/>
    <w:uiPriority w:val="99"/>
    <w:rsid w:val="00340F1C"/>
    <w:rPr>
      <w:rFonts w:ascii="Times New Roman" w:hAnsi="Times New Roman"/>
      <w:sz w:val="24"/>
      <w:lang w:eastAsia="zh-CN"/>
    </w:rPr>
  </w:style>
  <w:style w:type="paragraph" w:customStyle="1" w:styleId="equation">
    <w:name w:val="equation"/>
    <w:basedOn w:val="Basetext"/>
    <w:rsid w:val="00340F1C"/>
    <w:pPr>
      <w:tabs>
        <w:tab w:val="center" w:pos="4680"/>
        <w:tab w:val="right" w:pos="9360"/>
      </w:tabs>
      <w:spacing w:after="240" w:line="480" w:lineRule="atLeast"/>
    </w:pPr>
  </w:style>
  <w:style w:type="paragraph" w:customStyle="1" w:styleId="es-heading1">
    <w:name w:val="es-heading_1"/>
    <w:basedOn w:val="Baseheading"/>
    <w:rsid w:val="00DC5897"/>
    <w:pPr>
      <w:spacing w:before="120" w:after="120"/>
      <w:ind w:left="720" w:hanging="720"/>
    </w:pPr>
    <w:rPr>
      <w:rFonts w:ascii="Times New Roman Bold" w:hAnsi="Times New Roman Bold"/>
      <w:caps/>
    </w:rPr>
  </w:style>
  <w:style w:type="paragraph" w:customStyle="1" w:styleId="es-heading2">
    <w:name w:val="es-heading_2"/>
    <w:basedOn w:val="Baseheading"/>
    <w:rsid w:val="00DC5897"/>
    <w:pPr>
      <w:ind w:left="720" w:hanging="720"/>
      <w:outlineLvl w:val="1"/>
    </w:pPr>
  </w:style>
  <w:style w:type="paragraph" w:customStyle="1" w:styleId="es-heading3">
    <w:name w:val="es-heading_3"/>
    <w:basedOn w:val="Baseheading"/>
    <w:rsid w:val="00DC5897"/>
    <w:pPr>
      <w:ind w:left="720" w:hanging="720"/>
      <w:outlineLvl w:val="2"/>
    </w:pPr>
    <w:rPr>
      <w:i/>
    </w:rPr>
  </w:style>
  <w:style w:type="paragraph" w:customStyle="1" w:styleId="es-heading4">
    <w:name w:val="es-heading_4"/>
    <w:basedOn w:val="Baseheading"/>
    <w:rsid w:val="00DC5897"/>
    <w:pPr>
      <w:ind w:left="720" w:hanging="720"/>
      <w:outlineLvl w:val="3"/>
    </w:pPr>
    <w:rPr>
      <w:b w:val="0"/>
      <w:i/>
    </w:rPr>
  </w:style>
  <w:style w:type="paragraph" w:customStyle="1" w:styleId="figure-inlinew-box">
    <w:name w:val="figure-inline_w-box"/>
    <w:basedOn w:val="Basetext"/>
    <w:rsid w:val="00A47726"/>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8A7B08"/>
    <w:pPr>
      <w:numPr>
        <w:numId w:val="6"/>
      </w:numPr>
      <w:spacing w:before="60" w:after="60"/>
      <w:ind w:left="245" w:hanging="245"/>
    </w:pPr>
    <w:rPr>
      <w:sz w:val="20"/>
      <w:szCs w:val="24"/>
    </w:rPr>
  </w:style>
  <w:style w:type="paragraph" w:customStyle="1" w:styleId="figure-title">
    <w:name w:val="figure-title"/>
    <w:basedOn w:val="Basetext"/>
    <w:rsid w:val="006C03C4"/>
    <w:pPr>
      <w:keepNext/>
      <w:keepLines/>
      <w:tabs>
        <w:tab w:val="left" w:pos="1260"/>
      </w:tabs>
      <w:spacing w:before="240"/>
    </w:pPr>
    <w:rPr>
      <w:b/>
    </w:rPr>
  </w:style>
  <w:style w:type="paragraph" w:styleId="Footer">
    <w:name w:val="footer"/>
    <w:basedOn w:val="Basetext"/>
    <w:link w:val="FooterChar"/>
    <w:uiPriority w:val="99"/>
    <w:unhideWhenUsed/>
    <w:rsid w:val="000F1445"/>
    <w:pPr>
      <w:tabs>
        <w:tab w:val="center" w:pos="4680"/>
        <w:tab w:val="right" w:pos="9360"/>
      </w:tabs>
      <w:jc w:val="center"/>
    </w:pPr>
  </w:style>
  <w:style w:type="character" w:customStyle="1" w:styleId="FooterChar">
    <w:name w:val="Footer Char"/>
    <w:link w:val="Footer"/>
    <w:uiPriority w:val="99"/>
    <w:rsid w:val="000F1445"/>
    <w:rPr>
      <w:rFonts w:ascii="Times New Roman" w:hAnsi="Times New Roman"/>
      <w:sz w:val="24"/>
      <w:szCs w:val="22"/>
      <w:lang w:eastAsia="zh-CN"/>
    </w:rPr>
  </w:style>
  <w:style w:type="character" w:styleId="FootnoteReference">
    <w:name w:val="footnote reference"/>
    <w:unhideWhenUsed/>
    <w:rsid w:val="009F34F4"/>
    <w:rPr>
      <w:vertAlign w:val="superscript"/>
    </w:rPr>
  </w:style>
  <w:style w:type="paragraph" w:styleId="FootnoteText">
    <w:name w:val="footnote text"/>
    <w:basedOn w:val="Basetext"/>
    <w:link w:val="FootnoteTextChar"/>
    <w:uiPriority w:val="99"/>
    <w:unhideWhenUsed/>
    <w:rsid w:val="00545A68"/>
    <w:pPr>
      <w:ind w:left="274" w:hanging="274"/>
    </w:pPr>
    <w:rPr>
      <w:sz w:val="20"/>
      <w:szCs w:val="20"/>
    </w:rPr>
  </w:style>
  <w:style w:type="character" w:customStyle="1" w:styleId="FootnoteTextChar">
    <w:name w:val="Footnote Text Char"/>
    <w:link w:val="FootnoteText"/>
    <w:uiPriority w:val="99"/>
    <w:rsid w:val="00545A68"/>
    <w:rPr>
      <w:rFonts w:ascii="Times New Roman" w:hAnsi="Times New Roman"/>
      <w:lang w:eastAsia="zh-CN"/>
    </w:rPr>
  </w:style>
  <w:style w:type="paragraph" w:styleId="CommentSubject">
    <w:name w:val="annotation subject"/>
    <w:basedOn w:val="CommentText"/>
    <w:next w:val="CommentText"/>
    <w:link w:val="CommentSubjectChar"/>
    <w:uiPriority w:val="99"/>
    <w:semiHidden/>
    <w:unhideWhenUsed/>
    <w:rsid w:val="00655B3F"/>
    <w:rPr>
      <w:b/>
      <w:bCs/>
      <w:sz w:val="20"/>
    </w:rPr>
  </w:style>
  <w:style w:type="paragraph" w:styleId="Header">
    <w:name w:val="header"/>
    <w:basedOn w:val="Basetext"/>
    <w:link w:val="HeaderChar"/>
    <w:uiPriority w:val="99"/>
    <w:unhideWhenUsed/>
    <w:rsid w:val="00545A68"/>
    <w:rPr>
      <w:sz w:val="20"/>
    </w:rPr>
  </w:style>
  <w:style w:type="character" w:customStyle="1" w:styleId="HeaderChar">
    <w:name w:val="Header Char"/>
    <w:link w:val="Header"/>
    <w:uiPriority w:val="99"/>
    <w:rsid w:val="00545A68"/>
    <w:rPr>
      <w:rFonts w:ascii="Times New Roman" w:hAnsi="Times New Roman"/>
      <w:szCs w:val="22"/>
      <w:lang w:eastAsia="zh-CN"/>
    </w:rPr>
  </w:style>
  <w:style w:type="character" w:customStyle="1" w:styleId="Heading1Char">
    <w:name w:val="Heading 1 Char"/>
    <w:link w:val="Heading1"/>
    <w:uiPriority w:val="9"/>
    <w:rsid w:val="00376BDD"/>
    <w:rPr>
      <w:rFonts w:asciiTheme="minorHAnsi" w:hAnsiTheme="minorHAnsi"/>
      <w:b/>
      <w:bCs/>
      <w:caps/>
      <w:kern w:val="28"/>
      <w:sz w:val="28"/>
      <w:szCs w:val="28"/>
      <w:lang w:eastAsia="zh-CN"/>
    </w:rPr>
  </w:style>
  <w:style w:type="character" w:customStyle="1" w:styleId="Heading2Char">
    <w:name w:val="Heading 2 Char"/>
    <w:link w:val="Heading2"/>
    <w:uiPriority w:val="9"/>
    <w:rsid w:val="00376BDD"/>
    <w:rPr>
      <w:rFonts w:asciiTheme="minorHAnsi" w:eastAsia="MS Mincho" w:hAnsiTheme="minorHAnsi"/>
      <w:b/>
      <w:kern w:val="28"/>
      <w:sz w:val="28"/>
      <w:szCs w:val="24"/>
    </w:rPr>
  </w:style>
  <w:style w:type="character" w:customStyle="1" w:styleId="Heading3Char">
    <w:name w:val="Heading 3 Char"/>
    <w:link w:val="Heading3"/>
    <w:uiPriority w:val="9"/>
    <w:rsid w:val="00376BDD"/>
    <w:rPr>
      <w:rFonts w:ascii="Times New Roman" w:eastAsia="MS Mincho" w:hAnsi="Times New Roman"/>
      <w:kern w:val="28"/>
      <w:sz w:val="22"/>
      <w:u w:val="single"/>
    </w:rPr>
  </w:style>
  <w:style w:type="character" w:customStyle="1" w:styleId="Heading4Char">
    <w:name w:val="Heading 4 Char"/>
    <w:link w:val="Heading4"/>
    <w:uiPriority w:val="9"/>
    <w:rsid w:val="00D84EA6"/>
    <w:rPr>
      <w:rFonts w:ascii="Times New Roman" w:hAnsi="Times New Roman"/>
      <w:bCs/>
      <w:i/>
      <w:iCs/>
      <w:kern w:val="28"/>
      <w:sz w:val="24"/>
      <w:szCs w:val="22"/>
      <w:lang w:eastAsia="zh-CN"/>
    </w:rPr>
  </w:style>
  <w:style w:type="character" w:customStyle="1" w:styleId="Heading5Char">
    <w:name w:val="Heading 5 Char"/>
    <w:link w:val="Heading5"/>
    <w:uiPriority w:val="9"/>
    <w:rsid w:val="00545A68"/>
    <w:rPr>
      <w:rFonts w:ascii="Times New Roman" w:hAnsi="Times New Roman"/>
      <w:b/>
      <w:i/>
      <w:kern w:val="28"/>
      <w:szCs w:val="22"/>
      <w:lang w:eastAsia="zh-CN"/>
    </w:rPr>
  </w:style>
  <w:style w:type="character" w:styleId="Hyperlink">
    <w:name w:val="Hyperlink"/>
    <w:uiPriority w:val="99"/>
    <w:unhideWhenUsed/>
    <w:rsid w:val="001C5C06"/>
    <w:rPr>
      <w:color w:val="3333FF"/>
      <w:u w:val="none"/>
      <w:lang w:val="en-US"/>
    </w:rPr>
  </w:style>
  <w:style w:type="paragraph" w:styleId="ListContinue">
    <w:name w:val="List Continue"/>
    <w:basedOn w:val="Basetext"/>
    <w:unhideWhenUsed/>
    <w:rsid w:val="006E2C6E"/>
    <w:pPr>
      <w:spacing w:after="120"/>
      <w:ind w:left="720"/>
    </w:pPr>
  </w:style>
  <w:style w:type="paragraph" w:styleId="ListContinue2">
    <w:name w:val="List Continue 2"/>
    <w:basedOn w:val="Basetext"/>
    <w:uiPriority w:val="99"/>
    <w:unhideWhenUsed/>
    <w:rsid w:val="006E2C6E"/>
    <w:pPr>
      <w:spacing w:after="120"/>
      <w:ind w:left="1080"/>
    </w:pPr>
  </w:style>
  <w:style w:type="paragraph" w:styleId="ListParagraph">
    <w:name w:val="List Paragraph"/>
    <w:basedOn w:val="Basetext"/>
    <w:uiPriority w:val="34"/>
    <w:qFormat/>
    <w:rsid w:val="006E2C6E"/>
    <w:pPr>
      <w:ind w:left="720"/>
    </w:pPr>
  </w:style>
  <w:style w:type="character" w:styleId="PageNumber">
    <w:name w:val="page number"/>
    <w:unhideWhenUsed/>
    <w:rsid w:val="009A1700"/>
    <w:rPr>
      <w:rFonts w:ascii="Times New Roman" w:hAnsi="Times New Roman"/>
      <w:b w:val="0"/>
      <w:sz w:val="24"/>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FA19C1"/>
    <w:pPr>
      <w:keepLines/>
      <w:spacing w:before="60" w:after="240"/>
      <w:ind w:left="187" w:hanging="187"/>
    </w:pPr>
    <w:rPr>
      <w:sz w:val="20"/>
    </w:rPr>
  </w:style>
  <w:style w:type="paragraph" w:customStyle="1" w:styleId="figure-notestd">
    <w:name w:val="figure-note_std"/>
    <w:basedOn w:val="Basetext"/>
    <w:rsid w:val="00FA19C1"/>
    <w:pPr>
      <w:keepLines/>
      <w:spacing w:before="120"/>
      <w:ind w:left="187" w:hanging="187"/>
    </w:pPr>
    <w:rPr>
      <w:sz w:val="20"/>
    </w:rPr>
  </w:style>
  <w:style w:type="paragraph" w:customStyle="1" w:styleId="figure-sourcealt-1">
    <w:name w:val="figure-source_alt-1"/>
    <w:basedOn w:val="Basetext"/>
    <w:rsid w:val="00C73C7D"/>
    <w:pPr>
      <w:keepLines/>
      <w:spacing w:before="120"/>
      <w:ind w:left="720" w:hanging="720"/>
    </w:pPr>
    <w:rPr>
      <w:sz w:val="20"/>
    </w:rPr>
  </w:style>
  <w:style w:type="paragraph" w:customStyle="1" w:styleId="table-bullet2nd">
    <w:name w:val="table-bullet_2nd"/>
    <w:basedOn w:val="Basetext"/>
    <w:rsid w:val="00D11F18"/>
    <w:pPr>
      <w:numPr>
        <w:ilvl w:val="1"/>
        <w:numId w:val="3"/>
      </w:numPr>
      <w:spacing w:before="80" w:after="80"/>
    </w:pPr>
    <w:rPr>
      <w:sz w:val="22"/>
    </w:rPr>
  </w:style>
  <w:style w:type="paragraph" w:customStyle="1" w:styleId="table-bulletind">
    <w:name w:val="table-bullet_ind"/>
    <w:basedOn w:val="Basetext"/>
    <w:rsid w:val="00D11F18"/>
    <w:pPr>
      <w:numPr>
        <w:numId w:val="8"/>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8D14FA"/>
    <w:pPr>
      <w:numPr>
        <w:numId w:val="7"/>
      </w:numPr>
      <w:spacing w:before="80" w:after="80"/>
      <w:ind w:left="245" w:hanging="245"/>
    </w:pPr>
    <w:rPr>
      <w:sz w:val="22"/>
    </w:rPr>
  </w:style>
  <w:style w:type="paragraph" w:customStyle="1" w:styleId="table-headers">
    <w:name w:val="table-headers"/>
    <w:basedOn w:val="Basetext"/>
    <w:rsid w:val="006E2C6E"/>
    <w:pPr>
      <w:keepNext/>
      <w:spacing w:before="80" w:after="80"/>
      <w:jc w:val="center"/>
    </w:pPr>
    <w:rPr>
      <w:b/>
      <w:sz w:val="22"/>
    </w:rPr>
  </w:style>
  <w:style w:type="paragraph" w:styleId="TableofFigures">
    <w:name w:val="table of figures"/>
    <w:basedOn w:val="Basetext"/>
    <w:next w:val="Normal"/>
    <w:uiPriority w:val="99"/>
    <w:unhideWhenUsed/>
    <w:rsid w:val="00D84EA6"/>
    <w:pPr>
      <w:tabs>
        <w:tab w:val="right" w:leader="dot" w:pos="9360"/>
      </w:tabs>
      <w:spacing w:before="40" w:after="40"/>
      <w:ind w:left="1080" w:right="720" w:hanging="1080"/>
    </w:pPr>
    <w:rPr>
      <w:noProof/>
    </w:rPr>
  </w:style>
  <w:style w:type="paragraph" w:customStyle="1" w:styleId="table-text">
    <w:name w:val="table-text"/>
    <w:basedOn w:val="Basetext"/>
    <w:rsid w:val="008D14FA"/>
    <w:pPr>
      <w:spacing w:before="80" w:after="80"/>
    </w:pPr>
    <w:rPr>
      <w:sz w:val="22"/>
    </w:rPr>
  </w:style>
  <w:style w:type="paragraph" w:customStyle="1" w:styleId="table-textindent">
    <w:name w:val="table-text_indent"/>
    <w:basedOn w:val="Basetext"/>
    <w:qFormat/>
    <w:rsid w:val="008D14FA"/>
    <w:pPr>
      <w:spacing w:before="80" w:after="80"/>
      <w:ind w:left="245"/>
    </w:pPr>
    <w:rPr>
      <w:sz w:val="22"/>
    </w:rPr>
  </w:style>
  <w:style w:type="paragraph" w:customStyle="1" w:styleId="table-title">
    <w:name w:val="table-title"/>
    <w:basedOn w:val="Basetext"/>
    <w:rsid w:val="006E2C6E"/>
    <w:pPr>
      <w:keepNext/>
      <w:keepLines/>
      <w:spacing w:before="240" w:after="240"/>
    </w:pPr>
    <w:rPr>
      <w:b/>
    </w:rPr>
  </w:style>
  <w:style w:type="paragraph" w:customStyle="1" w:styleId="table-titlecontinued">
    <w:name w:val="table-title_continued"/>
    <w:basedOn w:val="Basetext"/>
    <w:rsid w:val="006E2C6E"/>
    <w:pPr>
      <w:keepNext/>
      <w:keepLines/>
      <w:spacing w:before="240" w:after="240"/>
    </w:pPr>
    <w:rPr>
      <w:b/>
    </w:rPr>
  </w:style>
  <w:style w:type="paragraph" w:customStyle="1" w:styleId="TOCsubheading">
    <w:name w:val="TOC_subheading"/>
    <w:basedOn w:val="Baseheading"/>
    <w:rsid w:val="00D84EA6"/>
    <w:pPr>
      <w:tabs>
        <w:tab w:val="right" w:pos="9360"/>
      </w:tabs>
      <w:spacing w:before="120"/>
      <w:outlineLvl w:val="9"/>
    </w:pPr>
  </w:style>
  <w:style w:type="paragraph" w:styleId="TOC1">
    <w:name w:val="toc 1"/>
    <w:basedOn w:val="Basetext"/>
    <w:next w:val="Normal"/>
    <w:uiPriority w:val="39"/>
    <w:unhideWhenUsed/>
    <w:rsid w:val="00AC685F"/>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AC685F"/>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AC685F"/>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D84EA6"/>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D84EA6"/>
    <w:pPr>
      <w:spacing w:before="0"/>
      <w:jc w:val="center"/>
      <w:outlineLvl w:val="9"/>
    </w:pPr>
    <w:rPr>
      <w:caps/>
      <w:kern w:val="0"/>
      <w:sz w:val="28"/>
    </w:rPr>
  </w:style>
  <w:style w:type="character" w:customStyle="1" w:styleId="CommentSubjectChar">
    <w:name w:val="Comment Subject Char"/>
    <w:link w:val="CommentSubject"/>
    <w:uiPriority w:val="99"/>
    <w:semiHidden/>
    <w:rsid w:val="00655B3F"/>
    <w:rPr>
      <w:rFonts w:ascii="Times New Roman" w:hAnsi="Times New Roman"/>
      <w:b/>
      <w:bCs/>
      <w:lang w:eastAsia="zh-CN"/>
    </w:rPr>
  </w:style>
  <w:style w:type="paragraph" w:customStyle="1" w:styleId="numbers">
    <w:name w:val="numbers"/>
    <w:basedOn w:val="Basetext"/>
    <w:rsid w:val="006E2C6E"/>
    <w:pPr>
      <w:spacing w:after="120"/>
      <w:ind w:left="1080" w:hanging="360"/>
    </w:pPr>
  </w:style>
  <w:style w:type="paragraph" w:customStyle="1" w:styleId="numbers2nd-level">
    <w:name w:val="numbers_2nd-level"/>
    <w:basedOn w:val="Basetext"/>
    <w:rsid w:val="006E2C6E"/>
    <w:pPr>
      <w:spacing w:after="120"/>
      <w:ind w:left="1440" w:hanging="360"/>
    </w:pPr>
  </w:style>
  <w:style w:type="paragraph" w:customStyle="1" w:styleId="cover-address">
    <w:name w:val="cover-address"/>
    <w:basedOn w:val="Basetext"/>
    <w:rsid w:val="004D2A2C"/>
    <w:pPr>
      <w:contextualSpacing/>
      <w:jc w:val="right"/>
    </w:pPr>
    <w:rPr>
      <w:rFonts w:ascii="Arial" w:hAnsi="Arial"/>
    </w:rPr>
  </w:style>
  <w:style w:type="paragraph" w:customStyle="1" w:styleId="cover-textbold">
    <w:name w:val="cover-text_bold"/>
    <w:basedOn w:val="Basetext"/>
    <w:rsid w:val="004D2A2C"/>
    <w:pPr>
      <w:spacing w:before="240" w:after="600"/>
      <w:contextualSpacing/>
      <w:jc w:val="right"/>
    </w:pPr>
    <w:rPr>
      <w:rFonts w:ascii="Arial" w:hAnsi="Arial"/>
      <w:b/>
    </w:rPr>
  </w:style>
  <w:style w:type="paragraph" w:customStyle="1" w:styleId="figure-sourcestd">
    <w:name w:val="figure-source_std"/>
    <w:basedOn w:val="Basetext"/>
    <w:rsid w:val="00C73C7D"/>
    <w:pPr>
      <w:keepLines/>
      <w:spacing w:before="120" w:after="240"/>
      <w:ind w:left="720" w:hanging="720"/>
    </w:pPr>
    <w:rPr>
      <w:sz w:val="20"/>
    </w:rPr>
  </w:style>
  <w:style w:type="character" w:customStyle="1" w:styleId="cover-textChar">
    <w:name w:val="cover-text Char"/>
    <w:link w:val="cover-text"/>
    <w:rsid w:val="004D2A2C"/>
    <w:rPr>
      <w:rFonts w:ascii="Arial" w:hAnsi="Arial"/>
      <w:sz w:val="24"/>
      <w:szCs w:val="22"/>
      <w:lang w:eastAsia="zh-CN"/>
    </w:rPr>
  </w:style>
  <w:style w:type="paragraph" w:customStyle="1" w:styleId="biblio-entry">
    <w:name w:val="biblio-entry"/>
    <w:basedOn w:val="Basetext"/>
    <w:rsid w:val="00BA5C96"/>
    <w:pPr>
      <w:keepLines/>
      <w:spacing w:after="240"/>
      <w:ind w:left="720" w:hanging="720"/>
    </w:pPr>
  </w:style>
  <w:style w:type="paragraph" w:customStyle="1" w:styleId="textbox-heading">
    <w:name w:val="textbox-heading"/>
    <w:basedOn w:val="Baseheading"/>
    <w:rsid w:val="006D10C6"/>
    <w:pPr>
      <w:spacing w:before="60" w:after="60"/>
      <w:jc w:val="center"/>
    </w:pPr>
    <w:rPr>
      <w:sz w:val="20"/>
    </w:rPr>
  </w:style>
  <w:style w:type="paragraph" w:customStyle="1" w:styleId="textbox-text">
    <w:name w:val="textbox-text"/>
    <w:basedOn w:val="Basetext"/>
    <w:rsid w:val="006D10C6"/>
    <w:pPr>
      <w:spacing w:before="60" w:after="60"/>
    </w:pPr>
    <w:rPr>
      <w:sz w:val="20"/>
    </w:rPr>
  </w:style>
  <w:style w:type="paragraph" w:customStyle="1" w:styleId="summary-header">
    <w:name w:val="summary-header"/>
    <w:basedOn w:val="Baseheading"/>
    <w:rsid w:val="00DC5897"/>
    <w:pPr>
      <w:spacing w:before="120" w:after="120"/>
      <w:ind w:left="720" w:hanging="720"/>
    </w:pPr>
    <w:rPr>
      <w:rFonts w:ascii="Times New Roman Bold" w:hAnsi="Times New Roman Bold"/>
      <w:caps/>
    </w:r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DC5897"/>
    <w:pPr>
      <w:spacing w:before="120" w:after="120"/>
      <w:ind w:left="720" w:hanging="720"/>
    </w:pPr>
    <w:rPr>
      <w:rFonts w:ascii="Times New Roman Bold" w:hAnsi="Times New Roman Bold"/>
      <w:caps/>
    </w:rPr>
  </w:style>
  <w:style w:type="paragraph" w:customStyle="1" w:styleId="author-affil-text">
    <w:name w:val="author-affil-text"/>
    <w:basedOn w:val="Basetext"/>
    <w:rsid w:val="00DC5897"/>
    <w:pPr>
      <w:spacing w:after="120" w:line="360" w:lineRule="auto"/>
      <w:ind w:firstLine="720"/>
    </w:pPr>
  </w:style>
  <w:style w:type="paragraph" w:customStyle="1" w:styleId="author-bio-info">
    <w:name w:val="author-bio-info"/>
    <w:basedOn w:val="Basetext"/>
    <w:rsid w:val="0031170E"/>
    <w:pPr>
      <w:spacing w:after="160" w:line="320" w:lineRule="exact"/>
    </w:pPr>
  </w:style>
  <w:style w:type="paragraph" w:customStyle="1" w:styleId="author-list-header">
    <w:name w:val="author-list-header"/>
    <w:basedOn w:val="Baseheading"/>
    <w:rsid w:val="00DC5897"/>
    <w:pPr>
      <w:spacing w:before="120" w:after="120"/>
      <w:ind w:left="720" w:hanging="720"/>
    </w:pPr>
    <w:rPr>
      <w:rFonts w:ascii="Times New Roman Bold" w:hAnsi="Times New Roman Bold"/>
      <w:caps/>
    </w:rPr>
  </w:style>
  <w:style w:type="paragraph" w:customStyle="1" w:styleId="author-list-name">
    <w:name w:val="author-list-name"/>
    <w:basedOn w:val="Basetext"/>
    <w:rsid w:val="008E3264"/>
    <w:pPr>
      <w:spacing w:after="720"/>
      <w:contextualSpacing/>
      <w:jc w:val="center"/>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DC5897"/>
    <w:pPr>
      <w:spacing w:before="120" w:after="120"/>
      <w:ind w:left="720" w:hanging="720"/>
    </w:pPr>
    <w:rPr>
      <w:rFonts w:ascii="Times New Roman Bold" w:hAnsi="Times New Roman Bold"/>
      <w:caps/>
    </w:r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
    <w:semiHidden/>
    <w:rsid w:val="00545A68"/>
    <w:rPr>
      <w:rFonts w:ascii="Times New Roman" w:hAnsi="Times New Roman"/>
      <w:b/>
      <w:bCs/>
      <w:kern w:val="28"/>
      <w:szCs w:val="22"/>
      <w:lang w:eastAsia="zh-CN"/>
    </w:rPr>
  </w:style>
  <w:style w:type="paragraph" w:customStyle="1" w:styleId="ack-header">
    <w:name w:val="ack-header"/>
    <w:basedOn w:val="Baseheading"/>
    <w:rsid w:val="00DC5897"/>
    <w:pPr>
      <w:spacing w:before="120" w:after="120"/>
      <w:ind w:left="720" w:hanging="720"/>
    </w:pPr>
    <w:rPr>
      <w:rFonts w:ascii="Times New Roman Bold" w:hAnsi="Times New Roman Bold"/>
      <w:caps/>
    </w:rPr>
  </w:style>
  <w:style w:type="paragraph" w:customStyle="1" w:styleId="ack-text">
    <w:name w:val="ack-text"/>
    <w:basedOn w:val="Basetext"/>
    <w:rsid w:val="00DC5897"/>
    <w:pPr>
      <w:spacing w:after="120" w:line="360" w:lineRule="auto"/>
      <w:ind w:firstLine="720"/>
    </w:pPr>
  </w:style>
  <w:style w:type="paragraph" w:customStyle="1" w:styleId="biblio-header">
    <w:name w:val="biblio-header"/>
    <w:basedOn w:val="Baseheading"/>
    <w:rsid w:val="00DC5897"/>
    <w:pPr>
      <w:spacing w:before="120" w:after="120"/>
      <w:ind w:left="720" w:hanging="720"/>
    </w:pPr>
    <w:rPr>
      <w:rFonts w:ascii="Times New Roman Bold" w:hAnsi="Times New Roman Bold"/>
      <w:caps/>
    </w:rPr>
  </w:style>
  <w:style w:type="paragraph" w:customStyle="1" w:styleId="endnote-header">
    <w:name w:val="endnote-header"/>
    <w:basedOn w:val="Baseheading"/>
    <w:rsid w:val="00DC5897"/>
    <w:pPr>
      <w:spacing w:before="120" w:after="120"/>
      <w:ind w:left="720" w:hanging="720"/>
    </w:pPr>
    <w:rPr>
      <w:rFonts w:ascii="Times New Roman Bold" w:hAnsi="Times New Roman Bold"/>
      <w:caps/>
    </w:rPr>
  </w:style>
  <w:style w:type="character" w:customStyle="1" w:styleId="Heading7Char">
    <w:name w:val="Heading 7 Char"/>
    <w:link w:val="Heading7"/>
    <w:uiPriority w:val="9"/>
    <w:semiHidden/>
    <w:rsid w:val="00545A68"/>
    <w:rPr>
      <w:rFonts w:ascii="Times New Roman" w:eastAsia="MS Mincho" w:hAnsi="Times New Roman"/>
      <w:b/>
      <w:i/>
      <w:kern w:val="28"/>
    </w:rPr>
  </w:style>
  <w:style w:type="paragraph" w:customStyle="1" w:styleId="cover-date">
    <w:name w:val="cover-date"/>
    <w:basedOn w:val="Basetext"/>
    <w:rsid w:val="004D2A2C"/>
    <w:pPr>
      <w:spacing w:before="240" w:after="720"/>
      <w:jc w:val="right"/>
    </w:pPr>
    <w:rPr>
      <w:rFonts w:ascii="Arial" w:hAnsi="Arial"/>
      <w:b/>
      <w:sz w:val="28"/>
    </w:rPr>
  </w:style>
  <w:style w:type="paragraph" w:customStyle="1" w:styleId="table-notealt-1">
    <w:name w:val="table-note_alt-1"/>
    <w:basedOn w:val="Basetext"/>
    <w:rsid w:val="00FB31D9"/>
    <w:pPr>
      <w:keepLines/>
      <w:spacing w:before="60"/>
      <w:ind w:left="187" w:hanging="187"/>
    </w:pPr>
    <w:rPr>
      <w:sz w:val="20"/>
    </w:rPr>
  </w:style>
  <w:style w:type="paragraph" w:customStyle="1" w:styleId="table-notealt-2">
    <w:name w:val="table-note_alt-2"/>
    <w:basedOn w:val="Basetext"/>
    <w:rsid w:val="00FB31D9"/>
    <w:pPr>
      <w:keepLines/>
      <w:spacing w:before="60" w:after="240"/>
      <w:ind w:left="187" w:hanging="187"/>
    </w:pPr>
    <w:rPr>
      <w:sz w:val="20"/>
    </w:rPr>
  </w:style>
  <w:style w:type="paragraph" w:customStyle="1" w:styleId="table-notestd">
    <w:name w:val="table-note_std"/>
    <w:basedOn w:val="Basetext"/>
    <w:rsid w:val="00FB31D9"/>
    <w:pPr>
      <w:keepLines/>
      <w:spacing w:before="120"/>
      <w:ind w:left="187" w:hanging="187"/>
    </w:pPr>
    <w:rPr>
      <w:sz w:val="20"/>
    </w:rPr>
  </w:style>
  <w:style w:type="paragraph" w:customStyle="1" w:styleId="table-sourcealt-1">
    <w:name w:val="table-source_alt-1"/>
    <w:basedOn w:val="Basetext"/>
    <w:rsid w:val="00FB31D9"/>
    <w:pPr>
      <w:keepLines/>
      <w:spacing w:before="60"/>
      <w:ind w:left="187" w:hanging="187"/>
    </w:pPr>
    <w:rPr>
      <w:sz w:val="20"/>
    </w:rPr>
  </w:style>
  <w:style w:type="paragraph" w:customStyle="1" w:styleId="table-sourcestd">
    <w:name w:val="table-source_std"/>
    <w:basedOn w:val="Basetext"/>
    <w:rsid w:val="00C73C7D"/>
    <w:pPr>
      <w:keepLines/>
      <w:spacing w:before="120" w:after="400"/>
      <w:ind w:left="187" w:hanging="187"/>
    </w:pPr>
    <w:rPr>
      <w:sz w:val="20"/>
    </w:rPr>
  </w:style>
  <w:style w:type="paragraph" w:customStyle="1" w:styleId="cover-project-no">
    <w:name w:val="cover-project-no"/>
    <w:basedOn w:val="Basetext"/>
    <w:rsid w:val="004D2A2C"/>
    <w:pPr>
      <w:autoSpaceDE w:val="0"/>
      <w:autoSpaceDN w:val="0"/>
      <w:adjustRightInd w:val="0"/>
      <w:spacing w:before="600" w:after="240"/>
      <w:contextualSpacing/>
      <w:jc w:val="right"/>
    </w:pPr>
    <w:rPr>
      <w:rFonts w:ascii="Arial" w:eastAsia="Times New Roman" w:hAnsi="Arial"/>
      <w:szCs w:val="24"/>
    </w:rPr>
  </w:style>
  <w:style w:type="table" w:styleId="TableGrid">
    <w:name w:val="Table Grid"/>
    <w:basedOn w:val="TableNormal"/>
    <w:uiPriority w:val="59"/>
    <w:rsid w:val="008A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4D2A2C"/>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8D14FA"/>
    <w:rPr>
      <w:rFonts w:ascii="Times New Roman" w:hAnsi="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BB4E0A"/>
    <w:rPr>
      <w:rFonts w:ascii="Segoe UI" w:hAnsi="Segoe UI" w:cs="Segoe UI"/>
      <w:sz w:val="18"/>
      <w:szCs w:val="18"/>
    </w:rPr>
  </w:style>
  <w:style w:type="character" w:customStyle="1" w:styleId="BalloonTextChar">
    <w:name w:val="Balloon Text Char"/>
    <w:link w:val="BalloonText"/>
    <w:uiPriority w:val="99"/>
    <w:rsid w:val="00BB4E0A"/>
    <w:rPr>
      <w:rFonts w:ascii="Segoe UI" w:hAnsi="Segoe UI" w:cs="Segoe UI"/>
      <w:sz w:val="18"/>
      <w:szCs w:val="18"/>
      <w:lang w:eastAsia="zh-CN"/>
    </w:rPr>
  </w:style>
  <w:style w:type="character" w:styleId="CommentReference">
    <w:name w:val="annotation reference"/>
    <w:uiPriority w:val="99"/>
    <w:unhideWhenUsed/>
    <w:rsid w:val="00BB4E0A"/>
    <w:rPr>
      <w:sz w:val="16"/>
      <w:szCs w:val="16"/>
    </w:rPr>
  </w:style>
  <w:style w:type="paragraph" w:styleId="CommentText">
    <w:name w:val="annotation text"/>
    <w:basedOn w:val="Normal"/>
    <w:link w:val="CommentTextChar"/>
    <w:unhideWhenUsed/>
    <w:rsid w:val="00BB4E0A"/>
    <w:rPr>
      <w:szCs w:val="20"/>
    </w:rPr>
  </w:style>
  <w:style w:type="character" w:customStyle="1" w:styleId="CommentTextChar">
    <w:name w:val="Comment Text Char"/>
    <w:link w:val="CommentText"/>
    <w:rsid w:val="00BB4E0A"/>
    <w:rPr>
      <w:rFonts w:ascii="Verdana" w:hAnsi="Verdana"/>
      <w:lang w:eastAsia="zh-CN"/>
    </w:rPr>
  </w:style>
  <w:style w:type="character" w:styleId="FollowedHyperlink">
    <w:name w:val="FollowedHyperlink"/>
    <w:uiPriority w:val="99"/>
    <w:rsid w:val="001C5C06"/>
    <w:rPr>
      <w:color w:val="6F57B5"/>
      <w:u w:val="none"/>
    </w:rPr>
  </w:style>
  <w:style w:type="paragraph" w:customStyle="1" w:styleId="titlepage-title">
    <w:name w:val="titlepage-title"/>
    <w:basedOn w:val="Basetext"/>
    <w:next w:val="Title"/>
    <w:rsid w:val="008E326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8E3264"/>
    <w:pPr>
      <w:spacing w:before="720"/>
      <w:jc w:val="center"/>
    </w:pPr>
  </w:style>
  <w:style w:type="paragraph" w:customStyle="1" w:styleId="rtitext">
    <w:name w:val="rti_text"/>
    <w:basedOn w:val="Normal"/>
    <w:qFormat/>
    <w:rsid w:val="008E326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376BDD"/>
    <w:pPr>
      <w:spacing w:before="240" w:after="60"/>
      <w:jc w:val="center"/>
      <w:outlineLvl w:val="0"/>
    </w:pPr>
    <w:rPr>
      <w:rFonts w:ascii="Times New Roman Bold" w:eastAsia="Times New Roman" w:hAnsi="Times New Roman Bold"/>
      <w:b/>
      <w:bCs/>
      <w:kern w:val="28"/>
      <w:sz w:val="32"/>
      <w:szCs w:val="32"/>
    </w:rPr>
  </w:style>
  <w:style w:type="character" w:customStyle="1" w:styleId="TitleChar">
    <w:name w:val="Title Char"/>
    <w:link w:val="Title"/>
    <w:uiPriority w:val="10"/>
    <w:rsid w:val="00376BDD"/>
    <w:rPr>
      <w:rFonts w:ascii="Times New Roman Bold" w:eastAsia="Times New Roman" w:hAnsi="Times New Roman Bold"/>
      <w:b/>
      <w:bCs/>
      <w:kern w:val="28"/>
      <w:sz w:val="32"/>
      <w:szCs w:val="32"/>
      <w:lang w:eastAsia="zh-CN"/>
    </w:rPr>
  </w:style>
  <w:style w:type="paragraph" w:styleId="ListNumber">
    <w:name w:val="List Number"/>
    <w:basedOn w:val="Normal"/>
    <w:uiPriority w:val="99"/>
    <w:unhideWhenUsed/>
    <w:rsid w:val="00E44BF4"/>
    <w:pPr>
      <w:numPr>
        <w:numId w:val="9"/>
      </w:numPr>
      <w:spacing w:after="240"/>
      <w:contextualSpacing/>
    </w:pPr>
    <w:rPr>
      <w:sz w:val="22"/>
    </w:rPr>
  </w:style>
  <w:style w:type="table" w:customStyle="1" w:styleId="TableGrid1">
    <w:name w:val="Table Grid1"/>
    <w:basedOn w:val="TableNormal"/>
    <w:next w:val="TableGrid"/>
    <w:uiPriority w:val="59"/>
    <w:rsid w:val="000D2F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F08"/>
    <w:rPr>
      <w:rFonts w:asciiTheme="minorHAnsi" w:eastAsiaTheme="minorHAnsi" w:hAnsiTheme="minorHAnsi" w:cstheme="minorBidi"/>
      <w:sz w:val="22"/>
      <w:szCs w:val="22"/>
    </w:rPr>
  </w:style>
  <w:style w:type="paragraph" w:styleId="ListBullet2">
    <w:name w:val="List Bullet 2"/>
    <w:basedOn w:val="Normal"/>
    <w:uiPriority w:val="99"/>
    <w:unhideWhenUsed/>
    <w:rsid w:val="000D2F08"/>
    <w:pPr>
      <w:spacing w:after="240"/>
      <w:ind w:left="1080" w:hanging="360"/>
      <w:contextualSpacing/>
    </w:pPr>
    <w:rPr>
      <w:rFonts w:eastAsiaTheme="minorHAnsi" w:cstheme="minorBidi"/>
      <w:sz w:val="22"/>
      <w:lang w:eastAsia="en-US"/>
    </w:rPr>
  </w:style>
  <w:style w:type="paragraph" w:styleId="ListBullet">
    <w:name w:val="List Bullet"/>
    <w:basedOn w:val="ListParagraph"/>
    <w:rsid w:val="000D2F08"/>
    <w:pPr>
      <w:numPr>
        <w:numId w:val="11"/>
      </w:numPr>
      <w:spacing w:after="240"/>
      <w:contextualSpacing/>
    </w:pPr>
    <w:rPr>
      <w:rFonts w:eastAsiaTheme="minorHAnsi" w:cstheme="minorBidi"/>
      <w:sz w:val="22"/>
      <w:lang w:eastAsia="en-US"/>
    </w:rPr>
  </w:style>
  <w:style w:type="paragraph" w:customStyle="1" w:styleId="ListBulletLast">
    <w:name w:val="List Bullet Last"/>
    <w:basedOn w:val="ListBullet"/>
    <w:qFormat/>
    <w:rsid w:val="000D2F08"/>
  </w:style>
  <w:style w:type="character" w:customStyle="1" w:styleId="ssens">
    <w:name w:val="ssens"/>
    <w:basedOn w:val="DefaultParagraphFont"/>
    <w:rsid w:val="000D2F08"/>
  </w:style>
  <w:style w:type="paragraph" w:styleId="Caption">
    <w:name w:val="caption"/>
    <w:basedOn w:val="Normal"/>
    <w:next w:val="Normal"/>
    <w:uiPriority w:val="35"/>
    <w:unhideWhenUsed/>
    <w:qFormat/>
    <w:rsid w:val="000D2F08"/>
    <w:pPr>
      <w:keepNext/>
      <w:spacing w:after="240"/>
    </w:pPr>
    <w:rPr>
      <w:rFonts w:eastAsiaTheme="minorHAnsi" w:cstheme="minorBidi"/>
      <w:b/>
      <w:bCs/>
      <w:sz w:val="22"/>
      <w:lang w:eastAsia="en-US"/>
    </w:rPr>
  </w:style>
  <w:style w:type="paragraph" w:customStyle="1" w:styleId="ExhibitTitle">
    <w:name w:val="Exhibit Title"/>
    <w:basedOn w:val="Caption"/>
    <w:qFormat/>
    <w:rsid w:val="000D2F08"/>
  </w:style>
  <w:style w:type="paragraph" w:customStyle="1" w:styleId="TableHeader">
    <w:name w:val="Table Header"/>
    <w:basedOn w:val="Normal"/>
    <w:qFormat/>
    <w:rsid w:val="000D2F08"/>
    <w:pPr>
      <w:keepNext/>
      <w:jc w:val="center"/>
    </w:pPr>
    <w:rPr>
      <w:rFonts w:eastAsiaTheme="minorHAnsi" w:cstheme="minorBidi"/>
      <w:b/>
      <w:sz w:val="22"/>
      <w:lang w:eastAsia="en-US"/>
    </w:rPr>
  </w:style>
  <w:style w:type="paragraph" w:customStyle="1" w:styleId="ExhibitNote1">
    <w:name w:val="Exhibit Note1"/>
    <w:basedOn w:val="Normal"/>
    <w:qFormat/>
    <w:rsid w:val="000D2F08"/>
    <w:rPr>
      <w:rFonts w:eastAsiaTheme="minorHAnsi" w:cstheme="minorBidi"/>
      <w:sz w:val="20"/>
      <w:szCs w:val="20"/>
      <w:lang w:eastAsia="en-US"/>
    </w:rPr>
  </w:style>
  <w:style w:type="paragraph" w:customStyle="1" w:styleId="ExhibitNote2">
    <w:name w:val="Exhibit Note2"/>
    <w:basedOn w:val="Normal"/>
    <w:qFormat/>
    <w:rsid w:val="000D2F08"/>
    <w:pPr>
      <w:spacing w:after="240"/>
    </w:pPr>
    <w:rPr>
      <w:rFonts w:eastAsiaTheme="minorHAnsi" w:cstheme="minorBidi"/>
      <w:sz w:val="20"/>
      <w:szCs w:val="20"/>
      <w:lang w:eastAsia="en-US"/>
    </w:rPr>
  </w:style>
  <w:style w:type="paragraph" w:customStyle="1" w:styleId="TableText1">
    <w:name w:val="Table Text1"/>
    <w:basedOn w:val="Normal"/>
    <w:qFormat/>
    <w:rsid w:val="00E42198"/>
    <w:pPr>
      <w:keepNext/>
      <w:spacing w:before="60" w:after="60"/>
    </w:pPr>
    <w:rPr>
      <w:rFonts w:eastAsiaTheme="minorHAnsi" w:cstheme="minorBidi"/>
      <w:sz w:val="20"/>
      <w:lang w:eastAsia="en-US"/>
    </w:rPr>
  </w:style>
  <w:style w:type="numbering" w:customStyle="1" w:styleId="OMBBlue">
    <w:name w:val="OMB_Blue"/>
    <w:uiPriority w:val="99"/>
    <w:rsid w:val="000D2F08"/>
    <w:pPr>
      <w:numPr>
        <w:numId w:val="12"/>
      </w:numPr>
    </w:pPr>
  </w:style>
  <w:style w:type="paragraph" w:styleId="Index1">
    <w:name w:val="index 1"/>
    <w:basedOn w:val="Normal"/>
    <w:next w:val="Normal"/>
    <w:autoRedefine/>
    <w:uiPriority w:val="99"/>
    <w:semiHidden/>
    <w:unhideWhenUsed/>
    <w:rsid w:val="000D2F08"/>
    <w:pPr>
      <w:ind w:left="220" w:hanging="220"/>
    </w:pPr>
    <w:rPr>
      <w:rFonts w:eastAsiaTheme="minorHAnsi" w:cstheme="minorBidi"/>
      <w:sz w:val="22"/>
      <w:lang w:eastAsia="en-US"/>
    </w:rPr>
  </w:style>
  <w:style w:type="paragraph" w:styleId="Bibliography">
    <w:name w:val="Bibliography"/>
    <w:basedOn w:val="Normal"/>
    <w:next w:val="Normal"/>
    <w:uiPriority w:val="37"/>
    <w:semiHidden/>
    <w:unhideWhenUsed/>
    <w:rsid w:val="000D2F08"/>
    <w:pPr>
      <w:spacing w:after="240"/>
    </w:pPr>
    <w:rPr>
      <w:rFonts w:eastAsiaTheme="minorHAnsi" w:cstheme="minorBidi"/>
      <w:sz w:val="22"/>
      <w:lang w:eastAsia="en-US"/>
    </w:rPr>
  </w:style>
  <w:style w:type="character" w:customStyle="1" w:styleId="apple-converted-space">
    <w:name w:val="apple-converted-space"/>
    <w:basedOn w:val="DefaultParagraphFont"/>
    <w:rsid w:val="000D2F08"/>
  </w:style>
  <w:style w:type="paragraph" w:styleId="BodyText2">
    <w:name w:val="Body Text 2"/>
    <w:basedOn w:val="Normal"/>
    <w:link w:val="BodyText2Char"/>
    <w:uiPriority w:val="99"/>
    <w:semiHidden/>
    <w:unhideWhenUsed/>
    <w:rsid w:val="000D2F08"/>
    <w:pPr>
      <w:spacing w:after="120" w:line="480" w:lineRule="auto"/>
    </w:pPr>
    <w:rPr>
      <w:rFonts w:eastAsiaTheme="minorHAnsi" w:cstheme="minorBidi"/>
      <w:sz w:val="22"/>
      <w:lang w:eastAsia="en-US"/>
    </w:rPr>
  </w:style>
  <w:style w:type="character" w:customStyle="1" w:styleId="BodyText2Char">
    <w:name w:val="Body Text 2 Char"/>
    <w:basedOn w:val="DefaultParagraphFont"/>
    <w:link w:val="BodyText2"/>
    <w:uiPriority w:val="99"/>
    <w:semiHidden/>
    <w:rsid w:val="000D2F08"/>
    <w:rPr>
      <w:rFonts w:ascii="Times New Roman" w:eastAsiaTheme="minorHAnsi" w:hAnsi="Times New Roman" w:cstheme="minorBidi"/>
      <w:sz w:val="22"/>
      <w:szCs w:val="22"/>
    </w:rPr>
  </w:style>
  <w:style w:type="paragraph" w:customStyle="1" w:styleId="Tablebullet">
    <w:name w:val="Table_bullet"/>
    <w:basedOn w:val="ListParagraph"/>
    <w:qFormat/>
    <w:rsid w:val="000D2F08"/>
    <w:pPr>
      <w:keepNext/>
      <w:keepLines/>
      <w:numPr>
        <w:numId w:val="13"/>
      </w:numPr>
      <w:spacing w:line="200" w:lineRule="exact"/>
      <w:contextualSpacing/>
    </w:pPr>
    <w:rPr>
      <w:rFonts w:ascii="Arial" w:eastAsia="Times New Roman" w:hAnsi="Arial" w:cs="Arial"/>
      <w:sz w:val="18"/>
      <w:szCs w:val="18"/>
      <w:lang w:eastAsia="en-US"/>
    </w:rPr>
  </w:style>
  <w:style w:type="paragraph" w:customStyle="1" w:styleId="Body">
    <w:name w:val="Body"/>
    <w:basedOn w:val="Normal"/>
    <w:uiPriority w:val="1"/>
    <w:qFormat/>
    <w:rsid w:val="000D2F08"/>
    <w:pPr>
      <w:spacing w:before="240" w:after="120" w:line="360" w:lineRule="auto"/>
      <w:ind w:left="720"/>
    </w:pPr>
    <w:rPr>
      <w:rFonts w:ascii="Cambria" w:eastAsiaTheme="minorHAnsi" w:hAnsi="Cambria" w:cstheme="minorBidi"/>
      <w:lang w:eastAsia="en-US"/>
    </w:rPr>
  </w:style>
  <w:style w:type="paragraph" w:customStyle="1" w:styleId="Default">
    <w:name w:val="Default"/>
    <w:rsid w:val="000D2F08"/>
    <w:pPr>
      <w:autoSpaceDE w:val="0"/>
      <w:autoSpaceDN w:val="0"/>
      <w:adjustRightInd w:val="0"/>
    </w:pPr>
    <w:rPr>
      <w:rFonts w:ascii="Arial" w:eastAsiaTheme="minorHAnsi" w:hAnsi="Arial" w:cs="Arial"/>
      <w:color w:val="000000"/>
      <w:sz w:val="24"/>
      <w:szCs w:val="24"/>
    </w:rPr>
  </w:style>
  <w:style w:type="paragraph" w:customStyle="1" w:styleId="bulletsblank">
    <w:name w:val="bullets_blank"/>
    <w:basedOn w:val="Normal"/>
    <w:rsid w:val="009C7345"/>
    <w:pPr>
      <w:keepLines/>
      <w:shd w:val="clear" w:color="auto" w:fill="FFFFFF" w:themeFill="background1"/>
      <w:spacing w:after="240"/>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1924">
      <w:bodyDiv w:val="1"/>
      <w:marLeft w:val="0"/>
      <w:marRight w:val="0"/>
      <w:marTop w:val="0"/>
      <w:marBottom w:val="0"/>
      <w:divBdr>
        <w:top w:val="none" w:sz="0" w:space="0" w:color="auto"/>
        <w:left w:val="none" w:sz="0" w:space="0" w:color="auto"/>
        <w:bottom w:val="none" w:sz="0" w:space="0" w:color="auto"/>
        <w:right w:val="none" w:sz="0" w:space="0" w:color="auto"/>
      </w:divBdr>
    </w:div>
    <w:div w:id="331227943">
      <w:bodyDiv w:val="1"/>
      <w:marLeft w:val="0"/>
      <w:marRight w:val="0"/>
      <w:marTop w:val="0"/>
      <w:marBottom w:val="0"/>
      <w:divBdr>
        <w:top w:val="none" w:sz="0" w:space="0" w:color="auto"/>
        <w:left w:val="none" w:sz="0" w:space="0" w:color="auto"/>
        <w:bottom w:val="none" w:sz="0" w:space="0" w:color="auto"/>
        <w:right w:val="none" w:sz="0" w:space="0" w:color="auto"/>
      </w:divBdr>
    </w:div>
    <w:div w:id="358967907">
      <w:bodyDiv w:val="1"/>
      <w:marLeft w:val="0"/>
      <w:marRight w:val="0"/>
      <w:marTop w:val="0"/>
      <w:marBottom w:val="0"/>
      <w:divBdr>
        <w:top w:val="none" w:sz="0" w:space="0" w:color="auto"/>
        <w:left w:val="none" w:sz="0" w:space="0" w:color="auto"/>
        <w:bottom w:val="none" w:sz="0" w:space="0" w:color="auto"/>
        <w:right w:val="none" w:sz="0" w:space="0" w:color="auto"/>
      </w:divBdr>
    </w:div>
    <w:div w:id="430442924">
      <w:bodyDiv w:val="1"/>
      <w:marLeft w:val="0"/>
      <w:marRight w:val="0"/>
      <w:marTop w:val="0"/>
      <w:marBottom w:val="0"/>
      <w:divBdr>
        <w:top w:val="none" w:sz="0" w:space="0" w:color="auto"/>
        <w:left w:val="none" w:sz="0" w:space="0" w:color="auto"/>
        <w:bottom w:val="none" w:sz="0" w:space="0" w:color="auto"/>
        <w:right w:val="none" w:sz="0" w:space="0" w:color="auto"/>
      </w:divBdr>
    </w:div>
    <w:div w:id="1553926683">
      <w:bodyDiv w:val="1"/>
      <w:marLeft w:val="0"/>
      <w:marRight w:val="0"/>
      <w:marTop w:val="0"/>
      <w:marBottom w:val="0"/>
      <w:divBdr>
        <w:top w:val="none" w:sz="0" w:space="0" w:color="auto"/>
        <w:left w:val="none" w:sz="0" w:space="0" w:color="auto"/>
        <w:bottom w:val="none" w:sz="0" w:space="0" w:color="auto"/>
        <w:right w:val="none" w:sz="0" w:space="0" w:color="auto"/>
      </w:divBdr>
    </w:div>
    <w:div w:id="20967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999200.htm" TargetMode="External"/><Relationship Id="rId18" Type="http://schemas.openxmlformats.org/officeDocument/2006/relationships/hyperlink" Target="http://dx.doi.org/10.1037/a0019623" TargetMode="External"/><Relationship Id="rId26" Type="http://schemas.openxmlformats.org/officeDocument/2006/relationships/hyperlink" Target="http://dx.doi.org/10.1093/biomet/70.1.41" TargetMode="External"/><Relationship Id="rId3" Type="http://schemas.openxmlformats.org/officeDocument/2006/relationships/styles" Target="styles.xml"/><Relationship Id="rId21" Type="http://schemas.openxmlformats.org/officeDocument/2006/relationships/hyperlink" Target="http://dx.doi.org/10.1037/1082-989X.9.4.403" TargetMode="External"/><Relationship Id="rId7" Type="http://schemas.openxmlformats.org/officeDocument/2006/relationships/footnotes" Target="footnotes.xml"/><Relationship Id="rId12" Type="http://schemas.openxmlformats.org/officeDocument/2006/relationships/hyperlink" Target="https://www.bls.gov/oes/current/naics4_999200.htm" TargetMode="External"/><Relationship Id="rId17" Type="http://schemas.openxmlformats.org/officeDocument/2006/relationships/hyperlink" Target="http://dx.doi.org/10.1037/0012-1649.44.2.365" TargetMode="External"/><Relationship Id="rId25" Type="http://schemas.openxmlformats.org/officeDocument/2006/relationships/hyperlink" Target="http://dx.doi.org/10.1377/hlthaff.2015.14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37/a0015914" TargetMode="External"/><Relationship Id="rId20" Type="http://schemas.openxmlformats.org/officeDocument/2006/relationships/hyperlink" Target="http://dx.doi.org/10.1111/add.13620" TargetMode="External"/><Relationship Id="rId29" Type="http://schemas.openxmlformats.org/officeDocument/2006/relationships/hyperlink" Target="http://store.samhsa.gov/shin/content/SMA16-4742/SMA16-474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naics4_999200.htm" TargetMode="External"/><Relationship Id="rId24" Type="http://schemas.openxmlformats.org/officeDocument/2006/relationships/hyperlink" Target="http://www.whitehouse.gov/sites/default/files/ondcp/issues-content/prescription-drugs/rx_abuse_plan_0.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x.doi.org/10.1016/j.drugalcdep.2016.04.033" TargetMode="External"/><Relationship Id="rId23" Type="http://schemas.openxmlformats.org/officeDocument/2006/relationships/hyperlink" Target="http://www.drugabuse.gov/sites/default/files/rrprescription.pdf" TargetMode="External"/><Relationship Id="rId28" Type="http://schemas.openxmlformats.org/officeDocument/2006/relationships/hyperlink" Target="https://www.samhsa.gov/data/sites/default/files/NSDUH-FFR1-2015/NSDUH-FFR1-2015/NSDUH-FFR1-2015.pdf" TargetMode="External"/><Relationship Id="rId10" Type="http://schemas.openxmlformats.org/officeDocument/2006/relationships/hyperlink" Target="https://www.bls.gov/oes/current/naics4_999200.htm" TargetMode="External"/><Relationship Id="rId19" Type="http://schemas.openxmlformats.org/officeDocument/2006/relationships/hyperlink" Target="http://dx.doi.org/10.1198/016214504000001187"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bls.gov/oes/current/naics4_999200.htm" TargetMode="External"/><Relationship Id="rId14" Type="http://schemas.openxmlformats.org/officeDocument/2006/relationships/hyperlink" Target="https://www.cdc.gov/nchs/data/factsheets/factsheet_drug_poisoning.pdf" TargetMode="External"/><Relationship Id="rId22" Type="http://schemas.openxmlformats.org/officeDocument/2006/relationships/hyperlink" Target="http://dx.doi.org/10.1111/1467-9531.271034" TargetMode="External"/><Relationship Id="rId27" Type="http://schemas.openxmlformats.org/officeDocument/2006/relationships/hyperlink" Target="http://dx.doi.org/10.1037/a001591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EA6E-B843-48AA-9423-1CBEA8D2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11144</Words>
  <Characters>63522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Inera Inc</Company>
  <LinksUpToDate>false</LinksUpToDate>
  <CharactersWithSpaces>74517</CharactersWithSpaces>
  <SharedDoc>false</SharedDoc>
  <HLinks>
    <vt:vector size="210" baseType="variant">
      <vt:variant>
        <vt:i4>1638449</vt:i4>
      </vt:variant>
      <vt:variant>
        <vt:i4>209</vt:i4>
      </vt:variant>
      <vt:variant>
        <vt:i4>0</vt:i4>
      </vt:variant>
      <vt:variant>
        <vt:i4>5</vt:i4>
      </vt:variant>
      <vt:variant>
        <vt:lpwstr/>
      </vt:variant>
      <vt:variant>
        <vt:lpwstr>_Toc475009004</vt:lpwstr>
      </vt:variant>
      <vt:variant>
        <vt:i4>1638449</vt:i4>
      </vt:variant>
      <vt:variant>
        <vt:i4>203</vt:i4>
      </vt:variant>
      <vt:variant>
        <vt:i4>0</vt:i4>
      </vt:variant>
      <vt:variant>
        <vt:i4>5</vt:i4>
      </vt:variant>
      <vt:variant>
        <vt:lpwstr/>
      </vt:variant>
      <vt:variant>
        <vt:lpwstr>_Toc475009003</vt:lpwstr>
      </vt:variant>
      <vt:variant>
        <vt:i4>1638449</vt:i4>
      </vt:variant>
      <vt:variant>
        <vt:i4>197</vt:i4>
      </vt:variant>
      <vt:variant>
        <vt:i4>0</vt:i4>
      </vt:variant>
      <vt:variant>
        <vt:i4>5</vt:i4>
      </vt:variant>
      <vt:variant>
        <vt:lpwstr/>
      </vt:variant>
      <vt:variant>
        <vt:lpwstr>_Toc475009002</vt:lpwstr>
      </vt:variant>
      <vt:variant>
        <vt:i4>1638449</vt:i4>
      </vt:variant>
      <vt:variant>
        <vt:i4>188</vt:i4>
      </vt:variant>
      <vt:variant>
        <vt:i4>0</vt:i4>
      </vt:variant>
      <vt:variant>
        <vt:i4>5</vt:i4>
      </vt:variant>
      <vt:variant>
        <vt:lpwstr/>
      </vt:variant>
      <vt:variant>
        <vt:lpwstr>_Toc475009001</vt:lpwstr>
      </vt:variant>
      <vt:variant>
        <vt:i4>1638449</vt:i4>
      </vt:variant>
      <vt:variant>
        <vt:i4>182</vt:i4>
      </vt:variant>
      <vt:variant>
        <vt:i4>0</vt:i4>
      </vt:variant>
      <vt:variant>
        <vt:i4>5</vt:i4>
      </vt:variant>
      <vt:variant>
        <vt:lpwstr/>
      </vt:variant>
      <vt:variant>
        <vt:lpwstr>_Toc475009000</vt:lpwstr>
      </vt:variant>
      <vt:variant>
        <vt:i4>1114168</vt:i4>
      </vt:variant>
      <vt:variant>
        <vt:i4>176</vt:i4>
      </vt:variant>
      <vt:variant>
        <vt:i4>0</vt:i4>
      </vt:variant>
      <vt:variant>
        <vt:i4>5</vt:i4>
      </vt:variant>
      <vt:variant>
        <vt:lpwstr/>
      </vt:variant>
      <vt:variant>
        <vt:lpwstr>_Toc475008999</vt:lpwstr>
      </vt:variant>
      <vt:variant>
        <vt:i4>1114168</vt:i4>
      </vt:variant>
      <vt:variant>
        <vt:i4>170</vt:i4>
      </vt:variant>
      <vt:variant>
        <vt:i4>0</vt:i4>
      </vt:variant>
      <vt:variant>
        <vt:i4>5</vt:i4>
      </vt:variant>
      <vt:variant>
        <vt:lpwstr/>
      </vt:variant>
      <vt:variant>
        <vt:lpwstr>_Toc475008998</vt:lpwstr>
      </vt:variant>
      <vt:variant>
        <vt:i4>1114168</vt:i4>
      </vt:variant>
      <vt:variant>
        <vt:i4>164</vt:i4>
      </vt:variant>
      <vt:variant>
        <vt:i4>0</vt:i4>
      </vt:variant>
      <vt:variant>
        <vt:i4>5</vt:i4>
      </vt:variant>
      <vt:variant>
        <vt:lpwstr/>
      </vt:variant>
      <vt:variant>
        <vt:lpwstr>_Toc475008997</vt:lpwstr>
      </vt:variant>
      <vt:variant>
        <vt:i4>1114168</vt:i4>
      </vt:variant>
      <vt:variant>
        <vt:i4>158</vt:i4>
      </vt:variant>
      <vt:variant>
        <vt:i4>0</vt:i4>
      </vt:variant>
      <vt:variant>
        <vt:i4>5</vt:i4>
      </vt:variant>
      <vt:variant>
        <vt:lpwstr/>
      </vt:variant>
      <vt:variant>
        <vt:lpwstr>_Toc475008996</vt:lpwstr>
      </vt:variant>
      <vt:variant>
        <vt:i4>1114168</vt:i4>
      </vt:variant>
      <vt:variant>
        <vt:i4>152</vt:i4>
      </vt:variant>
      <vt:variant>
        <vt:i4>0</vt:i4>
      </vt:variant>
      <vt:variant>
        <vt:i4>5</vt:i4>
      </vt:variant>
      <vt:variant>
        <vt:lpwstr/>
      </vt:variant>
      <vt:variant>
        <vt:lpwstr>_Toc475008995</vt:lpwstr>
      </vt:variant>
      <vt:variant>
        <vt:i4>1114168</vt:i4>
      </vt:variant>
      <vt:variant>
        <vt:i4>146</vt:i4>
      </vt:variant>
      <vt:variant>
        <vt:i4>0</vt:i4>
      </vt:variant>
      <vt:variant>
        <vt:i4>5</vt:i4>
      </vt:variant>
      <vt:variant>
        <vt:lpwstr/>
      </vt:variant>
      <vt:variant>
        <vt:lpwstr>_Toc475008994</vt:lpwstr>
      </vt:variant>
      <vt:variant>
        <vt:i4>1114168</vt:i4>
      </vt:variant>
      <vt:variant>
        <vt:i4>140</vt:i4>
      </vt:variant>
      <vt:variant>
        <vt:i4>0</vt:i4>
      </vt:variant>
      <vt:variant>
        <vt:i4>5</vt:i4>
      </vt:variant>
      <vt:variant>
        <vt:lpwstr/>
      </vt:variant>
      <vt:variant>
        <vt:lpwstr>_Toc475008993</vt:lpwstr>
      </vt:variant>
      <vt:variant>
        <vt:i4>1114168</vt:i4>
      </vt:variant>
      <vt:variant>
        <vt:i4>134</vt:i4>
      </vt:variant>
      <vt:variant>
        <vt:i4>0</vt:i4>
      </vt:variant>
      <vt:variant>
        <vt:i4>5</vt:i4>
      </vt:variant>
      <vt:variant>
        <vt:lpwstr/>
      </vt:variant>
      <vt:variant>
        <vt:lpwstr>_Toc475008992</vt:lpwstr>
      </vt:variant>
      <vt:variant>
        <vt:i4>1114168</vt:i4>
      </vt:variant>
      <vt:variant>
        <vt:i4>128</vt:i4>
      </vt:variant>
      <vt:variant>
        <vt:i4>0</vt:i4>
      </vt:variant>
      <vt:variant>
        <vt:i4>5</vt:i4>
      </vt:variant>
      <vt:variant>
        <vt:lpwstr/>
      </vt:variant>
      <vt:variant>
        <vt:lpwstr>_Toc475008991</vt:lpwstr>
      </vt:variant>
      <vt:variant>
        <vt:i4>1114168</vt:i4>
      </vt:variant>
      <vt:variant>
        <vt:i4>122</vt:i4>
      </vt:variant>
      <vt:variant>
        <vt:i4>0</vt:i4>
      </vt:variant>
      <vt:variant>
        <vt:i4>5</vt:i4>
      </vt:variant>
      <vt:variant>
        <vt:lpwstr/>
      </vt:variant>
      <vt:variant>
        <vt:lpwstr>_Toc475008990</vt:lpwstr>
      </vt:variant>
      <vt:variant>
        <vt:i4>1048632</vt:i4>
      </vt:variant>
      <vt:variant>
        <vt:i4>116</vt:i4>
      </vt:variant>
      <vt:variant>
        <vt:i4>0</vt:i4>
      </vt:variant>
      <vt:variant>
        <vt:i4>5</vt:i4>
      </vt:variant>
      <vt:variant>
        <vt:lpwstr/>
      </vt:variant>
      <vt:variant>
        <vt:lpwstr>_Toc475008989</vt:lpwstr>
      </vt:variant>
      <vt:variant>
        <vt:i4>1048632</vt:i4>
      </vt:variant>
      <vt:variant>
        <vt:i4>110</vt:i4>
      </vt:variant>
      <vt:variant>
        <vt:i4>0</vt:i4>
      </vt:variant>
      <vt:variant>
        <vt:i4>5</vt:i4>
      </vt:variant>
      <vt:variant>
        <vt:lpwstr/>
      </vt:variant>
      <vt:variant>
        <vt:lpwstr>_Toc475008988</vt:lpwstr>
      </vt:variant>
      <vt:variant>
        <vt:i4>1048632</vt:i4>
      </vt:variant>
      <vt:variant>
        <vt:i4>104</vt:i4>
      </vt:variant>
      <vt:variant>
        <vt:i4>0</vt:i4>
      </vt:variant>
      <vt:variant>
        <vt:i4>5</vt:i4>
      </vt:variant>
      <vt:variant>
        <vt:lpwstr/>
      </vt:variant>
      <vt:variant>
        <vt:lpwstr>_Toc475008987</vt:lpwstr>
      </vt:variant>
      <vt:variant>
        <vt:i4>1048632</vt:i4>
      </vt:variant>
      <vt:variant>
        <vt:i4>98</vt:i4>
      </vt:variant>
      <vt:variant>
        <vt:i4>0</vt:i4>
      </vt:variant>
      <vt:variant>
        <vt:i4>5</vt:i4>
      </vt:variant>
      <vt:variant>
        <vt:lpwstr/>
      </vt:variant>
      <vt:variant>
        <vt:lpwstr>_Toc475008986</vt:lpwstr>
      </vt:variant>
      <vt:variant>
        <vt:i4>1048632</vt:i4>
      </vt:variant>
      <vt:variant>
        <vt:i4>92</vt:i4>
      </vt:variant>
      <vt:variant>
        <vt:i4>0</vt:i4>
      </vt:variant>
      <vt:variant>
        <vt:i4>5</vt:i4>
      </vt:variant>
      <vt:variant>
        <vt:lpwstr/>
      </vt:variant>
      <vt:variant>
        <vt:lpwstr>_Toc475008985</vt:lpwstr>
      </vt:variant>
      <vt:variant>
        <vt:i4>1048632</vt:i4>
      </vt:variant>
      <vt:variant>
        <vt:i4>86</vt:i4>
      </vt:variant>
      <vt:variant>
        <vt:i4>0</vt:i4>
      </vt:variant>
      <vt:variant>
        <vt:i4>5</vt:i4>
      </vt:variant>
      <vt:variant>
        <vt:lpwstr/>
      </vt:variant>
      <vt:variant>
        <vt:lpwstr>_Toc475008984</vt:lpwstr>
      </vt:variant>
      <vt:variant>
        <vt:i4>1048632</vt:i4>
      </vt:variant>
      <vt:variant>
        <vt:i4>80</vt:i4>
      </vt:variant>
      <vt:variant>
        <vt:i4>0</vt:i4>
      </vt:variant>
      <vt:variant>
        <vt:i4>5</vt:i4>
      </vt:variant>
      <vt:variant>
        <vt:lpwstr/>
      </vt:variant>
      <vt:variant>
        <vt:lpwstr>_Toc475008983</vt:lpwstr>
      </vt:variant>
      <vt:variant>
        <vt:i4>1048632</vt:i4>
      </vt:variant>
      <vt:variant>
        <vt:i4>74</vt:i4>
      </vt:variant>
      <vt:variant>
        <vt:i4>0</vt:i4>
      </vt:variant>
      <vt:variant>
        <vt:i4>5</vt:i4>
      </vt:variant>
      <vt:variant>
        <vt:lpwstr/>
      </vt:variant>
      <vt:variant>
        <vt:lpwstr>_Toc475008982</vt:lpwstr>
      </vt:variant>
      <vt:variant>
        <vt:i4>1048632</vt:i4>
      </vt:variant>
      <vt:variant>
        <vt:i4>68</vt:i4>
      </vt:variant>
      <vt:variant>
        <vt:i4>0</vt:i4>
      </vt:variant>
      <vt:variant>
        <vt:i4>5</vt:i4>
      </vt:variant>
      <vt:variant>
        <vt:lpwstr/>
      </vt:variant>
      <vt:variant>
        <vt:lpwstr>_Toc475008981</vt:lpwstr>
      </vt:variant>
      <vt:variant>
        <vt:i4>1048632</vt:i4>
      </vt:variant>
      <vt:variant>
        <vt:i4>62</vt:i4>
      </vt:variant>
      <vt:variant>
        <vt:i4>0</vt:i4>
      </vt:variant>
      <vt:variant>
        <vt:i4>5</vt:i4>
      </vt:variant>
      <vt:variant>
        <vt:lpwstr/>
      </vt:variant>
      <vt:variant>
        <vt:lpwstr>_Toc475008980</vt:lpwstr>
      </vt:variant>
      <vt:variant>
        <vt:i4>2031672</vt:i4>
      </vt:variant>
      <vt:variant>
        <vt:i4>56</vt:i4>
      </vt:variant>
      <vt:variant>
        <vt:i4>0</vt:i4>
      </vt:variant>
      <vt:variant>
        <vt:i4>5</vt:i4>
      </vt:variant>
      <vt:variant>
        <vt:lpwstr/>
      </vt:variant>
      <vt:variant>
        <vt:lpwstr>_Toc475008979</vt:lpwstr>
      </vt:variant>
      <vt:variant>
        <vt:i4>2031672</vt:i4>
      </vt:variant>
      <vt:variant>
        <vt:i4>50</vt:i4>
      </vt:variant>
      <vt:variant>
        <vt:i4>0</vt:i4>
      </vt:variant>
      <vt:variant>
        <vt:i4>5</vt:i4>
      </vt:variant>
      <vt:variant>
        <vt:lpwstr/>
      </vt:variant>
      <vt:variant>
        <vt:lpwstr>_Toc475008978</vt:lpwstr>
      </vt:variant>
      <vt:variant>
        <vt:i4>2031672</vt:i4>
      </vt:variant>
      <vt:variant>
        <vt:i4>44</vt:i4>
      </vt:variant>
      <vt:variant>
        <vt:i4>0</vt:i4>
      </vt:variant>
      <vt:variant>
        <vt:i4>5</vt:i4>
      </vt:variant>
      <vt:variant>
        <vt:lpwstr/>
      </vt:variant>
      <vt:variant>
        <vt:lpwstr>_Toc475008977</vt:lpwstr>
      </vt:variant>
      <vt:variant>
        <vt:i4>2031672</vt:i4>
      </vt:variant>
      <vt:variant>
        <vt:i4>38</vt:i4>
      </vt:variant>
      <vt:variant>
        <vt:i4>0</vt:i4>
      </vt:variant>
      <vt:variant>
        <vt:i4>5</vt:i4>
      </vt:variant>
      <vt:variant>
        <vt:lpwstr/>
      </vt:variant>
      <vt:variant>
        <vt:lpwstr>_Toc475008976</vt:lpwstr>
      </vt:variant>
      <vt:variant>
        <vt:i4>2031672</vt:i4>
      </vt:variant>
      <vt:variant>
        <vt:i4>32</vt:i4>
      </vt:variant>
      <vt:variant>
        <vt:i4>0</vt:i4>
      </vt:variant>
      <vt:variant>
        <vt:i4>5</vt:i4>
      </vt:variant>
      <vt:variant>
        <vt:lpwstr/>
      </vt:variant>
      <vt:variant>
        <vt:lpwstr>_Toc475008975</vt:lpwstr>
      </vt:variant>
      <vt:variant>
        <vt:i4>2031672</vt:i4>
      </vt:variant>
      <vt:variant>
        <vt:i4>26</vt:i4>
      </vt:variant>
      <vt:variant>
        <vt:i4>0</vt:i4>
      </vt:variant>
      <vt:variant>
        <vt:i4>5</vt:i4>
      </vt:variant>
      <vt:variant>
        <vt:lpwstr/>
      </vt:variant>
      <vt:variant>
        <vt:lpwstr>_Toc475008974</vt:lpwstr>
      </vt:variant>
      <vt:variant>
        <vt:i4>2031672</vt:i4>
      </vt:variant>
      <vt:variant>
        <vt:i4>20</vt:i4>
      </vt:variant>
      <vt:variant>
        <vt:i4>0</vt:i4>
      </vt:variant>
      <vt:variant>
        <vt:i4>5</vt:i4>
      </vt:variant>
      <vt:variant>
        <vt:lpwstr/>
      </vt:variant>
      <vt:variant>
        <vt:lpwstr>_Toc475008973</vt:lpwstr>
      </vt:variant>
      <vt:variant>
        <vt:i4>2031672</vt:i4>
      </vt:variant>
      <vt:variant>
        <vt:i4>14</vt:i4>
      </vt:variant>
      <vt:variant>
        <vt:i4>0</vt:i4>
      </vt:variant>
      <vt:variant>
        <vt:i4>5</vt:i4>
      </vt:variant>
      <vt:variant>
        <vt:lpwstr/>
      </vt:variant>
      <vt:variant>
        <vt:lpwstr>_Toc475008972</vt:lpwstr>
      </vt:variant>
      <vt:variant>
        <vt:i4>2031672</vt:i4>
      </vt:variant>
      <vt:variant>
        <vt:i4>8</vt:i4>
      </vt:variant>
      <vt:variant>
        <vt:i4>0</vt:i4>
      </vt:variant>
      <vt:variant>
        <vt:i4>5</vt:i4>
      </vt:variant>
      <vt:variant>
        <vt:lpwstr/>
      </vt:variant>
      <vt:variant>
        <vt:lpwstr>_Toc475008971</vt:lpwstr>
      </vt:variant>
      <vt:variant>
        <vt:i4>2031672</vt:i4>
      </vt:variant>
      <vt:variant>
        <vt:i4>2</vt:i4>
      </vt:variant>
      <vt:variant>
        <vt:i4>0</vt:i4>
      </vt:variant>
      <vt:variant>
        <vt:i4>5</vt:i4>
      </vt:variant>
      <vt:variant>
        <vt:lpwstr/>
      </vt:variant>
      <vt:variant>
        <vt:lpwstr>_Toc475008970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Tom Clarke</cp:lastModifiedBy>
  <cp:revision>2</cp:revision>
  <dcterms:created xsi:type="dcterms:W3CDTF">2017-06-15T15:45:00Z</dcterms:created>
  <dcterms:modified xsi:type="dcterms:W3CDTF">2017-06-15T15:45:00Z</dcterms:modified>
</cp:coreProperties>
</file>