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981" w:rsidRPr="00F83B8A" w:rsidRDefault="000E1981" w:rsidP="00AB5E84">
      <w:pPr>
        <w:pStyle w:val="Header"/>
        <w:jc w:val="right"/>
        <w:rPr>
          <w:b/>
          <w:bCs/>
          <w:i/>
          <w:iCs/>
          <w:sz w:val="36"/>
          <w:szCs w:val="36"/>
        </w:rPr>
      </w:pPr>
    </w:p>
    <w:p w:rsidR="00DD6D7F" w:rsidRPr="00F83B8A" w:rsidRDefault="00DD6D7F">
      <w:pPr>
        <w:jc w:val="center"/>
        <w:rPr>
          <w:b/>
          <w:sz w:val="28"/>
        </w:rPr>
      </w:pPr>
    </w:p>
    <w:p w:rsidR="00DD6D7F" w:rsidRPr="00F83B8A" w:rsidRDefault="00DD6D7F">
      <w:pPr>
        <w:jc w:val="center"/>
        <w:rPr>
          <w:b/>
          <w:sz w:val="36"/>
        </w:rPr>
      </w:pPr>
      <w:r w:rsidRPr="00F83B8A">
        <w:rPr>
          <w:b/>
          <w:sz w:val="36"/>
        </w:rPr>
        <w:t xml:space="preserve">OMB SUPPORTING STATEMENT </w:t>
      </w:r>
    </w:p>
    <w:p w:rsidR="00DD6D7F" w:rsidRPr="00F83B8A" w:rsidRDefault="00DD6D7F">
      <w:pPr>
        <w:jc w:val="center"/>
        <w:rPr>
          <w:sz w:val="28"/>
        </w:rPr>
      </w:pPr>
      <w:proofErr w:type="gramStart"/>
      <w:r w:rsidRPr="00F83B8A">
        <w:rPr>
          <w:sz w:val="28"/>
        </w:rPr>
        <w:t>for</w:t>
      </w:r>
      <w:proofErr w:type="gramEnd"/>
      <w:r w:rsidRPr="00F83B8A">
        <w:rPr>
          <w:sz w:val="28"/>
        </w:rPr>
        <w:t xml:space="preserve"> the</w:t>
      </w:r>
    </w:p>
    <w:p w:rsidR="00DD6D7F" w:rsidRPr="00F83B8A" w:rsidRDefault="00DD6D7F">
      <w:pPr>
        <w:jc w:val="center"/>
        <w:rPr>
          <w:b/>
          <w:sz w:val="36"/>
        </w:rPr>
      </w:pPr>
      <w:r w:rsidRPr="00F83B8A">
        <w:rPr>
          <w:sz w:val="36"/>
        </w:rPr>
        <w:t>Annual Performance Reporting Forms for NID</w:t>
      </w:r>
      <w:r w:rsidR="00C465F8">
        <w:rPr>
          <w:sz w:val="36"/>
        </w:rPr>
        <w:t>IL</w:t>
      </w:r>
      <w:r w:rsidRPr="00F83B8A">
        <w:rPr>
          <w:sz w:val="36"/>
        </w:rPr>
        <w:t xml:space="preserve">RR Grantees </w:t>
      </w:r>
    </w:p>
    <w:p w:rsidR="00DD6D7F" w:rsidRPr="00F83B8A" w:rsidRDefault="00DD6D7F">
      <w:pPr>
        <w:jc w:val="center"/>
        <w:rPr>
          <w:b/>
          <w:sz w:val="28"/>
        </w:rPr>
      </w:pPr>
    </w:p>
    <w:p w:rsidR="00DD6D7F" w:rsidRPr="00F83B8A" w:rsidRDefault="00DD6D7F">
      <w:pPr>
        <w:jc w:val="center"/>
        <w:rPr>
          <w:b/>
          <w:sz w:val="28"/>
        </w:rPr>
      </w:pPr>
    </w:p>
    <w:p w:rsidR="00DD6D7F" w:rsidRPr="00F83B8A" w:rsidRDefault="00DD6D7F">
      <w:pPr>
        <w:jc w:val="center"/>
        <w:rPr>
          <w:b/>
          <w:sz w:val="28"/>
        </w:rPr>
      </w:pPr>
    </w:p>
    <w:p w:rsidR="00DD6D7F" w:rsidRPr="00F83B8A" w:rsidRDefault="00DD6D7F">
      <w:pPr>
        <w:jc w:val="center"/>
        <w:rPr>
          <w:b/>
          <w:sz w:val="28"/>
        </w:rPr>
      </w:pPr>
    </w:p>
    <w:p w:rsidR="00DD6D7F" w:rsidRPr="00F83B8A" w:rsidRDefault="00DD6D7F">
      <w:pPr>
        <w:jc w:val="center"/>
        <w:rPr>
          <w:b/>
          <w:sz w:val="28"/>
        </w:rPr>
      </w:pPr>
    </w:p>
    <w:p w:rsidR="00DD6D7F" w:rsidRPr="00F83B8A" w:rsidRDefault="00DD6D7F">
      <w:pPr>
        <w:jc w:val="center"/>
        <w:rPr>
          <w:b/>
          <w:sz w:val="28"/>
        </w:rPr>
      </w:pPr>
      <w:r w:rsidRPr="00F83B8A">
        <w:rPr>
          <w:b/>
          <w:sz w:val="28"/>
        </w:rPr>
        <w:t xml:space="preserve">U. S. Department of </w:t>
      </w:r>
      <w:r w:rsidR="00C465F8">
        <w:rPr>
          <w:b/>
          <w:sz w:val="28"/>
        </w:rPr>
        <w:t>Health and Human Services</w:t>
      </w:r>
    </w:p>
    <w:p w:rsidR="00DD6D7F" w:rsidRPr="00F83B8A" w:rsidRDefault="00C465F8">
      <w:pPr>
        <w:jc w:val="center"/>
        <w:rPr>
          <w:b/>
          <w:sz w:val="28"/>
        </w:rPr>
      </w:pPr>
      <w:r>
        <w:rPr>
          <w:b/>
          <w:sz w:val="28"/>
        </w:rPr>
        <w:t>Administration for Community Living (ACL)</w:t>
      </w:r>
    </w:p>
    <w:p w:rsidR="00C465F8" w:rsidRDefault="00DD6D7F">
      <w:pPr>
        <w:jc w:val="center"/>
        <w:rPr>
          <w:b/>
          <w:sz w:val="28"/>
        </w:rPr>
      </w:pPr>
      <w:r w:rsidRPr="00F83B8A">
        <w:rPr>
          <w:b/>
          <w:sz w:val="28"/>
        </w:rPr>
        <w:t>National Institute on Disability</w:t>
      </w:r>
      <w:r w:rsidR="00C465F8">
        <w:rPr>
          <w:b/>
          <w:sz w:val="28"/>
        </w:rPr>
        <w:t>, Independent Living,</w:t>
      </w:r>
      <w:r w:rsidRPr="00F83B8A">
        <w:rPr>
          <w:b/>
          <w:sz w:val="28"/>
        </w:rPr>
        <w:t xml:space="preserve"> and</w:t>
      </w:r>
    </w:p>
    <w:p w:rsidR="00DD6D7F" w:rsidRPr="00F83B8A" w:rsidRDefault="00DD6D7F">
      <w:pPr>
        <w:jc w:val="center"/>
        <w:rPr>
          <w:b/>
          <w:sz w:val="28"/>
        </w:rPr>
      </w:pPr>
      <w:r w:rsidRPr="00F83B8A">
        <w:rPr>
          <w:b/>
          <w:sz w:val="28"/>
        </w:rPr>
        <w:t>Rehabilitation Research (NID</w:t>
      </w:r>
      <w:r w:rsidR="00C465F8">
        <w:rPr>
          <w:b/>
          <w:sz w:val="28"/>
        </w:rPr>
        <w:t>IL</w:t>
      </w:r>
      <w:r w:rsidRPr="00F83B8A">
        <w:rPr>
          <w:b/>
          <w:sz w:val="28"/>
        </w:rPr>
        <w:t>RR)</w:t>
      </w:r>
    </w:p>
    <w:p w:rsidR="00DD6D7F" w:rsidRPr="00F83B8A" w:rsidRDefault="00DD6D7F">
      <w:pPr>
        <w:jc w:val="center"/>
        <w:rPr>
          <w:b/>
          <w:sz w:val="28"/>
        </w:rPr>
      </w:pPr>
    </w:p>
    <w:p w:rsidR="00DD6D7F" w:rsidRPr="00F83B8A" w:rsidRDefault="00DD6D7F">
      <w:pPr>
        <w:jc w:val="center"/>
        <w:rPr>
          <w:b/>
        </w:rPr>
      </w:pPr>
    </w:p>
    <w:p w:rsidR="00DD6D7F" w:rsidRPr="00F83B8A" w:rsidRDefault="00DD6D7F">
      <w:pPr>
        <w:jc w:val="center"/>
        <w:rPr>
          <w:b/>
        </w:rPr>
      </w:pPr>
    </w:p>
    <w:p w:rsidR="00DD6D7F" w:rsidRPr="00F83B8A" w:rsidRDefault="00DD6D7F">
      <w:pPr>
        <w:jc w:val="center"/>
        <w:rPr>
          <w:b/>
        </w:rPr>
      </w:pPr>
    </w:p>
    <w:p w:rsidR="00DD6D7F" w:rsidRPr="007210DC" w:rsidRDefault="000476E4">
      <w:pPr>
        <w:jc w:val="center"/>
        <w:rPr>
          <w:b/>
        </w:rPr>
      </w:pPr>
      <w:r>
        <w:rPr>
          <w:b/>
        </w:rPr>
        <w:t>May</w:t>
      </w:r>
      <w:r w:rsidR="007210DC" w:rsidRPr="007210DC">
        <w:rPr>
          <w:b/>
        </w:rPr>
        <w:t xml:space="preserve"> </w:t>
      </w:r>
      <w:r>
        <w:rPr>
          <w:b/>
        </w:rPr>
        <w:t>1</w:t>
      </w:r>
      <w:r w:rsidR="007210DC" w:rsidRPr="007210DC">
        <w:rPr>
          <w:b/>
        </w:rPr>
        <w:t>0, 2017</w:t>
      </w:r>
    </w:p>
    <w:p w:rsidR="00DD6D7F" w:rsidRPr="00F83B8A" w:rsidRDefault="00DD6D7F">
      <w:pPr>
        <w:jc w:val="center"/>
        <w:rPr>
          <w:b/>
        </w:rPr>
      </w:pPr>
    </w:p>
    <w:p w:rsidR="00DD6D7F" w:rsidRPr="00F83B8A" w:rsidRDefault="00DD6D7F">
      <w:pPr>
        <w:tabs>
          <w:tab w:val="left" w:pos="3060"/>
        </w:tabs>
        <w:jc w:val="center"/>
        <w:rPr>
          <w:b/>
        </w:rPr>
      </w:pPr>
    </w:p>
    <w:p w:rsidR="00DD6D7F" w:rsidRPr="00F83B8A" w:rsidRDefault="00DD6D7F">
      <w:pPr>
        <w:tabs>
          <w:tab w:val="left" w:pos="3060"/>
        </w:tabs>
        <w:jc w:val="center"/>
        <w:rPr>
          <w:b/>
        </w:rPr>
      </w:pPr>
    </w:p>
    <w:p w:rsidR="00DD6D7F" w:rsidRPr="00F83B8A" w:rsidRDefault="00DD6D7F">
      <w:pPr>
        <w:tabs>
          <w:tab w:val="left" w:pos="3060"/>
        </w:tabs>
        <w:jc w:val="center"/>
        <w:sectPr w:rsidR="00DD6D7F" w:rsidRPr="00F83B8A">
          <w:pgSz w:w="12240" w:h="15840"/>
          <w:pgMar w:top="1440" w:right="1440" w:bottom="1440" w:left="1440" w:header="720" w:footer="720" w:gutter="0"/>
          <w:pgNumType w:fmt="lowerRoman" w:start="1"/>
          <w:cols w:space="720"/>
        </w:sectPr>
      </w:pPr>
    </w:p>
    <w:p w:rsidR="00DD6D7F" w:rsidRPr="00F83B8A" w:rsidRDefault="00DD6D7F">
      <w:pPr>
        <w:tabs>
          <w:tab w:val="left" w:pos="3060"/>
        </w:tabs>
        <w:jc w:val="center"/>
        <w:rPr>
          <w:rFonts w:ascii="Arial" w:hAnsi="Arial"/>
          <w:b/>
          <w:sz w:val="28"/>
        </w:rPr>
      </w:pPr>
      <w:r w:rsidRPr="00F83B8A">
        <w:rPr>
          <w:rFonts w:ascii="Arial" w:hAnsi="Arial"/>
          <w:b/>
          <w:sz w:val="28"/>
        </w:rPr>
        <w:lastRenderedPageBreak/>
        <w:t>Table of Contents</w:t>
      </w:r>
    </w:p>
    <w:p w:rsidR="00DD6D7F" w:rsidRPr="00F83B8A" w:rsidRDefault="00DD6D7F"/>
    <w:p w:rsidR="009317A1" w:rsidRPr="002C6046" w:rsidRDefault="00DD6D7F">
      <w:pPr>
        <w:pStyle w:val="TOC1"/>
        <w:rPr>
          <w:rFonts w:ascii="Calibri" w:hAnsi="Calibri"/>
          <w:noProof/>
          <w:sz w:val="22"/>
          <w:szCs w:val="22"/>
        </w:rPr>
      </w:pPr>
      <w:r w:rsidRPr="002C6046">
        <w:rPr>
          <w:sz w:val="24"/>
          <w:szCs w:val="24"/>
        </w:rPr>
        <w:fldChar w:fldCharType="begin"/>
      </w:r>
      <w:r w:rsidRPr="002C6046">
        <w:rPr>
          <w:sz w:val="24"/>
          <w:szCs w:val="24"/>
        </w:rPr>
        <w:instrText xml:space="preserve"> TOC \o "1-2" </w:instrText>
      </w:r>
      <w:r w:rsidRPr="002C6046">
        <w:rPr>
          <w:sz w:val="24"/>
          <w:szCs w:val="24"/>
        </w:rPr>
        <w:fldChar w:fldCharType="separate"/>
      </w:r>
      <w:r w:rsidR="009317A1" w:rsidRPr="002C6046">
        <w:rPr>
          <w:noProof/>
        </w:rPr>
        <w:t>A.</w:t>
      </w:r>
      <w:r w:rsidR="009317A1" w:rsidRPr="002C6046">
        <w:rPr>
          <w:rFonts w:ascii="Calibri" w:hAnsi="Calibri"/>
          <w:noProof/>
          <w:sz w:val="22"/>
          <w:szCs w:val="22"/>
        </w:rPr>
        <w:tab/>
      </w:r>
      <w:r w:rsidR="009317A1" w:rsidRPr="002C6046">
        <w:rPr>
          <w:noProof/>
        </w:rPr>
        <w:t>Justification</w:t>
      </w:r>
      <w:r w:rsidR="009317A1" w:rsidRPr="002C6046">
        <w:rPr>
          <w:noProof/>
        </w:rPr>
        <w:tab/>
      </w:r>
      <w:r w:rsidR="009317A1" w:rsidRPr="002C6046">
        <w:rPr>
          <w:noProof/>
        </w:rPr>
        <w:fldChar w:fldCharType="begin"/>
      </w:r>
      <w:r w:rsidR="009317A1" w:rsidRPr="002C6046">
        <w:rPr>
          <w:noProof/>
        </w:rPr>
        <w:instrText xml:space="preserve"> PAGEREF _Toc348686949 \h </w:instrText>
      </w:r>
      <w:r w:rsidR="009317A1" w:rsidRPr="002C6046">
        <w:rPr>
          <w:noProof/>
        </w:rPr>
      </w:r>
      <w:r w:rsidR="009317A1" w:rsidRPr="002C6046">
        <w:rPr>
          <w:noProof/>
        </w:rPr>
        <w:fldChar w:fldCharType="separate"/>
      </w:r>
      <w:r w:rsidR="00E6737D">
        <w:rPr>
          <w:noProof/>
        </w:rPr>
        <w:t>1</w:t>
      </w:r>
      <w:r w:rsidR="009317A1"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1.</w:t>
      </w:r>
      <w:r w:rsidRPr="002C6046">
        <w:rPr>
          <w:rFonts w:ascii="Calibri" w:hAnsi="Calibri"/>
          <w:noProof/>
          <w:sz w:val="22"/>
          <w:szCs w:val="22"/>
        </w:rPr>
        <w:tab/>
      </w:r>
      <w:r w:rsidR="007210DC" w:rsidRPr="002C6046">
        <w:rPr>
          <w:noProof/>
        </w:rPr>
        <w:t>Circumstances Making the Collection of Information Necessary</w:t>
      </w:r>
      <w:r w:rsidRPr="002C6046">
        <w:rPr>
          <w:noProof/>
        </w:rPr>
        <w:tab/>
      </w:r>
      <w:r w:rsidR="00E6737D">
        <w:rPr>
          <w:noProof/>
        </w:rPr>
        <w:t>3</w:t>
      </w:r>
    </w:p>
    <w:p w:rsidR="009317A1" w:rsidRPr="002C6046" w:rsidRDefault="009317A1">
      <w:pPr>
        <w:pStyle w:val="TOC2"/>
        <w:tabs>
          <w:tab w:val="left" w:pos="880"/>
        </w:tabs>
        <w:rPr>
          <w:rFonts w:ascii="Calibri" w:hAnsi="Calibri"/>
          <w:noProof/>
          <w:sz w:val="22"/>
          <w:szCs w:val="22"/>
        </w:rPr>
      </w:pPr>
      <w:r w:rsidRPr="002C6046">
        <w:rPr>
          <w:noProof/>
        </w:rPr>
        <w:t>2.</w:t>
      </w:r>
      <w:r w:rsidRPr="002C6046">
        <w:rPr>
          <w:rFonts w:ascii="Calibri" w:hAnsi="Calibri"/>
          <w:noProof/>
          <w:sz w:val="22"/>
          <w:szCs w:val="22"/>
        </w:rPr>
        <w:tab/>
      </w:r>
      <w:r w:rsidR="007210DC" w:rsidRPr="002C6046">
        <w:rPr>
          <w:noProof/>
        </w:rPr>
        <w:t>Purpose and Use of the Information Collection</w:t>
      </w:r>
      <w:r w:rsidRPr="002C6046">
        <w:rPr>
          <w:noProof/>
        </w:rPr>
        <w:tab/>
      </w:r>
      <w:r w:rsidRPr="002C6046">
        <w:rPr>
          <w:noProof/>
        </w:rPr>
        <w:fldChar w:fldCharType="begin"/>
      </w:r>
      <w:r w:rsidRPr="002C6046">
        <w:rPr>
          <w:noProof/>
        </w:rPr>
        <w:instrText xml:space="preserve"> PAGEREF _Toc348686951 \h </w:instrText>
      </w:r>
      <w:r w:rsidRPr="002C6046">
        <w:rPr>
          <w:noProof/>
        </w:rPr>
      </w:r>
      <w:r w:rsidRPr="002C6046">
        <w:rPr>
          <w:noProof/>
        </w:rPr>
        <w:fldChar w:fldCharType="separate"/>
      </w:r>
      <w:r w:rsidR="00E6737D">
        <w:rPr>
          <w:noProof/>
        </w:rPr>
        <w:t>5</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3.</w:t>
      </w:r>
      <w:r w:rsidRPr="002C6046">
        <w:rPr>
          <w:rFonts w:ascii="Calibri" w:hAnsi="Calibri"/>
          <w:noProof/>
          <w:sz w:val="22"/>
          <w:szCs w:val="22"/>
        </w:rPr>
        <w:tab/>
      </w:r>
      <w:r w:rsidR="007210DC" w:rsidRPr="002C6046">
        <w:rPr>
          <w:noProof/>
        </w:rPr>
        <w:t>Use of Improved Information Technology and Burden Reduction</w:t>
      </w:r>
      <w:r w:rsidRPr="002C6046">
        <w:rPr>
          <w:noProof/>
        </w:rPr>
        <w:tab/>
      </w:r>
      <w:r w:rsidRPr="002C6046">
        <w:rPr>
          <w:noProof/>
        </w:rPr>
        <w:fldChar w:fldCharType="begin"/>
      </w:r>
      <w:r w:rsidRPr="002C6046">
        <w:rPr>
          <w:noProof/>
        </w:rPr>
        <w:instrText xml:space="preserve"> PAGEREF _Toc348686952 \h </w:instrText>
      </w:r>
      <w:r w:rsidRPr="002C6046">
        <w:rPr>
          <w:noProof/>
        </w:rPr>
      </w:r>
      <w:r w:rsidRPr="002C6046">
        <w:rPr>
          <w:noProof/>
        </w:rPr>
        <w:fldChar w:fldCharType="separate"/>
      </w:r>
      <w:r w:rsidR="00E6737D">
        <w:rPr>
          <w:noProof/>
        </w:rPr>
        <w:t>5</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4.</w:t>
      </w:r>
      <w:r w:rsidRPr="002C6046">
        <w:rPr>
          <w:rFonts w:ascii="Calibri" w:hAnsi="Calibri"/>
          <w:noProof/>
          <w:sz w:val="22"/>
          <w:szCs w:val="22"/>
        </w:rPr>
        <w:tab/>
      </w:r>
      <w:r w:rsidRPr="002C6046">
        <w:rPr>
          <w:noProof/>
        </w:rPr>
        <w:t>Efforts to Identify Duplication</w:t>
      </w:r>
      <w:r w:rsidR="00C53C59" w:rsidRPr="002C6046">
        <w:rPr>
          <w:noProof/>
        </w:rPr>
        <w:t xml:space="preserve"> and Use of Similar Information</w:t>
      </w:r>
      <w:r w:rsidRPr="002C6046">
        <w:rPr>
          <w:noProof/>
        </w:rPr>
        <w:tab/>
      </w:r>
      <w:r w:rsidRPr="002C6046">
        <w:rPr>
          <w:noProof/>
        </w:rPr>
        <w:fldChar w:fldCharType="begin"/>
      </w:r>
      <w:r w:rsidRPr="002C6046">
        <w:rPr>
          <w:noProof/>
        </w:rPr>
        <w:instrText xml:space="preserve"> PAGEREF _Toc348686953 \h </w:instrText>
      </w:r>
      <w:r w:rsidRPr="002C6046">
        <w:rPr>
          <w:noProof/>
        </w:rPr>
      </w:r>
      <w:r w:rsidRPr="002C6046">
        <w:rPr>
          <w:noProof/>
        </w:rPr>
        <w:fldChar w:fldCharType="separate"/>
      </w:r>
      <w:r w:rsidR="00E6737D">
        <w:rPr>
          <w:noProof/>
        </w:rPr>
        <w:t>6</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5.</w:t>
      </w:r>
      <w:r w:rsidRPr="002C6046">
        <w:rPr>
          <w:rFonts w:ascii="Calibri" w:hAnsi="Calibri"/>
          <w:noProof/>
          <w:sz w:val="22"/>
          <w:szCs w:val="22"/>
        </w:rPr>
        <w:tab/>
      </w:r>
      <w:r w:rsidR="00C53C59" w:rsidRPr="002C6046">
        <w:rPr>
          <w:noProof/>
        </w:rPr>
        <w:t>Impact on Small Businesses or Other Small Entities</w:t>
      </w:r>
      <w:r w:rsidRPr="002C6046">
        <w:rPr>
          <w:noProof/>
        </w:rPr>
        <w:tab/>
      </w:r>
      <w:r w:rsidRPr="002C6046">
        <w:rPr>
          <w:noProof/>
        </w:rPr>
        <w:fldChar w:fldCharType="begin"/>
      </w:r>
      <w:r w:rsidRPr="002C6046">
        <w:rPr>
          <w:noProof/>
        </w:rPr>
        <w:instrText xml:space="preserve"> PAGEREF _Toc348686954 \h </w:instrText>
      </w:r>
      <w:r w:rsidRPr="002C6046">
        <w:rPr>
          <w:noProof/>
        </w:rPr>
      </w:r>
      <w:r w:rsidRPr="002C6046">
        <w:rPr>
          <w:noProof/>
        </w:rPr>
        <w:fldChar w:fldCharType="separate"/>
      </w:r>
      <w:r w:rsidR="00E6737D">
        <w:rPr>
          <w:noProof/>
        </w:rPr>
        <w:t>6</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6.</w:t>
      </w:r>
      <w:r w:rsidRPr="002C6046">
        <w:rPr>
          <w:rFonts w:ascii="Calibri" w:hAnsi="Calibri"/>
          <w:noProof/>
          <w:sz w:val="22"/>
          <w:szCs w:val="22"/>
        </w:rPr>
        <w:tab/>
      </w:r>
      <w:r w:rsidR="00C53C59" w:rsidRPr="002C6046">
        <w:rPr>
          <w:noProof/>
        </w:rPr>
        <w:t>Consequences of Collecting the Information Less Frequently</w:t>
      </w:r>
      <w:r w:rsidRPr="002C6046">
        <w:rPr>
          <w:noProof/>
        </w:rPr>
        <w:tab/>
      </w:r>
      <w:r w:rsidRPr="002C6046">
        <w:rPr>
          <w:noProof/>
        </w:rPr>
        <w:fldChar w:fldCharType="begin"/>
      </w:r>
      <w:r w:rsidRPr="002C6046">
        <w:rPr>
          <w:noProof/>
        </w:rPr>
        <w:instrText xml:space="preserve"> PAGEREF _Toc348686955 \h </w:instrText>
      </w:r>
      <w:r w:rsidRPr="002C6046">
        <w:rPr>
          <w:noProof/>
        </w:rPr>
      </w:r>
      <w:r w:rsidRPr="002C6046">
        <w:rPr>
          <w:noProof/>
        </w:rPr>
        <w:fldChar w:fldCharType="separate"/>
      </w:r>
      <w:r w:rsidR="00E6737D">
        <w:rPr>
          <w:noProof/>
        </w:rPr>
        <w:t>7</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7.</w:t>
      </w:r>
      <w:r w:rsidRPr="002C6046">
        <w:rPr>
          <w:rFonts w:ascii="Calibri" w:hAnsi="Calibri"/>
          <w:noProof/>
          <w:sz w:val="22"/>
          <w:szCs w:val="22"/>
        </w:rPr>
        <w:tab/>
      </w:r>
      <w:r w:rsidRPr="002C6046">
        <w:rPr>
          <w:noProof/>
        </w:rPr>
        <w:t>Special Circumstances</w:t>
      </w:r>
      <w:r w:rsidR="00C53C59" w:rsidRPr="002C6046">
        <w:rPr>
          <w:noProof/>
        </w:rPr>
        <w:t xml:space="preserve"> Relating to the Guidelines of 5 CFR 1320.5</w:t>
      </w:r>
      <w:r w:rsidRPr="002C6046">
        <w:rPr>
          <w:noProof/>
        </w:rPr>
        <w:tab/>
      </w:r>
      <w:r w:rsidRPr="002C6046">
        <w:rPr>
          <w:noProof/>
        </w:rPr>
        <w:fldChar w:fldCharType="begin"/>
      </w:r>
      <w:r w:rsidRPr="002C6046">
        <w:rPr>
          <w:noProof/>
        </w:rPr>
        <w:instrText xml:space="preserve"> PAGEREF _Toc348686956 \h </w:instrText>
      </w:r>
      <w:r w:rsidRPr="002C6046">
        <w:rPr>
          <w:noProof/>
        </w:rPr>
      </w:r>
      <w:r w:rsidRPr="002C6046">
        <w:rPr>
          <w:noProof/>
        </w:rPr>
        <w:fldChar w:fldCharType="separate"/>
      </w:r>
      <w:r w:rsidR="00E6737D">
        <w:rPr>
          <w:noProof/>
        </w:rPr>
        <w:t>7</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8.</w:t>
      </w:r>
      <w:r w:rsidRPr="002C6046">
        <w:rPr>
          <w:rFonts w:ascii="Calibri" w:hAnsi="Calibri"/>
          <w:noProof/>
          <w:sz w:val="22"/>
          <w:szCs w:val="22"/>
        </w:rPr>
        <w:tab/>
      </w:r>
      <w:r w:rsidR="00C53C59" w:rsidRPr="002C6046">
        <w:rPr>
          <w:noProof/>
        </w:rPr>
        <w:t>Comments in Response to the Federal Register Notice and efforts to Consult Outside the Agency</w:t>
      </w:r>
      <w:r w:rsidRPr="002C6046">
        <w:rPr>
          <w:noProof/>
        </w:rPr>
        <w:tab/>
      </w:r>
      <w:r w:rsidRPr="002C6046">
        <w:rPr>
          <w:noProof/>
        </w:rPr>
        <w:fldChar w:fldCharType="begin"/>
      </w:r>
      <w:r w:rsidRPr="002C6046">
        <w:rPr>
          <w:noProof/>
        </w:rPr>
        <w:instrText xml:space="preserve"> PAGEREF _Toc348686957 \h </w:instrText>
      </w:r>
      <w:r w:rsidRPr="002C6046">
        <w:rPr>
          <w:noProof/>
        </w:rPr>
      </w:r>
      <w:r w:rsidRPr="002C6046">
        <w:rPr>
          <w:noProof/>
        </w:rPr>
        <w:fldChar w:fldCharType="separate"/>
      </w:r>
      <w:r w:rsidR="00E6737D">
        <w:rPr>
          <w:noProof/>
        </w:rPr>
        <w:t>7</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9.</w:t>
      </w:r>
      <w:r w:rsidRPr="002C6046">
        <w:rPr>
          <w:rFonts w:ascii="Calibri" w:hAnsi="Calibri"/>
          <w:noProof/>
          <w:sz w:val="22"/>
          <w:szCs w:val="22"/>
        </w:rPr>
        <w:tab/>
      </w:r>
      <w:r w:rsidR="00C53C59" w:rsidRPr="002C6046">
        <w:rPr>
          <w:noProof/>
        </w:rPr>
        <w:t>Explanation of Any Payment or Gift to Respondents</w:t>
      </w:r>
      <w:r w:rsidRPr="002C6046">
        <w:rPr>
          <w:noProof/>
        </w:rPr>
        <w:tab/>
      </w:r>
      <w:r w:rsidRPr="002C6046">
        <w:rPr>
          <w:noProof/>
        </w:rPr>
        <w:fldChar w:fldCharType="begin"/>
      </w:r>
      <w:r w:rsidRPr="002C6046">
        <w:rPr>
          <w:noProof/>
        </w:rPr>
        <w:instrText xml:space="preserve"> PAGEREF _Toc348686958 \h </w:instrText>
      </w:r>
      <w:r w:rsidRPr="002C6046">
        <w:rPr>
          <w:noProof/>
        </w:rPr>
      </w:r>
      <w:r w:rsidRPr="002C6046">
        <w:rPr>
          <w:noProof/>
        </w:rPr>
        <w:fldChar w:fldCharType="separate"/>
      </w:r>
      <w:r w:rsidR="00E6737D">
        <w:rPr>
          <w:noProof/>
        </w:rPr>
        <w:t>7</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10.</w:t>
      </w:r>
      <w:r w:rsidRPr="002C6046">
        <w:rPr>
          <w:rFonts w:ascii="Calibri" w:hAnsi="Calibri"/>
          <w:noProof/>
          <w:sz w:val="22"/>
          <w:szCs w:val="22"/>
        </w:rPr>
        <w:tab/>
      </w:r>
      <w:r w:rsidR="00C53C59" w:rsidRPr="002C6046">
        <w:rPr>
          <w:noProof/>
        </w:rPr>
        <w:t>Assurance of Confidentiality Provided to Respondents</w:t>
      </w:r>
      <w:r w:rsidRPr="002C6046">
        <w:rPr>
          <w:noProof/>
        </w:rPr>
        <w:tab/>
      </w:r>
      <w:r w:rsidRPr="002C6046">
        <w:rPr>
          <w:noProof/>
        </w:rPr>
        <w:fldChar w:fldCharType="begin"/>
      </w:r>
      <w:r w:rsidRPr="002C6046">
        <w:rPr>
          <w:noProof/>
        </w:rPr>
        <w:instrText xml:space="preserve"> PAGEREF _Toc348686959 \h </w:instrText>
      </w:r>
      <w:r w:rsidRPr="002C6046">
        <w:rPr>
          <w:noProof/>
        </w:rPr>
      </w:r>
      <w:r w:rsidRPr="002C6046">
        <w:rPr>
          <w:noProof/>
        </w:rPr>
        <w:fldChar w:fldCharType="separate"/>
      </w:r>
      <w:r w:rsidR="00E6737D">
        <w:rPr>
          <w:noProof/>
        </w:rPr>
        <w:t>7</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11.</w:t>
      </w:r>
      <w:r w:rsidRPr="002C6046">
        <w:rPr>
          <w:rFonts w:ascii="Calibri" w:hAnsi="Calibri"/>
          <w:noProof/>
          <w:sz w:val="22"/>
          <w:szCs w:val="22"/>
        </w:rPr>
        <w:tab/>
      </w:r>
      <w:r w:rsidR="00C53C59" w:rsidRPr="002C6046">
        <w:rPr>
          <w:noProof/>
        </w:rPr>
        <w:t>Justification for Sensitive Questions</w:t>
      </w:r>
      <w:r w:rsidRPr="002C6046">
        <w:rPr>
          <w:noProof/>
        </w:rPr>
        <w:tab/>
      </w:r>
      <w:r w:rsidRPr="002C6046">
        <w:rPr>
          <w:noProof/>
        </w:rPr>
        <w:fldChar w:fldCharType="begin"/>
      </w:r>
      <w:r w:rsidRPr="002C6046">
        <w:rPr>
          <w:noProof/>
        </w:rPr>
        <w:instrText xml:space="preserve"> PAGEREF _Toc348686960 \h </w:instrText>
      </w:r>
      <w:r w:rsidRPr="002C6046">
        <w:rPr>
          <w:noProof/>
        </w:rPr>
      </w:r>
      <w:r w:rsidRPr="002C6046">
        <w:rPr>
          <w:noProof/>
        </w:rPr>
        <w:fldChar w:fldCharType="separate"/>
      </w:r>
      <w:r w:rsidR="00E6737D">
        <w:rPr>
          <w:noProof/>
        </w:rPr>
        <w:t>8</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12.</w:t>
      </w:r>
      <w:r w:rsidRPr="002C6046">
        <w:rPr>
          <w:rFonts w:ascii="Calibri" w:hAnsi="Calibri"/>
          <w:noProof/>
          <w:sz w:val="22"/>
          <w:szCs w:val="22"/>
        </w:rPr>
        <w:tab/>
      </w:r>
      <w:r w:rsidR="00C53C59" w:rsidRPr="002C6046">
        <w:rPr>
          <w:noProof/>
        </w:rPr>
        <w:t>Estimates of Annualized Burden Hours and Costs</w:t>
      </w:r>
      <w:r w:rsidRPr="002C6046">
        <w:rPr>
          <w:noProof/>
        </w:rPr>
        <w:tab/>
      </w:r>
      <w:r w:rsidRPr="002C6046">
        <w:rPr>
          <w:noProof/>
        </w:rPr>
        <w:fldChar w:fldCharType="begin"/>
      </w:r>
      <w:r w:rsidRPr="002C6046">
        <w:rPr>
          <w:noProof/>
        </w:rPr>
        <w:instrText xml:space="preserve"> PAGEREF _Toc348686961 \h </w:instrText>
      </w:r>
      <w:r w:rsidRPr="002C6046">
        <w:rPr>
          <w:noProof/>
        </w:rPr>
      </w:r>
      <w:r w:rsidRPr="002C6046">
        <w:rPr>
          <w:noProof/>
        </w:rPr>
        <w:fldChar w:fldCharType="separate"/>
      </w:r>
      <w:r w:rsidR="00E6737D">
        <w:rPr>
          <w:noProof/>
        </w:rPr>
        <w:t>8</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13.</w:t>
      </w:r>
      <w:r w:rsidRPr="002C6046">
        <w:rPr>
          <w:rFonts w:ascii="Calibri" w:hAnsi="Calibri"/>
          <w:noProof/>
          <w:sz w:val="22"/>
          <w:szCs w:val="22"/>
        </w:rPr>
        <w:tab/>
      </w:r>
      <w:r w:rsidR="00C53C59" w:rsidRPr="002C6046">
        <w:rPr>
          <w:noProof/>
        </w:rPr>
        <w:t>Estimates of Other Total Annual Cost Burden to Respondents and Record Keepers</w:t>
      </w:r>
      <w:r w:rsidRPr="002C6046">
        <w:rPr>
          <w:noProof/>
        </w:rPr>
        <w:tab/>
      </w:r>
      <w:r w:rsidRPr="002C6046">
        <w:rPr>
          <w:noProof/>
        </w:rPr>
        <w:fldChar w:fldCharType="begin"/>
      </w:r>
      <w:r w:rsidRPr="002C6046">
        <w:rPr>
          <w:noProof/>
        </w:rPr>
        <w:instrText xml:space="preserve"> PAGEREF _Toc348686962 \h </w:instrText>
      </w:r>
      <w:r w:rsidRPr="002C6046">
        <w:rPr>
          <w:noProof/>
        </w:rPr>
      </w:r>
      <w:r w:rsidRPr="002C6046">
        <w:rPr>
          <w:noProof/>
        </w:rPr>
        <w:fldChar w:fldCharType="separate"/>
      </w:r>
      <w:r w:rsidR="00E6737D">
        <w:rPr>
          <w:noProof/>
        </w:rPr>
        <w:t>10</w:t>
      </w:r>
      <w:r w:rsidRPr="002C6046">
        <w:rPr>
          <w:noProof/>
        </w:rPr>
        <w:fldChar w:fldCharType="end"/>
      </w:r>
    </w:p>
    <w:p w:rsidR="009317A1" w:rsidRPr="002C6046" w:rsidRDefault="009317A1">
      <w:pPr>
        <w:pStyle w:val="TOC2"/>
        <w:tabs>
          <w:tab w:val="left" w:pos="880"/>
        </w:tabs>
        <w:rPr>
          <w:rFonts w:ascii="Calibri" w:hAnsi="Calibri"/>
          <w:noProof/>
          <w:sz w:val="22"/>
          <w:szCs w:val="22"/>
        </w:rPr>
      </w:pPr>
      <w:r w:rsidRPr="002C6046">
        <w:rPr>
          <w:noProof/>
        </w:rPr>
        <w:t>14.</w:t>
      </w:r>
      <w:r w:rsidRPr="002C6046">
        <w:rPr>
          <w:rFonts w:ascii="Calibri" w:hAnsi="Calibri"/>
          <w:noProof/>
          <w:sz w:val="22"/>
          <w:szCs w:val="22"/>
        </w:rPr>
        <w:tab/>
      </w:r>
      <w:r w:rsidRPr="002C6046">
        <w:rPr>
          <w:noProof/>
        </w:rPr>
        <w:t xml:space="preserve"> Annualized Cost to the Federal Government</w:t>
      </w:r>
      <w:r w:rsidRPr="002C6046">
        <w:rPr>
          <w:noProof/>
        </w:rPr>
        <w:tab/>
      </w:r>
      <w:r w:rsidRPr="002C6046">
        <w:rPr>
          <w:noProof/>
        </w:rPr>
        <w:fldChar w:fldCharType="begin"/>
      </w:r>
      <w:r w:rsidRPr="002C6046">
        <w:rPr>
          <w:noProof/>
        </w:rPr>
        <w:instrText xml:space="preserve"> PAGEREF _Toc348686963 \h </w:instrText>
      </w:r>
      <w:r w:rsidRPr="002C6046">
        <w:rPr>
          <w:noProof/>
        </w:rPr>
      </w:r>
      <w:r w:rsidRPr="002C6046">
        <w:rPr>
          <w:noProof/>
        </w:rPr>
        <w:fldChar w:fldCharType="separate"/>
      </w:r>
      <w:r w:rsidR="00E6737D">
        <w:rPr>
          <w:noProof/>
        </w:rPr>
        <w:t>10</w:t>
      </w:r>
      <w:r w:rsidRPr="002C6046">
        <w:rPr>
          <w:noProof/>
        </w:rPr>
        <w:fldChar w:fldCharType="end"/>
      </w:r>
    </w:p>
    <w:p w:rsidR="00C53C59" w:rsidRPr="002C6046" w:rsidRDefault="009317A1">
      <w:pPr>
        <w:pStyle w:val="TOC2"/>
        <w:tabs>
          <w:tab w:val="left" w:pos="880"/>
        </w:tabs>
        <w:rPr>
          <w:noProof/>
        </w:rPr>
      </w:pPr>
      <w:r w:rsidRPr="002C6046">
        <w:rPr>
          <w:noProof/>
        </w:rPr>
        <w:t>15.</w:t>
      </w:r>
      <w:r w:rsidRPr="002C6046">
        <w:rPr>
          <w:rFonts w:ascii="Calibri" w:hAnsi="Calibri"/>
          <w:noProof/>
          <w:sz w:val="22"/>
          <w:szCs w:val="22"/>
        </w:rPr>
        <w:tab/>
      </w:r>
      <w:r w:rsidR="00C53C59" w:rsidRPr="002C6046">
        <w:rPr>
          <w:noProof/>
        </w:rPr>
        <w:t>Explanation for Program Changes or Adjustments</w:t>
      </w:r>
    </w:p>
    <w:p w:rsidR="009317A1" w:rsidRPr="002C6046" w:rsidRDefault="00C53C59" w:rsidP="0062010E">
      <w:pPr>
        <w:pStyle w:val="TOC2"/>
        <w:tabs>
          <w:tab w:val="left" w:pos="880"/>
        </w:tabs>
        <w:rPr>
          <w:rFonts w:ascii="Calibri" w:hAnsi="Calibri"/>
          <w:noProof/>
          <w:sz w:val="22"/>
          <w:szCs w:val="22"/>
        </w:rPr>
      </w:pPr>
      <w:r w:rsidRPr="002C6046">
        <w:rPr>
          <w:noProof/>
        </w:rPr>
        <w:t>16.</w:t>
      </w:r>
      <w:r w:rsidR="009317A1" w:rsidRPr="002C6046">
        <w:rPr>
          <w:noProof/>
        </w:rPr>
        <w:tab/>
      </w:r>
      <w:r w:rsidRPr="002C6046">
        <w:rPr>
          <w:noProof/>
        </w:rPr>
        <w:t>Plans for Tabulation and Publication and Project Time Schedule</w:t>
      </w:r>
    </w:p>
    <w:p w:rsidR="009317A1" w:rsidRPr="002C6046" w:rsidRDefault="009317A1">
      <w:pPr>
        <w:pStyle w:val="TOC2"/>
        <w:tabs>
          <w:tab w:val="left" w:pos="880"/>
        </w:tabs>
        <w:rPr>
          <w:rFonts w:ascii="Calibri" w:hAnsi="Calibri"/>
          <w:noProof/>
          <w:sz w:val="22"/>
          <w:szCs w:val="22"/>
        </w:rPr>
      </w:pPr>
      <w:r w:rsidRPr="002C6046">
        <w:rPr>
          <w:noProof/>
        </w:rPr>
        <w:t>18.</w:t>
      </w:r>
      <w:r w:rsidRPr="002C6046">
        <w:rPr>
          <w:rFonts w:ascii="Calibri" w:hAnsi="Calibri"/>
          <w:noProof/>
          <w:sz w:val="22"/>
          <w:szCs w:val="22"/>
        </w:rPr>
        <w:tab/>
      </w:r>
      <w:r w:rsidRPr="002C6046">
        <w:rPr>
          <w:noProof/>
        </w:rPr>
        <w:t xml:space="preserve">Exceptions to Certification </w:t>
      </w:r>
      <w:r w:rsidR="00C53C59" w:rsidRPr="002C6046">
        <w:rPr>
          <w:noProof/>
        </w:rPr>
        <w:t>for Paperwork Reduction Act Submissions</w:t>
      </w:r>
      <w:r w:rsidRPr="002C6046">
        <w:rPr>
          <w:noProof/>
        </w:rPr>
        <w:tab/>
      </w:r>
      <w:r w:rsidRPr="002C6046">
        <w:rPr>
          <w:noProof/>
        </w:rPr>
        <w:fldChar w:fldCharType="begin"/>
      </w:r>
      <w:r w:rsidRPr="002C6046">
        <w:rPr>
          <w:noProof/>
        </w:rPr>
        <w:instrText xml:space="preserve"> PAGEREF _Toc348686966 \h </w:instrText>
      </w:r>
      <w:r w:rsidRPr="002C6046">
        <w:rPr>
          <w:noProof/>
        </w:rPr>
      </w:r>
      <w:r w:rsidRPr="002C6046">
        <w:rPr>
          <w:noProof/>
        </w:rPr>
        <w:fldChar w:fldCharType="separate"/>
      </w:r>
      <w:r w:rsidR="00E6737D">
        <w:rPr>
          <w:noProof/>
        </w:rPr>
        <w:t>12</w:t>
      </w:r>
      <w:r w:rsidRPr="002C6046">
        <w:rPr>
          <w:noProof/>
        </w:rPr>
        <w:fldChar w:fldCharType="end"/>
      </w:r>
    </w:p>
    <w:p w:rsidR="00DD6D7F" w:rsidRPr="00F83B8A" w:rsidRDefault="00DD6D7F">
      <w:r w:rsidRPr="002C6046">
        <w:fldChar w:fldCharType="end"/>
      </w:r>
    </w:p>
    <w:p w:rsidR="000476E4" w:rsidRDefault="000476E4">
      <w:pPr>
        <w:jc w:val="center"/>
        <w:rPr>
          <w:rFonts w:ascii="Arial" w:hAnsi="Arial"/>
          <w:b/>
          <w:sz w:val="28"/>
        </w:rPr>
      </w:pPr>
    </w:p>
    <w:p w:rsidR="00DD6D7F" w:rsidRPr="00F83B8A" w:rsidRDefault="00DD6D7F">
      <w:pPr>
        <w:jc w:val="center"/>
        <w:rPr>
          <w:rFonts w:ascii="Arial" w:hAnsi="Arial"/>
          <w:b/>
          <w:sz w:val="28"/>
        </w:rPr>
      </w:pPr>
      <w:r w:rsidRPr="00F83B8A">
        <w:rPr>
          <w:rFonts w:ascii="Arial" w:hAnsi="Arial"/>
          <w:b/>
          <w:sz w:val="28"/>
        </w:rPr>
        <w:t>Appendices</w:t>
      </w:r>
    </w:p>
    <w:p w:rsidR="00DD6D7F" w:rsidRPr="00F83B8A" w:rsidRDefault="00DD6D7F"/>
    <w:p w:rsidR="00DD6D7F" w:rsidRPr="00F83B8A" w:rsidRDefault="00DD6D7F">
      <w:pPr>
        <w:pStyle w:val="NormalWeb"/>
        <w:spacing w:before="0" w:beforeAutospacing="0" w:after="0" w:afterAutospacing="0"/>
        <w:rPr>
          <w:sz w:val="20"/>
          <w:szCs w:val="20"/>
        </w:rPr>
      </w:pPr>
      <w:r w:rsidRPr="00F83B8A">
        <w:rPr>
          <w:sz w:val="20"/>
          <w:szCs w:val="20"/>
        </w:rPr>
        <w:t>Appendix A.</w:t>
      </w:r>
      <w:r w:rsidR="000B324D" w:rsidRPr="00F83B8A">
        <w:rPr>
          <w:sz w:val="20"/>
          <w:szCs w:val="20"/>
        </w:rPr>
        <w:t xml:space="preserve"> </w:t>
      </w:r>
      <w:r w:rsidRPr="00F83B8A">
        <w:rPr>
          <w:sz w:val="20"/>
          <w:szCs w:val="20"/>
        </w:rPr>
        <w:t>OMB Burden Statement</w:t>
      </w:r>
    </w:p>
    <w:p w:rsidR="00DD6D7F" w:rsidRPr="00F83B8A" w:rsidRDefault="00DD6D7F">
      <w:pPr>
        <w:pStyle w:val="NormalWeb"/>
        <w:spacing w:before="0" w:beforeAutospacing="0" w:after="0" w:afterAutospacing="0"/>
        <w:rPr>
          <w:sz w:val="20"/>
          <w:szCs w:val="20"/>
        </w:rPr>
      </w:pPr>
      <w:r w:rsidRPr="00F83B8A">
        <w:rPr>
          <w:sz w:val="20"/>
          <w:szCs w:val="20"/>
        </w:rPr>
        <w:t>Appendix B.</w:t>
      </w:r>
      <w:r w:rsidR="000B324D" w:rsidRPr="00F83B8A">
        <w:rPr>
          <w:sz w:val="20"/>
          <w:szCs w:val="20"/>
        </w:rPr>
        <w:t xml:space="preserve"> </w:t>
      </w:r>
      <w:r w:rsidRPr="00F83B8A">
        <w:rPr>
          <w:sz w:val="20"/>
          <w:szCs w:val="20"/>
        </w:rPr>
        <w:t xml:space="preserve">Proposed Annual </w:t>
      </w:r>
      <w:r w:rsidR="0014243D">
        <w:rPr>
          <w:sz w:val="20"/>
          <w:szCs w:val="20"/>
        </w:rPr>
        <w:t xml:space="preserve">and Final </w:t>
      </w:r>
      <w:r w:rsidRPr="00F83B8A">
        <w:rPr>
          <w:sz w:val="20"/>
          <w:szCs w:val="20"/>
        </w:rPr>
        <w:t>Reporting Form</w:t>
      </w:r>
      <w:r w:rsidR="0014243D">
        <w:rPr>
          <w:sz w:val="20"/>
          <w:szCs w:val="20"/>
        </w:rPr>
        <w:t>s</w:t>
      </w:r>
      <w:r w:rsidR="00F83B8A">
        <w:rPr>
          <w:sz w:val="20"/>
          <w:szCs w:val="20"/>
        </w:rPr>
        <w:t>—</w:t>
      </w:r>
      <w:r w:rsidRPr="00F83B8A">
        <w:rPr>
          <w:sz w:val="20"/>
          <w:szCs w:val="20"/>
        </w:rPr>
        <w:t>All Questions</w:t>
      </w:r>
    </w:p>
    <w:p w:rsidR="00DD6D7F" w:rsidRPr="00F83B8A" w:rsidRDefault="00DD6D7F">
      <w:pPr>
        <w:pStyle w:val="NormalWeb"/>
      </w:pPr>
    </w:p>
    <w:p w:rsidR="00DD6D7F" w:rsidRPr="00F83B8A" w:rsidRDefault="00DD6D7F">
      <w:pPr>
        <w:jc w:val="center"/>
        <w:rPr>
          <w:rFonts w:ascii="Arial" w:hAnsi="Arial"/>
          <w:b/>
          <w:sz w:val="28"/>
        </w:rPr>
      </w:pPr>
      <w:r w:rsidRPr="00F83B8A">
        <w:rPr>
          <w:rFonts w:ascii="Arial" w:hAnsi="Arial"/>
          <w:b/>
          <w:sz w:val="28"/>
        </w:rPr>
        <w:t>List of Tables</w:t>
      </w:r>
    </w:p>
    <w:p w:rsidR="00DD6D7F" w:rsidRPr="00F83B8A" w:rsidRDefault="00DD6D7F"/>
    <w:p w:rsidR="00DD6D7F" w:rsidRPr="00F83B8A" w:rsidRDefault="00DD6D7F"/>
    <w:p w:rsidR="001B71DD" w:rsidRPr="00F82263" w:rsidRDefault="00DD6D7F">
      <w:pPr>
        <w:pStyle w:val="TableofFigures"/>
        <w:tabs>
          <w:tab w:val="right" w:leader="dot" w:pos="9350"/>
        </w:tabs>
        <w:rPr>
          <w:noProof/>
        </w:rPr>
      </w:pPr>
      <w:r w:rsidRPr="00470B52">
        <w:fldChar w:fldCharType="begin"/>
      </w:r>
      <w:r w:rsidRPr="00F82263">
        <w:instrText xml:space="preserve"> TOC \h \z \c "Table" </w:instrText>
      </w:r>
      <w:r w:rsidRPr="00470B52">
        <w:fldChar w:fldCharType="separate"/>
      </w:r>
      <w:hyperlink w:anchor="_Toc447299706" w:history="1">
        <w:r w:rsidR="001B71DD" w:rsidRPr="00F82263">
          <w:rPr>
            <w:rStyle w:val="Hyperlink"/>
            <w:noProof/>
          </w:rPr>
          <w:t>Table 1 – Data Elements Addressed by Each NIDILRR Form</w:t>
        </w:r>
        <w:r w:rsidR="001B71DD" w:rsidRPr="00F82263">
          <w:rPr>
            <w:noProof/>
            <w:webHidden/>
          </w:rPr>
          <w:tab/>
        </w:r>
        <w:r w:rsidR="001B71DD" w:rsidRPr="00F82263">
          <w:rPr>
            <w:noProof/>
            <w:webHidden/>
          </w:rPr>
          <w:fldChar w:fldCharType="begin"/>
        </w:r>
        <w:r w:rsidR="001B71DD" w:rsidRPr="00F82263">
          <w:rPr>
            <w:noProof/>
            <w:webHidden/>
          </w:rPr>
          <w:instrText xml:space="preserve"> PAGEREF _Toc447299706 \h </w:instrText>
        </w:r>
        <w:r w:rsidR="001B71DD" w:rsidRPr="00F82263">
          <w:rPr>
            <w:noProof/>
            <w:webHidden/>
          </w:rPr>
        </w:r>
        <w:r w:rsidR="001B71DD" w:rsidRPr="00F82263">
          <w:rPr>
            <w:noProof/>
            <w:webHidden/>
          </w:rPr>
          <w:fldChar w:fldCharType="separate"/>
        </w:r>
        <w:r w:rsidR="00E6737D">
          <w:rPr>
            <w:noProof/>
            <w:webHidden/>
          </w:rPr>
          <w:t>3</w:t>
        </w:r>
        <w:r w:rsidR="001B71DD" w:rsidRPr="00F82263">
          <w:rPr>
            <w:noProof/>
            <w:webHidden/>
          </w:rPr>
          <w:fldChar w:fldCharType="end"/>
        </w:r>
      </w:hyperlink>
    </w:p>
    <w:p w:rsidR="00DD6D7F" w:rsidRPr="00F82263" w:rsidRDefault="00DD6D7F">
      <w:pPr>
        <w:rPr>
          <w:sz w:val="20"/>
          <w:szCs w:val="20"/>
        </w:rPr>
      </w:pPr>
      <w:r w:rsidRPr="00470B52">
        <w:rPr>
          <w:sz w:val="20"/>
          <w:szCs w:val="20"/>
        </w:rPr>
        <w:fldChar w:fldCharType="end"/>
      </w:r>
    </w:p>
    <w:p w:rsidR="00DD6D7F" w:rsidRPr="00F83B8A" w:rsidRDefault="00DD6D7F"/>
    <w:p w:rsidR="00DD6D7F" w:rsidRPr="00F83B8A" w:rsidRDefault="00DD6D7F"/>
    <w:p w:rsidR="00DD6D7F" w:rsidRPr="00F83B8A" w:rsidRDefault="00DD6D7F">
      <w:pPr>
        <w:sectPr w:rsidR="00DD6D7F" w:rsidRPr="00F83B8A">
          <w:footerReference w:type="default" r:id="rId9"/>
          <w:pgSz w:w="12240" w:h="15840"/>
          <w:pgMar w:top="1440" w:right="1440" w:bottom="1440" w:left="1440" w:header="720" w:footer="720" w:gutter="0"/>
          <w:pgNumType w:fmt="lowerRoman" w:start="1"/>
          <w:cols w:space="720"/>
        </w:sectPr>
      </w:pPr>
    </w:p>
    <w:p w:rsidR="00DD6D7F" w:rsidRPr="00F83B8A" w:rsidRDefault="00DD6D7F" w:rsidP="002C6046">
      <w:pPr>
        <w:pStyle w:val="Heading1"/>
        <w:numPr>
          <w:ilvl w:val="0"/>
          <w:numId w:val="33"/>
        </w:numPr>
      </w:pPr>
      <w:bookmarkStart w:id="0" w:name="_Toc348686949"/>
      <w:r w:rsidRPr="00F83B8A">
        <w:lastRenderedPageBreak/>
        <w:t>Justification</w:t>
      </w:r>
      <w:bookmarkEnd w:id="0"/>
    </w:p>
    <w:p w:rsidR="00DD6D7F" w:rsidRPr="00F83B8A" w:rsidRDefault="00DD6D7F"/>
    <w:p w:rsidR="00DD6D7F" w:rsidRDefault="002A4B7C" w:rsidP="008A0C03">
      <w:pPr>
        <w:pStyle w:val="Heading2"/>
        <w:numPr>
          <w:ilvl w:val="0"/>
          <w:numId w:val="32"/>
        </w:numPr>
      </w:pPr>
      <w:r>
        <w:t>Circumstances Making the Collection of Information Necessary</w:t>
      </w:r>
    </w:p>
    <w:p w:rsidR="008A0C03" w:rsidRPr="008A0C03" w:rsidRDefault="008A0C03" w:rsidP="002C6046"/>
    <w:p w:rsidR="005916F0" w:rsidRDefault="00DD6D7F" w:rsidP="009F47EF">
      <w:pPr>
        <w:ind w:firstLine="720"/>
      </w:pPr>
      <w:r w:rsidRPr="00F83B8A">
        <w:t>The National Institute on Disability</w:t>
      </w:r>
      <w:r w:rsidR="00C465F8">
        <w:t>, Independent Living,</w:t>
      </w:r>
      <w:r w:rsidRPr="00F83B8A">
        <w:t xml:space="preserve"> and Rehabilitation Research (NID</w:t>
      </w:r>
      <w:r w:rsidR="00C465F8">
        <w:t>IL</w:t>
      </w:r>
      <w:r w:rsidRPr="00F83B8A">
        <w:t xml:space="preserve">RR) of the Department of </w:t>
      </w:r>
      <w:r w:rsidR="00C465F8">
        <w:t xml:space="preserve">Health and Human Services </w:t>
      </w:r>
      <w:r w:rsidRPr="00F83B8A">
        <w:t>(</w:t>
      </w:r>
      <w:r w:rsidR="00C465F8">
        <w:t>HHS</w:t>
      </w:r>
      <w:r w:rsidRPr="00F83B8A">
        <w:t xml:space="preserve">) request clearance of revised </w:t>
      </w:r>
      <w:r w:rsidR="007F053E" w:rsidRPr="00F83B8A">
        <w:t>A</w:t>
      </w:r>
      <w:r w:rsidRPr="00F83B8A">
        <w:t xml:space="preserve">nnual </w:t>
      </w:r>
      <w:r w:rsidR="007F053E" w:rsidRPr="00F83B8A">
        <w:t>P</w:t>
      </w:r>
      <w:r w:rsidRPr="00F83B8A">
        <w:t xml:space="preserve">erformance </w:t>
      </w:r>
      <w:r w:rsidR="007F053E" w:rsidRPr="00F83B8A">
        <w:t>R</w:t>
      </w:r>
      <w:r w:rsidRPr="00F83B8A">
        <w:t xml:space="preserve">eporting (APR) </w:t>
      </w:r>
      <w:r w:rsidR="00470B52">
        <w:t xml:space="preserve">and Final Report </w:t>
      </w:r>
      <w:r w:rsidRPr="00F83B8A">
        <w:t>forms to be completed by all NID</w:t>
      </w:r>
      <w:r w:rsidR="00C465F8">
        <w:t>IL</w:t>
      </w:r>
      <w:r w:rsidRPr="00F83B8A">
        <w:t xml:space="preserve">RR grantees. </w:t>
      </w:r>
      <w:r w:rsidR="005916F0">
        <w:t xml:space="preserve"> Previously housed in the Department of Education and known as the National Institute on Disability and Rehabilitation Research </w:t>
      </w:r>
      <w:r w:rsidR="008960C6">
        <w:t>[</w:t>
      </w:r>
      <w:r w:rsidR="005916F0">
        <w:t>NIDRR</w:t>
      </w:r>
      <w:r w:rsidR="008960C6">
        <w:t>]</w:t>
      </w:r>
      <w:r w:rsidR="005916F0">
        <w:t xml:space="preserve">, NIDILRR was renamed and relocated to HHS by the Workforce Innovation and Opportunity Act of 2014.  </w:t>
      </w:r>
    </w:p>
    <w:p w:rsidR="005916F0" w:rsidRDefault="005916F0" w:rsidP="009F47EF">
      <w:pPr>
        <w:ind w:firstLine="720"/>
      </w:pPr>
    </w:p>
    <w:p w:rsidR="00DD6D7F" w:rsidRPr="00F83B8A" w:rsidRDefault="00DD6D7F" w:rsidP="009F47EF">
      <w:pPr>
        <w:ind w:firstLine="720"/>
      </w:pPr>
      <w:r w:rsidRPr="00F83B8A">
        <w:t>The forms included in this package are revised versions of those</w:t>
      </w:r>
      <w:r w:rsidR="00623BE3">
        <w:t xml:space="preserve"> currently</w:t>
      </w:r>
      <w:r w:rsidRPr="00F83B8A">
        <w:t xml:space="preserve"> used by grantees in the following </w:t>
      </w:r>
      <w:r w:rsidR="00FF1C79" w:rsidRPr="00F83B8A">
        <w:t xml:space="preserve">10 </w:t>
      </w:r>
      <w:r w:rsidRPr="00F83B8A">
        <w:t xml:space="preserve">programs to submit their Annual and Final Performance Reports for </w:t>
      </w:r>
      <w:r w:rsidR="00841CE1">
        <w:t xml:space="preserve">Reporting Year </w:t>
      </w:r>
      <w:r w:rsidRPr="00F83B8A">
        <w:t>20</w:t>
      </w:r>
      <w:r w:rsidR="00064DCD">
        <w:t>1</w:t>
      </w:r>
      <w:r w:rsidR="00C465F8">
        <w:t>6</w:t>
      </w:r>
      <w:r w:rsidRPr="00F83B8A">
        <w:t xml:space="preserve"> under OMB collection number </w:t>
      </w:r>
      <w:r w:rsidR="00FF1C79" w:rsidRPr="00F83B8A">
        <w:t>0</w:t>
      </w:r>
      <w:r w:rsidR="00461EB4">
        <w:t>985</w:t>
      </w:r>
      <w:r w:rsidR="00FF1C79" w:rsidRPr="00F83B8A">
        <w:t>-</w:t>
      </w:r>
      <w:r w:rsidR="00461EB4">
        <w:t>0050</w:t>
      </w:r>
      <w:r w:rsidRPr="00F83B8A">
        <w:t>:</w:t>
      </w:r>
      <w:r w:rsidR="000B324D" w:rsidRPr="00F83B8A">
        <w:t xml:space="preserve"> </w:t>
      </w:r>
    </w:p>
    <w:p w:rsidR="00DD6D7F" w:rsidRPr="00F83B8A" w:rsidRDefault="00DD6D7F" w:rsidP="00FF1C79"/>
    <w:p w:rsidR="00DD6D7F" w:rsidRPr="00F83B8A" w:rsidRDefault="00DD6D7F">
      <w:pPr>
        <w:numPr>
          <w:ilvl w:val="0"/>
          <w:numId w:val="10"/>
        </w:numPr>
      </w:pPr>
      <w:r w:rsidRPr="00F83B8A">
        <w:t>Rehabilitation Research Training Centers (RRTCs)</w:t>
      </w:r>
    </w:p>
    <w:p w:rsidR="00DD6D7F" w:rsidRPr="00F83B8A" w:rsidRDefault="00DD6D7F">
      <w:pPr>
        <w:numPr>
          <w:ilvl w:val="0"/>
          <w:numId w:val="10"/>
        </w:numPr>
      </w:pPr>
      <w:r w:rsidRPr="00F83B8A">
        <w:t>Rehabilitation Engineering Research Centers (RERCs)</w:t>
      </w:r>
    </w:p>
    <w:p w:rsidR="00DD6D7F" w:rsidRPr="00F83B8A" w:rsidRDefault="00DD6D7F">
      <w:pPr>
        <w:numPr>
          <w:ilvl w:val="0"/>
          <w:numId w:val="10"/>
        </w:numPr>
      </w:pPr>
      <w:r w:rsidRPr="00F83B8A">
        <w:t>Field Initiated Research Projects (FIPs)</w:t>
      </w:r>
    </w:p>
    <w:p w:rsidR="00DD6D7F" w:rsidRPr="00F83B8A" w:rsidRDefault="00DD6D7F">
      <w:pPr>
        <w:numPr>
          <w:ilvl w:val="0"/>
          <w:numId w:val="10"/>
        </w:numPr>
      </w:pPr>
      <w:r w:rsidRPr="00F83B8A">
        <w:t>Advanced Rehabilitation Research Training Projects (ARRTs)</w:t>
      </w:r>
    </w:p>
    <w:p w:rsidR="00DD6D7F" w:rsidRPr="00F83B8A" w:rsidRDefault="00DD6D7F">
      <w:pPr>
        <w:numPr>
          <w:ilvl w:val="0"/>
          <w:numId w:val="10"/>
        </w:numPr>
      </w:pPr>
      <w:r w:rsidRPr="00F83B8A">
        <w:t>Model Systems (including spinal cord injury, traumatic brain injury, and burn centers)</w:t>
      </w:r>
    </w:p>
    <w:p w:rsidR="00DD6D7F" w:rsidRPr="00F83B8A" w:rsidRDefault="00DD6D7F">
      <w:pPr>
        <w:numPr>
          <w:ilvl w:val="0"/>
          <w:numId w:val="10"/>
        </w:numPr>
      </w:pPr>
      <w:r w:rsidRPr="00F83B8A">
        <w:t>Disability and Rehabilitation Research Projects (DRRPs)</w:t>
      </w:r>
    </w:p>
    <w:p w:rsidR="00DD6D7F" w:rsidRPr="00F83B8A" w:rsidRDefault="00DD6D7F">
      <w:pPr>
        <w:numPr>
          <w:ilvl w:val="0"/>
          <w:numId w:val="10"/>
        </w:numPr>
      </w:pPr>
      <w:r w:rsidRPr="00F83B8A">
        <w:t>Knowledge Translation (KT) Projects</w:t>
      </w:r>
    </w:p>
    <w:p w:rsidR="00DD6D7F" w:rsidRPr="00F83B8A" w:rsidRDefault="00CA2AD5">
      <w:pPr>
        <w:numPr>
          <w:ilvl w:val="0"/>
          <w:numId w:val="10"/>
        </w:numPr>
      </w:pPr>
      <w:r>
        <w:t>A</w:t>
      </w:r>
      <w:r w:rsidR="00DD6D7F" w:rsidRPr="00F83B8A">
        <w:t>D</w:t>
      </w:r>
      <w:r>
        <w:t xml:space="preserve">A National Network </w:t>
      </w:r>
      <w:r w:rsidR="00DD6D7F" w:rsidRPr="00F83B8A">
        <w:t>Centers (</w:t>
      </w:r>
      <w:r>
        <w:t>ADAs</w:t>
      </w:r>
      <w:r w:rsidR="00DD6D7F" w:rsidRPr="00F83B8A">
        <w:t>)</w:t>
      </w:r>
    </w:p>
    <w:p w:rsidR="00FF1C79" w:rsidRPr="00F83B8A" w:rsidRDefault="00FF1C79">
      <w:pPr>
        <w:numPr>
          <w:ilvl w:val="0"/>
          <w:numId w:val="10"/>
        </w:numPr>
      </w:pPr>
      <w:r w:rsidRPr="00F83B8A">
        <w:t>Small Business Innovation Research Projects (SBIR) grantees (Phase 2 only)</w:t>
      </w:r>
    </w:p>
    <w:p w:rsidR="008376A5" w:rsidRDefault="008376A5" w:rsidP="008A0C03">
      <w:pPr>
        <w:pStyle w:val="Heading1"/>
        <w:numPr>
          <w:ilvl w:val="0"/>
          <w:numId w:val="0"/>
        </w:numPr>
        <w:jc w:val="left"/>
      </w:pPr>
    </w:p>
    <w:p w:rsidR="00623BE3" w:rsidRPr="008A0C03" w:rsidRDefault="00FF1C79" w:rsidP="008A0C03">
      <w:pPr>
        <w:pStyle w:val="Heading1"/>
        <w:numPr>
          <w:ilvl w:val="0"/>
          <w:numId w:val="0"/>
        </w:numPr>
        <w:jc w:val="left"/>
        <w:rPr>
          <w:b w:val="0"/>
        </w:rPr>
      </w:pPr>
      <w:r w:rsidRPr="00F83B8A">
        <w:t>Research Fellowships Program (RFP</w:t>
      </w:r>
      <w:proofErr w:type="gramStart"/>
      <w:r w:rsidRPr="00F83B8A">
        <w:t>)</w:t>
      </w:r>
      <w:r w:rsidR="00623BE3" w:rsidRPr="008A0C03">
        <w:rPr>
          <w:i/>
        </w:rPr>
        <w:t>Statutory</w:t>
      </w:r>
      <w:proofErr w:type="gramEnd"/>
      <w:r w:rsidR="00623BE3" w:rsidRPr="008A0C03">
        <w:rPr>
          <w:i/>
        </w:rPr>
        <w:t xml:space="preserve"> Requirements for This Data Collection</w:t>
      </w:r>
      <w:r w:rsidR="0056031E">
        <w:rPr>
          <w:i/>
        </w:rPr>
        <w:t xml:space="preserve"> </w:t>
      </w:r>
      <w:r w:rsidR="00623BE3" w:rsidRPr="008A0C03">
        <w:rPr>
          <w:b w:val="0"/>
        </w:rPr>
        <w:t>NIDILRR’s APR web-based reporting system (APR system) addresses specific Department of Health and Human Services (DHHS) regulations that shall be met by applicants and grantees. DHHS regulations that apply to NIDILRR Grant programs include Part 75</w:t>
      </w:r>
      <w:r w:rsidR="00B11635">
        <w:rPr>
          <w:b w:val="0"/>
        </w:rPr>
        <w:t xml:space="preserve"> of the</w:t>
      </w:r>
      <w:r w:rsidR="00623BE3" w:rsidRPr="008A0C03">
        <w:rPr>
          <w:b w:val="0"/>
        </w:rPr>
        <w:t xml:space="preserve"> Uniform Administrative Requirements, Cost Principles and Audit requirements for HHS Awards.  Specifically, §75.342, which addresses monitoring and reporting program performance, requires grantees to submit an annual performance report or, for the last year of a project, a final report that evaluates: (a) the grantee’s progress in achieving the objectives in its approved application, (b) the effectiveness of the project in meeting the purposes of the program, and (c) the results of research and related activities.</w:t>
      </w:r>
    </w:p>
    <w:p w:rsidR="00623BE3" w:rsidRPr="008A0C03" w:rsidRDefault="00623BE3" w:rsidP="00623BE3">
      <w:pPr>
        <w:pStyle w:val="BodyTextIndent3"/>
        <w:spacing w:before="0" w:beforeAutospacing="0" w:after="0" w:afterAutospacing="0"/>
        <w:ind w:firstLine="720"/>
      </w:pPr>
    </w:p>
    <w:p w:rsidR="00DD6D7F" w:rsidRDefault="00623BE3" w:rsidP="00623BE3">
      <w:r w:rsidRPr="00F83B8A">
        <w:t xml:space="preserve">Additionally, GPRA requires all federal agencies to implement performance measurement systems that include: (1) a five-year strategic plan, (2) an annual performance plan, and (3) an annual performance report. Currently, </w:t>
      </w:r>
      <w:r>
        <w:t>NIDILRR</w:t>
      </w:r>
      <w:r w:rsidRPr="00F83B8A">
        <w:t xml:space="preserve"> has met these requirements and has established performance indicators to meet the reporting requirements. The </w:t>
      </w:r>
      <w:r>
        <w:t>NIDILRR</w:t>
      </w:r>
      <w:r w:rsidRPr="00F83B8A">
        <w:t xml:space="preserve"> APR System currently includes reporting forms for all 10 of </w:t>
      </w:r>
      <w:r>
        <w:t>NIDILRR’</w:t>
      </w:r>
      <w:r w:rsidRPr="00F83B8A">
        <w:t>s grant programs.</w:t>
      </w:r>
    </w:p>
    <w:p w:rsidR="00623BE3" w:rsidRPr="00F83B8A" w:rsidRDefault="00623BE3"/>
    <w:p w:rsidR="00DD6D7F" w:rsidRPr="00F83B8A" w:rsidRDefault="00DD6D7F" w:rsidP="00FF1C79">
      <w:r w:rsidRPr="00F83B8A">
        <w:tab/>
        <w:t xml:space="preserve">Reporting forms for all </w:t>
      </w:r>
      <w:r w:rsidR="00FF1C79" w:rsidRPr="00F83B8A">
        <w:t xml:space="preserve">10 </w:t>
      </w:r>
      <w:r w:rsidRPr="00F83B8A">
        <w:t xml:space="preserve">programs are </w:t>
      </w:r>
      <w:r w:rsidR="00862C90" w:rsidRPr="00F83B8A">
        <w:t>Web</w:t>
      </w:r>
      <w:r w:rsidRPr="00F83B8A">
        <w:t>-based; that is, all grantees will complete their annual reports via the Internet.</w:t>
      </w:r>
      <w:r w:rsidR="000B324D" w:rsidRPr="00F83B8A">
        <w:t xml:space="preserve"> </w:t>
      </w:r>
      <w:r w:rsidRPr="00F83B8A">
        <w:t>Data collected through these forms will be used to:</w:t>
      </w:r>
    </w:p>
    <w:p w:rsidR="00DD6D7F" w:rsidRPr="00F83B8A" w:rsidRDefault="00DD6D7F"/>
    <w:p w:rsidR="00DD6D7F" w:rsidRPr="00F83B8A" w:rsidRDefault="00DD6D7F">
      <w:r w:rsidRPr="00F83B8A">
        <w:lastRenderedPageBreak/>
        <w:tab/>
        <w:t xml:space="preserve">(a) </w:t>
      </w:r>
      <w:proofErr w:type="gramStart"/>
      <w:r w:rsidRPr="00F83B8A">
        <w:t>facilitate</w:t>
      </w:r>
      <w:proofErr w:type="gramEnd"/>
      <w:r w:rsidRPr="00F83B8A">
        <w:t xml:space="preserve"> program planning and management;</w:t>
      </w:r>
    </w:p>
    <w:p w:rsidR="00DD6D7F" w:rsidRPr="00F83B8A" w:rsidRDefault="00DD6D7F"/>
    <w:p w:rsidR="00DD6D7F" w:rsidRPr="00146002" w:rsidRDefault="00DD6D7F">
      <w:pPr>
        <w:tabs>
          <w:tab w:val="left" w:pos="720"/>
        </w:tabs>
        <w:ind w:left="720"/>
      </w:pPr>
      <w:r w:rsidRPr="00F83B8A">
        <w:t xml:space="preserve">(b) </w:t>
      </w:r>
      <w:proofErr w:type="gramStart"/>
      <w:r w:rsidRPr="00F83B8A">
        <w:t>respond</w:t>
      </w:r>
      <w:proofErr w:type="gramEnd"/>
      <w:r w:rsidRPr="00F83B8A">
        <w:t xml:space="preserve"> </w:t>
      </w:r>
      <w:r w:rsidRPr="00AB5E84">
        <w:t xml:space="preserve">to </w:t>
      </w:r>
      <w:r w:rsidR="00EC10C3">
        <w:t xml:space="preserve">Department of </w:t>
      </w:r>
      <w:r w:rsidR="00AB5E84" w:rsidRPr="00AB5E84">
        <w:t>Health and Human Services</w:t>
      </w:r>
      <w:r w:rsidR="00EC10C3">
        <w:t xml:space="preserve"> (DHHS)</w:t>
      </w:r>
      <w:r w:rsidR="00AB5E84" w:rsidRPr="00AB5E84">
        <w:t xml:space="preserve"> Grants Policy Administration Manual (GPAM) requirements; and</w:t>
      </w:r>
    </w:p>
    <w:p w:rsidR="00DD6D7F" w:rsidRPr="00F83B8A" w:rsidRDefault="00DD6D7F"/>
    <w:p w:rsidR="00DD6D7F" w:rsidRPr="00F83B8A" w:rsidRDefault="00DD6D7F">
      <w:pPr>
        <w:ind w:left="720"/>
      </w:pPr>
      <w:r w:rsidRPr="00F83B8A">
        <w:t xml:space="preserve">(c) </w:t>
      </w:r>
      <w:proofErr w:type="gramStart"/>
      <w:r w:rsidRPr="00F83B8A">
        <w:t>respond</w:t>
      </w:r>
      <w:proofErr w:type="gramEnd"/>
      <w:r w:rsidRPr="00F83B8A">
        <w:t xml:space="preserve"> to the reporting requirements of the Government Performance and Results Act (GPRA) of 1993 (P.L. 103-62)</w:t>
      </w:r>
      <w:r w:rsidR="00841CE1">
        <w:t>.</w:t>
      </w:r>
      <w:r w:rsidR="0093631B">
        <w:rPr>
          <w:rStyle w:val="FootnoteReference"/>
        </w:rPr>
        <w:footnoteReference w:id="1"/>
      </w:r>
    </w:p>
    <w:p w:rsidR="00DD6D7F" w:rsidRPr="00F83B8A" w:rsidRDefault="00DD6D7F" w:rsidP="002C6046">
      <w:pPr>
        <w:ind w:firstLine="720"/>
      </w:pPr>
    </w:p>
    <w:p w:rsidR="00DD6D7F" w:rsidRPr="00F83B8A" w:rsidRDefault="005B1CBD" w:rsidP="00814CF5">
      <w:pPr>
        <w:pStyle w:val="BodyTextIndent3"/>
        <w:spacing w:before="0" w:beforeAutospacing="0" w:after="0" w:afterAutospacing="0"/>
        <w:ind w:firstLine="720"/>
      </w:pPr>
      <w:r>
        <w:t>NIDILRR</w:t>
      </w:r>
      <w:r w:rsidR="00F83B8A">
        <w:t>’</w:t>
      </w:r>
      <w:r w:rsidR="00DD6D7F" w:rsidRPr="00F83B8A">
        <w:t xml:space="preserve">s GPRA plan, as part of </w:t>
      </w:r>
      <w:r w:rsidR="00EC1440">
        <w:t>HHS</w:t>
      </w:r>
      <w:r w:rsidR="00F83B8A">
        <w:t>’</w:t>
      </w:r>
      <w:r w:rsidR="00DD6D7F" w:rsidRPr="00F83B8A">
        <w:t>s performance reporting requirements, must collect information to meet the following mandates: (a) implementation of a comprehensive plan that includes goals and objectives</w:t>
      </w:r>
      <w:r w:rsidR="00814CF5">
        <w:t>;</w:t>
      </w:r>
      <w:r w:rsidR="00DD6D7F" w:rsidRPr="00F83B8A">
        <w:t xml:space="preserve"> (b) measurement of the program</w:t>
      </w:r>
      <w:r w:rsidR="00F83B8A">
        <w:t>’</w:t>
      </w:r>
      <w:r w:rsidR="00DD6D7F" w:rsidRPr="00F83B8A">
        <w:t>s progress in meeting its objectives; and (c) submission of an annual report on program performance, including plans for program improvement, as appropriate.</w:t>
      </w:r>
      <w:r w:rsidR="000B324D" w:rsidRPr="00F83B8A">
        <w:t xml:space="preserve"> </w:t>
      </w:r>
      <w:r w:rsidR="00DD6D7F" w:rsidRPr="00F83B8A">
        <w:t>The data collection system addresses nearly all of the agency</w:t>
      </w:r>
      <w:r w:rsidR="00F83B8A">
        <w:t>’</w:t>
      </w:r>
      <w:r w:rsidR="00DD6D7F" w:rsidRPr="00F83B8A">
        <w:t>s GPRA indicators, either directly or by providing information for the agency</w:t>
      </w:r>
      <w:r w:rsidR="00F83B8A">
        <w:t>’</w:t>
      </w:r>
      <w:r w:rsidR="00DD6D7F" w:rsidRPr="00F83B8A">
        <w:t xml:space="preserve">s </w:t>
      </w:r>
      <w:r w:rsidR="00FF1C79" w:rsidRPr="00F83B8A">
        <w:t xml:space="preserve">other review </w:t>
      </w:r>
      <w:r w:rsidR="00DD6D7F" w:rsidRPr="00F83B8A">
        <w:t>process</w:t>
      </w:r>
      <w:r w:rsidR="00FF1C79" w:rsidRPr="00F83B8A">
        <w:t>es</w:t>
      </w:r>
      <w:r w:rsidR="00DD6D7F" w:rsidRPr="00F83B8A">
        <w:t>.</w:t>
      </w:r>
      <w:r w:rsidR="00DD6D7F" w:rsidRPr="00F83B8A">
        <w:rPr>
          <w:rStyle w:val="FootnoteReference"/>
        </w:rPr>
        <w:footnoteReference w:id="2"/>
      </w:r>
      <w:r w:rsidR="000B324D" w:rsidRPr="00F83B8A">
        <w:t xml:space="preserve"> </w:t>
      </w:r>
    </w:p>
    <w:p w:rsidR="00DD6D7F" w:rsidRPr="00F83B8A" w:rsidRDefault="00DD6D7F">
      <w:pPr>
        <w:pStyle w:val="BodyTextIndent3"/>
        <w:spacing w:before="0" w:beforeAutospacing="0" w:after="0" w:afterAutospacing="0"/>
        <w:ind w:firstLine="720"/>
      </w:pPr>
    </w:p>
    <w:p w:rsidR="00DD6D7F" w:rsidRPr="00F83B8A" w:rsidRDefault="005B1CBD" w:rsidP="00CE7FE1">
      <w:pPr>
        <w:pStyle w:val="BodyTextIndent3"/>
        <w:spacing w:before="0" w:beforeAutospacing="0" w:after="0" w:afterAutospacing="0"/>
        <w:ind w:firstLine="720"/>
      </w:pPr>
      <w:r>
        <w:t>NIDILRR</w:t>
      </w:r>
      <w:r w:rsidR="00814CF5">
        <w:t xml:space="preserve">’s program performance measures </w:t>
      </w:r>
      <w:r w:rsidR="00DD6D7F" w:rsidRPr="00F83B8A">
        <w:t>include:</w:t>
      </w:r>
    </w:p>
    <w:p w:rsidR="00DD6D7F" w:rsidRPr="00F83B8A" w:rsidRDefault="00DD6D7F">
      <w:pPr>
        <w:pStyle w:val="BodyTextIndent3"/>
        <w:spacing w:before="0" w:beforeAutospacing="0" w:after="0" w:afterAutospacing="0"/>
        <w:ind w:firstLine="720"/>
      </w:pPr>
    </w:p>
    <w:p w:rsidR="00DD6D7F" w:rsidRPr="00F83B8A" w:rsidRDefault="00FD7BC0" w:rsidP="00814CF5">
      <w:pPr>
        <w:pStyle w:val="NormalWeb"/>
        <w:spacing w:before="0" w:beforeAutospacing="0" w:after="0" w:afterAutospacing="0"/>
        <w:ind w:left="720"/>
      </w:pPr>
      <w:hyperlink r:id="rId10" w:history="1">
        <w:proofErr w:type="gramStart"/>
        <w:r w:rsidR="00814CF5">
          <w:rPr>
            <w:rStyle w:val="Hyperlink"/>
            <w:color w:val="auto"/>
          </w:rPr>
          <w:t xml:space="preserve">Measure </w:t>
        </w:r>
        <w:r w:rsidR="00DD6D7F" w:rsidRPr="00F83B8A">
          <w:rPr>
            <w:rStyle w:val="Hyperlink"/>
            <w:color w:val="auto"/>
          </w:rPr>
          <w:t>1.</w:t>
        </w:r>
        <w:r w:rsidR="00A37FF2" w:rsidRPr="00F83B8A">
          <w:rPr>
            <w:rStyle w:val="Hyperlink"/>
            <w:color w:val="auto"/>
          </w:rPr>
          <w:t>1</w:t>
        </w:r>
      </w:hyperlink>
      <w:r w:rsidR="00DD6D7F" w:rsidRPr="00F83B8A">
        <w:rPr>
          <w:color w:val="auto"/>
        </w:rPr>
        <w:t>: T</w:t>
      </w:r>
      <w:r w:rsidR="00DD6D7F" w:rsidRPr="00F83B8A">
        <w:t>he percentage of National Institute on Disability</w:t>
      </w:r>
      <w:r w:rsidR="00EC1440">
        <w:t>, Independent Living,</w:t>
      </w:r>
      <w:r w:rsidR="00DD6D7F" w:rsidRPr="00F83B8A">
        <w:t xml:space="preserve"> and Rehabilitation Research (</w:t>
      </w:r>
      <w:r w:rsidR="005B1CBD">
        <w:t>NIDILRR</w:t>
      </w:r>
      <w:r w:rsidR="00DD6D7F" w:rsidRPr="00F83B8A">
        <w:t xml:space="preserve">)-supported fellows, post-doctoral trainees, and doctoral students who publish results of </w:t>
      </w:r>
      <w:r w:rsidR="005B1CBD">
        <w:t>NIDILRR</w:t>
      </w:r>
      <w:r w:rsidR="00DD6D7F" w:rsidRPr="00F83B8A">
        <w:t>-sponsored research in refereed journals.</w:t>
      </w:r>
      <w:proofErr w:type="gramEnd"/>
    </w:p>
    <w:p w:rsidR="00DD6D7F" w:rsidRPr="00F83B8A" w:rsidRDefault="00DD6D7F">
      <w:pPr>
        <w:pStyle w:val="NormalWeb"/>
        <w:spacing w:before="0" w:beforeAutospacing="0" w:after="0" w:afterAutospacing="0"/>
        <w:ind w:left="720"/>
        <w:rPr>
          <w:u w:val="single"/>
        </w:rPr>
      </w:pPr>
    </w:p>
    <w:p w:rsidR="00DD6D7F" w:rsidRPr="00F83B8A" w:rsidRDefault="00FD7BC0" w:rsidP="00814CF5">
      <w:pPr>
        <w:ind w:left="720"/>
      </w:pPr>
      <w:hyperlink r:id="rId11" w:history="1">
        <w:r w:rsidR="00814CF5">
          <w:rPr>
            <w:rStyle w:val="Hyperlink"/>
            <w:color w:val="auto"/>
          </w:rPr>
          <w:t xml:space="preserve">Measure </w:t>
        </w:r>
        <w:r w:rsidR="00DD6D7F" w:rsidRPr="00F83B8A">
          <w:rPr>
            <w:rStyle w:val="Hyperlink"/>
            <w:color w:val="auto"/>
          </w:rPr>
          <w:t>3.1</w:t>
        </w:r>
      </w:hyperlink>
      <w:r w:rsidR="00DD6D7F" w:rsidRPr="00F83B8A">
        <w:t>: The number of new or improved National Institute on Disability</w:t>
      </w:r>
      <w:r w:rsidR="00EC1440">
        <w:t>, Independent Living,</w:t>
      </w:r>
      <w:r w:rsidR="00DD6D7F" w:rsidRPr="00F83B8A">
        <w:t xml:space="preserve"> and Rehabilitation Research (</w:t>
      </w:r>
      <w:r w:rsidR="005B1CBD">
        <w:t>NIDILRR</w:t>
      </w:r>
      <w:r w:rsidR="00814CF5">
        <w:t>)</w:t>
      </w:r>
      <w:r w:rsidR="00DD6D7F" w:rsidRPr="00F83B8A">
        <w:t>-funded assistive and universally designed technologies, products, and devices transferred to industry for potential commercialization.</w:t>
      </w:r>
    </w:p>
    <w:p w:rsidR="00DD6D7F" w:rsidRPr="00F83B8A" w:rsidRDefault="00DD6D7F">
      <w:pPr>
        <w:ind w:left="720"/>
      </w:pPr>
    </w:p>
    <w:p w:rsidR="00DD6D7F" w:rsidRPr="00F83B8A" w:rsidRDefault="00FD7BC0" w:rsidP="00814CF5">
      <w:pPr>
        <w:pStyle w:val="NormalWeb"/>
        <w:spacing w:before="0" w:beforeAutospacing="0" w:after="0" w:afterAutospacing="0"/>
        <w:ind w:left="720"/>
      </w:pPr>
      <w:hyperlink r:id="rId12" w:history="1">
        <w:proofErr w:type="gramStart"/>
        <w:r w:rsidR="00814CF5">
          <w:rPr>
            <w:rStyle w:val="Hyperlink"/>
            <w:color w:val="auto"/>
          </w:rPr>
          <w:t xml:space="preserve">Measure </w:t>
        </w:r>
        <w:r w:rsidR="00DD6D7F" w:rsidRPr="00F83B8A">
          <w:rPr>
            <w:rStyle w:val="Hyperlink"/>
            <w:color w:val="auto"/>
          </w:rPr>
          <w:t>3</w:t>
        </w:r>
      </w:hyperlink>
      <w:r w:rsidR="00DD6D7F" w:rsidRPr="00F83B8A">
        <w:rPr>
          <w:color w:val="auto"/>
          <w:u w:val="single"/>
        </w:rPr>
        <w:t>.2</w:t>
      </w:r>
      <w:r w:rsidR="00DD6D7F" w:rsidRPr="00F83B8A">
        <w:rPr>
          <w:color w:val="auto"/>
        </w:rPr>
        <w:t>:</w:t>
      </w:r>
      <w:r w:rsidR="00DD6D7F" w:rsidRPr="00F83B8A">
        <w:t xml:space="preserve"> The average number of publications per award based on National Institute on Disability</w:t>
      </w:r>
      <w:r w:rsidR="00EC1440">
        <w:t>, Independent Living,</w:t>
      </w:r>
      <w:r w:rsidR="00DD6D7F" w:rsidRPr="00F83B8A">
        <w:t xml:space="preserve"> and Rehabilitation Research (</w:t>
      </w:r>
      <w:r w:rsidR="005B1CBD">
        <w:t>NIDILRR</w:t>
      </w:r>
      <w:r w:rsidR="00DD6D7F" w:rsidRPr="00F83B8A">
        <w:t>)-funded research and development activities in refereed journals.</w:t>
      </w:r>
      <w:proofErr w:type="gramEnd"/>
    </w:p>
    <w:p w:rsidR="00DD6D7F" w:rsidRPr="00F83B8A" w:rsidRDefault="00DD6D7F">
      <w:pPr>
        <w:pStyle w:val="BodyTextIndent3"/>
        <w:spacing w:before="0" w:beforeAutospacing="0" w:after="0" w:afterAutospacing="0"/>
        <w:jc w:val="center"/>
        <w:rPr>
          <w:b/>
          <w:i/>
          <w:iCs/>
        </w:rPr>
      </w:pPr>
    </w:p>
    <w:p w:rsidR="00DD6D7F" w:rsidRPr="00F83B8A" w:rsidRDefault="00DD6D7F">
      <w:pPr>
        <w:pStyle w:val="BodyTextIndent3"/>
        <w:spacing w:before="0" w:beforeAutospacing="0" w:after="0" w:afterAutospacing="0"/>
        <w:jc w:val="center"/>
        <w:rPr>
          <w:b/>
          <w:i/>
          <w:iCs/>
        </w:rPr>
      </w:pPr>
      <w:r w:rsidRPr="00F83B8A">
        <w:rPr>
          <w:b/>
          <w:i/>
          <w:iCs/>
        </w:rPr>
        <w:t>Form Questions</w:t>
      </w:r>
    </w:p>
    <w:p w:rsidR="00DD6D7F" w:rsidRPr="00F83B8A" w:rsidRDefault="00DD6D7F">
      <w:pPr>
        <w:pStyle w:val="BodyTextIndent3"/>
        <w:spacing w:before="0" w:beforeAutospacing="0" w:after="0" w:afterAutospacing="0"/>
        <w:rPr>
          <w:i/>
          <w:iCs/>
        </w:rPr>
      </w:pPr>
    </w:p>
    <w:p w:rsidR="00DD6D7F" w:rsidRPr="00F83B8A" w:rsidRDefault="00DD6D7F" w:rsidP="009317A1">
      <w:pPr>
        <w:widowControl w:val="0"/>
        <w:tabs>
          <w:tab w:val="left" w:pos="0"/>
        </w:tabs>
        <w:ind w:firstLine="720"/>
      </w:pPr>
      <w:r w:rsidRPr="00F83B8A">
        <w:t xml:space="preserve">In order to provide accurate and comprehensive documentation of the activities, outputs, and outcomes of </w:t>
      </w:r>
      <w:r w:rsidR="005B1CBD">
        <w:t>NIDILRR</w:t>
      </w:r>
      <w:r w:rsidRPr="00F83B8A">
        <w:t xml:space="preserve"> grantees, the APR forms will collect information </w:t>
      </w:r>
      <w:r w:rsidR="009F47EF" w:rsidRPr="00F83B8A">
        <w:t>i</w:t>
      </w:r>
      <w:r w:rsidRPr="00F83B8A">
        <w:t xml:space="preserve">n several areas (see </w:t>
      </w:r>
      <w:r w:rsidRPr="00F83B8A">
        <w:rPr>
          <w:b/>
        </w:rPr>
        <w:t>Table 1</w:t>
      </w:r>
      <w:r w:rsidRPr="00F83B8A">
        <w:t>).</w:t>
      </w:r>
      <w:r w:rsidR="000B324D" w:rsidRPr="00F83B8A">
        <w:t xml:space="preserve"> </w:t>
      </w:r>
      <w:r w:rsidRPr="00F83B8A">
        <w:t>Each form contains data elements keyed specifically to goals, objectives, and reporting requirements of the respective programs.</w:t>
      </w:r>
      <w:r w:rsidR="000B324D" w:rsidRPr="00F83B8A">
        <w:t xml:space="preserve"> </w:t>
      </w:r>
      <w:r w:rsidRPr="00F83B8A">
        <w:t xml:space="preserve">Appendix B contains a paper version of all the data elements for which </w:t>
      </w:r>
      <w:r w:rsidR="005B1CBD">
        <w:t>NIDILRR</w:t>
      </w:r>
      <w:r w:rsidRPr="00F83B8A">
        <w:t xml:space="preserve"> is requesting clearance</w:t>
      </w:r>
      <w:r w:rsidR="009F47EF" w:rsidRPr="00F83B8A">
        <w:t>.</w:t>
      </w:r>
      <w:r w:rsidR="000B324D" w:rsidRPr="00F83B8A">
        <w:t xml:space="preserve"> </w:t>
      </w:r>
      <w:r w:rsidR="009F47EF" w:rsidRPr="00F83B8A">
        <w:t xml:space="preserve">The individual Annual Performance Report forms, and a Final Report Form to be used by all except RFP grantees, </w:t>
      </w:r>
      <w:r w:rsidRPr="00F83B8A">
        <w:t>will be compiled from the master list of data elements.</w:t>
      </w:r>
      <w:r w:rsidR="009F47EF" w:rsidRPr="00F83B8A">
        <w:rPr>
          <w:rStyle w:val="FootnoteReference"/>
        </w:rPr>
        <w:footnoteReference w:id="3"/>
      </w:r>
      <w:r w:rsidR="000B324D" w:rsidRPr="00F83B8A">
        <w:t xml:space="preserve"> </w:t>
      </w:r>
    </w:p>
    <w:p w:rsidR="00862C90" w:rsidRPr="00F83B8A" w:rsidRDefault="00862C90" w:rsidP="00862C90">
      <w:pPr>
        <w:ind w:firstLine="720"/>
        <w:sectPr w:rsidR="00862C90" w:rsidRPr="00F83B8A" w:rsidSect="009317A1">
          <w:footerReference w:type="default" r:id="rId13"/>
          <w:pgSz w:w="12240" w:h="15840" w:code="1"/>
          <w:pgMar w:top="1440" w:right="1440" w:bottom="1296" w:left="1440" w:header="720" w:footer="720" w:gutter="0"/>
          <w:pgNumType w:start="1"/>
          <w:cols w:space="720"/>
          <w:docGrid w:linePitch="360"/>
        </w:sectPr>
      </w:pPr>
    </w:p>
    <w:p w:rsidR="00DD6D7F" w:rsidRPr="00F83B8A" w:rsidRDefault="00DD6D7F">
      <w:pPr>
        <w:pStyle w:val="Caption"/>
        <w:keepNext/>
        <w:rPr>
          <w:rFonts w:ascii="Arial" w:hAnsi="Arial" w:cs="Arial"/>
        </w:rPr>
      </w:pPr>
      <w:bookmarkStart w:id="1" w:name="_Toc447299706"/>
      <w:r w:rsidRPr="00F83B8A">
        <w:rPr>
          <w:rFonts w:ascii="Arial" w:hAnsi="Arial" w:cs="Arial"/>
        </w:rPr>
        <w:lastRenderedPageBreak/>
        <w:t xml:space="preserve">Table </w:t>
      </w:r>
      <w:r w:rsidRPr="00F83B8A">
        <w:rPr>
          <w:rFonts w:ascii="Arial" w:hAnsi="Arial" w:cs="Arial"/>
        </w:rPr>
        <w:fldChar w:fldCharType="begin"/>
      </w:r>
      <w:r w:rsidRPr="00F83B8A">
        <w:rPr>
          <w:rFonts w:ascii="Arial" w:hAnsi="Arial" w:cs="Arial"/>
        </w:rPr>
        <w:instrText xml:space="preserve"> SEQ Table \* ARABIC </w:instrText>
      </w:r>
      <w:r w:rsidRPr="00F83B8A">
        <w:rPr>
          <w:rFonts w:ascii="Arial" w:hAnsi="Arial" w:cs="Arial"/>
        </w:rPr>
        <w:fldChar w:fldCharType="separate"/>
      </w:r>
      <w:r w:rsidR="00E6737D">
        <w:rPr>
          <w:rFonts w:ascii="Arial" w:hAnsi="Arial" w:cs="Arial"/>
          <w:noProof/>
        </w:rPr>
        <w:t>1</w:t>
      </w:r>
      <w:r w:rsidRPr="00F83B8A">
        <w:rPr>
          <w:rFonts w:ascii="Arial" w:hAnsi="Arial" w:cs="Arial"/>
        </w:rPr>
        <w:fldChar w:fldCharType="end"/>
      </w:r>
      <w:r w:rsidRPr="00F83B8A">
        <w:rPr>
          <w:rFonts w:ascii="Arial" w:hAnsi="Arial" w:cs="Arial"/>
        </w:rPr>
        <w:t xml:space="preserve"> – Data Elements Addressed by Each </w:t>
      </w:r>
      <w:r w:rsidR="005B1CBD">
        <w:rPr>
          <w:rFonts w:ascii="Arial" w:hAnsi="Arial" w:cs="Arial"/>
        </w:rPr>
        <w:t>NIDILRR</w:t>
      </w:r>
      <w:r w:rsidRPr="00F83B8A">
        <w:rPr>
          <w:rFonts w:ascii="Arial" w:hAnsi="Arial" w:cs="Arial"/>
        </w:rPr>
        <w:t xml:space="preserve"> Form</w:t>
      </w:r>
      <w:bookmarkEnd w:id="1"/>
    </w:p>
    <w:tbl>
      <w:tblPr>
        <w:tblW w:w="1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4468"/>
        <w:gridCol w:w="714"/>
        <w:gridCol w:w="720"/>
        <w:gridCol w:w="771"/>
        <w:gridCol w:w="847"/>
        <w:gridCol w:w="593"/>
        <w:gridCol w:w="630"/>
        <w:gridCol w:w="669"/>
        <w:gridCol w:w="675"/>
        <w:gridCol w:w="630"/>
        <w:gridCol w:w="855"/>
        <w:gridCol w:w="720"/>
        <w:gridCol w:w="1127"/>
      </w:tblGrid>
      <w:tr w:rsidR="00862C90" w:rsidRPr="00F83B8A" w:rsidTr="000B324D">
        <w:trPr>
          <w:cantSplit/>
          <w:tblHeader/>
        </w:trPr>
        <w:tc>
          <w:tcPr>
            <w:tcW w:w="4468" w:type="dxa"/>
            <w:vAlign w:val="bottom"/>
          </w:tcPr>
          <w:p w:rsidR="00862C90" w:rsidRPr="00F83B8A" w:rsidRDefault="00823FAF" w:rsidP="000B324D">
            <w:pPr>
              <w:pStyle w:val="BodyTextIndent3"/>
              <w:spacing w:before="20" w:beforeAutospacing="0" w:after="20" w:afterAutospacing="0"/>
              <w:rPr>
                <w:rFonts w:ascii="Arial" w:hAnsi="Arial" w:cs="Arial"/>
                <w:b/>
                <w:bCs/>
                <w:sz w:val="18"/>
                <w:szCs w:val="18"/>
              </w:rPr>
            </w:pPr>
            <w:r w:rsidRPr="00F83B8A">
              <w:rPr>
                <w:rFonts w:ascii="Arial" w:hAnsi="Arial" w:cs="Arial"/>
                <w:b/>
                <w:bCs/>
                <w:sz w:val="18"/>
                <w:szCs w:val="18"/>
              </w:rPr>
              <w:t>FORM SECTIONS</w:t>
            </w:r>
          </w:p>
        </w:tc>
        <w:tc>
          <w:tcPr>
            <w:tcW w:w="714" w:type="dxa"/>
            <w:vAlign w:val="bottom"/>
          </w:tcPr>
          <w:p w:rsidR="00862C90" w:rsidRPr="00F83B8A" w:rsidRDefault="00862C90" w:rsidP="000B324D">
            <w:pPr>
              <w:tabs>
                <w:tab w:val="left" w:pos="0"/>
              </w:tabs>
              <w:spacing w:before="20" w:after="20"/>
              <w:jc w:val="center"/>
              <w:rPr>
                <w:rFonts w:ascii="Arial" w:hAnsi="Arial" w:cs="Arial"/>
                <w:b/>
                <w:sz w:val="18"/>
                <w:szCs w:val="18"/>
              </w:rPr>
            </w:pPr>
            <w:r w:rsidRPr="00F83B8A">
              <w:rPr>
                <w:rFonts w:ascii="Arial" w:hAnsi="Arial" w:cs="Arial"/>
                <w:b/>
                <w:sz w:val="18"/>
                <w:szCs w:val="18"/>
              </w:rPr>
              <w:t>ARRT</w:t>
            </w:r>
          </w:p>
        </w:tc>
        <w:tc>
          <w:tcPr>
            <w:tcW w:w="720" w:type="dxa"/>
            <w:vAlign w:val="bottom"/>
          </w:tcPr>
          <w:p w:rsidR="00862C90" w:rsidRPr="00F83B8A" w:rsidRDefault="00862C90" w:rsidP="000B324D">
            <w:pPr>
              <w:tabs>
                <w:tab w:val="left" w:pos="0"/>
              </w:tabs>
              <w:spacing w:before="20" w:after="20"/>
              <w:jc w:val="center"/>
              <w:rPr>
                <w:rFonts w:ascii="Arial" w:hAnsi="Arial" w:cs="Arial"/>
                <w:b/>
                <w:sz w:val="18"/>
                <w:szCs w:val="18"/>
              </w:rPr>
            </w:pPr>
            <w:r w:rsidRPr="00F83B8A">
              <w:rPr>
                <w:rFonts w:ascii="Arial" w:hAnsi="Arial" w:cs="Arial"/>
                <w:b/>
                <w:sz w:val="18"/>
                <w:szCs w:val="18"/>
              </w:rPr>
              <w:t>KT</w:t>
            </w:r>
          </w:p>
        </w:tc>
        <w:tc>
          <w:tcPr>
            <w:tcW w:w="771" w:type="dxa"/>
            <w:vAlign w:val="bottom"/>
          </w:tcPr>
          <w:p w:rsidR="00862C90" w:rsidRPr="00F83B8A" w:rsidRDefault="00FB4FF7" w:rsidP="00FB4FF7">
            <w:pPr>
              <w:tabs>
                <w:tab w:val="left" w:pos="0"/>
              </w:tabs>
              <w:spacing w:before="20" w:after="20"/>
              <w:jc w:val="center"/>
              <w:rPr>
                <w:rFonts w:ascii="Arial" w:hAnsi="Arial" w:cs="Arial"/>
                <w:b/>
                <w:sz w:val="18"/>
                <w:szCs w:val="18"/>
              </w:rPr>
            </w:pPr>
            <w:r>
              <w:rPr>
                <w:rFonts w:ascii="Arial" w:hAnsi="Arial" w:cs="Arial"/>
                <w:b/>
                <w:sz w:val="18"/>
                <w:szCs w:val="18"/>
              </w:rPr>
              <w:t>ADA</w:t>
            </w:r>
          </w:p>
        </w:tc>
        <w:tc>
          <w:tcPr>
            <w:tcW w:w="847" w:type="dxa"/>
            <w:vAlign w:val="bottom"/>
          </w:tcPr>
          <w:p w:rsidR="00862C90" w:rsidRPr="00F83B8A" w:rsidRDefault="00862C90" w:rsidP="000B324D">
            <w:pPr>
              <w:tabs>
                <w:tab w:val="left" w:pos="0"/>
              </w:tabs>
              <w:spacing w:before="20" w:after="20"/>
              <w:jc w:val="center"/>
              <w:rPr>
                <w:rFonts w:ascii="Arial" w:hAnsi="Arial" w:cs="Arial"/>
                <w:b/>
                <w:sz w:val="18"/>
                <w:szCs w:val="18"/>
              </w:rPr>
            </w:pPr>
            <w:r w:rsidRPr="00F83B8A">
              <w:rPr>
                <w:rFonts w:ascii="Arial" w:hAnsi="Arial" w:cs="Arial"/>
                <w:b/>
                <w:sz w:val="18"/>
                <w:szCs w:val="18"/>
              </w:rPr>
              <w:t>DRRP</w:t>
            </w:r>
          </w:p>
        </w:tc>
        <w:tc>
          <w:tcPr>
            <w:tcW w:w="593" w:type="dxa"/>
            <w:vAlign w:val="bottom"/>
          </w:tcPr>
          <w:p w:rsidR="00862C90" w:rsidRPr="00F83B8A" w:rsidRDefault="00862C90" w:rsidP="000B324D">
            <w:pPr>
              <w:tabs>
                <w:tab w:val="left" w:pos="0"/>
              </w:tabs>
              <w:spacing w:before="20" w:after="20"/>
              <w:jc w:val="center"/>
              <w:rPr>
                <w:rFonts w:ascii="Arial" w:hAnsi="Arial" w:cs="Arial"/>
                <w:b/>
                <w:sz w:val="18"/>
                <w:szCs w:val="18"/>
              </w:rPr>
            </w:pPr>
            <w:r w:rsidRPr="00F83B8A">
              <w:rPr>
                <w:rFonts w:ascii="Arial" w:hAnsi="Arial" w:cs="Arial"/>
                <w:b/>
                <w:sz w:val="18"/>
                <w:szCs w:val="18"/>
              </w:rPr>
              <w:t>FIP</w:t>
            </w:r>
          </w:p>
        </w:tc>
        <w:tc>
          <w:tcPr>
            <w:tcW w:w="630" w:type="dxa"/>
            <w:vAlign w:val="bottom"/>
          </w:tcPr>
          <w:p w:rsidR="00862C90" w:rsidRPr="00F83B8A" w:rsidRDefault="00862C90" w:rsidP="000B324D">
            <w:pPr>
              <w:tabs>
                <w:tab w:val="left" w:pos="0"/>
              </w:tabs>
              <w:spacing w:before="20" w:after="20"/>
              <w:jc w:val="center"/>
              <w:rPr>
                <w:rFonts w:ascii="Arial" w:hAnsi="Arial" w:cs="Arial"/>
                <w:b/>
                <w:sz w:val="18"/>
                <w:szCs w:val="18"/>
              </w:rPr>
            </w:pPr>
            <w:r w:rsidRPr="00F83B8A">
              <w:rPr>
                <w:rFonts w:ascii="Arial" w:hAnsi="Arial" w:cs="Arial"/>
                <w:b/>
                <w:sz w:val="18"/>
                <w:szCs w:val="18"/>
              </w:rPr>
              <w:t>MS</w:t>
            </w:r>
          </w:p>
        </w:tc>
        <w:tc>
          <w:tcPr>
            <w:tcW w:w="669" w:type="dxa"/>
            <w:vAlign w:val="bottom"/>
          </w:tcPr>
          <w:p w:rsidR="00862C90" w:rsidRPr="00F83B8A" w:rsidRDefault="00862C90" w:rsidP="000B324D">
            <w:pPr>
              <w:tabs>
                <w:tab w:val="left" w:pos="0"/>
              </w:tabs>
              <w:spacing w:before="20" w:after="20"/>
              <w:jc w:val="center"/>
              <w:rPr>
                <w:rFonts w:ascii="Arial" w:hAnsi="Arial" w:cs="Arial"/>
                <w:b/>
                <w:sz w:val="18"/>
                <w:szCs w:val="18"/>
              </w:rPr>
            </w:pPr>
            <w:r w:rsidRPr="00F83B8A">
              <w:rPr>
                <w:rFonts w:ascii="Arial" w:hAnsi="Arial" w:cs="Arial"/>
                <w:b/>
                <w:sz w:val="18"/>
                <w:szCs w:val="18"/>
              </w:rPr>
              <w:t>RERC</w:t>
            </w:r>
          </w:p>
        </w:tc>
        <w:tc>
          <w:tcPr>
            <w:tcW w:w="675" w:type="dxa"/>
            <w:vAlign w:val="bottom"/>
          </w:tcPr>
          <w:p w:rsidR="00862C90" w:rsidRPr="00F83B8A" w:rsidRDefault="00862C90" w:rsidP="000B324D">
            <w:pPr>
              <w:tabs>
                <w:tab w:val="left" w:pos="0"/>
              </w:tabs>
              <w:spacing w:before="20" w:after="20"/>
              <w:jc w:val="center"/>
              <w:rPr>
                <w:rFonts w:ascii="Arial" w:hAnsi="Arial" w:cs="Arial"/>
                <w:b/>
                <w:sz w:val="18"/>
                <w:szCs w:val="18"/>
              </w:rPr>
            </w:pPr>
            <w:r w:rsidRPr="00F83B8A">
              <w:rPr>
                <w:rFonts w:ascii="Arial" w:hAnsi="Arial" w:cs="Arial"/>
                <w:b/>
                <w:sz w:val="18"/>
                <w:szCs w:val="18"/>
              </w:rPr>
              <w:t>RRTC</w:t>
            </w:r>
          </w:p>
        </w:tc>
        <w:tc>
          <w:tcPr>
            <w:tcW w:w="630" w:type="dxa"/>
            <w:vAlign w:val="bottom"/>
          </w:tcPr>
          <w:p w:rsidR="00862C90" w:rsidRPr="00F83B8A" w:rsidRDefault="00862C90" w:rsidP="000B324D">
            <w:pPr>
              <w:pStyle w:val="BodyTextIndent3"/>
              <w:spacing w:before="20" w:beforeAutospacing="0" w:after="20" w:afterAutospacing="0"/>
              <w:jc w:val="center"/>
              <w:rPr>
                <w:rFonts w:ascii="Arial" w:hAnsi="Arial" w:cs="Arial"/>
                <w:b/>
                <w:sz w:val="18"/>
                <w:szCs w:val="18"/>
              </w:rPr>
            </w:pPr>
            <w:r w:rsidRPr="00F83B8A">
              <w:rPr>
                <w:rFonts w:ascii="Arial" w:hAnsi="Arial" w:cs="Arial"/>
                <w:b/>
                <w:sz w:val="18"/>
                <w:szCs w:val="18"/>
              </w:rPr>
              <w:t>SBIR</w:t>
            </w:r>
          </w:p>
        </w:tc>
        <w:tc>
          <w:tcPr>
            <w:tcW w:w="855" w:type="dxa"/>
            <w:vAlign w:val="bottom"/>
          </w:tcPr>
          <w:p w:rsidR="00862C90" w:rsidRPr="00F83B8A" w:rsidRDefault="00862C90" w:rsidP="000B324D">
            <w:pPr>
              <w:pStyle w:val="BodyTextIndent3"/>
              <w:spacing w:before="20" w:beforeAutospacing="0" w:after="20" w:afterAutospacing="0"/>
              <w:jc w:val="center"/>
              <w:rPr>
                <w:rFonts w:ascii="Arial" w:hAnsi="Arial" w:cs="Arial"/>
                <w:b/>
                <w:sz w:val="18"/>
                <w:szCs w:val="18"/>
              </w:rPr>
            </w:pPr>
            <w:r w:rsidRPr="00F83B8A">
              <w:rPr>
                <w:rFonts w:ascii="Arial" w:hAnsi="Arial" w:cs="Arial"/>
                <w:b/>
                <w:sz w:val="18"/>
                <w:szCs w:val="18"/>
              </w:rPr>
              <w:t>RFP Annual Report</w:t>
            </w:r>
          </w:p>
        </w:tc>
        <w:tc>
          <w:tcPr>
            <w:tcW w:w="720" w:type="dxa"/>
            <w:vAlign w:val="bottom"/>
          </w:tcPr>
          <w:p w:rsidR="00862C90" w:rsidRPr="00F83B8A" w:rsidRDefault="00862C90" w:rsidP="000B324D">
            <w:pPr>
              <w:pStyle w:val="BodyTextIndent3"/>
              <w:spacing w:before="20" w:beforeAutospacing="0" w:after="20" w:afterAutospacing="0"/>
              <w:jc w:val="center"/>
              <w:rPr>
                <w:rFonts w:ascii="Arial" w:hAnsi="Arial" w:cs="Arial"/>
                <w:b/>
                <w:sz w:val="18"/>
                <w:szCs w:val="18"/>
              </w:rPr>
            </w:pPr>
            <w:r w:rsidRPr="00F83B8A">
              <w:rPr>
                <w:rFonts w:ascii="Arial" w:hAnsi="Arial" w:cs="Arial"/>
                <w:b/>
                <w:sz w:val="18"/>
                <w:szCs w:val="18"/>
              </w:rPr>
              <w:t>RFP Final Report</w:t>
            </w:r>
          </w:p>
        </w:tc>
        <w:tc>
          <w:tcPr>
            <w:tcW w:w="1127" w:type="dxa"/>
            <w:vAlign w:val="bottom"/>
          </w:tcPr>
          <w:p w:rsidR="00862C90" w:rsidRPr="00F83B8A" w:rsidRDefault="00525467" w:rsidP="000B324D">
            <w:pPr>
              <w:pStyle w:val="BodyTextIndent3"/>
              <w:spacing w:before="20" w:beforeAutospacing="0" w:after="20" w:afterAutospacing="0"/>
              <w:jc w:val="center"/>
              <w:rPr>
                <w:rFonts w:ascii="Arial" w:hAnsi="Arial" w:cs="Arial"/>
                <w:b/>
                <w:sz w:val="18"/>
                <w:szCs w:val="18"/>
              </w:rPr>
            </w:pPr>
            <w:r w:rsidRPr="00F83B8A">
              <w:rPr>
                <w:rFonts w:ascii="Arial" w:hAnsi="Arial" w:cs="Arial"/>
                <w:b/>
                <w:sz w:val="18"/>
                <w:szCs w:val="18"/>
              </w:rPr>
              <w:t>Final Report (All Except RFP</w:t>
            </w:r>
            <w:r w:rsidR="00F379CA" w:rsidRPr="00F83B8A">
              <w:rPr>
                <w:rFonts w:ascii="Arial" w:hAnsi="Arial" w:cs="Arial"/>
                <w:b/>
                <w:sz w:val="18"/>
                <w:szCs w:val="18"/>
              </w:rPr>
              <w:t xml:space="preserve"> Grantees</w:t>
            </w:r>
            <w:r w:rsidR="00862C90" w:rsidRPr="00F83B8A">
              <w:rPr>
                <w:rFonts w:ascii="Arial" w:hAnsi="Arial" w:cs="Arial"/>
                <w:b/>
                <w:sz w:val="18"/>
                <w:szCs w:val="18"/>
              </w:rPr>
              <w:t>)</w:t>
            </w:r>
          </w:p>
        </w:tc>
      </w:tr>
      <w:tr w:rsidR="001C1082" w:rsidRPr="00F83B8A" w:rsidTr="000B324D">
        <w:trPr>
          <w:cantSplit/>
        </w:trPr>
        <w:tc>
          <w:tcPr>
            <w:tcW w:w="4468" w:type="dxa"/>
            <w:tcBorders>
              <w:bottom w:val="nil"/>
            </w:tcBorders>
            <w:vAlign w:val="bottom"/>
          </w:tcPr>
          <w:p w:rsidR="00862C90" w:rsidRPr="00F83B8A" w:rsidRDefault="00862C90" w:rsidP="000B324D">
            <w:pPr>
              <w:pStyle w:val="BodyTextIndent3"/>
              <w:spacing w:before="20" w:beforeAutospacing="0" w:after="20" w:afterAutospacing="0"/>
              <w:rPr>
                <w:rFonts w:ascii="Arial" w:hAnsi="Arial" w:cs="Arial"/>
                <w:sz w:val="18"/>
                <w:szCs w:val="18"/>
              </w:rPr>
            </w:pPr>
            <w:r w:rsidRPr="00F83B8A">
              <w:rPr>
                <w:rFonts w:ascii="Arial" w:hAnsi="Arial" w:cs="Arial"/>
                <w:b/>
                <w:sz w:val="18"/>
                <w:szCs w:val="18"/>
              </w:rPr>
              <w:t>Contact and Identifying Information</w:t>
            </w:r>
          </w:p>
        </w:tc>
        <w:tc>
          <w:tcPr>
            <w:tcW w:w="714"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720"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771"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847"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593"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669"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675"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855" w:type="dxa"/>
            <w:tcBorders>
              <w:bottom w:val="nil"/>
            </w:tcBorders>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720" w:type="dxa"/>
            <w:tcBorders>
              <w:bottom w:val="nil"/>
            </w:tcBorders>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1127" w:type="dxa"/>
            <w:tcBorders>
              <w:bottom w:val="nil"/>
            </w:tcBorders>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r>
      <w:tr w:rsidR="001C1082" w:rsidRPr="00F83B8A" w:rsidTr="000B324D">
        <w:trPr>
          <w:cantSplit/>
        </w:trPr>
        <w:tc>
          <w:tcPr>
            <w:tcW w:w="4468" w:type="dxa"/>
            <w:tcBorders>
              <w:top w:val="nil"/>
              <w:bottom w:val="nil"/>
            </w:tcBorders>
            <w:vAlign w:val="bottom"/>
          </w:tcPr>
          <w:p w:rsidR="00862C90" w:rsidRPr="00F83B8A" w:rsidRDefault="00862C90"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General information</w:t>
            </w:r>
          </w:p>
        </w:tc>
        <w:tc>
          <w:tcPr>
            <w:tcW w:w="714" w:type="dxa"/>
            <w:tcBorders>
              <w:top w:val="nil"/>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862C90" w:rsidRPr="00F83B8A" w:rsidRDefault="00FF3A33" w:rsidP="000B324D">
            <w:pPr>
              <w:spacing w:before="20" w:after="20"/>
              <w:jc w:val="center"/>
              <w:rPr>
                <w:rFonts w:ascii="Arial" w:hAnsi="Arial" w:cs="Arial"/>
                <w:sz w:val="18"/>
                <w:szCs w:val="18"/>
              </w:rPr>
            </w:pPr>
            <w:r w:rsidRPr="00F83B8A">
              <w:rPr>
                <w:rFonts w:ascii="Arial" w:hAnsi="Arial" w:cs="Arial"/>
                <w:sz w:val="18"/>
                <w:szCs w:val="18"/>
              </w:rPr>
              <w:t>X</w:t>
            </w:r>
            <w:r w:rsidR="00E170A5" w:rsidRPr="00F83B8A">
              <w:rPr>
                <w:rFonts w:ascii="Arial" w:hAnsi="Arial" w:cs="Arial"/>
                <w:sz w:val="18"/>
                <w:szCs w:val="18"/>
                <w:vertAlign w:val="superscript"/>
              </w:rPr>
              <w:t>1</w:t>
            </w:r>
          </w:p>
        </w:tc>
        <w:tc>
          <w:tcPr>
            <w:tcW w:w="720" w:type="dxa"/>
            <w:tcBorders>
              <w:top w:val="nil"/>
              <w:bottom w:val="nil"/>
            </w:tcBorders>
          </w:tcPr>
          <w:p w:rsidR="00862C90" w:rsidRPr="00F83B8A" w:rsidRDefault="00025D7D" w:rsidP="000B324D">
            <w:pPr>
              <w:spacing w:before="20" w:after="20"/>
              <w:jc w:val="center"/>
              <w:rPr>
                <w:rFonts w:ascii="Arial" w:hAnsi="Arial" w:cs="Arial"/>
                <w:sz w:val="18"/>
                <w:szCs w:val="18"/>
              </w:rPr>
            </w:pPr>
            <w:r w:rsidRPr="00F83B8A">
              <w:rPr>
                <w:rFonts w:ascii="Arial" w:hAnsi="Arial" w:cs="Arial"/>
                <w:sz w:val="18"/>
                <w:szCs w:val="18"/>
              </w:rPr>
              <w:t>X</w:t>
            </w:r>
            <w:r w:rsidR="00E170A5" w:rsidRPr="00F83B8A">
              <w:rPr>
                <w:rFonts w:ascii="Arial" w:hAnsi="Arial" w:cs="Arial"/>
                <w:sz w:val="18"/>
                <w:szCs w:val="18"/>
                <w:vertAlign w:val="superscript"/>
              </w:rPr>
              <w:t>1</w:t>
            </w:r>
          </w:p>
        </w:tc>
        <w:tc>
          <w:tcPr>
            <w:tcW w:w="1127" w:type="dxa"/>
            <w:tcBorders>
              <w:top w:val="nil"/>
              <w:bottom w:val="nil"/>
            </w:tcBorders>
          </w:tcPr>
          <w:p w:rsidR="00862C90" w:rsidRPr="00F83B8A" w:rsidRDefault="00025D7D" w:rsidP="000B324D">
            <w:pPr>
              <w:spacing w:before="20" w:after="20"/>
              <w:jc w:val="center"/>
              <w:rPr>
                <w:rFonts w:ascii="Arial" w:hAnsi="Arial" w:cs="Arial"/>
                <w:sz w:val="18"/>
                <w:szCs w:val="18"/>
              </w:rPr>
            </w:pPr>
            <w:r w:rsidRPr="00F83B8A">
              <w:rPr>
                <w:rFonts w:ascii="Arial" w:hAnsi="Arial" w:cs="Arial"/>
                <w:sz w:val="18"/>
                <w:szCs w:val="18"/>
              </w:rPr>
              <w:t>X</w:t>
            </w:r>
            <w:r w:rsidR="00A42B8A" w:rsidRPr="00F83B8A">
              <w:rPr>
                <w:rFonts w:ascii="Arial" w:hAnsi="Arial" w:cs="Arial"/>
                <w:sz w:val="18"/>
                <w:szCs w:val="18"/>
                <w:vertAlign w:val="superscript"/>
              </w:rPr>
              <w:t>1</w:t>
            </w:r>
          </w:p>
        </w:tc>
      </w:tr>
      <w:tr w:rsidR="001C1082" w:rsidRPr="00F83B8A" w:rsidTr="000B324D">
        <w:trPr>
          <w:cantSplit/>
        </w:trPr>
        <w:tc>
          <w:tcPr>
            <w:tcW w:w="4468" w:type="dxa"/>
            <w:tcBorders>
              <w:top w:val="nil"/>
              <w:bottom w:val="nil"/>
            </w:tcBorders>
            <w:vAlign w:val="bottom"/>
          </w:tcPr>
          <w:p w:rsidR="00862C90" w:rsidRPr="00F83B8A" w:rsidRDefault="00862C90"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Award abstract</w:t>
            </w:r>
          </w:p>
        </w:tc>
        <w:tc>
          <w:tcPr>
            <w:tcW w:w="714" w:type="dxa"/>
            <w:tcBorders>
              <w:top w:val="nil"/>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862C90" w:rsidRPr="00F83B8A" w:rsidRDefault="00FF3A33"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tcPr>
          <w:p w:rsidR="00862C90" w:rsidRPr="00F83B8A" w:rsidRDefault="00025D7D"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nil"/>
              <w:bottom w:val="nil"/>
            </w:tcBorders>
          </w:tcPr>
          <w:p w:rsidR="00862C90" w:rsidRPr="00F83B8A" w:rsidRDefault="00862C90" w:rsidP="000B324D">
            <w:pPr>
              <w:spacing w:before="20" w:after="20"/>
              <w:jc w:val="center"/>
              <w:rPr>
                <w:rFonts w:ascii="Arial" w:hAnsi="Arial" w:cs="Arial"/>
                <w:sz w:val="18"/>
                <w:szCs w:val="18"/>
              </w:rPr>
            </w:pPr>
          </w:p>
        </w:tc>
      </w:tr>
      <w:tr w:rsidR="001C1082" w:rsidRPr="00F83B8A" w:rsidTr="000B324D">
        <w:trPr>
          <w:cantSplit/>
        </w:trPr>
        <w:tc>
          <w:tcPr>
            <w:tcW w:w="4468" w:type="dxa"/>
            <w:tcBorders>
              <w:bottom w:val="nil"/>
            </w:tcBorders>
            <w:vAlign w:val="bottom"/>
          </w:tcPr>
          <w:p w:rsidR="00862C90" w:rsidRPr="00F83B8A" w:rsidRDefault="00862C90" w:rsidP="000B324D">
            <w:pPr>
              <w:pStyle w:val="BodyTextIndent3"/>
              <w:spacing w:before="20" w:beforeAutospacing="0" w:after="20" w:afterAutospacing="0"/>
              <w:rPr>
                <w:rFonts w:ascii="Arial" w:hAnsi="Arial" w:cs="Arial"/>
                <w:sz w:val="18"/>
                <w:szCs w:val="18"/>
              </w:rPr>
            </w:pPr>
            <w:r w:rsidRPr="00F83B8A">
              <w:rPr>
                <w:rFonts w:ascii="Arial" w:hAnsi="Arial" w:cs="Arial"/>
                <w:b/>
                <w:sz w:val="18"/>
                <w:szCs w:val="18"/>
              </w:rPr>
              <w:t>Budget Information</w:t>
            </w:r>
          </w:p>
        </w:tc>
        <w:tc>
          <w:tcPr>
            <w:tcW w:w="714"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720"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771"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847"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593"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669"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675"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855" w:type="dxa"/>
            <w:tcBorders>
              <w:bottom w:val="nil"/>
            </w:tcBorders>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720" w:type="dxa"/>
            <w:tcBorders>
              <w:bottom w:val="nil"/>
            </w:tcBorders>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c>
          <w:tcPr>
            <w:tcW w:w="1127" w:type="dxa"/>
            <w:tcBorders>
              <w:bottom w:val="nil"/>
            </w:tcBorders>
          </w:tcPr>
          <w:p w:rsidR="00862C90" w:rsidRPr="00F83B8A" w:rsidRDefault="00862C90" w:rsidP="000B324D">
            <w:pPr>
              <w:pStyle w:val="BodyTextIndent3"/>
              <w:spacing w:before="20" w:beforeAutospacing="0" w:after="20" w:afterAutospacing="0"/>
              <w:jc w:val="center"/>
              <w:rPr>
                <w:rFonts w:ascii="Arial" w:hAnsi="Arial" w:cs="Arial"/>
                <w:sz w:val="18"/>
                <w:szCs w:val="18"/>
              </w:rPr>
            </w:pPr>
          </w:p>
        </w:tc>
      </w:tr>
      <w:tr w:rsidR="001C1082" w:rsidRPr="00F83B8A" w:rsidTr="000B324D">
        <w:trPr>
          <w:cantSplit/>
        </w:trPr>
        <w:tc>
          <w:tcPr>
            <w:tcW w:w="4468" w:type="dxa"/>
            <w:tcBorders>
              <w:top w:val="nil"/>
              <w:bottom w:val="nil"/>
            </w:tcBorders>
            <w:vAlign w:val="bottom"/>
          </w:tcPr>
          <w:p w:rsidR="00862C90" w:rsidRPr="00F83B8A" w:rsidRDefault="00823FAF"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B</w:t>
            </w:r>
            <w:r w:rsidR="00862C90" w:rsidRPr="00F83B8A">
              <w:rPr>
                <w:rFonts w:ascii="Arial" w:hAnsi="Arial" w:cs="Arial"/>
                <w:sz w:val="18"/>
                <w:szCs w:val="18"/>
              </w:rPr>
              <w:t>udget summary</w:t>
            </w:r>
          </w:p>
        </w:tc>
        <w:tc>
          <w:tcPr>
            <w:tcW w:w="714"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862C90" w:rsidRPr="00F83B8A" w:rsidRDefault="00862C90" w:rsidP="000B324D">
            <w:pPr>
              <w:spacing w:before="20" w:after="20"/>
              <w:jc w:val="center"/>
              <w:rPr>
                <w:rFonts w:ascii="Arial" w:hAnsi="Arial" w:cs="Arial"/>
                <w:sz w:val="18"/>
                <w:szCs w:val="18"/>
              </w:rPr>
            </w:pPr>
          </w:p>
        </w:tc>
        <w:tc>
          <w:tcPr>
            <w:tcW w:w="720" w:type="dxa"/>
            <w:tcBorders>
              <w:top w:val="nil"/>
              <w:bottom w:val="nil"/>
            </w:tcBorders>
          </w:tcPr>
          <w:p w:rsidR="00862C90" w:rsidRPr="00F83B8A" w:rsidRDefault="00862C90" w:rsidP="000B324D">
            <w:pPr>
              <w:spacing w:before="20" w:after="20"/>
              <w:jc w:val="center"/>
              <w:rPr>
                <w:rFonts w:ascii="Arial" w:hAnsi="Arial" w:cs="Arial"/>
                <w:sz w:val="18"/>
                <w:szCs w:val="18"/>
              </w:rPr>
            </w:pPr>
          </w:p>
        </w:tc>
        <w:tc>
          <w:tcPr>
            <w:tcW w:w="1127" w:type="dxa"/>
            <w:tcBorders>
              <w:top w:val="nil"/>
              <w:bottom w:val="nil"/>
            </w:tcBorders>
          </w:tcPr>
          <w:p w:rsidR="00862C90" w:rsidRPr="00F83B8A" w:rsidRDefault="00862C90" w:rsidP="000B324D">
            <w:pPr>
              <w:spacing w:before="20" w:after="20"/>
              <w:jc w:val="center"/>
              <w:rPr>
                <w:rFonts w:ascii="Arial" w:hAnsi="Arial" w:cs="Arial"/>
                <w:sz w:val="18"/>
                <w:szCs w:val="18"/>
              </w:rPr>
            </w:pPr>
          </w:p>
        </w:tc>
      </w:tr>
      <w:tr w:rsidR="001C1082" w:rsidRPr="00F83B8A" w:rsidTr="000B324D">
        <w:trPr>
          <w:cantSplit/>
        </w:trPr>
        <w:tc>
          <w:tcPr>
            <w:tcW w:w="4468" w:type="dxa"/>
            <w:tcBorders>
              <w:top w:val="nil"/>
              <w:bottom w:val="nil"/>
            </w:tcBorders>
            <w:vAlign w:val="bottom"/>
          </w:tcPr>
          <w:p w:rsidR="00862C90" w:rsidRPr="00F83B8A" w:rsidRDefault="00823FAF"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Funding</w:t>
            </w:r>
          </w:p>
        </w:tc>
        <w:tc>
          <w:tcPr>
            <w:tcW w:w="714"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862C90" w:rsidRPr="00F83B8A" w:rsidRDefault="00862C90" w:rsidP="000B324D">
            <w:pPr>
              <w:spacing w:before="20" w:after="20"/>
              <w:jc w:val="center"/>
              <w:rPr>
                <w:rFonts w:ascii="Arial" w:hAnsi="Arial" w:cs="Arial"/>
                <w:sz w:val="18"/>
                <w:szCs w:val="18"/>
              </w:rPr>
            </w:pPr>
          </w:p>
        </w:tc>
        <w:tc>
          <w:tcPr>
            <w:tcW w:w="720" w:type="dxa"/>
            <w:tcBorders>
              <w:top w:val="nil"/>
              <w:bottom w:val="nil"/>
            </w:tcBorders>
          </w:tcPr>
          <w:p w:rsidR="00862C90" w:rsidRPr="00F83B8A" w:rsidRDefault="00862C90" w:rsidP="000B324D">
            <w:pPr>
              <w:spacing w:before="20" w:after="20"/>
              <w:jc w:val="center"/>
              <w:rPr>
                <w:rFonts w:ascii="Arial" w:hAnsi="Arial" w:cs="Arial"/>
                <w:sz w:val="18"/>
                <w:szCs w:val="18"/>
              </w:rPr>
            </w:pPr>
          </w:p>
        </w:tc>
        <w:tc>
          <w:tcPr>
            <w:tcW w:w="1127" w:type="dxa"/>
            <w:tcBorders>
              <w:top w:val="nil"/>
              <w:bottom w:val="nil"/>
            </w:tcBorders>
          </w:tcPr>
          <w:p w:rsidR="00862C90" w:rsidRPr="00F83B8A" w:rsidRDefault="00862C90" w:rsidP="000B324D">
            <w:pPr>
              <w:spacing w:before="20" w:after="20"/>
              <w:jc w:val="center"/>
              <w:rPr>
                <w:rFonts w:ascii="Arial" w:hAnsi="Arial" w:cs="Arial"/>
                <w:sz w:val="18"/>
                <w:szCs w:val="18"/>
              </w:rPr>
            </w:pPr>
          </w:p>
        </w:tc>
      </w:tr>
      <w:tr w:rsidR="001C1082" w:rsidRPr="00F83B8A" w:rsidTr="000B324D">
        <w:trPr>
          <w:cantSplit/>
        </w:trPr>
        <w:tc>
          <w:tcPr>
            <w:tcW w:w="4468" w:type="dxa"/>
            <w:tcBorders>
              <w:top w:val="nil"/>
              <w:bottom w:val="single" w:sz="4" w:space="0" w:color="auto"/>
            </w:tcBorders>
            <w:vAlign w:val="bottom"/>
          </w:tcPr>
          <w:p w:rsidR="00862C90" w:rsidRPr="00F83B8A" w:rsidRDefault="00862C90"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Indirect costs</w:t>
            </w:r>
          </w:p>
        </w:tc>
        <w:tc>
          <w:tcPr>
            <w:tcW w:w="714"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p>
        </w:tc>
        <w:tc>
          <w:tcPr>
            <w:tcW w:w="720"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p>
        </w:tc>
        <w:tc>
          <w:tcPr>
            <w:tcW w:w="1127" w:type="dxa"/>
            <w:tcBorders>
              <w:top w:val="nil"/>
              <w:bottom w:val="single" w:sz="4" w:space="0" w:color="auto"/>
            </w:tcBorders>
          </w:tcPr>
          <w:p w:rsidR="00862C90" w:rsidRPr="00F83B8A" w:rsidRDefault="00862C90" w:rsidP="000B324D">
            <w:pPr>
              <w:spacing w:before="20" w:after="20"/>
              <w:jc w:val="center"/>
              <w:rPr>
                <w:rFonts w:ascii="Arial" w:hAnsi="Arial" w:cs="Arial"/>
                <w:sz w:val="18"/>
                <w:szCs w:val="18"/>
              </w:rPr>
            </w:pPr>
          </w:p>
        </w:tc>
      </w:tr>
      <w:tr w:rsidR="009F47EF" w:rsidRPr="00F83B8A" w:rsidTr="000B324D">
        <w:trPr>
          <w:cantSplit/>
        </w:trPr>
        <w:tc>
          <w:tcPr>
            <w:tcW w:w="4468" w:type="dxa"/>
            <w:tcBorders>
              <w:top w:val="nil"/>
              <w:bottom w:val="single" w:sz="4" w:space="0" w:color="auto"/>
            </w:tcBorders>
            <w:vAlign w:val="bottom"/>
          </w:tcPr>
          <w:p w:rsidR="009F47EF" w:rsidRPr="00F83B8A" w:rsidRDefault="009F47EF"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Current budget expenditures (RFP only)</w:t>
            </w:r>
          </w:p>
        </w:tc>
        <w:tc>
          <w:tcPr>
            <w:tcW w:w="714"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72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771"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847"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593"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3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69"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75"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3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855"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r>
      <w:tr w:rsidR="009F47EF" w:rsidRPr="00F83B8A" w:rsidTr="000B324D">
        <w:trPr>
          <w:cantSplit/>
        </w:trPr>
        <w:tc>
          <w:tcPr>
            <w:tcW w:w="4468" w:type="dxa"/>
            <w:tcBorders>
              <w:top w:val="nil"/>
              <w:bottom w:val="single" w:sz="4" w:space="0" w:color="auto"/>
            </w:tcBorders>
            <w:vAlign w:val="bottom"/>
          </w:tcPr>
          <w:p w:rsidR="009F47EF" w:rsidRPr="00F83B8A" w:rsidRDefault="009F47EF"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Entire budget expenditures (RFP Final Report only)</w:t>
            </w:r>
          </w:p>
        </w:tc>
        <w:tc>
          <w:tcPr>
            <w:tcW w:w="714"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72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771"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847"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593"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3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69"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75"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3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855"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72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r>
      <w:tr w:rsidR="009F47EF" w:rsidRPr="00F83B8A" w:rsidTr="000B324D">
        <w:trPr>
          <w:cantSplit/>
        </w:trPr>
        <w:tc>
          <w:tcPr>
            <w:tcW w:w="4468" w:type="dxa"/>
            <w:tcBorders>
              <w:top w:val="nil"/>
              <w:bottom w:val="single" w:sz="4" w:space="0" w:color="auto"/>
            </w:tcBorders>
            <w:vAlign w:val="bottom"/>
          </w:tcPr>
          <w:p w:rsidR="009F47EF" w:rsidRPr="00F83B8A" w:rsidRDefault="009F47EF"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Budget expenditures (Final report, all except RFP)</w:t>
            </w:r>
          </w:p>
        </w:tc>
        <w:tc>
          <w:tcPr>
            <w:tcW w:w="714"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72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771"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847"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593"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3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69"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75"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3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855"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72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1127" w:type="dxa"/>
            <w:tcBorders>
              <w:top w:val="nil"/>
              <w:bottom w:val="single" w:sz="4" w:space="0" w:color="auto"/>
            </w:tcBorders>
          </w:tcPr>
          <w:p w:rsidR="009F47EF" w:rsidRPr="00F83B8A" w:rsidRDefault="00525467" w:rsidP="000B324D">
            <w:pPr>
              <w:spacing w:before="20" w:after="20"/>
              <w:jc w:val="center"/>
              <w:rPr>
                <w:rFonts w:ascii="Arial" w:hAnsi="Arial" w:cs="Arial"/>
                <w:sz w:val="18"/>
                <w:szCs w:val="18"/>
              </w:rPr>
            </w:pPr>
            <w:r w:rsidRPr="00F83B8A">
              <w:rPr>
                <w:rFonts w:ascii="Arial" w:hAnsi="Arial" w:cs="Arial"/>
                <w:sz w:val="18"/>
                <w:szCs w:val="18"/>
              </w:rPr>
              <w:t>X</w:t>
            </w:r>
          </w:p>
        </w:tc>
      </w:tr>
      <w:tr w:rsidR="009F47EF" w:rsidRPr="00F83B8A" w:rsidTr="000B324D">
        <w:trPr>
          <w:cantSplit/>
        </w:trPr>
        <w:tc>
          <w:tcPr>
            <w:tcW w:w="4468" w:type="dxa"/>
            <w:tcBorders>
              <w:top w:val="nil"/>
              <w:bottom w:val="single" w:sz="4" w:space="0" w:color="auto"/>
            </w:tcBorders>
            <w:vAlign w:val="bottom"/>
          </w:tcPr>
          <w:p w:rsidR="009F47EF" w:rsidRPr="00F83B8A" w:rsidRDefault="009F47EF"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Indirect cost information (Final Report, all except RFP)</w:t>
            </w:r>
          </w:p>
        </w:tc>
        <w:tc>
          <w:tcPr>
            <w:tcW w:w="714"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72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771"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847"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593"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3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69"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75"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63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855"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720" w:type="dxa"/>
            <w:tcBorders>
              <w:top w:val="nil"/>
              <w:bottom w:val="single" w:sz="4" w:space="0" w:color="auto"/>
            </w:tcBorders>
          </w:tcPr>
          <w:p w:rsidR="009F47EF" w:rsidRPr="00F83B8A" w:rsidRDefault="009F47EF" w:rsidP="000B324D">
            <w:pPr>
              <w:spacing w:before="20" w:after="20"/>
              <w:jc w:val="center"/>
              <w:rPr>
                <w:rFonts w:ascii="Arial" w:hAnsi="Arial" w:cs="Arial"/>
                <w:sz w:val="18"/>
                <w:szCs w:val="18"/>
              </w:rPr>
            </w:pPr>
          </w:p>
        </w:tc>
        <w:tc>
          <w:tcPr>
            <w:tcW w:w="1127" w:type="dxa"/>
            <w:tcBorders>
              <w:top w:val="nil"/>
              <w:bottom w:val="single" w:sz="4" w:space="0" w:color="auto"/>
            </w:tcBorders>
          </w:tcPr>
          <w:p w:rsidR="009F47EF" w:rsidRPr="00F83B8A" w:rsidRDefault="00525467" w:rsidP="000B324D">
            <w:pPr>
              <w:spacing w:before="20" w:after="20"/>
              <w:jc w:val="center"/>
              <w:rPr>
                <w:rFonts w:ascii="Arial" w:hAnsi="Arial" w:cs="Arial"/>
                <w:sz w:val="18"/>
                <w:szCs w:val="18"/>
              </w:rPr>
            </w:pPr>
            <w:r w:rsidRPr="00F83B8A">
              <w:rPr>
                <w:rFonts w:ascii="Arial" w:hAnsi="Arial" w:cs="Arial"/>
                <w:sz w:val="18"/>
                <w:szCs w:val="18"/>
              </w:rPr>
              <w:t>X</w:t>
            </w:r>
          </w:p>
        </w:tc>
      </w:tr>
      <w:tr w:rsidR="009F47EF" w:rsidRPr="00F83B8A" w:rsidTr="000B324D">
        <w:trPr>
          <w:cantSplit/>
        </w:trPr>
        <w:tc>
          <w:tcPr>
            <w:tcW w:w="4468" w:type="dxa"/>
            <w:tcBorders>
              <w:bottom w:val="nil"/>
            </w:tcBorders>
            <w:vAlign w:val="bottom"/>
          </w:tcPr>
          <w:p w:rsidR="009F47EF" w:rsidRPr="00F83B8A" w:rsidRDefault="009F47EF" w:rsidP="000B324D">
            <w:pPr>
              <w:pStyle w:val="BodyTextIndent3"/>
              <w:spacing w:before="20" w:beforeAutospacing="0" w:after="20" w:afterAutospacing="0"/>
              <w:rPr>
                <w:rFonts w:ascii="Arial" w:hAnsi="Arial" w:cs="Arial"/>
                <w:sz w:val="18"/>
                <w:szCs w:val="18"/>
              </w:rPr>
            </w:pPr>
            <w:r w:rsidRPr="00F83B8A">
              <w:rPr>
                <w:rFonts w:ascii="Arial" w:hAnsi="Arial" w:cs="Arial"/>
                <w:b/>
                <w:sz w:val="18"/>
                <w:szCs w:val="18"/>
              </w:rPr>
              <w:t>Human Resources</w:t>
            </w:r>
          </w:p>
        </w:tc>
        <w:tc>
          <w:tcPr>
            <w:tcW w:w="714" w:type="dxa"/>
            <w:tcBorders>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20" w:type="dxa"/>
            <w:tcBorders>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71" w:type="dxa"/>
            <w:tcBorders>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847" w:type="dxa"/>
            <w:tcBorders>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593" w:type="dxa"/>
            <w:tcBorders>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69" w:type="dxa"/>
            <w:tcBorders>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75" w:type="dxa"/>
            <w:tcBorders>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855" w:type="dxa"/>
            <w:tcBorders>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20" w:type="dxa"/>
            <w:tcBorders>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1127" w:type="dxa"/>
            <w:tcBorders>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r>
      <w:tr w:rsidR="009F47EF" w:rsidRPr="00F83B8A" w:rsidTr="000B324D">
        <w:trPr>
          <w:cantSplit/>
        </w:trPr>
        <w:tc>
          <w:tcPr>
            <w:tcW w:w="4468" w:type="dxa"/>
            <w:tcBorders>
              <w:top w:val="nil"/>
              <w:bottom w:val="nil"/>
            </w:tcBorders>
            <w:vAlign w:val="bottom"/>
          </w:tcPr>
          <w:p w:rsidR="009F47EF" w:rsidRPr="00F83B8A" w:rsidRDefault="009F47EF"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Paid staff</w:t>
            </w:r>
          </w:p>
        </w:tc>
        <w:tc>
          <w:tcPr>
            <w:tcW w:w="714"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9F47EF" w:rsidRPr="00F83B8A" w:rsidRDefault="009F47EF" w:rsidP="000B324D">
            <w:pPr>
              <w:spacing w:before="20" w:after="20"/>
              <w:jc w:val="center"/>
              <w:rPr>
                <w:rFonts w:ascii="Arial" w:hAnsi="Arial" w:cs="Arial"/>
                <w:sz w:val="18"/>
                <w:szCs w:val="18"/>
                <w:vertAlign w:val="superscript"/>
              </w:rPr>
            </w:pPr>
            <w:r w:rsidRPr="00F83B8A">
              <w:rPr>
                <w:rFonts w:ascii="Arial" w:hAnsi="Arial" w:cs="Arial"/>
                <w:sz w:val="18"/>
                <w:szCs w:val="18"/>
              </w:rPr>
              <w:t>X</w:t>
            </w:r>
            <w:r w:rsidR="00E170A5" w:rsidRPr="00F83B8A">
              <w:rPr>
                <w:rFonts w:ascii="Arial" w:hAnsi="Arial" w:cs="Arial"/>
                <w:sz w:val="18"/>
                <w:szCs w:val="18"/>
                <w:vertAlign w:val="superscript"/>
              </w:rPr>
              <w:t>2</w:t>
            </w:r>
          </w:p>
        </w:tc>
        <w:tc>
          <w:tcPr>
            <w:tcW w:w="720" w:type="dxa"/>
            <w:tcBorders>
              <w:top w:val="nil"/>
              <w:bottom w:val="nil"/>
            </w:tcBorders>
          </w:tcPr>
          <w:p w:rsidR="009F47EF" w:rsidRPr="00F83B8A" w:rsidRDefault="00E170A5" w:rsidP="000B324D">
            <w:pPr>
              <w:spacing w:before="20" w:after="20"/>
              <w:jc w:val="center"/>
              <w:rPr>
                <w:rFonts w:ascii="Arial" w:hAnsi="Arial" w:cs="Arial"/>
                <w:sz w:val="18"/>
                <w:szCs w:val="18"/>
              </w:rPr>
            </w:pPr>
            <w:r w:rsidRPr="00F83B8A">
              <w:rPr>
                <w:rFonts w:ascii="Arial" w:hAnsi="Arial" w:cs="Arial"/>
                <w:sz w:val="18"/>
                <w:szCs w:val="18"/>
              </w:rPr>
              <w:t>X</w:t>
            </w:r>
            <w:r w:rsidRPr="00F83B8A">
              <w:rPr>
                <w:rFonts w:ascii="Arial" w:hAnsi="Arial" w:cs="Arial"/>
                <w:sz w:val="18"/>
                <w:szCs w:val="18"/>
                <w:vertAlign w:val="superscript"/>
              </w:rPr>
              <w:t>2</w:t>
            </w:r>
          </w:p>
        </w:tc>
        <w:tc>
          <w:tcPr>
            <w:tcW w:w="1127" w:type="dxa"/>
            <w:tcBorders>
              <w:top w:val="nil"/>
              <w:bottom w:val="nil"/>
            </w:tcBorders>
          </w:tcPr>
          <w:p w:rsidR="009F47EF" w:rsidRPr="00F83B8A" w:rsidRDefault="009F47EF" w:rsidP="000B324D">
            <w:pPr>
              <w:spacing w:before="20" w:after="20"/>
              <w:jc w:val="center"/>
              <w:rPr>
                <w:rFonts w:ascii="Arial" w:hAnsi="Arial" w:cs="Arial"/>
                <w:sz w:val="18"/>
                <w:szCs w:val="18"/>
              </w:rPr>
            </w:pPr>
          </w:p>
        </w:tc>
      </w:tr>
      <w:tr w:rsidR="009F47EF" w:rsidRPr="00F83B8A" w:rsidTr="000B324D">
        <w:trPr>
          <w:cantSplit/>
        </w:trPr>
        <w:tc>
          <w:tcPr>
            <w:tcW w:w="4468" w:type="dxa"/>
            <w:tcBorders>
              <w:top w:val="nil"/>
              <w:bottom w:val="nil"/>
            </w:tcBorders>
            <w:vAlign w:val="bottom"/>
          </w:tcPr>
          <w:p w:rsidR="009F47EF" w:rsidRPr="00F83B8A" w:rsidRDefault="009F47EF"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Formal financial subcontracts</w:t>
            </w:r>
          </w:p>
        </w:tc>
        <w:tc>
          <w:tcPr>
            <w:tcW w:w="714" w:type="dxa"/>
            <w:tcBorders>
              <w:top w:val="nil"/>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9F47EF" w:rsidRPr="00F83B8A" w:rsidRDefault="009F47EF" w:rsidP="000B324D">
            <w:pPr>
              <w:spacing w:before="20" w:after="20"/>
              <w:jc w:val="center"/>
              <w:rPr>
                <w:rFonts w:ascii="Arial" w:hAnsi="Arial" w:cs="Arial"/>
                <w:sz w:val="18"/>
                <w:szCs w:val="18"/>
              </w:rPr>
            </w:pPr>
          </w:p>
        </w:tc>
        <w:tc>
          <w:tcPr>
            <w:tcW w:w="720" w:type="dxa"/>
            <w:tcBorders>
              <w:top w:val="nil"/>
              <w:bottom w:val="nil"/>
            </w:tcBorders>
          </w:tcPr>
          <w:p w:rsidR="009F47EF" w:rsidRPr="00F83B8A" w:rsidRDefault="009F47EF" w:rsidP="000B324D">
            <w:pPr>
              <w:spacing w:before="20" w:after="20"/>
              <w:jc w:val="center"/>
              <w:rPr>
                <w:rFonts w:ascii="Arial" w:hAnsi="Arial" w:cs="Arial"/>
                <w:sz w:val="18"/>
                <w:szCs w:val="18"/>
              </w:rPr>
            </w:pPr>
          </w:p>
        </w:tc>
        <w:tc>
          <w:tcPr>
            <w:tcW w:w="1127" w:type="dxa"/>
            <w:tcBorders>
              <w:top w:val="nil"/>
              <w:bottom w:val="nil"/>
            </w:tcBorders>
          </w:tcPr>
          <w:p w:rsidR="009F47EF" w:rsidRPr="00F83B8A" w:rsidRDefault="009F47EF" w:rsidP="000B324D">
            <w:pPr>
              <w:spacing w:before="20" w:after="20"/>
              <w:jc w:val="center"/>
              <w:rPr>
                <w:rFonts w:ascii="Arial" w:hAnsi="Arial" w:cs="Arial"/>
                <w:sz w:val="18"/>
                <w:szCs w:val="18"/>
              </w:rPr>
            </w:pPr>
          </w:p>
        </w:tc>
      </w:tr>
      <w:tr w:rsidR="009F47EF" w:rsidRPr="00F83B8A" w:rsidTr="000B324D">
        <w:trPr>
          <w:cantSplit/>
        </w:trPr>
        <w:tc>
          <w:tcPr>
            <w:tcW w:w="4468" w:type="dxa"/>
            <w:tcBorders>
              <w:top w:val="nil"/>
              <w:bottom w:val="nil"/>
              <w:right w:val="single" w:sz="4" w:space="0" w:color="auto"/>
            </w:tcBorders>
            <w:vAlign w:val="bottom"/>
          </w:tcPr>
          <w:p w:rsidR="009F47EF" w:rsidRPr="00F83B8A" w:rsidRDefault="009F47EF"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Partnerships and collaborations</w:t>
            </w:r>
          </w:p>
        </w:tc>
        <w:tc>
          <w:tcPr>
            <w:tcW w:w="714" w:type="dxa"/>
            <w:tcBorders>
              <w:top w:val="nil"/>
              <w:left w:val="single" w:sz="4" w:space="0" w:color="auto"/>
              <w:bottom w:val="nil"/>
              <w:right w:val="single" w:sz="4" w:space="0" w:color="auto"/>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720" w:type="dxa"/>
            <w:tcBorders>
              <w:top w:val="nil"/>
              <w:left w:val="single" w:sz="4" w:space="0" w:color="auto"/>
              <w:bottom w:val="nil"/>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left w:val="single" w:sz="4" w:space="0" w:color="auto"/>
              <w:bottom w:val="nil"/>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nil"/>
              <w:left w:val="single" w:sz="4" w:space="0" w:color="auto"/>
              <w:bottom w:val="nil"/>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left w:val="single" w:sz="4" w:space="0" w:color="auto"/>
              <w:bottom w:val="nil"/>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left w:val="single" w:sz="4" w:space="0" w:color="auto"/>
              <w:bottom w:val="nil"/>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left w:val="single" w:sz="4" w:space="0" w:color="auto"/>
              <w:bottom w:val="nil"/>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left w:val="single" w:sz="4" w:space="0" w:color="auto"/>
              <w:bottom w:val="nil"/>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left w:val="single" w:sz="4" w:space="0" w:color="auto"/>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left w:val="single" w:sz="4" w:space="0" w:color="auto"/>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left w:val="single" w:sz="4" w:space="0" w:color="auto"/>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nil"/>
              <w:left w:val="single" w:sz="4" w:space="0" w:color="auto"/>
              <w:bottom w:val="nil"/>
            </w:tcBorders>
          </w:tcPr>
          <w:p w:rsidR="009F47EF" w:rsidRPr="00F83B8A" w:rsidRDefault="009F47EF" w:rsidP="000B324D">
            <w:pPr>
              <w:spacing w:before="20" w:after="20"/>
              <w:jc w:val="center"/>
              <w:rPr>
                <w:rFonts w:ascii="Arial" w:hAnsi="Arial" w:cs="Arial"/>
                <w:sz w:val="18"/>
                <w:szCs w:val="18"/>
              </w:rPr>
            </w:pPr>
          </w:p>
        </w:tc>
      </w:tr>
      <w:tr w:rsidR="009F47EF" w:rsidRPr="00F83B8A" w:rsidTr="000B324D">
        <w:trPr>
          <w:cantSplit/>
        </w:trPr>
        <w:tc>
          <w:tcPr>
            <w:tcW w:w="4468" w:type="dxa"/>
            <w:tcBorders>
              <w:top w:val="nil"/>
              <w:bottom w:val="single" w:sz="4" w:space="0" w:color="auto"/>
              <w:right w:val="single" w:sz="4" w:space="0" w:color="auto"/>
            </w:tcBorders>
            <w:vAlign w:val="bottom"/>
          </w:tcPr>
          <w:p w:rsidR="009F47EF" w:rsidRPr="00F83B8A" w:rsidRDefault="009F47EF"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Consumer involvement</w:t>
            </w:r>
          </w:p>
        </w:tc>
        <w:tc>
          <w:tcPr>
            <w:tcW w:w="714" w:type="dxa"/>
            <w:tcBorders>
              <w:top w:val="nil"/>
              <w:left w:val="single" w:sz="4" w:space="0" w:color="auto"/>
              <w:bottom w:val="single" w:sz="4" w:space="0" w:color="auto"/>
              <w:right w:val="single" w:sz="4" w:space="0" w:color="auto"/>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720" w:type="dxa"/>
            <w:tcBorders>
              <w:top w:val="nil"/>
              <w:left w:val="single" w:sz="4" w:space="0" w:color="auto"/>
              <w:bottom w:val="single" w:sz="4" w:space="0" w:color="auto"/>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left w:val="single" w:sz="4" w:space="0" w:color="auto"/>
              <w:bottom w:val="single" w:sz="4" w:space="0" w:color="auto"/>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nil"/>
              <w:left w:val="single" w:sz="4" w:space="0" w:color="auto"/>
              <w:bottom w:val="single" w:sz="4" w:space="0" w:color="auto"/>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left w:val="single" w:sz="4" w:space="0" w:color="auto"/>
              <w:bottom w:val="single" w:sz="4" w:space="0" w:color="auto"/>
              <w:right w:val="single" w:sz="4" w:space="0" w:color="auto"/>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30" w:type="dxa"/>
            <w:tcBorders>
              <w:top w:val="nil"/>
              <w:left w:val="single" w:sz="4" w:space="0" w:color="auto"/>
              <w:bottom w:val="single" w:sz="4" w:space="0" w:color="auto"/>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left w:val="single" w:sz="4" w:space="0" w:color="auto"/>
              <w:bottom w:val="single" w:sz="4" w:space="0" w:color="auto"/>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left w:val="single" w:sz="4" w:space="0" w:color="auto"/>
              <w:bottom w:val="single" w:sz="4" w:space="0" w:color="auto"/>
              <w:right w:val="single" w:sz="4" w:space="0" w:color="auto"/>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left w:val="single" w:sz="4" w:space="0" w:color="auto"/>
              <w:bottom w:val="single" w:sz="4" w:space="0" w:color="auto"/>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855" w:type="dxa"/>
            <w:tcBorders>
              <w:top w:val="nil"/>
              <w:left w:val="single" w:sz="4" w:space="0" w:color="auto"/>
              <w:bottom w:val="single" w:sz="4" w:space="0" w:color="auto"/>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720" w:type="dxa"/>
            <w:tcBorders>
              <w:top w:val="nil"/>
              <w:left w:val="single" w:sz="4" w:space="0" w:color="auto"/>
              <w:bottom w:val="single" w:sz="4" w:space="0" w:color="auto"/>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1127" w:type="dxa"/>
            <w:tcBorders>
              <w:top w:val="nil"/>
              <w:left w:val="single" w:sz="4" w:space="0" w:color="auto"/>
              <w:bottom w:val="single" w:sz="4" w:space="0" w:color="auto"/>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r>
      <w:tr w:rsidR="009F47EF" w:rsidRPr="00F83B8A" w:rsidTr="000B324D">
        <w:trPr>
          <w:cantSplit/>
        </w:trPr>
        <w:tc>
          <w:tcPr>
            <w:tcW w:w="4468" w:type="dxa"/>
            <w:tcBorders>
              <w:top w:val="single" w:sz="4" w:space="0" w:color="auto"/>
              <w:bottom w:val="nil"/>
            </w:tcBorders>
            <w:vAlign w:val="bottom"/>
          </w:tcPr>
          <w:p w:rsidR="009F47EF" w:rsidRPr="00F83B8A" w:rsidRDefault="009F47EF" w:rsidP="000B324D">
            <w:pPr>
              <w:pStyle w:val="BodyTextIndent3"/>
              <w:spacing w:before="20" w:beforeAutospacing="0" w:after="20" w:afterAutospacing="0"/>
              <w:rPr>
                <w:rFonts w:ascii="Arial" w:hAnsi="Arial" w:cs="Arial"/>
                <w:sz w:val="18"/>
                <w:szCs w:val="18"/>
              </w:rPr>
            </w:pPr>
            <w:r w:rsidRPr="00F83B8A">
              <w:rPr>
                <w:rFonts w:ascii="Arial" w:hAnsi="Arial" w:cs="Arial"/>
                <w:b/>
                <w:sz w:val="18"/>
                <w:szCs w:val="18"/>
              </w:rPr>
              <w:t>Planning for Outcomes and Significant Outputs</w:t>
            </w:r>
          </w:p>
        </w:tc>
        <w:tc>
          <w:tcPr>
            <w:tcW w:w="714"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20"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71"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847"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593"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30"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69"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75"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30"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855" w:type="dxa"/>
            <w:tcBorders>
              <w:top w:val="single" w:sz="4" w:space="0" w:color="auto"/>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20" w:type="dxa"/>
            <w:tcBorders>
              <w:top w:val="single" w:sz="4" w:space="0" w:color="auto"/>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1127" w:type="dxa"/>
            <w:tcBorders>
              <w:top w:val="single" w:sz="4" w:space="0" w:color="auto"/>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r>
      <w:tr w:rsidR="00D84CC4" w:rsidRPr="00F83B8A" w:rsidTr="000B324D">
        <w:trPr>
          <w:cantSplit/>
        </w:trPr>
        <w:tc>
          <w:tcPr>
            <w:tcW w:w="4468" w:type="dxa"/>
            <w:tcBorders>
              <w:top w:val="nil"/>
              <w:bottom w:val="nil"/>
            </w:tcBorders>
            <w:vAlign w:val="bottom"/>
          </w:tcPr>
          <w:p w:rsidR="00D84CC4" w:rsidRPr="00F83B8A" w:rsidRDefault="00D84CC4" w:rsidP="000B324D">
            <w:pPr>
              <w:pStyle w:val="BodyTextIndent3"/>
              <w:spacing w:before="20" w:beforeAutospacing="0" w:after="20" w:afterAutospacing="0"/>
              <w:rPr>
                <w:rFonts w:ascii="Arial" w:hAnsi="Arial" w:cs="Arial"/>
                <w:sz w:val="18"/>
                <w:szCs w:val="18"/>
              </w:rPr>
            </w:pPr>
            <w:r>
              <w:rPr>
                <w:rFonts w:ascii="Arial" w:hAnsi="Arial" w:cs="Arial"/>
                <w:sz w:val="18"/>
                <w:szCs w:val="18"/>
              </w:rPr>
              <w:t>Outputs specified in grant application</w:t>
            </w:r>
          </w:p>
        </w:tc>
        <w:tc>
          <w:tcPr>
            <w:tcW w:w="714"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c>
          <w:tcPr>
            <w:tcW w:w="720"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c>
          <w:tcPr>
            <w:tcW w:w="771"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c>
          <w:tcPr>
            <w:tcW w:w="847"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c>
          <w:tcPr>
            <w:tcW w:w="593"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c>
          <w:tcPr>
            <w:tcW w:w="630"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c>
          <w:tcPr>
            <w:tcW w:w="669"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c>
          <w:tcPr>
            <w:tcW w:w="675"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c>
          <w:tcPr>
            <w:tcW w:w="630"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c>
          <w:tcPr>
            <w:tcW w:w="855"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c>
          <w:tcPr>
            <w:tcW w:w="720"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c>
          <w:tcPr>
            <w:tcW w:w="1127" w:type="dxa"/>
            <w:tcBorders>
              <w:top w:val="nil"/>
              <w:bottom w:val="nil"/>
            </w:tcBorders>
          </w:tcPr>
          <w:p w:rsidR="00D84CC4" w:rsidRPr="00F83B8A" w:rsidRDefault="00D84CC4" w:rsidP="000B324D">
            <w:pPr>
              <w:spacing w:before="20" w:after="20"/>
              <w:jc w:val="center"/>
              <w:rPr>
                <w:rFonts w:ascii="Arial" w:hAnsi="Arial" w:cs="Arial"/>
                <w:sz w:val="18"/>
                <w:szCs w:val="18"/>
              </w:rPr>
            </w:pPr>
            <w:r>
              <w:rPr>
                <w:rFonts w:ascii="Arial" w:hAnsi="Arial" w:cs="Arial"/>
                <w:sz w:val="18"/>
                <w:szCs w:val="18"/>
              </w:rPr>
              <w:t>X</w:t>
            </w:r>
          </w:p>
        </w:tc>
      </w:tr>
      <w:tr w:rsidR="009F47EF" w:rsidRPr="00F83B8A" w:rsidTr="000B324D">
        <w:trPr>
          <w:cantSplit/>
        </w:trPr>
        <w:tc>
          <w:tcPr>
            <w:tcW w:w="4468" w:type="dxa"/>
            <w:tcBorders>
              <w:top w:val="nil"/>
              <w:bottom w:val="nil"/>
            </w:tcBorders>
            <w:vAlign w:val="bottom"/>
          </w:tcPr>
          <w:p w:rsidR="009F47EF" w:rsidRPr="00F83B8A" w:rsidRDefault="009F47EF"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Outcome-oriented goals</w:t>
            </w:r>
          </w:p>
        </w:tc>
        <w:tc>
          <w:tcPr>
            <w:tcW w:w="714"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nil"/>
              <w:bottom w:val="nil"/>
            </w:tcBorders>
          </w:tcPr>
          <w:p w:rsidR="009F47EF" w:rsidRPr="00F83B8A" w:rsidRDefault="009F47EF" w:rsidP="000B324D">
            <w:pPr>
              <w:spacing w:before="20" w:after="20"/>
              <w:jc w:val="center"/>
              <w:rPr>
                <w:rFonts w:ascii="Arial" w:hAnsi="Arial" w:cs="Arial"/>
                <w:sz w:val="18"/>
                <w:szCs w:val="18"/>
              </w:rPr>
            </w:pPr>
          </w:p>
        </w:tc>
      </w:tr>
      <w:tr w:rsidR="009F47EF" w:rsidRPr="00F83B8A" w:rsidTr="000B324D">
        <w:trPr>
          <w:cantSplit/>
        </w:trPr>
        <w:tc>
          <w:tcPr>
            <w:tcW w:w="4468" w:type="dxa"/>
            <w:tcBorders>
              <w:top w:val="single" w:sz="4" w:space="0" w:color="auto"/>
              <w:bottom w:val="nil"/>
            </w:tcBorders>
            <w:vAlign w:val="bottom"/>
          </w:tcPr>
          <w:p w:rsidR="009F47EF" w:rsidRPr="00F83B8A" w:rsidRDefault="009F47EF" w:rsidP="000B324D">
            <w:pPr>
              <w:pStyle w:val="BodyTextIndent3"/>
              <w:spacing w:before="20" w:beforeAutospacing="0" w:after="20" w:afterAutospacing="0"/>
              <w:rPr>
                <w:rFonts w:ascii="Arial" w:hAnsi="Arial" w:cs="Arial"/>
                <w:sz w:val="18"/>
                <w:szCs w:val="18"/>
              </w:rPr>
            </w:pPr>
            <w:r w:rsidRPr="00F83B8A">
              <w:rPr>
                <w:rFonts w:ascii="Arial" w:hAnsi="Arial" w:cs="Arial"/>
                <w:b/>
                <w:sz w:val="18"/>
                <w:szCs w:val="18"/>
              </w:rPr>
              <w:t>Projects and Activities</w:t>
            </w:r>
          </w:p>
        </w:tc>
        <w:tc>
          <w:tcPr>
            <w:tcW w:w="714"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20"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71"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847"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593"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30"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69"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75"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630" w:type="dxa"/>
            <w:tcBorders>
              <w:top w:val="single" w:sz="4" w:space="0" w:color="auto"/>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855" w:type="dxa"/>
            <w:tcBorders>
              <w:top w:val="single" w:sz="4" w:space="0" w:color="auto"/>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20" w:type="dxa"/>
            <w:tcBorders>
              <w:top w:val="single" w:sz="4" w:space="0" w:color="auto"/>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1127" w:type="dxa"/>
            <w:tcBorders>
              <w:top w:val="single" w:sz="4" w:space="0" w:color="auto"/>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r>
      <w:tr w:rsidR="009F47EF" w:rsidRPr="00F83B8A" w:rsidTr="000B324D">
        <w:trPr>
          <w:cantSplit/>
        </w:trPr>
        <w:tc>
          <w:tcPr>
            <w:tcW w:w="4468" w:type="dxa"/>
            <w:tcBorders>
              <w:top w:val="nil"/>
              <w:bottom w:val="nil"/>
            </w:tcBorders>
            <w:vAlign w:val="bottom"/>
          </w:tcPr>
          <w:p w:rsidR="009F47EF" w:rsidRPr="00F83B8A" w:rsidRDefault="009F47EF"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Research projects</w:t>
            </w:r>
          </w:p>
        </w:tc>
        <w:tc>
          <w:tcPr>
            <w:tcW w:w="714" w:type="dxa"/>
            <w:tcBorders>
              <w:top w:val="nil"/>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r w:rsidR="00E170A5" w:rsidRPr="00F83B8A">
              <w:rPr>
                <w:rFonts w:ascii="Arial" w:hAnsi="Arial" w:cs="Arial"/>
                <w:sz w:val="18"/>
                <w:szCs w:val="18"/>
                <w:vertAlign w:val="superscript"/>
              </w:rPr>
              <w:t>3</w:t>
            </w:r>
          </w:p>
        </w:tc>
        <w:tc>
          <w:tcPr>
            <w:tcW w:w="72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r w:rsidR="00E170A5" w:rsidRPr="00F83B8A">
              <w:rPr>
                <w:rFonts w:ascii="Arial" w:hAnsi="Arial" w:cs="Arial"/>
                <w:sz w:val="18"/>
                <w:szCs w:val="18"/>
                <w:vertAlign w:val="superscript"/>
              </w:rPr>
              <w:t>3</w:t>
            </w:r>
          </w:p>
        </w:tc>
        <w:tc>
          <w:tcPr>
            <w:tcW w:w="1127" w:type="dxa"/>
            <w:tcBorders>
              <w:top w:val="nil"/>
              <w:bottom w:val="nil"/>
            </w:tcBorders>
          </w:tcPr>
          <w:p w:rsidR="009F47EF" w:rsidRPr="00F83B8A" w:rsidRDefault="009F47EF" w:rsidP="000B324D">
            <w:pPr>
              <w:spacing w:before="20" w:after="20"/>
              <w:jc w:val="center"/>
              <w:rPr>
                <w:rFonts w:ascii="Arial" w:hAnsi="Arial" w:cs="Arial"/>
                <w:sz w:val="18"/>
                <w:szCs w:val="18"/>
              </w:rPr>
            </w:pPr>
          </w:p>
        </w:tc>
      </w:tr>
      <w:tr w:rsidR="009F47EF" w:rsidRPr="00F83B8A" w:rsidTr="000B324D">
        <w:trPr>
          <w:cantSplit/>
        </w:trPr>
        <w:tc>
          <w:tcPr>
            <w:tcW w:w="4468" w:type="dxa"/>
            <w:tcBorders>
              <w:top w:val="nil"/>
              <w:bottom w:val="nil"/>
            </w:tcBorders>
            <w:vAlign w:val="bottom"/>
          </w:tcPr>
          <w:p w:rsidR="009F47EF" w:rsidRPr="00F83B8A" w:rsidRDefault="009F47EF"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Development projects</w:t>
            </w:r>
          </w:p>
        </w:tc>
        <w:tc>
          <w:tcPr>
            <w:tcW w:w="714" w:type="dxa"/>
            <w:tcBorders>
              <w:top w:val="nil"/>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847"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r w:rsidR="00E170A5" w:rsidRPr="00F83B8A">
              <w:rPr>
                <w:rFonts w:ascii="Arial" w:hAnsi="Arial" w:cs="Arial"/>
                <w:sz w:val="18"/>
                <w:szCs w:val="18"/>
                <w:vertAlign w:val="superscript"/>
              </w:rPr>
              <w:t>3</w:t>
            </w:r>
          </w:p>
        </w:tc>
        <w:tc>
          <w:tcPr>
            <w:tcW w:w="72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r w:rsidR="00E170A5" w:rsidRPr="00F83B8A">
              <w:rPr>
                <w:rFonts w:ascii="Arial" w:hAnsi="Arial" w:cs="Arial"/>
                <w:sz w:val="18"/>
                <w:szCs w:val="18"/>
                <w:vertAlign w:val="superscript"/>
              </w:rPr>
              <w:t>3</w:t>
            </w:r>
          </w:p>
        </w:tc>
        <w:tc>
          <w:tcPr>
            <w:tcW w:w="1127" w:type="dxa"/>
            <w:tcBorders>
              <w:top w:val="nil"/>
              <w:bottom w:val="nil"/>
            </w:tcBorders>
          </w:tcPr>
          <w:p w:rsidR="009F47EF" w:rsidRPr="00F83B8A" w:rsidRDefault="009F47EF" w:rsidP="000B324D">
            <w:pPr>
              <w:spacing w:before="20" w:after="20"/>
              <w:jc w:val="center"/>
              <w:rPr>
                <w:rFonts w:ascii="Arial" w:hAnsi="Arial" w:cs="Arial"/>
                <w:sz w:val="18"/>
                <w:szCs w:val="18"/>
              </w:rPr>
            </w:pPr>
          </w:p>
        </w:tc>
      </w:tr>
      <w:tr w:rsidR="009F47EF" w:rsidRPr="00F83B8A" w:rsidTr="000B324D">
        <w:trPr>
          <w:cantSplit/>
        </w:trPr>
        <w:tc>
          <w:tcPr>
            <w:tcW w:w="4468" w:type="dxa"/>
            <w:tcBorders>
              <w:top w:val="nil"/>
              <w:bottom w:val="nil"/>
            </w:tcBorders>
            <w:vAlign w:val="bottom"/>
          </w:tcPr>
          <w:p w:rsidR="009F47EF" w:rsidRPr="00F83B8A" w:rsidRDefault="009F47EF"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Dissemination and knowledge translation projects</w:t>
            </w:r>
          </w:p>
        </w:tc>
        <w:tc>
          <w:tcPr>
            <w:tcW w:w="714" w:type="dxa"/>
            <w:tcBorders>
              <w:top w:val="nil"/>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vAlign w:val="center"/>
          </w:tcPr>
          <w:p w:rsidR="009F47EF" w:rsidRPr="00F83B8A" w:rsidRDefault="00E4319D"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847"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9F47EF" w:rsidRPr="00F83B8A" w:rsidRDefault="009F47EF" w:rsidP="000B324D">
            <w:pPr>
              <w:spacing w:before="20" w:after="20"/>
              <w:jc w:val="center"/>
              <w:rPr>
                <w:rFonts w:ascii="Arial" w:hAnsi="Arial" w:cs="Arial"/>
                <w:sz w:val="18"/>
                <w:szCs w:val="18"/>
              </w:rPr>
            </w:pPr>
          </w:p>
        </w:tc>
        <w:tc>
          <w:tcPr>
            <w:tcW w:w="720" w:type="dxa"/>
            <w:tcBorders>
              <w:top w:val="nil"/>
              <w:bottom w:val="nil"/>
            </w:tcBorders>
          </w:tcPr>
          <w:p w:rsidR="009F47EF" w:rsidRPr="00F83B8A" w:rsidRDefault="009F47EF" w:rsidP="000B324D">
            <w:pPr>
              <w:spacing w:before="20" w:after="20"/>
              <w:jc w:val="center"/>
              <w:rPr>
                <w:rFonts w:ascii="Arial" w:hAnsi="Arial" w:cs="Arial"/>
                <w:sz w:val="18"/>
                <w:szCs w:val="18"/>
              </w:rPr>
            </w:pPr>
          </w:p>
        </w:tc>
        <w:tc>
          <w:tcPr>
            <w:tcW w:w="1127" w:type="dxa"/>
            <w:tcBorders>
              <w:top w:val="nil"/>
              <w:bottom w:val="nil"/>
            </w:tcBorders>
          </w:tcPr>
          <w:p w:rsidR="009F47EF" w:rsidRPr="00F83B8A" w:rsidRDefault="009F47EF" w:rsidP="000B324D">
            <w:pPr>
              <w:spacing w:before="20" w:after="20"/>
              <w:jc w:val="center"/>
              <w:rPr>
                <w:rFonts w:ascii="Arial" w:hAnsi="Arial" w:cs="Arial"/>
                <w:sz w:val="18"/>
                <w:szCs w:val="18"/>
              </w:rPr>
            </w:pPr>
          </w:p>
        </w:tc>
      </w:tr>
      <w:tr w:rsidR="009F47EF" w:rsidRPr="00F83B8A" w:rsidTr="000B324D">
        <w:trPr>
          <w:cantSplit/>
        </w:trPr>
        <w:tc>
          <w:tcPr>
            <w:tcW w:w="4468" w:type="dxa"/>
            <w:tcBorders>
              <w:top w:val="nil"/>
              <w:bottom w:val="nil"/>
            </w:tcBorders>
            <w:vAlign w:val="bottom"/>
          </w:tcPr>
          <w:p w:rsidR="009F47EF" w:rsidRPr="00F83B8A" w:rsidRDefault="009F47EF"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Capacity-building activities</w:t>
            </w:r>
            <w:r w:rsidR="00F83B8A">
              <w:rPr>
                <w:rFonts w:ascii="Arial" w:hAnsi="Arial" w:cs="Arial"/>
                <w:sz w:val="18"/>
                <w:szCs w:val="18"/>
              </w:rPr>
              <w:t>—</w:t>
            </w:r>
            <w:r w:rsidR="00CB63D8" w:rsidRPr="00F83B8A">
              <w:rPr>
                <w:rFonts w:ascii="Arial" w:hAnsi="Arial" w:cs="Arial"/>
                <w:sz w:val="18"/>
                <w:szCs w:val="18"/>
              </w:rPr>
              <w:t>Fellows</w:t>
            </w:r>
          </w:p>
        </w:tc>
        <w:tc>
          <w:tcPr>
            <w:tcW w:w="714"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71" w:type="dxa"/>
            <w:tcBorders>
              <w:top w:val="nil"/>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847"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9F47EF" w:rsidRPr="00F83B8A" w:rsidRDefault="009F47EF"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vAlign w:val="center"/>
          </w:tcPr>
          <w:p w:rsidR="009F47EF" w:rsidRPr="00F83B8A" w:rsidRDefault="009F47EF"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009F47EF" w:rsidRPr="00F83B8A" w:rsidRDefault="009F47EF" w:rsidP="000B324D">
            <w:pPr>
              <w:pStyle w:val="BodyTextIndent3"/>
              <w:spacing w:before="20" w:beforeAutospacing="0" w:after="20" w:afterAutospacing="0"/>
              <w:jc w:val="center"/>
              <w:rPr>
                <w:rFonts w:ascii="Arial" w:hAnsi="Arial" w:cs="Arial"/>
                <w:sz w:val="18"/>
                <w:szCs w:val="18"/>
              </w:rPr>
            </w:pPr>
          </w:p>
        </w:tc>
      </w:tr>
      <w:tr w:rsidR="00CB63D8" w:rsidRPr="00F83B8A" w:rsidTr="000B324D">
        <w:trPr>
          <w:cantSplit/>
        </w:trPr>
        <w:tc>
          <w:tcPr>
            <w:tcW w:w="4468" w:type="dxa"/>
            <w:tcBorders>
              <w:top w:val="nil"/>
              <w:bottom w:val="nil"/>
            </w:tcBorders>
            <w:vAlign w:val="bottom"/>
          </w:tcPr>
          <w:p w:rsidR="00CB63D8" w:rsidRPr="00F83B8A" w:rsidRDefault="00CB63D8"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Capacity-building activities—Graduate students</w:t>
            </w:r>
          </w:p>
        </w:tc>
        <w:tc>
          <w:tcPr>
            <w:tcW w:w="714" w:type="dxa"/>
            <w:tcBorders>
              <w:top w:val="nil"/>
              <w:bottom w:val="nil"/>
            </w:tcBorders>
          </w:tcPr>
          <w:p w:rsidR="00CB63D8" w:rsidRPr="00F83B8A" w:rsidRDefault="00CB63D8" w:rsidP="000B324D">
            <w:pPr>
              <w:spacing w:before="20" w:after="20"/>
              <w:jc w:val="center"/>
              <w:rPr>
                <w:rFonts w:ascii="Arial" w:hAnsi="Arial" w:cs="Arial"/>
                <w:sz w:val="18"/>
                <w:szCs w:val="18"/>
              </w:rPr>
            </w:pPr>
          </w:p>
        </w:tc>
        <w:tc>
          <w:tcPr>
            <w:tcW w:w="720" w:type="dxa"/>
            <w:tcBorders>
              <w:top w:val="nil"/>
              <w:bottom w:val="nil"/>
            </w:tcBorders>
            <w:vAlign w:val="center"/>
          </w:tcPr>
          <w:p w:rsidR="00CB63D8" w:rsidRPr="00F83B8A" w:rsidRDefault="00CB63D8" w:rsidP="000B324D">
            <w:pPr>
              <w:pStyle w:val="BodyTextIndent3"/>
              <w:spacing w:before="20" w:beforeAutospacing="0" w:after="20" w:afterAutospacing="0"/>
              <w:jc w:val="center"/>
              <w:rPr>
                <w:rFonts w:ascii="Arial" w:hAnsi="Arial" w:cs="Arial"/>
                <w:sz w:val="18"/>
                <w:szCs w:val="18"/>
              </w:rPr>
            </w:pPr>
          </w:p>
        </w:tc>
        <w:tc>
          <w:tcPr>
            <w:tcW w:w="771" w:type="dxa"/>
            <w:tcBorders>
              <w:top w:val="nil"/>
              <w:bottom w:val="nil"/>
            </w:tcBorders>
            <w:vAlign w:val="center"/>
          </w:tcPr>
          <w:p w:rsidR="00CB63D8" w:rsidRPr="00F83B8A" w:rsidRDefault="00CB63D8" w:rsidP="000B324D">
            <w:pPr>
              <w:pStyle w:val="BodyTextIndent3"/>
              <w:spacing w:before="20" w:beforeAutospacing="0" w:after="20" w:afterAutospacing="0"/>
              <w:jc w:val="center"/>
              <w:rPr>
                <w:rFonts w:ascii="Arial" w:hAnsi="Arial" w:cs="Arial"/>
                <w:sz w:val="18"/>
                <w:szCs w:val="18"/>
              </w:rPr>
            </w:pPr>
          </w:p>
        </w:tc>
        <w:tc>
          <w:tcPr>
            <w:tcW w:w="847" w:type="dxa"/>
            <w:tcBorders>
              <w:top w:val="nil"/>
              <w:bottom w:val="nil"/>
            </w:tcBorders>
          </w:tcPr>
          <w:p w:rsidR="00CB63D8" w:rsidRPr="00F83B8A" w:rsidRDefault="00CB63D8"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CB63D8" w:rsidRPr="00F83B8A" w:rsidRDefault="00CB63D8"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CB63D8" w:rsidRPr="00F83B8A" w:rsidRDefault="00CB63D8"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CB63D8" w:rsidRPr="00F83B8A" w:rsidRDefault="00CB63D8"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CB63D8" w:rsidRPr="00F83B8A" w:rsidRDefault="00CB63D8"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vAlign w:val="center"/>
          </w:tcPr>
          <w:p w:rsidR="00CB63D8" w:rsidRPr="00F83B8A" w:rsidRDefault="00CB63D8"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CB63D8" w:rsidRPr="00F83B8A" w:rsidRDefault="00CB63D8" w:rsidP="000B324D">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00CB63D8" w:rsidRPr="00F83B8A" w:rsidRDefault="00CB63D8" w:rsidP="000B324D">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00CB63D8" w:rsidRPr="00F83B8A" w:rsidRDefault="00CB63D8" w:rsidP="000B324D">
            <w:pPr>
              <w:pStyle w:val="BodyTextIndent3"/>
              <w:spacing w:before="20" w:beforeAutospacing="0" w:after="20" w:afterAutospacing="0"/>
              <w:jc w:val="center"/>
              <w:rPr>
                <w:rFonts w:ascii="Arial" w:hAnsi="Arial" w:cs="Arial"/>
                <w:sz w:val="18"/>
                <w:szCs w:val="18"/>
              </w:rPr>
            </w:pPr>
          </w:p>
        </w:tc>
      </w:tr>
      <w:tr w:rsidR="00CB63D8" w:rsidRPr="00F83B8A" w:rsidTr="000B324D">
        <w:trPr>
          <w:cantSplit/>
        </w:trPr>
        <w:tc>
          <w:tcPr>
            <w:tcW w:w="4468" w:type="dxa"/>
            <w:tcBorders>
              <w:top w:val="nil"/>
              <w:bottom w:val="nil"/>
            </w:tcBorders>
            <w:vAlign w:val="bottom"/>
          </w:tcPr>
          <w:p w:rsidR="00CB63D8" w:rsidRPr="00F83B8A" w:rsidRDefault="00CB63D8"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Performance of fellows and graduate students</w:t>
            </w:r>
          </w:p>
        </w:tc>
        <w:tc>
          <w:tcPr>
            <w:tcW w:w="714" w:type="dxa"/>
            <w:tcBorders>
              <w:top w:val="nil"/>
              <w:bottom w:val="nil"/>
            </w:tcBorders>
          </w:tcPr>
          <w:p w:rsidR="00CB63D8" w:rsidRPr="00F83B8A" w:rsidRDefault="00CB63D8"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vAlign w:val="center"/>
          </w:tcPr>
          <w:p w:rsidR="00CB63D8" w:rsidRPr="00F83B8A" w:rsidRDefault="00CB63D8" w:rsidP="000B324D">
            <w:pPr>
              <w:pStyle w:val="BodyTextIndent3"/>
              <w:spacing w:before="20" w:beforeAutospacing="0" w:after="20" w:afterAutospacing="0"/>
              <w:jc w:val="center"/>
              <w:rPr>
                <w:rFonts w:ascii="Arial" w:hAnsi="Arial" w:cs="Arial"/>
                <w:sz w:val="18"/>
                <w:szCs w:val="18"/>
              </w:rPr>
            </w:pPr>
          </w:p>
        </w:tc>
        <w:tc>
          <w:tcPr>
            <w:tcW w:w="771" w:type="dxa"/>
            <w:tcBorders>
              <w:top w:val="nil"/>
              <w:bottom w:val="nil"/>
            </w:tcBorders>
            <w:vAlign w:val="center"/>
          </w:tcPr>
          <w:p w:rsidR="00CB63D8" w:rsidRPr="00F83B8A" w:rsidRDefault="00CB63D8" w:rsidP="000B324D">
            <w:pPr>
              <w:pStyle w:val="BodyTextIndent3"/>
              <w:spacing w:before="20" w:beforeAutospacing="0" w:after="20" w:afterAutospacing="0"/>
              <w:jc w:val="center"/>
              <w:rPr>
                <w:rFonts w:ascii="Arial" w:hAnsi="Arial" w:cs="Arial"/>
                <w:sz w:val="18"/>
                <w:szCs w:val="18"/>
              </w:rPr>
            </w:pPr>
          </w:p>
        </w:tc>
        <w:tc>
          <w:tcPr>
            <w:tcW w:w="847" w:type="dxa"/>
            <w:tcBorders>
              <w:top w:val="nil"/>
              <w:bottom w:val="nil"/>
            </w:tcBorders>
          </w:tcPr>
          <w:p w:rsidR="00CB63D8" w:rsidRPr="00F83B8A" w:rsidRDefault="00CB63D8"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CB63D8" w:rsidRPr="00F83B8A" w:rsidRDefault="00CB63D8"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CB63D8" w:rsidRPr="00F83B8A" w:rsidRDefault="00CB63D8"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CB63D8" w:rsidRPr="00F83B8A" w:rsidRDefault="00CB63D8"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CB63D8" w:rsidRPr="00F83B8A" w:rsidRDefault="00CB63D8"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vAlign w:val="center"/>
          </w:tcPr>
          <w:p w:rsidR="00CB63D8" w:rsidRPr="00F83B8A" w:rsidRDefault="00CB63D8"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CB63D8" w:rsidRPr="00F83B8A" w:rsidRDefault="00CB63D8" w:rsidP="000B324D">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00CB63D8" w:rsidRPr="00F83B8A" w:rsidRDefault="00CB63D8" w:rsidP="000B324D">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00CB63D8" w:rsidRPr="00F83B8A" w:rsidRDefault="00CB63D8" w:rsidP="000B324D">
            <w:pPr>
              <w:pStyle w:val="BodyTextIndent3"/>
              <w:spacing w:before="20" w:beforeAutospacing="0" w:after="20" w:afterAutospacing="0"/>
              <w:jc w:val="center"/>
              <w:rPr>
                <w:rFonts w:ascii="Arial" w:hAnsi="Arial" w:cs="Arial"/>
                <w:sz w:val="18"/>
                <w:szCs w:val="18"/>
              </w:rPr>
            </w:pPr>
          </w:p>
        </w:tc>
      </w:tr>
      <w:tr w:rsidR="003F2B26" w:rsidRPr="00F83B8A" w:rsidTr="000B324D">
        <w:trPr>
          <w:cantSplit/>
        </w:trPr>
        <w:tc>
          <w:tcPr>
            <w:tcW w:w="4468" w:type="dxa"/>
            <w:tcBorders>
              <w:top w:val="nil"/>
              <w:bottom w:val="nil"/>
            </w:tcBorders>
            <w:vAlign w:val="bottom"/>
          </w:tcPr>
          <w:p w:rsidR="003F2B26" w:rsidRPr="00F83B8A" w:rsidRDefault="003F2B26"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Capacity-building activities—Additional information</w:t>
            </w:r>
          </w:p>
        </w:tc>
        <w:tc>
          <w:tcPr>
            <w:tcW w:w="714"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nil"/>
              <w:bottom w:val="nil"/>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71" w:type="dxa"/>
            <w:tcBorders>
              <w:top w:val="nil"/>
              <w:bottom w:val="nil"/>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847"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r>
      <w:tr w:rsidR="003F2B26" w:rsidRPr="00F83B8A" w:rsidTr="000B324D">
        <w:trPr>
          <w:cantSplit/>
        </w:trPr>
        <w:tc>
          <w:tcPr>
            <w:tcW w:w="4468" w:type="dxa"/>
            <w:tcBorders>
              <w:top w:val="nil"/>
              <w:bottom w:val="nil"/>
            </w:tcBorders>
            <w:vAlign w:val="bottom"/>
          </w:tcPr>
          <w:p w:rsidR="003F2B26" w:rsidRPr="00F83B8A" w:rsidRDefault="003F2B26"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Training projects</w:t>
            </w:r>
          </w:p>
        </w:tc>
        <w:tc>
          <w:tcPr>
            <w:tcW w:w="714" w:type="dxa"/>
            <w:tcBorders>
              <w:top w:val="nil"/>
              <w:bottom w:val="nil"/>
            </w:tcBorders>
          </w:tcPr>
          <w:p w:rsidR="003F2B26" w:rsidRPr="00F83B8A" w:rsidRDefault="003F2B26" w:rsidP="000B324D">
            <w:pPr>
              <w:spacing w:before="20" w:after="20"/>
              <w:jc w:val="center"/>
              <w:rPr>
                <w:rFonts w:ascii="Arial" w:hAnsi="Arial" w:cs="Arial"/>
                <w:sz w:val="18"/>
                <w:szCs w:val="18"/>
              </w:rPr>
            </w:pPr>
          </w:p>
        </w:tc>
        <w:tc>
          <w:tcPr>
            <w:tcW w:w="720"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tcPr>
          <w:p w:rsidR="003F2B26" w:rsidRPr="00F83B8A" w:rsidRDefault="003F2B26" w:rsidP="000B324D">
            <w:pPr>
              <w:spacing w:before="20" w:after="20"/>
              <w:jc w:val="center"/>
              <w:rPr>
                <w:rFonts w:ascii="Arial" w:hAnsi="Arial" w:cs="Arial"/>
                <w:sz w:val="18"/>
                <w:szCs w:val="18"/>
              </w:rPr>
            </w:pPr>
          </w:p>
        </w:tc>
        <w:tc>
          <w:tcPr>
            <w:tcW w:w="847"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r>
      <w:tr w:rsidR="003F2B26" w:rsidRPr="00F83B8A" w:rsidTr="000B324D">
        <w:trPr>
          <w:cantSplit/>
        </w:trPr>
        <w:tc>
          <w:tcPr>
            <w:tcW w:w="4468" w:type="dxa"/>
            <w:tcBorders>
              <w:top w:val="nil"/>
              <w:bottom w:val="nil"/>
            </w:tcBorders>
            <w:vAlign w:val="bottom"/>
          </w:tcPr>
          <w:p w:rsidR="003F2B26" w:rsidRPr="00F83B8A" w:rsidRDefault="003F2B26" w:rsidP="000B324D">
            <w:pPr>
              <w:pStyle w:val="BodyTextIndent3"/>
              <w:spacing w:before="20" w:beforeAutospacing="0" w:after="20" w:afterAutospacing="0"/>
              <w:rPr>
                <w:rFonts w:ascii="Arial" w:hAnsi="Arial" w:cs="Arial"/>
                <w:b/>
                <w:sz w:val="18"/>
                <w:szCs w:val="18"/>
              </w:rPr>
            </w:pPr>
            <w:r w:rsidRPr="00F83B8A">
              <w:rPr>
                <w:rFonts w:ascii="Arial" w:hAnsi="Arial" w:cs="Arial"/>
                <w:sz w:val="18"/>
                <w:szCs w:val="18"/>
              </w:rPr>
              <w:t>Technical assistance activities</w:t>
            </w:r>
          </w:p>
        </w:tc>
        <w:tc>
          <w:tcPr>
            <w:tcW w:w="714" w:type="dxa"/>
            <w:tcBorders>
              <w:top w:val="nil"/>
              <w:bottom w:val="nil"/>
            </w:tcBorders>
            <w:vAlign w:val="center"/>
          </w:tcPr>
          <w:p w:rsidR="003F2B26" w:rsidRPr="00F83B8A" w:rsidRDefault="003F2B26" w:rsidP="000B324D">
            <w:pPr>
              <w:spacing w:before="20" w:after="20"/>
              <w:jc w:val="center"/>
              <w:rPr>
                <w:rFonts w:ascii="Arial" w:hAnsi="Arial" w:cs="Arial"/>
                <w:sz w:val="18"/>
                <w:szCs w:val="18"/>
              </w:rPr>
            </w:pPr>
          </w:p>
        </w:tc>
        <w:tc>
          <w:tcPr>
            <w:tcW w:w="720"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nil"/>
              <w:bottom w:val="nil"/>
            </w:tcBorders>
          </w:tcPr>
          <w:p w:rsidR="003F2B26" w:rsidRPr="00F83B8A" w:rsidRDefault="003F2B26" w:rsidP="000B324D">
            <w:pPr>
              <w:spacing w:before="20" w:after="20"/>
              <w:jc w:val="center"/>
              <w:rPr>
                <w:rFonts w:ascii="Arial" w:hAnsi="Arial" w:cs="Arial"/>
                <w:sz w:val="18"/>
                <w:szCs w:val="18"/>
              </w:rPr>
            </w:pPr>
          </w:p>
        </w:tc>
        <w:tc>
          <w:tcPr>
            <w:tcW w:w="847"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nil"/>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nil"/>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855" w:type="dxa"/>
            <w:tcBorders>
              <w:top w:val="nil"/>
              <w:bottom w:val="nil"/>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r>
      <w:tr w:rsidR="003F2B26" w:rsidRPr="00F83B8A" w:rsidTr="000B324D">
        <w:trPr>
          <w:cantSplit/>
        </w:trPr>
        <w:tc>
          <w:tcPr>
            <w:tcW w:w="4468" w:type="dxa"/>
            <w:tcBorders>
              <w:top w:val="nil"/>
              <w:bottom w:val="single" w:sz="4" w:space="0" w:color="auto"/>
            </w:tcBorders>
            <w:vAlign w:val="bottom"/>
          </w:tcPr>
          <w:p w:rsidR="003F2B26" w:rsidRPr="00F83B8A" w:rsidRDefault="003F2B26"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Additional notes</w:t>
            </w:r>
          </w:p>
        </w:tc>
        <w:tc>
          <w:tcPr>
            <w:tcW w:w="714" w:type="dxa"/>
            <w:tcBorders>
              <w:top w:val="nil"/>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p>
        </w:tc>
        <w:tc>
          <w:tcPr>
            <w:tcW w:w="720" w:type="dxa"/>
            <w:tcBorders>
              <w:top w:val="nil"/>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p>
        </w:tc>
        <w:tc>
          <w:tcPr>
            <w:tcW w:w="771" w:type="dxa"/>
            <w:tcBorders>
              <w:top w:val="nil"/>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p>
        </w:tc>
        <w:tc>
          <w:tcPr>
            <w:tcW w:w="847" w:type="dxa"/>
            <w:tcBorders>
              <w:top w:val="nil"/>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nil"/>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nil"/>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nil"/>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nil"/>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r w:rsidRPr="00F83B8A">
              <w:rPr>
                <w:rFonts w:ascii="Arial" w:hAnsi="Arial" w:cs="Arial"/>
                <w:sz w:val="18"/>
                <w:szCs w:val="18"/>
              </w:rPr>
              <w:t>X</w:t>
            </w:r>
          </w:p>
        </w:tc>
        <w:tc>
          <w:tcPr>
            <w:tcW w:w="855" w:type="dxa"/>
            <w:tcBorders>
              <w:top w:val="nil"/>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20" w:type="dxa"/>
            <w:tcBorders>
              <w:top w:val="nil"/>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1127" w:type="dxa"/>
            <w:tcBorders>
              <w:top w:val="nil"/>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r>
      <w:tr w:rsidR="003F2B26" w:rsidRPr="00F83B8A" w:rsidTr="000B324D">
        <w:trPr>
          <w:cantSplit/>
        </w:trPr>
        <w:tc>
          <w:tcPr>
            <w:tcW w:w="4468" w:type="dxa"/>
            <w:tcBorders>
              <w:top w:val="single" w:sz="4" w:space="0" w:color="auto"/>
            </w:tcBorders>
            <w:vAlign w:val="bottom"/>
          </w:tcPr>
          <w:p w:rsidR="003F2B26" w:rsidRPr="00F83B8A" w:rsidRDefault="003F2B26" w:rsidP="000B324D">
            <w:pPr>
              <w:pStyle w:val="BodyTextIndent3"/>
              <w:keepNext/>
              <w:spacing w:before="20" w:beforeAutospacing="0" w:after="20" w:afterAutospacing="0"/>
              <w:rPr>
                <w:rFonts w:ascii="Arial" w:hAnsi="Arial" w:cs="Arial"/>
                <w:b/>
                <w:sz w:val="18"/>
                <w:szCs w:val="18"/>
              </w:rPr>
            </w:pPr>
            <w:r w:rsidRPr="00F83B8A">
              <w:rPr>
                <w:rFonts w:ascii="Arial" w:hAnsi="Arial" w:cs="Arial"/>
                <w:b/>
                <w:sz w:val="18"/>
                <w:szCs w:val="18"/>
              </w:rPr>
              <w:lastRenderedPageBreak/>
              <w:t>Award-Specific Sections</w:t>
            </w:r>
          </w:p>
        </w:tc>
        <w:tc>
          <w:tcPr>
            <w:tcW w:w="714"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720"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771"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847"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593"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630"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669"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675"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630"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855" w:type="dxa"/>
            <w:tcBorders>
              <w:top w:val="single" w:sz="4" w:space="0" w:color="auto"/>
            </w:tcBorders>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720" w:type="dxa"/>
            <w:tcBorders>
              <w:top w:val="single" w:sz="4" w:space="0" w:color="auto"/>
            </w:tcBorders>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1127" w:type="dxa"/>
            <w:tcBorders>
              <w:top w:val="single" w:sz="4" w:space="0" w:color="auto"/>
            </w:tcBorders>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r>
      <w:tr w:rsidR="003F2B26" w:rsidRPr="00F83B8A" w:rsidTr="000B324D">
        <w:trPr>
          <w:cantSplit/>
        </w:trPr>
        <w:tc>
          <w:tcPr>
            <w:tcW w:w="4468" w:type="dxa"/>
            <w:tcBorders>
              <w:top w:val="single" w:sz="4" w:space="0" w:color="auto"/>
            </w:tcBorders>
            <w:vAlign w:val="bottom"/>
          </w:tcPr>
          <w:p w:rsidR="003F2B26" w:rsidRPr="00F83B8A" w:rsidRDefault="003F2B26" w:rsidP="000B324D">
            <w:pPr>
              <w:pStyle w:val="BodyTextIndent3"/>
              <w:keepNext/>
              <w:spacing w:before="20" w:beforeAutospacing="0" w:after="20" w:afterAutospacing="0"/>
              <w:rPr>
                <w:rFonts w:ascii="Arial" w:hAnsi="Arial" w:cs="Arial"/>
                <w:sz w:val="18"/>
                <w:szCs w:val="18"/>
              </w:rPr>
            </w:pPr>
            <w:r w:rsidRPr="00F83B8A">
              <w:rPr>
                <w:rFonts w:ascii="Arial" w:hAnsi="Arial" w:cs="Arial"/>
                <w:sz w:val="18"/>
                <w:szCs w:val="18"/>
              </w:rPr>
              <w:t>Model systems clinical care</w:t>
            </w:r>
          </w:p>
        </w:tc>
        <w:tc>
          <w:tcPr>
            <w:tcW w:w="714"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720"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771"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847"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593"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630" w:type="dxa"/>
            <w:tcBorders>
              <w:top w:val="single" w:sz="4" w:space="0" w:color="auto"/>
            </w:tcBorders>
          </w:tcPr>
          <w:p w:rsidR="003F2B26" w:rsidRPr="00F83B8A" w:rsidRDefault="003F2B26" w:rsidP="000B324D">
            <w:pPr>
              <w:keepNext/>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675"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630" w:type="dxa"/>
            <w:tcBorders>
              <w:top w:val="single" w:sz="4" w:space="0" w:color="auto"/>
            </w:tcBorders>
            <w:vAlign w:val="center"/>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855" w:type="dxa"/>
            <w:tcBorders>
              <w:top w:val="single" w:sz="4" w:space="0" w:color="auto"/>
            </w:tcBorders>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720" w:type="dxa"/>
            <w:tcBorders>
              <w:top w:val="single" w:sz="4" w:space="0" w:color="auto"/>
            </w:tcBorders>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c>
          <w:tcPr>
            <w:tcW w:w="1127" w:type="dxa"/>
            <w:tcBorders>
              <w:top w:val="single" w:sz="4" w:space="0" w:color="auto"/>
            </w:tcBorders>
          </w:tcPr>
          <w:p w:rsidR="003F2B26" w:rsidRPr="00F83B8A" w:rsidRDefault="003F2B26" w:rsidP="000B324D">
            <w:pPr>
              <w:pStyle w:val="BodyTextIndent3"/>
              <w:keepNext/>
              <w:spacing w:before="20" w:beforeAutospacing="0" w:after="20" w:afterAutospacing="0"/>
              <w:jc w:val="center"/>
              <w:rPr>
                <w:rFonts w:ascii="Arial" w:hAnsi="Arial" w:cs="Arial"/>
                <w:sz w:val="18"/>
                <w:szCs w:val="18"/>
              </w:rPr>
            </w:pPr>
          </w:p>
        </w:tc>
      </w:tr>
      <w:tr w:rsidR="003F2B26" w:rsidRPr="00F83B8A" w:rsidTr="000B324D">
        <w:trPr>
          <w:cantSplit/>
        </w:trPr>
        <w:tc>
          <w:tcPr>
            <w:tcW w:w="4468" w:type="dxa"/>
            <w:tcBorders>
              <w:top w:val="single" w:sz="4" w:space="0" w:color="auto"/>
            </w:tcBorders>
            <w:vAlign w:val="bottom"/>
          </w:tcPr>
          <w:p w:rsidR="003F2B26" w:rsidRPr="00F83B8A" w:rsidRDefault="003F2B26" w:rsidP="000B324D">
            <w:pPr>
              <w:pStyle w:val="BodyTextIndent3"/>
              <w:spacing w:before="20" w:beforeAutospacing="0" w:after="20" w:afterAutospacing="0"/>
              <w:rPr>
                <w:rFonts w:ascii="Arial" w:hAnsi="Arial" w:cs="Arial"/>
                <w:sz w:val="18"/>
                <w:szCs w:val="18"/>
              </w:rPr>
            </w:pPr>
            <w:r w:rsidRPr="00F83B8A">
              <w:rPr>
                <w:rFonts w:ascii="Arial" w:hAnsi="Arial" w:cs="Arial"/>
                <w:sz w:val="18"/>
                <w:szCs w:val="18"/>
              </w:rPr>
              <w:t>Knowledge translation awards—Projects and activities</w:t>
            </w:r>
          </w:p>
        </w:tc>
        <w:tc>
          <w:tcPr>
            <w:tcW w:w="714"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20"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847"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593"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30"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69"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75"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30"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855" w:type="dxa"/>
            <w:tcBorders>
              <w:top w:val="single" w:sz="4" w:space="0" w:color="auto"/>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20" w:type="dxa"/>
            <w:tcBorders>
              <w:top w:val="single" w:sz="4" w:space="0" w:color="auto"/>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1127" w:type="dxa"/>
            <w:tcBorders>
              <w:top w:val="single" w:sz="4" w:space="0" w:color="auto"/>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r>
      <w:tr w:rsidR="003F2B26" w:rsidRPr="00F83B8A" w:rsidTr="000B324D">
        <w:trPr>
          <w:cantSplit/>
        </w:trPr>
        <w:tc>
          <w:tcPr>
            <w:tcW w:w="4468" w:type="dxa"/>
            <w:tcBorders>
              <w:top w:val="single" w:sz="4" w:space="0" w:color="auto"/>
            </w:tcBorders>
            <w:vAlign w:val="center"/>
          </w:tcPr>
          <w:p w:rsidR="003F2B26" w:rsidRPr="00F83B8A" w:rsidRDefault="009E7064" w:rsidP="009E7064">
            <w:pPr>
              <w:pStyle w:val="BodyTextIndent3"/>
              <w:spacing w:before="20" w:beforeAutospacing="0" w:after="20" w:afterAutospacing="0"/>
              <w:rPr>
                <w:rFonts w:ascii="Arial" w:hAnsi="Arial" w:cs="Arial"/>
                <w:sz w:val="18"/>
                <w:szCs w:val="18"/>
              </w:rPr>
            </w:pPr>
            <w:r>
              <w:rPr>
                <w:rFonts w:ascii="Arial" w:hAnsi="Arial" w:cs="Arial"/>
                <w:sz w:val="18"/>
                <w:szCs w:val="18"/>
              </w:rPr>
              <w:t xml:space="preserve">ADA National Network </w:t>
            </w:r>
            <w:r w:rsidR="003F2B26" w:rsidRPr="00F83B8A">
              <w:rPr>
                <w:rFonts w:ascii="Arial" w:hAnsi="Arial" w:cs="Arial"/>
                <w:sz w:val="18"/>
                <w:szCs w:val="18"/>
              </w:rPr>
              <w:t>Centers—Training projects, technical assistance, and dissemination</w:t>
            </w:r>
          </w:p>
        </w:tc>
        <w:tc>
          <w:tcPr>
            <w:tcW w:w="714"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20"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71" w:type="dxa"/>
            <w:tcBorders>
              <w:top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593"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30"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69"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75"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30"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855"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20"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1127" w:type="dxa"/>
            <w:tcBorders>
              <w:top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r>
      <w:tr w:rsidR="003F2B26" w:rsidRPr="00F83B8A" w:rsidTr="000B324D">
        <w:trPr>
          <w:cantSplit/>
        </w:trPr>
        <w:tc>
          <w:tcPr>
            <w:tcW w:w="4468" w:type="dxa"/>
            <w:tcBorders>
              <w:top w:val="single" w:sz="4" w:space="0" w:color="auto"/>
              <w:bottom w:val="single" w:sz="4" w:space="0" w:color="auto"/>
            </w:tcBorders>
            <w:vAlign w:val="bottom"/>
          </w:tcPr>
          <w:p w:rsidR="003F2B26" w:rsidRPr="00F83B8A" w:rsidRDefault="003F2B26" w:rsidP="000B324D">
            <w:pPr>
              <w:pStyle w:val="BodyTextIndent3"/>
              <w:spacing w:before="20" w:beforeAutospacing="0" w:after="20" w:afterAutospacing="0"/>
              <w:rPr>
                <w:rFonts w:ascii="Arial" w:hAnsi="Arial" w:cs="Arial"/>
                <w:b/>
                <w:sz w:val="18"/>
                <w:szCs w:val="18"/>
              </w:rPr>
            </w:pPr>
            <w:r w:rsidRPr="00F83B8A">
              <w:rPr>
                <w:rFonts w:ascii="Arial" w:hAnsi="Arial" w:cs="Arial"/>
                <w:b/>
                <w:sz w:val="18"/>
                <w:szCs w:val="18"/>
              </w:rPr>
              <w:t>Performance:</w:t>
            </w:r>
            <w:r w:rsidR="000B324D" w:rsidRPr="00F83B8A">
              <w:rPr>
                <w:rFonts w:ascii="Arial" w:hAnsi="Arial" w:cs="Arial"/>
                <w:b/>
                <w:sz w:val="18"/>
                <w:szCs w:val="18"/>
              </w:rPr>
              <w:t xml:space="preserve"> </w:t>
            </w:r>
            <w:r w:rsidRPr="00F83B8A">
              <w:rPr>
                <w:rFonts w:ascii="Arial" w:hAnsi="Arial" w:cs="Arial"/>
                <w:b/>
                <w:sz w:val="18"/>
                <w:szCs w:val="18"/>
              </w:rPr>
              <w:t>Outputs and Associated Accomplishments</w:t>
            </w:r>
          </w:p>
        </w:tc>
        <w:tc>
          <w:tcPr>
            <w:tcW w:w="714" w:type="dxa"/>
            <w:tcBorders>
              <w:top w:val="single" w:sz="4" w:space="0" w:color="auto"/>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20" w:type="dxa"/>
            <w:tcBorders>
              <w:top w:val="single" w:sz="4" w:space="0" w:color="auto"/>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71" w:type="dxa"/>
            <w:tcBorders>
              <w:top w:val="single" w:sz="4" w:space="0" w:color="auto"/>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847" w:type="dxa"/>
            <w:tcBorders>
              <w:top w:val="single" w:sz="4" w:space="0" w:color="auto"/>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593" w:type="dxa"/>
            <w:tcBorders>
              <w:top w:val="single" w:sz="4" w:space="0" w:color="auto"/>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30" w:type="dxa"/>
            <w:tcBorders>
              <w:top w:val="single" w:sz="4" w:space="0" w:color="auto"/>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69" w:type="dxa"/>
            <w:tcBorders>
              <w:top w:val="single" w:sz="4" w:space="0" w:color="auto"/>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75" w:type="dxa"/>
            <w:tcBorders>
              <w:top w:val="single" w:sz="4" w:space="0" w:color="auto"/>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630" w:type="dxa"/>
            <w:tcBorders>
              <w:top w:val="single" w:sz="4" w:space="0" w:color="auto"/>
              <w:bottom w:val="single" w:sz="4" w:space="0" w:color="auto"/>
            </w:tcBorders>
            <w:vAlign w:val="center"/>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855" w:type="dxa"/>
            <w:tcBorders>
              <w:top w:val="single" w:sz="4" w:space="0" w:color="auto"/>
              <w:bottom w:val="single" w:sz="4" w:space="0" w:color="auto"/>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720" w:type="dxa"/>
            <w:tcBorders>
              <w:top w:val="single" w:sz="4" w:space="0" w:color="auto"/>
              <w:bottom w:val="single" w:sz="4" w:space="0" w:color="auto"/>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c>
          <w:tcPr>
            <w:tcW w:w="1127" w:type="dxa"/>
            <w:tcBorders>
              <w:top w:val="single" w:sz="4" w:space="0" w:color="auto"/>
              <w:bottom w:val="single" w:sz="4" w:space="0" w:color="auto"/>
            </w:tcBorders>
          </w:tcPr>
          <w:p w:rsidR="003F2B26" w:rsidRPr="00F83B8A" w:rsidRDefault="003F2B26" w:rsidP="000B324D">
            <w:pPr>
              <w:pStyle w:val="BodyTextIndent3"/>
              <w:spacing w:before="20" w:beforeAutospacing="0" w:after="20" w:afterAutospacing="0"/>
              <w:jc w:val="center"/>
              <w:rPr>
                <w:rFonts w:ascii="Arial" w:hAnsi="Arial" w:cs="Arial"/>
                <w:sz w:val="18"/>
                <w:szCs w:val="18"/>
              </w:rPr>
            </w:pPr>
          </w:p>
        </w:tc>
      </w:tr>
      <w:tr w:rsidR="003F2B26" w:rsidRPr="00F83B8A" w:rsidTr="000B324D">
        <w:trPr>
          <w:cantSplit/>
        </w:trPr>
        <w:tc>
          <w:tcPr>
            <w:tcW w:w="4468" w:type="dxa"/>
            <w:tcBorders>
              <w:top w:val="single" w:sz="4" w:space="0" w:color="auto"/>
              <w:bottom w:val="single" w:sz="4" w:space="0" w:color="auto"/>
            </w:tcBorders>
          </w:tcPr>
          <w:p w:rsidR="003F2B26" w:rsidRPr="00F83B8A" w:rsidRDefault="003F2B26" w:rsidP="000B324D">
            <w:pPr>
              <w:spacing w:before="20" w:after="20"/>
              <w:rPr>
                <w:rFonts w:ascii="Arial" w:hAnsi="Arial" w:cs="Arial"/>
                <w:sz w:val="18"/>
                <w:szCs w:val="18"/>
              </w:rPr>
            </w:pPr>
            <w:r w:rsidRPr="00F83B8A">
              <w:rPr>
                <w:rFonts w:ascii="Arial" w:hAnsi="Arial" w:cs="Arial"/>
                <w:sz w:val="18"/>
                <w:szCs w:val="18"/>
              </w:rPr>
              <w:t>Type 1 Outputs:</w:t>
            </w:r>
            <w:r w:rsidR="000B324D" w:rsidRPr="00F83B8A">
              <w:rPr>
                <w:rFonts w:ascii="Arial" w:hAnsi="Arial" w:cs="Arial"/>
                <w:sz w:val="18"/>
                <w:szCs w:val="18"/>
              </w:rPr>
              <w:t xml:space="preserve"> </w:t>
            </w:r>
            <w:r w:rsidRPr="00F83B8A">
              <w:rPr>
                <w:rFonts w:ascii="Arial" w:hAnsi="Arial" w:cs="Arial"/>
                <w:sz w:val="18"/>
                <w:szCs w:val="18"/>
              </w:rPr>
              <w:t>Publications</w:t>
            </w:r>
          </w:p>
        </w:tc>
        <w:tc>
          <w:tcPr>
            <w:tcW w:w="714"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771"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84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r>
      <w:tr w:rsidR="003F2B26" w:rsidRPr="00F83B8A" w:rsidTr="000B324D">
        <w:trPr>
          <w:cantSplit/>
        </w:trPr>
        <w:tc>
          <w:tcPr>
            <w:tcW w:w="4468" w:type="dxa"/>
            <w:tcBorders>
              <w:top w:val="single" w:sz="4" w:space="0" w:color="auto"/>
              <w:bottom w:val="single" w:sz="4" w:space="0" w:color="auto"/>
            </w:tcBorders>
          </w:tcPr>
          <w:p w:rsidR="003F2B26" w:rsidRPr="00F83B8A" w:rsidRDefault="003F2B26" w:rsidP="000B324D">
            <w:pPr>
              <w:spacing w:before="20" w:after="20"/>
              <w:rPr>
                <w:rFonts w:ascii="Arial" w:hAnsi="Arial" w:cs="Arial"/>
                <w:sz w:val="18"/>
                <w:szCs w:val="18"/>
              </w:rPr>
            </w:pPr>
            <w:r w:rsidRPr="00F83B8A">
              <w:rPr>
                <w:rFonts w:ascii="Arial" w:hAnsi="Arial" w:cs="Arial"/>
                <w:sz w:val="18"/>
                <w:szCs w:val="18"/>
              </w:rPr>
              <w:t>Type 1 Outputs:</w:t>
            </w:r>
            <w:r w:rsidR="000B324D" w:rsidRPr="00F83B8A">
              <w:rPr>
                <w:rFonts w:ascii="Arial" w:hAnsi="Arial" w:cs="Arial"/>
                <w:sz w:val="18"/>
                <w:szCs w:val="18"/>
              </w:rPr>
              <w:t xml:space="preserve"> </w:t>
            </w:r>
            <w:r w:rsidRPr="00F83B8A">
              <w:rPr>
                <w:rFonts w:ascii="Arial" w:hAnsi="Arial" w:cs="Arial"/>
                <w:sz w:val="18"/>
                <w:szCs w:val="18"/>
              </w:rPr>
              <w:t>Most Important Publications</w:t>
            </w:r>
          </w:p>
        </w:tc>
        <w:tc>
          <w:tcPr>
            <w:tcW w:w="714"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771"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847"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r>
      <w:tr w:rsidR="003F2B26" w:rsidRPr="00F83B8A" w:rsidTr="000B324D">
        <w:trPr>
          <w:cantSplit/>
        </w:trPr>
        <w:tc>
          <w:tcPr>
            <w:tcW w:w="4468" w:type="dxa"/>
            <w:tcBorders>
              <w:top w:val="single" w:sz="4" w:space="0" w:color="auto"/>
              <w:bottom w:val="single" w:sz="4" w:space="0" w:color="auto"/>
            </w:tcBorders>
          </w:tcPr>
          <w:p w:rsidR="003F2B26" w:rsidRPr="00F83B8A" w:rsidRDefault="003F2B26" w:rsidP="000B324D">
            <w:pPr>
              <w:spacing w:before="20" w:after="20"/>
              <w:rPr>
                <w:rFonts w:ascii="Arial" w:hAnsi="Arial" w:cs="Arial"/>
                <w:sz w:val="18"/>
                <w:szCs w:val="18"/>
              </w:rPr>
            </w:pPr>
            <w:r w:rsidRPr="00F83B8A">
              <w:rPr>
                <w:rFonts w:ascii="Arial" w:hAnsi="Arial" w:cs="Arial"/>
                <w:sz w:val="18"/>
                <w:szCs w:val="18"/>
              </w:rPr>
              <w:t>Type 2 Outputs:</w:t>
            </w:r>
            <w:r w:rsidR="000B324D" w:rsidRPr="00F83B8A">
              <w:rPr>
                <w:rFonts w:ascii="Arial" w:hAnsi="Arial" w:cs="Arial"/>
                <w:sz w:val="18"/>
                <w:szCs w:val="18"/>
              </w:rPr>
              <w:t xml:space="preserve"> </w:t>
            </w:r>
            <w:r w:rsidRPr="00F83B8A">
              <w:rPr>
                <w:rFonts w:ascii="Arial" w:hAnsi="Arial" w:cs="Arial"/>
                <w:sz w:val="18"/>
                <w:szCs w:val="18"/>
              </w:rPr>
              <w:t>Tools, measures. and intervention</w:t>
            </w:r>
            <w:r w:rsidR="000B324D" w:rsidRPr="00F83B8A">
              <w:rPr>
                <w:rFonts w:ascii="Arial" w:hAnsi="Arial" w:cs="Arial"/>
                <w:sz w:val="18"/>
                <w:szCs w:val="18"/>
              </w:rPr>
              <w:t xml:space="preserve"> </w:t>
            </w:r>
            <w:r w:rsidR="00F83B8A" w:rsidRPr="00F83B8A">
              <w:rPr>
                <w:rFonts w:ascii="Arial" w:hAnsi="Arial" w:cs="Arial"/>
                <w:sz w:val="18"/>
                <w:szCs w:val="18"/>
              </w:rPr>
              <w:t>protocols</w:t>
            </w:r>
          </w:p>
        </w:tc>
        <w:tc>
          <w:tcPr>
            <w:tcW w:w="714"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720"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771"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847"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bottom w:val="single" w:sz="4" w:space="0" w:color="auto"/>
            </w:tcBorders>
            <w:vAlign w:val="center"/>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r>
      <w:tr w:rsidR="003F2B26" w:rsidRPr="00F83B8A" w:rsidTr="000B324D">
        <w:trPr>
          <w:cantSplit/>
        </w:trPr>
        <w:tc>
          <w:tcPr>
            <w:tcW w:w="4468" w:type="dxa"/>
            <w:tcBorders>
              <w:top w:val="single" w:sz="4" w:space="0" w:color="auto"/>
              <w:bottom w:val="single" w:sz="4" w:space="0" w:color="auto"/>
            </w:tcBorders>
          </w:tcPr>
          <w:p w:rsidR="003F2B26" w:rsidRPr="00F83B8A" w:rsidRDefault="003F2B26" w:rsidP="000B324D">
            <w:pPr>
              <w:spacing w:before="20" w:after="20"/>
              <w:rPr>
                <w:rFonts w:ascii="Arial" w:hAnsi="Arial" w:cs="Arial"/>
                <w:sz w:val="18"/>
                <w:szCs w:val="18"/>
              </w:rPr>
            </w:pPr>
            <w:r w:rsidRPr="00F83B8A">
              <w:rPr>
                <w:rFonts w:ascii="Arial" w:hAnsi="Arial" w:cs="Arial"/>
                <w:sz w:val="18"/>
                <w:szCs w:val="18"/>
              </w:rPr>
              <w:t>Type 3 Outputs:</w:t>
            </w:r>
            <w:r w:rsidR="000B324D" w:rsidRPr="00F83B8A">
              <w:rPr>
                <w:rFonts w:ascii="Arial" w:hAnsi="Arial" w:cs="Arial"/>
                <w:sz w:val="18"/>
                <w:szCs w:val="18"/>
              </w:rPr>
              <w:t xml:space="preserve"> </w:t>
            </w:r>
            <w:r w:rsidRPr="00F83B8A">
              <w:rPr>
                <w:rFonts w:ascii="Arial" w:hAnsi="Arial" w:cs="Arial"/>
                <w:sz w:val="18"/>
                <w:szCs w:val="18"/>
              </w:rPr>
              <w:t>Technology products and devices</w:t>
            </w:r>
          </w:p>
        </w:tc>
        <w:tc>
          <w:tcPr>
            <w:tcW w:w="714"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720"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771"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847"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593"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bCs w:val="0"/>
                <w:sz w:val="18"/>
                <w:szCs w:val="18"/>
              </w:rPr>
            </w:pPr>
            <w:r w:rsidRPr="00F83B8A">
              <w:rPr>
                <w:rFonts w:ascii="Arial" w:hAnsi="Arial" w:cs="Arial"/>
                <w:b w:val="0"/>
                <w:bCs w:val="0"/>
                <w:sz w:val="18"/>
                <w:szCs w:val="18"/>
              </w:rPr>
              <w:t>X</w:t>
            </w:r>
          </w:p>
        </w:tc>
        <w:tc>
          <w:tcPr>
            <w:tcW w:w="669"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single" w:sz="4" w:space="0" w:color="auto"/>
              <w:bottom w:val="single" w:sz="4" w:space="0" w:color="auto"/>
            </w:tcBorders>
            <w:vAlign w:val="center"/>
          </w:tcPr>
          <w:p w:rsidR="003F2B26" w:rsidRPr="00F83B8A" w:rsidRDefault="003F2B26" w:rsidP="000B324D">
            <w:pPr>
              <w:pStyle w:val="Caption"/>
              <w:spacing w:before="20" w:after="20"/>
              <w:jc w:val="center"/>
              <w:rPr>
                <w:rFonts w:ascii="Arial" w:hAnsi="Arial" w:cs="Arial"/>
                <w:b w:val="0"/>
                <w:sz w:val="18"/>
                <w:szCs w:val="18"/>
              </w:rPr>
            </w:pPr>
            <w:r w:rsidRPr="00F83B8A">
              <w:rPr>
                <w:rFonts w:ascii="Arial" w:hAnsi="Arial" w:cs="Arial"/>
                <w:b w:val="0"/>
                <w:sz w:val="18"/>
                <w:szCs w:val="18"/>
              </w:rPr>
              <w:t>X</w:t>
            </w: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r>
      <w:tr w:rsidR="003F2B26" w:rsidRPr="00F83B8A" w:rsidTr="000B324D">
        <w:trPr>
          <w:cantSplit/>
        </w:trPr>
        <w:tc>
          <w:tcPr>
            <w:tcW w:w="4468" w:type="dxa"/>
            <w:tcBorders>
              <w:top w:val="single" w:sz="4" w:space="0" w:color="auto"/>
            </w:tcBorders>
          </w:tcPr>
          <w:p w:rsidR="003F2B26" w:rsidRPr="00F83B8A" w:rsidRDefault="003F2B26" w:rsidP="000B324D">
            <w:pPr>
              <w:spacing w:before="20" w:after="20"/>
              <w:rPr>
                <w:rFonts w:ascii="Arial" w:hAnsi="Arial" w:cs="Arial"/>
                <w:sz w:val="18"/>
                <w:szCs w:val="18"/>
              </w:rPr>
            </w:pPr>
            <w:r w:rsidRPr="00F83B8A">
              <w:rPr>
                <w:rFonts w:ascii="Arial" w:hAnsi="Arial" w:cs="Arial"/>
                <w:sz w:val="18"/>
                <w:szCs w:val="18"/>
              </w:rPr>
              <w:t>Type 4 Outputs:</w:t>
            </w:r>
            <w:r w:rsidR="000B324D" w:rsidRPr="00F83B8A">
              <w:rPr>
                <w:rFonts w:ascii="Arial" w:hAnsi="Arial" w:cs="Arial"/>
                <w:sz w:val="18"/>
                <w:szCs w:val="18"/>
              </w:rPr>
              <w:t xml:space="preserve"> </w:t>
            </w:r>
            <w:r w:rsidRPr="00F83B8A">
              <w:rPr>
                <w:rFonts w:ascii="Arial" w:hAnsi="Arial" w:cs="Arial"/>
                <w:sz w:val="18"/>
                <w:szCs w:val="18"/>
              </w:rPr>
              <w:t>Informational products</w:t>
            </w:r>
          </w:p>
          <w:p w:rsidR="003F2B26" w:rsidRPr="00F83B8A" w:rsidRDefault="000B324D" w:rsidP="000B324D">
            <w:pPr>
              <w:spacing w:before="20" w:after="20"/>
              <w:rPr>
                <w:rFonts w:ascii="Arial" w:hAnsi="Arial" w:cs="Arial"/>
                <w:sz w:val="18"/>
                <w:szCs w:val="18"/>
              </w:rPr>
            </w:pPr>
            <w:r w:rsidRPr="00F83B8A">
              <w:rPr>
                <w:rFonts w:ascii="Arial" w:hAnsi="Arial" w:cs="Arial"/>
                <w:sz w:val="18"/>
                <w:szCs w:val="18"/>
              </w:rPr>
              <w:t xml:space="preserve"> </w:t>
            </w:r>
            <w:r w:rsidR="003F2B26" w:rsidRPr="00F83B8A">
              <w:rPr>
                <w:rFonts w:ascii="Arial" w:hAnsi="Arial" w:cs="Arial"/>
                <w:sz w:val="18"/>
                <w:szCs w:val="18"/>
              </w:rPr>
              <w:t xml:space="preserve"> Other Accomplishments and Contributions</w:t>
            </w:r>
          </w:p>
        </w:tc>
        <w:tc>
          <w:tcPr>
            <w:tcW w:w="714"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r>
      <w:tr w:rsidR="003F2B26" w:rsidRPr="00F83B8A" w:rsidTr="000B324D">
        <w:trPr>
          <w:cantSplit/>
        </w:trPr>
        <w:tc>
          <w:tcPr>
            <w:tcW w:w="4468" w:type="dxa"/>
            <w:tcBorders>
              <w:top w:val="single" w:sz="4" w:space="0" w:color="auto"/>
              <w:bottom w:val="single" w:sz="4" w:space="0" w:color="auto"/>
            </w:tcBorders>
          </w:tcPr>
          <w:p w:rsidR="003F2B26" w:rsidRPr="00F83B8A" w:rsidRDefault="003F2B26" w:rsidP="000B324D">
            <w:pPr>
              <w:spacing w:before="20" w:after="20"/>
              <w:rPr>
                <w:rFonts w:ascii="Arial" w:hAnsi="Arial" w:cs="Arial"/>
                <w:sz w:val="18"/>
                <w:szCs w:val="18"/>
              </w:rPr>
            </w:pPr>
            <w:r w:rsidRPr="00F83B8A">
              <w:rPr>
                <w:rFonts w:ascii="Arial" w:hAnsi="Arial" w:cs="Arial"/>
                <w:sz w:val="18"/>
                <w:szCs w:val="18"/>
              </w:rPr>
              <w:t xml:space="preserve">External use and adoption of </w:t>
            </w:r>
            <w:r w:rsidR="005B1CBD">
              <w:rPr>
                <w:rFonts w:ascii="Arial" w:hAnsi="Arial" w:cs="Arial"/>
                <w:sz w:val="18"/>
                <w:szCs w:val="18"/>
              </w:rPr>
              <w:t>NIDILRR</w:t>
            </w:r>
            <w:r w:rsidRPr="00F83B8A">
              <w:rPr>
                <w:rFonts w:ascii="Arial" w:hAnsi="Arial" w:cs="Arial"/>
                <w:sz w:val="18"/>
                <w:szCs w:val="18"/>
              </w:rPr>
              <w:t>-funded outputs</w:t>
            </w:r>
          </w:p>
        </w:tc>
        <w:tc>
          <w:tcPr>
            <w:tcW w:w="714"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single" w:sz="4" w:space="0" w:color="auto"/>
              <w:bottom w:val="single" w:sz="4" w:space="0" w:color="auto"/>
            </w:tcBorders>
          </w:tcPr>
          <w:p w:rsidR="003F2B26" w:rsidRPr="00AF4448" w:rsidRDefault="00AF4448" w:rsidP="000B324D">
            <w:pPr>
              <w:spacing w:before="20" w:after="20"/>
              <w:jc w:val="center"/>
              <w:rPr>
                <w:rFonts w:ascii="Arial" w:hAnsi="Arial" w:cs="Arial"/>
                <w:sz w:val="18"/>
                <w:szCs w:val="18"/>
              </w:rPr>
            </w:pPr>
            <w:r>
              <w:rPr>
                <w:rFonts w:ascii="Arial" w:hAnsi="Arial" w:cs="Arial"/>
                <w:sz w:val="18"/>
                <w:szCs w:val="18"/>
              </w:rPr>
              <w:t>X</w:t>
            </w:r>
          </w:p>
        </w:tc>
        <w:tc>
          <w:tcPr>
            <w:tcW w:w="720" w:type="dxa"/>
            <w:tcBorders>
              <w:top w:val="single" w:sz="4" w:space="0" w:color="auto"/>
              <w:bottom w:val="single" w:sz="4" w:space="0" w:color="auto"/>
            </w:tcBorders>
          </w:tcPr>
          <w:p w:rsidR="003F2B26" w:rsidRPr="00AF4448" w:rsidRDefault="00AF4448" w:rsidP="000B324D">
            <w:pPr>
              <w:spacing w:before="20" w:after="20"/>
              <w:jc w:val="center"/>
              <w:rPr>
                <w:rFonts w:ascii="Arial" w:hAnsi="Arial" w:cs="Arial"/>
                <w:sz w:val="18"/>
                <w:szCs w:val="18"/>
              </w:rPr>
            </w:pPr>
            <w:r>
              <w:rPr>
                <w:rFonts w:ascii="Arial" w:hAnsi="Arial" w:cs="Arial"/>
                <w:sz w:val="18"/>
                <w:szCs w:val="18"/>
              </w:rPr>
              <w:t>X</w:t>
            </w:r>
          </w:p>
        </w:tc>
        <w:tc>
          <w:tcPr>
            <w:tcW w:w="1127" w:type="dxa"/>
            <w:tcBorders>
              <w:top w:val="single" w:sz="4" w:space="0" w:color="auto"/>
              <w:bottom w:val="single" w:sz="4" w:space="0" w:color="auto"/>
            </w:tcBorders>
          </w:tcPr>
          <w:p w:rsidR="003F2B26" w:rsidRPr="00AF4448" w:rsidRDefault="00AF4448" w:rsidP="000B324D">
            <w:pPr>
              <w:spacing w:before="20" w:after="20"/>
              <w:jc w:val="center"/>
              <w:rPr>
                <w:rFonts w:ascii="Arial" w:hAnsi="Arial" w:cs="Arial"/>
                <w:sz w:val="18"/>
                <w:szCs w:val="18"/>
              </w:rPr>
            </w:pPr>
            <w:r>
              <w:rPr>
                <w:rFonts w:ascii="Arial" w:hAnsi="Arial" w:cs="Arial"/>
                <w:sz w:val="18"/>
                <w:szCs w:val="18"/>
              </w:rPr>
              <w:t>X</w:t>
            </w:r>
          </w:p>
        </w:tc>
      </w:tr>
      <w:tr w:rsidR="003F2B26" w:rsidRPr="00F83B8A" w:rsidTr="000B324D">
        <w:trPr>
          <w:cantSplit/>
        </w:trPr>
        <w:tc>
          <w:tcPr>
            <w:tcW w:w="4468" w:type="dxa"/>
            <w:tcBorders>
              <w:top w:val="single" w:sz="4" w:space="0" w:color="auto"/>
              <w:bottom w:val="single" w:sz="4" w:space="0" w:color="auto"/>
            </w:tcBorders>
          </w:tcPr>
          <w:p w:rsidR="003F2B26" w:rsidRPr="00F83B8A" w:rsidRDefault="003F2B26" w:rsidP="000B324D">
            <w:pPr>
              <w:spacing w:before="20" w:after="20"/>
              <w:rPr>
                <w:rFonts w:ascii="Arial" w:hAnsi="Arial" w:cs="Arial"/>
                <w:sz w:val="18"/>
                <w:szCs w:val="18"/>
              </w:rPr>
            </w:pPr>
            <w:r w:rsidRPr="00F83B8A">
              <w:rPr>
                <w:rFonts w:ascii="Arial" w:hAnsi="Arial" w:cs="Arial"/>
                <w:sz w:val="18"/>
                <w:szCs w:val="18"/>
              </w:rPr>
              <w:t>Other accomplishments and contributions</w:t>
            </w:r>
          </w:p>
        </w:tc>
        <w:tc>
          <w:tcPr>
            <w:tcW w:w="714"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r>
      <w:tr w:rsidR="003F2B26" w:rsidRPr="00F83B8A" w:rsidTr="000B324D">
        <w:trPr>
          <w:cantSplit/>
        </w:trPr>
        <w:tc>
          <w:tcPr>
            <w:tcW w:w="4468" w:type="dxa"/>
            <w:tcBorders>
              <w:top w:val="single" w:sz="4" w:space="0" w:color="auto"/>
              <w:bottom w:val="single" w:sz="4" w:space="0" w:color="auto"/>
            </w:tcBorders>
          </w:tcPr>
          <w:p w:rsidR="003F2B26" w:rsidRPr="00F83B8A" w:rsidRDefault="003F2B26" w:rsidP="000B324D">
            <w:pPr>
              <w:spacing w:before="20" w:after="20"/>
              <w:rPr>
                <w:rFonts w:ascii="Arial" w:hAnsi="Arial" w:cs="Arial"/>
                <w:sz w:val="18"/>
                <w:szCs w:val="18"/>
              </w:rPr>
            </w:pPr>
            <w:r w:rsidRPr="00F83B8A">
              <w:rPr>
                <w:rFonts w:ascii="Arial" w:hAnsi="Arial" w:cs="Arial"/>
                <w:sz w:val="18"/>
                <w:szCs w:val="18"/>
              </w:rPr>
              <w:t>Overall status of outcome-oriented goals</w:t>
            </w:r>
            <w:r w:rsidR="000B324D" w:rsidRPr="00F83B8A">
              <w:rPr>
                <w:rFonts w:ascii="Arial" w:hAnsi="Arial" w:cs="Arial"/>
                <w:sz w:val="18"/>
                <w:szCs w:val="18"/>
              </w:rPr>
              <w:t xml:space="preserve"> </w:t>
            </w:r>
            <w:r w:rsidRPr="00F83B8A">
              <w:rPr>
                <w:rFonts w:ascii="Arial" w:hAnsi="Arial" w:cs="Arial"/>
                <w:sz w:val="18"/>
                <w:szCs w:val="18"/>
              </w:rPr>
              <w:t xml:space="preserve"> </w:t>
            </w:r>
          </w:p>
          <w:p w:rsidR="003F2B26" w:rsidRPr="00F83B8A" w:rsidRDefault="003F2B26" w:rsidP="000B324D">
            <w:pPr>
              <w:spacing w:before="20" w:after="20"/>
              <w:rPr>
                <w:rFonts w:ascii="Arial" w:hAnsi="Arial" w:cs="Arial"/>
                <w:sz w:val="18"/>
                <w:szCs w:val="18"/>
              </w:rPr>
            </w:pPr>
          </w:p>
        </w:tc>
        <w:tc>
          <w:tcPr>
            <w:tcW w:w="714"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71"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4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593"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69"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7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85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72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r>
      <w:tr w:rsidR="003F2B26" w:rsidRPr="00F83B8A" w:rsidTr="000B324D">
        <w:trPr>
          <w:cantSplit/>
        </w:trPr>
        <w:tc>
          <w:tcPr>
            <w:tcW w:w="4468" w:type="dxa"/>
            <w:tcBorders>
              <w:top w:val="single" w:sz="4" w:space="0" w:color="auto"/>
              <w:bottom w:val="single" w:sz="4" w:space="0" w:color="auto"/>
            </w:tcBorders>
          </w:tcPr>
          <w:p w:rsidR="003F2B26" w:rsidRPr="00F83B8A" w:rsidRDefault="003F2B26" w:rsidP="000B324D">
            <w:pPr>
              <w:spacing w:before="20" w:after="20"/>
              <w:rPr>
                <w:rFonts w:ascii="Arial" w:hAnsi="Arial" w:cs="Arial"/>
                <w:b/>
                <w:bCs/>
                <w:sz w:val="18"/>
                <w:szCs w:val="18"/>
              </w:rPr>
            </w:pPr>
            <w:r w:rsidRPr="00F83B8A">
              <w:rPr>
                <w:rFonts w:ascii="Arial" w:hAnsi="Arial" w:cs="Arial"/>
                <w:b/>
                <w:bCs/>
                <w:sz w:val="18"/>
                <w:szCs w:val="18"/>
              </w:rPr>
              <w:t>Award summary over entire performance period</w:t>
            </w:r>
          </w:p>
        </w:tc>
        <w:tc>
          <w:tcPr>
            <w:tcW w:w="714"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72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771"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84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593"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669"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67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85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72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112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r>
      <w:tr w:rsidR="003F2B26" w:rsidRPr="00F83B8A" w:rsidTr="000B324D">
        <w:trPr>
          <w:cantSplit/>
        </w:trPr>
        <w:tc>
          <w:tcPr>
            <w:tcW w:w="4468" w:type="dxa"/>
            <w:tcBorders>
              <w:top w:val="single" w:sz="4" w:space="0" w:color="auto"/>
              <w:bottom w:val="single" w:sz="4" w:space="0" w:color="auto"/>
            </w:tcBorders>
          </w:tcPr>
          <w:p w:rsidR="003F2B26" w:rsidRPr="00F83B8A" w:rsidRDefault="003F2B26" w:rsidP="000B324D">
            <w:pPr>
              <w:spacing w:before="20" w:after="20"/>
              <w:rPr>
                <w:rFonts w:ascii="Arial" w:hAnsi="Arial" w:cs="Arial"/>
                <w:b/>
                <w:bCs/>
                <w:sz w:val="18"/>
                <w:szCs w:val="18"/>
              </w:rPr>
            </w:pPr>
            <w:r w:rsidRPr="00F83B8A">
              <w:rPr>
                <w:rFonts w:ascii="Arial" w:hAnsi="Arial" w:cs="Arial"/>
                <w:b/>
                <w:bCs/>
                <w:sz w:val="18"/>
                <w:szCs w:val="18"/>
              </w:rPr>
              <w:t>Future implications</w:t>
            </w:r>
          </w:p>
        </w:tc>
        <w:tc>
          <w:tcPr>
            <w:tcW w:w="714"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72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771"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84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593"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669"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67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63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855"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p>
        </w:tc>
        <w:tc>
          <w:tcPr>
            <w:tcW w:w="720"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c>
          <w:tcPr>
            <w:tcW w:w="1127" w:type="dxa"/>
            <w:tcBorders>
              <w:top w:val="single" w:sz="4" w:space="0" w:color="auto"/>
              <w:bottom w:val="single" w:sz="4" w:space="0" w:color="auto"/>
            </w:tcBorders>
          </w:tcPr>
          <w:p w:rsidR="003F2B26" w:rsidRPr="00F83B8A" w:rsidRDefault="003F2B26" w:rsidP="000B324D">
            <w:pPr>
              <w:spacing w:before="20" w:after="20"/>
              <w:jc w:val="center"/>
              <w:rPr>
                <w:rFonts w:ascii="Arial" w:hAnsi="Arial" w:cs="Arial"/>
                <w:sz w:val="18"/>
                <w:szCs w:val="18"/>
              </w:rPr>
            </w:pPr>
            <w:r w:rsidRPr="00F83B8A">
              <w:rPr>
                <w:rFonts w:ascii="Arial" w:hAnsi="Arial" w:cs="Arial"/>
                <w:sz w:val="18"/>
                <w:szCs w:val="18"/>
              </w:rPr>
              <w:t>X</w:t>
            </w:r>
          </w:p>
        </w:tc>
      </w:tr>
    </w:tbl>
    <w:p w:rsidR="00E170A5" w:rsidRPr="00F83B8A" w:rsidRDefault="00E170A5" w:rsidP="000B324D">
      <w:pPr>
        <w:pStyle w:val="BodyTextIndent3"/>
        <w:spacing w:before="0" w:beforeAutospacing="0" w:after="0" w:afterAutospacing="0"/>
        <w:ind w:left="1080" w:hanging="1080"/>
        <w:rPr>
          <w:rFonts w:ascii="Arial" w:hAnsi="Arial" w:cs="Arial"/>
          <w:sz w:val="18"/>
          <w:szCs w:val="18"/>
        </w:rPr>
      </w:pPr>
      <w:r w:rsidRPr="00F83B8A">
        <w:rPr>
          <w:vertAlign w:val="superscript"/>
        </w:rPr>
        <w:t>1</w:t>
      </w:r>
      <w:r w:rsidR="000B324D" w:rsidRPr="00F83B8A">
        <w:rPr>
          <w:vertAlign w:val="superscript"/>
        </w:rPr>
        <w:t xml:space="preserve"> </w:t>
      </w:r>
      <w:r w:rsidRPr="00F83B8A">
        <w:rPr>
          <w:rFonts w:ascii="Arial" w:hAnsi="Arial" w:cs="Arial"/>
          <w:sz w:val="18"/>
          <w:szCs w:val="18"/>
        </w:rPr>
        <w:t>Subset of items</w:t>
      </w:r>
    </w:p>
    <w:p w:rsidR="00DD6D7F" w:rsidRPr="00F83B8A" w:rsidRDefault="00E170A5" w:rsidP="000B324D">
      <w:pPr>
        <w:pStyle w:val="BodyTextIndent3"/>
        <w:spacing w:before="0" w:beforeAutospacing="0" w:after="0" w:afterAutospacing="0"/>
        <w:ind w:left="1080" w:hanging="1080"/>
        <w:rPr>
          <w:rFonts w:ascii="Arial" w:hAnsi="Arial" w:cs="Arial"/>
          <w:sz w:val="18"/>
          <w:szCs w:val="18"/>
        </w:rPr>
      </w:pPr>
      <w:proofErr w:type="gramStart"/>
      <w:r w:rsidRPr="00F83B8A">
        <w:rPr>
          <w:vertAlign w:val="superscript"/>
        </w:rPr>
        <w:t>2</w:t>
      </w:r>
      <w:r w:rsidR="000B324D" w:rsidRPr="00F83B8A">
        <w:rPr>
          <w:vertAlign w:val="superscript"/>
        </w:rPr>
        <w:t xml:space="preserve"> </w:t>
      </w:r>
      <w:r w:rsidR="00FF3A33" w:rsidRPr="00F83B8A">
        <w:rPr>
          <w:rFonts w:ascii="Arial" w:hAnsi="Arial" w:cs="Arial"/>
          <w:sz w:val="18"/>
          <w:szCs w:val="18"/>
        </w:rPr>
        <w:t>Demographic/diversity information for Switzer fellow only</w:t>
      </w:r>
      <w:proofErr w:type="gramEnd"/>
    </w:p>
    <w:p w:rsidR="00E170A5" w:rsidRPr="00F83B8A" w:rsidRDefault="00E170A5" w:rsidP="000B324D">
      <w:pPr>
        <w:pStyle w:val="BodyTextIndent3"/>
        <w:spacing w:before="0" w:beforeAutospacing="0" w:after="0" w:afterAutospacing="0"/>
        <w:ind w:left="1080" w:hanging="1080"/>
        <w:rPr>
          <w:rFonts w:ascii="Arial" w:hAnsi="Arial" w:cs="Arial"/>
          <w:sz w:val="18"/>
          <w:szCs w:val="18"/>
        </w:rPr>
      </w:pPr>
      <w:r w:rsidRPr="00F83B8A">
        <w:rPr>
          <w:vertAlign w:val="superscript"/>
        </w:rPr>
        <w:t>3</w:t>
      </w:r>
      <w:r w:rsidR="000B324D" w:rsidRPr="00F83B8A">
        <w:rPr>
          <w:vertAlign w:val="superscript"/>
        </w:rPr>
        <w:t xml:space="preserve"> </w:t>
      </w:r>
      <w:r w:rsidRPr="00F83B8A">
        <w:rPr>
          <w:rFonts w:ascii="Arial" w:hAnsi="Arial" w:cs="Arial"/>
          <w:sz w:val="18"/>
          <w:szCs w:val="18"/>
        </w:rPr>
        <w:t>RFP grantees characterize their fellowship as either a research or a development project</w:t>
      </w:r>
    </w:p>
    <w:p w:rsidR="00DD6D7F" w:rsidRPr="00F83B8A" w:rsidRDefault="00DD6D7F">
      <w:pPr>
        <w:pStyle w:val="BodyTextIndent3"/>
        <w:spacing w:before="0" w:beforeAutospacing="0" w:after="0" w:afterAutospacing="0"/>
        <w:jc w:val="center"/>
      </w:pPr>
    </w:p>
    <w:p w:rsidR="00FF3A33" w:rsidRPr="00F83B8A" w:rsidRDefault="00FF3A33">
      <w:pPr>
        <w:pStyle w:val="BodyTextIndent3"/>
        <w:spacing w:before="0" w:beforeAutospacing="0" w:after="0" w:afterAutospacing="0"/>
        <w:jc w:val="center"/>
        <w:sectPr w:rsidR="00FF3A33" w:rsidRPr="00F83B8A" w:rsidSect="000B324D">
          <w:pgSz w:w="15840" w:h="12240" w:orient="landscape" w:code="1"/>
          <w:pgMar w:top="1440" w:right="1440" w:bottom="1440" w:left="1440" w:header="720" w:footer="720" w:gutter="0"/>
          <w:cols w:space="720"/>
          <w:docGrid w:linePitch="360"/>
        </w:sectPr>
      </w:pPr>
    </w:p>
    <w:p w:rsidR="00DD6C4C" w:rsidRPr="00F83B8A" w:rsidRDefault="00DD6C4C" w:rsidP="00DD6C4C">
      <w:pPr>
        <w:pStyle w:val="BodyTextIndent3"/>
        <w:spacing w:before="0" w:beforeAutospacing="0" w:after="0" w:afterAutospacing="0"/>
        <w:jc w:val="center"/>
        <w:rPr>
          <w:b/>
          <w:i/>
          <w:iCs/>
        </w:rPr>
      </w:pPr>
      <w:r w:rsidRPr="00F83B8A">
        <w:rPr>
          <w:b/>
          <w:i/>
          <w:iCs/>
        </w:rPr>
        <w:lastRenderedPageBreak/>
        <w:t>Analysis</w:t>
      </w:r>
    </w:p>
    <w:p w:rsidR="00DD6C4C" w:rsidRPr="00F83B8A" w:rsidRDefault="00DD6C4C" w:rsidP="00DD6C4C">
      <w:pPr>
        <w:pStyle w:val="BodyTextIndent3"/>
        <w:spacing w:before="0" w:beforeAutospacing="0" w:after="0" w:afterAutospacing="0"/>
        <w:rPr>
          <w:i/>
          <w:iCs/>
        </w:rPr>
      </w:pPr>
    </w:p>
    <w:p w:rsidR="00DD6C4C" w:rsidRPr="00F83B8A" w:rsidRDefault="00DD6C4C" w:rsidP="00DD6C4C">
      <w:pPr>
        <w:pStyle w:val="BodyTextIndent3"/>
        <w:spacing w:before="0" w:beforeAutospacing="0" w:after="0" w:afterAutospacing="0"/>
        <w:ind w:firstLine="720"/>
      </w:pPr>
      <w:r w:rsidRPr="00F83B8A">
        <w:t xml:space="preserve">The reporting system will yield frequencies, cross tabulations, and other tabular displays of information to meet the needs of </w:t>
      </w:r>
      <w:r w:rsidR="005B1CBD">
        <w:t>NIDILRR</w:t>
      </w:r>
      <w:r w:rsidRPr="00F83B8A">
        <w:t xml:space="preserve"> staff, </w:t>
      </w:r>
      <w:r w:rsidR="002A4B7C">
        <w:t>HHS</w:t>
      </w:r>
      <w:r w:rsidRPr="00F83B8A">
        <w:t xml:space="preserve"> staff, and Congress under provisions of </w:t>
      </w:r>
      <w:r w:rsidR="002A4B7C">
        <w:t>GPAM</w:t>
      </w:r>
      <w:r w:rsidRPr="00F83B8A">
        <w:t xml:space="preserve"> and GPRA.</w:t>
      </w:r>
      <w:r w:rsidR="000B324D" w:rsidRPr="00F83B8A">
        <w:t xml:space="preserve"> </w:t>
      </w:r>
      <w:r w:rsidR="005B1CBD">
        <w:t>NIDILRR</w:t>
      </w:r>
      <w:r w:rsidRPr="00F83B8A">
        <w:t xml:space="preserve"> will prepare these reports according to regulatory requirements.</w:t>
      </w:r>
      <w:r w:rsidR="000B324D" w:rsidRPr="00F83B8A">
        <w:t xml:space="preserve"> </w:t>
      </w:r>
      <w:r w:rsidR="005B1CBD">
        <w:t>NIDILRR</w:t>
      </w:r>
      <w:r w:rsidRPr="00F83B8A">
        <w:t xml:space="preserve"> will prepare other data tabulations on an as-needed basis to meet specific information needs.</w:t>
      </w:r>
      <w:r w:rsidR="000B324D" w:rsidRPr="00F83B8A">
        <w:t xml:space="preserve"> </w:t>
      </w:r>
      <w:r w:rsidRPr="00F83B8A">
        <w:t xml:space="preserve">In addition, the APR system will support </w:t>
      </w:r>
      <w:r w:rsidR="005B1CBD">
        <w:t>NIDILRR</w:t>
      </w:r>
      <w:r w:rsidR="00F83B8A">
        <w:t>’</w:t>
      </w:r>
      <w:r w:rsidRPr="00F83B8A">
        <w:t xml:space="preserve">s external evaluation activities. </w:t>
      </w:r>
    </w:p>
    <w:p w:rsidR="00DD6C4C" w:rsidRPr="00F83B8A" w:rsidRDefault="00DD6C4C" w:rsidP="00DD6C4C"/>
    <w:p w:rsidR="00DD6C4C" w:rsidRPr="00F83B8A" w:rsidRDefault="00DD6C4C" w:rsidP="00DD6C4C">
      <w:pPr>
        <w:pStyle w:val="Heading2"/>
        <w:numPr>
          <w:ilvl w:val="0"/>
          <w:numId w:val="0"/>
        </w:numPr>
      </w:pPr>
      <w:bookmarkStart w:id="2" w:name="_Toc348686951"/>
      <w:r w:rsidRPr="00F83B8A">
        <w:t>2.</w:t>
      </w:r>
      <w:r w:rsidRPr="00F83B8A">
        <w:tab/>
        <w:t>Purpose and Use of the</w:t>
      </w:r>
      <w:r w:rsidR="002A4B7C">
        <w:t xml:space="preserve"> Information Collection</w:t>
      </w:r>
      <w:bookmarkEnd w:id="2"/>
    </w:p>
    <w:p w:rsidR="00DD6C4C" w:rsidRPr="00F83B8A" w:rsidRDefault="00DD6C4C" w:rsidP="00DD6C4C">
      <w:pPr>
        <w:pStyle w:val="BodyText"/>
        <w:rPr>
          <w:b/>
        </w:rPr>
      </w:pPr>
    </w:p>
    <w:p w:rsidR="00DD6C4C" w:rsidRPr="00F83B8A" w:rsidRDefault="005B1CBD" w:rsidP="00DD6C4C">
      <w:pPr>
        <w:tabs>
          <w:tab w:val="left" w:pos="0"/>
        </w:tabs>
        <w:ind w:firstLine="720"/>
      </w:pPr>
      <w:r>
        <w:t>NIDILRR</w:t>
      </w:r>
      <w:r w:rsidR="00DD6C4C" w:rsidRPr="00F83B8A">
        <w:t xml:space="preserve"> and </w:t>
      </w:r>
      <w:r w:rsidR="003B2505">
        <w:t>HHS</w:t>
      </w:r>
      <w:r w:rsidR="00DD6C4C" w:rsidRPr="00F83B8A">
        <w:t xml:space="preserve"> will use the information gathered annually from these data collection efforts to comply with </w:t>
      </w:r>
      <w:r w:rsidR="002A4B7C">
        <w:t>GPAM</w:t>
      </w:r>
      <w:r w:rsidR="00DD6C4C" w:rsidRPr="00F83B8A">
        <w:t xml:space="preserve">, to provide Congress with the information mandated in GPRA, provide OMB information required for assessment of performance on GPRA indicators, and support </w:t>
      </w:r>
      <w:r w:rsidR="00064DCD">
        <w:t xml:space="preserve">its </w:t>
      </w:r>
      <w:r w:rsidR="00DD6C4C" w:rsidRPr="00F83B8A">
        <w:t xml:space="preserve">evaluation </w:t>
      </w:r>
      <w:r w:rsidR="00064DCD">
        <w:t>activities. Da</w:t>
      </w:r>
      <w:r w:rsidR="00DD6C4C" w:rsidRPr="00F83B8A">
        <w:t xml:space="preserve">ta collected from the 10 grant programs will provide a national description of the research activities of approximately </w:t>
      </w:r>
      <w:r w:rsidR="0097010D">
        <w:t xml:space="preserve">275 </w:t>
      </w:r>
      <w:r>
        <w:t>NIDILRR</w:t>
      </w:r>
      <w:r w:rsidR="00DD6C4C" w:rsidRPr="00F83B8A">
        <w:t xml:space="preserve"> grantees.</w:t>
      </w:r>
    </w:p>
    <w:p w:rsidR="00DD6C4C" w:rsidRPr="00F83B8A" w:rsidRDefault="00DD6C4C" w:rsidP="00DD6C4C">
      <w:pPr>
        <w:tabs>
          <w:tab w:val="left" w:pos="0"/>
        </w:tabs>
      </w:pPr>
    </w:p>
    <w:p w:rsidR="00DD6C4C" w:rsidRPr="00F83B8A" w:rsidRDefault="005B1CBD" w:rsidP="00DD6C4C">
      <w:pPr>
        <w:tabs>
          <w:tab w:val="left" w:pos="0"/>
        </w:tabs>
        <w:ind w:firstLine="720"/>
      </w:pPr>
      <w:r>
        <w:t>NIDILRR</w:t>
      </w:r>
      <w:r w:rsidR="00DD6C4C" w:rsidRPr="00F83B8A">
        <w:t>, which has requested clearance of these forms, is charged in various ways with providing technical assistance and resources regarding disability research and will be better able to carry out that mission with the data collected through the APR reporting system.</w:t>
      </w:r>
      <w:r w:rsidR="000B324D" w:rsidRPr="00F83B8A">
        <w:t xml:space="preserve"> </w:t>
      </w:r>
      <w:r w:rsidR="00DD6C4C" w:rsidRPr="00F83B8A">
        <w:t>Research centers can also use their own annual performance data as they discuss, plan, generate support for, and implement research, development, and knowledge translation/dissemination programs and services for individuals with disabilities.</w:t>
      </w:r>
      <w:r w:rsidR="000B324D" w:rsidRPr="00F83B8A">
        <w:t xml:space="preserve"> </w:t>
      </w:r>
      <w:r w:rsidR="00DD6C4C" w:rsidRPr="00F83B8A">
        <w:t>These data will provide information that policy makers can use in better understanding the barriers, opportunities, and outcomes involved in improving services for individuals with disabilities.</w:t>
      </w:r>
      <w:r w:rsidR="000B324D" w:rsidRPr="00F83B8A">
        <w:t xml:space="preserve"> </w:t>
      </w:r>
    </w:p>
    <w:p w:rsidR="00DD6C4C" w:rsidRPr="00F83B8A" w:rsidRDefault="00DD6C4C" w:rsidP="00DD6C4C">
      <w:pPr>
        <w:tabs>
          <w:tab w:val="left" w:pos="0"/>
        </w:tabs>
      </w:pPr>
    </w:p>
    <w:p w:rsidR="00DD6C4C" w:rsidRPr="00F83B8A" w:rsidRDefault="00DD6C4C" w:rsidP="00DD6C4C">
      <w:pPr>
        <w:pStyle w:val="Heading2"/>
        <w:numPr>
          <w:ilvl w:val="0"/>
          <w:numId w:val="0"/>
        </w:numPr>
      </w:pPr>
      <w:bookmarkStart w:id="3" w:name="_Toc348686952"/>
      <w:r w:rsidRPr="00F83B8A">
        <w:t>3.</w:t>
      </w:r>
      <w:r w:rsidRPr="00F83B8A">
        <w:tab/>
      </w:r>
      <w:bookmarkEnd w:id="3"/>
      <w:r w:rsidR="002A4B7C">
        <w:t>Use of Improved Information Technology and Burden Reduction</w:t>
      </w:r>
    </w:p>
    <w:p w:rsidR="00DD6C4C" w:rsidRPr="00F83B8A" w:rsidRDefault="00DD6C4C" w:rsidP="00DD6C4C">
      <w:pPr>
        <w:pStyle w:val="BodyText"/>
      </w:pPr>
    </w:p>
    <w:p w:rsidR="00DD6C4C" w:rsidRPr="00F83B8A" w:rsidRDefault="00DD6C4C" w:rsidP="00DD6C4C">
      <w:pPr>
        <w:ind w:firstLine="720"/>
      </w:pPr>
      <w:r w:rsidRPr="00F83B8A">
        <w:t>This information collection request is for a Web-based reporting system; grantees enter their data electronically through a secure Internet Website.</w:t>
      </w:r>
      <w:r w:rsidR="000B324D" w:rsidRPr="00F83B8A">
        <w:t xml:space="preserve"> </w:t>
      </w:r>
      <w:r w:rsidRPr="00F83B8A">
        <w:t xml:space="preserve">This information collection system covers 10 grant programs funded or administered by </w:t>
      </w:r>
      <w:r w:rsidR="005B1CBD">
        <w:t>NIDILRR</w:t>
      </w:r>
      <w:r w:rsidRPr="00F83B8A">
        <w:t>, and each grantee submits its information using a reporting form that is unique to the program mechanism under which it is funded.</w:t>
      </w:r>
      <w:r w:rsidR="000B324D" w:rsidRPr="00F83B8A">
        <w:t xml:space="preserve"> </w:t>
      </w:r>
      <w:r w:rsidRPr="00F83B8A">
        <w:t>The 10 forms meet the reporting requirements for the following programs:</w:t>
      </w:r>
    </w:p>
    <w:p w:rsidR="00DD6C4C" w:rsidRPr="00F83B8A" w:rsidRDefault="00DD6C4C" w:rsidP="00DD6C4C">
      <w:pPr>
        <w:numPr>
          <w:ilvl w:val="0"/>
          <w:numId w:val="9"/>
        </w:numPr>
        <w:tabs>
          <w:tab w:val="left" w:pos="-720"/>
        </w:tabs>
        <w:suppressAutoHyphens/>
        <w:spacing w:before="240"/>
      </w:pPr>
      <w:r w:rsidRPr="00F83B8A">
        <w:t>Rehabilitation Research Training Centers (RRTC)</w:t>
      </w:r>
      <w:r w:rsidR="000B324D" w:rsidRPr="00F83B8A">
        <w:t xml:space="preserve"> </w:t>
      </w:r>
    </w:p>
    <w:p w:rsidR="00DD6C4C" w:rsidRPr="00F83B8A" w:rsidRDefault="00DD6C4C" w:rsidP="00DD6C4C">
      <w:pPr>
        <w:numPr>
          <w:ilvl w:val="0"/>
          <w:numId w:val="9"/>
        </w:numPr>
        <w:tabs>
          <w:tab w:val="left" w:pos="-720"/>
        </w:tabs>
        <w:suppressAutoHyphens/>
      </w:pPr>
      <w:r w:rsidRPr="00F83B8A">
        <w:t>Rehabilitation Engineering Research Centers (RERC)</w:t>
      </w:r>
    </w:p>
    <w:p w:rsidR="00DD6C4C" w:rsidRPr="00F83B8A" w:rsidRDefault="00DD6C4C" w:rsidP="00DD6C4C">
      <w:pPr>
        <w:numPr>
          <w:ilvl w:val="0"/>
          <w:numId w:val="9"/>
        </w:numPr>
        <w:tabs>
          <w:tab w:val="left" w:pos="-720"/>
        </w:tabs>
        <w:suppressAutoHyphens/>
      </w:pPr>
      <w:r w:rsidRPr="00F83B8A">
        <w:t>Field Initiated Research Projects (FIP)</w:t>
      </w:r>
    </w:p>
    <w:p w:rsidR="00DD6C4C" w:rsidRPr="00F83B8A" w:rsidRDefault="00DD6C4C" w:rsidP="00DD6C4C">
      <w:pPr>
        <w:numPr>
          <w:ilvl w:val="0"/>
          <w:numId w:val="9"/>
        </w:numPr>
        <w:tabs>
          <w:tab w:val="left" w:pos="-720"/>
        </w:tabs>
        <w:suppressAutoHyphens/>
      </w:pPr>
      <w:r w:rsidRPr="00F83B8A">
        <w:t>Advanced Rehabilitation Research Training Projects (ARRT)</w:t>
      </w:r>
    </w:p>
    <w:p w:rsidR="00DD6C4C" w:rsidRPr="00F83B8A" w:rsidRDefault="00DD6C4C" w:rsidP="00DD6C4C">
      <w:pPr>
        <w:numPr>
          <w:ilvl w:val="0"/>
          <w:numId w:val="9"/>
        </w:numPr>
        <w:tabs>
          <w:tab w:val="left" w:pos="-720"/>
        </w:tabs>
        <w:suppressAutoHyphens/>
      </w:pPr>
      <w:r w:rsidRPr="00F83B8A">
        <w:t>Model Systems</w:t>
      </w:r>
      <w:r w:rsidR="00F83B8A">
        <w:t>—</w:t>
      </w:r>
      <w:r w:rsidRPr="00F83B8A">
        <w:t xml:space="preserve">(includes spinal cord injury, traumatic brain injury, burn centers) </w:t>
      </w:r>
    </w:p>
    <w:p w:rsidR="00DD6C4C" w:rsidRPr="00F83B8A" w:rsidRDefault="00DD6C4C" w:rsidP="00DD6C4C">
      <w:pPr>
        <w:numPr>
          <w:ilvl w:val="0"/>
          <w:numId w:val="9"/>
        </w:numPr>
        <w:tabs>
          <w:tab w:val="left" w:pos="-720"/>
        </w:tabs>
        <w:suppressAutoHyphens/>
      </w:pPr>
      <w:r w:rsidRPr="00F83B8A">
        <w:t>Disability and Rehabilitation Research Projects (DRRP)</w:t>
      </w:r>
    </w:p>
    <w:p w:rsidR="00DD6C4C" w:rsidRPr="00F83B8A" w:rsidRDefault="00DD6C4C" w:rsidP="00DD6C4C">
      <w:pPr>
        <w:numPr>
          <w:ilvl w:val="0"/>
          <w:numId w:val="9"/>
        </w:numPr>
        <w:tabs>
          <w:tab w:val="left" w:pos="-720"/>
        </w:tabs>
        <w:suppressAutoHyphens/>
      </w:pPr>
      <w:r w:rsidRPr="00F83B8A">
        <w:t>Knowledge Translation (KT) Projects</w:t>
      </w:r>
    </w:p>
    <w:p w:rsidR="00DD6C4C" w:rsidRPr="00F83B8A" w:rsidRDefault="00CA2AD5" w:rsidP="00DD6C4C">
      <w:pPr>
        <w:numPr>
          <w:ilvl w:val="0"/>
          <w:numId w:val="9"/>
        </w:numPr>
      </w:pPr>
      <w:r>
        <w:t xml:space="preserve">ADA National Network </w:t>
      </w:r>
      <w:r w:rsidR="00DD6C4C" w:rsidRPr="00F83B8A">
        <w:t>Centers (</w:t>
      </w:r>
      <w:r>
        <w:t>ADAs</w:t>
      </w:r>
      <w:r w:rsidR="00DD6C4C" w:rsidRPr="00F83B8A">
        <w:t>)</w:t>
      </w:r>
    </w:p>
    <w:p w:rsidR="00DD6C4C" w:rsidRPr="00F83B8A" w:rsidRDefault="00DD6C4C" w:rsidP="00DD6C4C">
      <w:pPr>
        <w:numPr>
          <w:ilvl w:val="0"/>
          <w:numId w:val="9"/>
        </w:numPr>
      </w:pPr>
      <w:r w:rsidRPr="00F83B8A">
        <w:t>Small Business Innovation Research Projects (SBIR)</w:t>
      </w:r>
    </w:p>
    <w:p w:rsidR="00DD6C4C" w:rsidRPr="00F83B8A" w:rsidRDefault="00DD6C4C" w:rsidP="00DD6C4C">
      <w:pPr>
        <w:numPr>
          <w:ilvl w:val="0"/>
          <w:numId w:val="9"/>
        </w:numPr>
      </w:pPr>
      <w:r w:rsidRPr="00F83B8A">
        <w:t>Research Fellowships Program (RFP)</w:t>
      </w:r>
    </w:p>
    <w:p w:rsidR="00DD6C4C" w:rsidRPr="00F83B8A" w:rsidRDefault="00DD6C4C" w:rsidP="00DD6C4C">
      <w:pPr>
        <w:pStyle w:val="BodyTextIndent3"/>
        <w:spacing w:before="0" w:beforeAutospacing="0" w:after="0" w:afterAutospacing="0"/>
      </w:pPr>
    </w:p>
    <w:p w:rsidR="00DD6D7F" w:rsidRPr="00F83B8A" w:rsidRDefault="00DD6C4C" w:rsidP="002C6046">
      <w:pPr>
        <w:ind w:firstLine="720"/>
      </w:pPr>
      <w:r w:rsidRPr="00F83B8A">
        <w:t xml:space="preserve">The Web-based reporting forms are developed and maintained using </w:t>
      </w:r>
      <w:r w:rsidR="00DF4F48">
        <w:t xml:space="preserve">Adobe’s </w:t>
      </w:r>
      <w:r w:rsidRPr="00F83B8A">
        <w:t xml:space="preserve">Cold Fusion Application Server software (version </w:t>
      </w:r>
      <w:r w:rsidR="00DF4F48">
        <w:t>10</w:t>
      </w:r>
      <w:r w:rsidRPr="00F83B8A">
        <w:t xml:space="preserve">) and </w:t>
      </w:r>
      <w:r w:rsidR="00DF4F48">
        <w:t xml:space="preserve">Microsoft’s </w:t>
      </w:r>
      <w:r w:rsidRPr="00F83B8A">
        <w:t>SQL Server 200</w:t>
      </w:r>
      <w:r w:rsidR="00DF4F48">
        <w:t>8</w:t>
      </w:r>
      <w:r w:rsidRPr="00F83B8A">
        <w:t>.</w:t>
      </w:r>
      <w:r w:rsidR="000B324D" w:rsidRPr="00F83B8A">
        <w:t xml:space="preserve"> </w:t>
      </w:r>
      <w:r w:rsidRPr="00F83B8A">
        <w:t>Microsoft</w:t>
      </w:r>
      <w:r w:rsidR="00F83B8A">
        <w:t>’</w:t>
      </w:r>
      <w:r w:rsidRPr="00F83B8A">
        <w:t>s Internet Information Server is used as the primary Web server software.</w:t>
      </w:r>
      <w:r w:rsidR="000B324D" w:rsidRPr="00F83B8A">
        <w:t xml:space="preserve"> </w:t>
      </w:r>
      <w:r w:rsidRPr="00F83B8A">
        <w:t xml:space="preserve">Collected information is </w:t>
      </w:r>
      <w:r w:rsidRPr="00F83B8A">
        <w:lastRenderedPageBreak/>
        <w:t>stored in a relational database.</w:t>
      </w:r>
      <w:r w:rsidR="000B324D" w:rsidRPr="00F83B8A">
        <w:t xml:space="preserve"> </w:t>
      </w:r>
      <w:r w:rsidRPr="00F83B8A">
        <w:t xml:space="preserve">Access to the data in this database is provided using a combination of </w:t>
      </w:r>
      <w:r w:rsidR="00DD6D7F" w:rsidRPr="00F83B8A">
        <w:t>Microsoft</w:t>
      </w:r>
      <w:r w:rsidR="00F83B8A">
        <w:t>’</w:t>
      </w:r>
      <w:r w:rsidR="00DD6D7F" w:rsidRPr="00F83B8A">
        <w:t>s Open Database Connectivity (ODBC) technology and database query functionality provided by Cold Fusion Markup Language.</w:t>
      </w:r>
    </w:p>
    <w:p w:rsidR="00DD6D7F" w:rsidRPr="00F83B8A" w:rsidRDefault="00DD6D7F">
      <w:pPr>
        <w:ind w:firstLine="720"/>
      </w:pPr>
    </w:p>
    <w:p w:rsidR="00DD6D7F" w:rsidRPr="00F83B8A" w:rsidRDefault="00DD6D7F">
      <w:pPr>
        <w:ind w:firstLine="720"/>
      </w:pPr>
      <w:r w:rsidRPr="00F83B8A">
        <w:t xml:space="preserve">A primary advantage of this type of dynamic database is the immediate access </w:t>
      </w:r>
      <w:r w:rsidR="005B1CBD">
        <w:t>NIDILRR</w:t>
      </w:r>
      <w:r w:rsidRPr="00F83B8A">
        <w:t xml:space="preserve"> </w:t>
      </w:r>
      <w:proofErr w:type="gramStart"/>
      <w:r w:rsidRPr="00F83B8A">
        <w:t>staff</w:t>
      </w:r>
      <w:r w:rsidR="00EC10C3">
        <w:t xml:space="preserve"> </w:t>
      </w:r>
      <w:r w:rsidRPr="00F83B8A">
        <w:t xml:space="preserve"> have</w:t>
      </w:r>
      <w:proofErr w:type="gramEnd"/>
      <w:r w:rsidRPr="00F83B8A">
        <w:t xml:space="preserve"> to the information grantees submit.</w:t>
      </w:r>
      <w:r w:rsidR="000B324D" w:rsidRPr="00F83B8A">
        <w:t xml:space="preserve"> </w:t>
      </w:r>
      <w:r w:rsidRPr="00F83B8A">
        <w:t xml:space="preserve">Not only are </w:t>
      </w:r>
      <w:r w:rsidR="005B1CBD">
        <w:t>NIDILRR</w:t>
      </w:r>
      <w:r w:rsidRPr="00F83B8A">
        <w:t xml:space="preserve"> staff able to identify, almost instantly, which grantees have submitted their completed forms (via the Internet), they can also generate reports, even on partial data, as requested by Congress or </w:t>
      </w:r>
      <w:r w:rsidR="00DF4F48">
        <w:t>HHS</w:t>
      </w:r>
      <w:r w:rsidRPr="00F83B8A">
        <w:t>.</w:t>
      </w:r>
      <w:r w:rsidR="000B324D" w:rsidRPr="00F83B8A">
        <w:t xml:space="preserve"> </w:t>
      </w:r>
      <w:r w:rsidRPr="00F83B8A">
        <w:t>The system can be programmed to send electronic mail messages to all grantee project directors prior to the due date of the annual reports.</w:t>
      </w:r>
      <w:r w:rsidR="000B324D" w:rsidRPr="00F83B8A">
        <w:t xml:space="preserve"> </w:t>
      </w:r>
      <w:r w:rsidRPr="00F83B8A">
        <w:t>Electronic messages are also sent to grantees that do not submit their reports on time; federal project officers are thus able to spend less time telephoning grantees to ensure that annual reporting requirements are met.</w:t>
      </w:r>
    </w:p>
    <w:p w:rsidR="00DD6D7F" w:rsidRPr="00F83B8A" w:rsidRDefault="00DD6D7F"/>
    <w:p w:rsidR="00DD6D7F" w:rsidRPr="00A3764F" w:rsidRDefault="00DD6D7F" w:rsidP="00862C90">
      <w:pPr>
        <w:ind w:firstLine="720"/>
      </w:pPr>
      <w:r w:rsidRPr="00F83B8A">
        <w:t xml:space="preserve">Use of a </w:t>
      </w:r>
      <w:r w:rsidR="00862C90" w:rsidRPr="00F83B8A">
        <w:t>Web</w:t>
      </w:r>
      <w:r w:rsidRPr="00F83B8A">
        <w:t>-based data collection form minimizes grantee burden in submitting an annual report.</w:t>
      </w:r>
      <w:r w:rsidR="000B324D" w:rsidRPr="00F83B8A">
        <w:t xml:space="preserve"> </w:t>
      </w:r>
      <w:r w:rsidRPr="00F83B8A">
        <w:t>Where appropriate, the reporting form automatically generates totals, saving grantees time and reducing the chance of arithmetical errors degrading the accuracy of program data.</w:t>
      </w:r>
      <w:r w:rsidR="000B324D" w:rsidRPr="00F83B8A">
        <w:t xml:space="preserve"> </w:t>
      </w:r>
      <w:r w:rsidRPr="00F83B8A">
        <w:t xml:space="preserve">Another burden-reducing feature of the </w:t>
      </w:r>
      <w:r w:rsidR="00862C90" w:rsidRPr="00F83B8A">
        <w:t>Web</w:t>
      </w:r>
      <w:r w:rsidRPr="00F83B8A">
        <w:t xml:space="preserve"> system permits grantees to enter information on an ongoing basis during the reporting period.</w:t>
      </w:r>
      <w:r w:rsidR="000B324D" w:rsidRPr="00F83B8A">
        <w:t xml:space="preserve"> </w:t>
      </w:r>
      <w:r w:rsidRPr="00F83B8A">
        <w:t>During year one of a grant, a grantee will enter all relevant research project information; in subsequent grant years, the system will provide grantees with previously entered data, allowing them to make only the necessary edits rather than re-enter data from year to year, as they have in the past using paper forms.</w:t>
      </w:r>
      <w:r w:rsidR="000B324D" w:rsidRPr="00F83B8A">
        <w:t xml:space="preserve"> </w:t>
      </w:r>
      <w:r w:rsidRPr="00A3764F">
        <w:t xml:space="preserve">Finally, </w:t>
      </w:r>
      <w:r w:rsidR="005B1CBD" w:rsidRPr="00A3764F">
        <w:t>NIDILRR</w:t>
      </w:r>
      <w:r w:rsidR="00F83B8A" w:rsidRPr="00A3764F">
        <w:t>’</w:t>
      </w:r>
      <w:r w:rsidRPr="00A3764F">
        <w:t>s contractor</w:t>
      </w:r>
      <w:proofErr w:type="gramStart"/>
      <w:r w:rsidRPr="00A3764F">
        <w:t>, ,</w:t>
      </w:r>
      <w:proofErr w:type="gramEnd"/>
      <w:r w:rsidRPr="00A3764F">
        <w:t xml:space="preserve"> will provide any necessary technical assistance to grantees, expediting the process.</w:t>
      </w:r>
    </w:p>
    <w:p w:rsidR="00DD6D7F" w:rsidRPr="00A3764F" w:rsidRDefault="00DD6D7F" w:rsidP="00862C90"/>
    <w:p w:rsidR="00DD6D7F" w:rsidRPr="00F83B8A" w:rsidRDefault="000B324D" w:rsidP="00FE6DA1">
      <w:pPr>
        <w:ind w:firstLine="720"/>
      </w:pPr>
      <w:r w:rsidRPr="00A3764F">
        <w:t xml:space="preserve"> </w:t>
      </w:r>
      <w:r w:rsidR="00DD6D7F" w:rsidRPr="00A3764F">
        <w:t>The reporting forms contained in this clearance package will meet or exceed requirements for accessibility contained in Section 508 of the Rehabilitation Act of 1973 and all other relevant statutes and regulations.</w:t>
      </w:r>
      <w:r w:rsidRPr="00A3764F">
        <w:t xml:space="preserve"> </w:t>
      </w:r>
      <w:r w:rsidR="00623BE3">
        <w:t>NIDILRR</w:t>
      </w:r>
      <w:r w:rsidR="00DD6D7F" w:rsidRPr="00A3764F">
        <w:t xml:space="preserve"> has worked closely with </w:t>
      </w:r>
      <w:proofErr w:type="gramStart"/>
      <w:r w:rsidR="00DD6D7F" w:rsidRPr="00A3764F">
        <w:t>the  Assistive</w:t>
      </w:r>
      <w:proofErr w:type="gramEnd"/>
      <w:r w:rsidR="00DD6D7F" w:rsidRPr="00A3764F">
        <w:t xml:space="preserve"> Technology Team to maximize the accessibility of the reporting systems</w:t>
      </w:r>
      <w:r w:rsidR="00FF65CA">
        <w:t>.</w:t>
      </w:r>
      <w:r w:rsidR="00DD6D7F" w:rsidRPr="00A3764F">
        <w:t xml:space="preserve"> To the extent possible, any requested changes necessary to ensure that the </w:t>
      </w:r>
      <w:r w:rsidR="00862C90" w:rsidRPr="00A3764F">
        <w:t>Web</w:t>
      </w:r>
      <w:r w:rsidR="00DD6D7F" w:rsidRPr="00A3764F">
        <w:t>-based reporting forms reflect the state-of-the-art in Internet accessibility practices.</w:t>
      </w:r>
    </w:p>
    <w:p w:rsidR="00DD6D7F" w:rsidRPr="00F83B8A" w:rsidRDefault="00DD6D7F">
      <w:pPr>
        <w:pStyle w:val="BodyText"/>
      </w:pPr>
    </w:p>
    <w:p w:rsidR="00DD6D7F" w:rsidRPr="00F83B8A" w:rsidRDefault="00DD6D7F">
      <w:pPr>
        <w:pStyle w:val="Heading2"/>
        <w:numPr>
          <w:ilvl w:val="0"/>
          <w:numId w:val="0"/>
        </w:numPr>
      </w:pPr>
      <w:bookmarkStart w:id="4" w:name="_Toc348686953"/>
      <w:r w:rsidRPr="00F83B8A">
        <w:t>4.</w:t>
      </w:r>
      <w:r w:rsidRPr="00F83B8A">
        <w:tab/>
        <w:t xml:space="preserve">Efforts to Identify </w:t>
      </w:r>
      <w:r w:rsidRPr="00EA4FDC">
        <w:t>Duplicatio</w:t>
      </w:r>
      <w:r w:rsidR="00EA4FDC">
        <w:t>n and Use of Similar Information</w:t>
      </w:r>
      <w:bookmarkEnd w:id="4"/>
    </w:p>
    <w:p w:rsidR="00DD6D7F" w:rsidRPr="00F83B8A" w:rsidRDefault="00DD6D7F">
      <w:pPr>
        <w:pStyle w:val="BodyText"/>
        <w:rPr>
          <w:b/>
        </w:rPr>
      </w:pPr>
    </w:p>
    <w:p w:rsidR="00DD6D7F" w:rsidRPr="00F83B8A" w:rsidRDefault="00DD6D7F">
      <w:pPr>
        <w:pStyle w:val="BodyText"/>
        <w:ind w:firstLine="720"/>
      </w:pPr>
      <w:r w:rsidRPr="00F83B8A">
        <w:t>The ten forms contained in this clearance package do not duplicate items from any other data collection efforts.</w:t>
      </w:r>
    </w:p>
    <w:p w:rsidR="00DD6D7F" w:rsidRPr="00F83B8A" w:rsidRDefault="00DD6D7F">
      <w:pPr>
        <w:pStyle w:val="BodyText"/>
      </w:pPr>
    </w:p>
    <w:p w:rsidR="00DD6D7F" w:rsidRPr="00F83B8A" w:rsidRDefault="00DD6D7F" w:rsidP="002C6046">
      <w:pPr>
        <w:pStyle w:val="Heading2"/>
        <w:numPr>
          <w:ilvl w:val="0"/>
          <w:numId w:val="0"/>
        </w:numPr>
        <w:ind w:left="720" w:hanging="720"/>
      </w:pPr>
      <w:bookmarkStart w:id="5" w:name="_Toc348686954"/>
      <w:r w:rsidRPr="00F83B8A">
        <w:t>5.</w:t>
      </w:r>
      <w:r w:rsidRPr="00F83B8A">
        <w:tab/>
      </w:r>
      <w:bookmarkEnd w:id="5"/>
      <w:r w:rsidR="002A4B7C">
        <w:t>Impact on Small Businesses or Other Small Entities</w:t>
      </w:r>
    </w:p>
    <w:p w:rsidR="00DD6D7F" w:rsidRPr="00F83B8A" w:rsidRDefault="00DD6D7F">
      <w:pPr>
        <w:pStyle w:val="BodyText"/>
      </w:pPr>
    </w:p>
    <w:p w:rsidR="00DD6D7F" w:rsidRPr="00F83B8A" w:rsidRDefault="00DD6D7F" w:rsidP="00026E7B">
      <w:pPr>
        <w:ind w:firstLine="720"/>
      </w:pPr>
      <w:r w:rsidRPr="00F83B8A">
        <w:t xml:space="preserve">This information collection will involve the small businesses that have received grants under the </w:t>
      </w:r>
      <w:r w:rsidR="00307E53">
        <w:t>Small Business Innovation Research Projects (</w:t>
      </w:r>
      <w:r w:rsidRPr="00F83B8A">
        <w:t>SBIR</w:t>
      </w:r>
      <w:r w:rsidR="00307E53">
        <w:t>)</w:t>
      </w:r>
      <w:r w:rsidRPr="00F83B8A">
        <w:t xml:space="preserve"> program.</w:t>
      </w:r>
      <w:r w:rsidR="000B324D" w:rsidRPr="00F83B8A">
        <w:t xml:space="preserve"> </w:t>
      </w:r>
      <w:r w:rsidRPr="00F83B8A">
        <w:t xml:space="preserve">The other </w:t>
      </w:r>
      <w:r w:rsidR="005B1CBD">
        <w:t>NIDILRR</w:t>
      </w:r>
      <w:r w:rsidRPr="00F83B8A">
        <w:t xml:space="preserve"> programs covered by this data collection request are not small businesses or small entities.</w:t>
      </w:r>
      <w:r w:rsidR="000B324D" w:rsidRPr="00F83B8A">
        <w:t xml:space="preserve"> </w:t>
      </w:r>
      <w:r w:rsidRPr="00F83B8A">
        <w:t xml:space="preserve">The number of businesses awarded SBIR grants by </w:t>
      </w:r>
      <w:r w:rsidR="005B1CBD">
        <w:t>NIDILRR</w:t>
      </w:r>
      <w:r w:rsidRPr="00F83B8A">
        <w:t xml:space="preserve"> varies each year; in </w:t>
      </w:r>
      <w:r w:rsidR="002B2C27">
        <w:t xml:space="preserve">Reporting Year </w:t>
      </w:r>
      <w:r w:rsidRPr="00F83B8A">
        <w:t>20</w:t>
      </w:r>
      <w:r w:rsidR="00064DCD">
        <w:t>1</w:t>
      </w:r>
      <w:r w:rsidR="00DF4F48">
        <w:t>6</w:t>
      </w:r>
      <w:r w:rsidRPr="00F83B8A">
        <w:t xml:space="preserve"> a total of </w:t>
      </w:r>
      <w:r w:rsidR="00026E7B" w:rsidRPr="00F83B8A">
        <w:t>1</w:t>
      </w:r>
      <w:r w:rsidR="00D4602B">
        <w:t>2</w:t>
      </w:r>
      <w:r w:rsidR="00FE6DA1" w:rsidRPr="00F83B8A">
        <w:t xml:space="preserve"> </w:t>
      </w:r>
      <w:r w:rsidRPr="00F83B8A">
        <w:t>small businesses had Phase II grants and were required to report using the APR tailored for that program.</w:t>
      </w:r>
      <w:r w:rsidR="000B324D" w:rsidRPr="00F83B8A">
        <w:t xml:space="preserve"> </w:t>
      </w:r>
    </w:p>
    <w:p w:rsidR="00DD6D7F" w:rsidRPr="00F83B8A" w:rsidRDefault="00DD6D7F">
      <w:pPr>
        <w:ind w:firstLine="720"/>
      </w:pPr>
    </w:p>
    <w:p w:rsidR="00DD6D7F" w:rsidRPr="00F83B8A" w:rsidRDefault="00DD6D7F">
      <w:pPr>
        <w:ind w:firstLine="720"/>
      </w:pPr>
      <w:r w:rsidRPr="00F83B8A">
        <w:t>The following methods will be used to minimize the reporting burden placed on SBIR grantees:</w:t>
      </w:r>
    </w:p>
    <w:p w:rsidR="00DD6D7F" w:rsidRPr="00F83B8A" w:rsidRDefault="00DD6D7F">
      <w:pPr>
        <w:pStyle w:val="BodyText"/>
      </w:pPr>
    </w:p>
    <w:p w:rsidR="00DD6D7F" w:rsidRPr="00F83B8A" w:rsidRDefault="00DD6D7F">
      <w:pPr>
        <w:pStyle w:val="BodyText"/>
        <w:numPr>
          <w:ilvl w:val="0"/>
          <w:numId w:val="11"/>
        </w:numPr>
      </w:pPr>
      <w:r w:rsidRPr="00F83B8A">
        <w:t xml:space="preserve">The SBIR reporting form will contain fewer data elements than the reporting forms of most other </w:t>
      </w:r>
      <w:r w:rsidR="00EA4FDC">
        <w:t xml:space="preserve">NIDILRR </w:t>
      </w:r>
      <w:r w:rsidRPr="00F83B8A">
        <w:t>programs.</w:t>
      </w:r>
    </w:p>
    <w:p w:rsidR="00DD6D7F" w:rsidRPr="00F83B8A" w:rsidRDefault="00DD6D7F">
      <w:pPr>
        <w:pStyle w:val="BodyText"/>
        <w:numPr>
          <w:ilvl w:val="0"/>
          <w:numId w:val="11"/>
        </w:numPr>
      </w:pPr>
      <w:r w:rsidRPr="00F83B8A">
        <w:t>Recipients of Phase II grants will be able to use data entered in previous years</w:t>
      </w:r>
      <w:r w:rsidR="00F83B8A">
        <w:t>’</w:t>
      </w:r>
      <w:r w:rsidRPr="00F83B8A">
        <w:t xml:space="preserve"> reporting forms as a starting point for creating each subsequent annual report.</w:t>
      </w:r>
      <w:r w:rsidR="000B324D" w:rsidRPr="00F83B8A">
        <w:t xml:space="preserve"> </w:t>
      </w:r>
      <w:r w:rsidRPr="00F83B8A">
        <w:t>There will be no need to reenter data that are unchanged, such as project abstracts, key staff information, general contact information, or narrative of goals and objectives.</w:t>
      </w:r>
    </w:p>
    <w:p w:rsidR="00DD6D7F" w:rsidRPr="00F83B8A" w:rsidRDefault="00DD6D7F">
      <w:pPr>
        <w:pStyle w:val="BodyText"/>
        <w:numPr>
          <w:ilvl w:val="0"/>
          <w:numId w:val="11"/>
        </w:numPr>
      </w:pPr>
      <w:r w:rsidRPr="00F83B8A">
        <w:t xml:space="preserve">Where appropriate, the </w:t>
      </w:r>
      <w:r w:rsidR="00862C90" w:rsidRPr="00F83B8A">
        <w:t>Web</w:t>
      </w:r>
      <w:r w:rsidRPr="00F83B8A">
        <w:t>-based reporting system will automatically generate totals, saving the grantees the time necessary to make those computations.</w:t>
      </w:r>
    </w:p>
    <w:p w:rsidR="00DD6D7F" w:rsidRPr="00F83B8A" w:rsidRDefault="00DD6D7F">
      <w:pPr>
        <w:pStyle w:val="BodyText"/>
        <w:numPr>
          <w:ilvl w:val="0"/>
          <w:numId w:val="11"/>
        </w:numPr>
      </w:pPr>
      <w:r w:rsidRPr="00F83B8A">
        <w:t>Reporting forms can be opened and closed at any time, allowing the grantees to complete their reports at their convenience.</w:t>
      </w:r>
    </w:p>
    <w:p w:rsidR="00DD6D7F" w:rsidRPr="00F83B8A" w:rsidRDefault="00DD6D7F">
      <w:pPr>
        <w:pStyle w:val="BodyText"/>
      </w:pPr>
    </w:p>
    <w:p w:rsidR="00DD6D7F" w:rsidRPr="00F83B8A" w:rsidRDefault="00DD6D7F">
      <w:pPr>
        <w:ind w:firstLine="720"/>
      </w:pPr>
      <w:r w:rsidRPr="00F83B8A">
        <w:t xml:space="preserve">Any remaining burden on small businesses is unavoidable, if data are to be collected from the SBIR grantees in accordance with GPRA </w:t>
      </w:r>
      <w:proofErr w:type="gramStart"/>
      <w:r w:rsidRPr="00F83B8A">
        <w:t xml:space="preserve">and </w:t>
      </w:r>
      <w:r w:rsidR="009C43F7">
        <w:t xml:space="preserve"> GPAM</w:t>
      </w:r>
      <w:proofErr w:type="gramEnd"/>
      <w:r w:rsidR="009C43F7">
        <w:t xml:space="preserve"> </w:t>
      </w:r>
      <w:r w:rsidRPr="00F83B8A">
        <w:t>reporting requirements.</w:t>
      </w:r>
      <w:r w:rsidR="00EA4FDC">
        <w:t xml:space="preserve">  There is no effect on small businesses that are not NIDILRR SBIR grantees.</w:t>
      </w:r>
    </w:p>
    <w:p w:rsidR="00DD6D7F" w:rsidRPr="00F83B8A" w:rsidRDefault="00DD6D7F">
      <w:pPr>
        <w:pStyle w:val="BodyText"/>
      </w:pPr>
    </w:p>
    <w:p w:rsidR="00DD6D7F" w:rsidRPr="00F83B8A" w:rsidRDefault="00DD6D7F">
      <w:pPr>
        <w:pStyle w:val="Heading2"/>
        <w:numPr>
          <w:ilvl w:val="0"/>
          <w:numId w:val="0"/>
        </w:numPr>
      </w:pPr>
      <w:bookmarkStart w:id="6" w:name="_Toc348686955"/>
      <w:r w:rsidRPr="00F83B8A">
        <w:t>6.</w:t>
      </w:r>
      <w:r w:rsidRPr="00F83B8A">
        <w:tab/>
      </w:r>
      <w:proofErr w:type="gramStart"/>
      <w:r w:rsidRPr="00F83B8A">
        <w:t>Consequences  Collecting</w:t>
      </w:r>
      <w:proofErr w:type="gramEnd"/>
      <w:r w:rsidRPr="00F83B8A">
        <w:t xml:space="preserve"> the Information</w:t>
      </w:r>
      <w:bookmarkEnd w:id="6"/>
      <w:r w:rsidR="006306AD">
        <w:t xml:space="preserve"> Less Frequently</w:t>
      </w:r>
    </w:p>
    <w:p w:rsidR="00DD6D7F" w:rsidRPr="00F83B8A" w:rsidRDefault="00DD6D7F">
      <w:pPr>
        <w:pStyle w:val="BodyText"/>
        <w:rPr>
          <w:b/>
        </w:rPr>
      </w:pPr>
    </w:p>
    <w:p w:rsidR="00DD6D7F" w:rsidRPr="00F83B8A" w:rsidRDefault="00DD6D7F">
      <w:pPr>
        <w:ind w:firstLine="720"/>
      </w:pPr>
      <w:r w:rsidRPr="00F83B8A">
        <w:t xml:space="preserve">The proposed data collection activities involve an annual required data collection from </w:t>
      </w:r>
      <w:r w:rsidR="005B1CBD">
        <w:t>NIDILRR</w:t>
      </w:r>
      <w:r w:rsidRPr="00F83B8A">
        <w:t xml:space="preserve"> grantees.</w:t>
      </w:r>
      <w:r w:rsidR="000B324D" w:rsidRPr="00F83B8A">
        <w:t xml:space="preserve"> </w:t>
      </w:r>
      <w:r w:rsidRPr="00F83B8A">
        <w:t xml:space="preserve">If the information is not collected, data on key aspects of programs and services for individuals with disabilities will not be available; consequently, </w:t>
      </w:r>
      <w:r w:rsidR="005B1CBD">
        <w:t>NIDILRR</w:t>
      </w:r>
      <w:r w:rsidRPr="00F83B8A">
        <w:t xml:space="preserve"> would be unable to meet statutory and regulatory requirements for collection and reporting of data on grantees</w:t>
      </w:r>
      <w:r w:rsidR="00F83B8A">
        <w:t>’</w:t>
      </w:r>
      <w:r w:rsidRPr="00F83B8A">
        <w:t xml:space="preserve"> activities and outcomes.</w:t>
      </w:r>
      <w:r w:rsidR="006306AD">
        <w:t xml:space="preserve"> Collecting the data on less than an annual basis would have a negative impact on the ability </w:t>
      </w:r>
      <w:r w:rsidR="00307E53">
        <w:t xml:space="preserve">of NIDILRR </w:t>
      </w:r>
      <w:r w:rsidR="006306AD">
        <w:t xml:space="preserve">to </w:t>
      </w:r>
      <w:r w:rsidR="00307E53">
        <w:t xml:space="preserve">conduct </w:t>
      </w:r>
      <w:r w:rsidR="006306AD">
        <w:t>proper monitoring</w:t>
      </w:r>
      <w:r w:rsidR="00307E53">
        <w:t>, make</w:t>
      </w:r>
      <w:r w:rsidR="006306AD">
        <w:t xml:space="preserve"> </w:t>
      </w:r>
      <w:r w:rsidR="001F5DAD">
        <w:t>decision</w:t>
      </w:r>
      <w:r w:rsidR="00307E53">
        <w:t>s</w:t>
      </w:r>
      <w:r w:rsidR="001F5DAD">
        <w:t xml:space="preserve"> related to </w:t>
      </w:r>
      <w:proofErr w:type="gramStart"/>
      <w:r w:rsidR="001F5DAD">
        <w:t>continued</w:t>
      </w:r>
      <w:proofErr w:type="gramEnd"/>
      <w:r w:rsidR="001F5DAD">
        <w:t xml:space="preserve"> funding</w:t>
      </w:r>
      <w:r w:rsidR="00307E53">
        <w:t>, and gather information necessary to determine future research priorities.</w:t>
      </w:r>
      <w:r w:rsidR="001F5DAD">
        <w:t>.</w:t>
      </w:r>
      <w:r w:rsidR="006306AD">
        <w:t>.</w:t>
      </w:r>
    </w:p>
    <w:p w:rsidR="00DD6D7F" w:rsidRPr="00F83B8A" w:rsidRDefault="00DD6D7F">
      <w:pPr>
        <w:pStyle w:val="BodyText"/>
      </w:pPr>
    </w:p>
    <w:p w:rsidR="00DD6D7F" w:rsidRPr="00F83B8A" w:rsidRDefault="00DD6D7F">
      <w:pPr>
        <w:pStyle w:val="Heading2"/>
        <w:numPr>
          <w:ilvl w:val="0"/>
          <w:numId w:val="0"/>
        </w:numPr>
      </w:pPr>
      <w:bookmarkStart w:id="7" w:name="_Toc348686956"/>
      <w:r w:rsidRPr="00F83B8A">
        <w:t>7.</w:t>
      </w:r>
      <w:r w:rsidRPr="00F83B8A">
        <w:tab/>
        <w:t>Special Circumstances</w:t>
      </w:r>
      <w:bookmarkEnd w:id="7"/>
      <w:r w:rsidR="006306AD">
        <w:t xml:space="preserve"> Relating to the Guidelines of 5 CFR 1320.5</w:t>
      </w:r>
    </w:p>
    <w:p w:rsidR="00DD6D7F" w:rsidRPr="00F83B8A" w:rsidRDefault="00DD6D7F">
      <w:pPr>
        <w:pStyle w:val="BodyText"/>
      </w:pPr>
    </w:p>
    <w:p w:rsidR="00DD6D7F" w:rsidRPr="00F83B8A" w:rsidRDefault="00DD6D7F">
      <w:pPr>
        <w:ind w:firstLine="720"/>
      </w:pPr>
      <w:r w:rsidRPr="00F83B8A">
        <w:t xml:space="preserve">The proposed data collection is consistent with guidelines set forth in 5 CFR 1320.5, and requires no special circumstances. </w:t>
      </w:r>
    </w:p>
    <w:p w:rsidR="00DD6D7F" w:rsidRPr="00F83B8A" w:rsidRDefault="00DD6D7F">
      <w:pPr>
        <w:pStyle w:val="BodyText"/>
      </w:pPr>
    </w:p>
    <w:p w:rsidR="00DD6D7F" w:rsidRPr="00F83B8A" w:rsidRDefault="00DD6D7F" w:rsidP="002C6046">
      <w:pPr>
        <w:pStyle w:val="Heading2"/>
        <w:numPr>
          <w:ilvl w:val="0"/>
          <w:numId w:val="0"/>
        </w:numPr>
        <w:ind w:left="720" w:hanging="720"/>
      </w:pPr>
      <w:bookmarkStart w:id="8" w:name="_Toc348686957"/>
      <w:r w:rsidRPr="00F83B8A">
        <w:t>8.</w:t>
      </w:r>
      <w:r w:rsidRPr="00F83B8A">
        <w:tab/>
      </w:r>
      <w:bookmarkEnd w:id="8"/>
      <w:r w:rsidR="006306AD">
        <w:t xml:space="preserve">Comments in Response to the Federal Register Notice and efforts to Consult </w:t>
      </w:r>
      <w:proofErr w:type="gramStart"/>
      <w:r w:rsidR="006306AD">
        <w:t>Outside</w:t>
      </w:r>
      <w:proofErr w:type="gramEnd"/>
      <w:r w:rsidR="006306AD">
        <w:t xml:space="preserve"> the Agency</w:t>
      </w:r>
    </w:p>
    <w:p w:rsidR="00DD6D7F" w:rsidRPr="00F83B8A" w:rsidRDefault="00DD6D7F">
      <w:pPr>
        <w:pStyle w:val="BodyText"/>
        <w:rPr>
          <w:b/>
        </w:rPr>
      </w:pPr>
    </w:p>
    <w:p w:rsidR="00DD6D7F" w:rsidRPr="00F83B8A" w:rsidRDefault="00307E53" w:rsidP="00FE6DA1">
      <w:pPr>
        <w:pStyle w:val="BodyText"/>
        <w:ind w:firstLine="720"/>
        <w:rPr>
          <w:b/>
        </w:rPr>
      </w:pPr>
      <w:r>
        <w:rPr>
          <w:bCs/>
        </w:rPr>
        <w:t>No substantive comments were received in response to the 60-Day Federal Register notice</w:t>
      </w:r>
      <w:r w:rsidR="00AC169D">
        <w:rPr>
          <w:bCs/>
        </w:rPr>
        <w:t xml:space="preserve"> that published on 1/24/2017, volume </w:t>
      </w:r>
      <w:r w:rsidR="00AB3B22">
        <w:rPr>
          <w:bCs/>
        </w:rPr>
        <w:t xml:space="preserve">82, </w:t>
      </w:r>
      <w:proofErr w:type="gramStart"/>
      <w:r w:rsidR="00AB3B22">
        <w:rPr>
          <w:bCs/>
        </w:rPr>
        <w:t>p</w:t>
      </w:r>
      <w:r w:rsidR="00AA17AD">
        <w:rPr>
          <w:bCs/>
        </w:rPr>
        <w:t>a</w:t>
      </w:r>
      <w:r w:rsidR="00AB3B22">
        <w:rPr>
          <w:bCs/>
        </w:rPr>
        <w:t>g</w:t>
      </w:r>
      <w:r w:rsidR="00AA17AD">
        <w:rPr>
          <w:bCs/>
        </w:rPr>
        <w:t>e</w:t>
      </w:r>
      <w:proofErr w:type="gramEnd"/>
      <w:r w:rsidR="00990A22">
        <w:rPr>
          <w:bCs/>
        </w:rPr>
        <w:t xml:space="preserve"> </w:t>
      </w:r>
      <w:r w:rsidR="00AC169D">
        <w:rPr>
          <w:bCs/>
        </w:rPr>
        <w:t>8191</w:t>
      </w:r>
      <w:r>
        <w:rPr>
          <w:bCs/>
        </w:rPr>
        <w:t xml:space="preserve">.  Regarding consultation, </w:t>
      </w:r>
      <w:r w:rsidR="005B1CBD">
        <w:rPr>
          <w:bCs/>
        </w:rPr>
        <w:t>NIDILRR</w:t>
      </w:r>
      <w:r w:rsidR="00DD6D7F" w:rsidRPr="00F83B8A">
        <w:rPr>
          <w:bCs/>
        </w:rPr>
        <w:t xml:space="preserve"> </w:t>
      </w:r>
      <w:r w:rsidR="00841CE1">
        <w:rPr>
          <w:bCs/>
        </w:rPr>
        <w:t xml:space="preserve">reviews the reporting form annually, and </w:t>
      </w:r>
      <w:r w:rsidR="00DD6D7F" w:rsidRPr="00F83B8A">
        <w:rPr>
          <w:bCs/>
        </w:rPr>
        <w:t xml:space="preserve">has revised </w:t>
      </w:r>
      <w:r w:rsidR="00841CE1">
        <w:rPr>
          <w:bCs/>
        </w:rPr>
        <w:t xml:space="preserve">the </w:t>
      </w:r>
      <w:r w:rsidR="00DD6D7F" w:rsidRPr="00F83B8A">
        <w:rPr>
          <w:bCs/>
        </w:rPr>
        <w:t xml:space="preserve">form based on further analysis of </w:t>
      </w:r>
      <w:r w:rsidR="00FE6DA1" w:rsidRPr="00F83B8A">
        <w:rPr>
          <w:bCs/>
        </w:rPr>
        <w:t>the agency</w:t>
      </w:r>
      <w:r w:rsidR="00F83B8A">
        <w:rPr>
          <w:bCs/>
        </w:rPr>
        <w:t>’</w:t>
      </w:r>
      <w:r w:rsidR="00FE6DA1" w:rsidRPr="00F83B8A">
        <w:rPr>
          <w:bCs/>
        </w:rPr>
        <w:t xml:space="preserve">s information needs and </w:t>
      </w:r>
      <w:r w:rsidR="00DD6D7F" w:rsidRPr="00F83B8A">
        <w:rPr>
          <w:bCs/>
        </w:rPr>
        <w:t xml:space="preserve">its experience in collecting and analyzing data for </w:t>
      </w:r>
      <w:r w:rsidR="00E7550A">
        <w:rPr>
          <w:bCs/>
        </w:rPr>
        <w:t xml:space="preserve">Reporting Years </w:t>
      </w:r>
      <w:r w:rsidR="00DD6D7F" w:rsidRPr="00F83B8A">
        <w:rPr>
          <w:bCs/>
        </w:rPr>
        <w:t>20</w:t>
      </w:r>
      <w:r w:rsidR="002B2C27">
        <w:rPr>
          <w:bCs/>
        </w:rPr>
        <w:t>1</w:t>
      </w:r>
      <w:r w:rsidR="0048498A">
        <w:rPr>
          <w:bCs/>
        </w:rPr>
        <w:t>3</w:t>
      </w:r>
      <w:r w:rsidR="00FE6DA1" w:rsidRPr="00F83B8A">
        <w:rPr>
          <w:bCs/>
        </w:rPr>
        <w:t>-20</w:t>
      </w:r>
      <w:r w:rsidR="00D4602B">
        <w:rPr>
          <w:bCs/>
        </w:rPr>
        <w:t>1</w:t>
      </w:r>
      <w:r w:rsidR="0048498A">
        <w:rPr>
          <w:bCs/>
        </w:rPr>
        <w:t>6</w:t>
      </w:r>
      <w:r w:rsidR="00FE6DA1" w:rsidRPr="00F83B8A">
        <w:rPr>
          <w:bCs/>
        </w:rPr>
        <w:t>.</w:t>
      </w:r>
      <w:r w:rsidR="000B324D" w:rsidRPr="00F83B8A">
        <w:rPr>
          <w:bCs/>
        </w:rPr>
        <w:t xml:space="preserve"> </w:t>
      </w:r>
      <w:r w:rsidR="00DD6D7F" w:rsidRPr="00F83B8A">
        <w:rPr>
          <w:bCs/>
        </w:rPr>
        <w:t xml:space="preserve">Input on revisions came not only from </w:t>
      </w:r>
      <w:r w:rsidR="005B1CBD">
        <w:rPr>
          <w:bCs/>
        </w:rPr>
        <w:t>NIDILRR</w:t>
      </w:r>
      <w:r w:rsidR="00F83B8A">
        <w:rPr>
          <w:bCs/>
        </w:rPr>
        <w:t>’</w:t>
      </w:r>
      <w:r w:rsidR="00DD6D7F" w:rsidRPr="00F83B8A">
        <w:rPr>
          <w:bCs/>
        </w:rPr>
        <w:t>s senior staff</w:t>
      </w:r>
      <w:r>
        <w:rPr>
          <w:bCs/>
        </w:rPr>
        <w:t>,</w:t>
      </w:r>
      <w:r w:rsidR="00DD6D7F" w:rsidRPr="00F83B8A">
        <w:rPr>
          <w:bCs/>
        </w:rPr>
        <w:t xml:space="preserve"> but also </w:t>
      </w:r>
      <w:r w:rsidR="00FE6DA1" w:rsidRPr="00F83B8A">
        <w:rPr>
          <w:bCs/>
        </w:rPr>
        <w:t xml:space="preserve">from </w:t>
      </w:r>
      <w:r>
        <w:rPr>
          <w:bCs/>
        </w:rPr>
        <w:t xml:space="preserve">an </w:t>
      </w:r>
      <w:r w:rsidR="00FE6DA1" w:rsidRPr="00F83B8A">
        <w:rPr>
          <w:bCs/>
        </w:rPr>
        <w:t>an</w:t>
      </w:r>
      <w:r w:rsidR="00DD6D7F" w:rsidRPr="00F83B8A">
        <w:rPr>
          <w:bCs/>
        </w:rPr>
        <w:t>alysis of technical assistance requests</w:t>
      </w:r>
      <w:r w:rsidR="00FE6DA1" w:rsidRPr="00F83B8A">
        <w:rPr>
          <w:bCs/>
        </w:rPr>
        <w:t xml:space="preserve"> for the period.</w:t>
      </w:r>
      <w:r w:rsidR="000B324D" w:rsidRPr="00F83B8A">
        <w:rPr>
          <w:bCs/>
        </w:rPr>
        <w:t xml:space="preserve"> </w:t>
      </w:r>
      <w:r w:rsidR="00E029BA">
        <w:rPr>
          <w:bCs/>
        </w:rPr>
        <w:t>A 30 day federal register notice was published on 5/24/2017, volume 82, page 23814.</w:t>
      </w:r>
      <w:bookmarkStart w:id="9" w:name="_GoBack"/>
      <w:bookmarkEnd w:id="9"/>
    </w:p>
    <w:p w:rsidR="00DD6D7F" w:rsidRPr="00F83B8A" w:rsidRDefault="00DD6D7F">
      <w:pPr>
        <w:pStyle w:val="BodyText"/>
        <w:rPr>
          <w:bCs/>
        </w:rPr>
      </w:pPr>
    </w:p>
    <w:p w:rsidR="00DD6D7F" w:rsidRPr="00F83B8A" w:rsidRDefault="00DD6D7F">
      <w:pPr>
        <w:pStyle w:val="Heading2"/>
        <w:numPr>
          <w:ilvl w:val="0"/>
          <w:numId w:val="0"/>
        </w:numPr>
      </w:pPr>
      <w:bookmarkStart w:id="10" w:name="_Toc348686958"/>
      <w:r w:rsidRPr="00F83B8A">
        <w:t>9.</w:t>
      </w:r>
      <w:r w:rsidRPr="00F83B8A">
        <w:tab/>
      </w:r>
      <w:r w:rsidR="006306AD">
        <w:t xml:space="preserve">Explanation of Any </w:t>
      </w:r>
      <w:r w:rsidRPr="00F83B8A">
        <w:t>Payment or Gift to Respondents</w:t>
      </w:r>
      <w:bookmarkEnd w:id="10"/>
    </w:p>
    <w:p w:rsidR="00DD6D7F" w:rsidRPr="00F83B8A" w:rsidRDefault="00DD6D7F">
      <w:pPr>
        <w:pStyle w:val="BodyText"/>
      </w:pPr>
    </w:p>
    <w:p w:rsidR="00DD6D7F" w:rsidRDefault="00DD6D7F" w:rsidP="00D90B70">
      <w:pPr>
        <w:ind w:firstLine="720"/>
      </w:pPr>
      <w:r w:rsidRPr="00F83B8A">
        <w:t>No payments or gifts are to be provided to respondents.</w:t>
      </w:r>
    </w:p>
    <w:p w:rsidR="00FA786F" w:rsidRDefault="00FA786F" w:rsidP="00D90B70">
      <w:pPr>
        <w:ind w:firstLine="720"/>
      </w:pPr>
    </w:p>
    <w:p w:rsidR="00DD6D7F" w:rsidRPr="00EC10C3" w:rsidRDefault="00DD6D7F" w:rsidP="0096527E">
      <w:pPr>
        <w:rPr>
          <w:b/>
        </w:rPr>
      </w:pPr>
      <w:bookmarkStart w:id="11" w:name="_Toc348686959"/>
      <w:r w:rsidRPr="00F83B8A">
        <w:lastRenderedPageBreak/>
        <w:t>10.</w:t>
      </w:r>
      <w:r w:rsidRPr="00F83B8A">
        <w:tab/>
      </w:r>
      <w:r w:rsidRPr="00EC10C3">
        <w:rPr>
          <w:b/>
        </w:rPr>
        <w:t>Assurance of Confidentiality</w:t>
      </w:r>
      <w:bookmarkEnd w:id="11"/>
      <w:r w:rsidR="006306AD">
        <w:rPr>
          <w:b/>
        </w:rPr>
        <w:t xml:space="preserve"> Provided to Respondents</w:t>
      </w:r>
    </w:p>
    <w:p w:rsidR="00DD6D7F" w:rsidRPr="00EC10C3" w:rsidRDefault="00DD6D7F">
      <w:pPr>
        <w:pStyle w:val="BodyText"/>
        <w:rPr>
          <w:b/>
        </w:rPr>
      </w:pPr>
    </w:p>
    <w:p w:rsidR="00A91BB1" w:rsidRPr="00EC10C3" w:rsidRDefault="00A91BB1" w:rsidP="002C6046">
      <w:r w:rsidRPr="00EC10C3">
        <w:t xml:space="preserve">APR instructions state the following:  </w:t>
      </w:r>
    </w:p>
    <w:p w:rsidR="00A91BB1" w:rsidRPr="00EC10C3" w:rsidRDefault="00A91BB1" w:rsidP="00A91BB1"/>
    <w:p w:rsidR="00A91BB1" w:rsidRPr="00EC10C3" w:rsidRDefault="00A91BB1" w:rsidP="00A91BB1">
      <w:pPr>
        <w:ind w:left="720"/>
        <w:rPr>
          <w:i/>
          <w:iCs/>
        </w:rPr>
      </w:pPr>
      <w:r w:rsidRPr="00EC10C3">
        <w:rPr>
          <w:i/>
          <w:iCs/>
        </w:rPr>
        <w:t>Under the provisions of the Government Performance and Results Act (GPRA) of 1993, NID</w:t>
      </w:r>
      <w:r w:rsidR="00F970CC">
        <w:rPr>
          <w:i/>
          <w:iCs/>
        </w:rPr>
        <w:t>IL</w:t>
      </w:r>
      <w:r w:rsidRPr="00EC10C3">
        <w:rPr>
          <w:i/>
          <w:iCs/>
        </w:rPr>
        <w:t>RR has responsibility to develop a strategic plan that includes performance goals, objectives, indicators, and measures. As with all other agencies in the federal government, beginning in March 2000, NID</w:t>
      </w:r>
      <w:r w:rsidR="00F970CC">
        <w:rPr>
          <w:i/>
          <w:iCs/>
        </w:rPr>
        <w:t>IL</w:t>
      </w:r>
      <w:r w:rsidRPr="00EC10C3">
        <w:rPr>
          <w:i/>
          <w:iCs/>
        </w:rPr>
        <w:t>RR reports annually to Congress on the status and progress in meeting these performance objectives. To prepare these reports for Congress, NID</w:t>
      </w:r>
      <w:r w:rsidR="00F970CC">
        <w:rPr>
          <w:i/>
          <w:iCs/>
        </w:rPr>
        <w:t>IL</w:t>
      </w:r>
      <w:r w:rsidRPr="00EC10C3">
        <w:rPr>
          <w:i/>
          <w:iCs/>
        </w:rPr>
        <w:t>RR will draw on information that grantees submit annually in the web-based performance reporting form</w:t>
      </w:r>
      <w:r w:rsidR="00AB5E84" w:rsidRPr="00EC10C3">
        <w:rPr>
          <w:i/>
          <w:iCs/>
        </w:rPr>
        <w:t>.</w:t>
      </w:r>
      <w:r w:rsidRPr="00EC10C3">
        <w:rPr>
          <w:i/>
          <w:iCs/>
        </w:rPr>
        <w:t xml:space="preserve"> </w:t>
      </w:r>
      <w:r w:rsidR="008A0F8B">
        <w:rPr>
          <w:i/>
          <w:iCs/>
        </w:rPr>
        <w:t xml:space="preserve">No PII is provided and only </w:t>
      </w:r>
      <w:proofErr w:type="spellStart"/>
      <w:r w:rsidR="008A0F8B">
        <w:rPr>
          <w:i/>
          <w:iCs/>
        </w:rPr>
        <w:t>aggrate</w:t>
      </w:r>
      <w:proofErr w:type="spellEnd"/>
      <w:r w:rsidR="008A0F8B">
        <w:rPr>
          <w:i/>
          <w:iCs/>
        </w:rPr>
        <w:t xml:space="preserve"> data is submitted to NIDILRR,</w:t>
      </w:r>
    </w:p>
    <w:p w:rsidR="00A91BB1" w:rsidRPr="00EC10C3" w:rsidRDefault="00A91BB1" w:rsidP="00A91BB1">
      <w:pPr>
        <w:ind w:left="1440"/>
      </w:pPr>
    </w:p>
    <w:p w:rsidR="005D5075" w:rsidRPr="00F83B8A" w:rsidRDefault="00CE5489" w:rsidP="00A91BB1">
      <w:pPr>
        <w:ind w:firstLine="720"/>
      </w:pPr>
      <w:r w:rsidRPr="00EC10C3">
        <w:t>As a N</w:t>
      </w:r>
      <w:r w:rsidR="009A0ACC" w:rsidRPr="00EC10C3">
        <w:t xml:space="preserve">ational </w:t>
      </w:r>
      <w:r w:rsidRPr="00EC10C3">
        <w:t>I</w:t>
      </w:r>
      <w:r w:rsidR="009A0ACC" w:rsidRPr="00EC10C3">
        <w:t xml:space="preserve">nstitute of </w:t>
      </w:r>
      <w:r w:rsidRPr="00EC10C3">
        <w:t>S</w:t>
      </w:r>
      <w:r w:rsidR="009A0ACC" w:rsidRPr="00EC10C3">
        <w:t xml:space="preserve">tandards and </w:t>
      </w:r>
      <w:r w:rsidRPr="00EC10C3">
        <w:t>T</w:t>
      </w:r>
      <w:r w:rsidR="009A0ACC" w:rsidRPr="00EC10C3">
        <w:t xml:space="preserve">echnology </w:t>
      </w:r>
      <w:r w:rsidRPr="00EC10C3">
        <w:t xml:space="preserve">certified and accredited system, the Web-Based Reporting System for </w:t>
      </w:r>
      <w:r w:rsidR="005B1CBD" w:rsidRPr="00EC10C3">
        <w:t>NIDILRR</w:t>
      </w:r>
      <w:r w:rsidRPr="00EC10C3">
        <w:t xml:space="preserve"> Grantees incorporates numerous features that protect the security of grantee information. </w:t>
      </w:r>
      <w:r w:rsidR="00555C80" w:rsidRPr="00EC10C3">
        <w:t xml:space="preserve">System access for grantees and </w:t>
      </w:r>
      <w:r w:rsidR="005B1CBD" w:rsidRPr="00EC10C3">
        <w:t>NIDILRR</w:t>
      </w:r>
      <w:r w:rsidR="00555C80" w:rsidRPr="00EC10C3">
        <w:t xml:space="preserve"> staff may be authorized only by </w:t>
      </w:r>
      <w:r w:rsidR="005B1CBD" w:rsidRPr="00EC10C3">
        <w:t>NIDILRR</w:t>
      </w:r>
      <w:r w:rsidR="00F83B8A" w:rsidRPr="00EC10C3">
        <w:t>’</w:t>
      </w:r>
      <w:r w:rsidR="00555C80" w:rsidRPr="00EC10C3">
        <w:t xml:space="preserve">s designated System Owner, and the majority of </w:t>
      </w:r>
      <w:r w:rsidR="005B1CBD" w:rsidRPr="00EC10C3">
        <w:t>NIDILRR</w:t>
      </w:r>
      <w:r w:rsidR="00555C80" w:rsidRPr="00EC10C3">
        <w:t xml:space="preserve"> staff </w:t>
      </w:r>
      <w:r w:rsidR="00687487" w:rsidRPr="00EC10C3">
        <w:t xml:space="preserve">(i.e., except senior </w:t>
      </w:r>
      <w:r w:rsidR="002764EC" w:rsidRPr="00EC10C3">
        <w:t>staff</w:t>
      </w:r>
      <w:r w:rsidR="00687487" w:rsidRPr="00EC10C3">
        <w:t xml:space="preserve">) </w:t>
      </w:r>
      <w:r w:rsidR="00D4602B" w:rsidRPr="00EC10C3">
        <w:t xml:space="preserve">do not </w:t>
      </w:r>
      <w:r w:rsidR="00555C80" w:rsidRPr="00EC10C3">
        <w:t xml:space="preserve">have access to </w:t>
      </w:r>
      <w:r w:rsidR="00D4602B" w:rsidRPr="00EC10C3">
        <w:t xml:space="preserve">complete </w:t>
      </w:r>
      <w:r w:rsidR="00555C80" w:rsidRPr="00EC10C3">
        <w:t xml:space="preserve">reports for specific grants </w:t>
      </w:r>
      <w:r w:rsidR="00D4602B" w:rsidRPr="00EC10C3">
        <w:t xml:space="preserve">other than those </w:t>
      </w:r>
      <w:r w:rsidR="00555C80" w:rsidRPr="00EC10C3">
        <w:t>they are assigned to monitor</w:t>
      </w:r>
      <w:r w:rsidR="0031291B" w:rsidRPr="00EC10C3">
        <w:t xml:space="preserve"> (although they do have access to aggregate reports that include selected information for specific grants)</w:t>
      </w:r>
      <w:r w:rsidR="00D4602B" w:rsidRPr="00EC10C3">
        <w:t xml:space="preserve">. </w:t>
      </w:r>
      <w:r w:rsidR="00555C80" w:rsidRPr="00EC10C3">
        <w:t xml:space="preserve">Grantee </w:t>
      </w:r>
      <w:r w:rsidR="00FF3224" w:rsidRPr="00EC10C3">
        <w:t xml:space="preserve">contacts designated by </w:t>
      </w:r>
      <w:r w:rsidR="005B1CBD" w:rsidRPr="00EC10C3">
        <w:t>NIDILRR</w:t>
      </w:r>
      <w:r w:rsidR="00FF3224" w:rsidRPr="00EC10C3">
        <w:t xml:space="preserve"> </w:t>
      </w:r>
      <w:r w:rsidR="00555C80" w:rsidRPr="00EC10C3">
        <w:t xml:space="preserve">must respond to an electronic message </w:t>
      </w:r>
      <w:r w:rsidR="00FF3224" w:rsidRPr="00EC10C3">
        <w:t xml:space="preserve">from </w:t>
      </w:r>
      <w:r w:rsidR="006306AD">
        <w:t>the contractor</w:t>
      </w:r>
      <w:r w:rsidR="00FF3224" w:rsidRPr="00EC10C3">
        <w:t xml:space="preserve"> </w:t>
      </w:r>
      <w:r w:rsidR="00555C80" w:rsidRPr="00EC10C3">
        <w:t xml:space="preserve">and confirm their </w:t>
      </w:r>
      <w:r w:rsidR="00FF3224" w:rsidRPr="00EC10C3">
        <w:t xml:space="preserve">contact information </w:t>
      </w:r>
      <w:r w:rsidR="00555C80" w:rsidRPr="00EC10C3">
        <w:t xml:space="preserve">before receiving </w:t>
      </w:r>
      <w:r w:rsidR="00FF3224" w:rsidRPr="00EC10C3">
        <w:t xml:space="preserve">initial </w:t>
      </w:r>
      <w:r w:rsidR="002764EC" w:rsidRPr="00EC10C3">
        <w:t>passwords (which provide access only to their own r</w:t>
      </w:r>
      <w:r w:rsidR="00FB54FC" w:rsidRPr="00EC10C3">
        <w:t>eporting forms</w:t>
      </w:r>
      <w:r w:rsidR="002764EC" w:rsidRPr="00EC10C3">
        <w:t>)</w:t>
      </w:r>
      <w:r w:rsidR="00FB54FC" w:rsidRPr="00EC10C3">
        <w:t>, and passwords must be changed at initial login.</w:t>
      </w:r>
      <w:r w:rsidR="000B324D" w:rsidRPr="00EC10C3">
        <w:t xml:space="preserve"> </w:t>
      </w:r>
      <w:r w:rsidR="00FB54FC" w:rsidRPr="00EC10C3">
        <w:t xml:space="preserve">Three unsuccessful login attempts </w:t>
      </w:r>
      <w:r w:rsidR="002764EC" w:rsidRPr="00EC10C3">
        <w:t xml:space="preserve">by any user </w:t>
      </w:r>
      <w:r w:rsidR="00FB54FC" w:rsidRPr="00EC10C3">
        <w:t>result</w:t>
      </w:r>
      <w:r w:rsidR="00FB54FC" w:rsidRPr="00A3764F">
        <w:t xml:space="preserve"> in </w:t>
      </w:r>
      <w:r w:rsidR="002764EC" w:rsidRPr="00A3764F">
        <w:t>system lockout, with administrator intervention required to unlock the account</w:t>
      </w:r>
      <w:r w:rsidR="00FB54FC" w:rsidRPr="00A3764F">
        <w:t>.</w:t>
      </w:r>
      <w:r w:rsidR="000B324D" w:rsidRPr="00A3764F">
        <w:t xml:space="preserve"> </w:t>
      </w:r>
      <w:r w:rsidR="00B76AB5" w:rsidRPr="00A3764F">
        <w:t>The reporting system operates in an encrypted S</w:t>
      </w:r>
      <w:r w:rsidR="009A0ACC" w:rsidRPr="00A3764F">
        <w:t xml:space="preserve">ecure </w:t>
      </w:r>
      <w:r w:rsidR="00B76AB5" w:rsidRPr="00A3764F">
        <w:t>S</w:t>
      </w:r>
      <w:r w:rsidR="009A0ACC" w:rsidRPr="00A3764F">
        <w:t xml:space="preserve">ockets </w:t>
      </w:r>
      <w:r w:rsidR="00B76AB5" w:rsidRPr="00A3764F">
        <w:t>L</w:t>
      </w:r>
      <w:r w:rsidR="009A0ACC" w:rsidRPr="00A3764F">
        <w:t>ayer</w:t>
      </w:r>
      <w:r w:rsidR="00B76AB5" w:rsidRPr="00A3764F">
        <w:t xml:space="preserve"> environment behind a firewall, which </w:t>
      </w:r>
      <w:r w:rsidR="005D5075" w:rsidRPr="00A3764F">
        <w:t>is configured at an appropriat</w:t>
      </w:r>
      <w:r w:rsidR="00B76AB5" w:rsidRPr="00A3764F">
        <w:t>e level to protect the network.</w:t>
      </w:r>
      <w:r w:rsidR="000B324D" w:rsidRPr="00F83B8A">
        <w:t xml:space="preserve"> </w:t>
      </w:r>
    </w:p>
    <w:p w:rsidR="00DD6D7F" w:rsidRPr="00F83B8A" w:rsidRDefault="00DD6D7F">
      <w:pPr>
        <w:pStyle w:val="BodyText"/>
        <w:rPr>
          <w:b/>
        </w:rPr>
      </w:pPr>
    </w:p>
    <w:p w:rsidR="00DD6D7F" w:rsidRPr="00F83B8A" w:rsidRDefault="00DD6D7F">
      <w:pPr>
        <w:pStyle w:val="Heading2"/>
        <w:numPr>
          <w:ilvl w:val="0"/>
          <w:numId w:val="0"/>
        </w:numPr>
      </w:pPr>
      <w:bookmarkStart w:id="12" w:name="_Toc348686960"/>
      <w:r w:rsidRPr="00F83B8A">
        <w:t>11.</w:t>
      </w:r>
      <w:r w:rsidRPr="00F83B8A">
        <w:tab/>
      </w:r>
      <w:r w:rsidR="006306AD">
        <w:t xml:space="preserve">Justification for </w:t>
      </w:r>
      <w:r w:rsidRPr="00F83B8A">
        <w:t>Sensitive Questions</w:t>
      </w:r>
      <w:bookmarkEnd w:id="12"/>
    </w:p>
    <w:p w:rsidR="00DD6D7F" w:rsidRPr="00F83B8A" w:rsidRDefault="00DD6D7F">
      <w:pPr>
        <w:pStyle w:val="BodyText"/>
      </w:pPr>
    </w:p>
    <w:p w:rsidR="00DD6D7F" w:rsidRPr="00F83B8A" w:rsidRDefault="00DD6D7F">
      <w:pPr>
        <w:ind w:firstLine="720"/>
      </w:pPr>
      <w:r w:rsidRPr="00F83B8A">
        <w:t>The questions included in the form are not considered to be sensitive</w:t>
      </w:r>
      <w:r w:rsidR="00307E53">
        <w:t xml:space="preserve"> in nature</w:t>
      </w:r>
      <w:r w:rsidRPr="00F83B8A">
        <w:t>.</w:t>
      </w:r>
      <w:r w:rsidR="000B324D" w:rsidRPr="00F83B8A">
        <w:t xml:space="preserve"> </w:t>
      </w:r>
    </w:p>
    <w:p w:rsidR="00DD6D7F" w:rsidRPr="00F83B8A" w:rsidRDefault="00DD6D7F">
      <w:pPr>
        <w:pStyle w:val="BodyText"/>
      </w:pPr>
    </w:p>
    <w:p w:rsidR="00DD6D7F" w:rsidRPr="00F83B8A" w:rsidRDefault="00DD6D7F">
      <w:pPr>
        <w:pStyle w:val="Heading2"/>
        <w:numPr>
          <w:ilvl w:val="0"/>
          <w:numId w:val="0"/>
        </w:numPr>
      </w:pPr>
      <w:bookmarkStart w:id="13" w:name="_Toc348686961"/>
      <w:r w:rsidRPr="00F83B8A">
        <w:t>12.</w:t>
      </w:r>
      <w:r w:rsidRPr="00F83B8A">
        <w:tab/>
        <w:t>Estimate</w:t>
      </w:r>
      <w:r w:rsidR="006306AD">
        <w:t>s of Annualized Burden Hours and Costs</w:t>
      </w:r>
      <w:bookmarkEnd w:id="13"/>
    </w:p>
    <w:p w:rsidR="00DD6D7F" w:rsidRPr="00F83B8A" w:rsidRDefault="00DD6D7F"/>
    <w:p w:rsidR="00DD6D7F" w:rsidRPr="00F83B8A" w:rsidRDefault="00DD6D7F" w:rsidP="00FE7B15">
      <w:pPr>
        <w:pStyle w:val="BodyText"/>
      </w:pPr>
      <w:r w:rsidRPr="00F83B8A">
        <w:tab/>
      </w:r>
      <w:r w:rsidR="005B1CBD">
        <w:t>NIDILRR</w:t>
      </w:r>
      <w:r w:rsidRPr="00F83B8A">
        <w:t xml:space="preserve"> has reviewed the APR form carefully to ensure that all requested information is necessary and to reduce burden to the extent possible.</w:t>
      </w:r>
      <w:r w:rsidR="000B324D" w:rsidRPr="00F83B8A">
        <w:t xml:space="preserve"> </w:t>
      </w:r>
      <w:r w:rsidRPr="00F83B8A">
        <w:t xml:space="preserve">The </w:t>
      </w:r>
      <w:r w:rsidR="00862C90" w:rsidRPr="00F83B8A">
        <w:t>Web</w:t>
      </w:r>
      <w:r w:rsidR="00FE6DA1" w:rsidRPr="00F83B8A">
        <w:t xml:space="preserve">-based system has been </w:t>
      </w:r>
      <w:r w:rsidRPr="00F83B8A">
        <w:t xml:space="preserve">designed so that, whenever possible, information entered by grantees </w:t>
      </w:r>
      <w:r w:rsidR="00FE6DA1" w:rsidRPr="00F83B8A">
        <w:t xml:space="preserve">is </w:t>
      </w:r>
      <w:r w:rsidRPr="00F83B8A">
        <w:t>carried forward from one year to the next, with only verification and any necessary updating of that information required.</w:t>
      </w:r>
      <w:r w:rsidR="000B324D" w:rsidRPr="00F83B8A">
        <w:t xml:space="preserve"> </w:t>
      </w:r>
      <w:r w:rsidRPr="00F83B8A">
        <w:t>The design of the system also provide</w:t>
      </w:r>
      <w:r w:rsidR="00FE6DA1" w:rsidRPr="00F83B8A">
        <w:t>s</w:t>
      </w:r>
      <w:r w:rsidRPr="00F83B8A">
        <w:t xml:space="preserve"> for preloading or uploading of information from other sources (e.g., budget data from grant applications and abstracts submitted to the National Rehabilitation Information Center).</w:t>
      </w:r>
      <w:r w:rsidR="000B324D" w:rsidRPr="00F83B8A">
        <w:t xml:space="preserve"> </w:t>
      </w:r>
      <w:r w:rsidRPr="00F83B8A">
        <w:t xml:space="preserve">Given these </w:t>
      </w:r>
      <w:r w:rsidR="00FE6DA1" w:rsidRPr="00F83B8A">
        <w:t>features, as</w:t>
      </w:r>
      <w:r w:rsidRPr="00F83B8A">
        <w:t xml:space="preserve"> well as grantees</w:t>
      </w:r>
      <w:r w:rsidR="00F83B8A">
        <w:t>’</w:t>
      </w:r>
      <w:r w:rsidRPr="00F83B8A">
        <w:t xml:space="preserve"> increasing familiarity with the system and reporting requirements, we have estimated the average amount of time required to complete the reporting form at 5</w:t>
      </w:r>
      <w:r w:rsidR="00FE7B15" w:rsidRPr="00F83B8A">
        <w:t>2</w:t>
      </w:r>
      <w:r w:rsidRPr="00F83B8A">
        <w:t xml:space="preserve"> hours in a grantee</w:t>
      </w:r>
      <w:r w:rsidR="00F83B8A">
        <w:t>’</w:t>
      </w:r>
      <w:r w:rsidRPr="00F83B8A">
        <w:t>s first year of award.</w:t>
      </w:r>
      <w:r w:rsidR="000B324D" w:rsidRPr="00F83B8A">
        <w:t xml:space="preserve"> </w:t>
      </w:r>
      <w:r w:rsidRPr="00F83B8A">
        <w:t>In subsequent years, grantees will be asked to update that information, which we anticipate will require approximately 2</w:t>
      </w:r>
      <w:r w:rsidR="00FE7B15" w:rsidRPr="00F83B8A">
        <w:t>2</w:t>
      </w:r>
      <w:r w:rsidRPr="00F83B8A">
        <w:t xml:space="preserve"> hours for </w:t>
      </w:r>
      <w:r w:rsidR="005B1CBD">
        <w:t>NIDILRR</w:t>
      </w:r>
      <w:r w:rsidR="00F83B8A">
        <w:t>’</w:t>
      </w:r>
      <w:r w:rsidRPr="00F83B8A">
        <w:t xml:space="preserve">s major programs (i.e. RRTC, RERC, MS, </w:t>
      </w:r>
      <w:proofErr w:type="gramStart"/>
      <w:r w:rsidRPr="00F83B8A">
        <w:t>DRRP</w:t>
      </w:r>
      <w:proofErr w:type="gramEnd"/>
      <w:r w:rsidRPr="00F83B8A">
        <w:t xml:space="preserve">) and </w:t>
      </w:r>
      <w:r w:rsidR="00FE7B15" w:rsidRPr="00F83B8A">
        <w:t xml:space="preserve">10 </w:t>
      </w:r>
      <w:r w:rsidRPr="00F83B8A">
        <w:t>hours for the other program mechanisms.</w:t>
      </w:r>
      <w:r w:rsidR="000B324D" w:rsidRPr="00F83B8A">
        <w:t xml:space="preserve"> </w:t>
      </w:r>
      <w:r w:rsidR="00A1574D">
        <w:t xml:space="preserve">Because planned changes to the reporting form are minor, these estimates are the same as for the reporting form currently in use.  </w:t>
      </w:r>
    </w:p>
    <w:p w:rsidR="00DD6D7F" w:rsidRPr="00F83B8A" w:rsidRDefault="00DD6D7F" w:rsidP="00FE7B15">
      <w:pPr>
        <w:rPr>
          <w:highlight w:val="yellow"/>
        </w:rPr>
      </w:pPr>
    </w:p>
    <w:p w:rsidR="00DD6D7F" w:rsidRPr="00F83B8A" w:rsidRDefault="00DD6D7F" w:rsidP="00026E7B">
      <w:pPr>
        <w:ind w:firstLine="720"/>
      </w:pPr>
      <w:r w:rsidRPr="00F83B8A">
        <w:t xml:space="preserve">The </w:t>
      </w:r>
      <w:r w:rsidR="00E7550A">
        <w:t>Reporting Year 201</w:t>
      </w:r>
      <w:r w:rsidR="008846CE">
        <w:t>6</w:t>
      </w:r>
      <w:r w:rsidR="00E7550A">
        <w:t xml:space="preserve"> </w:t>
      </w:r>
      <w:r w:rsidRPr="00F83B8A">
        <w:t xml:space="preserve">universe of </w:t>
      </w:r>
      <w:r w:rsidR="005B1CBD">
        <w:t>NIDILRR</w:t>
      </w:r>
      <w:r w:rsidRPr="00F83B8A">
        <w:t xml:space="preserve"> grantees required to report using the current </w:t>
      </w:r>
      <w:r w:rsidR="00862C90" w:rsidRPr="00F83B8A">
        <w:t>Web</w:t>
      </w:r>
      <w:r w:rsidRPr="00F83B8A">
        <w:t xml:space="preserve">-based annual project performance reporting system totaled </w:t>
      </w:r>
      <w:r w:rsidR="00D90B70">
        <w:t>2</w:t>
      </w:r>
      <w:r w:rsidR="00F12B08">
        <w:t>7</w:t>
      </w:r>
      <w:r w:rsidR="00D90B70">
        <w:t>5</w:t>
      </w:r>
      <w:r w:rsidR="00026E7B" w:rsidRPr="00F83B8A">
        <w:t xml:space="preserve">, </w:t>
      </w:r>
      <w:r w:rsidRPr="00F83B8A">
        <w:t>distributed across program mechanisms as follows:</w:t>
      </w:r>
    </w:p>
    <w:p w:rsidR="00DD6D7F" w:rsidRPr="00F83B8A" w:rsidRDefault="00DD6D7F">
      <w:pPr>
        <w:tabs>
          <w:tab w:val="left" w:pos="2160"/>
        </w:tabs>
      </w:pPr>
      <w:r w:rsidRPr="00F83B8A">
        <w:tab/>
      </w:r>
    </w:p>
    <w:p w:rsidR="00DD6D7F" w:rsidRPr="00F83B8A" w:rsidRDefault="00DD6D7F" w:rsidP="00026E7B">
      <w:r w:rsidRPr="00F83B8A">
        <w:tab/>
        <w:t>RRTC:</w:t>
      </w:r>
      <w:r w:rsidRPr="00F83B8A">
        <w:tab/>
      </w:r>
      <w:r w:rsidRPr="00F83B8A">
        <w:tab/>
      </w:r>
      <w:r w:rsidRPr="00F83B8A">
        <w:tab/>
      </w:r>
      <w:r w:rsidR="008846CE">
        <w:t>32</w:t>
      </w:r>
      <w:r w:rsidR="00026E7B" w:rsidRPr="00F83B8A">
        <w:t xml:space="preserve"> </w:t>
      </w:r>
      <w:r w:rsidRPr="00F83B8A">
        <w:t>grants</w:t>
      </w:r>
    </w:p>
    <w:p w:rsidR="00DD6D7F" w:rsidRPr="00F83B8A" w:rsidRDefault="00DD6D7F" w:rsidP="00026E7B">
      <w:r w:rsidRPr="00F83B8A">
        <w:tab/>
        <w:t>RERC:</w:t>
      </w:r>
      <w:r w:rsidRPr="00F83B8A">
        <w:tab/>
      </w:r>
      <w:r w:rsidRPr="00F83B8A">
        <w:tab/>
      </w:r>
      <w:r w:rsidRPr="00F83B8A">
        <w:tab/>
      </w:r>
      <w:r w:rsidR="008846CE">
        <w:t>20</w:t>
      </w:r>
      <w:r w:rsidR="00026E7B" w:rsidRPr="00F83B8A">
        <w:t xml:space="preserve"> </w:t>
      </w:r>
      <w:r w:rsidRPr="00F83B8A">
        <w:t>grants</w:t>
      </w:r>
    </w:p>
    <w:p w:rsidR="0038438D" w:rsidRPr="00F83B8A" w:rsidRDefault="00DD6D7F" w:rsidP="0038438D">
      <w:r w:rsidRPr="00F83B8A">
        <w:tab/>
      </w:r>
      <w:r w:rsidR="0038438D" w:rsidRPr="00F83B8A">
        <w:t>MS:</w:t>
      </w:r>
      <w:r w:rsidR="0038438D" w:rsidRPr="00F83B8A">
        <w:tab/>
      </w:r>
      <w:r w:rsidR="0038438D" w:rsidRPr="00F83B8A">
        <w:tab/>
      </w:r>
      <w:r w:rsidR="0038438D" w:rsidRPr="00F83B8A">
        <w:tab/>
      </w:r>
      <w:r w:rsidR="008846CE">
        <w:t>3</w:t>
      </w:r>
      <w:r w:rsidR="00F27B23">
        <w:t>4</w:t>
      </w:r>
      <w:r w:rsidR="0038438D" w:rsidRPr="00F83B8A">
        <w:t xml:space="preserve"> grants</w:t>
      </w:r>
    </w:p>
    <w:p w:rsidR="0038438D" w:rsidRPr="00F83B8A" w:rsidRDefault="0038438D" w:rsidP="0038438D">
      <w:r w:rsidRPr="00F83B8A">
        <w:tab/>
        <w:t>DRRP:</w:t>
      </w:r>
      <w:r w:rsidRPr="00F83B8A">
        <w:tab/>
      </w:r>
      <w:r w:rsidRPr="00F83B8A">
        <w:tab/>
      </w:r>
      <w:r w:rsidRPr="00F83B8A">
        <w:tab/>
      </w:r>
      <w:r w:rsidR="006306AD">
        <w:t>43</w:t>
      </w:r>
      <w:r w:rsidRPr="00F83B8A">
        <w:t xml:space="preserve"> grants</w:t>
      </w:r>
    </w:p>
    <w:p w:rsidR="00DD6D7F" w:rsidRPr="00F83B8A" w:rsidRDefault="00DD6D7F" w:rsidP="0038438D">
      <w:pPr>
        <w:ind w:firstLine="720"/>
      </w:pPr>
      <w:r w:rsidRPr="00F83B8A">
        <w:t>FIP:</w:t>
      </w:r>
      <w:r w:rsidRPr="00F83B8A">
        <w:tab/>
      </w:r>
      <w:r w:rsidRPr="00F83B8A">
        <w:tab/>
      </w:r>
      <w:r w:rsidRPr="00F83B8A">
        <w:tab/>
      </w:r>
      <w:r w:rsidR="008846CE">
        <w:t>7</w:t>
      </w:r>
      <w:r w:rsidR="006306AD">
        <w:t>9</w:t>
      </w:r>
      <w:r w:rsidR="00026E7B" w:rsidRPr="00F83B8A">
        <w:t xml:space="preserve"> </w:t>
      </w:r>
      <w:r w:rsidRPr="00F83B8A">
        <w:t>grants</w:t>
      </w:r>
    </w:p>
    <w:p w:rsidR="00DD6D7F" w:rsidRPr="00F83B8A" w:rsidRDefault="00DD6D7F" w:rsidP="00026E7B">
      <w:r w:rsidRPr="00F83B8A">
        <w:tab/>
        <w:t>ARRT:</w:t>
      </w:r>
      <w:r w:rsidRPr="00F83B8A">
        <w:tab/>
      </w:r>
      <w:r w:rsidRPr="00F83B8A">
        <w:tab/>
      </w:r>
      <w:r w:rsidRPr="00F83B8A">
        <w:tab/>
      </w:r>
      <w:r w:rsidR="006306AD">
        <w:t>3</w:t>
      </w:r>
      <w:r w:rsidR="008846CE">
        <w:t>2</w:t>
      </w:r>
      <w:r w:rsidR="00026E7B" w:rsidRPr="00F83B8A">
        <w:t xml:space="preserve"> </w:t>
      </w:r>
      <w:r w:rsidRPr="00F83B8A">
        <w:t>grants</w:t>
      </w:r>
    </w:p>
    <w:p w:rsidR="00DD6D7F" w:rsidRPr="00F83B8A" w:rsidRDefault="00DD6D7F" w:rsidP="00026E7B">
      <w:r w:rsidRPr="00F83B8A">
        <w:tab/>
        <w:t>KT Projects:</w:t>
      </w:r>
      <w:r w:rsidRPr="00F83B8A">
        <w:tab/>
      </w:r>
      <w:r w:rsidRPr="00F83B8A">
        <w:tab/>
      </w:r>
      <w:r w:rsidR="00940762">
        <w:t>2</w:t>
      </w:r>
      <w:r w:rsidR="00026E7B" w:rsidRPr="00F83B8A">
        <w:t xml:space="preserve"> </w:t>
      </w:r>
      <w:r w:rsidRPr="00F83B8A">
        <w:t>grant</w:t>
      </w:r>
      <w:r w:rsidR="008846CE">
        <w:t>s</w:t>
      </w:r>
    </w:p>
    <w:p w:rsidR="00DD6D7F" w:rsidRPr="00F83B8A" w:rsidRDefault="00DD6D7F" w:rsidP="00026E7B">
      <w:r w:rsidRPr="00F83B8A">
        <w:tab/>
      </w:r>
      <w:r w:rsidR="009678F3">
        <w:t>ADA Centers</w:t>
      </w:r>
      <w:r w:rsidRPr="00F83B8A">
        <w:t>:</w:t>
      </w:r>
      <w:r w:rsidRPr="00F83B8A">
        <w:tab/>
      </w:r>
      <w:r w:rsidRPr="00F83B8A">
        <w:tab/>
      </w:r>
      <w:r w:rsidR="008846CE">
        <w:t>12</w:t>
      </w:r>
      <w:r w:rsidR="00026E7B" w:rsidRPr="00F83B8A">
        <w:t xml:space="preserve"> </w:t>
      </w:r>
      <w:r w:rsidRPr="00F83B8A">
        <w:t>grants</w:t>
      </w:r>
    </w:p>
    <w:p w:rsidR="00DD6D7F" w:rsidRPr="00F83B8A" w:rsidRDefault="00DD6D7F" w:rsidP="00026E7B">
      <w:r w:rsidRPr="00F83B8A">
        <w:tab/>
        <w:t>SBIR</w:t>
      </w:r>
      <w:r w:rsidR="009678F3">
        <w:t xml:space="preserve"> Phase 2</w:t>
      </w:r>
      <w:r w:rsidRPr="00F83B8A">
        <w:t>:</w:t>
      </w:r>
      <w:r w:rsidRPr="00F83B8A">
        <w:tab/>
      </w:r>
      <w:r w:rsidRPr="00F83B8A">
        <w:tab/>
      </w:r>
      <w:r w:rsidR="008846CE">
        <w:t>12</w:t>
      </w:r>
      <w:r w:rsidR="00026E7B" w:rsidRPr="00F83B8A">
        <w:t xml:space="preserve"> </w:t>
      </w:r>
      <w:r w:rsidRPr="00F83B8A">
        <w:t>grants</w:t>
      </w:r>
    </w:p>
    <w:p w:rsidR="00DD6D7F" w:rsidRPr="00F83B8A" w:rsidRDefault="00FE6DA1" w:rsidP="00026E7B">
      <w:r w:rsidRPr="00F83B8A">
        <w:tab/>
        <w:t>RFP:</w:t>
      </w:r>
      <w:r w:rsidRPr="00F83B8A">
        <w:tab/>
      </w:r>
      <w:r w:rsidRPr="00F83B8A">
        <w:tab/>
      </w:r>
      <w:r w:rsidRPr="00F83B8A">
        <w:tab/>
      </w:r>
      <w:r w:rsidR="008846CE">
        <w:t>9</w:t>
      </w:r>
      <w:r w:rsidR="00026E7B" w:rsidRPr="00F83B8A">
        <w:t xml:space="preserve"> </w:t>
      </w:r>
      <w:r w:rsidRPr="00F83B8A">
        <w:t>grants</w:t>
      </w:r>
    </w:p>
    <w:p w:rsidR="00FE6DA1" w:rsidRPr="00F83B8A" w:rsidRDefault="00FE6DA1"/>
    <w:p w:rsidR="00DD6D7F" w:rsidRPr="00F83B8A" w:rsidRDefault="00DD6D7F" w:rsidP="0038438D">
      <w:r w:rsidRPr="00F83B8A">
        <w:tab/>
        <w:t>While the number of grantees will vary from year to year, all grantees will be required to submit an annual performance report.</w:t>
      </w:r>
      <w:r w:rsidR="000B324D" w:rsidRPr="00F83B8A">
        <w:t xml:space="preserve"> </w:t>
      </w:r>
      <w:r w:rsidRPr="00F83B8A">
        <w:t xml:space="preserve">Based </w:t>
      </w:r>
      <w:r w:rsidRPr="001E7714">
        <w:t>on an average of 5</w:t>
      </w:r>
      <w:r w:rsidR="00FE7B15" w:rsidRPr="001E7714">
        <w:t>2</w:t>
      </w:r>
      <w:r w:rsidRPr="0097010D">
        <w:t xml:space="preserve"> hours to complete the reporting form in a grantee</w:t>
      </w:r>
      <w:r w:rsidR="00F83B8A" w:rsidRPr="0097010D">
        <w:t>’</w:t>
      </w:r>
      <w:r w:rsidRPr="0097010D">
        <w:t>s first year of award and a cost to respondents of $</w:t>
      </w:r>
      <w:r w:rsidR="001108C3" w:rsidRPr="002C6046">
        <w:t>79.96</w:t>
      </w:r>
      <w:r w:rsidRPr="001E7714">
        <w:t xml:space="preserve"> per hour, the total estimated cost per respondent in the first year of award is $</w:t>
      </w:r>
      <w:r w:rsidR="001108C3" w:rsidRPr="002C6046">
        <w:t>4</w:t>
      </w:r>
      <w:r w:rsidR="00194563" w:rsidRPr="002C6046">
        <w:t>,</w:t>
      </w:r>
      <w:r w:rsidR="001108C3" w:rsidRPr="002C6046">
        <w:t>15</w:t>
      </w:r>
      <w:r w:rsidR="00DC2D8D" w:rsidRPr="002C6046">
        <w:t>8</w:t>
      </w:r>
      <w:r w:rsidRPr="0097010D">
        <w:t xml:space="preserve">, and the total cost for all </w:t>
      </w:r>
      <w:r w:rsidR="00194563" w:rsidRPr="002C6046">
        <w:t xml:space="preserve">75 new </w:t>
      </w:r>
      <w:r w:rsidRPr="0097010D">
        <w:t>grantees is $</w:t>
      </w:r>
      <w:r w:rsidR="00194563" w:rsidRPr="002C6046">
        <w:t>311,844</w:t>
      </w:r>
      <w:r w:rsidRPr="001E7714">
        <w:t>.</w:t>
      </w:r>
      <w:r w:rsidR="000B324D" w:rsidRPr="0097010D">
        <w:t xml:space="preserve"> </w:t>
      </w:r>
      <w:r w:rsidRPr="0097010D">
        <w:t>The estimated response burden includes time to review the instructions, gather existing data, and complete and review the form</w:t>
      </w:r>
      <w:r w:rsidRPr="001E7714">
        <w:t>.</w:t>
      </w:r>
      <w:r w:rsidR="000B324D" w:rsidRPr="00F83B8A">
        <w:t xml:space="preserve"> </w:t>
      </w:r>
    </w:p>
    <w:p w:rsidR="004777AC" w:rsidRPr="00F83B8A" w:rsidRDefault="004777AC"/>
    <w:p w:rsidR="00DD6D7F" w:rsidRPr="00F83B8A" w:rsidRDefault="00DD6D7F" w:rsidP="009A0ACC">
      <w:r w:rsidRPr="00F83B8A">
        <w:tab/>
        <w:t>In subsequent years, the estimated response burden is approximately 2</w:t>
      </w:r>
      <w:r w:rsidR="00FE7B15" w:rsidRPr="00F83B8A">
        <w:t>2</w:t>
      </w:r>
      <w:r w:rsidRPr="00F83B8A">
        <w:t xml:space="preserve"> hours for </w:t>
      </w:r>
      <w:r w:rsidR="005B1CBD">
        <w:t>NIDILRR</w:t>
      </w:r>
      <w:r w:rsidR="00F83B8A">
        <w:t>’</w:t>
      </w:r>
      <w:r w:rsidRPr="00F83B8A">
        <w:t xml:space="preserve">s major programs (i.e. RRTC, RERC, MS, </w:t>
      </w:r>
      <w:proofErr w:type="gramStart"/>
      <w:r w:rsidRPr="00F83B8A">
        <w:t>DRRP</w:t>
      </w:r>
      <w:proofErr w:type="gramEnd"/>
      <w:r w:rsidRPr="00F83B8A">
        <w:t xml:space="preserve">) and </w:t>
      </w:r>
      <w:r w:rsidR="009A0ACC" w:rsidRPr="00F83B8A">
        <w:t xml:space="preserve">10 </w:t>
      </w:r>
      <w:r w:rsidRPr="00F83B8A">
        <w:t>hours for the other program mechanisms.</w:t>
      </w:r>
      <w:r w:rsidR="000B324D" w:rsidRPr="00F83B8A">
        <w:t xml:space="preserve"> </w:t>
      </w:r>
      <w:r w:rsidRPr="00F83B8A">
        <w:t>At a cost to respondents of $</w:t>
      </w:r>
      <w:r w:rsidR="001108C3">
        <w:t>79.96</w:t>
      </w:r>
      <w:r w:rsidRPr="00F83B8A">
        <w:t xml:space="preserve"> per hour, the total estimated cost per respondent in subsequent years is $</w:t>
      </w:r>
      <w:r w:rsidR="001108C3">
        <w:t>1</w:t>
      </w:r>
      <w:r w:rsidR="00194563">
        <w:t>,</w:t>
      </w:r>
      <w:r w:rsidR="001108C3">
        <w:t>759</w:t>
      </w:r>
      <w:r w:rsidRPr="00F83B8A">
        <w:t xml:space="preserve"> for the major programs and $</w:t>
      </w:r>
      <w:r w:rsidR="00DC2D8D">
        <w:t>800</w:t>
      </w:r>
      <w:r w:rsidRPr="00F83B8A">
        <w:t xml:space="preserve"> for the other program mechanisms.</w:t>
      </w:r>
      <w:r w:rsidR="000B324D" w:rsidRPr="00F83B8A">
        <w:t xml:space="preserve"> </w:t>
      </w:r>
      <w:r w:rsidRPr="00F83B8A">
        <w:t xml:space="preserve">The total cost for </w:t>
      </w:r>
      <w:r w:rsidR="00961F60">
        <w:t>the</w:t>
      </w:r>
      <w:r w:rsidR="00961F60" w:rsidRPr="00F83B8A">
        <w:t xml:space="preserve"> </w:t>
      </w:r>
      <w:r w:rsidR="00844B33">
        <w:t>124</w:t>
      </w:r>
      <w:r w:rsidR="0038438D" w:rsidRPr="00F83B8A">
        <w:t xml:space="preserve"> </w:t>
      </w:r>
      <w:r w:rsidRPr="00F83B8A">
        <w:t>grantees in the major programs is $</w:t>
      </w:r>
      <w:r w:rsidR="00961F60">
        <w:t>218</w:t>
      </w:r>
      <w:r w:rsidR="001108C3">
        <w:t>,</w:t>
      </w:r>
      <w:r w:rsidR="00961F60">
        <w:t>131</w:t>
      </w:r>
      <w:r w:rsidRPr="00F83B8A">
        <w:t xml:space="preserve">, and the total cost for </w:t>
      </w:r>
      <w:r w:rsidR="00961F60">
        <w:t>the 76</w:t>
      </w:r>
      <w:r w:rsidR="0038438D" w:rsidRPr="00F83B8A">
        <w:t xml:space="preserve"> </w:t>
      </w:r>
      <w:r w:rsidRPr="00F83B8A">
        <w:t>grantees in the other program mechanisms is $</w:t>
      </w:r>
      <w:r w:rsidR="00961F60">
        <w:t>60,770</w:t>
      </w:r>
      <w:r w:rsidR="000B324D" w:rsidRPr="00F83B8A">
        <w:t xml:space="preserve"> </w:t>
      </w:r>
    </w:p>
    <w:p w:rsidR="004777AC" w:rsidRDefault="004777AC"/>
    <w:p w:rsidR="004777AC" w:rsidRPr="00F83B8A" w:rsidRDefault="001108C3" w:rsidP="0090246D">
      <w:pPr>
        <w:ind w:firstLine="720"/>
      </w:pPr>
      <w:r>
        <w:t>T</w:t>
      </w:r>
      <w:r w:rsidR="004777AC">
        <w:t>he Bureau of Labor Statistics mean hourly wage for life scientists and related fields of $39.98 (</w:t>
      </w:r>
      <w:hyperlink r:id="rId14" w:history="1">
        <w:r w:rsidR="004777AC" w:rsidRPr="00C86C32">
          <w:rPr>
            <w:rStyle w:val="Hyperlink"/>
          </w:rPr>
          <w:t>https://www.bls.gov/oes/current/oes191099.htm</w:t>
        </w:r>
      </w:hyperlink>
      <w:r w:rsidR="004777AC">
        <w:t>)</w:t>
      </w:r>
      <w:r>
        <w:t xml:space="preserve"> was used for these calculations</w:t>
      </w:r>
      <w:r w:rsidR="004777AC">
        <w:t xml:space="preserve">.  This rate was increased by 100% to accommodate fringe benefits and overhead for a total of $79.96 per hour.  </w:t>
      </w:r>
      <w:r w:rsidR="0090246D">
        <w:t>The wage rate accounts for the amount of time different types of grantee personnel (i.e., clerical, technical, professional and managerial) are expected to expend in preparing the report.</w:t>
      </w:r>
    </w:p>
    <w:p w:rsidR="0090246D" w:rsidRDefault="0090246D">
      <w:pPr>
        <w:ind w:firstLine="720"/>
      </w:pPr>
    </w:p>
    <w:p w:rsidR="00B46773" w:rsidRPr="002C6046" w:rsidRDefault="00B46773" w:rsidP="002C6046">
      <w:r w:rsidRPr="002C6046">
        <w:t xml:space="preserve">ACL estimates the burden hours for this collection of information </w:t>
      </w:r>
    </w:p>
    <w:p w:rsidR="00B46773" w:rsidRDefault="00B46773" w:rsidP="002C6046">
      <w:proofErr w:type="gramStart"/>
      <w:r w:rsidRPr="002C6046">
        <w:t>as</w:t>
      </w:r>
      <w:proofErr w:type="gramEnd"/>
      <w:r w:rsidRPr="002C6046">
        <w:t xml:space="preserve"> follows:</w:t>
      </w:r>
    </w:p>
    <w:p w:rsidR="008376A5" w:rsidRDefault="008376A5" w:rsidP="002C6046"/>
    <w:p w:rsidR="008376A5" w:rsidRDefault="008376A5" w:rsidP="002C6046"/>
    <w:p w:rsidR="008376A5" w:rsidRDefault="008376A5" w:rsidP="002C6046"/>
    <w:p w:rsidR="008376A5" w:rsidRDefault="008376A5" w:rsidP="002C6046"/>
    <w:p w:rsidR="008376A5" w:rsidRDefault="008376A5" w:rsidP="002C6046"/>
    <w:p w:rsidR="008376A5" w:rsidRDefault="008376A5" w:rsidP="002C6046"/>
    <w:p w:rsidR="008376A5" w:rsidRPr="002C6046" w:rsidRDefault="008376A5" w:rsidP="002C6046"/>
    <w:p w:rsidR="00B46773" w:rsidRDefault="00B467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1526"/>
        <w:gridCol w:w="1527"/>
        <w:gridCol w:w="1530"/>
        <w:gridCol w:w="1350"/>
        <w:gridCol w:w="1350"/>
        <w:gridCol w:w="1260"/>
      </w:tblGrid>
      <w:tr w:rsidR="00F27B23" w:rsidTr="00F65FB9">
        <w:tc>
          <w:tcPr>
            <w:tcW w:w="1645" w:type="dxa"/>
            <w:shd w:val="clear" w:color="auto" w:fill="auto"/>
          </w:tcPr>
          <w:p w:rsidR="00F27B23" w:rsidRDefault="00F27B23" w:rsidP="00ED5ED0">
            <w:pPr>
              <w:autoSpaceDE w:val="0"/>
              <w:autoSpaceDN w:val="0"/>
              <w:adjustRightInd w:val="0"/>
            </w:pPr>
          </w:p>
        </w:tc>
        <w:tc>
          <w:tcPr>
            <w:tcW w:w="1526" w:type="dxa"/>
            <w:shd w:val="clear" w:color="auto" w:fill="auto"/>
          </w:tcPr>
          <w:p w:rsidR="00F27B23" w:rsidRDefault="00F27B23" w:rsidP="00ED5ED0">
            <w:pPr>
              <w:autoSpaceDE w:val="0"/>
              <w:autoSpaceDN w:val="0"/>
              <w:adjustRightInd w:val="0"/>
            </w:pPr>
            <w:r>
              <w:t>Number of respondents</w:t>
            </w:r>
          </w:p>
        </w:tc>
        <w:tc>
          <w:tcPr>
            <w:tcW w:w="1527" w:type="dxa"/>
            <w:shd w:val="clear" w:color="auto" w:fill="auto"/>
          </w:tcPr>
          <w:p w:rsidR="00F27B23" w:rsidRDefault="00F27B23" w:rsidP="00ED5ED0">
            <w:pPr>
              <w:autoSpaceDE w:val="0"/>
              <w:autoSpaceDN w:val="0"/>
              <w:adjustRightInd w:val="0"/>
            </w:pPr>
            <w:r>
              <w:t>Number of responses per respondent</w:t>
            </w:r>
          </w:p>
        </w:tc>
        <w:tc>
          <w:tcPr>
            <w:tcW w:w="1530" w:type="dxa"/>
            <w:shd w:val="clear" w:color="auto" w:fill="auto"/>
          </w:tcPr>
          <w:p w:rsidR="00F27B23" w:rsidRDefault="00F27B23" w:rsidP="00ED5ED0">
            <w:pPr>
              <w:autoSpaceDE w:val="0"/>
              <w:autoSpaceDN w:val="0"/>
              <w:adjustRightInd w:val="0"/>
            </w:pPr>
            <w:r>
              <w:t>Average burden hours per response</w:t>
            </w:r>
          </w:p>
        </w:tc>
        <w:tc>
          <w:tcPr>
            <w:tcW w:w="1350" w:type="dxa"/>
          </w:tcPr>
          <w:p w:rsidR="00F27B23" w:rsidRDefault="00F27B23" w:rsidP="00ED5ED0">
            <w:pPr>
              <w:autoSpaceDE w:val="0"/>
              <w:autoSpaceDN w:val="0"/>
              <w:adjustRightInd w:val="0"/>
            </w:pPr>
            <w:r>
              <w:t>Total burden hours</w:t>
            </w:r>
          </w:p>
        </w:tc>
        <w:tc>
          <w:tcPr>
            <w:tcW w:w="1350" w:type="dxa"/>
            <w:shd w:val="clear" w:color="auto" w:fill="auto"/>
          </w:tcPr>
          <w:p w:rsidR="00F27B23" w:rsidRDefault="00F27B23" w:rsidP="00ED5ED0">
            <w:pPr>
              <w:autoSpaceDE w:val="0"/>
              <w:autoSpaceDN w:val="0"/>
              <w:adjustRightInd w:val="0"/>
            </w:pPr>
            <w:r>
              <w:t>Average cost per hour</w:t>
            </w:r>
          </w:p>
        </w:tc>
        <w:tc>
          <w:tcPr>
            <w:tcW w:w="1260" w:type="dxa"/>
          </w:tcPr>
          <w:p w:rsidR="00F27B23" w:rsidRDefault="00F27B23" w:rsidP="00F27B23">
            <w:pPr>
              <w:autoSpaceDE w:val="0"/>
              <w:autoSpaceDN w:val="0"/>
              <w:adjustRightInd w:val="0"/>
            </w:pPr>
            <w:r>
              <w:t>Total cost</w:t>
            </w:r>
          </w:p>
        </w:tc>
      </w:tr>
      <w:tr w:rsidR="00F27B23" w:rsidTr="00F65FB9">
        <w:tc>
          <w:tcPr>
            <w:tcW w:w="1645" w:type="dxa"/>
            <w:shd w:val="clear" w:color="auto" w:fill="auto"/>
          </w:tcPr>
          <w:p w:rsidR="00F27B23" w:rsidRDefault="00F27B23" w:rsidP="00ED5ED0">
            <w:pPr>
              <w:autoSpaceDE w:val="0"/>
              <w:autoSpaceDN w:val="0"/>
              <w:adjustRightInd w:val="0"/>
            </w:pPr>
            <w:r>
              <w:t>New Grantees</w:t>
            </w:r>
          </w:p>
        </w:tc>
        <w:tc>
          <w:tcPr>
            <w:tcW w:w="1526" w:type="dxa"/>
            <w:shd w:val="clear" w:color="auto" w:fill="auto"/>
          </w:tcPr>
          <w:p w:rsidR="00F27B23" w:rsidRDefault="00F27B23" w:rsidP="00ED5ED0">
            <w:pPr>
              <w:autoSpaceDE w:val="0"/>
              <w:autoSpaceDN w:val="0"/>
              <w:adjustRightInd w:val="0"/>
              <w:jc w:val="center"/>
            </w:pPr>
            <w:r>
              <w:t>75</w:t>
            </w:r>
          </w:p>
        </w:tc>
        <w:tc>
          <w:tcPr>
            <w:tcW w:w="1527" w:type="dxa"/>
            <w:shd w:val="clear" w:color="auto" w:fill="auto"/>
          </w:tcPr>
          <w:p w:rsidR="00F27B23" w:rsidRDefault="00F27B23" w:rsidP="00ED5ED0">
            <w:pPr>
              <w:autoSpaceDE w:val="0"/>
              <w:autoSpaceDN w:val="0"/>
              <w:adjustRightInd w:val="0"/>
              <w:jc w:val="center"/>
            </w:pPr>
            <w:r>
              <w:t>1</w:t>
            </w:r>
          </w:p>
        </w:tc>
        <w:tc>
          <w:tcPr>
            <w:tcW w:w="1530" w:type="dxa"/>
            <w:shd w:val="clear" w:color="auto" w:fill="auto"/>
          </w:tcPr>
          <w:p w:rsidR="00F27B23" w:rsidRDefault="00F27B23" w:rsidP="00ED5ED0">
            <w:pPr>
              <w:autoSpaceDE w:val="0"/>
              <w:autoSpaceDN w:val="0"/>
              <w:adjustRightInd w:val="0"/>
              <w:jc w:val="center"/>
            </w:pPr>
            <w:r>
              <w:t>52</w:t>
            </w:r>
          </w:p>
        </w:tc>
        <w:tc>
          <w:tcPr>
            <w:tcW w:w="1350" w:type="dxa"/>
          </w:tcPr>
          <w:p w:rsidR="00F27B23" w:rsidRDefault="00F27B23" w:rsidP="00ED5ED0">
            <w:pPr>
              <w:autoSpaceDE w:val="0"/>
              <w:autoSpaceDN w:val="0"/>
              <w:adjustRightInd w:val="0"/>
              <w:jc w:val="center"/>
            </w:pPr>
            <w:r>
              <w:t>3.900</w:t>
            </w:r>
          </w:p>
        </w:tc>
        <w:tc>
          <w:tcPr>
            <w:tcW w:w="1350" w:type="dxa"/>
            <w:shd w:val="clear" w:color="auto" w:fill="auto"/>
          </w:tcPr>
          <w:p w:rsidR="00F27B23" w:rsidRDefault="00F27B23" w:rsidP="00ED5ED0">
            <w:pPr>
              <w:autoSpaceDE w:val="0"/>
              <w:autoSpaceDN w:val="0"/>
              <w:adjustRightInd w:val="0"/>
              <w:jc w:val="center"/>
            </w:pPr>
            <w:r>
              <w:t>$79.96</w:t>
            </w:r>
          </w:p>
        </w:tc>
        <w:tc>
          <w:tcPr>
            <w:tcW w:w="1260" w:type="dxa"/>
          </w:tcPr>
          <w:p w:rsidR="00F27B23" w:rsidRDefault="00F27B23" w:rsidP="001E7714">
            <w:pPr>
              <w:autoSpaceDE w:val="0"/>
              <w:autoSpaceDN w:val="0"/>
              <w:adjustRightInd w:val="0"/>
              <w:jc w:val="center"/>
            </w:pPr>
            <w:r>
              <w:t>$311,844</w:t>
            </w:r>
          </w:p>
        </w:tc>
      </w:tr>
      <w:tr w:rsidR="00F27B23" w:rsidTr="00F65FB9">
        <w:tc>
          <w:tcPr>
            <w:tcW w:w="1645" w:type="dxa"/>
            <w:shd w:val="clear" w:color="auto" w:fill="auto"/>
          </w:tcPr>
          <w:p w:rsidR="00F27B23" w:rsidRDefault="00F27B23" w:rsidP="001E7714">
            <w:pPr>
              <w:autoSpaceDE w:val="0"/>
              <w:autoSpaceDN w:val="0"/>
              <w:adjustRightInd w:val="0"/>
            </w:pPr>
            <w:r>
              <w:t>Continuations of Major Programs</w:t>
            </w:r>
          </w:p>
        </w:tc>
        <w:tc>
          <w:tcPr>
            <w:tcW w:w="1526" w:type="dxa"/>
            <w:shd w:val="clear" w:color="auto" w:fill="auto"/>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p>
          <w:p w:rsidR="00F27B23" w:rsidRDefault="00F27B23" w:rsidP="001E7714">
            <w:pPr>
              <w:autoSpaceDE w:val="0"/>
              <w:autoSpaceDN w:val="0"/>
              <w:adjustRightInd w:val="0"/>
              <w:jc w:val="center"/>
            </w:pPr>
            <w:r>
              <w:t>124</w:t>
            </w:r>
          </w:p>
        </w:tc>
        <w:tc>
          <w:tcPr>
            <w:tcW w:w="1527" w:type="dxa"/>
            <w:shd w:val="clear" w:color="auto" w:fill="auto"/>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1</w:t>
            </w:r>
          </w:p>
        </w:tc>
        <w:tc>
          <w:tcPr>
            <w:tcW w:w="1530" w:type="dxa"/>
            <w:shd w:val="clear" w:color="auto" w:fill="auto"/>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22</w:t>
            </w:r>
          </w:p>
        </w:tc>
        <w:tc>
          <w:tcPr>
            <w:tcW w:w="1350" w:type="dxa"/>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2,728</w:t>
            </w:r>
          </w:p>
        </w:tc>
        <w:tc>
          <w:tcPr>
            <w:tcW w:w="1350" w:type="dxa"/>
            <w:shd w:val="clear" w:color="auto" w:fill="auto"/>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rsidRPr="00CB4ED8">
              <w:t>$79.96</w:t>
            </w:r>
          </w:p>
        </w:tc>
        <w:tc>
          <w:tcPr>
            <w:tcW w:w="1260" w:type="dxa"/>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$218,131</w:t>
            </w:r>
          </w:p>
        </w:tc>
      </w:tr>
      <w:tr w:rsidR="00F27B23" w:rsidTr="00F65FB9">
        <w:tc>
          <w:tcPr>
            <w:tcW w:w="1645" w:type="dxa"/>
            <w:shd w:val="clear" w:color="auto" w:fill="auto"/>
          </w:tcPr>
          <w:p w:rsidR="00F27B23" w:rsidRDefault="00F27B23" w:rsidP="00ED5ED0">
            <w:pPr>
              <w:autoSpaceDE w:val="0"/>
              <w:autoSpaceDN w:val="0"/>
              <w:adjustRightInd w:val="0"/>
            </w:pPr>
            <w:r>
              <w:t>Other Continuations</w:t>
            </w:r>
          </w:p>
        </w:tc>
        <w:tc>
          <w:tcPr>
            <w:tcW w:w="1526" w:type="dxa"/>
            <w:shd w:val="clear" w:color="auto" w:fill="auto"/>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76</w:t>
            </w:r>
          </w:p>
        </w:tc>
        <w:tc>
          <w:tcPr>
            <w:tcW w:w="1527" w:type="dxa"/>
            <w:shd w:val="clear" w:color="auto" w:fill="auto"/>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1</w:t>
            </w:r>
          </w:p>
        </w:tc>
        <w:tc>
          <w:tcPr>
            <w:tcW w:w="1530" w:type="dxa"/>
            <w:shd w:val="clear" w:color="auto" w:fill="auto"/>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10</w:t>
            </w:r>
          </w:p>
        </w:tc>
        <w:tc>
          <w:tcPr>
            <w:tcW w:w="1350" w:type="dxa"/>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760</w:t>
            </w:r>
          </w:p>
        </w:tc>
        <w:tc>
          <w:tcPr>
            <w:tcW w:w="1350" w:type="dxa"/>
            <w:shd w:val="clear" w:color="auto" w:fill="auto"/>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rsidRPr="00CB4ED8">
              <w:t>$79.96</w:t>
            </w:r>
          </w:p>
        </w:tc>
        <w:tc>
          <w:tcPr>
            <w:tcW w:w="1260" w:type="dxa"/>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$60,770</w:t>
            </w:r>
          </w:p>
        </w:tc>
      </w:tr>
      <w:tr w:rsidR="00F27B23" w:rsidTr="00F65FB9">
        <w:tc>
          <w:tcPr>
            <w:tcW w:w="1645" w:type="dxa"/>
            <w:shd w:val="clear" w:color="auto" w:fill="auto"/>
          </w:tcPr>
          <w:p w:rsidR="00F27B23" w:rsidRDefault="00F27B23" w:rsidP="00961F60">
            <w:pPr>
              <w:autoSpaceDE w:val="0"/>
              <w:autoSpaceDN w:val="0"/>
              <w:adjustRightInd w:val="0"/>
            </w:pPr>
            <w:r>
              <w:t xml:space="preserve">   </w:t>
            </w:r>
          </w:p>
          <w:p w:rsidR="00F27B23" w:rsidRDefault="00F27B23" w:rsidP="00961F60">
            <w:pPr>
              <w:autoSpaceDE w:val="0"/>
              <w:autoSpaceDN w:val="0"/>
              <w:adjustRightInd w:val="0"/>
            </w:pPr>
            <w:r>
              <w:t xml:space="preserve">  Total</w:t>
            </w:r>
          </w:p>
          <w:p w:rsidR="00F27B23" w:rsidRDefault="00F27B23" w:rsidP="00ED5ED0">
            <w:pPr>
              <w:autoSpaceDE w:val="0"/>
              <w:autoSpaceDN w:val="0"/>
              <w:adjustRightInd w:val="0"/>
            </w:pPr>
          </w:p>
        </w:tc>
        <w:tc>
          <w:tcPr>
            <w:tcW w:w="1526" w:type="dxa"/>
            <w:shd w:val="clear" w:color="auto" w:fill="auto"/>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275</w:t>
            </w:r>
          </w:p>
        </w:tc>
        <w:tc>
          <w:tcPr>
            <w:tcW w:w="1527" w:type="dxa"/>
            <w:shd w:val="clear" w:color="auto" w:fill="auto"/>
          </w:tcPr>
          <w:p w:rsidR="00F27B23" w:rsidRDefault="00F27B23" w:rsidP="00ED5ED0">
            <w:pPr>
              <w:autoSpaceDE w:val="0"/>
              <w:autoSpaceDN w:val="0"/>
              <w:adjustRightInd w:val="0"/>
              <w:jc w:val="center"/>
            </w:pPr>
          </w:p>
        </w:tc>
        <w:tc>
          <w:tcPr>
            <w:tcW w:w="1530" w:type="dxa"/>
            <w:shd w:val="clear" w:color="auto" w:fill="auto"/>
          </w:tcPr>
          <w:p w:rsidR="00F27B23" w:rsidRDefault="00F27B23" w:rsidP="00ED5ED0">
            <w:pPr>
              <w:autoSpaceDE w:val="0"/>
              <w:autoSpaceDN w:val="0"/>
              <w:adjustRightInd w:val="0"/>
              <w:jc w:val="center"/>
            </w:pPr>
          </w:p>
        </w:tc>
        <w:tc>
          <w:tcPr>
            <w:tcW w:w="1350" w:type="dxa"/>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7,388</w:t>
            </w:r>
          </w:p>
        </w:tc>
        <w:tc>
          <w:tcPr>
            <w:tcW w:w="1350" w:type="dxa"/>
            <w:shd w:val="clear" w:color="auto" w:fill="auto"/>
          </w:tcPr>
          <w:p w:rsidR="00F27B23" w:rsidRDefault="00F27B23" w:rsidP="00ED5ED0">
            <w:pPr>
              <w:autoSpaceDE w:val="0"/>
              <w:autoSpaceDN w:val="0"/>
              <w:adjustRightInd w:val="0"/>
              <w:jc w:val="center"/>
            </w:pPr>
          </w:p>
        </w:tc>
        <w:tc>
          <w:tcPr>
            <w:tcW w:w="1260" w:type="dxa"/>
          </w:tcPr>
          <w:p w:rsidR="00F27B23" w:rsidRDefault="00F27B23" w:rsidP="00ED5ED0">
            <w:pPr>
              <w:autoSpaceDE w:val="0"/>
              <w:autoSpaceDN w:val="0"/>
              <w:adjustRightInd w:val="0"/>
              <w:jc w:val="center"/>
            </w:pPr>
          </w:p>
          <w:p w:rsidR="00F27B23" w:rsidRDefault="00F27B23" w:rsidP="00ED5ED0">
            <w:pPr>
              <w:autoSpaceDE w:val="0"/>
              <w:autoSpaceDN w:val="0"/>
              <w:adjustRightInd w:val="0"/>
              <w:jc w:val="center"/>
            </w:pPr>
            <w:r>
              <w:t>$590,745</w:t>
            </w:r>
          </w:p>
        </w:tc>
      </w:tr>
    </w:tbl>
    <w:p w:rsidR="00B46773" w:rsidRDefault="00B46773"/>
    <w:p w:rsidR="00235642" w:rsidRDefault="00235642" w:rsidP="002C6046"/>
    <w:p w:rsidR="00DD6D7F" w:rsidRPr="00F83B8A" w:rsidRDefault="00DD6D7F">
      <w:pPr>
        <w:pStyle w:val="Heading2"/>
        <w:numPr>
          <w:ilvl w:val="0"/>
          <w:numId w:val="0"/>
        </w:numPr>
      </w:pPr>
      <w:bookmarkStart w:id="14" w:name="_Toc348686962"/>
      <w:r w:rsidRPr="00F83B8A">
        <w:t>13.</w:t>
      </w:r>
      <w:r w:rsidRPr="00F83B8A">
        <w:tab/>
        <w:t xml:space="preserve">Estimate of </w:t>
      </w:r>
      <w:r w:rsidR="00F12B08">
        <w:t xml:space="preserve">Other Total Annual </w:t>
      </w:r>
      <w:r w:rsidRPr="00F83B8A">
        <w:t xml:space="preserve">Cost Burden </w:t>
      </w:r>
      <w:r w:rsidR="00F12B08">
        <w:t xml:space="preserve">to Respondents and Record </w:t>
      </w:r>
      <w:proofErr w:type="spellStart"/>
      <w:r w:rsidR="00F12B08">
        <w:t>Keepers</w:t>
      </w:r>
      <w:r w:rsidRPr="00F83B8A">
        <w:t>n</w:t>
      </w:r>
      <w:bookmarkEnd w:id="14"/>
      <w:proofErr w:type="spellEnd"/>
    </w:p>
    <w:p w:rsidR="00DD6D7F" w:rsidRPr="00F83B8A" w:rsidRDefault="00DD6D7F">
      <w:pPr>
        <w:pStyle w:val="BodyText"/>
        <w:rPr>
          <w:b/>
        </w:rPr>
      </w:pPr>
    </w:p>
    <w:p w:rsidR="00DD6D7F" w:rsidRPr="00F83B8A" w:rsidRDefault="00DD6D7F" w:rsidP="00FE7B15">
      <w:pPr>
        <w:ind w:firstLine="720"/>
      </w:pPr>
      <w:r w:rsidRPr="00F83B8A">
        <w:t>Th</w:t>
      </w:r>
      <w:r w:rsidR="00FE7B15" w:rsidRPr="00F83B8A">
        <w:t>e</w:t>
      </w:r>
      <w:r w:rsidRPr="00F83B8A">
        <w:t>s</w:t>
      </w:r>
      <w:r w:rsidR="00FE7B15" w:rsidRPr="00F83B8A">
        <w:t>e</w:t>
      </w:r>
      <w:r w:rsidRPr="00F83B8A">
        <w:t xml:space="preserve"> </w:t>
      </w:r>
      <w:r w:rsidR="00FE7B15" w:rsidRPr="00F83B8A">
        <w:t xml:space="preserve">are </w:t>
      </w:r>
      <w:r w:rsidRPr="00F83B8A">
        <w:t xml:space="preserve">annual </w:t>
      </w:r>
      <w:r w:rsidR="00FE7B15" w:rsidRPr="00F83B8A">
        <w:t xml:space="preserve">and final </w:t>
      </w:r>
      <w:r w:rsidRPr="00F83B8A">
        <w:t>reporting form</w:t>
      </w:r>
      <w:r w:rsidR="00FE7B15" w:rsidRPr="00F83B8A">
        <w:t>s</w:t>
      </w:r>
      <w:r w:rsidRPr="00F83B8A">
        <w:t>.</w:t>
      </w:r>
      <w:r w:rsidR="000B324D" w:rsidRPr="00F83B8A">
        <w:t xml:space="preserve"> </w:t>
      </w:r>
      <w:r w:rsidRPr="00F83B8A">
        <w:t>There are no capital costs</w:t>
      </w:r>
      <w:r w:rsidR="00194563">
        <w:t xml:space="preserve">, and no </w:t>
      </w:r>
      <w:r w:rsidRPr="00F83B8A">
        <w:t>equipment purchases</w:t>
      </w:r>
      <w:r w:rsidR="00194563">
        <w:t xml:space="preserve"> are</w:t>
      </w:r>
      <w:r w:rsidRPr="00F83B8A">
        <w:t xml:space="preserve"> necessary.</w:t>
      </w:r>
    </w:p>
    <w:p w:rsidR="00DD6D7F" w:rsidRPr="00F83B8A" w:rsidRDefault="00DD6D7F">
      <w:pPr>
        <w:pStyle w:val="BodyText"/>
      </w:pPr>
    </w:p>
    <w:p w:rsidR="00DD6D7F" w:rsidRPr="00890DF4" w:rsidRDefault="00DD6D7F">
      <w:pPr>
        <w:pStyle w:val="Heading2"/>
        <w:numPr>
          <w:ilvl w:val="0"/>
          <w:numId w:val="0"/>
        </w:numPr>
      </w:pPr>
      <w:bookmarkStart w:id="15" w:name="_Toc348686963"/>
      <w:r w:rsidRPr="00F83B8A">
        <w:t>14.</w:t>
      </w:r>
      <w:r w:rsidRPr="00F83B8A">
        <w:tab/>
      </w:r>
      <w:r w:rsidRPr="00890DF4">
        <w:t>Annualized Cost to the Federal Government</w:t>
      </w:r>
      <w:bookmarkEnd w:id="15"/>
    </w:p>
    <w:p w:rsidR="00DD6D7F" w:rsidRPr="00890DF4" w:rsidRDefault="00DD6D7F">
      <w:pPr>
        <w:pStyle w:val="BodyText"/>
        <w:rPr>
          <w:b/>
        </w:rPr>
      </w:pPr>
    </w:p>
    <w:p w:rsidR="00890DF4" w:rsidRDefault="00890DF4" w:rsidP="00890DF4">
      <w:r>
        <w:tab/>
      </w:r>
      <w:r w:rsidRPr="00890DF4">
        <w:t>The</w:t>
      </w:r>
      <w:r w:rsidR="001E7714">
        <w:t xml:space="preserve"> contract expense</w:t>
      </w:r>
      <w:r w:rsidRPr="00890DF4">
        <w:t xml:space="preserve"> total cost to the federal government for this data collection for a 5-year period is $797,784, and the annualized cost is $159,556.  This amount includes costs for maintenance and enhancement of the Web-based system, operation of the help desk, training NIDILRR staff and grantees on use of the system, and IT security.</w:t>
      </w:r>
    </w:p>
    <w:p w:rsidR="001E7714" w:rsidRDefault="001E7714" w:rsidP="00890DF4"/>
    <w:p w:rsidR="001E7714" w:rsidRPr="00890DF4" w:rsidRDefault="001E7714" w:rsidP="002C6046">
      <w:pPr>
        <w:ind w:firstLine="720"/>
      </w:pPr>
      <w:r>
        <w:t xml:space="preserve">We estimate that the </w:t>
      </w:r>
      <w:r w:rsidR="00D24761">
        <w:t xml:space="preserve">expense for Federal </w:t>
      </w:r>
      <w:r>
        <w:t>staff related to these data collections is</w:t>
      </w:r>
      <w:r w:rsidR="00D24761">
        <w:t xml:space="preserve"> approximately</w:t>
      </w:r>
      <w:r>
        <w:t xml:space="preserve"> </w:t>
      </w:r>
      <w:r w:rsidR="00D24761">
        <w:t>120</w:t>
      </w:r>
      <w:r>
        <w:t xml:space="preserve"> hours per person </w:t>
      </w:r>
      <w:r w:rsidR="00D24761">
        <w:t>for 16 staff.  We used</w:t>
      </w:r>
      <w:r>
        <w:t xml:space="preserve"> a</w:t>
      </w:r>
      <w:r w:rsidR="00D24761">
        <w:t>n average</w:t>
      </w:r>
      <w:r>
        <w:t xml:space="preserve"> </w:t>
      </w:r>
      <w:r w:rsidR="00D24761">
        <w:t xml:space="preserve">grade for a </w:t>
      </w:r>
      <w:r>
        <w:t xml:space="preserve">GS </w:t>
      </w:r>
      <w:proofErr w:type="gramStart"/>
      <w:r>
        <w:t>14,</w:t>
      </w:r>
      <w:proofErr w:type="gramEnd"/>
      <w:r>
        <w:t xml:space="preserve"> step 1</w:t>
      </w:r>
      <w:r w:rsidR="00D24761">
        <w:t xml:space="preserve">, which results in a </w:t>
      </w:r>
      <w:r>
        <w:t xml:space="preserve">hourly rate </w:t>
      </w:r>
      <w:r w:rsidR="00D24761">
        <w:t>is</w:t>
      </w:r>
      <w:r>
        <w:t xml:space="preserve"> $53.68</w:t>
      </w:r>
      <w:r w:rsidR="00D24761">
        <w:t xml:space="preserve">.  Adding 100% for </w:t>
      </w:r>
      <w:r>
        <w:t xml:space="preserve">benefits and overhead </w:t>
      </w:r>
      <w:r w:rsidR="00D24761">
        <w:t>comes to a total hourly rate of $107.36 and a total personnel cost of $206,131.</w:t>
      </w:r>
    </w:p>
    <w:p w:rsidR="00890DF4" w:rsidRDefault="00890DF4" w:rsidP="00890DF4">
      <w:pPr>
        <w:rPr>
          <w:color w:val="1F497D"/>
        </w:rPr>
      </w:pPr>
    </w:p>
    <w:p w:rsidR="00DD6D7F" w:rsidRPr="00F83B8A" w:rsidRDefault="00DD6D7F">
      <w:pPr>
        <w:pStyle w:val="BodyText"/>
      </w:pPr>
    </w:p>
    <w:p w:rsidR="00DD6D7F" w:rsidRPr="00F83B8A" w:rsidRDefault="00DD6D7F">
      <w:pPr>
        <w:pStyle w:val="Heading2"/>
        <w:numPr>
          <w:ilvl w:val="0"/>
          <w:numId w:val="0"/>
        </w:numPr>
      </w:pPr>
      <w:bookmarkStart w:id="16" w:name="_Toc348686964"/>
      <w:r w:rsidRPr="00F83B8A">
        <w:t>15.</w:t>
      </w:r>
      <w:r w:rsidRPr="00F83B8A">
        <w:tab/>
      </w:r>
      <w:bookmarkEnd w:id="16"/>
      <w:r w:rsidR="00F12B08">
        <w:t>Explanation for Program Changes or Adjustments</w:t>
      </w:r>
    </w:p>
    <w:p w:rsidR="008376A5" w:rsidRDefault="008376A5">
      <w:pPr>
        <w:pStyle w:val="BodyText"/>
        <w:rPr>
          <w:b/>
        </w:rPr>
      </w:pPr>
    </w:p>
    <w:p w:rsidR="0097010D" w:rsidRPr="00F83B8A" w:rsidRDefault="0097010D" w:rsidP="0097010D">
      <w:pPr>
        <w:pStyle w:val="BodyTextIndent3"/>
        <w:spacing w:before="0" w:beforeAutospacing="0" w:after="0" w:afterAutospacing="0"/>
        <w:rPr>
          <w:b/>
          <w:i/>
          <w:iCs/>
        </w:rPr>
      </w:pPr>
      <w:r w:rsidRPr="00F83B8A">
        <w:rPr>
          <w:iCs/>
        </w:rPr>
        <w:tab/>
        <w:t xml:space="preserve">The Web-based system used for </w:t>
      </w:r>
      <w:r>
        <w:rPr>
          <w:iCs/>
        </w:rPr>
        <w:t xml:space="preserve">Reporting Year 2016 </w:t>
      </w:r>
      <w:r w:rsidRPr="00F83B8A">
        <w:rPr>
          <w:iCs/>
        </w:rPr>
        <w:t xml:space="preserve">reporting incorporates a number of features to meet </w:t>
      </w:r>
      <w:r>
        <w:rPr>
          <w:iCs/>
        </w:rPr>
        <w:t>NIDILRR’</w:t>
      </w:r>
      <w:r w:rsidRPr="00F83B8A">
        <w:rPr>
          <w:iCs/>
        </w:rPr>
        <w:t>s information needs while minimizing burden. The reporting form and system currently in use were designed so that information provided by grantees each year is automatically carried forward to the next. Under this design, grantees need only review and, if necessary, edit their previous year</w:t>
      </w:r>
      <w:r>
        <w:rPr>
          <w:iCs/>
        </w:rPr>
        <w:t>’</w:t>
      </w:r>
      <w:r w:rsidRPr="00F83B8A">
        <w:rPr>
          <w:iCs/>
        </w:rPr>
        <w:t xml:space="preserve">s entries in order to complete subsequent annual reports. To further reduce burden, the form is designed so that, instead of describing their accomplishments, grantees simply select their most important accomplishments from among the outputs they report. Data from grant applications, such as contact and budget information, are preloaded for efficiency. To facilitate grantee and </w:t>
      </w:r>
      <w:r>
        <w:rPr>
          <w:iCs/>
        </w:rPr>
        <w:t>NIDILRR</w:t>
      </w:r>
      <w:r w:rsidRPr="00F83B8A">
        <w:rPr>
          <w:iCs/>
        </w:rPr>
        <w:t xml:space="preserve"> staff review of information submitted, the system includes system-generated tables that summarize information entered in specific sections. The Web-based system also carries forward information from one </w:t>
      </w:r>
      <w:r w:rsidRPr="00F83B8A">
        <w:rPr>
          <w:bCs/>
        </w:rPr>
        <w:t>section of the form to the next;</w:t>
      </w:r>
      <w:r w:rsidRPr="00F83B8A">
        <w:rPr>
          <w:b/>
          <w:i/>
          <w:iCs/>
        </w:rPr>
        <w:t xml:space="preserve"> </w:t>
      </w:r>
      <w:r w:rsidRPr="00F83B8A">
        <w:rPr>
          <w:iCs/>
        </w:rPr>
        <w:t xml:space="preserve">for </w:t>
      </w:r>
      <w:r w:rsidRPr="00F83B8A">
        <w:rPr>
          <w:iCs/>
        </w:rPr>
        <w:lastRenderedPageBreak/>
        <w:t xml:space="preserve">example, information on outcome-oriented goals is carried forward for convenient linkage with projects/activities and publications. </w:t>
      </w:r>
    </w:p>
    <w:p w:rsidR="0097010D" w:rsidRPr="00F83B8A" w:rsidRDefault="0097010D" w:rsidP="0097010D">
      <w:pPr>
        <w:pStyle w:val="BodyTextIndent3"/>
        <w:spacing w:before="0" w:beforeAutospacing="0" w:after="0" w:afterAutospacing="0"/>
        <w:rPr>
          <w:iCs/>
        </w:rPr>
      </w:pPr>
    </w:p>
    <w:p w:rsidR="0097010D" w:rsidRDefault="0097010D" w:rsidP="0097010D">
      <w:pPr>
        <w:pStyle w:val="BodyTextIndent3"/>
        <w:spacing w:before="0" w:beforeAutospacing="0" w:after="0" w:afterAutospacing="0"/>
        <w:rPr>
          <w:iCs/>
        </w:rPr>
      </w:pPr>
      <w:r>
        <w:rPr>
          <w:iCs/>
        </w:rPr>
        <w:tab/>
        <w:t>Minor c</w:t>
      </w:r>
      <w:r w:rsidRPr="00F83B8A">
        <w:rPr>
          <w:iCs/>
        </w:rPr>
        <w:t xml:space="preserve">hanges to the </w:t>
      </w:r>
      <w:r>
        <w:rPr>
          <w:iCs/>
        </w:rPr>
        <w:t xml:space="preserve">currently approved </w:t>
      </w:r>
      <w:r w:rsidRPr="00F83B8A">
        <w:rPr>
          <w:iCs/>
        </w:rPr>
        <w:t xml:space="preserve">reporting form </w:t>
      </w:r>
      <w:r>
        <w:rPr>
          <w:iCs/>
        </w:rPr>
        <w:t xml:space="preserve">were necessary to reflect NIDILRR’s new name and its move from ED to HHS. These </w:t>
      </w:r>
      <w:r w:rsidRPr="00F83B8A">
        <w:rPr>
          <w:iCs/>
        </w:rPr>
        <w:t>include</w:t>
      </w:r>
      <w:r>
        <w:rPr>
          <w:iCs/>
        </w:rPr>
        <w:t>:</w:t>
      </w:r>
    </w:p>
    <w:p w:rsidR="0097010D" w:rsidRDefault="0097010D" w:rsidP="0097010D">
      <w:pPr>
        <w:pStyle w:val="BodyTextIndent3"/>
        <w:spacing w:before="0" w:beforeAutospacing="0" w:after="0" w:afterAutospacing="0"/>
        <w:rPr>
          <w:iCs/>
        </w:rPr>
      </w:pPr>
    </w:p>
    <w:p w:rsidR="0097010D" w:rsidRPr="00D76A0A" w:rsidRDefault="0097010D" w:rsidP="0097010D">
      <w:pPr>
        <w:pStyle w:val="BodyTextIndent3"/>
        <w:numPr>
          <w:ilvl w:val="0"/>
          <w:numId w:val="10"/>
        </w:numPr>
        <w:spacing w:before="0" w:beforeAutospacing="0" w:after="0" w:afterAutospacing="0"/>
        <w:rPr>
          <w:bCs/>
        </w:rPr>
      </w:pPr>
      <w:r>
        <w:rPr>
          <w:iCs/>
        </w:rPr>
        <w:t>R</w:t>
      </w:r>
      <w:r w:rsidRPr="00D76A0A">
        <w:rPr>
          <w:bCs/>
        </w:rPr>
        <w:t>eplacing references to ED’s statutory requirements, forms, systems, and CFDA numbers with appropriate HHS references</w:t>
      </w:r>
    </w:p>
    <w:p w:rsidR="0097010D" w:rsidRDefault="0097010D" w:rsidP="0097010D">
      <w:pPr>
        <w:pStyle w:val="BodyTextIndent3"/>
        <w:spacing w:before="0" w:beforeAutospacing="0" w:after="0" w:afterAutospacing="0"/>
        <w:rPr>
          <w:bCs/>
        </w:rPr>
      </w:pPr>
    </w:p>
    <w:p w:rsidR="0097010D" w:rsidRDefault="0097010D" w:rsidP="0097010D">
      <w:pPr>
        <w:pStyle w:val="BodyTextIndent3"/>
        <w:numPr>
          <w:ilvl w:val="0"/>
          <w:numId w:val="10"/>
        </w:numPr>
        <w:spacing w:before="0" w:beforeAutospacing="0" w:after="0" w:afterAutospacing="0"/>
        <w:rPr>
          <w:bCs/>
        </w:rPr>
      </w:pPr>
      <w:r>
        <w:rPr>
          <w:bCs/>
        </w:rPr>
        <w:t>Changes necessary to accommodate the assignment of new HHS grant numbers (in a different format) to existing and new grants</w:t>
      </w:r>
    </w:p>
    <w:p w:rsidR="0097010D" w:rsidRDefault="0097010D" w:rsidP="0097010D">
      <w:pPr>
        <w:pStyle w:val="ListParagraph"/>
        <w:rPr>
          <w:bCs/>
        </w:rPr>
      </w:pPr>
    </w:p>
    <w:p w:rsidR="0097010D" w:rsidRDefault="0097010D" w:rsidP="0097010D">
      <w:pPr>
        <w:pStyle w:val="BodyTextIndent3"/>
        <w:numPr>
          <w:ilvl w:val="0"/>
          <w:numId w:val="31"/>
        </w:numPr>
        <w:spacing w:before="0" w:beforeAutospacing="0" w:after="0" w:afterAutospacing="0"/>
        <w:rPr>
          <w:bCs/>
        </w:rPr>
      </w:pPr>
      <w:r>
        <w:rPr>
          <w:bCs/>
        </w:rPr>
        <w:t xml:space="preserve">The addition of one response option in the Indirect Costs section of the reporting form.  </w:t>
      </w:r>
    </w:p>
    <w:p w:rsidR="0097010D" w:rsidRDefault="0097010D" w:rsidP="0097010D">
      <w:pPr>
        <w:pStyle w:val="BodyTextIndent3"/>
        <w:spacing w:before="0" w:beforeAutospacing="0" w:after="0" w:afterAutospacing="0"/>
        <w:rPr>
          <w:bCs/>
        </w:rPr>
      </w:pPr>
    </w:p>
    <w:p w:rsidR="0097010D" w:rsidRDefault="0097010D" w:rsidP="0097010D">
      <w:pPr>
        <w:pStyle w:val="BodyTextIndent3"/>
        <w:spacing w:before="0" w:beforeAutospacing="0" w:after="0" w:afterAutospacing="0"/>
        <w:rPr>
          <w:bCs/>
        </w:rPr>
      </w:pPr>
      <w:r>
        <w:rPr>
          <w:bCs/>
        </w:rPr>
        <w:t>Minor changes were also made in the instructions for grantees’ reporting on t</w:t>
      </w:r>
      <w:r w:rsidRPr="00540CB1">
        <w:rPr>
          <w:bCs/>
        </w:rPr>
        <w:t>echnology</w:t>
      </w:r>
      <w:r>
        <w:rPr>
          <w:bCs/>
        </w:rPr>
        <w:t xml:space="preserve"> </w:t>
      </w:r>
      <w:r w:rsidRPr="00540CB1">
        <w:rPr>
          <w:bCs/>
        </w:rPr>
        <w:t>transfer plans</w:t>
      </w:r>
      <w:r>
        <w:rPr>
          <w:bCs/>
        </w:rPr>
        <w:t xml:space="preserve"> (RERC grantees only)</w:t>
      </w:r>
      <w:r w:rsidRPr="00540CB1">
        <w:rPr>
          <w:bCs/>
        </w:rPr>
        <w:t xml:space="preserve">.  </w:t>
      </w:r>
      <w:r>
        <w:rPr>
          <w:bCs/>
        </w:rPr>
        <w:t xml:space="preserve">Changes in the Burden Statement, reflecting the agency’s move from ED to HHS, have been previously approved by OMB.  </w:t>
      </w:r>
    </w:p>
    <w:p w:rsidR="0097010D" w:rsidRDefault="0097010D" w:rsidP="0097010D">
      <w:pPr>
        <w:pStyle w:val="BodyTextIndent3"/>
        <w:spacing w:before="0" w:beforeAutospacing="0" w:after="0" w:afterAutospacing="0"/>
        <w:rPr>
          <w:bCs/>
        </w:rPr>
      </w:pPr>
    </w:p>
    <w:p w:rsidR="0097010D" w:rsidRDefault="0097010D" w:rsidP="0097010D">
      <w:pPr>
        <w:pStyle w:val="BodyTextIndent3"/>
        <w:spacing w:before="0" w:beforeAutospacing="0" w:after="0" w:afterAutospacing="0"/>
        <w:rPr>
          <w:bCs/>
        </w:rPr>
      </w:pPr>
      <w:r>
        <w:rPr>
          <w:bCs/>
        </w:rPr>
        <w:t>Other changes include the insertion of one item about the stages of research in the Research Projects section and one item about the stages of development in the Development Projects section. Regulatory changes required minor changes to the response section for development projects and the addition of a question regarding commercialization.</w:t>
      </w:r>
    </w:p>
    <w:p w:rsidR="0097010D" w:rsidRDefault="0097010D" w:rsidP="0097010D">
      <w:pPr>
        <w:pStyle w:val="BodyTextIndent3"/>
        <w:spacing w:before="0" w:beforeAutospacing="0" w:after="0" w:afterAutospacing="0"/>
        <w:ind w:firstLine="720"/>
        <w:rPr>
          <w:bCs/>
        </w:rPr>
      </w:pPr>
    </w:p>
    <w:p w:rsidR="00F12B08" w:rsidRDefault="001065A7" w:rsidP="00F12B08">
      <w:pPr>
        <w:pStyle w:val="BodyText"/>
        <w:keepNext/>
        <w:keepLines/>
        <w:rPr>
          <w:bCs/>
        </w:rPr>
      </w:pPr>
      <w:r>
        <w:rPr>
          <w:bCs/>
        </w:rPr>
        <w:t>T</w:t>
      </w:r>
      <w:r w:rsidR="00260639">
        <w:rPr>
          <w:bCs/>
        </w:rPr>
        <w:t xml:space="preserve">he </w:t>
      </w:r>
      <w:r w:rsidR="0097010D">
        <w:rPr>
          <w:bCs/>
        </w:rPr>
        <w:t xml:space="preserve">overall </w:t>
      </w:r>
      <w:r w:rsidR="00F12B08">
        <w:rPr>
          <w:bCs/>
        </w:rPr>
        <w:t>e</w:t>
      </w:r>
      <w:r w:rsidR="00F12B08" w:rsidRPr="00F83B8A">
        <w:rPr>
          <w:bCs/>
        </w:rPr>
        <w:t xml:space="preserve">stimated burden </w:t>
      </w:r>
      <w:r w:rsidR="00F12B08">
        <w:rPr>
          <w:bCs/>
        </w:rPr>
        <w:t xml:space="preserve">per grantee </w:t>
      </w:r>
      <w:r w:rsidR="00F12B08" w:rsidRPr="00F83B8A">
        <w:rPr>
          <w:bCs/>
        </w:rPr>
        <w:t xml:space="preserve">has </w:t>
      </w:r>
      <w:r>
        <w:rPr>
          <w:bCs/>
        </w:rPr>
        <w:t>decreased the overall burden</w:t>
      </w:r>
      <w:r w:rsidR="00F12B08">
        <w:rPr>
          <w:bCs/>
        </w:rPr>
        <w:t xml:space="preserve">.    </w:t>
      </w:r>
    </w:p>
    <w:p w:rsidR="008376A5" w:rsidRDefault="008376A5" w:rsidP="00F12B08">
      <w:pPr>
        <w:pStyle w:val="BodyText"/>
        <w:keepNext/>
        <w:keepLines/>
        <w:rPr>
          <w:bCs/>
        </w:rPr>
      </w:pPr>
    </w:p>
    <w:p w:rsidR="00740A77" w:rsidRDefault="00740A77" w:rsidP="0067767C">
      <w:pPr>
        <w:pStyle w:val="BodyText"/>
        <w:keepNext/>
        <w:keepLines/>
        <w:rPr>
          <w:bCs/>
        </w:rPr>
      </w:pPr>
    </w:p>
    <w:p w:rsidR="00497FF7" w:rsidRDefault="00497FF7" w:rsidP="00E602C3">
      <w:pPr>
        <w:pStyle w:val="BodyText"/>
        <w:keepNext/>
        <w:keepLines/>
        <w:rPr>
          <w:b/>
        </w:rPr>
      </w:pPr>
      <w:r>
        <w:rPr>
          <w:b/>
        </w:rPr>
        <w:t>16.</w:t>
      </w:r>
      <w:r>
        <w:rPr>
          <w:b/>
        </w:rPr>
        <w:tab/>
      </w:r>
      <w:r w:rsidR="00D83A6A">
        <w:rPr>
          <w:b/>
        </w:rPr>
        <w:t>Plans for Tabulation and Publication</w:t>
      </w:r>
      <w:r w:rsidR="00F12B08">
        <w:rPr>
          <w:b/>
        </w:rPr>
        <w:t xml:space="preserve"> and Project Time schedule</w:t>
      </w:r>
    </w:p>
    <w:p w:rsidR="00D83A6A" w:rsidRDefault="00D83A6A" w:rsidP="00E602C3">
      <w:pPr>
        <w:pStyle w:val="BodyText"/>
        <w:keepNext/>
        <w:keepLines/>
        <w:rPr>
          <w:b/>
        </w:rPr>
      </w:pPr>
    </w:p>
    <w:p w:rsidR="00497FF7" w:rsidRPr="00F83B8A" w:rsidRDefault="00656497" w:rsidP="002C6046">
      <w:pPr>
        <w:pStyle w:val="BodyText"/>
        <w:keepNext/>
        <w:keepLines/>
        <w:rPr>
          <w:b/>
        </w:rPr>
      </w:pPr>
      <w:r>
        <w:rPr>
          <w:b/>
        </w:rPr>
        <w:tab/>
      </w:r>
      <w:r>
        <w:t xml:space="preserve">A </w:t>
      </w:r>
      <w:r w:rsidR="005B1CBD">
        <w:t>NIDILRR</w:t>
      </w:r>
      <w:r w:rsidRPr="00656497">
        <w:t xml:space="preserve"> </w:t>
      </w:r>
      <w:r>
        <w:t xml:space="preserve">contractor uses data from the APR system to prepare an annual “Summary of Annual Performance Reports from </w:t>
      </w:r>
      <w:r w:rsidR="005B1CBD">
        <w:t>NIDILRR</w:t>
      </w:r>
      <w:r>
        <w:t xml:space="preserve"> Grantees.” </w:t>
      </w:r>
      <w:r w:rsidR="009C5E8D">
        <w:t xml:space="preserve"> </w:t>
      </w:r>
      <w:r>
        <w:t xml:space="preserve">The audience for this report includes </w:t>
      </w:r>
      <w:r w:rsidR="005B1CBD">
        <w:t>NIDILRR</w:t>
      </w:r>
      <w:r>
        <w:t xml:space="preserve"> and other </w:t>
      </w:r>
      <w:r w:rsidR="00FF6B99">
        <w:t xml:space="preserve">ACL </w:t>
      </w:r>
      <w:r>
        <w:t xml:space="preserve">staff. </w:t>
      </w:r>
      <w:r w:rsidR="009C5E8D">
        <w:t xml:space="preserve">The report presents information on funding, expenditures, and projects; research, development, and training programs; Model Systems datasets; products; and staffing.  It presents frequency distributions, cross-tabulations, </w:t>
      </w:r>
      <w:r w:rsidR="00AC6AF0">
        <w:t xml:space="preserve">percentages, and means. Data are displayed in tables, pie charts, and several types of bar charts. </w:t>
      </w:r>
      <w:r>
        <w:t xml:space="preserve">Information from the APR system is also used in the </w:t>
      </w:r>
      <w:r w:rsidR="00234539">
        <w:t>Annual Report to Congress</w:t>
      </w:r>
      <w:r w:rsidR="00E54B7C">
        <w:t>.</w:t>
      </w:r>
      <w:r w:rsidR="00234539">
        <w:t xml:space="preserve"> </w:t>
      </w:r>
    </w:p>
    <w:p w:rsidR="00F2518D" w:rsidRDefault="00F2518D">
      <w:pPr>
        <w:pStyle w:val="Heading2"/>
        <w:numPr>
          <w:ilvl w:val="0"/>
          <w:numId w:val="0"/>
        </w:numPr>
      </w:pPr>
      <w:bookmarkStart w:id="17" w:name="_Toc348686965"/>
    </w:p>
    <w:p w:rsidR="00F2518D" w:rsidRDefault="00F2518D">
      <w:pPr>
        <w:pStyle w:val="Heading2"/>
        <w:numPr>
          <w:ilvl w:val="0"/>
          <w:numId w:val="0"/>
        </w:numPr>
      </w:pPr>
    </w:p>
    <w:p w:rsidR="00DD6D7F" w:rsidRPr="00F83B8A" w:rsidRDefault="00DD6D7F">
      <w:pPr>
        <w:pStyle w:val="Heading2"/>
        <w:numPr>
          <w:ilvl w:val="0"/>
          <w:numId w:val="0"/>
        </w:numPr>
      </w:pPr>
      <w:r w:rsidRPr="00F83B8A">
        <w:t>1</w:t>
      </w:r>
      <w:r w:rsidR="00497FF7">
        <w:t>7</w:t>
      </w:r>
      <w:r w:rsidRPr="00F83B8A">
        <w:t>.</w:t>
      </w:r>
      <w:r w:rsidRPr="00F83B8A">
        <w:tab/>
      </w:r>
      <w:r w:rsidR="00F12B08">
        <w:t>Reason(s) Display of OMB Expiration Date is Inappropriate</w:t>
      </w:r>
      <w:bookmarkEnd w:id="17"/>
    </w:p>
    <w:p w:rsidR="00DD6D7F" w:rsidRPr="00F83B8A" w:rsidRDefault="00DD6D7F">
      <w:pPr>
        <w:pStyle w:val="BodyText"/>
        <w:rPr>
          <w:b/>
        </w:rPr>
      </w:pPr>
    </w:p>
    <w:p w:rsidR="00DD6D7F" w:rsidRDefault="005B1CBD">
      <w:pPr>
        <w:ind w:firstLine="720"/>
      </w:pPr>
      <w:r>
        <w:t>NIDILRR</w:t>
      </w:r>
      <w:r w:rsidR="00DD6D7F" w:rsidRPr="00F83B8A">
        <w:t xml:space="preserve"> will display the expiration date for OMB approval of the information collection.</w:t>
      </w:r>
    </w:p>
    <w:p w:rsidR="008376A5" w:rsidRPr="00F83B8A" w:rsidRDefault="008376A5">
      <w:pPr>
        <w:ind w:firstLine="720"/>
      </w:pPr>
    </w:p>
    <w:p w:rsidR="00DD6D7F" w:rsidRPr="00F83B8A" w:rsidRDefault="00DD6D7F">
      <w:pPr>
        <w:pStyle w:val="BodyText"/>
      </w:pPr>
    </w:p>
    <w:p w:rsidR="00DD6D7F" w:rsidRPr="00F83B8A" w:rsidRDefault="00DD6D7F">
      <w:pPr>
        <w:pStyle w:val="Heading2"/>
        <w:numPr>
          <w:ilvl w:val="0"/>
          <w:numId w:val="0"/>
        </w:numPr>
      </w:pPr>
      <w:bookmarkStart w:id="18" w:name="_Toc348686966"/>
      <w:r w:rsidRPr="00F83B8A">
        <w:t>1</w:t>
      </w:r>
      <w:r w:rsidR="00497FF7">
        <w:t>8</w:t>
      </w:r>
      <w:r w:rsidRPr="00F83B8A">
        <w:t>.</w:t>
      </w:r>
      <w:r w:rsidRPr="00F83B8A">
        <w:tab/>
        <w:t xml:space="preserve">Exceptions to Certification </w:t>
      </w:r>
      <w:r w:rsidR="00F12B08">
        <w:t>for Paperwork Reduction Act Submissions</w:t>
      </w:r>
      <w:bookmarkEnd w:id="18"/>
    </w:p>
    <w:p w:rsidR="00DD6D7F" w:rsidRPr="00F83B8A" w:rsidRDefault="00DD6D7F">
      <w:pPr>
        <w:pStyle w:val="BodyText"/>
        <w:rPr>
          <w:b/>
        </w:rPr>
      </w:pPr>
    </w:p>
    <w:p w:rsidR="00DD6D7F" w:rsidRPr="00F83B8A" w:rsidRDefault="00DD6D7F">
      <w:pPr>
        <w:ind w:firstLine="720"/>
      </w:pPr>
      <w:r w:rsidRPr="00F83B8A">
        <w:lastRenderedPageBreak/>
        <w:t>There are no exceptions to the certification statement.</w:t>
      </w:r>
    </w:p>
    <w:p w:rsidR="00DD6D7F" w:rsidRPr="00F83B8A" w:rsidRDefault="00DD6D7F">
      <w:pPr>
        <w:pStyle w:val="BodyText"/>
      </w:pPr>
    </w:p>
    <w:p w:rsidR="00DD6D7F" w:rsidRPr="00F83B8A" w:rsidRDefault="00DD6D7F" w:rsidP="00BC5D47">
      <w:pPr>
        <w:pStyle w:val="BodyText"/>
      </w:pPr>
    </w:p>
    <w:sectPr w:rsidR="00DD6D7F" w:rsidRPr="00F83B8A" w:rsidSect="00BC5D47">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BC0" w:rsidRDefault="00FD7BC0">
      <w:r>
        <w:separator/>
      </w:r>
    </w:p>
  </w:endnote>
  <w:endnote w:type="continuationSeparator" w:id="0">
    <w:p w:rsidR="00FD7BC0" w:rsidRDefault="00FD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817" w:rsidRPr="000B324D" w:rsidRDefault="00645817" w:rsidP="000B324D">
    <w:pPr>
      <w:pStyle w:val="Footer"/>
    </w:pPr>
    <w:r>
      <w:fldChar w:fldCharType="begin"/>
    </w:r>
    <w:r>
      <w:instrText xml:space="preserve"> PAGE   \* MERGEFORMAT </w:instrText>
    </w:r>
    <w:r>
      <w:fldChar w:fldCharType="separate"/>
    </w:r>
    <w:r w:rsidR="00AC169D">
      <w:rPr>
        <w:noProof/>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817" w:rsidRPr="000B324D" w:rsidRDefault="00645817" w:rsidP="000B324D">
    <w:pPr>
      <w:pStyle w:val="Footer"/>
    </w:pPr>
    <w:r>
      <w:fldChar w:fldCharType="begin"/>
    </w:r>
    <w:r>
      <w:instrText xml:space="preserve"> PAGE   \* MERGEFORMAT </w:instrText>
    </w:r>
    <w:r>
      <w:fldChar w:fldCharType="separate"/>
    </w:r>
    <w:r w:rsidR="00AC169D">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817" w:rsidRDefault="00645817" w:rsidP="009317A1">
    <w:pPr>
      <w:pStyle w:val="Footer"/>
    </w:pPr>
    <w:r>
      <w:fldChar w:fldCharType="begin"/>
    </w:r>
    <w:r>
      <w:instrText xml:space="preserve"> PAGE   \* MERGEFORMAT </w:instrText>
    </w:r>
    <w:r>
      <w:fldChar w:fldCharType="separate"/>
    </w:r>
    <w:r w:rsidR="00E029BA">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BC0" w:rsidRDefault="00FD7BC0">
      <w:r>
        <w:separator/>
      </w:r>
    </w:p>
  </w:footnote>
  <w:footnote w:type="continuationSeparator" w:id="0">
    <w:p w:rsidR="00FD7BC0" w:rsidRDefault="00FD7BC0">
      <w:r>
        <w:continuationSeparator/>
      </w:r>
    </w:p>
  </w:footnote>
  <w:footnote w:id="1">
    <w:p w:rsidR="00645817" w:rsidRDefault="00645817">
      <w:pPr>
        <w:pStyle w:val="FootnoteText"/>
      </w:pPr>
      <w:r>
        <w:rPr>
          <w:rStyle w:val="FootnoteReference"/>
        </w:rPr>
        <w:footnoteRef/>
      </w:r>
      <w:r>
        <w:t xml:space="preserve"> The Government Performance and Results Act of 1993 and the Government Performance and Results Modernization Act of 2010 are available at </w:t>
      </w:r>
      <w:hyperlink r:id="rId1" w:history="1">
        <w:r w:rsidRPr="00F81092">
          <w:rPr>
            <w:rStyle w:val="Hyperlink"/>
          </w:rPr>
          <w:t>http://www.whitehouse.gov/omb/mgmt-gpra/index-gpra</w:t>
        </w:r>
      </w:hyperlink>
      <w:r>
        <w:t>.</w:t>
      </w:r>
    </w:p>
  </w:footnote>
  <w:footnote w:id="2">
    <w:p w:rsidR="00645817" w:rsidRDefault="00645817">
      <w:pPr>
        <w:pStyle w:val="FootnoteText"/>
      </w:pPr>
      <w:r>
        <w:rPr>
          <w:rStyle w:val="FootnoteReference"/>
        </w:rPr>
        <w:footnoteRef/>
      </w:r>
      <w:r>
        <w:t xml:space="preserve"> Several additional measures (e.g., the percentage of grant applications that receive an average peer review score of 85 or higher) are based on grant review documentation. </w:t>
      </w:r>
    </w:p>
  </w:footnote>
  <w:footnote w:id="3">
    <w:p w:rsidR="00645817" w:rsidRDefault="00645817">
      <w:pPr>
        <w:pStyle w:val="FootnoteText"/>
      </w:pPr>
      <w:r>
        <w:rPr>
          <w:rStyle w:val="FootnoteReference"/>
        </w:rPr>
        <w:footnoteRef/>
      </w:r>
      <w:r>
        <w:t xml:space="preserve"> Grantees in the RFP program will use a Final Report Form that differs only slightly from their Annual Performance Report, as indicated in Table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2"/>
      </w:rPr>
    </w:lvl>
    <w:lvl w:ilvl="1">
      <w:start w:val="1"/>
      <w:numFmt w:val="decimal"/>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E55322"/>
    <w:multiLevelType w:val="hybridMultilevel"/>
    <w:tmpl w:val="8110A6FE"/>
    <w:lvl w:ilvl="0" w:tplc="5FE43786">
      <w:start w:val="3"/>
      <w:numFmt w:val="lowerLetter"/>
      <w:lvlText w:val="%1."/>
      <w:lvlJc w:val="left"/>
      <w:pPr>
        <w:tabs>
          <w:tab w:val="num" w:pos="1080"/>
        </w:tabs>
        <w:ind w:left="1080" w:hanging="360"/>
      </w:pPr>
      <w:rPr>
        <w:rFonts w:hint="default"/>
      </w:rPr>
    </w:lvl>
    <w:lvl w:ilvl="1" w:tplc="E722C5E4">
      <w:start w:val="3"/>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2786430"/>
    <w:multiLevelType w:val="hybridMultilevel"/>
    <w:tmpl w:val="BD7E2C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6E071C3"/>
    <w:multiLevelType w:val="multilevel"/>
    <w:tmpl w:val="9F3A073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2E3067"/>
    <w:multiLevelType w:val="hybridMultilevel"/>
    <w:tmpl w:val="8B4A3100"/>
    <w:lvl w:ilvl="0" w:tplc="DF5686E6">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EB016F6"/>
    <w:multiLevelType w:val="hybridMultilevel"/>
    <w:tmpl w:val="C9263BF0"/>
    <w:lvl w:ilvl="0" w:tplc="F1E8D9C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536AA8"/>
    <w:multiLevelType w:val="hybridMultilevel"/>
    <w:tmpl w:val="4A980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A4208"/>
    <w:multiLevelType w:val="singleLevel"/>
    <w:tmpl w:val="0409000F"/>
    <w:lvl w:ilvl="0">
      <w:start w:val="1"/>
      <w:numFmt w:val="decimal"/>
      <w:lvlText w:val="%1."/>
      <w:lvlJc w:val="left"/>
      <w:pPr>
        <w:tabs>
          <w:tab w:val="num" w:pos="720"/>
        </w:tabs>
        <w:ind w:left="720" w:hanging="360"/>
      </w:pPr>
    </w:lvl>
  </w:abstractNum>
  <w:abstractNum w:abstractNumId="8">
    <w:nsid w:val="1B1108A7"/>
    <w:multiLevelType w:val="hybridMultilevel"/>
    <w:tmpl w:val="0F045394"/>
    <w:lvl w:ilvl="0" w:tplc="83E69288">
      <w:start w:val="1"/>
      <w:numFmt w:val="decimal"/>
      <w:lvlText w:val="%1."/>
      <w:lvlJc w:val="left"/>
      <w:pPr>
        <w:tabs>
          <w:tab w:val="num" w:pos="360"/>
        </w:tabs>
        <w:ind w:left="360" w:hanging="360"/>
      </w:pPr>
      <w:rPr>
        <w:i w:val="0"/>
      </w:rPr>
    </w:lvl>
    <w:lvl w:ilvl="1" w:tplc="C26E7292">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DE04662"/>
    <w:multiLevelType w:val="hybridMultilevel"/>
    <w:tmpl w:val="CB724EC2"/>
    <w:lvl w:ilvl="0" w:tplc="D548B066">
      <w:start w:val="3"/>
      <w:numFmt w:val="decimal"/>
      <w:lvlText w:val="(%1)"/>
      <w:lvlJc w:val="left"/>
      <w:pPr>
        <w:tabs>
          <w:tab w:val="num" w:pos="1440"/>
        </w:tabs>
        <w:ind w:left="1440" w:hanging="720"/>
      </w:pPr>
      <w:rPr>
        <w:rFonts w:hint="default"/>
      </w:rPr>
    </w:lvl>
    <w:lvl w:ilvl="1" w:tplc="CABC14FC">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474457"/>
    <w:multiLevelType w:val="hybridMultilevel"/>
    <w:tmpl w:val="72B290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8854A2"/>
    <w:multiLevelType w:val="hybridMultilevel"/>
    <w:tmpl w:val="EECCCBC8"/>
    <w:lvl w:ilvl="0" w:tplc="FFFFFFFF">
      <w:start w:val="7"/>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2E45509B"/>
    <w:multiLevelType w:val="hybridMultilevel"/>
    <w:tmpl w:val="34167D30"/>
    <w:lvl w:ilvl="0" w:tplc="051205B2">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D71EAB"/>
    <w:multiLevelType w:val="singleLevel"/>
    <w:tmpl w:val="B51445BA"/>
    <w:lvl w:ilvl="0">
      <w:start w:val="1"/>
      <w:numFmt w:val="lowerRoman"/>
      <w:lvlText w:val="(%1.)"/>
      <w:lvlJc w:val="left"/>
      <w:pPr>
        <w:tabs>
          <w:tab w:val="num" w:pos="720"/>
        </w:tabs>
        <w:ind w:left="0" w:firstLine="0"/>
      </w:pPr>
    </w:lvl>
  </w:abstractNum>
  <w:abstractNum w:abstractNumId="14">
    <w:nsid w:val="31843F90"/>
    <w:multiLevelType w:val="multilevel"/>
    <w:tmpl w:val="E766B94E"/>
    <w:lvl w:ilvl="0">
      <w:start w:val="1"/>
      <w:numFmt w:val="decimal"/>
      <w:lvlText w:val="%1."/>
      <w:lvlJc w:val="left"/>
      <w:pPr>
        <w:tabs>
          <w:tab w:val="num" w:pos="432"/>
        </w:tabs>
        <w:ind w:left="432" w:hanging="432"/>
      </w:pPr>
      <w:rPr>
        <w:rFonts w:hint="default"/>
      </w:rPr>
    </w:lvl>
    <w:lvl w:ilvl="1">
      <w:start w:val="1"/>
      <w:numFmt w:val="upperLetter"/>
      <w:pStyle w:val="Stylelevel3"/>
      <w:lvlText w:val="%2."/>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3AD323C"/>
    <w:multiLevelType w:val="hybridMultilevel"/>
    <w:tmpl w:val="C7D25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D02625"/>
    <w:multiLevelType w:val="singleLevel"/>
    <w:tmpl w:val="0409000F"/>
    <w:lvl w:ilvl="0">
      <w:start w:val="2"/>
      <w:numFmt w:val="decimal"/>
      <w:lvlText w:val="%1."/>
      <w:lvlJc w:val="left"/>
      <w:pPr>
        <w:tabs>
          <w:tab w:val="num" w:pos="360"/>
        </w:tabs>
        <w:ind w:left="360" w:hanging="360"/>
      </w:pPr>
      <w:rPr>
        <w:rFonts w:hint="default"/>
      </w:rPr>
    </w:lvl>
  </w:abstractNum>
  <w:abstractNum w:abstractNumId="17">
    <w:nsid w:val="418A0684"/>
    <w:multiLevelType w:val="hybridMultilevel"/>
    <w:tmpl w:val="E252039C"/>
    <w:lvl w:ilvl="0" w:tplc="C5561E8C">
      <w:start w:val="3"/>
      <w:numFmt w:val="upperLetter"/>
      <w:lvlText w:val="%1."/>
      <w:lvlJc w:val="left"/>
      <w:pPr>
        <w:tabs>
          <w:tab w:val="num" w:pos="540"/>
        </w:tabs>
        <w:ind w:left="540" w:hanging="540"/>
      </w:pPr>
      <w:rPr>
        <w:rFonts w:hint="default"/>
      </w:rPr>
    </w:lvl>
    <w:lvl w:ilvl="1" w:tplc="02BC4B10">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4F120A4"/>
    <w:multiLevelType w:val="hybridMultilevel"/>
    <w:tmpl w:val="5416555C"/>
    <w:lvl w:ilvl="0" w:tplc="FFFFFFFF">
      <w:start w:val="2"/>
      <w:numFmt w:val="decimal"/>
      <w:lvlText w:val="%1."/>
      <w:lvlJc w:val="left"/>
      <w:pPr>
        <w:tabs>
          <w:tab w:val="num" w:pos="720"/>
        </w:tabs>
        <w:ind w:left="720" w:hanging="360"/>
      </w:pPr>
      <w:rPr>
        <w:rFonts w:hint="default"/>
      </w:rPr>
    </w:lvl>
    <w:lvl w:ilvl="1" w:tplc="FFFFFFFF">
      <w:start w:val="2"/>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8A22D1A"/>
    <w:multiLevelType w:val="multilevel"/>
    <w:tmpl w:val="68DC288E"/>
    <w:lvl w:ilvl="0">
      <w:start w:val="1"/>
      <w:numFmt w:val="decimal"/>
      <w:lvlText w:val="%1"/>
      <w:lvlJc w:val="left"/>
      <w:pPr>
        <w:tabs>
          <w:tab w:val="num" w:pos="432"/>
        </w:tabs>
        <w:ind w:left="432" w:hanging="432"/>
      </w:pPr>
      <w:rPr>
        <w:rFonts w:hint="default"/>
      </w:rPr>
    </w:lvl>
    <w:lvl w:ilvl="1">
      <w:start w:val="1"/>
      <w:numFmt w:val="upperLetter"/>
      <w:pStyle w:val="Style2level3"/>
      <w:lvlText w:val="%2."/>
      <w:lvlJc w:val="left"/>
      <w:pPr>
        <w:tabs>
          <w:tab w:val="num" w:pos="576"/>
        </w:tabs>
        <w:ind w:left="576" w:hanging="576"/>
      </w:pPr>
      <w:rPr>
        <w:rFonts w:hint="default"/>
      </w:rPr>
    </w:lvl>
    <w:lvl w:ilvl="2">
      <w:start w:val="1"/>
      <w:numFmt w:val="none"/>
      <w:lvlText w:val=""/>
      <w:lvlJc w:val="left"/>
      <w:pPr>
        <w:tabs>
          <w:tab w:val="num" w:pos="720"/>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9A32F5A"/>
    <w:multiLevelType w:val="hybridMultilevel"/>
    <w:tmpl w:val="E6F4D0A8"/>
    <w:lvl w:ilvl="0" w:tplc="F7B22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0C4FDE"/>
    <w:multiLevelType w:val="hybridMultilevel"/>
    <w:tmpl w:val="5BB83BC0"/>
    <w:lvl w:ilvl="0" w:tplc="267A60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B57D81"/>
    <w:multiLevelType w:val="hybridMultilevel"/>
    <w:tmpl w:val="3CD2C386"/>
    <w:lvl w:ilvl="0" w:tplc="444ECE4A">
      <w:start w:val="1"/>
      <w:numFmt w:val="lowerLetter"/>
      <w:lvlText w:val="%1."/>
      <w:lvlJc w:val="left"/>
      <w:pPr>
        <w:tabs>
          <w:tab w:val="num" w:pos="810"/>
        </w:tabs>
        <w:ind w:left="810" w:hanging="360"/>
      </w:pPr>
      <w:rPr>
        <w:rFonts w:hint="default"/>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3">
    <w:nsid w:val="549654C9"/>
    <w:multiLevelType w:val="hybridMultilevel"/>
    <w:tmpl w:val="BABC683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57193120"/>
    <w:multiLevelType w:val="hybridMultilevel"/>
    <w:tmpl w:val="1068E350"/>
    <w:lvl w:ilvl="0" w:tplc="FFFFFFFF">
      <w:start w:val="1"/>
      <w:numFmt w:val="decimal"/>
      <w:lvlText w:val="%1."/>
      <w:lvlJc w:val="left"/>
      <w:pPr>
        <w:tabs>
          <w:tab w:val="num" w:pos="2955"/>
        </w:tabs>
        <w:ind w:left="2955" w:hanging="295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66051604"/>
    <w:multiLevelType w:val="hybridMultilevel"/>
    <w:tmpl w:val="B23AD9CE"/>
    <w:lvl w:ilvl="0" w:tplc="DA14B862">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6">
    <w:nsid w:val="6C7D591E"/>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D2859D2"/>
    <w:multiLevelType w:val="hybridMultilevel"/>
    <w:tmpl w:val="26B8BA9A"/>
    <w:lvl w:ilvl="0" w:tplc="F21A75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01E7AB1"/>
    <w:multiLevelType w:val="multilevel"/>
    <w:tmpl w:val="867CCDB2"/>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6EC18FD"/>
    <w:multiLevelType w:val="singleLevel"/>
    <w:tmpl w:val="C95E96DA"/>
    <w:lvl w:ilvl="0">
      <w:start w:val="1"/>
      <w:numFmt w:val="lowerLetter"/>
      <w:lvlText w:val="(%1)"/>
      <w:lvlJc w:val="left"/>
      <w:pPr>
        <w:tabs>
          <w:tab w:val="num" w:pos="1080"/>
        </w:tabs>
        <w:ind w:left="1080" w:hanging="360"/>
      </w:pPr>
      <w:rPr>
        <w:rFonts w:hint="default"/>
      </w:rPr>
    </w:lvl>
  </w:abstractNum>
  <w:abstractNum w:abstractNumId="30">
    <w:nsid w:val="79267488"/>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1">
    <w:nsid w:val="7D0D2C57"/>
    <w:multiLevelType w:val="singleLevel"/>
    <w:tmpl w:val="9FCE3136"/>
    <w:lvl w:ilvl="0">
      <w:start w:val="2"/>
      <w:numFmt w:val="lowerLetter"/>
      <w:lvlText w:val="%1."/>
      <w:lvlJc w:val="left"/>
      <w:pPr>
        <w:tabs>
          <w:tab w:val="num" w:pos="360"/>
        </w:tabs>
        <w:ind w:left="360" w:hanging="360"/>
      </w:pPr>
      <w:rPr>
        <w:rFonts w:hint="default"/>
      </w:rPr>
    </w:lvl>
  </w:abstractNum>
  <w:num w:numId="1">
    <w:abstractNumId w:val="16"/>
  </w:num>
  <w:num w:numId="2">
    <w:abstractNumId w:val="28"/>
  </w:num>
  <w:num w:numId="3">
    <w:abstractNumId w:val="7"/>
  </w:num>
  <w:num w:numId="4">
    <w:abstractNumId w:val="31"/>
  </w:num>
  <w:num w:numId="5">
    <w:abstractNumId w:val="29"/>
  </w:num>
  <w:num w:numId="6">
    <w:abstractNumId w:val="13"/>
  </w:num>
  <w:num w:numId="7">
    <w:abstractNumId w:val="30"/>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2"/>
  </w:num>
  <w:num w:numId="10">
    <w:abstractNumId w:val="23"/>
  </w:num>
  <w:num w:numId="11">
    <w:abstractNumId w:val="25"/>
  </w:num>
  <w:num w:numId="12">
    <w:abstractNumId w:val="4"/>
  </w:num>
  <w:num w:numId="13">
    <w:abstractNumId w:val="1"/>
  </w:num>
  <w:num w:numId="14">
    <w:abstractNumId w:val="11"/>
  </w:num>
  <w:num w:numId="15">
    <w:abstractNumId w:val="9"/>
  </w:num>
  <w:num w:numId="16">
    <w:abstractNumId w:val="8"/>
  </w:num>
  <w:num w:numId="17">
    <w:abstractNumId w:val="19"/>
  </w:num>
  <w:num w:numId="18">
    <w:abstractNumId w:val="24"/>
  </w:num>
  <w:num w:numId="19">
    <w:abstractNumId w:val="18"/>
  </w:num>
  <w:num w:numId="20">
    <w:abstractNumId w:val="27"/>
  </w:num>
  <w:num w:numId="21">
    <w:abstractNumId w:val="14"/>
  </w:num>
  <w:num w:numId="22">
    <w:abstractNumId w:val="3"/>
  </w:num>
  <w:num w:numId="23">
    <w:abstractNumId w:val="17"/>
  </w:num>
  <w:num w:numId="24">
    <w:abstractNumId w:val="5"/>
  </w:num>
  <w:num w:numId="25">
    <w:abstractNumId w:val="22"/>
  </w:num>
  <w:num w:numId="26">
    <w:abstractNumId w:val="20"/>
  </w:num>
  <w:num w:numId="27">
    <w:abstractNumId w:val="2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0"/>
  </w:num>
  <w:num w:numId="31">
    <w:abstractNumId w:val="2"/>
  </w:num>
  <w:num w:numId="32">
    <w:abstractNumId w:val="2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53"/>
    <w:rsid w:val="00014174"/>
    <w:rsid w:val="00024660"/>
    <w:rsid w:val="00025D7D"/>
    <w:rsid w:val="00026503"/>
    <w:rsid w:val="00026E7B"/>
    <w:rsid w:val="0003367C"/>
    <w:rsid w:val="00037576"/>
    <w:rsid w:val="00037957"/>
    <w:rsid w:val="00037A73"/>
    <w:rsid w:val="00042993"/>
    <w:rsid w:val="00044F0F"/>
    <w:rsid w:val="000476E4"/>
    <w:rsid w:val="00064DCD"/>
    <w:rsid w:val="00066AE0"/>
    <w:rsid w:val="00073169"/>
    <w:rsid w:val="00076D44"/>
    <w:rsid w:val="0008297E"/>
    <w:rsid w:val="00093BFF"/>
    <w:rsid w:val="00094A08"/>
    <w:rsid w:val="000A4B68"/>
    <w:rsid w:val="000A6BFE"/>
    <w:rsid w:val="000A7B22"/>
    <w:rsid w:val="000B07F7"/>
    <w:rsid w:val="000B324D"/>
    <w:rsid w:val="000C348C"/>
    <w:rsid w:val="000E17D3"/>
    <w:rsid w:val="000E1981"/>
    <w:rsid w:val="000F3EAC"/>
    <w:rsid w:val="000F5B5D"/>
    <w:rsid w:val="000F5DC9"/>
    <w:rsid w:val="001019B5"/>
    <w:rsid w:val="001045B7"/>
    <w:rsid w:val="00104AA6"/>
    <w:rsid w:val="001065A7"/>
    <w:rsid w:val="00107FA8"/>
    <w:rsid w:val="001108C3"/>
    <w:rsid w:val="001172BA"/>
    <w:rsid w:val="001263B7"/>
    <w:rsid w:val="0014243D"/>
    <w:rsid w:val="00146002"/>
    <w:rsid w:val="00150A25"/>
    <w:rsid w:val="00151A60"/>
    <w:rsid w:val="00154718"/>
    <w:rsid w:val="00170118"/>
    <w:rsid w:val="00177A96"/>
    <w:rsid w:val="00181625"/>
    <w:rsid w:val="00181FC3"/>
    <w:rsid w:val="00192ACD"/>
    <w:rsid w:val="00192D02"/>
    <w:rsid w:val="00194563"/>
    <w:rsid w:val="00197777"/>
    <w:rsid w:val="001A464F"/>
    <w:rsid w:val="001B71DD"/>
    <w:rsid w:val="001C05FE"/>
    <w:rsid w:val="001C1082"/>
    <w:rsid w:val="001D07BF"/>
    <w:rsid w:val="001D3921"/>
    <w:rsid w:val="001D4823"/>
    <w:rsid w:val="001D7764"/>
    <w:rsid w:val="001E0974"/>
    <w:rsid w:val="001E53D8"/>
    <w:rsid w:val="001E6FE4"/>
    <w:rsid w:val="001E7714"/>
    <w:rsid w:val="001F5DAD"/>
    <w:rsid w:val="00210664"/>
    <w:rsid w:val="00211119"/>
    <w:rsid w:val="00214B61"/>
    <w:rsid w:val="00225093"/>
    <w:rsid w:val="00233A6A"/>
    <w:rsid w:val="0023417A"/>
    <w:rsid w:val="00234539"/>
    <w:rsid w:val="00235642"/>
    <w:rsid w:val="00243D1C"/>
    <w:rsid w:val="002448A2"/>
    <w:rsid w:val="00260639"/>
    <w:rsid w:val="0026626F"/>
    <w:rsid w:val="00266B0E"/>
    <w:rsid w:val="00270075"/>
    <w:rsid w:val="002764EC"/>
    <w:rsid w:val="00287AA0"/>
    <w:rsid w:val="0029728A"/>
    <w:rsid w:val="002A4955"/>
    <w:rsid w:val="002A4B7C"/>
    <w:rsid w:val="002B1C09"/>
    <w:rsid w:val="002B2C27"/>
    <w:rsid w:val="002C6046"/>
    <w:rsid w:val="002C61DE"/>
    <w:rsid w:val="002D202B"/>
    <w:rsid w:val="002E2180"/>
    <w:rsid w:val="002E4049"/>
    <w:rsid w:val="002F3288"/>
    <w:rsid w:val="002F5B36"/>
    <w:rsid w:val="00307ACA"/>
    <w:rsid w:val="00307E53"/>
    <w:rsid w:val="0031291B"/>
    <w:rsid w:val="00315E53"/>
    <w:rsid w:val="003320FD"/>
    <w:rsid w:val="00332927"/>
    <w:rsid w:val="00351D6E"/>
    <w:rsid w:val="0036326F"/>
    <w:rsid w:val="0037535D"/>
    <w:rsid w:val="0038438D"/>
    <w:rsid w:val="003950FF"/>
    <w:rsid w:val="003B2505"/>
    <w:rsid w:val="003B3DFD"/>
    <w:rsid w:val="003B6785"/>
    <w:rsid w:val="003C3E26"/>
    <w:rsid w:val="003D7145"/>
    <w:rsid w:val="003E08E1"/>
    <w:rsid w:val="003E1872"/>
    <w:rsid w:val="003F2B26"/>
    <w:rsid w:val="00404F41"/>
    <w:rsid w:val="00414D9A"/>
    <w:rsid w:val="00451F18"/>
    <w:rsid w:val="00461EB4"/>
    <w:rsid w:val="00470B52"/>
    <w:rsid w:val="0047426F"/>
    <w:rsid w:val="004777AC"/>
    <w:rsid w:val="00480FEA"/>
    <w:rsid w:val="00481442"/>
    <w:rsid w:val="004828A6"/>
    <w:rsid w:val="0048498A"/>
    <w:rsid w:val="00486767"/>
    <w:rsid w:val="00497FF7"/>
    <w:rsid w:val="004A050F"/>
    <w:rsid w:val="004B4756"/>
    <w:rsid w:val="004B50EC"/>
    <w:rsid w:val="004D2F5B"/>
    <w:rsid w:val="004E236A"/>
    <w:rsid w:val="004F6100"/>
    <w:rsid w:val="00512D99"/>
    <w:rsid w:val="00525467"/>
    <w:rsid w:val="005403A7"/>
    <w:rsid w:val="00540CB1"/>
    <w:rsid w:val="00551799"/>
    <w:rsid w:val="00555C80"/>
    <w:rsid w:val="00556DE6"/>
    <w:rsid w:val="0056031E"/>
    <w:rsid w:val="00562A31"/>
    <w:rsid w:val="005639A8"/>
    <w:rsid w:val="005724AD"/>
    <w:rsid w:val="005916F0"/>
    <w:rsid w:val="005B1CBD"/>
    <w:rsid w:val="005B4C87"/>
    <w:rsid w:val="005D5075"/>
    <w:rsid w:val="005D7C0D"/>
    <w:rsid w:val="005F5F0F"/>
    <w:rsid w:val="006015D1"/>
    <w:rsid w:val="00603582"/>
    <w:rsid w:val="00607FF5"/>
    <w:rsid w:val="0062010E"/>
    <w:rsid w:val="00623BE3"/>
    <w:rsid w:val="00625396"/>
    <w:rsid w:val="006306AD"/>
    <w:rsid w:val="00634E6F"/>
    <w:rsid w:val="00645817"/>
    <w:rsid w:val="00656497"/>
    <w:rsid w:val="0065740E"/>
    <w:rsid w:val="00665A1B"/>
    <w:rsid w:val="006665A4"/>
    <w:rsid w:val="00667A13"/>
    <w:rsid w:val="0067767C"/>
    <w:rsid w:val="00680671"/>
    <w:rsid w:val="00687487"/>
    <w:rsid w:val="00691242"/>
    <w:rsid w:val="0069283D"/>
    <w:rsid w:val="0069747A"/>
    <w:rsid w:val="006B3080"/>
    <w:rsid w:val="006F369A"/>
    <w:rsid w:val="00713BD4"/>
    <w:rsid w:val="00720D67"/>
    <w:rsid w:val="007210DC"/>
    <w:rsid w:val="0073343A"/>
    <w:rsid w:val="00737594"/>
    <w:rsid w:val="00740A77"/>
    <w:rsid w:val="00742643"/>
    <w:rsid w:val="00743319"/>
    <w:rsid w:val="007446EE"/>
    <w:rsid w:val="00745C51"/>
    <w:rsid w:val="00752F79"/>
    <w:rsid w:val="00753336"/>
    <w:rsid w:val="0075535B"/>
    <w:rsid w:val="00755EC8"/>
    <w:rsid w:val="007564ED"/>
    <w:rsid w:val="00776D4E"/>
    <w:rsid w:val="00780660"/>
    <w:rsid w:val="0078311F"/>
    <w:rsid w:val="0078487A"/>
    <w:rsid w:val="007875EF"/>
    <w:rsid w:val="007A3261"/>
    <w:rsid w:val="007B17FC"/>
    <w:rsid w:val="007B49CF"/>
    <w:rsid w:val="007C0615"/>
    <w:rsid w:val="007C2DA8"/>
    <w:rsid w:val="007D5ADA"/>
    <w:rsid w:val="007E00A2"/>
    <w:rsid w:val="007E50C5"/>
    <w:rsid w:val="007F053E"/>
    <w:rsid w:val="007F0C43"/>
    <w:rsid w:val="00806A83"/>
    <w:rsid w:val="008074C4"/>
    <w:rsid w:val="008127EA"/>
    <w:rsid w:val="00814CF5"/>
    <w:rsid w:val="008211CD"/>
    <w:rsid w:val="00823FAF"/>
    <w:rsid w:val="008277C8"/>
    <w:rsid w:val="008376A5"/>
    <w:rsid w:val="00841CE1"/>
    <w:rsid w:val="00844B33"/>
    <w:rsid w:val="00854279"/>
    <w:rsid w:val="00862C90"/>
    <w:rsid w:val="008846CE"/>
    <w:rsid w:val="008873C7"/>
    <w:rsid w:val="00890DF4"/>
    <w:rsid w:val="00891910"/>
    <w:rsid w:val="008960C6"/>
    <w:rsid w:val="008966E7"/>
    <w:rsid w:val="008A0C03"/>
    <w:rsid w:val="008A0F8B"/>
    <w:rsid w:val="008A4E39"/>
    <w:rsid w:val="008A51A4"/>
    <w:rsid w:val="008D6DB4"/>
    <w:rsid w:val="008D770F"/>
    <w:rsid w:val="008F14AE"/>
    <w:rsid w:val="008F622E"/>
    <w:rsid w:val="0090246D"/>
    <w:rsid w:val="0091061F"/>
    <w:rsid w:val="00917E18"/>
    <w:rsid w:val="009209EF"/>
    <w:rsid w:val="009317A1"/>
    <w:rsid w:val="0093631B"/>
    <w:rsid w:val="00940762"/>
    <w:rsid w:val="00946757"/>
    <w:rsid w:val="00950149"/>
    <w:rsid w:val="00954CF1"/>
    <w:rsid w:val="00961F60"/>
    <w:rsid w:val="0096527E"/>
    <w:rsid w:val="009678F3"/>
    <w:rsid w:val="0097010D"/>
    <w:rsid w:val="00970266"/>
    <w:rsid w:val="00982A5D"/>
    <w:rsid w:val="00983A2A"/>
    <w:rsid w:val="00984547"/>
    <w:rsid w:val="00990A22"/>
    <w:rsid w:val="009943AE"/>
    <w:rsid w:val="009A0ACC"/>
    <w:rsid w:val="009A27FE"/>
    <w:rsid w:val="009B202F"/>
    <w:rsid w:val="009B273C"/>
    <w:rsid w:val="009C43F7"/>
    <w:rsid w:val="009C5E8D"/>
    <w:rsid w:val="009C68B6"/>
    <w:rsid w:val="009D219D"/>
    <w:rsid w:val="009D3FEB"/>
    <w:rsid w:val="009D6E81"/>
    <w:rsid w:val="009E6CCA"/>
    <w:rsid w:val="009E7064"/>
    <w:rsid w:val="009F47EF"/>
    <w:rsid w:val="00A11533"/>
    <w:rsid w:val="00A1574D"/>
    <w:rsid w:val="00A2168E"/>
    <w:rsid w:val="00A2476D"/>
    <w:rsid w:val="00A3764F"/>
    <w:rsid w:val="00A37FF2"/>
    <w:rsid w:val="00A42B8A"/>
    <w:rsid w:val="00A461A9"/>
    <w:rsid w:val="00A47A81"/>
    <w:rsid w:val="00A51F06"/>
    <w:rsid w:val="00A537F2"/>
    <w:rsid w:val="00A55DEF"/>
    <w:rsid w:val="00A62369"/>
    <w:rsid w:val="00A711D4"/>
    <w:rsid w:val="00A752F3"/>
    <w:rsid w:val="00A8766C"/>
    <w:rsid w:val="00A91726"/>
    <w:rsid w:val="00A91BB1"/>
    <w:rsid w:val="00AA0F07"/>
    <w:rsid w:val="00AA17AD"/>
    <w:rsid w:val="00AA4A23"/>
    <w:rsid w:val="00AA5E6E"/>
    <w:rsid w:val="00AB3B22"/>
    <w:rsid w:val="00AB5E84"/>
    <w:rsid w:val="00AB6603"/>
    <w:rsid w:val="00AC169D"/>
    <w:rsid w:val="00AC6AF0"/>
    <w:rsid w:val="00AF06C9"/>
    <w:rsid w:val="00AF4448"/>
    <w:rsid w:val="00B06D90"/>
    <w:rsid w:val="00B11635"/>
    <w:rsid w:val="00B13DDB"/>
    <w:rsid w:val="00B142D8"/>
    <w:rsid w:val="00B2010E"/>
    <w:rsid w:val="00B265D2"/>
    <w:rsid w:val="00B30385"/>
    <w:rsid w:val="00B345AA"/>
    <w:rsid w:val="00B41C8B"/>
    <w:rsid w:val="00B46773"/>
    <w:rsid w:val="00B51EF1"/>
    <w:rsid w:val="00B62E3B"/>
    <w:rsid w:val="00B668B5"/>
    <w:rsid w:val="00B76AB5"/>
    <w:rsid w:val="00B80A91"/>
    <w:rsid w:val="00B952F9"/>
    <w:rsid w:val="00BA725C"/>
    <w:rsid w:val="00BB04AF"/>
    <w:rsid w:val="00BB0F00"/>
    <w:rsid w:val="00BC5D47"/>
    <w:rsid w:val="00BD5E53"/>
    <w:rsid w:val="00BE264E"/>
    <w:rsid w:val="00BE4F13"/>
    <w:rsid w:val="00BE7F07"/>
    <w:rsid w:val="00BF0352"/>
    <w:rsid w:val="00C337A5"/>
    <w:rsid w:val="00C42895"/>
    <w:rsid w:val="00C465F8"/>
    <w:rsid w:val="00C5173B"/>
    <w:rsid w:val="00C53C59"/>
    <w:rsid w:val="00C75AA1"/>
    <w:rsid w:val="00CA2AD5"/>
    <w:rsid w:val="00CA7189"/>
    <w:rsid w:val="00CB5DC7"/>
    <w:rsid w:val="00CB63D8"/>
    <w:rsid w:val="00CC1180"/>
    <w:rsid w:val="00CC4EE1"/>
    <w:rsid w:val="00CD3FCD"/>
    <w:rsid w:val="00CE19E3"/>
    <w:rsid w:val="00CE443D"/>
    <w:rsid w:val="00CE5489"/>
    <w:rsid w:val="00CE5C4B"/>
    <w:rsid w:val="00CE7316"/>
    <w:rsid w:val="00CE7FE1"/>
    <w:rsid w:val="00CF6982"/>
    <w:rsid w:val="00D009AD"/>
    <w:rsid w:val="00D01D47"/>
    <w:rsid w:val="00D06C7D"/>
    <w:rsid w:val="00D13E2E"/>
    <w:rsid w:val="00D24761"/>
    <w:rsid w:val="00D33B06"/>
    <w:rsid w:val="00D35E61"/>
    <w:rsid w:val="00D4602B"/>
    <w:rsid w:val="00D467D9"/>
    <w:rsid w:val="00D54507"/>
    <w:rsid w:val="00D54613"/>
    <w:rsid w:val="00D64327"/>
    <w:rsid w:val="00D65011"/>
    <w:rsid w:val="00D67E07"/>
    <w:rsid w:val="00D76A0A"/>
    <w:rsid w:val="00D774C5"/>
    <w:rsid w:val="00D83A6A"/>
    <w:rsid w:val="00D84CC4"/>
    <w:rsid w:val="00D90B70"/>
    <w:rsid w:val="00DA5296"/>
    <w:rsid w:val="00DA56FF"/>
    <w:rsid w:val="00DC2D8D"/>
    <w:rsid w:val="00DC5D39"/>
    <w:rsid w:val="00DD04B4"/>
    <w:rsid w:val="00DD59E5"/>
    <w:rsid w:val="00DD6C4C"/>
    <w:rsid w:val="00DD6D7F"/>
    <w:rsid w:val="00DD7BB6"/>
    <w:rsid w:val="00DE1004"/>
    <w:rsid w:val="00DE562E"/>
    <w:rsid w:val="00DF4F48"/>
    <w:rsid w:val="00E00351"/>
    <w:rsid w:val="00E00471"/>
    <w:rsid w:val="00E029BA"/>
    <w:rsid w:val="00E0342D"/>
    <w:rsid w:val="00E1104A"/>
    <w:rsid w:val="00E1602F"/>
    <w:rsid w:val="00E170A5"/>
    <w:rsid w:val="00E27D96"/>
    <w:rsid w:val="00E40419"/>
    <w:rsid w:val="00E408CC"/>
    <w:rsid w:val="00E4319D"/>
    <w:rsid w:val="00E5280C"/>
    <w:rsid w:val="00E528ED"/>
    <w:rsid w:val="00E54B7C"/>
    <w:rsid w:val="00E602C3"/>
    <w:rsid w:val="00E60C15"/>
    <w:rsid w:val="00E63B90"/>
    <w:rsid w:val="00E6737D"/>
    <w:rsid w:val="00E70B5C"/>
    <w:rsid w:val="00E72DCC"/>
    <w:rsid w:val="00E7550A"/>
    <w:rsid w:val="00E863C0"/>
    <w:rsid w:val="00EA4FDC"/>
    <w:rsid w:val="00EA6800"/>
    <w:rsid w:val="00EB297A"/>
    <w:rsid w:val="00EB328F"/>
    <w:rsid w:val="00EC10C3"/>
    <w:rsid w:val="00EC1440"/>
    <w:rsid w:val="00EC5FFE"/>
    <w:rsid w:val="00EC7846"/>
    <w:rsid w:val="00ED5ED0"/>
    <w:rsid w:val="00EE7EBC"/>
    <w:rsid w:val="00EF1926"/>
    <w:rsid w:val="00F12B08"/>
    <w:rsid w:val="00F152AE"/>
    <w:rsid w:val="00F15319"/>
    <w:rsid w:val="00F21487"/>
    <w:rsid w:val="00F2518D"/>
    <w:rsid w:val="00F253FF"/>
    <w:rsid w:val="00F27B23"/>
    <w:rsid w:val="00F31D5D"/>
    <w:rsid w:val="00F33C9F"/>
    <w:rsid w:val="00F3574A"/>
    <w:rsid w:val="00F379CA"/>
    <w:rsid w:val="00F54DDA"/>
    <w:rsid w:val="00F63F20"/>
    <w:rsid w:val="00F65FB9"/>
    <w:rsid w:val="00F6733F"/>
    <w:rsid w:val="00F73904"/>
    <w:rsid w:val="00F82263"/>
    <w:rsid w:val="00F83B8A"/>
    <w:rsid w:val="00F900A1"/>
    <w:rsid w:val="00F9337F"/>
    <w:rsid w:val="00F949B4"/>
    <w:rsid w:val="00F970CC"/>
    <w:rsid w:val="00FA213A"/>
    <w:rsid w:val="00FA786F"/>
    <w:rsid w:val="00FB4FF7"/>
    <w:rsid w:val="00FB54FC"/>
    <w:rsid w:val="00FB6B5B"/>
    <w:rsid w:val="00FC0443"/>
    <w:rsid w:val="00FC37EB"/>
    <w:rsid w:val="00FC42A7"/>
    <w:rsid w:val="00FD359C"/>
    <w:rsid w:val="00FD5081"/>
    <w:rsid w:val="00FD7BC0"/>
    <w:rsid w:val="00FE6DA1"/>
    <w:rsid w:val="00FE7B15"/>
    <w:rsid w:val="00FF1C79"/>
    <w:rsid w:val="00FF3224"/>
    <w:rsid w:val="00FF3A33"/>
    <w:rsid w:val="00FF65CA"/>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7"/>
      </w:numPr>
      <w:jc w:val="center"/>
      <w:outlineLvl w:val="0"/>
    </w:pPr>
    <w:rPr>
      <w:b/>
      <w:szCs w:val="20"/>
    </w:rPr>
  </w:style>
  <w:style w:type="paragraph" w:styleId="Heading2">
    <w:name w:val="heading 2"/>
    <w:basedOn w:val="Normal"/>
    <w:next w:val="Normal"/>
    <w:qFormat/>
    <w:pPr>
      <w:keepNext/>
      <w:numPr>
        <w:ilvl w:val="1"/>
        <w:numId w:val="7"/>
      </w:numPr>
      <w:outlineLvl w:val="1"/>
    </w:pPr>
    <w:rPr>
      <w:b/>
      <w:szCs w:val="20"/>
    </w:rPr>
  </w:style>
  <w:style w:type="paragraph" w:styleId="Heading3">
    <w:name w:val="heading 3"/>
    <w:basedOn w:val="Normal"/>
    <w:next w:val="Normal"/>
    <w:qFormat/>
    <w:pPr>
      <w:keepNext/>
      <w:numPr>
        <w:ilvl w:val="2"/>
        <w:numId w:val="7"/>
      </w:numPr>
      <w:jc w:val="center"/>
      <w:outlineLvl w:val="2"/>
    </w:pPr>
    <w:rPr>
      <w:b/>
      <w:sz w:val="28"/>
      <w:szCs w:val="20"/>
    </w:rPr>
  </w:style>
  <w:style w:type="paragraph" w:styleId="Heading4">
    <w:name w:val="heading 4"/>
    <w:basedOn w:val="Normal"/>
    <w:next w:val="Normal"/>
    <w:qFormat/>
    <w:pPr>
      <w:keepNext/>
      <w:numPr>
        <w:ilvl w:val="3"/>
        <w:numId w:val="7"/>
      </w:numPr>
      <w:jc w:val="center"/>
      <w:outlineLvl w:val="3"/>
    </w:pPr>
    <w:rPr>
      <w:sz w:val="28"/>
      <w:szCs w:val="20"/>
    </w:rPr>
  </w:style>
  <w:style w:type="paragraph" w:styleId="Heading5">
    <w:name w:val="heading 5"/>
    <w:basedOn w:val="Normal"/>
    <w:next w:val="Normal"/>
    <w:qFormat/>
    <w:pPr>
      <w:keepNext/>
      <w:numPr>
        <w:ilvl w:val="4"/>
        <w:numId w:val="7"/>
      </w:numPr>
      <w:outlineLvl w:val="4"/>
    </w:pPr>
    <w:rPr>
      <w:b/>
      <w:szCs w:val="20"/>
    </w:rPr>
  </w:style>
  <w:style w:type="paragraph" w:styleId="Heading6">
    <w:name w:val="heading 6"/>
    <w:basedOn w:val="Normal"/>
    <w:next w:val="Normal"/>
    <w:qFormat/>
    <w:pPr>
      <w:keepNext/>
      <w:numPr>
        <w:ilvl w:val="5"/>
        <w:numId w:val="7"/>
      </w:numPr>
      <w:outlineLvl w:val="5"/>
    </w:pPr>
    <w:rPr>
      <w:szCs w:val="20"/>
    </w:rPr>
  </w:style>
  <w:style w:type="paragraph" w:styleId="Heading7">
    <w:name w:val="heading 7"/>
    <w:basedOn w:val="Normal"/>
    <w:next w:val="Normal"/>
    <w:qFormat/>
    <w:pPr>
      <w:keepNext/>
      <w:numPr>
        <w:ilvl w:val="6"/>
        <w:numId w:val="7"/>
      </w:numPr>
      <w:jc w:val="center"/>
      <w:outlineLvl w:val="6"/>
    </w:pPr>
    <w:rPr>
      <w:b/>
      <w:bCs/>
      <w:sz w:val="22"/>
      <w:szCs w:val="20"/>
    </w:rPr>
  </w:style>
  <w:style w:type="paragraph" w:styleId="Heading8">
    <w:name w:val="heading 8"/>
    <w:basedOn w:val="Normal"/>
    <w:next w:val="Normal"/>
    <w:qFormat/>
    <w:pPr>
      <w:keepNext/>
      <w:numPr>
        <w:ilvl w:val="7"/>
        <w:numId w:val="7"/>
      </w:numPr>
      <w:jc w:val="center"/>
      <w:outlineLvl w:val="7"/>
    </w:pPr>
    <w:rPr>
      <w:b/>
      <w:szCs w:val="20"/>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vel2">
    <w:name w:val="Style level 2"/>
    <w:basedOn w:val="Heading2"/>
    <w:pPr>
      <w:widowControl w:val="0"/>
      <w:numPr>
        <w:ilvl w:val="0"/>
        <w:numId w:val="0"/>
      </w:numPr>
      <w:tabs>
        <w:tab w:val="left" w:pos="2952"/>
        <w:tab w:val="left" w:pos="5004"/>
        <w:tab w:val="left" w:pos="6804"/>
      </w:tabs>
      <w:autoSpaceDE w:val="0"/>
      <w:autoSpaceDN w:val="0"/>
      <w:spacing w:before="240" w:after="120"/>
    </w:pPr>
    <w:rPr>
      <w:rFonts w:ascii="Arial Black" w:hAnsi="Arial Black" w:cs="Arial"/>
      <w:b w:val="0"/>
      <w:bCs/>
      <w:szCs w:val="24"/>
    </w:rPr>
  </w:style>
  <w:style w:type="paragraph" w:customStyle="1" w:styleId="Style2level3">
    <w:name w:val="Style2 level 3"/>
    <w:basedOn w:val="Stylelevel2"/>
    <w:pPr>
      <w:numPr>
        <w:ilvl w:val="1"/>
        <w:numId w:val="17"/>
      </w:numPr>
    </w:pPr>
  </w:style>
  <w:style w:type="paragraph" w:customStyle="1" w:styleId="Stylelevel3">
    <w:name w:val="Style level 3"/>
    <w:basedOn w:val="Normal"/>
    <w:pPr>
      <w:numPr>
        <w:ilvl w:val="1"/>
        <w:numId w:val="21"/>
      </w:numPr>
      <w:spacing w:after="240"/>
    </w:pPr>
  </w:style>
  <w:style w:type="paragraph" w:styleId="BodyText">
    <w:name w:val="Body Text"/>
    <w:basedOn w:val="Normal"/>
    <w:rPr>
      <w:szCs w:val="20"/>
    </w:rPr>
  </w:style>
  <w:style w:type="paragraph" w:styleId="TOC1">
    <w:name w:val="toc 1"/>
    <w:basedOn w:val="Normal"/>
    <w:next w:val="Normal"/>
    <w:autoRedefine/>
    <w:uiPriority w:val="39"/>
    <w:pPr>
      <w:tabs>
        <w:tab w:val="left" w:pos="360"/>
        <w:tab w:val="right" w:leader="dot" w:pos="9350"/>
      </w:tabs>
    </w:pPr>
    <w:rPr>
      <w:sz w:val="20"/>
      <w:szCs w:val="20"/>
    </w:rPr>
  </w:style>
  <w:style w:type="paragraph" w:styleId="TOC2">
    <w:name w:val="toc 2"/>
    <w:basedOn w:val="Normal"/>
    <w:next w:val="Normal"/>
    <w:autoRedefine/>
    <w:uiPriority w:val="39"/>
    <w:rsid w:val="000B324D"/>
    <w:pPr>
      <w:tabs>
        <w:tab w:val="right" w:leader="dot" w:pos="9350"/>
      </w:tabs>
      <w:ind w:left="720" w:hanging="360"/>
    </w:pPr>
    <w:rPr>
      <w:sz w:val="20"/>
      <w:szCs w:val="20"/>
    </w:rPr>
  </w:style>
  <w:style w:type="paragraph" w:styleId="NormalWeb">
    <w:name w:val="Normal (Web)"/>
    <w:basedOn w:val="Normal"/>
    <w:pPr>
      <w:spacing w:before="100" w:beforeAutospacing="1" w:after="100" w:afterAutospacing="1"/>
    </w:pPr>
    <w:rPr>
      <w:color w:val="000000"/>
    </w:rPr>
  </w:style>
  <w:style w:type="character" w:styleId="Hyperlink">
    <w:name w:val="Hyperlink"/>
    <w:rPr>
      <w:color w:val="0000FF"/>
      <w:u w:val="single"/>
    </w:rPr>
  </w:style>
  <w:style w:type="paragraph" w:styleId="TableofFigures">
    <w:name w:val="table of figures"/>
    <w:basedOn w:val="Normal"/>
    <w:next w:val="Normal"/>
    <w:uiPriority w:val="99"/>
    <w:pPr>
      <w:ind w:left="400" w:hanging="400"/>
    </w:pPr>
    <w:rPr>
      <w:sz w:val="20"/>
      <w:szCs w:val="20"/>
    </w:rPr>
  </w:style>
  <w:style w:type="paragraph" w:styleId="BodyTextIndent3">
    <w:name w:val="Body Text Indent 3"/>
    <w:basedOn w:val="Normal"/>
    <w:pPr>
      <w:spacing w:before="100" w:beforeAutospacing="1" w:after="100" w:afterAutospacing="1"/>
    </w:pPr>
  </w:style>
  <w:style w:type="character" w:styleId="FootnoteReference">
    <w:name w:val="footnote reference"/>
    <w:semiHidden/>
    <w:rPr>
      <w:vertAlign w:val="superscript"/>
    </w:rPr>
  </w:style>
  <w:style w:type="paragraph" w:styleId="Caption">
    <w:name w:val="caption"/>
    <w:basedOn w:val="Normal"/>
    <w:next w:val="Normal"/>
    <w:qFormat/>
    <w:rPr>
      <w:b/>
      <w:bCs/>
      <w:sz w:val="20"/>
      <w:szCs w:val="20"/>
    </w:rPr>
  </w:style>
  <w:style w:type="paragraph" w:customStyle="1" w:styleId="BodyText1">
    <w:name w:val="Body Text1"/>
    <w:basedOn w:val="Normal"/>
    <w:pPr>
      <w:spacing w:after="200" w:line="360" w:lineRule="auto"/>
      <w:ind w:firstLine="432"/>
    </w:pPr>
    <w:rPr>
      <w:sz w:val="22"/>
      <w:szCs w:val="20"/>
    </w:rPr>
  </w:style>
  <w:style w:type="paragraph" w:customStyle="1" w:styleId="bullets">
    <w:name w:val="bullets"/>
    <w:basedOn w:val="Normal"/>
    <w:pPr>
      <w:spacing w:after="120"/>
      <w:ind w:left="806" w:hanging="374"/>
    </w:pPr>
    <w:rPr>
      <w:sz w:val="22"/>
      <w:szCs w:val="20"/>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Footer">
    <w:name w:val="footer"/>
    <w:basedOn w:val="Normal"/>
    <w:rsid w:val="000B324D"/>
    <w:pPr>
      <w:tabs>
        <w:tab w:val="center" w:pos="4320"/>
        <w:tab w:val="right" w:pos="8640"/>
      </w:tabs>
      <w:jc w:val="right"/>
    </w:pPr>
    <w:rPr>
      <w:sz w:val="20"/>
      <w:szCs w:val="20"/>
    </w:rPr>
  </w:style>
  <w:style w:type="paragraph" w:styleId="Header">
    <w:name w:val="header"/>
    <w:basedOn w:val="Normal"/>
    <w:pPr>
      <w:tabs>
        <w:tab w:val="center" w:pos="4320"/>
        <w:tab w:val="right" w:pos="8640"/>
      </w:tabs>
    </w:pPr>
    <w:rPr>
      <w:sz w:val="20"/>
      <w:szCs w:val="20"/>
    </w:rPr>
  </w:style>
  <w:style w:type="paragraph" w:customStyle="1" w:styleId="italic">
    <w:name w:val="italic"/>
    <w:basedOn w:val="Normal"/>
    <w:pPr>
      <w:spacing w:before="100" w:beforeAutospacing="1" w:after="100" w:afterAutospacing="1"/>
    </w:pPr>
    <w:rPr>
      <w:i/>
      <w:i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blocktext2">
    <w:name w:val="block text 2"/>
    <w:basedOn w:val="BlockText"/>
    <w:pPr>
      <w:ind w:left="0" w:right="0"/>
    </w:pPr>
    <w:rPr>
      <w:rFonts w:ascii="Arial" w:hAnsi="Arial" w:cs="Arial"/>
      <w:sz w:val="22"/>
      <w:szCs w:val="22"/>
    </w:rPr>
  </w:style>
  <w:style w:type="character" w:customStyle="1" w:styleId="blocktext2Char">
    <w:name w:val="block text 2 Char"/>
    <w:rPr>
      <w:rFonts w:ascii="Arial" w:hAnsi="Arial" w:cs="Arial"/>
      <w:sz w:val="22"/>
      <w:szCs w:val="22"/>
      <w:lang w:val="en-US" w:eastAsia="en-US" w:bidi="ar-SA"/>
    </w:rPr>
  </w:style>
  <w:style w:type="paragraph" w:styleId="BlockText">
    <w:name w:val="Block Text"/>
    <w:basedOn w:val="Normal"/>
    <w:pPr>
      <w:spacing w:after="120"/>
      <w:ind w:left="1440" w:right="1440"/>
    </w:pPr>
  </w:style>
  <w:style w:type="paragraph" w:styleId="ListParagraph">
    <w:name w:val="List Paragraph"/>
    <w:basedOn w:val="Normal"/>
    <w:uiPriority w:val="34"/>
    <w:qFormat/>
    <w:rsid w:val="00B2010E"/>
    <w:pPr>
      <w:ind w:left="720"/>
    </w:pPr>
  </w:style>
  <w:style w:type="table" w:styleId="TableGrid">
    <w:name w:val="Table Grid"/>
    <w:basedOn w:val="TableNormal"/>
    <w:rsid w:val="00B4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7"/>
      </w:numPr>
      <w:jc w:val="center"/>
      <w:outlineLvl w:val="0"/>
    </w:pPr>
    <w:rPr>
      <w:b/>
      <w:szCs w:val="20"/>
    </w:rPr>
  </w:style>
  <w:style w:type="paragraph" w:styleId="Heading2">
    <w:name w:val="heading 2"/>
    <w:basedOn w:val="Normal"/>
    <w:next w:val="Normal"/>
    <w:qFormat/>
    <w:pPr>
      <w:keepNext/>
      <w:numPr>
        <w:ilvl w:val="1"/>
        <w:numId w:val="7"/>
      </w:numPr>
      <w:outlineLvl w:val="1"/>
    </w:pPr>
    <w:rPr>
      <w:b/>
      <w:szCs w:val="20"/>
    </w:rPr>
  </w:style>
  <w:style w:type="paragraph" w:styleId="Heading3">
    <w:name w:val="heading 3"/>
    <w:basedOn w:val="Normal"/>
    <w:next w:val="Normal"/>
    <w:qFormat/>
    <w:pPr>
      <w:keepNext/>
      <w:numPr>
        <w:ilvl w:val="2"/>
        <w:numId w:val="7"/>
      </w:numPr>
      <w:jc w:val="center"/>
      <w:outlineLvl w:val="2"/>
    </w:pPr>
    <w:rPr>
      <w:b/>
      <w:sz w:val="28"/>
      <w:szCs w:val="20"/>
    </w:rPr>
  </w:style>
  <w:style w:type="paragraph" w:styleId="Heading4">
    <w:name w:val="heading 4"/>
    <w:basedOn w:val="Normal"/>
    <w:next w:val="Normal"/>
    <w:qFormat/>
    <w:pPr>
      <w:keepNext/>
      <w:numPr>
        <w:ilvl w:val="3"/>
        <w:numId w:val="7"/>
      </w:numPr>
      <w:jc w:val="center"/>
      <w:outlineLvl w:val="3"/>
    </w:pPr>
    <w:rPr>
      <w:sz w:val="28"/>
      <w:szCs w:val="20"/>
    </w:rPr>
  </w:style>
  <w:style w:type="paragraph" w:styleId="Heading5">
    <w:name w:val="heading 5"/>
    <w:basedOn w:val="Normal"/>
    <w:next w:val="Normal"/>
    <w:qFormat/>
    <w:pPr>
      <w:keepNext/>
      <w:numPr>
        <w:ilvl w:val="4"/>
        <w:numId w:val="7"/>
      </w:numPr>
      <w:outlineLvl w:val="4"/>
    </w:pPr>
    <w:rPr>
      <w:b/>
      <w:szCs w:val="20"/>
    </w:rPr>
  </w:style>
  <w:style w:type="paragraph" w:styleId="Heading6">
    <w:name w:val="heading 6"/>
    <w:basedOn w:val="Normal"/>
    <w:next w:val="Normal"/>
    <w:qFormat/>
    <w:pPr>
      <w:keepNext/>
      <w:numPr>
        <w:ilvl w:val="5"/>
        <w:numId w:val="7"/>
      </w:numPr>
      <w:outlineLvl w:val="5"/>
    </w:pPr>
    <w:rPr>
      <w:szCs w:val="20"/>
    </w:rPr>
  </w:style>
  <w:style w:type="paragraph" w:styleId="Heading7">
    <w:name w:val="heading 7"/>
    <w:basedOn w:val="Normal"/>
    <w:next w:val="Normal"/>
    <w:qFormat/>
    <w:pPr>
      <w:keepNext/>
      <w:numPr>
        <w:ilvl w:val="6"/>
        <w:numId w:val="7"/>
      </w:numPr>
      <w:jc w:val="center"/>
      <w:outlineLvl w:val="6"/>
    </w:pPr>
    <w:rPr>
      <w:b/>
      <w:bCs/>
      <w:sz w:val="22"/>
      <w:szCs w:val="20"/>
    </w:rPr>
  </w:style>
  <w:style w:type="paragraph" w:styleId="Heading8">
    <w:name w:val="heading 8"/>
    <w:basedOn w:val="Normal"/>
    <w:next w:val="Normal"/>
    <w:qFormat/>
    <w:pPr>
      <w:keepNext/>
      <w:numPr>
        <w:ilvl w:val="7"/>
        <w:numId w:val="7"/>
      </w:numPr>
      <w:jc w:val="center"/>
      <w:outlineLvl w:val="7"/>
    </w:pPr>
    <w:rPr>
      <w:b/>
      <w:szCs w:val="20"/>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vel2">
    <w:name w:val="Style level 2"/>
    <w:basedOn w:val="Heading2"/>
    <w:pPr>
      <w:widowControl w:val="0"/>
      <w:numPr>
        <w:ilvl w:val="0"/>
        <w:numId w:val="0"/>
      </w:numPr>
      <w:tabs>
        <w:tab w:val="left" w:pos="2952"/>
        <w:tab w:val="left" w:pos="5004"/>
        <w:tab w:val="left" w:pos="6804"/>
      </w:tabs>
      <w:autoSpaceDE w:val="0"/>
      <w:autoSpaceDN w:val="0"/>
      <w:spacing w:before="240" w:after="120"/>
    </w:pPr>
    <w:rPr>
      <w:rFonts w:ascii="Arial Black" w:hAnsi="Arial Black" w:cs="Arial"/>
      <w:b w:val="0"/>
      <w:bCs/>
      <w:szCs w:val="24"/>
    </w:rPr>
  </w:style>
  <w:style w:type="paragraph" w:customStyle="1" w:styleId="Style2level3">
    <w:name w:val="Style2 level 3"/>
    <w:basedOn w:val="Stylelevel2"/>
    <w:pPr>
      <w:numPr>
        <w:ilvl w:val="1"/>
        <w:numId w:val="17"/>
      </w:numPr>
    </w:pPr>
  </w:style>
  <w:style w:type="paragraph" w:customStyle="1" w:styleId="Stylelevel3">
    <w:name w:val="Style level 3"/>
    <w:basedOn w:val="Normal"/>
    <w:pPr>
      <w:numPr>
        <w:ilvl w:val="1"/>
        <w:numId w:val="21"/>
      </w:numPr>
      <w:spacing w:after="240"/>
    </w:pPr>
  </w:style>
  <w:style w:type="paragraph" w:styleId="BodyText">
    <w:name w:val="Body Text"/>
    <w:basedOn w:val="Normal"/>
    <w:rPr>
      <w:szCs w:val="20"/>
    </w:rPr>
  </w:style>
  <w:style w:type="paragraph" w:styleId="TOC1">
    <w:name w:val="toc 1"/>
    <w:basedOn w:val="Normal"/>
    <w:next w:val="Normal"/>
    <w:autoRedefine/>
    <w:uiPriority w:val="39"/>
    <w:pPr>
      <w:tabs>
        <w:tab w:val="left" w:pos="360"/>
        <w:tab w:val="right" w:leader="dot" w:pos="9350"/>
      </w:tabs>
    </w:pPr>
    <w:rPr>
      <w:sz w:val="20"/>
      <w:szCs w:val="20"/>
    </w:rPr>
  </w:style>
  <w:style w:type="paragraph" w:styleId="TOC2">
    <w:name w:val="toc 2"/>
    <w:basedOn w:val="Normal"/>
    <w:next w:val="Normal"/>
    <w:autoRedefine/>
    <w:uiPriority w:val="39"/>
    <w:rsid w:val="000B324D"/>
    <w:pPr>
      <w:tabs>
        <w:tab w:val="right" w:leader="dot" w:pos="9350"/>
      </w:tabs>
      <w:ind w:left="720" w:hanging="360"/>
    </w:pPr>
    <w:rPr>
      <w:sz w:val="20"/>
      <w:szCs w:val="20"/>
    </w:rPr>
  </w:style>
  <w:style w:type="paragraph" w:styleId="NormalWeb">
    <w:name w:val="Normal (Web)"/>
    <w:basedOn w:val="Normal"/>
    <w:pPr>
      <w:spacing w:before="100" w:beforeAutospacing="1" w:after="100" w:afterAutospacing="1"/>
    </w:pPr>
    <w:rPr>
      <w:color w:val="000000"/>
    </w:rPr>
  </w:style>
  <w:style w:type="character" w:styleId="Hyperlink">
    <w:name w:val="Hyperlink"/>
    <w:rPr>
      <w:color w:val="0000FF"/>
      <w:u w:val="single"/>
    </w:rPr>
  </w:style>
  <w:style w:type="paragraph" w:styleId="TableofFigures">
    <w:name w:val="table of figures"/>
    <w:basedOn w:val="Normal"/>
    <w:next w:val="Normal"/>
    <w:uiPriority w:val="99"/>
    <w:pPr>
      <w:ind w:left="400" w:hanging="400"/>
    </w:pPr>
    <w:rPr>
      <w:sz w:val="20"/>
      <w:szCs w:val="20"/>
    </w:rPr>
  </w:style>
  <w:style w:type="paragraph" w:styleId="BodyTextIndent3">
    <w:name w:val="Body Text Indent 3"/>
    <w:basedOn w:val="Normal"/>
    <w:pPr>
      <w:spacing w:before="100" w:beforeAutospacing="1" w:after="100" w:afterAutospacing="1"/>
    </w:pPr>
  </w:style>
  <w:style w:type="character" w:styleId="FootnoteReference">
    <w:name w:val="footnote reference"/>
    <w:semiHidden/>
    <w:rPr>
      <w:vertAlign w:val="superscript"/>
    </w:rPr>
  </w:style>
  <w:style w:type="paragraph" w:styleId="Caption">
    <w:name w:val="caption"/>
    <w:basedOn w:val="Normal"/>
    <w:next w:val="Normal"/>
    <w:qFormat/>
    <w:rPr>
      <w:b/>
      <w:bCs/>
      <w:sz w:val="20"/>
      <w:szCs w:val="20"/>
    </w:rPr>
  </w:style>
  <w:style w:type="paragraph" w:customStyle="1" w:styleId="BodyText1">
    <w:name w:val="Body Text1"/>
    <w:basedOn w:val="Normal"/>
    <w:pPr>
      <w:spacing w:after="200" w:line="360" w:lineRule="auto"/>
      <w:ind w:firstLine="432"/>
    </w:pPr>
    <w:rPr>
      <w:sz w:val="22"/>
      <w:szCs w:val="20"/>
    </w:rPr>
  </w:style>
  <w:style w:type="paragraph" w:customStyle="1" w:styleId="bullets">
    <w:name w:val="bullets"/>
    <w:basedOn w:val="Normal"/>
    <w:pPr>
      <w:spacing w:after="120"/>
      <w:ind w:left="806" w:hanging="374"/>
    </w:pPr>
    <w:rPr>
      <w:sz w:val="22"/>
      <w:szCs w:val="20"/>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Footer">
    <w:name w:val="footer"/>
    <w:basedOn w:val="Normal"/>
    <w:rsid w:val="000B324D"/>
    <w:pPr>
      <w:tabs>
        <w:tab w:val="center" w:pos="4320"/>
        <w:tab w:val="right" w:pos="8640"/>
      </w:tabs>
      <w:jc w:val="right"/>
    </w:pPr>
    <w:rPr>
      <w:sz w:val="20"/>
      <w:szCs w:val="20"/>
    </w:rPr>
  </w:style>
  <w:style w:type="paragraph" w:styleId="Header">
    <w:name w:val="header"/>
    <w:basedOn w:val="Normal"/>
    <w:pPr>
      <w:tabs>
        <w:tab w:val="center" w:pos="4320"/>
        <w:tab w:val="right" w:pos="8640"/>
      </w:tabs>
    </w:pPr>
    <w:rPr>
      <w:sz w:val="20"/>
      <w:szCs w:val="20"/>
    </w:rPr>
  </w:style>
  <w:style w:type="paragraph" w:customStyle="1" w:styleId="italic">
    <w:name w:val="italic"/>
    <w:basedOn w:val="Normal"/>
    <w:pPr>
      <w:spacing w:before="100" w:beforeAutospacing="1" w:after="100" w:afterAutospacing="1"/>
    </w:pPr>
    <w:rPr>
      <w:i/>
      <w:i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blocktext2">
    <w:name w:val="block text 2"/>
    <w:basedOn w:val="BlockText"/>
    <w:pPr>
      <w:ind w:left="0" w:right="0"/>
    </w:pPr>
    <w:rPr>
      <w:rFonts w:ascii="Arial" w:hAnsi="Arial" w:cs="Arial"/>
      <w:sz w:val="22"/>
      <w:szCs w:val="22"/>
    </w:rPr>
  </w:style>
  <w:style w:type="character" w:customStyle="1" w:styleId="blocktext2Char">
    <w:name w:val="block text 2 Char"/>
    <w:rPr>
      <w:rFonts w:ascii="Arial" w:hAnsi="Arial" w:cs="Arial"/>
      <w:sz w:val="22"/>
      <w:szCs w:val="22"/>
      <w:lang w:val="en-US" w:eastAsia="en-US" w:bidi="ar-SA"/>
    </w:rPr>
  </w:style>
  <w:style w:type="paragraph" w:styleId="BlockText">
    <w:name w:val="Block Text"/>
    <w:basedOn w:val="Normal"/>
    <w:pPr>
      <w:spacing w:after="120"/>
      <w:ind w:left="1440" w:right="1440"/>
    </w:pPr>
  </w:style>
  <w:style w:type="paragraph" w:styleId="ListParagraph">
    <w:name w:val="List Paragraph"/>
    <w:basedOn w:val="Normal"/>
    <w:uiPriority w:val="34"/>
    <w:qFormat/>
    <w:rsid w:val="00B2010E"/>
    <w:pPr>
      <w:ind w:left="720"/>
    </w:pPr>
  </w:style>
  <w:style w:type="table" w:styleId="TableGrid">
    <w:name w:val="Table Grid"/>
    <w:basedOn w:val="TableNormal"/>
    <w:rsid w:val="00B4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5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idrr.rti.org/main/reports/gpra/index.cfm?method=rpt_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idrr.rti.org/main/reports/gpra/index.cfm?method=rpt_3.1"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nidrr.rti.org/main/reports/gpra/index.cfm?method=rpt_1.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bls.gov/oes/current/oes191099.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omb/mgmt-gpra/index-gp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DD29-4AE8-4C97-A4FD-D5DE9291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4342</Words>
  <Characters>24754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DoED</Company>
  <LinksUpToDate>false</LinksUpToDate>
  <CharactersWithSpaces>29038</CharactersWithSpaces>
  <SharedDoc>false</SharedDoc>
  <HLinks>
    <vt:vector size="36" baseType="variant">
      <vt:variant>
        <vt:i4>4194328</vt:i4>
      </vt:variant>
      <vt:variant>
        <vt:i4>72</vt:i4>
      </vt:variant>
      <vt:variant>
        <vt:i4>0</vt:i4>
      </vt:variant>
      <vt:variant>
        <vt:i4>5</vt:i4>
      </vt:variant>
      <vt:variant>
        <vt:lpwstr>https://www.bls.gov/oes/current/oes191099.htm</vt:lpwstr>
      </vt:variant>
      <vt:variant>
        <vt:lpwstr/>
      </vt:variant>
      <vt:variant>
        <vt:i4>1703980</vt:i4>
      </vt:variant>
      <vt:variant>
        <vt:i4>66</vt:i4>
      </vt:variant>
      <vt:variant>
        <vt:i4>0</vt:i4>
      </vt:variant>
      <vt:variant>
        <vt:i4>5</vt:i4>
      </vt:variant>
      <vt:variant>
        <vt:lpwstr>http://nidrr.rti.org/main/reports/gpra/index.cfm?method=rpt_2.3</vt:lpwstr>
      </vt:variant>
      <vt:variant>
        <vt:lpwstr/>
      </vt:variant>
      <vt:variant>
        <vt:i4>1703981</vt:i4>
      </vt:variant>
      <vt:variant>
        <vt:i4>63</vt:i4>
      </vt:variant>
      <vt:variant>
        <vt:i4>0</vt:i4>
      </vt:variant>
      <vt:variant>
        <vt:i4>5</vt:i4>
      </vt:variant>
      <vt:variant>
        <vt:lpwstr>http://nidrr.rti.org/main/reports/gpra/index.cfm?method=rpt_3.1</vt:lpwstr>
      </vt:variant>
      <vt:variant>
        <vt:lpwstr/>
      </vt:variant>
      <vt:variant>
        <vt:i4>1703983</vt:i4>
      </vt:variant>
      <vt:variant>
        <vt:i4>60</vt:i4>
      </vt:variant>
      <vt:variant>
        <vt:i4>0</vt:i4>
      </vt:variant>
      <vt:variant>
        <vt:i4>5</vt:i4>
      </vt:variant>
      <vt:variant>
        <vt:lpwstr>http://nidrr.rti.org/main/reports/gpra/index.cfm?method=rpt_1.2</vt:lpwstr>
      </vt:variant>
      <vt:variant>
        <vt:lpwstr/>
      </vt:variant>
      <vt:variant>
        <vt:i4>1572925</vt:i4>
      </vt:variant>
      <vt:variant>
        <vt:i4>53</vt:i4>
      </vt:variant>
      <vt:variant>
        <vt:i4>0</vt:i4>
      </vt:variant>
      <vt:variant>
        <vt:i4>5</vt:i4>
      </vt:variant>
      <vt:variant>
        <vt:lpwstr/>
      </vt:variant>
      <vt:variant>
        <vt:lpwstr>_Toc447299706</vt:lpwstr>
      </vt:variant>
      <vt:variant>
        <vt:i4>8257652</vt:i4>
      </vt:variant>
      <vt:variant>
        <vt:i4>0</vt:i4>
      </vt:variant>
      <vt:variant>
        <vt:i4>0</vt:i4>
      </vt:variant>
      <vt:variant>
        <vt:i4>5</vt:i4>
      </vt:variant>
      <vt:variant>
        <vt:lpwstr>http://www.whitehouse.gov/omb/mgmt-gpra/index-gpra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Mary.Darnell</dc:creator>
  <cp:lastModifiedBy>Windows User</cp:lastModifiedBy>
  <cp:revision>11</cp:revision>
  <cp:lastPrinted>2017-05-10T02:37:00Z</cp:lastPrinted>
  <dcterms:created xsi:type="dcterms:W3CDTF">2017-06-28T18:14:00Z</dcterms:created>
  <dcterms:modified xsi:type="dcterms:W3CDTF">2017-07-04T15:50:00Z</dcterms:modified>
</cp:coreProperties>
</file>