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12"/>
        <w:tblW w:w="14963" w:type="dxa"/>
        <w:tblLayout w:type="fixed"/>
        <w:tblLook w:val="04A0" w:firstRow="1" w:lastRow="0" w:firstColumn="1" w:lastColumn="0" w:noHBand="0" w:noVBand="1"/>
      </w:tblPr>
      <w:tblGrid>
        <w:gridCol w:w="339"/>
        <w:gridCol w:w="2362"/>
        <w:gridCol w:w="411"/>
        <w:gridCol w:w="411"/>
        <w:gridCol w:w="411"/>
        <w:gridCol w:w="411"/>
        <w:gridCol w:w="933"/>
        <w:gridCol w:w="1891"/>
        <w:gridCol w:w="288"/>
        <w:gridCol w:w="1671"/>
        <w:gridCol w:w="345"/>
        <w:gridCol w:w="1745"/>
        <w:gridCol w:w="278"/>
        <w:gridCol w:w="272"/>
        <w:gridCol w:w="440"/>
        <w:gridCol w:w="220"/>
        <w:gridCol w:w="220"/>
        <w:gridCol w:w="52"/>
        <w:gridCol w:w="278"/>
        <w:gridCol w:w="303"/>
        <w:gridCol w:w="272"/>
        <w:gridCol w:w="278"/>
        <w:gridCol w:w="39"/>
        <w:gridCol w:w="213"/>
        <w:gridCol w:w="132"/>
        <w:gridCol w:w="508"/>
        <w:gridCol w:w="240"/>
      </w:tblGrid>
      <w:tr w:rsidR="00133B78" w:rsidRPr="00FC48A7" w:rsidTr="0019550C">
        <w:trPr>
          <w:trHeight w:val="804"/>
        </w:trPr>
        <w:tc>
          <w:tcPr>
            <w:tcW w:w="7169" w:type="dxa"/>
            <w:gridSpan w:val="8"/>
            <w:tcBorders>
              <w:top w:val="single" w:sz="12" w:space="0" w:color="auto"/>
              <w:left w:val="single" w:sz="12" w:space="0" w:color="auto"/>
              <w:bottom w:val="nil"/>
              <w:right w:val="nil"/>
            </w:tcBorders>
            <w:shd w:val="clear" w:color="auto" w:fill="auto"/>
            <w:noWrap/>
            <w:vAlign w:val="center"/>
            <w:hideMark/>
          </w:tcPr>
          <w:p w:rsidR="00133B78" w:rsidRPr="00B77C84" w:rsidRDefault="00133B78" w:rsidP="0019550C">
            <w:pPr>
              <w:keepNext w:val="0"/>
              <w:spacing w:after="0"/>
              <w:ind w:left="0"/>
              <w:rPr>
                <w:rFonts w:ascii="Arial" w:hAnsi="Arial" w:cs="Arial"/>
                <w:b/>
                <w:bCs/>
              </w:rPr>
            </w:pPr>
            <w:r w:rsidRPr="00B77C84">
              <w:rPr>
                <w:rFonts w:ascii="Arial" w:hAnsi="Arial" w:cs="Arial"/>
                <w:b/>
                <w:bCs/>
              </w:rPr>
              <w:t xml:space="preserve">  </w:t>
            </w:r>
            <w:bookmarkStart w:id="0" w:name="RANGE!A1:S30"/>
            <w:r w:rsidRPr="00B77C84">
              <w:rPr>
                <w:rFonts w:ascii="Arial" w:hAnsi="Arial" w:cs="Arial"/>
                <w:b/>
                <w:bCs/>
              </w:rPr>
              <w:t>BUREAU OF LABOR STATISTICS</w:t>
            </w:r>
            <w:bookmarkEnd w:id="0"/>
          </w:p>
        </w:tc>
        <w:tc>
          <w:tcPr>
            <w:tcW w:w="288" w:type="dxa"/>
            <w:tcBorders>
              <w:top w:val="single" w:sz="12" w:space="0" w:color="auto"/>
              <w:left w:val="nil"/>
              <w:bottom w:val="nil"/>
              <w:right w:val="nil"/>
            </w:tcBorders>
            <w:shd w:val="clear" w:color="auto" w:fill="auto"/>
            <w:noWrap/>
            <w:vAlign w:val="bottom"/>
            <w:hideMark/>
          </w:tcPr>
          <w:p w:rsidR="00133B78" w:rsidRPr="00FC48A7" w:rsidRDefault="00133B78" w:rsidP="0019550C">
            <w:r w:rsidRPr="00FC48A7">
              <w:t> </w:t>
            </w:r>
          </w:p>
        </w:tc>
        <w:tc>
          <w:tcPr>
            <w:tcW w:w="1671" w:type="dxa"/>
            <w:tcBorders>
              <w:top w:val="single" w:sz="12" w:space="0" w:color="auto"/>
              <w:left w:val="nil"/>
              <w:bottom w:val="nil"/>
              <w:right w:val="nil"/>
            </w:tcBorders>
            <w:shd w:val="clear" w:color="auto" w:fill="auto"/>
            <w:noWrap/>
            <w:vAlign w:val="bottom"/>
            <w:hideMark/>
          </w:tcPr>
          <w:p w:rsidR="00133B78" w:rsidRPr="00FC48A7" w:rsidRDefault="00133B78" w:rsidP="0019550C">
            <w:r w:rsidRPr="00FC48A7">
              <w:t> </w:t>
            </w:r>
          </w:p>
        </w:tc>
        <w:tc>
          <w:tcPr>
            <w:tcW w:w="345" w:type="dxa"/>
            <w:tcBorders>
              <w:top w:val="single" w:sz="12" w:space="0" w:color="auto"/>
              <w:left w:val="nil"/>
              <w:bottom w:val="nil"/>
              <w:right w:val="nil"/>
            </w:tcBorders>
            <w:shd w:val="clear" w:color="auto" w:fill="auto"/>
            <w:noWrap/>
            <w:vAlign w:val="bottom"/>
            <w:hideMark/>
          </w:tcPr>
          <w:p w:rsidR="00133B78" w:rsidRPr="00FC48A7" w:rsidRDefault="00133B78" w:rsidP="0019550C">
            <w:r w:rsidRPr="00FC48A7">
              <w:t> </w:t>
            </w:r>
          </w:p>
        </w:tc>
        <w:tc>
          <w:tcPr>
            <w:tcW w:w="3175" w:type="dxa"/>
            <w:gridSpan w:val="6"/>
            <w:tcBorders>
              <w:top w:val="single" w:sz="12" w:space="0" w:color="auto"/>
              <w:left w:val="nil"/>
              <w:bottom w:val="nil"/>
              <w:right w:val="nil"/>
            </w:tcBorders>
            <w:shd w:val="clear" w:color="auto" w:fill="auto"/>
            <w:noWrap/>
            <w:vAlign w:val="center"/>
            <w:hideMark/>
          </w:tcPr>
          <w:p w:rsidR="00133B78" w:rsidRPr="00B77C84" w:rsidRDefault="00133B78" w:rsidP="0019550C">
            <w:pPr>
              <w:keepNext w:val="0"/>
              <w:spacing w:after="0"/>
              <w:ind w:left="0"/>
              <w:jc w:val="right"/>
              <w:rPr>
                <w:rFonts w:ascii="Arial" w:hAnsi="Arial" w:cs="Arial"/>
                <w:b/>
                <w:bCs/>
              </w:rPr>
            </w:pPr>
            <w:r w:rsidRPr="00B77C84">
              <w:rPr>
                <w:rFonts w:ascii="Arial" w:hAnsi="Arial" w:cs="Arial"/>
                <w:b/>
                <w:bCs/>
              </w:rPr>
              <w:t>U.S. DEPARTMENT OF LABOR</w:t>
            </w:r>
          </w:p>
        </w:tc>
        <w:tc>
          <w:tcPr>
            <w:tcW w:w="1435" w:type="dxa"/>
            <w:gridSpan w:val="7"/>
            <w:tcBorders>
              <w:top w:val="single" w:sz="12" w:space="0" w:color="auto"/>
              <w:left w:val="nil"/>
              <w:bottom w:val="nil"/>
              <w:right w:val="nil"/>
            </w:tcBorders>
            <w:shd w:val="clear" w:color="auto" w:fill="auto"/>
            <w:noWrap/>
            <w:vAlign w:val="bottom"/>
            <w:hideMark/>
          </w:tcPr>
          <w:p w:rsidR="00133B78" w:rsidRPr="00FC48A7" w:rsidRDefault="00133B78" w:rsidP="0019550C">
            <w:r w:rsidRPr="00FC48A7">
              <w:rPr>
                <w:noProof/>
              </w:rPr>
              <w:drawing>
                <wp:anchor distT="0" distB="0" distL="114300" distR="114300" simplePos="0" relativeHeight="251659264" behindDoc="0" locked="0" layoutInCell="1" allowOverlap="1" wp14:anchorId="0F3A1EEA" wp14:editId="43C0A384">
                  <wp:simplePos x="0" y="0"/>
                  <wp:positionH relativeFrom="column">
                    <wp:posOffset>767715</wp:posOffset>
                  </wp:positionH>
                  <wp:positionV relativeFrom="paragraph">
                    <wp:posOffset>-251460</wp:posOffset>
                  </wp:positionV>
                  <wp:extent cx="514350" cy="495300"/>
                  <wp:effectExtent l="19050" t="0" r="0" b="0"/>
                  <wp:wrapNone/>
                  <wp:docPr id="5"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5"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c>
          <w:tcPr>
            <w:tcW w:w="880" w:type="dxa"/>
            <w:gridSpan w:val="3"/>
            <w:tcBorders>
              <w:top w:val="single" w:sz="12" w:space="0" w:color="auto"/>
              <w:left w:val="nil"/>
              <w:bottom w:val="nil"/>
              <w:right w:val="single" w:sz="12" w:space="0" w:color="auto"/>
            </w:tcBorders>
            <w:shd w:val="clear" w:color="auto" w:fill="auto"/>
            <w:noWrap/>
            <w:vAlign w:val="bottom"/>
            <w:hideMark/>
          </w:tcPr>
          <w:p w:rsidR="00133B78" w:rsidRPr="00FC48A7" w:rsidRDefault="00133B78" w:rsidP="0019550C">
            <w:r w:rsidRPr="00FC48A7">
              <w:t> </w:t>
            </w:r>
          </w:p>
        </w:tc>
      </w:tr>
      <w:tr w:rsidR="00133B78" w:rsidRPr="00FC48A7" w:rsidTr="0019550C">
        <w:trPr>
          <w:trHeight w:val="804"/>
        </w:trPr>
        <w:tc>
          <w:tcPr>
            <w:tcW w:w="14963" w:type="dxa"/>
            <w:gridSpan w:val="27"/>
            <w:tcBorders>
              <w:top w:val="nil"/>
              <w:left w:val="single" w:sz="12" w:space="0" w:color="auto"/>
              <w:bottom w:val="single" w:sz="4" w:space="0" w:color="auto"/>
              <w:right w:val="single" w:sz="12" w:space="0" w:color="auto"/>
            </w:tcBorders>
            <w:shd w:val="clear" w:color="auto" w:fill="auto"/>
            <w:noWrap/>
            <w:vAlign w:val="center"/>
            <w:hideMark/>
          </w:tcPr>
          <w:p w:rsidR="00133B78" w:rsidRPr="00073E57" w:rsidRDefault="00133B78" w:rsidP="0019550C">
            <w:pPr>
              <w:pStyle w:val="Heading2"/>
              <w:jc w:val="center"/>
              <w:rPr>
                <w:rFonts w:ascii="Arial" w:hAnsi="Arial" w:cs="Arial"/>
                <w:sz w:val="20"/>
              </w:rPr>
            </w:pPr>
            <w:bookmarkStart w:id="1" w:name="_Toc483981374"/>
            <w:r w:rsidRPr="00073E57">
              <w:rPr>
                <w:rFonts w:ascii="Arial" w:hAnsi="Arial" w:cs="Arial"/>
                <w:sz w:val="20"/>
              </w:rPr>
              <w:t>BLS OSHS FINANCIAL RECONCILIATION WORKSHEET (FRW)</w:t>
            </w:r>
            <w:bookmarkEnd w:id="1"/>
          </w:p>
        </w:tc>
      </w:tr>
      <w:tr w:rsidR="00133B78" w:rsidRPr="00FC48A7" w:rsidTr="0019550C">
        <w:trPr>
          <w:trHeight w:val="709"/>
        </w:trPr>
        <w:tc>
          <w:tcPr>
            <w:tcW w:w="12648" w:type="dxa"/>
            <w:gridSpan w:val="17"/>
            <w:tcBorders>
              <w:top w:val="single" w:sz="4" w:space="0" w:color="auto"/>
              <w:left w:val="single" w:sz="12" w:space="0" w:color="auto"/>
              <w:bottom w:val="single" w:sz="4" w:space="0" w:color="auto"/>
              <w:right w:val="single" w:sz="4" w:space="0" w:color="000000"/>
            </w:tcBorders>
            <w:shd w:val="clear" w:color="auto" w:fill="auto"/>
            <w:vAlign w:val="center"/>
            <w:hideMark/>
          </w:tcPr>
          <w:p w:rsidR="00133B78" w:rsidRPr="00B77C84" w:rsidRDefault="00133B78" w:rsidP="0019550C">
            <w:pPr>
              <w:keepNext w:val="0"/>
              <w:spacing w:after="0"/>
              <w:ind w:left="0"/>
              <w:rPr>
                <w:rFonts w:ascii="Arial" w:hAnsi="Arial" w:cs="Arial"/>
                <w:sz w:val="14"/>
                <w:szCs w:val="14"/>
              </w:rPr>
            </w:pPr>
            <w:r w:rsidRPr="00B77C84">
              <w:rPr>
                <w:rFonts w:ascii="Arial" w:hAnsi="Arial" w:cs="Arial"/>
                <w:sz w:val="14"/>
                <w:szCs w:val="14"/>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315" w:type="dxa"/>
            <w:gridSpan w:val="10"/>
            <w:tcBorders>
              <w:top w:val="single" w:sz="4" w:space="0" w:color="auto"/>
              <w:left w:val="nil"/>
              <w:bottom w:val="single" w:sz="4" w:space="0" w:color="auto"/>
              <w:right w:val="single" w:sz="12" w:space="0" w:color="auto"/>
            </w:tcBorders>
            <w:shd w:val="clear" w:color="auto" w:fill="auto"/>
            <w:vAlign w:val="center"/>
            <w:hideMark/>
          </w:tcPr>
          <w:p w:rsidR="00133B78" w:rsidRPr="00651D38" w:rsidRDefault="00133B78" w:rsidP="0019550C">
            <w:pPr>
              <w:keepNext w:val="0"/>
              <w:spacing w:after="200" w:line="276" w:lineRule="auto"/>
              <w:ind w:left="0"/>
              <w:jc w:val="center"/>
              <w:rPr>
                <w:rFonts w:ascii="Arial" w:hAnsi="Arial" w:cs="Arial"/>
                <w:sz w:val="14"/>
                <w:szCs w:val="14"/>
              </w:rPr>
            </w:pPr>
            <w:r w:rsidRPr="00651D38">
              <w:rPr>
                <w:rFonts w:ascii="Arial" w:hAnsi="Arial" w:cs="Arial"/>
                <w:sz w:val="14"/>
                <w:szCs w:val="14"/>
              </w:rPr>
              <w:t>OMB No. 1220-0149</w:t>
            </w:r>
            <w:r w:rsidRPr="00651D38">
              <w:rPr>
                <w:rFonts w:ascii="Arial" w:hAnsi="Arial" w:cs="Arial"/>
                <w:sz w:val="14"/>
                <w:szCs w:val="14"/>
              </w:rPr>
              <w:br/>
              <w:t xml:space="preserve">Approval Expires </w:t>
            </w:r>
            <w:r>
              <w:rPr>
                <w:rFonts w:ascii="Arial" w:hAnsi="Arial" w:cs="Arial"/>
                <w:sz w:val="14"/>
                <w:szCs w:val="14"/>
              </w:rPr>
              <w:t>05</w:t>
            </w:r>
            <w:r w:rsidRPr="00651D38">
              <w:rPr>
                <w:rFonts w:ascii="Arial" w:hAnsi="Arial" w:cs="Arial"/>
                <w:sz w:val="14"/>
                <w:szCs w:val="14"/>
              </w:rPr>
              <w:t>-</w:t>
            </w:r>
            <w:r>
              <w:rPr>
                <w:rFonts w:ascii="Arial" w:hAnsi="Arial" w:cs="Arial"/>
                <w:sz w:val="14"/>
                <w:szCs w:val="14"/>
              </w:rPr>
              <w:t>31</w:t>
            </w:r>
            <w:r w:rsidRPr="00651D38">
              <w:rPr>
                <w:rFonts w:ascii="Arial" w:hAnsi="Arial" w:cs="Arial"/>
                <w:sz w:val="14"/>
                <w:szCs w:val="14"/>
              </w:rPr>
              <w:t>-</w:t>
            </w:r>
            <w:r>
              <w:rPr>
                <w:rFonts w:ascii="Arial" w:hAnsi="Arial" w:cs="Arial"/>
                <w:sz w:val="14"/>
                <w:szCs w:val="14"/>
              </w:rPr>
              <w:t>2018</w:t>
            </w:r>
          </w:p>
        </w:tc>
      </w:tr>
      <w:tr w:rsidR="00133B78" w:rsidRPr="00FC48A7" w:rsidTr="0019550C">
        <w:trPr>
          <w:trHeight w:val="499"/>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State Grant Agency (SGA):</w:t>
            </w:r>
          </w:p>
        </w:tc>
        <w:tc>
          <w:tcPr>
            <w:tcW w:w="8106" w:type="dxa"/>
            <w:gridSpan w:val="9"/>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Date:</w:t>
            </w:r>
          </w:p>
        </w:tc>
        <w:tc>
          <w:tcPr>
            <w:tcW w:w="1073" w:type="dxa"/>
            <w:gridSpan w:val="5"/>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4"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48" w:type="dxa"/>
            <w:gridSpan w:val="2"/>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99"/>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99"/>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CA #:</w:t>
            </w:r>
          </w:p>
        </w:tc>
        <w:tc>
          <w:tcPr>
            <w:tcW w:w="1644" w:type="dxa"/>
            <w:gridSpan w:val="4"/>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189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1959"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CA Period:  From:</w:t>
            </w:r>
          </w:p>
        </w:tc>
        <w:tc>
          <w:tcPr>
            <w:tcW w:w="345"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1745"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660"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To:</w:t>
            </w:r>
          </w:p>
        </w:tc>
        <w:tc>
          <w:tcPr>
            <w:tcW w:w="272" w:type="dxa"/>
            <w:gridSpan w:val="2"/>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892" w:type="dxa"/>
            <w:gridSpan w:val="4"/>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1093" w:type="dxa"/>
            <w:gridSpan w:val="4"/>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182"/>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70"/>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r w:rsidRPr="00B77C84">
              <w:rPr>
                <w:rFonts w:ascii="Arial" w:hAnsi="Arial" w:cs="Arial"/>
                <w:b/>
                <w:bCs/>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189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jc w:val="center"/>
              <w:rPr>
                <w:rFonts w:ascii="Arial" w:hAnsi="Arial" w:cs="Arial"/>
                <w:b/>
                <w:bCs/>
              </w:rPr>
            </w:pPr>
            <w:r w:rsidRPr="00B77C84">
              <w:rPr>
                <w:rFonts w:ascii="Arial" w:hAnsi="Arial" w:cs="Arial"/>
                <w:b/>
                <w:bCs/>
              </w:rPr>
              <w:t>SOII</w:t>
            </w: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167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jc w:val="center"/>
              <w:rPr>
                <w:rFonts w:ascii="Arial" w:hAnsi="Arial" w:cs="Arial"/>
                <w:b/>
                <w:bCs/>
              </w:rPr>
            </w:pPr>
            <w:r w:rsidRPr="00B77C84">
              <w:rPr>
                <w:rFonts w:ascii="Arial" w:hAnsi="Arial" w:cs="Arial"/>
                <w:b/>
                <w:bCs/>
              </w:rPr>
              <w:t>CFOI</w:t>
            </w: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r w:rsidRPr="00B77C84">
              <w:rPr>
                <w:rFonts w:ascii="Arial" w:hAnsi="Arial" w:cs="Arial"/>
                <w:b/>
                <w:bCs/>
              </w:rPr>
              <w:t xml:space="preserve"> </w:t>
            </w:r>
          </w:p>
        </w:tc>
        <w:tc>
          <w:tcPr>
            <w:tcW w:w="17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jc w:val="center"/>
              <w:rPr>
                <w:rFonts w:ascii="Arial" w:hAnsi="Arial" w:cs="Arial"/>
                <w:b/>
                <w:bCs/>
              </w:rPr>
            </w:pPr>
            <w:r w:rsidRPr="00B77C84">
              <w:rPr>
                <w:rFonts w:ascii="Arial" w:hAnsi="Arial" w:cs="Arial"/>
                <w:b/>
                <w:bCs/>
              </w:rPr>
              <w:t>OTHER</w:t>
            </w: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b/>
                <w:bCs/>
              </w:rPr>
            </w:pPr>
          </w:p>
        </w:tc>
        <w:tc>
          <w:tcPr>
            <w:tcW w:w="240" w:type="dxa"/>
            <w:tcBorders>
              <w:top w:val="nil"/>
              <w:left w:val="nil"/>
              <w:bottom w:val="nil"/>
              <w:right w:val="single" w:sz="12" w:space="0" w:color="auto"/>
            </w:tcBorders>
            <w:shd w:val="clear" w:color="auto" w:fill="auto"/>
            <w:noWrap/>
            <w:vAlign w:val="bottom"/>
            <w:hideMark/>
          </w:tcPr>
          <w:p w:rsidR="00133B78" w:rsidRPr="00FC48A7" w:rsidRDefault="00133B78" w:rsidP="0019550C">
            <w:r w:rsidRPr="00FC48A7">
              <w:t> </w:t>
            </w:r>
          </w:p>
        </w:tc>
      </w:tr>
      <w:tr w:rsidR="00133B78" w:rsidRPr="00B77C84" w:rsidTr="0019550C">
        <w:trPr>
          <w:trHeight w:val="299"/>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577" w:type="dxa"/>
            <w:gridSpan w:val="5"/>
            <w:tcBorders>
              <w:top w:val="nil"/>
              <w:left w:val="nil"/>
              <w:bottom w:val="nil"/>
              <w:right w:val="nil"/>
            </w:tcBorders>
            <w:shd w:val="clear" w:color="auto" w:fill="auto"/>
            <w:noWrap/>
            <w:vAlign w:val="bottom"/>
            <w:hideMark/>
          </w:tcPr>
          <w:p w:rsidR="00133B78" w:rsidRPr="00CA3710" w:rsidRDefault="00133B78" w:rsidP="0019550C">
            <w:pPr>
              <w:keepNext w:val="0"/>
              <w:spacing w:after="0"/>
              <w:ind w:left="0"/>
              <w:rPr>
                <w:rFonts w:ascii="Arial" w:hAnsi="Arial" w:cs="Arial"/>
                <w:b/>
              </w:rPr>
            </w:pPr>
            <w:r w:rsidRPr="00CA3710">
              <w:rPr>
                <w:rFonts w:ascii="Arial" w:hAnsi="Arial" w:cs="Arial"/>
                <w:b/>
              </w:rPr>
              <w:t>FUND LEDGER CODE:</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3B78" w:rsidRPr="00B77C84" w:rsidRDefault="00133B78" w:rsidP="0019550C">
            <w:pPr>
              <w:keepNext w:val="0"/>
              <w:spacing w:after="0"/>
              <w:ind w:left="0"/>
              <w:jc w:val="center"/>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jc w:val="center"/>
              <w:rPr>
                <w:rFonts w:ascii="Arial" w:hAnsi="Arial" w:cs="Arial"/>
              </w:rPr>
            </w:pP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3B78" w:rsidRPr="00B77C84" w:rsidRDefault="00133B78" w:rsidP="0019550C">
            <w:pPr>
              <w:keepNext w:val="0"/>
              <w:spacing w:after="0"/>
              <w:ind w:left="0"/>
              <w:jc w:val="center"/>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3B78" w:rsidRPr="00B77C84" w:rsidRDefault="00133B78" w:rsidP="0019550C">
            <w:pPr>
              <w:keepNext w:val="0"/>
              <w:spacing w:after="0"/>
              <w:ind w:left="0"/>
              <w:jc w:val="center"/>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99"/>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99"/>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1. Cumulative Disbursements</w:t>
            </w: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57"/>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99"/>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3184" w:type="dxa"/>
            <w:gridSpan w:val="3"/>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xml:space="preserve">2. </w:t>
            </w:r>
            <w:r>
              <w:rPr>
                <w:rFonts w:ascii="Arial" w:hAnsi="Arial" w:cs="Arial"/>
              </w:rPr>
              <w:t>Payments</w:t>
            </w: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57"/>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99"/>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3. Difference</w:t>
            </w: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57"/>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57"/>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4. Total Obligational Authority</w:t>
            </w: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57"/>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99"/>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5. Unused Obligational Authority</w:t>
            </w: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57"/>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57"/>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6.  Revised Obligational Authority</w:t>
            </w: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99"/>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299"/>
        </w:trPr>
        <w:tc>
          <w:tcPr>
            <w:tcW w:w="339" w:type="dxa"/>
            <w:tcBorders>
              <w:top w:val="nil"/>
              <w:left w:val="single" w:sz="12" w:space="0" w:color="auto"/>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7.</w:t>
            </w:r>
          </w:p>
        </w:tc>
        <w:tc>
          <w:tcPr>
            <w:tcW w:w="6427" w:type="dxa"/>
            <w:gridSpan w:val="8"/>
            <w:tcBorders>
              <w:top w:val="nil"/>
              <w:left w:val="nil"/>
              <w:bottom w:val="nil"/>
              <w:right w:val="nil"/>
            </w:tcBorders>
            <w:shd w:val="clear" w:color="auto" w:fill="auto"/>
            <w:noWrap/>
            <w:vAlign w:val="bottom"/>
            <w:hideMark/>
          </w:tcPr>
          <w:p w:rsidR="00133B78" w:rsidRPr="00CA3710" w:rsidRDefault="00133B78" w:rsidP="0019550C">
            <w:pPr>
              <w:keepNext w:val="0"/>
              <w:spacing w:after="0"/>
              <w:ind w:left="0"/>
              <w:rPr>
                <w:rFonts w:ascii="Arial" w:hAnsi="Arial" w:cs="Arial"/>
                <w:b/>
              </w:rPr>
            </w:pPr>
            <w:r w:rsidRPr="00CA3710">
              <w:rPr>
                <w:rFonts w:ascii="Arial" w:hAnsi="Arial" w:cs="Arial"/>
                <w:b/>
              </w:rPr>
              <w:t>Total Unused Obligational Authority from this page:</w:t>
            </w:r>
          </w:p>
        </w:tc>
        <w:tc>
          <w:tcPr>
            <w:tcW w:w="345"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rsidR="00133B78" w:rsidRPr="00B77C84" w:rsidRDefault="00133B78" w:rsidP="0019550C">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rsidR="00133B78" w:rsidRPr="00B77C84" w:rsidRDefault="00133B78" w:rsidP="0019550C">
            <w:pPr>
              <w:keepNext w:val="0"/>
              <w:spacing w:after="0"/>
              <w:ind w:left="0"/>
              <w:rPr>
                <w:rFonts w:ascii="Arial" w:hAnsi="Arial" w:cs="Arial"/>
              </w:rPr>
            </w:pPr>
            <w:r w:rsidRPr="00B77C84">
              <w:rPr>
                <w:rFonts w:ascii="Arial" w:hAnsi="Arial" w:cs="Arial"/>
              </w:rPr>
              <w:t> </w:t>
            </w:r>
          </w:p>
        </w:tc>
      </w:tr>
      <w:tr w:rsidR="00133B78" w:rsidRPr="00FC48A7" w:rsidTr="0019550C">
        <w:trPr>
          <w:trHeight w:val="137"/>
        </w:trPr>
        <w:tc>
          <w:tcPr>
            <w:tcW w:w="339" w:type="dxa"/>
            <w:tcBorders>
              <w:top w:val="nil"/>
              <w:left w:val="single" w:sz="12" w:space="0" w:color="auto"/>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r>
      <w:tr w:rsidR="00133B78" w:rsidRPr="00FC48A7" w:rsidTr="0019550C">
        <w:trPr>
          <w:trHeight w:val="70"/>
        </w:trPr>
        <w:tc>
          <w:tcPr>
            <w:tcW w:w="339" w:type="dxa"/>
            <w:tcBorders>
              <w:top w:val="nil"/>
              <w:left w:val="single" w:sz="12" w:space="0" w:color="auto"/>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r>
      <w:tr w:rsidR="00133B78" w:rsidRPr="00FC48A7" w:rsidTr="0019550C">
        <w:trPr>
          <w:trHeight w:val="70"/>
        </w:trPr>
        <w:tc>
          <w:tcPr>
            <w:tcW w:w="339" w:type="dxa"/>
            <w:tcBorders>
              <w:top w:val="nil"/>
              <w:left w:val="single" w:sz="12" w:space="0" w:color="auto"/>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r>
      <w:tr w:rsidR="00133B78" w:rsidRPr="00DF43AB" w:rsidTr="0019550C">
        <w:trPr>
          <w:trHeight w:val="70"/>
        </w:trPr>
        <w:tc>
          <w:tcPr>
            <w:tcW w:w="339" w:type="dxa"/>
            <w:tcBorders>
              <w:top w:val="nil"/>
              <w:left w:val="single" w:sz="12" w:space="0" w:color="auto"/>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933"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1891"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288"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1671"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345"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1745"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712" w:type="dxa"/>
            <w:gridSpan w:val="2"/>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1073" w:type="dxa"/>
            <w:gridSpan w:val="5"/>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272"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892" w:type="dxa"/>
            <w:gridSpan w:val="4"/>
            <w:tcBorders>
              <w:top w:val="nil"/>
              <w:left w:val="nil"/>
              <w:bottom w:val="single" w:sz="12" w:space="0" w:color="auto"/>
              <w:right w:val="nil"/>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c>
          <w:tcPr>
            <w:tcW w:w="240" w:type="dxa"/>
            <w:tcBorders>
              <w:top w:val="nil"/>
              <w:left w:val="nil"/>
              <w:bottom w:val="single" w:sz="12" w:space="0" w:color="auto"/>
              <w:right w:val="single" w:sz="12" w:space="0" w:color="auto"/>
            </w:tcBorders>
            <w:shd w:val="clear" w:color="auto" w:fill="auto"/>
            <w:noWrap/>
            <w:vAlign w:val="bottom"/>
            <w:hideMark/>
          </w:tcPr>
          <w:p w:rsidR="00133B78" w:rsidRPr="00DF43AB" w:rsidRDefault="00133B78" w:rsidP="0019550C">
            <w:pPr>
              <w:keepNext w:val="0"/>
              <w:spacing w:after="0"/>
              <w:ind w:left="0"/>
              <w:rPr>
                <w:rFonts w:ascii="Calibri" w:hAnsi="Calibri" w:cs="Times New Roman"/>
              </w:rPr>
            </w:pPr>
            <w:r w:rsidRPr="00DF43AB">
              <w:rPr>
                <w:rFonts w:ascii="Calibri" w:hAnsi="Calibri" w:cs="Times New Roman"/>
              </w:rPr>
              <w:t> </w:t>
            </w:r>
          </w:p>
        </w:tc>
      </w:tr>
    </w:tbl>
    <w:p w:rsidR="00133B78" w:rsidRPr="00FC48A7" w:rsidRDefault="00133B78" w:rsidP="00133B78">
      <w:pPr>
        <w:ind w:left="0"/>
      </w:pPr>
      <w:r w:rsidRPr="00FC48A7">
        <w:t>BLS OSHS FRW</w:t>
      </w:r>
    </w:p>
    <w:p w:rsidR="00133B78" w:rsidRPr="00FC48A7" w:rsidRDefault="00133B78" w:rsidP="00133B78">
      <w:pPr>
        <w:sectPr w:rsidR="00133B78" w:rsidRPr="00FC48A7" w:rsidSect="00743DBE">
          <w:footerReference w:type="default" r:id="rId6"/>
          <w:pgSz w:w="15840" w:h="12240" w:orient="landscape"/>
          <w:pgMar w:top="720" w:right="720" w:bottom="720" w:left="720" w:header="0" w:footer="475" w:gutter="0"/>
          <w:cols w:space="720"/>
          <w:docGrid w:linePitch="272"/>
        </w:sectPr>
      </w:pPr>
    </w:p>
    <w:p w:rsidR="00133B78" w:rsidRPr="007A4DD5" w:rsidRDefault="00133B78" w:rsidP="00133B78">
      <w:pPr>
        <w:pStyle w:val="Heading2"/>
        <w:jc w:val="center"/>
        <w:rPr>
          <w:rFonts w:ascii="Arial" w:hAnsi="Arial" w:cs="Arial"/>
          <w:sz w:val="18"/>
          <w:szCs w:val="18"/>
        </w:rPr>
      </w:pPr>
      <w:bookmarkStart w:id="2" w:name="_Toc200864040"/>
      <w:bookmarkStart w:id="3" w:name="_Toc200864176"/>
      <w:bookmarkStart w:id="4" w:name="_Toc201469195"/>
      <w:bookmarkStart w:id="5" w:name="_Toc214078695"/>
      <w:bookmarkStart w:id="6" w:name="_Toc350864674"/>
      <w:bookmarkStart w:id="7" w:name="_Toc483981375"/>
      <w:r w:rsidRPr="007A4DD5">
        <w:rPr>
          <w:rFonts w:ascii="Arial" w:hAnsi="Arial" w:cs="Arial"/>
          <w:sz w:val="18"/>
          <w:szCs w:val="18"/>
        </w:rPr>
        <w:lastRenderedPageBreak/>
        <w:t>OSHS FINANCIAL RECONCILIATION WORKSHEET (FRW) TERMS DEFINED</w:t>
      </w:r>
      <w:bookmarkEnd w:id="2"/>
      <w:bookmarkEnd w:id="3"/>
      <w:bookmarkEnd w:id="4"/>
      <w:bookmarkEnd w:id="5"/>
      <w:bookmarkEnd w:id="6"/>
      <w:bookmarkEnd w:id="7"/>
    </w:p>
    <w:p w:rsidR="00133B78" w:rsidRPr="00995F1E" w:rsidRDefault="00133B78" w:rsidP="00133B78">
      <w:pPr>
        <w:pStyle w:val="ListParagraph"/>
        <w:numPr>
          <w:ilvl w:val="0"/>
          <w:numId w:val="1"/>
        </w:numPr>
        <w:spacing w:after="0"/>
        <w:ind w:left="0" w:firstLine="86"/>
        <w:rPr>
          <w:rFonts w:ascii="Arial" w:hAnsi="Arial" w:cs="Arial"/>
          <w:i/>
          <w:sz w:val="14"/>
        </w:rPr>
      </w:pPr>
      <w:r w:rsidRPr="00995F1E">
        <w:rPr>
          <w:rFonts w:ascii="Arial" w:hAnsi="Arial" w:cs="Arial"/>
          <w:i/>
          <w:sz w:val="14"/>
        </w:rPr>
        <w:t>Cumulative Disbursements:</w:t>
      </w:r>
    </w:p>
    <w:p w:rsidR="00133B78" w:rsidRPr="00DD370F" w:rsidRDefault="00133B78" w:rsidP="00133B78">
      <w:pPr>
        <w:spacing w:after="120"/>
        <w:ind w:left="720"/>
        <w:rPr>
          <w:rFonts w:ascii="Arial" w:hAnsi="Arial" w:cs="Arial"/>
          <w:sz w:val="14"/>
        </w:rPr>
      </w:pPr>
      <w:r w:rsidRPr="00DD370F">
        <w:rPr>
          <w:rFonts w:ascii="Arial" w:hAnsi="Arial" w:cs="Arial"/>
          <w:sz w:val="14"/>
        </w:rPr>
        <w:t>The amount shown should represent cumulative cash disbursements through the obligations incurred during the CA period that were paid out prior to the completion of the</w:t>
      </w:r>
      <w:r>
        <w:rPr>
          <w:rFonts w:ascii="Arial" w:hAnsi="Arial" w:cs="Arial"/>
          <w:sz w:val="14"/>
        </w:rPr>
        <w:t xml:space="preserve"> Financial</w:t>
      </w:r>
      <w:r w:rsidRPr="00DD370F">
        <w:rPr>
          <w:rFonts w:ascii="Arial" w:hAnsi="Arial" w:cs="Arial"/>
          <w:sz w:val="14"/>
        </w:rPr>
        <w:t xml:space="preserve"> Reconciliation Worksheet:</w:t>
      </w:r>
    </w:p>
    <w:p w:rsidR="00133B78" w:rsidRPr="00616D97" w:rsidRDefault="00133B78" w:rsidP="00133B78">
      <w:pPr>
        <w:pStyle w:val="ListParagraph"/>
        <w:numPr>
          <w:ilvl w:val="0"/>
          <w:numId w:val="2"/>
        </w:numPr>
        <w:spacing w:after="120"/>
        <w:ind w:left="1080"/>
        <w:contextualSpacing w:val="0"/>
        <w:rPr>
          <w:rFonts w:ascii="Arial" w:hAnsi="Arial" w:cs="Arial"/>
          <w:sz w:val="14"/>
          <w:szCs w:val="16"/>
        </w:rPr>
      </w:pPr>
      <w:r w:rsidRPr="00616D97">
        <w:rPr>
          <w:rFonts w:ascii="Arial" w:hAnsi="Arial" w:cs="Arial"/>
          <w:sz w:val="14"/>
          <w:szCs w:val="16"/>
        </w:rPr>
        <w:t>applicable credits, refunds and rebates;</w:t>
      </w:r>
    </w:p>
    <w:p w:rsidR="00133B78" w:rsidRPr="00616D97" w:rsidRDefault="00133B78" w:rsidP="00133B78">
      <w:pPr>
        <w:pStyle w:val="ListParagraph"/>
        <w:numPr>
          <w:ilvl w:val="0"/>
          <w:numId w:val="2"/>
        </w:numPr>
        <w:spacing w:after="120"/>
        <w:ind w:left="1080"/>
        <w:contextualSpacing w:val="0"/>
        <w:rPr>
          <w:rFonts w:ascii="Arial" w:hAnsi="Arial" w:cs="Arial"/>
          <w:sz w:val="14"/>
          <w:szCs w:val="16"/>
        </w:rPr>
      </w:pPr>
      <w:r w:rsidRPr="00616D97">
        <w:rPr>
          <w:rFonts w:ascii="Arial" w:hAnsi="Arial" w:cs="Arial"/>
          <w:sz w:val="14"/>
          <w:szCs w:val="16"/>
        </w:rPr>
        <w:t>outstanding advances and prepaid expenses; and</w:t>
      </w:r>
    </w:p>
    <w:p w:rsidR="00133B78" w:rsidRPr="00616D97" w:rsidRDefault="00133B78" w:rsidP="00133B78">
      <w:pPr>
        <w:pStyle w:val="ListParagraph"/>
        <w:numPr>
          <w:ilvl w:val="0"/>
          <w:numId w:val="2"/>
        </w:numPr>
        <w:spacing w:after="120"/>
        <w:ind w:left="1080"/>
        <w:contextualSpacing w:val="0"/>
        <w:rPr>
          <w:rFonts w:ascii="Arial" w:hAnsi="Arial" w:cs="Arial"/>
          <w:sz w:val="14"/>
          <w:szCs w:val="16"/>
        </w:rPr>
      </w:pPr>
      <w:r w:rsidRPr="00616D97">
        <w:rPr>
          <w:rFonts w:ascii="Arial" w:hAnsi="Arial" w:cs="Arial"/>
          <w:sz w:val="14"/>
          <w:szCs w:val="16"/>
        </w:rPr>
        <w:t>other cash adjustments.</w:t>
      </w:r>
    </w:p>
    <w:p w:rsidR="00133B78" w:rsidRPr="00995F1E" w:rsidRDefault="00133B78" w:rsidP="00133B78">
      <w:pPr>
        <w:pStyle w:val="ListParagraph"/>
        <w:numPr>
          <w:ilvl w:val="0"/>
          <w:numId w:val="1"/>
        </w:numPr>
        <w:spacing w:after="0"/>
        <w:ind w:left="0" w:firstLine="86"/>
        <w:rPr>
          <w:rFonts w:ascii="Arial" w:hAnsi="Arial" w:cs="Arial"/>
          <w:i/>
          <w:sz w:val="14"/>
        </w:rPr>
      </w:pPr>
      <w:r>
        <w:rPr>
          <w:rFonts w:ascii="Arial" w:hAnsi="Arial" w:cs="Arial"/>
          <w:i/>
          <w:sz w:val="14"/>
        </w:rPr>
        <w:t>Payments</w:t>
      </w:r>
      <w:r w:rsidRPr="00995F1E">
        <w:rPr>
          <w:rFonts w:ascii="Arial" w:hAnsi="Arial" w:cs="Arial"/>
          <w:i/>
          <w:sz w:val="14"/>
        </w:rPr>
        <w:t>:</w:t>
      </w:r>
    </w:p>
    <w:p w:rsidR="00133B78" w:rsidRPr="00BC2E0B" w:rsidRDefault="00133B78" w:rsidP="00133B78">
      <w:pPr>
        <w:spacing w:after="120"/>
        <w:ind w:left="720"/>
        <w:rPr>
          <w:rFonts w:ascii="Arial" w:hAnsi="Arial" w:cs="Arial"/>
          <w:sz w:val="14"/>
        </w:rPr>
      </w:pPr>
      <w:r w:rsidRPr="00BC2E0B">
        <w:rPr>
          <w:rFonts w:ascii="Arial" w:hAnsi="Arial" w:cs="Arial"/>
          <w:sz w:val="14"/>
        </w:rPr>
        <w:t xml:space="preserve">The amount of cash drawn down against HHS-PMS or checks received.  </w:t>
      </w:r>
    </w:p>
    <w:p w:rsidR="00133B78" w:rsidRPr="00995F1E" w:rsidRDefault="00133B78" w:rsidP="00133B78">
      <w:pPr>
        <w:pStyle w:val="ListParagraph"/>
        <w:numPr>
          <w:ilvl w:val="0"/>
          <w:numId w:val="1"/>
        </w:numPr>
        <w:spacing w:after="0"/>
        <w:ind w:left="0" w:firstLine="86"/>
        <w:rPr>
          <w:rFonts w:ascii="Arial" w:hAnsi="Arial" w:cs="Arial"/>
          <w:i/>
          <w:sz w:val="14"/>
        </w:rPr>
      </w:pPr>
      <w:r w:rsidRPr="00995F1E">
        <w:rPr>
          <w:rFonts w:ascii="Arial" w:hAnsi="Arial" w:cs="Arial"/>
          <w:i/>
          <w:sz w:val="14"/>
        </w:rPr>
        <w:t>Difference:</w:t>
      </w:r>
    </w:p>
    <w:p w:rsidR="00133B78" w:rsidRPr="00BC2E0B" w:rsidRDefault="00133B78" w:rsidP="00133B78">
      <w:pPr>
        <w:spacing w:after="120"/>
        <w:ind w:left="720"/>
        <w:rPr>
          <w:rFonts w:ascii="Arial" w:hAnsi="Arial" w:cs="Arial"/>
          <w:sz w:val="14"/>
        </w:rPr>
      </w:pPr>
      <w:r w:rsidRPr="00BC2E0B">
        <w:rPr>
          <w:rFonts w:ascii="Arial" w:hAnsi="Arial" w:cs="Arial"/>
          <w:sz w:val="14"/>
        </w:rPr>
        <w:t xml:space="preserve">The amount of </w:t>
      </w:r>
      <w:r>
        <w:rPr>
          <w:rFonts w:ascii="Arial" w:hAnsi="Arial" w:cs="Arial"/>
          <w:sz w:val="14"/>
        </w:rPr>
        <w:t>Payments</w:t>
      </w:r>
      <w:r w:rsidRPr="00BC2E0B">
        <w:rPr>
          <w:rFonts w:ascii="Arial" w:hAnsi="Arial" w:cs="Arial"/>
          <w:sz w:val="14"/>
        </w:rPr>
        <w:t xml:space="preserve">/draw downs (Line 2), subtracted from reported expenses in Line 1.  If the balance is greater, or less than zero, the closeout cannot take place until the SGA fully updates their last quarter’s FFR to properly match their draw downs.  </w:t>
      </w:r>
    </w:p>
    <w:p w:rsidR="00133B78" w:rsidRPr="00BC2E0B" w:rsidRDefault="00133B78" w:rsidP="00133B78">
      <w:pPr>
        <w:spacing w:after="120"/>
        <w:ind w:left="720"/>
        <w:rPr>
          <w:rFonts w:ascii="Arial" w:hAnsi="Arial" w:cs="Arial"/>
          <w:sz w:val="14"/>
        </w:rPr>
      </w:pPr>
      <w:r w:rsidRPr="00BC2E0B">
        <w:rPr>
          <w:rFonts w:ascii="Arial" w:hAnsi="Arial" w:cs="Arial"/>
          <w:sz w:val="14"/>
        </w:rPr>
        <w:t>When the Difference (Line 3) is greater than zero, there are either:</w:t>
      </w:r>
    </w:p>
    <w:p w:rsidR="00133B78" w:rsidRPr="00FA49F8" w:rsidRDefault="00133B78" w:rsidP="00133B78">
      <w:pPr>
        <w:pStyle w:val="ListParagraph"/>
        <w:numPr>
          <w:ilvl w:val="0"/>
          <w:numId w:val="3"/>
        </w:numPr>
        <w:ind w:left="1267"/>
        <w:contextualSpacing w:val="0"/>
        <w:rPr>
          <w:rFonts w:ascii="Arial" w:hAnsi="Arial" w:cs="Arial"/>
          <w:sz w:val="14"/>
        </w:rPr>
      </w:pPr>
      <w:r w:rsidRPr="00FA49F8">
        <w:rPr>
          <w:rFonts w:ascii="Arial" w:hAnsi="Arial" w:cs="Arial"/>
          <w:sz w:val="14"/>
        </w:rPr>
        <w:t>Resources on Order</w:t>
      </w:r>
    </w:p>
    <w:p w:rsidR="00133B78" w:rsidRPr="00296176" w:rsidRDefault="00133B78" w:rsidP="00133B78">
      <w:pPr>
        <w:pStyle w:val="ListParagraph"/>
        <w:numPr>
          <w:ilvl w:val="1"/>
          <w:numId w:val="3"/>
        </w:numPr>
        <w:ind w:left="1987"/>
        <w:contextualSpacing w:val="0"/>
        <w:rPr>
          <w:rFonts w:ascii="Arial" w:hAnsi="Arial" w:cs="Arial"/>
          <w:sz w:val="14"/>
        </w:rPr>
      </w:pPr>
      <w:r w:rsidRPr="00296176">
        <w:rPr>
          <w:rFonts w:ascii="Arial" w:hAnsi="Arial" w:cs="Arial"/>
          <w:sz w:val="14"/>
        </w:rPr>
        <w:t>The amount of those goods or services that is obligated, but not yet delivered by the vendor.  Does not include:  personal services, personnel benefits, most nonpersonal services line items and any items included as an “Accrual.”</w:t>
      </w:r>
    </w:p>
    <w:p w:rsidR="00133B78" w:rsidRPr="00FA49F8" w:rsidRDefault="00133B78" w:rsidP="00133B78">
      <w:pPr>
        <w:pStyle w:val="ListParagraph"/>
        <w:numPr>
          <w:ilvl w:val="0"/>
          <w:numId w:val="3"/>
        </w:numPr>
        <w:ind w:left="1267"/>
        <w:contextualSpacing w:val="0"/>
        <w:rPr>
          <w:rFonts w:ascii="Arial" w:hAnsi="Arial" w:cs="Arial"/>
          <w:sz w:val="14"/>
        </w:rPr>
      </w:pPr>
      <w:r w:rsidRPr="00FA49F8">
        <w:rPr>
          <w:rFonts w:ascii="Arial" w:hAnsi="Arial" w:cs="Arial"/>
          <w:sz w:val="14"/>
        </w:rPr>
        <w:t>Accruals</w:t>
      </w:r>
    </w:p>
    <w:p w:rsidR="00133B78" w:rsidRPr="00296176" w:rsidRDefault="00133B78" w:rsidP="00133B78">
      <w:pPr>
        <w:pStyle w:val="ListParagraph"/>
        <w:numPr>
          <w:ilvl w:val="1"/>
          <w:numId w:val="3"/>
        </w:numPr>
        <w:ind w:left="1987"/>
        <w:contextualSpacing w:val="0"/>
        <w:rPr>
          <w:rFonts w:ascii="Arial" w:hAnsi="Arial" w:cs="Arial"/>
          <w:sz w:val="14"/>
        </w:rPr>
      </w:pPr>
      <w:r w:rsidRPr="00296176">
        <w:rPr>
          <w:rFonts w:ascii="Arial" w:hAnsi="Arial" w:cs="Arial"/>
          <w:sz w:val="14"/>
        </w:rPr>
        <w:t>The amount of those goods received, services rendered, expenses incurred, and assets acquired, but for which payments have not yet been made.</w:t>
      </w:r>
    </w:p>
    <w:p w:rsidR="00133B78" w:rsidRPr="00E35E6C" w:rsidRDefault="00133B78" w:rsidP="00133B78">
      <w:pPr>
        <w:ind w:left="720"/>
        <w:rPr>
          <w:rFonts w:ascii="Arial" w:hAnsi="Arial" w:cs="Arial"/>
          <w:sz w:val="14"/>
        </w:rPr>
      </w:pPr>
      <w:r w:rsidRPr="00E35E6C">
        <w:rPr>
          <w:rFonts w:ascii="Arial" w:hAnsi="Arial" w:cs="Arial"/>
          <w:sz w:val="14"/>
        </w:rPr>
        <w:t>When the Difference (Line 3) is less than zero there is:</w:t>
      </w:r>
    </w:p>
    <w:p w:rsidR="00133B78" w:rsidRPr="00FA49F8" w:rsidRDefault="00133B78" w:rsidP="00133B78">
      <w:pPr>
        <w:pStyle w:val="ListParagraph"/>
        <w:numPr>
          <w:ilvl w:val="0"/>
          <w:numId w:val="3"/>
        </w:numPr>
        <w:ind w:left="1267"/>
        <w:contextualSpacing w:val="0"/>
        <w:rPr>
          <w:rFonts w:ascii="Arial" w:hAnsi="Arial" w:cs="Arial"/>
          <w:sz w:val="14"/>
        </w:rPr>
      </w:pPr>
      <w:r w:rsidRPr="00FA49F8">
        <w:rPr>
          <w:rFonts w:ascii="Arial" w:hAnsi="Arial" w:cs="Arial"/>
          <w:sz w:val="14"/>
        </w:rPr>
        <w:t>Cash on Hand</w:t>
      </w:r>
    </w:p>
    <w:p w:rsidR="00133B78" w:rsidRPr="00BC31E7" w:rsidRDefault="00133B78" w:rsidP="00133B78">
      <w:pPr>
        <w:pStyle w:val="ListParagraph"/>
        <w:numPr>
          <w:ilvl w:val="1"/>
          <w:numId w:val="3"/>
        </w:numPr>
        <w:ind w:left="1987"/>
        <w:contextualSpacing w:val="0"/>
        <w:rPr>
          <w:rFonts w:ascii="Arial" w:hAnsi="Arial" w:cs="Arial"/>
          <w:sz w:val="14"/>
        </w:rPr>
      </w:pPr>
      <w:r w:rsidRPr="00BC31E7">
        <w:rPr>
          <w:rFonts w:ascii="Arial" w:hAnsi="Arial" w:cs="Arial"/>
          <w:sz w:val="14"/>
        </w:rPr>
        <w:t xml:space="preserve">The amount of cash available for the payment of obligations.  </w:t>
      </w:r>
    </w:p>
    <w:p w:rsidR="00133B78" w:rsidRPr="00995F1E" w:rsidRDefault="00133B78" w:rsidP="00133B78">
      <w:pPr>
        <w:pStyle w:val="ListParagraph"/>
        <w:numPr>
          <w:ilvl w:val="0"/>
          <w:numId w:val="1"/>
        </w:numPr>
        <w:spacing w:after="0"/>
        <w:ind w:left="0" w:firstLine="86"/>
        <w:rPr>
          <w:rFonts w:ascii="Arial" w:hAnsi="Arial" w:cs="Arial"/>
          <w:i/>
          <w:sz w:val="14"/>
        </w:rPr>
      </w:pPr>
      <w:r w:rsidRPr="00995F1E">
        <w:rPr>
          <w:rFonts w:ascii="Arial" w:hAnsi="Arial" w:cs="Arial"/>
          <w:i/>
          <w:sz w:val="14"/>
        </w:rPr>
        <w:t>Total Obligational Authority:</w:t>
      </w:r>
    </w:p>
    <w:p w:rsidR="00133B78" w:rsidRPr="00822F94" w:rsidRDefault="00133B78" w:rsidP="00133B78">
      <w:pPr>
        <w:ind w:left="720"/>
        <w:rPr>
          <w:rFonts w:ascii="Arial" w:hAnsi="Arial" w:cs="Arial"/>
          <w:sz w:val="14"/>
        </w:rPr>
      </w:pPr>
      <w:r w:rsidRPr="00822F94">
        <w:rPr>
          <w:rFonts w:ascii="Arial" w:hAnsi="Arial" w:cs="Arial"/>
          <w:sz w:val="14"/>
        </w:rPr>
        <w:t>The amount of funds that the SGA is allowed to obligate against a specific program ( i.e., CFOI, SOII, etc.).</w:t>
      </w:r>
    </w:p>
    <w:p w:rsidR="00133B78" w:rsidRPr="00995F1E" w:rsidRDefault="00133B78" w:rsidP="00133B78">
      <w:pPr>
        <w:pStyle w:val="ListParagraph"/>
        <w:numPr>
          <w:ilvl w:val="0"/>
          <w:numId w:val="1"/>
        </w:numPr>
        <w:spacing w:after="0"/>
        <w:ind w:left="0" w:firstLine="86"/>
        <w:rPr>
          <w:rFonts w:ascii="Arial" w:hAnsi="Arial" w:cs="Arial"/>
          <w:i/>
          <w:sz w:val="14"/>
        </w:rPr>
      </w:pPr>
      <w:r w:rsidRPr="00995F1E">
        <w:rPr>
          <w:rFonts w:ascii="Arial" w:hAnsi="Arial" w:cs="Arial"/>
          <w:i/>
          <w:sz w:val="14"/>
        </w:rPr>
        <w:t>Unused Obligational Authority:</w:t>
      </w:r>
    </w:p>
    <w:p w:rsidR="00133B78" w:rsidRPr="00822F94" w:rsidRDefault="00133B78" w:rsidP="00133B78">
      <w:pPr>
        <w:ind w:left="720"/>
        <w:rPr>
          <w:rFonts w:ascii="Arial" w:hAnsi="Arial" w:cs="Arial"/>
          <w:sz w:val="14"/>
        </w:rPr>
      </w:pPr>
      <w:r w:rsidRPr="00822F94">
        <w:rPr>
          <w:rFonts w:ascii="Arial" w:hAnsi="Arial" w:cs="Arial"/>
          <w:sz w:val="14"/>
        </w:rPr>
        <w:t>The amount of funds that the SGA did not obligate against a specific program.  This sum should equal Line 4 (Total Obligational Authority) minus Line 2 (</w:t>
      </w:r>
      <w:r>
        <w:rPr>
          <w:rFonts w:ascii="Arial" w:hAnsi="Arial" w:cs="Arial"/>
          <w:sz w:val="14"/>
        </w:rPr>
        <w:t>Payments</w:t>
      </w:r>
      <w:r w:rsidRPr="00822F94">
        <w:rPr>
          <w:rFonts w:ascii="Arial" w:hAnsi="Arial" w:cs="Arial"/>
          <w:sz w:val="14"/>
        </w:rPr>
        <w:t>).</w:t>
      </w:r>
    </w:p>
    <w:p w:rsidR="00133B78" w:rsidRPr="00995F1E" w:rsidRDefault="00133B78" w:rsidP="00133B78">
      <w:pPr>
        <w:pStyle w:val="ListParagraph"/>
        <w:numPr>
          <w:ilvl w:val="0"/>
          <w:numId w:val="1"/>
        </w:numPr>
        <w:spacing w:after="0"/>
        <w:ind w:left="0" w:firstLine="86"/>
        <w:rPr>
          <w:rFonts w:ascii="Arial" w:hAnsi="Arial" w:cs="Arial"/>
          <w:i/>
          <w:sz w:val="14"/>
        </w:rPr>
      </w:pPr>
      <w:r w:rsidRPr="00995F1E">
        <w:rPr>
          <w:rFonts w:ascii="Arial" w:hAnsi="Arial" w:cs="Arial"/>
          <w:i/>
          <w:sz w:val="14"/>
        </w:rPr>
        <w:t>Revised Obligational Authority:</w:t>
      </w:r>
    </w:p>
    <w:p w:rsidR="00133B78" w:rsidRPr="00822F94" w:rsidRDefault="00133B78" w:rsidP="00133B78">
      <w:pPr>
        <w:ind w:left="720"/>
        <w:rPr>
          <w:rFonts w:ascii="Arial" w:hAnsi="Arial" w:cs="Arial"/>
          <w:sz w:val="14"/>
        </w:rPr>
      </w:pPr>
      <w:r w:rsidRPr="00822F94">
        <w:rPr>
          <w:rFonts w:ascii="Arial" w:hAnsi="Arial" w:cs="Arial"/>
          <w:sz w:val="14"/>
        </w:rPr>
        <w:t xml:space="preserve">The actual amount of funds used during the fiscal year.  This sum should equal Line 4 (Total Obligational Authority) minus Line 5 (Unused Obligational Authority). </w:t>
      </w:r>
    </w:p>
    <w:p w:rsidR="00133B78" w:rsidRPr="00995F1E" w:rsidRDefault="00133B78" w:rsidP="00133B78">
      <w:pPr>
        <w:pStyle w:val="ListParagraph"/>
        <w:numPr>
          <w:ilvl w:val="0"/>
          <w:numId w:val="1"/>
        </w:numPr>
        <w:spacing w:after="0"/>
        <w:ind w:left="0" w:firstLine="86"/>
        <w:rPr>
          <w:rFonts w:ascii="Arial" w:hAnsi="Arial" w:cs="Arial"/>
          <w:i/>
          <w:sz w:val="14"/>
        </w:rPr>
      </w:pPr>
      <w:r w:rsidRPr="00995F1E">
        <w:rPr>
          <w:rFonts w:ascii="Arial" w:hAnsi="Arial" w:cs="Arial"/>
          <w:i/>
          <w:sz w:val="14"/>
        </w:rPr>
        <w:t>Total Unused Obligational Authority from this page:</w:t>
      </w:r>
    </w:p>
    <w:p w:rsidR="00133B78" w:rsidRPr="00822F94" w:rsidRDefault="00133B78" w:rsidP="00133B78">
      <w:pPr>
        <w:ind w:left="720"/>
        <w:rPr>
          <w:rFonts w:ascii="Arial" w:hAnsi="Arial" w:cs="Arial"/>
          <w:sz w:val="14"/>
        </w:rPr>
        <w:sectPr w:rsidR="00133B78" w:rsidRPr="00822F94" w:rsidSect="00743DBE">
          <w:headerReference w:type="even" r:id="rId7"/>
          <w:headerReference w:type="default" r:id="rId8"/>
          <w:footerReference w:type="even" r:id="rId9"/>
          <w:headerReference w:type="first" r:id="rId10"/>
          <w:pgSz w:w="15840" w:h="12240" w:orient="landscape"/>
          <w:pgMar w:top="72" w:right="720" w:bottom="72" w:left="720" w:header="0" w:footer="475" w:gutter="0"/>
          <w:cols w:space="720"/>
          <w:docGrid w:linePitch="272"/>
        </w:sectPr>
      </w:pPr>
      <w:r w:rsidRPr="00822F94">
        <w:rPr>
          <w:rFonts w:ascii="Arial" w:hAnsi="Arial" w:cs="Arial"/>
          <w:sz w:val="14"/>
        </w:rPr>
        <w:t xml:space="preserve">Represents all Unused Obligational Authority summed across all programs, which illustrates the total amount of funds that will be deobligated from the CA.   </w:t>
      </w:r>
    </w:p>
    <w:p w:rsidR="0095514C" w:rsidRDefault="0095514C">
      <w:bookmarkStart w:id="8" w:name="_GoBack"/>
      <w:bookmarkEnd w:id="8"/>
    </w:p>
    <w:sectPr w:rsidR="00955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115261"/>
      <w:docPartObj>
        <w:docPartGallery w:val="Page Numbers (Bottom of Page)"/>
        <w:docPartUnique/>
      </w:docPartObj>
    </w:sdtPr>
    <w:sdtEndPr/>
    <w:sdtContent>
      <w:p w:rsidR="00073E57" w:rsidRDefault="00133B78" w:rsidP="00B713D2">
        <w:pPr>
          <w:pStyle w:val="Footer"/>
          <w:jc w:val="center"/>
        </w:pPr>
        <w:r w:rsidRPr="00077BF7">
          <w:fldChar w:fldCharType="begin"/>
        </w:r>
        <w:r w:rsidRPr="00077BF7">
          <w:instrText xml:space="preserve"> PAGE   \* MERGEFORMAT </w:instrText>
        </w:r>
        <w:r w:rsidRPr="00077BF7">
          <w:fldChar w:fldCharType="separate"/>
        </w:r>
        <w:r>
          <w:rPr>
            <w:noProof/>
          </w:rPr>
          <w:t>1</w:t>
        </w:r>
        <w:r w:rsidRPr="00077BF7">
          <w:fldChar w:fldCharType="end"/>
        </w:r>
      </w:p>
    </w:sdtContent>
  </w:sdt>
  <w:p w:rsidR="00073E57" w:rsidRDefault="00133B78" w:rsidP="009225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57" w:rsidRDefault="00133B78" w:rsidP="009225F7">
    <w:r>
      <w:t>II-</w:t>
    </w:r>
    <w:r>
      <w:fldChar w:fldCharType="begin"/>
    </w:r>
    <w:r>
      <w:instrText>page \* arabic</w:instrText>
    </w:r>
    <w:r>
      <w:fldChar w:fldCharType="separate"/>
    </w:r>
    <w:r>
      <w:rPr>
        <w:noProof/>
      </w:rPr>
      <w:t>4</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57" w:rsidRDefault="00133B78" w:rsidP="009225F7">
    <w:pPr>
      <w:pStyle w:val="Header"/>
    </w:pPr>
    <w:r>
      <w:rPr>
        <w:noProof/>
      </w:rPr>
      <mc:AlternateContent>
        <mc:Choice Requires="wps">
          <w:drawing>
            <wp:anchor distT="0" distB="0" distL="114300" distR="114300" simplePos="0" relativeHeight="251662336" behindDoc="1" locked="0" layoutInCell="0" allowOverlap="1" wp14:anchorId="33129840" wp14:editId="6B67A304">
              <wp:simplePos x="0" y="0"/>
              <wp:positionH relativeFrom="margin">
                <wp:align>center</wp:align>
              </wp:positionH>
              <wp:positionV relativeFrom="margin">
                <wp:align>center</wp:align>
              </wp:positionV>
              <wp:extent cx="5985510" cy="2393950"/>
              <wp:effectExtent l="0" t="1524000" r="0" b="1377950"/>
              <wp:wrapNone/>
              <wp:docPr id="3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3E57" w:rsidRDefault="00133B7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129840" id="_x0000_t202" coordsize="21600,21600" o:spt="202" path="m,l,21600r21600,l21600,xe">
              <v:stroke joinstyle="miter"/>
              <v:path gradientshapeok="t" o:connecttype="rect"/>
            </v:shapetype>
            <v:shape id="WordArt 20" o:spid="_x0000_s1026" type="#_x0000_t202" style="position:absolute;left:0;text-align:left;margin-left:0;margin-top:0;width:471.3pt;height:18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joKiAIAAP4EAAAOAAAAZHJzL2Uyb0RvYy54bWysVMtu2zAQvBfoPxC8O3pYSiwhcuA83Eva&#10;BoiLnGmRstiKj5K0JaPov3dJKU7SXoqiOlDkcjWc3Rnq8moQHTowY7mSFU7OYoyYrBXlclfhL5v1&#10;bIGRdURS0inJKnxkFl8t37+77HXJUtWqjjKDAETastcVbp3TZRTZumWC2DOlmYTNRhlBHCzNLqKG&#10;9IAuuiiN4/OoV4Zqo2pmLURvx028DPhNw2r3uWksc6irMHBzYTRh3PoxWl6ScmeIbnk90SD/wEIQ&#10;LuHQE9QtcQTtDf8DSvDaKKsad1YrEamm4TULNUA1SfxbNY8t0SzUAs2x+tQm+/9g60+HB4M4rfA8&#10;xUgSARo9QUtXxqE0tKfXtoSsRw15brhWA8gcSrX6XtXfLJLqpiVyx1bGqL5lhAK9BLCmcChic9QA&#10;HKIbNrg7ykGJxHc/eoXvVbOl9Sdt+4+Kwidk71Q4bWiMQEb5zxZF7J8Qhg4iYATSHk9ywgGohmBe&#10;LPI8ga0a9tJ5MS/yUFFESo/m5dLGug9MCeQnFTbglwBLDvfWeXYvKT4dkCE+zUZ9fxRJmsXXaTFb&#10;ny8uZtk6y2fFRbyYxUlxXZzHWZHdrn960CQrW04pk/dcsmevJdnfaTm5fnRJcBvqK1zkaR74WtVx&#10;uuZd57lZs9vedAYdiDf92KuxljdpRu0lDf73ot1Nc0d4N86jt4xDM6ABz+/QiKCeF2yUzg3bARC9&#10;iltFj6BjD1erwvb7nhgGntiLGwWkwAiNUWIyml973l6DzfBEjJ7kcHDcQ/d8tYImPm9HJ6MS+hWA&#10;RAc3FmpFeXDFWOmUPOk3oobe6BU4as2DuC88Jx/CJQvlTT8Ef4tfr0PWy29r+Qs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uWo6CogCAAD+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rsidR="00073E57" w:rsidRDefault="00133B7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14:anchorId="01E5D382" wp14:editId="68EFC9DD">
              <wp:simplePos x="0" y="0"/>
              <wp:positionH relativeFrom="margin">
                <wp:align>center</wp:align>
              </wp:positionH>
              <wp:positionV relativeFrom="margin">
                <wp:align>center</wp:align>
              </wp:positionV>
              <wp:extent cx="5985510" cy="2393950"/>
              <wp:effectExtent l="0" t="1524000" r="0" b="1377950"/>
              <wp:wrapNone/>
              <wp:docPr id="3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3E57" w:rsidRDefault="00133B7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E5D382" id="WordArt 4" o:spid="_x0000_s1027" type="#_x0000_t202" style="position:absolute;left:0;text-align:left;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qJiQIAAAQF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S3qa&#10;UKJYhxo94UivjCOpn06vbYFJjxrT3HANA6ocOrX6Hqpvlii4aZjaiitjoG8E48jOQ03h0MP6oBE3&#10;RNdicHdcohCJh49e4Y/FrK+06T8Cx1fYzkGoNtSmIwb8a4s89r8QxgESZITKHo5qYgFSYTDLF1mW&#10;4FGFZ/PT/DTPgt4RKzyaV0sb6z4I6IjflNSgXQIs299b59m9pPh0RMb4tBvl/ZEn8zS+nuez1dni&#10;fJau0myWn8eLWZzk1/lZnObp7eqnB03SopGcC3UvlXi2WpL+nZST6UeTBLORvqR5Ns8CXwut5CvZ&#10;tp6bNdvNTWvInnnPj7Mae3mTZmCnOMZZ4UW7m/aOyXbcR28Zh2HgAJ7/wyCCel6wUTo3bIbgpSCt&#10;V3YD/IBy9njBSmq/75gRaI1ddwPIDf1QG+gmu/lnz8ZLsR6emNGTKg6rPrTPFyxI4/O2fLIr418R&#10;qGvx3mLLJAvmGBuekicZR9QwIn2FxlrJoPELz8mOeNVCl9Nnwd/l188h6+XjtfwFAAD//wMAUEsD&#10;BBQABgAIAAAAIQACW4+x3AAAAAUBAAAPAAAAZHJzL2Rvd25yZXYueG1sTI/BTsMwEETvSPyDtUjc&#10;qNMWtRDiVBURhx7bIs7beJuE2us0dpqUr8dwgctKoxnNvM1WozXiQp1vHCuYThIQxKXTDVcK3vdv&#10;D08gfEDWaByTgit5WOW3Nxmm2g28pcsuVCKWsE9RQR1Cm0rpy5os+olriaN3dJ3FEGVXSd3hEMut&#10;kbMkWUiLDceFGlt6rak87XqrQH8dr+18GPabzbboz6YpCvr4VOr+bly/gAg0hr8w/OBHdMgj08H1&#10;rL0wCuIj4fdG7/lxtgBxUDBfLhOQeSb/0+ffAAAA//8DAFBLAQItABQABgAIAAAAIQC2gziS/gAA&#10;AOEBAAATAAAAAAAAAAAAAAAAAAAAAABbQ29udGVudF9UeXBlc10ueG1sUEsBAi0AFAAGAAgAAAAh&#10;ADj9If/WAAAAlAEAAAsAAAAAAAAAAAAAAAAALwEAAF9yZWxzLy5yZWxzUEsBAi0AFAAGAAgAAAAh&#10;AKq6GomJAgAABAUAAA4AAAAAAAAAAAAAAAAALgIAAGRycy9lMm9Eb2MueG1sUEsBAi0AFAAGAAgA&#10;AAAhAAJbj7HcAAAABQEAAA8AAAAAAAAAAAAAAAAA4wQAAGRycy9kb3ducmV2LnhtbFBLBQYAAAAA&#10;BAAEAPMAAADsBQAAAAA=&#10;" o:allowincell="f" filled="f" stroked="f">
              <v:stroke joinstyle="round"/>
              <o:lock v:ext="edit" shapetype="t"/>
              <v:textbox style="mso-fit-shape-to-text:t">
                <w:txbxContent>
                  <w:p w:rsidR="00073E57" w:rsidRDefault="00133B7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57" w:rsidRDefault="00133B78" w:rsidP="009225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E57" w:rsidRDefault="00133B78" w:rsidP="009225F7">
    <w:pPr>
      <w:pStyle w:val="Header"/>
    </w:pPr>
    <w:r>
      <w:rPr>
        <w:noProof/>
      </w:rPr>
      <mc:AlternateContent>
        <mc:Choice Requires="wps">
          <w:drawing>
            <wp:anchor distT="0" distB="0" distL="114300" distR="114300" simplePos="0" relativeHeight="251661312" behindDoc="1" locked="0" layoutInCell="0" allowOverlap="1" wp14:anchorId="5220007F" wp14:editId="30BFF77B">
              <wp:simplePos x="0" y="0"/>
              <wp:positionH relativeFrom="margin">
                <wp:align>center</wp:align>
              </wp:positionH>
              <wp:positionV relativeFrom="margin">
                <wp:align>center</wp:align>
              </wp:positionV>
              <wp:extent cx="5985510" cy="2393950"/>
              <wp:effectExtent l="0" t="1524000" r="0" b="1377950"/>
              <wp:wrapNone/>
              <wp:docPr id="3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3E57" w:rsidRDefault="00133B7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20007F" id="_x0000_t202" coordsize="21600,21600" o:spt="202" path="m,l,21600r21600,l21600,xe">
              <v:stroke joinstyle="miter"/>
              <v:path gradientshapeok="t" o:connecttype="rect"/>
            </v:shapetype>
            <v:shape id="WordArt 19" o:spid="_x0000_s1028" type="#_x0000_t202" style="position:absolute;left:0;text-align:left;margin-left:0;margin-top:0;width:471.3pt;height:18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7JKiw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E5&#10;jEcSARo9wUhXxqGk8OPptS0h61FDnhuu1QAyh1atvlf1N4ukummJ3LGVMapvGaFALwGsKRya2Bw1&#10;AIfohg3ujnJQIvHw0Sv8sZj1lbb9R0XhFbJ3KlQbGiOQUf61RRH7XwjDBBEwAu7HZzmhAKohmBeL&#10;PE/gqIazdF7MizwIHpHSo3m5tLHuA1MC+U2FDfglwJLDvXWe3UuKTwdkiE+7Ud8fRZJm8XVazNbn&#10;i4tZts7yWXERL2ZxUlwX53FWZLfrnx40ycqWU8rkPZfs5LUk+zstJ9ePLgluQ32FizzNA1+rOk7X&#10;vOs8N2t225vOoAPxph9nNfbyJs2ovaQQJ6UX7W7aO8K7cR+9ZRyGAQM4/YdBBPW8YKN0btgOwUzp&#10;yTlbRY8gZw83rML2+54YBtbYixsF3MAPjVFi8pt/9my8FJvhiRg9qeKg6kN3umFBGp+3o5NfCf0K&#10;QKKDiwstozyYY2x4Sp5kHFHDiPQKjLXmQWPvwJHnZEe4a6HL6bvgL/Pr55D18vVa/gI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eV+ySo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rsidR="00073E57" w:rsidRDefault="00133B7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0" allowOverlap="1" wp14:anchorId="4F860060" wp14:editId="62C942C8">
              <wp:simplePos x="0" y="0"/>
              <wp:positionH relativeFrom="margin">
                <wp:align>center</wp:align>
              </wp:positionH>
              <wp:positionV relativeFrom="margin">
                <wp:align>center</wp:align>
              </wp:positionV>
              <wp:extent cx="5985510" cy="2393950"/>
              <wp:effectExtent l="0" t="1524000" r="0" b="1377950"/>
              <wp:wrapNone/>
              <wp:docPr id="2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3E57" w:rsidRDefault="00133B7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860060" id="WordArt 3" o:spid="_x0000_s1029" type="#_x0000_t202" style="position:absolute;left:0;text-align:left;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SzZigIAAAQ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uG0&#10;wEgSARo9wUhXxqG5n06vbQlJjxrS3HCtBlA5dGr1vaq/WSTVTUvkjq2MUX3LCAV2CUBN4dDD5qgB&#10;N0Q3bHB3lIMQiYePXuGPxayvtO0/KgqvkL1TodrQGIGM8q8titj/QhgGiIARKHs8qQkFUA3BvFjk&#10;eQJHNZyl82Je5EHviJQezauljXUfmBLIbypswC4BlhzurfPsXlJ8OiBDfNqN8v4okjSLr9Nitj5f&#10;XMyydZbPiot4MYuT4ro4j7Miu13/9KBJVracUibvuWTPVkuyv5NyMv1okmA21Fe4yNM88LWq43TN&#10;u85zs2a3vekMOhDv+XFWYy9v0ozaSwpxUnrR7qa9I7wb99FbxmEYMIDn/zCIoJ4XbJTODdsheOnk&#10;nK2iR5CzhwtWYft9TwwDa+zFjQJu4IfGKDHZzT97Nl6KzfBEjJ5UcVD1oXu+YEEan7ejk10J/QpA&#10;ooN7Cy2jPJhjbHhKnmQcUcOI9AqMteZBY+/AkedkR7hqocvps+Dv8uvnkPXy8Vr+Ag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obSzZ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rsidR="00073E57" w:rsidRDefault="00133B78"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1D3"/>
    <w:multiLevelType w:val="hybridMultilevel"/>
    <w:tmpl w:val="FAFE80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18A41D8"/>
    <w:multiLevelType w:val="hybridMultilevel"/>
    <w:tmpl w:val="7430DD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3A1D2F03"/>
    <w:multiLevelType w:val="hybridMultilevel"/>
    <w:tmpl w:val="AC98F184"/>
    <w:lvl w:ilvl="0" w:tplc="2F7633F2">
      <w:start w:val="1"/>
      <w:numFmt w:val="decimal"/>
      <w:lvlText w:val="Line %1."/>
      <w:lvlJc w:val="left"/>
      <w:pPr>
        <w:ind w:left="1260" w:hanging="360"/>
      </w:pPr>
      <w:rPr>
        <w:rFonts w:ascii="Arial" w:hAnsi="Arial" w:hint="default"/>
        <w:b w:val="0"/>
        <w:i w:val="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78"/>
    <w:rsid w:val="00133B78"/>
    <w:rsid w:val="0095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F15F3-6CF1-4E3A-9EF6-52A20C8C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B78"/>
    <w:pPr>
      <w:keepNext/>
      <w:spacing w:after="240" w:line="240" w:lineRule="auto"/>
      <w:ind w:left="540"/>
    </w:pPr>
    <w:rPr>
      <w:rFonts w:eastAsia="Times New Roman" w:cstheme="minorHAnsi"/>
      <w:sz w:val="20"/>
      <w:szCs w:val="20"/>
    </w:rPr>
  </w:style>
  <w:style w:type="paragraph" w:styleId="Heading2">
    <w:name w:val="heading 2"/>
    <w:basedOn w:val="Normal"/>
    <w:next w:val="Normal"/>
    <w:link w:val="Heading2Char"/>
    <w:uiPriority w:val="99"/>
    <w:qFormat/>
    <w:rsid w:val="00133B78"/>
    <w:pPr>
      <w:tabs>
        <w:tab w:val="left" w:pos="540"/>
      </w:tabs>
      <w:ind w:left="0" w:hanging="9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33B78"/>
    <w:rPr>
      <w:rFonts w:eastAsia="Times New Roman" w:cstheme="minorHAnsi"/>
      <w:b/>
      <w:szCs w:val="20"/>
    </w:rPr>
  </w:style>
  <w:style w:type="paragraph" w:styleId="Header">
    <w:name w:val="header"/>
    <w:basedOn w:val="Normal"/>
    <w:link w:val="HeaderChar"/>
    <w:uiPriority w:val="99"/>
    <w:rsid w:val="00133B78"/>
    <w:pPr>
      <w:tabs>
        <w:tab w:val="center" w:pos="4320"/>
        <w:tab w:val="right" w:pos="8640"/>
      </w:tabs>
    </w:pPr>
  </w:style>
  <w:style w:type="character" w:customStyle="1" w:styleId="HeaderChar">
    <w:name w:val="Header Char"/>
    <w:basedOn w:val="DefaultParagraphFont"/>
    <w:link w:val="Header"/>
    <w:uiPriority w:val="99"/>
    <w:rsid w:val="00133B78"/>
    <w:rPr>
      <w:rFonts w:eastAsia="Times New Roman" w:cstheme="minorHAnsi"/>
      <w:sz w:val="20"/>
      <w:szCs w:val="20"/>
    </w:rPr>
  </w:style>
  <w:style w:type="paragraph" w:styleId="Footer">
    <w:name w:val="footer"/>
    <w:basedOn w:val="Normal"/>
    <w:link w:val="FooterChar"/>
    <w:uiPriority w:val="99"/>
    <w:rsid w:val="00133B78"/>
    <w:pPr>
      <w:tabs>
        <w:tab w:val="center" w:pos="4320"/>
        <w:tab w:val="right" w:pos="8640"/>
      </w:tabs>
    </w:pPr>
  </w:style>
  <w:style w:type="character" w:customStyle="1" w:styleId="FooterChar">
    <w:name w:val="Footer Char"/>
    <w:basedOn w:val="DefaultParagraphFont"/>
    <w:link w:val="Footer"/>
    <w:uiPriority w:val="99"/>
    <w:rsid w:val="00133B78"/>
    <w:rPr>
      <w:rFonts w:eastAsia="Times New Roman" w:cstheme="minorHAnsi"/>
      <w:sz w:val="20"/>
      <w:szCs w:val="20"/>
    </w:rPr>
  </w:style>
  <w:style w:type="paragraph" w:styleId="NormalWeb">
    <w:name w:val="Normal (Web)"/>
    <w:basedOn w:val="Normal"/>
    <w:uiPriority w:val="99"/>
    <w:rsid w:val="00133B78"/>
    <w:pPr>
      <w:spacing w:before="100" w:beforeAutospacing="1" w:after="100" w:afterAutospacing="1"/>
    </w:pPr>
    <w:rPr>
      <w:sz w:val="24"/>
      <w:szCs w:val="24"/>
    </w:rPr>
  </w:style>
  <w:style w:type="paragraph" w:styleId="ListParagraph">
    <w:name w:val="List Paragraph"/>
    <w:basedOn w:val="Normal"/>
    <w:uiPriority w:val="34"/>
    <w:qFormat/>
    <w:rsid w:val="00133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2017-06-01T17:20:00Z</dcterms:created>
  <dcterms:modified xsi:type="dcterms:W3CDTF">2017-06-01T17:21:00Z</dcterms:modified>
</cp:coreProperties>
</file>