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0053523E" w:rsidRPr="00144B4E" w:rsidTr="0019550C">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rsidR="0053523E" w:rsidRPr="00144B4E" w:rsidRDefault="0053523E" w:rsidP="0019550C">
            <w:pPr>
              <w:keepNext w:val="0"/>
              <w:spacing w:after="0"/>
              <w:ind w:left="0"/>
              <w:rPr>
                <w:rFonts w:ascii="Arial" w:hAnsi="Arial" w:cs="Arial"/>
                <w:b/>
                <w:bCs/>
              </w:rPr>
            </w:pPr>
            <w:bookmarkStart w:id="0" w:name="RANGE!A1:K28"/>
            <w:r w:rsidRPr="00144B4E">
              <w:rPr>
                <w:rFonts w:ascii="Arial" w:hAnsi="Arial" w:cs="Arial"/>
                <w:b/>
                <w:bCs/>
              </w:rPr>
              <w:t>BUREAU OF LABOR STATISTICS</w:t>
            </w:r>
            <w:bookmarkEnd w:id="0"/>
          </w:p>
        </w:tc>
        <w:tc>
          <w:tcPr>
            <w:tcW w:w="6011" w:type="dxa"/>
            <w:gridSpan w:val="5"/>
            <w:tcBorders>
              <w:top w:val="single" w:sz="12" w:space="0" w:color="auto"/>
              <w:left w:val="nil"/>
              <w:bottom w:val="nil"/>
              <w:right w:val="nil"/>
            </w:tcBorders>
            <w:shd w:val="clear" w:color="auto" w:fill="auto"/>
            <w:noWrap/>
            <w:vAlign w:val="center"/>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59264" behindDoc="0" locked="0" layoutInCell="1" allowOverlap="1" wp14:anchorId="25E233CA" wp14:editId="71E98F4B">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5"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53523E" w:rsidRPr="00144B4E" w:rsidTr="0019550C">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rsidR="0053523E" w:rsidRPr="000700CE" w:rsidRDefault="0053523E" w:rsidP="0019550C">
            <w:pPr>
              <w:pStyle w:val="Heading1"/>
              <w:rPr>
                <w:rFonts w:ascii="Arial" w:hAnsi="Arial" w:cs="Arial"/>
                <w:b w:val="0"/>
              </w:rPr>
            </w:pPr>
            <w:bookmarkStart w:id="1" w:name="_Toc483981376"/>
            <w:r w:rsidRPr="000700CE">
              <w:rPr>
                <w:rFonts w:ascii="Arial" w:hAnsi="Arial" w:cs="Arial"/>
                <w:sz w:val="20"/>
                <w:szCs w:val="20"/>
              </w:rPr>
              <w:t>BLS OSHS PROPERTY LISTING</w:t>
            </w:r>
            <w:bookmarkEnd w:id="1"/>
          </w:p>
        </w:tc>
      </w:tr>
      <w:tr w:rsidR="0053523E" w:rsidRPr="00144B4E" w:rsidTr="0019550C">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0053523E" w:rsidRPr="00144B4E" w:rsidTr="0019550C">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53523E" w:rsidRPr="00696275" w:rsidRDefault="0053523E" w:rsidP="0019550C">
            <w:pPr>
              <w:keepNext w:val="0"/>
              <w:spacing w:after="0"/>
              <w:ind w:left="0"/>
              <w:rPr>
                <w:rFonts w:ascii="Arial" w:hAnsi="Arial" w:cs="Arial"/>
                <w:b/>
                <w:sz w:val="16"/>
                <w:szCs w:val="16"/>
              </w:rPr>
            </w:pPr>
            <w:r w:rsidRPr="00696275">
              <w:rPr>
                <w:rFonts w:ascii="Arial" w:hAnsi="Arial" w:cs="Arial"/>
                <w:b/>
                <w:sz w:val="14"/>
                <w:szCs w:val="16"/>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rsidR="0053523E" w:rsidRPr="00696275" w:rsidRDefault="0053523E" w:rsidP="0019550C">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D7383D">
              <w:rPr>
                <w:rFonts w:ascii="Arial" w:hAnsi="Arial" w:cs="Arial"/>
                <w:sz w:val="16"/>
                <w:szCs w:val="14"/>
              </w:rPr>
              <w:t>Approval</w:t>
            </w:r>
            <w:r w:rsidRPr="00696275">
              <w:rPr>
                <w:rFonts w:ascii="Arial" w:hAnsi="Arial" w:cs="Arial"/>
                <w:sz w:val="16"/>
                <w:szCs w:val="16"/>
              </w:rPr>
              <w:t xml:space="preserve"> Expires </w:t>
            </w:r>
            <w:r>
              <w:rPr>
                <w:rFonts w:ascii="Arial" w:hAnsi="Arial" w:cs="Arial"/>
                <w:sz w:val="16"/>
                <w:szCs w:val="16"/>
              </w:rPr>
              <w:t>05</w:t>
            </w:r>
            <w:r w:rsidRPr="00696275">
              <w:rPr>
                <w:rFonts w:ascii="Arial" w:hAnsi="Arial" w:cs="Arial"/>
                <w:sz w:val="16"/>
                <w:szCs w:val="16"/>
              </w:rPr>
              <w:t>-</w:t>
            </w:r>
            <w:r>
              <w:rPr>
                <w:rFonts w:ascii="Arial" w:hAnsi="Arial" w:cs="Arial"/>
                <w:sz w:val="16"/>
                <w:szCs w:val="16"/>
              </w:rPr>
              <w:t>31</w:t>
            </w:r>
            <w:r w:rsidRPr="00696275">
              <w:rPr>
                <w:rFonts w:ascii="Arial" w:hAnsi="Arial" w:cs="Arial"/>
                <w:sz w:val="16"/>
                <w:szCs w:val="16"/>
              </w:rPr>
              <w:t>-</w:t>
            </w:r>
            <w:r>
              <w:rPr>
                <w:rFonts w:ascii="Arial" w:hAnsi="Arial" w:cs="Arial"/>
                <w:sz w:val="16"/>
                <w:szCs w:val="16"/>
              </w:rPr>
              <w:t>2018</w:t>
            </w:r>
          </w:p>
        </w:tc>
      </w:tr>
      <w:tr w:rsidR="0053523E" w:rsidRPr="00144B4E" w:rsidTr="0019550C">
        <w:trPr>
          <w:trHeight w:val="156"/>
        </w:trPr>
        <w:tc>
          <w:tcPr>
            <w:tcW w:w="1203" w:type="dxa"/>
            <w:tcBorders>
              <w:top w:val="nil"/>
              <w:left w:val="single" w:sz="12" w:space="0" w:color="auto"/>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r>
      <w:tr w:rsidR="0053523E" w:rsidRPr="00144B4E" w:rsidTr="0019550C">
        <w:trPr>
          <w:trHeight w:val="498"/>
        </w:trPr>
        <w:tc>
          <w:tcPr>
            <w:tcW w:w="1203" w:type="dxa"/>
            <w:tcBorders>
              <w:top w:val="nil"/>
              <w:left w:val="single" w:sz="12" w:space="0" w:color="auto"/>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rsidR="0053523E" w:rsidRPr="00E468E4" w:rsidRDefault="0053523E" w:rsidP="0019550C">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sz="4" w:space="0" w:color="auto"/>
              <w:right w:val="nil"/>
            </w:tcBorders>
            <w:shd w:val="clear" w:color="auto" w:fill="auto"/>
            <w:noWrap/>
            <w:vAlign w:val="bottom"/>
            <w:hideMark/>
          </w:tcPr>
          <w:p w:rsidR="0053523E" w:rsidRPr="00E468E4" w:rsidRDefault="0053523E" w:rsidP="0019550C">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r>
      <w:tr w:rsidR="0053523E" w:rsidRPr="00144B4E" w:rsidTr="0019550C">
        <w:trPr>
          <w:trHeight w:val="298"/>
        </w:trPr>
        <w:tc>
          <w:tcPr>
            <w:tcW w:w="1203" w:type="dxa"/>
            <w:tcBorders>
              <w:top w:val="nil"/>
              <w:left w:val="single" w:sz="12" w:space="0" w:color="auto"/>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r>
      <w:tr w:rsidR="0053523E" w:rsidRPr="00144B4E" w:rsidTr="0019550C">
        <w:trPr>
          <w:trHeight w:val="298"/>
        </w:trPr>
        <w:tc>
          <w:tcPr>
            <w:tcW w:w="1203" w:type="dxa"/>
            <w:tcBorders>
              <w:top w:val="nil"/>
              <w:left w:val="single" w:sz="12" w:space="0" w:color="auto"/>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sz="4" w:space="0" w:color="auto"/>
              <w:right w:val="nil"/>
            </w:tcBorders>
            <w:shd w:val="clear" w:color="auto" w:fill="auto"/>
            <w:noWrap/>
            <w:vAlign w:val="bottom"/>
            <w:hideMark/>
          </w:tcPr>
          <w:p w:rsidR="0053523E" w:rsidRPr="00E468E4" w:rsidRDefault="0053523E" w:rsidP="0019550C">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sz="4" w:space="0" w:color="auto"/>
              <w:right w:val="nil"/>
            </w:tcBorders>
            <w:shd w:val="clear" w:color="auto" w:fill="auto"/>
            <w:noWrap/>
            <w:vAlign w:val="bottom"/>
            <w:hideMark/>
          </w:tcPr>
          <w:p w:rsidR="0053523E" w:rsidRPr="00E468E4" w:rsidRDefault="0053523E" w:rsidP="0019550C">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sz="4" w:space="0" w:color="auto"/>
              <w:right w:val="nil"/>
            </w:tcBorders>
            <w:shd w:val="clear" w:color="auto" w:fill="auto"/>
            <w:noWrap/>
            <w:vAlign w:val="bottom"/>
            <w:hideMark/>
          </w:tcPr>
          <w:p w:rsidR="0053523E" w:rsidRPr="00E468E4" w:rsidRDefault="0053523E" w:rsidP="0019550C">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r>
      <w:tr w:rsidR="0053523E" w:rsidRPr="00144B4E" w:rsidTr="0019550C">
        <w:trPr>
          <w:trHeight w:val="298"/>
        </w:trPr>
        <w:tc>
          <w:tcPr>
            <w:tcW w:w="1203" w:type="dxa"/>
            <w:tcBorders>
              <w:top w:val="nil"/>
              <w:left w:val="single" w:sz="12" w:space="0" w:color="auto"/>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0053523E" w:rsidRPr="00144B4E" w:rsidRDefault="0053523E" w:rsidP="0019550C">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rsidR="0053523E" w:rsidRPr="00144B4E" w:rsidRDefault="0053523E" w:rsidP="0019550C">
            <w:pPr>
              <w:keepNext w:val="0"/>
              <w:spacing w:after="0"/>
              <w:ind w:left="0"/>
              <w:rPr>
                <w:rFonts w:ascii="Arial" w:hAnsi="Arial" w:cs="Arial"/>
                <w:b/>
                <w:bCs/>
              </w:rPr>
            </w:pPr>
            <w:r w:rsidRPr="00144B4E">
              <w:rPr>
                <w:rFonts w:ascii="Arial" w:hAnsi="Arial" w:cs="Arial"/>
                <w:b/>
                <w:bCs/>
              </w:rPr>
              <w:t> </w:t>
            </w:r>
          </w:p>
        </w:tc>
      </w:tr>
      <w:tr w:rsidR="0053523E" w:rsidRPr="00144B4E" w:rsidTr="0019550C">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rsidR="0053523E" w:rsidRPr="00144B4E" w:rsidRDefault="0053523E" w:rsidP="0019550C">
            <w:pPr>
              <w:keepNext w:val="0"/>
              <w:spacing w:after="0"/>
              <w:ind w:left="0"/>
              <w:jc w:val="center"/>
              <w:rPr>
                <w:rFonts w:ascii="Arial" w:hAnsi="Arial" w:cs="Arial"/>
                <w:b/>
                <w:bCs/>
              </w:rPr>
            </w:pPr>
            <w:r w:rsidRPr="00144B4E">
              <w:rPr>
                <w:rFonts w:ascii="Arial" w:hAnsi="Arial" w:cs="Arial"/>
                <w:b/>
                <w:bCs/>
              </w:rPr>
              <w:t>Total Cost</w:t>
            </w:r>
          </w:p>
        </w:tc>
      </w:tr>
      <w:tr w:rsidR="0053523E" w:rsidRPr="00E8555F" w:rsidTr="0019550C">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p>
        </w:tc>
      </w:tr>
      <w:tr w:rsidR="0053523E" w:rsidRPr="00E8555F" w:rsidTr="0019550C">
        <w:trPr>
          <w:trHeight w:val="256"/>
        </w:trPr>
        <w:tc>
          <w:tcPr>
            <w:tcW w:w="1203" w:type="dxa"/>
            <w:tcBorders>
              <w:top w:val="single" w:sz="4" w:space="0" w:color="auto"/>
              <w:left w:val="single" w:sz="12" w:space="0" w:color="auto"/>
            </w:tcBorders>
            <w:shd w:val="clear" w:color="auto" w:fill="auto"/>
            <w:noWrap/>
            <w:vAlign w:val="bottom"/>
            <w:hideMark/>
          </w:tcPr>
          <w:p w:rsidR="0053523E" w:rsidRPr="00D96DAF" w:rsidRDefault="0053523E" w:rsidP="0019550C">
            <w:pPr>
              <w:keepNext w:val="0"/>
              <w:spacing w:after="0"/>
              <w:ind w:left="0"/>
              <w:rPr>
                <w:b/>
                <w:bCs/>
              </w:rPr>
            </w:pPr>
            <w:r w:rsidRPr="00D96DAF">
              <w:rPr>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53523E" w:rsidRPr="00E8555F" w:rsidRDefault="0053523E" w:rsidP="0019550C">
            <w:pPr>
              <w:keepNext w:val="0"/>
              <w:spacing w:after="0"/>
              <w:ind w:left="0"/>
              <w:rPr>
                <w:rFonts w:ascii="Arial" w:hAnsi="Arial" w:cs="Arial"/>
                <w:bCs/>
              </w:rPr>
            </w:pPr>
            <w:r w:rsidRPr="00E8555F">
              <w:rPr>
                <w:rFonts w:ascii="Arial" w:hAnsi="Arial" w:cs="Arial"/>
                <w:bCs/>
              </w:rPr>
              <w:t> </w:t>
            </w:r>
          </w:p>
        </w:tc>
      </w:tr>
      <w:tr w:rsidR="0053523E" w:rsidRPr="00E8555F" w:rsidTr="0019550C">
        <w:trPr>
          <w:trHeight w:val="298"/>
        </w:trPr>
        <w:tc>
          <w:tcPr>
            <w:tcW w:w="1203" w:type="dxa"/>
            <w:tcBorders>
              <w:top w:val="nil"/>
              <w:left w:val="single" w:sz="12" w:space="0" w:color="auto"/>
            </w:tcBorders>
            <w:shd w:val="clear" w:color="auto" w:fill="auto"/>
            <w:noWrap/>
            <w:vAlign w:val="bottom"/>
            <w:hideMark/>
          </w:tcPr>
          <w:p w:rsidR="0053523E" w:rsidRPr="00E8555F" w:rsidRDefault="0053523E" w:rsidP="0019550C">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sz="12" w:space="0" w:color="auto"/>
            </w:tcBorders>
            <w:vAlign w:val="center"/>
            <w:hideMark/>
          </w:tcPr>
          <w:p w:rsidR="0053523E" w:rsidRPr="00E8555F" w:rsidRDefault="0053523E" w:rsidP="0019550C">
            <w:pPr>
              <w:keepNext w:val="0"/>
              <w:spacing w:after="0"/>
              <w:ind w:left="0"/>
              <w:rPr>
                <w:rFonts w:ascii="Arial" w:hAnsi="Arial" w:cs="Arial"/>
                <w:bCs/>
              </w:rPr>
            </w:pPr>
          </w:p>
        </w:tc>
      </w:tr>
      <w:tr w:rsidR="0053523E" w:rsidRPr="00AB2F93" w:rsidTr="0019550C">
        <w:trPr>
          <w:trHeight w:val="256"/>
        </w:trPr>
        <w:tc>
          <w:tcPr>
            <w:tcW w:w="1203" w:type="dxa"/>
            <w:tcBorders>
              <w:top w:val="nil"/>
              <w:left w:val="single" w:sz="12" w:space="0" w:color="auto"/>
            </w:tcBorders>
            <w:shd w:val="clear" w:color="auto" w:fill="auto"/>
            <w:noWrap/>
            <w:vAlign w:val="bottom"/>
            <w:hideMark/>
          </w:tcPr>
          <w:p w:rsidR="0053523E" w:rsidRPr="00AB2F93" w:rsidRDefault="0053523E" w:rsidP="0019550C">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sz="12" w:space="0" w:color="auto"/>
            </w:tcBorders>
            <w:vAlign w:val="center"/>
            <w:hideMark/>
          </w:tcPr>
          <w:p w:rsidR="0053523E" w:rsidRPr="00AB2F93" w:rsidRDefault="0053523E" w:rsidP="0019550C">
            <w:pPr>
              <w:keepNext w:val="0"/>
              <w:spacing w:after="0"/>
              <w:ind w:left="0"/>
              <w:rPr>
                <w:rFonts w:ascii="Arial" w:hAnsi="Arial" w:cs="Arial"/>
                <w:bCs/>
              </w:rPr>
            </w:pPr>
          </w:p>
        </w:tc>
      </w:tr>
      <w:tr w:rsidR="0053523E" w:rsidRPr="00AB2F93" w:rsidTr="0019550C">
        <w:trPr>
          <w:trHeight w:val="256"/>
        </w:trPr>
        <w:tc>
          <w:tcPr>
            <w:tcW w:w="1203" w:type="dxa"/>
            <w:tcBorders>
              <w:top w:val="nil"/>
              <w:left w:val="single" w:sz="12" w:space="0" w:color="auto"/>
            </w:tcBorders>
            <w:shd w:val="clear" w:color="auto" w:fill="auto"/>
            <w:noWrap/>
            <w:vAlign w:val="bottom"/>
            <w:hideMark/>
          </w:tcPr>
          <w:p w:rsidR="0053523E" w:rsidRPr="00AB2F93" w:rsidRDefault="0053523E" w:rsidP="0019550C">
            <w:pPr>
              <w:keepNext w:val="0"/>
              <w:spacing w:after="0"/>
              <w:ind w:left="0"/>
              <w:rPr>
                <w:rFonts w:ascii="Arial" w:hAnsi="Arial" w:cs="Arial"/>
                <w:bCs/>
              </w:rPr>
            </w:pPr>
          </w:p>
        </w:tc>
        <w:tc>
          <w:tcPr>
            <w:tcW w:w="13302" w:type="dxa"/>
            <w:gridSpan w:val="10"/>
            <w:vMerge/>
            <w:tcBorders>
              <w:top w:val="nil"/>
              <w:left w:val="nil"/>
              <w:bottom w:val="nil"/>
              <w:right w:val="single" w:sz="12" w:space="0" w:color="auto"/>
            </w:tcBorders>
            <w:vAlign w:val="center"/>
            <w:hideMark/>
          </w:tcPr>
          <w:p w:rsidR="0053523E" w:rsidRPr="00AB2F93" w:rsidRDefault="0053523E" w:rsidP="0019550C">
            <w:pPr>
              <w:keepNext w:val="0"/>
              <w:spacing w:after="0"/>
              <w:ind w:left="0"/>
              <w:rPr>
                <w:rFonts w:ascii="Arial" w:hAnsi="Arial" w:cs="Arial"/>
                <w:bCs/>
              </w:rPr>
            </w:pPr>
          </w:p>
        </w:tc>
      </w:tr>
      <w:tr w:rsidR="0053523E" w:rsidRPr="00AB2F93" w:rsidTr="0019550C">
        <w:trPr>
          <w:trHeight w:val="79"/>
        </w:trPr>
        <w:tc>
          <w:tcPr>
            <w:tcW w:w="1203" w:type="dxa"/>
            <w:tcBorders>
              <w:top w:val="nil"/>
              <w:left w:val="single" w:sz="12" w:space="0" w:color="auto"/>
              <w:bottom w:val="single" w:sz="12" w:space="0" w:color="auto"/>
            </w:tcBorders>
            <w:shd w:val="clear" w:color="auto" w:fill="auto"/>
            <w:noWrap/>
            <w:vAlign w:val="bottom"/>
            <w:hideMark/>
          </w:tcPr>
          <w:p w:rsidR="0053523E" w:rsidRPr="00AB2F93" w:rsidRDefault="0053523E" w:rsidP="0019550C">
            <w:pPr>
              <w:keepNext w:val="0"/>
              <w:spacing w:after="0"/>
              <w:ind w:left="0"/>
              <w:rPr>
                <w:rFonts w:ascii="Arial" w:hAnsi="Arial" w:cs="Arial"/>
                <w:bCs/>
              </w:rPr>
            </w:pPr>
          </w:p>
        </w:tc>
        <w:tc>
          <w:tcPr>
            <w:tcW w:w="13302" w:type="dxa"/>
            <w:gridSpan w:val="10"/>
            <w:vMerge/>
            <w:tcBorders>
              <w:top w:val="nil"/>
              <w:left w:val="nil"/>
              <w:bottom w:val="single" w:sz="12" w:space="0" w:color="auto"/>
              <w:right w:val="single" w:sz="12" w:space="0" w:color="auto"/>
            </w:tcBorders>
            <w:vAlign w:val="center"/>
            <w:hideMark/>
          </w:tcPr>
          <w:p w:rsidR="0053523E" w:rsidRPr="00AB2F93" w:rsidRDefault="0053523E" w:rsidP="0019550C">
            <w:pPr>
              <w:keepNext w:val="0"/>
              <w:spacing w:after="0"/>
              <w:ind w:left="0"/>
              <w:rPr>
                <w:rFonts w:ascii="Arial" w:hAnsi="Arial" w:cs="Arial"/>
                <w:bCs/>
              </w:rPr>
            </w:pPr>
          </w:p>
        </w:tc>
      </w:tr>
    </w:tbl>
    <w:p w:rsidR="0053523E" w:rsidRPr="00CD2A3C" w:rsidRDefault="0053523E" w:rsidP="0053523E">
      <w:pPr>
        <w:ind w:left="0"/>
        <w:jc w:val="center"/>
        <w:rPr>
          <w:rFonts w:ascii="Times New Roman" w:hAnsi="Times New Roman" w:cs="Times New Roman"/>
          <w:b/>
        </w:rPr>
      </w:pPr>
      <w:r w:rsidRPr="00CD2A3C">
        <w:rPr>
          <w:rFonts w:ascii="Times New Roman" w:hAnsi="Times New Roman" w:cs="Times New Roman"/>
          <w:b/>
        </w:rPr>
        <w:lastRenderedPageBreak/>
        <w:t>Instructions for Completing the Property Listing</w:t>
      </w:r>
    </w:p>
    <w:p w:rsidR="0053523E" w:rsidRPr="00CD2A3C" w:rsidRDefault="0053523E" w:rsidP="0053523E">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Pr>
          <w:rFonts w:ascii="Times New Roman" w:hAnsi="Times New Roman" w:cs="Times New Roman"/>
          <w:sz w:val="16"/>
        </w:rPr>
        <w:t>200</w:t>
      </w:r>
      <w:r w:rsidRPr="00CD2A3C">
        <w:rPr>
          <w:rFonts w:ascii="Times New Roman" w:hAnsi="Times New Roman" w:cs="Times New Roman"/>
          <w:sz w:val="16"/>
        </w:rPr>
        <w:t>.</w:t>
      </w:r>
      <w:r>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rsidR="0053523E" w:rsidRPr="00CD2A3C" w:rsidRDefault="0053523E" w:rsidP="0053523E">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rsidR="0053523E" w:rsidRPr="00CD2A3C" w:rsidRDefault="0053523E" w:rsidP="0053523E">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rsidR="0053523E" w:rsidRPr="00DD241E" w:rsidRDefault="0053523E" w:rsidP="0053523E">
      <w:pPr>
        <w:pStyle w:val="ListParagraph"/>
        <w:numPr>
          <w:ilvl w:val="0"/>
          <w:numId w:val="1"/>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rsidR="0053523E" w:rsidRPr="00DD241E" w:rsidRDefault="0053523E" w:rsidP="0053523E">
      <w:pPr>
        <w:pStyle w:val="ListParagraph"/>
        <w:numPr>
          <w:ilvl w:val="0"/>
          <w:numId w:val="1"/>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w:t>
      </w:r>
      <w:proofErr w:type="spellStart"/>
      <w:r w:rsidRPr="005774A1">
        <w:rPr>
          <w:rFonts w:ascii="Times New Roman" w:hAnsi="Times New Roman" w:cs="Times New Roman"/>
          <w:sz w:val="16"/>
        </w:rPr>
        <w:t>ea</w:t>
      </w:r>
      <w:proofErr w:type="spellEnd"/>
      <w:r w:rsidRPr="005774A1">
        <w:rPr>
          <w:rFonts w:ascii="Times New Roman" w:hAnsi="Times New Roman" w:cs="Times New Roman"/>
          <w:sz w:val="16"/>
        </w:rPr>
        <w:t>" for each, "</w:t>
      </w:r>
      <w:proofErr w:type="spellStart"/>
      <w:r w:rsidRPr="005774A1">
        <w:rPr>
          <w:rFonts w:ascii="Times New Roman" w:hAnsi="Times New Roman" w:cs="Times New Roman"/>
          <w:sz w:val="16"/>
        </w:rPr>
        <w:t>dz</w:t>
      </w:r>
      <w:proofErr w:type="spellEnd"/>
      <w:r w:rsidRPr="005774A1">
        <w:rPr>
          <w:rFonts w:ascii="Times New Roman" w:hAnsi="Times New Roman" w:cs="Times New Roman"/>
          <w:sz w:val="16"/>
        </w:rPr>
        <w:t>" for dozen, "</w:t>
      </w:r>
      <w:proofErr w:type="spellStart"/>
      <w:r w:rsidRPr="005774A1">
        <w:rPr>
          <w:rFonts w:ascii="Times New Roman" w:hAnsi="Times New Roman" w:cs="Times New Roman"/>
          <w:sz w:val="16"/>
        </w:rPr>
        <w:t>st</w:t>
      </w:r>
      <w:proofErr w:type="spellEnd"/>
      <w:r w:rsidRPr="005774A1">
        <w:rPr>
          <w:rFonts w:ascii="Times New Roman" w:hAnsi="Times New Roman" w:cs="Times New Roman"/>
          <w:sz w:val="16"/>
        </w:rPr>
        <w:t>" for set, etc.</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rsidR="0053523E" w:rsidRPr="005774A1" w:rsidRDefault="0053523E" w:rsidP="0053523E">
      <w:pPr>
        <w:pStyle w:val="ListParagraph"/>
        <w:numPr>
          <w:ilvl w:val="0"/>
          <w:numId w:val="2"/>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rsidR="0053523E" w:rsidRPr="00CD2A3C" w:rsidRDefault="0053523E" w:rsidP="0053523E">
      <w:pPr>
        <w:ind w:left="0"/>
        <w:rPr>
          <w:rFonts w:ascii="Times New Roman" w:hAnsi="Times New Roman" w:cs="Times New Roman"/>
          <w:sz w:val="16"/>
        </w:rPr>
      </w:pPr>
    </w:p>
    <w:p w:rsidR="0053523E" w:rsidRPr="00213C76" w:rsidRDefault="0053523E" w:rsidP="0053523E">
      <w:pPr>
        <w:ind w:left="0"/>
        <w:jc w:val="center"/>
        <w:rPr>
          <w:rFonts w:ascii="Times New Roman" w:hAnsi="Times New Roman" w:cs="Times New Roman"/>
          <w:b/>
        </w:rPr>
      </w:pPr>
      <w:bookmarkStart w:id="2" w:name="_Toc201469196"/>
      <w:bookmarkStart w:id="3" w:name="_Toc214078696"/>
      <w:bookmarkStart w:id="4" w:name="_Toc350864675"/>
      <w:r w:rsidRPr="00213C76">
        <w:rPr>
          <w:rFonts w:ascii="Times New Roman" w:hAnsi="Times New Roman" w:cs="Times New Roman"/>
          <w:b/>
        </w:rPr>
        <w:t>Condition Codes</w:t>
      </w:r>
      <w:bookmarkEnd w:id="2"/>
      <w:bookmarkEnd w:id="3"/>
      <w:bookmarkEnd w:id="4"/>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Pr>
          <w:rFonts w:ascii="Times New Roman" w:hAnsi="Times New Roman" w:cs="Times New Roman"/>
          <w:sz w:val="16"/>
        </w:rPr>
        <w:tab/>
      </w:r>
      <w:r w:rsidRPr="00CD2A3C">
        <w:rPr>
          <w:rFonts w:ascii="Times New Roman" w:hAnsi="Times New Roman" w:cs="Times New Roman"/>
          <w:sz w:val="16"/>
        </w:rPr>
        <w:t>Unused-Good</w:t>
      </w:r>
      <w:r>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 xml:space="preserve">Used property that is usable without repairs, but somewhat worn or deteriorated and </w:t>
      </w:r>
      <w:proofErr w:type="gramStart"/>
      <w:r w:rsidRPr="00CD2A3C">
        <w:rPr>
          <w:rFonts w:ascii="Times New Roman" w:hAnsi="Times New Roman" w:cs="Times New Roman"/>
          <w:sz w:val="16"/>
        </w:rPr>
        <w:t>may</w:t>
      </w:r>
      <w:proofErr w:type="gramEnd"/>
      <w:r>
        <w:rPr>
          <w:rFonts w:ascii="Times New Roman" w:hAnsi="Times New Roman" w:cs="Times New Roman"/>
          <w:sz w:val="16"/>
        </w:rPr>
        <w:t xml:space="preserve"> </w:t>
      </w:r>
      <w:r w:rsidRPr="00CD2A3C">
        <w:rPr>
          <w:rFonts w:ascii="Times New Roman" w:hAnsi="Times New Roman" w:cs="Times New Roman"/>
          <w:sz w:val="16"/>
        </w:rPr>
        <w:t>soon require repairs.</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Pr>
          <w:rFonts w:ascii="Times New Roman" w:hAnsi="Times New Roman" w:cs="Times New Roman"/>
          <w:sz w:val="16"/>
        </w:rPr>
        <w:tab/>
      </w:r>
      <w:r w:rsidRPr="00CD2A3C">
        <w:rPr>
          <w:rFonts w:ascii="Times New Roman" w:hAnsi="Times New Roman" w:cs="Times New Roman"/>
          <w:sz w:val="16"/>
        </w:rPr>
        <w:t>Repairs required</w:t>
      </w:r>
      <w:r>
        <w:rPr>
          <w:rFonts w:ascii="Times New Roman" w:hAnsi="Times New Roman" w:cs="Times New Roman"/>
          <w:sz w:val="16"/>
        </w:rPr>
        <w:t xml:space="preserve"> </w:t>
      </w:r>
      <w:r w:rsidRPr="00CD2A3C">
        <w:rPr>
          <w:rFonts w:ascii="Times New Roman" w:hAnsi="Times New Roman" w:cs="Times New Roman"/>
          <w:sz w:val="16"/>
        </w:rPr>
        <w:t>Good</w:t>
      </w:r>
      <w:r>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r>
      <w:proofErr w:type="gramStart"/>
      <w:r w:rsidRPr="00CD2A3C">
        <w:rPr>
          <w:rFonts w:ascii="Times New Roman" w:hAnsi="Times New Roman" w:cs="Times New Roman"/>
          <w:sz w:val="16"/>
        </w:rPr>
        <w:t>Required</w:t>
      </w:r>
      <w:proofErr w:type="gramEnd"/>
      <w:r w:rsidRPr="00CD2A3C">
        <w:rPr>
          <w:rFonts w:ascii="Times New Roman" w:hAnsi="Times New Roman" w:cs="Times New Roman"/>
          <w:sz w:val="16"/>
        </w:rPr>
        <w:t xml:space="preserve"> repairs are considerable and are estimated to range from 16 to 40 percent of original acquisition cost.</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rsidR="0053523E" w:rsidRPr="00CD2A3C" w:rsidRDefault="0053523E" w:rsidP="0053523E">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rsidR="0053523E" w:rsidRPr="00CD2A3C" w:rsidRDefault="0053523E" w:rsidP="0053523E">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rsidR="0053523E" w:rsidRDefault="0053523E" w:rsidP="0053523E">
      <w:pPr>
        <w:rPr>
          <w:sz w:val="16"/>
        </w:rPr>
        <w:sectPr w:rsidR="0053523E" w:rsidSect="00743DBE">
          <w:footerReference w:type="default" r:id="rId6"/>
          <w:pgSz w:w="15840" w:h="12240" w:orient="landscape"/>
          <w:pgMar w:top="72" w:right="720" w:bottom="72" w:left="720" w:header="0" w:footer="475" w:gutter="0"/>
          <w:cols w:space="720"/>
          <w:docGrid w:linePitch="272"/>
        </w:sectPr>
      </w:pPr>
    </w:p>
    <w:p w:rsidR="0095514C" w:rsidRDefault="0095514C">
      <w:bookmarkStart w:id="5" w:name="_GoBack"/>
      <w:bookmarkEnd w:id="5"/>
    </w:p>
    <w:sectPr w:rsidR="00955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924712"/>
      <w:docPartObj>
        <w:docPartGallery w:val="Page Numbers (Bottom of Page)"/>
        <w:docPartUnique/>
      </w:docPartObj>
    </w:sdtPr>
    <w:sdtEndPr/>
    <w:sdtContent>
      <w:p w:rsidR="00073E57" w:rsidRPr="00CD2A3C" w:rsidRDefault="0053523E" w:rsidP="00E71D93">
        <w:pPr>
          <w:spacing w:after="0"/>
          <w:ind w:left="0"/>
          <w:rPr>
            <w:rFonts w:ascii="Times New Roman" w:hAnsi="Times New Roman" w:cs="Times New Roman"/>
          </w:rPr>
        </w:pPr>
        <w:r w:rsidRPr="00CD2A3C">
          <w:rPr>
            <w:rFonts w:ascii="Times New Roman" w:hAnsi="Times New Roman" w:cs="Times New Roman"/>
          </w:rPr>
          <w:t xml:space="preserve">BLS OSHS Property </w:t>
        </w:r>
        <w:r w:rsidRPr="00CD2A3C">
          <w:rPr>
            <w:rFonts w:ascii="Times New Roman" w:hAnsi="Times New Roman" w:cs="Times New Roman"/>
          </w:rPr>
          <w:t>Listing</w:t>
        </w:r>
      </w:p>
      <w:p w:rsidR="00073E57" w:rsidRDefault="0053523E" w:rsidP="00B713D2">
        <w:pPr>
          <w:pStyle w:val="Footer"/>
          <w:jc w:val="center"/>
        </w:pPr>
        <w:r w:rsidRPr="00077BF7">
          <w:fldChar w:fldCharType="begin"/>
        </w:r>
        <w:r w:rsidRPr="00077BF7">
          <w:instrText xml:space="preserve"> PAGE   \* MERGEFORMAT </w:instrText>
        </w:r>
        <w:r w:rsidRPr="00077BF7">
          <w:fldChar w:fldCharType="separate"/>
        </w:r>
        <w:r>
          <w:rPr>
            <w:noProof/>
          </w:rPr>
          <w:t>1</w:t>
        </w:r>
        <w:r w:rsidRPr="00077BF7">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3E"/>
    <w:rsid w:val="0053523E"/>
    <w:rsid w:val="0095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56D57-D488-44BC-A0B1-7AD28CB5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23E"/>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53523E"/>
    <w:pPr>
      <w:ind w:left="0"/>
      <w:jc w:val="center"/>
      <w:outlineLvl w:val="0"/>
    </w:pPr>
    <w:rPr>
      <w:b/>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23E"/>
    <w:rPr>
      <w:rFonts w:eastAsia="Times New Roman" w:cstheme="minorHAnsi"/>
      <w:b/>
      <w:sz w:val="31"/>
      <w:szCs w:val="31"/>
    </w:rPr>
  </w:style>
  <w:style w:type="paragraph" w:styleId="Footer">
    <w:name w:val="footer"/>
    <w:basedOn w:val="Normal"/>
    <w:link w:val="FooterChar"/>
    <w:uiPriority w:val="99"/>
    <w:rsid w:val="0053523E"/>
    <w:pPr>
      <w:tabs>
        <w:tab w:val="center" w:pos="4320"/>
        <w:tab w:val="right" w:pos="8640"/>
      </w:tabs>
    </w:pPr>
  </w:style>
  <w:style w:type="character" w:customStyle="1" w:styleId="FooterChar">
    <w:name w:val="Footer Char"/>
    <w:basedOn w:val="DefaultParagraphFont"/>
    <w:link w:val="Footer"/>
    <w:uiPriority w:val="99"/>
    <w:rsid w:val="0053523E"/>
    <w:rPr>
      <w:rFonts w:eastAsia="Times New Roman" w:cstheme="minorHAnsi"/>
      <w:sz w:val="20"/>
      <w:szCs w:val="20"/>
    </w:rPr>
  </w:style>
  <w:style w:type="paragraph" w:styleId="ListParagraph">
    <w:name w:val="List Paragraph"/>
    <w:basedOn w:val="Normal"/>
    <w:uiPriority w:val="34"/>
    <w:qFormat/>
    <w:rsid w:val="0053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2017-06-01T17:22:00Z</dcterms:created>
  <dcterms:modified xsi:type="dcterms:W3CDTF">2017-06-01T17:22:00Z</dcterms:modified>
</cp:coreProperties>
</file>