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28" w:rsidRDefault="00766B28" w:rsidP="00943EA3">
      <w:pPr>
        <w:pStyle w:val="Header"/>
        <w:tabs>
          <w:tab w:val="clear" w:pos="4320"/>
          <w:tab w:val="clear" w:pos="8640"/>
        </w:tabs>
        <w:rPr>
          <w:lang w:val="en-CA"/>
        </w:rPr>
      </w:pPr>
    </w:p>
    <w:p w:rsidR="00766B28" w:rsidRDefault="00766B28" w:rsidP="00943EA3">
      <w:pPr>
        <w:pStyle w:val="Header"/>
        <w:tabs>
          <w:tab w:val="clear" w:pos="4320"/>
          <w:tab w:val="clear" w:pos="8640"/>
        </w:tabs>
        <w:rPr>
          <w:lang w:val="en-CA"/>
        </w:rPr>
      </w:pPr>
    </w:p>
    <w:p w:rsidR="00943EA3" w:rsidRDefault="00943EA3" w:rsidP="00943EA3">
      <w:pPr>
        <w:pStyle w:val="Header"/>
        <w:tabs>
          <w:tab w:val="clear" w:pos="4320"/>
          <w:tab w:val="clear" w:pos="8640"/>
        </w:tabs>
        <w:rPr>
          <w:lang w:val="en-CA"/>
        </w:rPr>
      </w:pPr>
      <w:r>
        <w:rPr>
          <w:lang w:val="en-CA"/>
        </w:rPr>
        <w:fldChar w:fldCharType="begin"/>
      </w:r>
      <w:r>
        <w:rPr>
          <w:lang w:val="en-CA"/>
        </w:rPr>
        <w:instrText xml:space="preserve"> SEQ CHAPTER \h \r 1</w:instrText>
      </w:r>
      <w:r>
        <w:rPr>
          <w:lang w:val="en-CA"/>
        </w:rPr>
        <w:fldChar w:fldCharType="end"/>
      </w:r>
    </w:p>
    <w:p w:rsidR="00943EA3" w:rsidRDefault="00943EA3" w:rsidP="00943EA3"/>
    <w:p w:rsidR="003646F9" w:rsidRDefault="003646F9" w:rsidP="00943EA3"/>
    <w:p w:rsidR="003646F9" w:rsidRDefault="003646F9" w:rsidP="00943EA3"/>
    <w:p w:rsidR="00943EA3" w:rsidRDefault="00943EA3" w:rsidP="00943EA3"/>
    <w:p w:rsidR="00943EA3" w:rsidRDefault="00943EA3" w:rsidP="00943EA3"/>
    <w:p w:rsidR="00943EA3" w:rsidRDefault="00943EA3" w:rsidP="00943EA3"/>
    <w:p w:rsidR="00943EA3" w:rsidRDefault="00943EA3" w:rsidP="00943EA3"/>
    <w:p w:rsidR="00F74D29" w:rsidRDefault="00943EA3" w:rsidP="00F74D29">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MEMORANDUM FOR:</w:t>
      </w:r>
      <w:r>
        <w:tab/>
      </w:r>
      <w:r w:rsidR="00F74D29">
        <w:t>Lisa Clement</w:t>
      </w:r>
    </w:p>
    <w:p w:rsidR="00522FF1" w:rsidRDefault="00F74D29" w:rsidP="00F74D29">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r>
      <w:r>
        <w:tab/>
      </w:r>
      <w:r>
        <w:tab/>
      </w:r>
      <w:r>
        <w:tab/>
        <w:t>Sur</w:t>
      </w:r>
      <w:r w:rsidR="00522FF1">
        <w:t>vey Director for CPS &amp; Time Use</w:t>
      </w:r>
    </w:p>
    <w:p w:rsidR="00F74D29" w:rsidRDefault="00522FF1" w:rsidP="00F74D29">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r>
      <w:r>
        <w:tab/>
      </w:r>
      <w:r>
        <w:tab/>
      </w:r>
      <w:r>
        <w:tab/>
      </w:r>
      <w:r w:rsidR="00F74D29">
        <w:t>Associate Directorate for Demographic Programs</w:t>
      </w:r>
    </w:p>
    <w:p w:rsidR="00943EA3" w:rsidRDefault="00943EA3" w:rsidP="00F74D29">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p>
    <w:p w:rsidR="00961528" w:rsidRDefault="00943EA3" w:rsidP="00166090">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From:</w:t>
      </w:r>
      <w:r>
        <w:tab/>
      </w:r>
      <w:r>
        <w:tab/>
      </w:r>
      <w:r>
        <w:tab/>
      </w:r>
      <w:r>
        <w:tab/>
      </w:r>
      <w:r>
        <w:tab/>
      </w:r>
      <w:r w:rsidR="00415FB4">
        <w:t>James B. Treat</w:t>
      </w:r>
    </w:p>
    <w:p w:rsidR="00943EA3" w:rsidRDefault="00961528" w:rsidP="00166090">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r>
      <w:r>
        <w:tab/>
      </w:r>
      <w:r>
        <w:tab/>
      </w:r>
      <w:r>
        <w:tab/>
      </w:r>
      <w:r w:rsidR="00166090">
        <w:t>Chief</w:t>
      </w:r>
      <w:r>
        <w:t xml:space="preserve">, </w:t>
      </w:r>
      <w:r w:rsidR="00943EA3">
        <w:t>Demographic Statistical Methods Division</w:t>
      </w: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3EA3" w:rsidRPr="000C222B"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Subject:</w:t>
      </w:r>
      <w:r>
        <w:tab/>
      </w:r>
      <w:r>
        <w:tab/>
      </w:r>
      <w:r>
        <w:tab/>
      </w:r>
      <w:r>
        <w:tab/>
        <w:t xml:space="preserve">Source and Accuracy Statement for the </w:t>
      </w:r>
      <w:r w:rsidR="001C57D3" w:rsidRPr="000C222B">
        <w:t>January 2016</w:t>
      </w:r>
      <w:r w:rsidRPr="000C222B">
        <w:t xml:space="preserve"> CPS</w:t>
      </w:r>
      <w:r>
        <w:t xml:space="preserve"> </w:t>
      </w:r>
      <w:r w:rsidRPr="000C222B">
        <w:t xml:space="preserve">Microdata File on </w:t>
      </w:r>
      <w:r w:rsidR="001C57D3" w:rsidRPr="000C222B">
        <w:t>Displaced Workers, Employee Tenure, and Occupational Mobility</w:t>
      </w:r>
    </w:p>
    <w:p w:rsidR="00943EA3" w:rsidRPr="000C222B"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C222B">
        <w:t xml:space="preserve">Attached is the statement on the source of the data and accuracy of the estimates for the </w:t>
      </w:r>
      <w:r w:rsidR="001C57D3" w:rsidRPr="000C222B">
        <w:t>January 2016</w:t>
      </w:r>
      <w:r w:rsidRPr="000C222B">
        <w:t xml:space="preserve"> CPS Microdata File on </w:t>
      </w:r>
      <w:r w:rsidR="001C57D3" w:rsidRPr="000C222B">
        <w:t>Displaced Workers, Employee Tenure, and Occupational Mobility</w:t>
      </w:r>
      <w:r w:rsidRPr="000C222B">
        <w:t>.</w:t>
      </w:r>
      <w:r>
        <w:t xml:space="preserve">  </w:t>
      </w: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you have any questions or need additional information, please contact </w:t>
      </w:r>
      <w:r w:rsidR="000C222B">
        <w:t xml:space="preserve">Rebecca Hoop </w:t>
      </w:r>
      <w:r>
        <w:t>of the Demographic Statistical Methods Division via email at dsmd.source.and.accuracy@census.gov.</w:t>
      </w: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Attachment</w:t>
      </w: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943EA3" w:rsidSect="00943E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630" w:gutter="0"/>
          <w:cols w:space="720"/>
        </w:sectPr>
      </w:pP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cc:</w:t>
      </w: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3EA3" w:rsidRDefault="00943EA3"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sectPr w:rsidR="00943EA3">
          <w:type w:val="continuous"/>
          <w:pgSz w:w="12240" w:h="15840"/>
          <w:pgMar w:top="1440" w:right="1440" w:bottom="1440" w:left="1440" w:header="360" w:footer="630" w:gutter="0"/>
          <w:cols w:num="2" w:space="720"/>
        </w:sectPr>
      </w:pPr>
    </w:p>
    <w:p w:rsidR="00943EA3" w:rsidRDefault="003646F9"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lastRenderedPageBreak/>
        <w:t xml:space="preserve">Kyra </w:t>
      </w:r>
      <w:proofErr w:type="spellStart"/>
      <w:r>
        <w:t>Linse</w:t>
      </w:r>
      <w:proofErr w:type="spellEnd"/>
      <w:r w:rsidR="00ED2CEC">
        <w:tab/>
        <w:t>(ADDP</w:t>
      </w:r>
      <w:r w:rsidR="00943EA3">
        <w:t>)</w:t>
      </w:r>
      <w:r w:rsidR="00943EA3">
        <w:tab/>
      </w:r>
      <w:r w:rsidR="00943EA3">
        <w:tab/>
      </w:r>
      <w:r w:rsidR="00943EA3">
        <w:tab/>
      </w:r>
      <w:r w:rsidR="00943EA3">
        <w:tab/>
      </w:r>
      <w:r w:rsidR="00943EA3">
        <w:tab/>
      </w:r>
    </w:p>
    <w:p w:rsidR="000C222B" w:rsidRDefault="000C222B" w:rsidP="00F74D29">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t>Tim Marshall</w:t>
      </w:r>
    </w:p>
    <w:p w:rsidR="00943EA3" w:rsidRDefault="000C222B" w:rsidP="00F74D29">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t>Mary Beth Eldridge</w:t>
      </w:r>
      <w:r w:rsidR="00943EA3">
        <w:tab/>
      </w:r>
      <w:r w:rsidR="00943EA3">
        <w:tab/>
      </w:r>
      <w:r w:rsidR="00943EA3">
        <w:tab/>
      </w:r>
      <w:r w:rsidR="00943EA3">
        <w:tab/>
      </w:r>
    </w:p>
    <w:p w:rsidR="003646F9" w:rsidRDefault="00F74D29"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w:t>
      </w:r>
      <w:r w:rsidR="00FE3592">
        <w:t>ames</w:t>
      </w:r>
      <w:r w:rsidR="002829CD">
        <w:t xml:space="preserve"> Farber</w:t>
      </w:r>
      <w:r w:rsidR="00943EA3">
        <w:tab/>
      </w:r>
      <w:r w:rsidR="007077E4">
        <w:tab/>
      </w:r>
      <w:r w:rsidR="00943EA3">
        <w:t>(DSMD)</w:t>
      </w:r>
    </w:p>
    <w:p w:rsidR="00943EA3" w:rsidRDefault="00D93939"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w:t>
      </w:r>
      <w:r w:rsidR="00FE3592">
        <w:t xml:space="preserve">ang </w:t>
      </w:r>
      <w:r>
        <w:t>Cheng</w:t>
      </w:r>
      <w:r w:rsidR="00943EA3">
        <w:tab/>
      </w:r>
    </w:p>
    <w:p w:rsidR="00943EA3" w:rsidRDefault="00FE3592"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Jimmie</w:t>
      </w:r>
      <w:r w:rsidR="00943EA3">
        <w:t xml:space="preserve"> Scott</w:t>
      </w:r>
    </w:p>
    <w:p w:rsidR="00DC1971" w:rsidRDefault="00FE3592"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David </w:t>
      </w:r>
      <w:proofErr w:type="spellStart"/>
      <w:r w:rsidR="00DC1971">
        <w:t>Hornick</w:t>
      </w:r>
      <w:proofErr w:type="spellEnd"/>
    </w:p>
    <w:p w:rsidR="00FE3592" w:rsidRDefault="00B078BE"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Rebecca </w:t>
      </w:r>
      <w:r w:rsidR="00DC1971">
        <w:t>Hoop</w:t>
      </w:r>
    </w:p>
    <w:p w:rsidR="00B078BE" w:rsidRDefault="00FE3592"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spellStart"/>
      <w:r>
        <w:t>Nghiep</w:t>
      </w:r>
      <w:proofErr w:type="spellEnd"/>
      <w:r>
        <w:t xml:space="preserve"> </w:t>
      </w:r>
      <w:r w:rsidR="00B078BE">
        <w:t>Huynh</w:t>
      </w:r>
      <w:r w:rsidR="00943EA3">
        <w:t xml:space="preserve"> </w:t>
      </w:r>
    </w:p>
    <w:p w:rsidR="00943EA3" w:rsidRDefault="00B078BE" w:rsidP="00943EA3">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943EA3">
          <w:type w:val="continuous"/>
          <w:pgSz w:w="12240" w:h="15840"/>
          <w:pgMar w:top="1440" w:right="1440" w:bottom="1440" w:left="1440" w:header="1440" w:footer="1440" w:gutter="0"/>
          <w:cols w:num="2" w:space="720"/>
        </w:sectPr>
      </w:pPr>
      <w:r>
        <w:t xml:space="preserve">Anne </w:t>
      </w:r>
      <w:r w:rsidR="006C09D6">
        <w:t xml:space="preserve">E. </w:t>
      </w:r>
      <w:r>
        <w:t>Johnson</w:t>
      </w:r>
      <w:r w:rsidR="00943EA3">
        <w:t xml:space="preserve">  </w:t>
      </w:r>
    </w:p>
    <w:p w:rsidR="00943EA3" w:rsidRDefault="00943EA3" w:rsidP="00943EA3">
      <w:pPr>
        <w:jc w:val="center"/>
        <w:rPr>
          <w:sz w:val="28"/>
          <w:lang w:val="en-CA"/>
        </w:rPr>
      </w:pPr>
    </w:p>
    <w:p w:rsidR="00943EA3" w:rsidRDefault="00943EA3" w:rsidP="00943EA3">
      <w:pPr>
        <w:jc w:val="center"/>
        <w:rPr>
          <w:b/>
          <w:bCs/>
          <w:sz w:val="28"/>
        </w:rPr>
      </w:pPr>
      <w:r>
        <w:rPr>
          <w:sz w:val="28"/>
          <w:lang w:val="en-CA"/>
        </w:rPr>
        <w:fldChar w:fldCharType="begin"/>
      </w:r>
      <w:r>
        <w:rPr>
          <w:sz w:val="28"/>
          <w:lang w:val="en-CA"/>
        </w:rPr>
        <w:instrText xml:space="preserve"> SEQ CHAPTER \h \r 1</w:instrText>
      </w:r>
      <w:r>
        <w:rPr>
          <w:sz w:val="28"/>
          <w:lang w:val="en-CA"/>
        </w:rPr>
        <w:fldChar w:fldCharType="end"/>
      </w:r>
      <w:r>
        <w:rPr>
          <w:b/>
          <w:bCs/>
          <w:sz w:val="28"/>
        </w:rPr>
        <w:t xml:space="preserve">Source of the Data and Accuracy of the Estimates for the </w:t>
      </w:r>
    </w:p>
    <w:p w:rsidR="00943EA3" w:rsidRDefault="001C57D3" w:rsidP="00943EA3">
      <w:pPr>
        <w:jc w:val="center"/>
        <w:rPr>
          <w:b/>
          <w:bCs/>
          <w:sz w:val="28"/>
        </w:rPr>
      </w:pPr>
      <w:r w:rsidRPr="0010765C">
        <w:rPr>
          <w:b/>
          <w:bCs/>
          <w:sz w:val="28"/>
        </w:rPr>
        <w:t>January 2016</w:t>
      </w:r>
      <w:r w:rsidR="00943EA3" w:rsidRPr="0010765C">
        <w:rPr>
          <w:b/>
          <w:bCs/>
          <w:sz w:val="28"/>
        </w:rPr>
        <w:t xml:space="preserve"> CPS Microdata File on </w:t>
      </w:r>
      <w:r w:rsidRPr="0010765C">
        <w:rPr>
          <w:b/>
          <w:bCs/>
          <w:sz w:val="28"/>
        </w:rPr>
        <w:t>Displaced Workers, Employee Tenure, and Occupational Mobility</w:t>
      </w:r>
    </w:p>
    <w:p w:rsidR="00943EA3" w:rsidRDefault="00943EA3" w:rsidP="00943EA3">
      <w:pPr>
        <w:rPr>
          <w:b/>
          <w:bCs/>
        </w:rPr>
      </w:pPr>
    </w:p>
    <w:p w:rsidR="00943EA3" w:rsidRDefault="00943EA3" w:rsidP="00943EA3">
      <w:pPr>
        <w:pStyle w:val="Heading4"/>
      </w:pPr>
      <w:r>
        <w:t>Table of Contents</w:t>
      </w:r>
    </w:p>
    <w:p w:rsidR="00943EA3" w:rsidRPr="0045301E" w:rsidRDefault="00943EA3" w:rsidP="00943EA3">
      <w:r w:rsidRPr="0045301E">
        <w:fldChar w:fldCharType="begin"/>
      </w:r>
      <w:r w:rsidRPr="0045301E">
        <w:instrText>TOC \f</w:instrText>
      </w:r>
      <w:r w:rsidRPr="0045301E">
        <w:fldChar w:fldCharType="separate"/>
      </w:r>
    </w:p>
    <w:p w:rsidR="00943EA3" w:rsidRPr="0045301E" w:rsidRDefault="00943EA3" w:rsidP="00943EA3">
      <w:pPr>
        <w:pStyle w:val="Heading3"/>
      </w:pPr>
      <w:r w:rsidRPr="0045301E">
        <w:t>SOURCE OF THE DATA</w:t>
      </w:r>
      <w:r w:rsidRPr="0045301E">
        <w:tab/>
        <w:t>1</w:t>
      </w:r>
    </w:p>
    <w:p w:rsidR="00943EA3" w:rsidRPr="0045301E" w:rsidRDefault="00943EA3" w:rsidP="00943EA3">
      <w:pPr>
        <w:tabs>
          <w:tab w:val="right" w:leader="dot" w:pos="9360"/>
        </w:tabs>
        <w:ind w:left="1440" w:hanging="720"/>
      </w:pPr>
      <w:r w:rsidRPr="0045301E">
        <w:t>Basic CPS</w:t>
      </w:r>
      <w:r w:rsidRPr="0045301E">
        <w:tab/>
        <w:t>1</w:t>
      </w:r>
    </w:p>
    <w:p w:rsidR="00943EA3" w:rsidRPr="0045301E" w:rsidRDefault="001C57D3" w:rsidP="00943EA3">
      <w:pPr>
        <w:tabs>
          <w:tab w:val="right" w:leader="dot" w:pos="9360"/>
        </w:tabs>
        <w:ind w:left="1440" w:hanging="720"/>
      </w:pPr>
      <w:r w:rsidRPr="0045301E">
        <w:t>January 2016</w:t>
      </w:r>
      <w:r w:rsidR="00943EA3" w:rsidRPr="0045301E">
        <w:t xml:space="preserve"> Supplement</w:t>
      </w:r>
      <w:r w:rsidR="00943EA3" w:rsidRPr="0045301E">
        <w:tab/>
        <w:t>2</w:t>
      </w:r>
    </w:p>
    <w:p w:rsidR="00943EA3" w:rsidRPr="0045301E" w:rsidRDefault="00943EA3" w:rsidP="00943EA3">
      <w:pPr>
        <w:tabs>
          <w:tab w:val="right" w:leader="dot" w:pos="9360"/>
        </w:tabs>
        <w:ind w:left="1440" w:hanging="720"/>
      </w:pPr>
      <w:r w:rsidRPr="0045301E">
        <w:t>Estimation Procedure</w:t>
      </w:r>
      <w:r w:rsidRPr="0045301E">
        <w:tab/>
        <w:t>2</w:t>
      </w:r>
    </w:p>
    <w:p w:rsidR="00943EA3" w:rsidRPr="0045301E" w:rsidRDefault="00943EA3" w:rsidP="00943EA3"/>
    <w:p w:rsidR="00943EA3" w:rsidRPr="0045301E" w:rsidRDefault="00943EA3" w:rsidP="00943EA3">
      <w:pPr>
        <w:pStyle w:val="Heading3"/>
      </w:pPr>
      <w:r w:rsidRPr="0045301E">
        <w:t>ACCURACY OF THE ESTIMATES</w:t>
      </w:r>
      <w:r w:rsidRPr="0045301E">
        <w:tab/>
        <w:t>3</w:t>
      </w:r>
    </w:p>
    <w:p w:rsidR="00943EA3" w:rsidRPr="0045301E" w:rsidRDefault="00943EA3" w:rsidP="00943EA3">
      <w:pPr>
        <w:tabs>
          <w:tab w:val="right" w:leader="dot" w:pos="9360"/>
        </w:tabs>
        <w:ind w:left="1440" w:hanging="720"/>
      </w:pPr>
      <w:r w:rsidRPr="0045301E">
        <w:t>Sampling Error</w:t>
      </w:r>
      <w:r w:rsidRPr="0045301E">
        <w:tab/>
        <w:t>3</w:t>
      </w:r>
    </w:p>
    <w:p w:rsidR="00943EA3" w:rsidRPr="0045301E" w:rsidRDefault="00943EA3" w:rsidP="00943EA3">
      <w:pPr>
        <w:tabs>
          <w:tab w:val="right" w:leader="dot" w:pos="9360"/>
        </w:tabs>
        <w:ind w:left="1440" w:hanging="720"/>
      </w:pPr>
      <w:r w:rsidRPr="0045301E">
        <w:t>Nonsampling Error</w:t>
      </w:r>
      <w:bookmarkStart w:id="0" w:name="_GoBack"/>
      <w:bookmarkEnd w:id="0"/>
      <w:r w:rsidRPr="0045301E">
        <w:tab/>
        <w:t>3</w:t>
      </w:r>
    </w:p>
    <w:p w:rsidR="00943EA3" w:rsidRPr="0045301E" w:rsidRDefault="00943EA3" w:rsidP="00943EA3">
      <w:pPr>
        <w:tabs>
          <w:tab w:val="right" w:leader="dot" w:pos="9360"/>
        </w:tabs>
        <w:ind w:left="1440" w:hanging="720"/>
      </w:pPr>
      <w:r w:rsidRPr="0045301E">
        <w:t>Nonresponse</w:t>
      </w:r>
      <w:r w:rsidRPr="0045301E">
        <w:tab/>
        <w:t>4</w:t>
      </w:r>
    </w:p>
    <w:p w:rsidR="00A57983" w:rsidRPr="0045301E" w:rsidRDefault="00A57983" w:rsidP="00A57983">
      <w:pPr>
        <w:tabs>
          <w:tab w:val="right" w:leader="dot" w:pos="9360"/>
        </w:tabs>
        <w:ind w:left="1440" w:hanging="720"/>
      </w:pPr>
      <w:r w:rsidRPr="0045301E">
        <w:t>Sufficient Partial Interview</w:t>
      </w:r>
      <w:r w:rsidRPr="0045301E">
        <w:tab/>
        <w:t>4</w:t>
      </w:r>
    </w:p>
    <w:p w:rsidR="00943EA3" w:rsidRPr="0045301E" w:rsidRDefault="00943EA3" w:rsidP="00943EA3">
      <w:pPr>
        <w:tabs>
          <w:tab w:val="right" w:leader="dot" w:pos="9360"/>
        </w:tabs>
        <w:ind w:left="1440" w:hanging="720"/>
      </w:pPr>
      <w:r w:rsidRPr="0045301E">
        <w:t>Coverage</w:t>
      </w:r>
      <w:r w:rsidRPr="0045301E">
        <w:tab/>
        <w:t>4</w:t>
      </w:r>
    </w:p>
    <w:p w:rsidR="00943EA3" w:rsidRPr="0045301E" w:rsidRDefault="00943EA3" w:rsidP="00943EA3">
      <w:pPr>
        <w:tabs>
          <w:tab w:val="right" w:leader="dot" w:pos="9360"/>
        </w:tabs>
        <w:ind w:left="1440" w:hanging="720"/>
      </w:pPr>
      <w:r w:rsidRPr="0045301E">
        <w:t>Comparability of Data</w:t>
      </w:r>
      <w:r w:rsidRPr="0045301E">
        <w:tab/>
        <w:t>5</w:t>
      </w:r>
    </w:p>
    <w:p w:rsidR="00943EA3" w:rsidRPr="0045301E" w:rsidRDefault="00943EA3" w:rsidP="00943EA3">
      <w:pPr>
        <w:tabs>
          <w:tab w:val="right" w:leader="dot" w:pos="9360"/>
        </w:tabs>
        <w:ind w:left="1440" w:hanging="720"/>
      </w:pPr>
      <w:r w:rsidRPr="0045301E">
        <w:t>A Nonsampling Error Warning</w:t>
      </w:r>
      <w:r w:rsidRPr="0045301E">
        <w:tab/>
        <w:t>6</w:t>
      </w:r>
    </w:p>
    <w:p w:rsidR="00943EA3" w:rsidRPr="0045301E" w:rsidRDefault="00943EA3" w:rsidP="00943EA3">
      <w:pPr>
        <w:tabs>
          <w:tab w:val="right" w:leader="dot" w:pos="9360"/>
        </w:tabs>
        <w:ind w:left="1440" w:hanging="720"/>
      </w:pPr>
      <w:r w:rsidRPr="0045301E">
        <w:t>Standard Errors and Their Use</w:t>
      </w:r>
      <w:r w:rsidRPr="0045301E">
        <w:tab/>
        <w:t>6</w:t>
      </w:r>
    </w:p>
    <w:p w:rsidR="00943EA3" w:rsidRPr="0045301E" w:rsidRDefault="00943EA3" w:rsidP="00943EA3">
      <w:pPr>
        <w:tabs>
          <w:tab w:val="right" w:leader="dot" w:pos="9360"/>
        </w:tabs>
        <w:ind w:left="1440" w:hanging="720"/>
      </w:pPr>
      <w:r w:rsidRPr="0045301E">
        <w:t>Estimating Standard Errors</w:t>
      </w:r>
      <w:r w:rsidRPr="0045301E">
        <w:tab/>
        <w:t>7</w:t>
      </w:r>
    </w:p>
    <w:p w:rsidR="00943EA3" w:rsidRPr="0045301E" w:rsidRDefault="00943EA3" w:rsidP="00943EA3">
      <w:pPr>
        <w:tabs>
          <w:tab w:val="right" w:leader="dot" w:pos="9360"/>
        </w:tabs>
        <w:ind w:left="1440" w:hanging="720"/>
      </w:pPr>
      <w:r w:rsidRPr="0045301E">
        <w:t>Generalized Variance Parameters</w:t>
      </w:r>
      <w:r w:rsidRPr="0045301E">
        <w:tab/>
      </w:r>
      <w:r w:rsidR="0045301E" w:rsidRPr="0045301E">
        <w:t>7</w:t>
      </w:r>
    </w:p>
    <w:p w:rsidR="00943EA3" w:rsidRPr="0045301E" w:rsidRDefault="00943EA3" w:rsidP="00943EA3">
      <w:pPr>
        <w:tabs>
          <w:tab w:val="right" w:leader="dot" w:pos="9360"/>
        </w:tabs>
        <w:ind w:left="1440" w:hanging="720"/>
      </w:pPr>
      <w:r w:rsidRPr="0045301E">
        <w:t>Standard Errors of Estimated Numbers</w:t>
      </w:r>
      <w:r w:rsidRPr="0045301E">
        <w:tab/>
      </w:r>
      <w:r w:rsidR="0045301E" w:rsidRPr="0045301E">
        <w:t>8</w:t>
      </w:r>
    </w:p>
    <w:p w:rsidR="00943EA3" w:rsidRPr="0045301E" w:rsidRDefault="00943EA3" w:rsidP="00943EA3">
      <w:pPr>
        <w:tabs>
          <w:tab w:val="right" w:leader="dot" w:pos="9360"/>
        </w:tabs>
        <w:ind w:left="1440" w:hanging="720"/>
      </w:pPr>
      <w:r w:rsidRPr="0045301E">
        <w:t>Standard Errors of Estimated Percentages</w:t>
      </w:r>
      <w:r w:rsidRPr="0045301E">
        <w:tab/>
      </w:r>
      <w:r w:rsidR="0045301E" w:rsidRPr="0045301E">
        <w:t>9</w:t>
      </w:r>
    </w:p>
    <w:p w:rsidR="00943EA3" w:rsidRPr="0045301E" w:rsidRDefault="00943EA3" w:rsidP="00943EA3">
      <w:pPr>
        <w:tabs>
          <w:tab w:val="right" w:leader="dot" w:pos="9360"/>
        </w:tabs>
        <w:ind w:left="1440" w:hanging="720"/>
      </w:pPr>
      <w:r w:rsidRPr="0045301E">
        <w:t>Standard Errors of Estimated Differences</w:t>
      </w:r>
      <w:r w:rsidRPr="0045301E">
        <w:tab/>
      </w:r>
      <w:r w:rsidR="0045301E" w:rsidRPr="0045301E">
        <w:t>10</w:t>
      </w:r>
    </w:p>
    <w:p w:rsidR="00943EA3" w:rsidRPr="0045301E" w:rsidRDefault="00943EA3" w:rsidP="00943EA3">
      <w:pPr>
        <w:tabs>
          <w:tab w:val="right" w:leader="dot" w:pos="9360"/>
        </w:tabs>
        <w:ind w:left="1440" w:hanging="720"/>
      </w:pPr>
      <w:r w:rsidRPr="0045301E">
        <w:t>Standard Errors of</w:t>
      </w:r>
      <w:r w:rsidR="0045301E" w:rsidRPr="0045301E">
        <w:t xml:space="preserve"> Estimated Medians</w:t>
      </w:r>
      <w:r w:rsidRPr="0045301E">
        <w:tab/>
        <w:t>11</w:t>
      </w:r>
    </w:p>
    <w:p w:rsidR="00943EA3" w:rsidRPr="0045301E" w:rsidRDefault="00943EA3" w:rsidP="00943EA3">
      <w:pPr>
        <w:tabs>
          <w:tab w:val="right" w:leader="dot" w:pos="9360"/>
        </w:tabs>
        <w:ind w:left="1440" w:hanging="720"/>
      </w:pPr>
      <w:r w:rsidRPr="0045301E">
        <w:t xml:space="preserve">Standard Errors of </w:t>
      </w:r>
      <w:r w:rsidR="0045301E" w:rsidRPr="0045301E">
        <w:t>Quarterly or Yearly Averages</w:t>
      </w:r>
      <w:r w:rsidRPr="0045301E">
        <w:tab/>
      </w:r>
      <w:r w:rsidR="0045301E" w:rsidRPr="0045301E">
        <w:t>14</w:t>
      </w:r>
    </w:p>
    <w:p w:rsidR="00943EA3" w:rsidRPr="0045301E" w:rsidRDefault="00943EA3" w:rsidP="00943EA3">
      <w:pPr>
        <w:tabs>
          <w:tab w:val="right" w:leader="dot" w:pos="9360"/>
        </w:tabs>
        <w:ind w:left="1440" w:hanging="720"/>
      </w:pPr>
      <w:r w:rsidRPr="0045301E">
        <w:t>Technical Assistance</w:t>
      </w:r>
      <w:r w:rsidRPr="0045301E">
        <w:tab/>
      </w:r>
      <w:r w:rsidR="0045301E" w:rsidRPr="0045301E">
        <w:t>14</w:t>
      </w:r>
    </w:p>
    <w:p w:rsidR="00943EA3" w:rsidRPr="0045301E" w:rsidRDefault="00943EA3" w:rsidP="00943EA3">
      <w:pPr>
        <w:ind w:firstLine="720"/>
      </w:pPr>
      <w:r w:rsidRPr="0045301E">
        <w:fldChar w:fldCharType="end"/>
      </w:r>
    </w:p>
    <w:p w:rsidR="00943EA3" w:rsidRPr="0045301E" w:rsidRDefault="00943EA3" w:rsidP="00943EA3">
      <w:pPr>
        <w:pStyle w:val="Heading3"/>
      </w:pPr>
      <w:r w:rsidRPr="0045301E">
        <w:t>REFERENCES</w:t>
      </w:r>
      <w:r w:rsidRPr="0045301E">
        <w:tab/>
      </w:r>
      <w:r w:rsidR="0045301E" w:rsidRPr="0045301E">
        <w:t>16</w:t>
      </w:r>
    </w:p>
    <w:p w:rsidR="00943EA3" w:rsidRPr="0045301E" w:rsidRDefault="00943EA3" w:rsidP="00943EA3">
      <w:pPr>
        <w:ind w:firstLine="720"/>
      </w:pPr>
    </w:p>
    <w:p w:rsidR="00943EA3" w:rsidRPr="0045301E" w:rsidRDefault="00943EA3" w:rsidP="00943EA3">
      <w:pPr>
        <w:ind w:firstLine="720"/>
      </w:pPr>
    </w:p>
    <w:p w:rsidR="00943EA3" w:rsidRPr="0045301E" w:rsidRDefault="00943EA3" w:rsidP="00943EA3">
      <w:pPr>
        <w:pStyle w:val="Heading4"/>
      </w:pPr>
      <w:r w:rsidRPr="0045301E">
        <w:t>Tables</w:t>
      </w:r>
    </w:p>
    <w:p w:rsidR="00943EA3" w:rsidRPr="0045301E" w:rsidRDefault="00943EA3" w:rsidP="00943EA3">
      <w:r w:rsidRPr="0045301E">
        <w:fldChar w:fldCharType="begin"/>
      </w:r>
      <w:r w:rsidRPr="0045301E">
        <w:instrText>INDEX</w:instrText>
      </w:r>
      <w:r w:rsidRPr="0045301E">
        <w:fldChar w:fldCharType="end"/>
      </w:r>
    </w:p>
    <w:p w:rsidR="00943EA3" w:rsidRPr="0045301E" w:rsidRDefault="00943EA3" w:rsidP="00943EA3">
      <w:pPr>
        <w:tabs>
          <w:tab w:val="right" w:leader="dot" w:pos="9360"/>
        </w:tabs>
        <w:ind w:left="720" w:hanging="720"/>
      </w:pPr>
      <w:r w:rsidRPr="0045301E">
        <w:fldChar w:fldCharType="begin"/>
      </w:r>
      <w:r w:rsidRPr="0045301E">
        <w:instrText>TOC \f D</w:instrText>
      </w:r>
      <w:r w:rsidRPr="0045301E">
        <w:fldChar w:fldCharType="separate"/>
      </w:r>
      <w:r w:rsidRPr="0045301E">
        <w:t xml:space="preserve">Table 1.  CPS Coverage Ratios: </w:t>
      </w:r>
      <w:r w:rsidR="001C57D3" w:rsidRPr="0045301E">
        <w:t>January 2016</w:t>
      </w:r>
      <w:r w:rsidRPr="0045301E">
        <w:tab/>
        <w:t>5</w:t>
      </w:r>
    </w:p>
    <w:p w:rsidR="00943EA3" w:rsidRPr="0045301E" w:rsidRDefault="00943EA3" w:rsidP="00943EA3">
      <w:pPr>
        <w:tabs>
          <w:tab w:val="right" w:leader="dot" w:pos="9360"/>
        </w:tabs>
        <w:ind w:left="720" w:hanging="720"/>
      </w:pPr>
      <w:r w:rsidRPr="0045301E">
        <w:t xml:space="preserve">Table 2.  Estimation Groups of Interest and Generalized Variance Parameters </w:t>
      </w:r>
      <w:r w:rsidRPr="0045301E">
        <w:tab/>
        <w:t>8</w:t>
      </w:r>
    </w:p>
    <w:p w:rsidR="00943EA3" w:rsidRPr="0045301E" w:rsidRDefault="00943EA3" w:rsidP="00943EA3">
      <w:pPr>
        <w:tabs>
          <w:tab w:val="right" w:leader="dot" w:pos="9360"/>
        </w:tabs>
        <w:ind w:left="720" w:hanging="720"/>
      </w:pPr>
      <w:r w:rsidRPr="0045301E">
        <w:t xml:space="preserve">Table 3.  Parameters for Computation of Standard Errors for Labor Force Characteristics: </w:t>
      </w:r>
    </w:p>
    <w:p w:rsidR="00943EA3" w:rsidRPr="0045301E" w:rsidRDefault="00943EA3" w:rsidP="00943EA3">
      <w:pPr>
        <w:tabs>
          <w:tab w:val="right" w:leader="dot" w:pos="9360"/>
        </w:tabs>
        <w:ind w:left="720" w:hanging="720"/>
      </w:pPr>
      <w:r w:rsidRPr="0045301E">
        <w:tab/>
        <w:t xml:space="preserve">   </w:t>
      </w:r>
      <w:r w:rsidR="001C57D3" w:rsidRPr="0045301E">
        <w:t>January 2016</w:t>
      </w:r>
      <w:r w:rsidR="0045301E" w:rsidRPr="0045301E">
        <w:t xml:space="preserve"> </w:t>
      </w:r>
      <w:r w:rsidR="0045301E" w:rsidRPr="0045301E">
        <w:tab/>
        <w:t>15</w:t>
      </w:r>
    </w:p>
    <w:p w:rsidR="000377E3" w:rsidRDefault="00943EA3" w:rsidP="00943EA3">
      <w:pPr>
        <w:tabs>
          <w:tab w:val="right" w:leader="dot" w:pos="9360"/>
        </w:tabs>
        <w:ind w:left="720" w:hanging="720"/>
        <w:rPr>
          <w:highlight w:val="red"/>
          <w:lang w:val="en-CA"/>
        </w:rPr>
      </w:pPr>
      <w:r w:rsidRPr="0045301E">
        <w:fldChar w:fldCharType="end"/>
      </w:r>
    </w:p>
    <w:p w:rsidR="000377E3" w:rsidRDefault="000377E3" w:rsidP="00943EA3">
      <w:pPr>
        <w:tabs>
          <w:tab w:val="right" w:leader="dot" w:pos="9360"/>
        </w:tabs>
        <w:ind w:left="720" w:hanging="720"/>
        <w:rPr>
          <w:highlight w:val="red"/>
          <w:lang w:val="en-CA"/>
        </w:rPr>
        <w:sectPr w:rsidR="000377E3">
          <w:headerReference w:type="default" r:id="rId15"/>
          <w:pgSz w:w="12240" w:h="15840" w:code="1"/>
          <w:pgMar w:top="1440" w:right="1440" w:bottom="1440" w:left="1440" w:header="720" w:footer="1440" w:gutter="0"/>
          <w:pgNumType w:start="1"/>
          <w:cols w:space="720"/>
          <w:titlePg/>
        </w:sectPr>
      </w:pPr>
    </w:p>
    <w:p w:rsidR="000377E3" w:rsidRDefault="000377E3" w:rsidP="000377E3">
      <w:pPr>
        <w:tabs>
          <w:tab w:val="right" w:leader="dot" w:pos="9360"/>
        </w:tabs>
        <w:ind w:left="720" w:hanging="720"/>
        <w:jc w:val="center"/>
        <w:rPr>
          <w:b/>
          <w:bCs/>
          <w:sz w:val="28"/>
        </w:rPr>
      </w:pPr>
      <w:r>
        <w:rPr>
          <w:sz w:val="28"/>
          <w:lang w:val="en-CA"/>
        </w:rPr>
        <w:lastRenderedPageBreak/>
        <w:fldChar w:fldCharType="begin"/>
      </w:r>
      <w:r>
        <w:rPr>
          <w:sz w:val="28"/>
          <w:lang w:val="en-CA"/>
        </w:rPr>
        <w:instrText xml:space="preserve"> SEQ CHAPTER \h \r 1</w:instrText>
      </w:r>
      <w:r>
        <w:rPr>
          <w:sz w:val="28"/>
          <w:lang w:val="en-CA"/>
        </w:rPr>
        <w:fldChar w:fldCharType="end"/>
      </w:r>
      <w:r>
        <w:rPr>
          <w:b/>
          <w:bCs/>
          <w:sz w:val="28"/>
        </w:rPr>
        <w:t>Source of the Data and Accuracy of the Estimates for the</w:t>
      </w:r>
    </w:p>
    <w:p w:rsidR="000377E3" w:rsidRDefault="001C57D3" w:rsidP="000377E3">
      <w:pPr>
        <w:jc w:val="center"/>
      </w:pPr>
      <w:r w:rsidRPr="0010765C">
        <w:rPr>
          <w:b/>
          <w:bCs/>
          <w:sz w:val="28"/>
        </w:rPr>
        <w:t>January 2016</w:t>
      </w:r>
      <w:r w:rsidR="000377E3" w:rsidRPr="0010765C">
        <w:rPr>
          <w:b/>
          <w:bCs/>
          <w:sz w:val="28"/>
        </w:rPr>
        <w:t xml:space="preserve"> CPS Microdata File on </w:t>
      </w:r>
      <w:r w:rsidRPr="0010765C">
        <w:rPr>
          <w:b/>
          <w:bCs/>
          <w:sz w:val="28"/>
        </w:rPr>
        <w:t>Displaced Workers, Employee Tenure, and Occupational Mobility</w:t>
      </w:r>
    </w:p>
    <w:p w:rsidR="000377E3" w:rsidRDefault="000377E3" w:rsidP="000377E3"/>
    <w:p w:rsidR="000377E3" w:rsidRDefault="000377E3" w:rsidP="000377E3">
      <w:pPr>
        <w:rPr>
          <w:b/>
          <w:bCs/>
        </w:rPr>
      </w:pPr>
    </w:p>
    <w:p w:rsidR="000377E3" w:rsidRDefault="000377E3" w:rsidP="000377E3">
      <w:r>
        <w:rPr>
          <w:b/>
          <w:bCs/>
        </w:rPr>
        <w:t>SOURCE OF THE DATA</w:t>
      </w:r>
    </w:p>
    <w:p w:rsidR="000377E3" w:rsidRDefault="000377E3" w:rsidP="000377E3">
      <w:pPr>
        <w:rPr>
          <w:szCs w:val="20"/>
        </w:rPr>
      </w:pPr>
      <w:r>
        <w:rPr>
          <w:szCs w:val="20"/>
        </w:rPr>
        <w:t xml:space="preserve">The data in this microdata file are from the </w:t>
      </w:r>
      <w:r w:rsidR="001C57D3" w:rsidRPr="0010765C">
        <w:rPr>
          <w:szCs w:val="20"/>
        </w:rPr>
        <w:t>January 2016</w:t>
      </w:r>
      <w:r w:rsidRPr="0010765C">
        <w:rPr>
          <w:szCs w:val="20"/>
        </w:rPr>
        <w:t xml:space="preserve"> Current Population Survey (CPS).  The U.S. Census Bureau conducts the CPS every month, although this</w:t>
      </w:r>
      <w:r>
        <w:rPr>
          <w:szCs w:val="20"/>
        </w:rPr>
        <w:t xml:space="preserve"> file has </w:t>
      </w:r>
      <w:r w:rsidRPr="0010765C">
        <w:rPr>
          <w:szCs w:val="20"/>
        </w:rPr>
        <w:t xml:space="preserve">only </w:t>
      </w:r>
      <w:r w:rsidR="0010765C" w:rsidRPr="0010765C">
        <w:rPr>
          <w:szCs w:val="20"/>
        </w:rPr>
        <w:t>January</w:t>
      </w:r>
      <w:r w:rsidRPr="0010765C">
        <w:rPr>
          <w:szCs w:val="20"/>
        </w:rPr>
        <w:t xml:space="preserve"> data.  The </w:t>
      </w:r>
      <w:r w:rsidR="0010765C" w:rsidRPr="0010765C">
        <w:rPr>
          <w:szCs w:val="20"/>
        </w:rPr>
        <w:t>January</w:t>
      </w:r>
      <w:r w:rsidRPr="0010765C">
        <w:rPr>
          <w:szCs w:val="20"/>
        </w:rPr>
        <w:t xml:space="preserve"> survey uses two sets of questions, the basic CPS and a set of supplemental</w:t>
      </w:r>
      <w:r>
        <w:rPr>
          <w:szCs w:val="20"/>
        </w:rPr>
        <w:t xml:space="preserve"> questions.  The CPS, sponsored jointly by the Census Bureau and the U.S. Bureau of Labor Statistics, is the country’s primary source of labor force statistics for the entire population.  </w:t>
      </w:r>
      <w:r w:rsidR="0010765C">
        <w:rPr>
          <w:szCs w:val="20"/>
        </w:rPr>
        <w:t>The Census Bureau and the Bureau of Labor Statistics also jointly sponsor the supplemental questions for January.</w:t>
      </w:r>
    </w:p>
    <w:p w:rsidR="000377E3" w:rsidRDefault="000377E3" w:rsidP="000377E3"/>
    <w:p w:rsidR="000377E3" w:rsidRDefault="000377E3" w:rsidP="000377E3">
      <w:pPr>
        <w:rPr>
          <w:szCs w:val="20"/>
        </w:rPr>
      </w:pPr>
      <w:r>
        <w:rPr>
          <w:lang w:val="en-CA"/>
        </w:rPr>
        <w:fldChar w:fldCharType="begin"/>
      </w:r>
      <w:r>
        <w:rPr>
          <w:lang w:val="en-CA"/>
        </w:rPr>
        <w:instrText xml:space="preserve"> SEQ CHAPTER \h \r 1</w:instrText>
      </w:r>
      <w:r>
        <w:rPr>
          <w:lang w:val="en-CA"/>
        </w:rPr>
        <w:fldChar w:fldCharType="end"/>
      </w:r>
      <w:r>
        <w:rPr>
          <w:b/>
          <w:bCs/>
          <w:u w:val="single"/>
        </w:rPr>
        <w:t>Basic CPS</w:t>
      </w:r>
      <w:r>
        <w:t>.  The monthly CPS collects primarily labor force data about the civilian noninstitutionalized population living in the United States.  The institutionalized population, which is excluded from the population universe, is composed primarily of the population in correctional institutions and nursing homes (9</w:t>
      </w:r>
      <w:r w:rsidR="00B7028A">
        <w:t>8 percent of the 4.0</w:t>
      </w:r>
      <w:r>
        <w:t xml:space="preserve"> million instit</w:t>
      </w:r>
      <w:r w:rsidR="00B7028A">
        <w:t>utionalized people in Census 2010</w:t>
      </w:r>
      <w:r>
        <w:t xml:space="preserve">).  Interviewers ask questions concerning labor force participation about each member 15 years old and over in sample households.  </w:t>
      </w:r>
      <w:r>
        <w:rPr>
          <w:szCs w:val="20"/>
        </w:rPr>
        <w:t xml:space="preserve">Typically, the week containing the nineteenth of the month is the interview week.  The week containing the twelfth is the reference week (i.e., the week about which the labor force questions are asked). </w:t>
      </w:r>
    </w:p>
    <w:p w:rsidR="000377E3" w:rsidRDefault="000377E3" w:rsidP="000377E3"/>
    <w:p w:rsidR="000377E3" w:rsidRDefault="000377E3" w:rsidP="000377E3">
      <w:r>
        <w:t xml:space="preserve">The CPS uses a multistage probability sample based on the results of the decennial census, with coverage in all 50 states and the District of Columbia.  The sample is continually updated to account for new residential construction.  When files from the most recent decennial census become available, the Census Bureau gradually introduces a new sample design for the CPS.  </w:t>
      </w:r>
    </w:p>
    <w:p w:rsidR="000377E3" w:rsidRDefault="000377E3" w:rsidP="000377E3"/>
    <w:p w:rsidR="008C30FE" w:rsidRDefault="00A111B2" w:rsidP="008C30FE">
      <w:pPr>
        <w:autoSpaceDE w:val="0"/>
        <w:autoSpaceDN w:val="0"/>
        <w:adjustRightInd w:val="0"/>
      </w:pPr>
      <w:r>
        <w:t xml:space="preserve">Every ten years the CPS first stage sample is redesigned </w:t>
      </w:r>
      <w:r w:rsidR="000377E3">
        <w:rPr>
          <w:rStyle w:val="FootnoteReference"/>
        </w:rPr>
        <w:footnoteReference w:id="1"/>
      </w:r>
      <w:r w:rsidR="000377E3">
        <w:t xml:space="preserve"> </w:t>
      </w:r>
      <w:r w:rsidR="008C30FE">
        <w:t xml:space="preserve">reflecting changes based on the most recent decennial census.  </w:t>
      </w:r>
      <w:r w:rsidR="00324458">
        <w:t xml:space="preserve">In the first </w:t>
      </w:r>
      <w:r w:rsidR="00567CC5">
        <w:t>stage of the sampling process, p</w:t>
      </w:r>
      <w:r w:rsidR="00324458">
        <w:t xml:space="preserve">rimary </w:t>
      </w:r>
      <w:r w:rsidR="00567CC5">
        <w:t>s</w:t>
      </w:r>
      <w:r w:rsidR="00324458">
        <w:t xml:space="preserve">ampling </w:t>
      </w:r>
      <w:r w:rsidR="00567CC5">
        <w:t>u</w:t>
      </w:r>
      <w:r w:rsidR="00324458">
        <w:t xml:space="preserve">nits </w:t>
      </w:r>
      <w:r w:rsidR="007B3C43">
        <w:rPr>
          <w:szCs w:val="20"/>
        </w:rPr>
        <w:t>(PSUs)</w:t>
      </w:r>
      <w:r w:rsidR="007B3C43">
        <w:rPr>
          <w:rStyle w:val="FootnoteReference"/>
        </w:rPr>
        <w:footnoteReference w:id="2"/>
      </w:r>
      <w:r w:rsidR="007B3C43">
        <w:rPr>
          <w:szCs w:val="20"/>
        </w:rPr>
        <w:t xml:space="preserve"> </w:t>
      </w:r>
      <w:r w:rsidR="00324458">
        <w:t>were selected for sample</w:t>
      </w:r>
      <w:r w:rsidR="007B3C43">
        <w:rPr>
          <w:szCs w:val="20"/>
        </w:rPr>
        <w:t xml:space="preserve">.  </w:t>
      </w:r>
      <w:r w:rsidR="008C30FE">
        <w:t xml:space="preserve">In the 2000 design, the United States was divided into 2,025 PSUs.  These were then grouped into 824 strata and one PSU was selected for sample from each stratum.  In the 2010 sample design, the United States was divided into 1,987 PSUs.  These PSUs were then grouped into 852 strata.  Within each stratum, a single PSU was chosen for the sample, with its probability of selection proportional to its population as of the most recent decennial census.  In the case of strata consisting of only one PSU, the PSU was chosen with certainty. </w:t>
      </w:r>
    </w:p>
    <w:p w:rsidR="008C30FE" w:rsidRDefault="008C30FE" w:rsidP="008C30FE">
      <w:pPr>
        <w:autoSpaceDE w:val="0"/>
        <w:autoSpaceDN w:val="0"/>
        <w:adjustRightInd w:val="0"/>
      </w:pPr>
    </w:p>
    <w:p w:rsidR="00176257" w:rsidRDefault="008C30FE" w:rsidP="008C30FE">
      <w:r>
        <w:t>In April 2014, the Census Bureau began phasing o</w:t>
      </w:r>
      <w:r w:rsidR="00D53679">
        <w:t>ut the 2000 sample and replaced</w:t>
      </w:r>
      <w:r>
        <w:t xml:space="preserve"> it with the 2010 sample, creating a mixed sampling frame.  Two simultaneous changes occur</w:t>
      </w:r>
      <w:r w:rsidR="00D53679">
        <w:t>red</w:t>
      </w:r>
      <w:r>
        <w:t xml:space="preserve"> during this phase-in period.  First, within the PSUs selected for both the 2000 and 2010 designs, sample </w:t>
      </w:r>
      <w:r>
        <w:lastRenderedPageBreak/>
        <w:t>households from the 2010 design gradually replace</w:t>
      </w:r>
      <w:r w:rsidR="001C346E">
        <w:t>d</w:t>
      </w:r>
      <w:r>
        <w:t xml:space="preserve"> sample households from the 2000 design.  Second, n</w:t>
      </w:r>
      <w:r w:rsidR="004D642B">
        <w:t>ew PSUs</w:t>
      </w:r>
      <w:r>
        <w:rPr>
          <w:sz w:val="16"/>
          <w:szCs w:val="16"/>
        </w:rPr>
        <w:t xml:space="preserve"> </w:t>
      </w:r>
      <w:r w:rsidRPr="00D53679">
        <w:t>selected for only the 2010 design gradually replace</w:t>
      </w:r>
      <w:r w:rsidR="001C346E" w:rsidRPr="00D53679">
        <w:t>d</w:t>
      </w:r>
      <w:r w:rsidRPr="00D53679">
        <w:t xml:space="preserve"> outgoing PSUs selected for only the 2000 design.  By July 2015,</w:t>
      </w:r>
      <w:r w:rsidR="00AC57EC" w:rsidRPr="00D53679">
        <w:t xml:space="preserve"> the new 2010 sample design was</w:t>
      </w:r>
      <w:r w:rsidRPr="00D53679">
        <w:t xml:space="preserve"> completely implemented and the sample</w:t>
      </w:r>
      <w:r w:rsidR="00AC57EC" w:rsidRPr="00D53679">
        <w:t xml:space="preserve"> ca</w:t>
      </w:r>
      <w:r w:rsidRPr="00D53679">
        <w:t>me entirely from the 2010 redesigned sample.</w:t>
      </w:r>
      <w:r w:rsidR="000377E3">
        <w:t xml:space="preserve"> </w:t>
      </w:r>
      <w:r w:rsidR="004D642B">
        <w:t xml:space="preserve"> </w:t>
      </w:r>
    </w:p>
    <w:p w:rsidR="000377E3" w:rsidRDefault="000377E3" w:rsidP="000377E3">
      <w:pPr>
        <w:autoSpaceDE w:val="0"/>
        <w:autoSpaceDN w:val="0"/>
        <w:adjustRightInd w:val="0"/>
        <w:spacing w:line="240" w:lineRule="atLeast"/>
      </w:pPr>
    </w:p>
    <w:p w:rsidR="000377E3" w:rsidRDefault="000377E3" w:rsidP="000377E3">
      <w:r>
        <w:t xml:space="preserve">Approximately </w:t>
      </w:r>
      <w:r w:rsidRPr="00D53679">
        <w:t>7</w:t>
      </w:r>
      <w:r w:rsidR="00D53679">
        <w:t>4</w:t>
      </w:r>
      <w:r w:rsidRPr="00D53679">
        <w:t>,000</w:t>
      </w:r>
      <w:r>
        <w:t xml:space="preserve"> housing units were selected for sample from the sampling frame in </w:t>
      </w:r>
      <w:r w:rsidR="0010765C" w:rsidRPr="00D53679">
        <w:t>January</w:t>
      </w:r>
      <w:r w:rsidRPr="00D53679">
        <w:t>.</w:t>
      </w:r>
      <w:r>
        <w:t xml:space="preserve">  Based on eligibility criteria, 11 percent of these housing units were sent directly to computer-assisted telephone interviewing (CATI).  </w:t>
      </w:r>
      <w:r>
        <w:rPr>
          <w:szCs w:val="20"/>
        </w:rPr>
        <w:t>The remaining units were assigned to interviewers for computer-assisted personal interviewing (CAPI).</w:t>
      </w:r>
      <w:r>
        <w:rPr>
          <w:rStyle w:val="FootnoteReference"/>
        </w:rPr>
        <w:footnoteReference w:id="3"/>
      </w:r>
      <w:r>
        <w:rPr>
          <w:szCs w:val="20"/>
        </w:rPr>
        <w:t xml:space="preserve">  </w:t>
      </w:r>
      <w:r>
        <w:t xml:space="preserve">Of all housing units in sample, </w:t>
      </w:r>
      <w:r w:rsidRPr="00D53679">
        <w:t>about 6</w:t>
      </w:r>
      <w:r w:rsidR="00D53679" w:rsidRPr="00D53679">
        <w:t>1</w:t>
      </w:r>
      <w:r w:rsidRPr="00D53679">
        <w:t>,000 were determined to be eligible for interview.  Interviewe</w:t>
      </w:r>
      <w:r w:rsidR="00D53679" w:rsidRPr="00D53679">
        <w:t xml:space="preserve">rs obtained interviews at about </w:t>
      </w:r>
      <w:r w:rsidRPr="00D53679">
        <w:t>5</w:t>
      </w:r>
      <w:r w:rsidR="00D53679" w:rsidRPr="00D53679">
        <w:t>3</w:t>
      </w:r>
      <w:r w:rsidRPr="00D53679">
        <w:t>,000 of</w:t>
      </w:r>
      <w:r>
        <w:t xml:space="preserve"> these units.  </w:t>
      </w:r>
      <w:proofErr w:type="spellStart"/>
      <w:r>
        <w:t>Noninterviews</w:t>
      </w:r>
      <w:proofErr w:type="spellEnd"/>
      <w:r>
        <w:t xml:space="preserve"> occur when the occupants are not found at home after repeated calls or are unavailable for some other reason.</w:t>
      </w:r>
    </w:p>
    <w:p w:rsidR="000377E3" w:rsidRDefault="000377E3" w:rsidP="000377E3"/>
    <w:p w:rsidR="000377E3" w:rsidRDefault="000377E3" w:rsidP="000377E3">
      <w:r w:rsidRPr="00D53679">
        <w:rPr>
          <w:lang w:val="en-CA"/>
        </w:rPr>
        <w:fldChar w:fldCharType="begin"/>
      </w:r>
      <w:r w:rsidRPr="00D53679">
        <w:rPr>
          <w:lang w:val="en-CA"/>
        </w:rPr>
        <w:instrText xml:space="preserve"> SEQ CHAPTER \h \r 1</w:instrText>
      </w:r>
      <w:r w:rsidRPr="00D53679">
        <w:rPr>
          <w:lang w:val="en-CA"/>
        </w:rPr>
        <w:fldChar w:fldCharType="end"/>
      </w:r>
      <w:r w:rsidR="001C57D3" w:rsidRPr="00D53679">
        <w:rPr>
          <w:b/>
          <w:bCs/>
          <w:u w:val="single"/>
        </w:rPr>
        <w:t>January 2016</w:t>
      </w:r>
      <w:r w:rsidRPr="00D53679">
        <w:rPr>
          <w:b/>
          <w:bCs/>
          <w:u w:val="single"/>
        </w:rPr>
        <w:t xml:space="preserve"> Supplement</w:t>
      </w:r>
      <w:r w:rsidRPr="00D53679">
        <w:t xml:space="preserve">.  In </w:t>
      </w:r>
      <w:r w:rsidR="001C57D3" w:rsidRPr="00D53679">
        <w:t>January 2016</w:t>
      </w:r>
      <w:r>
        <w:t xml:space="preserve">, in addition to the basic CPS questions, interviewers asked supplementary questions of </w:t>
      </w:r>
      <w:r w:rsidR="00417DDF">
        <w:t>about displacement of workers, employee tenure, and occupational mobility.  Questions concerning displaced workers were asked of all respondents who were at least 20 years old, and questions concerning job tenure and occupational mobility were asked of all employed respondents who were at least 15 years old.</w:t>
      </w:r>
    </w:p>
    <w:p w:rsidR="000377E3" w:rsidRDefault="000377E3" w:rsidP="000377E3">
      <w:r>
        <w:rPr>
          <w:b/>
          <w:bCs/>
          <w:u w:val="single"/>
        </w:rPr>
        <w:cr/>
      </w:r>
      <w:r>
        <w:rPr>
          <w:lang w:val="en-CA"/>
        </w:rPr>
        <w:fldChar w:fldCharType="begin"/>
      </w:r>
      <w:r>
        <w:rPr>
          <w:lang w:val="en-CA"/>
        </w:rPr>
        <w:instrText xml:space="preserve"> SEQ CHAPTER \h \r 1</w:instrText>
      </w:r>
      <w:r>
        <w:rPr>
          <w:lang w:val="en-CA"/>
        </w:rPr>
        <w:fldChar w:fldCharType="end"/>
      </w:r>
      <w:r>
        <w:rPr>
          <w:b/>
          <w:bCs/>
          <w:u w:val="single"/>
        </w:rPr>
        <w:t>Estimation Procedure</w:t>
      </w:r>
      <w:r>
        <w:t>.  This survey’s estimation procedure adjusts weighted sample results to agree with independently derived population estimates of the civilian noninstitutionalized population of the United States and each state (including the District of Columbia). These population estimates, used as controls for the CPS, are prepared monthly to agree with the most current set of population estimates that are released as part of the Census Bureau’s population estimates and projections program.</w:t>
      </w:r>
    </w:p>
    <w:p w:rsidR="000377E3" w:rsidRDefault="000377E3" w:rsidP="000377E3"/>
    <w:p w:rsidR="000377E3" w:rsidRDefault="000377E3" w:rsidP="000377E3">
      <w:r>
        <w:t xml:space="preserve">The population controls for the nation are distributed by demographic characteristics in two ways: </w:t>
      </w:r>
    </w:p>
    <w:p w:rsidR="000377E3" w:rsidRDefault="000377E3" w:rsidP="000377E3"/>
    <w:p w:rsidR="000377E3" w:rsidRDefault="000377E3" w:rsidP="000377E3">
      <w:pPr>
        <w:pStyle w:val="Level1"/>
        <w:numPr>
          <w:ilvl w:val="0"/>
          <w:numId w:val="2"/>
        </w:numPr>
        <w:tabs>
          <w:tab w:val="left" w:pos="720"/>
        </w:tabs>
        <w:ind w:left="1440" w:hanging="720"/>
      </w:pPr>
      <w:r>
        <w:t>Age, sex, and race (White alone, Black alone, and all other groups combined).</w:t>
      </w:r>
    </w:p>
    <w:p w:rsidR="000377E3" w:rsidRDefault="000377E3" w:rsidP="000377E3">
      <w:pPr>
        <w:pStyle w:val="Level1"/>
        <w:numPr>
          <w:ilvl w:val="0"/>
          <w:numId w:val="2"/>
        </w:numPr>
        <w:tabs>
          <w:tab w:val="left" w:pos="720"/>
          <w:tab w:val="left" w:pos="1440"/>
        </w:tabs>
        <w:ind w:left="1440" w:hanging="720"/>
      </w:pPr>
      <w:r>
        <w:t xml:space="preserve">Age, sex, and Hispanic origin.  </w:t>
      </w:r>
    </w:p>
    <w:p w:rsidR="000377E3" w:rsidRDefault="000377E3" w:rsidP="000377E3">
      <w:pPr>
        <w:numPr>
          <w:ilvl w:val="12"/>
          <w:numId w:val="0"/>
        </w:numPr>
      </w:pPr>
    </w:p>
    <w:p w:rsidR="000377E3" w:rsidRDefault="000377E3" w:rsidP="000377E3">
      <w:pPr>
        <w:numPr>
          <w:ilvl w:val="12"/>
          <w:numId w:val="0"/>
        </w:numPr>
      </w:pPr>
      <w:r>
        <w:t xml:space="preserve">The population controls for the states are distributed by race (Black alone and all other race groups combined), age (0-15, 16-44, and 45 and over), and sex. </w:t>
      </w:r>
    </w:p>
    <w:p w:rsidR="000377E3" w:rsidRDefault="000377E3" w:rsidP="000377E3">
      <w:pPr>
        <w:numPr>
          <w:ilvl w:val="12"/>
          <w:numId w:val="0"/>
        </w:numPr>
      </w:pPr>
    </w:p>
    <w:p w:rsidR="000377E3" w:rsidRDefault="000377E3" w:rsidP="000377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independent estimates by age, sex, race, and Hispanic origin, and for states by selected age groups and broad race categories, are developed using the basic demographic accounting formula whereby the population from the </w:t>
      </w:r>
      <w:r w:rsidRPr="00417DDF">
        <w:t>20</w:t>
      </w:r>
      <w:r w:rsidR="00031818" w:rsidRPr="00417DDF">
        <w:t>1</w:t>
      </w:r>
      <w:r w:rsidRPr="00417DDF">
        <w:t>0 Census data</w:t>
      </w:r>
      <w:r>
        <w:t xml:space="preserve"> is updated using data on the components of population change (births, deaths, and net international migration) with net internal migration as an additional component in the state population estimates.</w:t>
      </w:r>
    </w:p>
    <w:p w:rsidR="000377E3" w:rsidRDefault="000377E3" w:rsidP="000377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063F8" w:rsidRDefault="00E063F8" w:rsidP="000377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063F8" w:rsidRDefault="00E063F8" w:rsidP="000377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0377E3" w:rsidRDefault="000377E3" w:rsidP="000377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 xml:space="preserve">The net international migration component of the population estimates includes: </w:t>
      </w:r>
    </w:p>
    <w:p w:rsidR="000377E3" w:rsidRDefault="000377E3" w:rsidP="000377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0377E3" w:rsidRDefault="000377E3" w:rsidP="000377E3">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Net international migration of the foreign born;</w:t>
      </w:r>
    </w:p>
    <w:p w:rsidR="000377E3" w:rsidRDefault="000377E3" w:rsidP="000377E3">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Net migration between the United States and Puerto Rico; </w:t>
      </w:r>
    </w:p>
    <w:p w:rsidR="000377E3" w:rsidRDefault="000377E3" w:rsidP="000377E3">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Net migration of natives to and from the United States; and</w:t>
      </w:r>
    </w:p>
    <w:p w:rsidR="000377E3" w:rsidRDefault="000377E3" w:rsidP="000377E3">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Net movement of the Armed Forces population to and from the United States.</w:t>
      </w:r>
    </w:p>
    <w:p w:rsidR="000377E3" w:rsidRDefault="000377E3" w:rsidP="000377E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
    <w:p w:rsidR="000377E3" w:rsidRDefault="000377E3" w:rsidP="000377E3">
      <w:r>
        <w:t>Because the latest available information on these components lags the survey date, it is necessary to make short-term projections of these components to develop the estimate for the survey date.</w:t>
      </w:r>
    </w:p>
    <w:p w:rsidR="000377E3" w:rsidRDefault="000377E3" w:rsidP="000377E3"/>
    <w:p w:rsidR="000377E3" w:rsidRDefault="000377E3" w:rsidP="000377E3">
      <w:pPr>
        <w:rPr>
          <w:b/>
          <w:bCs/>
        </w:rPr>
      </w:pPr>
      <w:r>
        <w:rPr>
          <w:lang w:val="en-CA"/>
        </w:rPr>
        <w:fldChar w:fldCharType="begin"/>
      </w:r>
      <w:r>
        <w:rPr>
          <w:lang w:val="en-CA"/>
        </w:rPr>
        <w:instrText xml:space="preserve"> SEQ CHAPTER \h \r 1</w:instrText>
      </w:r>
      <w:r>
        <w:rPr>
          <w:lang w:val="en-CA"/>
        </w:rPr>
        <w:fldChar w:fldCharType="end"/>
      </w:r>
      <w:r>
        <w:rPr>
          <w:b/>
          <w:bCs/>
        </w:rPr>
        <w:t>ACCURACY OF THE ESTIMATES</w:t>
      </w:r>
    </w:p>
    <w:p w:rsidR="000377E3" w:rsidRDefault="000377E3" w:rsidP="000377E3">
      <w:r>
        <w:t xml:space="preserve">A sample survey estimate has two types of error: sampling and nonsampling.  The accuracy of an estimate depends on both types of error.  The nature of the sampling error is known given the survey design; the full extent of the nonsampling error is unknown. </w:t>
      </w:r>
    </w:p>
    <w:p w:rsidR="000377E3" w:rsidRDefault="000377E3" w:rsidP="000377E3"/>
    <w:p w:rsidR="000377E3" w:rsidRDefault="000377E3" w:rsidP="000377E3">
      <w:r>
        <w:rPr>
          <w:b/>
          <w:bCs/>
          <w:u w:val="single"/>
        </w:rPr>
        <w:t>Sampling Error</w:t>
      </w:r>
      <w:r>
        <w:t xml:space="preserve">.  Since the CPS estimates come from a sample, they may differ from figures from an enumeration of the entire population using the same questionnaires, instructions, and enumerators.  For a given estimator, the difference between an estimate based on a sample and the estimate that would result if the sample were to include the entire population is known as sampling error.  Standard errors, as calculated by methods described in “Standard Errors and Their Use,” are primarily measures of the magnitude of sampling error.  However, they may include some nonsampling error.  </w:t>
      </w:r>
    </w:p>
    <w:p w:rsidR="000377E3" w:rsidRDefault="000377E3" w:rsidP="000377E3"/>
    <w:p w:rsidR="000377E3" w:rsidRDefault="000377E3" w:rsidP="000377E3">
      <w:r>
        <w:rPr>
          <w:b/>
          <w:bCs/>
          <w:u w:val="single"/>
        </w:rPr>
        <w:t>Nonsampling Error</w:t>
      </w:r>
      <w:r>
        <w:t>.  For a given estimator, the difference between the estimate that would result if the sample were to include the entire population and the true population value being estimated is known as nonsampling error.  There are several sources of nonsampling error that may occur during the development or execution of the survey.  It can occur because of circumstances created by the interviewer, the respondent, the survey instrument, or the way the data are collected and processed.  For example, errors could occur because:</w:t>
      </w:r>
    </w:p>
    <w:p w:rsidR="000377E3" w:rsidRDefault="000377E3" w:rsidP="000377E3"/>
    <w:p w:rsidR="000377E3" w:rsidRDefault="000377E3" w:rsidP="000377E3">
      <w:pPr>
        <w:ind w:left="1440" w:hanging="720"/>
      </w:pPr>
      <w:r>
        <w:t xml:space="preserve">•  </w:t>
      </w:r>
      <w:r>
        <w:tab/>
        <w:t>The interviewer records the wrong answer, the respondent provides incorrect information, the respondent estimates the requested information, or an unclear survey question is misunderstood by the respondent (measurement error).</w:t>
      </w:r>
    </w:p>
    <w:p w:rsidR="000377E3" w:rsidRDefault="000377E3" w:rsidP="000377E3">
      <w:pPr>
        <w:ind w:left="1440" w:hanging="720"/>
      </w:pPr>
      <w:r>
        <w:t xml:space="preserve">•  </w:t>
      </w:r>
      <w:r>
        <w:tab/>
        <w:t>Some individuals who should have been included in the survey frame were missed (coverage error).</w:t>
      </w:r>
    </w:p>
    <w:p w:rsidR="000377E3" w:rsidRDefault="000377E3" w:rsidP="000377E3">
      <w:pPr>
        <w:ind w:left="1440" w:hanging="720"/>
      </w:pPr>
      <w:r>
        <w:t xml:space="preserve">•  </w:t>
      </w:r>
      <w:r>
        <w:tab/>
        <w:t>Responses are not collected from all those in the sample or the respondent is unwilling to provide information (nonresponse error).</w:t>
      </w:r>
    </w:p>
    <w:p w:rsidR="000377E3" w:rsidRDefault="000377E3" w:rsidP="000377E3">
      <w:pPr>
        <w:ind w:left="1440" w:hanging="720"/>
      </w:pPr>
      <w:r>
        <w:t xml:space="preserve">•  </w:t>
      </w:r>
      <w:r>
        <w:tab/>
        <w:t>Values are estimated imprecisely for missing data (imputation error).</w:t>
      </w:r>
    </w:p>
    <w:p w:rsidR="000377E3" w:rsidRDefault="000377E3" w:rsidP="000377E3">
      <w:pPr>
        <w:ind w:left="1440" w:hanging="720"/>
      </w:pPr>
      <w:r>
        <w:t xml:space="preserve">•  </w:t>
      </w:r>
      <w:r>
        <w:tab/>
        <w:t>Forms may be lost, data may be incorrectly keyed, coded, or recoded, etc. (processing error).</w:t>
      </w:r>
    </w:p>
    <w:p w:rsidR="000377E3" w:rsidRDefault="000377E3" w:rsidP="000377E3"/>
    <w:p w:rsidR="000377E3" w:rsidRDefault="000377E3" w:rsidP="000377E3">
      <w:r>
        <w:rPr>
          <w:color w:val="000000"/>
          <w:szCs w:val="20"/>
        </w:rPr>
        <w:t>To minimize these errors, the Census Bureau applies quality control procedures during all stages of the production process including the design of the survey, the wording of questions, the review of the work of interviewers and coders, and the statistical review of reports.</w:t>
      </w:r>
    </w:p>
    <w:p w:rsidR="000377E3" w:rsidRDefault="000377E3" w:rsidP="000377E3">
      <w:pPr>
        <w:numPr>
          <w:ilvl w:val="12"/>
          <w:numId w:val="0"/>
        </w:numPr>
      </w:pPr>
    </w:p>
    <w:p w:rsidR="000377E3" w:rsidRDefault="000377E3" w:rsidP="000377E3">
      <w:r>
        <w:lastRenderedPageBreak/>
        <w:t xml:space="preserve">Two types of nonsampling error that can be examined to a limited extent are nonresponse and </w:t>
      </w:r>
      <w:proofErr w:type="spellStart"/>
      <w:r>
        <w:t>undercoverage</w:t>
      </w:r>
      <w:proofErr w:type="spellEnd"/>
      <w:r>
        <w:t>.</w:t>
      </w:r>
      <w:r>
        <w:tab/>
      </w:r>
    </w:p>
    <w:p w:rsidR="000377E3" w:rsidRDefault="000377E3" w:rsidP="000377E3"/>
    <w:p w:rsidR="000377E3" w:rsidRDefault="000377E3" w:rsidP="000377E3">
      <w:r>
        <w:rPr>
          <w:b/>
          <w:bCs/>
          <w:u w:val="single"/>
        </w:rPr>
        <w:t>Nonresponse</w:t>
      </w:r>
      <w:r>
        <w:t xml:space="preserve">.  The effect of nonresponse cannot be measured directly, but one indication of its potential effect is the nonresponse rate.  For the </w:t>
      </w:r>
      <w:r w:rsidR="001C57D3" w:rsidRPr="001F07EC">
        <w:t>January 2016</w:t>
      </w:r>
      <w:r w:rsidRPr="001F07EC">
        <w:t xml:space="preserve"> basic CPS, the household-level nonresponse rate was </w:t>
      </w:r>
      <w:r w:rsidR="00417DDF" w:rsidRPr="001F07EC">
        <w:t>13.3</w:t>
      </w:r>
      <w:r w:rsidRPr="001F07EC">
        <w:t xml:space="preserve"> percent.  The person-level nonresponse rate for the </w:t>
      </w:r>
      <w:r w:rsidR="001C57D3" w:rsidRPr="001F07EC">
        <w:t>Displaced Workers, Employee Tenure, and Occupational Mobility</w:t>
      </w:r>
      <w:r>
        <w:t xml:space="preserve"> supplement was an additional </w:t>
      </w:r>
      <w:r w:rsidR="00417DDF">
        <w:t>8.3</w:t>
      </w:r>
      <w:r>
        <w:t xml:space="preserve"> percent.</w:t>
      </w:r>
    </w:p>
    <w:p w:rsidR="001F07EC" w:rsidRDefault="001F07EC" w:rsidP="000377E3">
      <w:pPr>
        <w:rPr>
          <w:noProof/>
          <w:color w:val="000000"/>
        </w:rPr>
      </w:pPr>
    </w:p>
    <w:p w:rsidR="000377E3" w:rsidRDefault="000377E3" w:rsidP="000377E3">
      <w:pPr>
        <w:rPr>
          <w:color w:val="000000"/>
        </w:rPr>
      </w:pPr>
      <w:r>
        <w:rPr>
          <w:noProof/>
          <w:color w:val="000000"/>
        </w:rPr>
        <w:t xml:space="preserve">Since </w:t>
      </w:r>
      <w:r>
        <w:t>the basic CPS nonresponse rate is a household-level rate</w:t>
      </w:r>
      <w:r>
        <w:rPr>
          <w:noProof/>
          <w:color w:val="000000"/>
        </w:rPr>
        <w:t xml:space="preserve"> and the </w:t>
      </w:r>
      <w:r w:rsidR="001C57D3" w:rsidRPr="001F07EC">
        <w:t>Displaced Workers, Employee Tenure, and Occupational Mobility</w:t>
      </w:r>
      <w:r w:rsidRPr="001F07EC">
        <w:t xml:space="preserve"> supplement nonresponse rate is a person-level rate, we cannot combine these rates to derive an overall nonresponse rate.  </w:t>
      </w:r>
      <w:r w:rsidRPr="001F07EC">
        <w:rPr>
          <w:color w:val="000000"/>
        </w:rPr>
        <w:t xml:space="preserve">Nonresponding households may have fewer persons than interviewed ones, so combining these rates may lead to an overestimate of the true overall nonresponse rate for persons for the </w:t>
      </w:r>
      <w:r w:rsidR="001C57D3" w:rsidRPr="001F07EC">
        <w:rPr>
          <w:color w:val="000000"/>
        </w:rPr>
        <w:t>Displaced Workers, Employee Tenure, and Occupational Mobility</w:t>
      </w:r>
      <w:r w:rsidRPr="001F07EC">
        <w:rPr>
          <w:color w:val="000000"/>
        </w:rPr>
        <w:t xml:space="preserve"> supplement.</w:t>
      </w:r>
    </w:p>
    <w:p w:rsidR="002C21B9" w:rsidRDefault="002C21B9" w:rsidP="000377E3"/>
    <w:p w:rsidR="00A701C6" w:rsidRDefault="005F1CA4" w:rsidP="000377E3">
      <w:r w:rsidRPr="005F1CA4">
        <w:t>In accordance with Census Bureau and Office of Management and Budget Quality Standards, the Census Bureau will conduct a nonresponse bias analysis to assess non</w:t>
      </w:r>
      <w:r>
        <w:t>response bi</w:t>
      </w:r>
      <w:r w:rsidR="00A701C6">
        <w:t xml:space="preserve">as in the </w:t>
      </w:r>
      <w:r w:rsidR="001C57D3" w:rsidRPr="007F07CF">
        <w:t>Displaced Workers, Employee Tenure, and Occupational Mobility</w:t>
      </w:r>
      <w:r w:rsidR="00A701C6" w:rsidRPr="007F07CF">
        <w:t>.</w:t>
      </w:r>
    </w:p>
    <w:p w:rsidR="005F1CA4" w:rsidRDefault="005F1CA4" w:rsidP="000377E3"/>
    <w:p w:rsidR="00A57983" w:rsidRDefault="00A57983" w:rsidP="000377E3">
      <w:r w:rsidRPr="00A57983">
        <w:rPr>
          <w:b/>
          <w:u w:val="single"/>
        </w:rPr>
        <w:t>Sufficient Partial</w:t>
      </w:r>
      <w:r w:rsidR="00ED5318">
        <w:rPr>
          <w:b/>
          <w:u w:val="single"/>
        </w:rPr>
        <w:t xml:space="preserve"> Interview</w:t>
      </w:r>
      <w:r>
        <w:t xml:space="preserve">.  A sufficient partial interview is an incomplete interview in which the household or person answered enough of the questionnaire for the supplement sponsor to consider the interview complete. </w:t>
      </w:r>
      <w:r w:rsidR="005F4BD8">
        <w:t xml:space="preserve"> </w:t>
      </w:r>
      <w:r>
        <w:t xml:space="preserve">The remaining supplement questions may have been edited or imputed to fill in missing values. </w:t>
      </w:r>
      <w:r w:rsidR="005F4BD8">
        <w:t xml:space="preserve"> </w:t>
      </w:r>
      <w:r>
        <w:t xml:space="preserve">Insufficient partial interviews are considered to be </w:t>
      </w:r>
      <w:proofErr w:type="spellStart"/>
      <w:r>
        <w:t>nonrespondents</w:t>
      </w:r>
      <w:proofErr w:type="spellEnd"/>
      <w:r>
        <w:t xml:space="preserve">. </w:t>
      </w:r>
      <w:r w:rsidR="005F4BD8">
        <w:t xml:space="preserve"> </w:t>
      </w:r>
      <w:r>
        <w:t>Refer to the supplement overview attachment in the technical documentation for the specific questions deemed critical by the sponsor as necessary to be answered in order to be considered a sufficient partial interview.</w:t>
      </w:r>
    </w:p>
    <w:p w:rsidR="000A3582" w:rsidRDefault="000A3582" w:rsidP="000377E3"/>
    <w:p w:rsidR="000A3582" w:rsidRDefault="008640A4" w:rsidP="007F07CF">
      <w:r>
        <w:t xml:space="preserve">As part of the </w:t>
      </w:r>
      <w:proofErr w:type="spellStart"/>
      <w:r>
        <w:t>n</w:t>
      </w:r>
      <w:r w:rsidR="000A3582">
        <w:t>onsampling</w:t>
      </w:r>
      <w:proofErr w:type="spellEnd"/>
      <w:r w:rsidR="000A3582">
        <w:t xml:space="preserve"> error </w:t>
      </w:r>
      <w:r>
        <w:t>analysis</w:t>
      </w:r>
      <w:r w:rsidR="000A3582">
        <w:t xml:space="preserve">, the item response rates, item refusal rates, and edits are reviewed.  For </w:t>
      </w:r>
      <w:r w:rsidR="002C49CA">
        <w:t xml:space="preserve">the </w:t>
      </w:r>
      <w:r w:rsidR="001C57D3" w:rsidRPr="007F07CF">
        <w:t>Displaced Workers, Employee Tenure, and Occupational Mobility</w:t>
      </w:r>
      <w:r w:rsidR="000A3582">
        <w:t xml:space="preserve"> supplement, the item refusal rate</w:t>
      </w:r>
      <w:r w:rsidR="00601DFE">
        <w:t>s range</w:t>
      </w:r>
      <w:r w:rsidR="000A3582">
        <w:t xml:space="preserve"> from </w:t>
      </w:r>
      <w:r w:rsidR="007F07CF">
        <w:t>0.0</w:t>
      </w:r>
      <w:r>
        <w:t xml:space="preserve"> percent</w:t>
      </w:r>
      <w:r w:rsidR="000A3582">
        <w:t xml:space="preserve"> to </w:t>
      </w:r>
      <w:r w:rsidR="007F07CF">
        <w:t>5.9</w:t>
      </w:r>
      <w:r w:rsidR="000A3582">
        <w:t xml:space="preserve"> percent. </w:t>
      </w:r>
      <w:r w:rsidR="007F07CF">
        <w:t xml:space="preserve"> </w:t>
      </w:r>
      <w:r w:rsidR="006C333A">
        <w:t xml:space="preserve">The item nonresponse rates range from </w:t>
      </w:r>
      <w:r w:rsidR="007F07CF">
        <w:t>0.0</w:t>
      </w:r>
      <w:r w:rsidR="006C333A">
        <w:t xml:space="preserve"> percent </w:t>
      </w:r>
      <w:r w:rsidR="006C333A" w:rsidRPr="006C333A">
        <w:t xml:space="preserve">to </w:t>
      </w:r>
      <w:r w:rsidR="007F07CF">
        <w:t>100</w:t>
      </w:r>
      <w:r w:rsidR="006C333A" w:rsidRPr="006C333A">
        <w:t xml:space="preserve"> percent.</w:t>
      </w:r>
      <w:r w:rsidR="000A3582">
        <w:t xml:space="preserve"> </w:t>
      </w:r>
    </w:p>
    <w:p w:rsidR="00A57983" w:rsidRPr="00A57983" w:rsidRDefault="00A57983" w:rsidP="000377E3"/>
    <w:p w:rsidR="000377E3" w:rsidRDefault="000377E3" w:rsidP="000377E3">
      <w:r>
        <w:rPr>
          <w:lang w:val="en-CA"/>
        </w:rPr>
        <w:fldChar w:fldCharType="begin"/>
      </w:r>
      <w:r>
        <w:rPr>
          <w:lang w:val="en-CA"/>
        </w:rPr>
        <w:instrText xml:space="preserve"> SEQ CHAPTER \h \r 1</w:instrText>
      </w:r>
      <w:r>
        <w:rPr>
          <w:lang w:val="en-CA"/>
        </w:rPr>
        <w:fldChar w:fldCharType="end"/>
      </w:r>
      <w:r>
        <w:rPr>
          <w:b/>
          <w:bCs/>
          <w:u w:val="single"/>
        </w:rPr>
        <w:t>Coverage</w:t>
      </w:r>
      <w:r>
        <w:t xml:space="preserve">.  The concept of coverage in the survey sampling process is the extent to which the total population that could be selected for sample “covers” the survey’s target population.  Missed housing units and missed people within sample households create </w:t>
      </w:r>
      <w:proofErr w:type="spellStart"/>
      <w:r>
        <w:t>undercoverage</w:t>
      </w:r>
      <w:proofErr w:type="spellEnd"/>
      <w:r>
        <w:t xml:space="preserve"> in the CPS.  Overall CPS </w:t>
      </w:r>
      <w:proofErr w:type="spellStart"/>
      <w:r>
        <w:t>undercoverage</w:t>
      </w:r>
      <w:proofErr w:type="spellEnd"/>
      <w:r>
        <w:t xml:space="preserve"> </w:t>
      </w:r>
      <w:r w:rsidRPr="00CB6269">
        <w:t xml:space="preserve">for </w:t>
      </w:r>
      <w:r w:rsidR="001C57D3" w:rsidRPr="00CB6269">
        <w:t>January 2016</w:t>
      </w:r>
      <w:r>
        <w:t xml:space="preserve"> is estimated to be about </w:t>
      </w:r>
      <w:r w:rsidR="00CB6269">
        <w:t>11</w:t>
      </w:r>
      <w:r>
        <w:t xml:space="preserve"> percent.  CPS coverage varies with age, sex, and race.  Generally, coverage is larger for females than for males and larger for non-Blacks than for Blacks.  This differential coverage is a general problem for most household-based surveys.</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t xml:space="preserve">The CPS weighting procedure partially corrects for bias from </w:t>
      </w:r>
      <w:proofErr w:type="spellStart"/>
      <w:r>
        <w:t>undercoverage</w:t>
      </w:r>
      <w:proofErr w:type="spellEnd"/>
      <w:r>
        <w:t xml:space="preserve">, but biases may still be present when people who are missed by the survey differ from those interviewed in ways other than age, race, sex, Hispanic origin, and state of residence.  How this weighting procedure </w:t>
      </w:r>
      <w:r>
        <w:lastRenderedPageBreak/>
        <w:t xml:space="preserve">affects other variables in the survey is not precisely known.  All of these considerations affect comparisons across different surveys or data sources.  </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t xml:space="preserve">A common measure of survey coverage is the coverage ratio, calculated as the estimated population before </w:t>
      </w:r>
      <w:proofErr w:type="spellStart"/>
      <w:r>
        <w:t>poststratification</w:t>
      </w:r>
      <w:proofErr w:type="spellEnd"/>
      <w:r>
        <w:t xml:space="preserve"> divided by the independent population control.  Table 1 shows </w:t>
      </w:r>
      <w:r w:rsidR="001C57D3" w:rsidRPr="00CB6269">
        <w:t>January 2016</w:t>
      </w:r>
      <w:r w:rsidRPr="00CB6269">
        <w:t xml:space="preserve"> CPS coverage ratios by age and sex for certain race and Hispanic groups.  The CPS coverage ratios</w:t>
      </w:r>
      <w:r>
        <w:t xml:space="preserve"> can exhibit some variability from month to month.</w:t>
      </w:r>
    </w:p>
    <w:p w:rsidR="000377E3" w:rsidRDefault="000377E3" w:rsidP="000377E3"/>
    <w:tbl>
      <w:tblPr>
        <w:tblW w:w="9630" w:type="dxa"/>
        <w:jc w:val="center"/>
        <w:tblInd w:w="15" w:type="dxa"/>
        <w:tblLayout w:type="fixed"/>
        <w:tblCellMar>
          <w:left w:w="15" w:type="dxa"/>
          <w:right w:w="15" w:type="dxa"/>
        </w:tblCellMar>
        <w:tblLook w:val="0000" w:firstRow="0" w:lastRow="0" w:firstColumn="0" w:lastColumn="0" w:noHBand="0" w:noVBand="0"/>
      </w:tblPr>
      <w:tblGrid>
        <w:gridCol w:w="810"/>
        <w:gridCol w:w="720"/>
        <w:gridCol w:w="810"/>
        <w:gridCol w:w="810"/>
        <w:gridCol w:w="810"/>
        <w:gridCol w:w="810"/>
        <w:gridCol w:w="810"/>
        <w:gridCol w:w="810"/>
        <w:gridCol w:w="810"/>
        <w:gridCol w:w="810"/>
        <w:gridCol w:w="810"/>
        <w:gridCol w:w="810"/>
      </w:tblGrid>
      <w:tr w:rsidR="000377E3" w:rsidTr="00FA2156">
        <w:trPr>
          <w:cantSplit/>
          <w:jc w:val="center"/>
        </w:trPr>
        <w:tc>
          <w:tcPr>
            <w:tcW w:w="9630" w:type="dxa"/>
            <w:gridSpan w:val="12"/>
            <w:tcBorders>
              <w:top w:val="single" w:sz="6" w:space="0" w:color="000000"/>
              <w:left w:val="single" w:sz="6" w:space="0" w:color="000000"/>
              <w:bottom w:val="single" w:sz="6" w:space="0" w:color="000000"/>
              <w:right w:val="single" w:sz="6" w:space="0" w:color="000000"/>
            </w:tcBorders>
            <w:shd w:val="clear" w:color="auto" w:fill="000000"/>
            <w:vAlign w:val="center"/>
          </w:tcPr>
          <w:p w:rsidR="000377E3" w:rsidRDefault="000377E3" w:rsidP="00FA2156">
            <w:pPr>
              <w:spacing w:after="3"/>
              <w:jc w:val="center"/>
              <w:rPr>
                <w:color w:val="FFFFFF"/>
              </w:rPr>
            </w:pPr>
            <w:bookmarkStart w:id="1" w:name="Table1"/>
            <w:bookmarkEnd w:id="1"/>
            <w:r>
              <w:rPr>
                <w:b/>
                <w:bCs/>
                <w:color w:val="FFFFFF"/>
              </w:rPr>
              <w:t>Table 1.</w:t>
            </w:r>
            <w:r>
              <w:rPr>
                <w:color w:val="FFFFFF"/>
              </w:rPr>
              <w:t xml:space="preserve">  </w:t>
            </w:r>
            <w:r>
              <w:rPr>
                <w:b/>
                <w:bCs/>
                <w:color w:val="FFFFFF"/>
              </w:rPr>
              <w:t>CPS Coverage Ratios</w:t>
            </w:r>
            <w:r>
              <w:rPr>
                <w:b/>
                <w:bCs/>
                <w:color w:val="FFFFFF"/>
              </w:rPr>
              <w:fldChar w:fldCharType="begin"/>
            </w:r>
            <w:r>
              <w:rPr>
                <w:b/>
                <w:bCs/>
                <w:color w:val="FFFFFF"/>
              </w:rPr>
              <w:instrText xml:space="preserve">tc "CPS Coverage Ratios " \f D </w:instrText>
            </w:r>
            <w:r>
              <w:rPr>
                <w:b/>
                <w:bCs/>
                <w:color w:val="FFFFFF"/>
              </w:rPr>
              <w:fldChar w:fldCharType="end"/>
            </w:r>
            <w:r>
              <w:rPr>
                <w:b/>
                <w:bCs/>
                <w:color w:val="FFFFFF"/>
              </w:rPr>
              <w:t xml:space="preserve">: </w:t>
            </w:r>
            <w:r w:rsidR="001C57D3" w:rsidRPr="00CB6269">
              <w:rPr>
                <w:b/>
                <w:bCs/>
                <w:color w:val="FFFFFF"/>
              </w:rPr>
              <w:t>January 2016</w:t>
            </w:r>
          </w:p>
        </w:tc>
      </w:tr>
      <w:tr w:rsidR="000377E3" w:rsidTr="00FA2156">
        <w:trPr>
          <w:trHeight w:val="391"/>
          <w:jc w:val="center"/>
        </w:trPr>
        <w:tc>
          <w:tcPr>
            <w:tcW w:w="810" w:type="dxa"/>
            <w:tcBorders>
              <w:top w:val="single" w:sz="6" w:space="0" w:color="000000"/>
              <w:left w:val="single" w:sz="6" w:space="0" w:color="000000"/>
              <w:right w:val="single" w:sz="6" w:space="0" w:color="000000"/>
            </w:tcBorders>
            <w:shd w:val="clear" w:color="auto" w:fill="CCCCCC"/>
            <w:vAlign w:val="center"/>
          </w:tcPr>
          <w:p w:rsidR="000377E3" w:rsidRDefault="000377E3" w:rsidP="00FA2156">
            <w:pPr>
              <w:tabs>
                <w:tab w:val="left" w:pos="0"/>
                <w:tab w:val="left" w:pos="720"/>
              </w:tabs>
              <w:spacing w:after="3"/>
              <w:jc w:val="center"/>
            </w:pPr>
          </w:p>
        </w:tc>
        <w:tc>
          <w:tcPr>
            <w:tcW w:w="2340" w:type="dxa"/>
            <w:gridSpan w:val="3"/>
            <w:tcBorders>
              <w:top w:val="single" w:sz="6" w:space="0" w:color="000000"/>
            </w:tcBorders>
            <w:shd w:val="clear" w:color="auto" w:fill="CCCCCC"/>
            <w:vAlign w:val="center"/>
          </w:tcPr>
          <w:p w:rsidR="000377E3" w:rsidRDefault="000377E3" w:rsidP="00FA2156">
            <w:pPr>
              <w:tabs>
                <w:tab w:val="left" w:pos="0"/>
              </w:tabs>
              <w:spacing w:after="3"/>
              <w:jc w:val="center"/>
            </w:pPr>
            <w:r>
              <w:rPr>
                <w:b/>
                <w:bCs/>
                <w:sz w:val="22"/>
                <w:szCs w:val="22"/>
                <w:u w:val="single"/>
              </w:rPr>
              <w:t>Total</w:t>
            </w:r>
          </w:p>
        </w:tc>
        <w:tc>
          <w:tcPr>
            <w:tcW w:w="1620" w:type="dxa"/>
            <w:gridSpan w:val="2"/>
            <w:tcBorders>
              <w:top w:val="single" w:sz="6" w:space="0" w:color="000000"/>
              <w:left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sz w:val="22"/>
                <w:szCs w:val="22"/>
                <w:u w:val="single"/>
              </w:rPr>
              <w:t>White only</w:t>
            </w:r>
          </w:p>
        </w:tc>
        <w:tc>
          <w:tcPr>
            <w:tcW w:w="1620" w:type="dxa"/>
            <w:gridSpan w:val="2"/>
            <w:tcBorders>
              <w:top w:val="single" w:sz="6" w:space="0" w:color="000000"/>
              <w:left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sz w:val="22"/>
                <w:szCs w:val="22"/>
                <w:u w:val="single"/>
              </w:rPr>
              <w:t>Black only</w:t>
            </w:r>
          </w:p>
        </w:tc>
        <w:tc>
          <w:tcPr>
            <w:tcW w:w="1620" w:type="dxa"/>
            <w:gridSpan w:val="2"/>
            <w:tcBorders>
              <w:top w:val="single" w:sz="6" w:space="0" w:color="000000"/>
              <w:left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sz w:val="22"/>
                <w:szCs w:val="22"/>
                <w:u w:val="single"/>
              </w:rPr>
              <w:t>Residual race</w:t>
            </w:r>
          </w:p>
        </w:tc>
        <w:tc>
          <w:tcPr>
            <w:tcW w:w="1620" w:type="dxa"/>
            <w:gridSpan w:val="2"/>
            <w:tcBorders>
              <w:top w:val="single" w:sz="6" w:space="0" w:color="000000"/>
              <w:left w:val="single" w:sz="6" w:space="0" w:color="000000"/>
              <w:right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sz w:val="22"/>
                <w:szCs w:val="22"/>
                <w:u w:val="single"/>
              </w:rPr>
              <w:t>Hispanic</w:t>
            </w:r>
          </w:p>
        </w:tc>
      </w:tr>
      <w:tr w:rsidR="000377E3" w:rsidTr="00FA2156">
        <w:trPr>
          <w:jc w:val="center"/>
        </w:trPr>
        <w:tc>
          <w:tcPr>
            <w:tcW w:w="810" w:type="dxa"/>
            <w:tcBorders>
              <w:left w:val="single" w:sz="6" w:space="0" w:color="000000"/>
              <w:bottom w:val="single" w:sz="6" w:space="0" w:color="000000"/>
              <w:right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sz w:val="22"/>
                <w:szCs w:val="22"/>
              </w:rPr>
              <w:t>Age group</w:t>
            </w:r>
          </w:p>
        </w:tc>
        <w:tc>
          <w:tcPr>
            <w:tcW w:w="720" w:type="dxa"/>
            <w:tcBorders>
              <w:bottom w:val="single" w:sz="6" w:space="0" w:color="000000"/>
            </w:tcBorders>
            <w:shd w:val="clear" w:color="auto" w:fill="CCCCCC"/>
            <w:vAlign w:val="center"/>
          </w:tcPr>
          <w:p w:rsidR="000377E3" w:rsidRDefault="000377E3" w:rsidP="00FA2156">
            <w:pPr>
              <w:tabs>
                <w:tab w:val="left" w:pos="0"/>
              </w:tabs>
              <w:spacing w:after="3"/>
              <w:jc w:val="center"/>
            </w:pPr>
            <w:r>
              <w:rPr>
                <w:b/>
                <w:bCs/>
              </w:rPr>
              <w:t>All people</w:t>
            </w:r>
          </w:p>
        </w:tc>
        <w:tc>
          <w:tcPr>
            <w:tcW w:w="810" w:type="dxa"/>
            <w:tcBorders>
              <w:bottom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Male</w:t>
            </w:r>
          </w:p>
        </w:tc>
        <w:tc>
          <w:tcPr>
            <w:tcW w:w="810" w:type="dxa"/>
            <w:tcBorders>
              <w:bottom w:val="single" w:sz="6" w:space="0" w:color="000000"/>
              <w:right w:val="single" w:sz="6" w:space="0" w:color="000000"/>
            </w:tcBorders>
            <w:shd w:val="clear" w:color="auto" w:fill="CCCCCC"/>
            <w:vAlign w:val="center"/>
          </w:tcPr>
          <w:p w:rsidR="000377E3" w:rsidRDefault="000377E3" w:rsidP="00FA2156">
            <w:pPr>
              <w:tabs>
                <w:tab w:val="left" w:pos="0"/>
                <w:tab w:val="left" w:pos="720"/>
              </w:tabs>
              <w:spacing w:after="3"/>
              <w:jc w:val="center"/>
            </w:pPr>
            <w:r>
              <w:rPr>
                <w:b/>
                <w:bCs/>
              </w:rPr>
              <w:t>Female</w:t>
            </w:r>
          </w:p>
        </w:tc>
      </w:tr>
      <w:tr w:rsidR="00CB6269" w:rsidRPr="00CB6269" w:rsidTr="00CB6269">
        <w:trPr>
          <w:jc w:val="center"/>
        </w:trPr>
        <w:tc>
          <w:tcPr>
            <w:tcW w:w="810" w:type="dxa"/>
            <w:tcBorders>
              <w:left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0-15</w:t>
            </w:r>
          </w:p>
        </w:tc>
        <w:tc>
          <w:tcPr>
            <w:tcW w:w="720" w:type="dxa"/>
            <w:vAlign w:val="center"/>
          </w:tcPr>
          <w:p w:rsidR="00CB6269" w:rsidRPr="00CB6269" w:rsidRDefault="00CB6269" w:rsidP="00CB6269">
            <w:pPr>
              <w:jc w:val="center"/>
              <w:rPr>
                <w:sz w:val="22"/>
                <w:szCs w:val="22"/>
              </w:rPr>
            </w:pPr>
            <w:r w:rsidRPr="00CB6269">
              <w:rPr>
                <w:sz w:val="22"/>
                <w:szCs w:val="22"/>
              </w:rPr>
              <w:t>0.89</w:t>
            </w:r>
          </w:p>
        </w:tc>
        <w:tc>
          <w:tcPr>
            <w:tcW w:w="810" w:type="dxa"/>
            <w:vAlign w:val="center"/>
          </w:tcPr>
          <w:p w:rsidR="00CB6269" w:rsidRPr="00CB6269" w:rsidRDefault="00CB6269" w:rsidP="00CB6269">
            <w:pPr>
              <w:jc w:val="center"/>
              <w:rPr>
                <w:sz w:val="22"/>
                <w:szCs w:val="22"/>
              </w:rPr>
            </w:pPr>
            <w:r w:rsidRPr="00CB6269">
              <w:rPr>
                <w:sz w:val="22"/>
                <w:szCs w:val="22"/>
              </w:rPr>
              <w:t>0.89</w:t>
            </w:r>
          </w:p>
        </w:tc>
        <w:tc>
          <w:tcPr>
            <w:tcW w:w="810" w:type="dxa"/>
            <w:vAlign w:val="center"/>
          </w:tcPr>
          <w:p w:rsidR="00CB6269" w:rsidRPr="00CB6269" w:rsidRDefault="00CB6269" w:rsidP="00CB6269">
            <w:pPr>
              <w:jc w:val="center"/>
              <w:rPr>
                <w:sz w:val="22"/>
                <w:szCs w:val="22"/>
              </w:rPr>
            </w:pPr>
            <w:r w:rsidRPr="00CB6269">
              <w:rPr>
                <w:sz w:val="22"/>
                <w:szCs w:val="22"/>
              </w:rPr>
              <w:t>0.89</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0.93</w:t>
            </w:r>
          </w:p>
        </w:tc>
        <w:tc>
          <w:tcPr>
            <w:tcW w:w="810" w:type="dxa"/>
            <w:vAlign w:val="center"/>
          </w:tcPr>
          <w:p w:rsidR="00CB6269" w:rsidRPr="00CB6269" w:rsidRDefault="00CB6269" w:rsidP="00CB6269">
            <w:pPr>
              <w:jc w:val="center"/>
              <w:rPr>
                <w:sz w:val="22"/>
                <w:szCs w:val="22"/>
              </w:rPr>
            </w:pPr>
            <w:r w:rsidRPr="00CB6269">
              <w:rPr>
                <w:sz w:val="22"/>
                <w:szCs w:val="22"/>
              </w:rPr>
              <w:t>0.92</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0.78</w:t>
            </w:r>
          </w:p>
        </w:tc>
        <w:tc>
          <w:tcPr>
            <w:tcW w:w="810" w:type="dxa"/>
            <w:vAlign w:val="center"/>
          </w:tcPr>
          <w:p w:rsidR="00CB6269" w:rsidRPr="00CB6269" w:rsidRDefault="00CB6269" w:rsidP="00CB6269">
            <w:pPr>
              <w:jc w:val="center"/>
              <w:rPr>
                <w:sz w:val="22"/>
                <w:szCs w:val="22"/>
              </w:rPr>
            </w:pPr>
            <w:r w:rsidRPr="00CB6269">
              <w:rPr>
                <w:sz w:val="22"/>
                <w:szCs w:val="22"/>
              </w:rPr>
              <w:t>0.77</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0.82</w:t>
            </w:r>
          </w:p>
        </w:tc>
        <w:tc>
          <w:tcPr>
            <w:tcW w:w="810" w:type="dxa"/>
            <w:vAlign w:val="center"/>
          </w:tcPr>
          <w:p w:rsidR="00CB6269" w:rsidRPr="00CB6269" w:rsidRDefault="00CB6269" w:rsidP="00CB6269">
            <w:pPr>
              <w:jc w:val="center"/>
              <w:rPr>
                <w:sz w:val="22"/>
                <w:szCs w:val="22"/>
              </w:rPr>
            </w:pPr>
            <w:r w:rsidRPr="00CB6269">
              <w:rPr>
                <w:sz w:val="22"/>
                <w:szCs w:val="22"/>
              </w:rPr>
              <w:t>0.82</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0.85</w:t>
            </w:r>
          </w:p>
        </w:tc>
        <w:tc>
          <w:tcPr>
            <w:tcW w:w="810" w:type="dxa"/>
            <w:tcBorders>
              <w:right w:val="single" w:sz="6" w:space="0" w:color="000000"/>
            </w:tcBorders>
            <w:vAlign w:val="center"/>
          </w:tcPr>
          <w:p w:rsidR="00CB6269" w:rsidRPr="00CB6269" w:rsidRDefault="00CB6269" w:rsidP="00CB6269">
            <w:pPr>
              <w:jc w:val="center"/>
              <w:rPr>
                <w:sz w:val="22"/>
                <w:szCs w:val="22"/>
              </w:rPr>
            </w:pPr>
            <w:r w:rsidRPr="00CB6269">
              <w:rPr>
                <w:sz w:val="22"/>
                <w:szCs w:val="22"/>
              </w:rPr>
              <w:t>0.84</w:t>
            </w:r>
          </w:p>
        </w:tc>
      </w:tr>
      <w:tr w:rsidR="00CB6269" w:rsidRPr="00CB6269" w:rsidTr="00CB6269">
        <w:trPr>
          <w:jc w:val="center"/>
        </w:trPr>
        <w:tc>
          <w:tcPr>
            <w:tcW w:w="810" w:type="dxa"/>
            <w:tcBorders>
              <w:left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16-19</w:t>
            </w:r>
          </w:p>
        </w:tc>
        <w:tc>
          <w:tcPr>
            <w:tcW w:w="720" w:type="dxa"/>
            <w:vAlign w:val="center"/>
          </w:tcPr>
          <w:p w:rsidR="00CB6269" w:rsidRPr="00CB6269" w:rsidRDefault="00CB6269" w:rsidP="00CB6269">
            <w:pPr>
              <w:jc w:val="center"/>
              <w:rPr>
                <w:sz w:val="22"/>
                <w:szCs w:val="22"/>
              </w:rPr>
            </w:pPr>
            <w:r w:rsidRPr="00CB6269">
              <w:rPr>
                <w:sz w:val="22"/>
                <w:szCs w:val="22"/>
              </w:rPr>
              <w:t>0.87</w:t>
            </w:r>
          </w:p>
        </w:tc>
        <w:tc>
          <w:tcPr>
            <w:tcW w:w="810" w:type="dxa"/>
            <w:vAlign w:val="center"/>
          </w:tcPr>
          <w:p w:rsidR="00CB6269" w:rsidRPr="00CB6269" w:rsidRDefault="00CB6269" w:rsidP="00CB6269">
            <w:pPr>
              <w:jc w:val="center"/>
              <w:rPr>
                <w:sz w:val="22"/>
                <w:szCs w:val="22"/>
              </w:rPr>
            </w:pPr>
            <w:r w:rsidRPr="00CB6269">
              <w:rPr>
                <w:sz w:val="22"/>
                <w:szCs w:val="22"/>
              </w:rPr>
              <w:t>0.87</w:t>
            </w:r>
          </w:p>
        </w:tc>
        <w:tc>
          <w:tcPr>
            <w:tcW w:w="810" w:type="dxa"/>
            <w:vAlign w:val="center"/>
          </w:tcPr>
          <w:p w:rsidR="00CB6269" w:rsidRPr="00CB6269" w:rsidRDefault="00CB6269" w:rsidP="00CB6269">
            <w:pPr>
              <w:jc w:val="center"/>
              <w:rPr>
                <w:sz w:val="22"/>
                <w:szCs w:val="22"/>
              </w:rPr>
            </w:pPr>
            <w:r w:rsidRPr="00CB6269">
              <w:rPr>
                <w:sz w:val="22"/>
                <w:szCs w:val="22"/>
              </w:rPr>
              <w:t>0.87</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0.89</w:t>
            </w:r>
          </w:p>
        </w:tc>
        <w:tc>
          <w:tcPr>
            <w:tcW w:w="810" w:type="dxa"/>
            <w:vAlign w:val="center"/>
          </w:tcPr>
          <w:p w:rsidR="00CB6269" w:rsidRPr="00CB6269" w:rsidRDefault="00CB6269" w:rsidP="00CB6269">
            <w:pPr>
              <w:jc w:val="center"/>
              <w:rPr>
                <w:sz w:val="22"/>
                <w:szCs w:val="22"/>
              </w:rPr>
            </w:pPr>
            <w:r w:rsidRPr="00CB6269">
              <w:rPr>
                <w:sz w:val="22"/>
                <w:szCs w:val="22"/>
              </w:rPr>
              <w:t>0.91</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0.79</w:t>
            </w:r>
          </w:p>
        </w:tc>
        <w:tc>
          <w:tcPr>
            <w:tcW w:w="810" w:type="dxa"/>
            <w:vAlign w:val="center"/>
          </w:tcPr>
          <w:p w:rsidR="00CB6269" w:rsidRPr="00CB6269" w:rsidRDefault="00CB6269" w:rsidP="00CB6269">
            <w:pPr>
              <w:jc w:val="center"/>
              <w:rPr>
                <w:sz w:val="22"/>
                <w:szCs w:val="22"/>
              </w:rPr>
            </w:pPr>
            <w:r w:rsidRPr="00CB6269">
              <w:rPr>
                <w:sz w:val="22"/>
                <w:szCs w:val="22"/>
              </w:rPr>
              <w:t>0.78</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0.79</w:t>
            </w:r>
          </w:p>
        </w:tc>
        <w:tc>
          <w:tcPr>
            <w:tcW w:w="810" w:type="dxa"/>
            <w:vAlign w:val="center"/>
          </w:tcPr>
          <w:p w:rsidR="00CB6269" w:rsidRPr="00CB6269" w:rsidRDefault="00CB6269" w:rsidP="00CB6269">
            <w:pPr>
              <w:jc w:val="center"/>
              <w:rPr>
                <w:sz w:val="22"/>
                <w:szCs w:val="22"/>
              </w:rPr>
            </w:pPr>
            <w:r w:rsidRPr="00CB6269">
              <w:rPr>
                <w:sz w:val="22"/>
                <w:szCs w:val="22"/>
              </w:rPr>
              <w:t>0.74</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0.84</w:t>
            </w:r>
          </w:p>
        </w:tc>
        <w:tc>
          <w:tcPr>
            <w:tcW w:w="810" w:type="dxa"/>
            <w:tcBorders>
              <w:right w:val="single" w:sz="6" w:space="0" w:color="000000"/>
            </w:tcBorders>
            <w:vAlign w:val="center"/>
          </w:tcPr>
          <w:p w:rsidR="00CB6269" w:rsidRPr="00CB6269" w:rsidRDefault="00CB6269" w:rsidP="00CB6269">
            <w:pPr>
              <w:jc w:val="center"/>
              <w:rPr>
                <w:sz w:val="22"/>
                <w:szCs w:val="22"/>
              </w:rPr>
            </w:pPr>
            <w:r w:rsidRPr="00CB6269">
              <w:rPr>
                <w:sz w:val="22"/>
                <w:szCs w:val="22"/>
              </w:rPr>
              <w:t>0.88</w:t>
            </w:r>
          </w:p>
        </w:tc>
      </w:tr>
      <w:tr w:rsidR="00CB6269" w:rsidRPr="00CB6269" w:rsidTr="00CB6269">
        <w:trPr>
          <w:jc w:val="center"/>
        </w:trPr>
        <w:tc>
          <w:tcPr>
            <w:tcW w:w="810" w:type="dxa"/>
            <w:tcBorders>
              <w:left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20-24</w:t>
            </w:r>
          </w:p>
        </w:tc>
        <w:tc>
          <w:tcPr>
            <w:tcW w:w="720" w:type="dxa"/>
            <w:vAlign w:val="center"/>
          </w:tcPr>
          <w:p w:rsidR="00CB6269" w:rsidRPr="00CB6269" w:rsidRDefault="00CB6269" w:rsidP="00CB6269">
            <w:pPr>
              <w:jc w:val="center"/>
              <w:rPr>
                <w:sz w:val="22"/>
                <w:szCs w:val="22"/>
              </w:rPr>
            </w:pPr>
            <w:r w:rsidRPr="00CB6269">
              <w:rPr>
                <w:sz w:val="22"/>
                <w:szCs w:val="22"/>
              </w:rPr>
              <w:t>0.77</w:t>
            </w:r>
          </w:p>
        </w:tc>
        <w:tc>
          <w:tcPr>
            <w:tcW w:w="810" w:type="dxa"/>
            <w:vAlign w:val="center"/>
          </w:tcPr>
          <w:p w:rsidR="00CB6269" w:rsidRPr="00CB6269" w:rsidRDefault="00CB6269" w:rsidP="00CB6269">
            <w:pPr>
              <w:jc w:val="center"/>
              <w:rPr>
                <w:sz w:val="22"/>
                <w:szCs w:val="22"/>
              </w:rPr>
            </w:pPr>
            <w:r w:rsidRPr="00CB6269">
              <w:rPr>
                <w:sz w:val="22"/>
                <w:szCs w:val="22"/>
              </w:rPr>
              <w:t>0.75</w:t>
            </w:r>
          </w:p>
        </w:tc>
        <w:tc>
          <w:tcPr>
            <w:tcW w:w="810" w:type="dxa"/>
            <w:vAlign w:val="center"/>
          </w:tcPr>
          <w:p w:rsidR="00CB6269" w:rsidRPr="00CB6269" w:rsidRDefault="00CB6269" w:rsidP="00CB6269">
            <w:pPr>
              <w:jc w:val="center"/>
              <w:rPr>
                <w:sz w:val="22"/>
                <w:szCs w:val="22"/>
              </w:rPr>
            </w:pPr>
            <w:r w:rsidRPr="00CB6269">
              <w:rPr>
                <w:sz w:val="22"/>
                <w:szCs w:val="22"/>
              </w:rPr>
              <w:t>0.79</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0.78</w:t>
            </w:r>
          </w:p>
        </w:tc>
        <w:tc>
          <w:tcPr>
            <w:tcW w:w="810" w:type="dxa"/>
            <w:vAlign w:val="center"/>
          </w:tcPr>
          <w:p w:rsidR="00CB6269" w:rsidRPr="00CB6269" w:rsidRDefault="00CB6269" w:rsidP="00CB6269">
            <w:pPr>
              <w:jc w:val="center"/>
              <w:rPr>
                <w:sz w:val="22"/>
                <w:szCs w:val="22"/>
              </w:rPr>
            </w:pPr>
            <w:r w:rsidRPr="00CB6269">
              <w:rPr>
                <w:sz w:val="22"/>
                <w:szCs w:val="22"/>
              </w:rPr>
              <w:t>0.84</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0.62</w:t>
            </w:r>
          </w:p>
        </w:tc>
        <w:tc>
          <w:tcPr>
            <w:tcW w:w="810" w:type="dxa"/>
            <w:vAlign w:val="center"/>
          </w:tcPr>
          <w:p w:rsidR="00CB6269" w:rsidRPr="00CB6269" w:rsidRDefault="00CB6269" w:rsidP="00CB6269">
            <w:pPr>
              <w:jc w:val="center"/>
              <w:rPr>
                <w:sz w:val="22"/>
                <w:szCs w:val="22"/>
              </w:rPr>
            </w:pPr>
            <w:r w:rsidRPr="00CB6269">
              <w:rPr>
                <w:sz w:val="22"/>
                <w:szCs w:val="22"/>
              </w:rPr>
              <w:t>0.64</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0.71</w:t>
            </w:r>
          </w:p>
        </w:tc>
        <w:tc>
          <w:tcPr>
            <w:tcW w:w="810" w:type="dxa"/>
            <w:vAlign w:val="center"/>
          </w:tcPr>
          <w:p w:rsidR="00CB6269" w:rsidRPr="00CB6269" w:rsidRDefault="00CB6269" w:rsidP="00CB6269">
            <w:pPr>
              <w:jc w:val="center"/>
              <w:rPr>
                <w:sz w:val="22"/>
                <w:szCs w:val="22"/>
              </w:rPr>
            </w:pPr>
            <w:r w:rsidRPr="00CB6269">
              <w:rPr>
                <w:sz w:val="22"/>
                <w:szCs w:val="22"/>
              </w:rPr>
              <w:t>0.70</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0.72</w:t>
            </w:r>
          </w:p>
        </w:tc>
        <w:tc>
          <w:tcPr>
            <w:tcW w:w="810" w:type="dxa"/>
            <w:tcBorders>
              <w:right w:val="single" w:sz="6" w:space="0" w:color="000000"/>
            </w:tcBorders>
            <w:vAlign w:val="center"/>
          </w:tcPr>
          <w:p w:rsidR="00CB6269" w:rsidRPr="00CB6269" w:rsidRDefault="00CB6269" w:rsidP="00CB6269">
            <w:pPr>
              <w:jc w:val="center"/>
              <w:rPr>
                <w:sz w:val="22"/>
                <w:szCs w:val="22"/>
              </w:rPr>
            </w:pPr>
            <w:r w:rsidRPr="00CB6269">
              <w:rPr>
                <w:sz w:val="22"/>
                <w:szCs w:val="22"/>
              </w:rPr>
              <w:t>0.78</w:t>
            </w:r>
          </w:p>
        </w:tc>
      </w:tr>
      <w:tr w:rsidR="00CB6269" w:rsidRPr="00CB6269" w:rsidTr="00CB6269">
        <w:trPr>
          <w:jc w:val="center"/>
        </w:trPr>
        <w:tc>
          <w:tcPr>
            <w:tcW w:w="810" w:type="dxa"/>
            <w:tcBorders>
              <w:left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25-34</w:t>
            </w:r>
          </w:p>
        </w:tc>
        <w:tc>
          <w:tcPr>
            <w:tcW w:w="720" w:type="dxa"/>
            <w:vAlign w:val="center"/>
          </w:tcPr>
          <w:p w:rsidR="00CB6269" w:rsidRPr="00CB6269" w:rsidRDefault="00CB6269" w:rsidP="00CB6269">
            <w:pPr>
              <w:jc w:val="center"/>
              <w:rPr>
                <w:sz w:val="22"/>
                <w:szCs w:val="22"/>
              </w:rPr>
            </w:pPr>
            <w:r w:rsidRPr="00CB6269">
              <w:rPr>
                <w:sz w:val="22"/>
                <w:szCs w:val="22"/>
              </w:rPr>
              <w:t>0.82</w:t>
            </w:r>
          </w:p>
        </w:tc>
        <w:tc>
          <w:tcPr>
            <w:tcW w:w="810" w:type="dxa"/>
            <w:vAlign w:val="center"/>
          </w:tcPr>
          <w:p w:rsidR="00CB6269" w:rsidRPr="00CB6269" w:rsidRDefault="00CB6269" w:rsidP="00CB6269">
            <w:pPr>
              <w:jc w:val="center"/>
              <w:rPr>
                <w:sz w:val="22"/>
                <w:szCs w:val="22"/>
              </w:rPr>
            </w:pPr>
            <w:r w:rsidRPr="00CB6269">
              <w:rPr>
                <w:sz w:val="22"/>
                <w:szCs w:val="22"/>
              </w:rPr>
              <w:t>0.79</w:t>
            </w:r>
          </w:p>
        </w:tc>
        <w:tc>
          <w:tcPr>
            <w:tcW w:w="810" w:type="dxa"/>
            <w:vAlign w:val="center"/>
          </w:tcPr>
          <w:p w:rsidR="00CB6269" w:rsidRPr="00CB6269" w:rsidRDefault="00CB6269" w:rsidP="00CB6269">
            <w:pPr>
              <w:jc w:val="center"/>
              <w:rPr>
                <w:sz w:val="22"/>
                <w:szCs w:val="22"/>
              </w:rPr>
            </w:pPr>
            <w:r w:rsidRPr="00CB6269">
              <w:rPr>
                <w:sz w:val="22"/>
                <w:szCs w:val="22"/>
              </w:rPr>
              <w:t>0.85</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0.83</w:t>
            </w:r>
          </w:p>
        </w:tc>
        <w:tc>
          <w:tcPr>
            <w:tcW w:w="810" w:type="dxa"/>
            <w:vAlign w:val="center"/>
          </w:tcPr>
          <w:p w:rsidR="00CB6269" w:rsidRPr="00CB6269" w:rsidRDefault="00CB6269" w:rsidP="00CB6269">
            <w:pPr>
              <w:jc w:val="center"/>
              <w:rPr>
                <w:sz w:val="22"/>
                <w:szCs w:val="22"/>
              </w:rPr>
            </w:pPr>
            <w:r w:rsidRPr="00CB6269">
              <w:rPr>
                <w:sz w:val="22"/>
                <w:szCs w:val="22"/>
              </w:rPr>
              <w:t>0.89</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0.62</w:t>
            </w:r>
          </w:p>
        </w:tc>
        <w:tc>
          <w:tcPr>
            <w:tcW w:w="810" w:type="dxa"/>
            <w:vAlign w:val="center"/>
          </w:tcPr>
          <w:p w:rsidR="00CB6269" w:rsidRPr="00CB6269" w:rsidRDefault="00CB6269" w:rsidP="00CB6269">
            <w:pPr>
              <w:jc w:val="center"/>
              <w:rPr>
                <w:sz w:val="22"/>
                <w:szCs w:val="22"/>
              </w:rPr>
            </w:pPr>
            <w:r w:rsidRPr="00CB6269">
              <w:rPr>
                <w:sz w:val="22"/>
                <w:szCs w:val="22"/>
              </w:rPr>
              <w:t>0.74</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0.76</w:t>
            </w:r>
          </w:p>
        </w:tc>
        <w:tc>
          <w:tcPr>
            <w:tcW w:w="810" w:type="dxa"/>
            <w:vAlign w:val="center"/>
          </w:tcPr>
          <w:p w:rsidR="00CB6269" w:rsidRPr="00CB6269" w:rsidRDefault="00CB6269" w:rsidP="00CB6269">
            <w:pPr>
              <w:jc w:val="center"/>
              <w:rPr>
                <w:sz w:val="22"/>
                <w:szCs w:val="22"/>
              </w:rPr>
            </w:pPr>
            <w:r w:rsidRPr="00CB6269">
              <w:rPr>
                <w:sz w:val="22"/>
                <w:szCs w:val="22"/>
              </w:rPr>
              <w:t>0.76</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0.73</w:t>
            </w:r>
          </w:p>
        </w:tc>
        <w:tc>
          <w:tcPr>
            <w:tcW w:w="810" w:type="dxa"/>
            <w:tcBorders>
              <w:right w:val="single" w:sz="6" w:space="0" w:color="000000"/>
            </w:tcBorders>
            <w:vAlign w:val="center"/>
          </w:tcPr>
          <w:p w:rsidR="00CB6269" w:rsidRPr="00CB6269" w:rsidRDefault="00CB6269" w:rsidP="00CB6269">
            <w:pPr>
              <w:jc w:val="center"/>
              <w:rPr>
                <w:sz w:val="22"/>
                <w:szCs w:val="22"/>
              </w:rPr>
            </w:pPr>
            <w:r w:rsidRPr="00CB6269">
              <w:rPr>
                <w:sz w:val="22"/>
                <w:szCs w:val="22"/>
              </w:rPr>
              <w:t>0.86</w:t>
            </w:r>
          </w:p>
        </w:tc>
      </w:tr>
      <w:tr w:rsidR="00CB6269" w:rsidRPr="00CB6269" w:rsidTr="00CB6269">
        <w:trPr>
          <w:jc w:val="center"/>
        </w:trPr>
        <w:tc>
          <w:tcPr>
            <w:tcW w:w="810" w:type="dxa"/>
            <w:tcBorders>
              <w:left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35-44</w:t>
            </w:r>
          </w:p>
        </w:tc>
        <w:tc>
          <w:tcPr>
            <w:tcW w:w="720" w:type="dxa"/>
            <w:vAlign w:val="center"/>
          </w:tcPr>
          <w:p w:rsidR="00CB6269" w:rsidRPr="00CB6269" w:rsidRDefault="00CB6269" w:rsidP="00CB6269">
            <w:pPr>
              <w:jc w:val="center"/>
              <w:rPr>
                <w:sz w:val="22"/>
                <w:szCs w:val="22"/>
              </w:rPr>
            </w:pPr>
            <w:r w:rsidRPr="00CB6269">
              <w:rPr>
                <w:sz w:val="22"/>
                <w:szCs w:val="22"/>
              </w:rPr>
              <w:t>0.90</w:t>
            </w:r>
          </w:p>
        </w:tc>
        <w:tc>
          <w:tcPr>
            <w:tcW w:w="810" w:type="dxa"/>
            <w:vAlign w:val="center"/>
          </w:tcPr>
          <w:p w:rsidR="00CB6269" w:rsidRPr="00CB6269" w:rsidRDefault="00CB6269" w:rsidP="00CB6269">
            <w:pPr>
              <w:jc w:val="center"/>
              <w:rPr>
                <w:sz w:val="22"/>
                <w:szCs w:val="22"/>
              </w:rPr>
            </w:pPr>
            <w:r w:rsidRPr="00CB6269">
              <w:rPr>
                <w:sz w:val="22"/>
                <w:szCs w:val="22"/>
              </w:rPr>
              <w:t>0.88</w:t>
            </w:r>
          </w:p>
        </w:tc>
        <w:tc>
          <w:tcPr>
            <w:tcW w:w="810" w:type="dxa"/>
            <w:vAlign w:val="center"/>
          </w:tcPr>
          <w:p w:rsidR="00CB6269" w:rsidRPr="00CB6269" w:rsidRDefault="00CB6269" w:rsidP="00CB6269">
            <w:pPr>
              <w:jc w:val="center"/>
              <w:rPr>
                <w:sz w:val="22"/>
                <w:szCs w:val="22"/>
              </w:rPr>
            </w:pPr>
            <w:r w:rsidRPr="00CB6269">
              <w:rPr>
                <w:sz w:val="22"/>
                <w:szCs w:val="22"/>
              </w:rPr>
              <w:t>0.92</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0.91</w:t>
            </w:r>
          </w:p>
        </w:tc>
        <w:tc>
          <w:tcPr>
            <w:tcW w:w="810" w:type="dxa"/>
            <w:vAlign w:val="center"/>
          </w:tcPr>
          <w:p w:rsidR="00CB6269" w:rsidRPr="00CB6269" w:rsidRDefault="00CB6269" w:rsidP="00CB6269">
            <w:pPr>
              <w:jc w:val="center"/>
              <w:rPr>
                <w:sz w:val="22"/>
                <w:szCs w:val="22"/>
              </w:rPr>
            </w:pPr>
            <w:r w:rsidRPr="00CB6269">
              <w:rPr>
                <w:sz w:val="22"/>
                <w:szCs w:val="22"/>
              </w:rPr>
              <w:t>0.95</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0.78</w:t>
            </w:r>
          </w:p>
        </w:tc>
        <w:tc>
          <w:tcPr>
            <w:tcW w:w="810" w:type="dxa"/>
            <w:vAlign w:val="center"/>
          </w:tcPr>
          <w:p w:rsidR="00CB6269" w:rsidRPr="00CB6269" w:rsidRDefault="00CB6269" w:rsidP="00CB6269">
            <w:pPr>
              <w:jc w:val="center"/>
              <w:rPr>
                <w:sz w:val="22"/>
                <w:szCs w:val="22"/>
              </w:rPr>
            </w:pPr>
            <w:r w:rsidRPr="00CB6269">
              <w:rPr>
                <w:sz w:val="22"/>
                <w:szCs w:val="22"/>
              </w:rPr>
              <w:t>0.84</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0.81</w:t>
            </w:r>
          </w:p>
        </w:tc>
        <w:tc>
          <w:tcPr>
            <w:tcW w:w="810" w:type="dxa"/>
            <w:vAlign w:val="center"/>
          </w:tcPr>
          <w:p w:rsidR="00CB6269" w:rsidRPr="00CB6269" w:rsidRDefault="00CB6269" w:rsidP="00CB6269">
            <w:pPr>
              <w:jc w:val="center"/>
              <w:rPr>
                <w:sz w:val="22"/>
                <w:szCs w:val="22"/>
              </w:rPr>
            </w:pPr>
            <w:r w:rsidRPr="00CB6269">
              <w:rPr>
                <w:sz w:val="22"/>
                <w:szCs w:val="22"/>
              </w:rPr>
              <w:t>0.84</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0.79</w:t>
            </w:r>
          </w:p>
        </w:tc>
        <w:tc>
          <w:tcPr>
            <w:tcW w:w="810" w:type="dxa"/>
            <w:tcBorders>
              <w:right w:val="single" w:sz="6" w:space="0" w:color="000000"/>
            </w:tcBorders>
            <w:vAlign w:val="center"/>
          </w:tcPr>
          <w:p w:rsidR="00CB6269" w:rsidRPr="00CB6269" w:rsidRDefault="00CB6269" w:rsidP="00CB6269">
            <w:pPr>
              <w:jc w:val="center"/>
              <w:rPr>
                <w:sz w:val="22"/>
                <w:szCs w:val="22"/>
              </w:rPr>
            </w:pPr>
            <w:r w:rsidRPr="00CB6269">
              <w:rPr>
                <w:sz w:val="22"/>
                <w:szCs w:val="22"/>
              </w:rPr>
              <w:t>0.86</w:t>
            </w:r>
          </w:p>
        </w:tc>
      </w:tr>
      <w:tr w:rsidR="00CB6269" w:rsidRPr="00CB6269" w:rsidTr="00CB6269">
        <w:trPr>
          <w:jc w:val="center"/>
        </w:trPr>
        <w:tc>
          <w:tcPr>
            <w:tcW w:w="810" w:type="dxa"/>
            <w:tcBorders>
              <w:left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45-54</w:t>
            </w:r>
          </w:p>
        </w:tc>
        <w:tc>
          <w:tcPr>
            <w:tcW w:w="720" w:type="dxa"/>
            <w:vAlign w:val="center"/>
          </w:tcPr>
          <w:p w:rsidR="00CB6269" w:rsidRPr="00CB6269" w:rsidRDefault="00CB6269" w:rsidP="00CB6269">
            <w:pPr>
              <w:jc w:val="center"/>
              <w:rPr>
                <w:sz w:val="22"/>
                <w:szCs w:val="22"/>
              </w:rPr>
            </w:pPr>
            <w:r w:rsidRPr="00CB6269">
              <w:rPr>
                <w:sz w:val="22"/>
                <w:szCs w:val="22"/>
              </w:rPr>
              <w:t>0.91</w:t>
            </w:r>
          </w:p>
        </w:tc>
        <w:tc>
          <w:tcPr>
            <w:tcW w:w="810" w:type="dxa"/>
            <w:vAlign w:val="center"/>
          </w:tcPr>
          <w:p w:rsidR="00CB6269" w:rsidRPr="00CB6269" w:rsidRDefault="00CB6269" w:rsidP="00CB6269">
            <w:pPr>
              <w:jc w:val="center"/>
              <w:rPr>
                <w:sz w:val="22"/>
                <w:szCs w:val="22"/>
              </w:rPr>
            </w:pPr>
            <w:r w:rsidRPr="00CB6269">
              <w:rPr>
                <w:sz w:val="22"/>
                <w:szCs w:val="22"/>
              </w:rPr>
              <w:t>0.90</w:t>
            </w:r>
          </w:p>
        </w:tc>
        <w:tc>
          <w:tcPr>
            <w:tcW w:w="810" w:type="dxa"/>
            <w:vAlign w:val="center"/>
          </w:tcPr>
          <w:p w:rsidR="00CB6269" w:rsidRPr="00CB6269" w:rsidRDefault="00CB6269" w:rsidP="00CB6269">
            <w:pPr>
              <w:jc w:val="center"/>
              <w:rPr>
                <w:sz w:val="22"/>
                <w:szCs w:val="22"/>
              </w:rPr>
            </w:pPr>
            <w:r w:rsidRPr="00CB6269">
              <w:rPr>
                <w:sz w:val="22"/>
                <w:szCs w:val="22"/>
              </w:rPr>
              <w:t>0.91</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0.93</w:t>
            </w:r>
          </w:p>
        </w:tc>
        <w:tc>
          <w:tcPr>
            <w:tcW w:w="810" w:type="dxa"/>
            <w:vAlign w:val="center"/>
          </w:tcPr>
          <w:p w:rsidR="00CB6269" w:rsidRPr="00CB6269" w:rsidRDefault="00CB6269" w:rsidP="00CB6269">
            <w:pPr>
              <w:jc w:val="center"/>
              <w:rPr>
                <w:sz w:val="22"/>
                <w:szCs w:val="22"/>
              </w:rPr>
            </w:pPr>
            <w:r w:rsidRPr="00CB6269">
              <w:rPr>
                <w:sz w:val="22"/>
                <w:szCs w:val="22"/>
              </w:rPr>
              <w:t>0.94</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0.81</w:t>
            </w:r>
          </w:p>
        </w:tc>
        <w:tc>
          <w:tcPr>
            <w:tcW w:w="810" w:type="dxa"/>
            <w:vAlign w:val="center"/>
          </w:tcPr>
          <w:p w:rsidR="00CB6269" w:rsidRPr="00CB6269" w:rsidRDefault="00CB6269" w:rsidP="00CB6269">
            <w:pPr>
              <w:jc w:val="center"/>
              <w:rPr>
                <w:sz w:val="22"/>
                <w:szCs w:val="22"/>
              </w:rPr>
            </w:pPr>
            <w:r w:rsidRPr="00CB6269">
              <w:rPr>
                <w:sz w:val="22"/>
                <w:szCs w:val="22"/>
              </w:rPr>
              <w:t>0.84</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0.76</w:t>
            </w:r>
          </w:p>
        </w:tc>
        <w:tc>
          <w:tcPr>
            <w:tcW w:w="810" w:type="dxa"/>
            <w:vAlign w:val="center"/>
          </w:tcPr>
          <w:p w:rsidR="00CB6269" w:rsidRPr="00CB6269" w:rsidRDefault="00CB6269" w:rsidP="00CB6269">
            <w:pPr>
              <w:jc w:val="center"/>
              <w:rPr>
                <w:sz w:val="22"/>
                <w:szCs w:val="22"/>
              </w:rPr>
            </w:pPr>
            <w:r w:rsidRPr="00CB6269">
              <w:rPr>
                <w:sz w:val="22"/>
                <w:szCs w:val="22"/>
              </w:rPr>
              <w:t>0.79</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0.82</w:t>
            </w:r>
          </w:p>
        </w:tc>
        <w:tc>
          <w:tcPr>
            <w:tcW w:w="810" w:type="dxa"/>
            <w:tcBorders>
              <w:right w:val="single" w:sz="6" w:space="0" w:color="000000"/>
            </w:tcBorders>
            <w:vAlign w:val="center"/>
          </w:tcPr>
          <w:p w:rsidR="00CB6269" w:rsidRPr="00CB6269" w:rsidRDefault="00CB6269" w:rsidP="00CB6269">
            <w:pPr>
              <w:jc w:val="center"/>
              <w:rPr>
                <w:sz w:val="22"/>
                <w:szCs w:val="22"/>
              </w:rPr>
            </w:pPr>
            <w:r w:rsidRPr="00CB6269">
              <w:rPr>
                <w:sz w:val="22"/>
                <w:szCs w:val="22"/>
              </w:rPr>
              <w:t>0.86</w:t>
            </w:r>
          </w:p>
        </w:tc>
      </w:tr>
      <w:tr w:rsidR="00CB6269" w:rsidRPr="00CB6269" w:rsidTr="00CB6269">
        <w:trPr>
          <w:jc w:val="center"/>
        </w:trPr>
        <w:tc>
          <w:tcPr>
            <w:tcW w:w="810" w:type="dxa"/>
            <w:tcBorders>
              <w:left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55-64</w:t>
            </w:r>
          </w:p>
        </w:tc>
        <w:tc>
          <w:tcPr>
            <w:tcW w:w="720" w:type="dxa"/>
            <w:vAlign w:val="center"/>
          </w:tcPr>
          <w:p w:rsidR="00CB6269" w:rsidRPr="00CB6269" w:rsidRDefault="00CB6269" w:rsidP="00CB6269">
            <w:pPr>
              <w:jc w:val="center"/>
              <w:rPr>
                <w:sz w:val="22"/>
                <w:szCs w:val="22"/>
              </w:rPr>
            </w:pPr>
            <w:r w:rsidRPr="00CB6269">
              <w:rPr>
                <w:sz w:val="22"/>
                <w:szCs w:val="22"/>
              </w:rPr>
              <w:t>0.93</w:t>
            </w:r>
          </w:p>
        </w:tc>
        <w:tc>
          <w:tcPr>
            <w:tcW w:w="810" w:type="dxa"/>
            <w:vAlign w:val="center"/>
          </w:tcPr>
          <w:p w:rsidR="00CB6269" w:rsidRPr="00CB6269" w:rsidRDefault="00CB6269" w:rsidP="00CB6269">
            <w:pPr>
              <w:jc w:val="center"/>
              <w:rPr>
                <w:sz w:val="22"/>
                <w:szCs w:val="22"/>
              </w:rPr>
            </w:pPr>
            <w:r w:rsidRPr="00CB6269">
              <w:rPr>
                <w:sz w:val="22"/>
                <w:szCs w:val="22"/>
              </w:rPr>
              <w:t>0.92</w:t>
            </w:r>
          </w:p>
        </w:tc>
        <w:tc>
          <w:tcPr>
            <w:tcW w:w="810" w:type="dxa"/>
            <w:vAlign w:val="center"/>
          </w:tcPr>
          <w:p w:rsidR="00CB6269" w:rsidRPr="00CB6269" w:rsidRDefault="00CB6269" w:rsidP="00CB6269">
            <w:pPr>
              <w:jc w:val="center"/>
              <w:rPr>
                <w:sz w:val="22"/>
                <w:szCs w:val="22"/>
              </w:rPr>
            </w:pPr>
            <w:r w:rsidRPr="00CB6269">
              <w:rPr>
                <w:sz w:val="22"/>
                <w:szCs w:val="22"/>
              </w:rPr>
              <w:t>0.95</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0.93</w:t>
            </w:r>
          </w:p>
        </w:tc>
        <w:tc>
          <w:tcPr>
            <w:tcW w:w="810" w:type="dxa"/>
            <w:vAlign w:val="center"/>
          </w:tcPr>
          <w:p w:rsidR="00CB6269" w:rsidRPr="00CB6269" w:rsidRDefault="00CB6269" w:rsidP="00CB6269">
            <w:pPr>
              <w:jc w:val="center"/>
              <w:rPr>
                <w:sz w:val="22"/>
                <w:szCs w:val="22"/>
              </w:rPr>
            </w:pPr>
            <w:r w:rsidRPr="00CB6269">
              <w:rPr>
                <w:sz w:val="22"/>
                <w:szCs w:val="22"/>
              </w:rPr>
              <w:t>0.96</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0.84</w:t>
            </w:r>
          </w:p>
        </w:tc>
        <w:tc>
          <w:tcPr>
            <w:tcW w:w="810" w:type="dxa"/>
            <w:vAlign w:val="center"/>
          </w:tcPr>
          <w:p w:rsidR="00CB6269" w:rsidRPr="00CB6269" w:rsidRDefault="00CB6269" w:rsidP="00CB6269">
            <w:pPr>
              <w:jc w:val="center"/>
              <w:rPr>
                <w:sz w:val="22"/>
                <w:szCs w:val="22"/>
              </w:rPr>
            </w:pPr>
            <w:r w:rsidRPr="00CB6269">
              <w:rPr>
                <w:sz w:val="22"/>
                <w:szCs w:val="22"/>
              </w:rPr>
              <w:t>0.89</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0.85</w:t>
            </w:r>
          </w:p>
        </w:tc>
        <w:tc>
          <w:tcPr>
            <w:tcW w:w="810" w:type="dxa"/>
            <w:vAlign w:val="center"/>
          </w:tcPr>
          <w:p w:rsidR="00CB6269" w:rsidRPr="00CB6269" w:rsidRDefault="00CB6269" w:rsidP="00CB6269">
            <w:pPr>
              <w:jc w:val="center"/>
              <w:rPr>
                <w:sz w:val="22"/>
                <w:szCs w:val="22"/>
              </w:rPr>
            </w:pPr>
            <w:r w:rsidRPr="00CB6269">
              <w:rPr>
                <w:sz w:val="22"/>
                <w:szCs w:val="22"/>
              </w:rPr>
              <w:t>0.87</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0.75</w:t>
            </w:r>
          </w:p>
        </w:tc>
        <w:tc>
          <w:tcPr>
            <w:tcW w:w="810" w:type="dxa"/>
            <w:tcBorders>
              <w:right w:val="single" w:sz="6" w:space="0" w:color="000000"/>
            </w:tcBorders>
            <w:vAlign w:val="center"/>
          </w:tcPr>
          <w:p w:rsidR="00CB6269" w:rsidRPr="00CB6269" w:rsidRDefault="00CB6269" w:rsidP="00CB6269">
            <w:pPr>
              <w:jc w:val="center"/>
              <w:rPr>
                <w:sz w:val="22"/>
                <w:szCs w:val="22"/>
              </w:rPr>
            </w:pPr>
            <w:r w:rsidRPr="00CB6269">
              <w:rPr>
                <w:sz w:val="22"/>
                <w:szCs w:val="22"/>
              </w:rPr>
              <w:t>0.84</w:t>
            </w:r>
          </w:p>
        </w:tc>
      </w:tr>
      <w:tr w:rsidR="00CB6269" w:rsidRPr="00CB6269" w:rsidTr="00CB6269">
        <w:trPr>
          <w:jc w:val="center"/>
        </w:trPr>
        <w:tc>
          <w:tcPr>
            <w:tcW w:w="810" w:type="dxa"/>
            <w:tcBorders>
              <w:left w:val="single" w:sz="6" w:space="0" w:color="000000"/>
              <w:bottom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65+</w:t>
            </w:r>
          </w:p>
        </w:tc>
        <w:tc>
          <w:tcPr>
            <w:tcW w:w="72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0.96</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0.95</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0.97</w:t>
            </w:r>
          </w:p>
        </w:tc>
        <w:tc>
          <w:tcPr>
            <w:tcW w:w="810" w:type="dxa"/>
            <w:tcBorders>
              <w:left w:val="single" w:sz="6" w:space="0" w:color="000000"/>
              <w:bottom w:val="single" w:sz="6" w:space="0" w:color="000000"/>
            </w:tcBorders>
            <w:vAlign w:val="center"/>
          </w:tcPr>
          <w:p w:rsidR="00CB6269" w:rsidRPr="00CB6269" w:rsidRDefault="00CB6269" w:rsidP="00CB6269">
            <w:pPr>
              <w:jc w:val="center"/>
              <w:rPr>
                <w:sz w:val="22"/>
                <w:szCs w:val="22"/>
              </w:rPr>
            </w:pPr>
            <w:r w:rsidRPr="00CB6269">
              <w:rPr>
                <w:sz w:val="22"/>
                <w:szCs w:val="22"/>
              </w:rPr>
              <w:t>0.96</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0.98</w:t>
            </w:r>
          </w:p>
        </w:tc>
        <w:tc>
          <w:tcPr>
            <w:tcW w:w="810" w:type="dxa"/>
            <w:tcBorders>
              <w:left w:val="single" w:sz="6" w:space="0" w:color="000000"/>
              <w:bottom w:val="single" w:sz="6" w:space="0" w:color="000000"/>
            </w:tcBorders>
            <w:vAlign w:val="center"/>
          </w:tcPr>
          <w:p w:rsidR="00CB6269" w:rsidRPr="00CB6269" w:rsidRDefault="00CB6269" w:rsidP="00CB6269">
            <w:pPr>
              <w:jc w:val="center"/>
              <w:rPr>
                <w:sz w:val="22"/>
                <w:szCs w:val="22"/>
              </w:rPr>
            </w:pPr>
            <w:r w:rsidRPr="00CB6269">
              <w:rPr>
                <w:sz w:val="22"/>
                <w:szCs w:val="22"/>
              </w:rPr>
              <w:t>0.91</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0.97</w:t>
            </w:r>
          </w:p>
        </w:tc>
        <w:tc>
          <w:tcPr>
            <w:tcW w:w="810" w:type="dxa"/>
            <w:tcBorders>
              <w:left w:val="single" w:sz="6" w:space="0" w:color="000000"/>
              <w:bottom w:val="single" w:sz="6" w:space="0" w:color="000000"/>
            </w:tcBorders>
            <w:vAlign w:val="center"/>
          </w:tcPr>
          <w:p w:rsidR="00CB6269" w:rsidRPr="00CB6269" w:rsidRDefault="00CB6269" w:rsidP="00CB6269">
            <w:pPr>
              <w:jc w:val="center"/>
              <w:rPr>
                <w:sz w:val="22"/>
                <w:szCs w:val="22"/>
              </w:rPr>
            </w:pPr>
            <w:r w:rsidRPr="00CB6269">
              <w:rPr>
                <w:sz w:val="22"/>
                <w:szCs w:val="22"/>
              </w:rPr>
              <w:t>0.86</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0.79</w:t>
            </w:r>
          </w:p>
        </w:tc>
        <w:tc>
          <w:tcPr>
            <w:tcW w:w="810" w:type="dxa"/>
            <w:tcBorders>
              <w:left w:val="single" w:sz="6" w:space="0" w:color="000000"/>
              <w:bottom w:val="single" w:sz="6" w:space="0" w:color="000000"/>
            </w:tcBorders>
            <w:vAlign w:val="center"/>
          </w:tcPr>
          <w:p w:rsidR="00CB6269" w:rsidRPr="00CB6269" w:rsidRDefault="00CB6269" w:rsidP="00CB6269">
            <w:pPr>
              <w:jc w:val="center"/>
              <w:rPr>
                <w:sz w:val="22"/>
                <w:szCs w:val="22"/>
              </w:rPr>
            </w:pPr>
            <w:r w:rsidRPr="00CB6269">
              <w:rPr>
                <w:sz w:val="22"/>
                <w:szCs w:val="22"/>
              </w:rPr>
              <w:t>0.85</w:t>
            </w:r>
          </w:p>
        </w:tc>
        <w:tc>
          <w:tcPr>
            <w:tcW w:w="810" w:type="dxa"/>
            <w:tcBorders>
              <w:bottom w:val="single" w:sz="6" w:space="0" w:color="000000"/>
              <w:right w:val="single" w:sz="6" w:space="0" w:color="000000"/>
            </w:tcBorders>
            <w:vAlign w:val="center"/>
          </w:tcPr>
          <w:p w:rsidR="00CB6269" w:rsidRPr="00CB6269" w:rsidRDefault="00CB6269" w:rsidP="00CB6269">
            <w:pPr>
              <w:jc w:val="center"/>
              <w:rPr>
                <w:sz w:val="22"/>
                <w:szCs w:val="22"/>
              </w:rPr>
            </w:pPr>
            <w:r w:rsidRPr="00CB6269">
              <w:rPr>
                <w:sz w:val="22"/>
                <w:szCs w:val="22"/>
              </w:rPr>
              <w:t>0.82</w:t>
            </w:r>
          </w:p>
        </w:tc>
      </w:tr>
      <w:tr w:rsidR="00CB6269" w:rsidRPr="00CB6269" w:rsidTr="00CB6269">
        <w:trPr>
          <w:jc w:val="center"/>
        </w:trPr>
        <w:tc>
          <w:tcPr>
            <w:tcW w:w="810" w:type="dxa"/>
            <w:tcBorders>
              <w:left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15+</w:t>
            </w:r>
          </w:p>
        </w:tc>
        <w:tc>
          <w:tcPr>
            <w:tcW w:w="720" w:type="dxa"/>
            <w:vAlign w:val="center"/>
          </w:tcPr>
          <w:p w:rsidR="00CB6269" w:rsidRPr="00CB6269" w:rsidRDefault="00CB6269" w:rsidP="00CB6269">
            <w:pPr>
              <w:jc w:val="center"/>
              <w:rPr>
                <w:sz w:val="22"/>
                <w:szCs w:val="22"/>
              </w:rPr>
            </w:pPr>
            <w:r w:rsidRPr="00CB6269">
              <w:rPr>
                <w:sz w:val="22"/>
                <w:szCs w:val="22"/>
              </w:rPr>
              <w:t>0.89</w:t>
            </w:r>
          </w:p>
        </w:tc>
        <w:tc>
          <w:tcPr>
            <w:tcW w:w="810" w:type="dxa"/>
            <w:vAlign w:val="center"/>
          </w:tcPr>
          <w:p w:rsidR="00CB6269" w:rsidRPr="00CB6269" w:rsidRDefault="00CB6269" w:rsidP="00CB6269">
            <w:pPr>
              <w:jc w:val="center"/>
              <w:rPr>
                <w:sz w:val="22"/>
                <w:szCs w:val="22"/>
              </w:rPr>
            </w:pPr>
            <w:r w:rsidRPr="00CB6269">
              <w:rPr>
                <w:sz w:val="22"/>
                <w:szCs w:val="22"/>
              </w:rPr>
              <w:t>0.87</w:t>
            </w:r>
          </w:p>
        </w:tc>
        <w:tc>
          <w:tcPr>
            <w:tcW w:w="810" w:type="dxa"/>
            <w:vAlign w:val="center"/>
          </w:tcPr>
          <w:p w:rsidR="00CB6269" w:rsidRPr="00CB6269" w:rsidRDefault="00CB6269" w:rsidP="00CB6269">
            <w:pPr>
              <w:jc w:val="center"/>
              <w:rPr>
                <w:sz w:val="22"/>
                <w:szCs w:val="22"/>
              </w:rPr>
            </w:pPr>
            <w:r w:rsidRPr="00CB6269">
              <w:rPr>
                <w:sz w:val="22"/>
                <w:szCs w:val="22"/>
              </w:rPr>
              <w:t>0.91</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0.90</w:t>
            </w:r>
          </w:p>
        </w:tc>
        <w:tc>
          <w:tcPr>
            <w:tcW w:w="810" w:type="dxa"/>
            <w:vAlign w:val="center"/>
          </w:tcPr>
          <w:p w:rsidR="00CB6269" w:rsidRPr="00CB6269" w:rsidRDefault="00CB6269" w:rsidP="00CB6269">
            <w:pPr>
              <w:jc w:val="center"/>
              <w:rPr>
                <w:sz w:val="22"/>
                <w:szCs w:val="22"/>
              </w:rPr>
            </w:pPr>
            <w:r w:rsidRPr="00CB6269">
              <w:rPr>
                <w:sz w:val="22"/>
                <w:szCs w:val="22"/>
              </w:rPr>
              <w:t>0.94</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0.77</w:t>
            </w:r>
          </w:p>
        </w:tc>
        <w:tc>
          <w:tcPr>
            <w:tcW w:w="810" w:type="dxa"/>
            <w:vAlign w:val="center"/>
          </w:tcPr>
          <w:p w:rsidR="00CB6269" w:rsidRPr="00CB6269" w:rsidRDefault="00CB6269" w:rsidP="00CB6269">
            <w:pPr>
              <w:jc w:val="center"/>
              <w:rPr>
                <w:sz w:val="22"/>
                <w:szCs w:val="22"/>
              </w:rPr>
            </w:pPr>
            <w:r w:rsidRPr="00CB6269">
              <w:rPr>
                <w:sz w:val="22"/>
                <w:szCs w:val="22"/>
              </w:rPr>
              <w:t>0.83</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0.79</w:t>
            </w:r>
          </w:p>
        </w:tc>
        <w:tc>
          <w:tcPr>
            <w:tcW w:w="810" w:type="dxa"/>
            <w:vAlign w:val="center"/>
          </w:tcPr>
          <w:p w:rsidR="00CB6269" w:rsidRPr="00CB6269" w:rsidRDefault="00CB6269" w:rsidP="00CB6269">
            <w:pPr>
              <w:jc w:val="center"/>
              <w:rPr>
                <w:sz w:val="22"/>
                <w:szCs w:val="22"/>
              </w:rPr>
            </w:pPr>
            <w:r w:rsidRPr="00CB6269">
              <w:rPr>
                <w:sz w:val="22"/>
                <w:szCs w:val="22"/>
              </w:rPr>
              <w:t>0.79</w:t>
            </w:r>
          </w:p>
        </w:tc>
        <w:tc>
          <w:tcPr>
            <w:tcW w:w="810" w:type="dxa"/>
            <w:tcBorders>
              <w:left w:val="single" w:sz="6" w:space="0" w:color="000000"/>
            </w:tcBorders>
            <w:vAlign w:val="center"/>
          </w:tcPr>
          <w:p w:rsidR="00CB6269" w:rsidRPr="00CB6269" w:rsidRDefault="00CB6269" w:rsidP="00CB6269">
            <w:pPr>
              <w:jc w:val="center"/>
              <w:rPr>
                <w:sz w:val="22"/>
                <w:szCs w:val="22"/>
              </w:rPr>
            </w:pPr>
            <w:r w:rsidRPr="00CB6269">
              <w:rPr>
                <w:sz w:val="22"/>
                <w:szCs w:val="22"/>
              </w:rPr>
              <w:t>0.78</w:t>
            </w:r>
          </w:p>
        </w:tc>
        <w:tc>
          <w:tcPr>
            <w:tcW w:w="810" w:type="dxa"/>
            <w:tcBorders>
              <w:right w:val="single" w:sz="6" w:space="0" w:color="000000"/>
            </w:tcBorders>
            <w:vAlign w:val="center"/>
          </w:tcPr>
          <w:p w:rsidR="00CB6269" w:rsidRPr="00CB6269" w:rsidRDefault="00CB6269" w:rsidP="00CB6269">
            <w:pPr>
              <w:jc w:val="center"/>
              <w:rPr>
                <w:sz w:val="22"/>
                <w:szCs w:val="22"/>
              </w:rPr>
            </w:pPr>
            <w:r w:rsidRPr="00CB6269">
              <w:rPr>
                <w:sz w:val="22"/>
                <w:szCs w:val="22"/>
              </w:rPr>
              <w:t>0.85</w:t>
            </w:r>
          </w:p>
        </w:tc>
      </w:tr>
      <w:tr w:rsidR="00CB6269" w:rsidRPr="00CB6269" w:rsidTr="00CB6269">
        <w:trPr>
          <w:jc w:val="center"/>
        </w:trPr>
        <w:tc>
          <w:tcPr>
            <w:tcW w:w="810" w:type="dxa"/>
            <w:tcBorders>
              <w:left w:val="single" w:sz="6" w:space="0" w:color="000000"/>
              <w:bottom w:val="single" w:sz="6" w:space="0" w:color="000000"/>
              <w:right w:val="single" w:sz="6" w:space="0" w:color="000000"/>
            </w:tcBorders>
            <w:shd w:val="clear" w:color="auto" w:fill="CCCCCC"/>
            <w:vAlign w:val="center"/>
          </w:tcPr>
          <w:p w:rsidR="00CB6269" w:rsidRDefault="00CB6269" w:rsidP="00CB6269">
            <w:pPr>
              <w:tabs>
                <w:tab w:val="left" w:pos="0"/>
                <w:tab w:val="left" w:pos="720"/>
              </w:tabs>
              <w:spacing w:after="3"/>
              <w:jc w:val="center"/>
            </w:pPr>
            <w:r>
              <w:rPr>
                <w:b/>
                <w:bCs/>
                <w:sz w:val="22"/>
                <w:szCs w:val="22"/>
              </w:rPr>
              <w:t>0+</w:t>
            </w:r>
          </w:p>
        </w:tc>
        <w:tc>
          <w:tcPr>
            <w:tcW w:w="72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0.89</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0.88</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0.90</w:t>
            </w:r>
          </w:p>
        </w:tc>
        <w:tc>
          <w:tcPr>
            <w:tcW w:w="810" w:type="dxa"/>
            <w:tcBorders>
              <w:left w:val="single" w:sz="6" w:space="0" w:color="000000"/>
              <w:bottom w:val="single" w:sz="6" w:space="0" w:color="000000"/>
            </w:tcBorders>
            <w:vAlign w:val="center"/>
          </w:tcPr>
          <w:p w:rsidR="00CB6269" w:rsidRPr="00CB6269" w:rsidRDefault="00CB6269" w:rsidP="00CB6269">
            <w:pPr>
              <w:jc w:val="center"/>
              <w:rPr>
                <w:sz w:val="22"/>
                <w:szCs w:val="22"/>
              </w:rPr>
            </w:pPr>
            <w:r w:rsidRPr="00CB6269">
              <w:rPr>
                <w:sz w:val="22"/>
                <w:szCs w:val="22"/>
              </w:rPr>
              <w:t>0.90</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0.93</w:t>
            </w:r>
          </w:p>
        </w:tc>
        <w:tc>
          <w:tcPr>
            <w:tcW w:w="810" w:type="dxa"/>
            <w:tcBorders>
              <w:left w:val="single" w:sz="6" w:space="0" w:color="000000"/>
              <w:bottom w:val="single" w:sz="6" w:space="0" w:color="000000"/>
            </w:tcBorders>
            <w:vAlign w:val="center"/>
          </w:tcPr>
          <w:p w:rsidR="00CB6269" w:rsidRPr="00CB6269" w:rsidRDefault="00CB6269" w:rsidP="00CB6269">
            <w:pPr>
              <w:jc w:val="center"/>
              <w:rPr>
                <w:sz w:val="22"/>
                <w:szCs w:val="22"/>
              </w:rPr>
            </w:pPr>
            <w:r w:rsidRPr="00CB6269">
              <w:rPr>
                <w:sz w:val="22"/>
                <w:szCs w:val="22"/>
              </w:rPr>
              <w:t>0.77</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0.81</w:t>
            </w:r>
          </w:p>
        </w:tc>
        <w:tc>
          <w:tcPr>
            <w:tcW w:w="810" w:type="dxa"/>
            <w:tcBorders>
              <w:left w:val="single" w:sz="6" w:space="0" w:color="000000"/>
              <w:bottom w:val="single" w:sz="6" w:space="0" w:color="000000"/>
            </w:tcBorders>
            <w:vAlign w:val="center"/>
          </w:tcPr>
          <w:p w:rsidR="00CB6269" w:rsidRPr="00CB6269" w:rsidRDefault="00CB6269" w:rsidP="00CB6269">
            <w:pPr>
              <w:jc w:val="center"/>
              <w:rPr>
                <w:sz w:val="22"/>
                <w:szCs w:val="22"/>
              </w:rPr>
            </w:pPr>
            <w:r w:rsidRPr="00CB6269">
              <w:rPr>
                <w:sz w:val="22"/>
                <w:szCs w:val="22"/>
              </w:rPr>
              <w:t>0.80</w:t>
            </w:r>
          </w:p>
        </w:tc>
        <w:tc>
          <w:tcPr>
            <w:tcW w:w="810" w:type="dxa"/>
            <w:tcBorders>
              <w:bottom w:val="single" w:sz="6" w:space="0" w:color="000000"/>
            </w:tcBorders>
            <w:vAlign w:val="center"/>
          </w:tcPr>
          <w:p w:rsidR="00CB6269" w:rsidRPr="00CB6269" w:rsidRDefault="00CB6269" w:rsidP="00CB6269">
            <w:pPr>
              <w:jc w:val="center"/>
              <w:rPr>
                <w:sz w:val="22"/>
                <w:szCs w:val="22"/>
              </w:rPr>
            </w:pPr>
            <w:r w:rsidRPr="00CB6269">
              <w:rPr>
                <w:sz w:val="22"/>
                <w:szCs w:val="22"/>
              </w:rPr>
              <w:t>0.80</w:t>
            </w:r>
          </w:p>
        </w:tc>
        <w:tc>
          <w:tcPr>
            <w:tcW w:w="810" w:type="dxa"/>
            <w:tcBorders>
              <w:left w:val="single" w:sz="6" w:space="0" w:color="000000"/>
              <w:bottom w:val="single" w:sz="6" w:space="0" w:color="000000"/>
            </w:tcBorders>
            <w:vAlign w:val="center"/>
          </w:tcPr>
          <w:p w:rsidR="00CB6269" w:rsidRPr="00CB6269" w:rsidRDefault="00CB6269" w:rsidP="00CB6269">
            <w:pPr>
              <w:jc w:val="center"/>
              <w:rPr>
                <w:sz w:val="22"/>
                <w:szCs w:val="22"/>
              </w:rPr>
            </w:pPr>
            <w:r w:rsidRPr="00CB6269">
              <w:rPr>
                <w:sz w:val="22"/>
                <w:szCs w:val="22"/>
              </w:rPr>
              <w:t>0.80</w:t>
            </w:r>
          </w:p>
        </w:tc>
        <w:tc>
          <w:tcPr>
            <w:tcW w:w="810" w:type="dxa"/>
            <w:tcBorders>
              <w:bottom w:val="single" w:sz="6" w:space="0" w:color="000000"/>
              <w:right w:val="single" w:sz="6" w:space="0" w:color="000000"/>
            </w:tcBorders>
            <w:vAlign w:val="center"/>
          </w:tcPr>
          <w:p w:rsidR="00CB6269" w:rsidRPr="00CB6269" w:rsidRDefault="00CB6269" w:rsidP="00CB6269">
            <w:pPr>
              <w:jc w:val="center"/>
              <w:rPr>
                <w:sz w:val="22"/>
                <w:szCs w:val="22"/>
              </w:rPr>
            </w:pPr>
            <w:r w:rsidRPr="00CB6269">
              <w:rPr>
                <w:sz w:val="22"/>
                <w:szCs w:val="22"/>
              </w:rPr>
              <w:t>0.85</w:t>
            </w:r>
          </w:p>
        </w:tc>
      </w:tr>
    </w:tbl>
    <w:p w:rsidR="000377E3" w:rsidRDefault="000377E3" w:rsidP="00037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p>
    <w:p w:rsidR="000377E3" w:rsidRDefault="000377E3" w:rsidP="00037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Pr>
          <w:sz w:val="22"/>
          <w:szCs w:val="22"/>
        </w:rPr>
        <w:t>Notes:</w:t>
      </w:r>
      <w:r>
        <w:rPr>
          <w:sz w:val="22"/>
          <w:szCs w:val="22"/>
        </w:rPr>
        <w:tab/>
        <w:t xml:space="preserve">(1)  The Residual race group includes cases indicating a single race other than White or Black,        </w:t>
      </w:r>
    </w:p>
    <w:p w:rsidR="000377E3" w:rsidRDefault="000377E3" w:rsidP="00037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Pr>
          <w:sz w:val="22"/>
          <w:szCs w:val="22"/>
        </w:rPr>
        <w:t xml:space="preserve">                    and cases indicating two or more races.</w:t>
      </w:r>
    </w:p>
    <w:p w:rsidR="000377E3" w:rsidRDefault="000377E3" w:rsidP="000377E3">
      <w:pPr>
        <w:numPr>
          <w:ilvl w:val="0"/>
          <w:numId w:val="6"/>
        </w:numPr>
        <w:rPr>
          <w:sz w:val="22"/>
        </w:rPr>
      </w:pPr>
      <w:r>
        <w:rPr>
          <w:sz w:val="22"/>
          <w:szCs w:val="22"/>
        </w:rPr>
        <w:t xml:space="preserve">Hispanics may be any race.  </w:t>
      </w:r>
      <w:r>
        <w:rPr>
          <w:sz w:val="22"/>
        </w:rPr>
        <w:t xml:space="preserve">For a more detailed discussion on the use of parameters for     </w:t>
      </w:r>
    </w:p>
    <w:p w:rsidR="000377E3" w:rsidRDefault="000377E3" w:rsidP="000377E3">
      <w:pPr>
        <w:ind w:left="720" w:firstLine="375"/>
        <w:rPr>
          <w:sz w:val="22"/>
          <w:lang w:val="en-CA"/>
        </w:rPr>
      </w:pPr>
      <w:r>
        <w:rPr>
          <w:sz w:val="22"/>
        </w:rPr>
        <w:t>race and ethnicity, please see the “Generalized Variance Parameters” section.</w:t>
      </w:r>
    </w:p>
    <w:p w:rsidR="000377E3" w:rsidRDefault="000377E3" w:rsidP="000377E3">
      <w:pPr>
        <w:rPr>
          <w:lang w:val="en-CA"/>
        </w:rPr>
      </w:pPr>
    </w:p>
    <w:p w:rsidR="000377E3" w:rsidRDefault="000377E3" w:rsidP="000377E3">
      <w:r>
        <w:rPr>
          <w:lang w:val="en-CA"/>
        </w:rPr>
        <w:fldChar w:fldCharType="begin"/>
      </w:r>
      <w:r>
        <w:rPr>
          <w:lang w:val="en-CA"/>
        </w:rPr>
        <w:instrText xml:space="preserve"> SEQ CHAPTER \h \r 1</w:instrText>
      </w:r>
      <w:r>
        <w:rPr>
          <w:lang w:val="en-CA"/>
        </w:rPr>
        <w:fldChar w:fldCharType="end"/>
      </w:r>
      <w:r>
        <w:rPr>
          <w:b/>
          <w:bCs/>
          <w:u w:val="single"/>
        </w:rPr>
        <w:t>Comparability of Data</w:t>
      </w:r>
      <w:r>
        <w:fldChar w:fldCharType="begin"/>
      </w:r>
      <w:r>
        <w:instrText xml:space="preserve"> TC "</w:instrText>
      </w:r>
      <w:bookmarkStart w:id="2" w:name="_Toc75154072"/>
      <w:r>
        <w:instrText>Comparability of Data</w:instrText>
      </w:r>
      <w:bookmarkEnd w:id="2"/>
      <w:r>
        <w:instrText xml:space="preserve">" \f C \l "2" </w:instrText>
      </w:r>
      <w:r>
        <w:fldChar w:fldCharType="end"/>
      </w:r>
      <w:r>
        <w:t>.  Data obtained from the CPS and other sources are not entirely comparable.  This results from differences in interviewer training and experience and in differing survey processes.  This is an example of nonsampling variability not reflected in the standard errors.  Therefore, caution should be used when comparing results from different sources.</w:t>
      </w:r>
    </w:p>
    <w:p w:rsidR="000377E3" w:rsidRDefault="000377E3" w:rsidP="00037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377E3" w:rsidRDefault="006829B6" w:rsidP="000377E3">
      <w:r>
        <w:t xml:space="preserve">Data users should be careful when comparing the data from this microdata file, which reflects Census </w:t>
      </w:r>
      <w:r w:rsidRPr="006829B6">
        <w:t xml:space="preserve">2010-based controls, with microdata files from January 2003 through December 2011, which reflect 2000 </w:t>
      </w:r>
      <w:r>
        <w:t>census-based controls.</w:t>
      </w:r>
      <w:r w:rsidR="00834073">
        <w:t xml:space="preserve"> </w:t>
      </w:r>
      <w:r w:rsidR="000377E3">
        <w:t xml:space="preserve"> Ideally, the same population controls should be used when comparing any estimates.  In reality, the use of the same population controls is not practical when comparing trend data over a period of 10 to 20 years.  Thus, when it is necessary to combine or compare data based on different controls or different designs, data users should be aware that changes in weighting controls or weighting procedures can create small differences between estimates.  See the discussion following for information on comparing estimates derived from different controls or different sample designs.  </w:t>
      </w:r>
    </w:p>
    <w:p w:rsidR="000377E3" w:rsidRDefault="000377E3" w:rsidP="000377E3"/>
    <w:p w:rsidR="000377E3" w:rsidRDefault="000377E3" w:rsidP="000377E3">
      <w:r>
        <w:t xml:space="preserve">Microdata files from previous years reflect the latest available census-based controls.  Although the most recent change in population controls had relatively little impact on summary measures such as averages, medians, and percentage distributions, it did have a significant impact on </w:t>
      </w:r>
      <w:r>
        <w:lastRenderedPageBreak/>
        <w:t>levels.  For example, use of Census 20</w:t>
      </w:r>
      <w:r w:rsidR="00C43FAE">
        <w:t>1</w:t>
      </w:r>
      <w:r>
        <w:t>0-bas</w:t>
      </w:r>
      <w:r w:rsidR="00C43FAE">
        <w:t>ed controls results in about a 0.2 percent increase from the 2000</w:t>
      </w:r>
      <w:r>
        <w:t xml:space="preserve"> census-based controls in the civilian noninstitutionalized population and in the number of families and households.  Thus, estimates of levels for data collected in </w:t>
      </w:r>
      <w:r w:rsidR="00C43FAE">
        <w:t>2012</w:t>
      </w:r>
      <w:r>
        <w:t xml:space="preserve"> and later years will differ from those for earlier years by more than what could be attributed to actual changes in the population.  These differences could be disproportionately greater for certain population subgroups than for the total population.  </w:t>
      </w:r>
    </w:p>
    <w:p w:rsidR="000377E3" w:rsidRDefault="000377E3" w:rsidP="000377E3"/>
    <w:p w:rsidR="000377E3" w:rsidRDefault="000377E3" w:rsidP="00037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Users should also exercise caution because of changes caused by</w:t>
      </w:r>
      <w:r w:rsidR="00DD645B">
        <w:t xml:space="preserve"> the phase-in of the Census 2010</w:t>
      </w:r>
      <w:r>
        <w:t xml:space="preserve"> files (see “Basic CPS”).</w:t>
      </w:r>
      <w:r w:rsidR="00AE03BF">
        <w:rPr>
          <w:rStyle w:val="FootnoteReference"/>
        </w:rPr>
        <w:footnoteReference w:id="4"/>
      </w:r>
      <w:r>
        <w:t xml:space="preserve">  During this time period, CPS data were collected from sample designs bas</w:t>
      </w:r>
      <w:r w:rsidR="00DD645B">
        <w:t>ed on different censuses.  Two</w:t>
      </w:r>
      <w:r>
        <w:t xml:space="preserve"> features of the new CPS design have the potential of affecting published estimates: (1) the temporary disruption of the </w:t>
      </w:r>
      <w:r w:rsidR="00DD645B">
        <w:t>rotation pattern from August 2014 through June 201</w:t>
      </w:r>
      <w:r>
        <w:t>5 for a comparatively small portion of the sample,</w:t>
      </w:r>
      <w:r w:rsidR="00DD645B">
        <w:t xml:space="preserve"> and (2) the change in sample areas</w:t>
      </w:r>
      <w:r>
        <w:t xml:space="preserve">.  Most of the known effect on estimates during and after the sample redesign will be the result of changing from 2000 </w:t>
      </w:r>
      <w:r w:rsidR="00DD645B">
        <w:t xml:space="preserve">to 2010 </w:t>
      </w:r>
      <w:r>
        <w:t>geographic definitions.  Research has shown that the national-level estimates of the metropolitan and nonmetropolitan populations should not change appreciably because of the new sample design.  However, users should still exercise caution when comparing metropolitan and nonmetropolitan estimates across years with a design change, especially at the state level.</w:t>
      </w:r>
    </w:p>
    <w:p w:rsidR="000377E3" w:rsidRDefault="000377E3" w:rsidP="00037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0377E3" w:rsidRDefault="000377E3" w:rsidP="00037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Caution should also be used when comparing Hispanic estimates over time.  No independent population control totals for people of Hispanic origin were used before 1985.  </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rPr>
          <w:b/>
          <w:bCs/>
          <w:u w:val="single"/>
        </w:rPr>
        <w:t>A Nonsampling Error Warning</w:t>
      </w:r>
      <w:r>
        <w:t xml:space="preserve">.  Since the full extent of the nonsampling error is unknown, one should be particularly careful when interpreting results based on small differences between estimates.  The Census Bureau recommends that data users incorporate information about nonsampling errors into their analyses, as nonsampling error could impact the conclusions drawn from the results.  Caution should also be used when interpreting results based on a relatively small number of cases.  Summary measures (such as medians and percentage distributions) probably do not reveal useful information when computed on a subpopulation smaller than 75,000.  </w:t>
      </w:r>
    </w:p>
    <w:p w:rsidR="000377E3" w:rsidRDefault="000377E3" w:rsidP="000377E3"/>
    <w:p w:rsidR="000377E3" w:rsidRDefault="000377E3" w:rsidP="000377E3">
      <w:pPr>
        <w:pStyle w:val="Header"/>
        <w:keepLines/>
        <w:tabs>
          <w:tab w:val="clear" w:pos="4320"/>
          <w:tab w:val="clear" w:pos="8640"/>
        </w:tabs>
      </w:pPr>
      <w:r>
        <w:t xml:space="preserve">For additional information on nonsampling error including the possible impact on CPS </w:t>
      </w:r>
    </w:p>
    <w:p w:rsidR="000377E3" w:rsidRDefault="000377E3" w:rsidP="000377E3">
      <w:pPr>
        <w:keepLines/>
      </w:pPr>
      <w:r>
        <w:t>data when known, refer to references [2] and [3].</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rPr>
          <w:b/>
          <w:bCs/>
          <w:u w:val="single"/>
        </w:rPr>
        <w:t>Standard Errors and Their Use</w:t>
      </w:r>
      <w:r>
        <w:t xml:space="preserve">.  </w:t>
      </w:r>
      <w:r>
        <w:rPr>
          <w:lang w:val="en-CA"/>
        </w:rPr>
        <w:fldChar w:fldCharType="begin"/>
      </w:r>
      <w:r>
        <w:rPr>
          <w:lang w:val="en-CA"/>
        </w:rPr>
        <w:instrText xml:space="preserve"> SEQ CHAPTER \h \r 1</w:instrText>
      </w:r>
      <w:r>
        <w:rPr>
          <w:lang w:val="en-CA"/>
        </w:rPr>
        <w:fldChar w:fldCharType="end"/>
      </w:r>
      <w:r>
        <w:t>The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intervals from 1.645 standard errors below the estimate to 1.645 standard errors above the estimate would include the average result of all possible samples.</w:t>
      </w:r>
    </w:p>
    <w:p w:rsidR="000377E3" w:rsidRDefault="000377E3" w:rsidP="000377E3"/>
    <w:p w:rsidR="000377E3" w:rsidRDefault="000377E3" w:rsidP="000377E3">
      <w:r>
        <w:rPr>
          <w:lang w:val="en-CA"/>
        </w:rPr>
        <w:lastRenderedPageBreak/>
        <w:fldChar w:fldCharType="begin"/>
      </w:r>
      <w:r>
        <w:rPr>
          <w:lang w:val="en-CA"/>
        </w:rPr>
        <w:instrText xml:space="preserve"> SEQ CHAPTER \h \r 1</w:instrText>
      </w:r>
      <w:r>
        <w:rPr>
          <w:lang w:val="en-CA"/>
        </w:rPr>
        <w:fldChar w:fldCharType="end"/>
      </w:r>
      <w:r>
        <w:t>A particular confidence interval may or may not contain the average estimate derived from all possible samples, but one can say with specified confidence that the interval includes the average estimate calculated from all possible samples.</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t xml:space="preserve">Standard errors may also be used to perform hypothesis testing, a procedure for distinguishing between population parameters using sample estimates.  The most common type of hypothesis is that the population parameters are different.  An example of this would be comparing the percentage of men who were part-time workers to the percentage of women who were part-time workers.  </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t>Tests may be performed at various levels of significance.  A significance level is the probability of concluding that the characteristics are different when, in fact, they are the same.  For example, to conclude that two characteristics are different at the 0.10 level of significance, the absolute value of the estimated difference between characteristics must be greater than or equal to 1.645 times the standard error of the difference.</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t>The Census Bureau uses 90-percent confidence intervals and 0.10 levels of significance to determine statistical validity.  Consult standard statistical textbooks for alternative criteria.</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rPr>
          <w:b/>
          <w:bCs/>
          <w:u w:val="single"/>
        </w:rPr>
        <w:t>Estimating Standard Errors</w:t>
      </w:r>
      <w:r>
        <w:t>.</w:t>
      </w:r>
      <w:r>
        <w:rPr>
          <w:b/>
          <w:bCs/>
        </w:rPr>
        <w:t xml:space="preserve">  </w:t>
      </w:r>
      <w:r>
        <w:t xml:space="preserve">The Census Bureau uses replication methods to estimate the standard errors of CPS estimates.  These methods primarily measure the magnitude of sampling error.  However, they do measure some effects of nonsampling error as well.  They do not measure systematic biases in the data associated with nonsampling error.  Bias is the average over all possible samples of the differences between the sample estimates and the true value.  </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rPr>
          <w:b/>
          <w:bCs/>
          <w:u w:val="single"/>
        </w:rPr>
        <w:t>Generalized Variance Parameters</w:t>
      </w:r>
      <w:r>
        <w:t>.</w:t>
      </w:r>
      <w:r>
        <w:rPr>
          <w:b/>
          <w:bCs/>
        </w:rPr>
        <w:t xml:space="preserve"> </w:t>
      </w:r>
      <w:r>
        <w:t xml:space="preserve"> While it is possible to compute and present an estimate of the standard error based on the survey data for each estimate in a report, there are a number of reasons why this is not done.  A presentation of the individual standard errors would be of limited use, since one could not possibly predict all of the combinations of results that may be of interest to data users.  Additionally, data users have access to CPS microdata files, and it is impossible to compute in advance the standard error for every estimate one might obtain from those data sets.  Moreover, variance estimates are based on sample data and have variances of their own.  Therefore, some methods of stabilizing these estimates of variance, for example, by generalizing or averaging over time, may be used to improve their reliability.  </w:t>
      </w:r>
    </w:p>
    <w:p w:rsidR="000377E3" w:rsidRDefault="000377E3" w:rsidP="000377E3"/>
    <w:p w:rsidR="000377E3" w:rsidRDefault="000377E3" w:rsidP="008B02F1">
      <w:r>
        <w:rPr>
          <w:lang w:val="en-CA"/>
        </w:rPr>
        <w:fldChar w:fldCharType="begin"/>
      </w:r>
      <w:r>
        <w:rPr>
          <w:lang w:val="en-CA"/>
        </w:rPr>
        <w:instrText xml:space="preserve"> SEQ CHAPTER \h \r 1</w:instrText>
      </w:r>
      <w:r>
        <w:rPr>
          <w:lang w:val="en-CA"/>
        </w:rPr>
        <w:fldChar w:fldCharType="end"/>
      </w:r>
      <w:r>
        <w:t xml:space="preserve">Experience has shown that certain groups of estimates have similar relationships between their variances and expected values.  Modeling or generalizing may provide more stable variance estimates by taking advantage of these similarities.  The generalized variance function is a simple model that expresses the variance as a function of the expected value of the survey estimate.  The parameters of the generalized variance function are estimated using direct replicate variances.  These generalized variance parameters provide a relatively easy method to obtain approximate standard errors for numerous characteristics.  In this source and accuracy statement, </w:t>
      </w:r>
      <w:r w:rsidRPr="008B02F1">
        <w:t>Table 3 provides</w:t>
      </w:r>
      <w:r>
        <w:t xml:space="preserve"> the generalized variance parame</w:t>
      </w:r>
      <w:r w:rsidR="008B02F1">
        <w:t xml:space="preserve">ters for labor force estimates </w:t>
      </w:r>
      <w:r>
        <w:t xml:space="preserve">and </w:t>
      </w:r>
      <w:r w:rsidR="008B02F1">
        <w:t>estimates from the January 2016 supplement.</w:t>
      </w:r>
    </w:p>
    <w:p w:rsidR="000377E3" w:rsidRDefault="000377E3" w:rsidP="000377E3"/>
    <w:p w:rsidR="000377E3" w:rsidRDefault="000377E3" w:rsidP="000377E3">
      <w:pPr>
        <w:pStyle w:val="BodyText2"/>
        <w:rPr>
          <w:color w:val="auto"/>
        </w:rPr>
      </w:pPr>
      <w:r>
        <w:rPr>
          <w:color w:val="auto"/>
        </w:rPr>
        <w:lastRenderedPageBreak/>
        <w:t>The basic CPS questionnaire records the race and ethnicity of each respondent.  With respect to race, a respondent can be White, Black, Asian, American Indian and Alaskan Native (AIAN), Native Hawaiian and Other Pacific Islander (NHOPI), or combinations of two or more of the preceding.  A respondent’s ethnicity can be Hispanic or non-Hispanic, regardless of race.</w:t>
      </w:r>
    </w:p>
    <w:p w:rsidR="000377E3" w:rsidRDefault="000377E3" w:rsidP="000377E3">
      <w:pPr>
        <w:autoSpaceDE w:val="0"/>
        <w:autoSpaceDN w:val="0"/>
        <w:adjustRightInd w:val="0"/>
        <w:rPr>
          <w:szCs w:val="20"/>
        </w:rPr>
      </w:pPr>
    </w:p>
    <w:p w:rsidR="000377E3" w:rsidRDefault="000377E3" w:rsidP="000377E3">
      <w:pPr>
        <w:autoSpaceDE w:val="0"/>
        <w:autoSpaceDN w:val="0"/>
        <w:adjustRightInd w:val="0"/>
        <w:rPr>
          <w:szCs w:val="20"/>
        </w:rPr>
      </w:pPr>
      <w:r>
        <w:rPr>
          <w:szCs w:val="20"/>
        </w:rPr>
        <w:t>The generalized variance parameters to use in computing standard errors are dependent upon the race/ethnicity group of interest.  The following table summarizes the relationship between the race/ethnicity group of interest and the generalized variance parameters to use in standard error calculations.</w:t>
      </w:r>
    </w:p>
    <w:p w:rsidR="000377E3" w:rsidRDefault="000377E3" w:rsidP="000377E3">
      <w:pPr>
        <w:autoSpaceDE w:val="0"/>
        <w:autoSpaceDN w:val="0"/>
        <w:adjustRightInd w:val="0"/>
        <w:rPr>
          <w:szCs w:val="20"/>
        </w:rPr>
      </w:pPr>
    </w:p>
    <w:tbl>
      <w:tblPr>
        <w:tblW w:w="9662" w:type="dxa"/>
        <w:jc w:val="center"/>
        <w:tblLayout w:type="fixed"/>
        <w:tblCellMar>
          <w:left w:w="15" w:type="dxa"/>
          <w:right w:w="15" w:type="dxa"/>
        </w:tblCellMar>
        <w:tblLook w:val="0000" w:firstRow="0" w:lastRow="0" w:firstColumn="0" w:lastColumn="0" w:noHBand="0" w:noVBand="0"/>
      </w:tblPr>
      <w:tblGrid>
        <w:gridCol w:w="5731"/>
        <w:gridCol w:w="3931"/>
      </w:tblGrid>
      <w:tr w:rsidR="000377E3" w:rsidTr="00FA2156">
        <w:trPr>
          <w:cantSplit/>
          <w:jc w:val="center"/>
        </w:trPr>
        <w:tc>
          <w:tcPr>
            <w:tcW w:w="9662" w:type="dxa"/>
            <w:gridSpan w:val="2"/>
            <w:tcBorders>
              <w:top w:val="single" w:sz="6" w:space="0" w:color="000000"/>
              <w:left w:val="single" w:sz="6" w:space="0" w:color="000000"/>
              <w:bottom w:val="single" w:sz="4" w:space="0" w:color="auto"/>
              <w:right w:val="single" w:sz="6" w:space="0" w:color="000000"/>
            </w:tcBorders>
            <w:shd w:val="clear" w:color="auto" w:fill="000000"/>
            <w:tcMar>
              <w:top w:w="43" w:type="dxa"/>
              <w:left w:w="72" w:type="dxa"/>
              <w:bottom w:w="43" w:type="dxa"/>
              <w:right w:w="72" w:type="dxa"/>
            </w:tcMar>
            <w:vAlign w:val="center"/>
          </w:tcPr>
          <w:p w:rsidR="000377E3" w:rsidRDefault="000377E3" w:rsidP="00FA2156">
            <w:pPr>
              <w:pStyle w:val="Heading7"/>
            </w:pPr>
            <w:r>
              <w:t>Table 2.  Estimation Groups of Interest and Generalized Variance Parameters</w:t>
            </w:r>
          </w:p>
        </w:tc>
      </w:tr>
      <w:tr w:rsidR="000377E3" w:rsidTr="00FA2156">
        <w:trPr>
          <w:jc w:val="center"/>
        </w:trPr>
        <w:tc>
          <w:tcPr>
            <w:tcW w:w="5731" w:type="dxa"/>
            <w:tcBorders>
              <w:top w:val="single" w:sz="6" w:space="0" w:color="000000"/>
              <w:left w:val="single" w:sz="6" w:space="0" w:color="000000"/>
              <w:bottom w:val="single" w:sz="4" w:space="0" w:color="auto"/>
              <w:right w:val="single" w:sz="6" w:space="0" w:color="000000"/>
            </w:tcBorders>
            <w:shd w:val="clear" w:color="auto" w:fill="CCCCCC"/>
            <w:tcMar>
              <w:top w:w="43" w:type="dxa"/>
              <w:left w:w="72" w:type="dxa"/>
              <w:bottom w:w="43" w:type="dxa"/>
              <w:right w:w="72" w:type="dxa"/>
            </w:tcMar>
            <w:vAlign w:val="center"/>
          </w:tcPr>
          <w:p w:rsidR="000377E3" w:rsidRDefault="000377E3" w:rsidP="00FA2156">
            <w:pPr>
              <w:tabs>
                <w:tab w:val="left" w:pos="0"/>
                <w:tab w:val="left" w:pos="720"/>
              </w:tabs>
              <w:spacing w:after="3"/>
              <w:jc w:val="center"/>
            </w:pPr>
            <w:r>
              <w:rPr>
                <w:b/>
                <w:bCs/>
                <w:sz w:val="22"/>
                <w:szCs w:val="22"/>
              </w:rPr>
              <w:t>Race/ethnicity group of interest</w:t>
            </w:r>
          </w:p>
        </w:tc>
        <w:tc>
          <w:tcPr>
            <w:tcW w:w="3931" w:type="dxa"/>
            <w:tcBorders>
              <w:top w:val="single" w:sz="6" w:space="0" w:color="000000"/>
              <w:left w:val="single" w:sz="6" w:space="0" w:color="000000"/>
              <w:bottom w:val="single" w:sz="4" w:space="0" w:color="auto"/>
              <w:right w:val="single" w:sz="6" w:space="0" w:color="000000"/>
            </w:tcBorders>
            <w:shd w:val="clear" w:color="auto" w:fill="CCCCCC"/>
            <w:tcMar>
              <w:top w:w="43" w:type="dxa"/>
              <w:left w:w="72" w:type="dxa"/>
              <w:bottom w:w="43" w:type="dxa"/>
              <w:right w:w="72" w:type="dxa"/>
            </w:tcMar>
            <w:vAlign w:val="center"/>
          </w:tcPr>
          <w:p w:rsidR="000377E3" w:rsidRDefault="000377E3" w:rsidP="00FA2156">
            <w:pPr>
              <w:tabs>
                <w:tab w:val="left" w:pos="0"/>
              </w:tabs>
              <w:spacing w:after="3"/>
              <w:jc w:val="center"/>
              <w:rPr>
                <w:b/>
                <w:bCs/>
              </w:rPr>
            </w:pPr>
            <w:r>
              <w:rPr>
                <w:b/>
                <w:bCs/>
                <w:sz w:val="22"/>
              </w:rPr>
              <w:t>Generalized variance parameters to</w:t>
            </w:r>
          </w:p>
          <w:p w:rsidR="000377E3" w:rsidRDefault="000377E3" w:rsidP="00FA2156">
            <w:pPr>
              <w:tabs>
                <w:tab w:val="left" w:pos="0"/>
              </w:tabs>
              <w:spacing w:after="3"/>
              <w:jc w:val="center"/>
            </w:pPr>
            <w:r>
              <w:rPr>
                <w:b/>
                <w:bCs/>
                <w:sz w:val="22"/>
              </w:rPr>
              <w:t>use in standard error calculations</w:t>
            </w:r>
          </w:p>
        </w:tc>
      </w:tr>
      <w:tr w:rsidR="000377E3" w:rsidTr="00FA2156">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pPr>
            <w:r>
              <w:rPr>
                <w:sz w:val="22"/>
                <w:szCs w:val="22"/>
              </w:rPr>
              <w:t>Total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r>
              <w:rPr>
                <w:sz w:val="22"/>
                <w:szCs w:val="20"/>
              </w:rPr>
              <w:t>Total or White</w:t>
            </w:r>
          </w:p>
        </w:tc>
      </w:tr>
      <w:tr w:rsidR="000377E3" w:rsidTr="00FA2156">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pPr>
            <w:r>
              <w:rPr>
                <w:sz w:val="22"/>
                <w:szCs w:val="22"/>
              </w:rPr>
              <w:t>White alone, White AOIC, or White non-Hispanic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r>
              <w:rPr>
                <w:sz w:val="22"/>
                <w:szCs w:val="20"/>
              </w:rPr>
              <w:t>Total or White</w:t>
            </w:r>
          </w:p>
        </w:tc>
      </w:tr>
      <w:tr w:rsidR="000377E3" w:rsidTr="00FA2156">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pPr>
            <w:r>
              <w:rPr>
                <w:sz w:val="22"/>
                <w:szCs w:val="22"/>
              </w:rPr>
              <w:t>Black alone, Black AOIC, or Black non-Hispanic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r>
              <w:rPr>
                <w:sz w:val="22"/>
                <w:szCs w:val="20"/>
              </w:rPr>
              <w:t>Black</w:t>
            </w:r>
          </w:p>
        </w:tc>
      </w:tr>
      <w:tr w:rsidR="000377E3" w:rsidTr="00FA2156">
        <w:trPr>
          <w:cantSplit/>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pPr>
            <w:r>
              <w:rPr>
                <w:sz w:val="22"/>
                <w:szCs w:val="20"/>
              </w:rPr>
              <w:t>Asian alone, Asian AOIC, or Asian non-Hispanic population</w:t>
            </w:r>
          </w:p>
        </w:tc>
        <w:tc>
          <w:tcPr>
            <w:tcW w:w="3931" w:type="dxa"/>
            <w:vMerge w:val="restart"/>
            <w:tcBorders>
              <w:top w:val="single" w:sz="4" w:space="0" w:color="auto"/>
              <w:left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r>
              <w:rPr>
                <w:sz w:val="22"/>
                <w:szCs w:val="20"/>
              </w:rPr>
              <w:t>Asian, AIAN, NHOPI</w:t>
            </w:r>
          </w:p>
        </w:tc>
      </w:tr>
      <w:tr w:rsidR="000377E3" w:rsidTr="00FA2156">
        <w:trPr>
          <w:cantSplit/>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rPr>
                <w:szCs w:val="20"/>
              </w:rPr>
            </w:pPr>
            <w:r>
              <w:rPr>
                <w:sz w:val="22"/>
                <w:szCs w:val="20"/>
              </w:rPr>
              <w:t>AIAN alone, AIAN AOIC, or AIAN non-Hispanic population</w:t>
            </w:r>
          </w:p>
        </w:tc>
        <w:tc>
          <w:tcPr>
            <w:tcW w:w="3931" w:type="dxa"/>
            <w:vMerge/>
            <w:tcBorders>
              <w:left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p>
        </w:tc>
      </w:tr>
      <w:tr w:rsidR="000377E3" w:rsidTr="00FA2156">
        <w:trPr>
          <w:cantSplit/>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rPr>
                <w:szCs w:val="20"/>
              </w:rPr>
            </w:pPr>
            <w:r>
              <w:rPr>
                <w:sz w:val="22"/>
                <w:szCs w:val="20"/>
              </w:rPr>
              <w:t>NHOPI alone, NHOPI AOIC, or NHOPI non-Hispanic population</w:t>
            </w:r>
          </w:p>
        </w:tc>
        <w:tc>
          <w:tcPr>
            <w:tcW w:w="3931" w:type="dxa"/>
            <w:vMerge/>
            <w:tcBorders>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p>
        </w:tc>
      </w:tr>
      <w:tr w:rsidR="000377E3" w:rsidTr="00FA2156">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pPr>
            <w:r>
              <w:rPr>
                <w:sz w:val="22"/>
                <w:szCs w:val="20"/>
              </w:rPr>
              <w:t>Populations from other race groups</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r>
              <w:rPr>
                <w:sz w:val="22"/>
                <w:szCs w:val="20"/>
              </w:rPr>
              <w:t>Asian, AIAN, NHOPI</w:t>
            </w:r>
          </w:p>
        </w:tc>
      </w:tr>
      <w:tr w:rsidR="000377E3" w:rsidTr="00FA2156">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pPr>
            <w:r>
              <w:rPr>
                <w:sz w:val="22"/>
                <w:szCs w:val="22"/>
              </w:rPr>
              <w:t>Hispanic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r>
              <w:rPr>
                <w:sz w:val="22"/>
                <w:szCs w:val="20"/>
              </w:rPr>
              <w:t>Hispanic</w:t>
            </w:r>
          </w:p>
        </w:tc>
      </w:tr>
      <w:tr w:rsidR="000377E3" w:rsidTr="00FA2156">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pPr>
            <w:r>
              <w:rPr>
                <w:sz w:val="22"/>
                <w:szCs w:val="22"/>
              </w:rPr>
              <w:t>Two or more races – employment/unemployment and educational attainment characteristics</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r>
              <w:rPr>
                <w:sz w:val="22"/>
                <w:szCs w:val="20"/>
              </w:rPr>
              <w:t>Black</w:t>
            </w:r>
          </w:p>
        </w:tc>
      </w:tr>
      <w:tr w:rsidR="000377E3" w:rsidTr="00FA2156">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tabs>
                <w:tab w:val="left" w:pos="0"/>
                <w:tab w:val="left" w:pos="720"/>
              </w:tabs>
              <w:spacing w:after="3"/>
            </w:pPr>
            <w:r>
              <w:rPr>
                <w:sz w:val="22"/>
                <w:szCs w:val="22"/>
              </w:rPr>
              <w:t>Two or more races – all other characteristics</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0377E3" w:rsidRDefault="000377E3" w:rsidP="00FA2156">
            <w:pPr>
              <w:jc w:val="center"/>
              <w:rPr>
                <w:szCs w:val="20"/>
              </w:rPr>
            </w:pPr>
            <w:r>
              <w:rPr>
                <w:sz w:val="22"/>
                <w:szCs w:val="20"/>
              </w:rPr>
              <w:t>Asian, AIAN, NHOPI</w:t>
            </w:r>
          </w:p>
        </w:tc>
      </w:tr>
    </w:tbl>
    <w:p w:rsidR="000377E3" w:rsidRDefault="000377E3" w:rsidP="000377E3"/>
    <w:p w:rsidR="000377E3" w:rsidRDefault="000377E3" w:rsidP="000377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1080"/>
        <w:rPr>
          <w:sz w:val="22"/>
          <w:lang w:val="en-CA"/>
        </w:rPr>
      </w:pPr>
      <w:r>
        <w:rPr>
          <w:sz w:val="22"/>
          <w:szCs w:val="22"/>
        </w:rPr>
        <w:t>Notes:  (1)</w:t>
      </w:r>
      <w:r>
        <w:rPr>
          <w:sz w:val="22"/>
          <w:szCs w:val="22"/>
        </w:rPr>
        <w:tab/>
      </w:r>
      <w:r w:rsidRPr="00914ECB">
        <w:rPr>
          <w:sz w:val="22"/>
          <w:szCs w:val="22"/>
        </w:rPr>
        <w:t>AIAN is American Indian and Alaska Native and NHOPI is Native Hawaiian and Other Pacific Islander.</w:t>
      </w:r>
    </w:p>
    <w:p w:rsidR="000377E3" w:rsidRDefault="000377E3" w:rsidP="000377E3">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2"/>
          <w:szCs w:val="22"/>
        </w:rPr>
        <w:t>AOIC is an abbreviation for alone or in combination.  The AOIC population for a race group of interest includes people reporting only the race group of interest (alone) and people reporting multiple race categories including the race group of interest (in combination).</w:t>
      </w:r>
    </w:p>
    <w:p w:rsidR="000377E3" w:rsidRDefault="000377E3" w:rsidP="000377E3">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2"/>
          <w:szCs w:val="22"/>
        </w:rPr>
        <w:t>Hispanics may be any race.</w:t>
      </w:r>
    </w:p>
    <w:p w:rsidR="000377E3" w:rsidRDefault="000377E3" w:rsidP="000377E3">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2"/>
          <w:szCs w:val="22"/>
        </w:rPr>
        <w:t xml:space="preserve">Two or more races refers to the group of cases self-classified as having two or more races.  </w:t>
      </w:r>
    </w:p>
    <w:p w:rsidR="000377E3" w:rsidRDefault="000377E3" w:rsidP="000377E3"/>
    <w:p w:rsidR="000377E3" w:rsidRDefault="000377E3" w:rsidP="000377E3">
      <w:pPr>
        <w:keepLines/>
      </w:pPr>
      <w:r>
        <w:rPr>
          <w:b/>
          <w:bCs/>
          <w:u w:val="single"/>
        </w:rPr>
        <w:t>Standard Errors of Estimated Numbers</w:t>
      </w:r>
      <w:r>
        <w:t xml:space="preserve">.  The approximate standard error, </w:t>
      </w:r>
      <w:proofErr w:type="spellStart"/>
      <w:r>
        <w:rPr>
          <w:i/>
          <w:iCs/>
        </w:rPr>
        <w:t>s</w:t>
      </w:r>
      <w:r>
        <w:rPr>
          <w:i/>
          <w:iCs/>
          <w:vertAlign w:val="subscript"/>
        </w:rPr>
        <w:t>x</w:t>
      </w:r>
      <w:proofErr w:type="spellEnd"/>
      <w:r>
        <w:t>, of an estimated number from this microdata file can be obtained by using the formula:</w:t>
      </w:r>
    </w:p>
    <w:p w:rsidR="000377E3" w:rsidRDefault="000377E3" w:rsidP="000377E3">
      <w:pPr>
        <w:keepLines/>
      </w:pPr>
    </w:p>
    <w:p w:rsidR="00626FA2" w:rsidRDefault="00E063F8" w:rsidP="00626FA2">
      <w:pPr>
        <w:ind w:left="2880" w:firstLine="720"/>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x</m:t>
            </m:r>
          </m:sub>
        </m:sSub>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m:t>
            </m:r>
          </m:e>
        </m:rad>
      </m:oMath>
      <w:r w:rsidR="00626FA2">
        <w:tab/>
      </w:r>
      <w:r w:rsidR="00626FA2">
        <w:tab/>
      </w:r>
      <w:r w:rsidR="00626FA2">
        <w:tab/>
      </w:r>
      <w:r w:rsidR="00626FA2">
        <w:tab/>
      </w:r>
      <w:r w:rsidR="00626FA2">
        <w:tab/>
        <w:t>(1)</w:t>
      </w:r>
    </w:p>
    <w:p w:rsidR="000377E3" w:rsidRDefault="000377E3" w:rsidP="000377E3">
      <w:pPr>
        <w:rPr>
          <w:lang w:val="en-CA"/>
        </w:rPr>
      </w:pPr>
    </w:p>
    <w:p w:rsidR="000377E3" w:rsidRDefault="000377E3" w:rsidP="000377E3">
      <w:r>
        <w:rPr>
          <w:lang w:val="en-CA"/>
        </w:rPr>
        <w:fldChar w:fldCharType="begin"/>
      </w:r>
      <w:r>
        <w:rPr>
          <w:lang w:val="en-CA"/>
        </w:rPr>
        <w:instrText xml:space="preserve"> SEQ CHAPTER \h \r 1</w:instrText>
      </w:r>
      <w:r>
        <w:rPr>
          <w:lang w:val="en-CA"/>
        </w:rPr>
        <w:fldChar w:fldCharType="end"/>
      </w:r>
      <w:r>
        <w:t xml:space="preserve">Here </w:t>
      </w:r>
      <w:r>
        <w:rPr>
          <w:i/>
          <w:iCs/>
        </w:rPr>
        <w:t>x</w:t>
      </w:r>
      <w:r>
        <w:t xml:space="preserve"> is the size of the estimate and </w:t>
      </w:r>
      <w:r>
        <w:rPr>
          <w:i/>
          <w:iCs/>
        </w:rPr>
        <w:t>a</w:t>
      </w:r>
      <w:r>
        <w:t xml:space="preserve"> and </w:t>
      </w:r>
      <w:r>
        <w:rPr>
          <w:i/>
          <w:iCs/>
        </w:rPr>
        <w:t>b</w:t>
      </w:r>
      <w:r>
        <w:t xml:space="preserve"> are the </w:t>
      </w:r>
      <w:r w:rsidRPr="008B02F1">
        <w:t xml:space="preserve">parameters in </w:t>
      </w:r>
      <w:r w:rsidR="008B02F1" w:rsidRPr="008B02F1">
        <w:t>Table 3</w:t>
      </w:r>
      <w:r w:rsidRPr="008B02F1">
        <w:t xml:space="preserve"> associated with the particular type of characteristic.  When calculating standard errors from cross-tabulations</w:t>
      </w:r>
      <w:r>
        <w:t xml:space="preserve"> </w:t>
      </w:r>
      <w:r>
        <w:lastRenderedPageBreak/>
        <w:t>involving different characteristics, use the set of parameters for the characteristic that will give the largest standard error.</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rPr>
          <w:u w:val="single"/>
        </w:rPr>
        <w:t>Illustration 1</w:t>
      </w:r>
    </w:p>
    <w:p w:rsidR="000377E3" w:rsidRDefault="00A2010F" w:rsidP="000377E3">
      <w:r>
        <w:t>Suppose there were 4,</w:t>
      </w:r>
      <w:r w:rsidR="000377E3" w:rsidRPr="00A2010F">
        <w:t>0</w:t>
      </w:r>
      <w:r>
        <w:t>87</w:t>
      </w:r>
      <w:r w:rsidR="000377E3" w:rsidRPr="00A2010F">
        <w:t>,000 unemployed men (ages 16 and up) in the civilian labor force.  Use the appropriate parameters from Table 3 and Formula (1) to get</w:t>
      </w:r>
    </w:p>
    <w:p w:rsidR="000377E3" w:rsidRDefault="000377E3" w:rsidP="000377E3"/>
    <w:tbl>
      <w:tblPr>
        <w:tblW w:w="0" w:type="auto"/>
        <w:jc w:val="center"/>
        <w:tblLayout w:type="fixed"/>
        <w:tblCellMar>
          <w:left w:w="100" w:type="dxa"/>
          <w:right w:w="100" w:type="dxa"/>
        </w:tblCellMar>
        <w:tblLook w:val="0000" w:firstRow="0" w:lastRow="0" w:firstColumn="0" w:lastColumn="0" w:noHBand="0" w:noVBand="0"/>
      </w:tblPr>
      <w:tblGrid>
        <w:gridCol w:w="4140"/>
        <w:gridCol w:w="2363"/>
      </w:tblGrid>
      <w:tr w:rsidR="000377E3" w:rsidTr="00FA2156">
        <w:trPr>
          <w:cantSplit/>
          <w:jc w:val="center"/>
        </w:trPr>
        <w:tc>
          <w:tcPr>
            <w:tcW w:w="650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0377E3" w:rsidRDefault="000377E3" w:rsidP="00FA2156">
            <w:pPr>
              <w:spacing w:before="9"/>
              <w:jc w:val="center"/>
              <w:rPr>
                <w:b/>
                <w:bCs/>
              </w:rPr>
            </w:pPr>
            <w:r>
              <w:rPr>
                <w:b/>
                <w:bCs/>
                <w:sz w:val="22"/>
              </w:rPr>
              <w:t>Illustration 1</w:t>
            </w:r>
          </w:p>
        </w:tc>
      </w:tr>
      <w:tr w:rsidR="000377E3" w:rsidTr="00FA2156">
        <w:trPr>
          <w:cantSplit/>
          <w:trHeight w:val="570"/>
          <w:jc w:val="center"/>
        </w:trPr>
        <w:tc>
          <w:tcPr>
            <w:tcW w:w="4140" w:type="dxa"/>
            <w:tcBorders>
              <w:top w:val="single" w:sz="6" w:space="0" w:color="000000"/>
              <w:left w:val="single" w:sz="6" w:space="0" w:color="000000"/>
              <w:right w:val="single" w:sz="6" w:space="0" w:color="000000"/>
            </w:tcBorders>
            <w:vAlign w:val="center"/>
          </w:tcPr>
          <w:p w:rsidR="000377E3" w:rsidRDefault="000377E3" w:rsidP="00FA2156">
            <w:pPr>
              <w:spacing w:before="9"/>
            </w:pPr>
            <w:r>
              <w:rPr>
                <w:sz w:val="22"/>
              </w:rPr>
              <w:t xml:space="preserve">Number of unemployed males in the civilian </w:t>
            </w:r>
          </w:p>
          <w:p w:rsidR="000377E3" w:rsidRDefault="000377E3" w:rsidP="00FA2156">
            <w:pPr>
              <w:spacing w:before="9"/>
            </w:pPr>
            <w:r>
              <w:rPr>
                <w:sz w:val="22"/>
              </w:rPr>
              <w:t xml:space="preserve">     labor force (</w:t>
            </w:r>
            <w:r>
              <w:rPr>
                <w:i/>
                <w:iCs/>
                <w:sz w:val="22"/>
              </w:rPr>
              <w:t>x</w:t>
            </w:r>
            <w:r>
              <w:rPr>
                <w:sz w:val="22"/>
              </w:rPr>
              <w:t>)</w:t>
            </w:r>
          </w:p>
        </w:tc>
        <w:tc>
          <w:tcPr>
            <w:tcW w:w="2363" w:type="dxa"/>
            <w:tcBorders>
              <w:top w:val="single" w:sz="6" w:space="0" w:color="000000"/>
              <w:left w:val="single" w:sz="6" w:space="0" w:color="000000"/>
              <w:right w:val="single" w:sz="6" w:space="0" w:color="000000"/>
            </w:tcBorders>
            <w:tcMar>
              <w:right w:w="101" w:type="dxa"/>
            </w:tcMar>
            <w:vAlign w:val="center"/>
          </w:tcPr>
          <w:p w:rsidR="000377E3" w:rsidRDefault="00A2010F" w:rsidP="00FA2156">
            <w:pPr>
              <w:spacing w:before="9"/>
              <w:jc w:val="right"/>
            </w:pPr>
            <w:r>
              <w:rPr>
                <w:sz w:val="22"/>
              </w:rPr>
              <w:t>4,</w:t>
            </w:r>
            <w:r w:rsidR="000377E3">
              <w:rPr>
                <w:sz w:val="22"/>
              </w:rPr>
              <w:t>0</w:t>
            </w:r>
            <w:r>
              <w:rPr>
                <w:sz w:val="22"/>
              </w:rPr>
              <w:t>87</w:t>
            </w:r>
            <w:r w:rsidR="000377E3">
              <w:rPr>
                <w:sz w:val="22"/>
              </w:rPr>
              <w:t>,000</w:t>
            </w:r>
          </w:p>
        </w:tc>
      </w:tr>
      <w:tr w:rsidR="000377E3" w:rsidTr="00FA2156">
        <w:trPr>
          <w:cantSplit/>
          <w:jc w:val="center"/>
        </w:trPr>
        <w:tc>
          <w:tcPr>
            <w:tcW w:w="4140" w:type="dxa"/>
            <w:tcBorders>
              <w:left w:val="single" w:sz="6" w:space="0" w:color="000000"/>
              <w:right w:val="single" w:sz="6" w:space="0" w:color="000000"/>
            </w:tcBorders>
          </w:tcPr>
          <w:p w:rsidR="000377E3" w:rsidRDefault="000377E3" w:rsidP="00FA2156">
            <w:pPr>
              <w:spacing w:before="9"/>
            </w:pPr>
            <w:r>
              <w:rPr>
                <w:sz w:val="22"/>
              </w:rPr>
              <w:t>a parameter  (</w:t>
            </w:r>
            <w:r>
              <w:rPr>
                <w:i/>
                <w:iCs/>
                <w:sz w:val="22"/>
              </w:rPr>
              <w:t>a</w:t>
            </w:r>
            <w:r>
              <w:rPr>
                <w:sz w:val="22"/>
              </w:rPr>
              <w:t>)</w:t>
            </w:r>
          </w:p>
        </w:tc>
        <w:tc>
          <w:tcPr>
            <w:tcW w:w="2363" w:type="dxa"/>
            <w:tcBorders>
              <w:left w:val="single" w:sz="6" w:space="0" w:color="000000"/>
              <w:right w:val="single" w:sz="6" w:space="0" w:color="000000"/>
            </w:tcBorders>
            <w:tcMar>
              <w:right w:w="101" w:type="dxa"/>
            </w:tcMar>
          </w:tcPr>
          <w:p w:rsidR="000377E3" w:rsidRDefault="00A2010F" w:rsidP="00FA2156">
            <w:pPr>
              <w:spacing w:before="9"/>
              <w:jc w:val="right"/>
            </w:pPr>
            <w:r>
              <w:rPr>
                <w:sz w:val="22"/>
              </w:rPr>
              <w:t>-0.000031</w:t>
            </w:r>
          </w:p>
        </w:tc>
      </w:tr>
      <w:tr w:rsidR="000377E3" w:rsidTr="00FA2156">
        <w:trPr>
          <w:cantSplit/>
          <w:jc w:val="center"/>
        </w:trPr>
        <w:tc>
          <w:tcPr>
            <w:tcW w:w="4140" w:type="dxa"/>
            <w:tcBorders>
              <w:left w:val="single" w:sz="6" w:space="0" w:color="000000"/>
              <w:right w:val="single" w:sz="6" w:space="0" w:color="000000"/>
            </w:tcBorders>
          </w:tcPr>
          <w:p w:rsidR="000377E3" w:rsidRDefault="000377E3" w:rsidP="00FA2156">
            <w:pPr>
              <w:spacing w:before="9"/>
            </w:pPr>
            <w:r>
              <w:rPr>
                <w:sz w:val="22"/>
              </w:rPr>
              <w:t>b parameter  (</w:t>
            </w:r>
            <w:r>
              <w:rPr>
                <w:i/>
                <w:iCs/>
                <w:sz w:val="22"/>
              </w:rPr>
              <w:t>b</w:t>
            </w:r>
            <w:r>
              <w:rPr>
                <w:sz w:val="22"/>
              </w:rPr>
              <w:t>)</w:t>
            </w:r>
          </w:p>
        </w:tc>
        <w:tc>
          <w:tcPr>
            <w:tcW w:w="2363" w:type="dxa"/>
            <w:tcBorders>
              <w:left w:val="single" w:sz="6" w:space="0" w:color="000000"/>
              <w:right w:val="single" w:sz="6" w:space="0" w:color="000000"/>
            </w:tcBorders>
            <w:tcMar>
              <w:right w:w="101" w:type="dxa"/>
            </w:tcMar>
          </w:tcPr>
          <w:p w:rsidR="000377E3" w:rsidRDefault="00A2010F" w:rsidP="00FA2156">
            <w:pPr>
              <w:spacing w:before="9"/>
              <w:jc w:val="right"/>
            </w:pPr>
            <w:r>
              <w:rPr>
                <w:sz w:val="22"/>
              </w:rPr>
              <w:t>2,947</w:t>
            </w:r>
          </w:p>
        </w:tc>
      </w:tr>
      <w:tr w:rsidR="000377E3" w:rsidTr="00FA2156">
        <w:trPr>
          <w:cantSplit/>
          <w:jc w:val="center"/>
        </w:trPr>
        <w:tc>
          <w:tcPr>
            <w:tcW w:w="4140" w:type="dxa"/>
            <w:tcBorders>
              <w:left w:val="single" w:sz="6" w:space="0" w:color="000000"/>
              <w:right w:val="single" w:sz="6" w:space="0" w:color="000000"/>
            </w:tcBorders>
          </w:tcPr>
          <w:p w:rsidR="000377E3" w:rsidRDefault="000377E3" w:rsidP="00FA2156">
            <w:pPr>
              <w:spacing w:before="9"/>
            </w:pPr>
            <w:r>
              <w:rPr>
                <w:sz w:val="22"/>
              </w:rPr>
              <w:t xml:space="preserve">Standard error </w:t>
            </w:r>
          </w:p>
        </w:tc>
        <w:tc>
          <w:tcPr>
            <w:tcW w:w="2363" w:type="dxa"/>
            <w:tcBorders>
              <w:left w:val="single" w:sz="6" w:space="0" w:color="000000"/>
              <w:right w:val="single" w:sz="6" w:space="0" w:color="000000"/>
            </w:tcBorders>
            <w:tcMar>
              <w:right w:w="101" w:type="dxa"/>
            </w:tcMar>
          </w:tcPr>
          <w:p w:rsidR="000377E3" w:rsidRDefault="00A2010F" w:rsidP="00FA2156">
            <w:pPr>
              <w:spacing w:before="9"/>
              <w:jc w:val="right"/>
            </w:pPr>
            <w:r>
              <w:rPr>
                <w:sz w:val="22"/>
              </w:rPr>
              <w:t>107</w:t>
            </w:r>
            <w:r w:rsidR="000377E3">
              <w:rPr>
                <w:sz w:val="22"/>
              </w:rPr>
              <w:t>,000</w:t>
            </w:r>
          </w:p>
        </w:tc>
      </w:tr>
      <w:tr w:rsidR="000377E3" w:rsidTr="00FA2156">
        <w:trPr>
          <w:cantSplit/>
          <w:trHeight w:val="333"/>
          <w:jc w:val="center"/>
        </w:trPr>
        <w:tc>
          <w:tcPr>
            <w:tcW w:w="4140" w:type="dxa"/>
            <w:tcBorders>
              <w:left w:val="single" w:sz="6" w:space="0" w:color="000000"/>
              <w:bottom w:val="single" w:sz="6" w:space="0" w:color="000000"/>
              <w:right w:val="single" w:sz="6" w:space="0" w:color="000000"/>
            </w:tcBorders>
          </w:tcPr>
          <w:p w:rsidR="000377E3" w:rsidRDefault="000377E3" w:rsidP="00FA2156">
            <w:pPr>
              <w:spacing w:before="9"/>
            </w:pPr>
            <w:r>
              <w:rPr>
                <w:sz w:val="22"/>
              </w:rPr>
              <w:t>90-percent confidence interval</w:t>
            </w:r>
          </w:p>
        </w:tc>
        <w:tc>
          <w:tcPr>
            <w:tcW w:w="2363" w:type="dxa"/>
            <w:tcBorders>
              <w:left w:val="single" w:sz="6" w:space="0" w:color="000000"/>
              <w:bottom w:val="single" w:sz="6" w:space="0" w:color="000000"/>
              <w:right w:val="single" w:sz="6" w:space="0" w:color="000000"/>
            </w:tcBorders>
            <w:tcMar>
              <w:right w:w="101" w:type="dxa"/>
            </w:tcMar>
          </w:tcPr>
          <w:p w:rsidR="000377E3" w:rsidRDefault="00A2010F" w:rsidP="00A2010F">
            <w:pPr>
              <w:spacing w:before="9"/>
              <w:jc w:val="right"/>
            </w:pPr>
            <w:r>
              <w:rPr>
                <w:sz w:val="22"/>
              </w:rPr>
              <w:t>3,911</w:t>
            </w:r>
            <w:r w:rsidR="000377E3">
              <w:rPr>
                <w:sz w:val="22"/>
              </w:rPr>
              <w:t>,000 to 4,</w:t>
            </w:r>
            <w:r>
              <w:rPr>
                <w:sz w:val="22"/>
              </w:rPr>
              <w:t>263</w:t>
            </w:r>
            <w:r w:rsidR="000377E3">
              <w:rPr>
                <w:sz w:val="22"/>
              </w:rPr>
              <w:t>,000</w:t>
            </w:r>
          </w:p>
        </w:tc>
      </w:tr>
    </w:tbl>
    <w:p w:rsidR="000377E3" w:rsidRDefault="000377E3" w:rsidP="000377E3"/>
    <w:p w:rsidR="000377E3" w:rsidRDefault="000377E3" w:rsidP="000377E3">
      <w:r>
        <w:t>The standard error is calculated as</w:t>
      </w:r>
    </w:p>
    <w:p w:rsidR="000377E3" w:rsidRDefault="000377E3" w:rsidP="000377E3"/>
    <w:p w:rsidR="00626FA2" w:rsidRPr="0070218E" w:rsidRDefault="00E063F8" w:rsidP="00626FA2">
      <w:pPr>
        <w:rPr>
          <w:sz w:val="28"/>
          <w:szCs w:val="28"/>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x</m:t>
              </m:r>
            </m:sub>
          </m:sSub>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-0.000031*</m:t>
              </m:r>
              <m:sSup>
                <m:sSupPr>
                  <m:ctrlPr>
                    <w:rPr>
                      <w:rFonts w:ascii="Cambria Math" w:hAnsi="Cambria Math"/>
                      <w:i/>
                      <w:sz w:val="28"/>
                      <w:szCs w:val="28"/>
                    </w:rPr>
                  </m:ctrlPr>
                </m:sSupPr>
                <m:e>
                  <m:r>
                    <w:rPr>
                      <w:rFonts w:ascii="Cambria Math" w:hAnsi="Cambria Math"/>
                      <w:sz w:val="28"/>
                      <w:szCs w:val="28"/>
                    </w:rPr>
                    <m:t>4,087,000</m:t>
                  </m:r>
                </m:e>
                <m:sup>
                  <m:r>
                    <w:rPr>
                      <w:rFonts w:ascii="Cambria Math" w:hAnsi="Cambria Math"/>
                      <w:sz w:val="28"/>
                      <w:szCs w:val="28"/>
                    </w:rPr>
                    <m:t>2</m:t>
                  </m:r>
                </m:sup>
              </m:sSup>
              <m:r>
                <w:rPr>
                  <w:rFonts w:ascii="Cambria Math" w:hAnsi="Cambria Math"/>
                  <w:sz w:val="28"/>
                  <w:szCs w:val="28"/>
                </w:rPr>
                <m:t>+2,947*4,087,000</m:t>
              </m:r>
            </m:e>
          </m:rad>
          <m:r>
            <w:rPr>
              <w:rFonts w:ascii="Cambria Math" w:hAnsi="Cambria Math"/>
              <w:sz w:val="28"/>
              <w:szCs w:val="28"/>
            </w:rPr>
            <m:t>=107,000</m:t>
          </m:r>
        </m:oMath>
      </m:oMathPara>
    </w:p>
    <w:p w:rsidR="000377E3" w:rsidRDefault="000377E3" w:rsidP="000377E3">
      <w:pPr>
        <w:jc w:val="center"/>
      </w:pPr>
    </w:p>
    <w:p w:rsidR="000377E3" w:rsidRDefault="000377E3" w:rsidP="000377E3">
      <w:r>
        <w:rPr>
          <w:lang w:val="en-CA"/>
        </w:rPr>
        <w:fldChar w:fldCharType="begin"/>
      </w:r>
      <w:r>
        <w:rPr>
          <w:lang w:val="en-CA"/>
        </w:rPr>
        <w:instrText xml:space="preserve"> SEQ CHAPTER \h \r 1</w:instrText>
      </w:r>
      <w:r>
        <w:rPr>
          <w:lang w:val="en-CA"/>
        </w:rPr>
        <w:fldChar w:fldCharType="end"/>
      </w:r>
      <w:r>
        <w:t>The 90-percent confidence interval is calculated as 4,0</w:t>
      </w:r>
      <w:r w:rsidR="00A2010F">
        <w:t>87,000 ± 1.645 × 107</w:t>
      </w:r>
      <w:r>
        <w:t>,000.</w:t>
      </w:r>
    </w:p>
    <w:p w:rsidR="000377E3" w:rsidRDefault="000377E3" w:rsidP="000377E3">
      <w:pPr>
        <w:rPr>
          <w:lang w:val="en-CA"/>
        </w:rPr>
      </w:pPr>
    </w:p>
    <w:p w:rsidR="000377E3" w:rsidRDefault="000377E3" w:rsidP="000377E3">
      <w:pPr>
        <w:rPr>
          <w:b/>
          <w:bCs/>
          <w:u w:val="single"/>
        </w:rPr>
      </w:pPr>
      <w:r>
        <w:rPr>
          <w:lang w:val="en-CA"/>
        </w:rPr>
        <w:fldChar w:fldCharType="begin"/>
      </w:r>
      <w:r>
        <w:rPr>
          <w:lang w:val="en-CA"/>
        </w:rPr>
        <w:instrText xml:space="preserve"> SEQ CHAPTER \h \r 1</w:instrText>
      </w:r>
      <w:r>
        <w:rPr>
          <w:lang w:val="en-CA"/>
        </w:rPr>
        <w:fldChar w:fldCharType="end"/>
      </w:r>
      <w:r>
        <w:t>A conclusion that the average estimate derived from all possible samples lies within a range computed in this way would be correct for roughly 90 percent of all possible samples.</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rPr>
          <w:b/>
          <w:bCs/>
          <w:u w:val="single"/>
        </w:rPr>
        <w:t>Standard Errors of Estimated Percentages</w:t>
      </w:r>
      <w:r>
        <w:t xml:space="preserve">.  The reliability of an estimated percentage, computed using sample data for both numerator and denominator, depends on both the size of the percentage and its base.  Estimated percentages are relatively more reliable than the corresponding estimates of the numerators of the percentages, particularly if the percentages are 50 percent or more.  When the numerator and denominator of the percentage are in different categories, use the parameter </w:t>
      </w:r>
      <w:r w:rsidRPr="00A2010F">
        <w:t xml:space="preserve">from </w:t>
      </w:r>
      <w:r w:rsidR="00A2010F" w:rsidRPr="00A2010F">
        <w:t>Table 3</w:t>
      </w:r>
      <w:r w:rsidRPr="00A2010F">
        <w:t xml:space="preserve"> as indicated</w:t>
      </w:r>
      <w:r>
        <w:t xml:space="preserve"> by the numerator.  </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t xml:space="preserve">The approximate standard error, </w:t>
      </w:r>
      <w:proofErr w:type="spellStart"/>
      <w:r>
        <w:rPr>
          <w:i/>
          <w:iCs/>
        </w:rPr>
        <w:t>s</w:t>
      </w:r>
      <w:r>
        <w:rPr>
          <w:i/>
          <w:iCs/>
          <w:vertAlign w:val="subscript"/>
        </w:rPr>
        <w:t>y,p</w:t>
      </w:r>
      <w:proofErr w:type="spellEnd"/>
      <w:r>
        <w:t>, of an estimated percen</w:t>
      </w:r>
      <w:r>
        <w:softHyphen/>
        <w:t>tage can be obtained by using the formula:</w:t>
      </w:r>
    </w:p>
    <w:p w:rsidR="000377E3" w:rsidRDefault="000377E3" w:rsidP="000377E3"/>
    <w:p w:rsidR="00626FA2" w:rsidRDefault="00E063F8" w:rsidP="00626FA2">
      <w:pPr>
        <w:ind w:left="2880" w:firstLine="720"/>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y,p</m:t>
            </m:r>
          </m:sub>
        </m:sSub>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y</m:t>
                </m:r>
              </m:den>
            </m:f>
            <m:r>
              <w:rPr>
                <w:rFonts w:ascii="Cambria Math" w:hAnsi="Cambria Math"/>
                <w:sz w:val="28"/>
                <w:szCs w:val="28"/>
              </w:rPr>
              <m:t>p(100-p)</m:t>
            </m:r>
          </m:e>
        </m:rad>
      </m:oMath>
      <w:r w:rsidR="00626FA2">
        <w:tab/>
      </w:r>
      <w:r w:rsidR="00626FA2">
        <w:tab/>
      </w:r>
      <w:r w:rsidR="00626FA2">
        <w:tab/>
      </w:r>
      <w:r w:rsidR="00626FA2">
        <w:tab/>
        <w:t>(2)</w:t>
      </w:r>
    </w:p>
    <w:p w:rsidR="000377E3" w:rsidRDefault="000377E3" w:rsidP="000377E3">
      <w:pPr>
        <w:rPr>
          <w:lang w:val="en-CA"/>
        </w:rPr>
      </w:pPr>
    </w:p>
    <w:p w:rsidR="000377E3" w:rsidRDefault="000377E3" w:rsidP="000377E3">
      <w:r>
        <w:rPr>
          <w:lang w:val="en-CA"/>
        </w:rPr>
        <w:fldChar w:fldCharType="begin"/>
      </w:r>
      <w:r>
        <w:rPr>
          <w:lang w:val="en-CA"/>
        </w:rPr>
        <w:instrText xml:space="preserve"> SEQ CHAPTER \h \r 1</w:instrText>
      </w:r>
      <w:r>
        <w:rPr>
          <w:lang w:val="en-CA"/>
        </w:rPr>
        <w:fldChar w:fldCharType="end"/>
      </w:r>
      <w:r>
        <w:t xml:space="preserve">Here </w:t>
      </w:r>
      <w:r>
        <w:rPr>
          <w:i/>
          <w:iCs/>
        </w:rPr>
        <w:t>y</w:t>
      </w:r>
      <w:r>
        <w:t xml:space="preserve"> is the total number of people, families, households, or unrelated individuals in the base or denominator of the percentage, </w:t>
      </w:r>
      <w:r>
        <w:rPr>
          <w:i/>
          <w:iCs/>
        </w:rPr>
        <w:t>p</w:t>
      </w:r>
      <w:r>
        <w:t xml:space="preserve"> is the percentage 100*</w:t>
      </w:r>
      <w:r w:rsidRPr="004B697B">
        <w:rPr>
          <w:i/>
        </w:rPr>
        <w:t>x</w:t>
      </w:r>
      <w:r>
        <w:t>/</w:t>
      </w:r>
      <w:r w:rsidRPr="004B697B">
        <w:rPr>
          <w:i/>
        </w:rPr>
        <w:t>y</w:t>
      </w:r>
      <w:r>
        <w:rPr>
          <w:i/>
        </w:rPr>
        <w:t xml:space="preserve"> </w:t>
      </w:r>
      <w:r>
        <w:t xml:space="preserve">(0 </w:t>
      </w:r>
      <w:r w:rsidR="00A93C20">
        <w:t xml:space="preserve">≤ </w:t>
      </w:r>
      <w:r>
        <w:t xml:space="preserve"> </w:t>
      </w:r>
      <w:r>
        <w:rPr>
          <w:i/>
          <w:iCs/>
        </w:rPr>
        <w:t>p</w:t>
      </w:r>
      <w:r>
        <w:t xml:space="preserve"> </w:t>
      </w:r>
      <w:r w:rsidR="00A93C20">
        <w:t xml:space="preserve">≤ </w:t>
      </w:r>
      <w:r>
        <w:t xml:space="preserve">100), and </w:t>
      </w:r>
      <w:r>
        <w:rPr>
          <w:i/>
          <w:iCs/>
        </w:rPr>
        <w:t>b</w:t>
      </w:r>
      <w:r>
        <w:t xml:space="preserve"> is the parameter in </w:t>
      </w:r>
      <w:r w:rsidR="00A62244" w:rsidRPr="00A62244">
        <w:t>Table 3</w:t>
      </w:r>
      <w:r w:rsidRPr="00A62244">
        <w:t xml:space="preserve"> associated</w:t>
      </w:r>
      <w:r>
        <w:t xml:space="preserve"> with the characteristic in the numerator of the percentage.</w:t>
      </w:r>
    </w:p>
    <w:p w:rsidR="000377E3" w:rsidRDefault="000377E3" w:rsidP="000377E3"/>
    <w:p w:rsidR="00E063F8" w:rsidRDefault="00E063F8" w:rsidP="000377E3"/>
    <w:p w:rsidR="00E063F8" w:rsidRDefault="00E063F8" w:rsidP="000377E3"/>
    <w:p w:rsidR="00E063F8" w:rsidRDefault="00E063F8" w:rsidP="000377E3"/>
    <w:p w:rsidR="000377E3" w:rsidRPr="00A62244" w:rsidRDefault="000377E3" w:rsidP="000377E3">
      <w:r w:rsidRPr="00A62244">
        <w:rPr>
          <w:lang w:val="en-CA"/>
        </w:rPr>
        <w:lastRenderedPageBreak/>
        <w:fldChar w:fldCharType="begin"/>
      </w:r>
      <w:r w:rsidRPr="00A62244">
        <w:rPr>
          <w:lang w:val="en-CA"/>
        </w:rPr>
        <w:instrText xml:space="preserve"> SEQ CHAPTER \h \r 1</w:instrText>
      </w:r>
      <w:r w:rsidRPr="00A62244">
        <w:rPr>
          <w:lang w:val="en-CA"/>
        </w:rPr>
        <w:fldChar w:fldCharType="end"/>
      </w:r>
      <w:r w:rsidRPr="00A62244">
        <w:rPr>
          <w:u w:val="single"/>
        </w:rPr>
        <w:t>Illustration 2</w:t>
      </w:r>
    </w:p>
    <w:p w:rsidR="000377E3" w:rsidRDefault="000377E3" w:rsidP="000377E3">
      <w:r w:rsidRPr="00A62244">
        <w:t xml:space="preserve">Suppose </w:t>
      </w:r>
      <w:r w:rsidR="00A62244">
        <w:t xml:space="preserve">of 7,515,000 displaced workers, 2,362,000, or 31.4 percent, lost their jobs when a plant or company closed down or moved.  Use the appropriate parameter from </w:t>
      </w:r>
      <w:r w:rsidR="00A62244" w:rsidRPr="00401893">
        <w:t xml:space="preserve">Table </w:t>
      </w:r>
      <w:r w:rsidR="00A62244">
        <w:t>3 and Formula (2) to get</w:t>
      </w:r>
    </w:p>
    <w:p w:rsidR="000377E3" w:rsidRDefault="000377E3" w:rsidP="000377E3">
      <w:pPr>
        <w:tabs>
          <w:tab w:val="left" w:pos="2160"/>
          <w:tab w:val="right" w:pos="6480"/>
        </w:tabs>
      </w:pPr>
    </w:p>
    <w:tbl>
      <w:tblPr>
        <w:tblW w:w="0" w:type="auto"/>
        <w:jc w:val="center"/>
        <w:tblLayout w:type="fixed"/>
        <w:tblCellMar>
          <w:left w:w="100" w:type="dxa"/>
          <w:right w:w="100" w:type="dxa"/>
        </w:tblCellMar>
        <w:tblLook w:val="0000" w:firstRow="0" w:lastRow="0" w:firstColumn="0" w:lastColumn="0" w:noHBand="0" w:noVBand="0"/>
      </w:tblPr>
      <w:tblGrid>
        <w:gridCol w:w="4500"/>
        <w:gridCol w:w="1800"/>
      </w:tblGrid>
      <w:tr w:rsidR="000377E3" w:rsidTr="00FA2156">
        <w:trPr>
          <w:cantSplit/>
          <w:jc w:val="center"/>
        </w:trPr>
        <w:tc>
          <w:tcPr>
            <w:tcW w:w="6300" w:type="dxa"/>
            <w:gridSpan w:val="2"/>
            <w:tcBorders>
              <w:top w:val="single" w:sz="6" w:space="0" w:color="000000"/>
              <w:left w:val="single" w:sz="6" w:space="0" w:color="000000"/>
              <w:right w:val="single" w:sz="6" w:space="0" w:color="000000"/>
            </w:tcBorders>
            <w:shd w:val="clear" w:color="auto" w:fill="CCCCCC"/>
            <w:vAlign w:val="center"/>
          </w:tcPr>
          <w:p w:rsidR="000377E3" w:rsidRDefault="000377E3" w:rsidP="00FA2156">
            <w:pPr>
              <w:tabs>
                <w:tab w:val="left" w:pos="2160"/>
              </w:tabs>
              <w:spacing w:before="9"/>
              <w:jc w:val="center"/>
              <w:rPr>
                <w:b/>
                <w:bCs/>
              </w:rPr>
            </w:pPr>
            <w:r>
              <w:rPr>
                <w:b/>
                <w:bCs/>
                <w:sz w:val="22"/>
              </w:rPr>
              <w:t>Illustration 2</w:t>
            </w:r>
          </w:p>
        </w:tc>
      </w:tr>
      <w:tr w:rsidR="000377E3" w:rsidTr="00A62244">
        <w:trPr>
          <w:cantSplit/>
          <w:trHeight w:val="498"/>
          <w:jc w:val="center"/>
        </w:trPr>
        <w:tc>
          <w:tcPr>
            <w:tcW w:w="4500" w:type="dxa"/>
            <w:tcBorders>
              <w:top w:val="single" w:sz="6" w:space="0" w:color="000000"/>
              <w:left w:val="single" w:sz="6" w:space="0" w:color="000000"/>
              <w:right w:val="single" w:sz="6" w:space="0" w:color="000000"/>
            </w:tcBorders>
          </w:tcPr>
          <w:p w:rsidR="00A62244" w:rsidRDefault="00A62244" w:rsidP="00FA2156">
            <w:pPr>
              <w:tabs>
                <w:tab w:val="left" w:pos="2160"/>
              </w:tabs>
              <w:spacing w:before="9"/>
              <w:rPr>
                <w:sz w:val="22"/>
              </w:rPr>
            </w:pPr>
            <w:r>
              <w:rPr>
                <w:sz w:val="22"/>
              </w:rPr>
              <w:t>Percentage of displaced workers who lost their</w:t>
            </w:r>
          </w:p>
          <w:p w:rsidR="00A62244" w:rsidRDefault="00A62244" w:rsidP="00FA2156">
            <w:pPr>
              <w:tabs>
                <w:tab w:val="left" w:pos="2160"/>
              </w:tabs>
              <w:spacing w:before="9"/>
              <w:rPr>
                <w:sz w:val="22"/>
              </w:rPr>
            </w:pPr>
            <w:r>
              <w:rPr>
                <w:sz w:val="22"/>
              </w:rPr>
              <w:t xml:space="preserve">     jobs when a plant or company closed down</w:t>
            </w:r>
          </w:p>
          <w:p w:rsidR="000377E3" w:rsidRPr="00A62244" w:rsidRDefault="00A62244" w:rsidP="00FA2156">
            <w:pPr>
              <w:tabs>
                <w:tab w:val="left" w:pos="2160"/>
              </w:tabs>
              <w:spacing w:before="9"/>
              <w:rPr>
                <w:sz w:val="22"/>
              </w:rPr>
            </w:pPr>
            <w:r>
              <w:rPr>
                <w:sz w:val="22"/>
              </w:rPr>
              <w:t xml:space="preserve">     or moved (</w:t>
            </w:r>
            <w:r>
              <w:rPr>
                <w:i/>
                <w:sz w:val="22"/>
              </w:rPr>
              <w:t>p</w:t>
            </w:r>
            <w:r>
              <w:rPr>
                <w:sz w:val="22"/>
              </w:rPr>
              <w:t>)</w:t>
            </w:r>
          </w:p>
        </w:tc>
        <w:tc>
          <w:tcPr>
            <w:tcW w:w="1800" w:type="dxa"/>
            <w:tcBorders>
              <w:top w:val="single" w:sz="6" w:space="0" w:color="000000"/>
              <w:left w:val="single" w:sz="6" w:space="0" w:color="000000"/>
              <w:right w:val="single" w:sz="6" w:space="0" w:color="000000"/>
            </w:tcBorders>
            <w:vAlign w:val="center"/>
          </w:tcPr>
          <w:p w:rsidR="000377E3" w:rsidRDefault="00A62244" w:rsidP="00FA2156">
            <w:pPr>
              <w:tabs>
                <w:tab w:val="left" w:pos="2160"/>
              </w:tabs>
              <w:spacing w:before="9"/>
              <w:jc w:val="right"/>
            </w:pPr>
            <w:r>
              <w:rPr>
                <w:sz w:val="22"/>
              </w:rPr>
              <w:t>31.4</w:t>
            </w:r>
          </w:p>
        </w:tc>
      </w:tr>
      <w:tr w:rsidR="000377E3" w:rsidTr="00A62244">
        <w:trPr>
          <w:cantSplit/>
          <w:jc w:val="center"/>
        </w:trPr>
        <w:tc>
          <w:tcPr>
            <w:tcW w:w="4500" w:type="dxa"/>
            <w:tcBorders>
              <w:left w:val="single" w:sz="6" w:space="0" w:color="000000"/>
              <w:right w:val="single" w:sz="6" w:space="0" w:color="000000"/>
            </w:tcBorders>
          </w:tcPr>
          <w:p w:rsidR="000377E3" w:rsidRDefault="000377E3" w:rsidP="00FA2156">
            <w:pPr>
              <w:tabs>
                <w:tab w:val="left" w:pos="2160"/>
              </w:tabs>
              <w:spacing w:before="9"/>
            </w:pPr>
            <w:r>
              <w:rPr>
                <w:sz w:val="22"/>
              </w:rPr>
              <w:t>Base (</w:t>
            </w:r>
            <w:r>
              <w:rPr>
                <w:i/>
                <w:iCs/>
                <w:sz w:val="22"/>
              </w:rPr>
              <w:t>y</w:t>
            </w:r>
            <w:r>
              <w:rPr>
                <w:sz w:val="22"/>
              </w:rPr>
              <w:t>)</w:t>
            </w:r>
          </w:p>
        </w:tc>
        <w:tc>
          <w:tcPr>
            <w:tcW w:w="1800" w:type="dxa"/>
            <w:tcBorders>
              <w:left w:val="single" w:sz="6" w:space="0" w:color="000000"/>
              <w:right w:val="single" w:sz="6" w:space="0" w:color="000000"/>
            </w:tcBorders>
          </w:tcPr>
          <w:p w:rsidR="000377E3" w:rsidRDefault="00A62244" w:rsidP="00A62244">
            <w:pPr>
              <w:tabs>
                <w:tab w:val="left" w:pos="2160"/>
              </w:tabs>
              <w:spacing w:before="9"/>
              <w:jc w:val="right"/>
            </w:pPr>
            <w:r>
              <w:rPr>
                <w:sz w:val="22"/>
              </w:rPr>
              <w:t>7</w:t>
            </w:r>
            <w:r w:rsidR="000377E3">
              <w:rPr>
                <w:sz w:val="22"/>
              </w:rPr>
              <w:t>,</w:t>
            </w:r>
            <w:r>
              <w:rPr>
                <w:sz w:val="22"/>
              </w:rPr>
              <w:t>515</w:t>
            </w:r>
            <w:r w:rsidR="000377E3">
              <w:rPr>
                <w:sz w:val="22"/>
              </w:rPr>
              <w:t>,000</w:t>
            </w:r>
          </w:p>
        </w:tc>
      </w:tr>
      <w:tr w:rsidR="000377E3" w:rsidTr="00A62244">
        <w:trPr>
          <w:cantSplit/>
          <w:jc w:val="center"/>
        </w:trPr>
        <w:tc>
          <w:tcPr>
            <w:tcW w:w="4500" w:type="dxa"/>
            <w:tcBorders>
              <w:left w:val="single" w:sz="6" w:space="0" w:color="000000"/>
              <w:right w:val="single" w:sz="6" w:space="0" w:color="000000"/>
            </w:tcBorders>
          </w:tcPr>
          <w:p w:rsidR="000377E3" w:rsidRDefault="000377E3" w:rsidP="00FA2156">
            <w:pPr>
              <w:tabs>
                <w:tab w:val="left" w:pos="2160"/>
              </w:tabs>
              <w:spacing w:before="9"/>
            </w:pPr>
            <w:r>
              <w:rPr>
                <w:sz w:val="22"/>
              </w:rPr>
              <w:t>b parameter (</w:t>
            </w:r>
            <w:r>
              <w:rPr>
                <w:i/>
                <w:iCs/>
                <w:sz w:val="22"/>
              </w:rPr>
              <w:t>b</w:t>
            </w:r>
            <w:r>
              <w:rPr>
                <w:sz w:val="22"/>
              </w:rPr>
              <w:t>)</w:t>
            </w:r>
          </w:p>
        </w:tc>
        <w:tc>
          <w:tcPr>
            <w:tcW w:w="1800" w:type="dxa"/>
            <w:tcBorders>
              <w:left w:val="single" w:sz="6" w:space="0" w:color="000000"/>
              <w:right w:val="single" w:sz="6" w:space="0" w:color="000000"/>
            </w:tcBorders>
          </w:tcPr>
          <w:p w:rsidR="000377E3" w:rsidRDefault="00A62244" w:rsidP="00FA2156">
            <w:pPr>
              <w:tabs>
                <w:tab w:val="left" w:pos="2160"/>
              </w:tabs>
              <w:spacing w:before="9"/>
              <w:jc w:val="right"/>
            </w:pPr>
            <w:r>
              <w:t>3,244</w:t>
            </w:r>
          </w:p>
        </w:tc>
      </w:tr>
      <w:tr w:rsidR="000377E3" w:rsidTr="00A62244">
        <w:trPr>
          <w:cantSplit/>
          <w:jc w:val="center"/>
        </w:trPr>
        <w:tc>
          <w:tcPr>
            <w:tcW w:w="4500" w:type="dxa"/>
            <w:tcBorders>
              <w:left w:val="single" w:sz="6" w:space="0" w:color="000000"/>
              <w:right w:val="single" w:sz="6" w:space="0" w:color="000000"/>
            </w:tcBorders>
          </w:tcPr>
          <w:p w:rsidR="000377E3" w:rsidRDefault="000377E3" w:rsidP="00FA2156">
            <w:pPr>
              <w:tabs>
                <w:tab w:val="left" w:pos="2160"/>
              </w:tabs>
              <w:spacing w:before="9"/>
            </w:pPr>
            <w:r>
              <w:rPr>
                <w:sz w:val="22"/>
              </w:rPr>
              <w:t xml:space="preserve">Standard error </w:t>
            </w:r>
          </w:p>
        </w:tc>
        <w:tc>
          <w:tcPr>
            <w:tcW w:w="1800" w:type="dxa"/>
            <w:tcBorders>
              <w:left w:val="single" w:sz="6" w:space="0" w:color="000000"/>
              <w:right w:val="single" w:sz="6" w:space="0" w:color="000000"/>
            </w:tcBorders>
          </w:tcPr>
          <w:p w:rsidR="000377E3" w:rsidRDefault="00A62244" w:rsidP="00FA2156">
            <w:pPr>
              <w:tabs>
                <w:tab w:val="left" w:pos="2160"/>
              </w:tabs>
              <w:spacing w:before="9"/>
              <w:jc w:val="right"/>
            </w:pPr>
            <w:r>
              <w:rPr>
                <w:sz w:val="22"/>
              </w:rPr>
              <w:t>0.96</w:t>
            </w:r>
          </w:p>
        </w:tc>
      </w:tr>
      <w:tr w:rsidR="000377E3" w:rsidTr="00A62244">
        <w:trPr>
          <w:cantSplit/>
          <w:trHeight w:hRule="exact" w:val="302"/>
          <w:jc w:val="center"/>
        </w:trPr>
        <w:tc>
          <w:tcPr>
            <w:tcW w:w="4500" w:type="dxa"/>
            <w:tcBorders>
              <w:left w:val="single" w:sz="6" w:space="0" w:color="000000"/>
              <w:bottom w:val="single" w:sz="6" w:space="0" w:color="000000"/>
              <w:right w:val="single" w:sz="6" w:space="0" w:color="000000"/>
            </w:tcBorders>
          </w:tcPr>
          <w:p w:rsidR="000377E3" w:rsidRDefault="000377E3" w:rsidP="00FA2156">
            <w:pPr>
              <w:tabs>
                <w:tab w:val="left" w:pos="2160"/>
              </w:tabs>
              <w:spacing w:before="9"/>
            </w:pPr>
            <w:r>
              <w:rPr>
                <w:sz w:val="22"/>
              </w:rPr>
              <w:t>90-percent confidence interval</w:t>
            </w:r>
          </w:p>
        </w:tc>
        <w:tc>
          <w:tcPr>
            <w:tcW w:w="1800" w:type="dxa"/>
            <w:tcBorders>
              <w:left w:val="single" w:sz="6" w:space="0" w:color="000000"/>
              <w:bottom w:val="single" w:sz="6" w:space="0" w:color="000000"/>
              <w:right w:val="single" w:sz="6" w:space="0" w:color="000000"/>
            </w:tcBorders>
          </w:tcPr>
          <w:p w:rsidR="000377E3" w:rsidRDefault="00A62244" w:rsidP="00A62244">
            <w:pPr>
              <w:tabs>
                <w:tab w:val="left" w:pos="2160"/>
              </w:tabs>
              <w:spacing w:before="9"/>
              <w:jc w:val="right"/>
            </w:pPr>
            <w:r>
              <w:rPr>
                <w:sz w:val="22"/>
              </w:rPr>
              <w:t>29.8</w:t>
            </w:r>
            <w:r w:rsidR="000377E3">
              <w:rPr>
                <w:sz w:val="22"/>
              </w:rPr>
              <w:t xml:space="preserve"> to </w:t>
            </w:r>
            <w:r>
              <w:rPr>
                <w:sz w:val="22"/>
              </w:rPr>
              <w:t>33</w:t>
            </w:r>
            <w:r w:rsidR="000377E3">
              <w:rPr>
                <w:sz w:val="22"/>
              </w:rPr>
              <w:t>.0</w:t>
            </w:r>
          </w:p>
        </w:tc>
      </w:tr>
    </w:tbl>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t>The standard error is calculated as</w:t>
      </w:r>
    </w:p>
    <w:p w:rsidR="00626FA2" w:rsidRDefault="00626FA2" w:rsidP="000377E3"/>
    <w:p w:rsidR="00626FA2" w:rsidRDefault="00E063F8" w:rsidP="00626FA2">
      <w:pPr>
        <w:jc w:val="center"/>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y,p</m:t>
            </m:r>
          </m:sub>
        </m:sSub>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3,244</m:t>
                </m:r>
              </m:num>
              <m:den>
                <m:r>
                  <w:rPr>
                    <w:rFonts w:ascii="Cambria Math" w:hAnsi="Cambria Math"/>
                    <w:sz w:val="28"/>
                    <w:szCs w:val="28"/>
                  </w:rPr>
                  <m:t>7,515,000</m:t>
                </m:r>
              </m:den>
            </m:f>
            <m:r>
              <w:rPr>
                <w:rFonts w:ascii="Cambria Math" w:hAnsi="Cambria Math"/>
                <w:sz w:val="28"/>
                <w:szCs w:val="28"/>
              </w:rPr>
              <m:t>*31.4*(100-31.4)</m:t>
            </m:r>
          </m:e>
        </m:rad>
        <m:r>
          <w:rPr>
            <w:rFonts w:ascii="Cambria Math" w:hAnsi="Cambria Math"/>
            <w:sz w:val="28"/>
            <w:szCs w:val="28"/>
          </w:rPr>
          <m:t>=0.96</m:t>
        </m:r>
      </m:oMath>
      <w:r w:rsidR="00626FA2" w:rsidRPr="000623E0">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4pt" o:ole="">
            <v:imagedata r:id="rId16" o:title=""/>
          </v:shape>
          <o:OLEObject Type="Embed" ProgID="Equation.3" ShapeID="_x0000_i1025" DrawAspect="Content" ObjectID="_1535888377" r:id="rId17"/>
        </w:object>
      </w:r>
    </w:p>
    <w:p w:rsidR="000377E3" w:rsidRDefault="000377E3" w:rsidP="000377E3"/>
    <w:p w:rsidR="00A62244" w:rsidRDefault="000377E3" w:rsidP="00A62244">
      <w:r>
        <w:rPr>
          <w:lang w:val="en-CA"/>
        </w:rPr>
        <w:fldChar w:fldCharType="begin"/>
      </w:r>
      <w:r>
        <w:rPr>
          <w:lang w:val="en-CA"/>
        </w:rPr>
        <w:instrText xml:space="preserve"> SEQ CHAPTER \h \r 1</w:instrText>
      </w:r>
      <w:r>
        <w:rPr>
          <w:lang w:val="en-CA"/>
        </w:rPr>
        <w:fldChar w:fldCharType="end"/>
      </w:r>
      <w:r>
        <w:t>The 90-percent confidence interval for the estimat</w:t>
      </w:r>
      <w:r>
        <w:softHyphen/>
        <w:t xml:space="preserve">ed percentage of </w:t>
      </w:r>
      <w:r w:rsidR="00A62244">
        <w:t>displaced workers who lost their jobs when a plant or company closed down or moved is from 2</w:t>
      </w:r>
      <w:r w:rsidR="00F70E7D">
        <w:t>9.</w:t>
      </w:r>
      <w:r w:rsidR="00A62244">
        <w:t>8</w:t>
      </w:r>
      <w:r w:rsidR="00F70E7D">
        <w:t xml:space="preserve"> </w:t>
      </w:r>
      <w:r w:rsidR="00A62244">
        <w:t>to 3</w:t>
      </w:r>
      <w:r w:rsidR="00F70E7D">
        <w:t>3</w:t>
      </w:r>
      <w:r w:rsidR="00A62244">
        <w:t>.</w:t>
      </w:r>
      <w:r w:rsidR="00F70E7D">
        <w:t>0</w:t>
      </w:r>
      <w:r w:rsidR="00A62244">
        <w:t xml:space="preserve"> percent (i.e., </w:t>
      </w:r>
      <w:r w:rsidR="00F70E7D">
        <w:t>31.4 ± 1.645 × 0.96</w:t>
      </w:r>
      <w:r w:rsidR="00A62244">
        <w:t>).</w:t>
      </w:r>
    </w:p>
    <w:p w:rsidR="000377E3" w:rsidRDefault="000377E3" w:rsidP="000377E3"/>
    <w:p w:rsidR="000377E3" w:rsidRDefault="000377E3" w:rsidP="000377E3">
      <w:r>
        <w:rPr>
          <w:lang w:val="en-CA"/>
        </w:rPr>
        <w:fldChar w:fldCharType="begin"/>
      </w:r>
      <w:r>
        <w:rPr>
          <w:lang w:val="en-CA"/>
        </w:rPr>
        <w:instrText xml:space="preserve"> SEQ CHAPTER \h \r 1</w:instrText>
      </w:r>
      <w:r>
        <w:rPr>
          <w:lang w:val="en-CA"/>
        </w:rPr>
        <w:fldChar w:fldCharType="end"/>
      </w:r>
      <w:r>
        <w:rPr>
          <w:b/>
          <w:bCs/>
          <w:u w:val="single"/>
        </w:rPr>
        <w:t>Standard Errors of Estimated Differences</w:t>
      </w:r>
      <w:r>
        <w:t>.  The standard error of the difference between two sample estimates is approximately equal to</w:t>
      </w:r>
    </w:p>
    <w:p w:rsidR="000377E3" w:rsidRDefault="000377E3" w:rsidP="000377E3"/>
    <w:p w:rsidR="00626FA2" w:rsidRDefault="00E063F8" w:rsidP="00626FA2">
      <w:pPr>
        <w:ind w:left="2880"/>
        <w:jc w:val="center"/>
      </w:pPr>
      <m:oMath>
        <m:sSub>
          <m:sSubPr>
            <m:ctrlPr>
              <w:rPr>
                <w:rFonts w:ascii="Cambria Math" w:hAnsi="Cambria Math"/>
                <w:i/>
                <w:sz w:val="28"/>
                <w:szCs w:val="28"/>
              </w:rPr>
            </m:ctrlPr>
          </m:sSubPr>
          <m:e>
            <m:r>
              <w:rPr>
                <w:rFonts w:ascii="Cambria Math" w:hAnsi="Cambria Math"/>
                <w:sz w:val="28"/>
                <w:szCs w:val="28"/>
              </w:rPr>
              <m:t>s</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sub>
        </m:sSub>
        <m:r>
          <w:rPr>
            <w:rFonts w:ascii="Cambria Math" w:hAnsi="Cambria Math"/>
            <w:sz w:val="28"/>
            <w:szCs w:val="28"/>
          </w:rPr>
          <m:t>=</m:t>
        </m:r>
        <m:rad>
          <m:radPr>
            <m:degHide m:val="1"/>
            <m:ctrlPr>
              <w:rPr>
                <w:rFonts w:ascii="Cambria Math" w:hAnsi="Cambria Math"/>
                <w:i/>
                <w:sz w:val="28"/>
                <w:szCs w:val="28"/>
              </w:rPr>
            </m:ctrlPr>
          </m:radPr>
          <m:deg/>
          <m:e>
            <m:sSubSup>
              <m:sSubSupPr>
                <m:ctrlPr>
                  <w:rPr>
                    <w:rFonts w:ascii="Cambria Math" w:hAnsi="Cambria Math"/>
                    <w:i/>
                    <w:sz w:val="28"/>
                    <w:szCs w:val="28"/>
                  </w:rPr>
                </m:ctrlPr>
              </m:sSubSupPr>
              <m:e>
                <m:r>
                  <w:rPr>
                    <w:rFonts w:ascii="Cambria Math" w:hAnsi="Cambria Math"/>
                    <w:sz w:val="28"/>
                    <w:szCs w:val="28"/>
                  </w:rPr>
                  <m:t>s</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s</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sub>
              <m:sup>
                <m:r>
                  <w:rPr>
                    <w:rFonts w:ascii="Cambria Math" w:hAnsi="Cambria Math"/>
                    <w:sz w:val="28"/>
                    <w:szCs w:val="28"/>
                  </w:rPr>
                  <m:t>2</m:t>
                </m:r>
              </m:sup>
            </m:sSubSup>
          </m:e>
        </m:rad>
      </m:oMath>
      <w:r w:rsidR="00626FA2">
        <w:tab/>
      </w:r>
      <w:r w:rsidR="00626FA2">
        <w:tab/>
        <w:t xml:space="preserve">                        </w:t>
      </w:r>
      <w:r w:rsidR="00626FA2">
        <w:tab/>
        <w:t>(3)</w:t>
      </w:r>
    </w:p>
    <w:p w:rsidR="000377E3" w:rsidRDefault="000377E3" w:rsidP="000377E3"/>
    <w:p w:rsidR="000377E3" w:rsidRDefault="000377E3" w:rsidP="000377E3">
      <w:pPr>
        <w:rPr>
          <w:lang w:val="en-CA"/>
        </w:rPr>
      </w:pPr>
      <w:r>
        <w:t xml:space="preserve">where </w:t>
      </w:r>
      <w:r>
        <w:rPr>
          <w:i/>
          <w:iCs/>
        </w:rPr>
        <w:t>s</w:t>
      </w:r>
      <w:r>
        <w:rPr>
          <w:i/>
          <w:iCs/>
          <w:vertAlign w:val="subscript"/>
        </w:rPr>
        <w:t>x1</w:t>
      </w:r>
      <w:r>
        <w:t xml:space="preserve"> and </w:t>
      </w:r>
      <w:r>
        <w:rPr>
          <w:i/>
          <w:iCs/>
        </w:rPr>
        <w:t>s</w:t>
      </w:r>
      <w:r>
        <w:rPr>
          <w:i/>
          <w:iCs/>
          <w:vertAlign w:val="subscript"/>
        </w:rPr>
        <w:t>x2</w:t>
      </w:r>
      <w:r>
        <w:t xml:space="preserve"> are the standard errors of the estimates, </w:t>
      </w:r>
      <w:r>
        <w:rPr>
          <w:i/>
          <w:iCs/>
        </w:rPr>
        <w:t>x</w:t>
      </w:r>
      <w:r>
        <w:rPr>
          <w:i/>
          <w:iCs/>
          <w:vertAlign w:val="subscript"/>
        </w:rPr>
        <w:t>1</w:t>
      </w:r>
      <w:r>
        <w:t xml:space="preserve"> and </w:t>
      </w:r>
      <w:r>
        <w:rPr>
          <w:i/>
          <w:iCs/>
        </w:rPr>
        <w:t>x</w:t>
      </w:r>
      <w:r>
        <w:rPr>
          <w:i/>
          <w:iCs/>
          <w:vertAlign w:val="subscript"/>
        </w:rPr>
        <w:t>2</w:t>
      </w:r>
      <w:r>
        <w:t>.  The estimates can be numbers, percentages, ratios, etc.  This will result in accurate estimates of the standard error of the same characteristic in two different areas, or for the difference between separate and uncorrelated characteristics in the same area.  However, if there is a high positive (negative) correlation between the two characteristics, the formula will overestimate (underestimate) the true standard error.</w:t>
      </w:r>
    </w:p>
    <w:p w:rsidR="000377E3" w:rsidRDefault="000377E3" w:rsidP="000377E3">
      <w:pPr>
        <w:rPr>
          <w:lang w:val="en-CA"/>
        </w:rPr>
      </w:pPr>
    </w:p>
    <w:p w:rsidR="000377E3" w:rsidRDefault="000377E3" w:rsidP="000377E3">
      <w:r>
        <w:rPr>
          <w:lang w:val="en-CA"/>
        </w:rPr>
        <w:fldChar w:fldCharType="begin"/>
      </w:r>
      <w:r>
        <w:rPr>
          <w:lang w:val="en-CA"/>
        </w:rPr>
        <w:instrText xml:space="preserve"> SEQ CHAPTER \h \r 1</w:instrText>
      </w:r>
      <w:r>
        <w:rPr>
          <w:lang w:val="en-CA"/>
        </w:rPr>
        <w:fldChar w:fldCharType="end"/>
      </w:r>
      <w:r>
        <w:rPr>
          <w:u w:val="single"/>
        </w:rPr>
        <w:t>Illustration 3</w:t>
      </w:r>
    </w:p>
    <w:p w:rsidR="000377E3" w:rsidRDefault="00617199" w:rsidP="000377E3">
      <w:r w:rsidRPr="00617199">
        <w:t>Suppose that of the 8,943,</w:t>
      </w:r>
      <w:r w:rsidR="004A0B47" w:rsidRPr="00617199">
        <w:t>000 employed men between 25-29</w:t>
      </w:r>
      <w:r w:rsidR="000377E3" w:rsidRPr="00617199">
        <w:t xml:space="preserve"> years of age, </w:t>
      </w:r>
      <w:r w:rsidRPr="00617199">
        <w:t>1,</w:t>
      </w:r>
      <w:r w:rsidR="004A0B47" w:rsidRPr="00617199">
        <w:t>00</w:t>
      </w:r>
      <w:r w:rsidRPr="00617199">
        <w:t>8</w:t>
      </w:r>
      <w:r w:rsidR="004A0B47" w:rsidRPr="00617199">
        <w:t>,000, or 1</w:t>
      </w:r>
      <w:r w:rsidRPr="00617199">
        <w:t>1</w:t>
      </w:r>
      <w:r w:rsidR="004A0B47" w:rsidRPr="00617199">
        <w:t>.</w:t>
      </w:r>
      <w:r w:rsidRPr="00617199">
        <w:t>3</w:t>
      </w:r>
      <w:r w:rsidR="000377E3" w:rsidRPr="00617199">
        <w:t> percent were part</w:t>
      </w:r>
      <w:r w:rsidR="000377E3" w:rsidRPr="00617199">
        <w:noBreakHyphen/>
        <w:t xml:space="preserve">time workers, and of the </w:t>
      </w:r>
      <w:r w:rsidRPr="00617199">
        <w:t>7</w:t>
      </w:r>
      <w:r w:rsidR="000377E3" w:rsidRPr="00617199">
        <w:t>,</w:t>
      </w:r>
      <w:r w:rsidRPr="00617199">
        <w:t>920</w:t>
      </w:r>
      <w:r w:rsidR="000377E3" w:rsidRPr="00617199">
        <w:t xml:space="preserve">,000 employed women between </w:t>
      </w:r>
      <w:r w:rsidR="004A0B47" w:rsidRPr="00617199">
        <w:t xml:space="preserve">25-29 </w:t>
      </w:r>
      <w:r w:rsidR="000377E3" w:rsidRPr="00617199">
        <w:t xml:space="preserve">years of age, </w:t>
      </w:r>
      <w:r w:rsidRPr="00617199">
        <w:t>1,714,</w:t>
      </w:r>
      <w:r w:rsidR="004A0B47" w:rsidRPr="00617199">
        <w:t>000, or</w:t>
      </w:r>
      <w:r w:rsidR="006C6AA6" w:rsidRPr="00617199">
        <w:t xml:space="preserve"> </w:t>
      </w:r>
      <w:r w:rsidRPr="00617199">
        <w:t>10.3</w:t>
      </w:r>
      <w:r w:rsidR="000377E3" w:rsidRPr="00617199">
        <w:t xml:space="preserve"> percent were part-time workers.  Use the appropriate parameters from Table 3</w:t>
      </w:r>
      <w:r w:rsidR="00035E12" w:rsidRPr="00617199">
        <w:t xml:space="preserve"> and</w:t>
      </w:r>
      <w:r w:rsidR="00035E12">
        <w:t xml:space="preserve"> Formulas (2) and (3</w:t>
      </w:r>
      <w:r w:rsidR="000377E3">
        <w:t>) to get</w:t>
      </w:r>
    </w:p>
    <w:p w:rsidR="000377E3" w:rsidRDefault="000377E3" w:rsidP="000377E3"/>
    <w:tbl>
      <w:tblPr>
        <w:tblW w:w="0" w:type="auto"/>
        <w:jc w:val="center"/>
        <w:tblLayout w:type="fixed"/>
        <w:tblCellMar>
          <w:left w:w="100" w:type="dxa"/>
          <w:right w:w="100" w:type="dxa"/>
        </w:tblCellMar>
        <w:tblLook w:val="0000" w:firstRow="0" w:lastRow="0" w:firstColumn="0" w:lastColumn="0" w:noHBand="0" w:noVBand="0"/>
      </w:tblPr>
      <w:tblGrid>
        <w:gridCol w:w="2463"/>
        <w:gridCol w:w="1800"/>
        <w:gridCol w:w="1800"/>
        <w:gridCol w:w="1739"/>
      </w:tblGrid>
      <w:tr w:rsidR="000377E3" w:rsidTr="00FA2156">
        <w:trPr>
          <w:cantSplit/>
          <w:jc w:val="center"/>
        </w:trPr>
        <w:tc>
          <w:tcPr>
            <w:tcW w:w="7802"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rsidR="000377E3" w:rsidRDefault="000377E3" w:rsidP="00FA2156">
            <w:pPr>
              <w:keepNext/>
              <w:keepLines/>
              <w:widowControl w:val="0"/>
              <w:spacing w:before="16"/>
              <w:jc w:val="center"/>
              <w:rPr>
                <w:b/>
                <w:bCs/>
              </w:rPr>
            </w:pPr>
            <w:r>
              <w:rPr>
                <w:b/>
                <w:bCs/>
                <w:sz w:val="22"/>
              </w:rPr>
              <w:lastRenderedPageBreak/>
              <w:t>Illustration 3</w:t>
            </w:r>
          </w:p>
        </w:tc>
      </w:tr>
      <w:tr w:rsidR="000377E3" w:rsidTr="00FA2156">
        <w:trPr>
          <w:cantSplit/>
          <w:jc w:val="center"/>
        </w:trPr>
        <w:tc>
          <w:tcPr>
            <w:tcW w:w="2463" w:type="dxa"/>
            <w:tcBorders>
              <w:top w:val="single" w:sz="6" w:space="0" w:color="000000"/>
              <w:left w:val="single" w:sz="6" w:space="0" w:color="000000"/>
              <w:bottom w:val="single" w:sz="6" w:space="0" w:color="000000"/>
              <w:right w:val="single" w:sz="6" w:space="0" w:color="000000"/>
            </w:tcBorders>
            <w:vAlign w:val="center"/>
          </w:tcPr>
          <w:p w:rsidR="000377E3" w:rsidRDefault="000377E3" w:rsidP="00FA2156">
            <w:pPr>
              <w:keepNext/>
              <w:keepLines/>
              <w:widowControl w:val="0"/>
              <w:spacing w:before="16"/>
              <w:jc w:val="center"/>
            </w:pPr>
          </w:p>
        </w:tc>
        <w:tc>
          <w:tcPr>
            <w:tcW w:w="1800" w:type="dxa"/>
            <w:tcBorders>
              <w:top w:val="single" w:sz="6" w:space="0" w:color="000000"/>
              <w:left w:val="single" w:sz="6" w:space="0" w:color="000000"/>
              <w:bottom w:val="single" w:sz="6" w:space="0" w:color="000000"/>
            </w:tcBorders>
            <w:vAlign w:val="center"/>
          </w:tcPr>
          <w:p w:rsidR="000377E3" w:rsidRDefault="000377E3" w:rsidP="00FA2156">
            <w:pPr>
              <w:keepNext/>
              <w:keepLines/>
              <w:widowControl w:val="0"/>
              <w:spacing w:before="16"/>
              <w:jc w:val="center"/>
            </w:pPr>
            <w:r>
              <w:rPr>
                <w:sz w:val="22"/>
              </w:rPr>
              <w:t>Male (</w:t>
            </w:r>
            <w:r>
              <w:rPr>
                <w:i/>
                <w:iCs/>
              </w:rPr>
              <w:t>x</w:t>
            </w:r>
            <w:r>
              <w:rPr>
                <w:i/>
                <w:iCs/>
                <w:vertAlign w:val="subscript"/>
              </w:rPr>
              <w:t>1</w:t>
            </w:r>
            <w:r>
              <w:rPr>
                <w:sz w:val="22"/>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0377E3" w:rsidRDefault="000377E3" w:rsidP="00FA2156">
            <w:pPr>
              <w:keepNext/>
              <w:keepLines/>
              <w:widowControl w:val="0"/>
              <w:spacing w:before="16"/>
              <w:jc w:val="center"/>
            </w:pPr>
            <w:r>
              <w:rPr>
                <w:sz w:val="22"/>
              </w:rPr>
              <w:t>Female (</w:t>
            </w:r>
            <w:r>
              <w:rPr>
                <w:i/>
                <w:iCs/>
              </w:rPr>
              <w:t>x</w:t>
            </w:r>
            <w:r>
              <w:rPr>
                <w:i/>
                <w:iCs/>
                <w:vertAlign w:val="subscript"/>
              </w:rPr>
              <w:t>2</w:t>
            </w:r>
            <w:r>
              <w:rPr>
                <w:sz w:val="22"/>
              </w:rPr>
              <w:t>)</w:t>
            </w:r>
          </w:p>
        </w:tc>
        <w:tc>
          <w:tcPr>
            <w:tcW w:w="1739" w:type="dxa"/>
            <w:tcBorders>
              <w:top w:val="single" w:sz="6" w:space="0" w:color="000000"/>
              <w:left w:val="single" w:sz="6" w:space="0" w:color="000000"/>
              <w:bottom w:val="single" w:sz="6" w:space="0" w:color="000000"/>
              <w:right w:val="single" w:sz="6" w:space="0" w:color="000000"/>
            </w:tcBorders>
            <w:vAlign w:val="center"/>
          </w:tcPr>
          <w:p w:rsidR="000377E3" w:rsidRDefault="000377E3" w:rsidP="00FA2156">
            <w:pPr>
              <w:keepNext/>
              <w:keepLines/>
              <w:widowControl w:val="0"/>
              <w:spacing w:before="16"/>
              <w:jc w:val="center"/>
            </w:pPr>
            <w:r>
              <w:rPr>
                <w:sz w:val="22"/>
              </w:rPr>
              <w:t>Difference</w:t>
            </w:r>
          </w:p>
        </w:tc>
      </w:tr>
      <w:tr w:rsidR="000377E3" w:rsidTr="00FA2156">
        <w:trPr>
          <w:cantSplit/>
          <w:jc w:val="center"/>
        </w:trPr>
        <w:tc>
          <w:tcPr>
            <w:tcW w:w="2463" w:type="dxa"/>
            <w:tcBorders>
              <w:top w:val="single" w:sz="6" w:space="0" w:color="000000"/>
              <w:left w:val="single" w:sz="6" w:space="0" w:color="000000"/>
              <w:right w:val="single" w:sz="6" w:space="0" w:color="000000"/>
            </w:tcBorders>
          </w:tcPr>
          <w:p w:rsidR="000377E3" w:rsidRDefault="000377E3" w:rsidP="00FA2156">
            <w:pPr>
              <w:keepNext/>
              <w:keepLines/>
              <w:widowControl w:val="0"/>
              <w:spacing w:before="16"/>
            </w:pPr>
            <w:r>
              <w:rPr>
                <w:sz w:val="22"/>
              </w:rPr>
              <w:t xml:space="preserve">Percentage working </w:t>
            </w:r>
          </w:p>
          <w:p w:rsidR="000377E3" w:rsidRDefault="000377E3" w:rsidP="00FA2156">
            <w:pPr>
              <w:keepNext/>
              <w:keepLines/>
              <w:widowControl w:val="0"/>
              <w:spacing w:before="16"/>
            </w:pPr>
            <w:r>
              <w:rPr>
                <w:sz w:val="22"/>
              </w:rPr>
              <w:t xml:space="preserve">     part</w:t>
            </w:r>
            <w:r>
              <w:rPr>
                <w:sz w:val="22"/>
              </w:rPr>
              <w:noBreakHyphen/>
              <w:t>time (</w:t>
            </w:r>
            <w:r>
              <w:rPr>
                <w:i/>
                <w:iCs/>
                <w:sz w:val="22"/>
              </w:rPr>
              <w:t>p</w:t>
            </w:r>
            <w:r>
              <w:rPr>
                <w:sz w:val="22"/>
              </w:rPr>
              <w:t>)</w:t>
            </w:r>
          </w:p>
        </w:tc>
        <w:tc>
          <w:tcPr>
            <w:tcW w:w="1800" w:type="dxa"/>
            <w:tcBorders>
              <w:top w:val="single" w:sz="6" w:space="0" w:color="000000"/>
              <w:left w:val="single" w:sz="6" w:space="0" w:color="000000"/>
            </w:tcBorders>
            <w:tcMar>
              <w:right w:w="259" w:type="dxa"/>
            </w:tcMar>
            <w:vAlign w:val="center"/>
          </w:tcPr>
          <w:p w:rsidR="000377E3" w:rsidRDefault="00AF731B" w:rsidP="00FA2156">
            <w:pPr>
              <w:keepNext/>
              <w:keepLines/>
              <w:widowControl w:val="0"/>
              <w:spacing w:before="16"/>
              <w:jc w:val="right"/>
            </w:pPr>
            <w:r>
              <w:rPr>
                <w:sz w:val="22"/>
              </w:rPr>
              <w:t>11.3</w:t>
            </w:r>
          </w:p>
        </w:tc>
        <w:tc>
          <w:tcPr>
            <w:tcW w:w="1800" w:type="dxa"/>
            <w:tcBorders>
              <w:top w:val="single" w:sz="6" w:space="0" w:color="000000"/>
              <w:left w:val="single" w:sz="6" w:space="0" w:color="000000"/>
              <w:right w:val="single" w:sz="6" w:space="0" w:color="000000"/>
            </w:tcBorders>
            <w:tcMar>
              <w:right w:w="259" w:type="dxa"/>
            </w:tcMar>
            <w:vAlign w:val="center"/>
          </w:tcPr>
          <w:p w:rsidR="000377E3" w:rsidRDefault="00AF731B" w:rsidP="00FA2156">
            <w:pPr>
              <w:keepNext/>
              <w:keepLines/>
              <w:widowControl w:val="0"/>
              <w:spacing w:before="16"/>
              <w:jc w:val="right"/>
            </w:pPr>
            <w:r>
              <w:rPr>
                <w:sz w:val="22"/>
              </w:rPr>
              <w:t>21.6</w:t>
            </w:r>
          </w:p>
        </w:tc>
        <w:tc>
          <w:tcPr>
            <w:tcW w:w="1739" w:type="dxa"/>
            <w:tcBorders>
              <w:top w:val="single" w:sz="6" w:space="0" w:color="000000"/>
              <w:left w:val="single" w:sz="6" w:space="0" w:color="000000"/>
              <w:right w:val="single" w:sz="6" w:space="0" w:color="000000"/>
            </w:tcBorders>
            <w:tcMar>
              <w:right w:w="259" w:type="dxa"/>
            </w:tcMar>
            <w:vAlign w:val="center"/>
          </w:tcPr>
          <w:p w:rsidR="000377E3" w:rsidRDefault="00AF731B" w:rsidP="00FA2156">
            <w:pPr>
              <w:keepNext/>
              <w:keepLines/>
              <w:widowControl w:val="0"/>
              <w:spacing w:before="16"/>
              <w:jc w:val="right"/>
            </w:pPr>
            <w:r>
              <w:rPr>
                <w:sz w:val="22"/>
              </w:rPr>
              <w:t>10.3</w:t>
            </w:r>
          </w:p>
        </w:tc>
      </w:tr>
      <w:tr w:rsidR="000377E3" w:rsidTr="00FA2156">
        <w:trPr>
          <w:cantSplit/>
          <w:jc w:val="center"/>
        </w:trPr>
        <w:tc>
          <w:tcPr>
            <w:tcW w:w="2463" w:type="dxa"/>
            <w:tcBorders>
              <w:left w:val="single" w:sz="6" w:space="0" w:color="000000"/>
              <w:right w:val="single" w:sz="6" w:space="0" w:color="000000"/>
            </w:tcBorders>
          </w:tcPr>
          <w:p w:rsidR="000377E3" w:rsidRDefault="000377E3" w:rsidP="00FA2156">
            <w:pPr>
              <w:keepNext/>
              <w:keepLines/>
              <w:widowControl w:val="0"/>
              <w:spacing w:before="16"/>
            </w:pPr>
            <w:r>
              <w:rPr>
                <w:sz w:val="22"/>
              </w:rPr>
              <w:t>Base (</w:t>
            </w:r>
            <w:r>
              <w:rPr>
                <w:i/>
                <w:iCs/>
                <w:sz w:val="22"/>
              </w:rPr>
              <w:t>y</w:t>
            </w:r>
            <w:r>
              <w:rPr>
                <w:sz w:val="22"/>
              </w:rPr>
              <w:t>)</w:t>
            </w:r>
          </w:p>
        </w:tc>
        <w:tc>
          <w:tcPr>
            <w:tcW w:w="1800" w:type="dxa"/>
            <w:tcBorders>
              <w:left w:val="single" w:sz="6" w:space="0" w:color="000000"/>
            </w:tcBorders>
            <w:tcMar>
              <w:right w:w="259" w:type="dxa"/>
            </w:tcMar>
            <w:vAlign w:val="center"/>
          </w:tcPr>
          <w:p w:rsidR="000377E3" w:rsidRDefault="00AF731B" w:rsidP="00AF731B">
            <w:pPr>
              <w:keepNext/>
              <w:keepLines/>
              <w:widowControl w:val="0"/>
              <w:spacing w:before="16"/>
              <w:jc w:val="right"/>
            </w:pPr>
            <w:r>
              <w:rPr>
                <w:sz w:val="22"/>
              </w:rPr>
              <w:t>8</w:t>
            </w:r>
            <w:r w:rsidR="000377E3">
              <w:rPr>
                <w:sz w:val="22"/>
              </w:rPr>
              <w:t>,</w:t>
            </w:r>
            <w:r>
              <w:rPr>
                <w:sz w:val="22"/>
              </w:rPr>
              <w:t>943</w:t>
            </w:r>
            <w:r w:rsidR="000377E3">
              <w:rPr>
                <w:sz w:val="22"/>
              </w:rPr>
              <w:t>,000</w:t>
            </w:r>
          </w:p>
        </w:tc>
        <w:tc>
          <w:tcPr>
            <w:tcW w:w="1800" w:type="dxa"/>
            <w:tcBorders>
              <w:left w:val="single" w:sz="6" w:space="0" w:color="000000"/>
              <w:right w:val="single" w:sz="6" w:space="0" w:color="000000"/>
            </w:tcBorders>
            <w:tcMar>
              <w:right w:w="259" w:type="dxa"/>
            </w:tcMar>
            <w:vAlign w:val="center"/>
          </w:tcPr>
          <w:p w:rsidR="000377E3" w:rsidRDefault="00AF731B" w:rsidP="00AF731B">
            <w:pPr>
              <w:keepNext/>
              <w:keepLines/>
              <w:widowControl w:val="0"/>
              <w:spacing w:before="16"/>
              <w:jc w:val="right"/>
            </w:pPr>
            <w:r>
              <w:rPr>
                <w:sz w:val="22"/>
              </w:rPr>
              <w:t>7</w:t>
            </w:r>
            <w:r w:rsidR="000377E3">
              <w:rPr>
                <w:sz w:val="22"/>
              </w:rPr>
              <w:t>,</w:t>
            </w:r>
            <w:r>
              <w:rPr>
                <w:sz w:val="22"/>
              </w:rPr>
              <w:t>920</w:t>
            </w:r>
            <w:r w:rsidR="000377E3">
              <w:rPr>
                <w:sz w:val="22"/>
              </w:rPr>
              <w:t>,000</w:t>
            </w:r>
          </w:p>
        </w:tc>
        <w:tc>
          <w:tcPr>
            <w:tcW w:w="1739" w:type="dxa"/>
            <w:tcBorders>
              <w:left w:val="single" w:sz="6" w:space="0" w:color="000000"/>
              <w:right w:val="single" w:sz="6" w:space="0" w:color="000000"/>
            </w:tcBorders>
            <w:tcMar>
              <w:right w:w="259" w:type="dxa"/>
            </w:tcMar>
            <w:vAlign w:val="center"/>
          </w:tcPr>
          <w:p w:rsidR="000377E3" w:rsidRDefault="000377E3" w:rsidP="00FA2156">
            <w:pPr>
              <w:keepNext/>
              <w:keepLines/>
              <w:widowControl w:val="0"/>
              <w:spacing w:before="16"/>
              <w:jc w:val="right"/>
            </w:pPr>
            <w:r>
              <w:rPr>
                <w:sz w:val="22"/>
              </w:rPr>
              <w:t>-</w:t>
            </w:r>
          </w:p>
        </w:tc>
      </w:tr>
      <w:tr w:rsidR="000377E3" w:rsidTr="00FA2156">
        <w:trPr>
          <w:cantSplit/>
          <w:jc w:val="center"/>
        </w:trPr>
        <w:tc>
          <w:tcPr>
            <w:tcW w:w="2463" w:type="dxa"/>
            <w:tcBorders>
              <w:left w:val="single" w:sz="6" w:space="0" w:color="000000"/>
              <w:right w:val="single" w:sz="6" w:space="0" w:color="000000"/>
            </w:tcBorders>
          </w:tcPr>
          <w:p w:rsidR="000377E3" w:rsidRDefault="000377E3" w:rsidP="00FA2156">
            <w:pPr>
              <w:keepNext/>
              <w:keepLines/>
              <w:widowControl w:val="0"/>
              <w:spacing w:before="16"/>
            </w:pPr>
            <w:r>
              <w:rPr>
                <w:sz w:val="22"/>
              </w:rPr>
              <w:t>b parameter (</w:t>
            </w:r>
            <w:r>
              <w:rPr>
                <w:i/>
                <w:iCs/>
                <w:sz w:val="22"/>
              </w:rPr>
              <w:t>b</w:t>
            </w:r>
            <w:r>
              <w:rPr>
                <w:sz w:val="22"/>
              </w:rPr>
              <w:t>)</w:t>
            </w:r>
          </w:p>
        </w:tc>
        <w:tc>
          <w:tcPr>
            <w:tcW w:w="1800" w:type="dxa"/>
            <w:tcBorders>
              <w:left w:val="single" w:sz="6" w:space="0" w:color="000000"/>
            </w:tcBorders>
            <w:tcMar>
              <w:right w:w="259" w:type="dxa"/>
            </w:tcMar>
            <w:vAlign w:val="center"/>
          </w:tcPr>
          <w:p w:rsidR="000377E3" w:rsidRDefault="00AF731B" w:rsidP="00FA2156">
            <w:pPr>
              <w:keepNext/>
              <w:keepLines/>
              <w:widowControl w:val="0"/>
              <w:spacing w:before="16"/>
              <w:jc w:val="right"/>
            </w:pPr>
            <w:r>
              <w:rPr>
                <w:sz w:val="22"/>
              </w:rPr>
              <w:t>2,947</w:t>
            </w:r>
          </w:p>
        </w:tc>
        <w:tc>
          <w:tcPr>
            <w:tcW w:w="1800" w:type="dxa"/>
            <w:tcBorders>
              <w:left w:val="single" w:sz="6" w:space="0" w:color="000000"/>
              <w:right w:val="single" w:sz="6" w:space="0" w:color="000000"/>
            </w:tcBorders>
            <w:tcMar>
              <w:right w:w="259" w:type="dxa"/>
            </w:tcMar>
            <w:vAlign w:val="center"/>
          </w:tcPr>
          <w:p w:rsidR="000377E3" w:rsidRDefault="000377E3" w:rsidP="00AF731B">
            <w:pPr>
              <w:keepNext/>
              <w:keepLines/>
              <w:widowControl w:val="0"/>
              <w:spacing w:before="16"/>
              <w:jc w:val="right"/>
            </w:pPr>
            <w:r>
              <w:rPr>
                <w:sz w:val="22"/>
              </w:rPr>
              <w:t>2,7</w:t>
            </w:r>
            <w:r w:rsidR="00AF731B">
              <w:rPr>
                <w:sz w:val="22"/>
              </w:rPr>
              <w:t>88</w:t>
            </w:r>
          </w:p>
        </w:tc>
        <w:tc>
          <w:tcPr>
            <w:tcW w:w="1739" w:type="dxa"/>
            <w:tcBorders>
              <w:left w:val="single" w:sz="6" w:space="0" w:color="000000"/>
              <w:right w:val="single" w:sz="6" w:space="0" w:color="000000"/>
            </w:tcBorders>
            <w:tcMar>
              <w:right w:w="259" w:type="dxa"/>
            </w:tcMar>
            <w:vAlign w:val="center"/>
          </w:tcPr>
          <w:p w:rsidR="000377E3" w:rsidRDefault="000377E3" w:rsidP="00FA2156">
            <w:pPr>
              <w:keepNext/>
              <w:keepLines/>
              <w:widowControl w:val="0"/>
              <w:spacing w:before="16"/>
              <w:jc w:val="right"/>
            </w:pPr>
            <w:r>
              <w:rPr>
                <w:sz w:val="22"/>
              </w:rPr>
              <w:t>-</w:t>
            </w:r>
          </w:p>
        </w:tc>
      </w:tr>
      <w:tr w:rsidR="000377E3" w:rsidTr="00FA2156">
        <w:trPr>
          <w:cantSplit/>
          <w:jc w:val="center"/>
        </w:trPr>
        <w:tc>
          <w:tcPr>
            <w:tcW w:w="2463" w:type="dxa"/>
            <w:tcBorders>
              <w:left w:val="single" w:sz="6" w:space="0" w:color="000000"/>
              <w:right w:val="single" w:sz="6" w:space="0" w:color="000000"/>
            </w:tcBorders>
          </w:tcPr>
          <w:p w:rsidR="000377E3" w:rsidRDefault="000377E3" w:rsidP="00FA2156">
            <w:pPr>
              <w:keepNext/>
              <w:keepLines/>
              <w:widowControl w:val="0"/>
              <w:spacing w:before="16"/>
            </w:pPr>
            <w:r>
              <w:rPr>
                <w:sz w:val="22"/>
              </w:rPr>
              <w:t>Standard error</w:t>
            </w:r>
          </w:p>
        </w:tc>
        <w:tc>
          <w:tcPr>
            <w:tcW w:w="1800" w:type="dxa"/>
            <w:tcBorders>
              <w:left w:val="single" w:sz="6" w:space="0" w:color="000000"/>
            </w:tcBorders>
            <w:tcMar>
              <w:right w:w="259" w:type="dxa"/>
            </w:tcMar>
            <w:vAlign w:val="center"/>
          </w:tcPr>
          <w:p w:rsidR="000377E3" w:rsidRDefault="00AF731B" w:rsidP="00FA2156">
            <w:pPr>
              <w:keepNext/>
              <w:keepLines/>
              <w:widowControl w:val="0"/>
              <w:spacing w:before="16"/>
              <w:jc w:val="right"/>
            </w:pPr>
            <w:r>
              <w:rPr>
                <w:sz w:val="22"/>
              </w:rPr>
              <w:t>0.57</w:t>
            </w:r>
          </w:p>
        </w:tc>
        <w:tc>
          <w:tcPr>
            <w:tcW w:w="1800" w:type="dxa"/>
            <w:tcBorders>
              <w:left w:val="single" w:sz="6" w:space="0" w:color="000000"/>
              <w:right w:val="single" w:sz="6" w:space="0" w:color="000000"/>
            </w:tcBorders>
            <w:tcMar>
              <w:right w:w="259" w:type="dxa"/>
            </w:tcMar>
            <w:vAlign w:val="center"/>
          </w:tcPr>
          <w:p w:rsidR="000377E3" w:rsidRDefault="00AF731B" w:rsidP="00FA2156">
            <w:pPr>
              <w:keepNext/>
              <w:keepLines/>
              <w:widowControl w:val="0"/>
              <w:spacing w:before="16"/>
              <w:jc w:val="right"/>
            </w:pPr>
            <w:r>
              <w:rPr>
                <w:sz w:val="22"/>
              </w:rPr>
              <w:t>0.77</w:t>
            </w:r>
          </w:p>
        </w:tc>
        <w:tc>
          <w:tcPr>
            <w:tcW w:w="1739" w:type="dxa"/>
            <w:tcBorders>
              <w:left w:val="single" w:sz="6" w:space="0" w:color="000000"/>
              <w:right w:val="single" w:sz="6" w:space="0" w:color="000000"/>
            </w:tcBorders>
            <w:tcMar>
              <w:right w:w="259" w:type="dxa"/>
            </w:tcMar>
            <w:vAlign w:val="center"/>
          </w:tcPr>
          <w:p w:rsidR="000377E3" w:rsidRDefault="00AF731B" w:rsidP="00FA2156">
            <w:pPr>
              <w:keepNext/>
              <w:keepLines/>
              <w:widowControl w:val="0"/>
              <w:spacing w:before="16"/>
              <w:jc w:val="right"/>
            </w:pPr>
            <w:r>
              <w:rPr>
                <w:sz w:val="22"/>
              </w:rPr>
              <w:t>0.96</w:t>
            </w:r>
          </w:p>
        </w:tc>
      </w:tr>
      <w:tr w:rsidR="000377E3" w:rsidTr="00FA2156">
        <w:trPr>
          <w:cantSplit/>
          <w:jc w:val="center"/>
        </w:trPr>
        <w:tc>
          <w:tcPr>
            <w:tcW w:w="2463" w:type="dxa"/>
            <w:tcBorders>
              <w:left w:val="single" w:sz="6" w:space="0" w:color="000000"/>
              <w:bottom w:val="single" w:sz="6" w:space="0" w:color="000000"/>
              <w:right w:val="single" w:sz="6" w:space="0" w:color="000000"/>
            </w:tcBorders>
          </w:tcPr>
          <w:p w:rsidR="000377E3" w:rsidRDefault="000377E3" w:rsidP="00FA2156">
            <w:pPr>
              <w:keepNext/>
              <w:keepLines/>
              <w:widowControl w:val="0"/>
              <w:spacing w:before="16"/>
            </w:pPr>
            <w:r>
              <w:rPr>
                <w:sz w:val="22"/>
              </w:rPr>
              <w:t xml:space="preserve">90-percent confidence </w:t>
            </w:r>
          </w:p>
          <w:p w:rsidR="000377E3" w:rsidRDefault="000377E3" w:rsidP="00FA2156">
            <w:pPr>
              <w:keepNext/>
              <w:keepLines/>
              <w:widowControl w:val="0"/>
              <w:spacing w:before="16"/>
            </w:pPr>
            <w:r>
              <w:rPr>
                <w:sz w:val="22"/>
              </w:rPr>
              <w:t xml:space="preserve">     interval</w:t>
            </w:r>
          </w:p>
        </w:tc>
        <w:tc>
          <w:tcPr>
            <w:tcW w:w="1800" w:type="dxa"/>
            <w:tcBorders>
              <w:left w:val="single" w:sz="6" w:space="0" w:color="000000"/>
              <w:bottom w:val="single" w:sz="6" w:space="0" w:color="000000"/>
            </w:tcBorders>
            <w:tcMar>
              <w:right w:w="259" w:type="dxa"/>
            </w:tcMar>
            <w:vAlign w:val="center"/>
          </w:tcPr>
          <w:p w:rsidR="000377E3" w:rsidRDefault="00AF731B" w:rsidP="00AF731B">
            <w:pPr>
              <w:keepNext/>
              <w:keepLines/>
              <w:widowControl w:val="0"/>
              <w:spacing w:before="16"/>
              <w:jc w:val="right"/>
            </w:pPr>
            <w:r>
              <w:rPr>
                <w:sz w:val="22"/>
              </w:rPr>
              <w:t>10.4</w:t>
            </w:r>
            <w:r w:rsidR="000377E3">
              <w:rPr>
                <w:sz w:val="22"/>
              </w:rPr>
              <w:t xml:space="preserve"> to </w:t>
            </w:r>
            <w:r>
              <w:rPr>
                <w:sz w:val="22"/>
              </w:rPr>
              <w:t>12.2</w:t>
            </w:r>
          </w:p>
        </w:tc>
        <w:tc>
          <w:tcPr>
            <w:tcW w:w="1800" w:type="dxa"/>
            <w:tcBorders>
              <w:left w:val="single" w:sz="6" w:space="0" w:color="000000"/>
              <w:bottom w:val="single" w:sz="6" w:space="0" w:color="000000"/>
              <w:right w:val="single" w:sz="6" w:space="0" w:color="000000"/>
            </w:tcBorders>
            <w:tcMar>
              <w:right w:w="259" w:type="dxa"/>
            </w:tcMar>
            <w:vAlign w:val="center"/>
          </w:tcPr>
          <w:p w:rsidR="000377E3" w:rsidRDefault="00AF731B" w:rsidP="00AF731B">
            <w:pPr>
              <w:keepNext/>
              <w:keepLines/>
              <w:widowControl w:val="0"/>
              <w:spacing w:before="16"/>
              <w:jc w:val="right"/>
            </w:pPr>
            <w:r>
              <w:rPr>
                <w:sz w:val="22"/>
              </w:rPr>
              <w:t>20.3</w:t>
            </w:r>
            <w:r w:rsidR="000377E3">
              <w:rPr>
                <w:sz w:val="22"/>
              </w:rPr>
              <w:t xml:space="preserve"> to </w:t>
            </w:r>
            <w:r>
              <w:rPr>
                <w:sz w:val="22"/>
              </w:rPr>
              <w:t>22.9</w:t>
            </w:r>
          </w:p>
        </w:tc>
        <w:tc>
          <w:tcPr>
            <w:tcW w:w="1739" w:type="dxa"/>
            <w:tcBorders>
              <w:left w:val="single" w:sz="6" w:space="0" w:color="000000"/>
              <w:bottom w:val="single" w:sz="6" w:space="0" w:color="000000"/>
              <w:right w:val="single" w:sz="6" w:space="0" w:color="000000"/>
            </w:tcBorders>
            <w:tcMar>
              <w:right w:w="259" w:type="dxa"/>
            </w:tcMar>
            <w:vAlign w:val="center"/>
          </w:tcPr>
          <w:p w:rsidR="000377E3" w:rsidRDefault="00AF731B" w:rsidP="00AF731B">
            <w:pPr>
              <w:keepNext/>
              <w:keepLines/>
              <w:widowControl w:val="0"/>
              <w:spacing w:before="16"/>
              <w:jc w:val="right"/>
            </w:pPr>
            <w:r>
              <w:rPr>
                <w:sz w:val="22"/>
              </w:rPr>
              <w:t>8.7</w:t>
            </w:r>
            <w:r w:rsidR="000377E3">
              <w:rPr>
                <w:sz w:val="22"/>
              </w:rPr>
              <w:t xml:space="preserve"> to 1</w:t>
            </w:r>
            <w:r>
              <w:rPr>
                <w:sz w:val="22"/>
              </w:rPr>
              <w:t>1</w:t>
            </w:r>
            <w:r w:rsidR="000377E3">
              <w:rPr>
                <w:sz w:val="22"/>
              </w:rPr>
              <w:t>.</w:t>
            </w:r>
            <w:r>
              <w:rPr>
                <w:sz w:val="22"/>
              </w:rPr>
              <w:t>9</w:t>
            </w:r>
          </w:p>
        </w:tc>
      </w:tr>
    </w:tbl>
    <w:p w:rsidR="000377E3" w:rsidRDefault="000377E3" w:rsidP="000377E3"/>
    <w:p w:rsidR="000377E3" w:rsidRDefault="000377E3" w:rsidP="000377E3">
      <w:r>
        <w:t>The standard error of the difference is calculated as</w:t>
      </w:r>
    </w:p>
    <w:p w:rsidR="000377E3" w:rsidRDefault="000377E3" w:rsidP="000377E3"/>
    <w:p w:rsidR="000377E3" w:rsidRPr="00626FA2" w:rsidRDefault="00E063F8" w:rsidP="00626FA2">
      <w:pPr>
        <w:rPr>
          <w:sz w:val="28"/>
          <w:szCs w:val="28"/>
        </w:rPr>
      </w:pPr>
      <m:oMathPara>
        <m:oMath>
          <m:sSub>
            <m:sSubPr>
              <m:ctrlPr>
                <w:rPr>
                  <w:rFonts w:ascii="Cambria Math" w:hAnsi="Cambria Math"/>
                  <w:i/>
                  <w:sz w:val="28"/>
                  <w:szCs w:val="28"/>
                </w:rPr>
              </m:ctrlPr>
            </m:sSubPr>
            <m:e>
              <m:r>
                <w:rPr>
                  <w:rFonts w:ascii="Cambria Math" w:hAnsi="Cambria Math"/>
                  <w:sz w:val="28"/>
                  <w:szCs w:val="28"/>
                </w:rPr>
                <m:t>s</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sub>
          </m:sSub>
          <m:r>
            <w:rPr>
              <w:rFonts w:ascii="Cambria Math" w:hAnsi="Cambria Math"/>
              <w:sz w:val="28"/>
              <w:szCs w:val="28"/>
            </w:rPr>
            <m:t>=</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0.57</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0.77</m:t>
                  </m:r>
                </m:e>
                <m:sup>
                  <m:r>
                    <w:rPr>
                      <w:rFonts w:ascii="Cambria Math" w:hAnsi="Cambria Math"/>
                      <w:sz w:val="28"/>
                      <w:szCs w:val="28"/>
                    </w:rPr>
                    <m:t>2</m:t>
                  </m:r>
                </m:sup>
              </m:sSup>
            </m:e>
          </m:rad>
          <m:r>
            <w:rPr>
              <w:rFonts w:ascii="Cambria Math" w:hAnsi="Cambria Math"/>
              <w:sz w:val="28"/>
              <w:szCs w:val="28"/>
            </w:rPr>
            <m:t>=0.96</m:t>
          </m:r>
        </m:oMath>
      </m:oMathPara>
    </w:p>
    <w:p w:rsidR="000377E3" w:rsidRDefault="000377E3" w:rsidP="000377E3">
      <w:pPr>
        <w:jc w:val="center"/>
      </w:pPr>
    </w:p>
    <w:p w:rsidR="000377E3" w:rsidRDefault="000377E3" w:rsidP="000377E3">
      <w:r>
        <w:rPr>
          <w:lang w:val="en-CA"/>
        </w:rPr>
        <w:fldChar w:fldCharType="begin"/>
      </w:r>
      <w:r>
        <w:rPr>
          <w:lang w:val="en-CA"/>
        </w:rPr>
        <w:instrText xml:space="preserve"> SEQ CHAPTER \h \r 1</w:instrText>
      </w:r>
      <w:r>
        <w:rPr>
          <w:lang w:val="en-CA"/>
        </w:rPr>
        <w:fldChar w:fldCharType="end"/>
      </w:r>
      <w:r>
        <w:t>The 90-percent confidence interval around th</w:t>
      </w:r>
      <w:r w:rsidR="00AF731B">
        <w:t>e difference is calculated as 10</w:t>
      </w:r>
      <w:r>
        <w:t>.</w:t>
      </w:r>
      <w:r w:rsidR="00AF731B">
        <w:t>3 ± 1.645 × 0.96</w:t>
      </w:r>
      <w:r>
        <w:t xml:space="preserve">.  Since this interval does not include zero, we can </w:t>
      </w:r>
      <w:r w:rsidRPr="00AF731B">
        <w:t xml:space="preserve">conclude with 90 percent confidence that the percentage of part-time women workers between </w:t>
      </w:r>
      <w:r w:rsidR="006C6AA6" w:rsidRPr="00AF731B">
        <w:t xml:space="preserve">25-29 </w:t>
      </w:r>
      <w:r w:rsidRPr="00AF731B">
        <w:t xml:space="preserve">years of age is greater than the percentage of part-time men workers between </w:t>
      </w:r>
      <w:r w:rsidR="006C6AA6" w:rsidRPr="00AF731B">
        <w:t xml:space="preserve">25-29 </w:t>
      </w:r>
      <w:r w:rsidRPr="00AF731B">
        <w:t>years of age.</w:t>
      </w:r>
    </w:p>
    <w:p w:rsidR="000377E3" w:rsidRDefault="000377E3" w:rsidP="000377E3">
      <w:pPr>
        <w:rPr>
          <w:b/>
          <w:bCs/>
          <w:u w:val="single"/>
        </w:rPr>
      </w:pPr>
    </w:p>
    <w:p w:rsidR="00E81628" w:rsidRDefault="00E81628" w:rsidP="00E81628">
      <w:pPr>
        <w:tabs>
          <w:tab w:val="right" w:pos="4320"/>
          <w:tab w:val="right" w:pos="6480"/>
          <w:tab w:val="right" w:pos="8640"/>
        </w:tabs>
      </w:pPr>
      <w:r>
        <w:rPr>
          <w:b/>
          <w:bCs/>
          <w:u w:val="single"/>
        </w:rPr>
        <w:t>Standard Errors of Estimated Medians</w:t>
      </w:r>
      <w:r>
        <w:fldChar w:fldCharType="begin"/>
      </w:r>
      <w:r>
        <w:instrText xml:space="preserve"> TC "</w:instrText>
      </w:r>
      <w:bookmarkStart w:id="3" w:name="_Toc75154082"/>
      <w:r>
        <w:instrText>Standard Error of a Median</w:instrText>
      </w:r>
      <w:bookmarkEnd w:id="3"/>
      <w:r>
        <w:instrText xml:space="preserve">" \f C \l "2" </w:instrText>
      </w:r>
      <w:r>
        <w:fldChar w:fldCharType="end"/>
      </w:r>
      <w:r>
        <w:t>.  The sampling variability of an estimated median depends on the form of the distribution and the size of the base.  One can approximate the reliability of an estimated median by determining a confidence interval about it.  (See “Standard Errors and Their Use” for a general discussion of confidence intervals.)</w:t>
      </w:r>
    </w:p>
    <w:p w:rsidR="00E81628" w:rsidRDefault="00E81628" w:rsidP="00E81628">
      <w:pPr>
        <w:tabs>
          <w:tab w:val="right" w:pos="4320"/>
          <w:tab w:val="right" w:pos="6480"/>
          <w:tab w:val="right" w:pos="8640"/>
        </w:tabs>
      </w:pPr>
    </w:p>
    <w:p w:rsidR="00E81628" w:rsidRDefault="00E81628" w:rsidP="00E81628">
      <w:pPr>
        <w:tabs>
          <w:tab w:val="right" w:pos="4320"/>
          <w:tab w:val="right" w:pos="6480"/>
          <w:tab w:val="right" w:pos="8640"/>
        </w:tabs>
      </w:pPr>
      <w:r>
        <w:t>Estimate the 68-percent confidence limits of a median based on sample data using the following procedure:</w:t>
      </w:r>
    </w:p>
    <w:p w:rsidR="00E81628" w:rsidRDefault="00E81628" w:rsidP="00E81628">
      <w:pPr>
        <w:tabs>
          <w:tab w:val="right" w:pos="4320"/>
          <w:tab w:val="right" w:pos="6480"/>
          <w:tab w:val="right" w:pos="8640"/>
        </w:tabs>
      </w:pPr>
    </w:p>
    <w:p w:rsidR="00E81628" w:rsidRDefault="00E81628" w:rsidP="00E81628">
      <w:pPr>
        <w:ind w:left="720" w:hanging="720"/>
      </w:pPr>
      <w:r>
        <w:t>1.</w:t>
      </w:r>
      <w:r>
        <w:tab/>
        <w:t>Determine, using Formula (2), the standard error of the estimate of 50 percent from the distribution.</w:t>
      </w:r>
    </w:p>
    <w:p w:rsidR="00E81628" w:rsidRDefault="00E81628" w:rsidP="00E81628"/>
    <w:p w:rsidR="00E81628" w:rsidRDefault="00E81628" w:rsidP="00E81628">
      <w:pPr>
        <w:keepLines/>
        <w:ind w:left="720" w:hanging="720"/>
      </w:pPr>
      <w:r>
        <w:t>2.</w:t>
      </w:r>
      <w:r>
        <w:tab/>
        <w:t>Add to and subtract from 50 percent the standard error determined in step 1.  These two numbers are the percentage limits corresponding to the 68-percent confidence interval about the estimated median.</w:t>
      </w:r>
    </w:p>
    <w:p w:rsidR="00E81628" w:rsidRDefault="00E81628" w:rsidP="00E81628"/>
    <w:p w:rsidR="00E81628" w:rsidRDefault="00E81628" w:rsidP="00E81628">
      <w:pPr>
        <w:keepNext/>
        <w:keepLines/>
        <w:ind w:left="720" w:hanging="720"/>
      </w:pPr>
      <w:r>
        <w:t>3.</w:t>
      </w:r>
      <w:r>
        <w:tab/>
        <w:t xml:space="preserve">Using the distribution of the characteristic, determine upper and lower limits of the </w:t>
      </w:r>
    </w:p>
    <w:p w:rsidR="00E81628" w:rsidRDefault="00E81628" w:rsidP="00E81628">
      <w:pPr>
        <w:keepNext/>
        <w:keepLines/>
      </w:pPr>
      <w:r>
        <w:tab/>
        <w:t xml:space="preserve">68-percent confidence interval by calculating values corresponding to the two points </w:t>
      </w:r>
      <w:r>
        <w:tab/>
        <w:t>established in step 2.</w:t>
      </w:r>
    </w:p>
    <w:p w:rsidR="00E81628" w:rsidRDefault="00E81628" w:rsidP="00E81628"/>
    <w:p w:rsidR="00E81628" w:rsidRDefault="00E81628" w:rsidP="00E81628">
      <w:pPr>
        <w:ind w:left="1440" w:hanging="720"/>
      </w:pPr>
      <w:r>
        <w:t xml:space="preserve">Note: </w:t>
      </w:r>
      <w:r>
        <w:tab/>
        <w:t>The percentage limits found in step 2 may or may not fall in the same characteristic distribution interval.</w:t>
      </w:r>
    </w:p>
    <w:p w:rsidR="00E81628" w:rsidRDefault="00E81628" w:rsidP="00E81628">
      <w:r>
        <w:tab/>
      </w:r>
    </w:p>
    <w:p w:rsidR="00E81628" w:rsidRDefault="00E81628" w:rsidP="00E81628">
      <w:pPr>
        <w:ind w:firstLine="720"/>
      </w:pPr>
      <w:r>
        <w:t>Use the following formula to calculate the upper and lower limits:</w:t>
      </w:r>
    </w:p>
    <w:p w:rsidR="00E81628" w:rsidRDefault="00E81628" w:rsidP="00E81628"/>
    <w:p w:rsidR="00E81628" w:rsidRDefault="00E063F8" w:rsidP="00E81628">
      <w:pPr>
        <w:keepNext/>
        <w:ind w:left="2160" w:firstLine="720"/>
        <w:jc w:val="cente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p</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p∙N-</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L</m:t>
                </m:r>
              </m:sub>
            </m:sSub>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U</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L</m:t>
                </m:r>
              </m:sub>
            </m:sSub>
          </m:den>
        </m:f>
        <m:d>
          <m:dPr>
            <m:ctrlPr>
              <w:rPr>
                <w:rFonts w:ascii="Cambria Math" w:hAnsi="Cambria Math"/>
                <w:i/>
                <w:sz w:val="28"/>
                <w:szCs w:val="28"/>
              </w:rPr>
            </m:ctrlPr>
          </m:dPr>
          <m:e>
            <m:r>
              <w:rPr>
                <w:rFonts w:ascii="Cambria Math" w:hAnsi="Cambria Math"/>
                <w:sz w:val="28"/>
                <w:szCs w:val="28"/>
              </w:rPr>
              <m:t>U-L</m:t>
            </m:r>
          </m:e>
        </m:d>
        <m:r>
          <w:rPr>
            <w:rFonts w:ascii="Cambria Math" w:hAnsi="Cambria Math"/>
            <w:sz w:val="28"/>
            <w:szCs w:val="28"/>
          </w:rPr>
          <m:t>+L</m:t>
        </m:r>
      </m:oMath>
      <w:r w:rsidR="00E81628">
        <w:tab/>
      </w:r>
      <w:r w:rsidR="00E81628">
        <w:tab/>
        <w:t xml:space="preserve">            </w:t>
      </w:r>
      <w:r w:rsidR="00E81628">
        <w:tab/>
        <w:t>(4)</w:t>
      </w:r>
    </w:p>
    <w:p w:rsidR="00E81628" w:rsidRDefault="00E81628" w:rsidP="00E81628"/>
    <w:p w:rsidR="00E81628" w:rsidRDefault="00E81628" w:rsidP="00E81628">
      <w:r>
        <w:tab/>
        <w:t xml:space="preserve">where </w:t>
      </w:r>
    </w:p>
    <w:p w:rsidR="00E81628" w:rsidRDefault="00E81628" w:rsidP="00E81628">
      <w:r>
        <w:tab/>
      </w:r>
      <w:r>
        <w:tab/>
        <w:t xml:space="preserve">    </w:t>
      </w:r>
    </w:p>
    <w:p w:rsidR="00E81628" w:rsidRDefault="00E81628" w:rsidP="00E81628">
      <w:pPr>
        <w:ind w:left="1440"/>
      </w:pPr>
      <w:r>
        <w:rPr>
          <w:i/>
          <w:iCs/>
        </w:rPr>
        <w:t xml:space="preserve">       </w:t>
      </w:r>
      <w:proofErr w:type="spellStart"/>
      <w:r>
        <w:rPr>
          <w:i/>
          <w:iCs/>
        </w:rPr>
        <w:t>X</w:t>
      </w:r>
      <w:r>
        <w:rPr>
          <w:i/>
          <w:iCs/>
          <w:vertAlign w:val="subscript"/>
        </w:rPr>
        <w:t>p</w:t>
      </w:r>
      <w:proofErr w:type="spellEnd"/>
      <w:r>
        <w:tab/>
        <w:t>=</w:t>
      </w:r>
      <w:r>
        <w:tab/>
        <w:t>estimated upper and lower limits for the confidence interval</w:t>
      </w:r>
    </w:p>
    <w:p w:rsidR="00E81628" w:rsidRDefault="00E81628" w:rsidP="00E81628">
      <w:pPr>
        <w:ind w:left="2880" w:hanging="2880"/>
      </w:pPr>
      <w:r>
        <w:tab/>
        <w:t xml:space="preserve">(0 ≤ </w:t>
      </w:r>
      <w:r>
        <w:rPr>
          <w:i/>
          <w:iCs/>
        </w:rPr>
        <w:t>p</w:t>
      </w:r>
      <w:r>
        <w:t xml:space="preserve"> ≤ 1).  For purposes of calculating the confidence interval, </w:t>
      </w:r>
      <w:r>
        <w:rPr>
          <w:i/>
          <w:iCs/>
        </w:rPr>
        <w:t>p</w:t>
      </w:r>
      <w:r>
        <w:t xml:space="preserve"> takes on the values determined in step 2.  Note that </w:t>
      </w:r>
      <w:proofErr w:type="spellStart"/>
      <w:r>
        <w:rPr>
          <w:i/>
          <w:iCs/>
        </w:rPr>
        <w:t>X</w:t>
      </w:r>
      <w:r>
        <w:rPr>
          <w:i/>
          <w:iCs/>
          <w:vertAlign w:val="subscript"/>
        </w:rPr>
        <w:t>p</w:t>
      </w:r>
      <w:proofErr w:type="spellEnd"/>
      <w:r>
        <w:t xml:space="preserve"> estimates the median when </w:t>
      </w:r>
      <w:r>
        <w:rPr>
          <w:i/>
          <w:iCs/>
        </w:rPr>
        <w:t>p</w:t>
      </w:r>
      <w:r>
        <w:t xml:space="preserve"> = 0.50.</w:t>
      </w:r>
    </w:p>
    <w:p w:rsidR="00E81628" w:rsidRDefault="00E81628" w:rsidP="00E81628">
      <w:pPr>
        <w:pStyle w:val="Header"/>
        <w:tabs>
          <w:tab w:val="clear" w:pos="4320"/>
          <w:tab w:val="clear" w:pos="8640"/>
        </w:tabs>
      </w:pPr>
    </w:p>
    <w:p w:rsidR="00E81628" w:rsidRDefault="00E81628" w:rsidP="00E81628">
      <w:pPr>
        <w:ind w:left="2880" w:hanging="1440"/>
      </w:pPr>
      <w:r>
        <w:t xml:space="preserve">       </w:t>
      </w:r>
      <w:r>
        <w:rPr>
          <w:i/>
          <w:iCs/>
        </w:rPr>
        <w:t xml:space="preserve">N </w:t>
      </w:r>
      <w:r>
        <w:rPr>
          <w:iCs/>
        </w:rPr>
        <w:t xml:space="preserve"> =</w:t>
      </w:r>
      <w:r>
        <w:tab/>
      </w:r>
      <w:r>
        <w:rPr>
          <w:u w:val="single"/>
        </w:rPr>
        <w:t>for distribution of totals and means</w:t>
      </w:r>
      <w:r>
        <w:t>:  the total number of units    (people, households, etc.) for the characteristic in the distribution.</w:t>
      </w:r>
    </w:p>
    <w:p w:rsidR="00E81628" w:rsidRDefault="00E81628" w:rsidP="00E81628"/>
    <w:p w:rsidR="00E81628" w:rsidRDefault="00E81628" w:rsidP="00E81628">
      <w:r>
        <w:t xml:space="preserve">  </w:t>
      </w:r>
      <w:r>
        <w:tab/>
      </w:r>
      <w:r>
        <w:tab/>
      </w:r>
      <w:r>
        <w:tab/>
        <w:t>=</w:t>
      </w:r>
      <w:r>
        <w:tab/>
      </w:r>
      <w:r>
        <w:rPr>
          <w:u w:val="single"/>
        </w:rPr>
        <w:t>for distribution of percentages</w:t>
      </w:r>
      <w:r>
        <w:t>:  the value 100.</w:t>
      </w:r>
    </w:p>
    <w:p w:rsidR="00E81628" w:rsidRDefault="00E81628" w:rsidP="00E81628">
      <w:pPr>
        <w:pStyle w:val="Header"/>
        <w:tabs>
          <w:tab w:val="clear" w:pos="4320"/>
          <w:tab w:val="clear" w:pos="8640"/>
        </w:tabs>
      </w:pPr>
    </w:p>
    <w:p w:rsidR="00E81628" w:rsidRDefault="00E81628" w:rsidP="00E81628">
      <w:pPr>
        <w:ind w:left="720" w:firstLine="720"/>
      </w:pPr>
      <w:r>
        <w:t xml:space="preserve">        </w:t>
      </w:r>
      <w:r>
        <w:rPr>
          <w:i/>
          <w:iCs/>
        </w:rPr>
        <w:t>p</w:t>
      </w:r>
      <w:r>
        <w:tab/>
        <w:t>=</w:t>
      </w:r>
      <w:r>
        <w:tab/>
        <w:t>the values obtained in Step 2.</w:t>
      </w:r>
    </w:p>
    <w:p w:rsidR="00E81628" w:rsidRDefault="00E81628" w:rsidP="00E81628">
      <w:pPr>
        <w:tabs>
          <w:tab w:val="left" w:pos="2880"/>
        </w:tabs>
        <w:ind w:left="2880" w:hanging="1440"/>
      </w:pPr>
    </w:p>
    <w:p w:rsidR="00E81628" w:rsidRDefault="00E81628" w:rsidP="00E81628">
      <w:pPr>
        <w:tabs>
          <w:tab w:val="left" w:pos="2880"/>
        </w:tabs>
        <w:ind w:left="2880" w:hanging="1440"/>
      </w:pPr>
      <w:r>
        <w:rPr>
          <w:i/>
          <w:iCs/>
        </w:rPr>
        <w:t xml:space="preserve">   L</w:t>
      </w:r>
      <w:r>
        <w:t xml:space="preserve">, </w:t>
      </w:r>
      <w:r>
        <w:rPr>
          <w:i/>
          <w:iCs/>
        </w:rPr>
        <w:t xml:space="preserve">U  </w:t>
      </w:r>
      <w:r>
        <w:t xml:space="preserve">= </w:t>
      </w:r>
      <w:r>
        <w:tab/>
        <w:t xml:space="preserve">the lower and upper boundaries, respectively, of the interval containing </w:t>
      </w:r>
      <w:proofErr w:type="spellStart"/>
      <w:r>
        <w:rPr>
          <w:i/>
          <w:iCs/>
        </w:rPr>
        <w:t>X</w:t>
      </w:r>
      <w:r>
        <w:rPr>
          <w:i/>
          <w:iCs/>
          <w:vertAlign w:val="subscript"/>
        </w:rPr>
        <w:t>p</w:t>
      </w:r>
      <w:proofErr w:type="spellEnd"/>
      <w:r>
        <w:t xml:space="preserve">.  </w:t>
      </w:r>
    </w:p>
    <w:p w:rsidR="00E81628" w:rsidRDefault="00E81628" w:rsidP="00E81628">
      <w:pPr>
        <w:tabs>
          <w:tab w:val="left" w:pos="2880"/>
        </w:tabs>
        <w:ind w:left="2880" w:hanging="1440"/>
      </w:pPr>
    </w:p>
    <w:p w:rsidR="00E81628" w:rsidRDefault="00E81628" w:rsidP="00E81628">
      <w:pPr>
        <w:tabs>
          <w:tab w:val="left" w:pos="2880"/>
        </w:tabs>
        <w:ind w:left="2880" w:hanging="1440"/>
      </w:pPr>
      <w:r>
        <w:tab/>
      </w:r>
      <w:bookmarkStart w:id="4" w:name="OLE_LINK1"/>
      <w:r>
        <w:t xml:space="preserve">Note: For continuous data, i.e., income, time, etc., the upper bound of the interval containing </w:t>
      </w:r>
      <w:proofErr w:type="spellStart"/>
      <w:r>
        <w:rPr>
          <w:i/>
          <w:iCs/>
        </w:rPr>
        <w:t>X</w:t>
      </w:r>
      <w:r>
        <w:rPr>
          <w:i/>
          <w:iCs/>
          <w:vertAlign w:val="subscript"/>
        </w:rPr>
        <w:t>p</w:t>
      </w:r>
      <w:proofErr w:type="spellEnd"/>
      <w:r>
        <w:t xml:space="preserve"> and lower bound of the next interval are essentially the same and will be treated as such in the illustration.</w:t>
      </w:r>
      <w:bookmarkEnd w:id="4"/>
      <w:r>
        <w:t xml:space="preserve">  </w:t>
      </w:r>
    </w:p>
    <w:p w:rsidR="00E81628" w:rsidRDefault="00E81628" w:rsidP="00E81628"/>
    <w:p w:rsidR="00E81628" w:rsidRDefault="00E81628" w:rsidP="00E81628">
      <w:pPr>
        <w:ind w:left="2160" w:hanging="720"/>
      </w:pPr>
      <w:r>
        <w:rPr>
          <w:i/>
          <w:iCs/>
        </w:rPr>
        <w:t>N</w:t>
      </w:r>
      <w:r>
        <w:rPr>
          <w:i/>
          <w:iCs/>
          <w:vertAlign w:val="subscript"/>
        </w:rPr>
        <w:t>L</w:t>
      </w:r>
      <w:r>
        <w:t xml:space="preserve">, </w:t>
      </w:r>
      <w:r>
        <w:rPr>
          <w:i/>
          <w:iCs/>
        </w:rPr>
        <w:t>N</w:t>
      </w:r>
      <w:r>
        <w:rPr>
          <w:i/>
          <w:iCs/>
          <w:vertAlign w:val="subscript"/>
        </w:rPr>
        <w:t>U</w:t>
      </w:r>
      <w:r>
        <w:rPr>
          <w:vertAlign w:val="subscript"/>
        </w:rPr>
        <w:tab/>
      </w:r>
      <w:r>
        <w:t>=</w:t>
      </w:r>
      <w:r>
        <w:tab/>
      </w:r>
      <w:r>
        <w:rPr>
          <w:u w:val="single"/>
        </w:rPr>
        <w:t>for distribution of totals and means</w:t>
      </w:r>
      <w:r>
        <w:t xml:space="preserve">:  the estimated number of units </w:t>
      </w:r>
    </w:p>
    <w:p w:rsidR="00E81628" w:rsidRDefault="00E81628" w:rsidP="00E81628">
      <w:pPr>
        <w:ind w:left="2880"/>
      </w:pPr>
      <w:r>
        <w:t xml:space="preserve">(people, households, etc.) with values of the characteristic less than </w:t>
      </w:r>
      <w:r>
        <w:rPr>
          <w:i/>
          <w:iCs/>
        </w:rPr>
        <w:t>L</w:t>
      </w:r>
      <w:r>
        <w:t xml:space="preserve"> and </w:t>
      </w:r>
      <w:r>
        <w:rPr>
          <w:i/>
          <w:iCs/>
        </w:rPr>
        <w:t>U</w:t>
      </w:r>
      <w:r>
        <w:t xml:space="preserve">,  respectively.  </w:t>
      </w:r>
    </w:p>
    <w:p w:rsidR="00E81628" w:rsidRDefault="00E81628" w:rsidP="00E81628">
      <w:pPr>
        <w:pStyle w:val="Header"/>
        <w:tabs>
          <w:tab w:val="clear" w:pos="4320"/>
          <w:tab w:val="clear" w:pos="8640"/>
        </w:tabs>
      </w:pPr>
    </w:p>
    <w:p w:rsidR="00E81628" w:rsidRDefault="00E81628" w:rsidP="00E81628">
      <w:pPr>
        <w:ind w:left="2880" w:hanging="720"/>
      </w:pPr>
      <w:r>
        <w:t xml:space="preserve">= </w:t>
      </w:r>
      <w:r>
        <w:tab/>
      </w:r>
      <w:r>
        <w:rPr>
          <w:u w:val="single"/>
        </w:rPr>
        <w:t>for distribution of percentages</w:t>
      </w:r>
      <w:r>
        <w:t xml:space="preserve">: the estimated percentage of units (people, households, etc.) having values of the characteristic less than </w:t>
      </w:r>
      <w:r>
        <w:rPr>
          <w:i/>
          <w:iCs/>
        </w:rPr>
        <w:t>L</w:t>
      </w:r>
      <w:r>
        <w:t xml:space="preserve"> and </w:t>
      </w:r>
      <w:r>
        <w:rPr>
          <w:i/>
          <w:iCs/>
        </w:rPr>
        <w:t>U</w:t>
      </w:r>
      <w:r>
        <w:t>, respectively.</w:t>
      </w:r>
    </w:p>
    <w:p w:rsidR="00E81628" w:rsidRDefault="00E81628" w:rsidP="00E81628">
      <w:pPr>
        <w:ind w:left="2880" w:hanging="720"/>
      </w:pPr>
    </w:p>
    <w:p w:rsidR="00E81628" w:rsidRDefault="00E81628" w:rsidP="00E81628">
      <w:pPr>
        <w:ind w:left="720" w:hanging="720"/>
      </w:pPr>
      <w:r>
        <w:t>4.</w:t>
      </w:r>
      <w:r>
        <w:tab/>
        <w:t>Divide the difference between the two points determined in step 3 by 2 to obtain the standard error of the median.</w:t>
      </w:r>
    </w:p>
    <w:p w:rsidR="00E81628" w:rsidRDefault="00E81628" w:rsidP="00E81628"/>
    <w:p w:rsidR="00E81628" w:rsidRDefault="00E81628" w:rsidP="00E81628">
      <w:pPr>
        <w:keepLines/>
        <w:ind w:left="720" w:hanging="720"/>
      </w:pPr>
      <w:r>
        <w:t>Note:</w:t>
      </w:r>
      <w:r>
        <w:tab/>
        <w:t>Medians and their standard errors calculated as below may differ from those in published tables and reports showing medians, since narrower income intervals were used in those calculations.</w:t>
      </w:r>
    </w:p>
    <w:p w:rsidR="00E81628" w:rsidRDefault="00E81628" w:rsidP="00E81628">
      <w:pPr>
        <w:tabs>
          <w:tab w:val="left" w:pos="0"/>
        </w:tabs>
      </w:pPr>
    </w:p>
    <w:p w:rsidR="00E81628" w:rsidRPr="00A36F0E" w:rsidRDefault="00E81628" w:rsidP="00E81628">
      <w:pPr>
        <w:tabs>
          <w:tab w:val="left" w:pos="0"/>
        </w:tabs>
      </w:pPr>
      <w:r w:rsidRPr="00A36F0E">
        <w:rPr>
          <w:u w:val="single"/>
        </w:rPr>
        <w:t>Illustration 4</w:t>
      </w:r>
    </w:p>
    <w:p w:rsidR="00E81628" w:rsidRPr="00A36F0E" w:rsidRDefault="00E81628" w:rsidP="00E81628">
      <w:pPr>
        <w:tabs>
          <w:tab w:val="left" w:pos="0"/>
        </w:tabs>
      </w:pPr>
      <w:r w:rsidRPr="00A36F0E">
        <w:t>Suppose you want to calculate the standard error of the estimated median of years a person worked on their lost job for all displaced workers with the following distribution:</w:t>
      </w:r>
    </w:p>
    <w:p w:rsidR="00E81628" w:rsidRPr="00A36F0E" w:rsidRDefault="00E81628" w:rsidP="00E81628">
      <w:pPr>
        <w:tabs>
          <w:tab w:val="left" w:pos="0"/>
        </w:tabs>
      </w:pPr>
    </w:p>
    <w:tbl>
      <w:tblPr>
        <w:tblW w:w="0" w:type="auto"/>
        <w:jc w:val="center"/>
        <w:tblInd w:w="-94" w:type="dxa"/>
        <w:tblLayout w:type="fixed"/>
        <w:tblCellMar>
          <w:left w:w="100" w:type="dxa"/>
          <w:right w:w="100" w:type="dxa"/>
        </w:tblCellMar>
        <w:tblLook w:val="0000" w:firstRow="0" w:lastRow="0" w:firstColumn="0" w:lastColumn="0" w:noHBand="0" w:noVBand="0"/>
      </w:tblPr>
      <w:tblGrid>
        <w:gridCol w:w="1909"/>
        <w:gridCol w:w="2109"/>
        <w:gridCol w:w="2004"/>
        <w:gridCol w:w="2337"/>
      </w:tblGrid>
      <w:tr w:rsidR="00E81628" w:rsidTr="00E81628">
        <w:trPr>
          <w:cantSplit/>
          <w:jc w:val="center"/>
        </w:trPr>
        <w:tc>
          <w:tcPr>
            <w:tcW w:w="8359"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rsidR="00E81628" w:rsidRDefault="00E81628" w:rsidP="00E81628">
            <w:pPr>
              <w:keepNext/>
              <w:keepLines/>
              <w:widowControl w:val="0"/>
              <w:spacing w:before="16"/>
              <w:jc w:val="center"/>
              <w:rPr>
                <w:b/>
                <w:bCs/>
                <w:sz w:val="22"/>
              </w:rPr>
            </w:pPr>
            <w:r>
              <w:rPr>
                <w:b/>
                <w:bCs/>
                <w:sz w:val="22"/>
              </w:rPr>
              <w:lastRenderedPageBreak/>
              <w:t>Illustration 4</w:t>
            </w:r>
          </w:p>
        </w:tc>
      </w:tr>
      <w:tr w:rsidR="00E81628" w:rsidTr="00E81628">
        <w:trPr>
          <w:cantSplit/>
          <w:jc w:val="center"/>
        </w:trPr>
        <w:tc>
          <w:tcPr>
            <w:tcW w:w="1909" w:type="dxa"/>
            <w:tcBorders>
              <w:top w:val="single" w:sz="6" w:space="0" w:color="000000"/>
              <w:left w:val="single" w:sz="6" w:space="0" w:color="000000"/>
              <w:bottom w:val="single" w:sz="6" w:space="0" w:color="000000"/>
              <w:right w:val="single" w:sz="6" w:space="0" w:color="000000"/>
            </w:tcBorders>
            <w:vAlign w:val="center"/>
          </w:tcPr>
          <w:p w:rsidR="00E81628" w:rsidRDefault="00E81628" w:rsidP="00E81628">
            <w:pPr>
              <w:keepNext/>
              <w:keepLines/>
              <w:widowControl w:val="0"/>
              <w:spacing w:before="16"/>
              <w:jc w:val="center"/>
              <w:rPr>
                <w:sz w:val="22"/>
              </w:rPr>
            </w:pPr>
            <w:r>
              <w:rPr>
                <w:sz w:val="22"/>
              </w:rPr>
              <w:t>Years on lost job</w:t>
            </w:r>
          </w:p>
        </w:tc>
        <w:tc>
          <w:tcPr>
            <w:tcW w:w="2109" w:type="dxa"/>
            <w:tcBorders>
              <w:top w:val="single" w:sz="6" w:space="0" w:color="000000"/>
              <w:left w:val="single" w:sz="6" w:space="0" w:color="000000"/>
              <w:bottom w:val="single" w:sz="6" w:space="0" w:color="000000"/>
            </w:tcBorders>
            <w:vAlign w:val="center"/>
          </w:tcPr>
          <w:p w:rsidR="00E81628" w:rsidRDefault="00E81628" w:rsidP="00E81628">
            <w:pPr>
              <w:keepNext/>
              <w:keepLines/>
              <w:widowControl w:val="0"/>
              <w:spacing w:before="16"/>
              <w:jc w:val="center"/>
              <w:rPr>
                <w:sz w:val="22"/>
              </w:rPr>
            </w:pPr>
            <w:r>
              <w:rPr>
                <w:sz w:val="22"/>
              </w:rPr>
              <w:t>Number of persons</w:t>
            </w:r>
          </w:p>
        </w:tc>
        <w:tc>
          <w:tcPr>
            <w:tcW w:w="2004" w:type="dxa"/>
            <w:tcBorders>
              <w:top w:val="single" w:sz="6" w:space="0" w:color="000000"/>
              <w:left w:val="single" w:sz="6" w:space="0" w:color="000000"/>
              <w:bottom w:val="single" w:sz="6" w:space="0" w:color="000000"/>
              <w:right w:val="single" w:sz="6" w:space="0" w:color="000000"/>
            </w:tcBorders>
            <w:vAlign w:val="center"/>
          </w:tcPr>
          <w:p w:rsidR="00E81628" w:rsidRDefault="00E81628" w:rsidP="00E81628">
            <w:pPr>
              <w:keepNext/>
              <w:keepLines/>
              <w:widowControl w:val="0"/>
              <w:spacing w:before="16"/>
              <w:jc w:val="center"/>
              <w:rPr>
                <w:sz w:val="22"/>
              </w:rPr>
            </w:pPr>
            <w:r>
              <w:rPr>
                <w:sz w:val="22"/>
              </w:rPr>
              <w:t>Cumulative number of persons</w:t>
            </w:r>
          </w:p>
        </w:tc>
        <w:tc>
          <w:tcPr>
            <w:tcW w:w="2337" w:type="dxa"/>
            <w:tcBorders>
              <w:top w:val="single" w:sz="6" w:space="0" w:color="000000"/>
              <w:left w:val="single" w:sz="6" w:space="0" w:color="000000"/>
              <w:bottom w:val="single" w:sz="6" w:space="0" w:color="000000"/>
              <w:right w:val="single" w:sz="6" w:space="0" w:color="000000"/>
            </w:tcBorders>
            <w:vAlign w:val="center"/>
          </w:tcPr>
          <w:p w:rsidR="00E81628" w:rsidRDefault="00E81628" w:rsidP="00E81628">
            <w:pPr>
              <w:keepNext/>
              <w:keepLines/>
              <w:widowControl w:val="0"/>
              <w:spacing w:before="16"/>
              <w:jc w:val="center"/>
              <w:rPr>
                <w:sz w:val="22"/>
              </w:rPr>
            </w:pPr>
            <w:r>
              <w:rPr>
                <w:sz w:val="22"/>
              </w:rPr>
              <w:t>Cumulative percentage of persons</w:t>
            </w:r>
          </w:p>
        </w:tc>
      </w:tr>
      <w:tr w:rsidR="00E81628" w:rsidTr="00E81628">
        <w:trPr>
          <w:cantSplit/>
          <w:jc w:val="center"/>
        </w:trPr>
        <w:tc>
          <w:tcPr>
            <w:tcW w:w="1909" w:type="dxa"/>
            <w:tcBorders>
              <w:top w:val="single" w:sz="6" w:space="0" w:color="000000"/>
              <w:left w:val="single" w:sz="6" w:space="0" w:color="000000"/>
              <w:right w:val="single" w:sz="6" w:space="0" w:color="000000"/>
            </w:tcBorders>
          </w:tcPr>
          <w:p w:rsidR="00E81628" w:rsidRDefault="00E81628" w:rsidP="00E81628">
            <w:pPr>
              <w:keepNext/>
              <w:keepLines/>
              <w:widowControl w:val="0"/>
              <w:spacing w:before="16"/>
              <w:rPr>
                <w:sz w:val="22"/>
              </w:rPr>
            </w:pPr>
            <w:r>
              <w:rPr>
                <w:sz w:val="22"/>
              </w:rPr>
              <w:t>&lt;1</w:t>
            </w:r>
          </w:p>
        </w:tc>
        <w:tc>
          <w:tcPr>
            <w:tcW w:w="2109" w:type="dxa"/>
            <w:tcBorders>
              <w:top w:val="single" w:sz="6" w:space="0" w:color="000000"/>
              <w:left w:val="single" w:sz="6" w:space="0" w:color="000000"/>
            </w:tcBorders>
            <w:tcMar>
              <w:right w:w="259" w:type="dxa"/>
            </w:tcMar>
            <w:vAlign w:val="center"/>
          </w:tcPr>
          <w:p w:rsidR="00E81628" w:rsidRDefault="00DD67B9" w:rsidP="00DD67B9">
            <w:pPr>
              <w:keepNext/>
              <w:keepLines/>
              <w:widowControl w:val="0"/>
              <w:spacing w:before="16"/>
              <w:jc w:val="right"/>
              <w:rPr>
                <w:sz w:val="22"/>
              </w:rPr>
            </w:pPr>
            <w:r>
              <w:rPr>
                <w:sz w:val="22"/>
              </w:rPr>
              <w:t>1</w:t>
            </w:r>
            <w:r w:rsidR="00E81628">
              <w:rPr>
                <w:sz w:val="22"/>
              </w:rPr>
              <w:t>,</w:t>
            </w:r>
            <w:r>
              <w:rPr>
                <w:sz w:val="22"/>
              </w:rPr>
              <w:t>660</w:t>
            </w:r>
            <w:r w:rsidR="00E81628">
              <w:rPr>
                <w:sz w:val="22"/>
              </w:rPr>
              <w:t>,000</w:t>
            </w:r>
          </w:p>
        </w:tc>
        <w:tc>
          <w:tcPr>
            <w:tcW w:w="2004" w:type="dxa"/>
            <w:tcBorders>
              <w:top w:val="single" w:sz="6" w:space="0" w:color="000000"/>
              <w:left w:val="single" w:sz="6" w:space="0" w:color="000000"/>
              <w:right w:val="single" w:sz="6" w:space="0" w:color="000000"/>
            </w:tcBorders>
            <w:tcMar>
              <w:right w:w="259" w:type="dxa"/>
            </w:tcMar>
            <w:vAlign w:val="center"/>
          </w:tcPr>
          <w:p w:rsidR="00E81628" w:rsidRDefault="00DD67B9" w:rsidP="00DD67B9">
            <w:pPr>
              <w:keepNext/>
              <w:keepLines/>
              <w:widowControl w:val="0"/>
              <w:spacing w:before="16"/>
              <w:jc w:val="right"/>
              <w:rPr>
                <w:sz w:val="22"/>
              </w:rPr>
            </w:pPr>
            <w:r>
              <w:rPr>
                <w:sz w:val="22"/>
              </w:rPr>
              <w:t>1</w:t>
            </w:r>
            <w:r w:rsidR="00E81628">
              <w:rPr>
                <w:sz w:val="22"/>
              </w:rPr>
              <w:t>,</w:t>
            </w:r>
            <w:r>
              <w:rPr>
                <w:sz w:val="22"/>
              </w:rPr>
              <w:t>660</w:t>
            </w:r>
            <w:r w:rsidR="00E81628">
              <w:rPr>
                <w:sz w:val="22"/>
              </w:rPr>
              <w:t>,000</w:t>
            </w:r>
          </w:p>
        </w:tc>
        <w:tc>
          <w:tcPr>
            <w:tcW w:w="2337" w:type="dxa"/>
            <w:tcBorders>
              <w:top w:val="single" w:sz="6" w:space="0" w:color="000000"/>
              <w:left w:val="single" w:sz="6" w:space="0" w:color="000000"/>
              <w:right w:val="single" w:sz="6" w:space="0" w:color="000000"/>
            </w:tcBorders>
            <w:tcMar>
              <w:right w:w="259" w:type="dxa"/>
            </w:tcMar>
            <w:vAlign w:val="center"/>
          </w:tcPr>
          <w:p w:rsidR="00E81628" w:rsidRDefault="00E81628" w:rsidP="00DD67B9">
            <w:pPr>
              <w:keepNext/>
              <w:keepLines/>
              <w:widowControl w:val="0"/>
              <w:spacing w:before="16"/>
              <w:jc w:val="right"/>
              <w:rPr>
                <w:sz w:val="22"/>
              </w:rPr>
            </w:pPr>
            <w:r>
              <w:rPr>
                <w:sz w:val="22"/>
              </w:rPr>
              <w:t>23</w:t>
            </w:r>
            <w:r w:rsidR="00DD67B9">
              <w:rPr>
                <w:sz w:val="22"/>
              </w:rPr>
              <w:t>.60</w:t>
            </w:r>
          </w:p>
        </w:tc>
      </w:tr>
      <w:tr w:rsidR="00E81628" w:rsidTr="00E81628">
        <w:trPr>
          <w:cantSplit/>
          <w:jc w:val="center"/>
        </w:trPr>
        <w:tc>
          <w:tcPr>
            <w:tcW w:w="1909" w:type="dxa"/>
            <w:tcBorders>
              <w:left w:val="single" w:sz="6" w:space="0" w:color="000000"/>
              <w:right w:val="single" w:sz="6" w:space="0" w:color="000000"/>
            </w:tcBorders>
          </w:tcPr>
          <w:p w:rsidR="00E81628" w:rsidRDefault="00E81628" w:rsidP="00E81628">
            <w:pPr>
              <w:keepNext/>
              <w:keepLines/>
              <w:widowControl w:val="0"/>
              <w:spacing w:before="16"/>
              <w:rPr>
                <w:sz w:val="22"/>
              </w:rPr>
            </w:pPr>
            <w:r>
              <w:rPr>
                <w:sz w:val="22"/>
              </w:rPr>
              <w:t>1-4.99</w:t>
            </w:r>
          </w:p>
        </w:tc>
        <w:tc>
          <w:tcPr>
            <w:tcW w:w="2109" w:type="dxa"/>
            <w:tcBorders>
              <w:lef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3,120</w:t>
            </w:r>
            <w:r w:rsidR="00E81628">
              <w:rPr>
                <w:sz w:val="22"/>
              </w:rPr>
              <w:t>,000</w:t>
            </w:r>
          </w:p>
        </w:tc>
        <w:tc>
          <w:tcPr>
            <w:tcW w:w="2004" w:type="dxa"/>
            <w:tcBorders>
              <w:left w:val="single" w:sz="6" w:space="0" w:color="000000"/>
              <w:righ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4,780</w:t>
            </w:r>
            <w:r w:rsidR="00E81628">
              <w:rPr>
                <w:sz w:val="22"/>
              </w:rPr>
              <w:t>,000</w:t>
            </w:r>
          </w:p>
        </w:tc>
        <w:tc>
          <w:tcPr>
            <w:tcW w:w="2337" w:type="dxa"/>
            <w:tcBorders>
              <w:left w:val="single" w:sz="6" w:space="0" w:color="000000"/>
              <w:righ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67.96</w:t>
            </w:r>
          </w:p>
        </w:tc>
      </w:tr>
      <w:tr w:rsidR="00E81628" w:rsidTr="00E81628">
        <w:trPr>
          <w:cantSplit/>
          <w:jc w:val="center"/>
        </w:trPr>
        <w:tc>
          <w:tcPr>
            <w:tcW w:w="1909" w:type="dxa"/>
            <w:tcBorders>
              <w:left w:val="single" w:sz="6" w:space="0" w:color="000000"/>
              <w:right w:val="single" w:sz="6" w:space="0" w:color="000000"/>
            </w:tcBorders>
          </w:tcPr>
          <w:p w:rsidR="00E81628" w:rsidRDefault="00E81628" w:rsidP="00E81628">
            <w:pPr>
              <w:keepNext/>
              <w:keepLines/>
              <w:widowControl w:val="0"/>
              <w:spacing w:before="16"/>
              <w:rPr>
                <w:sz w:val="22"/>
              </w:rPr>
            </w:pPr>
            <w:r>
              <w:rPr>
                <w:sz w:val="22"/>
              </w:rPr>
              <w:t>5-9.99</w:t>
            </w:r>
          </w:p>
        </w:tc>
        <w:tc>
          <w:tcPr>
            <w:tcW w:w="2109" w:type="dxa"/>
            <w:tcBorders>
              <w:lef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953</w:t>
            </w:r>
            <w:r w:rsidR="00E81628">
              <w:rPr>
                <w:sz w:val="22"/>
              </w:rPr>
              <w:t>,000</w:t>
            </w:r>
          </w:p>
        </w:tc>
        <w:tc>
          <w:tcPr>
            <w:tcW w:w="2004" w:type="dxa"/>
            <w:tcBorders>
              <w:left w:val="single" w:sz="6" w:space="0" w:color="000000"/>
              <w:right w:val="single" w:sz="6" w:space="0" w:color="000000"/>
            </w:tcBorders>
            <w:tcMar>
              <w:right w:w="259" w:type="dxa"/>
            </w:tcMar>
            <w:vAlign w:val="center"/>
          </w:tcPr>
          <w:p w:rsidR="00E81628" w:rsidRDefault="00DD67B9" w:rsidP="00DD67B9">
            <w:pPr>
              <w:keepNext/>
              <w:keepLines/>
              <w:widowControl w:val="0"/>
              <w:spacing w:before="16"/>
              <w:jc w:val="right"/>
              <w:rPr>
                <w:sz w:val="22"/>
              </w:rPr>
            </w:pPr>
            <w:r>
              <w:rPr>
                <w:sz w:val="22"/>
              </w:rPr>
              <w:t>5</w:t>
            </w:r>
            <w:r w:rsidR="00E81628">
              <w:rPr>
                <w:sz w:val="22"/>
              </w:rPr>
              <w:t>,</w:t>
            </w:r>
            <w:r>
              <w:rPr>
                <w:sz w:val="22"/>
              </w:rPr>
              <w:t>733</w:t>
            </w:r>
            <w:r w:rsidR="00E81628">
              <w:rPr>
                <w:sz w:val="22"/>
              </w:rPr>
              <w:t>,000</w:t>
            </w:r>
          </w:p>
        </w:tc>
        <w:tc>
          <w:tcPr>
            <w:tcW w:w="2337" w:type="dxa"/>
            <w:tcBorders>
              <w:left w:val="single" w:sz="6" w:space="0" w:color="000000"/>
              <w:righ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81.50</w:t>
            </w:r>
          </w:p>
        </w:tc>
      </w:tr>
      <w:tr w:rsidR="00E81628" w:rsidTr="00E81628">
        <w:trPr>
          <w:cantSplit/>
          <w:jc w:val="center"/>
        </w:trPr>
        <w:tc>
          <w:tcPr>
            <w:tcW w:w="1909" w:type="dxa"/>
            <w:tcBorders>
              <w:left w:val="single" w:sz="6" w:space="0" w:color="000000"/>
              <w:right w:val="single" w:sz="6" w:space="0" w:color="000000"/>
            </w:tcBorders>
          </w:tcPr>
          <w:p w:rsidR="00E81628" w:rsidRDefault="00E81628" w:rsidP="00E81628">
            <w:pPr>
              <w:keepNext/>
              <w:keepLines/>
              <w:widowControl w:val="0"/>
              <w:spacing w:before="16"/>
              <w:rPr>
                <w:sz w:val="22"/>
              </w:rPr>
            </w:pPr>
            <w:r>
              <w:rPr>
                <w:sz w:val="22"/>
              </w:rPr>
              <w:t>10-14.99</w:t>
            </w:r>
          </w:p>
        </w:tc>
        <w:tc>
          <w:tcPr>
            <w:tcW w:w="2109" w:type="dxa"/>
            <w:tcBorders>
              <w:lef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511</w:t>
            </w:r>
            <w:r w:rsidR="00E81628">
              <w:rPr>
                <w:sz w:val="22"/>
              </w:rPr>
              <w:t>,000</w:t>
            </w:r>
          </w:p>
        </w:tc>
        <w:tc>
          <w:tcPr>
            <w:tcW w:w="2004" w:type="dxa"/>
            <w:tcBorders>
              <w:left w:val="single" w:sz="6" w:space="0" w:color="000000"/>
              <w:right w:val="single" w:sz="6" w:space="0" w:color="000000"/>
            </w:tcBorders>
            <w:tcMar>
              <w:right w:w="259" w:type="dxa"/>
            </w:tcMar>
            <w:vAlign w:val="center"/>
          </w:tcPr>
          <w:p w:rsidR="00E81628" w:rsidRDefault="00DD67B9" w:rsidP="00DD67B9">
            <w:pPr>
              <w:keepNext/>
              <w:keepLines/>
              <w:widowControl w:val="0"/>
              <w:spacing w:before="16"/>
              <w:jc w:val="right"/>
              <w:rPr>
                <w:sz w:val="22"/>
              </w:rPr>
            </w:pPr>
            <w:r>
              <w:rPr>
                <w:sz w:val="22"/>
              </w:rPr>
              <w:t>6</w:t>
            </w:r>
            <w:r w:rsidR="00E81628">
              <w:rPr>
                <w:sz w:val="22"/>
              </w:rPr>
              <w:t>,</w:t>
            </w:r>
            <w:r>
              <w:rPr>
                <w:sz w:val="22"/>
              </w:rPr>
              <w:t>244</w:t>
            </w:r>
            <w:r w:rsidR="00E81628">
              <w:rPr>
                <w:sz w:val="22"/>
              </w:rPr>
              <w:t>,000</w:t>
            </w:r>
          </w:p>
        </w:tc>
        <w:tc>
          <w:tcPr>
            <w:tcW w:w="2337" w:type="dxa"/>
            <w:tcBorders>
              <w:left w:val="single" w:sz="6" w:space="0" w:color="000000"/>
              <w:righ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88.77</w:t>
            </w:r>
          </w:p>
        </w:tc>
      </w:tr>
      <w:tr w:rsidR="00E81628" w:rsidTr="00E81628">
        <w:trPr>
          <w:cantSplit/>
          <w:jc w:val="center"/>
        </w:trPr>
        <w:tc>
          <w:tcPr>
            <w:tcW w:w="1909" w:type="dxa"/>
            <w:tcBorders>
              <w:left w:val="single" w:sz="6" w:space="0" w:color="000000"/>
              <w:right w:val="single" w:sz="6" w:space="0" w:color="000000"/>
            </w:tcBorders>
          </w:tcPr>
          <w:p w:rsidR="00E81628" w:rsidRDefault="00E81628" w:rsidP="00E81628">
            <w:pPr>
              <w:keepNext/>
              <w:keepLines/>
              <w:widowControl w:val="0"/>
              <w:spacing w:before="16"/>
              <w:rPr>
                <w:sz w:val="22"/>
              </w:rPr>
            </w:pPr>
            <w:r>
              <w:rPr>
                <w:sz w:val="22"/>
              </w:rPr>
              <w:t>15-19.99</w:t>
            </w:r>
          </w:p>
        </w:tc>
        <w:tc>
          <w:tcPr>
            <w:tcW w:w="2109" w:type="dxa"/>
            <w:tcBorders>
              <w:lef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367</w:t>
            </w:r>
            <w:r w:rsidR="00E81628">
              <w:rPr>
                <w:sz w:val="22"/>
              </w:rPr>
              <w:t>,000</w:t>
            </w:r>
          </w:p>
        </w:tc>
        <w:tc>
          <w:tcPr>
            <w:tcW w:w="2004" w:type="dxa"/>
            <w:tcBorders>
              <w:left w:val="single" w:sz="6" w:space="0" w:color="000000"/>
              <w:righ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6,611</w:t>
            </w:r>
            <w:r w:rsidR="00E81628">
              <w:rPr>
                <w:sz w:val="22"/>
              </w:rPr>
              <w:t>,000</w:t>
            </w:r>
          </w:p>
        </w:tc>
        <w:tc>
          <w:tcPr>
            <w:tcW w:w="2337" w:type="dxa"/>
            <w:tcBorders>
              <w:left w:val="single" w:sz="6" w:space="0" w:color="000000"/>
              <w:right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93.99</w:t>
            </w:r>
          </w:p>
        </w:tc>
      </w:tr>
      <w:tr w:rsidR="00E81628" w:rsidTr="00E81628">
        <w:trPr>
          <w:cantSplit/>
          <w:jc w:val="center"/>
        </w:trPr>
        <w:tc>
          <w:tcPr>
            <w:tcW w:w="1909" w:type="dxa"/>
            <w:tcBorders>
              <w:left w:val="single" w:sz="6" w:space="0" w:color="000000"/>
              <w:bottom w:val="single" w:sz="6" w:space="0" w:color="000000"/>
              <w:right w:val="single" w:sz="6" w:space="0" w:color="000000"/>
            </w:tcBorders>
          </w:tcPr>
          <w:p w:rsidR="00E81628" w:rsidRDefault="00E81628" w:rsidP="00E81628">
            <w:pPr>
              <w:keepNext/>
              <w:keepLines/>
              <w:widowControl w:val="0"/>
              <w:spacing w:before="16"/>
              <w:rPr>
                <w:sz w:val="22"/>
              </w:rPr>
            </w:pPr>
            <w:r>
              <w:rPr>
                <w:sz w:val="22"/>
              </w:rPr>
              <w:t>20+</w:t>
            </w:r>
          </w:p>
        </w:tc>
        <w:tc>
          <w:tcPr>
            <w:tcW w:w="2109" w:type="dxa"/>
            <w:tcBorders>
              <w:left w:val="single" w:sz="6" w:space="0" w:color="000000"/>
              <w:bottom w:val="single" w:sz="6" w:space="0" w:color="000000"/>
            </w:tcBorders>
            <w:tcMar>
              <w:right w:w="259" w:type="dxa"/>
            </w:tcMar>
            <w:vAlign w:val="center"/>
          </w:tcPr>
          <w:p w:rsidR="00E81628" w:rsidRDefault="00DD67B9" w:rsidP="00E81628">
            <w:pPr>
              <w:keepNext/>
              <w:keepLines/>
              <w:widowControl w:val="0"/>
              <w:spacing w:before="16"/>
              <w:jc w:val="right"/>
              <w:rPr>
                <w:sz w:val="22"/>
              </w:rPr>
            </w:pPr>
            <w:r>
              <w:rPr>
                <w:sz w:val="22"/>
              </w:rPr>
              <w:t>423</w:t>
            </w:r>
            <w:r w:rsidR="00E81628">
              <w:rPr>
                <w:sz w:val="22"/>
              </w:rPr>
              <w:t>,000</w:t>
            </w:r>
          </w:p>
        </w:tc>
        <w:tc>
          <w:tcPr>
            <w:tcW w:w="2004" w:type="dxa"/>
            <w:tcBorders>
              <w:left w:val="single" w:sz="6" w:space="0" w:color="000000"/>
              <w:bottom w:val="single" w:sz="6" w:space="0" w:color="000000"/>
              <w:right w:val="single" w:sz="6" w:space="0" w:color="000000"/>
            </w:tcBorders>
            <w:tcMar>
              <w:right w:w="259" w:type="dxa"/>
            </w:tcMar>
            <w:vAlign w:val="center"/>
          </w:tcPr>
          <w:p w:rsidR="00E81628" w:rsidRDefault="00DD67B9" w:rsidP="00DD67B9">
            <w:pPr>
              <w:keepNext/>
              <w:keepLines/>
              <w:widowControl w:val="0"/>
              <w:spacing w:before="16"/>
              <w:jc w:val="right"/>
              <w:rPr>
                <w:sz w:val="22"/>
              </w:rPr>
            </w:pPr>
            <w:r>
              <w:rPr>
                <w:sz w:val="22"/>
              </w:rPr>
              <w:t>7</w:t>
            </w:r>
            <w:r w:rsidR="00E81628">
              <w:rPr>
                <w:sz w:val="22"/>
              </w:rPr>
              <w:t>,</w:t>
            </w:r>
            <w:r>
              <w:rPr>
                <w:sz w:val="22"/>
              </w:rPr>
              <w:t>034</w:t>
            </w:r>
            <w:r w:rsidR="00E81628">
              <w:rPr>
                <w:sz w:val="22"/>
              </w:rPr>
              <w:t>,000</w:t>
            </w:r>
          </w:p>
        </w:tc>
        <w:tc>
          <w:tcPr>
            <w:tcW w:w="2337" w:type="dxa"/>
            <w:tcBorders>
              <w:left w:val="single" w:sz="6" w:space="0" w:color="000000"/>
              <w:bottom w:val="single" w:sz="6" w:space="0" w:color="000000"/>
              <w:right w:val="single" w:sz="6" w:space="0" w:color="000000"/>
            </w:tcBorders>
            <w:tcMar>
              <w:right w:w="259" w:type="dxa"/>
            </w:tcMar>
            <w:vAlign w:val="center"/>
          </w:tcPr>
          <w:p w:rsidR="00E81628" w:rsidRDefault="00E81628" w:rsidP="00E81628">
            <w:pPr>
              <w:keepNext/>
              <w:keepLines/>
              <w:widowControl w:val="0"/>
              <w:spacing w:before="16"/>
              <w:jc w:val="right"/>
              <w:rPr>
                <w:sz w:val="22"/>
              </w:rPr>
            </w:pPr>
            <w:r>
              <w:rPr>
                <w:sz w:val="22"/>
              </w:rPr>
              <w:t>100.00</w:t>
            </w:r>
          </w:p>
        </w:tc>
      </w:tr>
      <w:tr w:rsidR="00E81628" w:rsidTr="00E81628">
        <w:trPr>
          <w:cantSplit/>
          <w:jc w:val="center"/>
        </w:trPr>
        <w:tc>
          <w:tcPr>
            <w:tcW w:w="1909" w:type="dxa"/>
            <w:tcBorders>
              <w:top w:val="single" w:sz="6" w:space="0" w:color="000000"/>
              <w:left w:val="single" w:sz="6" w:space="0" w:color="000000"/>
              <w:bottom w:val="single" w:sz="6" w:space="0" w:color="000000"/>
              <w:right w:val="single" w:sz="6" w:space="0" w:color="000000"/>
            </w:tcBorders>
          </w:tcPr>
          <w:p w:rsidR="00E81628" w:rsidRDefault="00E81628" w:rsidP="00E81628">
            <w:pPr>
              <w:keepNext/>
              <w:keepLines/>
              <w:widowControl w:val="0"/>
              <w:spacing w:before="16"/>
              <w:rPr>
                <w:sz w:val="22"/>
              </w:rPr>
            </w:pPr>
            <w:r>
              <w:rPr>
                <w:sz w:val="22"/>
              </w:rPr>
              <w:t>Total</w:t>
            </w:r>
          </w:p>
        </w:tc>
        <w:tc>
          <w:tcPr>
            <w:tcW w:w="2109" w:type="dxa"/>
            <w:tcBorders>
              <w:top w:val="single" w:sz="6" w:space="0" w:color="000000"/>
              <w:left w:val="single" w:sz="6" w:space="0" w:color="000000"/>
              <w:bottom w:val="single" w:sz="6" w:space="0" w:color="000000"/>
            </w:tcBorders>
            <w:tcMar>
              <w:right w:w="259" w:type="dxa"/>
            </w:tcMar>
            <w:vAlign w:val="center"/>
          </w:tcPr>
          <w:p w:rsidR="00E81628" w:rsidRDefault="00DD67B9" w:rsidP="00DD67B9">
            <w:pPr>
              <w:keepNext/>
              <w:keepLines/>
              <w:widowControl w:val="0"/>
              <w:spacing w:before="16"/>
              <w:jc w:val="right"/>
              <w:rPr>
                <w:sz w:val="22"/>
              </w:rPr>
            </w:pPr>
            <w:r>
              <w:rPr>
                <w:sz w:val="22"/>
              </w:rPr>
              <w:t>7</w:t>
            </w:r>
            <w:r w:rsidR="00E81628">
              <w:rPr>
                <w:sz w:val="22"/>
              </w:rPr>
              <w:t>,</w:t>
            </w:r>
            <w:r>
              <w:rPr>
                <w:sz w:val="22"/>
              </w:rPr>
              <w:t>034</w:t>
            </w:r>
            <w:r w:rsidR="00E81628">
              <w:rPr>
                <w:sz w:val="22"/>
              </w:rPr>
              <w:t>,000</w:t>
            </w:r>
          </w:p>
        </w:tc>
        <w:tc>
          <w:tcPr>
            <w:tcW w:w="2004" w:type="dxa"/>
            <w:tcBorders>
              <w:top w:val="single" w:sz="6" w:space="0" w:color="000000"/>
              <w:left w:val="single" w:sz="6" w:space="0" w:color="000000"/>
              <w:bottom w:val="single" w:sz="6" w:space="0" w:color="000000"/>
              <w:right w:val="single" w:sz="6" w:space="0" w:color="000000"/>
            </w:tcBorders>
            <w:tcMar>
              <w:right w:w="259" w:type="dxa"/>
            </w:tcMar>
            <w:vAlign w:val="center"/>
          </w:tcPr>
          <w:p w:rsidR="00E81628" w:rsidRDefault="00E81628" w:rsidP="00E81628">
            <w:pPr>
              <w:keepNext/>
              <w:keepLines/>
              <w:widowControl w:val="0"/>
              <w:spacing w:before="16"/>
              <w:jc w:val="right"/>
              <w:rPr>
                <w:sz w:val="22"/>
              </w:rPr>
            </w:pPr>
          </w:p>
        </w:tc>
        <w:tc>
          <w:tcPr>
            <w:tcW w:w="2337" w:type="dxa"/>
            <w:tcBorders>
              <w:top w:val="single" w:sz="6" w:space="0" w:color="000000"/>
              <w:left w:val="single" w:sz="6" w:space="0" w:color="000000"/>
              <w:bottom w:val="single" w:sz="6" w:space="0" w:color="000000"/>
              <w:right w:val="single" w:sz="6" w:space="0" w:color="000000"/>
            </w:tcBorders>
            <w:tcMar>
              <w:right w:w="259" w:type="dxa"/>
            </w:tcMar>
            <w:vAlign w:val="center"/>
          </w:tcPr>
          <w:p w:rsidR="00E81628" w:rsidRDefault="00E81628" w:rsidP="00E81628">
            <w:pPr>
              <w:keepNext/>
              <w:keepLines/>
              <w:widowControl w:val="0"/>
              <w:spacing w:before="16"/>
              <w:jc w:val="right"/>
              <w:rPr>
                <w:sz w:val="22"/>
              </w:rPr>
            </w:pPr>
          </w:p>
        </w:tc>
      </w:tr>
    </w:tbl>
    <w:p w:rsidR="00E81628" w:rsidRDefault="00E81628" w:rsidP="00E81628"/>
    <w:p w:rsidR="00E81628" w:rsidRDefault="00E81628" w:rsidP="00E81628">
      <w:pPr>
        <w:tabs>
          <w:tab w:val="left" w:pos="0"/>
        </w:tabs>
        <w:ind w:left="720" w:hanging="720"/>
      </w:pPr>
      <w:r>
        <w:t>1.</w:t>
      </w:r>
      <w:r>
        <w:tab/>
        <w:t xml:space="preserve">Using Formula (2) with </w:t>
      </w:r>
      <w:r>
        <w:rPr>
          <w:i/>
        </w:rPr>
        <w:t>b</w:t>
      </w:r>
      <w:r w:rsidR="00DD67B9">
        <w:t xml:space="preserve"> = 3,244</w:t>
      </w:r>
      <w:r>
        <w:t xml:space="preserve"> from Table 3, the standard erro</w:t>
      </w:r>
      <w:r w:rsidR="00DD67B9">
        <w:t>r of 50 percent with a base of 7</w:t>
      </w:r>
      <w:r>
        <w:t>,</w:t>
      </w:r>
      <w:r w:rsidR="00DD67B9">
        <w:t>0</w:t>
      </w:r>
      <w:r>
        <w:t>3</w:t>
      </w:r>
      <w:r w:rsidR="00DD67B9">
        <w:t>4,000 is 1.07</w:t>
      </w:r>
      <w:r>
        <w:t xml:space="preserve"> percent.  </w:t>
      </w:r>
    </w:p>
    <w:p w:rsidR="00E81628" w:rsidRDefault="00E81628" w:rsidP="00E81628">
      <w:pPr>
        <w:tabs>
          <w:tab w:val="left" w:pos="0"/>
        </w:tabs>
      </w:pPr>
    </w:p>
    <w:p w:rsidR="00E81628" w:rsidRDefault="00E81628" w:rsidP="00E81628">
      <w:pPr>
        <w:tabs>
          <w:tab w:val="left" w:pos="0"/>
        </w:tabs>
        <w:ind w:left="720" w:hanging="720"/>
      </w:pPr>
      <w:r>
        <w:t>2.</w:t>
      </w:r>
      <w:r>
        <w:tab/>
        <w:t>To obtain a 68-percent confidence interval on an estimated median, add to and subtract from 50 percent the standard error found in step 1.  This y</w:t>
      </w:r>
      <w:r w:rsidR="00DD67B9">
        <w:t>ields percentage limits of 48.24 and 51.76</w:t>
      </w:r>
      <w:r>
        <w:t xml:space="preserve">.  </w:t>
      </w:r>
    </w:p>
    <w:p w:rsidR="00E81628" w:rsidRDefault="00E81628" w:rsidP="00E81628">
      <w:pPr>
        <w:tabs>
          <w:tab w:val="left" w:pos="0"/>
        </w:tabs>
        <w:ind w:left="720" w:hanging="720"/>
      </w:pPr>
    </w:p>
    <w:p w:rsidR="00E81628" w:rsidRDefault="00E81628" w:rsidP="00E81628">
      <w:pPr>
        <w:tabs>
          <w:tab w:val="left" w:pos="0"/>
        </w:tabs>
        <w:ind w:left="720" w:hanging="720"/>
      </w:pPr>
      <w:r>
        <w:t>3.</w:t>
      </w:r>
      <w:r>
        <w:tab/>
        <w:t xml:space="preserve">The lower and upper boundaries for the interval in which the percentage limits fall are </w:t>
      </w:r>
      <w:r>
        <w:rPr>
          <w:i/>
          <w:iCs/>
        </w:rPr>
        <w:t>L</w:t>
      </w:r>
      <w:r>
        <w:t xml:space="preserve"> = 1 year to </w:t>
      </w:r>
      <w:r>
        <w:rPr>
          <w:i/>
          <w:iCs/>
        </w:rPr>
        <w:t>U</w:t>
      </w:r>
      <w:r>
        <w:t xml:space="preserve"> = 5 years, respectively.  </w:t>
      </w:r>
    </w:p>
    <w:p w:rsidR="00E81628" w:rsidRDefault="00E81628" w:rsidP="00E81628">
      <w:pPr>
        <w:rPr>
          <w:highlight w:val="yellow"/>
        </w:rPr>
      </w:pPr>
    </w:p>
    <w:p w:rsidR="00E81628" w:rsidRDefault="00E81628" w:rsidP="00E81628">
      <w:pPr>
        <w:ind w:left="720"/>
      </w:pPr>
      <w:r>
        <w:t xml:space="preserve">Then the estimated number of displaced workers with years on the lost job between 1 and 5 are </w:t>
      </w:r>
      <w:r>
        <w:rPr>
          <w:i/>
          <w:iCs/>
        </w:rPr>
        <w:t>N</w:t>
      </w:r>
      <w:r>
        <w:rPr>
          <w:i/>
          <w:iCs/>
          <w:vertAlign w:val="subscript"/>
        </w:rPr>
        <w:t>L</w:t>
      </w:r>
      <w:r w:rsidR="00DD67B9">
        <w:t xml:space="preserve"> = 1</w:t>
      </w:r>
      <w:r>
        <w:t>,</w:t>
      </w:r>
      <w:r w:rsidR="00DD67B9">
        <w:t>660</w:t>
      </w:r>
      <w:r>
        <w:t xml:space="preserve">,000 and </w:t>
      </w:r>
      <w:r>
        <w:rPr>
          <w:i/>
          <w:iCs/>
        </w:rPr>
        <w:t>N</w:t>
      </w:r>
      <w:r>
        <w:rPr>
          <w:i/>
          <w:iCs/>
          <w:vertAlign w:val="subscript"/>
        </w:rPr>
        <w:t>U</w:t>
      </w:r>
      <w:r>
        <w:t xml:space="preserve"> = </w:t>
      </w:r>
      <w:r w:rsidR="00DD67B9">
        <w:t>4</w:t>
      </w:r>
      <w:r>
        <w:t>,</w:t>
      </w:r>
      <w:r w:rsidR="00DD67B9">
        <w:t>780</w:t>
      </w:r>
      <w:r>
        <w:t>,000, respectively.</w:t>
      </w:r>
    </w:p>
    <w:p w:rsidR="00E81628" w:rsidRDefault="00E81628" w:rsidP="00E81628"/>
    <w:p w:rsidR="00E81628" w:rsidRDefault="00E81628" w:rsidP="00E81628">
      <w:pPr>
        <w:ind w:left="720"/>
      </w:pPr>
      <w:r>
        <w:t>Using Formula (4), the lower limit for the confidence interval of the median is found to be about</w:t>
      </w:r>
    </w:p>
    <w:p w:rsidR="00E81628" w:rsidRDefault="00E81628" w:rsidP="00E81628">
      <w:pPr>
        <w:ind w:left="720"/>
      </w:pPr>
    </w:p>
    <w:p w:rsidR="00E81628" w:rsidRPr="00626FA2" w:rsidRDefault="00E063F8" w:rsidP="00E81628">
      <w:pPr>
        <w:ind w:left="720"/>
        <w:rPr>
          <w:sz w:val="28"/>
          <w:szCs w:val="28"/>
        </w:rPr>
      </w:pPr>
      <m:oMathPara>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0.4824</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0.4824*7,034,000-1,660,000</m:t>
              </m:r>
            </m:num>
            <m:den>
              <m:r>
                <w:rPr>
                  <w:rFonts w:ascii="Cambria Math" w:hAnsi="Cambria Math"/>
                  <w:sz w:val="28"/>
                  <w:szCs w:val="28"/>
                </w:rPr>
                <m:t>4,780,000-1,660,000</m:t>
              </m:r>
            </m:den>
          </m:f>
          <m:d>
            <m:dPr>
              <m:ctrlPr>
                <w:rPr>
                  <w:rFonts w:ascii="Cambria Math" w:hAnsi="Cambria Math"/>
                  <w:i/>
                  <w:sz w:val="28"/>
                  <w:szCs w:val="28"/>
                </w:rPr>
              </m:ctrlPr>
            </m:dPr>
            <m:e>
              <m:r>
                <w:rPr>
                  <w:rFonts w:ascii="Cambria Math" w:hAnsi="Cambria Math"/>
                  <w:sz w:val="28"/>
                  <w:szCs w:val="28"/>
                </w:rPr>
                <m:t>5-1</m:t>
              </m:r>
            </m:e>
          </m:d>
          <m:r>
            <w:rPr>
              <w:rFonts w:ascii="Cambria Math" w:hAnsi="Cambria Math"/>
              <w:sz w:val="28"/>
              <w:szCs w:val="28"/>
            </w:rPr>
            <m:t>+1=3.22</m:t>
          </m:r>
        </m:oMath>
      </m:oMathPara>
    </w:p>
    <w:p w:rsidR="00E81628" w:rsidRDefault="00E81628" w:rsidP="00E81628">
      <w:pPr>
        <w:ind w:firstLine="720"/>
      </w:pPr>
    </w:p>
    <w:p w:rsidR="00E81628" w:rsidRDefault="00E81628" w:rsidP="00E81628">
      <w:pPr>
        <w:keepNext/>
      </w:pPr>
    </w:p>
    <w:p w:rsidR="00E81628" w:rsidRDefault="00E81628" w:rsidP="00E81628">
      <w:pPr>
        <w:keepNext/>
        <w:keepLines/>
        <w:ind w:left="720"/>
      </w:pPr>
      <w:r>
        <w:t>Similarly, the upper limit is found to be about</w:t>
      </w:r>
    </w:p>
    <w:p w:rsidR="00E81628" w:rsidRDefault="00E81628" w:rsidP="00E81628">
      <w:pPr>
        <w:keepNext/>
      </w:pPr>
    </w:p>
    <w:p w:rsidR="00E81628" w:rsidRPr="00626FA2" w:rsidRDefault="00E063F8" w:rsidP="00E81628">
      <w:pPr>
        <w:ind w:left="720"/>
        <w:rPr>
          <w:sz w:val="28"/>
          <w:szCs w:val="28"/>
        </w:rPr>
      </w:pPr>
      <m:oMathPara>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0.5176</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0.5176*7,034,000-1,660,000</m:t>
              </m:r>
            </m:num>
            <m:den>
              <m:r>
                <w:rPr>
                  <w:rFonts w:ascii="Cambria Math" w:hAnsi="Cambria Math"/>
                  <w:sz w:val="28"/>
                  <w:szCs w:val="28"/>
                </w:rPr>
                <m:t>4,780,000-1,660,000</m:t>
              </m:r>
            </m:den>
          </m:f>
          <m:d>
            <m:dPr>
              <m:ctrlPr>
                <w:rPr>
                  <w:rFonts w:ascii="Cambria Math" w:hAnsi="Cambria Math"/>
                  <w:i/>
                  <w:sz w:val="28"/>
                  <w:szCs w:val="28"/>
                </w:rPr>
              </m:ctrlPr>
            </m:dPr>
            <m:e>
              <m:r>
                <w:rPr>
                  <w:rFonts w:ascii="Cambria Math" w:hAnsi="Cambria Math"/>
                  <w:sz w:val="28"/>
                  <w:szCs w:val="28"/>
                </w:rPr>
                <m:t>5-1</m:t>
              </m:r>
            </m:e>
          </m:d>
          <m:r>
            <w:rPr>
              <w:rFonts w:ascii="Cambria Math" w:hAnsi="Cambria Math"/>
              <w:sz w:val="28"/>
              <w:szCs w:val="28"/>
            </w:rPr>
            <m:t>+1=3.54</m:t>
          </m:r>
        </m:oMath>
      </m:oMathPara>
    </w:p>
    <w:p w:rsidR="00E81628" w:rsidRDefault="00E81628" w:rsidP="00E81628">
      <w:pPr>
        <w:keepNext/>
      </w:pPr>
    </w:p>
    <w:p w:rsidR="00E81628" w:rsidRDefault="00E81628" w:rsidP="00E81628">
      <w:pPr>
        <w:pStyle w:val="Level1"/>
        <w:autoSpaceDE/>
        <w:autoSpaceDN/>
        <w:adjustRightInd/>
      </w:pPr>
    </w:p>
    <w:p w:rsidR="00E81628" w:rsidRDefault="00E81628" w:rsidP="00E81628">
      <w:pPr>
        <w:pStyle w:val="Level1"/>
        <w:autoSpaceDE/>
        <w:autoSpaceDN/>
        <w:adjustRightInd/>
      </w:pPr>
      <w:r>
        <w:t>Thus, a 68-percent confidence interval for the median number of years on the lost job fo</w:t>
      </w:r>
      <w:r w:rsidR="00104EF0">
        <w:t>r displaced workers is from 3.22 to 3.54</w:t>
      </w:r>
      <w:r>
        <w:t xml:space="preserve">.  </w:t>
      </w:r>
    </w:p>
    <w:p w:rsidR="00E81628" w:rsidRDefault="00E81628" w:rsidP="00E81628">
      <w:pPr>
        <w:ind w:left="720" w:hanging="720"/>
      </w:pPr>
    </w:p>
    <w:p w:rsidR="00E81628" w:rsidRDefault="00E81628" w:rsidP="00E81628">
      <w:pPr>
        <w:ind w:left="720" w:hanging="720"/>
      </w:pPr>
      <w:r>
        <w:t>4.</w:t>
      </w:r>
      <w:r>
        <w:tab/>
        <w:t>The standard error of the median is, therefore,</w:t>
      </w:r>
    </w:p>
    <w:p w:rsidR="00E81628" w:rsidRDefault="00E81628" w:rsidP="00E81628">
      <w:pPr>
        <w:ind w:left="720" w:hanging="720"/>
      </w:pPr>
    </w:p>
    <w:p w:rsidR="00E81628" w:rsidRPr="00626FA2" w:rsidRDefault="00E063F8" w:rsidP="00E81628">
      <w:pPr>
        <w:ind w:left="720" w:hanging="720"/>
        <w:rPr>
          <w:sz w:val="28"/>
          <w:szCs w:val="28"/>
        </w:rPr>
      </w:pPr>
      <m:oMathPara>
        <m:oMath>
          <m:f>
            <m:fPr>
              <m:ctrlPr>
                <w:rPr>
                  <w:rFonts w:ascii="Cambria Math" w:hAnsi="Cambria Math"/>
                  <w:i/>
                  <w:sz w:val="28"/>
                  <w:szCs w:val="28"/>
                </w:rPr>
              </m:ctrlPr>
            </m:fPr>
            <m:num>
              <m:r>
                <w:rPr>
                  <w:rFonts w:ascii="Cambria Math" w:hAnsi="Cambria Math"/>
                  <w:sz w:val="28"/>
                  <w:szCs w:val="28"/>
                </w:rPr>
                <m:t>3.22-3.54</m:t>
              </m:r>
            </m:num>
            <m:den>
              <m:r>
                <w:rPr>
                  <w:rFonts w:ascii="Cambria Math" w:hAnsi="Cambria Math"/>
                  <w:sz w:val="28"/>
                  <w:szCs w:val="28"/>
                </w:rPr>
                <m:t>2</m:t>
              </m:r>
            </m:den>
          </m:f>
          <m:r>
            <w:rPr>
              <w:rFonts w:ascii="Cambria Math" w:hAnsi="Cambria Math"/>
              <w:sz w:val="28"/>
              <w:szCs w:val="28"/>
            </w:rPr>
            <m:t>=0.16</m:t>
          </m:r>
        </m:oMath>
      </m:oMathPara>
    </w:p>
    <w:p w:rsidR="00E81628" w:rsidRDefault="00E81628" w:rsidP="000377E3">
      <w:pPr>
        <w:rPr>
          <w:b/>
          <w:bCs/>
          <w:u w:val="single"/>
        </w:rPr>
      </w:pPr>
    </w:p>
    <w:p w:rsidR="00626FA2" w:rsidRDefault="00626FA2" w:rsidP="000377E3">
      <w:pPr>
        <w:rPr>
          <w:b/>
          <w:bCs/>
          <w:u w:val="single"/>
        </w:rPr>
      </w:pPr>
    </w:p>
    <w:p w:rsidR="000377E3" w:rsidRDefault="000377E3" w:rsidP="000377E3">
      <w:r>
        <w:rPr>
          <w:b/>
          <w:bCs/>
          <w:u w:val="single"/>
        </w:rPr>
        <w:t>Standard Errors of Quarterly or Yearly Averages</w:t>
      </w:r>
      <w:r>
        <w:t xml:space="preserve">.  For information on calculating standard errors for labor force data from the CPS which involve quarterly or yearly averages, please see the “Explanatory Notes and Estimates of Error:  Household Data” section in </w:t>
      </w:r>
      <w:r>
        <w:rPr>
          <w:i/>
          <w:iCs/>
        </w:rPr>
        <w:t>Employment and Earnings</w:t>
      </w:r>
      <w:r>
        <w:t>, a monthly report published by the U.S. Bureau of Labor Statistics.</w:t>
      </w:r>
    </w:p>
    <w:p w:rsidR="000377E3" w:rsidRDefault="000377E3" w:rsidP="000377E3"/>
    <w:p w:rsidR="000377E3" w:rsidRDefault="000377E3" w:rsidP="000377E3">
      <w:pPr>
        <w:rPr>
          <w:color w:val="000000"/>
        </w:rPr>
      </w:pPr>
      <w:r>
        <w:rPr>
          <w:b/>
          <w:bCs/>
          <w:color w:val="000000"/>
          <w:u w:val="single"/>
        </w:rPr>
        <w:t>Technical Assistance</w:t>
      </w:r>
      <w:r>
        <w:rPr>
          <w:color w:val="000000"/>
        </w:rPr>
        <w:t xml:space="preserve">.  If you require assistance or additional information, please contact the Demographic Statistical Methods Division via e-mail at </w:t>
      </w:r>
      <w:hyperlink r:id="rId18" w:history="1">
        <w:r>
          <w:rPr>
            <w:rStyle w:val="Hyperlink"/>
          </w:rPr>
          <w:t>dsmd.source.and.accuracy@census.gov</w:t>
        </w:r>
      </w:hyperlink>
      <w:r>
        <w:rPr>
          <w:color w:val="000000"/>
        </w:rPr>
        <w:t>.</w:t>
      </w:r>
    </w:p>
    <w:p w:rsidR="00CC17F8" w:rsidRDefault="00CC17F8">
      <w:pPr>
        <w:spacing w:after="200"/>
        <w:rPr>
          <w:lang w:val="en-CA"/>
        </w:rPr>
      </w:pPr>
      <w:r>
        <w:rPr>
          <w:lang w:val="en-C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9"/>
        <w:gridCol w:w="1368"/>
        <w:gridCol w:w="1299"/>
      </w:tblGrid>
      <w:tr w:rsidR="007E050C" w:rsidTr="007E050C">
        <w:trPr>
          <w:cantSplit/>
          <w:trHeight w:val="710"/>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rsidR="007E050C" w:rsidRPr="007E050C" w:rsidRDefault="007E050C" w:rsidP="007E050C">
            <w:pPr>
              <w:spacing w:line="276" w:lineRule="auto"/>
              <w:jc w:val="center"/>
              <w:rPr>
                <w:color w:val="FFFFFF"/>
              </w:rPr>
            </w:pPr>
            <w:r w:rsidRPr="007E050C">
              <w:rPr>
                <w:lang w:val="en-CA"/>
              </w:rPr>
              <w:lastRenderedPageBreak/>
              <w:fldChar w:fldCharType="begin"/>
            </w:r>
            <w:r w:rsidRPr="007E050C">
              <w:rPr>
                <w:lang w:val="en-CA"/>
              </w:rPr>
              <w:instrText xml:space="preserve"> SEQ CHAPTER \h \r 1</w:instrText>
            </w:r>
            <w:r w:rsidRPr="007E050C">
              <w:rPr>
                <w:lang w:val="en-CA"/>
              </w:rPr>
              <w:fldChar w:fldCharType="end"/>
            </w:r>
            <w:r w:rsidRPr="007E050C">
              <w:rPr>
                <w:lang w:val="en-CA"/>
              </w:rPr>
              <w:fldChar w:fldCharType="begin"/>
            </w:r>
            <w:r w:rsidRPr="007E050C">
              <w:rPr>
                <w:lang w:val="en-CA"/>
              </w:rPr>
              <w:instrText xml:space="preserve"> SEQ CHAPTER \h \r 1</w:instrText>
            </w:r>
            <w:r w:rsidRPr="007E050C">
              <w:rPr>
                <w:lang w:val="en-CA"/>
              </w:rPr>
              <w:fldChar w:fldCharType="end"/>
            </w:r>
            <w:r w:rsidRPr="007E050C">
              <w:rPr>
                <w:b/>
                <w:bCs/>
                <w:color w:val="FFFFFF"/>
              </w:rPr>
              <w:t>Table 3.  Parameters for Computation of Standard Errors for Labor Force Characteristics</w:t>
            </w:r>
            <w:r w:rsidRPr="00CC17F8">
              <w:rPr>
                <w:b/>
                <w:bCs/>
                <w:color w:val="FFFFFF"/>
              </w:rPr>
              <w:t xml:space="preserve">: </w:t>
            </w:r>
            <w:r w:rsidR="001C57D3" w:rsidRPr="00CC17F8">
              <w:rPr>
                <w:b/>
                <w:bCs/>
              </w:rPr>
              <w:t>January 2016</w:t>
            </w:r>
          </w:p>
        </w:tc>
      </w:tr>
      <w:tr w:rsidR="007E050C" w:rsidTr="007E050C">
        <w:trPr>
          <w:trHeight w:val="260"/>
          <w:jc w:val="center"/>
        </w:trPr>
        <w:tc>
          <w:tcPr>
            <w:tcW w:w="618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E050C" w:rsidRDefault="007E050C">
            <w:pPr>
              <w:spacing w:line="276" w:lineRule="auto"/>
              <w:rPr>
                <w:sz w:val="20"/>
              </w:rPr>
            </w:pPr>
            <w:r>
              <w:rPr>
                <w:sz w:val="20"/>
              </w:rPr>
              <w:t>Characteristic</w:t>
            </w:r>
          </w:p>
        </w:tc>
        <w:tc>
          <w:tcPr>
            <w:tcW w:w="136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E050C" w:rsidRDefault="007E050C">
            <w:pPr>
              <w:spacing w:line="276" w:lineRule="auto"/>
              <w:jc w:val="center"/>
              <w:rPr>
                <w:sz w:val="20"/>
              </w:rPr>
            </w:pPr>
            <w:r>
              <w:rPr>
                <w:sz w:val="20"/>
              </w:rPr>
              <w:t>a</w:t>
            </w:r>
          </w:p>
        </w:tc>
        <w:tc>
          <w:tcPr>
            <w:tcW w:w="129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E050C" w:rsidRDefault="007E050C">
            <w:pPr>
              <w:spacing w:line="276" w:lineRule="auto"/>
              <w:jc w:val="center"/>
              <w:rPr>
                <w:sz w:val="20"/>
              </w:rPr>
            </w:pPr>
            <w:r>
              <w:rPr>
                <w:sz w:val="20"/>
              </w:rPr>
              <w:t>b</w:t>
            </w:r>
          </w:p>
        </w:tc>
      </w:tr>
      <w:tr w:rsidR="007E050C" w:rsidTr="007E050C">
        <w:trPr>
          <w:trHeight w:hRule="exact" w:val="202"/>
          <w:jc w:val="center"/>
        </w:trPr>
        <w:tc>
          <w:tcPr>
            <w:tcW w:w="6189" w:type="dxa"/>
            <w:tcBorders>
              <w:top w:val="single" w:sz="4" w:space="0" w:color="auto"/>
              <w:left w:val="single" w:sz="4" w:space="0" w:color="auto"/>
              <w:bottom w:val="nil"/>
              <w:right w:val="single" w:sz="4" w:space="0" w:color="auto"/>
            </w:tcBorders>
          </w:tcPr>
          <w:p w:rsidR="007E050C" w:rsidRDefault="007E050C">
            <w:pPr>
              <w:spacing w:line="276" w:lineRule="auto"/>
              <w:rPr>
                <w:sz w:val="20"/>
              </w:rPr>
            </w:pPr>
          </w:p>
        </w:tc>
        <w:tc>
          <w:tcPr>
            <w:tcW w:w="1368" w:type="dxa"/>
            <w:tcBorders>
              <w:top w:val="single" w:sz="4" w:space="0" w:color="auto"/>
              <w:left w:val="single" w:sz="4" w:space="0" w:color="auto"/>
              <w:bottom w:val="nil"/>
              <w:right w:val="single" w:sz="4" w:space="0" w:color="auto"/>
            </w:tcBorders>
            <w:vAlign w:val="center"/>
          </w:tcPr>
          <w:p w:rsidR="007E050C" w:rsidRDefault="007E050C">
            <w:pPr>
              <w:spacing w:line="276" w:lineRule="auto"/>
              <w:jc w:val="center"/>
              <w:rPr>
                <w:sz w:val="20"/>
              </w:rPr>
            </w:pPr>
          </w:p>
        </w:tc>
        <w:tc>
          <w:tcPr>
            <w:tcW w:w="1299" w:type="dxa"/>
            <w:tcBorders>
              <w:top w:val="single" w:sz="4" w:space="0" w:color="auto"/>
              <w:left w:val="single" w:sz="4" w:space="0" w:color="auto"/>
              <w:bottom w:val="nil"/>
              <w:right w:val="single" w:sz="4" w:space="0" w:color="auto"/>
            </w:tcBorders>
            <w:vAlign w:val="center"/>
          </w:tcPr>
          <w:p w:rsidR="007E050C" w:rsidRDefault="007E050C">
            <w:pPr>
              <w:spacing w:line="276" w:lineRule="auto"/>
              <w:jc w:val="center"/>
              <w:rPr>
                <w:sz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b/>
                <w:bCs/>
                <w:sz w:val="20"/>
              </w:rPr>
            </w:pPr>
            <w:r>
              <w:rPr>
                <w:b/>
                <w:bCs/>
                <w:sz w:val="20"/>
              </w:rPr>
              <w:t>Total or White</w:t>
            </w: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pStyle w:val="Heading6"/>
              <w:spacing w:line="276" w:lineRule="auto"/>
            </w:pPr>
            <w:r>
              <w:t xml:space="preserve">    Civilian labor force, employed</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-0.000013</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2,481</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i/>
                <w:iCs/>
                <w:sz w:val="20"/>
              </w:rPr>
            </w:pPr>
            <w:r>
              <w:rPr>
                <w:i/>
                <w:iCs/>
                <w:sz w:val="20"/>
              </w:rPr>
              <w:t xml:space="preserve">    Unemployed</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-0.000017</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3,244</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i/>
                <w:iCs/>
                <w:sz w:val="20"/>
              </w:rPr>
            </w:pPr>
            <w:r>
              <w:rPr>
                <w:i/>
                <w:iCs/>
                <w:sz w:val="20"/>
              </w:rPr>
              <w:t xml:space="preserve">    Not in labor force</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-0.000013</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2,432</w:t>
            </w:r>
          </w:p>
        </w:tc>
      </w:tr>
      <w:tr w:rsidR="007E050C" w:rsidTr="007E050C">
        <w:trPr>
          <w:jc w:val="center"/>
        </w:trPr>
        <w:tc>
          <w:tcPr>
            <w:tcW w:w="6189" w:type="dxa"/>
            <w:tcBorders>
              <w:top w:val="nil"/>
              <w:left w:val="single" w:sz="4" w:space="0" w:color="auto"/>
              <w:bottom w:val="nil"/>
              <w:right w:val="single" w:sz="4" w:space="0" w:color="auto"/>
            </w:tcBorders>
            <w:vAlign w:val="center"/>
          </w:tcPr>
          <w:p w:rsidR="007E050C" w:rsidRDefault="007E050C">
            <w:pPr>
              <w:spacing w:line="276" w:lineRule="auto"/>
              <w:rPr>
                <w:sz w:val="20"/>
              </w:rPr>
            </w:pP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pStyle w:val="Heading6"/>
              <w:spacing w:line="276" w:lineRule="auto"/>
            </w:pPr>
            <w:r>
              <w:t xml:space="preserve">    Civilian labor force, employed, not in labor force, and unemployed</w:t>
            </w: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Men</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-0.000031</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2,947</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Women</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-0.000028</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2,788</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-0.000261</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3,244</w:t>
            </w:r>
          </w:p>
        </w:tc>
      </w:tr>
      <w:tr w:rsidR="007E050C" w:rsidTr="007E050C">
        <w:trPr>
          <w:trHeight w:hRule="exact" w:val="202"/>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w:t>
            </w: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b/>
                <w:bCs/>
                <w:sz w:val="20"/>
              </w:rPr>
            </w:pPr>
            <w:r>
              <w:rPr>
                <w:b/>
                <w:bCs/>
                <w:sz w:val="20"/>
              </w:rPr>
              <w:t xml:space="preserve">Black </w:t>
            </w: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pStyle w:val="Heading6"/>
              <w:spacing w:line="276" w:lineRule="auto"/>
            </w:pPr>
            <w:r>
              <w:t xml:space="preserve">    Civilian labor force, employed, not in labor force, and unemployed</w:t>
            </w: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Total</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-0.000117</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3,601</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Men</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-0.000249</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3,465</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Women</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-0.000191</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3,191</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-0.001425</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3,601</w:t>
            </w:r>
          </w:p>
        </w:tc>
      </w:tr>
      <w:tr w:rsidR="007E050C" w:rsidTr="007E050C">
        <w:trPr>
          <w:trHeight w:hRule="exact" w:val="202"/>
          <w:jc w:val="center"/>
        </w:trPr>
        <w:tc>
          <w:tcPr>
            <w:tcW w:w="6189" w:type="dxa"/>
            <w:tcBorders>
              <w:top w:val="nil"/>
              <w:left w:val="single" w:sz="4" w:space="0" w:color="auto"/>
              <w:bottom w:val="nil"/>
              <w:right w:val="single" w:sz="4" w:space="0" w:color="auto"/>
            </w:tcBorders>
            <w:vAlign w:val="center"/>
          </w:tcPr>
          <w:p w:rsidR="007E050C" w:rsidRDefault="007E050C">
            <w:pPr>
              <w:spacing w:line="276" w:lineRule="auto"/>
              <w:rPr>
                <w:sz w:val="20"/>
              </w:rPr>
            </w:pP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b/>
                <w:bCs/>
                <w:sz w:val="20"/>
              </w:rPr>
            </w:pPr>
            <w:r>
              <w:rPr>
                <w:b/>
                <w:bCs/>
                <w:sz w:val="20"/>
              </w:rPr>
              <w:t>Asian, American Indian and Alaska Native, Native Hawaiian and Other Pacific Islander</w:t>
            </w: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pStyle w:val="Heading6"/>
              <w:spacing w:line="276" w:lineRule="auto"/>
            </w:pPr>
            <w:r>
              <w:t xml:space="preserve">    Civilian labor force, employed, not in labor force, and unemployed</w:t>
            </w: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Total</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-0.000245</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3,311</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Men</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-0.000537</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3,397</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Women</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-0.000399</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2,874</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-0.004078</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3,311</w:t>
            </w:r>
          </w:p>
        </w:tc>
      </w:tr>
      <w:tr w:rsidR="007E050C" w:rsidTr="007E050C">
        <w:trPr>
          <w:jc w:val="center"/>
        </w:trPr>
        <w:tc>
          <w:tcPr>
            <w:tcW w:w="6189" w:type="dxa"/>
            <w:tcBorders>
              <w:top w:val="nil"/>
              <w:left w:val="single" w:sz="4" w:space="0" w:color="auto"/>
              <w:bottom w:val="nil"/>
              <w:right w:val="single" w:sz="4" w:space="0" w:color="auto"/>
            </w:tcBorders>
            <w:vAlign w:val="center"/>
          </w:tcPr>
          <w:p w:rsidR="007E050C" w:rsidRDefault="007E050C">
            <w:pPr>
              <w:spacing w:line="276" w:lineRule="auto"/>
              <w:rPr>
                <w:b/>
                <w:bCs/>
                <w:sz w:val="20"/>
              </w:rPr>
            </w:pP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b/>
                <w:bCs/>
                <w:sz w:val="20"/>
              </w:rPr>
            </w:pPr>
            <w:r>
              <w:rPr>
                <w:b/>
                <w:bCs/>
                <w:sz w:val="20"/>
              </w:rPr>
              <w:t xml:space="preserve">Hispanic, may be of any race </w:t>
            </w: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pStyle w:val="Heading6"/>
              <w:spacing w:line="276" w:lineRule="auto"/>
            </w:pPr>
            <w:r>
              <w:t xml:space="preserve">    Civilian labor force, employed, not in labor force, and unemployed</w:t>
            </w:r>
          </w:p>
        </w:tc>
        <w:tc>
          <w:tcPr>
            <w:tcW w:w="1368"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nil"/>
              <w:right w:val="single" w:sz="4" w:space="0" w:color="auto"/>
            </w:tcBorders>
            <w:vAlign w:val="center"/>
          </w:tcPr>
          <w:p w:rsidR="007E050C" w:rsidRDefault="007E050C">
            <w:pPr>
              <w:spacing w:line="276" w:lineRule="auto"/>
              <w:jc w:val="center"/>
              <w:rPr>
                <w:sz w:val="20"/>
                <w:szCs w:val="20"/>
              </w:rPr>
            </w:pP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Total</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-0.000087</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3,316</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Men</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-0.000172</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3,276</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Women</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-0.000158</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3,001</w:t>
            </w:r>
          </w:p>
        </w:tc>
      </w:tr>
      <w:tr w:rsidR="007E050C" w:rsidTr="007E050C">
        <w:trPr>
          <w:jc w:val="center"/>
        </w:trPr>
        <w:tc>
          <w:tcPr>
            <w:tcW w:w="6189" w:type="dxa"/>
            <w:tcBorders>
              <w:top w:val="nil"/>
              <w:left w:val="single" w:sz="4" w:space="0" w:color="auto"/>
              <w:bottom w:val="nil"/>
              <w:right w:val="single" w:sz="4" w:space="0" w:color="auto"/>
            </w:tcBorders>
            <w:vAlign w:val="center"/>
            <w:hideMark/>
          </w:tcPr>
          <w:p w:rsidR="007E050C" w:rsidRDefault="007E050C">
            <w:pPr>
              <w:spacing w:line="276" w:lineRule="auto"/>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-0.000909</w:t>
            </w:r>
          </w:p>
        </w:tc>
        <w:tc>
          <w:tcPr>
            <w:tcW w:w="1299" w:type="dxa"/>
            <w:tcBorders>
              <w:top w:val="nil"/>
              <w:left w:val="single" w:sz="4" w:space="0" w:color="auto"/>
              <w:bottom w:val="nil"/>
              <w:right w:val="single" w:sz="4" w:space="0" w:color="auto"/>
            </w:tcBorders>
            <w:vAlign w:val="center"/>
            <w:hideMark/>
          </w:tcPr>
          <w:p w:rsidR="007E050C" w:rsidRDefault="007E050C">
            <w:pPr>
              <w:spacing w:line="276" w:lineRule="auto"/>
              <w:jc w:val="center"/>
              <w:rPr>
                <w:sz w:val="20"/>
                <w:szCs w:val="20"/>
              </w:rPr>
            </w:pPr>
            <w:r>
              <w:rPr>
                <w:sz w:val="20"/>
                <w:szCs w:val="20"/>
              </w:rPr>
              <w:t>3,316</w:t>
            </w:r>
          </w:p>
        </w:tc>
      </w:tr>
      <w:tr w:rsidR="007E050C" w:rsidTr="007E050C">
        <w:trPr>
          <w:trHeight w:hRule="exact" w:val="202"/>
          <w:jc w:val="center"/>
        </w:trPr>
        <w:tc>
          <w:tcPr>
            <w:tcW w:w="6189" w:type="dxa"/>
            <w:tcBorders>
              <w:top w:val="nil"/>
              <w:left w:val="single" w:sz="4" w:space="0" w:color="auto"/>
              <w:bottom w:val="single" w:sz="4" w:space="0" w:color="auto"/>
              <w:right w:val="single" w:sz="4" w:space="0" w:color="auto"/>
            </w:tcBorders>
            <w:vAlign w:val="center"/>
          </w:tcPr>
          <w:p w:rsidR="007E050C" w:rsidRDefault="007E050C">
            <w:pPr>
              <w:spacing w:line="276" w:lineRule="auto"/>
              <w:rPr>
                <w:sz w:val="20"/>
              </w:rPr>
            </w:pPr>
          </w:p>
        </w:tc>
        <w:tc>
          <w:tcPr>
            <w:tcW w:w="1368" w:type="dxa"/>
            <w:tcBorders>
              <w:top w:val="nil"/>
              <w:left w:val="single" w:sz="4" w:space="0" w:color="auto"/>
              <w:bottom w:val="single" w:sz="4" w:space="0" w:color="auto"/>
              <w:right w:val="single" w:sz="4" w:space="0" w:color="auto"/>
            </w:tcBorders>
            <w:vAlign w:val="center"/>
          </w:tcPr>
          <w:p w:rsidR="007E050C" w:rsidRDefault="007E050C">
            <w:pPr>
              <w:spacing w:line="276" w:lineRule="auto"/>
              <w:jc w:val="center"/>
              <w:rPr>
                <w:sz w:val="20"/>
                <w:szCs w:val="20"/>
              </w:rPr>
            </w:pPr>
          </w:p>
        </w:tc>
        <w:tc>
          <w:tcPr>
            <w:tcW w:w="1299" w:type="dxa"/>
            <w:tcBorders>
              <w:top w:val="nil"/>
              <w:left w:val="single" w:sz="4" w:space="0" w:color="auto"/>
              <w:bottom w:val="single" w:sz="4" w:space="0" w:color="auto"/>
              <w:right w:val="single" w:sz="4" w:space="0" w:color="auto"/>
            </w:tcBorders>
            <w:vAlign w:val="center"/>
          </w:tcPr>
          <w:p w:rsidR="007E050C" w:rsidRDefault="007E050C">
            <w:pPr>
              <w:spacing w:line="276" w:lineRule="auto"/>
              <w:jc w:val="center"/>
              <w:rPr>
                <w:sz w:val="20"/>
                <w:szCs w:val="20"/>
              </w:rPr>
            </w:pPr>
          </w:p>
        </w:tc>
      </w:tr>
    </w:tbl>
    <w:p w:rsidR="007E050C" w:rsidRDefault="007E050C" w:rsidP="007E050C">
      <w:pPr>
        <w:pStyle w:val="BodyTextIndent"/>
        <w:rPr>
          <w:i w:val="0"/>
          <w:iCs w:val="0"/>
          <w:sz w:val="22"/>
        </w:rPr>
      </w:pPr>
    </w:p>
    <w:p w:rsidR="000377E3" w:rsidRDefault="000377E3" w:rsidP="000377E3">
      <w:pPr>
        <w:pStyle w:val="BodyTextIndent"/>
        <w:rPr>
          <w:i w:val="0"/>
          <w:iCs w:val="0"/>
          <w:sz w:val="22"/>
        </w:rPr>
      </w:pPr>
      <w:r>
        <w:rPr>
          <w:i w:val="0"/>
          <w:iCs w:val="0"/>
          <w:sz w:val="22"/>
        </w:rPr>
        <w:t>Notes:</w:t>
      </w:r>
      <w:r>
        <w:rPr>
          <w:i w:val="0"/>
          <w:iCs w:val="0"/>
          <w:sz w:val="22"/>
        </w:rPr>
        <w:tab/>
        <w:t>(1)  These parameters are to be applied to basic CPS monthly labor force estimates.</w:t>
      </w:r>
    </w:p>
    <w:p w:rsidR="000377E3" w:rsidRDefault="000377E3" w:rsidP="000377E3">
      <w:pPr>
        <w:numPr>
          <w:ilvl w:val="0"/>
          <w:numId w:val="1"/>
        </w:numPr>
        <w:tabs>
          <w:tab w:val="left" w:pos="360"/>
        </w:tabs>
        <w:ind w:right="-720"/>
        <w:rPr>
          <w:sz w:val="22"/>
        </w:rPr>
      </w:pPr>
      <w:r>
        <w:rPr>
          <w:sz w:val="22"/>
        </w:rPr>
        <w:t xml:space="preserve">The Total or White, Black, and Asian, AIAN, NHOPI parameters are to be used for both alone and in combination race group estimates. </w:t>
      </w:r>
    </w:p>
    <w:p w:rsidR="000377E3" w:rsidRDefault="000377E3" w:rsidP="000377E3">
      <w:pPr>
        <w:pStyle w:val="BodyTextIndent"/>
        <w:numPr>
          <w:ilvl w:val="0"/>
          <w:numId w:val="1"/>
        </w:numPr>
        <w:rPr>
          <w:i w:val="0"/>
          <w:iCs w:val="0"/>
          <w:sz w:val="22"/>
        </w:rPr>
      </w:pPr>
      <w:r>
        <w:rPr>
          <w:i w:val="0"/>
          <w:iCs w:val="0"/>
          <w:sz w:val="22"/>
        </w:rPr>
        <w:t xml:space="preserve">For nonmetropolitan characteristics, multiply the </w:t>
      </w:r>
      <w:r>
        <w:rPr>
          <w:sz w:val="22"/>
        </w:rPr>
        <w:t>a</w:t>
      </w:r>
      <w:r>
        <w:rPr>
          <w:i w:val="0"/>
          <w:iCs w:val="0"/>
          <w:sz w:val="22"/>
        </w:rPr>
        <w:t xml:space="preserve"> and </w:t>
      </w:r>
      <w:r>
        <w:rPr>
          <w:sz w:val="22"/>
        </w:rPr>
        <w:t>b</w:t>
      </w:r>
      <w:r>
        <w:rPr>
          <w:i w:val="0"/>
          <w:iCs w:val="0"/>
          <w:sz w:val="22"/>
        </w:rPr>
        <w:t xml:space="preserve"> parameters by 1.5.  If the characteristic of interest is total state population, not subtotaled by race or ethnicity, the </w:t>
      </w:r>
      <w:r>
        <w:rPr>
          <w:sz w:val="22"/>
        </w:rPr>
        <w:t>a</w:t>
      </w:r>
      <w:r>
        <w:rPr>
          <w:i w:val="0"/>
          <w:iCs w:val="0"/>
          <w:sz w:val="22"/>
        </w:rPr>
        <w:t xml:space="preserve"> and </w:t>
      </w:r>
      <w:r>
        <w:rPr>
          <w:sz w:val="22"/>
        </w:rPr>
        <w:t>b</w:t>
      </w:r>
      <w:r>
        <w:rPr>
          <w:i w:val="0"/>
          <w:iCs w:val="0"/>
          <w:sz w:val="22"/>
        </w:rPr>
        <w:t xml:space="preserve"> parameters are zero.</w:t>
      </w:r>
    </w:p>
    <w:p w:rsidR="000377E3" w:rsidRDefault="000377E3" w:rsidP="000377E3">
      <w:pPr>
        <w:pStyle w:val="BodyTextIndent"/>
        <w:numPr>
          <w:ilvl w:val="0"/>
          <w:numId w:val="1"/>
        </w:numPr>
        <w:rPr>
          <w:i w:val="0"/>
          <w:iCs w:val="0"/>
          <w:sz w:val="22"/>
        </w:rPr>
      </w:pPr>
      <w:r>
        <w:rPr>
          <w:i w:val="0"/>
          <w:iCs w:val="0"/>
          <w:sz w:val="22"/>
        </w:rPr>
        <w:t xml:space="preserve">For foreign-born and noncitizen characteristics for Total and White, the </w:t>
      </w:r>
      <w:r>
        <w:rPr>
          <w:sz w:val="22"/>
        </w:rPr>
        <w:t>a</w:t>
      </w:r>
      <w:r>
        <w:rPr>
          <w:i w:val="0"/>
          <w:iCs w:val="0"/>
          <w:sz w:val="22"/>
        </w:rPr>
        <w:t xml:space="preserve"> and </w:t>
      </w:r>
      <w:r>
        <w:rPr>
          <w:sz w:val="22"/>
        </w:rPr>
        <w:t>b</w:t>
      </w:r>
      <w:r>
        <w:rPr>
          <w:i w:val="0"/>
          <w:iCs w:val="0"/>
          <w:sz w:val="22"/>
        </w:rPr>
        <w:t xml:space="preserve"> parameters should be multiplied by 1.3.  No adjustment is necessary for foreign-born and noncitizen characteristics for Black, Hispanic, and Asian, AIAN, NHOPI parameters.</w:t>
      </w:r>
    </w:p>
    <w:p w:rsidR="000377E3" w:rsidRDefault="000377E3" w:rsidP="000377E3">
      <w:pPr>
        <w:pStyle w:val="BodyTextIndent"/>
        <w:numPr>
          <w:ilvl w:val="0"/>
          <w:numId w:val="1"/>
        </w:numPr>
        <w:rPr>
          <w:i w:val="0"/>
          <w:iCs w:val="0"/>
        </w:rPr>
      </w:pPr>
      <w:r>
        <w:rPr>
          <w:i w:val="0"/>
          <w:iCs w:val="0"/>
          <w:sz w:val="22"/>
        </w:rPr>
        <w:t>For the groups self-classified as having two or more races, use the Asian, AIAN, NHOPI parameters for all employment characteristics.</w:t>
      </w:r>
      <w:r>
        <w:rPr>
          <w:i w:val="0"/>
          <w:iCs w:val="0"/>
        </w:rPr>
        <w:t xml:space="preserve"> </w:t>
      </w:r>
    </w:p>
    <w:p w:rsidR="000377E3" w:rsidRPr="00BF5168" w:rsidRDefault="000377E3" w:rsidP="000377E3">
      <w:pPr>
        <w:jc w:val="center"/>
        <w:rPr>
          <w:b/>
          <w:bCs/>
        </w:rPr>
      </w:pPr>
      <w:r>
        <w:br w:type="page"/>
      </w:r>
      <w:r w:rsidRPr="00BF5168">
        <w:rPr>
          <w:b/>
          <w:bCs/>
        </w:rPr>
        <w:lastRenderedPageBreak/>
        <w:t>REFERENCES</w:t>
      </w:r>
    </w:p>
    <w:p w:rsidR="000377E3" w:rsidRDefault="000377E3" w:rsidP="000377E3">
      <w:pPr>
        <w:jc w:val="center"/>
        <w:rPr>
          <w:b/>
          <w:bCs/>
        </w:rPr>
      </w:pPr>
    </w:p>
    <w:p w:rsidR="00807779" w:rsidRDefault="000377E3" w:rsidP="00807779">
      <w:pPr>
        <w:ind w:left="720" w:hanging="720"/>
        <w:rPr>
          <w:szCs w:val="22"/>
        </w:rPr>
      </w:pPr>
      <w:r>
        <w:t>[1]</w:t>
      </w:r>
      <w:r>
        <w:tab/>
      </w:r>
      <w:r w:rsidR="00807779">
        <w:t>Bureau of Labor Statistics, April 2014, “Redesign of the Sample for the Current Population Survey.”</w:t>
      </w:r>
      <w:r w:rsidR="00807779" w:rsidRPr="00807779">
        <w:t xml:space="preserve"> </w:t>
      </w:r>
      <w:r w:rsidR="00807779">
        <w:t xml:space="preserve"> </w:t>
      </w:r>
      <w:r w:rsidR="00807779" w:rsidRPr="00807779">
        <w:t>http://www.bls.gov/cps/sample_redesign_2014.pdf</w:t>
      </w:r>
    </w:p>
    <w:p w:rsidR="00807779" w:rsidRDefault="00807779" w:rsidP="00807779">
      <w:pPr>
        <w:ind w:left="720" w:hanging="720"/>
      </w:pPr>
    </w:p>
    <w:p w:rsidR="000377E3" w:rsidRDefault="00807779" w:rsidP="00807779">
      <w:pPr>
        <w:ind w:left="720" w:hanging="720"/>
      </w:pPr>
      <w:r>
        <w:t>[2]</w:t>
      </w:r>
      <w:r>
        <w:tab/>
        <w:t xml:space="preserve">U.S. Census Bureau.  2006.  </w:t>
      </w:r>
      <w:r w:rsidR="000377E3">
        <w:rPr>
          <w:i/>
          <w:iCs/>
        </w:rPr>
        <w:t>Current Population Survey:  Design and Methodology</w:t>
      </w:r>
      <w:r w:rsidR="000377E3">
        <w:t xml:space="preserve">.  Technical Paper 66.  Washington, DC:  Government Printing Office. </w:t>
      </w:r>
      <w:hyperlink r:id="rId19" w:history="1">
        <w:r w:rsidR="000377E3">
          <w:rPr>
            <w:rStyle w:val="Hyperlink"/>
          </w:rPr>
          <w:t>(http://www.census.gov/prod/2006pubs/tp-66.pdf)</w:t>
        </w:r>
      </w:hyperlink>
    </w:p>
    <w:p w:rsidR="000377E3" w:rsidRDefault="000377E3" w:rsidP="000377E3">
      <w:pPr>
        <w:ind w:left="720" w:hanging="720"/>
      </w:pPr>
    </w:p>
    <w:p w:rsidR="000377E3" w:rsidRDefault="000377E3" w:rsidP="000377E3">
      <w:pPr>
        <w:tabs>
          <w:tab w:val="left" w:pos="720"/>
          <w:tab w:val="left" w:pos="1440"/>
        </w:tabs>
        <w:ind w:left="1440" w:hanging="1440"/>
        <w:rPr>
          <w:i/>
          <w:iCs/>
        </w:rPr>
      </w:pPr>
      <w:r>
        <w:t xml:space="preserve">[3] </w:t>
      </w:r>
      <w:r>
        <w:tab/>
        <w:t xml:space="preserve">Brooks, C.A. and </w:t>
      </w:r>
      <w:proofErr w:type="spellStart"/>
      <w:r>
        <w:t>Bailar</w:t>
      </w:r>
      <w:proofErr w:type="spellEnd"/>
      <w:r>
        <w:t xml:space="preserve">, B.A.  1978.  </w:t>
      </w:r>
      <w:r>
        <w:rPr>
          <w:i/>
          <w:iCs/>
        </w:rPr>
        <w:t>Statistical Policy Working Paper 3 - An Error</w:t>
      </w:r>
    </w:p>
    <w:p w:rsidR="000377E3" w:rsidRDefault="000377E3" w:rsidP="000377E3">
      <w:pPr>
        <w:pStyle w:val="BodyTextIndent3"/>
      </w:pPr>
      <w:r>
        <w:rPr>
          <w:i/>
          <w:iCs/>
        </w:rPr>
        <w:tab/>
        <w:t>Profile: Employment as Measured by the Current Population Survey</w:t>
      </w:r>
      <w:r>
        <w:t xml:space="preserve">.  Subcommittee on </w:t>
      </w:r>
    </w:p>
    <w:p w:rsidR="000377E3" w:rsidRDefault="000377E3" w:rsidP="000377E3">
      <w:pPr>
        <w:pStyle w:val="BodyTextIndent3"/>
      </w:pPr>
      <w:r>
        <w:tab/>
        <w:t>Nonsampling Errors, Federal Committee on Statistical Methodology, U.S. Department of</w:t>
      </w:r>
    </w:p>
    <w:p w:rsidR="000377E3" w:rsidRDefault="000377E3" w:rsidP="000377E3">
      <w:pPr>
        <w:pStyle w:val="BodyTextIndent3"/>
      </w:pPr>
      <w:r>
        <w:tab/>
        <w:t>Commerce, Washington, DC.  (</w:t>
      </w:r>
      <w:hyperlink r:id="rId20" w:history="1">
        <w:r>
          <w:rPr>
            <w:rStyle w:val="SYSHYPERTEXT"/>
          </w:rPr>
          <w:t>http://www.fcsm.gov/working-papers/spp.html</w:t>
        </w:r>
      </w:hyperlink>
      <w:r>
        <w:t>)</w:t>
      </w:r>
    </w:p>
    <w:p w:rsidR="000377E3" w:rsidRDefault="000377E3" w:rsidP="000377E3">
      <w:pPr>
        <w:pStyle w:val="BodyTextIndent3"/>
      </w:pPr>
    </w:p>
    <w:p w:rsidR="000377E3" w:rsidRDefault="000377E3" w:rsidP="000377E3">
      <w:pPr>
        <w:pStyle w:val="BodyTextIndent3"/>
        <w:ind w:left="720" w:hanging="720"/>
      </w:pPr>
    </w:p>
    <w:p w:rsidR="006500F1" w:rsidRDefault="006500F1" w:rsidP="000377E3">
      <w:pPr>
        <w:pStyle w:val="BodyTextIndent3"/>
        <w:ind w:left="720" w:hanging="720"/>
        <w:sectPr w:rsidR="006500F1">
          <w:pgSz w:w="12240" w:h="15840" w:code="1"/>
          <w:pgMar w:top="1440" w:right="1440" w:bottom="1440" w:left="1440" w:header="720" w:footer="1440" w:gutter="0"/>
          <w:pgNumType w:start="1"/>
          <w:cols w:space="720"/>
          <w:titlePg/>
        </w:sectPr>
      </w:pPr>
    </w:p>
    <w:p w:rsidR="006500F1" w:rsidRDefault="006500F1" w:rsidP="000377E3">
      <w:pPr>
        <w:pStyle w:val="BodyTextIndent3"/>
        <w:ind w:left="720" w:hanging="720"/>
      </w:pPr>
    </w:p>
    <w:sectPr w:rsidR="006500F1" w:rsidSect="006500F1">
      <w:type w:val="continuous"/>
      <w:pgSz w:w="12240" w:h="15840" w:code="1"/>
      <w:pgMar w:top="1440" w:right="1440" w:bottom="1440" w:left="1440" w:header="72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F8" w:rsidRDefault="00E063F8" w:rsidP="00943EA3">
      <w:r>
        <w:separator/>
      </w:r>
    </w:p>
  </w:endnote>
  <w:endnote w:type="continuationSeparator" w:id="0">
    <w:p w:rsidR="00E063F8" w:rsidRDefault="00E063F8" w:rsidP="0094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8" w:rsidRDefault="00E06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8" w:rsidRDefault="00E06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8" w:rsidRDefault="00E06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F8" w:rsidRDefault="00E063F8" w:rsidP="00943EA3">
      <w:r>
        <w:separator/>
      </w:r>
    </w:p>
  </w:footnote>
  <w:footnote w:type="continuationSeparator" w:id="0">
    <w:p w:rsidR="00E063F8" w:rsidRDefault="00E063F8" w:rsidP="00943EA3">
      <w:r>
        <w:continuationSeparator/>
      </w:r>
    </w:p>
  </w:footnote>
  <w:footnote w:id="1">
    <w:p w:rsidR="00E063F8" w:rsidRDefault="00E063F8" w:rsidP="000377E3">
      <w:pPr>
        <w:pStyle w:val="FootnoteText"/>
        <w:ind w:left="342" w:hanging="342"/>
        <w:rPr>
          <w:szCs w:val="22"/>
        </w:rPr>
      </w:pPr>
      <w:r>
        <w:rPr>
          <w:rStyle w:val="FootnoteReference"/>
        </w:rPr>
        <w:footnoteRef/>
      </w:r>
      <w:r>
        <w:t xml:space="preserve"> </w:t>
      </w:r>
      <w:r>
        <w:tab/>
      </w:r>
      <w:r>
        <w:rPr>
          <w:szCs w:val="22"/>
        </w:rPr>
        <w:t>For detailed information on the 2000 sample redesign, please see reference [1].</w:t>
      </w:r>
    </w:p>
    <w:p w:rsidR="00E063F8" w:rsidRDefault="00E063F8" w:rsidP="000377E3">
      <w:pPr>
        <w:pStyle w:val="FootnoteText"/>
        <w:ind w:left="342" w:hanging="342"/>
      </w:pPr>
    </w:p>
  </w:footnote>
  <w:footnote w:id="2">
    <w:p w:rsidR="00E063F8" w:rsidRDefault="00E063F8" w:rsidP="007B3C43">
      <w:pPr>
        <w:pStyle w:val="FootnoteText"/>
        <w:ind w:left="342" w:hanging="342"/>
      </w:pPr>
      <w:r>
        <w:rPr>
          <w:rStyle w:val="FootnoteReference"/>
        </w:rPr>
        <w:footnoteRef/>
      </w:r>
      <w:r>
        <w:t xml:space="preserve"> </w:t>
      </w:r>
      <w:r>
        <w:tab/>
        <w:t xml:space="preserve">The PSUs correspond to </w:t>
      </w:r>
      <w:proofErr w:type="spellStart"/>
      <w:r>
        <w:t>substate</w:t>
      </w:r>
      <w:proofErr w:type="spellEnd"/>
      <w:r>
        <w:t xml:space="preserve"> areas (i.e., counties or groups of counties) that are geographically contiguous.  </w:t>
      </w:r>
    </w:p>
  </w:footnote>
  <w:footnote w:id="3">
    <w:p w:rsidR="00E063F8" w:rsidRDefault="00E063F8" w:rsidP="000377E3">
      <w:pPr>
        <w:ind w:left="360" w:hanging="360"/>
      </w:pPr>
      <w:r>
        <w:rPr>
          <w:rStyle w:val="FootnoteReference"/>
        </w:rPr>
        <w:footnoteRef/>
      </w:r>
      <w:r>
        <w:t xml:space="preserve"> </w:t>
      </w:r>
      <w:r>
        <w:tab/>
      </w:r>
      <w:r>
        <w:rPr>
          <w:sz w:val="20"/>
        </w:rPr>
        <w:t xml:space="preserve">For further information on CATI and CAPI and the eligibility criteria, please see reference [2]. </w:t>
      </w:r>
    </w:p>
  </w:footnote>
  <w:footnote w:id="4">
    <w:p w:rsidR="00E063F8" w:rsidRDefault="00E063F8">
      <w:pPr>
        <w:pStyle w:val="FootnoteText"/>
      </w:pPr>
      <w:r>
        <w:rPr>
          <w:rStyle w:val="FootnoteReference"/>
        </w:rPr>
        <w:footnoteRef/>
      </w:r>
      <w:r>
        <w:t xml:space="preserve"> The phase-in process using the 2010 Census files began April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8" w:rsidRDefault="00E063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63F8" w:rsidRDefault="00E063F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8" w:rsidRDefault="00E063F8">
    <w:pPr>
      <w:pStyle w:val="Header"/>
      <w:framePr w:wrap="around" w:vAnchor="text" w:hAnchor="margin" w:xAlign="right" w:y="1"/>
      <w:rPr>
        <w:rStyle w:val="PageNumber"/>
      </w:rPr>
    </w:pPr>
  </w:p>
  <w:p w:rsidR="00E063F8" w:rsidRDefault="00E063F8">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8" w:rsidRDefault="00E063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8" w:rsidRDefault="00E063F8">
    <w:pPr>
      <w:pStyle w:val="Header"/>
      <w:framePr w:h="645" w:hRule="exact" w:wrap="around" w:vAnchor="text" w:hAnchor="margin" w:xAlign="right" w:y="18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5301E">
      <w:rPr>
        <w:rStyle w:val="PageNumber"/>
        <w:noProof/>
      </w:rPr>
      <w:t>2</w:t>
    </w:r>
    <w:r>
      <w:rPr>
        <w:rStyle w:val="PageNumber"/>
      </w:rPr>
      <w:fldChar w:fldCharType="end"/>
    </w:r>
  </w:p>
  <w:p w:rsidR="00E063F8" w:rsidRDefault="00E063F8">
    <w:pPr>
      <w:pStyle w:val="Header"/>
      <w:framePr w:wrap="around" w:vAnchor="text" w:hAnchor="margin" w:xAlign="right" w:y="1"/>
      <w:ind w:right="360"/>
      <w:rPr>
        <w:rStyle w:val="PageNumber"/>
      </w:rPr>
    </w:pPr>
  </w:p>
  <w:p w:rsidR="00E063F8" w:rsidRDefault="00E063F8">
    <w:pPr>
      <w:pStyle w:val="Header"/>
      <w:framePr w:wrap="around" w:vAnchor="text" w:hAnchor="margin" w:xAlign="right" w:y="1"/>
      <w:ind w:right="360"/>
      <w:rPr>
        <w:rStyle w:val="PageNumber"/>
      </w:rPr>
    </w:pPr>
  </w:p>
  <w:p w:rsidR="00E063F8" w:rsidRDefault="00E063F8">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E42E04"/>
    <w:lvl w:ilvl="0">
      <w:numFmt w:val="decimal"/>
      <w:lvlText w:val="*"/>
      <w:lvlJc w:val="left"/>
    </w:lvl>
  </w:abstractNum>
  <w:abstractNum w:abstractNumId="1">
    <w:nsid w:val="060E700C"/>
    <w:multiLevelType w:val="hybridMultilevel"/>
    <w:tmpl w:val="80EAF6C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5C7861"/>
    <w:multiLevelType w:val="hybridMultilevel"/>
    <w:tmpl w:val="D5A4A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A38D1"/>
    <w:multiLevelType w:val="hybridMultilevel"/>
    <w:tmpl w:val="B7AE448E"/>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4220B74"/>
    <w:multiLevelType w:val="hybridMultilevel"/>
    <w:tmpl w:val="234ED5BA"/>
    <w:lvl w:ilvl="0" w:tplc="2704417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852302"/>
    <w:multiLevelType w:val="hybridMultilevel"/>
    <w:tmpl w:val="8BA4AF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B698A"/>
    <w:multiLevelType w:val="hybridMultilevel"/>
    <w:tmpl w:val="62968B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D8938E1"/>
    <w:multiLevelType w:val="hybridMultilevel"/>
    <w:tmpl w:val="BCF6A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57481E"/>
    <w:multiLevelType w:val="multilevel"/>
    <w:tmpl w:val="42E4A19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29C63B06"/>
    <w:multiLevelType w:val="hybridMultilevel"/>
    <w:tmpl w:val="1E7A8D72"/>
    <w:lvl w:ilvl="0" w:tplc="C118361E">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D91DFF"/>
    <w:multiLevelType w:val="hybridMultilevel"/>
    <w:tmpl w:val="DFA08810"/>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3A44C84"/>
    <w:multiLevelType w:val="hybridMultilevel"/>
    <w:tmpl w:val="ABD6D4CE"/>
    <w:lvl w:ilvl="0" w:tplc="A478FDF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5B46BC1"/>
    <w:multiLevelType w:val="hybridMultilevel"/>
    <w:tmpl w:val="4A40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66BB7"/>
    <w:multiLevelType w:val="hybridMultilevel"/>
    <w:tmpl w:val="324882DA"/>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E1F6425"/>
    <w:multiLevelType w:val="hybridMultilevel"/>
    <w:tmpl w:val="37BEC1E4"/>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829169D"/>
    <w:multiLevelType w:val="hybridMultilevel"/>
    <w:tmpl w:val="9628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E37A4D"/>
    <w:multiLevelType w:val="hybridMultilevel"/>
    <w:tmpl w:val="42DA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F5F01"/>
    <w:multiLevelType w:val="hybridMultilevel"/>
    <w:tmpl w:val="D8164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76318F"/>
    <w:multiLevelType w:val="hybridMultilevel"/>
    <w:tmpl w:val="7FE03E80"/>
    <w:lvl w:ilvl="0" w:tplc="266ED03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092AF8"/>
    <w:multiLevelType w:val="hybridMultilevel"/>
    <w:tmpl w:val="6CF09920"/>
    <w:lvl w:ilvl="0" w:tplc="EF9610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nsid w:val="644B4F5A"/>
    <w:multiLevelType w:val="hybridMultilevel"/>
    <w:tmpl w:val="D710FE50"/>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45B3F15"/>
    <w:multiLevelType w:val="hybridMultilevel"/>
    <w:tmpl w:val="65340C8C"/>
    <w:lvl w:ilvl="0" w:tplc="8EC6B460">
      <w:start w:val="2"/>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3">
    <w:abstractNumId w:val="5"/>
  </w:num>
  <w:num w:numId="4">
    <w:abstractNumId w:val="18"/>
  </w:num>
  <w:num w:numId="5">
    <w:abstractNumId w:val="19"/>
  </w:num>
  <w:num w:numId="6">
    <w:abstractNumId w:val="21"/>
  </w:num>
  <w:num w:numId="7">
    <w:abstractNumId w:val="11"/>
  </w:num>
  <w:num w:numId="8">
    <w:abstractNumId w:val="14"/>
  </w:num>
  <w:num w:numId="9">
    <w:abstractNumId w:val="13"/>
  </w:num>
  <w:num w:numId="10">
    <w:abstractNumId w:val="3"/>
  </w:num>
  <w:num w:numId="11">
    <w:abstractNumId w:val="20"/>
  </w:num>
  <w:num w:numId="12">
    <w:abstractNumId w:val="10"/>
  </w:num>
  <w:num w:numId="13">
    <w:abstractNumId w:val="9"/>
  </w:num>
  <w:num w:numId="14">
    <w:abstractNumId w:val="6"/>
  </w:num>
  <w:num w:numId="15">
    <w:abstractNumId w:val="17"/>
  </w:num>
  <w:num w:numId="16">
    <w:abstractNumId w:val="12"/>
  </w:num>
  <w:num w:numId="17">
    <w:abstractNumId w:val="2"/>
  </w:num>
  <w:num w:numId="18">
    <w:abstractNumId w:val="8"/>
  </w:num>
  <w:num w:numId="19">
    <w:abstractNumId w:val="1"/>
  </w:num>
  <w:num w:numId="20">
    <w:abstractNumId w:val="15"/>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7d715c1-c9a9-4701-93e5-4548ca9cd621"/>
    <w:docVar w:name="_AMO_XmlVersion" w:val="Empty"/>
  </w:docVars>
  <w:rsids>
    <w:rsidRoot w:val="00943EA3"/>
    <w:rsid w:val="00000A07"/>
    <w:rsid w:val="00000A66"/>
    <w:rsid w:val="00000E76"/>
    <w:rsid w:val="00001B86"/>
    <w:rsid w:val="000025B0"/>
    <w:rsid w:val="00002C32"/>
    <w:rsid w:val="00002E52"/>
    <w:rsid w:val="000035FB"/>
    <w:rsid w:val="0000468B"/>
    <w:rsid w:val="0000489A"/>
    <w:rsid w:val="00004947"/>
    <w:rsid w:val="00004CFC"/>
    <w:rsid w:val="00004DF0"/>
    <w:rsid w:val="00006AD8"/>
    <w:rsid w:val="000070CB"/>
    <w:rsid w:val="000076D6"/>
    <w:rsid w:val="00007753"/>
    <w:rsid w:val="0001008D"/>
    <w:rsid w:val="000124CA"/>
    <w:rsid w:val="00012A3F"/>
    <w:rsid w:val="00012E28"/>
    <w:rsid w:val="000158FF"/>
    <w:rsid w:val="00016206"/>
    <w:rsid w:val="00016729"/>
    <w:rsid w:val="00017310"/>
    <w:rsid w:val="00017956"/>
    <w:rsid w:val="00020BF0"/>
    <w:rsid w:val="00021691"/>
    <w:rsid w:val="00023F16"/>
    <w:rsid w:val="00024246"/>
    <w:rsid w:val="000255FE"/>
    <w:rsid w:val="00025F54"/>
    <w:rsid w:val="00026AE9"/>
    <w:rsid w:val="0002787D"/>
    <w:rsid w:val="00027C3F"/>
    <w:rsid w:val="00027CF2"/>
    <w:rsid w:val="0003089F"/>
    <w:rsid w:val="000312E9"/>
    <w:rsid w:val="00031818"/>
    <w:rsid w:val="00031E7D"/>
    <w:rsid w:val="00032C68"/>
    <w:rsid w:val="000335A6"/>
    <w:rsid w:val="00033E5D"/>
    <w:rsid w:val="00033EA2"/>
    <w:rsid w:val="00035C1D"/>
    <w:rsid w:val="00035E12"/>
    <w:rsid w:val="0003606A"/>
    <w:rsid w:val="00036B1C"/>
    <w:rsid w:val="00036D0C"/>
    <w:rsid w:val="000377E3"/>
    <w:rsid w:val="00037D01"/>
    <w:rsid w:val="00037EB4"/>
    <w:rsid w:val="0004053E"/>
    <w:rsid w:val="00041064"/>
    <w:rsid w:val="00041717"/>
    <w:rsid w:val="0004221A"/>
    <w:rsid w:val="00042740"/>
    <w:rsid w:val="000431B7"/>
    <w:rsid w:val="00043D13"/>
    <w:rsid w:val="00044BDA"/>
    <w:rsid w:val="00044C21"/>
    <w:rsid w:val="000452F0"/>
    <w:rsid w:val="00045CA1"/>
    <w:rsid w:val="00046D97"/>
    <w:rsid w:val="00046E72"/>
    <w:rsid w:val="00047251"/>
    <w:rsid w:val="0004734D"/>
    <w:rsid w:val="00047D69"/>
    <w:rsid w:val="000501EF"/>
    <w:rsid w:val="00051382"/>
    <w:rsid w:val="00052341"/>
    <w:rsid w:val="000526D9"/>
    <w:rsid w:val="0005322A"/>
    <w:rsid w:val="00053B2E"/>
    <w:rsid w:val="000548FC"/>
    <w:rsid w:val="0005510B"/>
    <w:rsid w:val="0005593E"/>
    <w:rsid w:val="00055FED"/>
    <w:rsid w:val="00056238"/>
    <w:rsid w:val="000569E3"/>
    <w:rsid w:val="00056B4D"/>
    <w:rsid w:val="0005710F"/>
    <w:rsid w:val="00057579"/>
    <w:rsid w:val="000600B2"/>
    <w:rsid w:val="00060631"/>
    <w:rsid w:val="00060E7B"/>
    <w:rsid w:val="00062341"/>
    <w:rsid w:val="00062A9A"/>
    <w:rsid w:val="00062FDD"/>
    <w:rsid w:val="00063204"/>
    <w:rsid w:val="000641D9"/>
    <w:rsid w:val="00064E68"/>
    <w:rsid w:val="00065522"/>
    <w:rsid w:val="0006595C"/>
    <w:rsid w:val="00065D14"/>
    <w:rsid w:val="00066DB2"/>
    <w:rsid w:val="0006756F"/>
    <w:rsid w:val="00067681"/>
    <w:rsid w:val="00070296"/>
    <w:rsid w:val="00070364"/>
    <w:rsid w:val="00070546"/>
    <w:rsid w:val="00070759"/>
    <w:rsid w:val="000709DC"/>
    <w:rsid w:val="00070E29"/>
    <w:rsid w:val="00071353"/>
    <w:rsid w:val="0007163C"/>
    <w:rsid w:val="00071679"/>
    <w:rsid w:val="00071A2F"/>
    <w:rsid w:val="00071AEB"/>
    <w:rsid w:val="00072215"/>
    <w:rsid w:val="000722B6"/>
    <w:rsid w:val="00072B34"/>
    <w:rsid w:val="0007399B"/>
    <w:rsid w:val="0007443C"/>
    <w:rsid w:val="00074597"/>
    <w:rsid w:val="00075539"/>
    <w:rsid w:val="00076105"/>
    <w:rsid w:val="00076351"/>
    <w:rsid w:val="000764C0"/>
    <w:rsid w:val="00076B94"/>
    <w:rsid w:val="00076C0D"/>
    <w:rsid w:val="00076EBD"/>
    <w:rsid w:val="000773A2"/>
    <w:rsid w:val="000775B7"/>
    <w:rsid w:val="00080AA0"/>
    <w:rsid w:val="00081EC1"/>
    <w:rsid w:val="00082427"/>
    <w:rsid w:val="00082C88"/>
    <w:rsid w:val="00082FBC"/>
    <w:rsid w:val="00083020"/>
    <w:rsid w:val="00083203"/>
    <w:rsid w:val="00083EFC"/>
    <w:rsid w:val="0008436C"/>
    <w:rsid w:val="000844AA"/>
    <w:rsid w:val="0008463E"/>
    <w:rsid w:val="00084A61"/>
    <w:rsid w:val="00086F2B"/>
    <w:rsid w:val="0009048A"/>
    <w:rsid w:val="00090B0C"/>
    <w:rsid w:val="0009184F"/>
    <w:rsid w:val="000918DE"/>
    <w:rsid w:val="00092298"/>
    <w:rsid w:val="00092B49"/>
    <w:rsid w:val="00092E09"/>
    <w:rsid w:val="00093053"/>
    <w:rsid w:val="00093146"/>
    <w:rsid w:val="00093272"/>
    <w:rsid w:val="0009363B"/>
    <w:rsid w:val="00093FB2"/>
    <w:rsid w:val="0009568E"/>
    <w:rsid w:val="00096A06"/>
    <w:rsid w:val="00096B6F"/>
    <w:rsid w:val="00097193"/>
    <w:rsid w:val="000979F9"/>
    <w:rsid w:val="000A01C8"/>
    <w:rsid w:val="000A1329"/>
    <w:rsid w:val="000A135C"/>
    <w:rsid w:val="000A1526"/>
    <w:rsid w:val="000A208C"/>
    <w:rsid w:val="000A23F6"/>
    <w:rsid w:val="000A2762"/>
    <w:rsid w:val="000A2AA0"/>
    <w:rsid w:val="000A3582"/>
    <w:rsid w:val="000A417C"/>
    <w:rsid w:val="000A4413"/>
    <w:rsid w:val="000A465E"/>
    <w:rsid w:val="000A4ED4"/>
    <w:rsid w:val="000A582D"/>
    <w:rsid w:val="000A6014"/>
    <w:rsid w:val="000A60F1"/>
    <w:rsid w:val="000A632F"/>
    <w:rsid w:val="000A716B"/>
    <w:rsid w:val="000B02B6"/>
    <w:rsid w:val="000B0B12"/>
    <w:rsid w:val="000B1362"/>
    <w:rsid w:val="000B1A86"/>
    <w:rsid w:val="000B4055"/>
    <w:rsid w:val="000B4212"/>
    <w:rsid w:val="000B4506"/>
    <w:rsid w:val="000B5178"/>
    <w:rsid w:val="000B5749"/>
    <w:rsid w:val="000B5A3E"/>
    <w:rsid w:val="000B5B28"/>
    <w:rsid w:val="000B66A2"/>
    <w:rsid w:val="000B695B"/>
    <w:rsid w:val="000B7141"/>
    <w:rsid w:val="000B7471"/>
    <w:rsid w:val="000C05D2"/>
    <w:rsid w:val="000C063E"/>
    <w:rsid w:val="000C077D"/>
    <w:rsid w:val="000C08A0"/>
    <w:rsid w:val="000C0900"/>
    <w:rsid w:val="000C0CF2"/>
    <w:rsid w:val="000C0E8D"/>
    <w:rsid w:val="000C176A"/>
    <w:rsid w:val="000C222B"/>
    <w:rsid w:val="000C233F"/>
    <w:rsid w:val="000C31D3"/>
    <w:rsid w:val="000C3ABD"/>
    <w:rsid w:val="000C43C1"/>
    <w:rsid w:val="000C458B"/>
    <w:rsid w:val="000C4C30"/>
    <w:rsid w:val="000C5497"/>
    <w:rsid w:val="000C5B08"/>
    <w:rsid w:val="000C6000"/>
    <w:rsid w:val="000C63A0"/>
    <w:rsid w:val="000C7941"/>
    <w:rsid w:val="000C7C47"/>
    <w:rsid w:val="000D02FA"/>
    <w:rsid w:val="000D09F0"/>
    <w:rsid w:val="000D0AF4"/>
    <w:rsid w:val="000D0E9D"/>
    <w:rsid w:val="000D0F1F"/>
    <w:rsid w:val="000D1B35"/>
    <w:rsid w:val="000D21B8"/>
    <w:rsid w:val="000D2E8D"/>
    <w:rsid w:val="000D3E59"/>
    <w:rsid w:val="000D4C8C"/>
    <w:rsid w:val="000D5742"/>
    <w:rsid w:val="000D6734"/>
    <w:rsid w:val="000D6B9D"/>
    <w:rsid w:val="000D6FDB"/>
    <w:rsid w:val="000D71CA"/>
    <w:rsid w:val="000D7397"/>
    <w:rsid w:val="000D7AB7"/>
    <w:rsid w:val="000D7C6E"/>
    <w:rsid w:val="000E1071"/>
    <w:rsid w:val="000E23FC"/>
    <w:rsid w:val="000E2C0B"/>
    <w:rsid w:val="000E3392"/>
    <w:rsid w:val="000E4576"/>
    <w:rsid w:val="000E5723"/>
    <w:rsid w:val="000E5A18"/>
    <w:rsid w:val="000E69BE"/>
    <w:rsid w:val="000E71FC"/>
    <w:rsid w:val="000E77CA"/>
    <w:rsid w:val="000E7BD7"/>
    <w:rsid w:val="000F0132"/>
    <w:rsid w:val="000F01E3"/>
    <w:rsid w:val="000F0253"/>
    <w:rsid w:val="000F0C2F"/>
    <w:rsid w:val="000F16D4"/>
    <w:rsid w:val="000F16DE"/>
    <w:rsid w:val="000F1942"/>
    <w:rsid w:val="000F28AA"/>
    <w:rsid w:val="000F2DEF"/>
    <w:rsid w:val="000F3A8F"/>
    <w:rsid w:val="000F4025"/>
    <w:rsid w:val="000F406E"/>
    <w:rsid w:val="000F4CE9"/>
    <w:rsid w:val="000F5E84"/>
    <w:rsid w:val="000F63CD"/>
    <w:rsid w:val="000F7345"/>
    <w:rsid w:val="000F791E"/>
    <w:rsid w:val="000F7A38"/>
    <w:rsid w:val="000F7BFE"/>
    <w:rsid w:val="000F7C84"/>
    <w:rsid w:val="00100028"/>
    <w:rsid w:val="0010027B"/>
    <w:rsid w:val="0010173E"/>
    <w:rsid w:val="00101BCC"/>
    <w:rsid w:val="00101EB8"/>
    <w:rsid w:val="00102A77"/>
    <w:rsid w:val="00102D68"/>
    <w:rsid w:val="00103BC4"/>
    <w:rsid w:val="001043C7"/>
    <w:rsid w:val="001044AA"/>
    <w:rsid w:val="0010494D"/>
    <w:rsid w:val="00104E1F"/>
    <w:rsid w:val="00104EF0"/>
    <w:rsid w:val="0010531A"/>
    <w:rsid w:val="001058AE"/>
    <w:rsid w:val="00105A86"/>
    <w:rsid w:val="00106158"/>
    <w:rsid w:val="00106243"/>
    <w:rsid w:val="00106655"/>
    <w:rsid w:val="0010669E"/>
    <w:rsid w:val="0010765C"/>
    <w:rsid w:val="00107AE1"/>
    <w:rsid w:val="00107E7B"/>
    <w:rsid w:val="00110190"/>
    <w:rsid w:val="001103C1"/>
    <w:rsid w:val="00110B46"/>
    <w:rsid w:val="00110DD5"/>
    <w:rsid w:val="0011117B"/>
    <w:rsid w:val="00111B69"/>
    <w:rsid w:val="00111DED"/>
    <w:rsid w:val="00111DF1"/>
    <w:rsid w:val="001123EF"/>
    <w:rsid w:val="0011273F"/>
    <w:rsid w:val="00112940"/>
    <w:rsid w:val="00112D81"/>
    <w:rsid w:val="00113A23"/>
    <w:rsid w:val="0011577F"/>
    <w:rsid w:val="00115C7D"/>
    <w:rsid w:val="00116E90"/>
    <w:rsid w:val="00117738"/>
    <w:rsid w:val="001179D2"/>
    <w:rsid w:val="00117CDB"/>
    <w:rsid w:val="00120388"/>
    <w:rsid w:val="001205FE"/>
    <w:rsid w:val="00120763"/>
    <w:rsid w:val="001210CA"/>
    <w:rsid w:val="0012276B"/>
    <w:rsid w:val="00122B0F"/>
    <w:rsid w:val="00123887"/>
    <w:rsid w:val="00123A19"/>
    <w:rsid w:val="001240E3"/>
    <w:rsid w:val="001245DC"/>
    <w:rsid w:val="00124B51"/>
    <w:rsid w:val="00124F9E"/>
    <w:rsid w:val="00125240"/>
    <w:rsid w:val="00125C13"/>
    <w:rsid w:val="0012645A"/>
    <w:rsid w:val="001268E0"/>
    <w:rsid w:val="0012698B"/>
    <w:rsid w:val="0013035E"/>
    <w:rsid w:val="0013040F"/>
    <w:rsid w:val="001311B8"/>
    <w:rsid w:val="001313DD"/>
    <w:rsid w:val="001314BB"/>
    <w:rsid w:val="00131501"/>
    <w:rsid w:val="00133610"/>
    <w:rsid w:val="001336AD"/>
    <w:rsid w:val="00133D9D"/>
    <w:rsid w:val="00133F08"/>
    <w:rsid w:val="00133FC5"/>
    <w:rsid w:val="001344DD"/>
    <w:rsid w:val="00134661"/>
    <w:rsid w:val="001350DE"/>
    <w:rsid w:val="001353D5"/>
    <w:rsid w:val="00135716"/>
    <w:rsid w:val="001409D4"/>
    <w:rsid w:val="001412B5"/>
    <w:rsid w:val="00141D93"/>
    <w:rsid w:val="00141E93"/>
    <w:rsid w:val="00142505"/>
    <w:rsid w:val="00142849"/>
    <w:rsid w:val="00142B74"/>
    <w:rsid w:val="00142E0A"/>
    <w:rsid w:val="001434BA"/>
    <w:rsid w:val="001439E2"/>
    <w:rsid w:val="00143B00"/>
    <w:rsid w:val="00144A5A"/>
    <w:rsid w:val="00144F5D"/>
    <w:rsid w:val="0014568A"/>
    <w:rsid w:val="00146F48"/>
    <w:rsid w:val="00146FFD"/>
    <w:rsid w:val="00147374"/>
    <w:rsid w:val="001506F3"/>
    <w:rsid w:val="00150BEA"/>
    <w:rsid w:val="001516FF"/>
    <w:rsid w:val="00152AED"/>
    <w:rsid w:val="00152EDE"/>
    <w:rsid w:val="00153622"/>
    <w:rsid w:val="00153D45"/>
    <w:rsid w:val="00153E40"/>
    <w:rsid w:val="00153EC5"/>
    <w:rsid w:val="0015422B"/>
    <w:rsid w:val="001542A3"/>
    <w:rsid w:val="001550D4"/>
    <w:rsid w:val="001554B9"/>
    <w:rsid w:val="00155714"/>
    <w:rsid w:val="0015701F"/>
    <w:rsid w:val="00157CC6"/>
    <w:rsid w:val="00157D27"/>
    <w:rsid w:val="00157D3E"/>
    <w:rsid w:val="001605C7"/>
    <w:rsid w:val="001616CA"/>
    <w:rsid w:val="00161BF2"/>
    <w:rsid w:val="0016235B"/>
    <w:rsid w:val="001626E9"/>
    <w:rsid w:val="00162AC9"/>
    <w:rsid w:val="00162F57"/>
    <w:rsid w:val="00162F9E"/>
    <w:rsid w:val="00163098"/>
    <w:rsid w:val="0016417B"/>
    <w:rsid w:val="00164728"/>
    <w:rsid w:val="00165C21"/>
    <w:rsid w:val="00166090"/>
    <w:rsid w:val="001665D5"/>
    <w:rsid w:val="00166611"/>
    <w:rsid w:val="00166640"/>
    <w:rsid w:val="00166987"/>
    <w:rsid w:val="00166CF9"/>
    <w:rsid w:val="00166D15"/>
    <w:rsid w:val="00166D29"/>
    <w:rsid w:val="001670FA"/>
    <w:rsid w:val="00167414"/>
    <w:rsid w:val="001700D9"/>
    <w:rsid w:val="00170478"/>
    <w:rsid w:val="001709C1"/>
    <w:rsid w:val="00170ABE"/>
    <w:rsid w:val="001712B8"/>
    <w:rsid w:val="001713DA"/>
    <w:rsid w:val="001718FA"/>
    <w:rsid w:val="00171EC9"/>
    <w:rsid w:val="0017226A"/>
    <w:rsid w:val="0017240A"/>
    <w:rsid w:val="00172D87"/>
    <w:rsid w:val="00172FE5"/>
    <w:rsid w:val="00174688"/>
    <w:rsid w:val="001746C2"/>
    <w:rsid w:val="0017493C"/>
    <w:rsid w:val="00175254"/>
    <w:rsid w:val="00175449"/>
    <w:rsid w:val="00175EA5"/>
    <w:rsid w:val="0017609A"/>
    <w:rsid w:val="00176257"/>
    <w:rsid w:val="00176313"/>
    <w:rsid w:val="0018057B"/>
    <w:rsid w:val="00180B9E"/>
    <w:rsid w:val="00182431"/>
    <w:rsid w:val="00182537"/>
    <w:rsid w:val="00183763"/>
    <w:rsid w:val="00183D07"/>
    <w:rsid w:val="0018472A"/>
    <w:rsid w:val="00184752"/>
    <w:rsid w:val="00184961"/>
    <w:rsid w:val="00184B96"/>
    <w:rsid w:val="00185A19"/>
    <w:rsid w:val="00186331"/>
    <w:rsid w:val="001867D4"/>
    <w:rsid w:val="001867E8"/>
    <w:rsid w:val="001868C7"/>
    <w:rsid w:val="00186CC8"/>
    <w:rsid w:val="00187D78"/>
    <w:rsid w:val="0019177D"/>
    <w:rsid w:val="001918AF"/>
    <w:rsid w:val="00191C42"/>
    <w:rsid w:val="00191DF1"/>
    <w:rsid w:val="00192110"/>
    <w:rsid w:val="001923C4"/>
    <w:rsid w:val="0019252C"/>
    <w:rsid w:val="00192A94"/>
    <w:rsid w:val="00192C58"/>
    <w:rsid w:val="00192FE9"/>
    <w:rsid w:val="00193AAB"/>
    <w:rsid w:val="00193B7A"/>
    <w:rsid w:val="00194170"/>
    <w:rsid w:val="00194AA5"/>
    <w:rsid w:val="001950EE"/>
    <w:rsid w:val="001951DA"/>
    <w:rsid w:val="0019596F"/>
    <w:rsid w:val="00195B8B"/>
    <w:rsid w:val="00195C26"/>
    <w:rsid w:val="00195EB3"/>
    <w:rsid w:val="001961AE"/>
    <w:rsid w:val="00196475"/>
    <w:rsid w:val="00196481"/>
    <w:rsid w:val="00196AC1"/>
    <w:rsid w:val="00196B13"/>
    <w:rsid w:val="0019732D"/>
    <w:rsid w:val="00197333"/>
    <w:rsid w:val="0019758E"/>
    <w:rsid w:val="001A1B9E"/>
    <w:rsid w:val="001A2682"/>
    <w:rsid w:val="001A26A1"/>
    <w:rsid w:val="001A2E8C"/>
    <w:rsid w:val="001A2EA4"/>
    <w:rsid w:val="001A31BD"/>
    <w:rsid w:val="001A32E6"/>
    <w:rsid w:val="001A3782"/>
    <w:rsid w:val="001A505B"/>
    <w:rsid w:val="001A5F2F"/>
    <w:rsid w:val="001A65AB"/>
    <w:rsid w:val="001A6B8D"/>
    <w:rsid w:val="001A791A"/>
    <w:rsid w:val="001B0179"/>
    <w:rsid w:val="001B0653"/>
    <w:rsid w:val="001B0765"/>
    <w:rsid w:val="001B085A"/>
    <w:rsid w:val="001B14CB"/>
    <w:rsid w:val="001B282E"/>
    <w:rsid w:val="001B40BF"/>
    <w:rsid w:val="001B43C5"/>
    <w:rsid w:val="001B442D"/>
    <w:rsid w:val="001B445D"/>
    <w:rsid w:val="001B465D"/>
    <w:rsid w:val="001B48C7"/>
    <w:rsid w:val="001B4920"/>
    <w:rsid w:val="001B49A1"/>
    <w:rsid w:val="001B4FCF"/>
    <w:rsid w:val="001B6C93"/>
    <w:rsid w:val="001B6D64"/>
    <w:rsid w:val="001B7D35"/>
    <w:rsid w:val="001B7D5A"/>
    <w:rsid w:val="001C0566"/>
    <w:rsid w:val="001C1096"/>
    <w:rsid w:val="001C14D5"/>
    <w:rsid w:val="001C2389"/>
    <w:rsid w:val="001C2733"/>
    <w:rsid w:val="001C2A8D"/>
    <w:rsid w:val="001C346E"/>
    <w:rsid w:val="001C3597"/>
    <w:rsid w:val="001C3620"/>
    <w:rsid w:val="001C36C4"/>
    <w:rsid w:val="001C3C9B"/>
    <w:rsid w:val="001C4005"/>
    <w:rsid w:val="001C47F5"/>
    <w:rsid w:val="001C50D2"/>
    <w:rsid w:val="001C57D3"/>
    <w:rsid w:val="001C6C93"/>
    <w:rsid w:val="001C6CB5"/>
    <w:rsid w:val="001C729F"/>
    <w:rsid w:val="001C73E2"/>
    <w:rsid w:val="001D07C4"/>
    <w:rsid w:val="001D0F69"/>
    <w:rsid w:val="001D170B"/>
    <w:rsid w:val="001D3301"/>
    <w:rsid w:val="001D41D4"/>
    <w:rsid w:val="001D4E43"/>
    <w:rsid w:val="001D502E"/>
    <w:rsid w:val="001D51F6"/>
    <w:rsid w:val="001D52FF"/>
    <w:rsid w:val="001D581E"/>
    <w:rsid w:val="001D58E1"/>
    <w:rsid w:val="001D5EC5"/>
    <w:rsid w:val="001D7059"/>
    <w:rsid w:val="001D7C7D"/>
    <w:rsid w:val="001D7D56"/>
    <w:rsid w:val="001E04E8"/>
    <w:rsid w:val="001E0ABC"/>
    <w:rsid w:val="001E0E0D"/>
    <w:rsid w:val="001E1A54"/>
    <w:rsid w:val="001E1F72"/>
    <w:rsid w:val="001E2A8A"/>
    <w:rsid w:val="001E3FED"/>
    <w:rsid w:val="001E630B"/>
    <w:rsid w:val="001E735B"/>
    <w:rsid w:val="001E752B"/>
    <w:rsid w:val="001E786F"/>
    <w:rsid w:val="001F00D0"/>
    <w:rsid w:val="001F07EC"/>
    <w:rsid w:val="001F08CA"/>
    <w:rsid w:val="001F1E18"/>
    <w:rsid w:val="001F208D"/>
    <w:rsid w:val="001F2590"/>
    <w:rsid w:val="001F25F9"/>
    <w:rsid w:val="001F31C1"/>
    <w:rsid w:val="001F438D"/>
    <w:rsid w:val="001F4919"/>
    <w:rsid w:val="001F4C7F"/>
    <w:rsid w:val="001F67C9"/>
    <w:rsid w:val="001F68F5"/>
    <w:rsid w:val="002004DA"/>
    <w:rsid w:val="0020068D"/>
    <w:rsid w:val="00200E30"/>
    <w:rsid w:val="00201545"/>
    <w:rsid w:val="00203108"/>
    <w:rsid w:val="0020351C"/>
    <w:rsid w:val="00203A37"/>
    <w:rsid w:val="0020437E"/>
    <w:rsid w:val="002049F5"/>
    <w:rsid w:val="002057D4"/>
    <w:rsid w:val="00205971"/>
    <w:rsid w:val="00205D96"/>
    <w:rsid w:val="00206156"/>
    <w:rsid w:val="00206FAA"/>
    <w:rsid w:val="00210364"/>
    <w:rsid w:val="00210651"/>
    <w:rsid w:val="00213055"/>
    <w:rsid w:val="0021576C"/>
    <w:rsid w:val="002202AA"/>
    <w:rsid w:val="00220877"/>
    <w:rsid w:val="00220A1C"/>
    <w:rsid w:val="0022114F"/>
    <w:rsid w:val="00221307"/>
    <w:rsid w:val="00221A08"/>
    <w:rsid w:val="002226A2"/>
    <w:rsid w:val="002237AE"/>
    <w:rsid w:val="00223CCA"/>
    <w:rsid w:val="00224642"/>
    <w:rsid w:val="00224BC4"/>
    <w:rsid w:val="00224C03"/>
    <w:rsid w:val="00224D4B"/>
    <w:rsid w:val="00226012"/>
    <w:rsid w:val="00226666"/>
    <w:rsid w:val="00230DB5"/>
    <w:rsid w:val="0023368B"/>
    <w:rsid w:val="00233EAA"/>
    <w:rsid w:val="00234170"/>
    <w:rsid w:val="00235143"/>
    <w:rsid w:val="002352BC"/>
    <w:rsid w:val="00235BA7"/>
    <w:rsid w:val="002362EE"/>
    <w:rsid w:val="00236CAF"/>
    <w:rsid w:val="00240101"/>
    <w:rsid w:val="00240794"/>
    <w:rsid w:val="00240997"/>
    <w:rsid w:val="00241B02"/>
    <w:rsid w:val="00242448"/>
    <w:rsid w:val="002431AE"/>
    <w:rsid w:val="00243A13"/>
    <w:rsid w:val="00243E80"/>
    <w:rsid w:val="002446E1"/>
    <w:rsid w:val="00244D30"/>
    <w:rsid w:val="0024526D"/>
    <w:rsid w:val="002455A6"/>
    <w:rsid w:val="00245892"/>
    <w:rsid w:val="002459F5"/>
    <w:rsid w:val="002460BE"/>
    <w:rsid w:val="002461A4"/>
    <w:rsid w:val="002467B5"/>
    <w:rsid w:val="00246940"/>
    <w:rsid w:val="00250614"/>
    <w:rsid w:val="00250708"/>
    <w:rsid w:val="00250C29"/>
    <w:rsid w:val="00250DBA"/>
    <w:rsid w:val="00251CA0"/>
    <w:rsid w:val="00252BDD"/>
    <w:rsid w:val="00252E98"/>
    <w:rsid w:val="0025345C"/>
    <w:rsid w:val="00253902"/>
    <w:rsid w:val="002540B4"/>
    <w:rsid w:val="00254593"/>
    <w:rsid w:val="00254C3B"/>
    <w:rsid w:val="0025537D"/>
    <w:rsid w:val="00255448"/>
    <w:rsid w:val="0025569A"/>
    <w:rsid w:val="002557FC"/>
    <w:rsid w:val="002566BA"/>
    <w:rsid w:val="00257867"/>
    <w:rsid w:val="00260BD1"/>
    <w:rsid w:val="002613E9"/>
    <w:rsid w:val="00261426"/>
    <w:rsid w:val="00261737"/>
    <w:rsid w:val="00262C30"/>
    <w:rsid w:val="00262C6B"/>
    <w:rsid w:val="002644E0"/>
    <w:rsid w:val="00265455"/>
    <w:rsid w:val="00265458"/>
    <w:rsid w:val="002660B9"/>
    <w:rsid w:val="00267CA5"/>
    <w:rsid w:val="00267FB7"/>
    <w:rsid w:val="0027075C"/>
    <w:rsid w:val="00270BA5"/>
    <w:rsid w:val="00271D5A"/>
    <w:rsid w:val="00271E8D"/>
    <w:rsid w:val="0027267D"/>
    <w:rsid w:val="00272735"/>
    <w:rsid w:val="002727D5"/>
    <w:rsid w:val="00272D75"/>
    <w:rsid w:val="00273286"/>
    <w:rsid w:val="002732E9"/>
    <w:rsid w:val="00274083"/>
    <w:rsid w:val="00274F64"/>
    <w:rsid w:val="00275A0B"/>
    <w:rsid w:val="00275D87"/>
    <w:rsid w:val="00276DA8"/>
    <w:rsid w:val="00276EF6"/>
    <w:rsid w:val="00276FF1"/>
    <w:rsid w:val="00277C46"/>
    <w:rsid w:val="00280E91"/>
    <w:rsid w:val="00281C46"/>
    <w:rsid w:val="002829CD"/>
    <w:rsid w:val="00282E9F"/>
    <w:rsid w:val="00283A73"/>
    <w:rsid w:val="00284664"/>
    <w:rsid w:val="002855EE"/>
    <w:rsid w:val="00285713"/>
    <w:rsid w:val="00286B4D"/>
    <w:rsid w:val="00286C3B"/>
    <w:rsid w:val="00287676"/>
    <w:rsid w:val="00287896"/>
    <w:rsid w:val="00287F03"/>
    <w:rsid w:val="00287F40"/>
    <w:rsid w:val="00290E7B"/>
    <w:rsid w:val="00290F6C"/>
    <w:rsid w:val="00291682"/>
    <w:rsid w:val="0029248D"/>
    <w:rsid w:val="0029395F"/>
    <w:rsid w:val="002939BC"/>
    <w:rsid w:val="00294907"/>
    <w:rsid w:val="00295A64"/>
    <w:rsid w:val="00295E52"/>
    <w:rsid w:val="002975C9"/>
    <w:rsid w:val="0029780A"/>
    <w:rsid w:val="002978FE"/>
    <w:rsid w:val="00297EDD"/>
    <w:rsid w:val="00297EE0"/>
    <w:rsid w:val="002A00CF"/>
    <w:rsid w:val="002A0F65"/>
    <w:rsid w:val="002A124D"/>
    <w:rsid w:val="002A12F9"/>
    <w:rsid w:val="002A1421"/>
    <w:rsid w:val="002A3146"/>
    <w:rsid w:val="002A375D"/>
    <w:rsid w:val="002A5409"/>
    <w:rsid w:val="002A5FA6"/>
    <w:rsid w:val="002A70CF"/>
    <w:rsid w:val="002A75A6"/>
    <w:rsid w:val="002A767B"/>
    <w:rsid w:val="002A7984"/>
    <w:rsid w:val="002A7B3F"/>
    <w:rsid w:val="002B00A4"/>
    <w:rsid w:val="002B06CB"/>
    <w:rsid w:val="002B0B2A"/>
    <w:rsid w:val="002B0E22"/>
    <w:rsid w:val="002B184D"/>
    <w:rsid w:val="002B1AF0"/>
    <w:rsid w:val="002B1D62"/>
    <w:rsid w:val="002B2CDD"/>
    <w:rsid w:val="002B30AE"/>
    <w:rsid w:val="002B38EF"/>
    <w:rsid w:val="002B4FFC"/>
    <w:rsid w:val="002B71E6"/>
    <w:rsid w:val="002B7916"/>
    <w:rsid w:val="002C07BC"/>
    <w:rsid w:val="002C117B"/>
    <w:rsid w:val="002C21B9"/>
    <w:rsid w:val="002C22B7"/>
    <w:rsid w:val="002C30A4"/>
    <w:rsid w:val="002C419F"/>
    <w:rsid w:val="002C47FD"/>
    <w:rsid w:val="002C49CA"/>
    <w:rsid w:val="002C4A81"/>
    <w:rsid w:val="002C4CB1"/>
    <w:rsid w:val="002C4E76"/>
    <w:rsid w:val="002C572B"/>
    <w:rsid w:val="002C5A8A"/>
    <w:rsid w:val="002C5FB5"/>
    <w:rsid w:val="002C6440"/>
    <w:rsid w:val="002C679C"/>
    <w:rsid w:val="002C67D8"/>
    <w:rsid w:val="002C6C08"/>
    <w:rsid w:val="002C6DCF"/>
    <w:rsid w:val="002C6EB5"/>
    <w:rsid w:val="002C7E44"/>
    <w:rsid w:val="002C7E52"/>
    <w:rsid w:val="002D0D31"/>
    <w:rsid w:val="002D139B"/>
    <w:rsid w:val="002D17BF"/>
    <w:rsid w:val="002D187E"/>
    <w:rsid w:val="002D2B68"/>
    <w:rsid w:val="002D3912"/>
    <w:rsid w:val="002D478A"/>
    <w:rsid w:val="002D4E93"/>
    <w:rsid w:val="002D5E1C"/>
    <w:rsid w:val="002D64BA"/>
    <w:rsid w:val="002D66BF"/>
    <w:rsid w:val="002D71DA"/>
    <w:rsid w:val="002E030E"/>
    <w:rsid w:val="002E0AA5"/>
    <w:rsid w:val="002E126D"/>
    <w:rsid w:val="002E1635"/>
    <w:rsid w:val="002E1C68"/>
    <w:rsid w:val="002E2646"/>
    <w:rsid w:val="002E2BE6"/>
    <w:rsid w:val="002E2F5E"/>
    <w:rsid w:val="002E3EC1"/>
    <w:rsid w:val="002E4B1B"/>
    <w:rsid w:val="002E4B34"/>
    <w:rsid w:val="002E5216"/>
    <w:rsid w:val="002E5838"/>
    <w:rsid w:val="002E600D"/>
    <w:rsid w:val="002E77F2"/>
    <w:rsid w:val="002E7C8A"/>
    <w:rsid w:val="002F025E"/>
    <w:rsid w:val="002F0806"/>
    <w:rsid w:val="002F0C47"/>
    <w:rsid w:val="002F0E24"/>
    <w:rsid w:val="002F0EA3"/>
    <w:rsid w:val="002F2A2C"/>
    <w:rsid w:val="002F3768"/>
    <w:rsid w:val="002F4283"/>
    <w:rsid w:val="002F4CC6"/>
    <w:rsid w:val="002F5326"/>
    <w:rsid w:val="002F5379"/>
    <w:rsid w:val="002F5E1E"/>
    <w:rsid w:val="002F6796"/>
    <w:rsid w:val="002F6CDD"/>
    <w:rsid w:val="002F6FA5"/>
    <w:rsid w:val="002F714A"/>
    <w:rsid w:val="002F7FF2"/>
    <w:rsid w:val="0030014A"/>
    <w:rsid w:val="003004D7"/>
    <w:rsid w:val="00300D16"/>
    <w:rsid w:val="0030239D"/>
    <w:rsid w:val="00302D73"/>
    <w:rsid w:val="0030374B"/>
    <w:rsid w:val="0030410E"/>
    <w:rsid w:val="00306234"/>
    <w:rsid w:val="00306669"/>
    <w:rsid w:val="003069BC"/>
    <w:rsid w:val="00306A56"/>
    <w:rsid w:val="00306E0D"/>
    <w:rsid w:val="0030790C"/>
    <w:rsid w:val="00310074"/>
    <w:rsid w:val="0031076A"/>
    <w:rsid w:val="00310B7C"/>
    <w:rsid w:val="00310F6C"/>
    <w:rsid w:val="00311132"/>
    <w:rsid w:val="00311237"/>
    <w:rsid w:val="00311839"/>
    <w:rsid w:val="0031259C"/>
    <w:rsid w:val="00313404"/>
    <w:rsid w:val="0031366F"/>
    <w:rsid w:val="0031418B"/>
    <w:rsid w:val="003155F3"/>
    <w:rsid w:val="00315BC0"/>
    <w:rsid w:val="003168C5"/>
    <w:rsid w:val="00316F47"/>
    <w:rsid w:val="0032071C"/>
    <w:rsid w:val="00321546"/>
    <w:rsid w:val="00321789"/>
    <w:rsid w:val="003218DB"/>
    <w:rsid w:val="00322766"/>
    <w:rsid w:val="00322AB5"/>
    <w:rsid w:val="00322ACB"/>
    <w:rsid w:val="00324198"/>
    <w:rsid w:val="00324458"/>
    <w:rsid w:val="0032457F"/>
    <w:rsid w:val="00324A56"/>
    <w:rsid w:val="00325D05"/>
    <w:rsid w:val="00326ACC"/>
    <w:rsid w:val="00327AE9"/>
    <w:rsid w:val="00327BE4"/>
    <w:rsid w:val="003301E5"/>
    <w:rsid w:val="003306D5"/>
    <w:rsid w:val="0033085B"/>
    <w:rsid w:val="00331539"/>
    <w:rsid w:val="003315AC"/>
    <w:rsid w:val="00332407"/>
    <w:rsid w:val="003327F7"/>
    <w:rsid w:val="0033310C"/>
    <w:rsid w:val="003337A8"/>
    <w:rsid w:val="003341CB"/>
    <w:rsid w:val="0033454C"/>
    <w:rsid w:val="00335140"/>
    <w:rsid w:val="00335635"/>
    <w:rsid w:val="0033651A"/>
    <w:rsid w:val="00337178"/>
    <w:rsid w:val="003371B7"/>
    <w:rsid w:val="00337D1E"/>
    <w:rsid w:val="00340CB2"/>
    <w:rsid w:val="0034132C"/>
    <w:rsid w:val="003416E7"/>
    <w:rsid w:val="00341929"/>
    <w:rsid w:val="00341E1D"/>
    <w:rsid w:val="003420AE"/>
    <w:rsid w:val="0034228F"/>
    <w:rsid w:val="00342BC4"/>
    <w:rsid w:val="0034360D"/>
    <w:rsid w:val="00343723"/>
    <w:rsid w:val="003438B0"/>
    <w:rsid w:val="00343CFE"/>
    <w:rsid w:val="00344CE6"/>
    <w:rsid w:val="00346769"/>
    <w:rsid w:val="00346A1B"/>
    <w:rsid w:val="00346AF6"/>
    <w:rsid w:val="00346B4E"/>
    <w:rsid w:val="00346BF6"/>
    <w:rsid w:val="00347353"/>
    <w:rsid w:val="0034795D"/>
    <w:rsid w:val="00350A50"/>
    <w:rsid w:val="003517AC"/>
    <w:rsid w:val="003525DE"/>
    <w:rsid w:val="00352746"/>
    <w:rsid w:val="00352E7C"/>
    <w:rsid w:val="00354225"/>
    <w:rsid w:val="00354D5A"/>
    <w:rsid w:val="00354FFB"/>
    <w:rsid w:val="00355078"/>
    <w:rsid w:val="0035593D"/>
    <w:rsid w:val="00355D71"/>
    <w:rsid w:val="00356160"/>
    <w:rsid w:val="00356588"/>
    <w:rsid w:val="00356944"/>
    <w:rsid w:val="00356F7C"/>
    <w:rsid w:val="00357164"/>
    <w:rsid w:val="0036012A"/>
    <w:rsid w:val="00360BBF"/>
    <w:rsid w:val="00360CE4"/>
    <w:rsid w:val="0036126B"/>
    <w:rsid w:val="00361610"/>
    <w:rsid w:val="0036179F"/>
    <w:rsid w:val="0036183D"/>
    <w:rsid w:val="003624BC"/>
    <w:rsid w:val="00362545"/>
    <w:rsid w:val="00362934"/>
    <w:rsid w:val="00362A7F"/>
    <w:rsid w:val="00362DBA"/>
    <w:rsid w:val="00362E24"/>
    <w:rsid w:val="00362FD9"/>
    <w:rsid w:val="003636D9"/>
    <w:rsid w:val="00363D31"/>
    <w:rsid w:val="003640F2"/>
    <w:rsid w:val="00364444"/>
    <w:rsid w:val="003646F9"/>
    <w:rsid w:val="00365AE1"/>
    <w:rsid w:val="003663A8"/>
    <w:rsid w:val="00366BC0"/>
    <w:rsid w:val="00367346"/>
    <w:rsid w:val="00367997"/>
    <w:rsid w:val="00367BBC"/>
    <w:rsid w:val="00370775"/>
    <w:rsid w:val="0037091A"/>
    <w:rsid w:val="00370DEA"/>
    <w:rsid w:val="00372B42"/>
    <w:rsid w:val="0037357A"/>
    <w:rsid w:val="0037375B"/>
    <w:rsid w:val="00374C0B"/>
    <w:rsid w:val="00374E94"/>
    <w:rsid w:val="003755D1"/>
    <w:rsid w:val="003758E7"/>
    <w:rsid w:val="0037699F"/>
    <w:rsid w:val="00377067"/>
    <w:rsid w:val="00377740"/>
    <w:rsid w:val="003777A6"/>
    <w:rsid w:val="00377890"/>
    <w:rsid w:val="00377C32"/>
    <w:rsid w:val="00377FA2"/>
    <w:rsid w:val="00381024"/>
    <w:rsid w:val="003819BD"/>
    <w:rsid w:val="0038209A"/>
    <w:rsid w:val="0038262B"/>
    <w:rsid w:val="00383171"/>
    <w:rsid w:val="0038348C"/>
    <w:rsid w:val="0038359C"/>
    <w:rsid w:val="00383851"/>
    <w:rsid w:val="00383EF6"/>
    <w:rsid w:val="0038466C"/>
    <w:rsid w:val="00384AF3"/>
    <w:rsid w:val="00384B12"/>
    <w:rsid w:val="00384DB5"/>
    <w:rsid w:val="00384FC8"/>
    <w:rsid w:val="00385D9D"/>
    <w:rsid w:val="00385F45"/>
    <w:rsid w:val="003861E1"/>
    <w:rsid w:val="003864EF"/>
    <w:rsid w:val="003866B8"/>
    <w:rsid w:val="003868BF"/>
    <w:rsid w:val="00386985"/>
    <w:rsid w:val="00386C93"/>
    <w:rsid w:val="00386ED1"/>
    <w:rsid w:val="00386F60"/>
    <w:rsid w:val="003876E3"/>
    <w:rsid w:val="00390C53"/>
    <w:rsid w:val="003912C6"/>
    <w:rsid w:val="00391970"/>
    <w:rsid w:val="00391E75"/>
    <w:rsid w:val="0039288C"/>
    <w:rsid w:val="00392B12"/>
    <w:rsid w:val="00393781"/>
    <w:rsid w:val="00393A41"/>
    <w:rsid w:val="00394200"/>
    <w:rsid w:val="003949AB"/>
    <w:rsid w:val="00394A14"/>
    <w:rsid w:val="00394CAF"/>
    <w:rsid w:val="00394E83"/>
    <w:rsid w:val="00394FBD"/>
    <w:rsid w:val="00395C8A"/>
    <w:rsid w:val="003960CC"/>
    <w:rsid w:val="00396CDF"/>
    <w:rsid w:val="003A09F0"/>
    <w:rsid w:val="003A0B64"/>
    <w:rsid w:val="003A1CF6"/>
    <w:rsid w:val="003A27D5"/>
    <w:rsid w:val="003A4179"/>
    <w:rsid w:val="003A443D"/>
    <w:rsid w:val="003A460F"/>
    <w:rsid w:val="003A496C"/>
    <w:rsid w:val="003A529B"/>
    <w:rsid w:val="003A7BF1"/>
    <w:rsid w:val="003B150E"/>
    <w:rsid w:val="003B1735"/>
    <w:rsid w:val="003B1997"/>
    <w:rsid w:val="003B2177"/>
    <w:rsid w:val="003B242A"/>
    <w:rsid w:val="003B30FC"/>
    <w:rsid w:val="003B3425"/>
    <w:rsid w:val="003B3BC1"/>
    <w:rsid w:val="003B461B"/>
    <w:rsid w:val="003B47CA"/>
    <w:rsid w:val="003B4918"/>
    <w:rsid w:val="003B52BD"/>
    <w:rsid w:val="003B59B1"/>
    <w:rsid w:val="003B5C75"/>
    <w:rsid w:val="003B5E48"/>
    <w:rsid w:val="003B6036"/>
    <w:rsid w:val="003B61EF"/>
    <w:rsid w:val="003B69E1"/>
    <w:rsid w:val="003C0285"/>
    <w:rsid w:val="003C16C2"/>
    <w:rsid w:val="003C1BC6"/>
    <w:rsid w:val="003C3426"/>
    <w:rsid w:val="003C49D9"/>
    <w:rsid w:val="003C4D1C"/>
    <w:rsid w:val="003C52CE"/>
    <w:rsid w:val="003C5491"/>
    <w:rsid w:val="003C64EA"/>
    <w:rsid w:val="003C6CC0"/>
    <w:rsid w:val="003C71DB"/>
    <w:rsid w:val="003C7748"/>
    <w:rsid w:val="003C7B70"/>
    <w:rsid w:val="003C7FC5"/>
    <w:rsid w:val="003D0858"/>
    <w:rsid w:val="003D16C8"/>
    <w:rsid w:val="003D1CB5"/>
    <w:rsid w:val="003D1F2F"/>
    <w:rsid w:val="003D2235"/>
    <w:rsid w:val="003D3CED"/>
    <w:rsid w:val="003D413E"/>
    <w:rsid w:val="003D468C"/>
    <w:rsid w:val="003D4F54"/>
    <w:rsid w:val="003D518B"/>
    <w:rsid w:val="003D5D09"/>
    <w:rsid w:val="003D5DED"/>
    <w:rsid w:val="003D5EF4"/>
    <w:rsid w:val="003D5FA6"/>
    <w:rsid w:val="003D63DF"/>
    <w:rsid w:val="003D7546"/>
    <w:rsid w:val="003D7627"/>
    <w:rsid w:val="003E03DC"/>
    <w:rsid w:val="003E08CB"/>
    <w:rsid w:val="003E1101"/>
    <w:rsid w:val="003E1252"/>
    <w:rsid w:val="003E1B88"/>
    <w:rsid w:val="003E2BA6"/>
    <w:rsid w:val="003E2BD7"/>
    <w:rsid w:val="003E2CF7"/>
    <w:rsid w:val="003E39A2"/>
    <w:rsid w:val="003E3D10"/>
    <w:rsid w:val="003E42B1"/>
    <w:rsid w:val="003E55B2"/>
    <w:rsid w:val="003E605F"/>
    <w:rsid w:val="003E6A36"/>
    <w:rsid w:val="003E714E"/>
    <w:rsid w:val="003E7769"/>
    <w:rsid w:val="003E7EE3"/>
    <w:rsid w:val="003F00B6"/>
    <w:rsid w:val="003F023B"/>
    <w:rsid w:val="003F0C7E"/>
    <w:rsid w:val="003F23F8"/>
    <w:rsid w:val="003F29F5"/>
    <w:rsid w:val="003F2F77"/>
    <w:rsid w:val="003F40BA"/>
    <w:rsid w:val="003F45E3"/>
    <w:rsid w:val="003F4A6D"/>
    <w:rsid w:val="003F5ABC"/>
    <w:rsid w:val="003F5D1C"/>
    <w:rsid w:val="003F7588"/>
    <w:rsid w:val="003F76C2"/>
    <w:rsid w:val="003F7945"/>
    <w:rsid w:val="00400D80"/>
    <w:rsid w:val="00402613"/>
    <w:rsid w:val="004034E8"/>
    <w:rsid w:val="00403F40"/>
    <w:rsid w:val="00404C99"/>
    <w:rsid w:val="004057A7"/>
    <w:rsid w:val="0040597D"/>
    <w:rsid w:val="00405A27"/>
    <w:rsid w:val="00405ADA"/>
    <w:rsid w:val="0040694F"/>
    <w:rsid w:val="00406B57"/>
    <w:rsid w:val="004074CA"/>
    <w:rsid w:val="00411872"/>
    <w:rsid w:val="00411DE1"/>
    <w:rsid w:val="004121B7"/>
    <w:rsid w:val="00412D7A"/>
    <w:rsid w:val="00413A68"/>
    <w:rsid w:val="00413BDF"/>
    <w:rsid w:val="00413CBD"/>
    <w:rsid w:val="00414551"/>
    <w:rsid w:val="00414804"/>
    <w:rsid w:val="00414958"/>
    <w:rsid w:val="004155D2"/>
    <w:rsid w:val="00415DC2"/>
    <w:rsid w:val="00415F2A"/>
    <w:rsid w:val="00415FB4"/>
    <w:rsid w:val="0041621A"/>
    <w:rsid w:val="00416B38"/>
    <w:rsid w:val="00416C9F"/>
    <w:rsid w:val="0041715A"/>
    <w:rsid w:val="0041762B"/>
    <w:rsid w:val="00417712"/>
    <w:rsid w:val="00417DDF"/>
    <w:rsid w:val="00420C05"/>
    <w:rsid w:val="00421052"/>
    <w:rsid w:val="00422390"/>
    <w:rsid w:val="004223A9"/>
    <w:rsid w:val="00422E49"/>
    <w:rsid w:val="00423AA5"/>
    <w:rsid w:val="00423B54"/>
    <w:rsid w:val="00423D33"/>
    <w:rsid w:val="0042488A"/>
    <w:rsid w:val="00424BC5"/>
    <w:rsid w:val="00424C78"/>
    <w:rsid w:val="00424E01"/>
    <w:rsid w:val="00425008"/>
    <w:rsid w:val="00425338"/>
    <w:rsid w:val="0042571E"/>
    <w:rsid w:val="00426903"/>
    <w:rsid w:val="00426A38"/>
    <w:rsid w:val="0042738B"/>
    <w:rsid w:val="00427CF7"/>
    <w:rsid w:val="00430424"/>
    <w:rsid w:val="00430C34"/>
    <w:rsid w:val="00430D0A"/>
    <w:rsid w:val="00430EB8"/>
    <w:rsid w:val="004323F2"/>
    <w:rsid w:val="00432531"/>
    <w:rsid w:val="0043299E"/>
    <w:rsid w:val="00432B0F"/>
    <w:rsid w:val="00433158"/>
    <w:rsid w:val="00434507"/>
    <w:rsid w:val="0043455A"/>
    <w:rsid w:val="0043562A"/>
    <w:rsid w:val="00435A62"/>
    <w:rsid w:val="00435BB9"/>
    <w:rsid w:val="00436415"/>
    <w:rsid w:val="00436944"/>
    <w:rsid w:val="00440FB8"/>
    <w:rsid w:val="004411CF"/>
    <w:rsid w:val="00441B9D"/>
    <w:rsid w:val="0044207A"/>
    <w:rsid w:val="00442849"/>
    <w:rsid w:val="0044311A"/>
    <w:rsid w:val="00443E72"/>
    <w:rsid w:val="0044414F"/>
    <w:rsid w:val="00444285"/>
    <w:rsid w:val="0044440F"/>
    <w:rsid w:val="00445BE4"/>
    <w:rsid w:val="004465C1"/>
    <w:rsid w:val="00447132"/>
    <w:rsid w:val="0044745F"/>
    <w:rsid w:val="00447F3E"/>
    <w:rsid w:val="00451074"/>
    <w:rsid w:val="00452C67"/>
    <w:rsid w:val="0045301E"/>
    <w:rsid w:val="00453B2A"/>
    <w:rsid w:val="00453D46"/>
    <w:rsid w:val="00453E40"/>
    <w:rsid w:val="004545EA"/>
    <w:rsid w:val="00454F7C"/>
    <w:rsid w:val="00454FE8"/>
    <w:rsid w:val="004551BA"/>
    <w:rsid w:val="004558B6"/>
    <w:rsid w:val="00455F2D"/>
    <w:rsid w:val="004563AC"/>
    <w:rsid w:val="004568CC"/>
    <w:rsid w:val="00456932"/>
    <w:rsid w:val="00456E14"/>
    <w:rsid w:val="00461463"/>
    <w:rsid w:val="004620FD"/>
    <w:rsid w:val="00462CE0"/>
    <w:rsid w:val="00463213"/>
    <w:rsid w:val="004636E2"/>
    <w:rsid w:val="004652F3"/>
    <w:rsid w:val="004658F9"/>
    <w:rsid w:val="00465E47"/>
    <w:rsid w:val="00466230"/>
    <w:rsid w:val="004664B1"/>
    <w:rsid w:val="00466B4C"/>
    <w:rsid w:val="004672E7"/>
    <w:rsid w:val="00467A3C"/>
    <w:rsid w:val="0047077F"/>
    <w:rsid w:val="004708CA"/>
    <w:rsid w:val="00470CAD"/>
    <w:rsid w:val="00470FED"/>
    <w:rsid w:val="00471068"/>
    <w:rsid w:val="00471277"/>
    <w:rsid w:val="00471E39"/>
    <w:rsid w:val="00471E3C"/>
    <w:rsid w:val="00471E78"/>
    <w:rsid w:val="00472C33"/>
    <w:rsid w:val="004733FE"/>
    <w:rsid w:val="004734A3"/>
    <w:rsid w:val="00473700"/>
    <w:rsid w:val="0047372B"/>
    <w:rsid w:val="00475EAD"/>
    <w:rsid w:val="00476844"/>
    <w:rsid w:val="00480684"/>
    <w:rsid w:val="00480AF4"/>
    <w:rsid w:val="00480B5C"/>
    <w:rsid w:val="0048182A"/>
    <w:rsid w:val="004824B6"/>
    <w:rsid w:val="004825EF"/>
    <w:rsid w:val="004827CA"/>
    <w:rsid w:val="00483D40"/>
    <w:rsid w:val="004847EA"/>
    <w:rsid w:val="00485011"/>
    <w:rsid w:val="00485142"/>
    <w:rsid w:val="00485283"/>
    <w:rsid w:val="00485BB6"/>
    <w:rsid w:val="004863D3"/>
    <w:rsid w:val="00486CCE"/>
    <w:rsid w:val="0048793E"/>
    <w:rsid w:val="00487C33"/>
    <w:rsid w:val="00487C66"/>
    <w:rsid w:val="00490AE0"/>
    <w:rsid w:val="00490F47"/>
    <w:rsid w:val="004910C5"/>
    <w:rsid w:val="00491CE0"/>
    <w:rsid w:val="00491F47"/>
    <w:rsid w:val="004926A1"/>
    <w:rsid w:val="004927FF"/>
    <w:rsid w:val="00493473"/>
    <w:rsid w:val="0049475A"/>
    <w:rsid w:val="00495B72"/>
    <w:rsid w:val="00496420"/>
    <w:rsid w:val="0049665D"/>
    <w:rsid w:val="00496707"/>
    <w:rsid w:val="00496D65"/>
    <w:rsid w:val="00496FA1"/>
    <w:rsid w:val="00497DD1"/>
    <w:rsid w:val="004A0358"/>
    <w:rsid w:val="004A03DF"/>
    <w:rsid w:val="004A0B47"/>
    <w:rsid w:val="004A0E96"/>
    <w:rsid w:val="004A1534"/>
    <w:rsid w:val="004A1C31"/>
    <w:rsid w:val="004A1DDF"/>
    <w:rsid w:val="004A2EA8"/>
    <w:rsid w:val="004A3500"/>
    <w:rsid w:val="004A3710"/>
    <w:rsid w:val="004A37F1"/>
    <w:rsid w:val="004A39C0"/>
    <w:rsid w:val="004A427A"/>
    <w:rsid w:val="004A4817"/>
    <w:rsid w:val="004A62D4"/>
    <w:rsid w:val="004A6D3B"/>
    <w:rsid w:val="004A7D8D"/>
    <w:rsid w:val="004B0BFF"/>
    <w:rsid w:val="004B15CA"/>
    <w:rsid w:val="004B2A9E"/>
    <w:rsid w:val="004B2EA6"/>
    <w:rsid w:val="004B2EA9"/>
    <w:rsid w:val="004B4292"/>
    <w:rsid w:val="004B44D9"/>
    <w:rsid w:val="004B555D"/>
    <w:rsid w:val="004B61EB"/>
    <w:rsid w:val="004B64A2"/>
    <w:rsid w:val="004B77A0"/>
    <w:rsid w:val="004B79CE"/>
    <w:rsid w:val="004B7A30"/>
    <w:rsid w:val="004C0647"/>
    <w:rsid w:val="004C08B4"/>
    <w:rsid w:val="004C09EC"/>
    <w:rsid w:val="004C0E46"/>
    <w:rsid w:val="004C11F2"/>
    <w:rsid w:val="004C1719"/>
    <w:rsid w:val="004C2458"/>
    <w:rsid w:val="004C28CA"/>
    <w:rsid w:val="004C2AB7"/>
    <w:rsid w:val="004C35CF"/>
    <w:rsid w:val="004C37D0"/>
    <w:rsid w:val="004C3B61"/>
    <w:rsid w:val="004C3BB4"/>
    <w:rsid w:val="004C3EFA"/>
    <w:rsid w:val="004C4D47"/>
    <w:rsid w:val="004C5974"/>
    <w:rsid w:val="004C6FE9"/>
    <w:rsid w:val="004C706D"/>
    <w:rsid w:val="004C7F57"/>
    <w:rsid w:val="004D002D"/>
    <w:rsid w:val="004D0347"/>
    <w:rsid w:val="004D0E8B"/>
    <w:rsid w:val="004D1E9E"/>
    <w:rsid w:val="004D2C89"/>
    <w:rsid w:val="004D2EA3"/>
    <w:rsid w:val="004D33F2"/>
    <w:rsid w:val="004D3665"/>
    <w:rsid w:val="004D3A23"/>
    <w:rsid w:val="004D3A4D"/>
    <w:rsid w:val="004D3AB2"/>
    <w:rsid w:val="004D3BCF"/>
    <w:rsid w:val="004D4345"/>
    <w:rsid w:val="004D4839"/>
    <w:rsid w:val="004D56D1"/>
    <w:rsid w:val="004D6422"/>
    <w:rsid w:val="004D642B"/>
    <w:rsid w:val="004D6FE4"/>
    <w:rsid w:val="004D7506"/>
    <w:rsid w:val="004D78B8"/>
    <w:rsid w:val="004E03B4"/>
    <w:rsid w:val="004E1471"/>
    <w:rsid w:val="004E19C2"/>
    <w:rsid w:val="004E1A9D"/>
    <w:rsid w:val="004E1EC5"/>
    <w:rsid w:val="004E1F00"/>
    <w:rsid w:val="004E2533"/>
    <w:rsid w:val="004E28D7"/>
    <w:rsid w:val="004E2A6A"/>
    <w:rsid w:val="004E2A70"/>
    <w:rsid w:val="004E2C40"/>
    <w:rsid w:val="004E2DB3"/>
    <w:rsid w:val="004E3102"/>
    <w:rsid w:val="004E346B"/>
    <w:rsid w:val="004E3E33"/>
    <w:rsid w:val="004E47D7"/>
    <w:rsid w:val="004E5BBF"/>
    <w:rsid w:val="004E61BD"/>
    <w:rsid w:val="004E61C7"/>
    <w:rsid w:val="004E6818"/>
    <w:rsid w:val="004E75C6"/>
    <w:rsid w:val="004F00DB"/>
    <w:rsid w:val="004F215F"/>
    <w:rsid w:val="004F223F"/>
    <w:rsid w:val="004F2327"/>
    <w:rsid w:val="004F2502"/>
    <w:rsid w:val="004F2F07"/>
    <w:rsid w:val="004F3079"/>
    <w:rsid w:val="004F3933"/>
    <w:rsid w:val="004F47E1"/>
    <w:rsid w:val="004F672F"/>
    <w:rsid w:val="004F6D56"/>
    <w:rsid w:val="004F72DE"/>
    <w:rsid w:val="004F7D76"/>
    <w:rsid w:val="005000DC"/>
    <w:rsid w:val="00500586"/>
    <w:rsid w:val="005006B1"/>
    <w:rsid w:val="00500949"/>
    <w:rsid w:val="00500BA7"/>
    <w:rsid w:val="005010A2"/>
    <w:rsid w:val="0050284B"/>
    <w:rsid w:val="00502D8D"/>
    <w:rsid w:val="005040F4"/>
    <w:rsid w:val="00504629"/>
    <w:rsid w:val="00504802"/>
    <w:rsid w:val="00507397"/>
    <w:rsid w:val="00507C82"/>
    <w:rsid w:val="00510141"/>
    <w:rsid w:val="005109AD"/>
    <w:rsid w:val="00512CA7"/>
    <w:rsid w:val="005139FD"/>
    <w:rsid w:val="00513BFD"/>
    <w:rsid w:val="00513E84"/>
    <w:rsid w:val="005143E8"/>
    <w:rsid w:val="0051499E"/>
    <w:rsid w:val="00515A4B"/>
    <w:rsid w:val="00515A96"/>
    <w:rsid w:val="005162E3"/>
    <w:rsid w:val="00516822"/>
    <w:rsid w:val="00516BC1"/>
    <w:rsid w:val="0051727E"/>
    <w:rsid w:val="005175BD"/>
    <w:rsid w:val="005178E3"/>
    <w:rsid w:val="00517F04"/>
    <w:rsid w:val="00520227"/>
    <w:rsid w:val="00520575"/>
    <w:rsid w:val="00520829"/>
    <w:rsid w:val="005208F4"/>
    <w:rsid w:val="00520DE4"/>
    <w:rsid w:val="00521512"/>
    <w:rsid w:val="0052189C"/>
    <w:rsid w:val="0052270A"/>
    <w:rsid w:val="00522DF2"/>
    <w:rsid w:val="00522FF1"/>
    <w:rsid w:val="005241C4"/>
    <w:rsid w:val="00524E18"/>
    <w:rsid w:val="005254A1"/>
    <w:rsid w:val="00525529"/>
    <w:rsid w:val="00525856"/>
    <w:rsid w:val="00525CAD"/>
    <w:rsid w:val="00525FD0"/>
    <w:rsid w:val="0052603A"/>
    <w:rsid w:val="00526366"/>
    <w:rsid w:val="005270E8"/>
    <w:rsid w:val="005272A3"/>
    <w:rsid w:val="005278B0"/>
    <w:rsid w:val="0052793B"/>
    <w:rsid w:val="00527A0C"/>
    <w:rsid w:val="0053133F"/>
    <w:rsid w:val="005313BE"/>
    <w:rsid w:val="0053152B"/>
    <w:rsid w:val="00531BC5"/>
    <w:rsid w:val="0053239A"/>
    <w:rsid w:val="0053363A"/>
    <w:rsid w:val="00534822"/>
    <w:rsid w:val="00534945"/>
    <w:rsid w:val="00534A5A"/>
    <w:rsid w:val="00534F0A"/>
    <w:rsid w:val="005359F1"/>
    <w:rsid w:val="0053616F"/>
    <w:rsid w:val="005361F4"/>
    <w:rsid w:val="005370FE"/>
    <w:rsid w:val="0053745B"/>
    <w:rsid w:val="005377B8"/>
    <w:rsid w:val="00541972"/>
    <w:rsid w:val="005419BC"/>
    <w:rsid w:val="00541BA4"/>
    <w:rsid w:val="00542514"/>
    <w:rsid w:val="00542B57"/>
    <w:rsid w:val="00542B6C"/>
    <w:rsid w:val="005440F8"/>
    <w:rsid w:val="005441D1"/>
    <w:rsid w:val="00544276"/>
    <w:rsid w:val="005449FA"/>
    <w:rsid w:val="00544B8C"/>
    <w:rsid w:val="00545130"/>
    <w:rsid w:val="00546EA0"/>
    <w:rsid w:val="00546FF9"/>
    <w:rsid w:val="00550886"/>
    <w:rsid w:val="00551755"/>
    <w:rsid w:val="00552642"/>
    <w:rsid w:val="005526AF"/>
    <w:rsid w:val="00552BA3"/>
    <w:rsid w:val="005540B3"/>
    <w:rsid w:val="0055419E"/>
    <w:rsid w:val="005541B6"/>
    <w:rsid w:val="00554ECD"/>
    <w:rsid w:val="005555E1"/>
    <w:rsid w:val="00555CCB"/>
    <w:rsid w:val="00555CDF"/>
    <w:rsid w:val="00555EEA"/>
    <w:rsid w:val="00556ADB"/>
    <w:rsid w:val="005577AC"/>
    <w:rsid w:val="00560973"/>
    <w:rsid w:val="00562100"/>
    <w:rsid w:val="00563167"/>
    <w:rsid w:val="00563F7D"/>
    <w:rsid w:val="00564478"/>
    <w:rsid w:val="00564650"/>
    <w:rsid w:val="00564EEC"/>
    <w:rsid w:val="00565243"/>
    <w:rsid w:val="005660FB"/>
    <w:rsid w:val="00566C8A"/>
    <w:rsid w:val="005677D1"/>
    <w:rsid w:val="00567C4C"/>
    <w:rsid w:val="00567CC5"/>
    <w:rsid w:val="00567D32"/>
    <w:rsid w:val="00567D74"/>
    <w:rsid w:val="00567E68"/>
    <w:rsid w:val="00571867"/>
    <w:rsid w:val="00571B14"/>
    <w:rsid w:val="00571F2A"/>
    <w:rsid w:val="005721F1"/>
    <w:rsid w:val="005723A7"/>
    <w:rsid w:val="005726AE"/>
    <w:rsid w:val="0057278F"/>
    <w:rsid w:val="00572F67"/>
    <w:rsid w:val="005733CC"/>
    <w:rsid w:val="005735E2"/>
    <w:rsid w:val="005743D6"/>
    <w:rsid w:val="00574E84"/>
    <w:rsid w:val="00575498"/>
    <w:rsid w:val="0057588E"/>
    <w:rsid w:val="0057635D"/>
    <w:rsid w:val="00577921"/>
    <w:rsid w:val="00580D92"/>
    <w:rsid w:val="00581572"/>
    <w:rsid w:val="005815EE"/>
    <w:rsid w:val="00581DF2"/>
    <w:rsid w:val="00581ED5"/>
    <w:rsid w:val="00582673"/>
    <w:rsid w:val="0058380B"/>
    <w:rsid w:val="005846BB"/>
    <w:rsid w:val="00584F12"/>
    <w:rsid w:val="00585C07"/>
    <w:rsid w:val="00587043"/>
    <w:rsid w:val="00587502"/>
    <w:rsid w:val="00587C53"/>
    <w:rsid w:val="00590707"/>
    <w:rsid w:val="00590F04"/>
    <w:rsid w:val="00592298"/>
    <w:rsid w:val="00592557"/>
    <w:rsid w:val="00593B7C"/>
    <w:rsid w:val="00593F8B"/>
    <w:rsid w:val="0059493B"/>
    <w:rsid w:val="00594AF0"/>
    <w:rsid w:val="00595311"/>
    <w:rsid w:val="005965A7"/>
    <w:rsid w:val="00596A83"/>
    <w:rsid w:val="00596A84"/>
    <w:rsid w:val="0059775C"/>
    <w:rsid w:val="005A0511"/>
    <w:rsid w:val="005A0630"/>
    <w:rsid w:val="005A1277"/>
    <w:rsid w:val="005A1406"/>
    <w:rsid w:val="005A166C"/>
    <w:rsid w:val="005A1AD7"/>
    <w:rsid w:val="005A2142"/>
    <w:rsid w:val="005A2810"/>
    <w:rsid w:val="005A2DBB"/>
    <w:rsid w:val="005A3174"/>
    <w:rsid w:val="005A3980"/>
    <w:rsid w:val="005A3A81"/>
    <w:rsid w:val="005A3E31"/>
    <w:rsid w:val="005A4015"/>
    <w:rsid w:val="005A493B"/>
    <w:rsid w:val="005A4D3D"/>
    <w:rsid w:val="005A51BA"/>
    <w:rsid w:val="005A5550"/>
    <w:rsid w:val="005A5E81"/>
    <w:rsid w:val="005A765C"/>
    <w:rsid w:val="005A782E"/>
    <w:rsid w:val="005A7D01"/>
    <w:rsid w:val="005B0871"/>
    <w:rsid w:val="005B093A"/>
    <w:rsid w:val="005B0C94"/>
    <w:rsid w:val="005B0EAF"/>
    <w:rsid w:val="005B169B"/>
    <w:rsid w:val="005B2453"/>
    <w:rsid w:val="005B2F14"/>
    <w:rsid w:val="005B3072"/>
    <w:rsid w:val="005B35FF"/>
    <w:rsid w:val="005B38BF"/>
    <w:rsid w:val="005B3B6A"/>
    <w:rsid w:val="005B3E80"/>
    <w:rsid w:val="005B463F"/>
    <w:rsid w:val="005B47E1"/>
    <w:rsid w:val="005B50E1"/>
    <w:rsid w:val="005B523F"/>
    <w:rsid w:val="005B533D"/>
    <w:rsid w:val="005B569F"/>
    <w:rsid w:val="005B56EC"/>
    <w:rsid w:val="005B5B93"/>
    <w:rsid w:val="005B5C50"/>
    <w:rsid w:val="005B652B"/>
    <w:rsid w:val="005B7AC6"/>
    <w:rsid w:val="005B7D65"/>
    <w:rsid w:val="005C0531"/>
    <w:rsid w:val="005C0AA4"/>
    <w:rsid w:val="005C16D8"/>
    <w:rsid w:val="005C1DBA"/>
    <w:rsid w:val="005C1EB3"/>
    <w:rsid w:val="005C27E9"/>
    <w:rsid w:val="005C3760"/>
    <w:rsid w:val="005C4131"/>
    <w:rsid w:val="005C4596"/>
    <w:rsid w:val="005C6061"/>
    <w:rsid w:val="005C6F4C"/>
    <w:rsid w:val="005C75FD"/>
    <w:rsid w:val="005C792C"/>
    <w:rsid w:val="005C7A16"/>
    <w:rsid w:val="005C7CE5"/>
    <w:rsid w:val="005C7D29"/>
    <w:rsid w:val="005D0537"/>
    <w:rsid w:val="005D0FB4"/>
    <w:rsid w:val="005D1E02"/>
    <w:rsid w:val="005D2E94"/>
    <w:rsid w:val="005D2ED7"/>
    <w:rsid w:val="005D340A"/>
    <w:rsid w:val="005D36A8"/>
    <w:rsid w:val="005D3B58"/>
    <w:rsid w:val="005D4177"/>
    <w:rsid w:val="005D453C"/>
    <w:rsid w:val="005D463A"/>
    <w:rsid w:val="005D47EC"/>
    <w:rsid w:val="005D50E3"/>
    <w:rsid w:val="005D5130"/>
    <w:rsid w:val="005D6759"/>
    <w:rsid w:val="005D71FE"/>
    <w:rsid w:val="005D7F19"/>
    <w:rsid w:val="005E08D4"/>
    <w:rsid w:val="005E1B1C"/>
    <w:rsid w:val="005E2384"/>
    <w:rsid w:val="005E2FA0"/>
    <w:rsid w:val="005E31AF"/>
    <w:rsid w:val="005E3360"/>
    <w:rsid w:val="005E3C56"/>
    <w:rsid w:val="005E4A07"/>
    <w:rsid w:val="005E4A9C"/>
    <w:rsid w:val="005E4B43"/>
    <w:rsid w:val="005E5525"/>
    <w:rsid w:val="005E59AD"/>
    <w:rsid w:val="005E609D"/>
    <w:rsid w:val="005E66FB"/>
    <w:rsid w:val="005E7268"/>
    <w:rsid w:val="005E75DE"/>
    <w:rsid w:val="005F01FB"/>
    <w:rsid w:val="005F02C9"/>
    <w:rsid w:val="005F0CEF"/>
    <w:rsid w:val="005F1CA4"/>
    <w:rsid w:val="005F23CB"/>
    <w:rsid w:val="005F25CA"/>
    <w:rsid w:val="005F2E86"/>
    <w:rsid w:val="005F341C"/>
    <w:rsid w:val="005F3C60"/>
    <w:rsid w:val="005F4BD8"/>
    <w:rsid w:val="005F628F"/>
    <w:rsid w:val="005F6426"/>
    <w:rsid w:val="005F70EE"/>
    <w:rsid w:val="005F7C15"/>
    <w:rsid w:val="005F7D3B"/>
    <w:rsid w:val="00600C92"/>
    <w:rsid w:val="0060114D"/>
    <w:rsid w:val="0060179D"/>
    <w:rsid w:val="00601918"/>
    <w:rsid w:val="00601DFE"/>
    <w:rsid w:val="0060214D"/>
    <w:rsid w:val="00602531"/>
    <w:rsid w:val="0060348A"/>
    <w:rsid w:val="00603A38"/>
    <w:rsid w:val="00603AF2"/>
    <w:rsid w:val="00603E36"/>
    <w:rsid w:val="00603F94"/>
    <w:rsid w:val="006045F4"/>
    <w:rsid w:val="006048BC"/>
    <w:rsid w:val="00604C53"/>
    <w:rsid w:val="006054D4"/>
    <w:rsid w:val="00605674"/>
    <w:rsid w:val="00606B14"/>
    <w:rsid w:val="00607ED7"/>
    <w:rsid w:val="00611193"/>
    <w:rsid w:val="0061166F"/>
    <w:rsid w:val="00611A1F"/>
    <w:rsid w:val="00611A58"/>
    <w:rsid w:val="00611DA9"/>
    <w:rsid w:val="00611F92"/>
    <w:rsid w:val="006128EE"/>
    <w:rsid w:val="00612CDC"/>
    <w:rsid w:val="006138FD"/>
    <w:rsid w:val="00613919"/>
    <w:rsid w:val="006139FF"/>
    <w:rsid w:val="006141F1"/>
    <w:rsid w:val="006142C3"/>
    <w:rsid w:val="006149B7"/>
    <w:rsid w:val="00615CA9"/>
    <w:rsid w:val="0061708A"/>
    <w:rsid w:val="00617199"/>
    <w:rsid w:val="006177C8"/>
    <w:rsid w:val="00617A29"/>
    <w:rsid w:val="00617D48"/>
    <w:rsid w:val="00620500"/>
    <w:rsid w:val="00620804"/>
    <w:rsid w:val="00620E8F"/>
    <w:rsid w:val="0062153C"/>
    <w:rsid w:val="00621D86"/>
    <w:rsid w:val="00622328"/>
    <w:rsid w:val="00622388"/>
    <w:rsid w:val="00622861"/>
    <w:rsid w:val="006228F2"/>
    <w:rsid w:val="00622EEB"/>
    <w:rsid w:val="006236B6"/>
    <w:rsid w:val="00623CBD"/>
    <w:rsid w:val="00623E4C"/>
    <w:rsid w:val="0062426E"/>
    <w:rsid w:val="00624875"/>
    <w:rsid w:val="00624B8F"/>
    <w:rsid w:val="00624DE6"/>
    <w:rsid w:val="0062569E"/>
    <w:rsid w:val="006259C7"/>
    <w:rsid w:val="00625EC4"/>
    <w:rsid w:val="00626246"/>
    <w:rsid w:val="00626FA2"/>
    <w:rsid w:val="006273D8"/>
    <w:rsid w:val="00627E58"/>
    <w:rsid w:val="006303A0"/>
    <w:rsid w:val="00630E48"/>
    <w:rsid w:val="0063105B"/>
    <w:rsid w:val="0063135F"/>
    <w:rsid w:val="00631877"/>
    <w:rsid w:val="006332BB"/>
    <w:rsid w:val="00633C51"/>
    <w:rsid w:val="006347C1"/>
    <w:rsid w:val="0063583D"/>
    <w:rsid w:val="006358A3"/>
    <w:rsid w:val="00636428"/>
    <w:rsid w:val="006365F9"/>
    <w:rsid w:val="00636A8D"/>
    <w:rsid w:val="00636C56"/>
    <w:rsid w:val="00637470"/>
    <w:rsid w:val="00640082"/>
    <w:rsid w:val="0064109E"/>
    <w:rsid w:val="00641355"/>
    <w:rsid w:val="00641931"/>
    <w:rsid w:val="00641BE6"/>
    <w:rsid w:val="00641D32"/>
    <w:rsid w:val="00642906"/>
    <w:rsid w:val="00642C9B"/>
    <w:rsid w:val="006438CA"/>
    <w:rsid w:val="006438EF"/>
    <w:rsid w:val="00643AD5"/>
    <w:rsid w:val="00644E63"/>
    <w:rsid w:val="00645CBA"/>
    <w:rsid w:val="006473FD"/>
    <w:rsid w:val="00647907"/>
    <w:rsid w:val="00647A19"/>
    <w:rsid w:val="006500F1"/>
    <w:rsid w:val="0065042E"/>
    <w:rsid w:val="0065051C"/>
    <w:rsid w:val="00650B2F"/>
    <w:rsid w:val="00650C90"/>
    <w:rsid w:val="006510DB"/>
    <w:rsid w:val="00651AD7"/>
    <w:rsid w:val="00651B9A"/>
    <w:rsid w:val="0065373B"/>
    <w:rsid w:val="0065451B"/>
    <w:rsid w:val="00654647"/>
    <w:rsid w:val="00654C4F"/>
    <w:rsid w:val="006551DE"/>
    <w:rsid w:val="006552A1"/>
    <w:rsid w:val="00657D6B"/>
    <w:rsid w:val="006602A0"/>
    <w:rsid w:val="006608DD"/>
    <w:rsid w:val="00660949"/>
    <w:rsid w:val="00660C20"/>
    <w:rsid w:val="00661058"/>
    <w:rsid w:val="00661443"/>
    <w:rsid w:val="0066145D"/>
    <w:rsid w:val="0066155D"/>
    <w:rsid w:val="0066203F"/>
    <w:rsid w:val="00662649"/>
    <w:rsid w:val="00662ABC"/>
    <w:rsid w:val="00662C2A"/>
    <w:rsid w:val="00662E6D"/>
    <w:rsid w:val="00662F0B"/>
    <w:rsid w:val="006639C2"/>
    <w:rsid w:val="00664221"/>
    <w:rsid w:val="00664A4D"/>
    <w:rsid w:val="00664B9A"/>
    <w:rsid w:val="0066565E"/>
    <w:rsid w:val="0066567C"/>
    <w:rsid w:val="006656C8"/>
    <w:rsid w:val="0066600E"/>
    <w:rsid w:val="0066617F"/>
    <w:rsid w:val="006662AD"/>
    <w:rsid w:val="00666B31"/>
    <w:rsid w:val="00666BF7"/>
    <w:rsid w:val="00666ECC"/>
    <w:rsid w:val="00666F12"/>
    <w:rsid w:val="0066725B"/>
    <w:rsid w:val="00670D1B"/>
    <w:rsid w:val="00670E02"/>
    <w:rsid w:val="0067150D"/>
    <w:rsid w:val="0067160E"/>
    <w:rsid w:val="0067348D"/>
    <w:rsid w:val="00673A42"/>
    <w:rsid w:val="00673F3C"/>
    <w:rsid w:val="006741E1"/>
    <w:rsid w:val="0067438F"/>
    <w:rsid w:val="0067459C"/>
    <w:rsid w:val="0067533A"/>
    <w:rsid w:val="006753FE"/>
    <w:rsid w:val="006771C2"/>
    <w:rsid w:val="0067727A"/>
    <w:rsid w:val="00677A7B"/>
    <w:rsid w:val="006801B1"/>
    <w:rsid w:val="006829B6"/>
    <w:rsid w:val="00682EB2"/>
    <w:rsid w:val="0068334E"/>
    <w:rsid w:val="006840B3"/>
    <w:rsid w:val="006841AE"/>
    <w:rsid w:val="00684EAF"/>
    <w:rsid w:val="006852CA"/>
    <w:rsid w:val="00686352"/>
    <w:rsid w:val="0068679D"/>
    <w:rsid w:val="00686CA0"/>
    <w:rsid w:val="00687EC8"/>
    <w:rsid w:val="006901FB"/>
    <w:rsid w:val="00692083"/>
    <w:rsid w:val="006925B1"/>
    <w:rsid w:val="0069271A"/>
    <w:rsid w:val="0069273F"/>
    <w:rsid w:val="00692A56"/>
    <w:rsid w:val="00692CDF"/>
    <w:rsid w:val="00693C41"/>
    <w:rsid w:val="006942F4"/>
    <w:rsid w:val="006945B7"/>
    <w:rsid w:val="00694DF1"/>
    <w:rsid w:val="0069503E"/>
    <w:rsid w:val="00695377"/>
    <w:rsid w:val="0069571E"/>
    <w:rsid w:val="00695959"/>
    <w:rsid w:val="00697687"/>
    <w:rsid w:val="006977A5"/>
    <w:rsid w:val="006978BE"/>
    <w:rsid w:val="00697C8F"/>
    <w:rsid w:val="006A05DE"/>
    <w:rsid w:val="006A06C6"/>
    <w:rsid w:val="006A11EC"/>
    <w:rsid w:val="006A17E3"/>
    <w:rsid w:val="006A1AD9"/>
    <w:rsid w:val="006A1C70"/>
    <w:rsid w:val="006A2544"/>
    <w:rsid w:val="006A2EE6"/>
    <w:rsid w:val="006A3417"/>
    <w:rsid w:val="006A40B7"/>
    <w:rsid w:val="006A48FA"/>
    <w:rsid w:val="006A4B28"/>
    <w:rsid w:val="006A5A6C"/>
    <w:rsid w:val="006A6385"/>
    <w:rsid w:val="006A6919"/>
    <w:rsid w:val="006A69A5"/>
    <w:rsid w:val="006A6A3D"/>
    <w:rsid w:val="006A6B82"/>
    <w:rsid w:val="006A7438"/>
    <w:rsid w:val="006A76D9"/>
    <w:rsid w:val="006B05ED"/>
    <w:rsid w:val="006B06FF"/>
    <w:rsid w:val="006B0B23"/>
    <w:rsid w:val="006B0F8C"/>
    <w:rsid w:val="006B1107"/>
    <w:rsid w:val="006B1B20"/>
    <w:rsid w:val="006B24B0"/>
    <w:rsid w:val="006B36F8"/>
    <w:rsid w:val="006B4085"/>
    <w:rsid w:val="006B44CB"/>
    <w:rsid w:val="006B4B64"/>
    <w:rsid w:val="006B69A9"/>
    <w:rsid w:val="006B6C89"/>
    <w:rsid w:val="006B6D06"/>
    <w:rsid w:val="006B74D5"/>
    <w:rsid w:val="006B7561"/>
    <w:rsid w:val="006B767E"/>
    <w:rsid w:val="006B78E1"/>
    <w:rsid w:val="006B7BA0"/>
    <w:rsid w:val="006B7FDF"/>
    <w:rsid w:val="006C077D"/>
    <w:rsid w:val="006C09D6"/>
    <w:rsid w:val="006C18E9"/>
    <w:rsid w:val="006C197B"/>
    <w:rsid w:val="006C1EBE"/>
    <w:rsid w:val="006C25D2"/>
    <w:rsid w:val="006C2EC9"/>
    <w:rsid w:val="006C333A"/>
    <w:rsid w:val="006C3624"/>
    <w:rsid w:val="006C4851"/>
    <w:rsid w:val="006C59C7"/>
    <w:rsid w:val="006C5E70"/>
    <w:rsid w:val="006C5F28"/>
    <w:rsid w:val="006C6AA6"/>
    <w:rsid w:val="006C7351"/>
    <w:rsid w:val="006C753F"/>
    <w:rsid w:val="006C756A"/>
    <w:rsid w:val="006D0F56"/>
    <w:rsid w:val="006D11A1"/>
    <w:rsid w:val="006D1628"/>
    <w:rsid w:val="006D1E02"/>
    <w:rsid w:val="006D28BB"/>
    <w:rsid w:val="006D3437"/>
    <w:rsid w:val="006D3AA4"/>
    <w:rsid w:val="006D4558"/>
    <w:rsid w:val="006D475B"/>
    <w:rsid w:val="006D5096"/>
    <w:rsid w:val="006D548F"/>
    <w:rsid w:val="006D57A8"/>
    <w:rsid w:val="006D5CD9"/>
    <w:rsid w:val="006D693F"/>
    <w:rsid w:val="006E05DD"/>
    <w:rsid w:val="006E0F05"/>
    <w:rsid w:val="006E1567"/>
    <w:rsid w:val="006E1C69"/>
    <w:rsid w:val="006E258A"/>
    <w:rsid w:val="006E2883"/>
    <w:rsid w:val="006E3381"/>
    <w:rsid w:val="006E393E"/>
    <w:rsid w:val="006E3CBA"/>
    <w:rsid w:val="006E4480"/>
    <w:rsid w:val="006E4840"/>
    <w:rsid w:val="006E4F25"/>
    <w:rsid w:val="006E4FB6"/>
    <w:rsid w:val="006E5983"/>
    <w:rsid w:val="006E5BC2"/>
    <w:rsid w:val="006E6106"/>
    <w:rsid w:val="006E62BF"/>
    <w:rsid w:val="006E67AD"/>
    <w:rsid w:val="006E71E7"/>
    <w:rsid w:val="006F00AD"/>
    <w:rsid w:val="006F02E4"/>
    <w:rsid w:val="006F09E3"/>
    <w:rsid w:val="006F0FD2"/>
    <w:rsid w:val="006F11B2"/>
    <w:rsid w:val="006F1E46"/>
    <w:rsid w:val="006F2202"/>
    <w:rsid w:val="006F2272"/>
    <w:rsid w:val="006F23DA"/>
    <w:rsid w:val="006F2C76"/>
    <w:rsid w:val="006F2F1E"/>
    <w:rsid w:val="006F3422"/>
    <w:rsid w:val="006F35C1"/>
    <w:rsid w:val="006F35F3"/>
    <w:rsid w:val="006F3725"/>
    <w:rsid w:val="006F4389"/>
    <w:rsid w:val="006F4699"/>
    <w:rsid w:val="006F49F9"/>
    <w:rsid w:val="006F4B46"/>
    <w:rsid w:val="006F4C55"/>
    <w:rsid w:val="006F5580"/>
    <w:rsid w:val="006F676D"/>
    <w:rsid w:val="006F6E85"/>
    <w:rsid w:val="006F6FD7"/>
    <w:rsid w:val="006F7B89"/>
    <w:rsid w:val="007001F9"/>
    <w:rsid w:val="0070020F"/>
    <w:rsid w:val="0070078A"/>
    <w:rsid w:val="00700FD6"/>
    <w:rsid w:val="00701614"/>
    <w:rsid w:val="00701991"/>
    <w:rsid w:val="007019F9"/>
    <w:rsid w:val="00701F0F"/>
    <w:rsid w:val="00701F37"/>
    <w:rsid w:val="00702799"/>
    <w:rsid w:val="00703B9A"/>
    <w:rsid w:val="00703C7E"/>
    <w:rsid w:val="0070523F"/>
    <w:rsid w:val="00705329"/>
    <w:rsid w:val="00705AED"/>
    <w:rsid w:val="00706060"/>
    <w:rsid w:val="00706114"/>
    <w:rsid w:val="0070692D"/>
    <w:rsid w:val="00706C86"/>
    <w:rsid w:val="00706CB6"/>
    <w:rsid w:val="00707644"/>
    <w:rsid w:val="00707707"/>
    <w:rsid w:val="007077E4"/>
    <w:rsid w:val="00711377"/>
    <w:rsid w:val="007114DC"/>
    <w:rsid w:val="007118E6"/>
    <w:rsid w:val="0071235C"/>
    <w:rsid w:val="00712DF7"/>
    <w:rsid w:val="00713BFF"/>
    <w:rsid w:val="00713ED7"/>
    <w:rsid w:val="0071424E"/>
    <w:rsid w:val="00714BE9"/>
    <w:rsid w:val="00714E79"/>
    <w:rsid w:val="00715613"/>
    <w:rsid w:val="00715863"/>
    <w:rsid w:val="00716881"/>
    <w:rsid w:val="00720334"/>
    <w:rsid w:val="00720BEC"/>
    <w:rsid w:val="00721634"/>
    <w:rsid w:val="0072191E"/>
    <w:rsid w:val="00721F10"/>
    <w:rsid w:val="00723581"/>
    <w:rsid w:val="00723991"/>
    <w:rsid w:val="00723A0C"/>
    <w:rsid w:val="007244D9"/>
    <w:rsid w:val="007255A1"/>
    <w:rsid w:val="00726CDA"/>
    <w:rsid w:val="00727298"/>
    <w:rsid w:val="00730181"/>
    <w:rsid w:val="00730C6A"/>
    <w:rsid w:val="007314DC"/>
    <w:rsid w:val="00731D3C"/>
    <w:rsid w:val="00731E33"/>
    <w:rsid w:val="007321A9"/>
    <w:rsid w:val="0073235D"/>
    <w:rsid w:val="0073254F"/>
    <w:rsid w:val="00733B0C"/>
    <w:rsid w:val="00734893"/>
    <w:rsid w:val="0073519A"/>
    <w:rsid w:val="007361AC"/>
    <w:rsid w:val="00736DC5"/>
    <w:rsid w:val="00737C7C"/>
    <w:rsid w:val="00740C78"/>
    <w:rsid w:val="007417B3"/>
    <w:rsid w:val="00741C34"/>
    <w:rsid w:val="00741E62"/>
    <w:rsid w:val="007423FA"/>
    <w:rsid w:val="00742A00"/>
    <w:rsid w:val="00742DA5"/>
    <w:rsid w:val="007430C8"/>
    <w:rsid w:val="00743515"/>
    <w:rsid w:val="00743734"/>
    <w:rsid w:val="00743DC5"/>
    <w:rsid w:val="00744F20"/>
    <w:rsid w:val="00745A1D"/>
    <w:rsid w:val="00746243"/>
    <w:rsid w:val="00746336"/>
    <w:rsid w:val="0074634B"/>
    <w:rsid w:val="00746923"/>
    <w:rsid w:val="00746E68"/>
    <w:rsid w:val="00746F74"/>
    <w:rsid w:val="00747607"/>
    <w:rsid w:val="007479E0"/>
    <w:rsid w:val="00750908"/>
    <w:rsid w:val="00750D20"/>
    <w:rsid w:val="00751CFF"/>
    <w:rsid w:val="00752011"/>
    <w:rsid w:val="007523D1"/>
    <w:rsid w:val="0075366D"/>
    <w:rsid w:val="00753734"/>
    <w:rsid w:val="00753D0E"/>
    <w:rsid w:val="00754143"/>
    <w:rsid w:val="00754411"/>
    <w:rsid w:val="0075458B"/>
    <w:rsid w:val="00754ECA"/>
    <w:rsid w:val="00755B53"/>
    <w:rsid w:val="00757AAB"/>
    <w:rsid w:val="007601FC"/>
    <w:rsid w:val="00761382"/>
    <w:rsid w:val="00761633"/>
    <w:rsid w:val="00761AE1"/>
    <w:rsid w:val="007623E0"/>
    <w:rsid w:val="00763144"/>
    <w:rsid w:val="00763734"/>
    <w:rsid w:val="00763878"/>
    <w:rsid w:val="007639BB"/>
    <w:rsid w:val="0076445A"/>
    <w:rsid w:val="00766B28"/>
    <w:rsid w:val="007707E3"/>
    <w:rsid w:val="007712A5"/>
    <w:rsid w:val="0077190B"/>
    <w:rsid w:val="00771933"/>
    <w:rsid w:val="00771FDF"/>
    <w:rsid w:val="0077200B"/>
    <w:rsid w:val="007721B9"/>
    <w:rsid w:val="00772809"/>
    <w:rsid w:val="00772A6E"/>
    <w:rsid w:val="00772AF1"/>
    <w:rsid w:val="00772C07"/>
    <w:rsid w:val="00773518"/>
    <w:rsid w:val="00773E34"/>
    <w:rsid w:val="007756AC"/>
    <w:rsid w:val="0077656B"/>
    <w:rsid w:val="00776A63"/>
    <w:rsid w:val="00776CF3"/>
    <w:rsid w:val="007777C5"/>
    <w:rsid w:val="00777B28"/>
    <w:rsid w:val="00780186"/>
    <w:rsid w:val="00782F59"/>
    <w:rsid w:val="007838F2"/>
    <w:rsid w:val="00783C20"/>
    <w:rsid w:val="00783FF1"/>
    <w:rsid w:val="00784FCA"/>
    <w:rsid w:val="00785155"/>
    <w:rsid w:val="00785C77"/>
    <w:rsid w:val="00785D84"/>
    <w:rsid w:val="00786601"/>
    <w:rsid w:val="00786AC4"/>
    <w:rsid w:val="00786BBB"/>
    <w:rsid w:val="00787027"/>
    <w:rsid w:val="007872F5"/>
    <w:rsid w:val="00787EAC"/>
    <w:rsid w:val="007910E4"/>
    <w:rsid w:val="00791436"/>
    <w:rsid w:val="0079256C"/>
    <w:rsid w:val="0079491A"/>
    <w:rsid w:val="00794EE2"/>
    <w:rsid w:val="007951D9"/>
    <w:rsid w:val="0079526A"/>
    <w:rsid w:val="00795713"/>
    <w:rsid w:val="00795F19"/>
    <w:rsid w:val="00796026"/>
    <w:rsid w:val="0079637D"/>
    <w:rsid w:val="00796D2F"/>
    <w:rsid w:val="00796D3D"/>
    <w:rsid w:val="00797871"/>
    <w:rsid w:val="00797F6D"/>
    <w:rsid w:val="007A13F6"/>
    <w:rsid w:val="007A16B0"/>
    <w:rsid w:val="007A3AF2"/>
    <w:rsid w:val="007A3F92"/>
    <w:rsid w:val="007A430A"/>
    <w:rsid w:val="007A462E"/>
    <w:rsid w:val="007A490B"/>
    <w:rsid w:val="007A5887"/>
    <w:rsid w:val="007A6D7B"/>
    <w:rsid w:val="007A6DC3"/>
    <w:rsid w:val="007A728C"/>
    <w:rsid w:val="007A791C"/>
    <w:rsid w:val="007A7AE1"/>
    <w:rsid w:val="007B08ED"/>
    <w:rsid w:val="007B1637"/>
    <w:rsid w:val="007B1CB3"/>
    <w:rsid w:val="007B281B"/>
    <w:rsid w:val="007B3326"/>
    <w:rsid w:val="007B3C43"/>
    <w:rsid w:val="007B3EB0"/>
    <w:rsid w:val="007B4E5F"/>
    <w:rsid w:val="007B53C5"/>
    <w:rsid w:val="007B5A04"/>
    <w:rsid w:val="007B5F33"/>
    <w:rsid w:val="007B5F37"/>
    <w:rsid w:val="007B6A41"/>
    <w:rsid w:val="007B7BF4"/>
    <w:rsid w:val="007B7D51"/>
    <w:rsid w:val="007B7F2A"/>
    <w:rsid w:val="007C0195"/>
    <w:rsid w:val="007C098E"/>
    <w:rsid w:val="007C09F2"/>
    <w:rsid w:val="007C1843"/>
    <w:rsid w:val="007C2437"/>
    <w:rsid w:val="007C2E5C"/>
    <w:rsid w:val="007C353D"/>
    <w:rsid w:val="007C3EE8"/>
    <w:rsid w:val="007C48CC"/>
    <w:rsid w:val="007C4AAE"/>
    <w:rsid w:val="007C4C2D"/>
    <w:rsid w:val="007C62A8"/>
    <w:rsid w:val="007C7543"/>
    <w:rsid w:val="007C7CC0"/>
    <w:rsid w:val="007D01CB"/>
    <w:rsid w:val="007D0806"/>
    <w:rsid w:val="007D2280"/>
    <w:rsid w:val="007D27E9"/>
    <w:rsid w:val="007D3322"/>
    <w:rsid w:val="007D3722"/>
    <w:rsid w:val="007D3A6B"/>
    <w:rsid w:val="007D3C3C"/>
    <w:rsid w:val="007D3EA0"/>
    <w:rsid w:val="007D3EE3"/>
    <w:rsid w:val="007D405E"/>
    <w:rsid w:val="007D41C7"/>
    <w:rsid w:val="007D4260"/>
    <w:rsid w:val="007D4697"/>
    <w:rsid w:val="007D4A57"/>
    <w:rsid w:val="007D6818"/>
    <w:rsid w:val="007D69A6"/>
    <w:rsid w:val="007D6EB9"/>
    <w:rsid w:val="007D6EDA"/>
    <w:rsid w:val="007D7A54"/>
    <w:rsid w:val="007D7D36"/>
    <w:rsid w:val="007E00E7"/>
    <w:rsid w:val="007E050C"/>
    <w:rsid w:val="007E08F2"/>
    <w:rsid w:val="007E0DB8"/>
    <w:rsid w:val="007E1BF5"/>
    <w:rsid w:val="007E2155"/>
    <w:rsid w:val="007E32F0"/>
    <w:rsid w:val="007E355A"/>
    <w:rsid w:val="007E3EA9"/>
    <w:rsid w:val="007E3FB5"/>
    <w:rsid w:val="007E43FC"/>
    <w:rsid w:val="007E4B49"/>
    <w:rsid w:val="007E56D7"/>
    <w:rsid w:val="007E5E22"/>
    <w:rsid w:val="007E645C"/>
    <w:rsid w:val="007E68B0"/>
    <w:rsid w:val="007E6AB2"/>
    <w:rsid w:val="007E6DB4"/>
    <w:rsid w:val="007E7535"/>
    <w:rsid w:val="007E7BA6"/>
    <w:rsid w:val="007E7DAF"/>
    <w:rsid w:val="007F05C6"/>
    <w:rsid w:val="007F07CF"/>
    <w:rsid w:val="007F1718"/>
    <w:rsid w:val="007F25F1"/>
    <w:rsid w:val="007F2B3F"/>
    <w:rsid w:val="007F367C"/>
    <w:rsid w:val="007F36A9"/>
    <w:rsid w:val="007F407E"/>
    <w:rsid w:val="007F4967"/>
    <w:rsid w:val="007F4B5F"/>
    <w:rsid w:val="007F557A"/>
    <w:rsid w:val="007F744E"/>
    <w:rsid w:val="007F78A7"/>
    <w:rsid w:val="007F7E5E"/>
    <w:rsid w:val="007F7F9E"/>
    <w:rsid w:val="008007C7"/>
    <w:rsid w:val="008017D5"/>
    <w:rsid w:val="00802517"/>
    <w:rsid w:val="00802B82"/>
    <w:rsid w:val="0080320A"/>
    <w:rsid w:val="008037BB"/>
    <w:rsid w:val="008038C4"/>
    <w:rsid w:val="00803FA2"/>
    <w:rsid w:val="00804369"/>
    <w:rsid w:val="008047DE"/>
    <w:rsid w:val="00804F37"/>
    <w:rsid w:val="0080524B"/>
    <w:rsid w:val="008052A5"/>
    <w:rsid w:val="0080595E"/>
    <w:rsid w:val="00805AB2"/>
    <w:rsid w:val="00805ED5"/>
    <w:rsid w:val="00806692"/>
    <w:rsid w:val="008067E3"/>
    <w:rsid w:val="0080688B"/>
    <w:rsid w:val="00806DED"/>
    <w:rsid w:val="00807779"/>
    <w:rsid w:val="00807C72"/>
    <w:rsid w:val="008100C4"/>
    <w:rsid w:val="008102D8"/>
    <w:rsid w:val="008104C4"/>
    <w:rsid w:val="00810B1B"/>
    <w:rsid w:val="00810B87"/>
    <w:rsid w:val="008110C0"/>
    <w:rsid w:val="00812481"/>
    <w:rsid w:val="008125DE"/>
    <w:rsid w:val="008128F2"/>
    <w:rsid w:val="00812EBE"/>
    <w:rsid w:val="00813448"/>
    <w:rsid w:val="0081380D"/>
    <w:rsid w:val="00813C4C"/>
    <w:rsid w:val="00815333"/>
    <w:rsid w:val="0081573C"/>
    <w:rsid w:val="00816003"/>
    <w:rsid w:val="0081610C"/>
    <w:rsid w:val="008164F2"/>
    <w:rsid w:val="00816C85"/>
    <w:rsid w:val="00816E8C"/>
    <w:rsid w:val="00816ECA"/>
    <w:rsid w:val="008175DB"/>
    <w:rsid w:val="008176DB"/>
    <w:rsid w:val="00817919"/>
    <w:rsid w:val="00820A8F"/>
    <w:rsid w:val="00821611"/>
    <w:rsid w:val="0082232D"/>
    <w:rsid w:val="0082235F"/>
    <w:rsid w:val="00822DA0"/>
    <w:rsid w:val="008233C4"/>
    <w:rsid w:val="00825104"/>
    <w:rsid w:val="0082542E"/>
    <w:rsid w:val="00825730"/>
    <w:rsid w:val="00825B3A"/>
    <w:rsid w:val="00826A4A"/>
    <w:rsid w:val="00826B02"/>
    <w:rsid w:val="00826B7D"/>
    <w:rsid w:val="00826D0E"/>
    <w:rsid w:val="0082745C"/>
    <w:rsid w:val="008275DA"/>
    <w:rsid w:val="008277CD"/>
    <w:rsid w:val="00827D12"/>
    <w:rsid w:val="00830879"/>
    <w:rsid w:val="0083109E"/>
    <w:rsid w:val="0083164D"/>
    <w:rsid w:val="00832517"/>
    <w:rsid w:val="00832658"/>
    <w:rsid w:val="00832FBB"/>
    <w:rsid w:val="00834073"/>
    <w:rsid w:val="00834D41"/>
    <w:rsid w:val="0083503D"/>
    <w:rsid w:val="00835061"/>
    <w:rsid w:val="00836EB8"/>
    <w:rsid w:val="00836F4A"/>
    <w:rsid w:val="00837257"/>
    <w:rsid w:val="0083742B"/>
    <w:rsid w:val="00841D1E"/>
    <w:rsid w:val="00841D48"/>
    <w:rsid w:val="00842A94"/>
    <w:rsid w:val="008432C0"/>
    <w:rsid w:val="00843B40"/>
    <w:rsid w:val="00844042"/>
    <w:rsid w:val="00845B3E"/>
    <w:rsid w:val="00846167"/>
    <w:rsid w:val="00846A39"/>
    <w:rsid w:val="00846D8D"/>
    <w:rsid w:val="00847278"/>
    <w:rsid w:val="0084770B"/>
    <w:rsid w:val="0085080A"/>
    <w:rsid w:val="00851050"/>
    <w:rsid w:val="008511D7"/>
    <w:rsid w:val="008513E2"/>
    <w:rsid w:val="00851944"/>
    <w:rsid w:val="00851CDF"/>
    <w:rsid w:val="00852737"/>
    <w:rsid w:val="008528C9"/>
    <w:rsid w:val="008528EA"/>
    <w:rsid w:val="0085333F"/>
    <w:rsid w:val="00853474"/>
    <w:rsid w:val="00853958"/>
    <w:rsid w:val="00853A1D"/>
    <w:rsid w:val="00853B80"/>
    <w:rsid w:val="00853D43"/>
    <w:rsid w:val="00854745"/>
    <w:rsid w:val="00854DFB"/>
    <w:rsid w:val="00854FB0"/>
    <w:rsid w:val="00854FD7"/>
    <w:rsid w:val="008553D0"/>
    <w:rsid w:val="008555C2"/>
    <w:rsid w:val="008569CB"/>
    <w:rsid w:val="00856BE9"/>
    <w:rsid w:val="008600A8"/>
    <w:rsid w:val="00860670"/>
    <w:rsid w:val="00862E1A"/>
    <w:rsid w:val="0086349C"/>
    <w:rsid w:val="00863580"/>
    <w:rsid w:val="00863B3C"/>
    <w:rsid w:val="008640A4"/>
    <w:rsid w:val="00864AD2"/>
    <w:rsid w:val="00864B2A"/>
    <w:rsid w:val="008658AF"/>
    <w:rsid w:val="00866596"/>
    <w:rsid w:val="008665D2"/>
    <w:rsid w:val="00866EA1"/>
    <w:rsid w:val="00867312"/>
    <w:rsid w:val="00867BC8"/>
    <w:rsid w:val="008701AE"/>
    <w:rsid w:val="00870387"/>
    <w:rsid w:val="008708BA"/>
    <w:rsid w:val="00870E09"/>
    <w:rsid w:val="00871203"/>
    <w:rsid w:val="0087169A"/>
    <w:rsid w:val="00871AE4"/>
    <w:rsid w:val="00871DDE"/>
    <w:rsid w:val="00871F9D"/>
    <w:rsid w:val="00872655"/>
    <w:rsid w:val="008727AA"/>
    <w:rsid w:val="00872C17"/>
    <w:rsid w:val="00872F5F"/>
    <w:rsid w:val="0087395A"/>
    <w:rsid w:val="008746ED"/>
    <w:rsid w:val="0087506F"/>
    <w:rsid w:val="0087528B"/>
    <w:rsid w:val="008760F2"/>
    <w:rsid w:val="008764F3"/>
    <w:rsid w:val="00876859"/>
    <w:rsid w:val="008769AF"/>
    <w:rsid w:val="00876A5A"/>
    <w:rsid w:val="0087740C"/>
    <w:rsid w:val="008775FC"/>
    <w:rsid w:val="0088037F"/>
    <w:rsid w:val="00880BAF"/>
    <w:rsid w:val="008812C7"/>
    <w:rsid w:val="00881D7A"/>
    <w:rsid w:val="00881E2E"/>
    <w:rsid w:val="0088200E"/>
    <w:rsid w:val="00882BB4"/>
    <w:rsid w:val="00882D3A"/>
    <w:rsid w:val="00883B81"/>
    <w:rsid w:val="00884231"/>
    <w:rsid w:val="0088483E"/>
    <w:rsid w:val="00884B0A"/>
    <w:rsid w:val="0088512F"/>
    <w:rsid w:val="0088560F"/>
    <w:rsid w:val="00885E33"/>
    <w:rsid w:val="00886214"/>
    <w:rsid w:val="008862A3"/>
    <w:rsid w:val="008862EA"/>
    <w:rsid w:val="00886B30"/>
    <w:rsid w:val="008871B8"/>
    <w:rsid w:val="0089068B"/>
    <w:rsid w:val="00891200"/>
    <w:rsid w:val="00892B2B"/>
    <w:rsid w:val="00893840"/>
    <w:rsid w:val="008939DD"/>
    <w:rsid w:val="00893C5C"/>
    <w:rsid w:val="00894498"/>
    <w:rsid w:val="00894777"/>
    <w:rsid w:val="00895907"/>
    <w:rsid w:val="0089596B"/>
    <w:rsid w:val="00895A30"/>
    <w:rsid w:val="00896735"/>
    <w:rsid w:val="008973AD"/>
    <w:rsid w:val="00897847"/>
    <w:rsid w:val="008A09F7"/>
    <w:rsid w:val="008A1034"/>
    <w:rsid w:val="008A12E2"/>
    <w:rsid w:val="008A18A0"/>
    <w:rsid w:val="008A1A82"/>
    <w:rsid w:val="008A1B66"/>
    <w:rsid w:val="008A21FE"/>
    <w:rsid w:val="008A2392"/>
    <w:rsid w:val="008A304F"/>
    <w:rsid w:val="008A3E5A"/>
    <w:rsid w:val="008A4F93"/>
    <w:rsid w:val="008A5014"/>
    <w:rsid w:val="008A5480"/>
    <w:rsid w:val="008A5CD3"/>
    <w:rsid w:val="008A5E28"/>
    <w:rsid w:val="008A6611"/>
    <w:rsid w:val="008A68F1"/>
    <w:rsid w:val="008A6938"/>
    <w:rsid w:val="008A74A8"/>
    <w:rsid w:val="008A7729"/>
    <w:rsid w:val="008B022C"/>
    <w:rsid w:val="008B02F1"/>
    <w:rsid w:val="008B0AA4"/>
    <w:rsid w:val="008B142C"/>
    <w:rsid w:val="008B17DB"/>
    <w:rsid w:val="008B18DE"/>
    <w:rsid w:val="008B314A"/>
    <w:rsid w:val="008B401F"/>
    <w:rsid w:val="008B41CA"/>
    <w:rsid w:val="008B45BF"/>
    <w:rsid w:val="008B4756"/>
    <w:rsid w:val="008B4A54"/>
    <w:rsid w:val="008B4B9A"/>
    <w:rsid w:val="008B4BF6"/>
    <w:rsid w:val="008C061D"/>
    <w:rsid w:val="008C07EC"/>
    <w:rsid w:val="008C07FB"/>
    <w:rsid w:val="008C1793"/>
    <w:rsid w:val="008C2264"/>
    <w:rsid w:val="008C2399"/>
    <w:rsid w:val="008C2550"/>
    <w:rsid w:val="008C2AAD"/>
    <w:rsid w:val="008C3026"/>
    <w:rsid w:val="008C30FE"/>
    <w:rsid w:val="008C36FC"/>
    <w:rsid w:val="008C390C"/>
    <w:rsid w:val="008C4655"/>
    <w:rsid w:val="008C52F6"/>
    <w:rsid w:val="008C5C22"/>
    <w:rsid w:val="008C6856"/>
    <w:rsid w:val="008C6E32"/>
    <w:rsid w:val="008C70CF"/>
    <w:rsid w:val="008C7405"/>
    <w:rsid w:val="008C7B00"/>
    <w:rsid w:val="008C7E64"/>
    <w:rsid w:val="008D07AD"/>
    <w:rsid w:val="008D0E59"/>
    <w:rsid w:val="008D20FA"/>
    <w:rsid w:val="008D2A4D"/>
    <w:rsid w:val="008D3E0D"/>
    <w:rsid w:val="008D3F23"/>
    <w:rsid w:val="008D41C7"/>
    <w:rsid w:val="008D4857"/>
    <w:rsid w:val="008D4EF1"/>
    <w:rsid w:val="008D50AE"/>
    <w:rsid w:val="008D65E6"/>
    <w:rsid w:val="008D661F"/>
    <w:rsid w:val="008D67B1"/>
    <w:rsid w:val="008D6D8E"/>
    <w:rsid w:val="008D774A"/>
    <w:rsid w:val="008D781D"/>
    <w:rsid w:val="008E0733"/>
    <w:rsid w:val="008E0C4E"/>
    <w:rsid w:val="008E0FB7"/>
    <w:rsid w:val="008E2ADF"/>
    <w:rsid w:val="008E34B1"/>
    <w:rsid w:val="008E3844"/>
    <w:rsid w:val="008E468A"/>
    <w:rsid w:val="008E4F88"/>
    <w:rsid w:val="008E5121"/>
    <w:rsid w:val="008E58D0"/>
    <w:rsid w:val="008E5D0B"/>
    <w:rsid w:val="008E7017"/>
    <w:rsid w:val="008E73B3"/>
    <w:rsid w:val="008E79CA"/>
    <w:rsid w:val="008F00CD"/>
    <w:rsid w:val="008F0278"/>
    <w:rsid w:val="008F12A3"/>
    <w:rsid w:val="008F4CD8"/>
    <w:rsid w:val="008F4DC3"/>
    <w:rsid w:val="008F4E21"/>
    <w:rsid w:val="008F5DCE"/>
    <w:rsid w:val="008F6A2B"/>
    <w:rsid w:val="008F6F25"/>
    <w:rsid w:val="008F74DD"/>
    <w:rsid w:val="008F7C90"/>
    <w:rsid w:val="008F7EBD"/>
    <w:rsid w:val="00900320"/>
    <w:rsid w:val="00901592"/>
    <w:rsid w:val="0090162A"/>
    <w:rsid w:val="00901BF9"/>
    <w:rsid w:val="0090203F"/>
    <w:rsid w:val="00902A30"/>
    <w:rsid w:val="00903C37"/>
    <w:rsid w:val="00903F1C"/>
    <w:rsid w:val="00904A0E"/>
    <w:rsid w:val="00905EFA"/>
    <w:rsid w:val="00907111"/>
    <w:rsid w:val="009076C5"/>
    <w:rsid w:val="00910473"/>
    <w:rsid w:val="009113AA"/>
    <w:rsid w:val="00911DE4"/>
    <w:rsid w:val="00912B0B"/>
    <w:rsid w:val="00913BB0"/>
    <w:rsid w:val="00914E20"/>
    <w:rsid w:val="00915518"/>
    <w:rsid w:val="009167EB"/>
    <w:rsid w:val="009168BB"/>
    <w:rsid w:val="009169F0"/>
    <w:rsid w:val="00916C7B"/>
    <w:rsid w:val="00917841"/>
    <w:rsid w:val="009178A5"/>
    <w:rsid w:val="00917B3A"/>
    <w:rsid w:val="00917D7C"/>
    <w:rsid w:val="00920796"/>
    <w:rsid w:val="00920CEB"/>
    <w:rsid w:val="009217A9"/>
    <w:rsid w:val="009217AA"/>
    <w:rsid w:val="00921F5A"/>
    <w:rsid w:val="009225D6"/>
    <w:rsid w:val="009226C6"/>
    <w:rsid w:val="00922AA8"/>
    <w:rsid w:val="00922B95"/>
    <w:rsid w:val="00922E54"/>
    <w:rsid w:val="00923396"/>
    <w:rsid w:val="00923683"/>
    <w:rsid w:val="00924535"/>
    <w:rsid w:val="00924605"/>
    <w:rsid w:val="009250CF"/>
    <w:rsid w:val="009252F9"/>
    <w:rsid w:val="00925DC9"/>
    <w:rsid w:val="009261B5"/>
    <w:rsid w:val="009267D3"/>
    <w:rsid w:val="009272B7"/>
    <w:rsid w:val="009279B5"/>
    <w:rsid w:val="00927BB0"/>
    <w:rsid w:val="00930104"/>
    <w:rsid w:val="009302EA"/>
    <w:rsid w:val="00930503"/>
    <w:rsid w:val="00930957"/>
    <w:rsid w:val="00930D11"/>
    <w:rsid w:val="009312A5"/>
    <w:rsid w:val="009329F6"/>
    <w:rsid w:val="00933801"/>
    <w:rsid w:val="009353FF"/>
    <w:rsid w:val="009365A4"/>
    <w:rsid w:val="009365AA"/>
    <w:rsid w:val="0093686C"/>
    <w:rsid w:val="009379C3"/>
    <w:rsid w:val="009379C4"/>
    <w:rsid w:val="00937D2B"/>
    <w:rsid w:val="00940A42"/>
    <w:rsid w:val="00940CD2"/>
    <w:rsid w:val="0094116B"/>
    <w:rsid w:val="00942AC9"/>
    <w:rsid w:val="00942F83"/>
    <w:rsid w:val="00943924"/>
    <w:rsid w:val="00943EA3"/>
    <w:rsid w:val="009451E4"/>
    <w:rsid w:val="00945BF5"/>
    <w:rsid w:val="00945D1B"/>
    <w:rsid w:val="00945E93"/>
    <w:rsid w:val="0094603A"/>
    <w:rsid w:val="00946A69"/>
    <w:rsid w:val="00946ADA"/>
    <w:rsid w:val="00946DDE"/>
    <w:rsid w:val="00946EBA"/>
    <w:rsid w:val="009470F9"/>
    <w:rsid w:val="00947EEE"/>
    <w:rsid w:val="009504E4"/>
    <w:rsid w:val="00950556"/>
    <w:rsid w:val="009515D1"/>
    <w:rsid w:val="00951AD5"/>
    <w:rsid w:val="0095297D"/>
    <w:rsid w:val="00952EAE"/>
    <w:rsid w:val="009545E8"/>
    <w:rsid w:val="00954692"/>
    <w:rsid w:val="00954E47"/>
    <w:rsid w:val="00955B0F"/>
    <w:rsid w:val="00956062"/>
    <w:rsid w:val="009570B2"/>
    <w:rsid w:val="00960A8F"/>
    <w:rsid w:val="00961528"/>
    <w:rsid w:val="009615BF"/>
    <w:rsid w:val="00961EE8"/>
    <w:rsid w:val="00962132"/>
    <w:rsid w:val="00963059"/>
    <w:rsid w:val="0096354A"/>
    <w:rsid w:val="00964272"/>
    <w:rsid w:val="0096452C"/>
    <w:rsid w:val="0096480C"/>
    <w:rsid w:val="009652CA"/>
    <w:rsid w:val="00965BFE"/>
    <w:rsid w:val="009666C8"/>
    <w:rsid w:val="00966E34"/>
    <w:rsid w:val="009679F8"/>
    <w:rsid w:val="00967BB7"/>
    <w:rsid w:val="00967F70"/>
    <w:rsid w:val="00971551"/>
    <w:rsid w:val="0097169F"/>
    <w:rsid w:val="00971CFE"/>
    <w:rsid w:val="00972301"/>
    <w:rsid w:val="00972919"/>
    <w:rsid w:val="00972E4B"/>
    <w:rsid w:val="00973A17"/>
    <w:rsid w:val="00974629"/>
    <w:rsid w:val="00976EC7"/>
    <w:rsid w:val="00976F6C"/>
    <w:rsid w:val="00977D78"/>
    <w:rsid w:val="00977DC3"/>
    <w:rsid w:val="00977F51"/>
    <w:rsid w:val="0098056E"/>
    <w:rsid w:val="009812A8"/>
    <w:rsid w:val="00982A60"/>
    <w:rsid w:val="00983AD4"/>
    <w:rsid w:val="00983CD4"/>
    <w:rsid w:val="009848C9"/>
    <w:rsid w:val="0098602E"/>
    <w:rsid w:val="00986866"/>
    <w:rsid w:val="00986A07"/>
    <w:rsid w:val="009873EA"/>
    <w:rsid w:val="009878B1"/>
    <w:rsid w:val="0099031A"/>
    <w:rsid w:val="00990338"/>
    <w:rsid w:val="009913D0"/>
    <w:rsid w:val="00993158"/>
    <w:rsid w:val="00993336"/>
    <w:rsid w:val="00993DB6"/>
    <w:rsid w:val="00995717"/>
    <w:rsid w:val="00996151"/>
    <w:rsid w:val="009961C1"/>
    <w:rsid w:val="00996536"/>
    <w:rsid w:val="00997661"/>
    <w:rsid w:val="0099770A"/>
    <w:rsid w:val="00997CA6"/>
    <w:rsid w:val="009A0B84"/>
    <w:rsid w:val="009A0DC0"/>
    <w:rsid w:val="009A227C"/>
    <w:rsid w:val="009A25D4"/>
    <w:rsid w:val="009A2BA0"/>
    <w:rsid w:val="009A2CD2"/>
    <w:rsid w:val="009A3476"/>
    <w:rsid w:val="009A5F37"/>
    <w:rsid w:val="009A6FC1"/>
    <w:rsid w:val="009A74EB"/>
    <w:rsid w:val="009A7D2E"/>
    <w:rsid w:val="009B04BF"/>
    <w:rsid w:val="009B0886"/>
    <w:rsid w:val="009B08F6"/>
    <w:rsid w:val="009B0BB8"/>
    <w:rsid w:val="009B0DC2"/>
    <w:rsid w:val="009B11D9"/>
    <w:rsid w:val="009B1971"/>
    <w:rsid w:val="009B22AC"/>
    <w:rsid w:val="009B24AE"/>
    <w:rsid w:val="009B276F"/>
    <w:rsid w:val="009B2D21"/>
    <w:rsid w:val="009B3130"/>
    <w:rsid w:val="009B3222"/>
    <w:rsid w:val="009B3610"/>
    <w:rsid w:val="009B4053"/>
    <w:rsid w:val="009B456B"/>
    <w:rsid w:val="009B472F"/>
    <w:rsid w:val="009B4E54"/>
    <w:rsid w:val="009B62CF"/>
    <w:rsid w:val="009B6418"/>
    <w:rsid w:val="009B7144"/>
    <w:rsid w:val="009B7390"/>
    <w:rsid w:val="009B7584"/>
    <w:rsid w:val="009C0328"/>
    <w:rsid w:val="009C0458"/>
    <w:rsid w:val="009C06BA"/>
    <w:rsid w:val="009C12F5"/>
    <w:rsid w:val="009C17DD"/>
    <w:rsid w:val="009C18B2"/>
    <w:rsid w:val="009C1CDC"/>
    <w:rsid w:val="009C1D42"/>
    <w:rsid w:val="009C2C5A"/>
    <w:rsid w:val="009C2D5D"/>
    <w:rsid w:val="009C2D63"/>
    <w:rsid w:val="009C42E2"/>
    <w:rsid w:val="009C49CD"/>
    <w:rsid w:val="009C4CF6"/>
    <w:rsid w:val="009C4FE6"/>
    <w:rsid w:val="009C61D2"/>
    <w:rsid w:val="009C6C47"/>
    <w:rsid w:val="009C6E6F"/>
    <w:rsid w:val="009C708A"/>
    <w:rsid w:val="009C7120"/>
    <w:rsid w:val="009D1C74"/>
    <w:rsid w:val="009D27EC"/>
    <w:rsid w:val="009D387D"/>
    <w:rsid w:val="009D3CE8"/>
    <w:rsid w:val="009D42AB"/>
    <w:rsid w:val="009D5271"/>
    <w:rsid w:val="009D547A"/>
    <w:rsid w:val="009D5952"/>
    <w:rsid w:val="009D5B43"/>
    <w:rsid w:val="009D6179"/>
    <w:rsid w:val="009D621B"/>
    <w:rsid w:val="009D6996"/>
    <w:rsid w:val="009D6E1D"/>
    <w:rsid w:val="009D6EC8"/>
    <w:rsid w:val="009D72A6"/>
    <w:rsid w:val="009D76DE"/>
    <w:rsid w:val="009E0A92"/>
    <w:rsid w:val="009E1252"/>
    <w:rsid w:val="009E238B"/>
    <w:rsid w:val="009E251C"/>
    <w:rsid w:val="009E2CB5"/>
    <w:rsid w:val="009E4645"/>
    <w:rsid w:val="009E4992"/>
    <w:rsid w:val="009E4B7C"/>
    <w:rsid w:val="009E56ED"/>
    <w:rsid w:val="009E6102"/>
    <w:rsid w:val="009E7F2F"/>
    <w:rsid w:val="009F05B8"/>
    <w:rsid w:val="009F0AEF"/>
    <w:rsid w:val="009F1666"/>
    <w:rsid w:val="009F1EE7"/>
    <w:rsid w:val="009F280A"/>
    <w:rsid w:val="009F28C9"/>
    <w:rsid w:val="009F2C68"/>
    <w:rsid w:val="009F3104"/>
    <w:rsid w:val="009F406B"/>
    <w:rsid w:val="009F40C8"/>
    <w:rsid w:val="009F41C2"/>
    <w:rsid w:val="009F4272"/>
    <w:rsid w:val="009F4893"/>
    <w:rsid w:val="009F4B9B"/>
    <w:rsid w:val="009F5A93"/>
    <w:rsid w:val="009F5E3A"/>
    <w:rsid w:val="009F61CE"/>
    <w:rsid w:val="009F7156"/>
    <w:rsid w:val="009F7B7C"/>
    <w:rsid w:val="009F7BE2"/>
    <w:rsid w:val="009F7C96"/>
    <w:rsid w:val="009F7DFA"/>
    <w:rsid w:val="00A003FD"/>
    <w:rsid w:val="00A00457"/>
    <w:rsid w:val="00A00A53"/>
    <w:rsid w:val="00A00C89"/>
    <w:rsid w:val="00A00C8B"/>
    <w:rsid w:val="00A013DC"/>
    <w:rsid w:val="00A01533"/>
    <w:rsid w:val="00A02478"/>
    <w:rsid w:val="00A0341B"/>
    <w:rsid w:val="00A04476"/>
    <w:rsid w:val="00A048AC"/>
    <w:rsid w:val="00A060FD"/>
    <w:rsid w:val="00A068A0"/>
    <w:rsid w:val="00A06F75"/>
    <w:rsid w:val="00A0757E"/>
    <w:rsid w:val="00A10456"/>
    <w:rsid w:val="00A1058E"/>
    <w:rsid w:val="00A10A27"/>
    <w:rsid w:val="00A10A49"/>
    <w:rsid w:val="00A111B2"/>
    <w:rsid w:val="00A112ED"/>
    <w:rsid w:val="00A11A1C"/>
    <w:rsid w:val="00A12F21"/>
    <w:rsid w:val="00A13A16"/>
    <w:rsid w:val="00A14AD2"/>
    <w:rsid w:val="00A15442"/>
    <w:rsid w:val="00A15F1E"/>
    <w:rsid w:val="00A16348"/>
    <w:rsid w:val="00A16409"/>
    <w:rsid w:val="00A16962"/>
    <w:rsid w:val="00A17014"/>
    <w:rsid w:val="00A171DF"/>
    <w:rsid w:val="00A2010F"/>
    <w:rsid w:val="00A20651"/>
    <w:rsid w:val="00A20A8D"/>
    <w:rsid w:val="00A210D1"/>
    <w:rsid w:val="00A21287"/>
    <w:rsid w:val="00A212DD"/>
    <w:rsid w:val="00A21488"/>
    <w:rsid w:val="00A219A7"/>
    <w:rsid w:val="00A22C54"/>
    <w:rsid w:val="00A23154"/>
    <w:rsid w:val="00A238F5"/>
    <w:rsid w:val="00A23A10"/>
    <w:rsid w:val="00A247A1"/>
    <w:rsid w:val="00A25821"/>
    <w:rsid w:val="00A2586D"/>
    <w:rsid w:val="00A2587E"/>
    <w:rsid w:val="00A25EB8"/>
    <w:rsid w:val="00A26778"/>
    <w:rsid w:val="00A2770E"/>
    <w:rsid w:val="00A27B78"/>
    <w:rsid w:val="00A27F96"/>
    <w:rsid w:val="00A306E5"/>
    <w:rsid w:val="00A306F0"/>
    <w:rsid w:val="00A30839"/>
    <w:rsid w:val="00A30D7F"/>
    <w:rsid w:val="00A32B8F"/>
    <w:rsid w:val="00A33587"/>
    <w:rsid w:val="00A3487B"/>
    <w:rsid w:val="00A34B3E"/>
    <w:rsid w:val="00A34DAF"/>
    <w:rsid w:val="00A35A62"/>
    <w:rsid w:val="00A36109"/>
    <w:rsid w:val="00A363CA"/>
    <w:rsid w:val="00A36836"/>
    <w:rsid w:val="00A36C17"/>
    <w:rsid w:val="00A37885"/>
    <w:rsid w:val="00A3789E"/>
    <w:rsid w:val="00A37978"/>
    <w:rsid w:val="00A379B5"/>
    <w:rsid w:val="00A37CB7"/>
    <w:rsid w:val="00A403EC"/>
    <w:rsid w:val="00A40457"/>
    <w:rsid w:val="00A40DCF"/>
    <w:rsid w:val="00A4139A"/>
    <w:rsid w:val="00A42F78"/>
    <w:rsid w:val="00A42FC8"/>
    <w:rsid w:val="00A438CD"/>
    <w:rsid w:val="00A43A44"/>
    <w:rsid w:val="00A44D4D"/>
    <w:rsid w:val="00A44D95"/>
    <w:rsid w:val="00A45C8A"/>
    <w:rsid w:val="00A4611C"/>
    <w:rsid w:val="00A4648F"/>
    <w:rsid w:val="00A47681"/>
    <w:rsid w:val="00A47742"/>
    <w:rsid w:val="00A5066B"/>
    <w:rsid w:val="00A50E01"/>
    <w:rsid w:val="00A50E4E"/>
    <w:rsid w:val="00A5100E"/>
    <w:rsid w:val="00A512B4"/>
    <w:rsid w:val="00A524D6"/>
    <w:rsid w:val="00A525E7"/>
    <w:rsid w:val="00A526A1"/>
    <w:rsid w:val="00A529F7"/>
    <w:rsid w:val="00A5340A"/>
    <w:rsid w:val="00A542C8"/>
    <w:rsid w:val="00A55322"/>
    <w:rsid w:val="00A555BE"/>
    <w:rsid w:val="00A55DB7"/>
    <w:rsid w:val="00A56B68"/>
    <w:rsid w:val="00A56BC5"/>
    <w:rsid w:val="00A5724A"/>
    <w:rsid w:val="00A57983"/>
    <w:rsid w:val="00A57B4B"/>
    <w:rsid w:val="00A57CD7"/>
    <w:rsid w:val="00A57E17"/>
    <w:rsid w:val="00A60F14"/>
    <w:rsid w:val="00A610DE"/>
    <w:rsid w:val="00A61575"/>
    <w:rsid w:val="00A62244"/>
    <w:rsid w:val="00A62A2B"/>
    <w:rsid w:val="00A62FBA"/>
    <w:rsid w:val="00A631D7"/>
    <w:rsid w:val="00A634E5"/>
    <w:rsid w:val="00A637FC"/>
    <w:rsid w:val="00A63965"/>
    <w:rsid w:val="00A64104"/>
    <w:rsid w:val="00A64589"/>
    <w:rsid w:val="00A64A38"/>
    <w:rsid w:val="00A64BFE"/>
    <w:rsid w:val="00A66258"/>
    <w:rsid w:val="00A66715"/>
    <w:rsid w:val="00A66B11"/>
    <w:rsid w:val="00A701C6"/>
    <w:rsid w:val="00A70E62"/>
    <w:rsid w:val="00A71120"/>
    <w:rsid w:val="00A71169"/>
    <w:rsid w:val="00A713AC"/>
    <w:rsid w:val="00A713F4"/>
    <w:rsid w:val="00A71A5A"/>
    <w:rsid w:val="00A71ACA"/>
    <w:rsid w:val="00A72F91"/>
    <w:rsid w:val="00A734A5"/>
    <w:rsid w:val="00A73A57"/>
    <w:rsid w:val="00A742D8"/>
    <w:rsid w:val="00A74A46"/>
    <w:rsid w:val="00A750F3"/>
    <w:rsid w:val="00A7517C"/>
    <w:rsid w:val="00A77275"/>
    <w:rsid w:val="00A774C7"/>
    <w:rsid w:val="00A77669"/>
    <w:rsid w:val="00A77DC3"/>
    <w:rsid w:val="00A80204"/>
    <w:rsid w:val="00A8061A"/>
    <w:rsid w:val="00A82E59"/>
    <w:rsid w:val="00A83347"/>
    <w:rsid w:val="00A83F6A"/>
    <w:rsid w:val="00A844A3"/>
    <w:rsid w:val="00A8459F"/>
    <w:rsid w:val="00A84FF0"/>
    <w:rsid w:val="00A85A90"/>
    <w:rsid w:val="00A85E00"/>
    <w:rsid w:val="00A874C9"/>
    <w:rsid w:val="00A87EC0"/>
    <w:rsid w:val="00A87FBA"/>
    <w:rsid w:val="00A902F6"/>
    <w:rsid w:val="00A90492"/>
    <w:rsid w:val="00A904B1"/>
    <w:rsid w:val="00A90750"/>
    <w:rsid w:val="00A90793"/>
    <w:rsid w:val="00A9081D"/>
    <w:rsid w:val="00A91383"/>
    <w:rsid w:val="00A91490"/>
    <w:rsid w:val="00A92A4C"/>
    <w:rsid w:val="00A92C8A"/>
    <w:rsid w:val="00A92CE2"/>
    <w:rsid w:val="00A92D1C"/>
    <w:rsid w:val="00A9376F"/>
    <w:rsid w:val="00A9380E"/>
    <w:rsid w:val="00A93B15"/>
    <w:rsid w:val="00A93C20"/>
    <w:rsid w:val="00A93D7F"/>
    <w:rsid w:val="00A94361"/>
    <w:rsid w:val="00A945DD"/>
    <w:rsid w:val="00A947BB"/>
    <w:rsid w:val="00A9490C"/>
    <w:rsid w:val="00A94B9E"/>
    <w:rsid w:val="00A95202"/>
    <w:rsid w:val="00A95E5A"/>
    <w:rsid w:val="00A972B9"/>
    <w:rsid w:val="00A9791E"/>
    <w:rsid w:val="00A97D62"/>
    <w:rsid w:val="00AA08C4"/>
    <w:rsid w:val="00AA0BCE"/>
    <w:rsid w:val="00AA1AC8"/>
    <w:rsid w:val="00AA1ADF"/>
    <w:rsid w:val="00AA1EE8"/>
    <w:rsid w:val="00AA31B5"/>
    <w:rsid w:val="00AA35E8"/>
    <w:rsid w:val="00AA38C5"/>
    <w:rsid w:val="00AA3927"/>
    <w:rsid w:val="00AA3F15"/>
    <w:rsid w:val="00AA4131"/>
    <w:rsid w:val="00AA4517"/>
    <w:rsid w:val="00AA4B1D"/>
    <w:rsid w:val="00AA4C49"/>
    <w:rsid w:val="00AA52E8"/>
    <w:rsid w:val="00AA58EA"/>
    <w:rsid w:val="00AA676A"/>
    <w:rsid w:val="00AA67FF"/>
    <w:rsid w:val="00AA6838"/>
    <w:rsid w:val="00AA6896"/>
    <w:rsid w:val="00AA6BF8"/>
    <w:rsid w:val="00AA6CE0"/>
    <w:rsid w:val="00AA743C"/>
    <w:rsid w:val="00AA7A66"/>
    <w:rsid w:val="00AA7B5F"/>
    <w:rsid w:val="00AB05C6"/>
    <w:rsid w:val="00AB073C"/>
    <w:rsid w:val="00AB092A"/>
    <w:rsid w:val="00AB0A9F"/>
    <w:rsid w:val="00AB0F6E"/>
    <w:rsid w:val="00AB15FF"/>
    <w:rsid w:val="00AB1784"/>
    <w:rsid w:val="00AB1DE5"/>
    <w:rsid w:val="00AB258D"/>
    <w:rsid w:val="00AB2CF0"/>
    <w:rsid w:val="00AB2E8B"/>
    <w:rsid w:val="00AB3349"/>
    <w:rsid w:val="00AB363C"/>
    <w:rsid w:val="00AB3CD5"/>
    <w:rsid w:val="00AB489E"/>
    <w:rsid w:val="00AB496F"/>
    <w:rsid w:val="00AB5121"/>
    <w:rsid w:val="00AB5CBB"/>
    <w:rsid w:val="00AB667F"/>
    <w:rsid w:val="00AB778C"/>
    <w:rsid w:val="00AB7F52"/>
    <w:rsid w:val="00AC06D5"/>
    <w:rsid w:val="00AC0792"/>
    <w:rsid w:val="00AC151B"/>
    <w:rsid w:val="00AC21D1"/>
    <w:rsid w:val="00AC228C"/>
    <w:rsid w:val="00AC2332"/>
    <w:rsid w:val="00AC3174"/>
    <w:rsid w:val="00AC3BA0"/>
    <w:rsid w:val="00AC3E23"/>
    <w:rsid w:val="00AC40F6"/>
    <w:rsid w:val="00AC41AA"/>
    <w:rsid w:val="00AC4325"/>
    <w:rsid w:val="00AC4825"/>
    <w:rsid w:val="00AC4FD7"/>
    <w:rsid w:val="00AC57EC"/>
    <w:rsid w:val="00AC5C29"/>
    <w:rsid w:val="00AC5F15"/>
    <w:rsid w:val="00AC6783"/>
    <w:rsid w:val="00AC6DAF"/>
    <w:rsid w:val="00AC750A"/>
    <w:rsid w:val="00AD098D"/>
    <w:rsid w:val="00AD0AA0"/>
    <w:rsid w:val="00AD0C19"/>
    <w:rsid w:val="00AD17E9"/>
    <w:rsid w:val="00AD24CD"/>
    <w:rsid w:val="00AD3323"/>
    <w:rsid w:val="00AD3ABB"/>
    <w:rsid w:val="00AD4D0D"/>
    <w:rsid w:val="00AD61AA"/>
    <w:rsid w:val="00AD6B03"/>
    <w:rsid w:val="00AD74EF"/>
    <w:rsid w:val="00AD7CB7"/>
    <w:rsid w:val="00AE010F"/>
    <w:rsid w:val="00AE03BF"/>
    <w:rsid w:val="00AE07C2"/>
    <w:rsid w:val="00AE09FC"/>
    <w:rsid w:val="00AE0CA8"/>
    <w:rsid w:val="00AE2E04"/>
    <w:rsid w:val="00AE3779"/>
    <w:rsid w:val="00AE415E"/>
    <w:rsid w:val="00AE4F8F"/>
    <w:rsid w:val="00AE5410"/>
    <w:rsid w:val="00AE6735"/>
    <w:rsid w:val="00AE6B60"/>
    <w:rsid w:val="00AE701C"/>
    <w:rsid w:val="00AF0024"/>
    <w:rsid w:val="00AF050A"/>
    <w:rsid w:val="00AF155B"/>
    <w:rsid w:val="00AF24A2"/>
    <w:rsid w:val="00AF258C"/>
    <w:rsid w:val="00AF28EC"/>
    <w:rsid w:val="00AF29DA"/>
    <w:rsid w:val="00AF2BDB"/>
    <w:rsid w:val="00AF3058"/>
    <w:rsid w:val="00AF37C2"/>
    <w:rsid w:val="00AF3B0B"/>
    <w:rsid w:val="00AF3D36"/>
    <w:rsid w:val="00AF4126"/>
    <w:rsid w:val="00AF43C9"/>
    <w:rsid w:val="00AF59F3"/>
    <w:rsid w:val="00AF5CD5"/>
    <w:rsid w:val="00AF5D96"/>
    <w:rsid w:val="00AF5F06"/>
    <w:rsid w:val="00AF68B6"/>
    <w:rsid w:val="00AF69F9"/>
    <w:rsid w:val="00AF72CF"/>
    <w:rsid w:val="00AF731B"/>
    <w:rsid w:val="00AF7C96"/>
    <w:rsid w:val="00B00037"/>
    <w:rsid w:val="00B00238"/>
    <w:rsid w:val="00B00691"/>
    <w:rsid w:val="00B009AE"/>
    <w:rsid w:val="00B00CAF"/>
    <w:rsid w:val="00B0116C"/>
    <w:rsid w:val="00B0162B"/>
    <w:rsid w:val="00B01D62"/>
    <w:rsid w:val="00B02720"/>
    <w:rsid w:val="00B03C5F"/>
    <w:rsid w:val="00B03DE3"/>
    <w:rsid w:val="00B03E8D"/>
    <w:rsid w:val="00B043FA"/>
    <w:rsid w:val="00B04527"/>
    <w:rsid w:val="00B0478D"/>
    <w:rsid w:val="00B04C67"/>
    <w:rsid w:val="00B04F8B"/>
    <w:rsid w:val="00B05033"/>
    <w:rsid w:val="00B053A5"/>
    <w:rsid w:val="00B058EC"/>
    <w:rsid w:val="00B05BDD"/>
    <w:rsid w:val="00B063C0"/>
    <w:rsid w:val="00B0667C"/>
    <w:rsid w:val="00B06E55"/>
    <w:rsid w:val="00B06F7E"/>
    <w:rsid w:val="00B071E9"/>
    <w:rsid w:val="00B07646"/>
    <w:rsid w:val="00B0773A"/>
    <w:rsid w:val="00B078BE"/>
    <w:rsid w:val="00B07CA1"/>
    <w:rsid w:val="00B07F51"/>
    <w:rsid w:val="00B10125"/>
    <w:rsid w:val="00B1044A"/>
    <w:rsid w:val="00B10AEA"/>
    <w:rsid w:val="00B10CC7"/>
    <w:rsid w:val="00B11171"/>
    <w:rsid w:val="00B117A3"/>
    <w:rsid w:val="00B11E63"/>
    <w:rsid w:val="00B12218"/>
    <w:rsid w:val="00B12B7E"/>
    <w:rsid w:val="00B13584"/>
    <w:rsid w:val="00B136EB"/>
    <w:rsid w:val="00B138F9"/>
    <w:rsid w:val="00B13B56"/>
    <w:rsid w:val="00B13C49"/>
    <w:rsid w:val="00B14A22"/>
    <w:rsid w:val="00B14B5A"/>
    <w:rsid w:val="00B15BCE"/>
    <w:rsid w:val="00B15DAC"/>
    <w:rsid w:val="00B15F19"/>
    <w:rsid w:val="00B16769"/>
    <w:rsid w:val="00B16E9F"/>
    <w:rsid w:val="00B17FCD"/>
    <w:rsid w:val="00B202CC"/>
    <w:rsid w:val="00B203A9"/>
    <w:rsid w:val="00B204CB"/>
    <w:rsid w:val="00B20784"/>
    <w:rsid w:val="00B207E3"/>
    <w:rsid w:val="00B21170"/>
    <w:rsid w:val="00B222DF"/>
    <w:rsid w:val="00B2266D"/>
    <w:rsid w:val="00B22B69"/>
    <w:rsid w:val="00B23B6E"/>
    <w:rsid w:val="00B25AE4"/>
    <w:rsid w:val="00B26BB4"/>
    <w:rsid w:val="00B302E2"/>
    <w:rsid w:val="00B307AB"/>
    <w:rsid w:val="00B30E4F"/>
    <w:rsid w:val="00B316D0"/>
    <w:rsid w:val="00B321B4"/>
    <w:rsid w:val="00B324DB"/>
    <w:rsid w:val="00B32ABC"/>
    <w:rsid w:val="00B333C5"/>
    <w:rsid w:val="00B339E0"/>
    <w:rsid w:val="00B3404F"/>
    <w:rsid w:val="00B348DF"/>
    <w:rsid w:val="00B34AD3"/>
    <w:rsid w:val="00B34B90"/>
    <w:rsid w:val="00B34E27"/>
    <w:rsid w:val="00B34F35"/>
    <w:rsid w:val="00B351F3"/>
    <w:rsid w:val="00B36237"/>
    <w:rsid w:val="00B36368"/>
    <w:rsid w:val="00B36580"/>
    <w:rsid w:val="00B366AA"/>
    <w:rsid w:val="00B36A06"/>
    <w:rsid w:val="00B37825"/>
    <w:rsid w:val="00B378B1"/>
    <w:rsid w:val="00B37FAD"/>
    <w:rsid w:val="00B400F6"/>
    <w:rsid w:val="00B402D1"/>
    <w:rsid w:val="00B40355"/>
    <w:rsid w:val="00B4052B"/>
    <w:rsid w:val="00B40551"/>
    <w:rsid w:val="00B40E37"/>
    <w:rsid w:val="00B41134"/>
    <w:rsid w:val="00B431D2"/>
    <w:rsid w:val="00B439E2"/>
    <w:rsid w:val="00B4404E"/>
    <w:rsid w:val="00B45089"/>
    <w:rsid w:val="00B45109"/>
    <w:rsid w:val="00B455CF"/>
    <w:rsid w:val="00B45CE7"/>
    <w:rsid w:val="00B45DBB"/>
    <w:rsid w:val="00B46CB9"/>
    <w:rsid w:val="00B46F32"/>
    <w:rsid w:val="00B47617"/>
    <w:rsid w:val="00B5022A"/>
    <w:rsid w:val="00B50545"/>
    <w:rsid w:val="00B5069A"/>
    <w:rsid w:val="00B50B5E"/>
    <w:rsid w:val="00B51432"/>
    <w:rsid w:val="00B5223A"/>
    <w:rsid w:val="00B52782"/>
    <w:rsid w:val="00B52A3D"/>
    <w:rsid w:val="00B52AD4"/>
    <w:rsid w:val="00B53D48"/>
    <w:rsid w:val="00B54E23"/>
    <w:rsid w:val="00B55878"/>
    <w:rsid w:val="00B55E0A"/>
    <w:rsid w:val="00B56A8B"/>
    <w:rsid w:val="00B57D7B"/>
    <w:rsid w:val="00B60A8D"/>
    <w:rsid w:val="00B60E93"/>
    <w:rsid w:val="00B61056"/>
    <w:rsid w:val="00B627BB"/>
    <w:rsid w:val="00B630CA"/>
    <w:rsid w:val="00B6322A"/>
    <w:rsid w:val="00B64E0B"/>
    <w:rsid w:val="00B65875"/>
    <w:rsid w:val="00B658D9"/>
    <w:rsid w:val="00B65FD5"/>
    <w:rsid w:val="00B660C2"/>
    <w:rsid w:val="00B6611B"/>
    <w:rsid w:val="00B663FF"/>
    <w:rsid w:val="00B6665E"/>
    <w:rsid w:val="00B66EC7"/>
    <w:rsid w:val="00B67E94"/>
    <w:rsid w:val="00B67EFC"/>
    <w:rsid w:val="00B67FE4"/>
    <w:rsid w:val="00B7028A"/>
    <w:rsid w:val="00B70661"/>
    <w:rsid w:val="00B71E82"/>
    <w:rsid w:val="00B72F17"/>
    <w:rsid w:val="00B731A2"/>
    <w:rsid w:val="00B731BE"/>
    <w:rsid w:val="00B73367"/>
    <w:rsid w:val="00B73480"/>
    <w:rsid w:val="00B73484"/>
    <w:rsid w:val="00B740C8"/>
    <w:rsid w:val="00B746D3"/>
    <w:rsid w:val="00B74E80"/>
    <w:rsid w:val="00B757E4"/>
    <w:rsid w:val="00B7632E"/>
    <w:rsid w:val="00B767F5"/>
    <w:rsid w:val="00B77548"/>
    <w:rsid w:val="00B775D6"/>
    <w:rsid w:val="00B809C4"/>
    <w:rsid w:val="00B8271E"/>
    <w:rsid w:val="00B82802"/>
    <w:rsid w:val="00B83245"/>
    <w:rsid w:val="00B833E1"/>
    <w:rsid w:val="00B8353C"/>
    <w:rsid w:val="00B83604"/>
    <w:rsid w:val="00B83A3E"/>
    <w:rsid w:val="00B83F73"/>
    <w:rsid w:val="00B8494D"/>
    <w:rsid w:val="00B858FD"/>
    <w:rsid w:val="00B86545"/>
    <w:rsid w:val="00B867E7"/>
    <w:rsid w:val="00B86DAB"/>
    <w:rsid w:val="00B872E5"/>
    <w:rsid w:val="00B87F2C"/>
    <w:rsid w:val="00B90C8A"/>
    <w:rsid w:val="00B91604"/>
    <w:rsid w:val="00B91738"/>
    <w:rsid w:val="00B9174A"/>
    <w:rsid w:val="00B9207B"/>
    <w:rsid w:val="00B92BF5"/>
    <w:rsid w:val="00B9302B"/>
    <w:rsid w:val="00B93196"/>
    <w:rsid w:val="00B9384F"/>
    <w:rsid w:val="00B93E94"/>
    <w:rsid w:val="00B95ADA"/>
    <w:rsid w:val="00B95C52"/>
    <w:rsid w:val="00B9627C"/>
    <w:rsid w:val="00B9629C"/>
    <w:rsid w:val="00B96ECC"/>
    <w:rsid w:val="00BA0093"/>
    <w:rsid w:val="00BA0132"/>
    <w:rsid w:val="00BA0745"/>
    <w:rsid w:val="00BA0998"/>
    <w:rsid w:val="00BA0B38"/>
    <w:rsid w:val="00BA10D4"/>
    <w:rsid w:val="00BA1A9E"/>
    <w:rsid w:val="00BA3E26"/>
    <w:rsid w:val="00BA4AEF"/>
    <w:rsid w:val="00BA4CC6"/>
    <w:rsid w:val="00BA54A3"/>
    <w:rsid w:val="00BA5EEC"/>
    <w:rsid w:val="00BA6235"/>
    <w:rsid w:val="00BA652D"/>
    <w:rsid w:val="00BB0266"/>
    <w:rsid w:val="00BB0315"/>
    <w:rsid w:val="00BB078E"/>
    <w:rsid w:val="00BB1FFF"/>
    <w:rsid w:val="00BB2AEA"/>
    <w:rsid w:val="00BB3105"/>
    <w:rsid w:val="00BB3847"/>
    <w:rsid w:val="00BB4232"/>
    <w:rsid w:val="00BB42CF"/>
    <w:rsid w:val="00BB4973"/>
    <w:rsid w:val="00BB4B50"/>
    <w:rsid w:val="00BB5DB2"/>
    <w:rsid w:val="00BB6BD3"/>
    <w:rsid w:val="00BB730F"/>
    <w:rsid w:val="00BB731C"/>
    <w:rsid w:val="00BB75A2"/>
    <w:rsid w:val="00BC0A22"/>
    <w:rsid w:val="00BC0CB7"/>
    <w:rsid w:val="00BC0D2F"/>
    <w:rsid w:val="00BC13EC"/>
    <w:rsid w:val="00BC17E0"/>
    <w:rsid w:val="00BC200C"/>
    <w:rsid w:val="00BC20D2"/>
    <w:rsid w:val="00BC32B6"/>
    <w:rsid w:val="00BC34A6"/>
    <w:rsid w:val="00BC3AC1"/>
    <w:rsid w:val="00BC3CE0"/>
    <w:rsid w:val="00BC4BFF"/>
    <w:rsid w:val="00BC5D20"/>
    <w:rsid w:val="00BC68F8"/>
    <w:rsid w:val="00BC6B3E"/>
    <w:rsid w:val="00BC6BBD"/>
    <w:rsid w:val="00BD0774"/>
    <w:rsid w:val="00BD083B"/>
    <w:rsid w:val="00BD0B0A"/>
    <w:rsid w:val="00BD0B9F"/>
    <w:rsid w:val="00BD12B9"/>
    <w:rsid w:val="00BD19E5"/>
    <w:rsid w:val="00BD1ADA"/>
    <w:rsid w:val="00BD1E52"/>
    <w:rsid w:val="00BD2252"/>
    <w:rsid w:val="00BD2ADA"/>
    <w:rsid w:val="00BD31BF"/>
    <w:rsid w:val="00BD37C8"/>
    <w:rsid w:val="00BD4379"/>
    <w:rsid w:val="00BD64BD"/>
    <w:rsid w:val="00BD65B1"/>
    <w:rsid w:val="00BD68B5"/>
    <w:rsid w:val="00BD6BF4"/>
    <w:rsid w:val="00BD7141"/>
    <w:rsid w:val="00BE0005"/>
    <w:rsid w:val="00BE04D6"/>
    <w:rsid w:val="00BE06A6"/>
    <w:rsid w:val="00BE0887"/>
    <w:rsid w:val="00BE0F4F"/>
    <w:rsid w:val="00BE17E9"/>
    <w:rsid w:val="00BE192A"/>
    <w:rsid w:val="00BE1D81"/>
    <w:rsid w:val="00BE2202"/>
    <w:rsid w:val="00BE2536"/>
    <w:rsid w:val="00BE3676"/>
    <w:rsid w:val="00BE392D"/>
    <w:rsid w:val="00BE3E4D"/>
    <w:rsid w:val="00BE400E"/>
    <w:rsid w:val="00BE4478"/>
    <w:rsid w:val="00BE4560"/>
    <w:rsid w:val="00BE4B95"/>
    <w:rsid w:val="00BE4FA4"/>
    <w:rsid w:val="00BE5A26"/>
    <w:rsid w:val="00BE65D2"/>
    <w:rsid w:val="00BE67E4"/>
    <w:rsid w:val="00BE6905"/>
    <w:rsid w:val="00BE739B"/>
    <w:rsid w:val="00BE7F7D"/>
    <w:rsid w:val="00BF0C84"/>
    <w:rsid w:val="00BF1D5B"/>
    <w:rsid w:val="00BF1E7A"/>
    <w:rsid w:val="00BF1F43"/>
    <w:rsid w:val="00BF2037"/>
    <w:rsid w:val="00BF25C3"/>
    <w:rsid w:val="00BF2ED4"/>
    <w:rsid w:val="00BF300D"/>
    <w:rsid w:val="00BF3B34"/>
    <w:rsid w:val="00BF4B7C"/>
    <w:rsid w:val="00BF4D9D"/>
    <w:rsid w:val="00BF4E6E"/>
    <w:rsid w:val="00BF5DDA"/>
    <w:rsid w:val="00BF5E65"/>
    <w:rsid w:val="00BF5EAA"/>
    <w:rsid w:val="00BF686B"/>
    <w:rsid w:val="00BF691A"/>
    <w:rsid w:val="00BF6BE3"/>
    <w:rsid w:val="00BF789E"/>
    <w:rsid w:val="00BF79A7"/>
    <w:rsid w:val="00BF7B9B"/>
    <w:rsid w:val="00BF7F9E"/>
    <w:rsid w:val="00BF7FC7"/>
    <w:rsid w:val="00C00651"/>
    <w:rsid w:val="00C007DB"/>
    <w:rsid w:val="00C00884"/>
    <w:rsid w:val="00C01E07"/>
    <w:rsid w:val="00C02347"/>
    <w:rsid w:val="00C02A61"/>
    <w:rsid w:val="00C03157"/>
    <w:rsid w:val="00C03675"/>
    <w:rsid w:val="00C03749"/>
    <w:rsid w:val="00C04669"/>
    <w:rsid w:val="00C04CF8"/>
    <w:rsid w:val="00C05C6A"/>
    <w:rsid w:val="00C06185"/>
    <w:rsid w:val="00C062E8"/>
    <w:rsid w:val="00C1060F"/>
    <w:rsid w:val="00C1066E"/>
    <w:rsid w:val="00C115A9"/>
    <w:rsid w:val="00C12362"/>
    <w:rsid w:val="00C12920"/>
    <w:rsid w:val="00C13B42"/>
    <w:rsid w:val="00C14441"/>
    <w:rsid w:val="00C1494A"/>
    <w:rsid w:val="00C14A07"/>
    <w:rsid w:val="00C14A51"/>
    <w:rsid w:val="00C1505C"/>
    <w:rsid w:val="00C164D1"/>
    <w:rsid w:val="00C16A1F"/>
    <w:rsid w:val="00C174FD"/>
    <w:rsid w:val="00C17CEE"/>
    <w:rsid w:val="00C20941"/>
    <w:rsid w:val="00C219BD"/>
    <w:rsid w:val="00C2216F"/>
    <w:rsid w:val="00C223FD"/>
    <w:rsid w:val="00C22CF6"/>
    <w:rsid w:val="00C22D61"/>
    <w:rsid w:val="00C235B2"/>
    <w:rsid w:val="00C23777"/>
    <w:rsid w:val="00C23AD0"/>
    <w:rsid w:val="00C23FA9"/>
    <w:rsid w:val="00C243BE"/>
    <w:rsid w:val="00C24885"/>
    <w:rsid w:val="00C25A7D"/>
    <w:rsid w:val="00C25ECB"/>
    <w:rsid w:val="00C26776"/>
    <w:rsid w:val="00C26BF6"/>
    <w:rsid w:val="00C2768F"/>
    <w:rsid w:val="00C27729"/>
    <w:rsid w:val="00C27774"/>
    <w:rsid w:val="00C278B2"/>
    <w:rsid w:val="00C31B13"/>
    <w:rsid w:val="00C320C0"/>
    <w:rsid w:val="00C322E4"/>
    <w:rsid w:val="00C325A8"/>
    <w:rsid w:val="00C34632"/>
    <w:rsid w:val="00C3487C"/>
    <w:rsid w:val="00C35CAA"/>
    <w:rsid w:val="00C374E1"/>
    <w:rsid w:val="00C37662"/>
    <w:rsid w:val="00C37682"/>
    <w:rsid w:val="00C37928"/>
    <w:rsid w:val="00C41563"/>
    <w:rsid w:val="00C41D33"/>
    <w:rsid w:val="00C41F1E"/>
    <w:rsid w:val="00C42A8F"/>
    <w:rsid w:val="00C42ACA"/>
    <w:rsid w:val="00C42AE8"/>
    <w:rsid w:val="00C42B00"/>
    <w:rsid w:val="00C43074"/>
    <w:rsid w:val="00C433EF"/>
    <w:rsid w:val="00C43480"/>
    <w:rsid w:val="00C43FAE"/>
    <w:rsid w:val="00C44905"/>
    <w:rsid w:val="00C44ECE"/>
    <w:rsid w:val="00C44F08"/>
    <w:rsid w:val="00C457C3"/>
    <w:rsid w:val="00C4585E"/>
    <w:rsid w:val="00C460FA"/>
    <w:rsid w:val="00C4615E"/>
    <w:rsid w:val="00C46DCA"/>
    <w:rsid w:val="00C4708C"/>
    <w:rsid w:val="00C4790D"/>
    <w:rsid w:val="00C47FD5"/>
    <w:rsid w:val="00C50606"/>
    <w:rsid w:val="00C50843"/>
    <w:rsid w:val="00C50B41"/>
    <w:rsid w:val="00C50BAA"/>
    <w:rsid w:val="00C50EFC"/>
    <w:rsid w:val="00C51651"/>
    <w:rsid w:val="00C51D2C"/>
    <w:rsid w:val="00C52AAB"/>
    <w:rsid w:val="00C52CB7"/>
    <w:rsid w:val="00C52CE0"/>
    <w:rsid w:val="00C52D1A"/>
    <w:rsid w:val="00C532C8"/>
    <w:rsid w:val="00C537BD"/>
    <w:rsid w:val="00C53851"/>
    <w:rsid w:val="00C53A54"/>
    <w:rsid w:val="00C53EC7"/>
    <w:rsid w:val="00C53EE5"/>
    <w:rsid w:val="00C54A8C"/>
    <w:rsid w:val="00C54DBC"/>
    <w:rsid w:val="00C5512E"/>
    <w:rsid w:val="00C55338"/>
    <w:rsid w:val="00C55501"/>
    <w:rsid w:val="00C56438"/>
    <w:rsid w:val="00C57876"/>
    <w:rsid w:val="00C57AA4"/>
    <w:rsid w:val="00C57B27"/>
    <w:rsid w:val="00C60190"/>
    <w:rsid w:val="00C60A57"/>
    <w:rsid w:val="00C60F4F"/>
    <w:rsid w:val="00C6295C"/>
    <w:rsid w:val="00C62E05"/>
    <w:rsid w:val="00C632DC"/>
    <w:rsid w:val="00C65615"/>
    <w:rsid w:val="00C65878"/>
    <w:rsid w:val="00C667B8"/>
    <w:rsid w:val="00C66F32"/>
    <w:rsid w:val="00C674C9"/>
    <w:rsid w:val="00C67948"/>
    <w:rsid w:val="00C67A42"/>
    <w:rsid w:val="00C67AEE"/>
    <w:rsid w:val="00C70706"/>
    <w:rsid w:val="00C70C4D"/>
    <w:rsid w:val="00C70C50"/>
    <w:rsid w:val="00C71431"/>
    <w:rsid w:val="00C71748"/>
    <w:rsid w:val="00C71D86"/>
    <w:rsid w:val="00C71F4E"/>
    <w:rsid w:val="00C722BB"/>
    <w:rsid w:val="00C73927"/>
    <w:rsid w:val="00C7431F"/>
    <w:rsid w:val="00C75DE1"/>
    <w:rsid w:val="00C76E32"/>
    <w:rsid w:val="00C77834"/>
    <w:rsid w:val="00C779B9"/>
    <w:rsid w:val="00C779D2"/>
    <w:rsid w:val="00C77D8C"/>
    <w:rsid w:val="00C80780"/>
    <w:rsid w:val="00C808FB"/>
    <w:rsid w:val="00C8183B"/>
    <w:rsid w:val="00C81AF2"/>
    <w:rsid w:val="00C81F30"/>
    <w:rsid w:val="00C83736"/>
    <w:rsid w:val="00C843AD"/>
    <w:rsid w:val="00C84C20"/>
    <w:rsid w:val="00C84D8F"/>
    <w:rsid w:val="00C859D7"/>
    <w:rsid w:val="00C85DA9"/>
    <w:rsid w:val="00C8683A"/>
    <w:rsid w:val="00C868EC"/>
    <w:rsid w:val="00C86F85"/>
    <w:rsid w:val="00C874F6"/>
    <w:rsid w:val="00C878D4"/>
    <w:rsid w:val="00C87C25"/>
    <w:rsid w:val="00C905C0"/>
    <w:rsid w:val="00C90814"/>
    <w:rsid w:val="00C90BFA"/>
    <w:rsid w:val="00C924BA"/>
    <w:rsid w:val="00C934BE"/>
    <w:rsid w:val="00C9358A"/>
    <w:rsid w:val="00C93607"/>
    <w:rsid w:val="00C936CA"/>
    <w:rsid w:val="00C93F04"/>
    <w:rsid w:val="00C946EC"/>
    <w:rsid w:val="00C9482C"/>
    <w:rsid w:val="00C94C62"/>
    <w:rsid w:val="00C94DF4"/>
    <w:rsid w:val="00C9508C"/>
    <w:rsid w:val="00C95B61"/>
    <w:rsid w:val="00C96551"/>
    <w:rsid w:val="00C97F79"/>
    <w:rsid w:val="00CA06CE"/>
    <w:rsid w:val="00CA07E7"/>
    <w:rsid w:val="00CA0F07"/>
    <w:rsid w:val="00CA187D"/>
    <w:rsid w:val="00CA20C2"/>
    <w:rsid w:val="00CA23B2"/>
    <w:rsid w:val="00CA266B"/>
    <w:rsid w:val="00CA29F4"/>
    <w:rsid w:val="00CA2A5B"/>
    <w:rsid w:val="00CA2A6B"/>
    <w:rsid w:val="00CA2C6E"/>
    <w:rsid w:val="00CA436C"/>
    <w:rsid w:val="00CA469F"/>
    <w:rsid w:val="00CA5855"/>
    <w:rsid w:val="00CA5C78"/>
    <w:rsid w:val="00CA61F1"/>
    <w:rsid w:val="00CA62E6"/>
    <w:rsid w:val="00CA632B"/>
    <w:rsid w:val="00CA68B0"/>
    <w:rsid w:val="00CA69BC"/>
    <w:rsid w:val="00CA6CA0"/>
    <w:rsid w:val="00CA7FA7"/>
    <w:rsid w:val="00CB02B0"/>
    <w:rsid w:val="00CB034E"/>
    <w:rsid w:val="00CB0CEF"/>
    <w:rsid w:val="00CB24AC"/>
    <w:rsid w:val="00CB2A4A"/>
    <w:rsid w:val="00CB333D"/>
    <w:rsid w:val="00CB3772"/>
    <w:rsid w:val="00CB3E2A"/>
    <w:rsid w:val="00CB4064"/>
    <w:rsid w:val="00CB43E4"/>
    <w:rsid w:val="00CB45D8"/>
    <w:rsid w:val="00CB45FB"/>
    <w:rsid w:val="00CB5656"/>
    <w:rsid w:val="00CB61C9"/>
    <w:rsid w:val="00CB6269"/>
    <w:rsid w:val="00CB69D5"/>
    <w:rsid w:val="00CB6AA7"/>
    <w:rsid w:val="00CB70B8"/>
    <w:rsid w:val="00CB739D"/>
    <w:rsid w:val="00CB7F4E"/>
    <w:rsid w:val="00CC0561"/>
    <w:rsid w:val="00CC1259"/>
    <w:rsid w:val="00CC17F8"/>
    <w:rsid w:val="00CC1845"/>
    <w:rsid w:val="00CC194E"/>
    <w:rsid w:val="00CC1F0D"/>
    <w:rsid w:val="00CC2403"/>
    <w:rsid w:val="00CC2808"/>
    <w:rsid w:val="00CC3066"/>
    <w:rsid w:val="00CC316F"/>
    <w:rsid w:val="00CC3EDD"/>
    <w:rsid w:val="00CC417F"/>
    <w:rsid w:val="00CC4655"/>
    <w:rsid w:val="00CC51FA"/>
    <w:rsid w:val="00CC528E"/>
    <w:rsid w:val="00CC5C6A"/>
    <w:rsid w:val="00CC69C4"/>
    <w:rsid w:val="00CC6D43"/>
    <w:rsid w:val="00CC7954"/>
    <w:rsid w:val="00CC7A67"/>
    <w:rsid w:val="00CD018B"/>
    <w:rsid w:val="00CD0279"/>
    <w:rsid w:val="00CD10E7"/>
    <w:rsid w:val="00CD1FF3"/>
    <w:rsid w:val="00CD20CE"/>
    <w:rsid w:val="00CD222D"/>
    <w:rsid w:val="00CD2CBA"/>
    <w:rsid w:val="00CD3478"/>
    <w:rsid w:val="00CD3CBB"/>
    <w:rsid w:val="00CD4109"/>
    <w:rsid w:val="00CD4193"/>
    <w:rsid w:val="00CD47B3"/>
    <w:rsid w:val="00CD4A7F"/>
    <w:rsid w:val="00CD4CC2"/>
    <w:rsid w:val="00CD565A"/>
    <w:rsid w:val="00CD5669"/>
    <w:rsid w:val="00CD592E"/>
    <w:rsid w:val="00CD5A3D"/>
    <w:rsid w:val="00CD5E80"/>
    <w:rsid w:val="00CD6438"/>
    <w:rsid w:val="00CD649C"/>
    <w:rsid w:val="00CD68AC"/>
    <w:rsid w:val="00CD6E71"/>
    <w:rsid w:val="00CD6EBB"/>
    <w:rsid w:val="00CD7116"/>
    <w:rsid w:val="00CD7386"/>
    <w:rsid w:val="00CD7948"/>
    <w:rsid w:val="00CE0093"/>
    <w:rsid w:val="00CE0AC1"/>
    <w:rsid w:val="00CE0EFF"/>
    <w:rsid w:val="00CE1955"/>
    <w:rsid w:val="00CE1F1C"/>
    <w:rsid w:val="00CE307C"/>
    <w:rsid w:val="00CE321A"/>
    <w:rsid w:val="00CE3362"/>
    <w:rsid w:val="00CE3755"/>
    <w:rsid w:val="00CE3EEB"/>
    <w:rsid w:val="00CE44AF"/>
    <w:rsid w:val="00CE4F93"/>
    <w:rsid w:val="00CE5036"/>
    <w:rsid w:val="00CE527A"/>
    <w:rsid w:val="00CE53EE"/>
    <w:rsid w:val="00CE745E"/>
    <w:rsid w:val="00CF013D"/>
    <w:rsid w:val="00CF019E"/>
    <w:rsid w:val="00CF02EB"/>
    <w:rsid w:val="00CF04F7"/>
    <w:rsid w:val="00CF0CAC"/>
    <w:rsid w:val="00CF162D"/>
    <w:rsid w:val="00CF1737"/>
    <w:rsid w:val="00CF219D"/>
    <w:rsid w:val="00CF21C1"/>
    <w:rsid w:val="00CF230F"/>
    <w:rsid w:val="00CF24A3"/>
    <w:rsid w:val="00CF367C"/>
    <w:rsid w:val="00CF39BE"/>
    <w:rsid w:val="00CF3DF1"/>
    <w:rsid w:val="00CF3FF7"/>
    <w:rsid w:val="00CF424E"/>
    <w:rsid w:val="00CF4709"/>
    <w:rsid w:val="00CF561A"/>
    <w:rsid w:val="00CF564F"/>
    <w:rsid w:val="00CF6685"/>
    <w:rsid w:val="00CF68AB"/>
    <w:rsid w:val="00CF6DD7"/>
    <w:rsid w:val="00CF78C7"/>
    <w:rsid w:val="00D00188"/>
    <w:rsid w:val="00D0038A"/>
    <w:rsid w:val="00D006E9"/>
    <w:rsid w:val="00D00C79"/>
    <w:rsid w:val="00D01938"/>
    <w:rsid w:val="00D01CD9"/>
    <w:rsid w:val="00D024C1"/>
    <w:rsid w:val="00D02B80"/>
    <w:rsid w:val="00D034C3"/>
    <w:rsid w:val="00D041AD"/>
    <w:rsid w:val="00D0423E"/>
    <w:rsid w:val="00D04BF1"/>
    <w:rsid w:val="00D04F34"/>
    <w:rsid w:val="00D050DE"/>
    <w:rsid w:val="00D05DD6"/>
    <w:rsid w:val="00D10207"/>
    <w:rsid w:val="00D1041D"/>
    <w:rsid w:val="00D10767"/>
    <w:rsid w:val="00D10893"/>
    <w:rsid w:val="00D10A9F"/>
    <w:rsid w:val="00D11275"/>
    <w:rsid w:val="00D11B1D"/>
    <w:rsid w:val="00D11D8F"/>
    <w:rsid w:val="00D11D92"/>
    <w:rsid w:val="00D12241"/>
    <w:rsid w:val="00D12B03"/>
    <w:rsid w:val="00D13DD5"/>
    <w:rsid w:val="00D1416A"/>
    <w:rsid w:val="00D1513F"/>
    <w:rsid w:val="00D1581C"/>
    <w:rsid w:val="00D1589E"/>
    <w:rsid w:val="00D160C1"/>
    <w:rsid w:val="00D16298"/>
    <w:rsid w:val="00D17C61"/>
    <w:rsid w:val="00D21165"/>
    <w:rsid w:val="00D21445"/>
    <w:rsid w:val="00D21848"/>
    <w:rsid w:val="00D2226B"/>
    <w:rsid w:val="00D231C4"/>
    <w:rsid w:val="00D23DFD"/>
    <w:rsid w:val="00D24511"/>
    <w:rsid w:val="00D25069"/>
    <w:rsid w:val="00D25497"/>
    <w:rsid w:val="00D25E98"/>
    <w:rsid w:val="00D264C0"/>
    <w:rsid w:val="00D26801"/>
    <w:rsid w:val="00D26D63"/>
    <w:rsid w:val="00D2724F"/>
    <w:rsid w:val="00D3170C"/>
    <w:rsid w:val="00D31AE1"/>
    <w:rsid w:val="00D3204E"/>
    <w:rsid w:val="00D33872"/>
    <w:rsid w:val="00D345A3"/>
    <w:rsid w:val="00D34668"/>
    <w:rsid w:val="00D34745"/>
    <w:rsid w:val="00D350D8"/>
    <w:rsid w:val="00D35EE0"/>
    <w:rsid w:val="00D36C14"/>
    <w:rsid w:val="00D40961"/>
    <w:rsid w:val="00D411EA"/>
    <w:rsid w:val="00D41C9E"/>
    <w:rsid w:val="00D41F68"/>
    <w:rsid w:val="00D42210"/>
    <w:rsid w:val="00D4386B"/>
    <w:rsid w:val="00D44112"/>
    <w:rsid w:val="00D44F04"/>
    <w:rsid w:val="00D45069"/>
    <w:rsid w:val="00D45BB1"/>
    <w:rsid w:val="00D4633A"/>
    <w:rsid w:val="00D4635F"/>
    <w:rsid w:val="00D46C2C"/>
    <w:rsid w:val="00D47F53"/>
    <w:rsid w:val="00D47F62"/>
    <w:rsid w:val="00D504E2"/>
    <w:rsid w:val="00D506D1"/>
    <w:rsid w:val="00D511A7"/>
    <w:rsid w:val="00D5129A"/>
    <w:rsid w:val="00D5145A"/>
    <w:rsid w:val="00D51867"/>
    <w:rsid w:val="00D5209C"/>
    <w:rsid w:val="00D520C4"/>
    <w:rsid w:val="00D52CE8"/>
    <w:rsid w:val="00D53679"/>
    <w:rsid w:val="00D5373E"/>
    <w:rsid w:val="00D53B98"/>
    <w:rsid w:val="00D53F96"/>
    <w:rsid w:val="00D54B0B"/>
    <w:rsid w:val="00D55C79"/>
    <w:rsid w:val="00D56ECA"/>
    <w:rsid w:val="00D5744F"/>
    <w:rsid w:val="00D57574"/>
    <w:rsid w:val="00D57A4C"/>
    <w:rsid w:val="00D60075"/>
    <w:rsid w:val="00D609C4"/>
    <w:rsid w:val="00D609CA"/>
    <w:rsid w:val="00D61F02"/>
    <w:rsid w:val="00D62559"/>
    <w:rsid w:val="00D62C6C"/>
    <w:rsid w:val="00D63C31"/>
    <w:rsid w:val="00D64083"/>
    <w:rsid w:val="00D64643"/>
    <w:rsid w:val="00D65348"/>
    <w:rsid w:val="00D654C5"/>
    <w:rsid w:val="00D65B07"/>
    <w:rsid w:val="00D6685C"/>
    <w:rsid w:val="00D66C09"/>
    <w:rsid w:val="00D67004"/>
    <w:rsid w:val="00D679EC"/>
    <w:rsid w:val="00D67CFC"/>
    <w:rsid w:val="00D701EF"/>
    <w:rsid w:val="00D70702"/>
    <w:rsid w:val="00D70A5C"/>
    <w:rsid w:val="00D72109"/>
    <w:rsid w:val="00D7213F"/>
    <w:rsid w:val="00D7227D"/>
    <w:rsid w:val="00D726D7"/>
    <w:rsid w:val="00D7274A"/>
    <w:rsid w:val="00D729CD"/>
    <w:rsid w:val="00D72BAA"/>
    <w:rsid w:val="00D73DBF"/>
    <w:rsid w:val="00D7445D"/>
    <w:rsid w:val="00D74B85"/>
    <w:rsid w:val="00D75186"/>
    <w:rsid w:val="00D753CA"/>
    <w:rsid w:val="00D756E9"/>
    <w:rsid w:val="00D75B6F"/>
    <w:rsid w:val="00D76359"/>
    <w:rsid w:val="00D76C8D"/>
    <w:rsid w:val="00D77D6A"/>
    <w:rsid w:val="00D80529"/>
    <w:rsid w:val="00D8246E"/>
    <w:rsid w:val="00D844EA"/>
    <w:rsid w:val="00D849FA"/>
    <w:rsid w:val="00D8517C"/>
    <w:rsid w:val="00D87A26"/>
    <w:rsid w:val="00D87CAC"/>
    <w:rsid w:val="00D90628"/>
    <w:rsid w:val="00D90B88"/>
    <w:rsid w:val="00D90C96"/>
    <w:rsid w:val="00D90CCE"/>
    <w:rsid w:val="00D91347"/>
    <w:rsid w:val="00D9162D"/>
    <w:rsid w:val="00D916C5"/>
    <w:rsid w:val="00D92437"/>
    <w:rsid w:val="00D9262C"/>
    <w:rsid w:val="00D92DDF"/>
    <w:rsid w:val="00D92E91"/>
    <w:rsid w:val="00D92EA0"/>
    <w:rsid w:val="00D9329D"/>
    <w:rsid w:val="00D93939"/>
    <w:rsid w:val="00D944DA"/>
    <w:rsid w:val="00D94749"/>
    <w:rsid w:val="00D95085"/>
    <w:rsid w:val="00D953C4"/>
    <w:rsid w:val="00D9593C"/>
    <w:rsid w:val="00D95AF4"/>
    <w:rsid w:val="00D96060"/>
    <w:rsid w:val="00D962F0"/>
    <w:rsid w:val="00D96D2E"/>
    <w:rsid w:val="00D96DA0"/>
    <w:rsid w:val="00D96E0D"/>
    <w:rsid w:val="00D96F10"/>
    <w:rsid w:val="00DA02AC"/>
    <w:rsid w:val="00DA0C28"/>
    <w:rsid w:val="00DA0E4F"/>
    <w:rsid w:val="00DA103B"/>
    <w:rsid w:val="00DA12BF"/>
    <w:rsid w:val="00DA14D1"/>
    <w:rsid w:val="00DA19DB"/>
    <w:rsid w:val="00DA1CB1"/>
    <w:rsid w:val="00DA388E"/>
    <w:rsid w:val="00DA4115"/>
    <w:rsid w:val="00DA4E9C"/>
    <w:rsid w:val="00DA5DC9"/>
    <w:rsid w:val="00DA5DE4"/>
    <w:rsid w:val="00DA5F77"/>
    <w:rsid w:val="00DA5F88"/>
    <w:rsid w:val="00DA703C"/>
    <w:rsid w:val="00DA728C"/>
    <w:rsid w:val="00DA79F4"/>
    <w:rsid w:val="00DA7A40"/>
    <w:rsid w:val="00DB0B31"/>
    <w:rsid w:val="00DB0B9A"/>
    <w:rsid w:val="00DB13A7"/>
    <w:rsid w:val="00DB196C"/>
    <w:rsid w:val="00DB28D5"/>
    <w:rsid w:val="00DB28EE"/>
    <w:rsid w:val="00DB3537"/>
    <w:rsid w:val="00DB3AE4"/>
    <w:rsid w:val="00DB4C3F"/>
    <w:rsid w:val="00DB4EAA"/>
    <w:rsid w:val="00DB4FA7"/>
    <w:rsid w:val="00DB5F9C"/>
    <w:rsid w:val="00DB6C3C"/>
    <w:rsid w:val="00DB6DDF"/>
    <w:rsid w:val="00DB76A9"/>
    <w:rsid w:val="00DB7976"/>
    <w:rsid w:val="00DB7D46"/>
    <w:rsid w:val="00DB7F53"/>
    <w:rsid w:val="00DC0754"/>
    <w:rsid w:val="00DC0DA3"/>
    <w:rsid w:val="00DC0F92"/>
    <w:rsid w:val="00DC145F"/>
    <w:rsid w:val="00DC1627"/>
    <w:rsid w:val="00DC1971"/>
    <w:rsid w:val="00DC2196"/>
    <w:rsid w:val="00DC22C8"/>
    <w:rsid w:val="00DC298D"/>
    <w:rsid w:val="00DC34C8"/>
    <w:rsid w:val="00DC3583"/>
    <w:rsid w:val="00DC50C4"/>
    <w:rsid w:val="00DC50D5"/>
    <w:rsid w:val="00DC60C4"/>
    <w:rsid w:val="00DC62FD"/>
    <w:rsid w:val="00DC6AA1"/>
    <w:rsid w:val="00DC6AB7"/>
    <w:rsid w:val="00DC6D9A"/>
    <w:rsid w:val="00DC70AE"/>
    <w:rsid w:val="00DD1379"/>
    <w:rsid w:val="00DD16D5"/>
    <w:rsid w:val="00DD21C8"/>
    <w:rsid w:val="00DD23DC"/>
    <w:rsid w:val="00DD2C39"/>
    <w:rsid w:val="00DD3233"/>
    <w:rsid w:val="00DD362B"/>
    <w:rsid w:val="00DD3756"/>
    <w:rsid w:val="00DD37EF"/>
    <w:rsid w:val="00DD39C3"/>
    <w:rsid w:val="00DD3B9E"/>
    <w:rsid w:val="00DD429F"/>
    <w:rsid w:val="00DD43F2"/>
    <w:rsid w:val="00DD507B"/>
    <w:rsid w:val="00DD50BF"/>
    <w:rsid w:val="00DD5EE5"/>
    <w:rsid w:val="00DD645B"/>
    <w:rsid w:val="00DD67B9"/>
    <w:rsid w:val="00DD6ACC"/>
    <w:rsid w:val="00DE01DB"/>
    <w:rsid w:val="00DE02B7"/>
    <w:rsid w:val="00DE0516"/>
    <w:rsid w:val="00DE0BD3"/>
    <w:rsid w:val="00DE11EE"/>
    <w:rsid w:val="00DE1913"/>
    <w:rsid w:val="00DE3450"/>
    <w:rsid w:val="00DE37CB"/>
    <w:rsid w:val="00DE38EF"/>
    <w:rsid w:val="00DE46B3"/>
    <w:rsid w:val="00DE4708"/>
    <w:rsid w:val="00DE53D4"/>
    <w:rsid w:val="00DE650D"/>
    <w:rsid w:val="00DE6BC8"/>
    <w:rsid w:val="00DF1095"/>
    <w:rsid w:val="00DF150D"/>
    <w:rsid w:val="00DF18A0"/>
    <w:rsid w:val="00DF2536"/>
    <w:rsid w:val="00DF3551"/>
    <w:rsid w:val="00DF3B4A"/>
    <w:rsid w:val="00DF417D"/>
    <w:rsid w:val="00DF4499"/>
    <w:rsid w:val="00DF5C2F"/>
    <w:rsid w:val="00DF74F2"/>
    <w:rsid w:val="00DF7E87"/>
    <w:rsid w:val="00E00B7F"/>
    <w:rsid w:val="00E01721"/>
    <w:rsid w:val="00E0185F"/>
    <w:rsid w:val="00E01920"/>
    <w:rsid w:val="00E023B4"/>
    <w:rsid w:val="00E02B56"/>
    <w:rsid w:val="00E0307F"/>
    <w:rsid w:val="00E046C3"/>
    <w:rsid w:val="00E04B03"/>
    <w:rsid w:val="00E04C0C"/>
    <w:rsid w:val="00E0621B"/>
    <w:rsid w:val="00E063F8"/>
    <w:rsid w:val="00E0773C"/>
    <w:rsid w:val="00E07A09"/>
    <w:rsid w:val="00E10105"/>
    <w:rsid w:val="00E1045A"/>
    <w:rsid w:val="00E10B67"/>
    <w:rsid w:val="00E113D9"/>
    <w:rsid w:val="00E11581"/>
    <w:rsid w:val="00E12058"/>
    <w:rsid w:val="00E1225F"/>
    <w:rsid w:val="00E123F6"/>
    <w:rsid w:val="00E12FBD"/>
    <w:rsid w:val="00E13222"/>
    <w:rsid w:val="00E13A7C"/>
    <w:rsid w:val="00E13E8B"/>
    <w:rsid w:val="00E152CA"/>
    <w:rsid w:val="00E157DE"/>
    <w:rsid w:val="00E15A41"/>
    <w:rsid w:val="00E1600E"/>
    <w:rsid w:val="00E16456"/>
    <w:rsid w:val="00E16E69"/>
    <w:rsid w:val="00E17545"/>
    <w:rsid w:val="00E176A8"/>
    <w:rsid w:val="00E17CBF"/>
    <w:rsid w:val="00E17D6C"/>
    <w:rsid w:val="00E20FB9"/>
    <w:rsid w:val="00E21084"/>
    <w:rsid w:val="00E21556"/>
    <w:rsid w:val="00E21C11"/>
    <w:rsid w:val="00E22593"/>
    <w:rsid w:val="00E22A6E"/>
    <w:rsid w:val="00E23116"/>
    <w:rsid w:val="00E23138"/>
    <w:rsid w:val="00E2358E"/>
    <w:rsid w:val="00E23EBE"/>
    <w:rsid w:val="00E24819"/>
    <w:rsid w:val="00E24B7C"/>
    <w:rsid w:val="00E2536C"/>
    <w:rsid w:val="00E25B9D"/>
    <w:rsid w:val="00E26267"/>
    <w:rsid w:val="00E262EF"/>
    <w:rsid w:val="00E2643B"/>
    <w:rsid w:val="00E2675B"/>
    <w:rsid w:val="00E26E34"/>
    <w:rsid w:val="00E27690"/>
    <w:rsid w:val="00E30105"/>
    <w:rsid w:val="00E30462"/>
    <w:rsid w:val="00E30840"/>
    <w:rsid w:val="00E30A76"/>
    <w:rsid w:val="00E317D0"/>
    <w:rsid w:val="00E31BA6"/>
    <w:rsid w:val="00E32C35"/>
    <w:rsid w:val="00E32ED9"/>
    <w:rsid w:val="00E339A8"/>
    <w:rsid w:val="00E341EF"/>
    <w:rsid w:val="00E35184"/>
    <w:rsid w:val="00E35404"/>
    <w:rsid w:val="00E35B9D"/>
    <w:rsid w:val="00E35C7B"/>
    <w:rsid w:val="00E36E1A"/>
    <w:rsid w:val="00E37A62"/>
    <w:rsid w:val="00E37ACA"/>
    <w:rsid w:val="00E418C8"/>
    <w:rsid w:val="00E42271"/>
    <w:rsid w:val="00E42327"/>
    <w:rsid w:val="00E4243C"/>
    <w:rsid w:val="00E42DC9"/>
    <w:rsid w:val="00E4306C"/>
    <w:rsid w:val="00E43248"/>
    <w:rsid w:val="00E435F7"/>
    <w:rsid w:val="00E435FC"/>
    <w:rsid w:val="00E43CAD"/>
    <w:rsid w:val="00E43FCC"/>
    <w:rsid w:val="00E44227"/>
    <w:rsid w:val="00E4486A"/>
    <w:rsid w:val="00E4497F"/>
    <w:rsid w:val="00E44BA8"/>
    <w:rsid w:val="00E44D52"/>
    <w:rsid w:val="00E45029"/>
    <w:rsid w:val="00E456C1"/>
    <w:rsid w:val="00E45B0D"/>
    <w:rsid w:val="00E464E7"/>
    <w:rsid w:val="00E465A9"/>
    <w:rsid w:val="00E478D0"/>
    <w:rsid w:val="00E501D2"/>
    <w:rsid w:val="00E5079A"/>
    <w:rsid w:val="00E50A67"/>
    <w:rsid w:val="00E50E4E"/>
    <w:rsid w:val="00E51E20"/>
    <w:rsid w:val="00E521A7"/>
    <w:rsid w:val="00E5345F"/>
    <w:rsid w:val="00E53529"/>
    <w:rsid w:val="00E535F9"/>
    <w:rsid w:val="00E53887"/>
    <w:rsid w:val="00E53ACB"/>
    <w:rsid w:val="00E53E5F"/>
    <w:rsid w:val="00E54DAB"/>
    <w:rsid w:val="00E56320"/>
    <w:rsid w:val="00E56447"/>
    <w:rsid w:val="00E57422"/>
    <w:rsid w:val="00E60A8A"/>
    <w:rsid w:val="00E61293"/>
    <w:rsid w:val="00E61829"/>
    <w:rsid w:val="00E61E80"/>
    <w:rsid w:val="00E621F5"/>
    <w:rsid w:val="00E62FEC"/>
    <w:rsid w:val="00E632B3"/>
    <w:rsid w:val="00E633C4"/>
    <w:rsid w:val="00E644A6"/>
    <w:rsid w:val="00E659CD"/>
    <w:rsid w:val="00E65ED6"/>
    <w:rsid w:val="00E65FA7"/>
    <w:rsid w:val="00E66CBC"/>
    <w:rsid w:val="00E66DD5"/>
    <w:rsid w:val="00E67D30"/>
    <w:rsid w:val="00E67E79"/>
    <w:rsid w:val="00E704DB"/>
    <w:rsid w:val="00E7099B"/>
    <w:rsid w:val="00E7208D"/>
    <w:rsid w:val="00E72BF6"/>
    <w:rsid w:val="00E72C40"/>
    <w:rsid w:val="00E73F9B"/>
    <w:rsid w:val="00E7447F"/>
    <w:rsid w:val="00E74816"/>
    <w:rsid w:val="00E750EE"/>
    <w:rsid w:val="00E751B5"/>
    <w:rsid w:val="00E76E87"/>
    <w:rsid w:val="00E777B5"/>
    <w:rsid w:val="00E81017"/>
    <w:rsid w:val="00E81482"/>
    <w:rsid w:val="00E81628"/>
    <w:rsid w:val="00E81661"/>
    <w:rsid w:val="00E816E5"/>
    <w:rsid w:val="00E81B46"/>
    <w:rsid w:val="00E82796"/>
    <w:rsid w:val="00E84F73"/>
    <w:rsid w:val="00E854D2"/>
    <w:rsid w:val="00E85FBF"/>
    <w:rsid w:val="00E867AD"/>
    <w:rsid w:val="00E8692C"/>
    <w:rsid w:val="00E86E53"/>
    <w:rsid w:val="00E87AE9"/>
    <w:rsid w:val="00E87EDC"/>
    <w:rsid w:val="00E87FAB"/>
    <w:rsid w:val="00E90329"/>
    <w:rsid w:val="00E904FC"/>
    <w:rsid w:val="00E90814"/>
    <w:rsid w:val="00E90CCF"/>
    <w:rsid w:val="00E91442"/>
    <w:rsid w:val="00E91841"/>
    <w:rsid w:val="00E9191A"/>
    <w:rsid w:val="00E923EA"/>
    <w:rsid w:val="00E93857"/>
    <w:rsid w:val="00E9394F"/>
    <w:rsid w:val="00E93CC6"/>
    <w:rsid w:val="00E947DC"/>
    <w:rsid w:val="00E94E06"/>
    <w:rsid w:val="00E94F21"/>
    <w:rsid w:val="00E950A8"/>
    <w:rsid w:val="00E95978"/>
    <w:rsid w:val="00E95BB4"/>
    <w:rsid w:val="00E95D22"/>
    <w:rsid w:val="00E966AB"/>
    <w:rsid w:val="00E96854"/>
    <w:rsid w:val="00E96FD1"/>
    <w:rsid w:val="00E97A67"/>
    <w:rsid w:val="00EA02CD"/>
    <w:rsid w:val="00EA0636"/>
    <w:rsid w:val="00EA1786"/>
    <w:rsid w:val="00EA28DF"/>
    <w:rsid w:val="00EA3216"/>
    <w:rsid w:val="00EA3CB3"/>
    <w:rsid w:val="00EA3CB8"/>
    <w:rsid w:val="00EA596A"/>
    <w:rsid w:val="00EA6078"/>
    <w:rsid w:val="00EA6E92"/>
    <w:rsid w:val="00EA6FDA"/>
    <w:rsid w:val="00EA7CB1"/>
    <w:rsid w:val="00EB01E7"/>
    <w:rsid w:val="00EB04A5"/>
    <w:rsid w:val="00EB0B6C"/>
    <w:rsid w:val="00EB1911"/>
    <w:rsid w:val="00EB297B"/>
    <w:rsid w:val="00EB3287"/>
    <w:rsid w:val="00EB3E7E"/>
    <w:rsid w:val="00EB4184"/>
    <w:rsid w:val="00EB445D"/>
    <w:rsid w:val="00EB4CD7"/>
    <w:rsid w:val="00EB4D50"/>
    <w:rsid w:val="00EB563D"/>
    <w:rsid w:val="00EB64F5"/>
    <w:rsid w:val="00EB668C"/>
    <w:rsid w:val="00EB7727"/>
    <w:rsid w:val="00EB7923"/>
    <w:rsid w:val="00EB7BDB"/>
    <w:rsid w:val="00EC0A00"/>
    <w:rsid w:val="00EC24DF"/>
    <w:rsid w:val="00EC309A"/>
    <w:rsid w:val="00EC348E"/>
    <w:rsid w:val="00EC3687"/>
    <w:rsid w:val="00EC392A"/>
    <w:rsid w:val="00EC3B30"/>
    <w:rsid w:val="00EC3BF5"/>
    <w:rsid w:val="00EC45AE"/>
    <w:rsid w:val="00EC5560"/>
    <w:rsid w:val="00EC5AE6"/>
    <w:rsid w:val="00EC5E77"/>
    <w:rsid w:val="00EC79DA"/>
    <w:rsid w:val="00ED095D"/>
    <w:rsid w:val="00ED0993"/>
    <w:rsid w:val="00ED1137"/>
    <w:rsid w:val="00ED18EE"/>
    <w:rsid w:val="00ED21A7"/>
    <w:rsid w:val="00ED2446"/>
    <w:rsid w:val="00ED24AD"/>
    <w:rsid w:val="00ED2CEC"/>
    <w:rsid w:val="00ED334E"/>
    <w:rsid w:val="00ED3CDF"/>
    <w:rsid w:val="00ED406E"/>
    <w:rsid w:val="00ED4316"/>
    <w:rsid w:val="00ED43B7"/>
    <w:rsid w:val="00ED475A"/>
    <w:rsid w:val="00ED5318"/>
    <w:rsid w:val="00ED558B"/>
    <w:rsid w:val="00ED677D"/>
    <w:rsid w:val="00ED6B73"/>
    <w:rsid w:val="00ED7625"/>
    <w:rsid w:val="00ED7725"/>
    <w:rsid w:val="00ED779D"/>
    <w:rsid w:val="00EE0174"/>
    <w:rsid w:val="00EE0432"/>
    <w:rsid w:val="00EE0732"/>
    <w:rsid w:val="00EE1AE5"/>
    <w:rsid w:val="00EE1C48"/>
    <w:rsid w:val="00EE234C"/>
    <w:rsid w:val="00EE24AA"/>
    <w:rsid w:val="00EE24F1"/>
    <w:rsid w:val="00EE2936"/>
    <w:rsid w:val="00EE2AAE"/>
    <w:rsid w:val="00EE2C96"/>
    <w:rsid w:val="00EE36ED"/>
    <w:rsid w:val="00EE39F2"/>
    <w:rsid w:val="00EE3C6D"/>
    <w:rsid w:val="00EE4210"/>
    <w:rsid w:val="00EE4D8D"/>
    <w:rsid w:val="00EE5176"/>
    <w:rsid w:val="00EE7628"/>
    <w:rsid w:val="00EE7A74"/>
    <w:rsid w:val="00EF0B1D"/>
    <w:rsid w:val="00EF0E59"/>
    <w:rsid w:val="00EF1CE5"/>
    <w:rsid w:val="00EF25A4"/>
    <w:rsid w:val="00EF361B"/>
    <w:rsid w:val="00EF39D1"/>
    <w:rsid w:val="00EF3B3E"/>
    <w:rsid w:val="00EF4263"/>
    <w:rsid w:val="00EF5291"/>
    <w:rsid w:val="00EF5C72"/>
    <w:rsid w:val="00EF5D96"/>
    <w:rsid w:val="00EF5E84"/>
    <w:rsid w:val="00EF6444"/>
    <w:rsid w:val="00EF6471"/>
    <w:rsid w:val="00EF7B92"/>
    <w:rsid w:val="00F005E5"/>
    <w:rsid w:val="00F00B9F"/>
    <w:rsid w:val="00F00D47"/>
    <w:rsid w:val="00F010B6"/>
    <w:rsid w:val="00F014F9"/>
    <w:rsid w:val="00F01B80"/>
    <w:rsid w:val="00F01CDA"/>
    <w:rsid w:val="00F027C1"/>
    <w:rsid w:val="00F0299B"/>
    <w:rsid w:val="00F02DC9"/>
    <w:rsid w:val="00F02EA4"/>
    <w:rsid w:val="00F03BD3"/>
    <w:rsid w:val="00F0477C"/>
    <w:rsid w:val="00F05855"/>
    <w:rsid w:val="00F05F20"/>
    <w:rsid w:val="00F0632D"/>
    <w:rsid w:val="00F0727F"/>
    <w:rsid w:val="00F07F57"/>
    <w:rsid w:val="00F10560"/>
    <w:rsid w:val="00F10844"/>
    <w:rsid w:val="00F119B9"/>
    <w:rsid w:val="00F122A2"/>
    <w:rsid w:val="00F13118"/>
    <w:rsid w:val="00F14110"/>
    <w:rsid w:val="00F14AB0"/>
    <w:rsid w:val="00F14B45"/>
    <w:rsid w:val="00F14F73"/>
    <w:rsid w:val="00F16901"/>
    <w:rsid w:val="00F21D5E"/>
    <w:rsid w:val="00F2253C"/>
    <w:rsid w:val="00F22D06"/>
    <w:rsid w:val="00F22F88"/>
    <w:rsid w:val="00F230E1"/>
    <w:rsid w:val="00F236A7"/>
    <w:rsid w:val="00F237A1"/>
    <w:rsid w:val="00F23F78"/>
    <w:rsid w:val="00F24010"/>
    <w:rsid w:val="00F243DC"/>
    <w:rsid w:val="00F244FC"/>
    <w:rsid w:val="00F24772"/>
    <w:rsid w:val="00F24BC5"/>
    <w:rsid w:val="00F25DDB"/>
    <w:rsid w:val="00F25F4E"/>
    <w:rsid w:val="00F26064"/>
    <w:rsid w:val="00F263B6"/>
    <w:rsid w:val="00F26793"/>
    <w:rsid w:val="00F26E51"/>
    <w:rsid w:val="00F27888"/>
    <w:rsid w:val="00F302A9"/>
    <w:rsid w:val="00F30662"/>
    <w:rsid w:val="00F3067D"/>
    <w:rsid w:val="00F30A34"/>
    <w:rsid w:val="00F310B7"/>
    <w:rsid w:val="00F313A6"/>
    <w:rsid w:val="00F31427"/>
    <w:rsid w:val="00F31760"/>
    <w:rsid w:val="00F330F3"/>
    <w:rsid w:val="00F3357E"/>
    <w:rsid w:val="00F34FF6"/>
    <w:rsid w:val="00F35211"/>
    <w:rsid w:val="00F35CEF"/>
    <w:rsid w:val="00F36ACE"/>
    <w:rsid w:val="00F40A61"/>
    <w:rsid w:val="00F41675"/>
    <w:rsid w:val="00F421CC"/>
    <w:rsid w:val="00F42A62"/>
    <w:rsid w:val="00F44054"/>
    <w:rsid w:val="00F44312"/>
    <w:rsid w:val="00F44899"/>
    <w:rsid w:val="00F450EC"/>
    <w:rsid w:val="00F45297"/>
    <w:rsid w:val="00F4537A"/>
    <w:rsid w:val="00F4637E"/>
    <w:rsid w:val="00F47975"/>
    <w:rsid w:val="00F47BEA"/>
    <w:rsid w:val="00F502AC"/>
    <w:rsid w:val="00F508E0"/>
    <w:rsid w:val="00F51AC3"/>
    <w:rsid w:val="00F5238D"/>
    <w:rsid w:val="00F52960"/>
    <w:rsid w:val="00F535D0"/>
    <w:rsid w:val="00F54218"/>
    <w:rsid w:val="00F544DD"/>
    <w:rsid w:val="00F55714"/>
    <w:rsid w:val="00F559B1"/>
    <w:rsid w:val="00F56452"/>
    <w:rsid w:val="00F573A2"/>
    <w:rsid w:val="00F573DD"/>
    <w:rsid w:val="00F575AA"/>
    <w:rsid w:val="00F57987"/>
    <w:rsid w:val="00F60072"/>
    <w:rsid w:val="00F604A3"/>
    <w:rsid w:val="00F60B9C"/>
    <w:rsid w:val="00F61463"/>
    <w:rsid w:val="00F61D82"/>
    <w:rsid w:val="00F62B66"/>
    <w:rsid w:val="00F63544"/>
    <w:rsid w:val="00F64BA6"/>
    <w:rsid w:val="00F651AD"/>
    <w:rsid w:val="00F657A5"/>
    <w:rsid w:val="00F65A7E"/>
    <w:rsid w:val="00F66C3F"/>
    <w:rsid w:val="00F66DA7"/>
    <w:rsid w:val="00F6726D"/>
    <w:rsid w:val="00F6765D"/>
    <w:rsid w:val="00F679A3"/>
    <w:rsid w:val="00F67B52"/>
    <w:rsid w:val="00F702F0"/>
    <w:rsid w:val="00F704B7"/>
    <w:rsid w:val="00F70AA9"/>
    <w:rsid w:val="00F70E7D"/>
    <w:rsid w:val="00F70EE4"/>
    <w:rsid w:val="00F71439"/>
    <w:rsid w:val="00F7219C"/>
    <w:rsid w:val="00F7298E"/>
    <w:rsid w:val="00F72E8F"/>
    <w:rsid w:val="00F73931"/>
    <w:rsid w:val="00F74911"/>
    <w:rsid w:val="00F7498E"/>
    <w:rsid w:val="00F74B2E"/>
    <w:rsid w:val="00F74D29"/>
    <w:rsid w:val="00F7500A"/>
    <w:rsid w:val="00F7570F"/>
    <w:rsid w:val="00F75942"/>
    <w:rsid w:val="00F75ACE"/>
    <w:rsid w:val="00F75D58"/>
    <w:rsid w:val="00F76173"/>
    <w:rsid w:val="00F76370"/>
    <w:rsid w:val="00F76452"/>
    <w:rsid w:val="00F7675D"/>
    <w:rsid w:val="00F76817"/>
    <w:rsid w:val="00F76AE4"/>
    <w:rsid w:val="00F76CDE"/>
    <w:rsid w:val="00F772E7"/>
    <w:rsid w:val="00F7755C"/>
    <w:rsid w:val="00F775FC"/>
    <w:rsid w:val="00F77AF4"/>
    <w:rsid w:val="00F77FF9"/>
    <w:rsid w:val="00F80326"/>
    <w:rsid w:val="00F80A8D"/>
    <w:rsid w:val="00F80E1C"/>
    <w:rsid w:val="00F8147A"/>
    <w:rsid w:val="00F814A9"/>
    <w:rsid w:val="00F81EDE"/>
    <w:rsid w:val="00F8204A"/>
    <w:rsid w:val="00F82239"/>
    <w:rsid w:val="00F827BF"/>
    <w:rsid w:val="00F82C30"/>
    <w:rsid w:val="00F8490F"/>
    <w:rsid w:val="00F84D44"/>
    <w:rsid w:val="00F8551B"/>
    <w:rsid w:val="00F858DA"/>
    <w:rsid w:val="00F864B6"/>
    <w:rsid w:val="00F864BF"/>
    <w:rsid w:val="00F86A2A"/>
    <w:rsid w:val="00F8729D"/>
    <w:rsid w:val="00F8792E"/>
    <w:rsid w:val="00F87E82"/>
    <w:rsid w:val="00F92C3A"/>
    <w:rsid w:val="00F93200"/>
    <w:rsid w:val="00F93611"/>
    <w:rsid w:val="00F93BAA"/>
    <w:rsid w:val="00F9476E"/>
    <w:rsid w:val="00F94AFB"/>
    <w:rsid w:val="00F94FE2"/>
    <w:rsid w:val="00F95A67"/>
    <w:rsid w:val="00F97049"/>
    <w:rsid w:val="00F97E79"/>
    <w:rsid w:val="00FA0409"/>
    <w:rsid w:val="00FA1249"/>
    <w:rsid w:val="00FA1863"/>
    <w:rsid w:val="00FA2156"/>
    <w:rsid w:val="00FA267C"/>
    <w:rsid w:val="00FA2A02"/>
    <w:rsid w:val="00FA3EB1"/>
    <w:rsid w:val="00FA40A2"/>
    <w:rsid w:val="00FA4417"/>
    <w:rsid w:val="00FA4CCE"/>
    <w:rsid w:val="00FA4DCB"/>
    <w:rsid w:val="00FA4DE3"/>
    <w:rsid w:val="00FA5195"/>
    <w:rsid w:val="00FA5444"/>
    <w:rsid w:val="00FA5A03"/>
    <w:rsid w:val="00FA5BDE"/>
    <w:rsid w:val="00FA6598"/>
    <w:rsid w:val="00FA6B49"/>
    <w:rsid w:val="00FA6EB6"/>
    <w:rsid w:val="00FA7437"/>
    <w:rsid w:val="00FB0165"/>
    <w:rsid w:val="00FB0338"/>
    <w:rsid w:val="00FB0846"/>
    <w:rsid w:val="00FB0C82"/>
    <w:rsid w:val="00FB0C9F"/>
    <w:rsid w:val="00FB143C"/>
    <w:rsid w:val="00FB150F"/>
    <w:rsid w:val="00FB244E"/>
    <w:rsid w:val="00FB2D30"/>
    <w:rsid w:val="00FB3ED9"/>
    <w:rsid w:val="00FB4205"/>
    <w:rsid w:val="00FB4A1F"/>
    <w:rsid w:val="00FB4D0B"/>
    <w:rsid w:val="00FB54A4"/>
    <w:rsid w:val="00FB59DC"/>
    <w:rsid w:val="00FB5AB9"/>
    <w:rsid w:val="00FB6442"/>
    <w:rsid w:val="00FB7752"/>
    <w:rsid w:val="00FB7DD6"/>
    <w:rsid w:val="00FC048A"/>
    <w:rsid w:val="00FC1FC4"/>
    <w:rsid w:val="00FC2440"/>
    <w:rsid w:val="00FC2971"/>
    <w:rsid w:val="00FC3115"/>
    <w:rsid w:val="00FC3392"/>
    <w:rsid w:val="00FC42C2"/>
    <w:rsid w:val="00FC5110"/>
    <w:rsid w:val="00FC5AAA"/>
    <w:rsid w:val="00FC6723"/>
    <w:rsid w:val="00FC68C1"/>
    <w:rsid w:val="00FC6B3D"/>
    <w:rsid w:val="00FC706C"/>
    <w:rsid w:val="00FD165E"/>
    <w:rsid w:val="00FD1A7F"/>
    <w:rsid w:val="00FD1CE3"/>
    <w:rsid w:val="00FD223A"/>
    <w:rsid w:val="00FD22A4"/>
    <w:rsid w:val="00FD245A"/>
    <w:rsid w:val="00FD2AAC"/>
    <w:rsid w:val="00FD32B7"/>
    <w:rsid w:val="00FD3805"/>
    <w:rsid w:val="00FD3816"/>
    <w:rsid w:val="00FD38F8"/>
    <w:rsid w:val="00FD41B4"/>
    <w:rsid w:val="00FD4242"/>
    <w:rsid w:val="00FD4BEE"/>
    <w:rsid w:val="00FD56CF"/>
    <w:rsid w:val="00FD58BE"/>
    <w:rsid w:val="00FD64AF"/>
    <w:rsid w:val="00FD65CF"/>
    <w:rsid w:val="00FD68FA"/>
    <w:rsid w:val="00FD6A22"/>
    <w:rsid w:val="00FD73AD"/>
    <w:rsid w:val="00FD7946"/>
    <w:rsid w:val="00FD7A7A"/>
    <w:rsid w:val="00FE00A3"/>
    <w:rsid w:val="00FE01B4"/>
    <w:rsid w:val="00FE0D2D"/>
    <w:rsid w:val="00FE0ED6"/>
    <w:rsid w:val="00FE1342"/>
    <w:rsid w:val="00FE1FF6"/>
    <w:rsid w:val="00FE2A99"/>
    <w:rsid w:val="00FE3305"/>
    <w:rsid w:val="00FE3554"/>
    <w:rsid w:val="00FE3573"/>
    <w:rsid w:val="00FE3592"/>
    <w:rsid w:val="00FE3858"/>
    <w:rsid w:val="00FE429B"/>
    <w:rsid w:val="00FE430E"/>
    <w:rsid w:val="00FE4999"/>
    <w:rsid w:val="00FE578E"/>
    <w:rsid w:val="00FE621E"/>
    <w:rsid w:val="00FE6B6A"/>
    <w:rsid w:val="00FE7B84"/>
    <w:rsid w:val="00FF0219"/>
    <w:rsid w:val="00FF09C9"/>
    <w:rsid w:val="00FF10BD"/>
    <w:rsid w:val="00FF1308"/>
    <w:rsid w:val="00FF13A1"/>
    <w:rsid w:val="00FF148A"/>
    <w:rsid w:val="00FF177D"/>
    <w:rsid w:val="00FF17B0"/>
    <w:rsid w:val="00FF215C"/>
    <w:rsid w:val="00FF24EB"/>
    <w:rsid w:val="00FF25AE"/>
    <w:rsid w:val="00FF2BC4"/>
    <w:rsid w:val="00FF2EEC"/>
    <w:rsid w:val="00FF3002"/>
    <w:rsid w:val="00FF4584"/>
    <w:rsid w:val="00FF4B99"/>
    <w:rsid w:val="00FF52DA"/>
    <w:rsid w:val="00FF563C"/>
    <w:rsid w:val="00FF590A"/>
    <w:rsid w:val="00FF6785"/>
    <w:rsid w:val="00FF67AB"/>
    <w:rsid w:val="00FF6B7E"/>
    <w:rsid w:val="00FF7465"/>
    <w:rsid w:val="00F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A3"/>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3EA3"/>
    <w:pPr>
      <w:keepNext/>
      <w:jc w:val="center"/>
      <w:outlineLvl w:val="0"/>
    </w:pPr>
    <w:rPr>
      <w:b/>
      <w:bCs/>
      <w:sz w:val="22"/>
      <w:szCs w:val="20"/>
    </w:rPr>
  </w:style>
  <w:style w:type="paragraph" w:styleId="Heading2">
    <w:name w:val="heading 2"/>
    <w:basedOn w:val="Normal"/>
    <w:next w:val="Normal"/>
    <w:link w:val="Heading2Char"/>
    <w:qFormat/>
    <w:rsid w:val="00943EA3"/>
    <w:pPr>
      <w:keepNext/>
      <w:outlineLvl w:val="1"/>
    </w:pPr>
    <w:rPr>
      <w:b/>
      <w:bCs/>
    </w:rPr>
  </w:style>
  <w:style w:type="paragraph" w:styleId="Heading3">
    <w:name w:val="heading 3"/>
    <w:basedOn w:val="Normal"/>
    <w:next w:val="Normal"/>
    <w:link w:val="Heading3Char"/>
    <w:qFormat/>
    <w:rsid w:val="00943EA3"/>
    <w:pPr>
      <w:keepNext/>
      <w:tabs>
        <w:tab w:val="right" w:leader="dot" w:pos="9360"/>
      </w:tabs>
      <w:ind w:left="720" w:hanging="720"/>
      <w:outlineLvl w:val="2"/>
    </w:pPr>
    <w:rPr>
      <w:b/>
      <w:bCs/>
    </w:rPr>
  </w:style>
  <w:style w:type="paragraph" w:styleId="Heading4">
    <w:name w:val="heading 4"/>
    <w:basedOn w:val="Normal"/>
    <w:next w:val="Normal"/>
    <w:link w:val="Heading4Char"/>
    <w:qFormat/>
    <w:rsid w:val="00943EA3"/>
    <w:pPr>
      <w:keepNext/>
      <w:jc w:val="center"/>
      <w:outlineLvl w:val="3"/>
    </w:pPr>
    <w:rPr>
      <w:b/>
      <w:bCs/>
      <w:sz w:val="28"/>
    </w:rPr>
  </w:style>
  <w:style w:type="paragraph" w:styleId="Heading5">
    <w:name w:val="heading 5"/>
    <w:basedOn w:val="Normal"/>
    <w:next w:val="Normal"/>
    <w:link w:val="Heading5Char"/>
    <w:qFormat/>
    <w:rsid w:val="00943EA3"/>
    <w:pPr>
      <w:keepNext/>
      <w:spacing w:before="28"/>
      <w:outlineLvl w:val="4"/>
    </w:pPr>
    <w:rPr>
      <w:b/>
      <w:bCs/>
      <w:sz w:val="22"/>
      <w:szCs w:val="22"/>
    </w:rPr>
  </w:style>
  <w:style w:type="paragraph" w:styleId="Heading6">
    <w:name w:val="heading 6"/>
    <w:basedOn w:val="Normal"/>
    <w:next w:val="Normal"/>
    <w:link w:val="Heading6Char"/>
    <w:qFormat/>
    <w:rsid w:val="00943EA3"/>
    <w:pPr>
      <w:keepNext/>
      <w:outlineLvl w:val="5"/>
    </w:pPr>
    <w:rPr>
      <w:i/>
      <w:iCs/>
      <w:sz w:val="20"/>
    </w:rPr>
  </w:style>
  <w:style w:type="paragraph" w:styleId="Heading7">
    <w:name w:val="heading 7"/>
    <w:basedOn w:val="Normal"/>
    <w:next w:val="Normal"/>
    <w:link w:val="Heading7Char"/>
    <w:qFormat/>
    <w:rsid w:val="00943EA3"/>
    <w:pPr>
      <w:keepNext/>
      <w:spacing w:after="3"/>
      <w:jc w:val="center"/>
      <w:outlineLvl w:val="6"/>
    </w:pPr>
    <w:rPr>
      <w:b/>
      <w:bCs/>
      <w:color w:val="FFFFFF"/>
    </w:rPr>
  </w:style>
  <w:style w:type="paragraph" w:styleId="Heading8">
    <w:name w:val="heading 8"/>
    <w:basedOn w:val="Normal"/>
    <w:next w:val="Normal"/>
    <w:link w:val="Heading8Char"/>
    <w:qFormat/>
    <w:rsid w:val="00943EA3"/>
    <w:pPr>
      <w:keepNext/>
      <w:outlineLvl w:val="7"/>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A3"/>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943EA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43EA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43EA3"/>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943EA3"/>
    <w:rPr>
      <w:rFonts w:ascii="Times New Roman" w:eastAsia="Times New Roman" w:hAnsi="Times New Roman" w:cs="Times New Roman"/>
      <w:b/>
      <w:bCs/>
    </w:rPr>
  </w:style>
  <w:style w:type="character" w:customStyle="1" w:styleId="Heading6Char">
    <w:name w:val="Heading 6 Char"/>
    <w:basedOn w:val="DefaultParagraphFont"/>
    <w:link w:val="Heading6"/>
    <w:rsid w:val="00943EA3"/>
    <w:rPr>
      <w:rFonts w:ascii="Times New Roman" w:eastAsia="Times New Roman" w:hAnsi="Times New Roman" w:cs="Times New Roman"/>
      <w:i/>
      <w:iCs/>
      <w:sz w:val="20"/>
      <w:szCs w:val="24"/>
    </w:rPr>
  </w:style>
  <w:style w:type="character" w:customStyle="1" w:styleId="Heading7Char">
    <w:name w:val="Heading 7 Char"/>
    <w:basedOn w:val="DefaultParagraphFont"/>
    <w:link w:val="Heading7"/>
    <w:rsid w:val="00943EA3"/>
    <w:rPr>
      <w:rFonts w:ascii="Times New Roman" w:eastAsia="Times New Roman" w:hAnsi="Times New Roman" w:cs="Times New Roman"/>
      <w:b/>
      <w:bCs/>
      <w:color w:val="FFFFFF"/>
      <w:sz w:val="24"/>
      <w:szCs w:val="24"/>
    </w:rPr>
  </w:style>
  <w:style w:type="character" w:customStyle="1" w:styleId="Heading8Char">
    <w:name w:val="Heading 8 Char"/>
    <w:basedOn w:val="DefaultParagraphFont"/>
    <w:link w:val="Heading8"/>
    <w:rsid w:val="00943EA3"/>
    <w:rPr>
      <w:rFonts w:ascii="Times New Roman" w:eastAsia="Times New Roman" w:hAnsi="Times New Roman" w:cs="Times New Roman"/>
      <w:b/>
      <w:bCs/>
      <w:color w:val="000000"/>
      <w:sz w:val="24"/>
      <w:szCs w:val="20"/>
    </w:rPr>
  </w:style>
  <w:style w:type="character" w:customStyle="1" w:styleId="SYSHYPERTEXT">
    <w:name w:val="SYS_HYPERTEXT"/>
    <w:rsid w:val="00943EA3"/>
    <w:rPr>
      <w:color w:val="0000FF"/>
    </w:rPr>
  </w:style>
  <w:style w:type="paragraph" w:styleId="Header">
    <w:name w:val="header"/>
    <w:basedOn w:val="Normal"/>
    <w:link w:val="HeaderChar"/>
    <w:uiPriority w:val="99"/>
    <w:rsid w:val="00943EA3"/>
    <w:pPr>
      <w:tabs>
        <w:tab w:val="center" w:pos="4320"/>
        <w:tab w:val="right" w:pos="8640"/>
      </w:tabs>
    </w:pPr>
  </w:style>
  <w:style w:type="character" w:customStyle="1" w:styleId="HeaderChar">
    <w:name w:val="Header Char"/>
    <w:basedOn w:val="DefaultParagraphFont"/>
    <w:link w:val="Header"/>
    <w:semiHidden/>
    <w:rsid w:val="00943EA3"/>
    <w:rPr>
      <w:rFonts w:ascii="Times New Roman" w:eastAsia="Times New Roman" w:hAnsi="Times New Roman" w:cs="Times New Roman"/>
      <w:sz w:val="24"/>
      <w:szCs w:val="24"/>
    </w:rPr>
  </w:style>
  <w:style w:type="character" w:styleId="PageNumber">
    <w:name w:val="page number"/>
    <w:basedOn w:val="DefaultParagraphFont"/>
    <w:semiHidden/>
    <w:rsid w:val="00943EA3"/>
  </w:style>
  <w:style w:type="paragraph" w:styleId="Footer">
    <w:name w:val="footer"/>
    <w:basedOn w:val="Normal"/>
    <w:link w:val="FooterChar"/>
    <w:semiHidden/>
    <w:rsid w:val="00943EA3"/>
    <w:pPr>
      <w:tabs>
        <w:tab w:val="center" w:pos="4320"/>
        <w:tab w:val="right" w:pos="8640"/>
      </w:tabs>
    </w:pPr>
  </w:style>
  <w:style w:type="character" w:customStyle="1" w:styleId="FooterChar">
    <w:name w:val="Footer Char"/>
    <w:basedOn w:val="DefaultParagraphFont"/>
    <w:link w:val="Footer"/>
    <w:semiHidden/>
    <w:rsid w:val="00943EA3"/>
    <w:rPr>
      <w:rFonts w:ascii="Times New Roman" w:eastAsia="Times New Roman" w:hAnsi="Times New Roman" w:cs="Times New Roman"/>
      <w:sz w:val="24"/>
      <w:szCs w:val="24"/>
    </w:rPr>
  </w:style>
  <w:style w:type="paragraph" w:styleId="BodyText">
    <w:name w:val="Body Text"/>
    <w:basedOn w:val="Normal"/>
    <w:link w:val="BodyTextChar"/>
    <w:semiHidden/>
    <w:rsid w:val="00943EA3"/>
    <w:rPr>
      <w:i/>
      <w:iCs/>
      <w:sz w:val="20"/>
    </w:rPr>
  </w:style>
  <w:style w:type="character" w:customStyle="1" w:styleId="BodyTextChar">
    <w:name w:val="Body Text Char"/>
    <w:basedOn w:val="DefaultParagraphFont"/>
    <w:link w:val="BodyText"/>
    <w:semiHidden/>
    <w:rsid w:val="00943EA3"/>
    <w:rPr>
      <w:rFonts w:ascii="Times New Roman" w:eastAsia="Times New Roman" w:hAnsi="Times New Roman" w:cs="Times New Roman"/>
      <w:i/>
      <w:iCs/>
      <w:sz w:val="20"/>
      <w:szCs w:val="24"/>
    </w:rPr>
  </w:style>
  <w:style w:type="paragraph" w:styleId="BodyTextIndent">
    <w:name w:val="Body Text Indent"/>
    <w:basedOn w:val="Normal"/>
    <w:link w:val="BodyTextIndentChar"/>
    <w:semiHidden/>
    <w:rsid w:val="00943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i/>
      <w:iCs/>
      <w:sz w:val="20"/>
    </w:rPr>
  </w:style>
  <w:style w:type="character" w:customStyle="1" w:styleId="BodyTextIndentChar">
    <w:name w:val="Body Text Indent Char"/>
    <w:basedOn w:val="DefaultParagraphFont"/>
    <w:link w:val="BodyTextIndent"/>
    <w:semiHidden/>
    <w:rsid w:val="00943EA3"/>
    <w:rPr>
      <w:rFonts w:ascii="Times New Roman" w:eastAsia="Times New Roman" w:hAnsi="Times New Roman" w:cs="Times New Roman"/>
      <w:i/>
      <w:iCs/>
      <w:sz w:val="20"/>
      <w:szCs w:val="24"/>
    </w:rPr>
  </w:style>
  <w:style w:type="paragraph" w:styleId="FootnoteText">
    <w:name w:val="footnote text"/>
    <w:basedOn w:val="Normal"/>
    <w:link w:val="FootnoteTextChar"/>
    <w:semiHidden/>
    <w:rsid w:val="00943EA3"/>
    <w:rPr>
      <w:sz w:val="20"/>
      <w:szCs w:val="20"/>
    </w:rPr>
  </w:style>
  <w:style w:type="character" w:customStyle="1" w:styleId="FootnoteTextChar">
    <w:name w:val="Footnote Text Char"/>
    <w:basedOn w:val="DefaultParagraphFont"/>
    <w:link w:val="FootnoteText"/>
    <w:semiHidden/>
    <w:rsid w:val="00943EA3"/>
    <w:rPr>
      <w:rFonts w:ascii="Times New Roman" w:eastAsia="Times New Roman" w:hAnsi="Times New Roman" w:cs="Times New Roman"/>
      <w:sz w:val="20"/>
      <w:szCs w:val="20"/>
    </w:rPr>
  </w:style>
  <w:style w:type="character" w:styleId="FootnoteReference">
    <w:name w:val="footnote reference"/>
    <w:basedOn w:val="DefaultParagraphFont"/>
    <w:semiHidden/>
    <w:rsid w:val="00943EA3"/>
    <w:rPr>
      <w:vertAlign w:val="superscript"/>
    </w:rPr>
  </w:style>
  <w:style w:type="paragraph" w:styleId="BodyTextIndent2">
    <w:name w:val="Body Text Indent 2"/>
    <w:basedOn w:val="Normal"/>
    <w:link w:val="BodyTextIndent2Char"/>
    <w:semiHidden/>
    <w:rsid w:val="00943EA3"/>
    <w:pPr>
      <w:tabs>
        <w:tab w:val="left" w:pos="720"/>
      </w:tabs>
      <w:ind w:left="720" w:hanging="720"/>
    </w:pPr>
    <w:rPr>
      <w:i/>
      <w:iCs/>
      <w:sz w:val="22"/>
    </w:rPr>
  </w:style>
  <w:style w:type="character" w:customStyle="1" w:styleId="BodyTextIndent2Char">
    <w:name w:val="Body Text Indent 2 Char"/>
    <w:basedOn w:val="DefaultParagraphFont"/>
    <w:link w:val="BodyTextIndent2"/>
    <w:semiHidden/>
    <w:rsid w:val="00943EA3"/>
    <w:rPr>
      <w:rFonts w:ascii="Times New Roman" w:eastAsia="Times New Roman" w:hAnsi="Times New Roman" w:cs="Times New Roman"/>
      <w:i/>
      <w:iCs/>
      <w:szCs w:val="24"/>
    </w:rPr>
  </w:style>
  <w:style w:type="paragraph" w:customStyle="1" w:styleId="FootnoteTex">
    <w:name w:val="Footnote Tex"/>
    <w:rsid w:val="00943EA3"/>
    <w:pPr>
      <w:autoSpaceDE w:val="0"/>
      <w:autoSpaceDN w:val="0"/>
      <w:adjustRightInd w:val="0"/>
      <w:spacing w:after="0"/>
    </w:pPr>
    <w:rPr>
      <w:rFonts w:ascii="Times New Roman" w:eastAsia="Times New Roman" w:hAnsi="Times New Roman" w:cs="Times New Roman"/>
      <w:sz w:val="20"/>
      <w:szCs w:val="20"/>
    </w:rPr>
  </w:style>
  <w:style w:type="paragraph" w:customStyle="1" w:styleId="Level1">
    <w:name w:val="Level 1"/>
    <w:rsid w:val="00943EA3"/>
    <w:pPr>
      <w:autoSpaceDE w:val="0"/>
      <w:autoSpaceDN w:val="0"/>
      <w:adjustRightInd w:val="0"/>
      <w:spacing w:after="0"/>
      <w:ind w:left="720"/>
    </w:pPr>
    <w:rPr>
      <w:rFonts w:ascii="Times New Roman" w:eastAsia="Times New Roman" w:hAnsi="Times New Roman" w:cs="Times New Roman"/>
      <w:sz w:val="24"/>
      <w:szCs w:val="24"/>
    </w:rPr>
  </w:style>
  <w:style w:type="character" w:customStyle="1" w:styleId="QuickFormat1">
    <w:name w:val="QuickFormat1"/>
    <w:rsid w:val="00943EA3"/>
    <w:rPr>
      <w:color w:val="0000FF"/>
      <w:u w:val="single"/>
    </w:rPr>
  </w:style>
  <w:style w:type="paragraph" w:styleId="BodyTextIndent3">
    <w:name w:val="Body Text Indent 3"/>
    <w:basedOn w:val="Normal"/>
    <w:link w:val="BodyTextIndent3Char"/>
    <w:semiHidden/>
    <w:rsid w:val="00943EA3"/>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943EA3"/>
    <w:rPr>
      <w:rFonts w:ascii="Times New Roman" w:eastAsia="Times New Roman" w:hAnsi="Times New Roman" w:cs="Times New Roman"/>
      <w:sz w:val="24"/>
      <w:szCs w:val="24"/>
    </w:rPr>
  </w:style>
  <w:style w:type="paragraph" w:styleId="Title">
    <w:name w:val="Title"/>
    <w:basedOn w:val="Normal"/>
    <w:link w:val="TitleChar"/>
    <w:qFormat/>
    <w:rsid w:val="00943EA3"/>
    <w:pPr>
      <w:jc w:val="center"/>
    </w:pPr>
    <w:rPr>
      <w:b/>
      <w:bCs/>
      <w:u w:val="single"/>
      <w:lang w:val="en-CA"/>
    </w:rPr>
  </w:style>
  <w:style w:type="character" w:customStyle="1" w:styleId="TitleChar">
    <w:name w:val="Title Char"/>
    <w:basedOn w:val="DefaultParagraphFont"/>
    <w:link w:val="Title"/>
    <w:rsid w:val="00943EA3"/>
    <w:rPr>
      <w:rFonts w:ascii="Times New Roman" w:eastAsia="Times New Roman" w:hAnsi="Times New Roman" w:cs="Times New Roman"/>
      <w:b/>
      <w:bCs/>
      <w:sz w:val="24"/>
      <w:szCs w:val="24"/>
      <w:u w:val="single"/>
      <w:lang w:val="en-CA"/>
    </w:rPr>
  </w:style>
  <w:style w:type="paragraph" w:styleId="BodyText2">
    <w:name w:val="Body Text 2"/>
    <w:basedOn w:val="Normal"/>
    <w:link w:val="BodyText2Char"/>
    <w:semiHidden/>
    <w:rsid w:val="00943EA3"/>
    <w:rPr>
      <w:color w:val="000000"/>
      <w:szCs w:val="20"/>
    </w:rPr>
  </w:style>
  <w:style w:type="character" w:customStyle="1" w:styleId="BodyText2Char">
    <w:name w:val="Body Text 2 Char"/>
    <w:basedOn w:val="DefaultParagraphFont"/>
    <w:link w:val="BodyText2"/>
    <w:semiHidden/>
    <w:rsid w:val="00943EA3"/>
    <w:rPr>
      <w:rFonts w:ascii="Times New Roman" w:eastAsia="Times New Roman" w:hAnsi="Times New Roman" w:cs="Times New Roman"/>
      <w:color w:val="000000"/>
      <w:sz w:val="24"/>
      <w:szCs w:val="20"/>
    </w:rPr>
  </w:style>
  <w:style w:type="character" w:styleId="Hyperlink">
    <w:name w:val="Hyperlink"/>
    <w:basedOn w:val="DefaultParagraphFont"/>
    <w:semiHidden/>
    <w:rsid w:val="00943EA3"/>
    <w:rPr>
      <w:color w:val="0000FF"/>
      <w:u w:val="single"/>
    </w:rPr>
  </w:style>
  <w:style w:type="paragraph" w:styleId="BodyText3">
    <w:name w:val="Body Text 3"/>
    <w:basedOn w:val="Normal"/>
    <w:link w:val="BodyText3Char"/>
    <w:semiHidden/>
    <w:rsid w:val="00943EA3"/>
    <w:rPr>
      <w:color w:val="339966"/>
    </w:rPr>
  </w:style>
  <w:style w:type="character" w:customStyle="1" w:styleId="BodyText3Char">
    <w:name w:val="Body Text 3 Char"/>
    <w:basedOn w:val="DefaultParagraphFont"/>
    <w:link w:val="BodyText3"/>
    <w:semiHidden/>
    <w:rsid w:val="00943EA3"/>
    <w:rPr>
      <w:rFonts w:ascii="Times New Roman" w:eastAsia="Times New Roman" w:hAnsi="Times New Roman" w:cs="Times New Roman"/>
      <w:color w:val="339966"/>
      <w:sz w:val="24"/>
      <w:szCs w:val="24"/>
    </w:rPr>
  </w:style>
  <w:style w:type="character" w:styleId="FollowedHyperlink">
    <w:name w:val="FollowedHyperlink"/>
    <w:basedOn w:val="DefaultParagraphFont"/>
    <w:semiHidden/>
    <w:rsid w:val="00943EA3"/>
    <w:rPr>
      <w:color w:val="800080"/>
      <w:u w:val="single"/>
    </w:rPr>
  </w:style>
  <w:style w:type="paragraph" w:styleId="ListParagraph">
    <w:name w:val="List Paragraph"/>
    <w:basedOn w:val="Normal"/>
    <w:uiPriority w:val="34"/>
    <w:qFormat/>
    <w:rsid w:val="00943EA3"/>
    <w:pPr>
      <w:ind w:left="720"/>
      <w:contextualSpacing/>
    </w:pPr>
  </w:style>
  <w:style w:type="paragraph" w:styleId="BalloonText">
    <w:name w:val="Balloon Text"/>
    <w:basedOn w:val="Normal"/>
    <w:link w:val="BalloonTextChar"/>
    <w:uiPriority w:val="99"/>
    <w:semiHidden/>
    <w:unhideWhenUsed/>
    <w:rsid w:val="00B0773A"/>
    <w:rPr>
      <w:rFonts w:ascii="Tahoma" w:hAnsi="Tahoma" w:cs="Tahoma"/>
      <w:sz w:val="16"/>
      <w:szCs w:val="16"/>
    </w:rPr>
  </w:style>
  <w:style w:type="character" w:customStyle="1" w:styleId="BalloonTextChar">
    <w:name w:val="Balloon Text Char"/>
    <w:basedOn w:val="DefaultParagraphFont"/>
    <w:link w:val="BalloonText"/>
    <w:uiPriority w:val="99"/>
    <w:semiHidden/>
    <w:rsid w:val="00B077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A3"/>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3EA3"/>
    <w:pPr>
      <w:keepNext/>
      <w:jc w:val="center"/>
      <w:outlineLvl w:val="0"/>
    </w:pPr>
    <w:rPr>
      <w:b/>
      <w:bCs/>
      <w:sz w:val="22"/>
      <w:szCs w:val="20"/>
    </w:rPr>
  </w:style>
  <w:style w:type="paragraph" w:styleId="Heading2">
    <w:name w:val="heading 2"/>
    <w:basedOn w:val="Normal"/>
    <w:next w:val="Normal"/>
    <w:link w:val="Heading2Char"/>
    <w:qFormat/>
    <w:rsid w:val="00943EA3"/>
    <w:pPr>
      <w:keepNext/>
      <w:outlineLvl w:val="1"/>
    </w:pPr>
    <w:rPr>
      <w:b/>
      <w:bCs/>
    </w:rPr>
  </w:style>
  <w:style w:type="paragraph" w:styleId="Heading3">
    <w:name w:val="heading 3"/>
    <w:basedOn w:val="Normal"/>
    <w:next w:val="Normal"/>
    <w:link w:val="Heading3Char"/>
    <w:qFormat/>
    <w:rsid w:val="00943EA3"/>
    <w:pPr>
      <w:keepNext/>
      <w:tabs>
        <w:tab w:val="right" w:leader="dot" w:pos="9360"/>
      </w:tabs>
      <w:ind w:left="720" w:hanging="720"/>
      <w:outlineLvl w:val="2"/>
    </w:pPr>
    <w:rPr>
      <w:b/>
      <w:bCs/>
    </w:rPr>
  </w:style>
  <w:style w:type="paragraph" w:styleId="Heading4">
    <w:name w:val="heading 4"/>
    <w:basedOn w:val="Normal"/>
    <w:next w:val="Normal"/>
    <w:link w:val="Heading4Char"/>
    <w:qFormat/>
    <w:rsid w:val="00943EA3"/>
    <w:pPr>
      <w:keepNext/>
      <w:jc w:val="center"/>
      <w:outlineLvl w:val="3"/>
    </w:pPr>
    <w:rPr>
      <w:b/>
      <w:bCs/>
      <w:sz w:val="28"/>
    </w:rPr>
  </w:style>
  <w:style w:type="paragraph" w:styleId="Heading5">
    <w:name w:val="heading 5"/>
    <w:basedOn w:val="Normal"/>
    <w:next w:val="Normal"/>
    <w:link w:val="Heading5Char"/>
    <w:qFormat/>
    <w:rsid w:val="00943EA3"/>
    <w:pPr>
      <w:keepNext/>
      <w:spacing w:before="28"/>
      <w:outlineLvl w:val="4"/>
    </w:pPr>
    <w:rPr>
      <w:b/>
      <w:bCs/>
      <w:sz w:val="22"/>
      <w:szCs w:val="22"/>
    </w:rPr>
  </w:style>
  <w:style w:type="paragraph" w:styleId="Heading6">
    <w:name w:val="heading 6"/>
    <w:basedOn w:val="Normal"/>
    <w:next w:val="Normal"/>
    <w:link w:val="Heading6Char"/>
    <w:qFormat/>
    <w:rsid w:val="00943EA3"/>
    <w:pPr>
      <w:keepNext/>
      <w:outlineLvl w:val="5"/>
    </w:pPr>
    <w:rPr>
      <w:i/>
      <w:iCs/>
      <w:sz w:val="20"/>
    </w:rPr>
  </w:style>
  <w:style w:type="paragraph" w:styleId="Heading7">
    <w:name w:val="heading 7"/>
    <w:basedOn w:val="Normal"/>
    <w:next w:val="Normal"/>
    <w:link w:val="Heading7Char"/>
    <w:qFormat/>
    <w:rsid w:val="00943EA3"/>
    <w:pPr>
      <w:keepNext/>
      <w:spacing w:after="3"/>
      <w:jc w:val="center"/>
      <w:outlineLvl w:val="6"/>
    </w:pPr>
    <w:rPr>
      <w:b/>
      <w:bCs/>
      <w:color w:val="FFFFFF"/>
    </w:rPr>
  </w:style>
  <w:style w:type="paragraph" w:styleId="Heading8">
    <w:name w:val="heading 8"/>
    <w:basedOn w:val="Normal"/>
    <w:next w:val="Normal"/>
    <w:link w:val="Heading8Char"/>
    <w:qFormat/>
    <w:rsid w:val="00943EA3"/>
    <w:pPr>
      <w:keepNext/>
      <w:outlineLvl w:val="7"/>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A3"/>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943EA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43EA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43EA3"/>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943EA3"/>
    <w:rPr>
      <w:rFonts w:ascii="Times New Roman" w:eastAsia="Times New Roman" w:hAnsi="Times New Roman" w:cs="Times New Roman"/>
      <w:b/>
      <w:bCs/>
    </w:rPr>
  </w:style>
  <w:style w:type="character" w:customStyle="1" w:styleId="Heading6Char">
    <w:name w:val="Heading 6 Char"/>
    <w:basedOn w:val="DefaultParagraphFont"/>
    <w:link w:val="Heading6"/>
    <w:rsid w:val="00943EA3"/>
    <w:rPr>
      <w:rFonts w:ascii="Times New Roman" w:eastAsia="Times New Roman" w:hAnsi="Times New Roman" w:cs="Times New Roman"/>
      <w:i/>
      <w:iCs/>
      <w:sz w:val="20"/>
      <w:szCs w:val="24"/>
    </w:rPr>
  </w:style>
  <w:style w:type="character" w:customStyle="1" w:styleId="Heading7Char">
    <w:name w:val="Heading 7 Char"/>
    <w:basedOn w:val="DefaultParagraphFont"/>
    <w:link w:val="Heading7"/>
    <w:rsid w:val="00943EA3"/>
    <w:rPr>
      <w:rFonts w:ascii="Times New Roman" w:eastAsia="Times New Roman" w:hAnsi="Times New Roman" w:cs="Times New Roman"/>
      <w:b/>
      <w:bCs/>
      <w:color w:val="FFFFFF"/>
      <w:sz w:val="24"/>
      <w:szCs w:val="24"/>
    </w:rPr>
  </w:style>
  <w:style w:type="character" w:customStyle="1" w:styleId="Heading8Char">
    <w:name w:val="Heading 8 Char"/>
    <w:basedOn w:val="DefaultParagraphFont"/>
    <w:link w:val="Heading8"/>
    <w:rsid w:val="00943EA3"/>
    <w:rPr>
      <w:rFonts w:ascii="Times New Roman" w:eastAsia="Times New Roman" w:hAnsi="Times New Roman" w:cs="Times New Roman"/>
      <w:b/>
      <w:bCs/>
      <w:color w:val="000000"/>
      <w:sz w:val="24"/>
      <w:szCs w:val="20"/>
    </w:rPr>
  </w:style>
  <w:style w:type="character" w:customStyle="1" w:styleId="SYSHYPERTEXT">
    <w:name w:val="SYS_HYPERTEXT"/>
    <w:rsid w:val="00943EA3"/>
    <w:rPr>
      <w:color w:val="0000FF"/>
    </w:rPr>
  </w:style>
  <w:style w:type="paragraph" w:styleId="Header">
    <w:name w:val="header"/>
    <w:basedOn w:val="Normal"/>
    <w:link w:val="HeaderChar"/>
    <w:uiPriority w:val="99"/>
    <w:rsid w:val="00943EA3"/>
    <w:pPr>
      <w:tabs>
        <w:tab w:val="center" w:pos="4320"/>
        <w:tab w:val="right" w:pos="8640"/>
      </w:tabs>
    </w:pPr>
  </w:style>
  <w:style w:type="character" w:customStyle="1" w:styleId="HeaderChar">
    <w:name w:val="Header Char"/>
    <w:basedOn w:val="DefaultParagraphFont"/>
    <w:link w:val="Header"/>
    <w:semiHidden/>
    <w:rsid w:val="00943EA3"/>
    <w:rPr>
      <w:rFonts w:ascii="Times New Roman" w:eastAsia="Times New Roman" w:hAnsi="Times New Roman" w:cs="Times New Roman"/>
      <w:sz w:val="24"/>
      <w:szCs w:val="24"/>
    </w:rPr>
  </w:style>
  <w:style w:type="character" w:styleId="PageNumber">
    <w:name w:val="page number"/>
    <w:basedOn w:val="DefaultParagraphFont"/>
    <w:semiHidden/>
    <w:rsid w:val="00943EA3"/>
  </w:style>
  <w:style w:type="paragraph" w:styleId="Footer">
    <w:name w:val="footer"/>
    <w:basedOn w:val="Normal"/>
    <w:link w:val="FooterChar"/>
    <w:semiHidden/>
    <w:rsid w:val="00943EA3"/>
    <w:pPr>
      <w:tabs>
        <w:tab w:val="center" w:pos="4320"/>
        <w:tab w:val="right" w:pos="8640"/>
      </w:tabs>
    </w:pPr>
  </w:style>
  <w:style w:type="character" w:customStyle="1" w:styleId="FooterChar">
    <w:name w:val="Footer Char"/>
    <w:basedOn w:val="DefaultParagraphFont"/>
    <w:link w:val="Footer"/>
    <w:semiHidden/>
    <w:rsid w:val="00943EA3"/>
    <w:rPr>
      <w:rFonts w:ascii="Times New Roman" w:eastAsia="Times New Roman" w:hAnsi="Times New Roman" w:cs="Times New Roman"/>
      <w:sz w:val="24"/>
      <w:szCs w:val="24"/>
    </w:rPr>
  </w:style>
  <w:style w:type="paragraph" w:styleId="BodyText">
    <w:name w:val="Body Text"/>
    <w:basedOn w:val="Normal"/>
    <w:link w:val="BodyTextChar"/>
    <w:semiHidden/>
    <w:rsid w:val="00943EA3"/>
    <w:rPr>
      <w:i/>
      <w:iCs/>
      <w:sz w:val="20"/>
    </w:rPr>
  </w:style>
  <w:style w:type="character" w:customStyle="1" w:styleId="BodyTextChar">
    <w:name w:val="Body Text Char"/>
    <w:basedOn w:val="DefaultParagraphFont"/>
    <w:link w:val="BodyText"/>
    <w:semiHidden/>
    <w:rsid w:val="00943EA3"/>
    <w:rPr>
      <w:rFonts w:ascii="Times New Roman" w:eastAsia="Times New Roman" w:hAnsi="Times New Roman" w:cs="Times New Roman"/>
      <w:i/>
      <w:iCs/>
      <w:sz w:val="20"/>
      <w:szCs w:val="24"/>
    </w:rPr>
  </w:style>
  <w:style w:type="paragraph" w:styleId="BodyTextIndent">
    <w:name w:val="Body Text Indent"/>
    <w:basedOn w:val="Normal"/>
    <w:link w:val="BodyTextIndentChar"/>
    <w:semiHidden/>
    <w:rsid w:val="00943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i/>
      <w:iCs/>
      <w:sz w:val="20"/>
    </w:rPr>
  </w:style>
  <w:style w:type="character" w:customStyle="1" w:styleId="BodyTextIndentChar">
    <w:name w:val="Body Text Indent Char"/>
    <w:basedOn w:val="DefaultParagraphFont"/>
    <w:link w:val="BodyTextIndent"/>
    <w:semiHidden/>
    <w:rsid w:val="00943EA3"/>
    <w:rPr>
      <w:rFonts w:ascii="Times New Roman" w:eastAsia="Times New Roman" w:hAnsi="Times New Roman" w:cs="Times New Roman"/>
      <w:i/>
      <w:iCs/>
      <w:sz w:val="20"/>
      <w:szCs w:val="24"/>
    </w:rPr>
  </w:style>
  <w:style w:type="paragraph" w:styleId="FootnoteText">
    <w:name w:val="footnote text"/>
    <w:basedOn w:val="Normal"/>
    <w:link w:val="FootnoteTextChar"/>
    <w:semiHidden/>
    <w:rsid w:val="00943EA3"/>
    <w:rPr>
      <w:sz w:val="20"/>
      <w:szCs w:val="20"/>
    </w:rPr>
  </w:style>
  <w:style w:type="character" w:customStyle="1" w:styleId="FootnoteTextChar">
    <w:name w:val="Footnote Text Char"/>
    <w:basedOn w:val="DefaultParagraphFont"/>
    <w:link w:val="FootnoteText"/>
    <w:semiHidden/>
    <w:rsid w:val="00943EA3"/>
    <w:rPr>
      <w:rFonts w:ascii="Times New Roman" w:eastAsia="Times New Roman" w:hAnsi="Times New Roman" w:cs="Times New Roman"/>
      <w:sz w:val="20"/>
      <w:szCs w:val="20"/>
    </w:rPr>
  </w:style>
  <w:style w:type="character" w:styleId="FootnoteReference">
    <w:name w:val="footnote reference"/>
    <w:basedOn w:val="DefaultParagraphFont"/>
    <w:semiHidden/>
    <w:rsid w:val="00943EA3"/>
    <w:rPr>
      <w:vertAlign w:val="superscript"/>
    </w:rPr>
  </w:style>
  <w:style w:type="paragraph" w:styleId="BodyTextIndent2">
    <w:name w:val="Body Text Indent 2"/>
    <w:basedOn w:val="Normal"/>
    <w:link w:val="BodyTextIndent2Char"/>
    <w:semiHidden/>
    <w:rsid w:val="00943EA3"/>
    <w:pPr>
      <w:tabs>
        <w:tab w:val="left" w:pos="720"/>
      </w:tabs>
      <w:ind w:left="720" w:hanging="720"/>
    </w:pPr>
    <w:rPr>
      <w:i/>
      <w:iCs/>
      <w:sz w:val="22"/>
    </w:rPr>
  </w:style>
  <w:style w:type="character" w:customStyle="1" w:styleId="BodyTextIndent2Char">
    <w:name w:val="Body Text Indent 2 Char"/>
    <w:basedOn w:val="DefaultParagraphFont"/>
    <w:link w:val="BodyTextIndent2"/>
    <w:semiHidden/>
    <w:rsid w:val="00943EA3"/>
    <w:rPr>
      <w:rFonts w:ascii="Times New Roman" w:eastAsia="Times New Roman" w:hAnsi="Times New Roman" w:cs="Times New Roman"/>
      <w:i/>
      <w:iCs/>
      <w:szCs w:val="24"/>
    </w:rPr>
  </w:style>
  <w:style w:type="paragraph" w:customStyle="1" w:styleId="FootnoteTex">
    <w:name w:val="Footnote Tex"/>
    <w:rsid w:val="00943EA3"/>
    <w:pPr>
      <w:autoSpaceDE w:val="0"/>
      <w:autoSpaceDN w:val="0"/>
      <w:adjustRightInd w:val="0"/>
      <w:spacing w:after="0"/>
    </w:pPr>
    <w:rPr>
      <w:rFonts w:ascii="Times New Roman" w:eastAsia="Times New Roman" w:hAnsi="Times New Roman" w:cs="Times New Roman"/>
      <w:sz w:val="20"/>
      <w:szCs w:val="20"/>
    </w:rPr>
  </w:style>
  <w:style w:type="paragraph" w:customStyle="1" w:styleId="Level1">
    <w:name w:val="Level 1"/>
    <w:rsid w:val="00943EA3"/>
    <w:pPr>
      <w:autoSpaceDE w:val="0"/>
      <w:autoSpaceDN w:val="0"/>
      <w:adjustRightInd w:val="0"/>
      <w:spacing w:after="0"/>
      <w:ind w:left="720"/>
    </w:pPr>
    <w:rPr>
      <w:rFonts w:ascii="Times New Roman" w:eastAsia="Times New Roman" w:hAnsi="Times New Roman" w:cs="Times New Roman"/>
      <w:sz w:val="24"/>
      <w:szCs w:val="24"/>
    </w:rPr>
  </w:style>
  <w:style w:type="character" w:customStyle="1" w:styleId="QuickFormat1">
    <w:name w:val="QuickFormat1"/>
    <w:rsid w:val="00943EA3"/>
    <w:rPr>
      <w:color w:val="0000FF"/>
      <w:u w:val="single"/>
    </w:rPr>
  </w:style>
  <w:style w:type="paragraph" w:styleId="BodyTextIndent3">
    <w:name w:val="Body Text Indent 3"/>
    <w:basedOn w:val="Normal"/>
    <w:link w:val="BodyTextIndent3Char"/>
    <w:semiHidden/>
    <w:rsid w:val="00943EA3"/>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943EA3"/>
    <w:rPr>
      <w:rFonts w:ascii="Times New Roman" w:eastAsia="Times New Roman" w:hAnsi="Times New Roman" w:cs="Times New Roman"/>
      <w:sz w:val="24"/>
      <w:szCs w:val="24"/>
    </w:rPr>
  </w:style>
  <w:style w:type="paragraph" w:styleId="Title">
    <w:name w:val="Title"/>
    <w:basedOn w:val="Normal"/>
    <w:link w:val="TitleChar"/>
    <w:qFormat/>
    <w:rsid w:val="00943EA3"/>
    <w:pPr>
      <w:jc w:val="center"/>
    </w:pPr>
    <w:rPr>
      <w:b/>
      <w:bCs/>
      <w:u w:val="single"/>
      <w:lang w:val="en-CA"/>
    </w:rPr>
  </w:style>
  <w:style w:type="character" w:customStyle="1" w:styleId="TitleChar">
    <w:name w:val="Title Char"/>
    <w:basedOn w:val="DefaultParagraphFont"/>
    <w:link w:val="Title"/>
    <w:rsid w:val="00943EA3"/>
    <w:rPr>
      <w:rFonts w:ascii="Times New Roman" w:eastAsia="Times New Roman" w:hAnsi="Times New Roman" w:cs="Times New Roman"/>
      <w:b/>
      <w:bCs/>
      <w:sz w:val="24"/>
      <w:szCs w:val="24"/>
      <w:u w:val="single"/>
      <w:lang w:val="en-CA"/>
    </w:rPr>
  </w:style>
  <w:style w:type="paragraph" w:styleId="BodyText2">
    <w:name w:val="Body Text 2"/>
    <w:basedOn w:val="Normal"/>
    <w:link w:val="BodyText2Char"/>
    <w:semiHidden/>
    <w:rsid w:val="00943EA3"/>
    <w:rPr>
      <w:color w:val="000000"/>
      <w:szCs w:val="20"/>
    </w:rPr>
  </w:style>
  <w:style w:type="character" w:customStyle="1" w:styleId="BodyText2Char">
    <w:name w:val="Body Text 2 Char"/>
    <w:basedOn w:val="DefaultParagraphFont"/>
    <w:link w:val="BodyText2"/>
    <w:semiHidden/>
    <w:rsid w:val="00943EA3"/>
    <w:rPr>
      <w:rFonts w:ascii="Times New Roman" w:eastAsia="Times New Roman" w:hAnsi="Times New Roman" w:cs="Times New Roman"/>
      <w:color w:val="000000"/>
      <w:sz w:val="24"/>
      <w:szCs w:val="20"/>
    </w:rPr>
  </w:style>
  <w:style w:type="character" w:styleId="Hyperlink">
    <w:name w:val="Hyperlink"/>
    <w:basedOn w:val="DefaultParagraphFont"/>
    <w:semiHidden/>
    <w:rsid w:val="00943EA3"/>
    <w:rPr>
      <w:color w:val="0000FF"/>
      <w:u w:val="single"/>
    </w:rPr>
  </w:style>
  <w:style w:type="paragraph" w:styleId="BodyText3">
    <w:name w:val="Body Text 3"/>
    <w:basedOn w:val="Normal"/>
    <w:link w:val="BodyText3Char"/>
    <w:semiHidden/>
    <w:rsid w:val="00943EA3"/>
    <w:rPr>
      <w:color w:val="339966"/>
    </w:rPr>
  </w:style>
  <w:style w:type="character" w:customStyle="1" w:styleId="BodyText3Char">
    <w:name w:val="Body Text 3 Char"/>
    <w:basedOn w:val="DefaultParagraphFont"/>
    <w:link w:val="BodyText3"/>
    <w:semiHidden/>
    <w:rsid w:val="00943EA3"/>
    <w:rPr>
      <w:rFonts w:ascii="Times New Roman" w:eastAsia="Times New Roman" w:hAnsi="Times New Roman" w:cs="Times New Roman"/>
      <w:color w:val="339966"/>
      <w:sz w:val="24"/>
      <w:szCs w:val="24"/>
    </w:rPr>
  </w:style>
  <w:style w:type="character" w:styleId="FollowedHyperlink">
    <w:name w:val="FollowedHyperlink"/>
    <w:basedOn w:val="DefaultParagraphFont"/>
    <w:semiHidden/>
    <w:rsid w:val="00943EA3"/>
    <w:rPr>
      <w:color w:val="800080"/>
      <w:u w:val="single"/>
    </w:rPr>
  </w:style>
  <w:style w:type="paragraph" w:styleId="ListParagraph">
    <w:name w:val="List Paragraph"/>
    <w:basedOn w:val="Normal"/>
    <w:uiPriority w:val="34"/>
    <w:qFormat/>
    <w:rsid w:val="00943EA3"/>
    <w:pPr>
      <w:ind w:left="720"/>
      <w:contextualSpacing/>
    </w:pPr>
  </w:style>
  <w:style w:type="paragraph" w:styleId="BalloonText">
    <w:name w:val="Balloon Text"/>
    <w:basedOn w:val="Normal"/>
    <w:link w:val="BalloonTextChar"/>
    <w:uiPriority w:val="99"/>
    <w:semiHidden/>
    <w:unhideWhenUsed/>
    <w:rsid w:val="00B0773A"/>
    <w:rPr>
      <w:rFonts w:ascii="Tahoma" w:hAnsi="Tahoma" w:cs="Tahoma"/>
      <w:sz w:val="16"/>
      <w:szCs w:val="16"/>
    </w:rPr>
  </w:style>
  <w:style w:type="character" w:customStyle="1" w:styleId="BalloonTextChar">
    <w:name w:val="Balloon Text Char"/>
    <w:basedOn w:val="DefaultParagraphFont"/>
    <w:link w:val="BalloonText"/>
    <w:uiPriority w:val="99"/>
    <w:semiHidden/>
    <w:rsid w:val="00B077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9008">
      <w:bodyDiv w:val="1"/>
      <w:marLeft w:val="0"/>
      <w:marRight w:val="0"/>
      <w:marTop w:val="0"/>
      <w:marBottom w:val="0"/>
      <w:divBdr>
        <w:top w:val="none" w:sz="0" w:space="0" w:color="auto"/>
        <w:left w:val="none" w:sz="0" w:space="0" w:color="auto"/>
        <w:bottom w:val="none" w:sz="0" w:space="0" w:color="auto"/>
        <w:right w:val="none" w:sz="0" w:space="0" w:color="auto"/>
      </w:divBdr>
    </w:div>
    <w:div w:id="234315477">
      <w:bodyDiv w:val="1"/>
      <w:marLeft w:val="0"/>
      <w:marRight w:val="0"/>
      <w:marTop w:val="0"/>
      <w:marBottom w:val="0"/>
      <w:divBdr>
        <w:top w:val="none" w:sz="0" w:space="0" w:color="auto"/>
        <w:left w:val="none" w:sz="0" w:space="0" w:color="auto"/>
        <w:bottom w:val="none" w:sz="0" w:space="0" w:color="auto"/>
        <w:right w:val="none" w:sz="0" w:space="0" w:color="auto"/>
      </w:divBdr>
    </w:div>
    <w:div w:id="853609572">
      <w:bodyDiv w:val="1"/>
      <w:marLeft w:val="0"/>
      <w:marRight w:val="0"/>
      <w:marTop w:val="0"/>
      <w:marBottom w:val="0"/>
      <w:divBdr>
        <w:top w:val="none" w:sz="0" w:space="0" w:color="auto"/>
        <w:left w:val="none" w:sz="0" w:space="0" w:color="auto"/>
        <w:bottom w:val="none" w:sz="0" w:space="0" w:color="auto"/>
        <w:right w:val="none" w:sz="0" w:space="0" w:color="auto"/>
      </w:divBdr>
    </w:div>
    <w:div w:id="1349403386">
      <w:bodyDiv w:val="1"/>
      <w:marLeft w:val="0"/>
      <w:marRight w:val="0"/>
      <w:marTop w:val="0"/>
      <w:marBottom w:val="0"/>
      <w:divBdr>
        <w:top w:val="none" w:sz="0" w:space="0" w:color="auto"/>
        <w:left w:val="none" w:sz="0" w:space="0" w:color="auto"/>
        <w:bottom w:val="none" w:sz="0" w:space="0" w:color="auto"/>
        <w:right w:val="none" w:sz="0" w:space="0" w:color="auto"/>
      </w:divBdr>
      <w:divsChild>
        <w:div w:id="590048919">
          <w:marLeft w:val="0"/>
          <w:marRight w:val="0"/>
          <w:marTop w:val="0"/>
          <w:marBottom w:val="0"/>
          <w:divBdr>
            <w:top w:val="none" w:sz="0" w:space="0" w:color="auto"/>
            <w:left w:val="none" w:sz="0" w:space="0" w:color="auto"/>
            <w:bottom w:val="none" w:sz="0" w:space="0" w:color="auto"/>
            <w:right w:val="none" w:sz="0" w:space="0" w:color="auto"/>
          </w:divBdr>
          <w:divsChild>
            <w:div w:id="830635421">
              <w:marLeft w:val="0"/>
              <w:marRight w:val="0"/>
              <w:marTop w:val="0"/>
              <w:marBottom w:val="0"/>
              <w:divBdr>
                <w:top w:val="none" w:sz="0" w:space="0" w:color="auto"/>
                <w:left w:val="none" w:sz="0" w:space="0" w:color="auto"/>
                <w:bottom w:val="none" w:sz="0" w:space="0" w:color="auto"/>
                <w:right w:val="none" w:sz="0" w:space="0" w:color="auto"/>
              </w:divBdr>
              <w:divsChild>
                <w:div w:id="1478568170">
                  <w:marLeft w:val="0"/>
                  <w:marRight w:val="0"/>
                  <w:marTop w:val="0"/>
                  <w:marBottom w:val="0"/>
                  <w:divBdr>
                    <w:top w:val="none" w:sz="0" w:space="0" w:color="auto"/>
                    <w:left w:val="none" w:sz="0" w:space="0" w:color="auto"/>
                    <w:bottom w:val="none" w:sz="0" w:space="0" w:color="auto"/>
                    <w:right w:val="none" w:sz="0" w:space="0" w:color="auto"/>
                  </w:divBdr>
                  <w:divsChild>
                    <w:div w:id="427970114">
                      <w:marLeft w:val="0"/>
                      <w:marRight w:val="0"/>
                      <w:marTop w:val="0"/>
                      <w:marBottom w:val="0"/>
                      <w:divBdr>
                        <w:top w:val="none" w:sz="0" w:space="0" w:color="auto"/>
                        <w:left w:val="none" w:sz="0" w:space="0" w:color="auto"/>
                        <w:bottom w:val="none" w:sz="0" w:space="0" w:color="auto"/>
                        <w:right w:val="none" w:sz="0" w:space="0" w:color="auto"/>
                      </w:divBdr>
                      <w:divsChild>
                        <w:div w:id="1039932085">
                          <w:marLeft w:val="0"/>
                          <w:marRight w:val="0"/>
                          <w:marTop w:val="0"/>
                          <w:marBottom w:val="0"/>
                          <w:divBdr>
                            <w:top w:val="none" w:sz="0" w:space="0" w:color="auto"/>
                            <w:left w:val="none" w:sz="0" w:space="0" w:color="auto"/>
                            <w:bottom w:val="none" w:sz="0" w:space="0" w:color="auto"/>
                            <w:right w:val="none" w:sz="0" w:space="0" w:color="auto"/>
                          </w:divBdr>
                          <w:divsChild>
                            <w:div w:id="178128448">
                              <w:marLeft w:val="0"/>
                              <w:marRight w:val="0"/>
                              <w:marTop w:val="0"/>
                              <w:marBottom w:val="0"/>
                              <w:divBdr>
                                <w:top w:val="none" w:sz="0" w:space="0" w:color="auto"/>
                                <w:left w:val="none" w:sz="0" w:space="0" w:color="auto"/>
                                <w:bottom w:val="none" w:sz="0" w:space="0" w:color="auto"/>
                                <w:right w:val="none" w:sz="0" w:space="0" w:color="auto"/>
                              </w:divBdr>
                              <w:divsChild>
                                <w:div w:id="1595745036">
                                  <w:marLeft w:val="0"/>
                                  <w:marRight w:val="0"/>
                                  <w:marTop w:val="0"/>
                                  <w:marBottom w:val="0"/>
                                  <w:divBdr>
                                    <w:top w:val="none" w:sz="0" w:space="0" w:color="auto"/>
                                    <w:left w:val="none" w:sz="0" w:space="0" w:color="auto"/>
                                    <w:bottom w:val="none" w:sz="0" w:space="0" w:color="auto"/>
                                    <w:right w:val="none" w:sz="0" w:space="0" w:color="auto"/>
                                  </w:divBdr>
                                  <w:divsChild>
                                    <w:div w:id="1013264773">
                                      <w:marLeft w:val="0"/>
                                      <w:marRight w:val="0"/>
                                      <w:marTop w:val="0"/>
                                      <w:marBottom w:val="0"/>
                                      <w:divBdr>
                                        <w:top w:val="none" w:sz="0" w:space="0" w:color="auto"/>
                                        <w:left w:val="none" w:sz="0" w:space="0" w:color="auto"/>
                                        <w:bottom w:val="none" w:sz="0" w:space="0" w:color="auto"/>
                                        <w:right w:val="none" w:sz="0" w:space="0" w:color="auto"/>
                                      </w:divBdr>
                                      <w:divsChild>
                                        <w:div w:id="1385643257">
                                          <w:marLeft w:val="0"/>
                                          <w:marRight w:val="0"/>
                                          <w:marTop w:val="0"/>
                                          <w:marBottom w:val="0"/>
                                          <w:divBdr>
                                            <w:top w:val="none" w:sz="0" w:space="0" w:color="auto"/>
                                            <w:left w:val="none" w:sz="0" w:space="0" w:color="auto"/>
                                            <w:bottom w:val="none" w:sz="0" w:space="0" w:color="auto"/>
                                            <w:right w:val="none" w:sz="0" w:space="0" w:color="auto"/>
                                          </w:divBdr>
                                          <w:divsChild>
                                            <w:div w:id="348065301">
                                              <w:marLeft w:val="0"/>
                                              <w:marRight w:val="0"/>
                                              <w:marTop w:val="0"/>
                                              <w:marBottom w:val="0"/>
                                              <w:divBdr>
                                                <w:top w:val="none" w:sz="0" w:space="0" w:color="auto"/>
                                                <w:left w:val="none" w:sz="0" w:space="0" w:color="auto"/>
                                                <w:bottom w:val="none" w:sz="0" w:space="0" w:color="auto"/>
                                                <w:right w:val="none" w:sz="0" w:space="0" w:color="auto"/>
                                              </w:divBdr>
                                              <w:divsChild>
                                                <w:div w:id="694188815">
                                                  <w:marLeft w:val="0"/>
                                                  <w:marRight w:val="0"/>
                                                  <w:marTop w:val="0"/>
                                                  <w:marBottom w:val="0"/>
                                                  <w:divBdr>
                                                    <w:top w:val="none" w:sz="0" w:space="0" w:color="auto"/>
                                                    <w:left w:val="none" w:sz="0" w:space="0" w:color="auto"/>
                                                    <w:bottom w:val="none" w:sz="0" w:space="0" w:color="auto"/>
                                                    <w:right w:val="none" w:sz="0" w:space="0" w:color="auto"/>
                                                  </w:divBdr>
                                                  <w:divsChild>
                                                    <w:div w:id="1399740863">
                                                      <w:marLeft w:val="0"/>
                                                      <w:marRight w:val="0"/>
                                                      <w:marTop w:val="0"/>
                                                      <w:marBottom w:val="0"/>
                                                      <w:divBdr>
                                                        <w:top w:val="none" w:sz="0" w:space="0" w:color="auto"/>
                                                        <w:left w:val="none" w:sz="0" w:space="0" w:color="auto"/>
                                                        <w:bottom w:val="none" w:sz="0" w:space="0" w:color="auto"/>
                                                        <w:right w:val="none" w:sz="0" w:space="0" w:color="auto"/>
                                                      </w:divBdr>
                                                      <w:divsChild>
                                                        <w:div w:id="1432314242">
                                                          <w:marLeft w:val="0"/>
                                                          <w:marRight w:val="0"/>
                                                          <w:marTop w:val="0"/>
                                                          <w:marBottom w:val="0"/>
                                                          <w:divBdr>
                                                            <w:top w:val="none" w:sz="0" w:space="0" w:color="auto"/>
                                                            <w:left w:val="none" w:sz="0" w:space="0" w:color="auto"/>
                                                            <w:bottom w:val="none" w:sz="0" w:space="0" w:color="auto"/>
                                                            <w:right w:val="none" w:sz="0" w:space="0" w:color="auto"/>
                                                          </w:divBdr>
                                                          <w:divsChild>
                                                            <w:div w:id="233470009">
                                                              <w:marLeft w:val="0"/>
                                                              <w:marRight w:val="0"/>
                                                              <w:marTop w:val="0"/>
                                                              <w:marBottom w:val="0"/>
                                                              <w:divBdr>
                                                                <w:top w:val="none" w:sz="0" w:space="0" w:color="auto"/>
                                                                <w:left w:val="none" w:sz="0" w:space="0" w:color="auto"/>
                                                                <w:bottom w:val="none" w:sz="0" w:space="0" w:color="auto"/>
                                                                <w:right w:val="none" w:sz="0" w:space="0" w:color="auto"/>
                                                              </w:divBdr>
                                                              <w:divsChild>
                                                                <w:div w:id="30109781">
                                                                  <w:marLeft w:val="0"/>
                                                                  <w:marRight w:val="0"/>
                                                                  <w:marTop w:val="0"/>
                                                                  <w:marBottom w:val="0"/>
                                                                  <w:divBdr>
                                                                    <w:top w:val="none" w:sz="0" w:space="0" w:color="auto"/>
                                                                    <w:left w:val="none" w:sz="0" w:space="0" w:color="auto"/>
                                                                    <w:bottom w:val="none" w:sz="0" w:space="0" w:color="auto"/>
                                                                    <w:right w:val="none" w:sz="0" w:space="0" w:color="auto"/>
                                                                  </w:divBdr>
                                                                  <w:divsChild>
                                                                    <w:div w:id="750859791">
                                                                      <w:marLeft w:val="0"/>
                                                                      <w:marRight w:val="0"/>
                                                                      <w:marTop w:val="0"/>
                                                                      <w:marBottom w:val="0"/>
                                                                      <w:divBdr>
                                                                        <w:top w:val="none" w:sz="0" w:space="0" w:color="auto"/>
                                                                        <w:left w:val="none" w:sz="0" w:space="0" w:color="auto"/>
                                                                        <w:bottom w:val="none" w:sz="0" w:space="0" w:color="auto"/>
                                                                        <w:right w:val="none" w:sz="0" w:space="0" w:color="auto"/>
                                                                      </w:divBdr>
                                                                      <w:divsChild>
                                                                        <w:div w:id="34279082">
                                                                          <w:marLeft w:val="0"/>
                                                                          <w:marRight w:val="0"/>
                                                                          <w:marTop w:val="0"/>
                                                                          <w:marBottom w:val="0"/>
                                                                          <w:divBdr>
                                                                            <w:top w:val="none" w:sz="0" w:space="0" w:color="auto"/>
                                                                            <w:left w:val="none" w:sz="0" w:space="0" w:color="auto"/>
                                                                            <w:bottom w:val="none" w:sz="0" w:space="0" w:color="auto"/>
                                                                            <w:right w:val="none" w:sz="0" w:space="0" w:color="auto"/>
                                                                          </w:divBdr>
                                                                          <w:divsChild>
                                                                            <w:div w:id="1282111266">
                                                                              <w:marLeft w:val="0"/>
                                                                              <w:marRight w:val="0"/>
                                                                              <w:marTop w:val="0"/>
                                                                              <w:marBottom w:val="0"/>
                                                                              <w:divBdr>
                                                                                <w:top w:val="none" w:sz="0" w:space="0" w:color="auto"/>
                                                                                <w:left w:val="none" w:sz="0" w:space="0" w:color="auto"/>
                                                                                <w:bottom w:val="none" w:sz="0" w:space="0" w:color="auto"/>
                                                                                <w:right w:val="none" w:sz="0" w:space="0" w:color="auto"/>
                                                                              </w:divBdr>
                                                                              <w:divsChild>
                                                                                <w:div w:id="544684028">
                                                                                  <w:marLeft w:val="0"/>
                                                                                  <w:marRight w:val="0"/>
                                                                                  <w:marTop w:val="0"/>
                                                                                  <w:marBottom w:val="0"/>
                                                                                  <w:divBdr>
                                                                                    <w:top w:val="none" w:sz="0" w:space="0" w:color="auto"/>
                                                                                    <w:left w:val="none" w:sz="0" w:space="0" w:color="auto"/>
                                                                                    <w:bottom w:val="none" w:sz="0" w:space="0" w:color="auto"/>
                                                                                    <w:right w:val="none" w:sz="0" w:space="0" w:color="auto"/>
                                                                                  </w:divBdr>
                                                                                  <w:divsChild>
                                                                                    <w:div w:id="1135027467">
                                                                                      <w:marLeft w:val="0"/>
                                                                                      <w:marRight w:val="0"/>
                                                                                      <w:marTop w:val="0"/>
                                                                                      <w:marBottom w:val="0"/>
                                                                                      <w:divBdr>
                                                                                        <w:top w:val="single" w:sz="6" w:space="0" w:color="A7B3BD"/>
                                                                                        <w:left w:val="none" w:sz="0" w:space="0" w:color="auto"/>
                                                                                        <w:bottom w:val="none" w:sz="0" w:space="0" w:color="auto"/>
                                                                                        <w:right w:val="none" w:sz="0" w:space="0" w:color="auto"/>
                                                                                      </w:divBdr>
                                                                                      <w:divsChild>
                                                                                        <w:div w:id="1199733103">
                                                                                          <w:marLeft w:val="0"/>
                                                                                          <w:marRight w:val="0"/>
                                                                                          <w:marTop w:val="0"/>
                                                                                          <w:marBottom w:val="0"/>
                                                                                          <w:divBdr>
                                                                                            <w:top w:val="none" w:sz="0" w:space="0" w:color="auto"/>
                                                                                            <w:left w:val="none" w:sz="0" w:space="0" w:color="auto"/>
                                                                                            <w:bottom w:val="none" w:sz="0" w:space="0" w:color="auto"/>
                                                                                            <w:right w:val="none" w:sz="0" w:space="0" w:color="auto"/>
                                                                                          </w:divBdr>
                                                                                          <w:divsChild>
                                                                                            <w:div w:id="1931814870">
                                                                                              <w:marLeft w:val="0"/>
                                                                                              <w:marRight w:val="0"/>
                                                                                              <w:marTop w:val="0"/>
                                                                                              <w:marBottom w:val="0"/>
                                                                                              <w:divBdr>
                                                                                                <w:top w:val="none" w:sz="0" w:space="0" w:color="auto"/>
                                                                                                <w:left w:val="single" w:sz="12" w:space="4" w:color="000000"/>
                                                                                                <w:bottom w:val="none" w:sz="0" w:space="0" w:color="auto"/>
                                                                                                <w:right w:val="none" w:sz="0" w:space="0" w:color="auto"/>
                                                                                              </w:divBdr>
                                                                                              <w:divsChild>
                                                                                                <w:div w:id="437410749">
                                                                                                  <w:marLeft w:val="0"/>
                                                                                                  <w:marRight w:val="0"/>
                                                                                                  <w:marTop w:val="0"/>
                                                                                                  <w:marBottom w:val="0"/>
                                                                                                  <w:divBdr>
                                                                                                    <w:top w:val="none" w:sz="0" w:space="0" w:color="auto"/>
                                                                                                    <w:left w:val="none" w:sz="0" w:space="0" w:color="auto"/>
                                                                                                    <w:bottom w:val="none" w:sz="0" w:space="0" w:color="auto"/>
                                                                                                    <w:right w:val="none" w:sz="0" w:space="0" w:color="auto"/>
                                                                                                  </w:divBdr>
                                                                                                  <w:divsChild>
                                                                                                    <w:div w:id="9172047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1770679">
                                                                                                          <w:marLeft w:val="0"/>
                                                                                                          <w:marRight w:val="0"/>
                                                                                                          <w:marTop w:val="0"/>
                                                                                                          <w:marBottom w:val="0"/>
                                                                                                          <w:divBdr>
                                                                                                            <w:top w:val="none" w:sz="0" w:space="0" w:color="auto"/>
                                                                                                            <w:left w:val="none" w:sz="0" w:space="0" w:color="auto"/>
                                                                                                            <w:bottom w:val="none" w:sz="0" w:space="0" w:color="auto"/>
                                                                                                            <w:right w:val="none" w:sz="0" w:space="0" w:color="auto"/>
                                                                                                          </w:divBdr>
                                                                                                          <w:divsChild>
                                                                                                            <w:div w:id="181791103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19543190">
                                                                                                                  <w:marLeft w:val="0"/>
                                                                                                                  <w:marRight w:val="0"/>
                                                                                                                  <w:marTop w:val="0"/>
                                                                                                                  <w:marBottom w:val="0"/>
                                                                                                                  <w:divBdr>
                                                                                                                    <w:top w:val="none" w:sz="0" w:space="0" w:color="auto"/>
                                                                                                                    <w:left w:val="none" w:sz="0" w:space="0" w:color="auto"/>
                                                                                                                    <w:bottom w:val="none" w:sz="0" w:space="0" w:color="auto"/>
                                                                                                                    <w:right w:val="none" w:sz="0" w:space="0" w:color="auto"/>
                                                                                                                  </w:divBdr>
                                                                                                                  <w:divsChild>
                                                                                                                    <w:div w:id="21249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dsmd.source.and.accuracy@census.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file:///C:\Documents%20and%20Settings\caste311\Application%20Data\Microsoft\Word\(http:\www.fcsm.gov\working-papers\spp.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file:///C:\Documents%20and%20Settings\caste311\Application%20Data\Microsoft\Word\(http:\www.census.gov\prod\2006pubs\tp-66.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4269-195A-44FD-9755-9C15615A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FAFD63B0</Template>
  <TotalTime>401</TotalTime>
  <Pages>18</Pages>
  <Words>5794</Words>
  <Characters>33031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herbs002</dc:creator>
  <cp:lastModifiedBy>Rebecca A Hoop</cp:lastModifiedBy>
  <cp:revision>12</cp:revision>
  <cp:lastPrinted>2016-04-06T18:13:00Z</cp:lastPrinted>
  <dcterms:created xsi:type="dcterms:W3CDTF">2016-09-13T18:19:00Z</dcterms:created>
  <dcterms:modified xsi:type="dcterms:W3CDTF">2016-09-20T18:53:00Z</dcterms:modified>
</cp:coreProperties>
</file>